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A2C932" w14:textId="77777777" w:rsidR="00F37D0D" w:rsidRPr="00352126" w:rsidRDefault="00F37D0D" w:rsidP="00352126">
      <w:pPr>
        <w:pStyle w:val="1odstavec"/>
        <w:rPr>
          <w:rStyle w:val="Hyperlink"/>
          <w:color w:val="auto"/>
          <w:u w:val="none"/>
        </w:rPr>
      </w:pPr>
    </w:p>
    <w:p w14:paraId="500D2B40" w14:textId="77777777" w:rsidR="00F37D0D" w:rsidRDefault="00F37D0D" w:rsidP="00F37D0D">
      <w:pPr>
        <w:ind w:left="5580"/>
        <w:jc w:val="left"/>
        <w:rPr>
          <w:rStyle w:val="Hyperlink"/>
          <w:rFonts w:eastAsia="Times New Roman" w:cs="Tahoma"/>
          <w:color w:val="FFFFFF"/>
          <w:sz w:val="36"/>
          <w:szCs w:val="36"/>
        </w:rPr>
      </w:pPr>
    </w:p>
    <w:p w14:paraId="244116E9" w14:textId="77777777" w:rsidR="00F37D0D" w:rsidRDefault="00F37D0D" w:rsidP="00F37D0D">
      <w:pPr>
        <w:ind w:left="5580"/>
        <w:jc w:val="left"/>
        <w:rPr>
          <w:rStyle w:val="Hyperlink"/>
          <w:rFonts w:eastAsia="Times New Roman" w:cs="Tahoma"/>
          <w:color w:val="FFFFFF"/>
          <w:sz w:val="36"/>
          <w:szCs w:val="36"/>
        </w:rPr>
      </w:pPr>
    </w:p>
    <w:tbl>
      <w:tblPr>
        <w:tblpPr w:leftFromText="141" w:rightFromText="141" w:vertAnchor="page" w:horzAnchor="margin" w:tblpX="-1026" w:tblpY="2745"/>
        <w:tblW w:w="12095" w:type="dxa"/>
        <w:tblLook w:val="04A0" w:firstRow="1" w:lastRow="0" w:firstColumn="1" w:lastColumn="0" w:noHBand="0" w:noVBand="1"/>
      </w:tblPr>
      <w:tblGrid>
        <w:gridCol w:w="12306"/>
      </w:tblGrid>
      <w:tr w:rsidR="00F37D0D" w:rsidRPr="00461C16" w14:paraId="631A0680" w14:textId="77777777" w:rsidTr="007F18DA">
        <w:trPr>
          <w:trHeight w:val="3787"/>
        </w:trPr>
        <w:tc>
          <w:tcPr>
            <w:tcW w:w="12095" w:type="dxa"/>
            <w:shd w:val="clear" w:color="auto" w:fill="auto"/>
          </w:tcPr>
          <w:p w14:paraId="7018A842" w14:textId="77777777" w:rsidR="00F37D0D" w:rsidRPr="00461C16" w:rsidRDefault="0062448C" w:rsidP="007F18DA">
            <w:pPr>
              <w:jc w:val="left"/>
              <w:rPr>
                <w:noProof/>
                <w:lang w:eastAsia="cs-CZ"/>
              </w:rPr>
            </w:pPr>
            <w:r w:rsidRPr="00461C16">
              <w:rPr>
                <w:noProof/>
                <w:lang w:eastAsia="cs-CZ"/>
              </w:rPr>
              <w:drawing>
                <wp:anchor distT="0" distB="0" distL="114300" distR="114300" simplePos="0" relativeHeight="251667456" behindDoc="0" locked="0" layoutInCell="1" allowOverlap="1" wp14:anchorId="7854E665" wp14:editId="6C17B862">
                  <wp:simplePos x="0" y="0"/>
                  <wp:positionH relativeFrom="margin">
                    <wp:posOffset>-98425</wp:posOffset>
                  </wp:positionH>
                  <wp:positionV relativeFrom="margin">
                    <wp:posOffset>635</wp:posOffset>
                  </wp:positionV>
                  <wp:extent cx="7669530" cy="2895600"/>
                  <wp:effectExtent l="0" t="0" r="762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69530"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FBCDFB" w14:textId="77777777" w:rsidR="00F37D0D" w:rsidRPr="00461C16" w:rsidRDefault="00F37D0D" w:rsidP="007F18DA">
            <w:pPr>
              <w:jc w:val="left"/>
              <w:rPr>
                <w:rStyle w:val="Hyperlink"/>
                <w:rFonts w:eastAsia="Times New Roman" w:cs="Tahoma"/>
                <w:color w:val="FFFFFF"/>
                <w:sz w:val="36"/>
                <w:szCs w:val="36"/>
              </w:rPr>
            </w:pPr>
          </w:p>
        </w:tc>
      </w:tr>
    </w:tbl>
    <w:p w14:paraId="78784120" w14:textId="77777777" w:rsidR="00F37D0D" w:rsidRPr="00461C16" w:rsidRDefault="00F37D0D" w:rsidP="00F37D0D">
      <w:pPr>
        <w:spacing w:after="60"/>
        <w:ind w:right="-676"/>
        <w:jc w:val="right"/>
        <w:rPr>
          <w:color w:val="0066CC"/>
          <w:sz w:val="26"/>
          <w:szCs w:val="26"/>
        </w:rPr>
      </w:pPr>
    </w:p>
    <w:p w14:paraId="386766A8" w14:textId="77777777" w:rsidR="00F37D0D" w:rsidRPr="00461C16" w:rsidRDefault="00F37D0D" w:rsidP="00F37D0D">
      <w:pPr>
        <w:spacing w:after="60"/>
        <w:ind w:right="-676"/>
        <w:jc w:val="right"/>
        <w:rPr>
          <w:color w:val="0066CC"/>
          <w:sz w:val="26"/>
          <w:szCs w:val="26"/>
        </w:rPr>
      </w:pPr>
    </w:p>
    <w:p w14:paraId="71DA0296" w14:textId="77777777" w:rsidR="00F37D0D" w:rsidRPr="00461C16" w:rsidRDefault="00F37D0D" w:rsidP="00F37D0D">
      <w:pPr>
        <w:spacing w:after="60"/>
        <w:ind w:right="-676"/>
        <w:jc w:val="right"/>
        <w:rPr>
          <w:color w:val="0066CC"/>
          <w:sz w:val="26"/>
          <w:szCs w:val="26"/>
        </w:rPr>
      </w:pPr>
      <w:r w:rsidRPr="00461C16">
        <w:rPr>
          <w:b/>
          <w:noProof/>
          <w:color w:val="0000FF"/>
          <w:sz w:val="32"/>
          <w:szCs w:val="32"/>
          <w:lang w:eastAsia="cs-CZ"/>
        </w:rPr>
        <mc:AlternateContent>
          <mc:Choice Requires="wps">
            <w:drawing>
              <wp:anchor distT="0" distB="0" distL="114300" distR="114300" simplePos="0" relativeHeight="251666432" behindDoc="0" locked="0" layoutInCell="1" allowOverlap="1" wp14:anchorId="65098601" wp14:editId="3966BEB0">
                <wp:simplePos x="0" y="0"/>
                <wp:positionH relativeFrom="column">
                  <wp:posOffset>-596264</wp:posOffset>
                </wp:positionH>
                <wp:positionV relativeFrom="paragraph">
                  <wp:posOffset>161925</wp:posOffset>
                </wp:positionV>
                <wp:extent cx="6887210" cy="2362200"/>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721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918D4" w14:textId="77777777" w:rsidR="00A06EB9" w:rsidRDefault="00A06EB9" w:rsidP="00F37D0D">
                            <w:pPr>
                              <w:spacing w:line="240" w:lineRule="auto"/>
                              <w:jc w:val="right"/>
                              <w:rPr>
                                <w:rFonts w:eastAsia="Times New Roman" w:cs="Helvetica"/>
                                <w:b/>
                                <w:color w:val="92D050"/>
                                <w:spacing w:val="120"/>
                                <w:sz w:val="40"/>
                                <w:szCs w:val="40"/>
                              </w:rPr>
                            </w:pPr>
                          </w:p>
                          <w:p w14:paraId="0C9A6BD7" w14:textId="77777777" w:rsidR="00A06EB9" w:rsidRPr="005B3545" w:rsidRDefault="00A06EB9" w:rsidP="00F37D0D">
                            <w:pPr>
                              <w:spacing w:line="240" w:lineRule="auto"/>
                              <w:jc w:val="right"/>
                              <w:rPr>
                                <w:rFonts w:eastAsia="Times New Roman" w:cs="Helvetica"/>
                                <w:b/>
                                <w:color w:val="92D050"/>
                                <w:spacing w:val="120"/>
                                <w:sz w:val="40"/>
                                <w:szCs w:val="40"/>
                              </w:rPr>
                            </w:pPr>
                            <w:r w:rsidRPr="005B3545">
                              <w:rPr>
                                <w:rFonts w:eastAsia="Times New Roman" w:cs="Helvetica"/>
                                <w:b/>
                                <w:color w:val="92D050"/>
                                <w:spacing w:val="120"/>
                                <w:sz w:val="40"/>
                                <w:szCs w:val="40"/>
                              </w:rPr>
                              <w:t>ÚZEMNÍ PLÁN HRÁDEK NAD NISOU</w:t>
                            </w:r>
                          </w:p>
                          <w:p w14:paraId="1B27BD19" w14:textId="77777777" w:rsidR="00A06EB9" w:rsidRDefault="00A06EB9" w:rsidP="00F37D0D">
                            <w:pPr>
                              <w:pStyle w:val="NoSpacing"/>
                              <w:spacing w:after="60"/>
                              <w:ind w:right="71"/>
                              <w:jc w:val="right"/>
                              <w:rPr>
                                <w:rFonts w:ascii="Arial Narrow" w:hAnsi="Arial Narrow"/>
                                <w:caps/>
                                <w:spacing w:val="40"/>
                                <w:sz w:val="30"/>
                                <w:szCs w:val="30"/>
                              </w:rPr>
                            </w:pPr>
                          </w:p>
                          <w:p w14:paraId="5E8E1F14" w14:textId="77777777" w:rsidR="00A06EB9" w:rsidRPr="00C513F6" w:rsidRDefault="00A06EB9" w:rsidP="00F37D0D">
                            <w:pPr>
                              <w:pStyle w:val="NoSpacing"/>
                              <w:spacing w:after="60"/>
                              <w:ind w:right="71"/>
                              <w:jc w:val="right"/>
                              <w:rPr>
                                <w:rFonts w:ascii="Arial Narrow" w:hAnsi="Arial Narrow"/>
                                <w:caps/>
                                <w:spacing w:val="40"/>
                                <w:sz w:val="30"/>
                                <w:szCs w:val="30"/>
                              </w:rPr>
                            </w:pPr>
                          </w:p>
                          <w:p w14:paraId="0D4B288C" w14:textId="240672F6" w:rsidR="00A06EB9" w:rsidRPr="00A43C87" w:rsidRDefault="00A06EB9" w:rsidP="00204BC5">
                            <w:pPr>
                              <w:pStyle w:val="NoSpacing"/>
                              <w:ind w:right="71"/>
                              <w:jc w:val="right"/>
                              <w:rPr>
                                <w:rFonts w:ascii="Arial Narrow" w:hAnsi="Arial Narrow"/>
                                <w:b/>
                                <w:caps/>
                                <w:spacing w:val="40"/>
                                <w:sz w:val="30"/>
                                <w:szCs w:val="30"/>
                              </w:rPr>
                            </w:pPr>
                            <w:r w:rsidRPr="00A43C87">
                              <w:rPr>
                                <w:rFonts w:ascii="Arial Narrow" w:hAnsi="Arial Narrow"/>
                                <w:b/>
                                <w:caps/>
                                <w:spacing w:val="40"/>
                                <w:sz w:val="30"/>
                                <w:szCs w:val="30"/>
                              </w:rPr>
                              <w:t xml:space="preserve">ODŮVODNĚNÍ </w:t>
                            </w:r>
                          </w:p>
                          <w:p w14:paraId="175F3404" w14:textId="2674FD05" w:rsidR="00A06EB9" w:rsidRPr="00A43C87" w:rsidRDefault="00A06EB9" w:rsidP="00F37D0D">
                            <w:pPr>
                              <w:pStyle w:val="NoSpacing"/>
                              <w:spacing w:after="60"/>
                              <w:ind w:right="71"/>
                              <w:jc w:val="right"/>
                              <w:rPr>
                                <w:rFonts w:ascii="Arial Narrow" w:hAnsi="Arial Narrow"/>
                                <w:caps/>
                                <w:spacing w:val="40"/>
                                <w:sz w:val="30"/>
                                <w:szCs w:val="30"/>
                              </w:rPr>
                            </w:pPr>
                            <w:r w:rsidRPr="00A43C87">
                              <w:rPr>
                                <w:rFonts w:ascii="Arial Narrow" w:hAnsi="Arial Narrow"/>
                                <w:caps/>
                                <w:spacing w:val="40"/>
                                <w:sz w:val="30"/>
                                <w:szCs w:val="30"/>
                              </w:rPr>
                              <w:t>DLE §</w:t>
                            </w:r>
                            <w:r>
                              <w:rPr>
                                <w:rFonts w:ascii="Arial Narrow" w:hAnsi="Arial Narrow"/>
                                <w:caps/>
                                <w:spacing w:val="40"/>
                                <w:sz w:val="30"/>
                                <w:szCs w:val="30"/>
                              </w:rPr>
                              <w:t>§</w:t>
                            </w:r>
                            <w:r w:rsidRPr="00A43C87">
                              <w:rPr>
                                <w:rFonts w:ascii="Arial Narrow" w:hAnsi="Arial Narrow"/>
                                <w:caps/>
                                <w:spacing w:val="40"/>
                                <w:sz w:val="30"/>
                                <w:szCs w:val="30"/>
                              </w:rPr>
                              <w:t xml:space="preserve"> </w:t>
                            </w:r>
                            <w:r>
                              <w:rPr>
                                <w:rFonts w:ascii="Arial Narrow" w:hAnsi="Arial Narrow"/>
                                <w:caps/>
                                <w:spacing w:val="40"/>
                                <w:sz w:val="30"/>
                                <w:szCs w:val="30"/>
                              </w:rPr>
                              <w:t xml:space="preserve">50 - </w:t>
                            </w:r>
                            <w:r w:rsidRPr="00A43C87">
                              <w:rPr>
                                <w:rFonts w:ascii="Arial Narrow" w:hAnsi="Arial Narrow"/>
                                <w:caps/>
                                <w:spacing w:val="40"/>
                                <w:sz w:val="30"/>
                                <w:szCs w:val="30"/>
                              </w:rPr>
                              <w:t>5</w:t>
                            </w:r>
                            <w:r>
                              <w:rPr>
                                <w:rFonts w:ascii="Arial Narrow" w:hAnsi="Arial Narrow"/>
                                <w:caps/>
                                <w:spacing w:val="40"/>
                                <w:sz w:val="30"/>
                                <w:szCs w:val="30"/>
                              </w:rPr>
                              <w:t>4</w:t>
                            </w:r>
                            <w:r w:rsidRPr="00A43C87">
                              <w:rPr>
                                <w:rFonts w:ascii="Arial Narrow" w:hAnsi="Arial Narrow"/>
                                <w:caps/>
                                <w:spacing w:val="40"/>
                                <w:sz w:val="30"/>
                                <w:szCs w:val="30"/>
                              </w:rPr>
                              <w:t xml:space="preserve"> zákona č. 183/2006 S</w:t>
                            </w:r>
                            <w:r w:rsidRPr="00A43C87">
                              <w:rPr>
                                <w:rFonts w:ascii="Arial Narrow" w:hAnsi="Arial Narrow"/>
                                <w:spacing w:val="40"/>
                                <w:sz w:val="30"/>
                                <w:szCs w:val="30"/>
                              </w:rPr>
                              <w:t>b</w:t>
                            </w:r>
                            <w:r w:rsidRPr="00A43C87">
                              <w:rPr>
                                <w:rFonts w:ascii="Arial Narrow" w:hAnsi="Arial Narrow"/>
                                <w:caps/>
                                <w:spacing w:val="40"/>
                                <w:sz w:val="30"/>
                                <w:szCs w:val="30"/>
                              </w:rPr>
                              <w:t xml:space="preserve">., </w:t>
                            </w:r>
                            <w:r w:rsidRPr="00A43C87">
                              <w:rPr>
                                <w:rFonts w:ascii="Arial Narrow" w:hAnsi="Arial Narrow"/>
                                <w:caps/>
                                <w:spacing w:val="40"/>
                                <w:sz w:val="30"/>
                                <w:szCs w:val="30"/>
                              </w:rPr>
                              <w:br/>
                              <w:t xml:space="preserve">o územním plánování a stavebním řádu, </w:t>
                            </w:r>
                            <w:r w:rsidRPr="00A43C87">
                              <w:rPr>
                                <w:rFonts w:ascii="Arial Narrow" w:hAnsi="Arial Narrow"/>
                                <w:caps/>
                                <w:spacing w:val="40"/>
                                <w:sz w:val="30"/>
                                <w:szCs w:val="30"/>
                              </w:rPr>
                              <w:br/>
                              <w:t>v platném znění</w:t>
                            </w:r>
                          </w:p>
                          <w:p w14:paraId="3A5B36EC" w14:textId="77777777" w:rsidR="00A06EB9" w:rsidRPr="00DE5748" w:rsidRDefault="00A06EB9" w:rsidP="00F37D0D">
                            <w:pPr>
                              <w:jc w:val="right"/>
                              <w:rPr>
                                <w:rFonts w:cs="Helvetica"/>
                                <w:color w:val="404040"/>
                                <w:spacing w:val="120"/>
                                <w:sz w:val="30"/>
                                <w:szCs w:val="3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46.95pt;margin-top:12.75pt;width:542.3pt;height:18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" filled="f" stroked="f">
                <v:textbox>
                  <w:txbxContent>
                    <w:p w14:paraId="7DD918D4" w14:textId="77777777" w:rsidR="00A06EB9" w:rsidRDefault="00A06EB9" w:rsidP="00F37D0D">
                      <w:pPr>
                        <w:spacing w:line="240" w:lineRule="auto"/>
                        <w:jc w:val="right"/>
                        <w:rPr>
                          <w:rFonts w:eastAsia="Times New Roman" w:cs="Helvetica"/>
                          <w:b/>
                          <w:color w:val="92D050"/>
                          <w:spacing w:val="120"/>
                          <w:sz w:val="40"/>
                          <w:szCs w:val="40"/>
                        </w:rPr>
                      </w:pPr>
                    </w:p>
                    <w:p w14:paraId="0C9A6BD7" w14:textId="77777777" w:rsidR="00A06EB9" w:rsidRPr="005B3545" w:rsidRDefault="00A06EB9" w:rsidP="00F37D0D">
                      <w:pPr>
                        <w:spacing w:line="240" w:lineRule="auto"/>
                        <w:jc w:val="right"/>
                        <w:rPr>
                          <w:rFonts w:eastAsia="Times New Roman" w:cs="Helvetica"/>
                          <w:b/>
                          <w:color w:val="92D050"/>
                          <w:spacing w:val="120"/>
                          <w:sz w:val="40"/>
                          <w:szCs w:val="40"/>
                        </w:rPr>
                      </w:pPr>
                      <w:r w:rsidRPr="005B3545">
                        <w:rPr>
                          <w:rFonts w:eastAsia="Times New Roman" w:cs="Helvetica"/>
                          <w:b/>
                          <w:color w:val="92D050"/>
                          <w:spacing w:val="120"/>
                          <w:sz w:val="40"/>
                          <w:szCs w:val="40"/>
                        </w:rPr>
                        <w:t>ÚZEMNÍ PLÁN HRÁDEK NAD NISOU</w:t>
                      </w:r>
                    </w:p>
                    <w:p w14:paraId="1B27BD19" w14:textId="77777777" w:rsidR="00A06EB9" w:rsidRDefault="00A06EB9" w:rsidP="00F37D0D">
                      <w:pPr>
                        <w:pStyle w:val="NoSpacing"/>
                        <w:spacing w:after="60"/>
                        <w:ind w:right="71"/>
                        <w:jc w:val="right"/>
                        <w:rPr>
                          <w:rFonts w:ascii="Arial Narrow" w:hAnsi="Arial Narrow"/>
                          <w:caps/>
                          <w:spacing w:val="40"/>
                          <w:sz w:val="30"/>
                          <w:szCs w:val="30"/>
                        </w:rPr>
                      </w:pPr>
                    </w:p>
                    <w:p w14:paraId="5E8E1F14" w14:textId="77777777" w:rsidR="00A06EB9" w:rsidRPr="00C513F6" w:rsidRDefault="00A06EB9" w:rsidP="00F37D0D">
                      <w:pPr>
                        <w:pStyle w:val="NoSpacing"/>
                        <w:spacing w:after="60"/>
                        <w:ind w:right="71"/>
                        <w:jc w:val="right"/>
                        <w:rPr>
                          <w:rFonts w:ascii="Arial Narrow" w:hAnsi="Arial Narrow"/>
                          <w:caps/>
                          <w:spacing w:val="40"/>
                          <w:sz w:val="30"/>
                          <w:szCs w:val="30"/>
                        </w:rPr>
                      </w:pPr>
                    </w:p>
                    <w:p w14:paraId="0D4B288C" w14:textId="240672F6" w:rsidR="00A06EB9" w:rsidRPr="00A43C87" w:rsidRDefault="00A06EB9" w:rsidP="00204BC5">
                      <w:pPr>
                        <w:pStyle w:val="NoSpacing"/>
                        <w:ind w:right="71"/>
                        <w:jc w:val="right"/>
                        <w:rPr>
                          <w:rFonts w:ascii="Arial Narrow" w:hAnsi="Arial Narrow"/>
                          <w:b/>
                          <w:caps/>
                          <w:spacing w:val="40"/>
                          <w:sz w:val="30"/>
                          <w:szCs w:val="30"/>
                        </w:rPr>
                      </w:pPr>
                      <w:r w:rsidRPr="00A43C87">
                        <w:rPr>
                          <w:rFonts w:ascii="Arial Narrow" w:hAnsi="Arial Narrow"/>
                          <w:b/>
                          <w:caps/>
                          <w:spacing w:val="40"/>
                          <w:sz w:val="30"/>
                          <w:szCs w:val="30"/>
                        </w:rPr>
                        <w:t xml:space="preserve">ODŮVODNĚNÍ </w:t>
                      </w:r>
                    </w:p>
                    <w:p w14:paraId="175F3404" w14:textId="2674FD05" w:rsidR="00A06EB9" w:rsidRPr="00A43C87" w:rsidRDefault="00A06EB9" w:rsidP="00F37D0D">
                      <w:pPr>
                        <w:pStyle w:val="NoSpacing"/>
                        <w:spacing w:after="60"/>
                        <w:ind w:right="71"/>
                        <w:jc w:val="right"/>
                        <w:rPr>
                          <w:rFonts w:ascii="Arial Narrow" w:hAnsi="Arial Narrow"/>
                          <w:caps/>
                          <w:spacing w:val="40"/>
                          <w:sz w:val="30"/>
                          <w:szCs w:val="30"/>
                        </w:rPr>
                      </w:pPr>
                      <w:r w:rsidRPr="00A43C87">
                        <w:rPr>
                          <w:rFonts w:ascii="Arial Narrow" w:hAnsi="Arial Narrow"/>
                          <w:caps/>
                          <w:spacing w:val="40"/>
                          <w:sz w:val="30"/>
                          <w:szCs w:val="30"/>
                        </w:rPr>
                        <w:t>DLE §</w:t>
                      </w:r>
                      <w:r>
                        <w:rPr>
                          <w:rFonts w:ascii="Arial Narrow" w:hAnsi="Arial Narrow"/>
                          <w:caps/>
                          <w:spacing w:val="40"/>
                          <w:sz w:val="30"/>
                          <w:szCs w:val="30"/>
                        </w:rPr>
                        <w:t>§</w:t>
                      </w:r>
                      <w:r w:rsidRPr="00A43C87">
                        <w:rPr>
                          <w:rFonts w:ascii="Arial Narrow" w:hAnsi="Arial Narrow"/>
                          <w:caps/>
                          <w:spacing w:val="40"/>
                          <w:sz w:val="30"/>
                          <w:szCs w:val="30"/>
                        </w:rPr>
                        <w:t xml:space="preserve"> </w:t>
                      </w:r>
                      <w:r>
                        <w:rPr>
                          <w:rFonts w:ascii="Arial Narrow" w:hAnsi="Arial Narrow"/>
                          <w:caps/>
                          <w:spacing w:val="40"/>
                          <w:sz w:val="30"/>
                          <w:szCs w:val="30"/>
                        </w:rPr>
                        <w:t xml:space="preserve">50 - </w:t>
                      </w:r>
                      <w:r w:rsidRPr="00A43C87">
                        <w:rPr>
                          <w:rFonts w:ascii="Arial Narrow" w:hAnsi="Arial Narrow"/>
                          <w:caps/>
                          <w:spacing w:val="40"/>
                          <w:sz w:val="30"/>
                          <w:szCs w:val="30"/>
                        </w:rPr>
                        <w:t>5</w:t>
                      </w:r>
                      <w:r>
                        <w:rPr>
                          <w:rFonts w:ascii="Arial Narrow" w:hAnsi="Arial Narrow"/>
                          <w:caps/>
                          <w:spacing w:val="40"/>
                          <w:sz w:val="30"/>
                          <w:szCs w:val="30"/>
                        </w:rPr>
                        <w:t>4</w:t>
                      </w:r>
                      <w:r w:rsidRPr="00A43C87">
                        <w:rPr>
                          <w:rFonts w:ascii="Arial Narrow" w:hAnsi="Arial Narrow"/>
                          <w:caps/>
                          <w:spacing w:val="40"/>
                          <w:sz w:val="30"/>
                          <w:szCs w:val="30"/>
                        </w:rPr>
                        <w:t xml:space="preserve"> zákona č. 183/2006 S</w:t>
                      </w:r>
                      <w:r w:rsidRPr="00A43C87">
                        <w:rPr>
                          <w:rFonts w:ascii="Arial Narrow" w:hAnsi="Arial Narrow"/>
                          <w:spacing w:val="40"/>
                          <w:sz w:val="30"/>
                          <w:szCs w:val="30"/>
                        </w:rPr>
                        <w:t>b</w:t>
                      </w:r>
                      <w:r w:rsidRPr="00A43C87">
                        <w:rPr>
                          <w:rFonts w:ascii="Arial Narrow" w:hAnsi="Arial Narrow"/>
                          <w:caps/>
                          <w:spacing w:val="40"/>
                          <w:sz w:val="30"/>
                          <w:szCs w:val="30"/>
                        </w:rPr>
                        <w:t xml:space="preserve">., </w:t>
                      </w:r>
                      <w:r w:rsidRPr="00A43C87">
                        <w:rPr>
                          <w:rFonts w:ascii="Arial Narrow" w:hAnsi="Arial Narrow"/>
                          <w:caps/>
                          <w:spacing w:val="40"/>
                          <w:sz w:val="30"/>
                          <w:szCs w:val="30"/>
                        </w:rPr>
                        <w:br/>
                        <w:t xml:space="preserve">o územním plánování a stavebním řádu, </w:t>
                      </w:r>
                      <w:r w:rsidRPr="00A43C87">
                        <w:rPr>
                          <w:rFonts w:ascii="Arial Narrow" w:hAnsi="Arial Narrow"/>
                          <w:caps/>
                          <w:spacing w:val="40"/>
                          <w:sz w:val="30"/>
                          <w:szCs w:val="30"/>
                        </w:rPr>
                        <w:br/>
                        <w:t>v platném znění</w:t>
                      </w:r>
                    </w:p>
                    <w:p w14:paraId="3A5B36EC" w14:textId="77777777" w:rsidR="00A06EB9" w:rsidRPr="00DE5748" w:rsidRDefault="00A06EB9" w:rsidP="00F37D0D">
                      <w:pPr>
                        <w:jc w:val="right"/>
                        <w:rPr>
                          <w:rFonts w:cs="Helvetica"/>
                          <w:color w:val="404040"/>
                          <w:spacing w:val="120"/>
                          <w:sz w:val="30"/>
                          <w:szCs w:val="30"/>
                        </w:rPr>
                      </w:pPr>
                    </w:p>
                  </w:txbxContent>
                </v:textbox>
              </v:shape>
            </w:pict>
          </mc:Fallback>
        </mc:AlternateContent>
      </w:r>
    </w:p>
    <w:p w14:paraId="53A2203D" w14:textId="77777777" w:rsidR="00F37D0D" w:rsidRPr="00461C16" w:rsidRDefault="00F37D0D" w:rsidP="00F37D0D">
      <w:pPr>
        <w:spacing w:after="60"/>
        <w:ind w:right="-676"/>
        <w:jc w:val="right"/>
        <w:rPr>
          <w:color w:val="595959"/>
          <w:sz w:val="26"/>
          <w:szCs w:val="26"/>
        </w:rPr>
      </w:pPr>
    </w:p>
    <w:p w14:paraId="0DBBA5CC" w14:textId="77777777" w:rsidR="00F37D0D" w:rsidRPr="00461C16" w:rsidRDefault="00F37D0D" w:rsidP="00F37D0D">
      <w:pPr>
        <w:spacing w:after="60"/>
        <w:ind w:right="-676"/>
        <w:jc w:val="right"/>
        <w:rPr>
          <w:color w:val="0066CC"/>
          <w:sz w:val="26"/>
          <w:szCs w:val="26"/>
        </w:rPr>
      </w:pPr>
    </w:p>
    <w:p w14:paraId="72D42A38" w14:textId="77777777" w:rsidR="00F37D0D" w:rsidRPr="00461C16" w:rsidRDefault="00F37D0D" w:rsidP="00F37D0D">
      <w:pPr>
        <w:spacing w:after="60"/>
        <w:ind w:right="22"/>
        <w:jc w:val="right"/>
      </w:pPr>
    </w:p>
    <w:p w14:paraId="50649F81" w14:textId="77777777" w:rsidR="00F37D0D" w:rsidRPr="00461C16" w:rsidRDefault="00F37D0D" w:rsidP="00F37D0D">
      <w:pPr>
        <w:spacing w:after="60"/>
        <w:ind w:right="22"/>
        <w:jc w:val="right"/>
        <w:rPr>
          <w:color w:val="0066CC"/>
          <w:sz w:val="26"/>
          <w:szCs w:val="26"/>
        </w:rPr>
      </w:pPr>
    </w:p>
    <w:p w14:paraId="3F47E6C3" w14:textId="77777777" w:rsidR="00F37D0D" w:rsidRPr="00461C16" w:rsidRDefault="00F37D0D" w:rsidP="00F37D0D">
      <w:pPr>
        <w:spacing w:after="60"/>
        <w:ind w:right="22"/>
        <w:jc w:val="right"/>
        <w:rPr>
          <w:color w:val="0066CC"/>
          <w:sz w:val="26"/>
          <w:szCs w:val="26"/>
        </w:rPr>
      </w:pPr>
    </w:p>
    <w:p w14:paraId="446CAAF2" w14:textId="77777777" w:rsidR="00F37D0D" w:rsidRPr="00461C16" w:rsidRDefault="00F37D0D" w:rsidP="00F37D0D">
      <w:pPr>
        <w:spacing w:after="60"/>
        <w:ind w:right="22"/>
        <w:jc w:val="right"/>
        <w:rPr>
          <w:color w:val="0066CC"/>
          <w:sz w:val="26"/>
          <w:szCs w:val="26"/>
        </w:rPr>
      </w:pPr>
    </w:p>
    <w:p w14:paraId="17E6D32B" w14:textId="77777777" w:rsidR="00F37D0D" w:rsidRPr="00461C16" w:rsidRDefault="00F37D0D" w:rsidP="00F37D0D">
      <w:pPr>
        <w:spacing w:after="60"/>
        <w:ind w:right="22"/>
        <w:jc w:val="right"/>
        <w:rPr>
          <w:color w:val="0066CC"/>
          <w:sz w:val="26"/>
          <w:szCs w:val="26"/>
        </w:rPr>
      </w:pPr>
    </w:p>
    <w:p w14:paraId="0D3FD684" w14:textId="77777777" w:rsidR="00F37D0D" w:rsidRPr="00461C16" w:rsidRDefault="00F37D0D" w:rsidP="00F37D0D">
      <w:pPr>
        <w:ind w:right="23"/>
        <w:jc w:val="right"/>
        <w:rPr>
          <w:color w:val="006699"/>
          <w:sz w:val="26"/>
          <w:szCs w:val="26"/>
        </w:rPr>
      </w:pPr>
    </w:p>
    <w:p w14:paraId="65153AC7" w14:textId="77777777" w:rsidR="00F37D0D" w:rsidRPr="00461C16" w:rsidRDefault="00F37D0D" w:rsidP="00F37D0D">
      <w:pPr>
        <w:ind w:right="23"/>
        <w:jc w:val="right"/>
        <w:rPr>
          <w:color w:val="006699"/>
          <w:sz w:val="26"/>
          <w:szCs w:val="26"/>
        </w:rPr>
      </w:pPr>
    </w:p>
    <w:p w14:paraId="7A7CC04D" w14:textId="77777777" w:rsidR="00F37D0D" w:rsidRPr="00461C16" w:rsidRDefault="00F37D0D" w:rsidP="00F37D0D">
      <w:pPr>
        <w:ind w:right="23"/>
        <w:jc w:val="right"/>
        <w:rPr>
          <w:color w:val="006699"/>
          <w:sz w:val="26"/>
          <w:szCs w:val="26"/>
        </w:rPr>
      </w:pPr>
    </w:p>
    <w:p w14:paraId="1EEA4C46" w14:textId="77777777" w:rsidR="00F37D0D" w:rsidRPr="00461C16" w:rsidRDefault="00F37D0D" w:rsidP="00F37D0D">
      <w:pPr>
        <w:ind w:right="23"/>
        <w:jc w:val="right"/>
        <w:rPr>
          <w:color w:val="006699"/>
          <w:sz w:val="26"/>
          <w:szCs w:val="26"/>
        </w:rPr>
      </w:pPr>
    </w:p>
    <w:p w14:paraId="1D7CEE7A" w14:textId="77777777" w:rsidR="00F37D0D" w:rsidRPr="00461C16" w:rsidRDefault="00F37D0D" w:rsidP="00F37D0D">
      <w:pPr>
        <w:ind w:right="23"/>
        <w:jc w:val="right"/>
        <w:rPr>
          <w:color w:val="006699"/>
          <w:sz w:val="26"/>
          <w:szCs w:val="26"/>
        </w:rPr>
      </w:pPr>
    </w:p>
    <w:p w14:paraId="5CD57803" w14:textId="77777777" w:rsidR="00F37D0D" w:rsidRPr="00461C16" w:rsidRDefault="00F37D0D" w:rsidP="00F37D0D">
      <w:pPr>
        <w:ind w:right="23"/>
        <w:jc w:val="right"/>
        <w:rPr>
          <w:color w:val="006699"/>
          <w:sz w:val="26"/>
          <w:szCs w:val="26"/>
        </w:rPr>
      </w:pPr>
    </w:p>
    <w:p w14:paraId="046A060D" w14:textId="77777777" w:rsidR="00F37D0D" w:rsidRPr="00461C16" w:rsidRDefault="00F37D0D" w:rsidP="00F37D0D">
      <w:pPr>
        <w:ind w:right="23"/>
        <w:jc w:val="right"/>
        <w:rPr>
          <w:color w:val="006699"/>
          <w:sz w:val="26"/>
          <w:szCs w:val="26"/>
        </w:rPr>
      </w:pPr>
    </w:p>
    <w:p w14:paraId="7276D6F8" w14:textId="77777777" w:rsidR="00F37D0D" w:rsidRPr="00461C16" w:rsidRDefault="00F37D0D" w:rsidP="00F37D0D">
      <w:pPr>
        <w:ind w:right="23"/>
        <w:jc w:val="right"/>
        <w:rPr>
          <w:color w:val="006699"/>
          <w:sz w:val="26"/>
          <w:szCs w:val="26"/>
        </w:rPr>
      </w:pPr>
    </w:p>
    <w:p w14:paraId="5421D56A" w14:textId="77777777" w:rsidR="00F37D0D" w:rsidRPr="00461C16" w:rsidRDefault="00204BC5" w:rsidP="00204BC5">
      <w:pPr>
        <w:tabs>
          <w:tab w:val="left" w:pos="7619"/>
        </w:tabs>
        <w:ind w:right="23"/>
        <w:rPr>
          <w:color w:val="006699"/>
          <w:sz w:val="26"/>
          <w:szCs w:val="26"/>
        </w:rPr>
      </w:pPr>
      <w:r>
        <w:rPr>
          <w:color w:val="006699"/>
          <w:sz w:val="26"/>
          <w:szCs w:val="26"/>
        </w:rPr>
        <w:tab/>
      </w:r>
    </w:p>
    <w:p w14:paraId="31051DF3" w14:textId="77777777" w:rsidR="00F37D0D" w:rsidRPr="00461C16" w:rsidRDefault="00F37D0D" w:rsidP="00F37D0D">
      <w:pPr>
        <w:ind w:right="23"/>
        <w:jc w:val="right"/>
        <w:rPr>
          <w:color w:val="006699"/>
          <w:sz w:val="26"/>
          <w:szCs w:val="26"/>
        </w:rPr>
      </w:pPr>
    </w:p>
    <w:p w14:paraId="2C5AAFF9" w14:textId="77777777" w:rsidR="00F37D0D" w:rsidRPr="00461C16" w:rsidRDefault="00F37D0D" w:rsidP="00F37D0D">
      <w:pPr>
        <w:ind w:right="23"/>
        <w:jc w:val="right"/>
        <w:rPr>
          <w:color w:val="006699"/>
          <w:sz w:val="26"/>
          <w:szCs w:val="26"/>
        </w:rPr>
      </w:pPr>
    </w:p>
    <w:p w14:paraId="2E1D9BE1" w14:textId="77777777" w:rsidR="00F37D0D" w:rsidRPr="00461C16" w:rsidRDefault="00F37D0D" w:rsidP="00F37D0D">
      <w:pPr>
        <w:spacing w:line="288" w:lineRule="auto"/>
        <w:ind w:right="23"/>
        <w:jc w:val="right"/>
        <w:rPr>
          <w:color w:val="006699"/>
          <w:sz w:val="26"/>
          <w:szCs w:val="26"/>
        </w:rPr>
      </w:pPr>
      <w:r w:rsidRPr="00461C16">
        <w:rPr>
          <w:color w:val="006699"/>
          <w:sz w:val="26"/>
          <w:szCs w:val="26"/>
        </w:rPr>
        <w:t>HaskoningDHV Czech Republic, spol. s r.o.</w:t>
      </w:r>
    </w:p>
    <w:p w14:paraId="40F1D7F6" w14:textId="77777777" w:rsidR="00F37D0D" w:rsidRPr="00461C16" w:rsidRDefault="00F37D0D" w:rsidP="00F37D0D">
      <w:pPr>
        <w:spacing w:line="288" w:lineRule="auto"/>
        <w:ind w:right="22"/>
        <w:jc w:val="right"/>
        <w:rPr>
          <w:color w:val="333333"/>
          <w:sz w:val="24"/>
          <w:szCs w:val="24"/>
        </w:rPr>
      </w:pPr>
      <w:r w:rsidRPr="00461C16">
        <w:rPr>
          <w:color w:val="333333"/>
          <w:sz w:val="24"/>
          <w:szCs w:val="24"/>
        </w:rPr>
        <w:t>Sokolovská 100/94, 186 00 Praha 8</w:t>
      </w:r>
    </w:p>
    <w:p w14:paraId="18F6CE50" w14:textId="77777777" w:rsidR="00F37D0D" w:rsidRPr="00461C16" w:rsidRDefault="00F37D0D" w:rsidP="00F37D0D">
      <w:pPr>
        <w:ind w:right="22"/>
        <w:jc w:val="right"/>
        <w:rPr>
          <w:color w:val="333333"/>
          <w:sz w:val="24"/>
          <w:szCs w:val="24"/>
        </w:rPr>
      </w:pPr>
    </w:p>
    <w:p w14:paraId="4F5593A6" w14:textId="30D6F42A" w:rsidR="00F37D0D" w:rsidRPr="00461C16" w:rsidRDefault="00F51897" w:rsidP="00F37D0D">
      <w:pPr>
        <w:ind w:right="22"/>
        <w:jc w:val="right"/>
        <w:rPr>
          <w:color w:val="333333"/>
          <w:sz w:val="24"/>
          <w:szCs w:val="24"/>
        </w:rPr>
        <w:sectPr w:rsidR="00F37D0D" w:rsidRPr="00461C16" w:rsidSect="007F18DA">
          <w:headerReference w:type="even" r:id="rId10"/>
          <w:footerReference w:type="even" r:id="rId11"/>
          <w:pgSz w:w="11907" w:h="16840" w:code="9"/>
          <w:pgMar w:top="1418" w:right="1134" w:bottom="1418" w:left="1134" w:header="709" w:footer="709" w:gutter="0"/>
          <w:cols w:space="708"/>
          <w:titlePg/>
          <w:docGrid w:linePitch="360"/>
        </w:sectPr>
      </w:pPr>
      <w:r>
        <w:rPr>
          <w:color w:val="333333"/>
          <w:sz w:val="24"/>
          <w:szCs w:val="24"/>
        </w:rPr>
        <w:t>BŘEZEN</w:t>
      </w:r>
      <w:r w:rsidR="00195EE2" w:rsidRPr="00D60CB0">
        <w:rPr>
          <w:color w:val="333333"/>
          <w:sz w:val="24"/>
          <w:szCs w:val="24"/>
        </w:rPr>
        <w:t xml:space="preserve"> </w:t>
      </w:r>
      <w:r w:rsidR="00AE1A74" w:rsidRPr="00D60CB0">
        <w:rPr>
          <w:color w:val="333333"/>
          <w:sz w:val="24"/>
          <w:szCs w:val="24"/>
        </w:rPr>
        <w:t>20</w:t>
      </w:r>
      <w:r w:rsidR="00AE1A74">
        <w:rPr>
          <w:color w:val="333333"/>
          <w:sz w:val="24"/>
          <w:szCs w:val="24"/>
        </w:rPr>
        <w:t>20</w:t>
      </w:r>
    </w:p>
    <w:p w14:paraId="210E372D" w14:textId="77777777" w:rsidR="007A0C82" w:rsidRPr="00461C16" w:rsidRDefault="007A0C82" w:rsidP="007F050A">
      <w:pPr>
        <w:pStyle w:val="1text"/>
      </w:pPr>
    </w:p>
    <w:p w14:paraId="39677418" w14:textId="77777777" w:rsidR="00C559E3" w:rsidRPr="00461C16" w:rsidRDefault="00C559E3" w:rsidP="007F050A">
      <w:pPr>
        <w:pStyle w:val="1text"/>
      </w:pPr>
    </w:p>
    <w:p w14:paraId="50DD7FC7" w14:textId="77777777" w:rsidR="007A0C82" w:rsidRPr="00461C16" w:rsidRDefault="007A0C82" w:rsidP="007F050A">
      <w:pPr>
        <w:pStyle w:val="1text"/>
      </w:pPr>
    </w:p>
    <w:p w14:paraId="5C7BE4EF" w14:textId="77777777" w:rsidR="00F37D0D" w:rsidRPr="00461C16" w:rsidRDefault="00F37D0D" w:rsidP="00F37D0D">
      <w:pPr>
        <w:ind w:left="5580"/>
        <w:jc w:val="left"/>
        <w:rPr>
          <w:rStyle w:val="Hyperlink"/>
          <w:rFonts w:eastAsia="Times New Roman" w:cs="Tahoma"/>
          <w:color w:val="FFFFFF"/>
          <w:sz w:val="36"/>
          <w:szCs w:val="36"/>
        </w:rPr>
      </w:pPr>
      <w:bookmarkStart w:id="0" w:name="OLE_LINK5"/>
      <w:bookmarkStart w:id="1" w:name="OLE_LINK6"/>
    </w:p>
    <w:p w14:paraId="180A9764" w14:textId="77777777" w:rsidR="00F37D0D" w:rsidRPr="00461C16" w:rsidRDefault="00F37D0D" w:rsidP="00F37D0D">
      <w:pPr>
        <w:ind w:left="5580"/>
        <w:jc w:val="left"/>
        <w:rPr>
          <w:rStyle w:val="Hyperlink"/>
          <w:rFonts w:eastAsia="Times New Roman" w:cs="Tahoma"/>
          <w:color w:val="FFFFFF"/>
          <w:sz w:val="36"/>
          <w:szCs w:val="36"/>
        </w:rPr>
      </w:pPr>
    </w:p>
    <w:p w14:paraId="695EA6C0" w14:textId="77777777" w:rsidR="00F37D0D" w:rsidRPr="00461C16" w:rsidRDefault="00F37D0D" w:rsidP="00F37D0D">
      <w:pPr>
        <w:ind w:left="5580"/>
        <w:jc w:val="left"/>
        <w:rPr>
          <w:rStyle w:val="Hyperlink"/>
          <w:rFonts w:eastAsia="Times New Roman" w:cs="Tahoma"/>
          <w:color w:val="FFFFFF"/>
          <w:sz w:val="36"/>
          <w:szCs w:val="36"/>
        </w:rPr>
      </w:pPr>
    </w:p>
    <w:bookmarkEnd w:id="0"/>
    <w:bookmarkEnd w:id="1"/>
    <w:p w14:paraId="6F300244" w14:textId="77777777" w:rsidR="0061008A" w:rsidRPr="00461C16" w:rsidRDefault="0061008A" w:rsidP="007F050A">
      <w:pPr>
        <w:pStyle w:val="1text"/>
      </w:pPr>
    </w:p>
    <w:p w14:paraId="1FD3E7D6" w14:textId="77777777" w:rsidR="00F3079D" w:rsidRPr="00461C16" w:rsidRDefault="00F3079D" w:rsidP="007F050A">
      <w:pPr>
        <w:spacing w:line="240" w:lineRule="auto"/>
        <w:ind w:right="22"/>
        <w:jc w:val="right"/>
        <w:rPr>
          <w:color w:val="FF0000"/>
          <w:sz w:val="24"/>
          <w:szCs w:val="24"/>
        </w:rPr>
      </w:pPr>
    </w:p>
    <w:p w14:paraId="1F71BD68" w14:textId="77777777" w:rsidR="00F37D0D" w:rsidRPr="00461C16" w:rsidRDefault="00F37D0D">
      <w:pPr>
        <w:spacing w:line="240" w:lineRule="auto"/>
        <w:jc w:val="left"/>
        <w:rPr>
          <w:b/>
          <w:color w:val="FF0000"/>
          <w:spacing w:val="40"/>
          <w:sz w:val="56"/>
          <w:szCs w:val="56"/>
        </w:rPr>
      </w:pPr>
      <w:r w:rsidRPr="00461C16">
        <w:rPr>
          <w:b/>
          <w:color w:val="FF0000"/>
          <w:spacing w:val="40"/>
          <w:sz w:val="56"/>
          <w:szCs w:val="56"/>
        </w:rPr>
        <w:br w:type="page"/>
      </w:r>
    </w:p>
    <w:p w14:paraId="57620D99" w14:textId="413C1412" w:rsidR="00E107CB" w:rsidRDefault="00E107CB" w:rsidP="00F440F6">
      <w:pPr>
        <w:spacing w:line="240" w:lineRule="auto"/>
        <w:jc w:val="left"/>
        <w:rPr>
          <w:sz w:val="28"/>
        </w:rPr>
      </w:pPr>
      <w:r>
        <w:rPr>
          <w:color w:val="FF0000"/>
          <w:sz w:val="28"/>
        </w:rPr>
        <w:lastRenderedPageBreak/>
        <w:t xml:space="preserve"> </w:t>
      </w:r>
    </w:p>
    <w:tbl>
      <w:tblPr>
        <w:tblStyle w:val="TableGrid"/>
        <w:tblpPr w:leftFromText="142" w:rightFromText="142" w:horzAnchor="margin" w:tblpXSpec="center" w:tblpYSpec="bottom"/>
        <w:tblW w:w="5000" w:type="pct"/>
        <w:tblLook w:val="04A0" w:firstRow="1" w:lastRow="0" w:firstColumn="1" w:lastColumn="0" w:noHBand="0" w:noVBand="1"/>
      </w:tblPr>
      <w:tblGrid>
        <w:gridCol w:w="3358"/>
        <w:gridCol w:w="5930"/>
      </w:tblGrid>
      <w:tr w:rsidR="00E107CB" w14:paraId="7B9FC55B" w14:textId="77777777" w:rsidTr="00E107CB">
        <w:tc>
          <w:tcPr>
            <w:tcW w:w="9288" w:type="dxa"/>
            <w:gridSpan w:val="2"/>
            <w:tcBorders>
              <w:top w:val="single" w:sz="4" w:space="0" w:color="auto"/>
              <w:left w:val="single" w:sz="4" w:space="0" w:color="auto"/>
              <w:bottom w:val="single" w:sz="4" w:space="0" w:color="auto"/>
              <w:right w:val="single" w:sz="4" w:space="0" w:color="auto"/>
            </w:tcBorders>
            <w:vAlign w:val="center"/>
            <w:hideMark/>
          </w:tcPr>
          <w:p w14:paraId="67B09061" w14:textId="77777777" w:rsidR="00E107CB" w:rsidRDefault="00E107CB">
            <w:pPr>
              <w:spacing w:before="40" w:after="40" w:line="240" w:lineRule="auto"/>
              <w:ind w:left="34" w:right="176"/>
              <w:jc w:val="left"/>
              <w:rPr>
                <w:rFonts w:cs="Arial"/>
                <w:b/>
                <w:spacing w:val="20"/>
                <w:sz w:val="32"/>
                <w:szCs w:val="32"/>
              </w:rPr>
            </w:pPr>
            <w:r>
              <w:rPr>
                <w:rFonts w:cs="Arial"/>
                <w:b/>
                <w:spacing w:val="20"/>
                <w:sz w:val="32"/>
                <w:szCs w:val="32"/>
              </w:rPr>
              <w:t>ZÁZNAM O ÚČINNOSTI</w:t>
            </w:r>
          </w:p>
        </w:tc>
      </w:tr>
      <w:tr w:rsidR="00E107CB" w14:paraId="6876D90C" w14:textId="77777777" w:rsidTr="00E107CB">
        <w:tc>
          <w:tcPr>
            <w:tcW w:w="9288" w:type="dxa"/>
            <w:gridSpan w:val="2"/>
            <w:tcBorders>
              <w:top w:val="single" w:sz="4" w:space="0" w:color="auto"/>
              <w:left w:val="single" w:sz="4" w:space="0" w:color="auto"/>
              <w:bottom w:val="nil"/>
              <w:right w:val="single" w:sz="4" w:space="0" w:color="auto"/>
            </w:tcBorders>
            <w:vAlign w:val="center"/>
            <w:hideMark/>
          </w:tcPr>
          <w:p w14:paraId="3B633862" w14:textId="77777777" w:rsidR="00E107CB" w:rsidRDefault="00E107CB">
            <w:pPr>
              <w:spacing w:before="40" w:after="40" w:line="240" w:lineRule="auto"/>
              <w:ind w:left="33" w:right="175"/>
              <w:jc w:val="left"/>
              <w:rPr>
                <w:rFonts w:cs="Arial"/>
                <w:sz w:val="18"/>
                <w:szCs w:val="18"/>
              </w:rPr>
            </w:pPr>
            <w:r>
              <w:rPr>
                <w:rFonts w:cs="Arial"/>
                <w:sz w:val="18"/>
                <w:szCs w:val="18"/>
              </w:rPr>
              <w:t>OZNAČENÍ SPRÁVNÍHO ORGÁNU, KTERÝ ÚZEMNÍ PLÁN VYDAL</w:t>
            </w:r>
          </w:p>
        </w:tc>
      </w:tr>
      <w:tr w:rsidR="00E107CB" w14:paraId="491CA7D8" w14:textId="77777777" w:rsidTr="00E107CB">
        <w:tc>
          <w:tcPr>
            <w:tcW w:w="9288" w:type="dxa"/>
            <w:gridSpan w:val="2"/>
            <w:tcBorders>
              <w:top w:val="nil"/>
              <w:left w:val="single" w:sz="4" w:space="0" w:color="auto"/>
              <w:bottom w:val="single" w:sz="4" w:space="0" w:color="auto"/>
              <w:right w:val="single" w:sz="4" w:space="0" w:color="auto"/>
            </w:tcBorders>
            <w:vAlign w:val="center"/>
            <w:hideMark/>
          </w:tcPr>
          <w:p w14:paraId="32718C35" w14:textId="77777777" w:rsidR="00E107CB" w:rsidRDefault="00E107CB">
            <w:pPr>
              <w:spacing w:before="40" w:after="40" w:line="240" w:lineRule="auto"/>
              <w:ind w:left="34" w:right="176"/>
              <w:jc w:val="left"/>
              <w:rPr>
                <w:rFonts w:cs="Arial"/>
                <w:b/>
                <w:sz w:val="24"/>
                <w:szCs w:val="24"/>
              </w:rPr>
            </w:pPr>
            <w:r>
              <w:rPr>
                <w:rFonts w:cs="Arial"/>
                <w:b/>
                <w:sz w:val="24"/>
                <w:szCs w:val="24"/>
              </w:rPr>
              <w:t>Zastupitelstvo města Hrádek nad Nisou</w:t>
            </w:r>
          </w:p>
        </w:tc>
      </w:tr>
      <w:tr w:rsidR="00E107CB" w14:paraId="565899A0" w14:textId="77777777" w:rsidTr="00E107CB">
        <w:tc>
          <w:tcPr>
            <w:tcW w:w="9288" w:type="dxa"/>
            <w:gridSpan w:val="2"/>
            <w:tcBorders>
              <w:top w:val="single" w:sz="4" w:space="0" w:color="auto"/>
              <w:left w:val="single" w:sz="4" w:space="0" w:color="auto"/>
              <w:bottom w:val="nil"/>
              <w:right w:val="single" w:sz="4" w:space="0" w:color="auto"/>
            </w:tcBorders>
            <w:vAlign w:val="center"/>
            <w:hideMark/>
          </w:tcPr>
          <w:p w14:paraId="6B5FD418" w14:textId="77777777" w:rsidR="00E107CB" w:rsidRDefault="00E107CB">
            <w:pPr>
              <w:spacing w:before="40" w:after="40" w:line="240" w:lineRule="auto"/>
              <w:ind w:left="33" w:right="175"/>
              <w:jc w:val="left"/>
              <w:rPr>
                <w:rFonts w:cs="Arial"/>
                <w:sz w:val="18"/>
                <w:szCs w:val="18"/>
              </w:rPr>
            </w:pPr>
            <w:r>
              <w:rPr>
                <w:rFonts w:cs="Arial"/>
                <w:sz w:val="18"/>
                <w:szCs w:val="18"/>
              </w:rPr>
              <w:t>DATUM NABYTÍ ÚČINNOSTI ÚZEMNÍHO PLÁNU</w:t>
            </w:r>
          </w:p>
        </w:tc>
      </w:tr>
      <w:tr w:rsidR="00E107CB" w14:paraId="493EAADA" w14:textId="77777777" w:rsidTr="00E107CB">
        <w:tc>
          <w:tcPr>
            <w:tcW w:w="9288" w:type="dxa"/>
            <w:gridSpan w:val="2"/>
            <w:tcBorders>
              <w:top w:val="nil"/>
              <w:left w:val="single" w:sz="4" w:space="0" w:color="auto"/>
              <w:bottom w:val="single" w:sz="4" w:space="0" w:color="auto"/>
              <w:right w:val="single" w:sz="4" w:space="0" w:color="auto"/>
            </w:tcBorders>
            <w:vAlign w:val="center"/>
          </w:tcPr>
          <w:p w14:paraId="200A612C" w14:textId="77777777" w:rsidR="00E107CB" w:rsidRDefault="00E107CB">
            <w:pPr>
              <w:spacing w:before="40" w:after="40" w:line="240" w:lineRule="auto"/>
              <w:ind w:left="34" w:right="176"/>
              <w:jc w:val="left"/>
              <w:rPr>
                <w:rFonts w:cs="Arial"/>
                <w:sz w:val="24"/>
                <w:szCs w:val="24"/>
              </w:rPr>
            </w:pPr>
          </w:p>
        </w:tc>
      </w:tr>
      <w:tr w:rsidR="00E107CB" w14:paraId="58F6AB56" w14:textId="77777777" w:rsidTr="00E107CB">
        <w:tc>
          <w:tcPr>
            <w:tcW w:w="9288" w:type="dxa"/>
            <w:gridSpan w:val="2"/>
            <w:tcBorders>
              <w:top w:val="single" w:sz="4" w:space="0" w:color="auto"/>
              <w:left w:val="single" w:sz="4" w:space="0" w:color="auto"/>
              <w:bottom w:val="nil"/>
              <w:right w:val="single" w:sz="4" w:space="0" w:color="auto"/>
            </w:tcBorders>
            <w:vAlign w:val="center"/>
            <w:hideMark/>
          </w:tcPr>
          <w:p w14:paraId="042D4D2F" w14:textId="77777777" w:rsidR="00E107CB" w:rsidRDefault="00E107CB">
            <w:pPr>
              <w:spacing w:before="40" w:after="40" w:line="240" w:lineRule="auto"/>
              <w:ind w:left="33" w:right="175"/>
              <w:jc w:val="left"/>
              <w:rPr>
                <w:rFonts w:cs="Arial"/>
                <w:sz w:val="18"/>
                <w:szCs w:val="18"/>
              </w:rPr>
            </w:pPr>
            <w:r>
              <w:rPr>
                <w:rFonts w:cs="Arial"/>
                <w:sz w:val="18"/>
                <w:szCs w:val="18"/>
              </w:rPr>
              <w:t>JMÉNO A PŘÍJMENÍ, FUNKCE OPRÁVNĚNÉ ÚŘEDNÍ OSOBY POŘIZOVATELE</w:t>
            </w:r>
          </w:p>
        </w:tc>
      </w:tr>
      <w:tr w:rsidR="00E107CB" w14:paraId="516B5767" w14:textId="77777777" w:rsidTr="00E107CB">
        <w:tc>
          <w:tcPr>
            <w:tcW w:w="9288" w:type="dxa"/>
            <w:gridSpan w:val="2"/>
            <w:tcBorders>
              <w:top w:val="nil"/>
              <w:left w:val="single" w:sz="4" w:space="0" w:color="auto"/>
              <w:bottom w:val="single" w:sz="4" w:space="0" w:color="auto"/>
              <w:right w:val="single" w:sz="4" w:space="0" w:color="auto"/>
            </w:tcBorders>
            <w:vAlign w:val="center"/>
            <w:hideMark/>
          </w:tcPr>
          <w:p w14:paraId="0A17E2FA" w14:textId="77777777" w:rsidR="00E107CB" w:rsidRDefault="00E107CB">
            <w:pPr>
              <w:spacing w:before="40" w:after="40" w:line="240" w:lineRule="auto"/>
              <w:ind w:left="34" w:right="176"/>
              <w:jc w:val="left"/>
              <w:rPr>
                <w:rFonts w:cs="Arial"/>
                <w:b/>
              </w:rPr>
            </w:pPr>
            <w:r>
              <w:rPr>
                <w:rFonts w:cs="Arial"/>
                <w:b/>
              </w:rPr>
              <w:t>Ing. Šárka Machková, referent odboru stavebního a životního prostředí, Městský úřad Hrádek nad Nisou</w:t>
            </w:r>
          </w:p>
        </w:tc>
      </w:tr>
      <w:tr w:rsidR="00E107CB" w14:paraId="3D50C2AA" w14:textId="77777777" w:rsidTr="00E107CB">
        <w:tc>
          <w:tcPr>
            <w:tcW w:w="9288" w:type="dxa"/>
            <w:gridSpan w:val="2"/>
            <w:tcBorders>
              <w:top w:val="single" w:sz="4" w:space="0" w:color="auto"/>
              <w:left w:val="single" w:sz="4" w:space="0" w:color="auto"/>
              <w:bottom w:val="nil"/>
              <w:right w:val="single" w:sz="4" w:space="0" w:color="auto"/>
            </w:tcBorders>
            <w:vAlign w:val="center"/>
            <w:hideMark/>
          </w:tcPr>
          <w:p w14:paraId="1E04E84E" w14:textId="77777777" w:rsidR="00E107CB" w:rsidRDefault="00E107CB">
            <w:pPr>
              <w:spacing w:before="40" w:after="40" w:line="240" w:lineRule="auto"/>
              <w:ind w:left="33" w:right="175"/>
              <w:jc w:val="left"/>
              <w:rPr>
                <w:rFonts w:cs="Arial"/>
                <w:sz w:val="18"/>
                <w:szCs w:val="18"/>
              </w:rPr>
            </w:pPr>
            <w:r>
              <w:rPr>
                <w:rFonts w:cs="Arial"/>
                <w:sz w:val="18"/>
                <w:szCs w:val="18"/>
              </w:rPr>
              <w:t>OTISK ÚŘEDNÍHO RAZÍTKA A PODPIS OPRÁVNĚNÉ ÚŘEDNÍ OSOBY POŘIZOVATELE</w:t>
            </w:r>
          </w:p>
        </w:tc>
      </w:tr>
      <w:tr w:rsidR="00E107CB" w14:paraId="4EA0A684" w14:textId="77777777" w:rsidTr="00E107CB">
        <w:trPr>
          <w:trHeight w:val="2014"/>
        </w:trPr>
        <w:tc>
          <w:tcPr>
            <w:tcW w:w="3358" w:type="dxa"/>
            <w:tcBorders>
              <w:top w:val="nil"/>
              <w:left w:val="single" w:sz="4" w:space="0" w:color="auto"/>
              <w:bottom w:val="single" w:sz="4" w:space="0" w:color="auto"/>
              <w:right w:val="nil"/>
            </w:tcBorders>
            <w:vAlign w:val="center"/>
            <w:hideMark/>
          </w:tcPr>
          <w:p w14:paraId="5E48D4CA" w14:textId="77777777" w:rsidR="00E107CB" w:rsidRDefault="00E107CB">
            <w:pPr>
              <w:spacing w:before="40" w:after="40" w:line="240" w:lineRule="auto"/>
              <w:ind w:left="284"/>
              <w:jc w:val="left"/>
              <w:rPr>
                <w:rFonts w:cs="Arial"/>
              </w:rPr>
            </w:pPr>
            <w:r>
              <w:rPr>
                <w:rFonts w:ascii="Arial" w:hAnsi="Arial"/>
                <w:noProof/>
                <w:lang w:eastAsia="cs-CZ"/>
              </w:rPr>
              <mc:AlternateContent>
                <mc:Choice Requires="wps">
                  <w:drawing>
                    <wp:inline distT="0" distB="0" distL="0" distR="0" wp14:anchorId="35AE361D" wp14:editId="775EB7A5">
                      <wp:extent cx="1488440" cy="1488440"/>
                      <wp:effectExtent l="9525" t="9525" r="6985" b="6985"/>
                      <wp:docPr id="4"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8440" cy="1488440"/>
                              </a:xfrm>
                              <a:prstGeom prst="ellipse">
                                <a:avLst/>
                              </a:prstGeom>
                              <a:solidFill>
                                <a:srgbClr val="FFFFFF"/>
                              </a:solidFill>
                              <a:ln w="6350" cap="rnd">
                                <a:solidFill>
                                  <a:srgbClr val="000000"/>
                                </a:solidFill>
                                <a:prstDash val="sysDot"/>
                                <a:round/>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oval w14:anchorId="25B14F14" id="Oval 4" o:spid="_x0000_s1026" style="width:117.2pt;height:1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" strokeweight=".5pt">
                      <v:stroke dashstyle="1 1" endcap="round"/>
                      <w10:anchorlock/>
                    </v:oval>
                  </w:pict>
                </mc:Fallback>
              </mc:AlternateContent>
            </w:r>
          </w:p>
        </w:tc>
        <w:tc>
          <w:tcPr>
            <w:tcW w:w="5930" w:type="dxa"/>
            <w:tcBorders>
              <w:top w:val="nil"/>
              <w:left w:val="nil"/>
              <w:bottom w:val="single" w:sz="4" w:space="0" w:color="auto"/>
              <w:right w:val="single" w:sz="4" w:space="0" w:color="auto"/>
            </w:tcBorders>
            <w:vAlign w:val="center"/>
          </w:tcPr>
          <w:p w14:paraId="2B182BD7" w14:textId="77777777" w:rsidR="00E107CB" w:rsidRDefault="00E107CB">
            <w:pPr>
              <w:spacing w:before="40" w:after="40" w:line="240" w:lineRule="auto"/>
              <w:jc w:val="left"/>
              <w:rPr>
                <w:rFonts w:cs="Arial"/>
              </w:rPr>
            </w:pPr>
          </w:p>
          <w:p w14:paraId="5956A481" w14:textId="77777777" w:rsidR="00E107CB" w:rsidRDefault="00E107CB">
            <w:pPr>
              <w:spacing w:before="40" w:after="40" w:line="240" w:lineRule="auto"/>
              <w:jc w:val="left"/>
              <w:rPr>
                <w:rFonts w:cs="Arial"/>
              </w:rPr>
            </w:pPr>
          </w:p>
          <w:p w14:paraId="6BF1DB0D" w14:textId="77777777" w:rsidR="00E107CB" w:rsidRDefault="00E107CB">
            <w:pPr>
              <w:spacing w:before="40" w:after="40" w:line="240" w:lineRule="auto"/>
              <w:jc w:val="left"/>
              <w:rPr>
                <w:rFonts w:cs="Arial"/>
              </w:rPr>
            </w:pPr>
          </w:p>
          <w:p w14:paraId="386D7B08" w14:textId="77777777" w:rsidR="00E107CB" w:rsidRDefault="00E107CB">
            <w:pPr>
              <w:spacing w:before="40" w:after="40" w:line="240" w:lineRule="auto"/>
              <w:jc w:val="left"/>
              <w:rPr>
                <w:rFonts w:cs="Arial"/>
              </w:rPr>
            </w:pPr>
          </w:p>
          <w:p w14:paraId="5B15BEBE" w14:textId="77777777" w:rsidR="00E107CB" w:rsidRDefault="00E107CB">
            <w:pPr>
              <w:spacing w:before="40" w:after="40" w:line="240" w:lineRule="auto"/>
              <w:jc w:val="left"/>
              <w:rPr>
                <w:rFonts w:cs="Arial"/>
              </w:rPr>
            </w:pPr>
          </w:p>
          <w:p w14:paraId="6C435AE2" w14:textId="77777777" w:rsidR="00E107CB" w:rsidRDefault="00E107CB">
            <w:pPr>
              <w:spacing w:before="40" w:after="40" w:line="240" w:lineRule="auto"/>
              <w:jc w:val="left"/>
              <w:rPr>
                <w:rFonts w:cs="Arial"/>
              </w:rPr>
            </w:pPr>
          </w:p>
          <w:p w14:paraId="6F028476" w14:textId="77777777" w:rsidR="00E107CB" w:rsidRDefault="00E107CB">
            <w:pPr>
              <w:spacing w:before="40" w:after="40" w:line="240" w:lineRule="auto"/>
              <w:jc w:val="left"/>
              <w:rPr>
                <w:rFonts w:cs="Arial"/>
              </w:rPr>
            </w:pPr>
            <w:r>
              <w:rPr>
                <w:rFonts w:cs="Arial"/>
              </w:rPr>
              <w:t>…………………………………………………………………………</w:t>
            </w:r>
          </w:p>
        </w:tc>
      </w:tr>
    </w:tbl>
    <w:p w14:paraId="0420F557" w14:textId="77777777" w:rsidR="00FD2564" w:rsidRDefault="00FD2564" w:rsidP="00C758E3">
      <w:pPr>
        <w:pStyle w:val="Subtitle"/>
        <w:rPr>
          <w:sz w:val="28"/>
        </w:rPr>
      </w:pPr>
    </w:p>
    <w:p w14:paraId="7F70C6D8" w14:textId="77777777" w:rsidR="00FD2564" w:rsidRDefault="00FD2564">
      <w:pPr>
        <w:spacing w:line="240" w:lineRule="auto"/>
        <w:jc w:val="left"/>
        <w:rPr>
          <w:rFonts w:cs="Arial"/>
          <w:b/>
          <w:bCs/>
          <w:sz w:val="28"/>
        </w:rPr>
      </w:pPr>
      <w:r>
        <w:rPr>
          <w:sz w:val="28"/>
        </w:rPr>
        <w:br w:type="page"/>
      </w:r>
    </w:p>
    <w:p w14:paraId="24894E2C" w14:textId="77777777" w:rsidR="00AA4890" w:rsidRDefault="00AA4890">
      <w:pPr>
        <w:spacing w:line="240" w:lineRule="auto"/>
        <w:jc w:val="left"/>
        <w:rPr>
          <w:rFonts w:cs="Arial"/>
          <w:b/>
          <w:bCs/>
          <w:sz w:val="28"/>
        </w:rPr>
      </w:pPr>
      <w:r>
        <w:rPr>
          <w:sz w:val="28"/>
        </w:rPr>
        <w:lastRenderedPageBreak/>
        <w:br w:type="page"/>
      </w:r>
    </w:p>
    <w:p w14:paraId="4288B1A5" w14:textId="77777777" w:rsidR="00C758E3" w:rsidRPr="00461C16" w:rsidRDefault="00C758E3" w:rsidP="00C758E3">
      <w:pPr>
        <w:pStyle w:val="Subtitle"/>
        <w:rPr>
          <w:sz w:val="28"/>
        </w:rPr>
      </w:pPr>
      <w:r w:rsidRPr="00461C16">
        <w:rPr>
          <w:sz w:val="28"/>
        </w:rPr>
        <w:lastRenderedPageBreak/>
        <w:t xml:space="preserve">ÚZEMNÍ PLÁN HRÁDEK NAD NISOU </w:t>
      </w:r>
    </w:p>
    <w:p w14:paraId="1113E19C" w14:textId="7A1C1155" w:rsidR="00C758E3" w:rsidRPr="00461C16" w:rsidRDefault="00D61E44" w:rsidP="00C758E3">
      <w:pPr>
        <w:spacing w:after="120" w:line="240" w:lineRule="auto"/>
        <w:rPr>
          <w:caps/>
        </w:rPr>
      </w:pPr>
      <w:r>
        <w:rPr>
          <w:caps/>
        </w:rPr>
        <w:t>zpracovaný</w:t>
      </w:r>
      <w:r w:rsidR="004C19C2">
        <w:rPr>
          <w:caps/>
        </w:rPr>
        <w:t xml:space="preserve"> </w:t>
      </w:r>
      <w:r w:rsidR="00C758E3" w:rsidRPr="00461C16">
        <w:rPr>
          <w:caps/>
        </w:rPr>
        <w:t xml:space="preserve">DLE </w:t>
      </w:r>
      <w:r>
        <w:rPr>
          <w:caps/>
        </w:rPr>
        <w:t>§</w:t>
      </w:r>
      <w:r w:rsidR="00C758E3" w:rsidRPr="00461C16">
        <w:rPr>
          <w:caps/>
        </w:rPr>
        <w:t xml:space="preserve">§ </w:t>
      </w:r>
      <w:r>
        <w:rPr>
          <w:caps/>
        </w:rPr>
        <w:t>50 -</w:t>
      </w:r>
      <w:r w:rsidR="00195EE2" w:rsidRPr="00461C16">
        <w:rPr>
          <w:caps/>
        </w:rPr>
        <w:t>5</w:t>
      </w:r>
      <w:r w:rsidR="00195EE2">
        <w:rPr>
          <w:caps/>
        </w:rPr>
        <w:t>4</w:t>
      </w:r>
      <w:r w:rsidR="00195EE2" w:rsidRPr="00461C16">
        <w:rPr>
          <w:caps/>
        </w:rPr>
        <w:t xml:space="preserve"> </w:t>
      </w:r>
      <w:r w:rsidR="00C758E3" w:rsidRPr="00461C16">
        <w:rPr>
          <w:caps/>
        </w:rPr>
        <w:t xml:space="preserve">zákona č. 183/2006 Sb., o územním plánování a stavebním řádu, v platném znění </w:t>
      </w:r>
    </w:p>
    <w:p w14:paraId="42C2C8E8" w14:textId="77777777" w:rsidR="003C3634" w:rsidRPr="00461C16" w:rsidRDefault="003C3634" w:rsidP="007F050A">
      <w:pPr>
        <w:spacing w:line="240" w:lineRule="auto"/>
      </w:pPr>
    </w:p>
    <w:p w14:paraId="45A23EB4" w14:textId="77777777" w:rsidR="00A950E6" w:rsidRPr="00461C16" w:rsidRDefault="00A950E6" w:rsidP="00A950E6">
      <w:pPr>
        <w:pStyle w:val="Subtitle"/>
      </w:pPr>
      <w:r w:rsidRPr="00461C16">
        <w:t>ZADAVATEL</w:t>
      </w:r>
    </w:p>
    <w:p w14:paraId="7C4C51BC" w14:textId="77777777" w:rsidR="00A950E6" w:rsidRPr="00461C16" w:rsidRDefault="00A950E6" w:rsidP="00A950E6">
      <w:pPr>
        <w:spacing w:before="60"/>
        <w:jc w:val="left"/>
        <w:rPr>
          <w:rFonts w:cs="Arial"/>
        </w:rPr>
      </w:pPr>
      <w:r w:rsidRPr="00461C16">
        <w:rPr>
          <w:rFonts w:cs="Arial"/>
        </w:rPr>
        <w:t xml:space="preserve">Město Hrádek nad Nisou </w:t>
      </w:r>
    </w:p>
    <w:p w14:paraId="16E88B0A" w14:textId="77777777" w:rsidR="00A950E6" w:rsidRPr="00461C16" w:rsidRDefault="00A950E6" w:rsidP="00A950E6">
      <w:pPr>
        <w:spacing w:before="60"/>
        <w:jc w:val="left"/>
        <w:rPr>
          <w:rFonts w:cs="Arial"/>
        </w:rPr>
      </w:pPr>
      <w:r w:rsidRPr="00461C16">
        <w:rPr>
          <w:rFonts w:cs="Arial"/>
        </w:rPr>
        <w:t>Horní nám. 73, 463 34 Hrádek nad Nisou</w:t>
      </w:r>
    </w:p>
    <w:p w14:paraId="722ACE47" w14:textId="77777777" w:rsidR="00A950E6" w:rsidRPr="00461C16" w:rsidRDefault="00A950E6" w:rsidP="00463305">
      <w:pPr>
        <w:tabs>
          <w:tab w:val="left" w:pos="3686"/>
        </w:tabs>
        <w:spacing w:before="60"/>
        <w:jc w:val="left"/>
        <w:rPr>
          <w:rFonts w:cs="Arial"/>
        </w:rPr>
      </w:pPr>
      <w:r w:rsidRPr="00461C16">
        <w:rPr>
          <w:rFonts w:cs="Arial"/>
        </w:rPr>
        <w:t xml:space="preserve">Zastoupené: </w:t>
      </w:r>
      <w:r w:rsidR="00463305" w:rsidRPr="00461C16">
        <w:rPr>
          <w:rFonts w:cs="Arial"/>
        </w:rPr>
        <w:tab/>
      </w:r>
      <w:r w:rsidR="00A857E6">
        <w:rPr>
          <w:rFonts w:cs="Arial"/>
        </w:rPr>
        <w:t xml:space="preserve">Mgr. </w:t>
      </w:r>
      <w:r w:rsidRPr="00461C16">
        <w:rPr>
          <w:rFonts w:cs="Arial"/>
        </w:rPr>
        <w:t xml:space="preserve">Josefem Horinkou, starostou města </w:t>
      </w:r>
    </w:p>
    <w:p w14:paraId="6F387D37" w14:textId="77777777" w:rsidR="00A950E6" w:rsidRPr="00461C16" w:rsidRDefault="00A950E6" w:rsidP="00463305">
      <w:pPr>
        <w:tabs>
          <w:tab w:val="left" w:pos="3686"/>
        </w:tabs>
        <w:spacing w:before="60"/>
        <w:jc w:val="left"/>
        <w:rPr>
          <w:rFonts w:cs="Arial"/>
        </w:rPr>
      </w:pPr>
      <w:r w:rsidRPr="00461C16">
        <w:rPr>
          <w:rFonts w:cs="Arial"/>
        </w:rPr>
        <w:t xml:space="preserve">Určený zastupitel pro ÚP: </w:t>
      </w:r>
      <w:r w:rsidR="00463305" w:rsidRPr="00461C16">
        <w:rPr>
          <w:rFonts w:cs="Arial"/>
        </w:rPr>
        <w:tab/>
      </w:r>
      <w:r w:rsidRPr="00461C16">
        <w:rPr>
          <w:rFonts w:cs="Arial"/>
        </w:rPr>
        <w:t>Petr Kudláček</w:t>
      </w:r>
    </w:p>
    <w:p w14:paraId="652897E5" w14:textId="77777777" w:rsidR="00A950E6" w:rsidRPr="00461C16" w:rsidRDefault="00A950E6" w:rsidP="00A950E6">
      <w:pPr>
        <w:jc w:val="left"/>
        <w:rPr>
          <w:rFonts w:cs="Arial"/>
        </w:rPr>
      </w:pPr>
    </w:p>
    <w:p w14:paraId="61582234" w14:textId="77777777" w:rsidR="00463305" w:rsidRPr="00461C16" w:rsidRDefault="00463305" w:rsidP="00A950E6">
      <w:pPr>
        <w:jc w:val="left"/>
        <w:rPr>
          <w:rFonts w:cs="Arial"/>
        </w:rPr>
      </w:pPr>
    </w:p>
    <w:p w14:paraId="0D2501F4" w14:textId="77777777" w:rsidR="00A950E6" w:rsidRPr="00461C16" w:rsidRDefault="00A950E6" w:rsidP="00A950E6">
      <w:pPr>
        <w:rPr>
          <w:b/>
        </w:rPr>
      </w:pPr>
      <w:r w:rsidRPr="00461C16">
        <w:rPr>
          <w:b/>
        </w:rPr>
        <w:t>POŘIZOVATEL</w:t>
      </w:r>
    </w:p>
    <w:p w14:paraId="5FC8B80B" w14:textId="77777777" w:rsidR="00AB6DE9" w:rsidRDefault="00AB6DE9" w:rsidP="00AB6DE9">
      <w:pPr>
        <w:spacing w:before="60"/>
        <w:jc w:val="left"/>
        <w:rPr>
          <w:rFonts w:cs="Arial"/>
        </w:rPr>
      </w:pPr>
      <w:r>
        <w:rPr>
          <w:rFonts w:cs="Arial"/>
        </w:rPr>
        <w:t>Městský úřad Hrádek nad Nisou, odbor stavební a životního prostředí</w:t>
      </w:r>
    </w:p>
    <w:p w14:paraId="324965FF" w14:textId="0A143B93" w:rsidR="00A950E6" w:rsidRPr="00461C16" w:rsidRDefault="00AB6DE9" w:rsidP="00AB6DE9">
      <w:pPr>
        <w:spacing w:before="60"/>
        <w:ind w:left="3686" w:hanging="3686"/>
        <w:jc w:val="left"/>
        <w:rPr>
          <w:rFonts w:cs="Arial"/>
        </w:rPr>
      </w:pPr>
      <w:r>
        <w:rPr>
          <w:rFonts w:cs="Arial"/>
        </w:rPr>
        <w:t>Výkonem pořizovatelské činnosti pověřen</w:t>
      </w:r>
      <w:r w:rsidR="00E107CB">
        <w:rPr>
          <w:rFonts w:cs="Arial"/>
        </w:rPr>
        <w:t>a</w:t>
      </w:r>
      <w:r>
        <w:rPr>
          <w:rFonts w:cs="Arial"/>
        </w:rPr>
        <w:t xml:space="preserve">: </w:t>
      </w:r>
      <w:r>
        <w:rPr>
          <w:rFonts w:cs="Arial"/>
        </w:rPr>
        <w:tab/>
      </w:r>
      <w:r w:rsidR="00E107CB">
        <w:rPr>
          <w:rFonts w:cs="Arial"/>
        </w:rPr>
        <w:t xml:space="preserve">Ing. Šárka Machková, referent odboru stavebního a životního prostředí, Městský úřad Hrádek nad Nisou </w:t>
      </w:r>
      <w:r w:rsidR="00A566E0">
        <w:rPr>
          <w:rFonts w:cs="Arial"/>
        </w:rPr>
        <w:t xml:space="preserve">  </w:t>
      </w:r>
    </w:p>
    <w:p w14:paraId="44DAC5F9" w14:textId="77777777" w:rsidR="00A950E6" w:rsidRPr="00461C16" w:rsidRDefault="00A950E6" w:rsidP="00A950E6">
      <w:pPr>
        <w:pStyle w:val="Subtitle"/>
        <w:rPr>
          <w:lang w:eastAsia="en-US"/>
        </w:rPr>
      </w:pPr>
    </w:p>
    <w:p w14:paraId="17E9AF3C" w14:textId="77777777" w:rsidR="00A950E6" w:rsidRPr="00461C16" w:rsidRDefault="00A950E6" w:rsidP="00A950E6">
      <w:pPr>
        <w:pStyle w:val="Subtitle"/>
        <w:rPr>
          <w:lang w:eastAsia="en-US"/>
        </w:rPr>
      </w:pPr>
      <w:r w:rsidRPr="00461C16">
        <w:rPr>
          <w:lang w:eastAsia="en-US"/>
        </w:rPr>
        <w:t>ZPRACOVATEL</w:t>
      </w:r>
    </w:p>
    <w:p w14:paraId="7AF45919" w14:textId="77777777" w:rsidR="00A950E6" w:rsidRPr="00461C16" w:rsidRDefault="00A950E6" w:rsidP="00A950E6">
      <w:pPr>
        <w:pStyle w:val="1text"/>
        <w:spacing w:before="60"/>
      </w:pPr>
      <w:r w:rsidRPr="00461C16">
        <w:t>HaskoningDHV Czech Republic, spol. s.r.o.</w:t>
      </w:r>
    </w:p>
    <w:p w14:paraId="0B0B1F27" w14:textId="77777777" w:rsidR="00A950E6" w:rsidRPr="00461C16" w:rsidRDefault="00A950E6" w:rsidP="00A950E6">
      <w:pPr>
        <w:pStyle w:val="1text"/>
        <w:spacing w:before="60"/>
        <w:rPr>
          <w:rFonts w:eastAsia="Times New Roman" w:cs="Arial"/>
          <w:lang w:eastAsia="en-US"/>
        </w:rPr>
      </w:pPr>
      <w:r w:rsidRPr="00461C16">
        <w:rPr>
          <w:rFonts w:eastAsia="Times New Roman" w:cs="Arial"/>
          <w:lang w:eastAsia="en-US"/>
        </w:rPr>
        <w:t>Sokolovská 100/94, 186 00 Praha 8</w:t>
      </w:r>
    </w:p>
    <w:p w14:paraId="44B6D370" w14:textId="77777777" w:rsidR="00A950E6" w:rsidRPr="00461C16" w:rsidRDefault="00A950E6" w:rsidP="00463305">
      <w:pPr>
        <w:pStyle w:val="1text"/>
        <w:tabs>
          <w:tab w:val="left" w:pos="3686"/>
        </w:tabs>
        <w:spacing w:before="60"/>
        <w:rPr>
          <w:rFonts w:eastAsia="Times New Roman" w:cs="Arial"/>
          <w:lang w:eastAsia="en-US"/>
        </w:rPr>
      </w:pPr>
      <w:r w:rsidRPr="00461C16">
        <w:rPr>
          <w:rFonts w:eastAsia="Times New Roman" w:cs="Arial"/>
          <w:lang w:eastAsia="en-US"/>
        </w:rPr>
        <w:t>J</w:t>
      </w:r>
      <w:r w:rsidR="00463305" w:rsidRPr="00461C16">
        <w:rPr>
          <w:rFonts w:eastAsia="Times New Roman" w:cs="Arial"/>
          <w:lang w:eastAsia="en-US"/>
        </w:rPr>
        <w:t>ednatel</w:t>
      </w:r>
      <w:r w:rsidR="00204BC5">
        <w:rPr>
          <w:rFonts w:eastAsia="Times New Roman" w:cs="Arial"/>
          <w:lang w:eastAsia="en-US"/>
        </w:rPr>
        <w:t>ka</w:t>
      </w:r>
      <w:r w:rsidR="00463305" w:rsidRPr="00461C16">
        <w:rPr>
          <w:rFonts w:eastAsia="Times New Roman" w:cs="Arial"/>
          <w:lang w:eastAsia="en-US"/>
        </w:rPr>
        <w:t xml:space="preserve"> a ředitel</w:t>
      </w:r>
      <w:r w:rsidR="00204BC5">
        <w:rPr>
          <w:rFonts w:eastAsia="Times New Roman" w:cs="Arial"/>
          <w:lang w:eastAsia="en-US"/>
        </w:rPr>
        <w:t>ka</w:t>
      </w:r>
      <w:r w:rsidR="00463305" w:rsidRPr="00461C16">
        <w:rPr>
          <w:rFonts w:eastAsia="Times New Roman" w:cs="Arial"/>
          <w:lang w:eastAsia="en-US"/>
        </w:rPr>
        <w:t xml:space="preserve"> společnosti</w:t>
      </w:r>
      <w:r w:rsidR="00204BC5">
        <w:rPr>
          <w:rFonts w:eastAsia="Times New Roman" w:cs="Arial"/>
          <w:lang w:eastAsia="en-US"/>
        </w:rPr>
        <w:t>:</w:t>
      </w:r>
      <w:r w:rsidR="00463305" w:rsidRPr="00461C16">
        <w:rPr>
          <w:rFonts w:eastAsia="Times New Roman" w:cs="Arial"/>
          <w:lang w:eastAsia="en-US"/>
        </w:rPr>
        <w:t xml:space="preserve"> </w:t>
      </w:r>
      <w:r w:rsidR="00463305" w:rsidRPr="00461C16">
        <w:rPr>
          <w:rFonts w:eastAsia="Times New Roman" w:cs="Arial"/>
          <w:lang w:eastAsia="en-US"/>
        </w:rPr>
        <w:tab/>
      </w:r>
      <w:r w:rsidR="00204BC5">
        <w:rPr>
          <w:rFonts w:eastAsia="Times New Roman" w:cs="Arial"/>
          <w:lang w:eastAsia="en-US"/>
        </w:rPr>
        <w:t>Mgr. Lenka Brown</w:t>
      </w:r>
    </w:p>
    <w:p w14:paraId="34DA5956" w14:textId="77777777" w:rsidR="00A950E6" w:rsidRPr="00461C16" w:rsidRDefault="00A950E6" w:rsidP="00A950E6">
      <w:pPr>
        <w:pStyle w:val="1text"/>
        <w:rPr>
          <w:rFonts w:eastAsia="Times New Roman" w:cs="Arial"/>
          <w:sz w:val="20"/>
          <w:szCs w:val="20"/>
          <w:lang w:eastAsia="en-US"/>
        </w:rPr>
      </w:pPr>
    </w:p>
    <w:p w14:paraId="37A2166E" w14:textId="77777777" w:rsidR="00463305" w:rsidRPr="00461C16" w:rsidRDefault="00463305" w:rsidP="00463305">
      <w:pPr>
        <w:pStyle w:val="Subtitle"/>
        <w:rPr>
          <w:lang w:eastAsia="en-US"/>
        </w:rPr>
      </w:pPr>
      <w:r w:rsidRPr="00461C16">
        <w:rPr>
          <w:lang w:eastAsia="en-US"/>
        </w:rPr>
        <w:t>ZPRACOVATELSKÝ TÝM</w:t>
      </w:r>
    </w:p>
    <w:p w14:paraId="604339CC" w14:textId="77777777" w:rsidR="00463305" w:rsidRPr="00461C16" w:rsidRDefault="00463305" w:rsidP="00463305">
      <w:pPr>
        <w:ind w:left="3686" w:hanging="3686"/>
        <w:jc w:val="left"/>
        <w:rPr>
          <w:rFonts w:cs="Arial"/>
        </w:rPr>
      </w:pPr>
      <w:r w:rsidRPr="00461C16">
        <w:t xml:space="preserve">Zodpovědný projektant: </w:t>
      </w:r>
      <w:r w:rsidRPr="00461C16">
        <w:tab/>
      </w:r>
      <w:r w:rsidRPr="00461C16">
        <w:rPr>
          <w:rFonts w:cs="Arial"/>
        </w:rPr>
        <w:t xml:space="preserve">Ing. arch. Mgr. Monika Boháčová, </w:t>
      </w:r>
    </w:p>
    <w:p w14:paraId="0E0D3E06" w14:textId="77777777" w:rsidR="00463305" w:rsidRPr="00461C16" w:rsidRDefault="00463305" w:rsidP="00463305">
      <w:pPr>
        <w:ind w:left="3686"/>
        <w:jc w:val="left"/>
        <w:rPr>
          <w:rFonts w:cs="Arial"/>
        </w:rPr>
      </w:pPr>
      <w:r w:rsidRPr="00461C16">
        <w:rPr>
          <w:rFonts w:cs="Arial"/>
        </w:rPr>
        <w:t xml:space="preserve">autorizovaný architekt pro obor architektura - ČKA 03709 </w:t>
      </w:r>
    </w:p>
    <w:p w14:paraId="2D1129C6" w14:textId="77777777" w:rsidR="00463305" w:rsidRPr="00461C16" w:rsidRDefault="00463305" w:rsidP="00463305">
      <w:pPr>
        <w:pStyle w:val="1text"/>
        <w:ind w:left="3686" w:hanging="3686"/>
      </w:pPr>
      <w:r w:rsidRPr="00461C16">
        <w:t xml:space="preserve">Urbanistická koncepce: </w:t>
      </w:r>
      <w:r w:rsidRPr="00461C16">
        <w:tab/>
        <w:t>Ing. arch. Mgr. Monika Boháčová</w:t>
      </w:r>
    </w:p>
    <w:p w14:paraId="067C503F" w14:textId="77777777" w:rsidR="00463305" w:rsidRPr="00461C16" w:rsidRDefault="00463305" w:rsidP="00463305">
      <w:pPr>
        <w:pStyle w:val="1text"/>
        <w:ind w:left="3686" w:hanging="3686"/>
      </w:pPr>
      <w:r w:rsidRPr="00461C16">
        <w:t xml:space="preserve">Dopravní infrastruktura: </w:t>
      </w:r>
      <w:r w:rsidRPr="00461C16">
        <w:tab/>
        <w:t>Ing. Václav Starý</w:t>
      </w:r>
    </w:p>
    <w:p w14:paraId="6A1F4704" w14:textId="77777777" w:rsidR="00463305" w:rsidRPr="00461C16" w:rsidRDefault="00463305" w:rsidP="00463305">
      <w:pPr>
        <w:pStyle w:val="1text"/>
        <w:spacing w:before="0"/>
        <w:ind w:left="3686" w:hanging="3686"/>
      </w:pPr>
      <w:r w:rsidRPr="00461C16">
        <w:tab/>
        <w:t>autorizovaný inženýr pro dopravní stavby - ČKAIT 29455</w:t>
      </w:r>
    </w:p>
    <w:p w14:paraId="4CF46541" w14:textId="77777777" w:rsidR="00463305" w:rsidRPr="00461C16" w:rsidRDefault="00463305" w:rsidP="00463305">
      <w:pPr>
        <w:pStyle w:val="1text"/>
        <w:ind w:left="3686"/>
      </w:pPr>
      <w:r w:rsidRPr="00461C16">
        <w:t>Ing. Jan Cihlář</w:t>
      </w:r>
    </w:p>
    <w:p w14:paraId="56DD51AB" w14:textId="77777777" w:rsidR="00463305" w:rsidRPr="00461C16" w:rsidRDefault="00463305" w:rsidP="00463305">
      <w:pPr>
        <w:pStyle w:val="1text"/>
        <w:ind w:left="3686" w:hanging="3686"/>
      </w:pPr>
      <w:r w:rsidRPr="00461C16">
        <w:t xml:space="preserve">Technická infrastruktura: </w:t>
      </w:r>
      <w:r w:rsidRPr="00461C16">
        <w:tab/>
      </w:r>
      <w:r w:rsidRPr="00461C16">
        <w:rPr>
          <w:rFonts w:cs="Arial"/>
        </w:rPr>
        <w:t>Ing. Jan Cihlář</w:t>
      </w:r>
    </w:p>
    <w:p w14:paraId="0392EBE9" w14:textId="77777777" w:rsidR="00463305" w:rsidRPr="00461C16" w:rsidRDefault="00463305" w:rsidP="00463305">
      <w:pPr>
        <w:tabs>
          <w:tab w:val="left" w:pos="3544"/>
        </w:tabs>
        <w:spacing w:before="120"/>
        <w:ind w:left="3686" w:hanging="3686"/>
        <w:jc w:val="left"/>
        <w:rPr>
          <w:rFonts w:cs="Arial"/>
        </w:rPr>
      </w:pPr>
      <w:r w:rsidRPr="00461C16">
        <w:t xml:space="preserve">Ochrana přírody a krajiny, ÚSES: </w:t>
      </w:r>
      <w:r w:rsidRPr="00461C16">
        <w:tab/>
      </w:r>
      <w:r w:rsidRPr="00461C16">
        <w:tab/>
      </w:r>
      <w:r w:rsidRPr="00461C16">
        <w:rPr>
          <w:rFonts w:cs="Arial"/>
        </w:rPr>
        <w:t>RNDr. Milan Svoboda</w:t>
      </w:r>
    </w:p>
    <w:p w14:paraId="3670F481" w14:textId="77777777" w:rsidR="00463305" w:rsidRPr="00461C16" w:rsidRDefault="00463305" w:rsidP="00463305">
      <w:pPr>
        <w:spacing w:line="240" w:lineRule="auto"/>
        <w:ind w:left="3686"/>
        <w:jc w:val="left"/>
        <w:rPr>
          <w:rFonts w:cs="Arial"/>
        </w:rPr>
      </w:pPr>
      <w:r w:rsidRPr="00461C16">
        <w:rPr>
          <w:rFonts w:cs="Arial"/>
        </w:rPr>
        <w:t>autorizovaný architekt pro obor krajinářská architektura a projektování ÚSES - ČKA 02463</w:t>
      </w:r>
    </w:p>
    <w:p w14:paraId="2660CECF" w14:textId="77777777" w:rsidR="00463305" w:rsidRPr="00461C16" w:rsidRDefault="00463305" w:rsidP="00463305">
      <w:pPr>
        <w:pStyle w:val="1text"/>
        <w:ind w:left="3686" w:hanging="3686"/>
        <w:rPr>
          <w:rFonts w:cs="Arial"/>
        </w:rPr>
      </w:pPr>
      <w:r w:rsidRPr="00461C16">
        <w:t xml:space="preserve">Grafické zpracování (GIS): </w:t>
      </w:r>
      <w:r w:rsidRPr="00461C16">
        <w:tab/>
      </w:r>
      <w:r w:rsidRPr="00461C16">
        <w:rPr>
          <w:rFonts w:cs="Arial"/>
        </w:rPr>
        <w:t>Mgr. Lukáš Veselý</w:t>
      </w:r>
    </w:p>
    <w:p w14:paraId="6AEA9BC9" w14:textId="77777777" w:rsidR="00463305" w:rsidRPr="00461C16" w:rsidRDefault="00463305" w:rsidP="00463305">
      <w:pPr>
        <w:pStyle w:val="1text"/>
        <w:spacing w:before="0"/>
        <w:ind w:left="3686" w:hanging="3686"/>
        <w:rPr>
          <w:rFonts w:cs="Arial"/>
        </w:rPr>
      </w:pPr>
      <w:r w:rsidRPr="00461C16">
        <w:rPr>
          <w:rFonts w:cs="Arial"/>
        </w:rPr>
        <w:tab/>
        <w:t>Jakub Vik</w:t>
      </w:r>
    </w:p>
    <w:p w14:paraId="45675DE3" w14:textId="77777777" w:rsidR="00463305" w:rsidRPr="00461C16" w:rsidRDefault="00463305" w:rsidP="00463305">
      <w:pPr>
        <w:pStyle w:val="1text"/>
        <w:ind w:left="3686" w:hanging="3686"/>
        <w:rPr>
          <w:rFonts w:cs="Arial"/>
        </w:rPr>
      </w:pPr>
      <w:r w:rsidRPr="00461C16">
        <w:rPr>
          <w:rFonts w:cs="Arial"/>
        </w:rPr>
        <w:t>Technická spolupráce:</w:t>
      </w:r>
      <w:r w:rsidRPr="00461C16">
        <w:rPr>
          <w:rFonts w:cs="Arial"/>
        </w:rPr>
        <w:tab/>
        <w:t>Ing. Pavlína Krásná</w:t>
      </w:r>
    </w:p>
    <w:p w14:paraId="2989AEA6" w14:textId="77777777" w:rsidR="00463305" w:rsidRDefault="00463305" w:rsidP="00463305">
      <w:pPr>
        <w:pStyle w:val="1text"/>
        <w:spacing w:before="0"/>
        <w:ind w:left="3686" w:hanging="3686"/>
        <w:rPr>
          <w:rFonts w:cs="Arial"/>
        </w:rPr>
      </w:pPr>
      <w:r w:rsidRPr="00461C16">
        <w:rPr>
          <w:rFonts w:cs="Arial"/>
        </w:rPr>
        <w:tab/>
      </w:r>
      <w:r w:rsidR="00592F42">
        <w:rPr>
          <w:rFonts w:cs="Arial"/>
        </w:rPr>
        <w:t>Mgr</w:t>
      </w:r>
      <w:r w:rsidRPr="00461C16">
        <w:rPr>
          <w:rFonts w:cs="Arial"/>
        </w:rPr>
        <w:t>. Simona Marhounová</w:t>
      </w:r>
    </w:p>
    <w:p w14:paraId="21FDE056" w14:textId="77777777" w:rsidR="00592F42" w:rsidRDefault="00592F42" w:rsidP="00463305">
      <w:pPr>
        <w:pStyle w:val="1text"/>
        <w:spacing w:before="0"/>
        <w:ind w:left="3686" w:hanging="3686"/>
        <w:rPr>
          <w:rFonts w:cs="Arial"/>
        </w:rPr>
      </w:pPr>
      <w:r>
        <w:rPr>
          <w:rFonts w:cs="Arial"/>
        </w:rPr>
        <w:tab/>
        <w:t>Ing. Daniela Kortusová</w:t>
      </w:r>
    </w:p>
    <w:p w14:paraId="23940867" w14:textId="4DF754CE" w:rsidR="00463305" w:rsidRPr="00461C16" w:rsidRDefault="009E003F" w:rsidP="009E003F">
      <w:pPr>
        <w:pStyle w:val="1text"/>
        <w:spacing w:before="0"/>
        <w:ind w:left="3686" w:hanging="3686"/>
      </w:pPr>
      <w:r>
        <w:rPr>
          <w:rFonts w:cs="Arial"/>
        </w:rPr>
        <w:tab/>
        <w:t>Ing. Lukáš Velebil</w:t>
      </w:r>
    </w:p>
    <w:p w14:paraId="01132400" w14:textId="77777777" w:rsidR="00463305" w:rsidRPr="00461C16" w:rsidRDefault="00463305" w:rsidP="00463305">
      <w:pPr>
        <w:spacing w:after="120" w:line="240" w:lineRule="auto"/>
        <w:jc w:val="left"/>
      </w:pPr>
    </w:p>
    <w:p w14:paraId="5658B98A" w14:textId="77777777" w:rsidR="008F71D6" w:rsidRPr="00461C16" w:rsidRDefault="008F71D6" w:rsidP="00463305">
      <w:pPr>
        <w:spacing w:after="120" w:line="240" w:lineRule="auto"/>
        <w:jc w:val="left"/>
      </w:pPr>
    </w:p>
    <w:p w14:paraId="24D2BD0D" w14:textId="77777777" w:rsidR="00463305" w:rsidRPr="00461C16" w:rsidRDefault="00463305" w:rsidP="00463305">
      <w:pPr>
        <w:spacing w:after="120" w:line="240" w:lineRule="auto"/>
        <w:jc w:val="left"/>
      </w:pPr>
      <w:r w:rsidRPr="00461C16">
        <w:t>………………………………………………………………………………………….</w:t>
      </w:r>
    </w:p>
    <w:p w14:paraId="43AB5977" w14:textId="77777777" w:rsidR="00463305" w:rsidRPr="00461C16" w:rsidRDefault="00463305" w:rsidP="00463305">
      <w:pPr>
        <w:spacing w:before="120" w:after="120" w:line="240" w:lineRule="auto"/>
        <w:jc w:val="left"/>
      </w:pPr>
      <w:r w:rsidRPr="00461C16">
        <w:t xml:space="preserve">podpis a autorizační razítko zpracovatele </w:t>
      </w:r>
    </w:p>
    <w:p w14:paraId="1F93F77C" w14:textId="77777777" w:rsidR="00810644" w:rsidRPr="00461C16" w:rsidRDefault="00810644" w:rsidP="00463305">
      <w:pPr>
        <w:spacing w:before="120" w:after="120" w:line="240" w:lineRule="auto"/>
        <w:jc w:val="left"/>
      </w:pPr>
    </w:p>
    <w:p w14:paraId="0A8A0DF1" w14:textId="77777777" w:rsidR="00463305" w:rsidRPr="00461C16" w:rsidRDefault="00463305">
      <w:pPr>
        <w:spacing w:line="240" w:lineRule="auto"/>
        <w:jc w:val="left"/>
      </w:pPr>
      <w:r w:rsidRPr="00461C16">
        <w:lastRenderedPageBreak/>
        <w:br w:type="page"/>
      </w:r>
    </w:p>
    <w:p w14:paraId="6D458B5F" w14:textId="77777777" w:rsidR="007F050A" w:rsidRPr="00461C16" w:rsidRDefault="007F050A" w:rsidP="00463305">
      <w:pPr>
        <w:spacing w:before="120" w:after="120" w:line="240" w:lineRule="auto"/>
        <w:jc w:val="left"/>
        <w:rPr>
          <w:b/>
          <w:caps/>
          <w:sz w:val="28"/>
          <w:szCs w:val="28"/>
          <w:lang w:eastAsia="en-US"/>
        </w:rPr>
      </w:pPr>
      <w:r w:rsidRPr="00461C16">
        <w:rPr>
          <w:b/>
          <w:caps/>
          <w:sz w:val="28"/>
          <w:szCs w:val="28"/>
          <w:lang w:eastAsia="en-US"/>
        </w:rPr>
        <w:lastRenderedPageBreak/>
        <w:t>SEZNAM DOKUMENTACE dle Přílohy č. 7 vyhlášky č. 500/2006 S</w:t>
      </w:r>
      <w:r w:rsidRPr="00461C16">
        <w:rPr>
          <w:b/>
          <w:sz w:val="28"/>
          <w:szCs w:val="28"/>
          <w:lang w:eastAsia="en-US"/>
        </w:rPr>
        <w:t>b</w:t>
      </w:r>
      <w:r w:rsidRPr="00461C16">
        <w:rPr>
          <w:b/>
          <w:caps/>
          <w:sz w:val="28"/>
          <w:szCs w:val="28"/>
          <w:lang w:eastAsia="en-US"/>
        </w:rPr>
        <w:t>.</w:t>
      </w:r>
    </w:p>
    <w:p w14:paraId="2000BDE4" w14:textId="77777777" w:rsidR="007F050A" w:rsidRPr="00461C16" w:rsidRDefault="007F050A" w:rsidP="007F050A">
      <w:pPr>
        <w:pStyle w:val="1text"/>
      </w:pPr>
    </w:p>
    <w:p w14:paraId="57818967" w14:textId="77F20B5D" w:rsidR="006E7D15" w:rsidRPr="00461C16" w:rsidRDefault="006E7D15" w:rsidP="006E7D15">
      <w:pPr>
        <w:pStyle w:val="Textbodu"/>
        <w:numPr>
          <w:ilvl w:val="0"/>
          <w:numId w:val="5"/>
        </w:numPr>
        <w:ind w:left="720"/>
        <w:jc w:val="left"/>
        <w:outlineLvl w:val="9"/>
        <w:rPr>
          <w:rFonts w:ascii="Arial Narrow" w:hAnsi="Arial Narrow"/>
          <w:b/>
          <w:bCs/>
          <w:sz w:val="26"/>
          <w:szCs w:val="26"/>
        </w:rPr>
      </w:pPr>
      <w:r w:rsidRPr="00461C16">
        <w:rPr>
          <w:rFonts w:ascii="Arial Narrow" w:hAnsi="Arial Narrow"/>
          <w:b/>
          <w:bCs/>
          <w:sz w:val="26"/>
          <w:szCs w:val="26"/>
        </w:rPr>
        <w:t xml:space="preserve">Územní plán </w:t>
      </w:r>
      <w:r w:rsidR="00C41F02" w:rsidRPr="00461C16">
        <w:rPr>
          <w:rFonts w:ascii="Arial Narrow" w:hAnsi="Arial Narrow"/>
          <w:b/>
          <w:bCs/>
          <w:sz w:val="26"/>
          <w:szCs w:val="26"/>
        </w:rPr>
        <w:t>Hrádek nad Nisou</w:t>
      </w:r>
      <w:r w:rsidRPr="00461C16">
        <w:rPr>
          <w:rFonts w:ascii="Arial Narrow" w:hAnsi="Arial Narrow"/>
          <w:b/>
          <w:bCs/>
          <w:sz w:val="26"/>
          <w:szCs w:val="26"/>
        </w:rPr>
        <w:t xml:space="preserve"> </w:t>
      </w:r>
      <w:r w:rsidR="00D61E44">
        <w:rPr>
          <w:rFonts w:ascii="Arial Narrow" w:hAnsi="Arial Narrow"/>
          <w:b/>
          <w:bCs/>
          <w:sz w:val="26"/>
          <w:szCs w:val="26"/>
        </w:rPr>
        <w:t xml:space="preserve"> </w:t>
      </w:r>
    </w:p>
    <w:p w14:paraId="1F810964" w14:textId="77777777" w:rsidR="007F050A" w:rsidRPr="00461C16" w:rsidRDefault="007F050A" w:rsidP="002772C5">
      <w:pPr>
        <w:pStyle w:val="Textbodu"/>
        <w:tabs>
          <w:tab w:val="left" w:pos="7655"/>
        </w:tabs>
        <w:ind w:left="1134"/>
        <w:outlineLvl w:val="9"/>
        <w:rPr>
          <w:rFonts w:ascii="Arial Narrow" w:hAnsi="Arial Narrow"/>
          <w:b/>
          <w:bCs/>
          <w:sz w:val="26"/>
          <w:szCs w:val="26"/>
        </w:rPr>
      </w:pPr>
      <w:r w:rsidRPr="00461C16">
        <w:rPr>
          <w:rFonts w:ascii="Arial Narrow" w:hAnsi="Arial Narrow"/>
          <w:b/>
          <w:bCs/>
          <w:sz w:val="26"/>
          <w:szCs w:val="26"/>
        </w:rPr>
        <w:t xml:space="preserve">Textová část </w:t>
      </w:r>
    </w:p>
    <w:p w14:paraId="3451F40E" w14:textId="77777777" w:rsidR="007F050A" w:rsidRPr="00461C16" w:rsidRDefault="007F050A" w:rsidP="002772C5">
      <w:pPr>
        <w:pStyle w:val="Textbodu"/>
        <w:tabs>
          <w:tab w:val="left" w:pos="7655"/>
        </w:tabs>
        <w:ind w:left="1134"/>
        <w:outlineLvl w:val="9"/>
        <w:rPr>
          <w:rFonts w:ascii="Arial Narrow" w:hAnsi="Arial Narrow"/>
          <w:b/>
          <w:bCs/>
          <w:sz w:val="26"/>
          <w:szCs w:val="26"/>
        </w:rPr>
      </w:pPr>
      <w:r w:rsidRPr="00461C16">
        <w:rPr>
          <w:rFonts w:ascii="Arial Narrow" w:hAnsi="Arial Narrow"/>
          <w:b/>
          <w:bCs/>
          <w:sz w:val="26"/>
          <w:szCs w:val="26"/>
        </w:rPr>
        <w:t>Grafická část</w:t>
      </w:r>
    </w:p>
    <w:p w14:paraId="470C95CD" w14:textId="77777777" w:rsidR="00D43641" w:rsidRPr="00461C16" w:rsidRDefault="00D43641" w:rsidP="00C559E3">
      <w:pPr>
        <w:pStyle w:val="Textbodu"/>
        <w:tabs>
          <w:tab w:val="left" w:pos="7655"/>
        </w:tabs>
        <w:spacing w:after="120"/>
        <w:ind w:left="589" w:firstLine="851"/>
        <w:outlineLvl w:val="9"/>
        <w:rPr>
          <w:rFonts w:ascii="Arial Narrow" w:hAnsi="Arial Narrow"/>
          <w:sz w:val="26"/>
          <w:szCs w:val="26"/>
        </w:rPr>
      </w:pPr>
      <w:r w:rsidRPr="00461C16">
        <w:rPr>
          <w:rFonts w:ascii="Arial Narrow" w:hAnsi="Arial Narrow"/>
          <w:sz w:val="26"/>
          <w:szCs w:val="26"/>
        </w:rPr>
        <w:t xml:space="preserve">I.1 Výkres základního členění území </w:t>
      </w:r>
      <w:r w:rsidR="00C559E3" w:rsidRPr="00461C16">
        <w:rPr>
          <w:rFonts w:ascii="Arial Narrow" w:hAnsi="Arial Narrow"/>
          <w:sz w:val="26"/>
          <w:szCs w:val="26"/>
        </w:rPr>
        <w:tab/>
      </w:r>
      <w:r w:rsidRPr="00461C16">
        <w:rPr>
          <w:rFonts w:ascii="Arial Narrow" w:hAnsi="Arial Narrow"/>
          <w:sz w:val="26"/>
          <w:szCs w:val="26"/>
        </w:rPr>
        <w:t xml:space="preserve">1: 5 000 </w:t>
      </w:r>
    </w:p>
    <w:p w14:paraId="48DBB5B6" w14:textId="77777777" w:rsidR="00D43641" w:rsidRPr="00461C16" w:rsidRDefault="00D43641" w:rsidP="00C559E3">
      <w:pPr>
        <w:pStyle w:val="Textbodu"/>
        <w:tabs>
          <w:tab w:val="left" w:pos="7655"/>
        </w:tabs>
        <w:spacing w:after="120"/>
        <w:ind w:left="589" w:firstLine="851"/>
        <w:outlineLvl w:val="9"/>
        <w:rPr>
          <w:rFonts w:ascii="Arial Narrow" w:hAnsi="Arial Narrow"/>
          <w:sz w:val="26"/>
          <w:szCs w:val="26"/>
        </w:rPr>
      </w:pPr>
      <w:r w:rsidRPr="00461C16">
        <w:rPr>
          <w:rFonts w:ascii="Arial Narrow" w:hAnsi="Arial Narrow"/>
          <w:sz w:val="26"/>
          <w:szCs w:val="26"/>
        </w:rPr>
        <w:t xml:space="preserve">I.2a Hlavní výkres – </w:t>
      </w:r>
      <w:r w:rsidR="00C559E3" w:rsidRPr="00461C16">
        <w:rPr>
          <w:rFonts w:ascii="Arial Narrow" w:hAnsi="Arial Narrow"/>
          <w:sz w:val="26"/>
          <w:szCs w:val="26"/>
        </w:rPr>
        <w:t xml:space="preserve">způsob využití území </w:t>
      </w:r>
      <w:r w:rsidR="00C559E3" w:rsidRPr="00461C16">
        <w:rPr>
          <w:rFonts w:ascii="Arial Narrow" w:hAnsi="Arial Narrow"/>
          <w:sz w:val="26"/>
          <w:szCs w:val="26"/>
        </w:rPr>
        <w:tab/>
      </w:r>
      <w:r w:rsidRPr="00461C16">
        <w:rPr>
          <w:rFonts w:ascii="Arial Narrow" w:hAnsi="Arial Narrow"/>
          <w:sz w:val="26"/>
          <w:szCs w:val="26"/>
        </w:rPr>
        <w:t>1: 5 000</w:t>
      </w:r>
    </w:p>
    <w:p w14:paraId="2FD6D199" w14:textId="77777777" w:rsidR="00D43641" w:rsidRPr="00461C16" w:rsidRDefault="00D43641" w:rsidP="00C559E3">
      <w:pPr>
        <w:pStyle w:val="Textbodu"/>
        <w:tabs>
          <w:tab w:val="left" w:pos="7655"/>
        </w:tabs>
        <w:spacing w:after="120"/>
        <w:ind w:left="589" w:firstLine="851"/>
        <w:outlineLvl w:val="9"/>
        <w:rPr>
          <w:rFonts w:ascii="Arial Narrow" w:hAnsi="Arial Narrow"/>
          <w:sz w:val="26"/>
          <w:szCs w:val="26"/>
        </w:rPr>
      </w:pPr>
      <w:r w:rsidRPr="00461C16">
        <w:rPr>
          <w:rFonts w:ascii="Arial Narrow" w:hAnsi="Arial Narrow"/>
          <w:sz w:val="26"/>
          <w:szCs w:val="26"/>
        </w:rPr>
        <w:t xml:space="preserve">I.2b Hlavní výkres – prostorové uspořádání území </w:t>
      </w:r>
      <w:r w:rsidR="00C559E3" w:rsidRPr="00461C16">
        <w:rPr>
          <w:rFonts w:ascii="Arial Narrow" w:hAnsi="Arial Narrow"/>
          <w:sz w:val="26"/>
          <w:szCs w:val="26"/>
        </w:rPr>
        <w:tab/>
      </w:r>
      <w:r w:rsidRPr="00461C16">
        <w:rPr>
          <w:rFonts w:ascii="Arial Narrow" w:hAnsi="Arial Narrow"/>
          <w:sz w:val="26"/>
          <w:szCs w:val="26"/>
        </w:rPr>
        <w:t>1: 5</w:t>
      </w:r>
      <w:r w:rsidR="00EA3D09" w:rsidRPr="00461C16">
        <w:rPr>
          <w:rFonts w:ascii="Arial Narrow" w:hAnsi="Arial Narrow"/>
          <w:sz w:val="26"/>
          <w:szCs w:val="26"/>
        </w:rPr>
        <w:t> </w:t>
      </w:r>
      <w:r w:rsidRPr="00461C16">
        <w:rPr>
          <w:rFonts w:ascii="Arial Narrow" w:hAnsi="Arial Narrow"/>
          <w:sz w:val="26"/>
          <w:szCs w:val="26"/>
        </w:rPr>
        <w:t>000</w:t>
      </w:r>
    </w:p>
    <w:p w14:paraId="5F33A330" w14:textId="77777777" w:rsidR="00EA3D09" w:rsidRPr="00461C16" w:rsidRDefault="00EA3D09" w:rsidP="00C559E3">
      <w:pPr>
        <w:pStyle w:val="Textbodu"/>
        <w:tabs>
          <w:tab w:val="left" w:pos="7655"/>
        </w:tabs>
        <w:spacing w:after="120"/>
        <w:ind w:left="589" w:firstLine="851"/>
        <w:outlineLvl w:val="9"/>
        <w:rPr>
          <w:rFonts w:ascii="Arial Narrow" w:hAnsi="Arial Narrow"/>
          <w:sz w:val="26"/>
          <w:szCs w:val="26"/>
        </w:rPr>
      </w:pPr>
      <w:r w:rsidRPr="00461C16">
        <w:rPr>
          <w:rFonts w:ascii="Arial Narrow" w:hAnsi="Arial Narrow"/>
          <w:sz w:val="26"/>
          <w:szCs w:val="26"/>
        </w:rPr>
        <w:t xml:space="preserve">I.2c Hlavní výkres – koncepce </w:t>
      </w:r>
      <w:r w:rsidR="00785859">
        <w:rPr>
          <w:rFonts w:ascii="Arial Narrow" w:hAnsi="Arial Narrow"/>
          <w:sz w:val="26"/>
          <w:szCs w:val="26"/>
        </w:rPr>
        <w:t>veřejné</w:t>
      </w:r>
      <w:r w:rsidRPr="00461C16">
        <w:rPr>
          <w:rFonts w:ascii="Arial Narrow" w:hAnsi="Arial Narrow"/>
          <w:sz w:val="26"/>
          <w:szCs w:val="26"/>
        </w:rPr>
        <w:t xml:space="preserve"> infrastruktury</w:t>
      </w:r>
      <w:r w:rsidRPr="00461C16">
        <w:rPr>
          <w:rFonts w:ascii="Arial Narrow" w:hAnsi="Arial Narrow"/>
          <w:sz w:val="26"/>
          <w:szCs w:val="26"/>
        </w:rPr>
        <w:tab/>
        <w:t>1: 5 000</w:t>
      </w:r>
    </w:p>
    <w:p w14:paraId="5B0842A6" w14:textId="77777777" w:rsidR="007F050A" w:rsidRPr="00461C16" w:rsidRDefault="00D43641" w:rsidP="00C559E3">
      <w:pPr>
        <w:pStyle w:val="Textbodu"/>
        <w:tabs>
          <w:tab w:val="left" w:pos="7655"/>
        </w:tabs>
        <w:spacing w:after="120"/>
        <w:ind w:left="589" w:firstLine="851"/>
        <w:outlineLvl w:val="9"/>
        <w:rPr>
          <w:rFonts w:ascii="Arial Narrow" w:hAnsi="Arial Narrow"/>
          <w:sz w:val="26"/>
          <w:szCs w:val="26"/>
        </w:rPr>
      </w:pPr>
      <w:r w:rsidRPr="00461C16">
        <w:rPr>
          <w:rFonts w:ascii="Arial Narrow" w:hAnsi="Arial Narrow"/>
          <w:sz w:val="26"/>
          <w:szCs w:val="26"/>
        </w:rPr>
        <w:t xml:space="preserve">I.3 Výkres veřejně prospěšných staveb, opatření a </w:t>
      </w:r>
      <w:r w:rsidR="00347912" w:rsidRPr="00461C16">
        <w:rPr>
          <w:rFonts w:ascii="Arial Narrow" w:hAnsi="Arial Narrow"/>
          <w:sz w:val="26"/>
          <w:szCs w:val="26"/>
        </w:rPr>
        <w:t>a</w:t>
      </w:r>
      <w:r w:rsidRPr="00461C16">
        <w:rPr>
          <w:rFonts w:ascii="Arial Narrow" w:hAnsi="Arial Narrow"/>
          <w:sz w:val="26"/>
          <w:szCs w:val="26"/>
        </w:rPr>
        <w:t xml:space="preserve">sanací </w:t>
      </w:r>
      <w:r w:rsidR="00C559E3" w:rsidRPr="00461C16">
        <w:rPr>
          <w:rFonts w:ascii="Arial Narrow" w:hAnsi="Arial Narrow"/>
          <w:sz w:val="26"/>
          <w:szCs w:val="26"/>
        </w:rPr>
        <w:tab/>
      </w:r>
      <w:r w:rsidRPr="00461C16">
        <w:rPr>
          <w:rFonts w:ascii="Arial Narrow" w:hAnsi="Arial Narrow"/>
          <w:sz w:val="26"/>
          <w:szCs w:val="26"/>
        </w:rPr>
        <w:t>1:</w:t>
      </w:r>
      <w:r w:rsidR="00BF2D38" w:rsidRPr="00461C16">
        <w:rPr>
          <w:rFonts w:ascii="Arial Narrow" w:hAnsi="Arial Narrow"/>
          <w:sz w:val="26"/>
          <w:szCs w:val="26"/>
        </w:rPr>
        <w:t xml:space="preserve"> </w:t>
      </w:r>
      <w:r w:rsidRPr="00461C16">
        <w:rPr>
          <w:rFonts w:ascii="Arial Narrow" w:hAnsi="Arial Narrow"/>
          <w:sz w:val="26"/>
          <w:szCs w:val="26"/>
        </w:rPr>
        <w:t>5 000</w:t>
      </w:r>
    </w:p>
    <w:p w14:paraId="66F1CED1" w14:textId="77777777" w:rsidR="007F050A" w:rsidRPr="00461C16" w:rsidRDefault="007F050A" w:rsidP="00C559E3">
      <w:pPr>
        <w:pStyle w:val="1text"/>
        <w:tabs>
          <w:tab w:val="left" w:pos="7655"/>
        </w:tabs>
      </w:pPr>
    </w:p>
    <w:p w14:paraId="65981312" w14:textId="5B1ACA83" w:rsidR="006E7D15" w:rsidRPr="00461C16" w:rsidRDefault="000C0310" w:rsidP="00C559E3">
      <w:pPr>
        <w:pStyle w:val="Textbodu"/>
        <w:numPr>
          <w:ilvl w:val="0"/>
          <w:numId w:val="5"/>
        </w:numPr>
        <w:tabs>
          <w:tab w:val="left" w:pos="7655"/>
        </w:tabs>
        <w:ind w:left="720"/>
        <w:jc w:val="left"/>
        <w:outlineLvl w:val="9"/>
        <w:rPr>
          <w:rFonts w:ascii="Arial Narrow" w:hAnsi="Arial Narrow"/>
          <w:b/>
          <w:bCs/>
          <w:sz w:val="26"/>
          <w:szCs w:val="26"/>
        </w:rPr>
      </w:pPr>
      <w:r w:rsidRPr="00461C16">
        <w:rPr>
          <w:rFonts w:ascii="Arial Narrow" w:hAnsi="Arial Narrow"/>
          <w:b/>
          <w:bCs/>
          <w:sz w:val="26"/>
          <w:szCs w:val="26"/>
        </w:rPr>
        <w:t xml:space="preserve">Územní plán </w:t>
      </w:r>
      <w:r w:rsidR="00C41F02" w:rsidRPr="00461C16">
        <w:rPr>
          <w:rFonts w:ascii="Arial Narrow" w:hAnsi="Arial Narrow"/>
          <w:b/>
          <w:bCs/>
          <w:sz w:val="26"/>
          <w:szCs w:val="26"/>
        </w:rPr>
        <w:t>Hrádek nad Nisou</w:t>
      </w:r>
      <w:r w:rsidRPr="00461C16">
        <w:rPr>
          <w:rFonts w:ascii="Arial Narrow" w:hAnsi="Arial Narrow"/>
          <w:b/>
          <w:bCs/>
          <w:sz w:val="26"/>
          <w:szCs w:val="26"/>
        </w:rPr>
        <w:t xml:space="preserve"> </w:t>
      </w:r>
    </w:p>
    <w:p w14:paraId="16209001" w14:textId="77777777" w:rsidR="007F050A" w:rsidRPr="00461C16" w:rsidRDefault="007F050A" w:rsidP="002772C5">
      <w:pPr>
        <w:pStyle w:val="Textbodu"/>
        <w:tabs>
          <w:tab w:val="left" w:pos="7655"/>
        </w:tabs>
        <w:ind w:left="1134"/>
        <w:outlineLvl w:val="9"/>
        <w:rPr>
          <w:rFonts w:ascii="Arial Narrow" w:hAnsi="Arial Narrow"/>
          <w:b/>
          <w:bCs/>
          <w:sz w:val="26"/>
          <w:szCs w:val="26"/>
        </w:rPr>
      </w:pPr>
      <w:r w:rsidRPr="00461C16">
        <w:rPr>
          <w:rFonts w:ascii="Arial Narrow" w:hAnsi="Arial Narrow"/>
          <w:b/>
          <w:bCs/>
          <w:sz w:val="26"/>
          <w:szCs w:val="26"/>
        </w:rPr>
        <w:t xml:space="preserve">Textová část </w:t>
      </w:r>
    </w:p>
    <w:p w14:paraId="7A413081" w14:textId="77777777" w:rsidR="007F050A" w:rsidRPr="00461C16" w:rsidRDefault="007F050A" w:rsidP="002772C5">
      <w:pPr>
        <w:pStyle w:val="Textbodu"/>
        <w:tabs>
          <w:tab w:val="left" w:pos="7655"/>
        </w:tabs>
        <w:ind w:left="1134"/>
        <w:outlineLvl w:val="9"/>
        <w:rPr>
          <w:rFonts w:ascii="Arial Narrow" w:hAnsi="Arial Narrow"/>
          <w:b/>
          <w:bCs/>
          <w:sz w:val="26"/>
          <w:szCs w:val="26"/>
        </w:rPr>
      </w:pPr>
      <w:r w:rsidRPr="00461C16">
        <w:rPr>
          <w:rFonts w:ascii="Arial Narrow" w:hAnsi="Arial Narrow"/>
          <w:b/>
          <w:bCs/>
          <w:sz w:val="26"/>
          <w:szCs w:val="26"/>
        </w:rPr>
        <w:t>Grafická část</w:t>
      </w:r>
    </w:p>
    <w:p w14:paraId="31EEC345" w14:textId="77777777" w:rsidR="007F050A" w:rsidRPr="00461C16" w:rsidRDefault="007F050A" w:rsidP="00C559E3">
      <w:pPr>
        <w:pStyle w:val="Textbodu"/>
        <w:tabs>
          <w:tab w:val="left" w:pos="7655"/>
        </w:tabs>
        <w:spacing w:after="120"/>
        <w:ind w:left="720" w:firstLine="720"/>
        <w:outlineLvl w:val="9"/>
        <w:rPr>
          <w:rFonts w:ascii="Arial Narrow" w:hAnsi="Arial Narrow"/>
          <w:sz w:val="26"/>
          <w:szCs w:val="26"/>
        </w:rPr>
      </w:pPr>
      <w:r w:rsidRPr="00461C16">
        <w:rPr>
          <w:rFonts w:ascii="Arial Narrow" w:hAnsi="Arial Narrow"/>
          <w:sz w:val="26"/>
          <w:szCs w:val="26"/>
        </w:rPr>
        <w:t xml:space="preserve">II.1 Koordinační výkres </w:t>
      </w:r>
      <w:r w:rsidR="00C559E3" w:rsidRPr="00461C16">
        <w:rPr>
          <w:rFonts w:ascii="Arial Narrow" w:hAnsi="Arial Narrow"/>
          <w:sz w:val="26"/>
          <w:szCs w:val="26"/>
        </w:rPr>
        <w:tab/>
      </w:r>
      <w:r w:rsidRPr="00461C16">
        <w:rPr>
          <w:rFonts w:ascii="Arial Narrow" w:hAnsi="Arial Narrow"/>
          <w:sz w:val="26"/>
          <w:szCs w:val="26"/>
        </w:rPr>
        <w:t xml:space="preserve">1: 5 000 </w:t>
      </w:r>
    </w:p>
    <w:p w14:paraId="2FC5F207" w14:textId="77777777" w:rsidR="007F050A" w:rsidRPr="00461C16" w:rsidRDefault="007F050A" w:rsidP="00C559E3">
      <w:pPr>
        <w:pStyle w:val="Textbodu"/>
        <w:tabs>
          <w:tab w:val="left" w:pos="7655"/>
        </w:tabs>
        <w:spacing w:after="120"/>
        <w:ind w:left="720" w:firstLine="720"/>
        <w:outlineLvl w:val="9"/>
        <w:rPr>
          <w:rFonts w:ascii="Arial Narrow" w:hAnsi="Arial Narrow"/>
          <w:sz w:val="26"/>
          <w:szCs w:val="26"/>
        </w:rPr>
      </w:pPr>
      <w:r w:rsidRPr="00461C16">
        <w:rPr>
          <w:rFonts w:ascii="Arial Narrow" w:hAnsi="Arial Narrow"/>
          <w:sz w:val="26"/>
          <w:szCs w:val="26"/>
        </w:rPr>
        <w:t xml:space="preserve">II.2 Výkres širších vztahů </w:t>
      </w:r>
      <w:r w:rsidR="00C559E3" w:rsidRPr="00461C16">
        <w:rPr>
          <w:rFonts w:ascii="Arial Narrow" w:hAnsi="Arial Narrow"/>
          <w:sz w:val="26"/>
          <w:szCs w:val="26"/>
        </w:rPr>
        <w:tab/>
      </w:r>
      <w:r w:rsidRPr="00461C16">
        <w:rPr>
          <w:rFonts w:ascii="Arial Narrow" w:hAnsi="Arial Narrow"/>
          <w:sz w:val="26"/>
          <w:szCs w:val="26"/>
        </w:rPr>
        <w:t>1</w:t>
      </w:r>
      <w:r w:rsidR="00C559E3" w:rsidRPr="00461C16">
        <w:rPr>
          <w:rFonts w:ascii="Arial Narrow" w:hAnsi="Arial Narrow"/>
          <w:sz w:val="26"/>
          <w:szCs w:val="26"/>
        </w:rPr>
        <w:t>:</w:t>
      </w:r>
      <w:r w:rsidR="00BF2D38" w:rsidRPr="00461C16">
        <w:rPr>
          <w:rFonts w:ascii="Arial Narrow" w:hAnsi="Arial Narrow"/>
          <w:sz w:val="26"/>
          <w:szCs w:val="26"/>
        </w:rPr>
        <w:t xml:space="preserve"> </w:t>
      </w:r>
      <w:r w:rsidR="00C559E3" w:rsidRPr="00461C16">
        <w:rPr>
          <w:rFonts w:ascii="Arial Narrow" w:hAnsi="Arial Narrow"/>
          <w:sz w:val="26"/>
          <w:szCs w:val="26"/>
        </w:rPr>
        <w:t>5</w:t>
      </w:r>
      <w:r w:rsidR="006E7D15" w:rsidRPr="00461C16">
        <w:rPr>
          <w:rFonts w:ascii="Arial Narrow" w:hAnsi="Arial Narrow"/>
          <w:sz w:val="26"/>
          <w:szCs w:val="26"/>
        </w:rPr>
        <w:t>0</w:t>
      </w:r>
      <w:r w:rsidR="000C0310" w:rsidRPr="00461C16">
        <w:rPr>
          <w:rFonts w:ascii="Arial Narrow" w:hAnsi="Arial Narrow"/>
          <w:sz w:val="26"/>
          <w:szCs w:val="26"/>
        </w:rPr>
        <w:t xml:space="preserve"> </w:t>
      </w:r>
      <w:r w:rsidR="006E7D15" w:rsidRPr="00461C16">
        <w:rPr>
          <w:rFonts w:ascii="Arial Narrow" w:hAnsi="Arial Narrow"/>
          <w:sz w:val="26"/>
          <w:szCs w:val="26"/>
        </w:rPr>
        <w:t>000</w:t>
      </w:r>
    </w:p>
    <w:p w14:paraId="57E2C6B7" w14:textId="77777777" w:rsidR="007F050A" w:rsidRPr="00461C16" w:rsidRDefault="007F050A" w:rsidP="00C559E3">
      <w:pPr>
        <w:pStyle w:val="Textbodu"/>
        <w:tabs>
          <w:tab w:val="left" w:pos="7655"/>
        </w:tabs>
        <w:spacing w:after="120"/>
        <w:ind w:left="589" w:firstLine="851"/>
        <w:outlineLvl w:val="9"/>
        <w:rPr>
          <w:rFonts w:ascii="Arial Narrow" w:hAnsi="Arial Narrow"/>
          <w:sz w:val="26"/>
          <w:szCs w:val="26"/>
        </w:rPr>
      </w:pPr>
      <w:r w:rsidRPr="00461C16">
        <w:rPr>
          <w:rFonts w:ascii="Arial Narrow" w:hAnsi="Arial Narrow"/>
          <w:sz w:val="26"/>
          <w:szCs w:val="26"/>
        </w:rPr>
        <w:t xml:space="preserve">II.3 Výkres předpokládaných záborů půdního fondu </w:t>
      </w:r>
      <w:r w:rsidR="00C559E3" w:rsidRPr="00461C16">
        <w:rPr>
          <w:rFonts w:ascii="Arial Narrow" w:hAnsi="Arial Narrow"/>
          <w:sz w:val="26"/>
          <w:szCs w:val="26"/>
        </w:rPr>
        <w:tab/>
      </w:r>
      <w:r w:rsidRPr="00461C16">
        <w:rPr>
          <w:rFonts w:ascii="Arial Narrow" w:hAnsi="Arial Narrow"/>
          <w:sz w:val="26"/>
          <w:szCs w:val="26"/>
        </w:rPr>
        <w:t xml:space="preserve">1 : 5 000 </w:t>
      </w:r>
    </w:p>
    <w:p w14:paraId="31EE41F5" w14:textId="77777777" w:rsidR="00A9758D" w:rsidRPr="00461C16" w:rsidRDefault="00A9758D" w:rsidP="007F050A">
      <w:pPr>
        <w:pStyle w:val="1text"/>
        <w:rPr>
          <w:b/>
          <w:caps/>
          <w:sz w:val="28"/>
          <w:szCs w:val="28"/>
          <w:lang w:eastAsia="en-US"/>
        </w:rPr>
      </w:pPr>
    </w:p>
    <w:p w14:paraId="1C6527ED" w14:textId="77777777" w:rsidR="00324E1F" w:rsidRPr="00461C16" w:rsidRDefault="00324E1F">
      <w:pPr>
        <w:spacing w:line="240" w:lineRule="auto"/>
        <w:jc w:val="left"/>
        <w:rPr>
          <w:b/>
          <w:caps/>
          <w:sz w:val="28"/>
          <w:szCs w:val="28"/>
          <w:lang w:eastAsia="en-US"/>
        </w:rPr>
      </w:pPr>
      <w:r w:rsidRPr="00461C16">
        <w:rPr>
          <w:b/>
          <w:caps/>
          <w:sz w:val="28"/>
          <w:szCs w:val="28"/>
          <w:lang w:eastAsia="en-US"/>
        </w:rPr>
        <w:br w:type="page"/>
      </w:r>
    </w:p>
    <w:p w14:paraId="3B42A463" w14:textId="77777777" w:rsidR="00F440F6" w:rsidRDefault="00F440F6">
      <w:pPr>
        <w:spacing w:line="240" w:lineRule="auto"/>
        <w:jc w:val="left"/>
        <w:rPr>
          <w:b/>
          <w:caps/>
          <w:sz w:val="28"/>
          <w:szCs w:val="28"/>
          <w:lang w:eastAsia="en-US"/>
        </w:rPr>
      </w:pPr>
      <w:r>
        <w:rPr>
          <w:b/>
          <w:caps/>
          <w:sz w:val="28"/>
          <w:szCs w:val="28"/>
          <w:lang w:eastAsia="en-US"/>
        </w:rPr>
        <w:lastRenderedPageBreak/>
        <w:br w:type="page"/>
      </w:r>
    </w:p>
    <w:p w14:paraId="6FB9735B" w14:textId="38DAC19E" w:rsidR="00A9758D" w:rsidRPr="00461C16" w:rsidRDefault="00A9758D" w:rsidP="00E4588D">
      <w:pPr>
        <w:pStyle w:val="1text"/>
        <w:spacing w:after="240"/>
        <w:rPr>
          <w:b/>
          <w:caps/>
          <w:sz w:val="28"/>
          <w:szCs w:val="28"/>
          <w:lang w:eastAsia="en-US"/>
        </w:rPr>
      </w:pPr>
      <w:r w:rsidRPr="00461C16">
        <w:rPr>
          <w:b/>
          <w:caps/>
          <w:sz w:val="28"/>
          <w:szCs w:val="28"/>
          <w:lang w:eastAsia="en-US"/>
        </w:rPr>
        <w:lastRenderedPageBreak/>
        <w:t xml:space="preserve">OBSAH textové části </w:t>
      </w:r>
      <w:r w:rsidR="007F050A" w:rsidRPr="00461C16">
        <w:rPr>
          <w:b/>
          <w:caps/>
          <w:sz w:val="28"/>
          <w:szCs w:val="28"/>
          <w:lang w:eastAsia="en-US"/>
        </w:rPr>
        <w:t xml:space="preserve">odůvodnění </w:t>
      </w:r>
      <w:r w:rsidR="00A857E6">
        <w:rPr>
          <w:b/>
          <w:caps/>
          <w:sz w:val="28"/>
          <w:szCs w:val="28"/>
          <w:lang w:eastAsia="en-US"/>
        </w:rPr>
        <w:t>ÚP</w:t>
      </w:r>
      <w:bookmarkStart w:id="2" w:name="_GoBack"/>
      <w:bookmarkEnd w:id="2"/>
    </w:p>
    <w:p w14:paraId="37B731D8" w14:textId="77777777" w:rsidR="00B567E6" w:rsidRDefault="00AD2E81">
      <w:pPr>
        <w:pStyle w:val="TOC1"/>
        <w:rPr>
          <w:rFonts w:asciiTheme="minorHAnsi" w:eastAsiaTheme="minorEastAsia" w:hAnsiTheme="minorHAnsi" w:cstheme="minorBidi"/>
          <w:sz w:val="22"/>
          <w:szCs w:val="22"/>
          <w:lang w:eastAsia="cs-CZ"/>
        </w:rPr>
      </w:pPr>
      <w:r w:rsidRPr="00461C16">
        <w:fldChar w:fldCharType="begin"/>
      </w:r>
      <w:r w:rsidRPr="00461C16">
        <w:instrText xml:space="preserve"> TOC \o "1-3" \h \z \u </w:instrText>
      </w:r>
      <w:r w:rsidRPr="00461C16">
        <w:fldChar w:fldCharType="separate"/>
      </w:r>
      <w:hyperlink w:anchor="_Toc36116231" w:history="1">
        <w:r w:rsidR="00B567E6" w:rsidRPr="00793D71">
          <w:rPr>
            <w:rStyle w:val="Hyperlink"/>
          </w:rPr>
          <w:t>POSTUP POŘÍZENÍ ÚZEMNÍHO PLÁNU</w:t>
        </w:r>
        <w:r w:rsidR="00B567E6">
          <w:rPr>
            <w:webHidden/>
          </w:rPr>
          <w:tab/>
        </w:r>
        <w:r w:rsidR="00B567E6">
          <w:rPr>
            <w:webHidden/>
          </w:rPr>
          <w:fldChar w:fldCharType="begin"/>
        </w:r>
        <w:r w:rsidR="00B567E6">
          <w:rPr>
            <w:webHidden/>
          </w:rPr>
          <w:instrText xml:space="preserve"> PAGEREF _Toc36116231 \h </w:instrText>
        </w:r>
        <w:r w:rsidR="00B567E6">
          <w:rPr>
            <w:webHidden/>
          </w:rPr>
        </w:r>
        <w:r w:rsidR="00B567E6">
          <w:rPr>
            <w:webHidden/>
          </w:rPr>
          <w:fldChar w:fldCharType="separate"/>
        </w:r>
        <w:r w:rsidR="00B567E6">
          <w:rPr>
            <w:webHidden/>
          </w:rPr>
          <w:t>1</w:t>
        </w:r>
        <w:r w:rsidR="00B567E6">
          <w:rPr>
            <w:webHidden/>
          </w:rPr>
          <w:fldChar w:fldCharType="end"/>
        </w:r>
      </w:hyperlink>
    </w:p>
    <w:p w14:paraId="0A000144" w14:textId="77777777" w:rsidR="00B567E6" w:rsidRDefault="00B567E6">
      <w:pPr>
        <w:pStyle w:val="TOC1"/>
        <w:rPr>
          <w:rFonts w:asciiTheme="minorHAnsi" w:eastAsiaTheme="minorEastAsia" w:hAnsiTheme="minorHAnsi" w:cstheme="minorBidi"/>
          <w:sz w:val="22"/>
          <w:szCs w:val="22"/>
          <w:lang w:eastAsia="cs-CZ"/>
        </w:rPr>
      </w:pPr>
      <w:hyperlink w:anchor="_Toc36116232" w:history="1">
        <w:r w:rsidRPr="00793D71">
          <w:rPr>
            <w:rStyle w:val="Hyperlink"/>
          </w:rPr>
          <w:t>1.</w:t>
        </w:r>
        <w:r>
          <w:rPr>
            <w:rFonts w:asciiTheme="minorHAnsi" w:eastAsiaTheme="minorEastAsia" w:hAnsiTheme="minorHAnsi" w:cstheme="minorBidi"/>
            <w:sz w:val="22"/>
            <w:szCs w:val="22"/>
            <w:lang w:eastAsia="cs-CZ"/>
          </w:rPr>
          <w:tab/>
        </w:r>
        <w:r w:rsidRPr="00793D71">
          <w:rPr>
            <w:rStyle w:val="Hyperlink"/>
          </w:rPr>
          <w:t>VYHODNOCENÍ SOULADU ÚZEMNÍHO PLÁNU PODLE § 53 ODST. 4 ZÁKONA Č. 183/2006 SB.</w:t>
        </w:r>
        <w:r>
          <w:rPr>
            <w:webHidden/>
          </w:rPr>
          <w:tab/>
        </w:r>
        <w:r>
          <w:rPr>
            <w:webHidden/>
          </w:rPr>
          <w:fldChar w:fldCharType="begin"/>
        </w:r>
        <w:r>
          <w:rPr>
            <w:webHidden/>
          </w:rPr>
          <w:instrText xml:space="preserve"> PAGEREF _Toc36116232 \h </w:instrText>
        </w:r>
        <w:r>
          <w:rPr>
            <w:webHidden/>
          </w:rPr>
        </w:r>
        <w:r>
          <w:rPr>
            <w:webHidden/>
          </w:rPr>
          <w:fldChar w:fldCharType="separate"/>
        </w:r>
        <w:r>
          <w:rPr>
            <w:webHidden/>
          </w:rPr>
          <w:t>3</w:t>
        </w:r>
        <w:r>
          <w:rPr>
            <w:webHidden/>
          </w:rPr>
          <w:fldChar w:fldCharType="end"/>
        </w:r>
      </w:hyperlink>
    </w:p>
    <w:p w14:paraId="3D3D405B" w14:textId="77777777" w:rsidR="00B567E6" w:rsidRDefault="00B567E6">
      <w:pPr>
        <w:pStyle w:val="TOC2"/>
        <w:rPr>
          <w:rFonts w:asciiTheme="minorHAnsi" w:eastAsiaTheme="minorEastAsia" w:hAnsiTheme="minorHAnsi" w:cstheme="minorBidi"/>
          <w:noProof/>
          <w:sz w:val="22"/>
          <w:lang w:eastAsia="cs-CZ"/>
        </w:rPr>
      </w:pPr>
      <w:hyperlink w:anchor="_Toc36116233" w:history="1">
        <w:r w:rsidRPr="00793D71">
          <w:rPr>
            <w:rStyle w:val="Hyperlink"/>
            <w:noProof/>
          </w:rPr>
          <w:t>1.1</w:t>
        </w:r>
        <w:r>
          <w:rPr>
            <w:rFonts w:asciiTheme="minorHAnsi" w:eastAsiaTheme="minorEastAsia" w:hAnsiTheme="minorHAnsi" w:cstheme="minorBidi"/>
            <w:noProof/>
            <w:sz w:val="22"/>
            <w:lang w:eastAsia="cs-CZ"/>
          </w:rPr>
          <w:tab/>
        </w:r>
        <w:r w:rsidRPr="00793D71">
          <w:rPr>
            <w:rStyle w:val="Hyperlink"/>
            <w:noProof/>
          </w:rPr>
          <w:t>Vyhodnocení souladu s Politikou územního rozvoje ČR</w:t>
        </w:r>
        <w:r>
          <w:rPr>
            <w:noProof/>
            <w:webHidden/>
          </w:rPr>
          <w:tab/>
        </w:r>
        <w:r>
          <w:rPr>
            <w:noProof/>
            <w:webHidden/>
          </w:rPr>
          <w:fldChar w:fldCharType="begin"/>
        </w:r>
        <w:r>
          <w:rPr>
            <w:noProof/>
            <w:webHidden/>
          </w:rPr>
          <w:instrText xml:space="preserve"> PAGEREF _Toc36116233 \h </w:instrText>
        </w:r>
        <w:r>
          <w:rPr>
            <w:noProof/>
            <w:webHidden/>
          </w:rPr>
        </w:r>
        <w:r>
          <w:rPr>
            <w:noProof/>
            <w:webHidden/>
          </w:rPr>
          <w:fldChar w:fldCharType="separate"/>
        </w:r>
        <w:r>
          <w:rPr>
            <w:noProof/>
            <w:webHidden/>
          </w:rPr>
          <w:t>3</w:t>
        </w:r>
        <w:r>
          <w:rPr>
            <w:noProof/>
            <w:webHidden/>
          </w:rPr>
          <w:fldChar w:fldCharType="end"/>
        </w:r>
      </w:hyperlink>
    </w:p>
    <w:p w14:paraId="71DAB4CD" w14:textId="77777777" w:rsidR="00B567E6" w:rsidRDefault="00B567E6">
      <w:pPr>
        <w:pStyle w:val="TOC3"/>
        <w:rPr>
          <w:rFonts w:asciiTheme="minorHAnsi" w:eastAsiaTheme="minorEastAsia" w:hAnsiTheme="minorHAnsi" w:cstheme="minorBidi"/>
          <w:bCs w:val="0"/>
          <w:sz w:val="22"/>
          <w:szCs w:val="22"/>
          <w:lang w:eastAsia="cs-CZ"/>
        </w:rPr>
      </w:pPr>
      <w:hyperlink w:anchor="_Toc36116234" w:history="1">
        <w:r w:rsidRPr="00793D71">
          <w:rPr>
            <w:rStyle w:val="Hyperlink"/>
          </w:rPr>
          <w:t>1.1.1</w:t>
        </w:r>
        <w:r>
          <w:rPr>
            <w:rFonts w:asciiTheme="minorHAnsi" w:eastAsiaTheme="minorEastAsia" w:hAnsiTheme="minorHAnsi" w:cstheme="minorBidi"/>
            <w:bCs w:val="0"/>
            <w:sz w:val="22"/>
            <w:szCs w:val="22"/>
            <w:lang w:eastAsia="cs-CZ"/>
          </w:rPr>
          <w:tab/>
        </w:r>
        <w:r w:rsidRPr="00793D71">
          <w:rPr>
            <w:rStyle w:val="Hyperlink"/>
          </w:rPr>
          <w:t>Republikové priority územního plánování</w:t>
        </w:r>
        <w:r>
          <w:rPr>
            <w:webHidden/>
          </w:rPr>
          <w:tab/>
        </w:r>
        <w:r>
          <w:rPr>
            <w:webHidden/>
          </w:rPr>
          <w:fldChar w:fldCharType="begin"/>
        </w:r>
        <w:r>
          <w:rPr>
            <w:webHidden/>
          </w:rPr>
          <w:instrText xml:space="preserve"> PAGEREF _Toc36116234 \h </w:instrText>
        </w:r>
        <w:r>
          <w:rPr>
            <w:webHidden/>
          </w:rPr>
        </w:r>
        <w:r>
          <w:rPr>
            <w:webHidden/>
          </w:rPr>
          <w:fldChar w:fldCharType="separate"/>
        </w:r>
        <w:r>
          <w:rPr>
            <w:webHidden/>
          </w:rPr>
          <w:t>3</w:t>
        </w:r>
        <w:r>
          <w:rPr>
            <w:webHidden/>
          </w:rPr>
          <w:fldChar w:fldCharType="end"/>
        </w:r>
      </w:hyperlink>
    </w:p>
    <w:p w14:paraId="6E572331" w14:textId="77777777" w:rsidR="00B567E6" w:rsidRDefault="00B567E6">
      <w:pPr>
        <w:pStyle w:val="TOC3"/>
        <w:rPr>
          <w:rFonts w:asciiTheme="minorHAnsi" w:eastAsiaTheme="minorEastAsia" w:hAnsiTheme="minorHAnsi" w:cstheme="minorBidi"/>
          <w:bCs w:val="0"/>
          <w:sz w:val="22"/>
          <w:szCs w:val="22"/>
          <w:lang w:eastAsia="cs-CZ"/>
        </w:rPr>
      </w:pPr>
      <w:hyperlink w:anchor="_Toc36116235" w:history="1">
        <w:r w:rsidRPr="00793D71">
          <w:rPr>
            <w:rStyle w:val="Hyperlink"/>
          </w:rPr>
          <w:t>1.1.2</w:t>
        </w:r>
        <w:r>
          <w:rPr>
            <w:rFonts w:asciiTheme="minorHAnsi" w:eastAsiaTheme="minorEastAsia" w:hAnsiTheme="minorHAnsi" w:cstheme="minorBidi"/>
            <w:bCs w:val="0"/>
            <w:sz w:val="22"/>
            <w:szCs w:val="22"/>
            <w:lang w:eastAsia="cs-CZ"/>
          </w:rPr>
          <w:tab/>
        </w:r>
        <w:r w:rsidRPr="00793D71">
          <w:rPr>
            <w:rStyle w:val="Hyperlink"/>
          </w:rPr>
          <w:t>Rozvojové oblasti a rozvojové osy</w:t>
        </w:r>
        <w:r>
          <w:rPr>
            <w:webHidden/>
          </w:rPr>
          <w:tab/>
        </w:r>
        <w:r>
          <w:rPr>
            <w:webHidden/>
          </w:rPr>
          <w:fldChar w:fldCharType="begin"/>
        </w:r>
        <w:r>
          <w:rPr>
            <w:webHidden/>
          </w:rPr>
          <w:instrText xml:space="preserve"> PAGEREF _Toc36116235 \h </w:instrText>
        </w:r>
        <w:r>
          <w:rPr>
            <w:webHidden/>
          </w:rPr>
        </w:r>
        <w:r>
          <w:rPr>
            <w:webHidden/>
          </w:rPr>
          <w:fldChar w:fldCharType="separate"/>
        </w:r>
        <w:r>
          <w:rPr>
            <w:webHidden/>
          </w:rPr>
          <w:t>9</w:t>
        </w:r>
        <w:r>
          <w:rPr>
            <w:webHidden/>
          </w:rPr>
          <w:fldChar w:fldCharType="end"/>
        </w:r>
      </w:hyperlink>
    </w:p>
    <w:p w14:paraId="1FEDFF45" w14:textId="77777777" w:rsidR="00B567E6" w:rsidRDefault="00B567E6">
      <w:pPr>
        <w:pStyle w:val="TOC3"/>
        <w:rPr>
          <w:rFonts w:asciiTheme="minorHAnsi" w:eastAsiaTheme="minorEastAsia" w:hAnsiTheme="minorHAnsi" w:cstheme="minorBidi"/>
          <w:bCs w:val="0"/>
          <w:sz w:val="22"/>
          <w:szCs w:val="22"/>
          <w:lang w:eastAsia="cs-CZ"/>
        </w:rPr>
      </w:pPr>
      <w:hyperlink w:anchor="_Toc36116236" w:history="1">
        <w:r w:rsidRPr="00793D71">
          <w:rPr>
            <w:rStyle w:val="Hyperlink"/>
          </w:rPr>
          <w:t>1.1.3</w:t>
        </w:r>
        <w:r>
          <w:rPr>
            <w:rFonts w:asciiTheme="minorHAnsi" w:eastAsiaTheme="minorEastAsia" w:hAnsiTheme="minorHAnsi" w:cstheme="minorBidi"/>
            <w:bCs w:val="0"/>
            <w:sz w:val="22"/>
            <w:szCs w:val="22"/>
            <w:lang w:eastAsia="cs-CZ"/>
          </w:rPr>
          <w:tab/>
        </w:r>
        <w:r w:rsidRPr="00793D71">
          <w:rPr>
            <w:rStyle w:val="Hyperlink"/>
          </w:rPr>
          <w:t>Specifické oblasti</w:t>
        </w:r>
        <w:r>
          <w:rPr>
            <w:webHidden/>
          </w:rPr>
          <w:tab/>
        </w:r>
        <w:r>
          <w:rPr>
            <w:webHidden/>
          </w:rPr>
          <w:fldChar w:fldCharType="begin"/>
        </w:r>
        <w:r>
          <w:rPr>
            <w:webHidden/>
          </w:rPr>
          <w:instrText xml:space="preserve"> PAGEREF _Toc36116236 \h </w:instrText>
        </w:r>
        <w:r>
          <w:rPr>
            <w:webHidden/>
          </w:rPr>
        </w:r>
        <w:r>
          <w:rPr>
            <w:webHidden/>
          </w:rPr>
          <w:fldChar w:fldCharType="separate"/>
        </w:r>
        <w:r>
          <w:rPr>
            <w:webHidden/>
          </w:rPr>
          <w:t>10</w:t>
        </w:r>
        <w:r>
          <w:rPr>
            <w:webHidden/>
          </w:rPr>
          <w:fldChar w:fldCharType="end"/>
        </w:r>
      </w:hyperlink>
    </w:p>
    <w:p w14:paraId="0866C646" w14:textId="77777777" w:rsidR="00B567E6" w:rsidRDefault="00B567E6">
      <w:pPr>
        <w:pStyle w:val="TOC3"/>
        <w:rPr>
          <w:rFonts w:asciiTheme="minorHAnsi" w:eastAsiaTheme="minorEastAsia" w:hAnsiTheme="minorHAnsi" w:cstheme="minorBidi"/>
          <w:bCs w:val="0"/>
          <w:sz w:val="22"/>
          <w:szCs w:val="22"/>
          <w:lang w:eastAsia="cs-CZ"/>
        </w:rPr>
      </w:pPr>
      <w:hyperlink w:anchor="_Toc36116237" w:history="1">
        <w:r w:rsidRPr="00793D71">
          <w:rPr>
            <w:rStyle w:val="Hyperlink"/>
          </w:rPr>
          <w:t>1.1.4</w:t>
        </w:r>
        <w:r>
          <w:rPr>
            <w:rFonts w:asciiTheme="minorHAnsi" w:eastAsiaTheme="minorEastAsia" w:hAnsiTheme="minorHAnsi" w:cstheme="minorBidi"/>
            <w:bCs w:val="0"/>
            <w:sz w:val="22"/>
            <w:szCs w:val="22"/>
            <w:lang w:eastAsia="cs-CZ"/>
          </w:rPr>
          <w:tab/>
        </w:r>
        <w:r w:rsidRPr="00793D71">
          <w:rPr>
            <w:rStyle w:val="Hyperlink"/>
          </w:rPr>
          <w:t>Koridory a plochy dopravní infrastruktury</w:t>
        </w:r>
        <w:r>
          <w:rPr>
            <w:webHidden/>
          </w:rPr>
          <w:tab/>
        </w:r>
        <w:r>
          <w:rPr>
            <w:webHidden/>
          </w:rPr>
          <w:fldChar w:fldCharType="begin"/>
        </w:r>
        <w:r>
          <w:rPr>
            <w:webHidden/>
          </w:rPr>
          <w:instrText xml:space="preserve"> PAGEREF _Toc36116237 \h </w:instrText>
        </w:r>
        <w:r>
          <w:rPr>
            <w:webHidden/>
          </w:rPr>
        </w:r>
        <w:r>
          <w:rPr>
            <w:webHidden/>
          </w:rPr>
          <w:fldChar w:fldCharType="separate"/>
        </w:r>
        <w:r>
          <w:rPr>
            <w:webHidden/>
          </w:rPr>
          <w:t>10</w:t>
        </w:r>
        <w:r>
          <w:rPr>
            <w:webHidden/>
          </w:rPr>
          <w:fldChar w:fldCharType="end"/>
        </w:r>
      </w:hyperlink>
    </w:p>
    <w:p w14:paraId="69D1147D" w14:textId="77777777" w:rsidR="00B567E6" w:rsidRDefault="00B567E6">
      <w:pPr>
        <w:pStyle w:val="TOC3"/>
        <w:rPr>
          <w:rFonts w:asciiTheme="minorHAnsi" w:eastAsiaTheme="minorEastAsia" w:hAnsiTheme="minorHAnsi" w:cstheme="minorBidi"/>
          <w:bCs w:val="0"/>
          <w:sz w:val="22"/>
          <w:szCs w:val="22"/>
          <w:lang w:eastAsia="cs-CZ"/>
        </w:rPr>
      </w:pPr>
      <w:hyperlink w:anchor="_Toc36116238" w:history="1">
        <w:r w:rsidRPr="00793D71">
          <w:rPr>
            <w:rStyle w:val="Hyperlink"/>
          </w:rPr>
          <w:t>1.1.5</w:t>
        </w:r>
        <w:r>
          <w:rPr>
            <w:rFonts w:asciiTheme="minorHAnsi" w:eastAsiaTheme="minorEastAsia" w:hAnsiTheme="minorHAnsi" w:cstheme="minorBidi"/>
            <w:bCs w:val="0"/>
            <w:sz w:val="22"/>
            <w:szCs w:val="22"/>
            <w:lang w:eastAsia="cs-CZ"/>
          </w:rPr>
          <w:tab/>
        </w:r>
        <w:r w:rsidRPr="00793D71">
          <w:rPr>
            <w:rStyle w:val="Hyperlink"/>
          </w:rPr>
          <w:t>Koridory a plochy technické infrastruktury a souvisejících rozvojových záměrů</w:t>
        </w:r>
        <w:r>
          <w:rPr>
            <w:webHidden/>
          </w:rPr>
          <w:tab/>
        </w:r>
        <w:r>
          <w:rPr>
            <w:webHidden/>
          </w:rPr>
          <w:fldChar w:fldCharType="begin"/>
        </w:r>
        <w:r>
          <w:rPr>
            <w:webHidden/>
          </w:rPr>
          <w:instrText xml:space="preserve"> PAGEREF _Toc36116238 \h </w:instrText>
        </w:r>
        <w:r>
          <w:rPr>
            <w:webHidden/>
          </w:rPr>
        </w:r>
        <w:r>
          <w:rPr>
            <w:webHidden/>
          </w:rPr>
          <w:fldChar w:fldCharType="separate"/>
        </w:r>
        <w:r>
          <w:rPr>
            <w:webHidden/>
          </w:rPr>
          <w:t>10</w:t>
        </w:r>
        <w:r>
          <w:rPr>
            <w:webHidden/>
          </w:rPr>
          <w:fldChar w:fldCharType="end"/>
        </w:r>
      </w:hyperlink>
    </w:p>
    <w:p w14:paraId="150BEDEF" w14:textId="77777777" w:rsidR="00B567E6" w:rsidRDefault="00B567E6">
      <w:pPr>
        <w:pStyle w:val="TOC2"/>
        <w:rPr>
          <w:rFonts w:asciiTheme="minorHAnsi" w:eastAsiaTheme="minorEastAsia" w:hAnsiTheme="minorHAnsi" w:cstheme="minorBidi"/>
          <w:noProof/>
          <w:sz w:val="22"/>
          <w:lang w:eastAsia="cs-CZ"/>
        </w:rPr>
      </w:pPr>
      <w:hyperlink w:anchor="_Toc36116239" w:history="1">
        <w:r w:rsidRPr="00793D71">
          <w:rPr>
            <w:rStyle w:val="Hyperlink"/>
            <w:noProof/>
          </w:rPr>
          <w:t>1.2</w:t>
        </w:r>
        <w:r>
          <w:rPr>
            <w:rFonts w:asciiTheme="minorHAnsi" w:eastAsiaTheme="minorEastAsia" w:hAnsiTheme="minorHAnsi" w:cstheme="minorBidi"/>
            <w:noProof/>
            <w:sz w:val="22"/>
            <w:lang w:eastAsia="cs-CZ"/>
          </w:rPr>
          <w:tab/>
        </w:r>
        <w:r w:rsidRPr="00793D71">
          <w:rPr>
            <w:rStyle w:val="Hyperlink"/>
            <w:noProof/>
          </w:rPr>
          <w:t>Vyhodnocení souladu se Zásadami územního rozvoje Libereckého kraje</w:t>
        </w:r>
        <w:r>
          <w:rPr>
            <w:noProof/>
            <w:webHidden/>
          </w:rPr>
          <w:tab/>
        </w:r>
        <w:r>
          <w:rPr>
            <w:noProof/>
            <w:webHidden/>
          </w:rPr>
          <w:fldChar w:fldCharType="begin"/>
        </w:r>
        <w:r>
          <w:rPr>
            <w:noProof/>
            <w:webHidden/>
          </w:rPr>
          <w:instrText xml:space="preserve"> PAGEREF _Toc36116239 \h </w:instrText>
        </w:r>
        <w:r>
          <w:rPr>
            <w:noProof/>
            <w:webHidden/>
          </w:rPr>
        </w:r>
        <w:r>
          <w:rPr>
            <w:noProof/>
            <w:webHidden/>
          </w:rPr>
          <w:fldChar w:fldCharType="separate"/>
        </w:r>
        <w:r>
          <w:rPr>
            <w:noProof/>
            <w:webHidden/>
          </w:rPr>
          <w:t>11</w:t>
        </w:r>
        <w:r>
          <w:rPr>
            <w:noProof/>
            <w:webHidden/>
          </w:rPr>
          <w:fldChar w:fldCharType="end"/>
        </w:r>
      </w:hyperlink>
    </w:p>
    <w:p w14:paraId="05B39A3B" w14:textId="77777777" w:rsidR="00B567E6" w:rsidRDefault="00B567E6">
      <w:pPr>
        <w:pStyle w:val="TOC3"/>
        <w:rPr>
          <w:rFonts w:asciiTheme="minorHAnsi" w:eastAsiaTheme="minorEastAsia" w:hAnsiTheme="minorHAnsi" w:cstheme="minorBidi"/>
          <w:bCs w:val="0"/>
          <w:sz w:val="22"/>
          <w:szCs w:val="22"/>
          <w:lang w:eastAsia="cs-CZ"/>
        </w:rPr>
      </w:pPr>
      <w:hyperlink w:anchor="_Toc36116240" w:history="1">
        <w:r w:rsidRPr="00793D71">
          <w:rPr>
            <w:rStyle w:val="Hyperlink"/>
          </w:rPr>
          <w:t>1.2.1</w:t>
        </w:r>
        <w:r>
          <w:rPr>
            <w:rFonts w:asciiTheme="minorHAnsi" w:eastAsiaTheme="minorEastAsia" w:hAnsiTheme="minorHAnsi" w:cstheme="minorBidi"/>
            <w:bCs w:val="0"/>
            <w:sz w:val="22"/>
            <w:szCs w:val="22"/>
            <w:lang w:eastAsia="cs-CZ"/>
          </w:rPr>
          <w:tab/>
        </w:r>
        <w:r w:rsidRPr="00793D71">
          <w:rPr>
            <w:rStyle w:val="Hyperlink"/>
          </w:rPr>
          <w:t>Priority územního plánování kraje pro zajištění udržitelného rozvoje území</w:t>
        </w:r>
        <w:r>
          <w:rPr>
            <w:webHidden/>
          </w:rPr>
          <w:tab/>
        </w:r>
        <w:r>
          <w:rPr>
            <w:webHidden/>
          </w:rPr>
          <w:fldChar w:fldCharType="begin"/>
        </w:r>
        <w:r>
          <w:rPr>
            <w:webHidden/>
          </w:rPr>
          <w:instrText xml:space="preserve"> PAGEREF _Toc36116240 \h </w:instrText>
        </w:r>
        <w:r>
          <w:rPr>
            <w:webHidden/>
          </w:rPr>
        </w:r>
        <w:r>
          <w:rPr>
            <w:webHidden/>
          </w:rPr>
          <w:fldChar w:fldCharType="separate"/>
        </w:r>
        <w:r>
          <w:rPr>
            <w:webHidden/>
          </w:rPr>
          <w:t>11</w:t>
        </w:r>
        <w:r>
          <w:rPr>
            <w:webHidden/>
          </w:rPr>
          <w:fldChar w:fldCharType="end"/>
        </w:r>
      </w:hyperlink>
    </w:p>
    <w:p w14:paraId="563089F2" w14:textId="77777777" w:rsidR="00B567E6" w:rsidRDefault="00B567E6">
      <w:pPr>
        <w:pStyle w:val="TOC3"/>
        <w:rPr>
          <w:rFonts w:asciiTheme="minorHAnsi" w:eastAsiaTheme="minorEastAsia" w:hAnsiTheme="minorHAnsi" w:cstheme="minorBidi"/>
          <w:bCs w:val="0"/>
          <w:sz w:val="22"/>
          <w:szCs w:val="22"/>
          <w:lang w:eastAsia="cs-CZ"/>
        </w:rPr>
      </w:pPr>
      <w:hyperlink w:anchor="_Toc36116241" w:history="1">
        <w:r w:rsidRPr="00793D71">
          <w:rPr>
            <w:rStyle w:val="Hyperlink"/>
          </w:rPr>
          <w:t>1.2.2</w:t>
        </w:r>
        <w:r>
          <w:rPr>
            <w:rFonts w:asciiTheme="minorHAnsi" w:eastAsiaTheme="minorEastAsia" w:hAnsiTheme="minorHAnsi" w:cstheme="minorBidi"/>
            <w:bCs w:val="0"/>
            <w:sz w:val="22"/>
            <w:szCs w:val="22"/>
            <w:lang w:eastAsia="cs-CZ"/>
          </w:rPr>
          <w:tab/>
        </w:r>
        <w:r w:rsidRPr="00793D71">
          <w:rPr>
            <w:rStyle w:val="Hyperlink"/>
          </w:rPr>
          <w:t>Rozvojové oblasti a osy republikového významu</w:t>
        </w:r>
        <w:r>
          <w:rPr>
            <w:webHidden/>
          </w:rPr>
          <w:tab/>
        </w:r>
        <w:r>
          <w:rPr>
            <w:webHidden/>
          </w:rPr>
          <w:fldChar w:fldCharType="begin"/>
        </w:r>
        <w:r>
          <w:rPr>
            <w:webHidden/>
          </w:rPr>
          <w:instrText xml:space="preserve"> PAGEREF _Toc36116241 \h </w:instrText>
        </w:r>
        <w:r>
          <w:rPr>
            <w:webHidden/>
          </w:rPr>
        </w:r>
        <w:r>
          <w:rPr>
            <w:webHidden/>
          </w:rPr>
          <w:fldChar w:fldCharType="separate"/>
        </w:r>
        <w:r>
          <w:rPr>
            <w:webHidden/>
          </w:rPr>
          <w:t>16</w:t>
        </w:r>
        <w:r>
          <w:rPr>
            <w:webHidden/>
          </w:rPr>
          <w:fldChar w:fldCharType="end"/>
        </w:r>
      </w:hyperlink>
    </w:p>
    <w:p w14:paraId="1F28F1D1" w14:textId="77777777" w:rsidR="00B567E6" w:rsidRDefault="00B567E6">
      <w:pPr>
        <w:pStyle w:val="TOC3"/>
        <w:rPr>
          <w:rFonts w:asciiTheme="minorHAnsi" w:eastAsiaTheme="minorEastAsia" w:hAnsiTheme="minorHAnsi" w:cstheme="minorBidi"/>
          <w:bCs w:val="0"/>
          <w:sz w:val="22"/>
          <w:szCs w:val="22"/>
          <w:lang w:eastAsia="cs-CZ"/>
        </w:rPr>
      </w:pPr>
      <w:hyperlink w:anchor="_Toc36116242" w:history="1">
        <w:r w:rsidRPr="00793D71">
          <w:rPr>
            <w:rStyle w:val="Hyperlink"/>
          </w:rPr>
          <w:t>1.2.3</w:t>
        </w:r>
        <w:r>
          <w:rPr>
            <w:rFonts w:asciiTheme="minorHAnsi" w:eastAsiaTheme="minorEastAsia" w:hAnsiTheme="minorHAnsi" w:cstheme="minorBidi"/>
            <w:bCs w:val="0"/>
            <w:sz w:val="22"/>
            <w:szCs w:val="22"/>
            <w:lang w:eastAsia="cs-CZ"/>
          </w:rPr>
          <w:tab/>
        </w:r>
        <w:r w:rsidRPr="00793D71">
          <w:rPr>
            <w:rStyle w:val="Hyperlink"/>
          </w:rPr>
          <w:t>Plochy a koridory dopravní infrastruktury mezinárodního významu</w:t>
        </w:r>
        <w:r>
          <w:rPr>
            <w:webHidden/>
          </w:rPr>
          <w:tab/>
        </w:r>
        <w:r>
          <w:rPr>
            <w:webHidden/>
          </w:rPr>
          <w:fldChar w:fldCharType="begin"/>
        </w:r>
        <w:r>
          <w:rPr>
            <w:webHidden/>
          </w:rPr>
          <w:instrText xml:space="preserve"> PAGEREF _Toc36116242 \h </w:instrText>
        </w:r>
        <w:r>
          <w:rPr>
            <w:webHidden/>
          </w:rPr>
        </w:r>
        <w:r>
          <w:rPr>
            <w:webHidden/>
          </w:rPr>
          <w:fldChar w:fldCharType="separate"/>
        </w:r>
        <w:r>
          <w:rPr>
            <w:webHidden/>
          </w:rPr>
          <w:t>21</w:t>
        </w:r>
        <w:r>
          <w:rPr>
            <w:webHidden/>
          </w:rPr>
          <w:fldChar w:fldCharType="end"/>
        </w:r>
      </w:hyperlink>
    </w:p>
    <w:p w14:paraId="00D19DCB" w14:textId="77777777" w:rsidR="00B567E6" w:rsidRDefault="00B567E6">
      <w:pPr>
        <w:pStyle w:val="TOC3"/>
        <w:rPr>
          <w:rFonts w:asciiTheme="minorHAnsi" w:eastAsiaTheme="minorEastAsia" w:hAnsiTheme="minorHAnsi" w:cstheme="minorBidi"/>
          <w:bCs w:val="0"/>
          <w:sz w:val="22"/>
          <w:szCs w:val="22"/>
          <w:lang w:eastAsia="cs-CZ"/>
        </w:rPr>
      </w:pPr>
      <w:hyperlink w:anchor="_Toc36116243" w:history="1">
        <w:r w:rsidRPr="00793D71">
          <w:rPr>
            <w:rStyle w:val="Hyperlink"/>
          </w:rPr>
          <w:t>1.2.4</w:t>
        </w:r>
        <w:r>
          <w:rPr>
            <w:rFonts w:asciiTheme="minorHAnsi" w:eastAsiaTheme="minorEastAsia" w:hAnsiTheme="minorHAnsi" w:cstheme="minorBidi"/>
            <w:bCs w:val="0"/>
            <w:sz w:val="22"/>
            <w:szCs w:val="22"/>
            <w:lang w:eastAsia="cs-CZ"/>
          </w:rPr>
          <w:tab/>
        </w:r>
        <w:r w:rsidRPr="00793D71">
          <w:rPr>
            <w:rStyle w:val="Hyperlink"/>
          </w:rPr>
          <w:t>Zásady koncepce rozvoje technické infrastruktury</w:t>
        </w:r>
        <w:r>
          <w:rPr>
            <w:webHidden/>
          </w:rPr>
          <w:tab/>
        </w:r>
        <w:r>
          <w:rPr>
            <w:webHidden/>
          </w:rPr>
          <w:fldChar w:fldCharType="begin"/>
        </w:r>
        <w:r>
          <w:rPr>
            <w:webHidden/>
          </w:rPr>
          <w:instrText xml:space="preserve"> PAGEREF _Toc36116243 \h </w:instrText>
        </w:r>
        <w:r>
          <w:rPr>
            <w:webHidden/>
          </w:rPr>
        </w:r>
        <w:r>
          <w:rPr>
            <w:webHidden/>
          </w:rPr>
          <w:fldChar w:fldCharType="separate"/>
        </w:r>
        <w:r>
          <w:rPr>
            <w:webHidden/>
          </w:rPr>
          <w:t>21</w:t>
        </w:r>
        <w:r>
          <w:rPr>
            <w:webHidden/>
          </w:rPr>
          <w:fldChar w:fldCharType="end"/>
        </w:r>
      </w:hyperlink>
    </w:p>
    <w:p w14:paraId="049F3770" w14:textId="77777777" w:rsidR="00B567E6" w:rsidRDefault="00B567E6">
      <w:pPr>
        <w:pStyle w:val="TOC3"/>
        <w:rPr>
          <w:rFonts w:asciiTheme="minorHAnsi" w:eastAsiaTheme="minorEastAsia" w:hAnsiTheme="minorHAnsi" w:cstheme="minorBidi"/>
          <w:bCs w:val="0"/>
          <w:sz w:val="22"/>
          <w:szCs w:val="22"/>
          <w:lang w:eastAsia="cs-CZ"/>
        </w:rPr>
      </w:pPr>
      <w:hyperlink w:anchor="_Toc36116244" w:history="1">
        <w:r w:rsidRPr="00793D71">
          <w:rPr>
            <w:rStyle w:val="Hyperlink"/>
          </w:rPr>
          <w:t>1.2.5</w:t>
        </w:r>
        <w:r>
          <w:rPr>
            <w:rFonts w:asciiTheme="minorHAnsi" w:eastAsiaTheme="minorEastAsia" w:hAnsiTheme="minorHAnsi" w:cstheme="minorBidi"/>
            <w:bCs w:val="0"/>
            <w:sz w:val="22"/>
            <w:szCs w:val="22"/>
            <w:lang w:eastAsia="cs-CZ"/>
          </w:rPr>
          <w:tab/>
        </w:r>
        <w:r w:rsidRPr="00793D71">
          <w:rPr>
            <w:rStyle w:val="Hyperlink"/>
          </w:rPr>
          <w:t>Zásady koncepce rozvoje územního systému ekologické stability</w:t>
        </w:r>
        <w:r>
          <w:rPr>
            <w:webHidden/>
          </w:rPr>
          <w:tab/>
        </w:r>
        <w:r>
          <w:rPr>
            <w:webHidden/>
          </w:rPr>
          <w:fldChar w:fldCharType="begin"/>
        </w:r>
        <w:r>
          <w:rPr>
            <w:webHidden/>
          </w:rPr>
          <w:instrText xml:space="preserve"> PAGEREF _Toc36116244 \h </w:instrText>
        </w:r>
        <w:r>
          <w:rPr>
            <w:webHidden/>
          </w:rPr>
        </w:r>
        <w:r>
          <w:rPr>
            <w:webHidden/>
          </w:rPr>
          <w:fldChar w:fldCharType="separate"/>
        </w:r>
        <w:r>
          <w:rPr>
            <w:webHidden/>
          </w:rPr>
          <w:t>24</w:t>
        </w:r>
        <w:r>
          <w:rPr>
            <w:webHidden/>
          </w:rPr>
          <w:fldChar w:fldCharType="end"/>
        </w:r>
      </w:hyperlink>
    </w:p>
    <w:p w14:paraId="6B1E6A20" w14:textId="77777777" w:rsidR="00B567E6" w:rsidRDefault="00B567E6">
      <w:pPr>
        <w:pStyle w:val="TOC3"/>
        <w:rPr>
          <w:rFonts w:asciiTheme="minorHAnsi" w:eastAsiaTheme="minorEastAsia" w:hAnsiTheme="minorHAnsi" w:cstheme="minorBidi"/>
          <w:bCs w:val="0"/>
          <w:sz w:val="22"/>
          <w:szCs w:val="22"/>
          <w:lang w:eastAsia="cs-CZ"/>
        </w:rPr>
      </w:pPr>
      <w:hyperlink w:anchor="_Toc36116245" w:history="1">
        <w:r w:rsidRPr="00793D71">
          <w:rPr>
            <w:rStyle w:val="Hyperlink"/>
          </w:rPr>
          <w:t>1.2.6</w:t>
        </w:r>
        <w:r>
          <w:rPr>
            <w:rFonts w:asciiTheme="minorHAnsi" w:eastAsiaTheme="minorEastAsia" w:hAnsiTheme="minorHAnsi" w:cstheme="minorBidi"/>
            <w:bCs w:val="0"/>
            <w:sz w:val="22"/>
            <w:szCs w:val="22"/>
            <w:lang w:eastAsia="cs-CZ"/>
          </w:rPr>
          <w:tab/>
        </w:r>
        <w:r w:rsidRPr="00793D71">
          <w:rPr>
            <w:rStyle w:val="Hyperlink"/>
          </w:rPr>
          <w:t>Zásady koncepce ochrany a rozvoje přírodních hodnot</w:t>
        </w:r>
        <w:r>
          <w:rPr>
            <w:webHidden/>
          </w:rPr>
          <w:tab/>
        </w:r>
        <w:r>
          <w:rPr>
            <w:webHidden/>
          </w:rPr>
          <w:fldChar w:fldCharType="begin"/>
        </w:r>
        <w:r>
          <w:rPr>
            <w:webHidden/>
          </w:rPr>
          <w:instrText xml:space="preserve"> PAGEREF _Toc36116245 \h </w:instrText>
        </w:r>
        <w:r>
          <w:rPr>
            <w:webHidden/>
          </w:rPr>
        </w:r>
        <w:r>
          <w:rPr>
            <w:webHidden/>
          </w:rPr>
          <w:fldChar w:fldCharType="separate"/>
        </w:r>
        <w:r>
          <w:rPr>
            <w:webHidden/>
          </w:rPr>
          <w:t>25</w:t>
        </w:r>
        <w:r>
          <w:rPr>
            <w:webHidden/>
          </w:rPr>
          <w:fldChar w:fldCharType="end"/>
        </w:r>
      </w:hyperlink>
    </w:p>
    <w:p w14:paraId="08DA39F0" w14:textId="77777777" w:rsidR="00B567E6" w:rsidRDefault="00B567E6">
      <w:pPr>
        <w:pStyle w:val="TOC3"/>
        <w:rPr>
          <w:rFonts w:asciiTheme="minorHAnsi" w:eastAsiaTheme="minorEastAsia" w:hAnsiTheme="minorHAnsi" w:cstheme="minorBidi"/>
          <w:bCs w:val="0"/>
          <w:sz w:val="22"/>
          <w:szCs w:val="22"/>
          <w:lang w:eastAsia="cs-CZ"/>
        </w:rPr>
      </w:pPr>
      <w:hyperlink w:anchor="_Toc36116246" w:history="1">
        <w:r w:rsidRPr="00793D71">
          <w:rPr>
            <w:rStyle w:val="Hyperlink"/>
          </w:rPr>
          <w:t>1.2.7</w:t>
        </w:r>
        <w:r>
          <w:rPr>
            <w:rFonts w:asciiTheme="minorHAnsi" w:eastAsiaTheme="minorEastAsia" w:hAnsiTheme="minorHAnsi" w:cstheme="minorBidi"/>
            <w:bCs w:val="0"/>
            <w:sz w:val="22"/>
            <w:szCs w:val="22"/>
            <w:lang w:eastAsia="cs-CZ"/>
          </w:rPr>
          <w:tab/>
        </w:r>
        <w:r w:rsidRPr="00793D71">
          <w:rPr>
            <w:rStyle w:val="Hyperlink"/>
          </w:rPr>
          <w:t>Zásady koncepce ochrany kulturních hodnot</w:t>
        </w:r>
        <w:r>
          <w:rPr>
            <w:webHidden/>
          </w:rPr>
          <w:tab/>
        </w:r>
        <w:r>
          <w:rPr>
            <w:webHidden/>
          </w:rPr>
          <w:fldChar w:fldCharType="begin"/>
        </w:r>
        <w:r>
          <w:rPr>
            <w:webHidden/>
          </w:rPr>
          <w:instrText xml:space="preserve"> PAGEREF _Toc36116246 \h </w:instrText>
        </w:r>
        <w:r>
          <w:rPr>
            <w:webHidden/>
          </w:rPr>
        </w:r>
        <w:r>
          <w:rPr>
            <w:webHidden/>
          </w:rPr>
          <w:fldChar w:fldCharType="separate"/>
        </w:r>
        <w:r>
          <w:rPr>
            <w:webHidden/>
          </w:rPr>
          <w:t>27</w:t>
        </w:r>
        <w:r>
          <w:rPr>
            <w:webHidden/>
          </w:rPr>
          <w:fldChar w:fldCharType="end"/>
        </w:r>
      </w:hyperlink>
    </w:p>
    <w:p w14:paraId="36ED6210" w14:textId="77777777" w:rsidR="00B567E6" w:rsidRDefault="00B567E6">
      <w:pPr>
        <w:pStyle w:val="TOC3"/>
        <w:rPr>
          <w:rFonts w:asciiTheme="minorHAnsi" w:eastAsiaTheme="minorEastAsia" w:hAnsiTheme="minorHAnsi" w:cstheme="minorBidi"/>
          <w:bCs w:val="0"/>
          <w:sz w:val="22"/>
          <w:szCs w:val="22"/>
          <w:lang w:eastAsia="cs-CZ"/>
        </w:rPr>
      </w:pPr>
      <w:hyperlink w:anchor="_Toc36116247" w:history="1">
        <w:r w:rsidRPr="00793D71">
          <w:rPr>
            <w:rStyle w:val="Hyperlink"/>
          </w:rPr>
          <w:t>1.2.8</w:t>
        </w:r>
        <w:r>
          <w:rPr>
            <w:rFonts w:asciiTheme="minorHAnsi" w:eastAsiaTheme="minorEastAsia" w:hAnsiTheme="minorHAnsi" w:cstheme="minorBidi"/>
            <w:bCs w:val="0"/>
            <w:sz w:val="22"/>
            <w:szCs w:val="22"/>
            <w:lang w:eastAsia="cs-CZ"/>
          </w:rPr>
          <w:tab/>
        </w:r>
        <w:r w:rsidRPr="00793D71">
          <w:rPr>
            <w:rStyle w:val="Hyperlink"/>
          </w:rPr>
          <w:t>Zásady koncepce ochrany civilizačních hodnot</w:t>
        </w:r>
        <w:r>
          <w:rPr>
            <w:webHidden/>
          </w:rPr>
          <w:tab/>
        </w:r>
        <w:r>
          <w:rPr>
            <w:webHidden/>
          </w:rPr>
          <w:fldChar w:fldCharType="begin"/>
        </w:r>
        <w:r>
          <w:rPr>
            <w:webHidden/>
          </w:rPr>
          <w:instrText xml:space="preserve"> PAGEREF _Toc36116247 \h </w:instrText>
        </w:r>
        <w:r>
          <w:rPr>
            <w:webHidden/>
          </w:rPr>
        </w:r>
        <w:r>
          <w:rPr>
            <w:webHidden/>
          </w:rPr>
          <w:fldChar w:fldCharType="separate"/>
        </w:r>
        <w:r>
          <w:rPr>
            <w:webHidden/>
          </w:rPr>
          <w:t>29</w:t>
        </w:r>
        <w:r>
          <w:rPr>
            <w:webHidden/>
          </w:rPr>
          <w:fldChar w:fldCharType="end"/>
        </w:r>
      </w:hyperlink>
    </w:p>
    <w:p w14:paraId="4BD7CA4A" w14:textId="77777777" w:rsidR="00B567E6" w:rsidRDefault="00B567E6">
      <w:pPr>
        <w:pStyle w:val="TOC3"/>
        <w:rPr>
          <w:rFonts w:asciiTheme="minorHAnsi" w:eastAsiaTheme="minorEastAsia" w:hAnsiTheme="minorHAnsi" w:cstheme="minorBidi"/>
          <w:bCs w:val="0"/>
          <w:sz w:val="22"/>
          <w:szCs w:val="22"/>
          <w:lang w:eastAsia="cs-CZ"/>
        </w:rPr>
      </w:pPr>
      <w:hyperlink w:anchor="_Toc36116248" w:history="1">
        <w:r w:rsidRPr="00793D71">
          <w:rPr>
            <w:rStyle w:val="Hyperlink"/>
          </w:rPr>
          <w:t>1.2.9</w:t>
        </w:r>
        <w:r>
          <w:rPr>
            <w:rFonts w:asciiTheme="minorHAnsi" w:eastAsiaTheme="minorEastAsia" w:hAnsiTheme="minorHAnsi" w:cstheme="minorBidi"/>
            <w:bCs w:val="0"/>
            <w:sz w:val="22"/>
            <w:szCs w:val="22"/>
            <w:lang w:eastAsia="cs-CZ"/>
          </w:rPr>
          <w:tab/>
        </w:r>
        <w:r w:rsidRPr="00793D71">
          <w:rPr>
            <w:rStyle w:val="Hyperlink"/>
          </w:rPr>
          <w:t>Cílové charakteristiky krajiny</w:t>
        </w:r>
        <w:r>
          <w:rPr>
            <w:webHidden/>
          </w:rPr>
          <w:tab/>
        </w:r>
        <w:r>
          <w:rPr>
            <w:webHidden/>
          </w:rPr>
          <w:fldChar w:fldCharType="begin"/>
        </w:r>
        <w:r>
          <w:rPr>
            <w:webHidden/>
          </w:rPr>
          <w:instrText xml:space="preserve"> PAGEREF _Toc36116248 \h </w:instrText>
        </w:r>
        <w:r>
          <w:rPr>
            <w:webHidden/>
          </w:rPr>
        </w:r>
        <w:r>
          <w:rPr>
            <w:webHidden/>
          </w:rPr>
          <w:fldChar w:fldCharType="separate"/>
        </w:r>
        <w:r>
          <w:rPr>
            <w:webHidden/>
          </w:rPr>
          <w:t>36</w:t>
        </w:r>
        <w:r>
          <w:rPr>
            <w:webHidden/>
          </w:rPr>
          <w:fldChar w:fldCharType="end"/>
        </w:r>
      </w:hyperlink>
    </w:p>
    <w:p w14:paraId="307867DA" w14:textId="77777777" w:rsidR="00B567E6" w:rsidRDefault="00B567E6">
      <w:pPr>
        <w:pStyle w:val="TOC3"/>
        <w:rPr>
          <w:rFonts w:asciiTheme="minorHAnsi" w:eastAsiaTheme="minorEastAsia" w:hAnsiTheme="minorHAnsi" w:cstheme="minorBidi"/>
          <w:bCs w:val="0"/>
          <w:sz w:val="22"/>
          <w:szCs w:val="22"/>
          <w:lang w:eastAsia="cs-CZ"/>
        </w:rPr>
      </w:pPr>
      <w:hyperlink w:anchor="_Toc36116249" w:history="1">
        <w:r w:rsidRPr="00793D71">
          <w:rPr>
            <w:rStyle w:val="Hyperlink"/>
          </w:rPr>
          <w:t>1.2.10</w:t>
        </w:r>
        <w:r>
          <w:rPr>
            <w:rFonts w:asciiTheme="minorHAnsi" w:eastAsiaTheme="minorEastAsia" w:hAnsiTheme="minorHAnsi" w:cstheme="minorBidi"/>
            <w:bCs w:val="0"/>
            <w:sz w:val="22"/>
            <w:szCs w:val="22"/>
            <w:lang w:eastAsia="cs-CZ"/>
          </w:rPr>
          <w:tab/>
        </w:r>
        <w:r w:rsidRPr="00793D71">
          <w:rPr>
            <w:rStyle w:val="Hyperlink"/>
          </w:rPr>
          <w:t>Veřejně prospěšné stavby, veřejně prospěšná opatření</w:t>
        </w:r>
        <w:r>
          <w:rPr>
            <w:webHidden/>
          </w:rPr>
          <w:tab/>
        </w:r>
        <w:r>
          <w:rPr>
            <w:webHidden/>
          </w:rPr>
          <w:fldChar w:fldCharType="begin"/>
        </w:r>
        <w:r>
          <w:rPr>
            <w:webHidden/>
          </w:rPr>
          <w:instrText xml:space="preserve"> PAGEREF _Toc36116249 \h </w:instrText>
        </w:r>
        <w:r>
          <w:rPr>
            <w:webHidden/>
          </w:rPr>
        </w:r>
        <w:r>
          <w:rPr>
            <w:webHidden/>
          </w:rPr>
          <w:fldChar w:fldCharType="separate"/>
        </w:r>
        <w:r>
          <w:rPr>
            <w:webHidden/>
          </w:rPr>
          <w:t>41</w:t>
        </w:r>
        <w:r>
          <w:rPr>
            <w:webHidden/>
          </w:rPr>
          <w:fldChar w:fldCharType="end"/>
        </w:r>
      </w:hyperlink>
    </w:p>
    <w:p w14:paraId="1634F069" w14:textId="77777777" w:rsidR="00B567E6" w:rsidRDefault="00B567E6">
      <w:pPr>
        <w:pStyle w:val="TOC2"/>
        <w:rPr>
          <w:rFonts w:asciiTheme="minorHAnsi" w:eastAsiaTheme="minorEastAsia" w:hAnsiTheme="minorHAnsi" w:cstheme="minorBidi"/>
          <w:noProof/>
          <w:sz w:val="22"/>
          <w:lang w:eastAsia="cs-CZ"/>
        </w:rPr>
      </w:pPr>
      <w:hyperlink w:anchor="_Toc36116250" w:history="1">
        <w:r w:rsidRPr="00793D71">
          <w:rPr>
            <w:rStyle w:val="Hyperlink"/>
            <w:noProof/>
          </w:rPr>
          <w:t>1.3</w:t>
        </w:r>
        <w:r>
          <w:rPr>
            <w:rFonts w:asciiTheme="minorHAnsi" w:eastAsiaTheme="minorEastAsia" w:hAnsiTheme="minorHAnsi" w:cstheme="minorBidi"/>
            <w:noProof/>
            <w:sz w:val="22"/>
            <w:lang w:eastAsia="cs-CZ"/>
          </w:rPr>
          <w:tab/>
        </w:r>
        <w:r w:rsidRPr="00793D71">
          <w:rPr>
            <w:rStyle w:val="Hyperlink"/>
            <w:noProof/>
          </w:rPr>
          <w:t>Vyhodnocení souladu s cíli a úkoly územního plánování (dle § 18 a § 19 stavebního zákona), zejména s požadavky na ochranu architektonických a urbanistických hodnot v území a požadavky na ochranu nezastavěného území</w:t>
        </w:r>
        <w:r>
          <w:rPr>
            <w:noProof/>
            <w:webHidden/>
          </w:rPr>
          <w:tab/>
        </w:r>
        <w:r>
          <w:rPr>
            <w:noProof/>
            <w:webHidden/>
          </w:rPr>
          <w:fldChar w:fldCharType="begin"/>
        </w:r>
        <w:r>
          <w:rPr>
            <w:noProof/>
            <w:webHidden/>
          </w:rPr>
          <w:instrText xml:space="preserve"> PAGEREF _Toc36116250 \h </w:instrText>
        </w:r>
        <w:r>
          <w:rPr>
            <w:noProof/>
            <w:webHidden/>
          </w:rPr>
        </w:r>
        <w:r>
          <w:rPr>
            <w:noProof/>
            <w:webHidden/>
          </w:rPr>
          <w:fldChar w:fldCharType="separate"/>
        </w:r>
        <w:r>
          <w:rPr>
            <w:noProof/>
            <w:webHidden/>
          </w:rPr>
          <w:t>42</w:t>
        </w:r>
        <w:r>
          <w:rPr>
            <w:noProof/>
            <w:webHidden/>
          </w:rPr>
          <w:fldChar w:fldCharType="end"/>
        </w:r>
      </w:hyperlink>
    </w:p>
    <w:p w14:paraId="07F7BA4C" w14:textId="77777777" w:rsidR="00B567E6" w:rsidRDefault="00B567E6">
      <w:pPr>
        <w:pStyle w:val="TOC3"/>
        <w:rPr>
          <w:rFonts w:asciiTheme="minorHAnsi" w:eastAsiaTheme="minorEastAsia" w:hAnsiTheme="minorHAnsi" w:cstheme="minorBidi"/>
          <w:bCs w:val="0"/>
          <w:sz w:val="22"/>
          <w:szCs w:val="22"/>
          <w:lang w:eastAsia="cs-CZ"/>
        </w:rPr>
      </w:pPr>
      <w:hyperlink w:anchor="_Toc36116251" w:history="1">
        <w:r w:rsidRPr="00793D71">
          <w:rPr>
            <w:rStyle w:val="Hyperlink"/>
          </w:rPr>
          <w:t>1.3.1</w:t>
        </w:r>
        <w:r>
          <w:rPr>
            <w:rFonts w:asciiTheme="minorHAnsi" w:eastAsiaTheme="minorEastAsia" w:hAnsiTheme="minorHAnsi" w:cstheme="minorBidi"/>
            <w:bCs w:val="0"/>
            <w:sz w:val="22"/>
            <w:szCs w:val="22"/>
            <w:lang w:eastAsia="cs-CZ"/>
          </w:rPr>
          <w:tab/>
        </w:r>
        <w:r w:rsidRPr="00793D71">
          <w:rPr>
            <w:rStyle w:val="Hyperlink"/>
          </w:rPr>
          <w:t>Vyhodnocení souladu s cíli územního plánování stanovenými v § 18 stavebního zákona</w:t>
        </w:r>
        <w:r>
          <w:rPr>
            <w:webHidden/>
          </w:rPr>
          <w:tab/>
        </w:r>
        <w:r>
          <w:rPr>
            <w:webHidden/>
          </w:rPr>
          <w:fldChar w:fldCharType="begin"/>
        </w:r>
        <w:r>
          <w:rPr>
            <w:webHidden/>
          </w:rPr>
          <w:instrText xml:space="preserve"> PAGEREF _Toc36116251 \h </w:instrText>
        </w:r>
        <w:r>
          <w:rPr>
            <w:webHidden/>
          </w:rPr>
        </w:r>
        <w:r>
          <w:rPr>
            <w:webHidden/>
          </w:rPr>
          <w:fldChar w:fldCharType="separate"/>
        </w:r>
        <w:r>
          <w:rPr>
            <w:webHidden/>
          </w:rPr>
          <w:t>42</w:t>
        </w:r>
        <w:r>
          <w:rPr>
            <w:webHidden/>
          </w:rPr>
          <w:fldChar w:fldCharType="end"/>
        </w:r>
      </w:hyperlink>
    </w:p>
    <w:p w14:paraId="45B2BA65" w14:textId="77777777" w:rsidR="00B567E6" w:rsidRDefault="00B567E6">
      <w:pPr>
        <w:pStyle w:val="TOC3"/>
        <w:rPr>
          <w:rFonts w:asciiTheme="minorHAnsi" w:eastAsiaTheme="minorEastAsia" w:hAnsiTheme="minorHAnsi" w:cstheme="minorBidi"/>
          <w:bCs w:val="0"/>
          <w:sz w:val="22"/>
          <w:szCs w:val="22"/>
          <w:lang w:eastAsia="cs-CZ"/>
        </w:rPr>
      </w:pPr>
      <w:hyperlink w:anchor="_Toc36116252" w:history="1">
        <w:r w:rsidRPr="00793D71">
          <w:rPr>
            <w:rStyle w:val="Hyperlink"/>
          </w:rPr>
          <w:t>1.3.2</w:t>
        </w:r>
        <w:r>
          <w:rPr>
            <w:rFonts w:asciiTheme="minorHAnsi" w:eastAsiaTheme="minorEastAsia" w:hAnsiTheme="minorHAnsi" w:cstheme="minorBidi"/>
            <w:bCs w:val="0"/>
            <w:sz w:val="22"/>
            <w:szCs w:val="22"/>
            <w:lang w:eastAsia="cs-CZ"/>
          </w:rPr>
          <w:tab/>
        </w:r>
        <w:r w:rsidRPr="00793D71">
          <w:rPr>
            <w:rStyle w:val="Hyperlink"/>
          </w:rPr>
          <w:t>Vyhodnocení souladu s úkoly územního plánování stanovenými v § 19 stavebního zákona</w:t>
        </w:r>
        <w:r>
          <w:rPr>
            <w:webHidden/>
          </w:rPr>
          <w:tab/>
        </w:r>
        <w:r>
          <w:rPr>
            <w:webHidden/>
          </w:rPr>
          <w:fldChar w:fldCharType="begin"/>
        </w:r>
        <w:r>
          <w:rPr>
            <w:webHidden/>
          </w:rPr>
          <w:instrText xml:space="preserve"> PAGEREF _Toc36116252 \h </w:instrText>
        </w:r>
        <w:r>
          <w:rPr>
            <w:webHidden/>
          </w:rPr>
        </w:r>
        <w:r>
          <w:rPr>
            <w:webHidden/>
          </w:rPr>
          <w:fldChar w:fldCharType="separate"/>
        </w:r>
        <w:r>
          <w:rPr>
            <w:webHidden/>
          </w:rPr>
          <w:t>43</w:t>
        </w:r>
        <w:r>
          <w:rPr>
            <w:webHidden/>
          </w:rPr>
          <w:fldChar w:fldCharType="end"/>
        </w:r>
      </w:hyperlink>
    </w:p>
    <w:p w14:paraId="74A584C9" w14:textId="77777777" w:rsidR="00B567E6" w:rsidRDefault="00B567E6">
      <w:pPr>
        <w:pStyle w:val="TOC2"/>
        <w:rPr>
          <w:rFonts w:asciiTheme="minorHAnsi" w:eastAsiaTheme="minorEastAsia" w:hAnsiTheme="minorHAnsi" w:cstheme="minorBidi"/>
          <w:noProof/>
          <w:sz w:val="22"/>
          <w:lang w:eastAsia="cs-CZ"/>
        </w:rPr>
      </w:pPr>
      <w:hyperlink w:anchor="_Toc36116253" w:history="1">
        <w:r w:rsidRPr="00793D71">
          <w:rPr>
            <w:rStyle w:val="Hyperlink"/>
            <w:noProof/>
          </w:rPr>
          <w:t>1.4</w:t>
        </w:r>
        <w:r>
          <w:rPr>
            <w:rFonts w:asciiTheme="minorHAnsi" w:eastAsiaTheme="minorEastAsia" w:hAnsiTheme="minorHAnsi" w:cstheme="minorBidi"/>
            <w:noProof/>
            <w:sz w:val="22"/>
            <w:lang w:eastAsia="cs-CZ"/>
          </w:rPr>
          <w:tab/>
        </w:r>
        <w:r w:rsidRPr="00793D71">
          <w:rPr>
            <w:rStyle w:val="Hyperlink"/>
            <w:noProof/>
          </w:rPr>
          <w:t>Vyhodnocení souladu s požadavky stavebního zákona a jeho prováděcích právních předpisů</w:t>
        </w:r>
        <w:r>
          <w:rPr>
            <w:noProof/>
            <w:webHidden/>
          </w:rPr>
          <w:tab/>
        </w:r>
        <w:r>
          <w:rPr>
            <w:noProof/>
            <w:webHidden/>
          </w:rPr>
          <w:fldChar w:fldCharType="begin"/>
        </w:r>
        <w:r>
          <w:rPr>
            <w:noProof/>
            <w:webHidden/>
          </w:rPr>
          <w:instrText xml:space="preserve"> PAGEREF _Toc36116253 \h </w:instrText>
        </w:r>
        <w:r>
          <w:rPr>
            <w:noProof/>
            <w:webHidden/>
          </w:rPr>
        </w:r>
        <w:r>
          <w:rPr>
            <w:noProof/>
            <w:webHidden/>
          </w:rPr>
          <w:fldChar w:fldCharType="separate"/>
        </w:r>
        <w:r>
          <w:rPr>
            <w:noProof/>
            <w:webHidden/>
          </w:rPr>
          <w:t>45</w:t>
        </w:r>
        <w:r>
          <w:rPr>
            <w:noProof/>
            <w:webHidden/>
          </w:rPr>
          <w:fldChar w:fldCharType="end"/>
        </w:r>
      </w:hyperlink>
    </w:p>
    <w:p w14:paraId="0CE419E5" w14:textId="77777777" w:rsidR="00B567E6" w:rsidRDefault="00B567E6">
      <w:pPr>
        <w:pStyle w:val="TOC2"/>
        <w:rPr>
          <w:rFonts w:asciiTheme="minorHAnsi" w:eastAsiaTheme="minorEastAsia" w:hAnsiTheme="minorHAnsi" w:cstheme="minorBidi"/>
          <w:noProof/>
          <w:sz w:val="22"/>
          <w:lang w:eastAsia="cs-CZ"/>
        </w:rPr>
      </w:pPr>
      <w:hyperlink w:anchor="_Toc36116254" w:history="1">
        <w:r w:rsidRPr="00793D71">
          <w:rPr>
            <w:rStyle w:val="Hyperlink"/>
            <w:noProof/>
          </w:rPr>
          <w:t>1.5</w:t>
        </w:r>
        <w:r>
          <w:rPr>
            <w:rFonts w:asciiTheme="minorHAnsi" w:eastAsiaTheme="minorEastAsia" w:hAnsiTheme="minorHAnsi" w:cstheme="minorBidi"/>
            <w:noProof/>
            <w:sz w:val="22"/>
            <w:lang w:eastAsia="cs-CZ"/>
          </w:rPr>
          <w:tab/>
        </w:r>
        <w:r w:rsidRPr="00793D71">
          <w:rPr>
            <w:rStyle w:val="Hyperlink"/>
            <w:noProof/>
          </w:rPr>
          <w:t>Vyhodnocení souladu s požadavky zvláštních právních předpisů a se stanovisky dotčených orgánů podle zvláštních právních předpisů, popřípadě s výsledkem řešení rozporů</w:t>
        </w:r>
        <w:r>
          <w:rPr>
            <w:noProof/>
            <w:webHidden/>
          </w:rPr>
          <w:tab/>
        </w:r>
        <w:r>
          <w:rPr>
            <w:noProof/>
            <w:webHidden/>
          </w:rPr>
          <w:fldChar w:fldCharType="begin"/>
        </w:r>
        <w:r>
          <w:rPr>
            <w:noProof/>
            <w:webHidden/>
          </w:rPr>
          <w:instrText xml:space="preserve"> PAGEREF _Toc36116254 \h </w:instrText>
        </w:r>
        <w:r>
          <w:rPr>
            <w:noProof/>
            <w:webHidden/>
          </w:rPr>
        </w:r>
        <w:r>
          <w:rPr>
            <w:noProof/>
            <w:webHidden/>
          </w:rPr>
          <w:fldChar w:fldCharType="separate"/>
        </w:r>
        <w:r>
          <w:rPr>
            <w:noProof/>
            <w:webHidden/>
          </w:rPr>
          <w:t>45</w:t>
        </w:r>
        <w:r>
          <w:rPr>
            <w:noProof/>
            <w:webHidden/>
          </w:rPr>
          <w:fldChar w:fldCharType="end"/>
        </w:r>
      </w:hyperlink>
    </w:p>
    <w:p w14:paraId="25C217DF" w14:textId="77777777" w:rsidR="00B567E6" w:rsidRDefault="00B567E6">
      <w:pPr>
        <w:pStyle w:val="TOC1"/>
        <w:rPr>
          <w:rFonts w:asciiTheme="minorHAnsi" w:eastAsiaTheme="minorEastAsia" w:hAnsiTheme="minorHAnsi" w:cstheme="minorBidi"/>
          <w:sz w:val="22"/>
          <w:szCs w:val="22"/>
          <w:lang w:eastAsia="cs-CZ"/>
        </w:rPr>
      </w:pPr>
      <w:hyperlink w:anchor="_Toc36116255" w:history="1">
        <w:r w:rsidRPr="00793D71">
          <w:rPr>
            <w:rStyle w:val="Hyperlink"/>
          </w:rPr>
          <w:t>2.</w:t>
        </w:r>
        <w:r>
          <w:rPr>
            <w:rFonts w:asciiTheme="minorHAnsi" w:eastAsiaTheme="minorEastAsia" w:hAnsiTheme="minorHAnsi" w:cstheme="minorBidi"/>
            <w:sz w:val="22"/>
            <w:szCs w:val="22"/>
            <w:lang w:eastAsia="cs-CZ"/>
          </w:rPr>
          <w:tab/>
        </w:r>
        <w:r w:rsidRPr="00793D71">
          <w:rPr>
            <w:rStyle w:val="Hyperlink"/>
          </w:rPr>
          <w:t>ZPRÁVA O VYHODNOCENÍ VLIVŮ NA UDRŽITELNÝ ROZVOJ ÚZEMÍ OBSAHUJÍCÍ ZÁKLADNÍ INFORMACE O VÝSLEDCÍCH TOHOTO VYHODNOCENÍ VČETNĚ VÝSLEDKŮ VYHODNOCENÍ VLIVŮ NA ŽIVOTNÍ PROSTŘEDÍ, STANOVISKO KRAJSKÉHO ÚŘADU PODLE § 50 ODST. 5 A SDĚLENÍ, JAK BYLO STANOVISKO PODLE § 50 ODST. 5 ZOHLEDNĚNO, S UVEDENÍM ZÁVAŽNÝCH DŮVODŮ, POKUD NĚKTERÉ POŽADAVKY NEBO PODMÍNKY ZOHLEDNĚNY NEBYLY</w:t>
        </w:r>
        <w:r>
          <w:rPr>
            <w:webHidden/>
          </w:rPr>
          <w:tab/>
        </w:r>
        <w:r>
          <w:rPr>
            <w:webHidden/>
          </w:rPr>
          <w:fldChar w:fldCharType="begin"/>
        </w:r>
        <w:r>
          <w:rPr>
            <w:webHidden/>
          </w:rPr>
          <w:instrText xml:space="preserve"> PAGEREF _Toc36116255 \h </w:instrText>
        </w:r>
        <w:r>
          <w:rPr>
            <w:webHidden/>
          </w:rPr>
        </w:r>
        <w:r>
          <w:rPr>
            <w:webHidden/>
          </w:rPr>
          <w:fldChar w:fldCharType="separate"/>
        </w:r>
        <w:r>
          <w:rPr>
            <w:webHidden/>
          </w:rPr>
          <w:t>46</w:t>
        </w:r>
        <w:r>
          <w:rPr>
            <w:webHidden/>
          </w:rPr>
          <w:fldChar w:fldCharType="end"/>
        </w:r>
      </w:hyperlink>
    </w:p>
    <w:p w14:paraId="221A89E6" w14:textId="77777777" w:rsidR="00B567E6" w:rsidRDefault="00B567E6">
      <w:pPr>
        <w:pStyle w:val="TOC1"/>
        <w:rPr>
          <w:rFonts w:asciiTheme="minorHAnsi" w:eastAsiaTheme="minorEastAsia" w:hAnsiTheme="minorHAnsi" w:cstheme="minorBidi"/>
          <w:sz w:val="22"/>
          <w:szCs w:val="22"/>
          <w:lang w:eastAsia="cs-CZ"/>
        </w:rPr>
      </w:pPr>
      <w:hyperlink w:anchor="_Toc36116256" w:history="1">
        <w:r w:rsidRPr="00793D71">
          <w:rPr>
            <w:rStyle w:val="Hyperlink"/>
          </w:rPr>
          <w:t>3.</w:t>
        </w:r>
        <w:r>
          <w:rPr>
            <w:rFonts w:asciiTheme="minorHAnsi" w:eastAsiaTheme="minorEastAsia" w:hAnsiTheme="minorHAnsi" w:cstheme="minorBidi"/>
            <w:sz w:val="22"/>
            <w:szCs w:val="22"/>
            <w:lang w:eastAsia="cs-CZ"/>
          </w:rPr>
          <w:tab/>
        </w:r>
        <w:r w:rsidRPr="00793D71">
          <w:rPr>
            <w:rStyle w:val="Hyperlink"/>
          </w:rPr>
          <w:t>VYHODNOCENÍ SPLNĚNÍ POŽADAVKŮ ZADÁNÍ POPŘÍPADĚ VYHODNOCENÍ SOULADU SE SCHVÁLENÝM VÝBĚREM NEJVHODNĚJŠÍ VARIANTY A PODMÍNKAMI K JEJÍ ÚPRAVĚ V PŘÍPADĚ POSTUPU PODLE § 51 ODST. 2 STAVEBNÍHO ZÁKONA, S POKYNY PRO ZPRACOVÁNÍ NÁVRHU ÚZEMNÍHO PLÁNU V PŘÍPADĚ POSTUPU PODLE § 51 ODST. 3 STAVEBNÍHO ZÁKONA, S POKYNY PRO PŘEPRACOVÁNÍ NÁVRHU V PŘÍPADĚ POSTUPU PODLE §53 ODST. 3 STAVEBNÍHO ZÁKONA, S POKYNY K ÚPRAVĚ NÁVRHU ÚZEMNÍHO PLÁNU V PŘÍPADĚ POSTUPU PODLE § 54 ODST. 3 STAVEBNÍHO ZÁKONA, S ROZHODNUTÍM O POŘÍZENÍ ÚZEMNÍHO PLÁNU NEBO JEHO ZMĚNY A O JEJÍM OBSAHU V PŘÍPADĚ POSTUPU PODLE §55 ODST. 3 STAVEBNÍHO ZÁKONA</w:t>
        </w:r>
        <w:r>
          <w:rPr>
            <w:webHidden/>
          </w:rPr>
          <w:tab/>
        </w:r>
        <w:r>
          <w:rPr>
            <w:webHidden/>
          </w:rPr>
          <w:fldChar w:fldCharType="begin"/>
        </w:r>
        <w:r>
          <w:rPr>
            <w:webHidden/>
          </w:rPr>
          <w:instrText xml:space="preserve"> PAGEREF _Toc36116256 \h </w:instrText>
        </w:r>
        <w:r>
          <w:rPr>
            <w:webHidden/>
          </w:rPr>
        </w:r>
        <w:r>
          <w:rPr>
            <w:webHidden/>
          </w:rPr>
          <w:fldChar w:fldCharType="separate"/>
        </w:r>
        <w:r>
          <w:rPr>
            <w:webHidden/>
          </w:rPr>
          <w:t>47</w:t>
        </w:r>
        <w:r>
          <w:rPr>
            <w:webHidden/>
          </w:rPr>
          <w:fldChar w:fldCharType="end"/>
        </w:r>
      </w:hyperlink>
    </w:p>
    <w:p w14:paraId="6F2905C2" w14:textId="77777777" w:rsidR="00B567E6" w:rsidRDefault="00B567E6">
      <w:pPr>
        <w:pStyle w:val="TOC2"/>
        <w:rPr>
          <w:rFonts w:asciiTheme="minorHAnsi" w:eastAsiaTheme="minorEastAsia" w:hAnsiTheme="minorHAnsi" w:cstheme="minorBidi"/>
          <w:noProof/>
          <w:sz w:val="22"/>
          <w:lang w:eastAsia="cs-CZ"/>
        </w:rPr>
      </w:pPr>
      <w:hyperlink w:anchor="_Toc36116257" w:history="1">
        <w:r w:rsidRPr="00793D71">
          <w:rPr>
            <w:rStyle w:val="Hyperlink"/>
            <w:noProof/>
            <w:lang w:eastAsia="cs-CZ"/>
          </w:rPr>
          <w:t>3.1</w:t>
        </w:r>
        <w:r>
          <w:rPr>
            <w:rFonts w:asciiTheme="minorHAnsi" w:eastAsiaTheme="minorEastAsia" w:hAnsiTheme="minorHAnsi" w:cstheme="minorBidi"/>
            <w:noProof/>
            <w:sz w:val="22"/>
            <w:lang w:eastAsia="cs-CZ"/>
          </w:rPr>
          <w:tab/>
        </w:r>
        <w:r w:rsidRPr="00793D71">
          <w:rPr>
            <w:rStyle w:val="Hyperlink"/>
            <w:noProof/>
            <w:lang w:eastAsia="cs-CZ"/>
          </w:rPr>
          <w:t>Požadavky vyplývající z PÚR, územně plánovací dokumentace vydané krajem, popřípadě z dalších širších územních vztahů</w:t>
        </w:r>
        <w:r>
          <w:rPr>
            <w:noProof/>
            <w:webHidden/>
          </w:rPr>
          <w:tab/>
        </w:r>
        <w:r>
          <w:rPr>
            <w:noProof/>
            <w:webHidden/>
          </w:rPr>
          <w:fldChar w:fldCharType="begin"/>
        </w:r>
        <w:r>
          <w:rPr>
            <w:noProof/>
            <w:webHidden/>
          </w:rPr>
          <w:instrText xml:space="preserve"> PAGEREF _Toc36116257 \h </w:instrText>
        </w:r>
        <w:r>
          <w:rPr>
            <w:noProof/>
            <w:webHidden/>
          </w:rPr>
        </w:r>
        <w:r>
          <w:rPr>
            <w:noProof/>
            <w:webHidden/>
          </w:rPr>
          <w:fldChar w:fldCharType="separate"/>
        </w:r>
        <w:r>
          <w:rPr>
            <w:noProof/>
            <w:webHidden/>
          </w:rPr>
          <w:t>47</w:t>
        </w:r>
        <w:r>
          <w:rPr>
            <w:noProof/>
            <w:webHidden/>
          </w:rPr>
          <w:fldChar w:fldCharType="end"/>
        </w:r>
      </w:hyperlink>
    </w:p>
    <w:p w14:paraId="13CECF14" w14:textId="77777777" w:rsidR="00B567E6" w:rsidRDefault="00B567E6">
      <w:pPr>
        <w:pStyle w:val="TOC3"/>
        <w:rPr>
          <w:rFonts w:asciiTheme="minorHAnsi" w:eastAsiaTheme="minorEastAsia" w:hAnsiTheme="minorHAnsi" w:cstheme="minorBidi"/>
          <w:bCs w:val="0"/>
          <w:sz w:val="22"/>
          <w:szCs w:val="22"/>
          <w:lang w:eastAsia="cs-CZ"/>
        </w:rPr>
      </w:pPr>
      <w:hyperlink w:anchor="_Toc36116258" w:history="1">
        <w:r w:rsidRPr="00793D71">
          <w:rPr>
            <w:rStyle w:val="Hyperlink"/>
          </w:rPr>
          <w:t>3.1.1</w:t>
        </w:r>
        <w:r>
          <w:rPr>
            <w:rFonts w:asciiTheme="minorHAnsi" w:eastAsiaTheme="minorEastAsia" w:hAnsiTheme="minorHAnsi" w:cstheme="minorBidi"/>
            <w:bCs w:val="0"/>
            <w:sz w:val="22"/>
            <w:szCs w:val="22"/>
            <w:lang w:eastAsia="cs-CZ"/>
          </w:rPr>
          <w:tab/>
        </w:r>
        <w:r w:rsidRPr="00793D71">
          <w:rPr>
            <w:rStyle w:val="Hyperlink"/>
          </w:rPr>
          <w:t>Požadavky vyplývající z Politiky územního rozvoje</w:t>
        </w:r>
        <w:r>
          <w:rPr>
            <w:webHidden/>
          </w:rPr>
          <w:tab/>
        </w:r>
        <w:r>
          <w:rPr>
            <w:webHidden/>
          </w:rPr>
          <w:fldChar w:fldCharType="begin"/>
        </w:r>
        <w:r>
          <w:rPr>
            <w:webHidden/>
          </w:rPr>
          <w:instrText xml:space="preserve"> PAGEREF _Toc36116258 \h </w:instrText>
        </w:r>
        <w:r>
          <w:rPr>
            <w:webHidden/>
          </w:rPr>
        </w:r>
        <w:r>
          <w:rPr>
            <w:webHidden/>
          </w:rPr>
          <w:fldChar w:fldCharType="separate"/>
        </w:r>
        <w:r>
          <w:rPr>
            <w:webHidden/>
          </w:rPr>
          <w:t>47</w:t>
        </w:r>
        <w:r>
          <w:rPr>
            <w:webHidden/>
          </w:rPr>
          <w:fldChar w:fldCharType="end"/>
        </w:r>
      </w:hyperlink>
    </w:p>
    <w:p w14:paraId="7FEADF72" w14:textId="77777777" w:rsidR="00B567E6" w:rsidRDefault="00B567E6">
      <w:pPr>
        <w:pStyle w:val="TOC3"/>
        <w:rPr>
          <w:rFonts w:asciiTheme="minorHAnsi" w:eastAsiaTheme="minorEastAsia" w:hAnsiTheme="minorHAnsi" w:cstheme="minorBidi"/>
          <w:bCs w:val="0"/>
          <w:sz w:val="22"/>
          <w:szCs w:val="22"/>
          <w:lang w:eastAsia="cs-CZ"/>
        </w:rPr>
      </w:pPr>
      <w:hyperlink w:anchor="_Toc36116259" w:history="1">
        <w:r w:rsidRPr="00793D71">
          <w:rPr>
            <w:rStyle w:val="Hyperlink"/>
          </w:rPr>
          <w:t>3.1.2</w:t>
        </w:r>
        <w:r>
          <w:rPr>
            <w:rFonts w:asciiTheme="minorHAnsi" w:eastAsiaTheme="minorEastAsia" w:hAnsiTheme="minorHAnsi" w:cstheme="minorBidi"/>
            <w:bCs w:val="0"/>
            <w:sz w:val="22"/>
            <w:szCs w:val="22"/>
            <w:lang w:eastAsia="cs-CZ"/>
          </w:rPr>
          <w:tab/>
        </w:r>
        <w:r w:rsidRPr="00793D71">
          <w:rPr>
            <w:rStyle w:val="Hyperlink"/>
          </w:rPr>
          <w:t>Požadavky vyplývající z územně plánovací dokumentace vydané krajem</w:t>
        </w:r>
        <w:r>
          <w:rPr>
            <w:webHidden/>
          </w:rPr>
          <w:tab/>
        </w:r>
        <w:r>
          <w:rPr>
            <w:webHidden/>
          </w:rPr>
          <w:fldChar w:fldCharType="begin"/>
        </w:r>
        <w:r>
          <w:rPr>
            <w:webHidden/>
          </w:rPr>
          <w:instrText xml:space="preserve"> PAGEREF _Toc36116259 \h </w:instrText>
        </w:r>
        <w:r>
          <w:rPr>
            <w:webHidden/>
          </w:rPr>
        </w:r>
        <w:r>
          <w:rPr>
            <w:webHidden/>
          </w:rPr>
          <w:fldChar w:fldCharType="separate"/>
        </w:r>
        <w:r>
          <w:rPr>
            <w:webHidden/>
          </w:rPr>
          <w:t>50</w:t>
        </w:r>
        <w:r>
          <w:rPr>
            <w:webHidden/>
          </w:rPr>
          <w:fldChar w:fldCharType="end"/>
        </w:r>
      </w:hyperlink>
    </w:p>
    <w:p w14:paraId="708B068E" w14:textId="77777777" w:rsidR="00B567E6" w:rsidRDefault="00B567E6">
      <w:pPr>
        <w:pStyle w:val="TOC3"/>
        <w:rPr>
          <w:rFonts w:asciiTheme="minorHAnsi" w:eastAsiaTheme="minorEastAsia" w:hAnsiTheme="minorHAnsi" w:cstheme="minorBidi"/>
          <w:bCs w:val="0"/>
          <w:sz w:val="22"/>
          <w:szCs w:val="22"/>
          <w:lang w:eastAsia="cs-CZ"/>
        </w:rPr>
      </w:pPr>
      <w:hyperlink w:anchor="_Toc36116260" w:history="1">
        <w:r w:rsidRPr="00793D71">
          <w:rPr>
            <w:rStyle w:val="Hyperlink"/>
          </w:rPr>
          <w:t>3.1.3 Požadavky zohledňující koncepční rozvojové materiály</w:t>
        </w:r>
        <w:r>
          <w:rPr>
            <w:webHidden/>
          </w:rPr>
          <w:tab/>
        </w:r>
        <w:r>
          <w:rPr>
            <w:webHidden/>
          </w:rPr>
          <w:fldChar w:fldCharType="begin"/>
        </w:r>
        <w:r>
          <w:rPr>
            <w:webHidden/>
          </w:rPr>
          <w:instrText xml:space="preserve"> PAGEREF _Toc36116260 \h </w:instrText>
        </w:r>
        <w:r>
          <w:rPr>
            <w:webHidden/>
          </w:rPr>
        </w:r>
        <w:r>
          <w:rPr>
            <w:webHidden/>
          </w:rPr>
          <w:fldChar w:fldCharType="separate"/>
        </w:r>
        <w:r>
          <w:rPr>
            <w:webHidden/>
          </w:rPr>
          <w:t>61</w:t>
        </w:r>
        <w:r>
          <w:rPr>
            <w:webHidden/>
          </w:rPr>
          <w:fldChar w:fldCharType="end"/>
        </w:r>
      </w:hyperlink>
    </w:p>
    <w:p w14:paraId="2087763D" w14:textId="77777777" w:rsidR="00B567E6" w:rsidRDefault="00B567E6">
      <w:pPr>
        <w:pStyle w:val="TOC2"/>
        <w:rPr>
          <w:rFonts w:asciiTheme="minorHAnsi" w:eastAsiaTheme="minorEastAsia" w:hAnsiTheme="minorHAnsi" w:cstheme="minorBidi"/>
          <w:noProof/>
          <w:sz w:val="22"/>
          <w:lang w:eastAsia="cs-CZ"/>
        </w:rPr>
      </w:pPr>
      <w:hyperlink w:anchor="_Toc36116261" w:history="1">
        <w:r w:rsidRPr="00793D71">
          <w:rPr>
            <w:rStyle w:val="Hyperlink"/>
            <w:noProof/>
            <w:lang w:eastAsia="cs-CZ"/>
          </w:rPr>
          <w:t>3.2</w:t>
        </w:r>
        <w:r>
          <w:rPr>
            <w:rFonts w:asciiTheme="minorHAnsi" w:eastAsiaTheme="minorEastAsia" w:hAnsiTheme="minorHAnsi" w:cstheme="minorBidi"/>
            <w:noProof/>
            <w:sz w:val="22"/>
            <w:lang w:eastAsia="cs-CZ"/>
          </w:rPr>
          <w:tab/>
        </w:r>
        <w:r w:rsidRPr="00793D71">
          <w:rPr>
            <w:rStyle w:val="Hyperlink"/>
            <w:noProof/>
            <w:lang w:eastAsia="cs-CZ"/>
          </w:rPr>
          <w:t>Požadavky na řešení vyplývající z územně analytických podkladů</w:t>
        </w:r>
        <w:r>
          <w:rPr>
            <w:noProof/>
            <w:webHidden/>
          </w:rPr>
          <w:tab/>
        </w:r>
        <w:r>
          <w:rPr>
            <w:noProof/>
            <w:webHidden/>
          </w:rPr>
          <w:fldChar w:fldCharType="begin"/>
        </w:r>
        <w:r>
          <w:rPr>
            <w:noProof/>
            <w:webHidden/>
          </w:rPr>
          <w:instrText xml:space="preserve"> PAGEREF _Toc36116261 \h </w:instrText>
        </w:r>
        <w:r>
          <w:rPr>
            <w:noProof/>
            <w:webHidden/>
          </w:rPr>
        </w:r>
        <w:r>
          <w:rPr>
            <w:noProof/>
            <w:webHidden/>
          </w:rPr>
          <w:fldChar w:fldCharType="separate"/>
        </w:r>
        <w:r>
          <w:rPr>
            <w:noProof/>
            <w:webHidden/>
          </w:rPr>
          <w:t>62</w:t>
        </w:r>
        <w:r>
          <w:rPr>
            <w:noProof/>
            <w:webHidden/>
          </w:rPr>
          <w:fldChar w:fldCharType="end"/>
        </w:r>
      </w:hyperlink>
    </w:p>
    <w:p w14:paraId="07CFD75B" w14:textId="77777777" w:rsidR="00B567E6" w:rsidRDefault="00B567E6">
      <w:pPr>
        <w:pStyle w:val="TOC2"/>
        <w:rPr>
          <w:rFonts w:asciiTheme="minorHAnsi" w:eastAsiaTheme="minorEastAsia" w:hAnsiTheme="minorHAnsi" w:cstheme="minorBidi"/>
          <w:noProof/>
          <w:sz w:val="22"/>
          <w:lang w:eastAsia="cs-CZ"/>
        </w:rPr>
      </w:pPr>
      <w:hyperlink w:anchor="_Toc36116262" w:history="1">
        <w:r w:rsidRPr="00793D71">
          <w:rPr>
            <w:rStyle w:val="Hyperlink"/>
            <w:noProof/>
            <w:lang w:eastAsia="cs-CZ"/>
          </w:rPr>
          <w:t>3.3</w:t>
        </w:r>
        <w:r>
          <w:rPr>
            <w:rFonts w:asciiTheme="minorHAnsi" w:eastAsiaTheme="minorEastAsia" w:hAnsiTheme="minorHAnsi" w:cstheme="minorBidi"/>
            <w:noProof/>
            <w:sz w:val="22"/>
            <w:lang w:eastAsia="cs-CZ"/>
          </w:rPr>
          <w:tab/>
        </w:r>
        <w:r w:rsidRPr="00793D71">
          <w:rPr>
            <w:rStyle w:val="Hyperlink"/>
            <w:noProof/>
            <w:lang w:eastAsia="cs-CZ"/>
          </w:rPr>
          <w:t>Požadavky na rozvoj území obce</w:t>
        </w:r>
        <w:r>
          <w:rPr>
            <w:noProof/>
            <w:webHidden/>
          </w:rPr>
          <w:tab/>
        </w:r>
        <w:r>
          <w:rPr>
            <w:noProof/>
            <w:webHidden/>
          </w:rPr>
          <w:fldChar w:fldCharType="begin"/>
        </w:r>
        <w:r>
          <w:rPr>
            <w:noProof/>
            <w:webHidden/>
          </w:rPr>
          <w:instrText xml:space="preserve"> PAGEREF _Toc36116262 \h </w:instrText>
        </w:r>
        <w:r>
          <w:rPr>
            <w:noProof/>
            <w:webHidden/>
          </w:rPr>
        </w:r>
        <w:r>
          <w:rPr>
            <w:noProof/>
            <w:webHidden/>
          </w:rPr>
          <w:fldChar w:fldCharType="separate"/>
        </w:r>
        <w:r>
          <w:rPr>
            <w:noProof/>
            <w:webHidden/>
          </w:rPr>
          <w:t>64</w:t>
        </w:r>
        <w:r>
          <w:rPr>
            <w:noProof/>
            <w:webHidden/>
          </w:rPr>
          <w:fldChar w:fldCharType="end"/>
        </w:r>
      </w:hyperlink>
    </w:p>
    <w:p w14:paraId="4B8585B1" w14:textId="77777777" w:rsidR="00B567E6" w:rsidRDefault="00B567E6">
      <w:pPr>
        <w:pStyle w:val="TOC2"/>
        <w:rPr>
          <w:rFonts w:asciiTheme="minorHAnsi" w:eastAsiaTheme="minorEastAsia" w:hAnsiTheme="minorHAnsi" w:cstheme="minorBidi"/>
          <w:noProof/>
          <w:sz w:val="22"/>
          <w:lang w:eastAsia="cs-CZ"/>
        </w:rPr>
      </w:pPr>
      <w:hyperlink w:anchor="_Toc36116263" w:history="1">
        <w:r w:rsidRPr="00793D71">
          <w:rPr>
            <w:rStyle w:val="Hyperlink"/>
            <w:noProof/>
            <w:lang w:eastAsia="cs-CZ"/>
          </w:rPr>
          <w:t>3.4</w:t>
        </w:r>
        <w:r>
          <w:rPr>
            <w:rFonts w:asciiTheme="minorHAnsi" w:eastAsiaTheme="minorEastAsia" w:hAnsiTheme="minorHAnsi" w:cstheme="minorBidi"/>
            <w:noProof/>
            <w:sz w:val="22"/>
            <w:lang w:eastAsia="cs-CZ"/>
          </w:rPr>
          <w:tab/>
        </w:r>
        <w:r w:rsidRPr="00793D71">
          <w:rPr>
            <w:rStyle w:val="Hyperlink"/>
            <w:noProof/>
            <w:lang w:eastAsia="cs-CZ"/>
          </w:rPr>
          <w:t>Požadavky na plošné a prostorové uspořádání území (urbanistickou koncepci a koncepci uspořádání krajiny)</w:t>
        </w:r>
        <w:r>
          <w:rPr>
            <w:noProof/>
            <w:webHidden/>
          </w:rPr>
          <w:tab/>
        </w:r>
        <w:r>
          <w:rPr>
            <w:noProof/>
            <w:webHidden/>
          </w:rPr>
          <w:fldChar w:fldCharType="begin"/>
        </w:r>
        <w:r>
          <w:rPr>
            <w:noProof/>
            <w:webHidden/>
          </w:rPr>
          <w:instrText xml:space="preserve"> PAGEREF _Toc36116263 \h </w:instrText>
        </w:r>
        <w:r>
          <w:rPr>
            <w:noProof/>
            <w:webHidden/>
          </w:rPr>
        </w:r>
        <w:r>
          <w:rPr>
            <w:noProof/>
            <w:webHidden/>
          </w:rPr>
          <w:fldChar w:fldCharType="separate"/>
        </w:r>
        <w:r>
          <w:rPr>
            <w:noProof/>
            <w:webHidden/>
          </w:rPr>
          <w:t>65</w:t>
        </w:r>
        <w:r>
          <w:rPr>
            <w:noProof/>
            <w:webHidden/>
          </w:rPr>
          <w:fldChar w:fldCharType="end"/>
        </w:r>
      </w:hyperlink>
    </w:p>
    <w:p w14:paraId="5C66A3A7" w14:textId="77777777" w:rsidR="00B567E6" w:rsidRDefault="00B567E6">
      <w:pPr>
        <w:pStyle w:val="TOC2"/>
        <w:rPr>
          <w:rFonts w:asciiTheme="minorHAnsi" w:eastAsiaTheme="minorEastAsia" w:hAnsiTheme="minorHAnsi" w:cstheme="minorBidi"/>
          <w:noProof/>
          <w:sz w:val="22"/>
          <w:lang w:eastAsia="cs-CZ"/>
        </w:rPr>
      </w:pPr>
      <w:hyperlink w:anchor="_Toc36116264" w:history="1">
        <w:r w:rsidRPr="00793D71">
          <w:rPr>
            <w:rStyle w:val="Hyperlink"/>
            <w:noProof/>
            <w:lang w:eastAsia="cs-CZ"/>
          </w:rPr>
          <w:t>3.5</w:t>
        </w:r>
        <w:r>
          <w:rPr>
            <w:rFonts w:asciiTheme="minorHAnsi" w:eastAsiaTheme="minorEastAsia" w:hAnsiTheme="minorHAnsi" w:cstheme="minorBidi"/>
            <w:noProof/>
            <w:sz w:val="22"/>
            <w:lang w:eastAsia="cs-CZ"/>
          </w:rPr>
          <w:tab/>
        </w:r>
        <w:r w:rsidRPr="00793D71">
          <w:rPr>
            <w:rStyle w:val="Hyperlink"/>
            <w:noProof/>
            <w:lang w:eastAsia="cs-CZ"/>
          </w:rPr>
          <w:t>Požadavky na řešení veřejné infrastruktury</w:t>
        </w:r>
        <w:r>
          <w:rPr>
            <w:noProof/>
            <w:webHidden/>
          </w:rPr>
          <w:tab/>
        </w:r>
        <w:r>
          <w:rPr>
            <w:noProof/>
            <w:webHidden/>
          </w:rPr>
          <w:fldChar w:fldCharType="begin"/>
        </w:r>
        <w:r>
          <w:rPr>
            <w:noProof/>
            <w:webHidden/>
          </w:rPr>
          <w:instrText xml:space="preserve"> PAGEREF _Toc36116264 \h </w:instrText>
        </w:r>
        <w:r>
          <w:rPr>
            <w:noProof/>
            <w:webHidden/>
          </w:rPr>
        </w:r>
        <w:r>
          <w:rPr>
            <w:noProof/>
            <w:webHidden/>
          </w:rPr>
          <w:fldChar w:fldCharType="separate"/>
        </w:r>
        <w:r>
          <w:rPr>
            <w:noProof/>
            <w:webHidden/>
          </w:rPr>
          <w:t>67</w:t>
        </w:r>
        <w:r>
          <w:rPr>
            <w:noProof/>
            <w:webHidden/>
          </w:rPr>
          <w:fldChar w:fldCharType="end"/>
        </w:r>
      </w:hyperlink>
    </w:p>
    <w:p w14:paraId="68A11B07" w14:textId="77777777" w:rsidR="00B567E6" w:rsidRDefault="00B567E6">
      <w:pPr>
        <w:pStyle w:val="TOC2"/>
        <w:rPr>
          <w:rFonts w:asciiTheme="minorHAnsi" w:eastAsiaTheme="minorEastAsia" w:hAnsiTheme="minorHAnsi" w:cstheme="minorBidi"/>
          <w:noProof/>
          <w:sz w:val="22"/>
          <w:lang w:eastAsia="cs-CZ"/>
        </w:rPr>
      </w:pPr>
      <w:hyperlink w:anchor="_Toc36116265" w:history="1">
        <w:r w:rsidRPr="00793D71">
          <w:rPr>
            <w:rStyle w:val="Hyperlink"/>
            <w:noProof/>
            <w:lang w:eastAsia="cs-CZ"/>
          </w:rPr>
          <w:t>3.6</w:t>
        </w:r>
        <w:r>
          <w:rPr>
            <w:rFonts w:asciiTheme="minorHAnsi" w:eastAsiaTheme="minorEastAsia" w:hAnsiTheme="minorHAnsi" w:cstheme="minorBidi"/>
            <w:noProof/>
            <w:sz w:val="22"/>
            <w:lang w:eastAsia="cs-CZ"/>
          </w:rPr>
          <w:tab/>
        </w:r>
        <w:r w:rsidRPr="00793D71">
          <w:rPr>
            <w:rStyle w:val="Hyperlink"/>
            <w:noProof/>
            <w:lang w:eastAsia="cs-CZ"/>
          </w:rPr>
          <w:t>Požadavky na ochranu a rozvoj hodnot území</w:t>
        </w:r>
        <w:r>
          <w:rPr>
            <w:noProof/>
            <w:webHidden/>
          </w:rPr>
          <w:tab/>
        </w:r>
        <w:r>
          <w:rPr>
            <w:noProof/>
            <w:webHidden/>
          </w:rPr>
          <w:fldChar w:fldCharType="begin"/>
        </w:r>
        <w:r>
          <w:rPr>
            <w:noProof/>
            <w:webHidden/>
          </w:rPr>
          <w:instrText xml:space="preserve"> PAGEREF _Toc36116265 \h </w:instrText>
        </w:r>
        <w:r>
          <w:rPr>
            <w:noProof/>
            <w:webHidden/>
          </w:rPr>
        </w:r>
        <w:r>
          <w:rPr>
            <w:noProof/>
            <w:webHidden/>
          </w:rPr>
          <w:fldChar w:fldCharType="separate"/>
        </w:r>
        <w:r>
          <w:rPr>
            <w:noProof/>
            <w:webHidden/>
          </w:rPr>
          <w:t>70</w:t>
        </w:r>
        <w:r>
          <w:rPr>
            <w:noProof/>
            <w:webHidden/>
          </w:rPr>
          <w:fldChar w:fldCharType="end"/>
        </w:r>
      </w:hyperlink>
    </w:p>
    <w:p w14:paraId="0796C1D3" w14:textId="77777777" w:rsidR="00B567E6" w:rsidRDefault="00B567E6">
      <w:pPr>
        <w:pStyle w:val="TOC2"/>
        <w:rPr>
          <w:rFonts w:asciiTheme="minorHAnsi" w:eastAsiaTheme="minorEastAsia" w:hAnsiTheme="minorHAnsi" w:cstheme="minorBidi"/>
          <w:noProof/>
          <w:sz w:val="22"/>
          <w:lang w:eastAsia="cs-CZ"/>
        </w:rPr>
      </w:pPr>
      <w:hyperlink w:anchor="_Toc36116266" w:history="1">
        <w:r w:rsidRPr="00793D71">
          <w:rPr>
            <w:rStyle w:val="Hyperlink"/>
            <w:noProof/>
            <w:lang w:eastAsia="cs-CZ"/>
          </w:rPr>
          <w:t>3.7</w:t>
        </w:r>
        <w:r>
          <w:rPr>
            <w:rFonts w:asciiTheme="minorHAnsi" w:eastAsiaTheme="minorEastAsia" w:hAnsiTheme="minorHAnsi" w:cstheme="minorBidi"/>
            <w:noProof/>
            <w:sz w:val="22"/>
            <w:lang w:eastAsia="cs-CZ"/>
          </w:rPr>
          <w:tab/>
        </w:r>
        <w:r w:rsidRPr="00793D71">
          <w:rPr>
            <w:rStyle w:val="Hyperlink"/>
            <w:noProof/>
            <w:lang w:eastAsia="cs-CZ"/>
          </w:rPr>
          <w:t>Požadavky na veřejně prospěšné stavby, veřejně prospěšná opatření a asanace</w:t>
        </w:r>
        <w:r>
          <w:rPr>
            <w:noProof/>
            <w:webHidden/>
          </w:rPr>
          <w:tab/>
        </w:r>
        <w:r>
          <w:rPr>
            <w:noProof/>
            <w:webHidden/>
          </w:rPr>
          <w:fldChar w:fldCharType="begin"/>
        </w:r>
        <w:r>
          <w:rPr>
            <w:noProof/>
            <w:webHidden/>
          </w:rPr>
          <w:instrText xml:space="preserve"> PAGEREF _Toc36116266 \h </w:instrText>
        </w:r>
        <w:r>
          <w:rPr>
            <w:noProof/>
            <w:webHidden/>
          </w:rPr>
        </w:r>
        <w:r>
          <w:rPr>
            <w:noProof/>
            <w:webHidden/>
          </w:rPr>
          <w:fldChar w:fldCharType="separate"/>
        </w:r>
        <w:r>
          <w:rPr>
            <w:noProof/>
            <w:webHidden/>
          </w:rPr>
          <w:t>74</w:t>
        </w:r>
        <w:r>
          <w:rPr>
            <w:noProof/>
            <w:webHidden/>
          </w:rPr>
          <w:fldChar w:fldCharType="end"/>
        </w:r>
      </w:hyperlink>
    </w:p>
    <w:p w14:paraId="3D966CCE" w14:textId="77777777" w:rsidR="00B567E6" w:rsidRDefault="00B567E6">
      <w:pPr>
        <w:pStyle w:val="TOC2"/>
        <w:rPr>
          <w:rFonts w:asciiTheme="minorHAnsi" w:eastAsiaTheme="minorEastAsia" w:hAnsiTheme="minorHAnsi" w:cstheme="minorBidi"/>
          <w:noProof/>
          <w:sz w:val="22"/>
          <w:lang w:eastAsia="cs-CZ"/>
        </w:rPr>
      </w:pPr>
      <w:hyperlink w:anchor="_Toc36116267" w:history="1">
        <w:r w:rsidRPr="00793D71">
          <w:rPr>
            <w:rStyle w:val="Hyperlink"/>
            <w:noProof/>
            <w:lang w:eastAsia="cs-CZ"/>
          </w:rPr>
          <w:t>3.8</w:t>
        </w:r>
        <w:r>
          <w:rPr>
            <w:rFonts w:asciiTheme="minorHAnsi" w:eastAsiaTheme="minorEastAsia" w:hAnsiTheme="minorHAnsi" w:cstheme="minorBidi"/>
            <w:noProof/>
            <w:sz w:val="22"/>
            <w:lang w:eastAsia="cs-CZ"/>
          </w:rPr>
          <w:tab/>
        </w:r>
        <w:r w:rsidRPr="00793D71">
          <w:rPr>
            <w:rStyle w:val="Hyperlink"/>
            <w:noProof/>
            <w:lang w:eastAsia="cs-CZ"/>
          </w:rPr>
          <w:t>Požadavky vyplývající ze zvláštních právních předpisů</w:t>
        </w:r>
        <w:r>
          <w:rPr>
            <w:noProof/>
            <w:webHidden/>
          </w:rPr>
          <w:tab/>
        </w:r>
        <w:r>
          <w:rPr>
            <w:noProof/>
            <w:webHidden/>
          </w:rPr>
          <w:fldChar w:fldCharType="begin"/>
        </w:r>
        <w:r>
          <w:rPr>
            <w:noProof/>
            <w:webHidden/>
          </w:rPr>
          <w:instrText xml:space="preserve"> PAGEREF _Toc36116267 \h </w:instrText>
        </w:r>
        <w:r>
          <w:rPr>
            <w:noProof/>
            <w:webHidden/>
          </w:rPr>
        </w:r>
        <w:r>
          <w:rPr>
            <w:noProof/>
            <w:webHidden/>
          </w:rPr>
          <w:fldChar w:fldCharType="separate"/>
        </w:r>
        <w:r>
          <w:rPr>
            <w:noProof/>
            <w:webHidden/>
          </w:rPr>
          <w:t>75</w:t>
        </w:r>
        <w:r>
          <w:rPr>
            <w:noProof/>
            <w:webHidden/>
          </w:rPr>
          <w:fldChar w:fldCharType="end"/>
        </w:r>
      </w:hyperlink>
    </w:p>
    <w:p w14:paraId="4ED8FAAB" w14:textId="77777777" w:rsidR="00B567E6" w:rsidRDefault="00B567E6">
      <w:pPr>
        <w:pStyle w:val="TOC2"/>
        <w:rPr>
          <w:rFonts w:asciiTheme="minorHAnsi" w:eastAsiaTheme="minorEastAsia" w:hAnsiTheme="minorHAnsi" w:cstheme="minorBidi"/>
          <w:noProof/>
          <w:sz w:val="22"/>
          <w:lang w:eastAsia="cs-CZ"/>
        </w:rPr>
      </w:pPr>
      <w:hyperlink w:anchor="_Toc36116268" w:history="1">
        <w:r w:rsidRPr="00793D71">
          <w:rPr>
            <w:rStyle w:val="Hyperlink"/>
            <w:noProof/>
            <w:lang w:eastAsia="cs-CZ"/>
          </w:rPr>
          <w:t>3.9</w:t>
        </w:r>
        <w:r>
          <w:rPr>
            <w:rFonts w:asciiTheme="minorHAnsi" w:eastAsiaTheme="minorEastAsia" w:hAnsiTheme="minorHAnsi" w:cstheme="minorBidi"/>
            <w:noProof/>
            <w:sz w:val="22"/>
            <w:lang w:eastAsia="cs-CZ"/>
          </w:rPr>
          <w:tab/>
        </w:r>
        <w:r w:rsidRPr="00793D71">
          <w:rPr>
            <w:rStyle w:val="Hyperlink"/>
            <w:noProof/>
            <w:lang w:eastAsia="cs-CZ"/>
          </w:rPr>
          <w:t>Požadavky a pokyny pro řešení hlavních střetů zájmů a problémů v území</w:t>
        </w:r>
        <w:r>
          <w:rPr>
            <w:noProof/>
            <w:webHidden/>
          </w:rPr>
          <w:tab/>
        </w:r>
        <w:r>
          <w:rPr>
            <w:noProof/>
            <w:webHidden/>
          </w:rPr>
          <w:fldChar w:fldCharType="begin"/>
        </w:r>
        <w:r>
          <w:rPr>
            <w:noProof/>
            <w:webHidden/>
          </w:rPr>
          <w:instrText xml:space="preserve"> PAGEREF _Toc36116268 \h </w:instrText>
        </w:r>
        <w:r>
          <w:rPr>
            <w:noProof/>
            <w:webHidden/>
          </w:rPr>
        </w:r>
        <w:r>
          <w:rPr>
            <w:noProof/>
            <w:webHidden/>
          </w:rPr>
          <w:fldChar w:fldCharType="separate"/>
        </w:r>
        <w:r>
          <w:rPr>
            <w:noProof/>
            <w:webHidden/>
          </w:rPr>
          <w:t>78</w:t>
        </w:r>
        <w:r>
          <w:rPr>
            <w:noProof/>
            <w:webHidden/>
          </w:rPr>
          <w:fldChar w:fldCharType="end"/>
        </w:r>
      </w:hyperlink>
    </w:p>
    <w:p w14:paraId="7515582C" w14:textId="77777777" w:rsidR="00B567E6" w:rsidRDefault="00B567E6">
      <w:pPr>
        <w:pStyle w:val="TOC2"/>
        <w:rPr>
          <w:rFonts w:asciiTheme="minorHAnsi" w:eastAsiaTheme="minorEastAsia" w:hAnsiTheme="minorHAnsi" w:cstheme="minorBidi"/>
          <w:noProof/>
          <w:sz w:val="22"/>
          <w:lang w:eastAsia="cs-CZ"/>
        </w:rPr>
      </w:pPr>
      <w:hyperlink w:anchor="_Toc36116269" w:history="1">
        <w:r w:rsidRPr="00793D71">
          <w:rPr>
            <w:rStyle w:val="Hyperlink"/>
            <w:noProof/>
            <w:lang w:eastAsia="cs-CZ"/>
          </w:rPr>
          <w:t>3.10</w:t>
        </w:r>
        <w:r>
          <w:rPr>
            <w:rFonts w:asciiTheme="minorHAnsi" w:eastAsiaTheme="minorEastAsia" w:hAnsiTheme="minorHAnsi" w:cstheme="minorBidi"/>
            <w:noProof/>
            <w:sz w:val="22"/>
            <w:lang w:eastAsia="cs-CZ"/>
          </w:rPr>
          <w:tab/>
        </w:r>
        <w:r w:rsidRPr="00793D71">
          <w:rPr>
            <w:rStyle w:val="Hyperlink"/>
            <w:noProof/>
            <w:lang w:eastAsia="cs-CZ"/>
          </w:rPr>
          <w:t>Požadavky na vymezení zastavitelných ploch a ploch přestavby s ohledem na obnovu a rozvoj sídelní struktury a polohu obce v rozvojové oblasti nebo rozvojové ose</w:t>
        </w:r>
        <w:r>
          <w:rPr>
            <w:noProof/>
            <w:webHidden/>
          </w:rPr>
          <w:tab/>
        </w:r>
        <w:r>
          <w:rPr>
            <w:noProof/>
            <w:webHidden/>
          </w:rPr>
          <w:fldChar w:fldCharType="begin"/>
        </w:r>
        <w:r>
          <w:rPr>
            <w:noProof/>
            <w:webHidden/>
          </w:rPr>
          <w:instrText xml:space="preserve"> PAGEREF _Toc36116269 \h </w:instrText>
        </w:r>
        <w:r>
          <w:rPr>
            <w:noProof/>
            <w:webHidden/>
          </w:rPr>
        </w:r>
        <w:r>
          <w:rPr>
            <w:noProof/>
            <w:webHidden/>
          </w:rPr>
          <w:fldChar w:fldCharType="separate"/>
        </w:r>
        <w:r>
          <w:rPr>
            <w:noProof/>
            <w:webHidden/>
          </w:rPr>
          <w:t>82</w:t>
        </w:r>
        <w:r>
          <w:rPr>
            <w:noProof/>
            <w:webHidden/>
          </w:rPr>
          <w:fldChar w:fldCharType="end"/>
        </w:r>
      </w:hyperlink>
    </w:p>
    <w:p w14:paraId="4EE478F5" w14:textId="5A71F135" w:rsidR="00B567E6" w:rsidRDefault="00B567E6">
      <w:pPr>
        <w:pStyle w:val="TOC2"/>
        <w:rPr>
          <w:rFonts w:asciiTheme="minorHAnsi" w:eastAsiaTheme="minorEastAsia" w:hAnsiTheme="minorHAnsi" w:cstheme="minorBidi"/>
          <w:noProof/>
          <w:sz w:val="22"/>
          <w:lang w:eastAsia="cs-CZ"/>
        </w:rPr>
      </w:pPr>
      <w:hyperlink w:anchor="_Toc36116270" w:history="1">
        <w:r w:rsidRPr="00793D71">
          <w:rPr>
            <w:rStyle w:val="Hyperlink"/>
            <w:noProof/>
            <w:lang w:eastAsia="cs-CZ"/>
          </w:rPr>
          <w:t xml:space="preserve">3.11 </w:t>
        </w:r>
        <w:r>
          <w:rPr>
            <w:rStyle w:val="Hyperlink"/>
            <w:noProof/>
            <w:lang w:eastAsia="cs-CZ"/>
          </w:rPr>
          <w:t xml:space="preserve">    </w:t>
        </w:r>
        <w:r w:rsidRPr="00793D71">
          <w:rPr>
            <w:rStyle w:val="Hyperlink"/>
            <w:noProof/>
            <w:lang w:eastAsia="cs-CZ"/>
          </w:rPr>
          <w:t>Požadavky na vymezení ploch a koridorů, ve kterých bude uloženo prověření změn jejich využití územní studií</w:t>
        </w:r>
        <w:r>
          <w:rPr>
            <w:noProof/>
            <w:webHidden/>
          </w:rPr>
          <w:tab/>
        </w:r>
        <w:r>
          <w:rPr>
            <w:noProof/>
            <w:webHidden/>
          </w:rPr>
          <w:fldChar w:fldCharType="begin"/>
        </w:r>
        <w:r>
          <w:rPr>
            <w:noProof/>
            <w:webHidden/>
          </w:rPr>
          <w:instrText xml:space="preserve"> PAGEREF _Toc36116270 \h </w:instrText>
        </w:r>
        <w:r>
          <w:rPr>
            <w:noProof/>
            <w:webHidden/>
          </w:rPr>
        </w:r>
        <w:r>
          <w:rPr>
            <w:noProof/>
            <w:webHidden/>
          </w:rPr>
          <w:fldChar w:fldCharType="separate"/>
        </w:r>
        <w:r>
          <w:rPr>
            <w:noProof/>
            <w:webHidden/>
          </w:rPr>
          <w:t>86</w:t>
        </w:r>
        <w:r>
          <w:rPr>
            <w:noProof/>
            <w:webHidden/>
          </w:rPr>
          <w:fldChar w:fldCharType="end"/>
        </w:r>
      </w:hyperlink>
    </w:p>
    <w:p w14:paraId="2E013B47" w14:textId="77777777" w:rsidR="00B567E6" w:rsidRDefault="00B567E6">
      <w:pPr>
        <w:pStyle w:val="TOC2"/>
        <w:rPr>
          <w:rFonts w:asciiTheme="minorHAnsi" w:eastAsiaTheme="minorEastAsia" w:hAnsiTheme="minorHAnsi" w:cstheme="minorBidi"/>
          <w:noProof/>
          <w:sz w:val="22"/>
          <w:lang w:eastAsia="cs-CZ"/>
        </w:rPr>
      </w:pPr>
      <w:hyperlink w:anchor="_Toc36116271" w:history="1">
        <w:r w:rsidRPr="00793D71">
          <w:rPr>
            <w:rStyle w:val="Hyperlink"/>
            <w:noProof/>
            <w:lang w:eastAsia="cs-CZ"/>
          </w:rPr>
          <w:t>3.12</w:t>
        </w:r>
        <w:r>
          <w:rPr>
            <w:rFonts w:asciiTheme="minorHAnsi" w:eastAsiaTheme="minorEastAsia" w:hAnsiTheme="minorHAnsi" w:cstheme="minorBidi"/>
            <w:noProof/>
            <w:sz w:val="22"/>
            <w:lang w:eastAsia="cs-CZ"/>
          </w:rPr>
          <w:tab/>
        </w:r>
        <w:r w:rsidRPr="00793D71">
          <w:rPr>
            <w:rStyle w:val="Hyperlink"/>
            <w:noProof/>
            <w:lang w:eastAsia="cs-CZ"/>
          </w:rPr>
          <w:t>Požadavky na vymezení ploch a koridorů, pro které budou podmínky pro rozhodování o změnách jejich využití stanoveny regulačním plánem</w:t>
        </w:r>
        <w:r>
          <w:rPr>
            <w:noProof/>
            <w:webHidden/>
          </w:rPr>
          <w:tab/>
        </w:r>
        <w:r>
          <w:rPr>
            <w:noProof/>
            <w:webHidden/>
          </w:rPr>
          <w:fldChar w:fldCharType="begin"/>
        </w:r>
        <w:r>
          <w:rPr>
            <w:noProof/>
            <w:webHidden/>
          </w:rPr>
          <w:instrText xml:space="preserve"> PAGEREF _Toc36116271 \h </w:instrText>
        </w:r>
        <w:r>
          <w:rPr>
            <w:noProof/>
            <w:webHidden/>
          </w:rPr>
        </w:r>
        <w:r>
          <w:rPr>
            <w:noProof/>
            <w:webHidden/>
          </w:rPr>
          <w:fldChar w:fldCharType="separate"/>
        </w:r>
        <w:r>
          <w:rPr>
            <w:noProof/>
            <w:webHidden/>
          </w:rPr>
          <w:t>87</w:t>
        </w:r>
        <w:r>
          <w:rPr>
            <w:noProof/>
            <w:webHidden/>
          </w:rPr>
          <w:fldChar w:fldCharType="end"/>
        </w:r>
      </w:hyperlink>
    </w:p>
    <w:p w14:paraId="004BD855" w14:textId="77777777" w:rsidR="00B567E6" w:rsidRDefault="00B567E6">
      <w:pPr>
        <w:pStyle w:val="TOC2"/>
        <w:rPr>
          <w:rFonts w:asciiTheme="minorHAnsi" w:eastAsiaTheme="minorEastAsia" w:hAnsiTheme="minorHAnsi" w:cstheme="minorBidi"/>
          <w:noProof/>
          <w:sz w:val="22"/>
          <w:lang w:eastAsia="cs-CZ"/>
        </w:rPr>
      </w:pPr>
      <w:hyperlink w:anchor="_Toc36116272" w:history="1">
        <w:r w:rsidRPr="00793D71">
          <w:rPr>
            <w:rStyle w:val="Hyperlink"/>
            <w:noProof/>
            <w:lang w:eastAsia="cs-CZ"/>
          </w:rPr>
          <w:t>3.13</w:t>
        </w:r>
        <w:r>
          <w:rPr>
            <w:rFonts w:asciiTheme="minorHAnsi" w:eastAsiaTheme="minorEastAsia" w:hAnsiTheme="minorHAnsi" w:cstheme="minorBidi"/>
            <w:noProof/>
            <w:sz w:val="22"/>
            <w:lang w:eastAsia="cs-CZ"/>
          </w:rPr>
          <w:tab/>
        </w:r>
        <w:r w:rsidRPr="00793D71">
          <w:rPr>
            <w:rStyle w:val="Hyperlink"/>
            <w:noProof/>
            <w:lang w:eastAsia="cs-CZ"/>
          </w:rPr>
          <w:t>Požadavky na vyhodnocení vlivů územního plánu na udržitelný rozvoj území, pokud dotčený orgán ve svém stanovisku k návrhu zadání uplatil požadavek na zpracování vyhodnocení z hlediska vlivů na životní prostředí nebo pokud nevyloučil významný vliv na evropsky významnou lokalitu či ptačí oblast</w:t>
        </w:r>
        <w:r>
          <w:rPr>
            <w:noProof/>
            <w:webHidden/>
          </w:rPr>
          <w:tab/>
        </w:r>
        <w:r>
          <w:rPr>
            <w:noProof/>
            <w:webHidden/>
          </w:rPr>
          <w:fldChar w:fldCharType="begin"/>
        </w:r>
        <w:r>
          <w:rPr>
            <w:noProof/>
            <w:webHidden/>
          </w:rPr>
          <w:instrText xml:space="preserve"> PAGEREF _Toc36116272 \h </w:instrText>
        </w:r>
        <w:r>
          <w:rPr>
            <w:noProof/>
            <w:webHidden/>
          </w:rPr>
        </w:r>
        <w:r>
          <w:rPr>
            <w:noProof/>
            <w:webHidden/>
          </w:rPr>
          <w:fldChar w:fldCharType="separate"/>
        </w:r>
        <w:r>
          <w:rPr>
            <w:noProof/>
            <w:webHidden/>
          </w:rPr>
          <w:t>87</w:t>
        </w:r>
        <w:r>
          <w:rPr>
            <w:noProof/>
            <w:webHidden/>
          </w:rPr>
          <w:fldChar w:fldCharType="end"/>
        </w:r>
      </w:hyperlink>
    </w:p>
    <w:p w14:paraId="78B6D791" w14:textId="77777777" w:rsidR="00B567E6" w:rsidRDefault="00B567E6">
      <w:pPr>
        <w:pStyle w:val="TOC2"/>
        <w:rPr>
          <w:rFonts w:asciiTheme="minorHAnsi" w:eastAsiaTheme="minorEastAsia" w:hAnsiTheme="minorHAnsi" w:cstheme="minorBidi"/>
          <w:noProof/>
          <w:sz w:val="22"/>
          <w:lang w:eastAsia="cs-CZ"/>
        </w:rPr>
      </w:pPr>
      <w:hyperlink w:anchor="_Toc36116273" w:history="1">
        <w:r w:rsidRPr="00793D71">
          <w:rPr>
            <w:rStyle w:val="Hyperlink"/>
            <w:noProof/>
            <w:lang w:eastAsia="cs-CZ"/>
          </w:rPr>
          <w:t>3.14</w:t>
        </w:r>
        <w:r>
          <w:rPr>
            <w:rFonts w:asciiTheme="minorHAnsi" w:eastAsiaTheme="minorEastAsia" w:hAnsiTheme="minorHAnsi" w:cstheme="minorBidi"/>
            <w:noProof/>
            <w:sz w:val="22"/>
            <w:lang w:eastAsia="cs-CZ"/>
          </w:rPr>
          <w:tab/>
        </w:r>
        <w:r w:rsidRPr="00793D71">
          <w:rPr>
            <w:rStyle w:val="Hyperlink"/>
            <w:noProof/>
            <w:lang w:eastAsia="cs-CZ"/>
          </w:rPr>
          <w:t>Požadavek na zpracování konceptu</w:t>
        </w:r>
        <w:r>
          <w:rPr>
            <w:noProof/>
            <w:webHidden/>
          </w:rPr>
          <w:tab/>
        </w:r>
        <w:r>
          <w:rPr>
            <w:noProof/>
            <w:webHidden/>
          </w:rPr>
          <w:fldChar w:fldCharType="begin"/>
        </w:r>
        <w:r>
          <w:rPr>
            <w:noProof/>
            <w:webHidden/>
          </w:rPr>
          <w:instrText xml:space="preserve"> PAGEREF _Toc36116273 \h </w:instrText>
        </w:r>
        <w:r>
          <w:rPr>
            <w:noProof/>
            <w:webHidden/>
          </w:rPr>
        </w:r>
        <w:r>
          <w:rPr>
            <w:noProof/>
            <w:webHidden/>
          </w:rPr>
          <w:fldChar w:fldCharType="separate"/>
        </w:r>
        <w:r>
          <w:rPr>
            <w:noProof/>
            <w:webHidden/>
          </w:rPr>
          <w:t>87</w:t>
        </w:r>
        <w:r>
          <w:rPr>
            <w:noProof/>
            <w:webHidden/>
          </w:rPr>
          <w:fldChar w:fldCharType="end"/>
        </w:r>
      </w:hyperlink>
    </w:p>
    <w:p w14:paraId="1978D9B4" w14:textId="77777777" w:rsidR="00B567E6" w:rsidRDefault="00B567E6">
      <w:pPr>
        <w:pStyle w:val="TOC2"/>
        <w:rPr>
          <w:rFonts w:asciiTheme="minorHAnsi" w:eastAsiaTheme="minorEastAsia" w:hAnsiTheme="minorHAnsi" w:cstheme="minorBidi"/>
          <w:noProof/>
          <w:sz w:val="22"/>
          <w:lang w:eastAsia="cs-CZ"/>
        </w:rPr>
      </w:pPr>
      <w:hyperlink w:anchor="_Toc36116274" w:history="1">
        <w:r w:rsidRPr="00793D71">
          <w:rPr>
            <w:rStyle w:val="Hyperlink"/>
            <w:noProof/>
            <w:lang w:eastAsia="cs-CZ"/>
          </w:rPr>
          <w:t>3.15</w:t>
        </w:r>
        <w:r>
          <w:rPr>
            <w:rFonts w:asciiTheme="minorHAnsi" w:eastAsiaTheme="minorEastAsia" w:hAnsiTheme="minorHAnsi" w:cstheme="minorBidi"/>
            <w:noProof/>
            <w:sz w:val="22"/>
            <w:lang w:eastAsia="cs-CZ"/>
          </w:rPr>
          <w:tab/>
        </w:r>
        <w:r w:rsidRPr="00793D71">
          <w:rPr>
            <w:rStyle w:val="Hyperlink"/>
            <w:noProof/>
            <w:lang w:eastAsia="cs-CZ"/>
          </w:rPr>
          <w:t>Požadavky na uspořádání obsahu návrhu územního plánu a na uspořádání obsahu jeho odůvodnění s ohledem na charakter území a problémy k řešení včetně měřítek výkresů a počtu vyhotovení</w:t>
        </w:r>
        <w:r>
          <w:rPr>
            <w:noProof/>
            <w:webHidden/>
          </w:rPr>
          <w:tab/>
        </w:r>
        <w:r>
          <w:rPr>
            <w:noProof/>
            <w:webHidden/>
          </w:rPr>
          <w:fldChar w:fldCharType="begin"/>
        </w:r>
        <w:r>
          <w:rPr>
            <w:noProof/>
            <w:webHidden/>
          </w:rPr>
          <w:instrText xml:space="preserve"> PAGEREF _Toc36116274 \h </w:instrText>
        </w:r>
        <w:r>
          <w:rPr>
            <w:noProof/>
            <w:webHidden/>
          </w:rPr>
        </w:r>
        <w:r>
          <w:rPr>
            <w:noProof/>
            <w:webHidden/>
          </w:rPr>
          <w:fldChar w:fldCharType="separate"/>
        </w:r>
        <w:r>
          <w:rPr>
            <w:noProof/>
            <w:webHidden/>
          </w:rPr>
          <w:t>87</w:t>
        </w:r>
        <w:r>
          <w:rPr>
            <w:noProof/>
            <w:webHidden/>
          </w:rPr>
          <w:fldChar w:fldCharType="end"/>
        </w:r>
      </w:hyperlink>
    </w:p>
    <w:p w14:paraId="4C449233" w14:textId="77777777" w:rsidR="00B567E6" w:rsidRDefault="00B567E6">
      <w:pPr>
        <w:pStyle w:val="TOC1"/>
        <w:rPr>
          <w:rFonts w:asciiTheme="minorHAnsi" w:eastAsiaTheme="minorEastAsia" w:hAnsiTheme="minorHAnsi" w:cstheme="minorBidi"/>
          <w:sz w:val="22"/>
          <w:szCs w:val="22"/>
          <w:lang w:eastAsia="cs-CZ"/>
        </w:rPr>
      </w:pPr>
      <w:hyperlink w:anchor="_Toc36116275" w:history="1">
        <w:r w:rsidRPr="00793D71">
          <w:rPr>
            <w:rStyle w:val="Hyperlink"/>
          </w:rPr>
          <w:t>4.</w:t>
        </w:r>
        <w:r>
          <w:rPr>
            <w:rFonts w:asciiTheme="minorHAnsi" w:eastAsiaTheme="minorEastAsia" w:hAnsiTheme="minorHAnsi" w:cstheme="minorBidi"/>
            <w:sz w:val="22"/>
            <w:szCs w:val="22"/>
            <w:lang w:eastAsia="cs-CZ"/>
          </w:rPr>
          <w:tab/>
        </w:r>
        <w:r w:rsidRPr="00793D71">
          <w:rPr>
            <w:rStyle w:val="Hyperlink"/>
          </w:rPr>
          <w:t>VYHODNOCENÍ KOORDINACE VYUŽÍVÁNÍ ÚZEMÍ Z HLEDISKA ŠIRŠÍCH VZTAHŮ</w:t>
        </w:r>
        <w:r>
          <w:rPr>
            <w:webHidden/>
          </w:rPr>
          <w:tab/>
        </w:r>
        <w:r>
          <w:rPr>
            <w:webHidden/>
          </w:rPr>
          <w:fldChar w:fldCharType="begin"/>
        </w:r>
        <w:r>
          <w:rPr>
            <w:webHidden/>
          </w:rPr>
          <w:instrText xml:space="preserve"> PAGEREF _Toc36116275 \h </w:instrText>
        </w:r>
        <w:r>
          <w:rPr>
            <w:webHidden/>
          </w:rPr>
        </w:r>
        <w:r>
          <w:rPr>
            <w:webHidden/>
          </w:rPr>
          <w:fldChar w:fldCharType="separate"/>
        </w:r>
        <w:r>
          <w:rPr>
            <w:webHidden/>
          </w:rPr>
          <w:t>91</w:t>
        </w:r>
        <w:r>
          <w:rPr>
            <w:webHidden/>
          </w:rPr>
          <w:fldChar w:fldCharType="end"/>
        </w:r>
      </w:hyperlink>
    </w:p>
    <w:p w14:paraId="7DA99720" w14:textId="77777777" w:rsidR="00B567E6" w:rsidRDefault="00B567E6">
      <w:pPr>
        <w:pStyle w:val="TOC2"/>
        <w:rPr>
          <w:rFonts w:asciiTheme="minorHAnsi" w:eastAsiaTheme="minorEastAsia" w:hAnsiTheme="minorHAnsi" w:cstheme="minorBidi"/>
          <w:noProof/>
          <w:sz w:val="22"/>
          <w:lang w:eastAsia="cs-CZ"/>
        </w:rPr>
      </w:pPr>
      <w:hyperlink w:anchor="_Toc36116276" w:history="1">
        <w:r w:rsidRPr="00793D71">
          <w:rPr>
            <w:rStyle w:val="Hyperlink"/>
            <w:noProof/>
          </w:rPr>
          <w:t>4.1</w:t>
        </w:r>
        <w:r>
          <w:rPr>
            <w:rFonts w:asciiTheme="minorHAnsi" w:eastAsiaTheme="minorEastAsia" w:hAnsiTheme="minorHAnsi" w:cstheme="minorBidi"/>
            <w:noProof/>
            <w:sz w:val="22"/>
            <w:lang w:eastAsia="cs-CZ"/>
          </w:rPr>
          <w:tab/>
        </w:r>
        <w:r w:rsidRPr="00793D71">
          <w:rPr>
            <w:rStyle w:val="Hyperlink"/>
            <w:noProof/>
          </w:rPr>
          <w:t>Urbanistická koncepce</w:t>
        </w:r>
        <w:r>
          <w:rPr>
            <w:noProof/>
            <w:webHidden/>
          </w:rPr>
          <w:tab/>
        </w:r>
        <w:r>
          <w:rPr>
            <w:noProof/>
            <w:webHidden/>
          </w:rPr>
          <w:fldChar w:fldCharType="begin"/>
        </w:r>
        <w:r>
          <w:rPr>
            <w:noProof/>
            <w:webHidden/>
          </w:rPr>
          <w:instrText xml:space="preserve"> PAGEREF _Toc36116276 \h </w:instrText>
        </w:r>
        <w:r>
          <w:rPr>
            <w:noProof/>
            <w:webHidden/>
          </w:rPr>
        </w:r>
        <w:r>
          <w:rPr>
            <w:noProof/>
            <w:webHidden/>
          </w:rPr>
          <w:fldChar w:fldCharType="separate"/>
        </w:r>
        <w:r>
          <w:rPr>
            <w:noProof/>
            <w:webHidden/>
          </w:rPr>
          <w:t>91</w:t>
        </w:r>
        <w:r>
          <w:rPr>
            <w:noProof/>
            <w:webHidden/>
          </w:rPr>
          <w:fldChar w:fldCharType="end"/>
        </w:r>
      </w:hyperlink>
    </w:p>
    <w:p w14:paraId="6E179657" w14:textId="77777777" w:rsidR="00B567E6" w:rsidRDefault="00B567E6">
      <w:pPr>
        <w:pStyle w:val="TOC2"/>
        <w:rPr>
          <w:rFonts w:asciiTheme="minorHAnsi" w:eastAsiaTheme="minorEastAsia" w:hAnsiTheme="minorHAnsi" w:cstheme="minorBidi"/>
          <w:noProof/>
          <w:sz w:val="22"/>
          <w:lang w:eastAsia="cs-CZ"/>
        </w:rPr>
      </w:pPr>
      <w:hyperlink w:anchor="_Toc36116277" w:history="1">
        <w:r w:rsidRPr="00793D71">
          <w:rPr>
            <w:rStyle w:val="Hyperlink"/>
            <w:noProof/>
          </w:rPr>
          <w:t>4.2</w:t>
        </w:r>
        <w:r>
          <w:rPr>
            <w:rFonts w:asciiTheme="minorHAnsi" w:eastAsiaTheme="minorEastAsia" w:hAnsiTheme="minorHAnsi" w:cstheme="minorBidi"/>
            <w:noProof/>
            <w:sz w:val="22"/>
            <w:lang w:eastAsia="cs-CZ"/>
          </w:rPr>
          <w:tab/>
        </w:r>
        <w:r w:rsidRPr="00793D71">
          <w:rPr>
            <w:rStyle w:val="Hyperlink"/>
            <w:noProof/>
          </w:rPr>
          <w:t>Dopravní infrastruktura</w:t>
        </w:r>
        <w:r>
          <w:rPr>
            <w:noProof/>
            <w:webHidden/>
          </w:rPr>
          <w:tab/>
        </w:r>
        <w:r>
          <w:rPr>
            <w:noProof/>
            <w:webHidden/>
          </w:rPr>
          <w:fldChar w:fldCharType="begin"/>
        </w:r>
        <w:r>
          <w:rPr>
            <w:noProof/>
            <w:webHidden/>
          </w:rPr>
          <w:instrText xml:space="preserve"> PAGEREF _Toc36116277 \h </w:instrText>
        </w:r>
        <w:r>
          <w:rPr>
            <w:noProof/>
            <w:webHidden/>
          </w:rPr>
        </w:r>
        <w:r>
          <w:rPr>
            <w:noProof/>
            <w:webHidden/>
          </w:rPr>
          <w:fldChar w:fldCharType="separate"/>
        </w:r>
        <w:r>
          <w:rPr>
            <w:noProof/>
            <w:webHidden/>
          </w:rPr>
          <w:t>92</w:t>
        </w:r>
        <w:r>
          <w:rPr>
            <w:noProof/>
            <w:webHidden/>
          </w:rPr>
          <w:fldChar w:fldCharType="end"/>
        </w:r>
      </w:hyperlink>
    </w:p>
    <w:p w14:paraId="19EF8137" w14:textId="77777777" w:rsidR="00B567E6" w:rsidRDefault="00B567E6">
      <w:pPr>
        <w:pStyle w:val="TOC2"/>
        <w:rPr>
          <w:rFonts w:asciiTheme="minorHAnsi" w:eastAsiaTheme="minorEastAsia" w:hAnsiTheme="minorHAnsi" w:cstheme="minorBidi"/>
          <w:noProof/>
          <w:sz w:val="22"/>
          <w:lang w:eastAsia="cs-CZ"/>
        </w:rPr>
      </w:pPr>
      <w:hyperlink w:anchor="_Toc36116278" w:history="1">
        <w:r w:rsidRPr="00793D71">
          <w:rPr>
            <w:rStyle w:val="Hyperlink"/>
            <w:noProof/>
          </w:rPr>
          <w:t>4.3</w:t>
        </w:r>
        <w:r>
          <w:rPr>
            <w:rFonts w:asciiTheme="minorHAnsi" w:eastAsiaTheme="minorEastAsia" w:hAnsiTheme="minorHAnsi" w:cstheme="minorBidi"/>
            <w:noProof/>
            <w:sz w:val="22"/>
            <w:lang w:eastAsia="cs-CZ"/>
          </w:rPr>
          <w:tab/>
        </w:r>
        <w:r w:rsidRPr="00793D71">
          <w:rPr>
            <w:rStyle w:val="Hyperlink"/>
            <w:noProof/>
          </w:rPr>
          <w:t>Technická infrastruktura</w:t>
        </w:r>
        <w:r>
          <w:rPr>
            <w:noProof/>
            <w:webHidden/>
          </w:rPr>
          <w:tab/>
        </w:r>
        <w:r>
          <w:rPr>
            <w:noProof/>
            <w:webHidden/>
          </w:rPr>
          <w:fldChar w:fldCharType="begin"/>
        </w:r>
        <w:r>
          <w:rPr>
            <w:noProof/>
            <w:webHidden/>
          </w:rPr>
          <w:instrText xml:space="preserve"> PAGEREF _Toc36116278 \h </w:instrText>
        </w:r>
        <w:r>
          <w:rPr>
            <w:noProof/>
            <w:webHidden/>
          </w:rPr>
        </w:r>
        <w:r>
          <w:rPr>
            <w:noProof/>
            <w:webHidden/>
          </w:rPr>
          <w:fldChar w:fldCharType="separate"/>
        </w:r>
        <w:r>
          <w:rPr>
            <w:noProof/>
            <w:webHidden/>
          </w:rPr>
          <w:t>92</w:t>
        </w:r>
        <w:r>
          <w:rPr>
            <w:noProof/>
            <w:webHidden/>
          </w:rPr>
          <w:fldChar w:fldCharType="end"/>
        </w:r>
      </w:hyperlink>
    </w:p>
    <w:p w14:paraId="143CED54" w14:textId="77777777" w:rsidR="00B567E6" w:rsidRDefault="00B567E6">
      <w:pPr>
        <w:pStyle w:val="TOC2"/>
        <w:rPr>
          <w:rFonts w:asciiTheme="minorHAnsi" w:eastAsiaTheme="minorEastAsia" w:hAnsiTheme="minorHAnsi" w:cstheme="minorBidi"/>
          <w:noProof/>
          <w:sz w:val="22"/>
          <w:lang w:eastAsia="cs-CZ"/>
        </w:rPr>
      </w:pPr>
      <w:hyperlink w:anchor="_Toc36116279" w:history="1">
        <w:r w:rsidRPr="00793D71">
          <w:rPr>
            <w:rStyle w:val="Hyperlink"/>
            <w:noProof/>
          </w:rPr>
          <w:t>4.4</w:t>
        </w:r>
        <w:r>
          <w:rPr>
            <w:rFonts w:asciiTheme="minorHAnsi" w:eastAsiaTheme="minorEastAsia" w:hAnsiTheme="minorHAnsi" w:cstheme="minorBidi"/>
            <w:noProof/>
            <w:sz w:val="22"/>
            <w:lang w:eastAsia="cs-CZ"/>
          </w:rPr>
          <w:tab/>
        </w:r>
        <w:r w:rsidRPr="00793D71">
          <w:rPr>
            <w:rStyle w:val="Hyperlink"/>
            <w:noProof/>
          </w:rPr>
          <w:t>Ochrana přírody a krajiny, ÚSES</w:t>
        </w:r>
        <w:r>
          <w:rPr>
            <w:noProof/>
            <w:webHidden/>
          </w:rPr>
          <w:tab/>
        </w:r>
        <w:r>
          <w:rPr>
            <w:noProof/>
            <w:webHidden/>
          </w:rPr>
          <w:fldChar w:fldCharType="begin"/>
        </w:r>
        <w:r>
          <w:rPr>
            <w:noProof/>
            <w:webHidden/>
          </w:rPr>
          <w:instrText xml:space="preserve"> PAGEREF _Toc36116279 \h </w:instrText>
        </w:r>
        <w:r>
          <w:rPr>
            <w:noProof/>
            <w:webHidden/>
          </w:rPr>
        </w:r>
        <w:r>
          <w:rPr>
            <w:noProof/>
            <w:webHidden/>
          </w:rPr>
          <w:fldChar w:fldCharType="separate"/>
        </w:r>
        <w:r>
          <w:rPr>
            <w:noProof/>
            <w:webHidden/>
          </w:rPr>
          <w:t>93</w:t>
        </w:r>
        <w:r>
          <w:rPr>
            <w:noProof/>
            <w:webHidden/>
          </w:rPr>
          <w:fldChar w:fldCharType="end"/>
        </w:r>
      </w:hyperlink>
    </w:p>
    <w:p w14:paraId="00697AE6" w14:textId="77777777" w:rsidR="00B567E6" w:rsidRDefault="00B567E6">
      <w:pPr>
        <w:pStyle w:val="TOC1"/>
        <w:rPr>
          <w:rFonts w:asciiTheme="minorHAnsi" w:eastAsiaTheme="minorEastAsia" w:hAnsiTheme="minorHAnsi" w:cstheme="minorBidi"/>
          <w:sz w:val="22"/>
          <w:szCs w:val="22"/>
          <w:lang w:eastAsia="cs-CZ"/>
        </w:rPr>
      </w:pPr>
      <w:hyperlink w:anchor="_Toc36116280" w:history="1">
        <w:r w:rsidRPr="00793D71">
          <w:rPr>
            <w:rStyle w:val="Hyperlink"/>
          </w:rPr>
          <w:t>5.</w:t>
        </w:r>
        <w:r>
          <w:rPr>
            <w:rFonts w:asciiTheme="minorHAnsi" w:eastAsiaTheme="minorEastAsia" w:hAnsiTheme="minorHAnsi" w:cstheme="minorBidi"/>
            <w:sz w:val="22"/>
            <w:szCs w:val="22"/>
            <w:lang w:eastAsia="cs-CZ"/>
          </w:rPr>
          <w:tab/>
        </w:r>
        <w:r w:rsidRPr="00793D71">
          <w:rPr>
            <w:rStyle w:val="Hyperlink"/>
          </w:rPr>
          <w:t>VÝČET ZÁLEŽITOSTÍ NADMÍSTNÍHO VÝZNAMU, KTERÉ NEJSOU ŘEŠENY V ZÁSADÁCH ÚZEMNÍHO ROZVOJE (§ 43 ODST. 1 STAVEBNÍHO ZÁKONA), S ODŮVODNĚNÍM POTŘEBY JEJICH VYMEZENÍ</w:t>
        </w:r>
        <w:r>
          <w:rPr>
            <w:webHidden/>
          </w:rPr>
          <w:tab/>
        </w:r>
        <w:r>
          <w:rPr>
            <w:webHidden/>
          </w:rPr>
          <w:fldChar w:fldCharType="begin"/>
        </w:r>
        <w:r>
          <w:rPr>
            <w:webHidden/>
          </w:rPr>
          <w:instrText xml:space="preserve"> PAGEREF _Toc36116280 \h </w:instrText>
        </w:r>
        <w:r>
          <w:rPr>
            <w:webHidden/>
          </w:rPr>
        </w:r>
        <w:r>
          <w:rPr>
            <w:webHidden/>
          </w:rPr>
          <w:fldChar w:fldCharType="separate"/>
        </w:r>
        <w:r>
          <w:rPr>
            <w:webHidden/>
          </w:rPr>
          <w:t>94</w:t>
        </w:r>
        <w:r>
          <w:rPr>
            <w:webHidden/>
          </w:rPr>
          <w:fldChar w:fldCharType="end"/>
        </w:r>
      </w:hyperlink>
    </w:p>
    <w:p w14:paraId="699C72B0" w14:textId="77777777" w:rsidR="00B567E6" w:rsidRDefault="00B567E6">
      <w:pPr>
        <w:pStyle w:val="TOC1"/>
        <w:rPr>
          <w:rFonts w:asciiTheme="minorHAnsi" w:eastAsiaTheme="minorEastAsia" w:hAnsiTheme="minorHAnsi" w:cstheme="minorBidi"/>
          <w:sz w:val="22"/>
          <w:szCs w:val="22"/>
          <w:lang w:eastAsia="cs-CZ"/>
        </w:rPr>
      </w:pPr>
      <w:hyperlink w:anchor="_Toc36116281" w:history="1">
        <w:r w:rsidRPr="00793D71">
          <w:rPr>
            <w:rStyle w:val="Hyperlink"/>
          </w:rPr>
          <w:t>6.</w:t>
        </w:r>
        <w:r>
          <w:rPr>
            <w:rFonts w:asciiTheme="minorHAnsi" w:eastAsiaTheme="minorEastAsia" w:hAnsiTheme="minorHAnsi" w:cstheme="minorBidi"/>
            <w:sz w:val="22"/>
            <w:szCs w:val="22"/>
            <w:lang w:eastAsia="cs-CZ"/>
          </w:rPr>
          <w:tab/>
        </w:r>
        <w:r w:rsidRPr="00793D71">
          <w:rPr>
            <w:rStyle w:val="Hyperlink"/>
          </w:rPr>
          <w:t>KOMPLEXNÍ ZDŮVODNĚNÍ PŘIJATÉHO ŘEŠENÍ VČETNĚ VYBRANÉ VARIANTY</w:t>
        </w:r>
        <w:r>
          <w:rPr>
            <w:webHidden/>
          </w:rPr>
          <w:tab/>
        </w:r>
        <w:r>
          <w:rPr>
            <w:webHidden/>
          </w:rPr>
          <w:fldChar w:fldCharType="begin"/>
        </w:r>
        <w:r>
          <w:rPr>
            <w:webHidden/>
          </w:rPr>
          <w:instrText xml:space="preserve"> PAGEREF _Toc36116281 \h </w:instrText>
        </w:r>
        <w:r>
          <w:rPr>
            <w:webHidden/>
          </w:rPr>
        </w:r>
        <w:r>
          <w:rPr>
            <w:webHidden/>
          </w:rPr>
          <w:fldChar w:fldCharType="separate"/>
        </w:r>
        <w:r>
          <w:rPr>
            <w:webHidden/>
          </w:rPr>
          <w:t>95</w:t>
        </w:r>
        <w:r>
          <w:rPr>
            <w:webHidden/>
          </w:rPr>
          <w:fldChar w:fldCharType="end"/>
        </w:r>
      </w:hyperlink>
    </w:p>
    <w:p w14:paraId="31E8BF6D" w14:textId="77777777" w:rsidR="00B567E6" w:rsidRDefault="00B567E6">
      <w:pPr>
        <w:pStyle w:val="TOC2"/>
        <w:rPr>
          <w:rFonts w:asciiTheme="minorHAnsi" w:eastAsiaTheme="minorEastAsia" w:hAnsiTheme="minorHAnsi" w:cstheme="minorBidi"/>
          <w:noProof/>
          <w:sz w:val="22"/>
          <w:lang w:eastAsia="cs-CZ"/>
        </w:rPr>
      </w:pPr>
      <w:hyperlink w:anchor="_Toc36116282" w:history="1">
        <w:r w:rsidRPr="00793D71">
          <w:rPr>
            <w:rStyle w:val="Hyperlink"/>
            <w:noProof/>
          </w:rPr>
          <w:t>6.1</w:t>
        </w:r>
        <w:r>
          <w:rPr>
            <w:rFonts w:asciiTheme="minorHAnsi" w:eastAsiaTheme="minorEastAsia" w:hAnsiTheme="minorHAnsi" w:cstheme="minorBidi"/>
            <w:noProof/>
            <w:sz w:val="22"/>
            <w:lang w:eastAsia="cs-CZ"/>
          </w:rPr>
          <w:tab/>
        </w:r>
        <w:r w:rsidRPr="00793D71">
          <w:rPr>
            <w:rStyle w:val="Hyperlink"/>
            <w:noProof/>
          </w:rPr>
          <w:t>Podklady pro zpracování územního plánu</w:t>
        </w:r>
        <w:r>
          <w:rPr>
            <w:noProof/>
            <w:webHidden/>
          </w:rPr>
          <w:tab/>
        </w:r>
        <w:r>
          <w:rPr>
            <w:noProof/>
            <w:webHidden/>
          </w:rPr>
          <w:fldChar w:fldCharType="begin"/>
        </w:r>
        <w:r>
          <w:rPr>
            <w:noProof/>
            <w:webHidden/>
          </w:rPr>
          <w:instrText xml:space="preserve"> PAGEREF _Toc36116282 \h </w:instrText>
        </w:r>
        <w:r>
          <w:rPr>
            <w:noProof/>
            <w:webHidden/>
          </w:rPr>
        </w:r>
        <w:r>
          <w:rPr>
            <w:noProof/>
            <w:webHidden/>
          </w:rPr>
          <w:fldChar w:fldCharType="separate"/>
        </w:r>
        <w:r>
          <w:rPr>
            <w:noProof/>
            <w:webHidden/>
          </w:rPr>
          <w:t>95</w:t>
        </w:r>
        <w:r>
          <w:rPr>
            <w:noProof/>
            <w:webHidden/>
          </w:rPr>
          <w:fldChar w:fldCharType="end"/>
        </w:r>
      </w:hyperlink>
    </w:p>
    <w:p w14:paraId="490499A1" w14:textId="77777777" w:rsidR="00B567E6" w:rsidRDefault="00B567E6">
      <w:pPr>
        <w:pStyle w:val="TOC2"/>
        <w:rPr>
          <w:rFonts w:asciiTheme="minorHAnsi" w:eastAsiaTheme="minorEastAsia" w:hAnsiTheme="minorHAnsi" w:cstheme="minorBidi"/>
          <w:noProof/>
          <w:sz w:val="22"/>
          <w:lang w:eastAsia="cs-CZ"/>
        </w:rPr>
      </w:pPr>
      <w:hyperlink w:anchor="_Toc36116283" w:history="1">
        <w:r w:rsidRPr="00793D71">
          <w:rPr>
            <w:rStyle w:val="Hyperlink"/>
            <w:noProof/>
          </w:rPr>
          <w:t>6.2</w:t>
        </w:r>
        <w:r>
          <w:rPr>
            <w:rFonts w:asciiTheme="minorHAnsi" w:eastAsiaTheme="minorEastAsia" w:hAnsiTheme="minorHAnsi" w:cstheme="minorBidi"/>
            <w:noProof/>
            <w:sz w:val="22"/>
            <w:lang w:eastAsia="cs-CZ"/>
          </w:rPr>
          <w:tab/>
        </w:r>
        <w:r w:rsidRPr="00793D71">
          <w:rPr>
            <w:rStyle w:val="Hyperlink"/>
            <w:noProof/>
          </w:rPr>
          <w:t>Vymezení zastavěného území</w:t>
        </w:r>
        <w:r>
          <w:rPr>
            <w:noProof/>
            <w:webHidden/>
          </w:rPr>
          <w:tab/>
        </w:r>
        <w:r>
          <w:rPr>
            <w:noProof/>
            <w:webHidden/>
          </w:rPr>
          <w:fldChar w:fldCharType="begin"/>
        </w:r>
        <w:r>
          <w:rPr>
            <w:noProof/>
            <w:webHidden/>
          </w:rPr>
          <w:instrText xml:space="preserve"> PAGEREF _Toc36116283 \h </w:instrText>
        </w:r>
        <w:r>
          <w:rPr>
            <w:noProof/>
            <w:webHidden/>
          </w:rPr>
        </w:r>
        <w:r>
          <w:rPr>
            <w:noProof/>
            <w:webHidden/>
          </w:rPr>
          <w:fldChar w:fldCharType="separate"/>
        </w:r>
        <w:r>
          <w:rPr>
            <w:noProof/>
            <w:webHidden/>
          </w:rPr>
          <w:t>95</w:t>
        </w:r>
        <w:r>
          <w:rPr>
            <w:noProof/>
            <w:webHidden/>
          </w:rPr>
          <w:fldChar w:fldCharType="end"/>
        </w:r>
      </w:hyperlink>
    </w:p>
    <w:p w14:paraId="508697F2" w14:textId="77777777" w:rsidR="00B567E6" w:rsidRDefault="00B567E6">
      <w:pPr>
        <w:pStyle w:val="TOC2"/>
        <w:rPr>
          <w:rFonts w:asciiTheme="minorHAnsi" w:eastAsiaTheme="minorEastAsia" w:hAnsiTheme="minorHAnsi" w:cstheme="minorBidi"/>
          <w:noProof/>
          <w:sz w:val="22"/>
          <w:lang w:eastAsia="cs-CZ"/>
        </w:rPr>
      </w:pPr>
      <w:hyperlink w:anchor="_Toc36116284" w:history="1">
        <w:r w:rsidRPr="00793D71">
          <w:rPr>
            <w:rStyle w:val="Hyperlink"/>
            <w:noProof/>
          </w:rPr>
          <w:t>6.3</w:t>
        </w:r>
        <w:r>
          <w:rPr>
            <w:rFonts w:asciiTheme="minorHAnsi" w:eastAsiaTheme="minorEastAsia" w:hAnsiTheme="minorHAnsi" w:cstheme="minorBidi"/>
            <w:noProof/>
            <w:sz w:val="22"/>
            <w:lang w:eastAsia="cs-CZ"/>
          </w:rPr>
          <w:tab/>
        </w:r>
        <w:r w:rsidRPr="00793D71">
          <w:rPr>
            <w:rStyle w:val="Hyperlink"/>
            <w:noProof/>
          </w:rPr>
          <w:t>Základní koncepce rozvoje území obce, ochrany a rozvoje jeho hodnot</w:t>
        </w:r>
        <w:r>
          <w:rPr>
            <w:noProof/>
            <w:webHidden/>
          </w:rPr>
          <w:tab/>
        </w:r>
        <w:r>
          <w:rPr>
            <w:noProof/>
            <w:webHidden/>
          </w:rPr>
          <w:fldChar w:fldCharType="begin"/>
        </w:r>
        <w:r>
          <w:rPr>
            <w:noProof/>
            <w:webHidden/>
          </w:rPr>
          <w:instrText xml:space="preserve"> PAGEREF _Toc36116284 \h </w:instrText>
        </w:r>
        <w:r>
          <w:rPr>
            <w:noProof/>
            <w:webHidden/>
          </w:rPr>
        </w:r>
        <w:r>
          <w:rPr>
            <w:noProof/>
            <w:webHidden/>
          </w:rPr>
          <w:fldChar w:fldCharType="separate"/>
        </w:r>
        <w:r>
          <w:rPr>
            <w:noProof/>
            <w:webHidden/>
          </w:rPr>
          <w:t>95</w:t>
        </w:r>
        <w:r>
          <w:rPr>
            <w:noProof/>
            <w:webHidden/>
          </w:rPr>
          <w:fldChar w:fldCharType="end"/>
        </w:r>
      </w:hyperlink>
    </w:p>
    <w:p w14:paraId="567FEC50" w14:textId="77777777" w:rsidR="00B567E6" w:rsidRDefault="00B567E6">
      <w:pPr>
        <w:pStyle w:val="TOC3"/>
        <w:rPr>
          <w:rFonts w:asciiTheme="minorHAnsi" w:eastAsiaTheme="minorEastAsia" w:hAnsiTheme="minorHAnsi" w:cstheme="minorBidi"/>
          <w:bCs w:val="0"/>
          <w:sz w:val="22"/>
          <w:szCs w:val="22"/>
          <w:lang w:eastAsia="cs-CZ"/>
        </w:rPr>
      </w:pPr>
      <w:hyperlink w:anchor="_Toc36116285" w:history="1">
        <w:r w:rsidRPr="00793D71">
          <w:rPr>
            <w:rStyle w:val="Hyperlink"/>
          </w:rPr>
          <w:t>6.3.1</w:t>
        </w:r>
        <w:r>
          <w:rPr>
            <w:rFonts w:asciiTheme="minorHAnsi" w:eastAsiaTheme="minorEastAsia" w:hAnsiTheme="minorHAnsi" w:cstheme="minorBidi"/>
            <w:bCs w:val="0"/>
            <w:sz w:val="22"/>
            <w:szCs w:val="22"/>
            <w:lang w:eastAsia="cs-CZ"/>
          </w:rPr>
          <w:tab/>
        </w:r>
        <w:r w:rsidRPr="00793D71">
          <w:rPr>
            <w:rStyle w:val="Hyperlink"/>
          </w:rPr>
          <w:t>Základní koncepce rozvoje území města</w:t>
        </w:r>
        <w:r>
          <w:rPr>
            <w:webHidden/>
          </w:rPr>
          <w:tab/>
        </w:r>
        <w:r>
          <w:rPr>
            <w:webHidden/>
          </w:rPr>
          <w:fldChar w:fldCharType="begin"/>
        </w:r>
        <w:r>
          <w:rPr>
            <w:webHidden/>
          </w:rPr>
          <w:instrText xml:space="preserve"> PAGEREF _Toc36116285 \h </w:instrText>
        </w:r>
        <w:r>
          <w:rPr>
            <w:webHidden/>
          </w:rPr>
        </w:r>
        <w:r>
          <w:rPr>
            <w:webHidden/>
          </w:rPr>
          <w:fldChar w:fldCharType="separate"/>
        </w:r>
        <w:r>
          <w:rPr>
            <w:webHidden/>
          </w:rPr>
          <w:t>95</w:t>
        </w:r>
        <w:r>
          <w:rPr>
            <w:webHidden/>
          </w:rPr>
          <w:fldChar w:fldCharType="end"/>
        </w:r>
      </w:hyperlink>
    </w:p>
    <w:p w14:paraId="0499AB42" w14:textId="77777777" w:rsidR="00B567E6" w:rsidRDefault="00B567E6">
      <w:pPr>
        <w:pStyle w:val="TOC3"/>
        <w:rPr>
          <w:rFonts w:asciiTheme="minorHAnsi" w:eastAsiaTheme="minorEastAsia" w:hAnsiTheme="minorHAnsi" w:cstheme="minorBidi"/>
          <w:bCs w:val="0"/>
          <w:sz w:val="22"/>
          <w:szCs w:val="22"/>
          <w:lang w:eastAsia="cs-CZ"/>
        </w:rPr>
      </w:pPr>
      <w:hyperlink w:anchor="_Toc36116286" w:history="1">
        <w:r w:rsidRPr="00793D71">
          <w:rPr>
            <w:rStyle w:val="Hyperlink"/>
          </w:rPr>
          <w:t>6.3.2</w:t>
        </w:r>
        <w:r>
          <w:rPr>
            <w:rFonts w:asciiTheme="minorHAnsi" w:eastAsiaTheme="minorEastAsia" w:hAnsiTheme="minorHAnsi" w:cstheme="minorBidi"/>
            <w:bCs w:val="0"/>
            <w:sz w:val="22"/>
            <w:szCs w:val="22"/>
            <w:lang w:eastAsia="cs-CZ"/>
          </w:rPr>
          <w:tab/>
        </w:r>
        <w:r w:rsidRPr="00793D71">
          <w:rPr>
            <w:rStyle w:val="Hyperlink"/>
          </w:rPr>
          <w:t>Základní koncepce ochrany a rozvoje přírodních hodnot území</w:t>
        </w:r>
        <w:r>
          <w:rPr>
            <w:webHidden/>
          </w:rPr>
          <w:tab/>
        </w:r>
        <w:r>
          <w:rPr>
            <w:webHidden/>
          </w:rPr>
          <w:fldChar w:fldCharType="begin"/>
        </w:r>
        <w:r>
          <w:rPr>
            <w:webHidden/>
          </w:rPr>
          <w:instrText xml:space="preserve"> PAGEREF _Toc36116286 \h </w:instrText>
        </w:r>
        <w:r>
          <w:rPr>
            <w:webHidden/>
          </w:rPr>
        </w:r>
        <w:r>
          <w:rPr>
            <w:webHidden/>
          </w:rPr>
          <w:fldChar w:fldCharType="separate"/>
        </w:r>
        <w:r>
          <w:rPr>
            <w:webHidden/>
          </w:rPr>
          <w:t>102</w:t>
        </w:r>
        <w:r>
          <w:rPr>
            <w:webHidden/>
          </w:rPr>
          <w:fldChar w:fldCharType="end"/>
        </w:r>
      </w:hyperlink>
    </w:p>
    <w:p w14:paraId="164BAF90" w14:textId="77777777" w:rsidR="00B567E6" w:rsidRDefault="00B567E6">
      <w:pPr>
        <w:pStyle w:val="TOC3"/>
        <w:rPr>
          <w:rFonts w:asciiTheme="minorHAnsi" w:eastAsiaTheme="minorEastAsia" w:hAnsiTheme="minorHAnsi" w:cstheme="minorBidi"/>
          <w:bCs w:val="0"/>
          <w:sz w:val="22"/>
          <w:szCs w:val="22"/>
          <w:lang w:eastAsia="cs-CZ"/>
        </w:rPr>
      </w:pPr>
      <w:hyperlink w:anchor="_Toc36116287" w:history="1">
        <w:r w:rsidRPr="00793D71">
          <w:rPr>
            <w:rStyle w:val="Hyperlink"/>
          </w:rPr>
          <w:t>6.3.3</w:t>
        </w:r>
        <w:r>
          <w:rPr>
            <w:rFonts w:asciiTheme="minorHAnsi" w:eastAsiaTheme="minorEastAsia" w:hAnsiTheme="minorHAnsi" w:cstheme="minorBidi"/>
            <w:bCs w:val="0"/>
            <w:sz w:val="22"/>
            <w:szCs w:val="22"/>
            <w:lang w:eastAsia="cs-CZ"/>
          </w:rPr>
          <w:tab/>
        </w:r>
        <w:r w:rsidRPr="00793D71">
          <w:rPr>
            <w:rStyle w:val="Hyperlink"/>
          </w:rPr>
          <w:t>Základní koncepce ochrany a rozvoje kulturních hodnot území</w:t>
        </w:r>
        <w:r>
          <w:rPr>
            <w:webHidden/>
          </w:rPr>
          <w:tab/>
        </w:r>
        <w:r>
          <w:rPr>
            <w:webHidden/>
          </w:rPr>
          <w:fldChar w:fldCharType="begin"/>
        </w:r>
        <w:r>
          <w:rPr>
            <w:webHidden/>
          </w:rPr>
          <w:instrText xml:space="preserve"> PAGEREF _Toc36116287 \h </w:instrText>
        </w:r>
        <w:r>
          <w:rPr>
            <w:webHidden/>
          </w:rPr>
        </w:r>
        <w:r>
          <w:rPr>
            <w:webHidden/>
          </w:rPr>
          <w:fldChar w:fldCharType="separate"/>
        </w:r>
        <w:r>
          <w:rPr>
            <w:webHidden/>
          </w:rPr>
          <w:t>107</w:t>
        </w:r>
        <w:r>
          <w:rPr>
            <w:webHidden/>
          </w:rPr>
          <w:fldChar w:fldCharType="end"/>
        </w:r>
      </w:hyperlink>
    </w:p>
    <w:p w14:paraId="709ADDB5" w14:textId="77777777" w:rsidR="00B567E6" w:rsidRDefault="00B567E6">
      <w:pPr>
        <w:pStyle w:val="TOC3"/>
        <w:rPr>
          <w:rFonts w:asciiTheme="minorHAnsi" w:eastAsiaTheme="minorEastAsia" w:hAnsiTheme="minorHAnsi" w:cstheme="minorBidi"/>
          <w:bCs w:val="0"/>
          <w:sz w:val="22"/>
          <w:szCs w:val="22"/>
          <w:lang w:eastAsia="cs-CZ"/>
        </w:rPr>
      </w:pPr>
      <w:hyperlink w:anchor="_Toc36116288" w:history="1">
        <w:r w:rsidRPr="00793D71">
          <w:rPr>
            <w:rStyle w:val="Hyperlink"/>
          </w:rPr>
          <w:t>6.3.4</w:t>
        </w:r>
        <w:r>
          <w:rPr>
            <w:rFonts w:asciiTheme="minorHAnsi" w:eastAsiaTheme="minorEastAsia" w:hAnsiTheme="minorHAnsi" w:cstheme="minorBidi"/>
            <w:bCs w:val="0"/>
            <w:sz w:val="22"/>
            <w:szCs w:val="22"/>
            <w:lang w:eastAsia="cs-CZ"/>
          </w:rPr>
          <w:tab/>
        </w:r>
        <w:r w:rsidRPr="00793D71">
          <w:rPr>
            <w:rStyle w:val="Hyperlink"/>
          </w:rPr>
          <w:t>Základní koncepce ochrany a rozvoje civilizačních hodnot</w:t>
        </w:r>
        <w:r>
          <w:rPr>
            <w:webHidden/>
          </w:rPr>
          <w:tab/>
        </w:r>
        <w:r>
          <w:rPr>
            <w:webHidden/>
          </w:rPr>
          <w:fldChar w:fldCharType="begin"/>
        </w:r>
        <w:r>
          <w:rPr>
            <w:webHidden/>
          </w:rPr>
          <w:instrText xml:space="preserve"> PAGEREF _Toc36116288 \h </w:instrText>
        </w:r>
        <w:r>
          <w:rPr>
            <w:webHidden/>
          </w:rPr>
        </w:r>
        <w:r>
          <w:rPr>
            <w:webHidden/>
          </w:rPr>
          <w:fldChar w:fldCharType="separate"/>
        </w:r>
        <w:r>
          <w:rPr>
            <w:webHidden/>
          </w:rPr>
          <w:t>113</w:t>
        </w:r>
        <w:r>
          <w:rPr>
            <w:webHidden/>
          </w:rPr>
          <w:fldChar w:fldCharType="end"/>
        </w:r>
      </w:hyperlink>
    </w:p>
    <w:p w14:paraId="00386404" w14:textId="77777777" w:rsidR="00B567E6" w:rsidRDefault="00B567E6">
      <w:pPr>
        <w:pStyle w:val="TOC3"/>
        <w:rPr>
          <w:rFonts w:asciiTheme="minorHAnsi" w:eastAsiaTheme="minorEastAsia" w:hAnsiTheme="minorHAnsi" w:cstheme="minorBidi"/>
          <w:bCs w:val="0"/>
          <w:sz w:val="22"/>
          <w:szCs w:val="22"/>
          <w:lang w:eastAsia="cs-CZ"/>
        </w:rPr>
      </w:pPr>
      <w:hyperlink w:anchor="_Toc36116289" w:history="1">
        <w:r w:rsidRPr="00793D71">
          <w:rPr>
            <w:rStyle w:val="Hyperlink"/>
          </w:rPr>
          <w:t>6.3.5</w:t>
        </w:r>
        <w:r>
          <w:rPr>
            <w:rFonts w:asciiTheme="minorHAnsi" w:eastAsiaTheme="minorEastAsia" w:hAnsiTheme="minorHAnsi" w:cstheme="minorBidi"/>
            <w:bCs w:val="0"/>
            <w:sz w:val="22"/>
            <w:szCs w:val="22"/>
            <w:lang w:eastAsia="cs-CZ"/>
          </w:rPr>
          <w:tab/>
        </w:r>
        <w:r w:rsidRPr="00793D71">
          <w:rPr>
            <w:rStyle w:val="Hyperlink"/>
          </w:rPr>
          <w:t>Limity využití území</w:t>
        </w:r>
        <w:r>
          <w:rPr>
            <w:webHidden/>
          </w:rPr>
          <w:tab/>
        </w:r>
        <w:r>
          <w:rPr>
            <w:webHidden/>
          </w:rPr>
          <w:fldChar w:fldCharType="begin"/>
        </w:r>
        <w:r>
          <w:rPr>
            <w:webHidden/>
          </w:rPr>
          <w:instrText xml:space="preserve"> PAGEREF _Toc36116289 \h </w:instrText>
        </w:r>
        <w:r>
          <w:rPr>
            <w:webHidden/>
          </w:rPr>
        </w:r>
        <w:r>
          <w:rPr>
            <w:webHidden/>
          </w:rPr>
          <w:fldChar w:fldCharType="separate"/>
        </w:r>
        <w:r>
          <w:rPr>
            <w:webHidden/>
          </w:rPr>
          <w:t>114</w:t>
        </w:r>
        <w:r>
          <w:rPr>
            <w:webHidden/>
          </w:rPr>
          <w:fldChar w:fldCharType="end"/>
        </w:r>
      </w:hyperlink>
    </w:p>
    <w:p w14:paraId="0E61994A" w14:textId="77777777" w:rsidR="00B567E6" w:rsidRDefault="00B567E6">
      <w:pPr>
        <w:pStyle w:val="TOC2"/>
        <w:rPr>
          <w:rFonts w:asciiTheme="minorHAnsi" w:eastAsiaTheme="minorEastAsia" w:hAnsiTheme="minorHAnsi" w:cstheme="minorBidi"/>
          <w:noProof/>
          <w:sz w:val="22"/>
          <w:lang w:eastAsia="cs-CZ"/>
        </w:rPr>
      </w:pPr>
      <w:hyperlink w:anchor="_Toc36116290" w:history="1">
        <w:r w:rsidRPr="00793D71">
          <w:rPr>
            <w:rStyle w:val="Hyperlink"/>
            <w:noProof/>
          </w:rPr>
          <w:t>6.4</w:t>
        </w:r>
        <w:r>
          <w:rPr>
            <w:rFonts w:asciiTheme="minorHAnsi" w:eastAsiaTheme="minorEastAsia" w:hAnsiTheme="minorHAnsi" w:cstheme="minorBidi"/>
            <w:noProof/>
            <w:sz w:val="22"/>
            <w:lang w:eastAsia="cs-CZ"/>
          </w:rPr>
          <w:tab/>
        </w:r>
        <w:r w:rsidRPr="00793D71">
          <w:rPr>
            <w:rStyle w:val="Hyperlink"/>
            <w:noProof/>
          </w:rPr>
          <w:t>Urbanistická koncepce, včetně urbanistické kompozice, vymezení ploch s rozdílným způsobem využití, zastavitelných ploch, ploch přestavby a systému sídelní zeleně</w:t>
        </w:r>
        <w:r>
          <w:rPr>
            <w:noProof/>
            <w:webHidden/>
          </w:rPr>
          <w:tab/>
        </w:r>
        <w:r>
          <w:rPr>
            <w:noProof/>
            <w:webHidden/>
          </w:rPr>
          <w:fldChar w:fldCharType="begin"/>
        </w:r>
        <w:r>
          <w:rPr>
            <w:noProof/>
            <w:webHidden/>
          </w:rPr>
          <w:instrText xml:space="preserve"> PAGEREF _Toc36116290 \h </w:instrText>
        </w:r>
        <w:r>
          <w:rPr>
            <w:noProof/>
            <w:webHidden/>
          </w:rPr>
        </w:r>
        <w:r>
          <w:rPr>
            <w:noProof/>
            <w:webHidden/>
          </w:rPr>
          <w:fldChar w:fldCharType="separate"/>
        </w:r>
        <w:r>
          <w:rPr>
            <w:noProof/>
            <w:webHidden/>
          </w:rPr>
          <w:t>118</w:t>
        </w:r>
        <w:r>
          <w:rPr>
            <w:noProof/>
            <w:webHidden/>
          </w:rPr>
          <w:fldChar w:fldCharType="end"/>
        </w:r>
      </w:hyperlink>
    </w:p>
    <w:p w14:paraId="51426953" w14:textId="77777777" w:rsidR="00B567E6" w:rsidRDefault="00B567E6">
      <w:pPr>
        <w:pStyle w:val="TOC3"/>
        <w:rPr>
          <w:rFonts w:asciiTheme="minorHAnsi" w:eastAsiaTheme="minorEastAsia" w:hAnsiTheme="minorHAnsi" w:cstheme="minorBidi"/>
          <w:bCs w:val="0"/>
          <w:sz w:val="22"/>
          <w:szCs w:val="22"/>
          <w:lang w:eastAsia="cs-CZ"/>
        </w:rPr>
      </w:pPr>
      <w:hyperlink w:anchor="_Toc36116291" w:history="1">
        <w:r w:rsidRPr="00793D71">
          <w:rPr>
            <w:rStyle w:val="Hyperlink"/>
          </w:rPr>
          <w:t>6.4.1</w:t>
        </w:r>
        <w:r>
          <w:rPr>
            <w:rFonts w:asciiTheme="minorHAnsi" w:eastAsiaTheme="minorEastAsia" w:hAnsiTheme="minorHAnsi" w:cstheme="minorBidi"/>
            <w:bCs w:val="0"/>
            <w:sz w:val="22"/>
            <w:szCs w:val="22"/>
            <w:lang w:eastAsia="cs-CZ"/>
          </w:rPr>
          <w:tab/>
        </w:r>
        <w:r w:rsidRPr="00793D71">
          <w:rPr>
            <w:rStyle w:val="Hyperlink"/>
          </w:rPr>
          <w:t>Urbanistická koncepce</w:t>
        </w:r>
        <w:r>
          <w:rPr>
            <w:webHidden/>
          </w:rPr>
          <w:tab/>
        </w:r>
        <w:r>
          <w:rPr>
            <w:webHidden/>
          </w:rPr>
          <w:fldChar w:fldCharType="begin"/>
        </w:r>
        <w:r>
          <w:rPr>
            <w:webHidden/>
          </w:rPr>
          <w:instrText xml:space="preserve"> PAGEREF _Toc36116291 \h </w:instrText>
        </w:r>
        <w:r>
          <w:rPr>
            <w:webHidden/>
          </w:rPr>
        </w:r>
        <w:r>
          <w:rPr>
            <w:webHidden/>
          </w:rPr>
          <w:fldChar w:fldCharType="separate"/>
        </w:r>
        <w:r>
          <w:rPr>
            <w:webHidden/>
          </w:rPr>
          <w:t>118</w:t>
        </w:r>
        <w:r>
          <w:rPr>
            <w:webHidden/>
          </w:rPr>
          <w:fldChar w:fldCharType="end"/>
        </w:r>
      </w:hyperlink>
    </w:p>
    <w:p w14:paraId="7BCF7B42" w14:textId="77777777" w:rsidR="00B567E6" w:rsidRDefault="00B567E6">
      <w:pPr>
        <w:pStyle w:val="TOC3"/>
        <w:rPr>
          <w:rFonts w:asciiTheme="minorHAnsi" w:eastAsiaTheme="minorEastAsia" w:hAnsiTheme="minorHAnsi" w:cstheme="minorBidi"/>
          <w:bCs w:val="0"/>
          <w:sz w:val="22"/>
          <w:szCs w:val="22"/>
          <w:lang w:eastAsia="cs-CZ"/>
        </w:rPr>
      </w:pPr>
      <w:hyperlink w:anchor="_Toc36116292" w:history="1">
        <w:r w:rsidRPr="00793D71">
          <w:rPr>
            <w:rStyle w:val="Hyperlink"/>
          </w:rPr>
          <w:t>6.4.2</w:t>
        </w:r>
        <w:r>
          <w:rPr>
            <w:rFonts w:asciiTheme="minorHAnsi" w:eastAsiaTheme="minorEastAsia" w:hAnsiTheme="minorHAnsi" w:cstheme="minorBidi"/>
            <w:bCs w:val="0"/>
            <w:sz w:val="22"/>
            <w:szCs w:val="22"/>
            <w:lang w:eastAsia="cs-CZ"/>
          </w:rPr>
          <w:tab/>
        </w:r>
        <w:r w:rsidRPr="00793D71">
          <w:rPr>
            <w:rStyle w:val="Hyperlink"/>
          </w:rPr>
          <w:t>Vymezení zastavitelných ploch</w:t>
        </w:r>
        <w:r>
          <w:rPr>
            <w:webHidden/>
          </w:rPr>
          <w:tab/>
        </w:r>
        <w:r>
          <w:rPr>
            <w:webHidden/>
          </w:rPr>
          <w:fldChar w:fldCharType="begin"/>
        </w:r>
        <w:r>
          <w:rPr>
            <w:webHidden/>
          </w:rPr>
          <w:instrText xml:space="preserve"> PAGEREF _Toc36116292 \h </w:instrText>
        </w:r>
        <w:r>
          <w:rPr>
            <w:webHidden/>
          </w:rPr>
        </w:r>
        <w:r>
          <w:rPr>
            <w:webHidden/>
          </w:rPr>
          <w:fldChar w:fldCharType="separate"/>
        </w:r>
        <w:r>
          <w:rPr>
            <w:webHidden/>
          </w:rPr>
          <w:t>129</w:t>
        </w:r>
        <w:r>
          <w:rPr>
            <w:webHidden/>
          </w:rPr>
          <w:fldChar w:fldCharType="end"/>
        </w:r>
      </w:hyperlink>
    </w:p>
    <w:p w14:paraId="61B88AC9" w14:textId="77777777" w:rsidR="00B567E6" w:rsidRDefault="00B567E6">
      <w:pPr>
        <w:pStyle w:val="TOC3"/>
        <w:rPr>
          <w:rFonts w:asciiTheme="minorHAnsi" w:eastAsiaTheme="minorEastAsia" w:hAnsiTheme="minorHAnsi" w:cstheme="minorBidi"/>
          <w:bCs w:val="0"/>
          <w:sz w:val="22"/>
          <w:szCs w:val="22"/>
          <w:lang w:eastAsia="cs-CZ"/>
        </w:rPr>
      </w:pPr>
      <w:hyperlink w:anchor="_Toc36116293" w:history="1">
        <w:r w:rsidRPr="00793D71">
          <w:rPr>
            <w:rStyle w:val="Hyperlink"/>
            <w:rFonts w:eastAsia="Arial Unicode MS"/>
          </w:rPr>
          <w:t>6.4</w:t>
        </w:r>
        <w:r w:rsidRPr="00793D71">
          <w:rPr>
            <w:rStyle w:val="Hyperlink"/>
          </w:rPr>
          <w:t>.3</w:t>
        </w:r>
        <w:r>
          <w:rPr>
            <w:rFonts w:asciiTheme="minorHAnsi" w:eastAsiaTheme="minorEastAsia" w:hAnsiTheme="minorHAnsi" w:cstheme="minorBidi"/>
            <w:bCs w:val="0"/>
            <w:sz w:val="22"/>
            <w:szCs w:val="22"/>
            <w:lang w:eastAsia="cs-CZ"/>
          </w:rPr>
          <w:tab/>
        </w:r>
        <w:r w:rsidRPr="00793D71">
          <w:rPr>
            <w:rStyle w:val="Hyperlink"/>
          </w:rPr>
          <w:t>Vymezení ploch přestavby</w:t>
        </w:r>
        <w:r>
          <w:rPr>
            <w:webHidden/>
          </w:rPr>
          <w:tab/>
        </w:r>
        <w:r>
          <w:rPr>
            <w:webHidden/>
          </w:rPr>
          <w:fldChar w:fldCharType="begin"/>
        </w:r>
        <w:r>
          <w:rPr>
            <w:webHidden/>
          </w:rPr>
          <w:instrText xml:space="preserve"> PAGEREF _Toc36116293 \h </w:instrText>
        </w:r>
        <w:r>
          <w:rPr>
            <w:webHidden/>
          </w:rPr>
        </w:r>
        <w:r>
          <w:rPr>
            <w:webHidden/>
          </w:rPr>
          <w:fldChar w:fldCharType="separate"/>
        </w:r>
        <w:r>
          <w:rPr>
            <w:webHidden/>
          </w:rPr>
          <w:t>161</w:t>
        </w:r>
        <w:r>
          <w:rPr>
            <w:webHidden/>
          </w:rPr>
          <w:fldChar w:fldCharType="end"/>
        </w:r>
      </w:hyperlink>
    </w:p>
    <w:p w14:paraId="7FB12BF0" w14:textId="77777777" w:rsidR="00B567E6" w:rsidRDefault="00B567E6">
      <w:pPr>
        <w:pStyle w:val="TOC3"/>
        <w:rPr>
          <w:rFonts w:asciiTheme="minorHAnsi" w:eastAsiaTheme="minorEastAsia" w:hAnsiTheme="minorHAnsi" w:cstheme="minorBidi"/>
          <w:bCs w:val="0"/>
          <w:sz w:val="22"/>
          <w:szCs w:val="22"/>
          <w:lang w:eastAsia="cs-CZ"/>
        </w:rPr>
      </w:pPr>
      <w:hyperlink w:anchor="_Toc36116294" w:history="1">
        <w:r w:rsidRPr="00793D71">
          <w:rPr>
            <w:rStyle w:val="Hyperlink"/>
            <w:rFonts w:eastAsia="Arial Unicode MS"/>
          </w:rPr>
          <w:t>6.</w:t>
        </w:r>
        <w:r w:rsidRPr="00793D71">
          <w:rPr>
            <w:rStyle w:val="Hyperlink"/>
          </w:rPr>
          <w:t>4.4</w:t>
        </w:r>
        <w:r>
          <w:rPr>
            <w:rFonts w:asciiTheme="minorHAnsi" w:eastAsiaTheme="minorEastAsia" w:hAnsiTheme="minorHAnsi" w:cstheme="minorBidi"/>
            <w:bCs w:val="0"/>
            <w:sz w:val="22"/>
            <w:szCs w:val="22"/>
            <w:lang w:eastAsia="cs-CZ"/>
          </w:rPr>
          <w:tab/>
        </w:r>
        <w:r w:rsidRPr="00793D71">
          <w:rPr>
            <w:rStyle w:val="Hyperlink"/>
          </w:rPr>
          <w:t>Vymezení koridorů dopravní infrastruktury</w:t>
        </w:r>
        <w:r>
          <w:rPr>
            <w:webHidden/>
          </w:rPr>
          <w:tab/>
        </w:r>
        <w:r>
          <w:rPr>
            <w:webHidden/>
          </w:rPr>
          <w:fldChar w:fldCharType="begin"/>
        </w:r>
        <w:r>
          <w:rPr>
            <w:webHidden/>
          </w:rPr>
          <w:instrText xml:space="preserve"> PAGEREF _Toc36116294 \h </w:instrText>
        </w:r>
        <w:r>
          <w:rPr>
            <w:webHidden/>
          </w:rPr>
        </w:r>
        <w:r>
          <w:rPr>
            <w:webHidden/>
          </w:rPr>
          <w:fldChar w:fldCharType="separate"/>
        </w:r>
        <w:r>
          <w:rPr>
            <w:webHidden/>
          </w:rPr>
          <w:t>165</w:t>
        </w:r>
        <w:r>
          <w:rPr>
            <w:webHidden/>
          </w:rPr>
          <w:fldChar w:fldCharType="end"/>
        </w:r>
      </w:hyperlink>
    </w:p>
    <w:p w14:paraId="4AEF9E1B" w14:textId="77777777" w:rsidR="00B567E6" w:rsidRDefault="00B567E6">
      <w:pPr>
        <w:pStyle w:val="TOC3"/>
        <w:rPr>
          <w:rFonts w:asciiTheme="minorHAnsi" w:eastAsiaTheme="minorEastAsia" w:hAnsiTheme="minorHAnsi" w:cstheme="minorBidi"/>
          <w:bCs w:val="0"/>
          <w:sz w:val="22"/>
          <w:szCs w:val="22"/>
          <w:lang w:eastAsia="cs-CZ"/>
        </w:rPr>
      </w:pPr>
      <w:hyperlink w:anchor="_Toc36116295" w:history="1">
        <w:r w:rsidRPr="00793D71">
          <w:rPr>
            <w:rStyle w:val="Hyperlink"/>
            <w:rFonts w:eastAsia="Arial Unicode MS"/>
          </w:rPr>
          <w:t>6.</w:t>
        </w:r>
        <w:r w:rsidRPr="00793D71">
          <w:rPr>
            <w:rStyle w:val="Hyperlink"/>
          </w:rPr>
          <w:t>4.5</w:t>
        </w:r>
        <w:r>
          <w:rPr>
            <w:rFonts w:asciiTheme="minorHAnsi" w:eastAsiaTheme="minorEastAsia" w:hAnsiTheme="minorHAnsi" w:cstheme="minorBidi"/>
            <w:bCs w:val="0"/>
            <w:sz w:val="22"/>
            <w:szCs w:val="22"/>
            <w:lang w:eastAsia="cs-CZ"/>
          </w:rPr>
          <w:tab/>
        </w:r>
        <w:r w:rsidRPr="00793D71">
          <w:rPr>
            <w:rStyle w:val="Hyperlink"/>
          </w:rPr>
          <w:t>Vymezení koridorů technické infrastruktury</w:t>
        </w:r>
        <w:r>
          <w:rPr>
            <w:webHidden/>
          </w:rPr>
          <w:tab/>
        </w:r>
        <w:r>
          <w:rPr>
            <w:webHidden/>
          </w:rPr>
          <w:fldChar w:fldCharType="begin"/>
        </w:r>
        <w:r>
          <w:rPr>
            <w:webHidden/>
          </w:rPr>
          <w:instrText xml:space="preserve"> PAGEREF _Toc36116295 \h </w:instrText>
        </w:r>
        <w:r>
          <w:rPr>
            <w:webHidden/>
          </w:rPr>
        </w:r>
        <w:r>
          <w:rPr>
            <w:webHidden/>
          </w:rPr>
          <w:fldChar w:fldCharType="separate"/>
        </w:r>
        <w:r>
          <w:rPr>
            <w:webHidden/>
          </w:rPr>
          <w:t>166</w:t>
        </w:r>
        <w:r>
          <w:rPr>
            <w:webHidden/>
          </w:rPr>
          <w:fldChar w:fldCharType="end"/>
        </w:r>
      </w:hyperlink>
    </w:p>
    <w:p w14:paraId="65915EAD" w14:textId="77777777" w:rsidR="00B567E6" w:rsidRDefault="00B567E6">
      <w:pPr>
        <w:pStyle w:val="TOC3"/>
        <w:rPr>
          <w:rFonts w:asciiTheme="minorHAnsi" w:eastAsiaTheme="minorEastAsia" w:hAnsiTheme="minorHAnsi" w:cstheme="minorBidi"/>
          <w:bCs w:val="0"/>
          <w:sz w:val="22"/>
          <w:szCs w:val="22"/>
          <w:lang w:eastAsia="cs-CZ"/>
        </w:rPr>
      </w:pPr>
      <w:hyperlink w:anchor="_Toc36116296" w:history="1">
        <w:r w:rsidRPr="00793D71">
          <w:rPr>
            <w:rStyle w:val="Hyperlink"/>
          </w:rPr>
          <w:t>6.4.6</w:t>
        </w:r>
        <w:r>
          <w:rPr>
            <w:rFonts w:asciiTheme="minorHAnsi" w:eastAsiaTheme="minorEastAsia" w:hAnsiTheme="minorHAnsi" w:cstheme="minorBidi"/>
            <w:bCs w:val="0"/>
            <w:sz w:val="22"/>
            <w:szCs w:val="22"/>
            <w:lang w:eastAsia="cs-CZ"/>
          </w:rPr>
          <w:tab/>
        </w:r>
        <w:r w:rsidRPr="00793D71">
          <w:rPr>
            <w:rStyle w:val="Hyperlink"/>
          </w:rPr>
          <w:t>Vymezení systému sídelní zeleně</w:t>
        </w:r>
        <w:r>
          <w:rPr>
            <w:webHidden/>
          </w:rPr>
          <w:tab/>
        </w:r>
        <w:r>
          <w:rPr>
            <w:webHidden/>
          </w:rPr>
          <w:fldChar w:fldCharType="begin"/>
        </w:r>
        <w:r>
          <w:rPr>
            <w:webHidden/>
          </w:rPr>
          <w:instrText xml:space="preserve"> PAGEREF _Toc36116296 \h </w:instrText>
        </w:r>
        <w:r>
          <w:rPr>
            <w:webHidden/>
          </w:rPr>
        </w:r>
        <w:r>
          <w:rPr>
            <w:webHidden/>
          </w:rPr>
          <w:fldChar w:fldCharType="separate"/>
        </w:r>
        <w:r>
          <w:rPr>
            <w:webHidden/>
          </w:rPr>
          <w:t>166</w:t>
        </w:r>
        <w:r>
          <w:rPr>
            <w:webHidden/>
          </w:rPr>
          <w:fldChar w:fldCharType="end"/>
        </w:r>
      </w:hyperlink>
    </w:p>
    <w:p w14:paraId="14EA1021" w14:textId="77777777" w:rsidR="00B567E6" w:rsidRDefault="00B567E6">
      <w:pPr>
        <w:pStyle w:val="TOC2"/>
        <w:rPr>
          <w:rFonts w:asciiTheme="minorHAnsi" w:eastAsiaTheme="minorEastAsia" w:hAnsiTheme="minorHAnsi" w:cstheme="minorBidi"/>
          <w:noProof/>
          <w:sz w:val="22"/>
          <w:lang w:eastAsia="cs-CZ"/>
        </w:rPr>
      </w:pPr>
      <w:hyperlink w:anchor="_Toc36116297" w:history="1">
        <w:r w:rsidRPr="00793D71">
          <w:rPr>
            <w:rStyle w:val="Hyperlink"/>
            <w:noProof/>
          </w:rPr>
          <w:t>6.5</w:t>
        </w:r>
        <w:r>
          <w:rPr>
            <w:rFonts w:asciiTheme="minorHAnsi" w:eastAsiaTheme="minorEastAsia" w:hAnsiTheme="minorHAnsi" w:cstheme="minorBidi"/>
            <w:noProof/>
            <w:sz w:val="22"/>
            <w:lang w:eastAsia="cs-CZ"/>
          </w:rPr>
          <w:tab/>
        </w:r>
        <w:r w:rsidRPr="00793D71">
          <w:rPr>
            <w:rStyle w:val="Hyperlink"/>
            <w:noProof/>
          </w:rPr>
          <w:t>Koncepce veřejné infrastruktury, včetně podmínek pro její umísťování, vymezení ploch a koridorů pro veřejnou infrastrukturu, včetně stanovení podmínek pro jejich využití</w:t>
        </w:r>
        <w:r>
          <w:rPr>
            <w:noProof/>
            <w:webHidden/>
          </w:rPr>
          <w:tab/>
        </w:r>
        <w:r>
          <w:rPr>
            <w:noProof/>
            <w:webHidden/>
          </w:rPr>
          <w:fldChar w:fldCharType="begin"/>
        </w:r>
        <w:r>
          <w:rPr>
            <w:noProof/>
            <w:webHidden/>
          </w:rPr>
          <w:instrText xml:space="preserve"> PAGEREF _Toc36116297 \h </w:instrText>
        </w:r>
        <w:r>
          <w:rPr>
            <w:noProof/>
            <w:webHidden/>
          </w:rPr>
        </w:r>
        <w:r>
          <w:rPr>
            <w:noProof/>
            <w:webHidden/>
          </w:rPr>
          <w:fldChar w:fldCharType="separate"/>
        </w:r>
        <w:r>
          <w:rPr>
            <w:noProof/>
            <w:webHidden/>
          </w:rPr>
          <w:t>167</w:t>
        </w:r>
        <w:r>
          <w:rPr>
            <w:noProof/>
            <w:webHidden/>
          </w:rPr>
          <w:fldChar w:fldCharType="end"/>
        </w:r>
      </w:hyperlink>
    </w:p>
    <w:p w14:paraId="7279906F" w14:textId="77777777" w:rsidR="00B567E6" w:rsidRDefault="00B567E6">
      <w:pPr>
        <w:pStyle w:val="TOC3"/>
        <w:rPr>
          <w:rFonts w:asciiTheme="minorHAnsi" w:eastAsiaTheme="minorEastAsia" w:hAnsiTheme="minorHAnsi" w:cstheme="minorBidi"/>
          <w:bCs w:val="0"/>
          <w:sz w:val="22"/>
          <w:szCs w:val="22"/>
          <w:lang w:eastAsia="cs-CZ"/>
        </w:rPr>
      </w:pPr>
      <w:hyperlink w:anchor="_Toc36116298" w:history="1">
        <w:r w:rsidRPr="00793D71">
          <w:rPr>
            <w:rStyle w:val="Hyperlink"/>
          </w:rPr>
          <w:t>6.5.1</w:t>
        </w:r>
        <w:r>
          <w:rPr>
            <w:rFonts w:asciiTheme="minorHAnsi" w:eastAsiaTheme="minorEastAsia" w:hAnsiTheme="minorHAnsi" w:cstheme="minorBidi"/>
            <w:bCs w:val="0"/>
            <w:sz w:val="22"/>
            <w:szCs w:val="22"/>
            <w:lang w:eastAsia="cs-CZ"/>
          </w:rPr>
          <w:tab/>
        </w:r>
        <w:r w:rsidRPr="00793D71">
          <w:rPr>
            <w:rStyle w:val="Hyperlink"/>
          </w:rPr>
          <w:t>Dopravní infrastruktura</w:t>
        </w:r>
        <w:r>
          <w:rPr>
            <w:webHidden/>
          </w:rPr>
          <w:tab/>
        </w:r>
        <w:r>
          <w:rPr>
            <w:webHidden/>
          </w:rPr>
          <w:fldChar w:fldCharType="begin"/>
        </w:r>
        <w:r>
          <w:rPr>
            <w:webHidden/>
          </w:rPr>
          <w:instrText xml:space="preserve"> PAGEREF _Toc36116298 \h </w:instrText>
        </w:r>
        <w:r>
          <w:rPr>
            <w:webHidden/>
          </w:rPr>
        </w:r>
        <w:r>
          <w:rPr>
            <w:webHidden/>
          </w:rPr>
          <w:fldChar w:fldCharType="separate"/>
        </w:r>
        <w:r>
          <w:rPr>
            <w:webHidden/>
          </w:rPr>
          <w:t>167</w:t>
        </w:r>
        <w:r>
          <w:rPr>
            <w:webHidden/>
          </w:rPr>
          <w:fldChar w:fldCharType="end"/>
        </w:r>
      </w:hyperlink>
    </w:p>
    <w:p w14:paraId="3CA6F958" w14:textId="77777777" w:rsidR="00B567E6" w:rsidRDefault="00B567E6">
      <w:pPr>
        <w:pStyle w:val="TOC3"/>
        <w:rPr>
          <w:rFonts w:asciiTheme="minorHAnsi" w:eastAsiaTheme="minorEastAsia" w:hAnsiTheme="minorHAnsi" w:cstheme="minorBidi"/>
          <w:bCs w:val="0"/>
          <w:sz w:val="22"/>
          <w:szCs w:val="22"/>
          <w:lang w:eastAsia="cs-CZ"/>
        </w:rPr>
      </w:pPr>
      <w:hyperlink w:anchor="_Toc36116299" w:history="1">
        <w:r w:rsidRPr="00793D71">
          <w:rPr>
            <w:rStyle w:val="Hyperlink"/>
          </w:rPr>
          <w:t>6.5.2</w:t>
        </w:r>
        <w:r>
          <w:rPr>
            <w:rFonts w:asciiTheme="minorHAnsi" w:eastAsiaTheme="minorEastAsia" w:hAnsiTheme="minorHAnsi" w:cstheme="minorBidi"/>
            <w:bCs w:val="0"/>
            <w:sz w:val="22"/>
            <w:szCs w:val="22"/>
            <w:lang w:eastAsia="cs-CZ"/>
          </w:rPr>
          <w:tab/>
        </w:r>
        <w:r w:rsidRPr="00793D71">
          <w:rPr>
            <w:rStyle w:val="Hyperlink"/>
          </w:rPr>
          <w:t>Technická infrastruktura</w:t>
        </w:r>
        <w:r>
          <w:rPr>
            <w:webHidden/>
          </w:rPr>
          <w:tab/>
        </w:r>
        <w:r>
          <w:rPr>
            <w:webHidden/>
          </w:rPr>
          <w:fldChar w:fldCharType="begin"/>
        </w:r>
        <w:r>
          <w:rPr>
            <w:webHidden/>
          </w:rPr>
          <w:instrText xml:space="preserve"> PAGEREF _Toc36116299 \h </w:instrText>
        </w:r>
        <w:r>
          <w:rPr>
            <w:webHidden/>
          </w:rPr>
        </w:r>
        <w:r>
          <w:rPr>
            <w:webHidden/>
          </w:rPr>
          <w:fldChar w:fldCharType="separate"/>
        </w:r>
        <w:r>
          <w:rPr>
            <w:webHidden/>
          </w:rPr>
          <w:t>174</w:t>
        </w:r>
        <w:r>
          <w:rPr>
            <w:webHidden/>
          </w:rPr>
          <w:fldChar w:fldCharType="end"/>
        </w:r>
      </w:hyperlink>
    </w:p>
    <w:p w14:paraId="6CB88AF2" w14:textId="77777777" w:rsidR="00B567E6" w:rsidRDefault="00B567E6">
      <w:pPr>
        <w:pStyle w:val="TOC3"/>
        <w:rPr>
          <w:rFonts w:asciiTheme="minorHAnsi" w:eastAsiaTheme="minorEastAsia" w:hAnsiTheme="minorHAnsi" w:cstheme="minorBidi"/>
          <w:bCs w:val="0"/>
          <w:sz w:val="22"/>
          <w:szCs w:val="22"/>
          <w:lang w:eastAsia="cs-CZ"/>
        </w:rPr>
      </w:pPr>
      <w:hyperlink w:anchor="_Toc36116300" w:history="1">
        <w:r w:rsidRPr="00793D71">
          <w:rPr>
            <w:rStyle w:val="Hyperlink"/>
          </w:rPr>
          <w:t>6.5.3</w:t>
        </w:r>
        <w:r>
          <w:rPr>
            <w:rFonts w:asciiTheme="minorHAnsi" w:eastAsiaTheme="minorEastAsia" w:hAnsiTheme="minorHAnsi" w:cstheme="minorBidi"/>
            <w:bCs w:val="0"/>
            <w:sz w:val="22"/>
            <w:szCs w:val="22"/>
            <w:lang w:eastAsia="cs-CZ"/>
          </w:rPr>
          <w:tab/>
        </w:r>
        <w:r w:rsidRPr="00793D71">
          <w:rPr>
            <w:rStyle w:val="Hyperlink"/>
          </w:rPr>
          <w:t>Občanské vybavení</w:t>
        </w:r>
        <w:r>
          <w:rPr>
            <w:webHidden/>
          </w:rPr>
          <w:tab/>
        </w:r>
        <w:r>
          <w:rPr>
            <w:webHidden/>
          </w:rPr>
          <w:fldChar w:fldCharType="begin"/>
        </w:r>
        <w:r>
          <w:rPr>
            <w:webHidden/>
          </w:rPr>
          <w:instrText xml:space="preserve"> PAGEREF _Toc36116300 \h </w:instrText>
        </w:r>
        <w:r>
          <w:rPr>
            <w:webHidden/>
          </w:rPr>
        </w:r>
        <w:r>
          <w:rPr>
            <w:webHidden/>
          </w:rPr>
          <w:fldChar w:fldCharType="separate"/>
        </w:r>
        <w:r>
          <w:rPr>
            <w:webHidden/>
          </w:rPr>
          <w:t>179</w:t>
        </w:r>
        <w:r>
          <w:rPr>
            <w:webHidden/>
          </w:rPr>
          <w:fldChar w:fldCharType="end"/>
        </w:r>
      </w:hyperlink>
    </w:p>
    <w:p w14:paraId="7EB747EB" w14:textId="77777777" w:rsidR="00B567E6" w:rsidRDefault="00B567E6">
      <w:pPr>
        <w:pStyle w:val="TOC3"/>
        <w:rPr>
          <w:rFonts w:asciiTheme="minorHAnsi" w:eastAsiaTheme="minorEastAsia" w:hAnsiTheme="minorHAnsi" w:cstheme="minorBidi"/>
          <w:bCs w:val="0"/>
          <w:sz w:val="22"/>
          <w:szCs w:val="22"/>
          <w:lang w:eastAsia="cs-CZ"/>
        </w:rPr>
      </w:pPr>
      <w:hyperlink w:anchor="_Toc36116301" w:history="1">
        <w:r w:rsidRPr="00793D71">
          <w:rPr>
            <w:rStyle w:val="Hyperlink"/>
          </w:rPr>
          <w:t>6.5.4</w:t>
        </w:r>
        <w:r>
          <w:rPr>
            <w:rFonts w:asciiTheme="minorHAnsi" w:eastAsiaTheme="minorEastAsia" w:hAnsiTheme="minorHAnsi" w:cstheme="minorBidi"/>
            <w:bCs w:val="0"/>
            <w:sz w:val="22"/>
            <w:szCs w:val="22"/>
            <w:lang w:eastAsia="cs-CZ"/>
          </w:rPr>
          <w:tab/>
        </w:r>
        <w:r w:rsidRPr="00793D71">
          <w:rPr>
            <w:rStyle w:val="Hyperlink"/>
          </w:rPr>
          <w:t>Veřejná prostranství</w:t>
        </w:r>
        <w:r>
          <w:rPr>
            <w:webHidden/>
          </w:rPr>
          <w:tab/>
        </w:r>
        <w:r>
          <w:rPr>
            <w:webHidden/>
          </w:rPr>
          <w:fldChar w:fldCharType="begin"/>
        </w:r>
        <w:r>
          <w:rPr>
            <w:webHidden/>
          </w:rPr>
          <w:instrText xml:space="preserve"> PAGEREF _Toc36116301 \h </w:instrText>
        </w:r>
        <w:r>
          <w:rPr>
            <w:webHidden/>
          </w:rPr>
        </w:r>
        <w:r>
          <w:rPr>
            <w:webHidden/>
          </w:rPr>
          <w:fldChar w:fldCharType="separate"/>
        </w:r>
        <w:r>
          <w:rPr>
            <w:webHidden/>
          </w:rPr>
          <w:t>181</w:t>
        </w:r>
        <w:r>
          <w:rPr>
            <w:webHidden/>
          </w:rPr>
          <w:fldChar w:fldCharType="end"/>
        </w:r>
      </w:hyperlink>
    </w:p>
    <w:p w14:paraId="584EF2B0" w14:textId="77777777" w:rsidR="00B567E6" w:rsidRDefault="00B567E6">
      <w:pPr>
        <w:pStyle w:val="TOC3"/>
        <w:rPr>
          <w:rFonts w:asciiTheme="minorHAnsi" w:eastAsiaTheme="minorEastAsia" w:hAnsiTheme="minorHAnsi" w:cstheme="minorBidi"/>
          <w:bCs w:val="0"/>
          <w:sz w:val="22"/>
          <w:szCs w:val="22"/>
          <w:lang w:eastAsia="cs-CZ"/>
        </w:rPr>
      </w:pPr>
      <w:hyperlink w:anchor="_Toc36116302" w:history="1">
        <w:r w:rsidRPr="00793D71">
          <w:rPr>
            <w:rStyle w:val="Hyperlink"/>
          </w:rPr>
          <w:t>6.5.5</w:t>
        </w:r>
        <w:r>
          <w:rPr>
            <w:rFonts w:asciiTheme="minorHAnsi" w:eastAsiaTheme="minorEastAsia" w:hAnsiTheme="minorHAnsi" w:cstheme="minorBidi"/>
            <w:bCs w:val="0"/>
            <w:sz w:val="22"/>
            <w:szCs w:val="22"/>
            <w:lang w:eastAsia="cs-CZ"/>
          </w:rPr>
          <w:tab/>
        </w:r>
        <w:r w:rsidRPr="00793D71">
          <w:rPr>
            <w:rStyle w:val="Hyperlink"/>
          </w:rPr>
          <w:t>Ochrana obyvatelstva</w:t>
        </w:r>
        <w:r>
          <w:rPr>
            <w:webHidden/>
          </w:rPr>
          <w:tab/>
        </w:r>
        <w:r>
          <w:rPr>
            <w:webHidden/>
          </w:rPr>
          <w:fldChar w:fldCharType="begin"/>
        </w:r>
        <w:r>
          <w:rPr>
            <w:webHidden/>
          </w:rPr>
          <w:instrText xml:space="preserve"> PAGEREF _Toc36116302 \h </w:instrText>
        </w:r>
        <w:r>
          <w:rPr>
            <w:webHidden/>
          </w:rPr>
        </w:r>
        <w:r>
          <w:rPr>
            <w:webHidden/>
          </w:rPr>
          <w:fldChar w:fldCharType="separate"/>
        </w:r>
        <w:r>
          <w:rPr>
            <w:webHidden/>
          </w:rPr>
          <w:t>182</w:t>
        </w:r>
        <w:r>
          <w:rPr>
            <w:webHidden/>
          </w:rPr>
          <w:fldChar w:fldCharType="end"/>
        </w:r>
      </w:hyperlink>
    </w:p>
    <w:p w14:paraId="67C12E90" w14:textId="77777777" w:rsidR="00B567E6" w:rsidRDefault="00B567E6">
      <w:pPr>
        <w:pStyle w:val="TOC2"/>
        <w:rPr>
          <w:rFonts w:asciiTheme="minorHAnsi" w:eastAsiaTheme="minorEastAsia" w:hAnsiTheme="minorHAnsi" w:cstheme="minorBidi"/>
          <w:noProof/>
          <w:sz w:val="22"/>
          <w:lang w:eastAsia="cs-CZ"/>
        </w:rPr>
      </w:pPr>
      <w:hyperlink w:anchor="_Toc36116303" w:history="1">
        <w:r w:rsidRPr="00793D71">
          <w:rPr>
            <w:rStyle w:val="Hyperlink"/>
            <w:noProof/>
          </w:rPr>
          <w:t>6.6</w:t>
        </w:r>
        <w:r>
          <w:rPr>
            <w:rFonts w:asciiTheme="minorHAnsi" w:eastAsiaTheme="minorEastAsia" w:hAnsiTheme="minorHAnsi" w:cstheme="minorBidi"/>
            <w:noProof/>
            <w:sz w:val="22"/>
            <w:lang w:eastAsia="cs-CZ"/>
          </w:rPr>
          <w:tab/>
        </w:r>
        <w:r w:rsidRPr="00793D71">
          <w:rPr>
            <w:rStyle w:val="Hyperlink"/>
            <w:noProof/>
          </w:rPr>
          <w:t>Odůvodnění koncepce uspořádání krajiny, včetně vymezení ploch s rozdílným způsobem využití, ploch změn v krajině a stanovení podmínek pro jejich využití, územního systému ekologické stability, prostupnosti krajiny, protierozních opatření, ochrany před povodněmi, rekreace, dobývání  ložisek nerostných surovin, apod.</w:t>
        </w:r>
        <w:r>
          <w:rPr>
            <w:noProof/>
            <w:webHidden/>
          </w:rPr>
          <w:tab/>
        </w:r>
        <w:r>
          <w:rPr>
            <w:noProof/>
            <w:webHidden/>
          </w:rPr>
          <w:fldChar w:fldCharType="begin"/>
        </w:r>
        <w:r>
          <w:rPr>
            <w:noProof/>
            <w:webHidden/>
          </w:rPr>
          <w:instrText xml:space="preserve"> PAGEREF _Toc36116303 \h </w:instrText>
        </w:r>
        <w:r>
          <w:rPr>
            <w:noProof/>
            <w:webHidden/>
          </w:rPr>
        </w:r>
        <w:r>
          <w:rPr>
            <w:noProof/>
            <w:webHidden/>
          </w:rPr>
          <w:fldChar w:fldCharType="separate"/>
        </w:r>
        <w:r>
          <w:rPr>
            <w:noProof/>
            <w:webHidden/>
          </w:rPr>
          <w:t>183</w:t>
        </w:r>
        <w:r>
          <w:rPr>
            <w:noProof/>
            <w:webHidden/>
          </w:rPr>
          <w:fldChar w:fldCharType="end"/>
        </w:r>
      </w:hyperlink>
    </w:p>
    <w:p w14:paraId="79244857" w14:textId="603F6953" w:rsidR="00B567E6" w:rsidRDefault="00B567E6">
      <w:pPr>
        <w:pStyle w:val="TOC3"/>
        <w:rPr>
          <w:rFonts w:asciiTheme="minorHAnsi" w:eastAsiaTheme="minorEastAsia" w:hAnsiTheme="minorHAnsi" w:cstheme="minorBidi"/>
          <w:bCs w:val="0"/>
          <w:sz w:val="22"/>
          <w:szCs w:val="22"/>
          <w:lang w:eastAsia="cs-CZ"/>
        </w:rPr>
      </w:pPr>
      <w:hyperlink w:anchor="_Toc36116304" w:history="1">
        <w:r w:rsidRPr="00793D71">
          <w:rPr>
            <w:rStyle w:val="Hyperlink"/>
          </w:rPr>
          <w:t xml:space="preserve">6.6.1 </w:t>
        </w:r>
        <w:r>
          <w:rPr>
            <w:rStyle w:val="Hyperlink"/>
          </w:rPr>
          <w:t xml:space="preserve">     </w:t>
        </w:r>
        <w:r w:rsidRPr="00793D71">
          <w:rPr>
            <w:rStyle w:val="Hyperlink"/>
          </w:rPr>
          <w:t>Základní principy koncepce uspořádání krajiny</w:t>
        </w:r>
        <w:r>
          <w:rPr>
            <w:webHidden/>
          </w:rPr>
          <w:tab/>
        </w:r>
        <w:r>
          <w:rPr>
            <w:webHidden/>
          </w:rPr>
          <w:fldChar w:fldCharType="begin"/>
        </w:r>
        <w:r>
          <w:rPr>
            <w:webHidden/>
          </w:rPr>
          <w:instrText xml:space="preserve"> PAGEREF _Toc36116304 \h </w:instrText>
        </w:r>
        <w:r>
          <w:rPr>
            <w:webHidden/>
          </w:rPr>
        </w:r>
        <w:r>
          <w:rPr>
            <w:webHidden/>
          </w:rPr>
          <w:fldChar w:fldCharType="separate"/>
        </w:r>
        <w:r>
          <w:rPr>
            <w:webHidden/>
          </w:rPr>
          <w:t>183</w:t>
        </w:r>
        <w:r>
          <w:rPr>
            <w:webHidden/>
          </w:rPr>
          <w:fldChar w:fldCharType="end"/>
        </w:r>
      </w:hyperlink>
    </w:p>
    <w:p w14:paraId="7FF81F5F" w14:textId="77777777" w:rsidR="00B567E6" w:rsidRDefault="00B567E6">
      <w:pPr>
        <w:pStyle w:val="TOC3"/>
        <w:rPr>
          <w:rFonts w:asciiTheme="minorHAnsi" w:eastAsiaTheme="minorEastAsia" w:hAnsiTheme="minorHAnsi" w:cstheme="minorBidi"/>
          <w:bCs w:val="0"/>
          <w:sz w:val="22"/>
          <w:szCs w:val="22"/>
          <w:lang w:eastAsia="cs-CZ"/>
        </w:rPr>
      </w:pPr>
      <w:hyperlink w:anchor="_Toc36116305" w:history="1">
        <w:r w:rsidRPr="00793D71">
          <w:rPr>
            <w:rStyle w:val="Hyperlink"/>
          </w:rPr>
          <w:t>6.6.2</w:t>
        </w:r>
        <w:r>
          <w:rPr>
            <w:rFonts w:asciiTheme="minorHAnsi" w:eastAsiaTheme="minorEastAsia" w:hAnsiTheme="minorHAnsi" w:cstheme="minorBidi"/>
            <w:bCs w:val="0"/>
            <w:sz w:val="22"/>
            <w:szCs w:val="22"/>
            <w:lang w:eastAsia="cs-CZ"/>
          </w:rPr>
          <w:tab/>
        </w:r>
        <w:r w:rsidRPr="00793D71">
          <w:rPr>
            <w:rStyle w:val="Hyperlink"/>
          </w:rPr>
          <w:t>Zásady ochrany krajiny a krajinného rázu</w:t>
        </w:r>
        <w:r>
          <w:rPr>
            <w:webHidden/>
          </w:rPr>
          <w:tab/>
        </w:r>
        <w:r>
          <w:rPr>
            <w:webHidden/>
          </w:rPr>
          <w:fldChar w:fldCharType="begin"/>
        </w:r>
        <w:r>
          <w:rPr>
            <w:webHidden/>
          </w:rPr>
          <w:instrText xml:space="preserve"> PAGEREF _Toc36116305 \h </w:instrText>
        </w:r>
        <w:r>
          <w:rPr>
            <w:webHidden/>
          </w:rPr>
        </w:r>
        <w:r>
          <w:rPr>
            <w:webHidden/>
          </w:rPr>
          <w:fldChar w:fldCharType="separate"/>
        </w:r>
        <w:r>
          <w:rPr>
            <w:webHidden/>
          </w:rPr>
          <w:t>184</w:t>
        </w:r>
        <w:r>
          <w:rPr>
            <w:webHidden/>
          </w:rPr>
          <w:fldChar w:fldCharType="end"/>
        </w:r>
      </w:hyperlink>
    </w:p>
    <w:p w14:paraId="6CD883C2" w14:textId="77777777" w:rsidR="00B567E6" w:rsidRDefault="00B567E6">
      <w:pPr>
        <w:pStyle w:val="TOC3"/>
        <w:rPr>
          <w:rFonts w:asciiTheme="minorHAnsi" w:eastAsiaTheme="minorEastAsia" w:hAnsiTheme="minorHAnsi" w:cstheme="minorBidi"/>
          <w:bCs w:val="0"/>
          <w:sz w:val="22"/>
          <w:szCs w:val="22"/>
          <w:lang w:eastAsia="cs-CZ"/>
        </w:rPr>
      </w:pPr>
      <w:hyperlink w:anchor="_Toc36116306" w:history="1">
        <w:r w:rsidRPr="00793D71">
          <w:rPr>
            <w:rStyle w:val="Hyperlink"/>
          </w:rPr>
          <w:t>6.6.3</w:t>
        </w:r>
        <w:r>
          <w:rPr>
            <w:rFonts w:asciiTheme="minorHAnsi" w:eastAsiaTheme="minorEastAsia" w:hAnsiTheme="minorHAnsi" w:cstheme="minorBidi"/>
            <w:bCs w:val="0"/>
            <w:sz w:val="22"/>
            <w:szCs w:val="22"/>
            <w:lang w:eastAsia="cs-CZ"/>
          </w:rPr>
          <w:tab/>
        </w:r>
        <w:r w:rsidRPr="00793D71">
          <w:rPr>
            <w:rStyle w:val="Hyperlink"/>
          </w:rPr>
          <w:t>Plochy v krajině</w:t>
        </w:r>
        <w:r>
          <w:rPr>
            <w:webHidden/>
          </w:rPr>
          <w:tab/>
        </w:r>
        <w:r>
          <w:rPr>
            <w:webHidden/>
          </w:rPr>
          <w:fldChar w:fldCharType="begin"/>
        </w:r>
        <w:r>
          <w:rPr>
            <w:webHidden/>
          </w:rPr>
          <w:instrText xml:space="preserve"> PAGEREF _Toc36116306 \h </w:instrText>
        </w:r>
        <w:r>
          <w:rPr>
            <w:webHidden/>
          </w:rPr>
        </w:r>
        <w:r>
          <w:rPr>
            <w:webHidden/>
          </w:rPr>
          <w:fldChar w:fldCharType="separate"/>
        </w:r>
        <w:r>
          <w:rPr>
            <w:webHidden/>
          </w:rPr>
          <w:t>188</w:t>
        </w:r>
        <w:r>
          <w:rPr>
            <w:webHidden/>
          </w:rPr>
          <w:fldChar w:fldCharType="end"/>
        </w:r>
      </w:hyperlink>
    </w:p>
    <w:p w14:paraId="49439A3E" w14:textId="77777777" w:rsidR="00B567E6" w:rsidRDefault="00B567E6">
      <w:pPr>
        <w:pStyle w:val="TOC3"/>
        <w:rPr>
          <w:rFonts w:asciiTheme="minorHAnsi" w:eastAsiaTheme="minorEastAsia" w:hAnsiTheme="minorHAnsi" w:cstheme="minorBidi"/>
          <w:bCs w:val="0"/>
          <w:sz w:val="22"/>
          <w:szCs w:val="22"/>
          <w:lang w:eastAsia="cs-CZ"/>
        </w:rPr>
      </w:pPr>
      <w:hyperlink w:anchor="_Toc36116307" w:history="1">
        <w:r w:rsidRPr="00793D71">
          <w:rPr>
            <w:rStyle w:val="Hyperlink"/>
          </w:rPr>
          <w:t>6.6.4</w:t>
        </w:r>
        <w:r>
          <w:rPr>
            <w:rFonts w:asciiTheme="minorHAnsi" w:eastAsiaTheme="minorEastAsia" w:hAnsiTheme="minorHAnsi" w:cstheme="minorBidi"/>
            <w:bCs w:val="0"/>
            <w:sz w:val="22"/>
            <w:szCs w:val="22"/>
            <w:lang w:eastAsia="cs-CZ"/>
          </w:rPr>
          <w:tab/>
        </w:r>
        <w:r w:rsidRPr="00793D71">
          <w:rPr>
            <w:rStyle w:val="Hyperlink"/>
          </w:rPr>
          <w:t>Územní systém ekologické stability</w:t>
        </w:r>
        <w:r>
          <w:rPr>
            <w:webHidden/>
          </w:rPr>
          <w:tab/>
        </w:r>
        <w:r>
          <w:rPr>
            <w:webHidden/>
          </w:rPr>
          <w:fldChar w:fldCharType="begin"/>
        </w:r>
        <w:r>
          <w:rPr>
            <w:webHidden/>
          </w:rPr>
          <w:instrText xml:space="preserve"> PAGEREF _Toc36116307 \h </w:instrText>
        </w:r>
        <w:r>
          <w:rPr>
            <w:webHidden/>
          </w:rPr>
        </w:r>
        <w:r>
          <w:rPr>
            <w:webHidden/>
          </w:rPr>
          <w:fldChar w:fldCharType="separate"/>
        </w:r>
        <w:r>
          <w:rPr>
            <w:webHidden/>
          </w:rPr>
          <w:t>190</w:t>
        </w:r>
        <w:r>
          <w:rPr>
            <w:webHidden/>
          </w:rPr>
          <w:fldChar w:fldCharType="end"/>
        </w:r>
      </w:hyperlink>
    </w:p>
    <w:p w14:paraId="41812499" w14:textId="77777777" w:rsidR="00B567E6" w:rsidRDefault="00B567E6">
      <w:pPr>
        <w:pStyle w:val="TOC3"/>
        <w:rPr>
          <w:rFonts w:asciiTheme="minorHAnsi" w:eastAsiaTheme="minorEastAsia" w:hAnsiTheme="minorHAnsi" w:cstheme="minorBidi"/>
          <w:bCs w:val="0"/>
          <w:sz w:val="22"/>
          <w:szCs w:val="22"/>
          <w:lang w:eastAsia="cs-CZ"/>
        </w:rPr>
      </w:pPr>
      <w:hyperlink w:anchor="_Toc36116308" w:history="1">
        <w:r w:rsidRPr="00793D71">
          <w:rPr>
            <w:rStyle w:val="Hyperlink"/>
          </w:rPr>
          <w:t>6.6.5</w:t>
        </w:r>
        <w:r>
          <w:rPr>
            <w:rFonts w:asciiTheme="minorHAnsi" w:eastAsiaTheme="minorEastAsia" w:hAnsiTheme="minorHAnsi" w:cstheme="minorBidi"/>
            <w:bCs w:val="0"/>
            <w:sz w:val="22"/>
            <w:szCs w:val="22"/>
            <w:lang w:eastAsia="cs-CZ"/>
          </w:rPr>
          <w:tab/>
        </w:r>
        <w:r w:rsidRPr="00793D71">
          <w:rPr>
            <w:rStyle w:val="Hyperlink"/>
          </w:rPr>
          <w:t>Prostupnost krajiny</w:t>
        </w:r>
        <w:r>
          <w:rPr>
            <w:webHidden/>
          </w:rPr>
          <w:tab/>
        </w:r>
        <w:r>
          <w:rPr>
            <w:webHidden/>
          </w:rPr>
          <w:fldChar w:fldCharType="begin"/>
        </w:r>
        <w:r>
          <w:rPr>
            <w:webHidden/>
          </w:rPr>
          <w:instrText xml:space="preserve"> PAGEREF _Toc36116308 \h </w:instrText>
        </w:r>
        <w:r>
          <w:rPr>
            <w:webHidden/>
          </w:rPr>
        </w:r>
        <w:r>
          <w:rPr>
            <w:webHidden/>
          </w:rPr>
          <w:fldChar w:fldCharType="separate"/>
        </w:r>
        <w:r>
          <w:rPr>
            <w:webHidden/>
          </w:rPr>
          <w:t>193</w:t>
        </w:r>
        <w:r>
          <w:rPr>
            <w:webHidden/>
          </w:rPr>
          <w:fldChar w:fldCharType="end"/>
        </w:r>
      </w:hyperlink>
    </w:p>
    <w:p w14:paraId="1265E6E3" w14:textId="77777777" w:rsidR="00B567E6" w:rsidRDefault="00B567E6">
      <w:pPr>
        <w:pStyle w:val="TOC3"/>
        <w:rPr>
          <w:rFonts w:asciiTheme="minorHAnsi" w:eastAsiaTheme="minorEastAsia" w:hAnsiTheme="minorHAnsi" w:cstheme="minorBidi"/>
          <w:bCs w:val="0"/>
          <w:sz w:val="22"/>
          <w:szCs w:val="22"/>
          <w:lang w:eastAsia="cs-CZ"/>
        </w:rPr>
      </w:pPr>
      <w:hyperlink w:anchor="_Toc36116309" w:history="1">
        <w:r w:rsidRPr="00793D71">
          <w:rPr>
            <w:rStyle w:val="Hyperlink"/>
          </w:rPr>
          <w:t>6.6.6</w:t>
        </w:r>
        <w:r>
          <w:rPr>
            <w:rFonts w:asciiTheme="minorHAnsi" w:eastAsiaTheme="minorEastAsia" w:hAnsiTheme="minorHAnsi" w:cstheme="minorBidi"/>
            <w:bCs w:val="0"/>
            <w:sz w:val="22"/>
            <w:szCs w:val="22"/>
            <w:lang w:eastAsia="cs-CZ"/>
          </w:rPr>
          <w:tab/>
        </w:r>
        <w:r w:rsidRPr="00793D71">
          <w:rPr>
            <w:rStyle w:val="Hyperlink"/>
          </w:rPr>
          <w:t>Protierozní opatření</w:t>
        </w:r>
        <w:r>
          <w:rPr>
            <w:webHidden/>
          </w:rPr>
          <w:tab/>
        </w:r>
        <w:r>
          <w:rPr>
            <w:webHidden/>
          </w:rPr>
          <w:fldChar w:fldCharType="begin"/>
        </w:r>
        <w:r>
          <w:rPr>
            <w:webHidden/>
          </w:rPr>
          <w:instrText xml:space="preserve"> PAGEREF _Toc36116309 \h </w:instrText>
        </w:r>
        <w:r>
          <w:rPr>
            <w:webHidden/>
          </w:rPr>
        </w:r>
        <w:r>
          <w:rPr>
            <w:webHidden/>
          </w:rPr>
          <w:fldChar w:fldCharType="separate"/>
        </w:r>
        <w:r>
          <w:rPr>
            <w:webHidden/>
          </w:rPr>
          <w:t>194</w:t>
        </w:r>
        <w:r>
          <w:rPr>
            <w:webHidden/>
          </w:rPr>
          <w:fldChar w:fldCharType="end"/>
        </w:r>
      </w:hyperlink>
    </w:p>
    <w:p w14:paraId="6A575C1E" w14:textId="77777777" w:rsidR="00B567E6" w:rsidRDefault="00B567E6">
      <w:pPr>
        <w:pStyle w:val="TOC3"/>
        <w:rPr>
          <w:rFonts w:asciiTheme="minorHAnsi" w:eastAsiaTheme="minorEastAsia" w:hAnsiTheme="minorHAnsi" w:cstheme="minorBidi"/>
          <w:bCs w:val="0"/>
          <w:sz w:val="22"/>
          <w:szCs w:val="22"/>
          <w:lang w:eastAsia="cs-CZ"/>
        </w:rPr>
      </w:pPr>
      <w:hyperlink w:anchor="_Toc36116310" w:history="1">
        <w:r w:rsidRPr="00793D71">
          <w:rPr>
            <w:rStyle w:val="Hyperlink"/>
          </w:rPr>
          <w:t>6.6.7</w:t>
        </w:r>
        <w:r>
          <w:rPr>
            <w:rFonts w:asciiTheme="minorHAnsi" w:eastAsiaTheme="minorEastAsia" w:hAnsiTheme="minorHAnsi" w:cstheme="minorBidi"/>
            <w:bCs w:val="0"/>
            <w:sz w:val="22"/>
            <w:szCs w:val="22"/>
            <w:lang w:eastAsia="cs-CZ"/>
          </w:rPr>
          <w:tab/>
        </w:r>
        <w:r w:rsidRPr="00793D71">
          <w:rPr>
            <w:rStyle w:val="Hyperlink"/>
          </w:rPr>
          <w:t>Vodní režim a ochrana před povodněmi</w:t>
        </w:r>
        <w:r>
          <w:rPr>
            <w:webHidden/>
          </w:rPr>
          <w:tab/>
        </w:r>
        <w:r>
          <w:rPr>
            <w:webHidden/>
          </w:rPr>
          <w:fldChar w:fldCharType="begin"/>
        </w:r>
        <w:r>
          <w:rPr>
            <w:webHidden/>
          </w:rPr>
          <w:instrText xml:space="preserve"> PAGEREF _Toc36116310 \h </w:instrText>
        </w:r>
        <w:r>
          <w:rPr>
            <w:webHidden/>
          </w:rPr>
        </w:r>
        <w:r>
          <w:rPr>
            <w:webHidden/>
          </w:rPr>
          <w:fldChar w:fldCharType="separate"/>
        </w:r>
        <w:r>
          <w:rPr>
            <w:webHidden/>
          </w:rPr>
          <w:t>194</w:t>
        </w:r>
        <w:r>
          <w:rPr>
            <w:webHidden/>
          </w:rPr>
          <w:fldChar w:fldCharType="end"/>
        </w:r>
      </w:hyperlink>
    </w:p>
    <w:p w14:paraId="3475D9F1" w14:textId="77777777" w:rsidR="00B567E6" w:rsidRDefault="00B567E6">
      <w:pPr>
        <w:pStyle w:val="TOC3"/>
        <w:rPr>
          <w:rFonts w:asciiTheme="minorHAnsi" w:eastAsiaTheme="minorEastAsia" w:hAnsiTheme="minorHAnsi" w:cstheme="minorBidi"/>
          <w:bCs w:val="0"/>
          <w:sz w:val="22"/>
          <w:szCs w:val="22"/>
          <w:lang w:eastAsia="cs-CZ"/>
        </w:rPr>
      </w:pPr>
      <w:hyperlink w:anchor="_Toc36116311" w:history="1">
        <w:r w:rsidRPr="00793D71">
          <w:rPr>
            <w:rStyle w:val="Hyperlink"/>
          </w:rPr>
          <w:t>6.6.8</w:t>
        </w:r>
        <w:r>
          <w:rPr>
            <w:rFonts w:asciiTheme="minorHAnsi" w:eastAsiaTheme="minorEastAsia" w:hAnsiTheme="minorHAnsi" w:cstheme="minorBidi"/>
            <w:bCs w:val="0"/>
            <w:sz w:val="22"/>
            <w:szCs w:val="22"/>
            <w:lang w:eastAsia="cs-CZ"/>
          </w:rPr>
          <w:tab/>
        </w:r>
        <w:r w:rsidRPr="00793D71">
          <w:rPr>
            <w:rStyle w:val="Hyperlink"/>
          </w:rPr>
          <w:t>Rekreační využívání krajiny</w:t>
        </w:r>
        <w:r>
          <w:rPr>
            <w:webHidden/>
          </w:rPr>
          <w:tab/>
        </w:r>
        <w:r>
          <w:rPr>
            <w:webHidden/>
          </w:rPr>
          <w:fldChar w:fldCharType="begin"/>
        </w:r>
        <w:r>
          <w:rPr>
            <w:webHidden/>
          </w:rPr>
          <w:instrText xml:space="preserve"> PAGEREF _Toc36116311 \h </w:instrText>
        </w:r>
        <w:r>
          <w:rPr>
            <w:webHidden/>
          </w:rPr>
        </w:r>
        <w:r>
          <w:rPr>
            <w:webHidden/>
          </w:rPr>
          <w:fldChar w:fldCharType="separate"/>
        </w:r>
        <w:r>
          <w:rPr>
            <w:webHidden/>
          </w:rPr>
          <w:t>195</w:t>
        </w:r>
        <w:r>
          <w:rPr>
            <w:webHidden/>
          </w:rPr>
          <w:fldChar w:fldCharType="end"/>
        </w:r>
      </w:hyperlink>
    </w:p>
    <w:p w14:paraId="2836D3BC" w14:textId="77777777" w:rsidR="00B567E6" w:rsidRDefault="00B567E6">
      <w:pPr>
        <w:pStyle w:val="TOC3"/>
        <w:rPr>
          <w:rFonts w:asciiTheme="minorHAnsi" w:eastAsiaTheme="minorEastAsia" w:hAnsiTheme="minorHAnsi" w:cstheme="minorBidi"/>
          <w:bCs w:val="0"/>
          <w:sz w:val="22"/>
          <w:szCs w:val="22"/>
          <w:lang w:eastAsia="cs-CZ"/>
        </w:rPr>
      </w:pPr>
      <w:hyperlink w:anchor="_Toc36116312" w:history="1">
        <w:r w:rsidRPr="00793D71">
          <w:rPr>
            <w:rStyle w:val="Hyperlink"/>
          </w:rPr>
          <w:t xml:space="preserve">6.6.9 </w:t>
        </w:r>
        <w:r>
          <w:rPr>
            <w:rFonts w:asciiTheme="minorHAnsi" w:eastAsiaTheme="minorEastAsia" w:hAnsiTheme="minorHAnsi" w:cstheme="minorBidi"/>
            <w:bCs w:val="0"/>
            <w:sz w:val="22"/>
            <w:szCs w:val="22"/>
            <w:lang w:eastAsia="cs-CZ"/>
          </w:rPr>
          <w:tab/>
        </w:r>
        <w:r w:rsidRPr="00793D71">
          <w:rPr>
            <w:rStyle w:val="Hyperlink"/>
          </w:rPr>
          <w:t>Dobývání nerostů</w:t>
        </w:r>
        <w:r>
          <w:rPr>
            <w:webHidden/>
          </w:rPr>
          <w:tab/>
        </w:r>
        <w:r>
          <w:rPr>
            <w:webHidden/>
          </w:rPr>
          <w:fldChar w:fldCharType="begin"/>
        </w:r>
        <w:r>
          <w:rPr>
            <w:webHidden/>
          </w:rPr>
          <w:instrText xml:space="preserve"> PAGEREF _Toc36116312 \h </w:instrText>
        </w:r>
        <w:r>
          <w:rPr>
            <w:webHidden/>
          </w:rPr>
        </w:r>
        <w:r>
          <w:rPr>
            <w:webHidden/>
          </w:rPr>
          <w:fldChar w:fldCharType="separate"/>
        </w:r>
        <w:r>
          <w:rPr>
            <w:webHidden/>
          </w:rPr>
          <w:t>196</w:t>
        </w:r>
        <w:r>
          <w:rPr>
            <w:webHidden/>
          </w:rPr>
          <w:fldChar w:fldCharType="end"/>
        </w:r>
      </w:hyperlink>
    </w:p>
    <w:p w14:paraId="5A659D53" w14:textId="77777777" w:rsidR="00B567E6" w:rsidRDefault="00B567E6">
      <w:pPr>
        <w:pStyle w:val="TOC2"/>
        <w:rPr>
          <w:rFonts w:asciiTheme="minorHAnsi" w:eastAsiaTheme="minorEastAsia" w:hAnsiTheme="minorHAnsi" w:cstheme="minorBidi"/>
          <w:noProof/>
          <w:sz w:val="22"/>
          <w:lang w:eastAsia="cs-CZ"/>
        </w:rPr>
      </w:pPr>
      <w:hyperlink w:anchor="_Toc36116313" w:history="1">
        <w:r w:rsidRPr="00793D71">
          <w:rPr>
            <w:rStyle w:val="Hyperlink"/>
            <w:noProof/>
          </w:rPr>
          <w:t>6.7</w:t>
        </w:r>
        <w:r>
          <w:rPr>
            <w:rFonts w:asciiTheme="minorHAnsi" w:eastAsiaTheme="minorEastAsia" w:hAnsiTheme="minorHAnsi" w:cstheme="minorBidi"/>
            <w:noProof/>
            <w:sz w:val="22"/>
            <w:lang w:eastAsia="cs-CZ"/>
          </w:rPr>
          <w:tab/>
        </w:r>
        <w:r w:rsidRPr="00793D71">
          <w:rPr>
            <w:rStyle w:val="Hyperlink"/>
            <w:noProof/>
          </w:rPr>
          <w:t>Stanovení podmínek pro využití ploch s rozdílným způsobem využití s určením převažujícího účelu využití (hlavní využití), pokud je možné jej stanovit, přípustného využití, nepřípustného využití (včetně stanovení, ve kterých plochách je vyloučeno umísťování staveb, zařízení a jiných opatření pro účely uvedené v §18 odst. 5 stavebního zákona), popřípadě stanovení podmínek prostorového uspořádání, včetně základních podmínek ochrany krajinného rázu (například výškové regulace zástavby, stanovení rozmezí výměry pro vymezování stavebních pozemků a intenzity jejich využití)</w:t>
        </w:r>
        <w:r>
          <w:rPr>
            <w:noProof/>
            <w:webHidden/>
          </w:rPr>
          <w:tab/>
        </w:r>
        <w:r>
          <w:rPr>
            <w:noProof/>
            <w:webHidden/>
          </w:rPr>
          <w:fldChar w:fldCharType="begin"/>
        </w:r>
        <w:r>
          <w:rPr>
            <w:noProof/>
            <w:webHidden/>
          </w:rPr>
          <w:instrText xml:space="preserve"> PAGEREF _Toc36116313 \h </w:instrText>
        </w:r>
        <w:r>
          <w:rPr>
            <w:noProof/>
            <w:webHidden/>
          </w:rPr>
        </w:r>
        <w:r>
          <w:rPr>
            <w:noProof/>
            <w:webHidden/>
          </w:rPr>
          <w:fldChar w:fldCharType="separate"/>
        </w:r>
        <w:r>
          <w:rPr>
            <w:noProof/>
            <w:webHidden/>
          </w:rPr>
          <w:t>196</w:t>
        </w:r>
        <w:r>
          <w:rPr>
            <w:noProof/>
            <w:webHidden/>
          </w:rPr>
          <w:fldChar w:fldCharType="end"/>
        </w:r>
      </w:hyperlink>
    </w:p>
    <w:p w14:paraId="075164AE" w14:textId="77777777" w:rsidR="00B567E6" w:rsidRDefault="00B567E6">
      <w:pPr>
        <w:pStyle w:val="TOC3"/>
        <w:rPr>
          <w:rFonts w:asciiTheme="minorHAnsi" w:eastAsiaTheme="minorEastAsia" w:hAnsiTheme="minorHAnsi" w:cstheme="minorBidi"/>
          <w:bCs w:val="0"/>
          <w:sz w:val="22"/>
          <w:szCs w:val="22"/>
          <w:lang w:eastAsia="cs-CZ"/>
        </w:rPr>
      </w:pPr>
      <w:hyperlink w:anchor="_Toc36116314" w:history="1">
        <w:r w:rsidRPr="00793D71">
          <w:rPr>
            <w:rStyle w:val="Hyperlink"/>
          </w:rPr>
          <w:t xml:space="preserve">6.7.1 </w:t>
        </w:r>
        <w:r>
          <w:rPr>
            <w:rFonts w:asciiTheme="minorHAnsi" w:eastAsiaTheme="minorEastAsia" w:hAnsiTheme="minorHAnsi" w:cstheme="minorBidi"/>
            <w:bCs w:val="0"/>
            <w:sz w:val="22"/>
            <w:szCs w:val="22"/>
            <w:lang w:eastAsia="cs-CZ"/>
          </w:rPr>
          <w:tab/>
        </w:r>
        <w:r w:rsidRPr="00793D71">
          <w:rPr>
            <w:rStyle w:val="Hyperlink"/>
          </w:rPr>
          <w:t>Podmínky pro využití ploch s rozdílným způsobem využití</w:t>
        </w:r>
        <w:r>
          <w:rPr>
            <w:webHidden/>
          </w:rPr>
          <w:tab/>
        </w:r>
        <w:r>
          <w:rPr>
            <w:webHidden/>
          </w:rPr>
          <w:fldChar w:fldCharType="begin"/>
        </w:r>
        <w:r>
          <w:rPr>
            <w:webHidden/>
          </w:rPr>
          <w:instrText xml:space="preserve"> PAGEREF _Toc36116314 \h </w:instrText>
        </w:r>
        <w:r>
          <w:rPr>
            <w:webHidden/>
          </w:rPr>
        </w:r>
        <w:r>
          <w:rPr>
            <w:webHidden/>
          </w:rPr>
          <w:fldChar w:fldCharType="separate"/>
        </w:r>
        <w:r>
          <w:rPr>
            <w:webHidden/>
          </w:rPr>
          <w:t>196</w:t>
        </w:r>
        <w:r>
          <w:rPr>
            <w:webHidden/>
          </w:rPr>
          <w:fldChar w:fldCharType="end"/>
        </w:r>
      </w:hyperlink>
    </w:p>
    <w:p w14:paraId="58900D6C" w14:textId="77777777" w:rsidR="00B567E6" w:rsidRDefault="00B567E6">
      <w:pPr>
        <w:pStyle w:val="TOC3"/>
        <w:rPr>
          <w:rFonts w:asciiTheme="minorHAnsi" w:eastAsiaTheme="minorEastAsia" w:hAnsiTheme="minorHAnsi" w:cstheme="minorBidi"/>
          <w:bCs w:val="0"/>
          <w:sz w:val="22"/>
          <w:szCs w:val="22"/>
          <w:lang w:eastAsia="cs-CZ"/>
        </w:rPr>
      </w:pPr>
      <w:hyperlink w:anchor="_Toc36116315" w:history="1">
        <w:r w:rsidRPr="00793D71">
          <w:rPr>
            <w:rStyle w:val="Hyperlink"/>
          </w:rPr>
          <w:t xml:space="preserve">6.7.2 </w:t>
        </w:r>
        <w:r>
          <w:rPr>
            <w:rFonts w:asciiTheme="minorHAnsi" w:eastAsiaTheme="minorEastAsia" w:hAnsiTheme="minorHAnsi" w:cstheme="minorBidi"/>
            <w:bCs w:val="0"/>
            <w:sz w:val="22"/>
            <w:szCs w:val="22"/>
            <w:lang w:eastAsia="cs-CZ"/>
          </w:rPr>
          <w:tab/>
        </w:r>
        <w:r w:rsidRPr="00793D71">
          <w:rPr>
            <w:rStyle w:val="Hyperlink"/>
          </w:rPr>
          <w:t>Podmínky prostorového uspořádání území</w:t>
        </w:r>
        <w:r>
          <w:rPr>
            <w:webHidden/>
          </w:rPr>
          <w:tab/>
        </w:r>
        <w:r>
          <w:rPr>
            <w:webHidden/>
          </w:rPr>
          <w:fldChar w:fldCharType="begin"/>
        </w:r>
        <w:r>
          <w:rPr>
            <w:webHidden/>
          </w:rPr>
          <w:instrText xml:space="preserve"> PAGEREF _Toc36116315 \h </w:instrText>
        </w:r>
        <w:r>
          <w:rPr>
            <w:webHidden/>
          </w:rPr>
        </w:r>
        <w:r>
          <w:rPr>
            <w:webHidden/>
          </w:rPr>
          <w:fldChar w:fldCharType="separate"/>
        </w:r>
        <w:r>
          <w:rPr>
            <w:webHidden/>
          </w:rPr>
          <w:t>198</w:t>
        </w:r>
        <w:r>
          <w:rPr>
            <w:webHidden/>
          </w:rPr>
          <w:fldChar w:fldCharType="end"/>
        </w:r>
      </w:hyperlink>
    </w:p>
    <w:p w14:paraId="295FDA80" w14:textId="77777777" w:rsidR="00B567E6" w:rsidRDefault="00B567E6">
      <w:pPr>
        <w:pStyle w:val="TOC2"/>
        <w:rPr>
          <w:rFonts w:asciiTheme="minorHAnsi" w:eastAsiaTheme="minorEastAsia" w:hAnsiTheme="minorHAnsi" w:cstheme="minorBidi"/>
          <w:noProof/>
          <w:sz w:val="22"/>
          <w:lang w:eastAsia="cs-CZ"/>
        </w:rPr>
      </w:pPr>
      <w:hyperlink w:anchor="_Toc36116316" w:history="1">
        <w:r w:rsidRPr="00793D71">
          <w:rPr>
            <w:rStyle w:val="Hyperlink"/>
            <w:noProof/>
          </w:rPr>
          <w:t>6.8</w:t>
        </w:r>
        <w:r>
          <w:rPr>
            <w:rFonts w:asciiTheme="minorHAnsi" w:eastAsiaTheme="minorEastAsia" w:hAnsiTheme="minorHAnsi" w:cstheme="minorBidi"/>
            <w:noProof/>
            <w:sz w:val="22"/>
            <w:lang w:eastAsia="cs-CZ"/>
          </w:rPr>
          <w:tab/>
        </w:r>
        <w:r w:rsidRPr="00793D71">
          <w:rPr>
            <w:rStyle w:val="Hyperlink"/>
            <w:noProof/>
          </w:rPr>
          <w:t>Vymezení veřejně prospěšných staveb, veřejně prospěšných opatření, staveb a opatření k zajišťování obrany a bezpečnosti státu a ploch pro asanaci, pro které lze práva k pozemkům a stavbám vyvlastnit</w:t>
        </w:r>
        <w:r>
          <w:rPr>
            <w:noProof/>
            <w:webHidden/>
          </w:rPr>
          <w:tab/>
        </w:r>
        <w:r>
          <w:rPr>
            <w:noProof/>
            <w:webHidden/>
          </w:rPr>
          <w:fldChar w:fldCharType="begin"/>
        </w:r>
        <w:r>
          <w:rPr>
            <w:noProof/>
            <w:webHidden/>
          </w:rPr>
          <w:instrText xml:space="preserve"> PAGEREF _Toc36116316 \h </w:instrText>
        </w:r>
        <w:r>
          <w:rPr>
            <w:noProof/>
            <w:webHidden/>
          </w:rPr>
        </w:r>
        <w:r>
          <w:rPr>
            <w:noProof/>
            <w:webHidden/>
          </w:rPr>
          <w:fldChar w:fldCharType="separate"/>
        </w:r>
        <w:r>
          <w:rPr>
            <w:noProof/>
            <w:webHidden/>
          </w:rPr>
          <w:t>202</w:t>
        </w:r>
        <w:r>
          <w:rPr>
            <w:noProof/>
            <w:webHidden/>
          </w:rPr>
          <w:fldChar w:fldCharType="end"/>
        </w:r>
      </w:hyperlink>
    </w:p>
    <w:p w14:paraId="5D4E3A6A" w14:textId="77777777" w:rsidR="00B567E6" w:rsidRDefault="00B567E6">
      <w:pPr>
        <w:pStyle w:val="TOC3"/>
        <w:rPr>
          <w:rFonts w:asciiTheme="minorHAnsi" w:eastAsiaTheme="minorEastAsia" w:hAnsiTheme="minorHAnsi" w:cstheme="minorBidi"/>
          <w:bCs w:val="0"/>
          <w:sz w:val="22"/>
          <w:szCs w:val="22"/>
          <w:lang w:eastAsia="cs-CZ"/>
        </w:rPr>
      </w:pPr>
      <w:hyperlink w:anchor="_Toc36116317" w:history="1">
        <w:r w:rsidRPr="00793D71">
          <w:rPr>
            <w:rStyle w:val="Hyperlink"/>
          </w:rPr>
          <w:t>6.8.1</w:t>
        </w:r>
        <w:r>
          <w:rPr>
            <w:rFonts w:asciiTheme="minorHAnsi" w:eastAsiaTheme="minorEastAsia" w:hAnsiTheme="minorHAnsi" w:cstheme="minorBidi"/>
            <w:bCs w:val="0"/>
            <w:sz w:val="22"/>
            <w:szCs w:val="22"/>
            <w:lang w:eastAsia="cs-CZ"/>
          </w:rPr>
          <w:tab/>
        </w:r>
        <w:r w:rsidRPr="00793D71">
          <w:rPr>
            <w:rStyle w:val="Hyperlink"/>
          </w:rPr>
          <w:t>Veřejně prospěšné stavby</w:t>
        </w:r>
        <w:r>
          <w:rPr>
            <w:webHidden/>
          </w:rPr>
          <w:tab/>
        </w:r>
        <w:r>
          <w:rPr>
            <w:webHidden/>
          </w:rPr>
          <w:fldChar w:fldCharType="begin"/>
        </w:r>
        <w:r>
          <w:rPr>
            <w:webHidden/>
          </w:rPr>
          <w:instrText xml:space="preserve"> PAGEREF _Toc36116317 \h </w:instrText>
        </w:r>
        <w:r>
          <w:rPr>
            <w:webHidden/>
          </w:rPr>
        </w:r>
        <w:r>
          <w:rPr>
            <w:webHidden/>
          </w:rPr>
          <w:fldChar w:fldCharType="separate"/>
        </w:r>
        <w:r>
          <w:rPr>
            <w:webHidden/>
          </w:rPr>
          <w:t>202</w:t>
        </w:r>
        <w:r>
          <w:rPr>
            <w:webHidden/>
          </w:rPr>
          <w:fldChar w:fldCharType="end"/>
        </w:r>
      </w:hyperlink>
    </w:p>
    <w:p w14:paraId="1D23CD27" w14:textId="77777777" w:rsidR="00B567E6" w:rsidRDefault="00B567E6">
      <w:pPr>
        <w:pStyle w:val="TOC3"/>
        <w:rPr>
          <w:rFonts w:asciiTheme="minorHAnsi" w:eastAsiaTheme="minorEastAsia" w:hAnsiTheme="minorHAnsi" w:cstheme="minorBidi"/>
          <w:bCs w:val="0"/>
          <w:sz w:val="22"/>
          <w:szCs w:val="22"/>
          <w:lang w:eastAsia="cs-CZ"/>
        </w:rPr>
      </w:pPr>
      <w:hyperlink w:anchor="_Toc36116318" w:history="1">
        <w:r w:rsidRPr="00793D71">
          <w:rPr>
            <w:rStyle w:val="Hyperlink"/>
          </w:rPr>
          <w:t>6.8.2</w:t>
        </w:r>
        <w:r>
          <w:rPr>
            <w:rFonts w:asciiTheme="minorHAnsi" w:eastAsiaTheme="minorEastAsia" w:hAnsiTheme="minorHAnsi" w:cstheme="minorBidi"/>
            <w:bCs w:val="0"/>
            <w:sz w:val="22"/>
            <w:szCs w:val="22"/>
            <w:lang w:eastAsia="cs-CZ"/>
          </w:rPr>
          <w:tab/>
        </w:r>
        <w:r w:rsidRPr="00793D71">
          <w:rPr>
            <w:rStyle w:val="Hyperlink"/>
          </w:rPr>
          <w:t>Veřejně prospěšná opatření</w:t>
        </w:r>
        <w:r>
          <w:rPr>
            <w:webHidden/>
          </w:rPr>
          <w:tab/>
        </w:r>
        <w:r>
          <w:rPr>
            <w:webHidden/>
          </w:rPr>
          <w:fldChar w:fldCharType="begin"/>
        </w:r>
        <w:r>
          <w:rPr>
            <w:webHidden/>
          </w:rPr>
          <w:instrText xml:space="preserve"> PAGEREF _Toc36116318 \h </w:instrText>
        </w:r>
        <w:r>
          <w:rPr>
            <w:webHidden/>
          </w:rPr>
        </w:r>
        <w:r>
          <w:rPr>
            <w:webHidden/>
          </w:rPr>
          <w:fldChar w:fldCharType="separate"/>
        </w:r>
        <w:r>
          <w:rPr>
            <w:webHidden/>
          </w:rPr>
          <w:t>202</w:t>
        </w:r>
        <w:r>
          <w:rPr>
            <w:webHidden/>
          </w:rPr>
          <w:fldChar w:fldCharType="end"/>
        </w:r>
      </w:hyperlink>
    </w:p>
    <w:p w14:paraId="01820014" w14:textId="77777777" w:rsidR="00B567E6" w:rsidRDefault="00B567E6">
      <w:pPr>
        <w:pStyle w:val="TOC2"/>
        <w:rPr>
          <w:rFonts w:asciiTheme="minorHAnsi" w:eastAsiaTheme="minorEastAsia" w:hAnsiTheme="minorHAnsi" w:cstheme="minorBidi"/>
          <w:noProof/>
          <w:sz w:val="22"/>
          <w:lang w:eastAsia="cs-CZ"/>
        </w:rPr>
      </w:pPr>
      <w:hyperlink w:anchor="_Toc36116319" w:history="1">
        <w:r w:rsidRPr="00793D71">
          <w:rPr>
            <w:rStyle w:val="Hyperlink"/>
            <w:noProof/>
          </w:rPr>
          <w:t xml:space="preserve">6.9 </w:t>
        </w:r>
        <w:r>
          <w:rPr>
            <w:rFonts w:asciiTheme="minorHAnsi" w:eastAsiaTheme="minorEastAsia" w:hAnsiTheme="minorHAnsi" w:cstheme="minorBidi"/>
            <w:noProof/>
            <w:sz w:val="22"/>
            <w:lang w:eastAsia="cs-CZ"/>
          </w:rPr>
          <w:tab/>
        </w:r>
        <w:r w:rsidRPr="00793D71">
          <w:rPr>
            <w:rStyle w:val="Hyperlink"/>
            <w:noProof/>
          </w:rPr>
          <w:t>Vymezení veřejně prospěšných staveb a veřejných prostranství, pro které lze uplatnit předkupní právo, s uvedením v čí prospěch je předkupní právo zřizováno, parcelních čísel pozemků, názvu katastrálního území a případně dalších údajů podle § 8 katastrálního zákona</w:t>
        </w:r>
        <w:r>
          <w:rPr>
            <w:noProof/>
            <w:webHidden/>
          </w:rPr>
          <w:tab/>
        </w:r>
        <w:r>
          <w:rPr>
            <w:noProof/>
            <w:webHidden/>
          </w:rPr>
          <w:fldChar w:fldCharType="begin"/>
        </w:r>
        <w:r>
          <w:rPr>
            <w:noProof/>
            <w:webHidden/>
          </w:rPr>
          <w:instrText xml:space="preserve"> PAGEREF _Toc36116319 \h </w:instrText>
        </w:r>
        <w:r>
          <w:rPr>
            <w:noProof/>
            <w:webHidden/>
          </w:rPr>
        </w:r>
        <w:r>
          <w:rPr>
            <w:noProof/>
            <w:webHidden/>
          </w:rPr>
          <w:fldChar w:fldCharType="separate"/>
        </w:r>
        <w:r>
          <w:rPr>
            <w:noProof/>
            <w:webHidden/>
          </w:rPr>
          <w:t>203</w:t>
        </w:r>
        <w:r>
          <w:rPr>
            <w:noProof/>
            <w:webHidden/>
          </w:rPr>
          <w:fldChar w:fldCharType="end"/>
        </w:r>
      </w:hyperlink>
    </w:p>
    <w:p w14:paraId="7349A780" w14:textId="77777777" w:rsidR="00B567E6" w:rsidRDefault="00B567E6">
      <w:pPr>
        <w:pStyle w:val="TOC3"/>
        <w:rPr>
          <w:rFonts w:asciiTheme="minorHAnsi" w:eastAsiaTheme="minorEastAsia" w:hAnsiTheme="minorHAnsi" w:cstheme="minorBidi"/>
          <w:bCs w:val="0"/>
          <w:sz w:val="22"/>
          <w:szCs w:val="22"/>
          <w:lang w:eastAsia="cs-CZ"/>
        </w:rPr>
      </w:pPr>
      <w:hyperlink w:anchor="_Toc36116320" w:history="1">
        <w:r w:rsidRPr="00793D71">
          <w:rPr>
            <w:rStyle w:val="Hyperlink"/>
          </w:rPr>
          <w:t>6.9.1</w:t>
        </w:r>
        <w:r>
          <w:rPr>
            <w:rFonts w:asciiTheme="minorHAnsi" w:eastAsiaTheme="minorEastAsia" w:hAnsiTheme="minorHAnsi" w:cstheme="minorBidi"/>
            <w:bCs w:val="0"/>
            <w:sz w:val="22"/>
            <w:szCs w:val="22"/>
            <w:lang w:eastAsia="cs-CZ"/>
          </w:rPr>
          <w:tab/>
        </w:r>
        <w:r w:rsidRPr="00793D71">
          <w:rPr>
            <w:rStyle w:val="Hyperlink"/>
          </w:rPr>
          <w:t>Veřejně prospěšné stavby</w:t>
        </w:r>
        <w:r>
          <w:rPr>
            <w:webHidden/>
          </w:rPr>
          <w:tab/>
        </w:r>
        <w:r>
          <w:rPr>
            <w:webHidden/>
          </w:rPr>
          <w:fldChar w:fldCharType="begin"/>
        </w:r>
        <w:r>
          <w:rPr>
            <w:webHidden/>
          </w:rPr>
          <w:instrText xml:space="preserve"> PAGEREF _Toc36116320 \h </w:instrText>
        </w:r>
        <w:r>
          <w:rPr>
            <w:webHidden/>
          </w:rPr>
        </w:r>
        <w:r>
          <w:rPr>
            <w:webHidden/>
          </w:rPr>
          <w:fldChar w:fldCharType="separate"/>
        </w:r>
        <w:r>
          <w:rPr>
            <w:webHidden/>
          </w:rPr>
          <w:t>203</w:t>
        </w:r>
        <w:r>
          <w:rPr>
            <w:webHidden/>
          </w:rPr>
          <w:fldChar w:fldCharType="end"/>
        </w:r>
      </w:hyperlink>
    </w:p>
    <w:p w14:paraId="6BABC818" w14:textId="77777777" w:rsidR="00B567E6" w:rsidRDefault="00B567E6">
      <w:pPr>
        <w:pStyle w:val="TOC3"/>
        <w:rPr>
          <w:rFonts w:asciiTheme="minorHAnsi" w:eastAsiaTheme="minorEastAsia" w:hAnsiTheme="minorHAnsi" w:cstheme="minorBidi"/>
          <w:bCs w:val="0"/>
          <w:sz w:val="22"/>
          <w:szCs w:val="22"/>
          <w:lang w:eastAsia="cs-CZ"/>
        </w:rPr>
      </w:pPr>
      <w:hyperlink w:anchor="_Toc36116321" w:history="1">
        <w:r w:rsidRPr="00793D71">
          <w:rPr>
            <w:rStyle w:val="Hyperlink"/>
          </w:rPr>
          <w:t>6.9.2</w:t>
        </w:r>
        <w:r>
          <w:rPr>
            <w:rFonts w:asciiTheme="minorHAnsi" w:eastAsiaTheme="minorEastAsia" w:hAnsiTheme="minorHAnsi" w:cstheme="minorBidi"/>
            <w:bCs w:val="0"/>
            <w:sz w:val="22"/>
            <w:szCs w:val="22"/>
            <w:lang w:eastAsia="cs-CZ"/>
          </w:rPr>
          <w:tab/>
        </w:r>
        <w:r w:rsidRPr="00793D71">
          <w:rPr>
            <w:rStyle w:val="Hyperlink"/>
          </w:rPr>
          <w:t>Veřejná prostranství</w:t>
        </w:r>
        <w:r>
          <w:rPr>
            <w:webHidden/>
          </w:rPr>
          <w:tab/>
        </w:r>
        <w:r>
          <w:rPr>
            <w:webHidden/>
          </w:rPr>
          <w:fldChar w:fldCharType="begin"/>
        </w:r>
        <w:r>
          <w:rPr>
            <w:webHidden/>
          </w:rPr>
          <w:instrText xml:space="preserve"> PAGEREF _Toc36116321 \h </w:instrText>
        </w:r>
        <w:r>
          <w:rPr>
            <w:webHidden/>
          </w:rPr>
        </w:r>
        <w:r>
          <w:rPr>
            <w:webHidden/>
          </w:rPr>
          <w:fldChar w:fldCharType="separate"/>
        </w:r>
        <w:r>
          <w:rPr>
            <w:webHidden/>
          </w:rPr>
          <w:t>204</w:t>
        </w:r>
        <w:r>
          <w:rPr>
            <w:webHidden/>
          </w:rPr>
          <w:fldChar w:fldCharType="end"/>
        </w:r>
      </w:hyperlink>
    </w:p>
    <w:p w14:paraId="382829FE" w14:textId="77777777" w:rsidR="00B567E6" w:rsidRDefault="00B567E6">
      <w:pPr>
        <w:pStyle w:val="TOC2"/>
        <w:rPr>
          <w:rFonts w:asciiTheme="minorHAnsi" w:eastAsiaTheme="minorEastAsia" w:hAnsiTheme="minorHAnsi" w:cstheme="minorBidi"/>
          <w:noProof/>
          <w:sz w:val="22"/>
          <w:lang w:eastAsia="cs-CZ"/>
        </w:rPr>
      </w:pPr>
      <w:hyperlink w:anchor="_Toc36116322" w:history="1">
        <w:r w:rsidRPr="00793D71">
          <w:rPr>
            <w:rStyle w:val="Hyperlink"/>
            <w:noProof/>
          </w:rPr>
          <w:t xml:space="preserve">6.10 </w:t>
        </w:r>
        <w:r>
          <w:rPr>
            <w:rFonts w:asciiTheme="minorHAnsi" w:eastAsiaTheme="minorEastAsia" w:hAnsiTheme="minorHAnsi" w:cstheme="minorBidi"/>
            <w:noProof/>
            <w:sz w:val="22"/>
            <w:lang w:eastAsia="cs-CZ"/>
          </w:rPr>
          <w:tab/>
        </w:r>
        <w:r w:rsidRPr="00793D71">
          <w:rPr>
            <w:rStyle w:val="Hyperlink"/>
            <w:noProof/>
          </w:rPr>
          <w:t>Stanovení kompenzačních opatření podle § 50 odst. 6 stavebního zákona</w:t>
        </w:r>
        <w:r>
          <w:rPr>
            <w:noProof/>
            <w:webHidden/>
          </w:rPr>
          <w:tab/>
        </w:r>
        <w:r>
          <w:rPr>
            <w:noProof/>
            <w:webHidden/>
          </w:rPr>
          <w:fldChar w:fldCharType="begin"/>
        </w:r>
        <w:r>
          <w:rPr>
            <w:noProof/>
            <w:webHidden/>
          </w:rPr>
          <w:instrText xml:space="preserve"> PAGEREF _Toc36116322 \h </w:instrText>
        </w:r>
        <w:r>
          <w:rPr>
            <w:noProof/>
            <w:webHidden/>
          </w:rPr>
        </w:r>
        <w:r>
          <w:rPr>
            <w:noProof/>
            <w:webHidden/>
          </w:rPr>
          <w:fldChar w:fldCharType="separate"/>
        </w:r>
        <w:r>
          <w:rPr>
            <w:noProof/>
            <w:webHidden/>
          </w:rPr>
          <w:t>205</w:t>
        </w:r>
        <w:r>
          <w:rPr>
            <w:noProof/>
            <w:webHidden/>
          </w:rPr>
          <w:fldChar w:fldCharType="end"/>
        </w:r>
      </w:hyperlink>
    </w:p>
    <w:p w14:paraId="77DFD70D" w14:textId="77777777" w:rsidR="00B567E6" w:rsidRDefault="00B567E6">
      <w:pPr>
        <w:pStyle w:val="TOC2"/>
        <w:rPr>
          <w:rFonts w:asciiTheme="minorHAnsi" w:eastAsiaTheme="minorEastAsia" w:hAnsiTheme="minorHAnsi" w:cstheme="minorBidi"/>
          <w:noProof/>
          <w:sz w:val="22"/>
          <w:lang w:eastAsia="cs-CZ"/>
        </w:rPr>
      </w:pPr>
      <w:hyperlink w:anchor="_Toc36116323" w:history="1">
        <w:r w:rsidRPr="00793D71">
          <w:rPr>
            <w:rStyle w:val="Hyperlink"/>
            <w:noProof/>
          </w:rPr>
          <w:t xml:space="preserve">6.11 </w:t>
        </w:r>
        <w:r>
          <w:rPr>
            <w:rFonts w:asciiTheme="minorHAnsi" w:eastAsiaTheme="minorEastAsia" w:hAnsiTheme="minorHAnsi" w:cstheme="minorBidi"/>
            <w:noProof/>
            <w:sz w:val="22"/>
            <w:lang w:eastAsia="cs-CZ"/>
          </w:rPr>
          <w:tab/>
        </w:r>
        <w:r w:rsidRPr="00793D71">
          <w:rPr>
            <w:rStyle w:val="Hyperlink"/>
            <w:noProof/>
          </w:rPr>
          <w:t>Vymezení ploch a koridorů územních rezerv a stanovení možného budoucího využití, včetně podmínek pro jeho prověření</w:t>
        </w:r>
        <w:r>
          <w:rPr>
            <w:noProof/>
            <w:webHidden/>
          </w:rPr>
          <w:tab/>
        </w:r>
        <w:r>
          <w:rPr>
            <w:noProof/>
            <w:webHidden/>
          </w:rPr>
          <w:fldChar w:fldCharType="begin"/>
        </w:r>
        <w:r>
          <w:rPr>
            <w:noProof/>
            <w:webHidden/>
          </w:rPr>
          <w:instrText xml:space="preserve"> PAGEREF _Toc36116323 \h </w:instrText>
        </w:r>
        <w:r>
          <w:rPr>
            <w:noProof/>
            <w:webHidden/>
          </w:rPr>
        </w:r>
        <w:r>
          <w:rPr>
            <w:noProof/>
            <w:webHidden/>
          </w:rPr>
          <w:fldChar w:fldCharType="separate"/>
        </w:r>
        <w:r>
          <w:rPr>
            <w:noProof/>
            <w:webHidden/>
          </w:rPr>
          <w:t>205</w:t>
        </w:r>
        <w:r>
          <w:rPr>
            <w:noProof/>
            <w:webHidden/>
          </w:rPr>
          <w:fldChar w:fldCharType="end"/>
        </w:r>
      </w:hyperlink>
    </w:p>
    <w:p w14:paraId="614A0F7F" w14:textId="77777777" w:rsidR="00B567E6" w:rsidRDefault="00B567E6">
      <w:pPr>
        <w:pStyle w:val="TOC2"/>
        <w:rPr>
          <w:rFonts w:asciiTheme="minorHAnsi" w:eastAsiaTheme="minorEastAsia" w:hAnsiTheme="minorHAnsi" w:cstheme="minorBidi"/>
          <w:noProof/>
          <w:sz w:val="22"/>
          <w:lang w:eastAsia="cs-CZ"/>
        </w:rPr>
      </w:pPr>
      <w:hyperlink w:anchor="_Toc36116324" w:history="1">
        <w:r w:rsidRPr="00793D71">
          <w:rPr>
            <w:rStyle w:val="Hyperlink"/>
            <w:noProof/>
          </w:rPr>
          <w:t xml:space="preserve">6.12 </w:t>
        </w:r>
        <w:r>
          <w:rPr>
            <w:rFonts w:asciiTheme="minorHAnsi" w:eastAsiaTheme="minorEastAsia" w:hAnsiTheme="minorHAnsi" w:cstheme="minorBidi"/>
            <w:noProof/>
            <w:sz w:val="22"/>
            <w:lang w:eastAsia="cs-CZ"/>
          </w:rPr>
          <w:tab/>
        </w:r>
        <w:r w:rsidRPr="00793D71">
          <w:rPr>
            <w:rStyle w:val="Hyperlink"/>
            <w:noProof/>
          </w:rPr>
          <w:t>Vymezení ploch, ve kterých je rozhodování o změnách v území podmíněno dohodou o parcelaci</w:t>
        </w:r>
        <w:r>
          <w:rPr>
            <w:noProof/>
            <w:webHidden/>
          </w:rPr>
          <w:tab/>
        </w:r>
        <w:r>
          <w:rPr>
            <w:noProof/>
            <w:webHidden/>
          </w:rPr>
          <w:fldChar w:fldCharType="begin"/>
        </w:r>
        <w:r>
          <w:rPr>
            <w:noProof/>
            <w:webHidden/>
          </w:rPr>
          <w:instrText xml:space="preserve"> PAGEREF _Toc36116324 \h </w:instrText>
        </w:r>
        <w:r>
          <w:rPr>
            <w:noProof/>
            <w:webHidden/>
          </w:rPr>
        </w:r>
        <w:r>
          <w:rPr>
            <w:noProof/>
            <w:webHidden/>
          </w:rPr>
          <w:fldChar w:fldCharType="separate"/>
        </w:r>
        <w:r>
          <w:rPr>
            <w:noProof/>
            <w:webHidden/>
          </w:rPr>
          <w:t>208</w:t>
        </w:r>
        <w:r>
          <w:rPr>
            <w:noProof/>
            <w:webHidden/>
          </w:rPr>
          <w:fldChar w:fldCharType="end"/>
        </w:r>
      </w:hyperlink>
    </w:p>
    <w:p w14:paraId="71416C0D" w14:textId="77777777" w:rsidR="00B567E6" w:rsidRDefault="00B567E6">
      <w:pPr>
        <w:pStyle w:val="TOC2"/>
        <w:rPr>
          <w:rFonts w:asciiTheme="minorHAnsi" w:eastAsiaTheme="minorEastAsia" w:hAnsiTheme="minorHAnsi" w:cstheme="minorBidi"/>
          <w:noProof/>
          <w:sz w:val="22"/>
          <w:lang w:eastAsia="cs-CZ"/>
        </w:rPr>
      </w:pPr>
      <w:hyperlink w:anchor="_Toc36116325" w:history="1">
        <w:r w:rsidRPr="00793D71">
          <w:rPr>
            <w:rStyle w:val="Hyperlink"/>
            <w:noProof/>
          </w:rPr>
          <w:t xml:space="preserve">6.13 </w:t>
        </w:r>
        <w:r>
          <w:rPr>
            <w:rFonts w:asciiTheme="minorHAnsi" w:eastAsiaTheme="minorEastAsia" w:hAnsiTheme="minorHAnsi" w:cstheme="minorBidi"/>
            <w:noProof/>
            <w:sz w:val="22"/>
            <w:lang w:eastAsia="cs-CZ"/>
          </w:rPr>
          <w:tab/>
        </w:r>
        <w:r w:rsidRPr="00793D71">
          <w:rPr>
            <w:rStyle w:val="Hyperlink"/>
            <w:noProof/>
          </w:rPr>
          <w:t>Vymezení ploch a koridorů, ve kterých je rozhodování o změnách v území podmíněno zpracováním územní studie, stanovení podmínek pro její pořízení a přiměřené lhůty pro vložení dat o této studii do evidence územně plánovací činnosti</w:t>
        </w:r>
        <w:r>
          <w:rPr>
            <w:noProof/>
            <w:webHidden/>
          </w:rPr>
          <w:tab/>
        </w:r>
        <w:r>
          <w:rPr>
            <w:noProof/>
            <w:webHidden/>
          </w:rPr>
          <w:fldChar w:fldCharType="begin"/>
        </w:r>
        <w:r>
          <w:rPr>
            <w:noProof/>
            <w:webHidden/>
          </w:rPr>
          <w:instrText xml:space="preserve"> PAGEREF _Toc36116325 \h </w:instrText>
        </w:r>
        <w:r>
          <w:rPr>
            <w:noProof/>
            <w:webHidden/>
          </w:rPr>
        </w:r>
        <w:r>
          <w:rPr>
            <w:noProof/>
            <w:webHidden/>
          </w:rPr>
          <w:fldChar w:fldCharType="separate"/>
        </w:r>
        <w:r>
          <w:rPr>
            <w:noProof/>
            <w:webHidden/>
          </w:rPr>
          <w:t>208</w:t>
        </w:r>
        <w:r>
          <w:rPr>
            <w:noProof/>
            <w:webHidden/>
          </w:rPr>
          <w:fldChar w:fldCharType="end"/>
        </w:r>
      </w:hyperlink>
    </w:p>
    <w:p w14:paraId="75DB24A8" w14:textId="77777777" w:rsidR="00B567E6" w:rsidRDefault="00B567E6">
      <w:pPr>
        <w:pStyle w:val="TOC2"/>
        <w:rPr>
          <w:rFonts w:asciiTheme="minorHAnsi" w:eastAsiaTheme="minorEastAsia" w:hAnsiTheme="minorHAnsi" w:cstheme="minorBidi"/>
          <w:noProof/>
          <w:sz w:val="22"/>
          <w:lang w:eastAsia="cs-CZ"/>
        </w:rPr>
      </w:pPr>
      <w:hyperlink w:anchor="_Toc36116326" w:history="1">
        <w:r w:rsidRPr="00793D71">
          <w:rPr>
            <w:rStyle w:val="Hyperlink"/>
            <w:noProof/>
          </w:rPr>
          <w:t xml:space="preserve">6.14 </w:t>
        </w:r>
        <w:r>
          <w:rPr>
            <w:rFonts w:asciiTheme="minorHAnsi" w:eastAsiaTheme="minorEastAsia" w:hAnsiTheme="minorHAnsi" w:cstheme="minorBidi"/>
            <w:noProof/>
            <w:sz w:val="22"/>
            <w:lang w:eastAsia="cs-CZ"/>
          </w:rPr>
          <w:tab/>
        </w:r>
        <w:r w:rsidRPr="00793D71">
          <w:rPr>
            <w:rStyle w:val="Hyperlink"/>
            <w:noProof/>
          </w:rPr>
          <w:t>Vymezení ploch a koridorů, ve kterých je rozhodování o změnách v území podmíněno vydáním regulačního plánu, zadání regulačního plánu v rozsahu podle přílohy č. 9, stanovení, zda se bude jednat o regulační plán z podnětu nebo na žádost, a u regulačního plánu z podnětu stanovení přiměřené lhůty pro jeho vydání</w:t>
        </w:r>
        <w:r>
          <w:rPr>
            <w:noProof/>
            <w:webHidden/>
          </w:rPr>
          <w:tab/>
        </w:r>
        <w:r>
          <w:rPr>
            <w:noProof/>
            <w:webHidden/>
          </w:rPr>
          <w:fldChar w:fldCharType="begin"/>
        </w:r>
        <w:r>
          <w:rPr>
            <w:noProof/>
            <w:webHidden/>
          </w:rPr>
          <w:instrText xml:space="preserve"> PAGEREF _Toc36116326 \h </w:instrText>
        </w:r>
        <w:r>
          <w:rPr>
            <w:noProof/>
            <w:webHidden/>
          </w:rPr>
        </w:r>
        <w:r>
          <w:rPr>
            <w:noProof/>
            <w:webHidden/>
          </w:rPr>
          <w:fldChar w:fldCharType="separate"/>
        </w:r>
        <w:r>
          <w:rPr>
            <w:noProof/>
            <w:webHidden/>
          </w:rPr>
          <w:t>210</w:t>
        </w:r>
        <w:r>
          <w:rPr>
            <w:noProof/>
            <w:webHidden/>
          </w:rPr>
          <w:fldChar w:fldCharType="end"/>
        </w:r>
      </w:hyperlink>
    </w:p>
    <w:p w14:paraId="731A3D7C" w14:textId="77777777" w:rsidR="00B567E6" w:rsidRDefault="00B567E6">
      <w:pPr>
        <w:pStyle w:val="TOC2"/>
        <w:rPr>
          <w:rFonts w:asciiTheme="minorHAnsi" w:eastAsiaTheme="minorEastAsia" w:hAnsiTheme="minorHAnsi" w:cstheme="minorBidi"/>
          <w:noProof/>
          <w:sz w:val="22"/>
          <w:lang w:eastAsia="cs-CZ"/>
        </w:rPr>
      </w:pPr>
      <w:hyperlink w:anchor="_Toc36116327" w:history="1">
        <w:r w:rsidRPr="00793D71">
          <w:rPr>
            <w:rStyle w:val="Hyperlink"/>
            <w:noProof/>
          </w:rPr>
          <w:t>6.15</w:t>
        </w:r>
        <w:r>
          <w:rPr>
            <w:rFonts w:asciiTheme="minorHAnsi" w:eastAsiaTheme="minorEastAsia" w:hAnsiTheme="minorHAnsi" w:cstheme="minorBidi"/>
            <w:noProof/>
            <w:sz w:val="22"/>
            <w:lang w:eastAsia="cs-CZ"/>
          </w:rPr>
          <w:tab/>
        </w:r>
        <w:r w:rsidRPr="00793D71">
          <w:rPr>
            <w:rStyle w:val="Hyperlink"/>
            <w:noProof/>
          </w:rPr>
          <w:t>Stanovení pořadí změn v území (etapizace)</w:t>
        </w:r>
        <w:r>
          <w:rPr>
            <w:noProof/>
            <w:webHidden/>
          </w:rPr>
          <w:tab/>
        </w:r>
        <w:r>
          <w:rPr>
            <w:noProof/>
            <w:webHidden/>
          </w:rPr>
          <w:fldChar w:fldCharType="begin"/>
        </w:r>
        <w:r>
          <w:rPr>
            <w:noProof/>
            <w:webHidden/>
          </w:rPr>
          <w:instrText xml:space="preserve"> PAGEREF _Toc36116327 \h </w:instrText>
        </w:r>
        <w:r>
          <w:rPr>
            <w:noProof/>
            <w:webHidden/>
          </w:rPr>
        </w:r>
        <w:r>
          <w:rPr>
            <w:noProof/>
            <w:webHidden/>
          </w:rPr>
          <w:fldChar w:fldCharType="separate"/>
        </w:r>
        <w:r>
          <w:rPr>
            <w:noProof/>
            <w:webHidden/>
          </w:rPr>
          <w:t>210</w:t>
        </w:r>
        <w:r>
          <w:rPr>
            <w:noProof/>
            <w:webHidden/>
          </w:rPr>
          <w:fldChar w:fldCharType="end"/>
        </w:r>
      </w:hyperlink>
    </w:p>
    <w:p w14:paraId="50B5B302" w14:textId="77777777" w:rsidR="00B567E6" w:rsidRDefault="00B567E6">
      <w:pPr>
        <w:pStyle w:val="TOC1"/>
        <w:rPr>
          <w:rFonts w:asciiTheme="minorHAnsi" w:eastAsiaTheme="minorEastAsia" w:hAnsiTheme="minorHAnsi" w:cstheme="minorBidi"/>
          <w:sz w:val="22"/>
          <w:szCs w:val="22"/>
          <w:lang w:eastAsia="cs-CZ"/>
        </w:rPr>
      </w:pPr>
      <w:hyperlink w:anchor="_Toc36116328" w:history="1">
        <w:r w:rsidRPr="00793D71">
          <w:rPr>
            <w:rStyle w:val="Hyperlink"/>
          </w:rPr>
          <w:t xml:space="preserve">7. </w:t>
        </w:r>
        <w:r>
          <w:rPr>
            <w:rFonts w:asciiTheme="minorHAnsi" w:eastAsiaTheme="minorEastAsia" w:hAnsiTheme="minorHAnsi" w:cstheme="minorBidi"/>
            <w:sz w:val="22"/>
            <w:szCs w:val="22"/>
            <w:lang w:eastAsia="cs-CZ"/>
          </w:rPr>
          <w:tab/>
        </w:r>
        <w:r w:rsidRPr="00793D71">
          <w:rPr>
            <w:rStyle w:val="Hyperlink"/>
          </w:rPr>
          <w:t>VYHODNOCENÍ ÚČELNÉHO VYUŽITÍ ZASTAVĚNÉHO ÚZEMÍ A VYHODNOCENÍ POTŘEBY VYMEZENÍ ZASTAVITELNÝCH PLOCH</w:t>
        </w:r>
        <w:r>
          <w:rPr>
            <w:webHidden/>
          </w:rPr>
          <w:tab/>
        </w:r>
        <w:r>
          <w:rPr>
            <w:webHidden/>
          </w:rPr>
          <w:fldChar w:fldCharType="begin"/>
        </w:r>
        <w:r>
          <w:rPr>
            <w:webHidden/>
          </w:rPr>
          <w:instrText xml:space="preserve"> PAGEREF _Toc36116328 \h </w:instrText>
        </w:r>
        <w:r>
          <w:rPr>
            <w:webHidden/>
          </w:rPr>
        </w:r>
        <w:r>
          <w:rPr>
            <w:webHidden/>
          </w:rPr>
          <w:fldChar w:fldCharType="separate"/>
        </w:r>
        <w:r>
          <w:rPr>
            <w:webHidden/>
          </w:rPr>
          <w:t>211</w:t>
        </w:r>
        <w:r>
          <w:rPr>
            <w:webHidden/>
          </w:rPr>
          <w:fldChar w:fldCharType="end"/>
        </w:r>
      </w:hyperlink>
    </w:p>
    <w:p w14:paraId="65A14265" w14:textId="77777777" w:rsidR="00B567E6" w:rsidRDefault="00B567E6">
      <w:pPr>
        <w:pStyle w:val="TOC2"/>
        <w:rPr>
          <w:rFonts w:asciiTheme="minorHAnsi" w:eastAsiaTheme="minorEastAsia" w:hAnsiTheme="minorHAnsi" w:cstheme="minorBidi"/>
          <w:noProof/>
          <w:sz w:val="22"/>
          <w:lang w:eastAsia="cs-CZ"/>
        </w:rPr>
      </w:pPr>
      <w:hyperlink w:anchor="_Toc36116329" w:history="1">
        <w:r w:rsidRPr="00793D71">
          <w:rPr>
            <w:rStyle w:val="Hyperlink"/>
            <w:noProof/>
          </w:rPr>
          <w:t xml:space="preserve">7.1 </w:t>
        </w:r>
        <w:r>
          <w:rPr>
            <w:rFonts w:asciiTheme="minorHAnsi" w:eastAsiaTheme="minorEastAsia" w:hAnsiTheme="minorHAnsi" w:cstheme="minorBidi"/>
            <w:noProof/>
            <w:sz w:val="22"/>
            <w:lang w:eastAsia="cs-CZ"/>
          </w:rPr>
          <w:tab/>
        </w:r>
        <w:r w:rsidRPr="00793D71">
          <w:rPr>
            <w:rStyle w:val="Hyperlink"/>
            <w:noProof/>
          </w:rPr>
          <w:t>Vyhodnocení účelného využití zastavěného území</w:t>
        </w:r>
        <w:r>
          <w:rPr>
            <w:noProof/>
            <w:webHidden/>
          </w:rPr>
          <w:tab/>
        </w:r>
        <w:r>
          <w:rPr>
            <w:noProof/>
            <w:webHidden/>
          </w:rPr>
          <w:fldChar w:fldCharType="begin"/>
        </w:r>
        <w:r>
          <w:rPr>
            <w:noProof/>
            <w:webHidden/>
          </w:rPr>
          <w:instrText xml:space="preserve"> PAGEREF _Toc36116329 \h </w:instrText>
        </w:r>
        <w:r>
          <w:rPr>
            <w:noProof/>
            <w:webHidden/>
          </w:rPr>
        </w:r>
        <w:r>
          <w:rPr>
            <w:noProof/>
            <w:webHidden/>
          </w:rPr>
          <w:fldChar w:fldCharType="separate"/>
        </w:r>
        <w:r>
          <w:rPr>
            <w:noProof/>
            <w:webHidden/>
          </w:rPr>
          <w:t>211</w:t>
        </w:r>
        <w:r>
          <w:rPr>
            <w:noProof/>
            <w:webHidden/>
          </w:rPr>
          <w:fldChar w:fldCharType="end"/>
        </w:r>
      </w:hyperlink>
    </w:p>
    <w:p w14:paraId="767D0164" w14:textId="77777777" w:rsidR="00B567E6" w:rsidRDefault="00B567E6">
      <w:pPr>
        <w:pStyle w:val="TOC2"/>
        <w:rPr>
          <w:rFonts w:asciiTheme="minorHAnsi" w:eastAsiaTheme="minorEastAsia" w:hAnsiTheme="minorHAnsi" w:cstheme="minorBidi"/>
          <w:noProof/>
          <w:sz w:val="22"/>
          <w:lang w:eastAsia="cs-CZ"/>
        </w:rPr>
      </w:pPr>
      <w:hyperlink w:anchor="_Toc36116330" w:history="1">
        <w:r w:rsidRPr="00793D71">
          <w:rPr>
            <w:rStyle w:val="Hyperlink"/>
            <w:noProof/>
          </w:rPr>
          <w:t xml:space="preserve">7.2 </w:t>
        </w:r>
        <w:r>
          <w:rPr>
            <w:rFonts w:asciiTheme="minorHAnsi" w:eastAsiaTheme="minorEastAsia" w:hAnsiTheme="minorHAnsi" w:cstheme="minorBidi"/>
            <w:noProof/>
            <w:sz w:val="22"/>
            <w:lang w:eastAsia="cs-CZ"/>
          </w:rPr>
          <w:tab/>
        </w:r>
        <w:r w:rsidRPr="00793D71">
          <w:rPr>
            <w:rStyle w:val="Hyperlink"/>
            <w:noProof/>
          </w:rPr>
          <w:t>Vyhodnocení potřeby vymezení zastavitelných ploch</w:t>
        </w:r>
        <w:r>
          <w:rPr>
            <w:noProof/>
            <w:webHidden/>
          </w:rPr>
          <w:tab/>
        </w:r>
        <w:r>
          <w:rPr>
            <w:noProof/>
            <w:webHidden/>
          </w:rPr>
          <w:fldChar w:fldCharType="begin"/>
        </w:r>
        <w:r>
          <w:rPr>
            <w:noProof/>
            <w:webHidden/>
          </w:rPr>
          <w:instrText xml:space="preserve"> PAGEREF _Toc36116330 \h </w:instrText>
        </w:r>
        <w:r>
          <w:rPr>
            <w:noProof/>
            <w:webHidden/>
          </w:rPr>
        </w:r>
        <w:r>
          <w:rPr>
            <w:noProof/>
            <w:webHidden/>
          </w:rPr>
          <w:fldChar w:fldCharType="separate"/>
        </w:r>
        <w:r>
          <w:rPr>
            <w:noProof/>
            <w:webHidden/>
          </w:rPr>
          <w:t>219</w:t>
        </w:r>
        <w:r>
          <w:rPr>
            <w:noProof/>
            <w:webHidden/>
          </w:rPr>
          <w:fldChar w:fldCharType="end"/>
        </w:r>
      </w:hyperlink>
    </w:p>
    <w:p w14:paraId="34AB5E54" w14:textId="77777777" w:rsidR="00B567E6" w:rsidRDefault="00B567E6">
      <w:pPr>
        <w:pStyle w:val="TOC1"/>
        <w:rPr>
          <w:rFonts w:asciiTheme="minorHAnsi" w:eastAsiaTheme="minorEastAsia" w:hAnsiTheme="minorHAnsi" w:cstheme="minorBidi"/>
          <w:sz w:val="22"/>
          <w:szCs w:val="22"/>
          <w:lang w:eastAsia="cs-CZ"/>
        </w:rPr>
      </w:pPr>
      <w:hyperlink w:anchor="_Toc36116331" w:history="1">
        <w:r w:rsidRPr="00793D71">
          <w:rPr>
            <w:rStyle w:val="Hyperlink"/>
          </w:rPr>
          <w:t>8.</w:t>
        </w:r>
        <w:r>
          <w:rPr>
            <w:rFonts w:asciiTheme="minorHAnsi" w:eastAsiaTheme="minorEastAsia" w:hAnsiTheme="minorHAnsi" w:cstheme="minorBidi"/>
            <w:sz w:val="22"/>
            <w:szCs w:val="22"/>
            <w:lang w:eastAsia="cs-CZ"/>
          </w:rPr>
          <w:tab/>
        </w:r>
        <w:r w:rsidRPr="00793D71">
          <w:rPr>
            <w:rStyle w:val="Hyperlink"/>
          </w:rPr>
          <w:t>VYHODNOCENÍ PŘEDPOKLÁDANÝCH DŮSLEDKŮ NAVRHOVANÉHO ŘEŠENÍ NA ZEMĚDĚLSKÝ PŮDNÍ FOND A POZEMKY URČENÉ K PLNĚNÍ FUNKCE LESA</w:t>
        </w:r>
        <w:r>
          <w:rPr>
            <w:webHidden/>
          </w:rPr>
          <w:tab/>
        </w:r>
        <w:r>
          <w:rPr>
            <w:webHidden/>
          </w:rPr>
          <w:fldChar w:fldCharType="begin"/>
        </w:r>
        <w:r>
          <w:rPr>
            <w:webHidden/>
          </w:rPr>
          <w:instrText xml:space="preserve"> PAGEREF _Toc36116331 \h </w:instrText>
        </w:r>
        <w:r>
          <w:rPr>
            <w:webHidden/>
          </w:rPr>
        </w:r>
        <w:r>
          <w:rPr>
            <w:webHidden/>
          </w:rPr>
          <w:fldChar w:fldCharType="separate"/>
        </w:r>
        <w:r>
          <w:rPr>
            <w:webHidden/>
          </w:rPr>
          <w:t>224</w:t>
        </w:r>
        <w:r>
          <w:rPr>
            <w:webHidden/>
          </w:rPr>
          <w:fldChar w:fldCharType="end"/>
        </w:r>
      </w:hyperlink>
    </w:p>
    <w:p w14:paraId="2D4E7FE1" w14:textId="77777777" w:rsidR="00B567E6" w:rsidRDefault="00B567E6">
      <w:pPr>
        <w:pStyle w:val="TOC2"/>
        <w:rPr>
          <w:rFonts w:asciiTheme="minorHAnsi" w:eastAsiaTheme="minorEastAsia" w:hAnsiTheme="minorHAnsi" w:cstheme="minorBidi"/>
          <w:noProof/>
          <w:sz w:val="22"/>
          <w:lang w:eastAsia="cs-CZ"/>
        </w:rPr>
      </w:pPr>
      <w:hyperlink w:anchor="_Toc36116332" w:history="1">
        <w:r w:rsidRPr="00793D71">
          <w:rPr>
            <w:rStyle w:val="Hyperlink"/>
            <w:noProof/>
          </w:rPr>
          <w:t>8.1</w:t>
        </w:r>
        <w:r>
          <w:rPr>
            <w:rFonts w:asciiTheme="minorHAnsi" w:eastAsiaTheme="minorEastAsia" w:hAnsiTheme="minorHAnsi" w:cstheme="minorBidi"/>
            <w:noProof/>
            <w:sz w:val="22"/>
            <w:lang w:eastAsia="cs-CZ"/>
          </w:rPr>
          <w:tab/>
        </w:r>
        <w:r w:rsidRPr="00793D71">
          <w:rPr>
            <w:rStyle w:val="Hyperlink"/>
            <w:noProof/>
          </w:rPr>
          <w:t>Vyhodnocení důsledků na zemědělský půdní fond</w:t>
        </w:r>
        <w:r>
          <w:rPr>
            <w:noProof/>
            <w:webHidden/>
          </w:rPr>
          <w:tab/>
        </w:r>
        <w:r>
          <w:rPr>
            <w:noProof/>
            <w:webHidden/>
          </w:rPr>
          <w:fldChar w:fldCharType="begin"/>
        </w:r>
        <w:r>
          <w:rPr>
            <w:noProof/>
            <w:webHidden/>
          </w:rPr>
          <w:instrText xml:space="preserve"> PAGEREF _Toc36116332 \h </w:instrText>
        </w:r>
        <w:r>
          <w:rPr>
            <w:noProof/>
            <w:webHidden/>
          </w:rPr>
        </w:r>
        <w:r>
          <w:rPr>
            <w:noProof/>
            <w:webHidden/>
          </w:rPr>
          <w:fldChar w:fldCharType="separate"/>
        </w:r>
        <w:r>
          <w:rPr>
            <w:noProof/>
            <w:webHidden/>
          </w:rPr>
          <w:t>224</w:t>
        </w:r>
        <w:r>
          <w:rPr>
            <w:noProof/>
            <w:webHidden/>
          </w:rPr>
          <w:fldChar w:fldCharType="end"/>
        </w:r>
      </w:hyperlink>
    </w:p>
    <w:p w14:paraId="378C9987" w14:textId="77777777" w:rsidR="00B567E6" w:rsidRDefault="00B567E6">
      <w:pPr>
        <w:pStyle w:val="TOC3"/>
        <w:rPr>
          <w:rFonts w:asciiTheme="minorHAnsi" w:eastAsiaTheme="minorEastAsia" w:hAnsiTheme="minorHAnsi" w:cstheme="minorBidi"/>
          <w:bCs w:val="0"/>
          <w:sz w:val="22"/>
          <w:szCs w:val="22"/>
          <w:lang w:eastAsia="cs-CZ"/>
        </w:rPr>
      </w:pPr>
      <w:hyperlink w:anchor="_Toc36116333" w:history="1">
        <w:r w:rsidRPr="00793D71">
          <w:rPr>
            <w:rStyle w:val="Hyperlink"/>
          </w:rPr>
          <w:t>8.1.1</w:t>
        </w:r>
        <w:r>
          <w:rPr>
            <w:rFonts w:asciiTheme="minorHAnsi" w:eastAsiaTheme="minorEastAsia" w:hAnsiTheme="minorHAnsi" w:cstheme="minorBidi"/>
            <w:bCs w:val="0"/>
            <w:sz w:val="22"/>
            <w:szCs w:val="22"/>
            <w:lang w:eastAsia="cs-CZ"/>
          </w:rPr>
          <w:tab/>
        </w:r>
        <w:r w:rsidRPr="00793D71">
          <w:rPr>
            <w:rStyle w:val="Hyperlink"/>
          </w:rPr>
          <w:t>Bonitované půdně ekologické jednotky a třídy ochrany ZPF</w:t>
        </w:r>
        <w:r>
          <w:rPr>
            <w:webHidden/>
          </w:rPr>
          <w:tab/>
        </w:r>
        <w:r>
          <w:rPr>
            <w:webHidden/>
          </w:rPr>
          <w:fldChar w:fldCharType="begin"/>
        </w:r>
        <w:r>
          <w:rPr>
            <w:webHidden/>
          </w:rPr>
          <w:instrText xml:space="preserve"> PAGEREF _Toc36116333 \h </w:instrText>
        </w:r>
        <w:r>
          <w:rPr>
            <w:webHidden/>
          </w:rPr>
        </w:r>
        <w:r>
          <w:rPr>
            <w:webHidden/>
          </w:rPr>
          <w:fldChar w:fldCharType="separate"/>
        </w:r>
        <w:r>
          <w:rPr>
            <w:webHidden/>
          </w:rPr>
          <w:t>224</w:t>
        </w:r>
        <w:r>
          <w:rPr>
            <w:webHidden/>
          </w:rPr>
          <w:fldChar w:fldCharType="end"/>
        </w:r>
      </w:hyperlink>
    </w:p>
    <w:p w14:paraId="27EAB220" w14:textId="77777777" w:rsidR="00B567E6" w:rsidRDefault="00B567E6">
      <w:pPr>
        <w:pStyle w:val="TOC3"/>
        <w:rPr>
          <w:rFonts w:asciiTheme="minorHAnsi" w:eastAsiaTheme="minorEastAsia" w:hAnsiTheme="minorHAnsi" w:cstheme="minorBidi"/>
          <w:bCs w:val="0"/>
          <w:sz w:val="22"/>
          <w:szCs w:val="22"/>
          <w:lang w:eastAsia="cs-CZ"/>
        </w:rPr>
      </w:pPr>
      <w:hyperlink w:anchor="_Toc36116334" w:history="1">
        <w:r w:rsidRPr="00793D71">
          <w:rPr>
            <w:rStyle w:val="Hyperlink"/>
          </w:rPr>
          <w:t>8.1.2</w:t>
        </w:r>
        <w:r>
          <w:rPr>
            <w:rFonts w:asciiTheme="minorHAnsi" w:eastAsiaTheme="minorEastAsia" w:hAnsiTheme="minorHAnsi" w:cstheme="minorBidi"/>
            <w:bCs w:val="0"/>
            <w:sz w:val="22"/>
            <w:szCs w:val="22"/>
            <w:lang w:eastAsia="cs-CZ"/>
          </w:rPr>
          <w:tab/>
        </w:r>
        <w:r w:rsidRPr="00793D71">
          <w:rPr>
            <w:rStyle w:val="Hyperlink"/>
          </w:rPr>
          <w:t>Vyhodnocení předpokládaných důsledků vymezení ploch změn na zemědělský půdní fond dle katastrálních území</w:t>
        </w:r>
        <w:r>
          <w:rPr>
            <w:webHidden/>
          </w:rPr>
          <w:tab/>
        </w:r>
        <w:r>
          <w:rPr>
            <w:webHidden/>
          </w:rPr>
          <w:fldChar w:fldCharType="begin"/>
        </w:r>
        <w:r>
          <w:rPr>
            <w:webHidden/>
          </w:rPr>
          <w:instrText xml:space="preserve"> PAGEREF _Toc36116334 \h </w:instrText>
        </w:r>
        <w:r>
          <w:rPr>
            <w:webHidden/>
          </w:rPr>
        </w:r>
        <w:r>
          <w:rPr>
            <w:webHidden/>
          </w:rPr>
          <w:fldChar w:fldCharType="separate"/>
        </w:r>
        <w:r>
          <w:rPr>
            <w:webHidden/>
          </w:rPr>
          <w:t>225</w:t>
        </w:r>
        <w:r>
          <w:rPr>
            <w:webHidden/>
          </w:rPr>
          <w:fldChar w:fldCharType="end"/>
        </w:r>
      </w:hyperlink>
    </w:p>
    <w:p w14:paraId="71C0468B" w14:textId="77777777" w:rsidR="00B567E6" w:rsidRDefault="00B567E6">
      <w:pPr>
        <w:pStyle w:val="TOC3"/>
        <w:rPr>
          <w:rFonts w:asciiTheme="minorHAnsi" w:eastAsiaTheme="minorEastAsia" w:hAnsiTheme="minorHAnsi" w:cstheme="minorBidi"/>
          <w:bCs w:val="0"/>
          <w:sz w:val="22"/>
          <w:szCs w:val="22"/>
          <w:lang w:eastAsia="cs-CZ"/>
        </w:rPr>
      </w:pPr>
      <w:hyperlink w:anchor="_Toc36116335" w:history="1">
        <w:r w:rsidRPr="00793D71">
          <w:rPr>
            <w:rStyle w:val="Hyperlink"/>
          </w:rPr>
          <w:t>8.1.3</w:t>
        </w:r>
        <w:r>
          <w:rPr>
            <w:rFonts w:asciiTheme="minorHAnsi" w:eastAsiaTheme="minorEastAsia" w:hAnsiTheme="minorHAnsi" w:cstheme="minorBidi"/>
            <w:bCs w:val="0"/>
            <w:sz w:val="22"/>
            <w:szCs w:val="22"/>
            <w:lang w:eastAsia="cs-CZ"/>
          </w:rPr>
          <w:tab/>
        </w:r>
        <w:r w:rsidRPr="00793D71">
          <w:rPr>
            <w:rStyle w:val="Hyperlink"/>
          </w:rPr>
          <w:t>Vyhodnocení předpokládaných důsledků ploch změn na zemědělský půdní fond dle způsobu využití</w:t>
        </w:r>
        <w:r>
          <w:rPr>
            <w:webHidden/>
          </w:rPr>
          <w:tab/>
        </w:r>
        <w:r>
          <w:rPr>
            <w:webHidden/>
          </w:rPr>
          <w:fldChar w:fldCharType="begin"/>
        </w:r>
        <w:r>
          <w:rPr>
            <w:webHidden/>
          </w:rPr>
          <w:instrText xml:space="preserve"> PAGEREF _Toc36116335 \h </w:instrText>
        </w:r>
        <w:r>
          <w:rPr>
            <w:webHidden/>
          </w:rPr>
        </w:r>
        <w:r>
          <w:rPr>
            <w:webHidden/>
          </w:rPr>
          <w:fldChar w:fldCharType="separate"/>
        </w:r>
        <w:r>
          <w:rPr>
            <w:webHidden/>
          </w:rPr>
          <w:t>234</w:t>
        </w:r>
        <w:r>
          <w:rPr>
            <w:webHidden/>
          </w:rPr>
          <w:fldChar w:fldCharType="end"/>
        </w:r>
      </w:hyperlink>
    </w:p>
    <w:p w14:paraId="785F494A" w14:textId="77777777" w:rsidR="00B567E6" w:rsidRDefault="00B567E6">
      <w:pPr>
        <w:pStyle w:val="TOC3"/>
        <w:rPr>
          <w:rFonts w:asciiTheme="minorHAnsi" w:eastAsiaTheme="minorEastAsia" w:hAnsiTheme="minorHAnsi" w:cstheme="minorBidi"/>
          <w:bCs w:val="0"/>
          <w:sz w:val="22"/>
          <w:szCs w:val="22"/>
          <w:lang w:eastAsia="cs-CZ"/>
        </w:rPr>
      </w:pPr>
      <w:hyperlink w:anchor="_Toc36116336" w:history="1">
        <w:r w:rsidRPr="00793D71">
          <w:rPr>
            <w:rStyle w:val="Hyperlink"/>
          </w:rPr>
          <w:t>8.1.4</w:t>
        </w:r>
        <w:r>
          <w:rPr>
            <w:rFonts w:asciiTheme="minorHAnsi" w:eastAsiaTheme="minorEastAsia" w:hAnsiTheme="minorHAnsi" w:cstheme="minorBidi"/>
            <w:bCs w:val="0"/>
            <w:sz w:val="22"/>
            <w:szCs w:val="22"/>
            <w:lang w:eastAsia="cs-CZ"/>
          </w:rPr>
          <w:tab/>
        </w:r>
        <w:r w:rsidRPr="00793D71">
          <w:rPr>
            <w:rStyle w:val="Hyperlink"/>
          </w:rPr>
          <w:t>Vyhodnocení předpokládaných důsledků vymezení koridorů změn na zemědělský půdní fond</w:t>
        </w:r>
        <w:r>
          <w:rPr>
            <w:webHidden/>
          </w:rPr>
          <w:tab/>
        </w:r>
        <w:r>
          <w:rPr>
            <w:webHidden/>
          </w:rPr>
          <w:fldChar w:fldCharType="begin"/>
        </w:r>
        <w:r>
          <w:rPr>
            <w:webHidden/>
          </w:rPr>
          <w:instrText xml:space="preserve"> PAGEREF _Toc36116336 \h </w:instrText>
        </w:r>
        <w:r>
          <w:rPr>
            <w:webHidden/>
          </w:rPr>
        </w:r>
        <w:r>
          <w:rPr>
            <w:webHidden/>
          </w:rPr>
          <w:fldChar w:fldCharType="separate"/>
        </w:r>
        <w:r>
          <w:rPr>
            <w:webHidden/>
          </w:rPr>
          <w:t>235</w:t>
        </w:r>
        <w:r>
          <w:rPr>
            <w:webHidden/>
          </w:rPr>
          <w:fldChar w:fldCharType="end"/>
        </w:r>
      </w:hyperlink>
    </w:p>
    <w:p w14:paraId="7A8B9364" w14:textId="7BB884A4" w:rsidR="00B567E6" w:rsidRDefault="00B567E6">
      <w:pPr>
        <w:pStyle w:val="TOC3"/>
        <w:rPr>
          <w:rFonts w:asciiTheme="minorHAnsi" w:eastAsiaTheme="minorEastAsia" w:hAnsiTheme="minorHAnsi" w:cstheme="minorBidi"/>
          <w:bCs w:val="0"/>
          <w:sz w:val="22"/>
          <w:szCs w:val="22"/>
          <w:lang w:eastAsia="cs-CZ"/>
        </w:rPr>
      </w:pPr>
      <w:hyperlink w:anchor="_Toc36116337" w:history="1">
        <w:r w:rsidRPr="00793D71">
          <w:rPr>
            <w:rStyle w:val="Hyperlink"/>
          </w:rPr>
          <w:t xml:space="preserve">8.1.5 </w:t>
        </w:r>
        <w:r>
          <w:rPr>
            <w:rStyle w:val="Hyperlink"/>
          </w:rPr>
          <w:t xml:space="preserve">     </w:t>
        </w:r>
        <w:r w:rsidRPr="00793D71">
          <w:rPr>
            <w:rStyle w:val="Hyperlink"/>
          </w:rPr>
          <w:t>Odůvodnění záboru ZPF</w:t>
        </w:r>
        <w:r>
          <w:rPr>
            <w:webHidden/>
          </w:rPr>
          <w:tab/>
        </w:r>
        <w:r>
          <w:rPr>
            <w:webHidden/>
          </w:rPr>
          <w:fldChar w:fldCharType="begin"/>
        </w:r>
        <w:r>
          <w:rPr>
            <w:webHidden/>
          </w:rPr>
          <w:instrText xml:space="preserve"> PAGEREF _Toc36116337 \h </w:instrText>
        </w:r>
        <w:r>
          <w:rPr>
            <w:webHidden/>
          </w:rPr>
        </w:r>
        <w:r>
          <w:rPr>
            <w:webHidden/>
          </w:rPr>
          <w:fldChar w:fldCharType="separate"/>
        </w:r>
        <w:r>
          <w:rPr>
            <w:webHidden/>
          </w:rPr>
          <w:t>236</w:t>
        </w:r>
        <w:r>
          <w:rPr>
            <w:webHidden/>
          </w:rPr>
          <w:fldChar w:fldCharType="end"/>
        </w:r>
      </w:hyperlink>
    </w:p>
    <w:p w14:paraId="57A258BD" w14:textId="77777777" w:rsidR="00B567E6" w:rsidRDefault="00B567E6">
      <w:pPr>
        <w:pStyle w:val="TOC2"/>
        <w:rPr>
          <w:rFonts w:asciiTheme="minorHAnsi" w:eastAsiaTheme="minorEastAsia" w:hAnsiTheme="minorHAnsi" w:cstheme="minorBidi"/>
          <w:noProof/>
          <w:sz w:val="22"/>
          <w:lang w:eastAsia="cs-CZ"/>
        </w:rPr>
      </w:pPr>
      <w:hyperlink w:anchor="_Toc36116338" w:history="1">
        <w:r w:rsidRPr="00793D71">
          <w:rPr>
            <w:rStyle w:val="Hyperlink"/>
            <w:noProof/>
          </w:rPr>
          <w:t>8.2</w:t>
        </w:r>
        <w:r>
          <w:rPr>
            <w:rFonts w:asciiTheme="minorHAnsi" w:eastAsiaTheme="minorEastAsia" w:hAnsiTheme="minorHAnsi" w:cstheme="minorBidi"/>
            <w:noProof/>
            <w:sz w:val="22"/>
            <w:lang w:eastAsia="cs-CZ"/>
          </w:rPr>
          <w:tab/>
        </w:r>
        <w:r w:rsidRPr="00793D71">
          <w:rPr>
            <w:rStyle w:val="Hyperlink"/>
            <w:noProof/>
          </w:rPr>
          <w:t>Vyhodnocení důsledků na pozemky určené k plnění funkcí lesa</w:t>
        </w:r>
        <w:r>
          <w:rPr>
            <w:noProof/>
            <w:webHidden/>
          </w:rPr>
          <w:tab/>
        </w:r>
        <w:r>
          <w:rPr>
            <w:noProof/>
            <w:webHidden/>
          </w:rPr>
          <w:fldChar w:fldCharType="begin"/>
        </w:r>
        <w:r>
          <w:rPr>
            <w:noProof/>
            <w:webHidden/>
          </w:rPr>
          <w:instrText xml:space="preserve"> PAGEREF _Toc36116338 \h </w:instrText>
        </w:r>
        <w:r>
          <w:rPr>
            <w:noProof/>
            <w:webHidden/>
          </w:rPr>
        </w:r>
        <w:r>
          <w:rPr>
            <w:noProof/>
            <w:webHidden/>
          </w:rPr>
          <w:fldChar w:fldCharType="separate"/>
        </w:r>
        <w:r>
          <w:rPr>
            <w:noProof/>
            <w:webHidden/>
          </w:rPr>
          <w:t>280</w:t>
        </w:r>
        <w:r>
          <w:rPr>
            <w:noProof/>
            <w:webHidden/>
          </w:rPr>
          <w:fldChar w:fldCharType="end"/>
        </w:r>
      </w:hyperlink>
    </w:p>
    <w:p w14:paraId="0A333CC8" w14:textId="77777777" w:rsidR="00B567E6" w:rsidRDefault="00B567E6">
      <w:pPr>
        <w:pStyle w:val="TOC3"/>
        <w:rPr>
          <w:rFonts w:asciiTheme="minorHAnsi" w:eastAsiaTheme="minorEastAsia" w:hAnsiTheme="minorHAnsi" w:cstheme="minorBidi"/>
          <w:bCs w:val="0"/>
          <w:sz w:val="22"/>
          <w:szCs w:val="22"/>
          <w:lang w:eastAsia="cs-CZ"/>
        </w:rPr>
      </w:pPr>
      <w:hyperlink w:anchor="_Toc36116339" w:history="1">
        <w:r w:rsidRPr="00793D71">
          <w:rPr>
            <w:rStyle w:val="Hyperlink"/>
          </w:rPr>
          <w:t>8.2.1</w:t>
        </w:r>
        <w:r>
          <w:rPr>
            <w:rFonts w:asciiTheme="minorHAnsi" w:eastAsiaTheme="minorEastAsia" w:hAnsiTheme="minorHAnsi" w:cstheme="minorBidi"/>
            <w:bCs w:val="0"/>
            <w:sz w:val="22"/>
            <w:szCs w:val="22"/>
            <w:lang w:eastAsia="cs-CZ"/>
          </w:rPr>
          <w:tab/>
        </w:r>
        <w:r w:rsidRPr="00793D71">
          <w:rPr>
            <w:rStyle w:val="Hyperlink"/>
          </w:rPr>
          <w:t>Odůvodnění záboru PUPFL</w:t>
        </w:r>
        <w:r>
          <w:rPr>
            <w:webHidden/>
          </w:rPr>
          <w:tab/>
        </w:r>
        <w:r>
          <w:rPr>
            <w:webHidden/>
          </w:rPr>
          <w:fldChar w:fldCharType="begin"/>
        </w:r>
        <w:r>
          <w:rPr>
            <w:webHidden/>
          </w:rPr>
          <w:instrText xml:space="preserve"> PAGEREF _Toc36116339 \h </w:instrText>
        </w:r>
        <w:r>
          <w:rPr>
            <w:webHidden/>
          </w:rPr>
        </w:r>
        <w:r>
          <w:rPr>
            <w:webHidden/>
          </w:rPr>
          <w:fldChar w:fldCharType="separate"/>
        </w:r>
        <w:r>
          <w:rPr>
            <w:webHidden/>
          </w:rPr>
          <w:t>280</w:t>
        </w:r>
        <w:r>
          <w:rPr>
            <w:webHidden/>
          </w:rPr>
          <w:fldChar w:fldCharType="end"/>
        </w:r>
      </w:hyperlink>
    </w:p>
    <w:p w14:paraId="6AAF6A45" w14:textId="77777777" w:rsidR="00B567E6" w:rsidRDefault="00B567E6">
      <w:pPr>
        <w:pStyle w:val="TOC3"/>
        <w:rPr>
          <w:rFonts w:asciiTheme="minorHAnsi" w:eastAsiaTheme="minorEastAsia" w:hAnsiTheme="minorHAnsi" w:cstheme="minorBidi"/>
          <w:bCs w:val="0"/>
          <w:sz w:val="22"/>
          <w:szCs w:val="22"/>
          <w:lang w:eastAsia="cs-CZ"/>
        </w:rPr>
      </w:pPr>
      <w:hyperlink w:anchor="_Toc36116340" w:history="1">
        <w:r w:rsidRPr="00793D71">
          <w:rPr>
            <w:rStyle w:val="Hyperlink"/>
          </w:rPr>
          <w:t>8.2.2</w:t>
        </w:r>
        <w:r>
          <w:rPr>
            <w:rFonts w:asciiTheme="minorHAnsi" w:eastAsiaTheme="minorEastAsia" w:hAnsiTheme="minorHAnsi" w:cstheme="minorBidi"/>
            <w:bCs w:val="0"/>
            <w:sz w:val="22"/>
            <w:szCs w:val="22"/>
            <w:lang w:eastAsia="cs-CZ"/>
          </w:rPr>
          <w:tab/>
        </w:r>
        <w:r w:rsidRPr="00793D71">
          <w:rPr>
            <w:rStyle w:val="Hyperlink"/>
          </w:rPr>
          <w:t>Plochy změn zasahující do vzdálenosti 50 m od hranice lesa</w:t>
        </w:r>
        <w:r>
          <w:rPr>
            <w:webHidden/>
          </w:rPr>
          <w:tab/>
        </w:r>
        <w:r>
          <w:rPr>
            <w:webHidden/>
          </w:rPr>
          <w:fldChar w:fldCharType="begin"/>
        </w:r>
        <w:r>
          <w:rPr>
            <w:webHidden/>
          </w:rPr>
          <w:instrText xml:space="preserve"> PAGEREF _Toc36116340 \h </w:instrText>
        </w:r>
        <w:r>
          <w:rPr>
            <w:webHidden/>
          </w:rPr>
        </w:r>
        <w:r>
          <w:rPr>
            <w:webHidden/>
          </w:rPr>
          <w:fldChar w:fldCharType="separate"/>
        </w:r>
        <w:r>
          <w:rPr>
            <w:webHidden/>
          </w:rPr>
          <w:t>280</w:t>
        </w:r>
        <w:r>
          <w:rPr>
            <w:webHidden/>
          </w:rPr>
          <w:fldChar w:fldCharType="end"/>
        </w:r>
      </w:hyperlink>
    </w:p>
    <w:p w14:paraId="668CB9F2" w14:textId="77777777" w:rsidR="00B567E6" w:rsidRDefault="00B567E6">
      <w:pPr>
        <w:pStyle w:val="TOC1"/>
        <w:rPr>
          <w:rFonts w:asciiTheme="minorHAnsi" w:eastAsiaTheme="minorEastAsia" w:hAnsiTheme="minorHAnsi" w:cstheme="minorBidi"/>
          <w:sz w:val="22"/>
          <w:szCs w:val="22"/>
          <w:lang w:eastAsia="cs-CZ"/>
        </w:rPr>
      </w:pPr>
      <w:hyperlink w:anchor="_Toc36116341" w:history="1">
        <w:r w:rsidRPr="00793D71">
          <w:rPr>
            <w:rStyle w:val="Hyperlink"/>
          </w:rPr>
          <w:t>9. SEZNAM ZKRATEK</w:t>
        </w:r>
        <w:r>
          <w:rPr>
            <w:webHidden/>
          </w:rPr>
          <w:tab/>
        </w:r>
        <w:r>
          <w:rPr>
            <w:webHidden/>
          </w:rPr>
          <w:fldChar w:fldCharType="begin"/>
        </w:r>
        <w:r>
          <w:rPr>
            <w:webHidden/>
          </w:rPr>
          <w:instrText xml:space="preserve"> PAGEREF _Toc36116341 \h </w:instrText>
        </w:r>
        <w:r>
          <w:rPr>
            <w:webHidden/>
          </w:rPr>
        </w:r>
        <w:r>
          <w:rPr>
            <w:webHidden/>
          </w:rPr>
          <w:fldChar w:fldCharType="separate"/>
        </w:r>
        <w:r>
          <w:rPr>
            <w:webHidden/>
          </w:rPr>
          <w:t>285</w:t>
        </w:r>
        <w:r>
          <w:rPr>
            <w:webHidden/>
          </w:rPr>
          <w:fldChar w:fldCharType="end"/>
        </w:r>
      </w:hyperlink>
    </w:p>
    <w:p w14:paraId="3FC673CC" w14:textId="77777777" w:rsidR="00B567E6" w:rsidRDefault="00B567E6">
      <w:pPr>
        <w:pStyle w:val="TOC1"/>
        <w:rPr>
          <w:rFonts w:asciiTheme="minorHAnsi" w:eastAsiaTheme="minorEastAsia" w:hAnsiTheme="minorHAnsi" w:cstheme="minorBidi"/>
          <w:sz w:val="22"/>
          <w:szCs w:val="22"/>
          <w:lang w:eastAsia="cs-CZ"/>
        </w:rPr>
      </w:pPr>
      <w:hyperlink w:anchor="_Toc36116342" w:history="1">
        <w:r w:rsidRPr="00793D71">
          <w:rPr>
            <w:rStyle w:val="Hyperlink"/>
          </w:rPr>
          <w:t>PŘÍLOHA – ČÁST ZPRACOVANÁ POŘIZOVATELEM</w:t>
        </w:r>
        <w:r>
          <w:rPr>
            <w:webHidden/>
          </w:rPr>
          <w:tab/>
        </w:r>
        <w:r>
          <w:rPr>
            <w:webHidden/>
          </w:rPr>
          <w:fldChar w:fldCharType="begin"/>
        </w:r>
        <w:r>
          <w:rPr>
            <w:webHidden/>
          </w:rPr>
          <w:instrText xml:space="preserve"> PAGEREF _Toc36116342 \h </w:instrText>
        </w:r>
        <w:r>
          <w:rPr>
            <w:webHidden/>
          </w:rPr>
        </w:r>
        <w:r>
          <w:rPr>
            <w:webHidden/>
          </w:rPr>
          <w:fldChar w:fldCharType="separate"/>
        </w:r>
        <w:r>
          <w:rPr>
            <w:webHidden/>
          </w:rPr>
          <w:t>287</w:t>
        </w:r>
        <w:r>
          <w:rPr>
            <w:webHidden/>
          </w:rPr>
          <w:fldChar w:fldCharType="end"/>
        </w:r>
      </w:hyperlink>
    </w:p>
    <w:p w14:paraId="3B552EC1" w14:textId="77777777" w:rsidR="00B567E6" w:rsidRDefault="00B567E6">
      <w:pPr>
        <w:pStyle w:val="TOC2"/>
        <w:rPr>
          <w:rFonts w:asciiTheme="minorHAnsi" w:eastAsiaTheme="minorEastAsia" w:hAnsiTheme="minorHAnsi" w:cstheme="minorBidi"/>
          <w:noProof/>
          <w:sz w:val="22"/>
          <w:lang w:eastAsia="cs-CZ"/>
        </w:rPr>
      </w:pPr>
      <w:hyperlink w:anchor="_Toc36116343" w:history="1">
        <w:r w:rsidRPr="00793D71">
          <w:rPr>
            <w:rStyle w:val="Hyperlink"/>
            <w:noProof/>
          </w:rPr>
          <w:t>A.</w:t>
        </w:r>
        <w:r>
          <w:rPr>
            <w:rFonts w:asciiTheme="minorHAnsi" w:eastAsiaTheme="minorEastAsia" w:hAnsiTheme="minorHAnsi" w:cstheme="minorBidi"/>
            <w:noProof/>
            <w:sz w:val="22"/>
            <w:lang w:eastAsia="cs-CZ"/>
          </w:rPr>
          <w:tab/>
        </w:r>
        <w:r w:rsidRPr="00793D71">
          <w:rPr>
            <w:rStyle w:val="Hyperlink"/>
            <w:noProof/>
          </w:rPr>
          <w:t>Výsledek přezkoumání návrhu územního plánu podle § 53 odst. 4 zákona č. 183/2006 Sb.</w:t>
        </w:r>
        <w:r>
          <w:rPr>
            <w:noProof/>
            <w:webHidden/>
          </w:rPr>
          <w:tab/>
        </w:r>
        <w:r>
          <w:rPr>
            <w:noProof/>
            <w:webHidden/>
          </w:rPr>
          <w:fldChar w:fldCharType="begin"/>
        </w:r>
        <w:r>
          <w:rPr>
            <w:noProof/>
            <w:webHidden/>
          </w:rPr>
          <w:instrText xml:space="preserve"> PAGEREF _Toc36116343 \h </w:instrText>
        </w:r>
        <w:r>
          <w:rPr>
            <w:noProof/>
            <w:webHidden/>
          </w:rPr>
        </w:r>
        <w:r>
          <w:rPr>
            <w:noProof/>
            <w:webHidden/>
          </w:rPr>
          <w:fldChar w:fldCharType="separate"/>
        </w:r>
        <w:r>
          <w:rPr>
            <w:noProof/>
            <w:webHidden/>
          </w:rPr>
          <w:t>287</w:t>
        </w:r>
        <w:r>
          <w:rPr>
            <w:noProof/>
            <w:webHidden/>
          </w:rPr>
          <w:fldChar w:fldCharType="end"/>
        </w:r>
      </w:hyperlink>
    </w:p>
    <w:p w14:paraId="4DEF6D31" w14:textId="77777777" w:rsidR="00B567E6" w:rsidRDefault="00B567E6">
      <w:pPr>
        <w:pStyle w:val="TOC2"/>
        <w:rPr>
          <w:rFonts w:asciiTheme="minorHAnsi" w:eastAsiaTheme="minorEastAsia" w:hAnsiTheme="minorHAnsi" w:cstheme="minorBidi"/>
          <w:noProof/>
          <w:sz w:val="22"/>
          <w:lang w:eastAsia="cs-CZ"/>
        </w:rPr>
      </w:pPr>
      <w:hyperlink w:anchor="_Toc36116344" w:history="1">
        <w:r w:rsidRPr="00793D71">
          <w:rPr>
            <w:rStyle w:val="Hyperlink"/>
            <w:noProof/>
          </w:rPr>
          <w:t>B.</w:t>
        </w:r>
        <w:r>
          <w:rPr>
            <w:rFonts w:asciiTheme="minorHAnsi" w:eastAsiaTheme="minorEastAsia" w:hAnsiTheme="minorHAnsi" w:cstheme="minorBidi"/>
            <w:noProof/>
            <w:sz w:val="22"/>
            <w:lang w:eastAsia="cs-CZ"/>
          </w:rPr>
          <w:tab/>
        </w:r>
        <w:r w:rsidRPr="00793D71">
          <w:rPr>
            <w:rStyle w:val="Hyperlink"/>
            <w:noProof/>
          </w:rPr>
          <w:t>Náležitosti podle § 53 odst. 5 zákona č. 183/2006 Sb.</w:t>
        </w:r>
        <w:r>
          <w:rPr>
            <w:noProof/>
            <w:webHidden/>
          </w:rPr>
          <w:tab/>
        </w:r>
        <w:r>
          <w:rPr>
            <w:noProof/>
            <w:webHidden/>
          </w:rPr>
          <w:fldChar w:fldCharType="begin"/>
        </w:r>
        <w:r>
          <w:rPr>
            <w:noProof/>
            <w:webHidden/>
          </w:rPr>
          <w:instrText xml:space="preserve"> PAGEREF _Toc36116344 \h </w:instrText>
        </w:r>
        <w:r>
          <w:rPr>
            <w:noProof/>
            <w:webHidden/>
          </w:rPr>
        </w:r>
        <w:r>
          <w:rPr>
            <w:noProof/>
            <w:webHidden/>
          </w:rPr>
          <w:fldChar w:fldCharType="separate"/>
        </w:r>
        <w:r>
          <w:rPr>
            <w:noProof/>
            <w:webHidden/>
          </w:rPr>
          <w:t>340</w:t>
        </w:r>
        <w:r>
          <w:rPr>
            <w:noProof/>
            <w:webHidden/>
          </w:rPr>
          <w:fldChar w:fldCharType="end"/>
        </w:r>
      </w:hyperlink>
    </w:p>
    <w:p w14:paraId="753CCAC9" w14:textId="77777777" w:rsidR="00B567E6" w:rsidRDefault="00B567E6">
      <w:pPr>
        <w:pStyle w:val="TOC2"/>
        <w:rPr>
          <w:rFonts w:asciiTheme="minorHAnsi" w:eastAsiaTheme="minorEastAsia" w:hAnsiTheme="minorHAnsi" w:cstheme="minorBidi"/>
          <w:noProof/>
          <w:sz w:val="22"/>
          <w:lang w:eastAsia="cs-CZ"/>
        </w:rPr>
      </w:pPr>
      <w:hyperlink w:anchor="_Toc36116345" w:history="1">
        <w:r w:rsidRPr="00793D71">
          <w:rPr>
            <w:rStyle w:val="Hyperlink"/>
            <w:noProof/>
          </w:rPr>
          <w:t>C.</w:t>
        </w:r>
        <w:r>
          <w:rPr>
            <w:rFonts w:asciiTheme="minorHAnsi" w:eastAsiaTheme="minorEastAsia" w:hAnsiTheme="minorHAnsi" w:cstheme="minorBidi"/>
            <w:noProof/>
            <w:sz w:val="22"/>
            <w:lang w:eastAsia="cs-CZ"/>
          </w:rPr>
          <w:tab/>
        </w:r>
        <w:r w:rsidRPr="00793D71">
          <w:rPr>
            <w:rStyle w:val="Hyperlink"/>
            <w:noProof/>
          </w:rPr>
          <w:t>Soulad územního plánu s požadavky podle přílohy č. 7 části II odst. 1 vyhlášky č. 500/2006 Sb.</w:t>
        </w:r>
        <w:r>
          <w:rPr>
            <w:noProof/>
            <w:webHidden/>
          </w:rPr>
          <w:tab/>
        </w:r>
        <w:r>
          <w:rPr>
            <w:noProof/>
            <w:webHidden/>
          </w:rPr>
          <w:fldChar w:fldCharType="begin"/>
        </w:r>
        <w:r>
          <w:rPr>
            <w:noProof/>
            <w:webHidden/>
          </w:rPr>
          <w:instrText xml:space="preserve"> PAGEREF _Toc36116345 \h </w:instrText>
        </w:r>
        <w:r>
          <w:rPr>
            <w:noProof/>
            <w:webHidden/>
          </w:rPr>
        </w:r>
        <w:r>
          <w:rPr>
            <w:noProof/>
            <w:webHidden/>
          </w:rPr>
          <w:fldChar w:fldCharType="separate"/>
        </w:r>
        <w:r>
          <w:rPr>
            <w:noProof/>
            <w:webHidden/>
          </w:rPr>
          <w:t>341</w:t>
        </w:r>
        <w:r>
          <w:rPr>
            <w:noProof/>
            <w:webHidden/>
          </w:rPr>
          <w:fldChar w:fldCharType="end"/>
        </w:r>
      </w:hyperlink>
    </w:p>
    <w:p w14:paraId="383C86FE" w14:textId="77777777" w:rsidR="00B567E6" w:rsidRDefault="00B567E6">
      <w:pPr>
        <w:pStyle w:val="TOC2"/>
        <w:rPr>
          <w:rFonts w:asciiTheme="minorHAnsi" w:eastAsiaTheme="minorEastAsia" w:hAnsiTheme="minorHAnsi" w:cstheme="minorBidi"/>
          <w:noProof/>
          <w:sz w:val="22"/>
          <w:lang w:eastAsia="cs-CZ"/>
        </w:rPr>
      </w:pPr>
      <w:hyperlink w:anchor="_Toc36116346" w:history="1">
        <w:r w:rsidRPr="00793D71">
          <w:rPr>
            <w:rStyle w:val="Hyperlink"/>
            <w:noProof/>
          </w:rPr>
          <w:t>D.</w:t>
        </w:r>
        <w:r>
          <w:rPr>
            <w:rFonts w:asciiTheme="minorHAnsi" w:eastAsiaTheme="minorEastAsia" w:hAnsiTheme="minorHAnsi" w:cstheme="minorBidi"/>
            <w:noProof/>
            <w:sz w:val="22"/>
            <w:lang w:eastAsia="cs-CZ"/>
          </w:rPr>
          <w:tab/>
        </w:r>
        <w:r w:rsidRPr="00793D71">
          <w:rPr>
            <w:rStyle w:val="Hyperlink"/>
            <w:noProof/>
          </w:rPr>
          <w:t>Rozhodnutí o námitkách uplatněných v návrhu Územního plánu Hrádek nad Nisou a jejich odůvodnění</w:t>
        </w:r>
        <w:r>
          <w:rPr>
            <w:noProof/>
            <w:webHidden/>
          </w:rPr>
          <w:tab/>
        </w:r>
        <w:r>
          <w:rPr>
            <w:noProof/>
            <w:webHidden/>
          </w:rPr>
          <w:fldChar w:fldCharType="begin"/>
        </w:r>
        <w:r>
          <w:rPr>
            <w:noProof/>
            <w:webHidden/>
          </w:rPr>
          <w:instrText xml:space="preserve"> PAGEREF _Toc36116346 \h </w:instrText>
        </w:r>
        <w:r>
          <w:rPr>
            <w:noProof/>
            <w:webHidden/>
          </w:rPr>
        </w:r>
        <w:r>
          <w:rPr>
            <w:noProof/>
            <w:webHidden/>
          </w:rPr>
          <w:fldChar w:fldCharType="separate"/>
        </w:r>
        <w:r>
          <w:rPr>
            <w:noProof/>
            <w:webHidden/>
          </w:rPr>
          <w:t>342</w:t>
        </w:r>
        <w:r>
          <w:rPr>
            <w:noProof/>
            <w:webHidden/>
          </w:rPr>
          <w:fldChar w:fldCharType="end"/>
        </w:r>
      </w:hyperlink>
    </w:p>
    <w:p w14:paraId="05138F6D" w14:textId="77777777" w:rsidR="00B567E6" w:rsidRDefault="00B567E6">
      <w:pPr>
        <w:pStyle w:val="TOC2"/>
        <w:rPr>
          <w:rFonts w:asciiTheme="minorHAnsi" w:eastAsiaTheme="minorEastAsia" w:hAnsiTheme="minorHAnsi" w:cstheme="minorBidi"/>
          <w:noProof/>
          <w:sz w:val="22"/>
          <w:lang w:eastAsia="cs-CZ"/>
        </w:rPr>
      </w:pPr>
      <w:hyperlink w:anchor="_Toc36116347" w:history="1">
        <w:r w:rsidRPr="00793D71">
          <w:rPr>
            <w:rStyle w:val="Hyperlink"/>
            <w:noProof/>
          </w:rPr>
          <w:t>E.</w:t>
        </w:r>
        <w:r>
          <w:rPr>
            <w:rFonts w:asciiTheme="minorHAnsi" w:eastAsiaTheme="minorEastAsia" w:hAnsiTheme="minorHAnsi" w:cstheme="minorBidi"/>
            <w:noProof/>
            <w:sz w:val="22"/>
            <w:lang w:eastAsia="cs-CZ"/>
          </w:rPr>
          <w:tab/>
        </w:r>
        <w:r w:rsidRPr="00793D71">
          <w:rPr>
            <w:rStyle w:val="Hyperlink"/>
            <w:noProof/>
          </w:rPr>
          <w:t>Vyhodnocení uplatněných připomínek</w:t>
        </w:r>
        <w:r>
          <w:rPr>
            <w:noProof/>
            <w:webHidden/>
          </w:rPr>
          <w:tab/>
        </w:r>
        <w:r>
          <w:rPr>
            <w:noProof/>
            <w:webHidden/>
          </w:rPr>
          <w:fldChar w:fldCharType="begin"/>
        </w:r>
        <w:r>
          <w:rPr>
            <w:noProof/>
            <w:webHidden/>
          </w:rPr>
          <w:instrText xml:space="preserve"> PAGEREF _Toc36116347 \h </w:instrText>
        </w:r>
        <w:r>
          <w:rPr>
            <w:noProof/>
            <w:webHidden/>
          </w:rPr>
        </w:r>
        <w:r>
          <w:rPr>
            <w:noProof/>
            <w:webHidden/>
          </w:rPr>
          <w:fldChar w:fldCharType="separate"/>
        </w:r>
        <w:r>
          <w:rPr>
            <w:noProof/>
            <w:webHidden/>
          </w:rPr>
          <w:t>356</w:t>
        </w:r>
        <w:r>
          <w:rPr>
            <w:noProof/>
            <w:webHidden/>
          </w:rPr>
          <w:fldChar w:fldCharType="end"/>
        </w:r>
      </w:hyperlink>
    </w:p>
    <w:p w14:paraId="711489AF" w14:textId="4CE9D02A" w:rsidR="00AB6DE9" w:rsidRDefault="00AD2E81" w:rsidP="00AB6DE9">
      <w:pPr>
        <w:tabs>
          <w:tab w:val="right" w:leader="dot" w:pos="8222"/>
        </w:tabs>
        <w:spacing w:before="60" w:after="60" w:line="240" w:lineRule="auto"/>
        <w:ind w:right="87"/>
        <w:rPr>
          <w:rFonts w:cs="Arial"/>
          <w:noProof/>
          <w:sz w:val="20"/>
          <w:szCs w:val="18"/>
          <w:lang w:eastAsia="en-US"/>
        </w:rPr>
        <w:sectPr w:rsidR="00AB6DE9" w:rsidSect="00D71F9E">
          <w:headerReference w:type="even" r:id="rId12"/>
          <w:headerReference w:type="default" r:id="rId13"/>
          <w:footerReference w:type="even" r:id="rId14"/>
          <w:footerReference w:type="default" r:id="rId15"/>
          <w:pgSz w:w="11909" w:h="16834" w:code="9"/>
          <w:pgMar w:top="1701" w:right="1419" w:bottom="1418" w:left="1418" w:header="720" w:footer="720" w:gutter="0"/>
          <w:pgNumType w:start="1"/>
          <w:cols w:space="720"/>
          <w:docGrid w:linePitch="360"/>
        </w:sectPr>
      </w:pPr>
      <w:r w:rsidRPr="00461C16">
        <w:rPr>
          <w:rFonts w:cs="Arial"/>
          <w:noProof/>
          <w:sz w:val="20"/>
          <w:szCs w:val="18"/>
          <w:lang w:eastAsia="en-US"/>
        </w:rPr>
        <w:fldChar w:fldCharType="end"/>
      </w:r>
      <w:bookmarkStart w:id="3" w:name="_Toc268687915"/>
      <w:bookmarkStart w:id="4" w:name="_Toc360178555"/>
      <w:bookmarkStart w:id="5" w:name="_Toc424191811"/>
      <w:r w:rsidR="00B567E6">
        <w:rPr>
          <w:rFonts w:cs="Arial"/>
          <w:noProof/>
          <w:sz w:val="20"/>
          <w:szCs w:val="18"/>
          <w:lang w:eastAsia="en-US"/>
        </w:rPr>
        <w:t xml:space="preserve"> </w:t>
      </w:r>
    </w:p>
    <w:p w14:paraId="3BF2EA19" w14:textId="77777777" w:rsidR="00A857E6" w:rsidRDefault="00A857E6" w:rsidP="00A857E6">
      <w:pPr>
        <w:pStyle w:val="Heading1"/>
      </w:pPr>
      <w:bookmarkStart w:id="6" w:name="_Toc36116231"/>
      <w:r>
        <w:lastRenderedPageBreak/>
        <w:t>POSTUP POŘÍZENÍ ÚZEMNÍHO PLÁNU</w:t>
      </w:r>
      <w:bookmarkEnd w:id="6"/>
      <w:r>
        <w:t xml:space="preserve"> </w:t>
      </w:r>
    </w:p>
    <w:p w14:paraId="710B8DBB" w14:textId="77777777" w:rsidR="00A857E6" w:rsidRPr="00A857E6" w:rsidRDefault="00A857E6" w:rsidP="00A857E6">
      <w:pPr>
        <w:spacing w:before="120" w:line="240" w:lineRule="auto"/>
        <w:ind w:hanging="11"/>
        <w:rPr>
          <w:rFonts w:cstheme="majorBidi"/>
          <w:lang w:eastAsia="en-US"/>
        </w:rPr>
      </w:pPr>
      <w:r w:rsidRPr="00A857E6">
        <w:rPr>
          <w:rFonts w:cstheme="majorBidi"/>
          <w:lang w:eastAsia="en-US"/>
        </w:rPr>
        <w:t>Pořízení Územního plánu Hrádek nad Nisou bylo schváleno usnesením Zastupitelstva města Hrádek nad Nisou (dále jen „Zastupitelstvo“) konaného dne 27.01.2010 usnesením č. 1/ZM/32/10.</w:t>
      </w:r>
    </w:p>
    <w:p w14:paraId="6349382A" w14:textId="77777777" w:rsidR="00A857E6" w:rsidRPr="00A857E6" w:rsidRDefault="00A857E6" w:rsidP="00A857E6">
      <w:pPr>
        <w:spacing w:before="240"/>
        <w:rPr>
          <w:rFonts w:cstheme="majorBidi"/>
          <w:b/>
          <w:bCs/>
          <w:lang w:eastAsia="en-US"/>
        </w:rPr>
      </w:pPr>
      <w:r w:rsidRPr="00A857E6">
        <w:rPr>
          <w:rFonts w:cstheme="majorBidi"/>
          <w:b/>
          <w:bCs/>
          <w:lang w:eastAsia="en-US"/>
        </w:rPr>
        <w:t xml:space="preserve">Zadání </w:t>
      </w:r>
    </w:p>
    <w:p w14:paraId="0AFC9F91"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 xml:space="preserve">Pořizovatel územního plánu na základě obdrženého usnesení zastupitelstva zpracoval návrh Zadání Územního plánu Hrádek nad Nisou. </w:t>
      </w:r>
    </w:p>
    <w:p w14:paraId="18823E44"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Pořizovatel v souladu s § 47 odst. 2 stavebního zákona zaslal návrh Zadání městu Hrádek nad Nisou, dotčeným orgánům, sousedním obcím a Krajskému úřadu Libereckého kraje pro uplatnění vyjádření, podnětů a stanoviska podle zákona o posuzování vlivů na životní prostředí, a to oznámením ze dne 01.10.2012 vedeným pod č. j. OSŽP-6137/2012-810/2012/RAM.</w:t>
      </w:r>
    </w:p>
    <w:p w14:paraId="579B8035"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 xml:space="preserve">Veřejnou vyhláškou ze dne 01.10.2012 vedenou pod č. j. OSŽP-6136/2012-809/2012/RAM pak pořizovatel oznámil možnost každého uplatnit k návrhu Zadání připomínku a to v termínu do 01.11.2012 včetně. Zároveň touto veřejnou vyhláškou doručil návrh Zadání. Veřejná vyhláška byla zveřejněna na úřední desce a elektronické úřední desce Městského úřadu Hrádek nad Nisou v termínu od 01.10.2012 do 01.11.2012 V elektronické podobě byl návrh Zadání vystaven na internetových stránkách města Hrádek nad Nisou. </w:t>
      </w:r>
    </w:p>
    <w:p w14:paraId="0392525D"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 xml:space="preserve">Pořizovatel ve spolupráci s určeným zastupitelem vyhodnotil uplatněná vyjádření, stanoviska a připomínky, které byly doručeny ve stanovené lhůtě, a na jejich základě jej upravil. </w:t>
      </w:r>
    </w:p>
    <w:p w14:paraId="1F6E7CD9"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 xml:space="preserve">Dotčeným orgánem bylo konstatováno, že záměr nemůže mít samostatně nebo ve spojení s jinými záměry významný vliv na evropsky významné lokality a ptačí oblasti, a nebyl uplatněn požadavek na zpracování vyhodnocení vlivů na životní prostředí dle přílohy ke stavebnímu zákonu. </w:t>
      </w:r>
    </w:p>
    <w:p w14:paraId="6CB85A1C"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 xml:space="preserve">Městem Hrádek nad Nisou ani dotčenými orgány dále nebylo požadováno zpracování variantního řešení Územního plánu Hrádek nad Nisou. </w:t>
      </w:r>
    </w:p>
    <w:p w14:paraId="7765D6BC"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Upravené Zadání bylo dle § 47 odst. 5 stavebního zákona schváleno usnesením Zastupitelstva obce Hrádek nad Nisou č. 2/47/ZM/13 dne 27.02.2013.</w:t>
      </w:r>
    </w:p>
    <w:p w14:paraId="18EBE029" w14:textId="77777777" w:rsidR="00A857E6" w:rsidRPr="00A857E6" w:rsidRDefault="00A857E6" w:rsidP="00A857E6">
      <w:pPr>
        <w:spacing w:before="240"/>
        <w:rPr>
          <w:rFonts w:cstheme="majorBidi"/>
          <w:b/>
          <w:bCs/>
          <w:lang w:eastAsia="en-US"/>
        </w:rPr>
      </w:pPr>
      <w:r w:rsidRPr="00A857E6">
        <w:rPr>
          <w:rFonts w:cstheme="majorBidi"/>
          <w:b/>
          <w:bCs/>
          <w:lang w:eastAsia="en-US"/>
        </w:rPr>
        <w:t>Společné jednání</w:t>
      </w:r>
    </w:p>
    <w:p w14:paraId="2C035418"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Pořizovatel v souladu s ustanovením § 50 odst. 2 stavebního zákona oznámil termín a místo společného jednání o návrhu Územního plánu Hrádek nad Nisou na den 16. 4. 2018 s konáním na Městském úřadě Hrádek nad Nisou oznámením č. j. OSŽP-1847/2018-RAM ze dne 7. 3. 2018 jednotlivě dotčeným orgánům, Krajskému úřadu Libereckého kraje a sousedním obcím a vyzval je k uplatnění stanovisek a připomínek ve lhůtě 30 dnů ode dne konání společného jednání. Zároveň upozornil, že k později uplatněným stanoviskům a připomínkám se nepřihlíží. V oznámení dále sdělil, kde je možné nahlédnout do dokumentace návrhu Územního plánu Hrádek nad Nisou.</w:t>
      </w:r>
    </w:p>
    <w:p w14:paraId="16BDF656"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Pořizovatel v souladu s § 50 odst. 2 stavebního zákona zároveň Krajskému úřadu Libereckého kraje předal návrh Územního plánu Hrádek nad Nisou pro možnost nahlížení dotčeným orgánů při společném jednání a zároveň pro posouzení podle § 50 odst. 5 až 7 stavebního zákona.</w:t>
      </w:r>
    </w:p>
    <w:p w14:paraId="109FFE03"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Pořizovatel dále veřejnou vyhláškou ze dne 7. 3. 2018 vedenou pod č. j. OSŽP-1847/2018-RAM doručil návrh Územního plánu Hrádek nad Nisou, a to zveřejněním na úřední desce a elektronické úřední desce Městského úřadu Hrádek nad Nisou. Vzhledem k tomu, že na úředních deskách nebylo možné zveřejnit celý obsah návrhu Územního plánu Hrádek nad Nisou, bylo veřejnou vyhláškou stanoveno, kde a kdy je možné nahlížet do dokumentace návrhu Územního plánu Hrádek nad Nisou včetně možnosti dálkového přístupu. Pořizovatel dále oznámil možnost každého, uplatnit k návrhu Územního plánu Hrádek nad Nisou připomínku s uvedením termínu, formy a místa podání připomínek. Zároveň upozornil, že k později uplatněným připomínkám se nepřihlíží.</w:t>
      </w:r>
    </w:p>
    <w:p w14:paraId="64E0787A"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Pořizovatel v rámci společného jednání obdržel stanoviska dotčených orgánů a 1 připomínku.</w:t>
      </w:r>
    </w:p>
    <w:p w14:paraId="127AD3CA"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lastRenderedPageBreak/>
        <w:t>Pořizovatel po seznámení se se stanovisky dotčených orgánů zjistil, že některá obsahují požadavky na dohodnutí znění některých částí územního plán, případně osahovaly takové požadavky na úpravu dokumentace územního plánu, které pořizovatel vnímal jako nepřiměřené. Pořizovatel proto na základě těchto stanovisek dotčených orgánů vedl dohodovací řízení s:</w:t>
      </w:r>
    </w:p>
    <w:p w14:paraId="0D1B9C57" w14:textId="77777777" w:rsidR="00A857E6" w:rsidRPr="00A857E6" w:rsidRDefault="00A857E6" w:rsidP="00C41445">
      <w:pPr>
        <w:pStyle w:val="ListParagraph"/>
        <w:numPr>
          <w:ilvl w:val="0"/>
          <w:numId w:val="105"/>
        </w:numPr>
        <w:spacing w:before="120" w:line="240" w:lineRule="auto"/>
        <w:ind w:left="851" w:hanging="284"/>
        <w:rPr>
          <w:rFonts w:cstheme="majorBidi"/>
          <w:lang w:eastAsia="en-US"/>
        </w:rPr>
      </w:pPr>
      <w:r w:rsidRPr="00A857E6">
        <w:rPr>
          <w:rFonts w:cstheme="majorBidi"/>
          <w:lang w:eastAsia="en-US"/>
        </w:rPr>
        <w:t>Krajským úřadem Libereckého kraje, odborem životního prostředí a zemědělství na základě jejich stanoviska po společném jednání o návrhu Územního plánu Hrádek nad Nisou OÚPSŘ 273/2012/OÚP-KULK 40753/2018 ze dne 16. 5. 2018,</w:t>
      </w:r>
    </w:p>
    <w:p w14:paraId="774972AB" w14:textId="77777777" w:rsidR="00A857E6" w:rsidRPr="00A857E6" w:rsidRDefault="00A857E6" w:rsidP="00C41445">
      <w:pPr>
        <w:pStyle w:val="ListParagraph"/>
        <w:numPr>
          <w:ilvl w:val="0"/>
          <w:numId w:val="105"/>
        </w:numPr>
        <w:spacing w:before="120" w:line="240" w:lineRule="auto"/>
        <w:ind w:left="851" w:hanging="284"/>
        <w:rPr>
          <w:rFonts w:cstheme="majorBidi"/>
          <w:lang w:eastAsia="en-US"/>
        </w:rPr>
      </w:pPr>
      <w:r w:rsidRPr="00A857E6">
        <w:rPr>
          <w:rFonts w:cstheme="majorBidi"/>
          <w:lang w:eastAsia="en-US"/>
        </w:rPr>
        <w:t>Magistrátem města Liberec, odborem životního prostředí na základě jejich stanoviska po společném jednání o návrhu Územního plánu Hrádek nad Nisou č. j. MML/ZP/Piv/057383 ze dne 15. 5. 2018,</w:t>
      </w:r>
    </w:p>
    <w:p w14:paraId="57C10BBF" w14:textId="77777777" w:rsidR="00A857E6" w:rsidRPr="00A857E6" w:rsidRDefault="00A857E6" w:rsidP="00C41445">
      <w:pPr>
        <w:pStyle w:val="ListParagraph"/>
        <w:numPr>
          <w:ilvl w:val="0"/>
          <w:numId w:val="105"/>
        </w:numPr>
        <w:spacing w:before="120" w:line="240" w:lineRule="auto"/>
        <w:ind w:left="851" w:hanging="284"/>
        <w:rPr>
          <w:rFonts w:cstheme="majorBidi"/>
          <w:lang w:eastAsia="en-US"/>
        </w:rPr>
      </w:pPr>
      <w:r w:rsidRPr="00A857E6">
        <w:rPr>
          <w:rFonts w:cstheme="majorBidi"/>
          <w:lang w:eastAsia="en-US"/>
        </w:rPr>
        <w:t>Agenturou ochrany přírody a krajiny ČR, regionální pracoviště Liberecko na základě jejich stanoviska po společném jednání o návrhu Územního plánu Hrádek nad Nisou č. j. SR/0417/LI/2018 ze dne 18. 5. 2018.</w:t>
      </w:r>
    </w:p>
    <w:p w14:paraId="23EC8185"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Výsledkem výše uvedených řízení byly dohody s dotčenými orgány.</w:t>
      </w:r>
    </w:p>
    <w:p w14:paraId="43318AB5"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Pořizovatel dále zaslal Krajskému úřadu Libereckého kraje žádost o vydání stanoviska podle § 100 zákona o posuzování vlivů na životní prostředí písemností ze dne 18. 6. 2019 vedenou pod č. j. OSŽP-3946/2019-PES, k čemuž doložil všechna obdržená stanoviska, jejich dohody a připomínky. Stanovisko krajského úřadu dle § 100 zákona o posuzování vlivů na životní prostředí značky KULK 46178/2017 ze dne 12. 7. 2019 doručené dne 12. 7. 2019 vedené pod č. j. OSŽP/4915/19 bylo souhlasné.</w:t>
      </w:r>
    </w:p>
    <w:p w14:paraId="5EA30EDB"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Pořizovatel dále požádal Krajský úřad Libereckého kraje o stanovisko podle § 50 odst. 7 stavebního zákona a to písemností ze dne 17. 7. 2019 vedenou pod č. j. OSŽP/5029/19-PES, přičemž žádost doložil obdrženými stanovisky dotčených orgánů včetně výsledků dohodovacích řízení a připomínkami. Městský úřad Hrádek nad Nisou obdržel stanovisko Krajského úřadu Libereckého kraje značky OÚPSŘ 273/2012/OÚP-KULK 56383/2019 dne 31. 7. 2019 pod č. j. OSŽP/5371/19, dle stanoviska lze zahájit řízení o vydání územního plánu.</w:t>
      </w:r>
    </w:p>
    <w:p w14:paraId="307DBDE1" w14:textId="77777777" w:rsidR="00A857E6" w:rsidRPr="00A857E6" w:rsidRDefault="00A857E6" w:rsidP="00A857E6">
      <w:pPr>
        <w:spacing w:before="120" w:line="240" w:lineRule="auto"/>
        <w:ind w:left="284" w:hanging="11"/>
        <w:rPr>
          <w:rFonts w:cstheme="majorBidi"/>
          <w:lang w:eastAsia="en-US"/>
        </w:rPr>
      </w:pPr>
      <w:r w:rsidRPr="00A857E6">
        <w:rPr>
          <w:rFonts w:cstheme="majorBidi"/>
          <w:lang w:eastAsia="en-US"/>
        </w:rPr>
        <w:t>Pořizovatel následně ve spolupráci s určeným zastupitelem zpracoval konečné vyhodnocení výsledků projednání návrhu Územního plánu Hrádek nad Nisou a na jejich základě zajistil úpravu návrhu Územního plánu Hrádek nad Nisou pro účely veřejného projednání prostřednictvím písemnosti ze dne 20. 6. 2019 vedené pod č. j. OSŽP-4421/19-PES „Pokyny na úpravu Návrhu Územního plánu Hrádek nad Nisou pro veřejné projednání vyplývající z výsledků společného jednání“.</w:t>
      </w:r>
    </w:p>
    <w:p w14:paraId="62EA1DCE" w14:textId="77777777" w:rsidR="00A857E6" w:rsidRPr="00A857E6" w:rsidRDefault="00A857E6" w:rsidP="00A857E6">
      <w:pPr>
        <w:spacing w:before="240"/>
        <w:rPr>
          <w:rFonts w:cstheme="majorBidi"/>
          <w:b/>
          <w:bCs/>
          <w:lang w:eastAsia="en-US"/>
        </w:rPr>
      </w:pPr>
      <w:r w:rsidRPr="00A857E6">
        <w:rPr>
          <w:rFonts w:cstheme="majorBidi"/>
          <w:b/>
          <w:bCs/>
          <w:lang w:eastAsia="en-US"/>
        </w:rPr>
        <w:t>Veřejné projednání</w:t>
      </w:r>
    </w:p>
    <w:p w14:paraId="4A864319" w14:textId="77777777" w:rsidR="00A857E6" w:rsidRPr="00A857E6" w:rsidRDefault="00A857E6" w:rsidP="00A857E6">
      <w:pPr>
        <w:spacing w:before="120"/>
        <w:ind w:left="142"/>
      </w:pPr>
      <w:r w:rsidRPr="00A857E6">
        <w:t>Pořizovatel následně formou veřejné vyhlášky č.j. OSŽP-5758/2019-PES ze dne 29.8.2019 oznámil zahájení řízení o vydání Opatření obecné povahy, kterým se vydává Územní plán Hrádek nad Nisou a zároveň oznámil konání veřejného projednání o upraveném  Návrhu Územního plánu Hrádek nad Nisou na den 15.10.2019 od 17,00 hodin a totéž doručil oznámením č.j. OSŽP-5756/2019-PES ze dne 29.08.2019 dotčeným orgánům a sousedním obcím. Veřejná vyhláška byla zveřejněna na úřední desce Města Hrádek nad Nisou a elektronické úřední desce Města Hrádek nad Nisou v termínu 02.09.2019 do 25.10.2019 včetně.</w:t>
      </w:r>
    </w:p>
    <w:p w14:paraId="1BC8F911" w14:textId="77777777" w:rsidR="00A857E6" w:rsidRPr="00A857E6" w:rsidRDefault="00A857E6" w:rsidP="00A857E6">
      <w:pPr>
        <w:spacing w:before="120"/>
        <w:ind w:left="142" w:right="28"/>
      </w:pPr>
      <w:r w:rsidRPr="00A857E6">
        <w:t>Během stanoveného termínu pro uplatnění námitek a připomínek k veřejnému projednání Návrhu Územního plánu Hrádek nad Nisou pořizovatel obdržel 2 připomínky, 4 námitky a 5 stanovisek dotčených orgánů, které obsahovaly požadavky na úpravu Návrhu Územního plánu Hrádek nad Nisou.</w:t>
      </w:r>
    </w:p>
    <w:p w14:paraId="0807B2A2" w14:textId="77777777" w:rsidR="00A857E6" w:rsidRPr="00A857E6" w:rsidRDefault="00A857E6" w:rsidP="00A857E6">
      <w:pPr>
        <w:pStyle w:val="BodyText"/>
        <w:spacing w:before="120"/>
        <w:ind w:left="142"/>
        <w:rPr>
          <w:rFonts w:cs="Times New Roman"/>
          <w:bCs/>
          <w:sz w:val="22"/>
          <w:szCs w:val="22"/>
        </w:rPr>
      </w:pPr>
      <w:r w:rsidRPr="00A857E6">
        <w:rPr>
          <w:rFonts w:cs="Times New Roman"/>
          <w:sz w:val="22"/>
          <w:szCs w:val="18"/>
        </w:rPr>
        <w:t xml:space="preserve">Po veřejném projednání Návrhu Územního plánu Hrádek nad Nisou byly připomínky, námitky a stanoviska vyhodnoceny pořizovatelem ve spolupráci s pověřeným zastupitelem města Hrádek nad Nisou Mgr. Josefem Horinkou a zpracovatelem. Poté byla dotčeným orgánům odeslána </w:t>
      </w:r>
      <w:r w:rsidRPr="00A857E6">
        <w:rPr>
          <w:rFonts w:cs="Times New Roman"/>
          <w:bCs/>
          <w:sz w:val="22"/>
          <w:szCs w:val="18"/>
        </w:rPr>
        <w:t xml:space="preserve">výzva k uplatnění stanoviska dotčeného orgánu k návrhu rozhodnutí o námitkách a návrhu vyhodnocení připomínek uplatněných k návrhu Územního plánu </w:t>
      </w:r>
      <w:bookmarkStart w:id="7" w:name="Bookmark"/>
      <w:bookmarkEnd w:id="7"/>
      <w:r w:rsidRPr="00A857E6">
        <w:rPr>
          <w:rFonts w:cs="Times New Roman"/>
          <w:bCs/>
          <w:sz w:val="22"/>
          <w:szCs w:val="18"/>
        </w:rPr>
        <w:t xml:space="preserve">Hrádek nad Nisou. Žádné ze stanovisek dotčeného orgánu k návrhu rozhodnutí o námitkách a návrhu vyhodnocení připomínek uplatněných k návrhu Územního plánu Hrádek nad Nisou neobsahovalo požadavky na úpravu tohoto vyhodnocení. </w:t>
      </w:r>
    </w:p>
    <w:p w14:paraId="2A5C9FD5" w14:textId="77777777" w:rsidR="00A857E6" w:rsidRPr="00A857E6" w:rsidRDefault="00A857E6" w:rsidP="00A857E6">
      <w:pPr>
        <w:rPr>
          <w:lang w:val="nl-NL"/>
        </w:rPr>
      </w:pPr>
    </w:p>
    <w:p w14:paraId="3E6C83F3" w14:textId="77777777" w:rsidR="00A857E6" w:rsidRDefault="00A857E6">
      <w:pPr>
        <w:spacing w:line="240" w:lineRule="auto"/>
        <w:jc w:val="left"/>
        <w:rPr>
          <w:rFonts w:cs="Arial"/>
          <w:b/>
          <w:bCs/>
          <w:caps/>
          <w:spacing w:val="40"/>
          <w:kern w:val="32"/>
          <w:sz w:val="30"/>
          <w:szCs w:val="32"/>
          <w:lang w:val="nl-NL"/>
        </w:rPr>
      </w:pPr>
      <w:r>
        <w:br w:type="page"/>
      </w:r>
    </w:p>
    <w:p w14:paraId="640EC563" w14:textId="51E881FF" w:rsidR="00E75224" w:rsidRPr="00461C16" w:rsidRDefault="00FB1CCD" w:rsidP="00AB6DE9">
      <w:pPr>
        <w:pStyle w:val="Heading1"/>
        <w:rPr>
          <w:lang w:eastAsia="cs-CZ"/>
        </w:rPr>
      </w:pPr>
      <w:bookmarkStart w:id="8" w:name="_Toc36116232"/>
      <w:r w:rsidRPr="00461C16">
        <w:lastRenderedPageBreak/>
        <w:t>1</w:t>
      </w:r>
      <w:r w:rsidR="004E1C7A" w:rsidRPr="00461C16">
        <w:t>.</w:t>
      </w:r>
      <w:r w:rsidR="004E1C7A" w:rsidRPr="00461C16">
        <w:tab/>
      </w:r>
      <w:bookmarkEnd w:id="3"/>
      <w:bookmarkEnd w:id="4"/>
      <w:bookmarkEnd w:id="5"/>
      <w:r w:rsidR="00A857E6">
        <w:t>VYHODNOCENÍ SOULADU</w:t>
      </w:r>
      <w:r w:rsidR="00EB1932" w:rsidRPr="00461C16">
        <w:t xml:space="preserve"> ÚZEMNÍHO PLÁNU PODLE § 53 ODST. 4 ZÁKONA Č. 183/2006 SB.</w:t>
      </w:r>
      <w:bookmarkEnd w:id="8"/>
      <w:r w:rsidR="003153E6" w:rsidRPr="00461C16">
        <w:t xml:space="preserve"> </w:t>
      </w:r>
    </w:p>
    <w:p w14:paraId="25B74514" w14:textId="77777777" w:rsidR="004E1C7A" w:rsidRPr="00461C16" w:rsidRDefault="00FB1CCD" w:rsidP="007F050A">
      <w:pPr>
        <w:pStyle w:val="Heading2"/>
      </w:pPr>
      <w:bookmarkStart w:id="9" w:name="_Toc360178556"/>
      <w:bookmarkStart w:id="10" w:name="_Toc424191812"/>
      <w:bookmarkStart w:id="11" w:name="_Toc36116233"/>
      <w:r w:rsidRPr="00461C16">
        <w:t>1</w:t>
      </w:r>
      <w:r w:rsidR="004E1C7A" w:rsidRPr="00461C16">
        <w:t>.1</w:t>
      </w:r>
      <w:r w:rsidR="004E1C7A" w:rsidRPr="00461C16">
        <w:tab/>
        <w:t>Vyhodnocení souladu s Politikou územního rozvoje</w:t>
      </w:r>
      <w:bookmarkEnd w:id="9"/>
      <w:r w:rsidR="004E1C7A" w:rsidRPr="00461C16">
        <w:t xml:space="preserve"> ČR</w:t>
      </w:r>
      <w:bookmarkEnd w:id="10"/>
      <w:bookmarkEnd w:id="11"/>
      <w:r w:rsidR="004E1C7A" w:rsidRPr="00461C16">
        <w:t xml:space="preserve"> </w:t>
      </w:r>
    </w:p>
    <w:p w14:paraId="02E1C924" w14:textId="77777777" w:rsidR="003146D2" w:rsidRPr="003146D2" w:rsidRDefault="004E1C7A" w:rsidP="003146D2">
      <w:pPr>
        <w:spacing w:before="120" w:after="120"/>
        <w:rPr>
          <w:rFonts w:cs="Tahoma"/>
        </w:rPr>
      </w:pPr>
      <w:bookmarkStart w:id="12" w:name="_Toc360178557"/>
      <w:r w:rsidRPr="003146D2">
        <w:rPr>
          <w:rFonts w:cs="Arial"/>
        </w:rPr>
        <w:t xml:space="preserve">Dne </w:t>
      </w:r>
      <w:r w:rsidR="003146D2" w:rsidRPr="003146D2">
        <w:rPr>
          <w:rFonts w:cs="Arial"/>
        </w:rPr>
        <w:t>20.7.</w:t>
      </w:r>
      <w:r w:rsidR="003146D2" w:rsidRPr="003146D2">
        <w:rPr>
          <w:rFonts w:cs="Tahoma"/>
        </w:rPr>
        <w:t>2009 byla usnesením vlády ČR č. 929 schválena Politika územního rozvoje 2008. Následně byly schváleny tyto aktualizace PÚR ČR:</w:t>
      </w:r>
    </w:p>
    <w:p w14:paraId="2AEE1863" w14:textId="77777777" w:rsidR="003146D2" w:rsidRPr="003146D2" w:rsidRDefault="003146D2" w:rsidP="00C41445">
      <w:pPr>
        <w:numPr>
          <w:ilvl w:val="0"/>
          <w:numId w:val="104"/>
        </w:numPr>
        <w:spacing w:before="60" w:after="60"/>
        <w:rPr>
          <w:rStyle w:val="Strong"/>
          <w:b w:val="0"/>
          <w:color w:val="000000"/>
          <w:sz w:val="22"/>
          <w:shd w:val="clear" w:color="auto" w:fill="FFFFFF"/>
        </w:rPr>
      </w:pPr>
      <w:r w:rsidRPr="003146D2">
        <w:rPr>
          <w:rStyle w:val="Strong"/>
          <w:b w:val="0"/>
          <w:color w:val="000000"/>
          <w:sz w:val="22"/>
          <w:shd w:val="clear" w:color="auto" w:fill="FFFFFF"/>
        </w:rPr>
        <w:t xml:space="preserve">Aktualizace č. 1 PÚR ČR dne 15. dubna 2015 (usnesení vlády č. 276), </w:t>
      </w:r>
    </w:p>
    <w:p w14:paraId="0B2A4B30" w14:textId="77777777" w:rsidR="003146D2" w:rsidRPr="003146D2" w:rsidRDefault="003146D2" w:rsidP="00C41445">
      <w:pPr>
        <w:numPr>
          <w:ilvl w:val="0"/>
          <w:numId w:val="104"/>
        </w:numPr>
        <w:spacing w:before="60" w:after="60"/>
        <w:rPr>
          <w:rStyle w:val="Strong"/>
          <w:b w:val="0"/>
          <w:color w:val="000000"/>
          <w:sz w:val="22"/>
          <w:shd w:val="clear" w:color="auto" w:fill="FFFFFF"/>
        </w:rPr>
      </w:pPr>
      <w:r w:rsidRPr="003146D2">
        <w:rPr>
          <w:rStyle w:val="Strong"/>
          <w:b w:val="0"/>
          <w:color w:val="000000"/>
          <w:sz w:val="22"/>
          <w:shd w:val="clear" w:color="auto" w:fill="FFFFFF"/>
        </w:rPr>
        <w:t xml:space="preserve">Aktualizace č. 2 PÚR ČR dne 2. září 2019 (usnesení vlády č. 629), </w:t>
      </w:r>
    </w:p>
    <w:p w14:paraId="709323E9" w14:textId="48600146" w:rsidR="004E1C7A" w:rsidRPr="003146D2" w:rsidRDefault="003146D2" w:rsidP="00C41445">
      <w:pPr>
        <w:numPr>
          <w:ilvl w:val="0"/>
          <w:numId w:val="104"/>
        </w:numPr>
        <w:spacing w:before="120" w:after="60" w:line="240" w:lineRule="auto"/>
        <w:rPr>
          <w:rFonts w:cs="Arial"/>
        </w:rPr>
      </w:pPr>
      <w:r w:rsidRPr="003146D2">
        <w:rPr>
          <w:rStyle w:val="Strong"/>
          <w:b w:val="0"/>
          <w:color w:val="000000"/>
          <w:sz w:val="22"/>
          <w:shd w:val="clear" w:color="auto" w:fill="FFFFFF"/>
        </w:rPr>
        <w:t>Aktualizace č. 3 PÚR ČR dne 2. září 2019 schválena (usnesení č. 630).</w:t>
      </w:r>
      <w:r w:rsidR="004E1C7A" w:rsidRPr="003146D2">
        <w:rPr>
          <w:rFonts w:cs="Arial"/>
        </w:rPr>
        <w:t xml:space="preserve"> </w:t>
      </w:r>
    </w:p>
    <w:p w14:paraId="57D599AE" w14:textId="77777777" w:rsidR="004E1C7A" w:rsidRPr="003146D2" w:rsidRDefault="004E1C7A" w:rsidP="007F050A">
      <w:pPr>
        <w:spacing w:before="120" w:line="240" w:lineRule="auto"/>
        <w:rPr>
          <w:rFonts w:cs="Arial"/>
        </w:rPr>
      </w:pPr>
      <w:r w:rsidRPr="003146D2">
        <w:rPr>
          <w:rFonts w:cs="Arial"/>
        </w:rPr>
        <w:t>Dle § 31 odst. 4 zákona č. 183/2006 Sb., v platném znění (stavební zákon), je Politika územního rozvoje ČR nadřazeným právně závazným dokumentem pro vydávání územních plánů</w:t>
      </w:r>
      <w:r w:rsidR="00DB274A" w:rsidRPr="003146D2">
        <w:rPr>
          <w:rFonts w:cs="Arial"/>
        </w:rPr>
        <w:t xml:space="preserve">. </w:t>
      </w:r>
      <w:r w:rsidR="00602CCE" w:rsidRPr="003146D2">
        <w:rPr>
          <w:rFonts w:cs="Arial"/>
        </w:rPr>
        <w:t xml:space="preserve">Územní plán </w:t>
      </w:r>
      <w:r w:rsidR="00FE245F" w:rsidRPr="003146D2">
        <w:rPr>
          <w:rFonts w:cs="Arial"/>
        </w:rPr>
        <w:t>Hrádek nad Nisou</w:t>
      </w:r>
      <w:r w:rsidR="00DB274A" w:rsidRPr="003146D2">
        <w:rPr>
          <w:rFonts w:cs="Arial"/>
        </w:rPr>
        <w:t xml:space="preserve"> </w:t>
      </w:r>
      <w:r w:rsidRPr="003146D2">
        <w:rPr>
          <w:rFonts w:cs="Arial"/>
        </w:rPr>
        <w:t xml:space="preserve">musí </w:t>
      </w:r>
      <w:r w:rsidR="00DB274A" w:rsidRPr="003146D2">
        <w:rPr>
          <w:rFonts w:cs="Arial"/>
        </w:rPr>
        <w:t xml:space="preserve">tedy tento dokument </w:t>
      </w:r>
      <w:r w:rsidRPr="003146D2">
        <w:rPr>
          <w:rFonts w:cs="Arial"/>
        </w:rPr>
        <w:t xml:space="preserve">plně respektovat. </w:t>
      </w:r>
    </w:p>
    <w:p w14:paraId="387581C0" w14:textId="261DBEB0" w:rsidR="004E1C7A" w:rsidRPr="00461C16" w:rsidRDefault="004E1C7A" w:rsidP="007F050A">
      <w:pPr>
        <w:spacing w:before="120" w:line="240" w:lineRule="auto"/>
        <w:rPr>
          <w:rFonts w:cs="Arial"/>
        </w:rPr>
      </w:pPr>
      <w:r w:rsidRPr="00461C16">
        <w:rPr>
          <w:rFonts w:cs="Arial"/>
        </w:rPr>
        <w:t xml:space="preserve">Z Politiky územního rozvoje ČR ve znění </w:t>
      </w:r>
      <w:r w:rsidR="003146D2" w:rsidRPr="00461C16">
        <w:rPr>
          <w:rFonts w:cs="Arial"/>
        </w:rPr>
        <w:t>Aktualizac</w:t>
      </w:r>
      <w:r w:rsidR="003146D2">
        <w:rPr>
          <w:rFonts w:cs="Arial"/>
        </w:rPr>
        <w:t>í</w:t>
      </w:r>
      <w:r w:rsidR="003146D2" w:rsidRPr="00461C16">
        <w:rPr>
          <w:rFonts w:cs="Arial"/>
        </w:rPr>
        <w:t xml:space="preserve"> </w:t>
      </w:r>
      <w:r w:rsidRPr="00461C16">
        <w:rPr>
          <w:rFonts w:cs="Arial"/>
        </w:rPr>
        <w:t>č. 1</w:t>
      </w:r>
      <w:r w:rsidR="003146D2">
        <w:rPr>
          <w:rFonts w:cs="Arial"/>
        </w:rPr>
        <w:t>, 2 a 3</w:t>
      </w:r>
      <w:r w:rsidRPr="00461C16">
        <w:rPr>
          <w:rFonts w:cs="Arial"/>
        </w:rPr>
        <w:t xml:space="preserve"> (dále jen „PÚR ČR“) vyplývají pro řešení </w:t>
      </w:r>
      <w:r w:rsidR="00602CCE" w:rsidRPr="00461C16">
        <w:rPr>
          <w:rFonts w:cs="Arial"/>
        </w:rPr>
        <w:t>Územního plánu</w:t>
      </w:r>
      <w:r w:rsidR="00DB274A" w:rsidRPr="00461C16">
        <w:rPr>
          <w:rFonts w:cs="Arial"/>
        </w:rPr>
        <w:t xml:space="preserve"> </w:t>
      </w:r>
      <w:r w:rsidR="00FE245F" w:rsidRPr="00461C16">
        <w:rPr>
          <w:rFonts w:cs="Arial"/>
        </w:rPr>
        <w:t>Hrádek nad Nisou</w:t>
      </w:r>
      <w:r w:rsidR="00602CCE" w:rsidRPr="00461C16">
        <w:rPr>
          <w:rFonts w:cs="Arial"/>
        </w:rPr>
        <w:t xml:space="preserve"> </w:t>
      </w:r>
      <w:r w:rsidR="0086532F" w:rsidRPr="00461C16">
        <w:rPr>
          <w:rFonts w:cs="Arial"/>
        </w:rPr>
        <w:t xml:space="preserve">dále uvedené </w:t>
      </w:r>
      <w:r w:rsidRPr="00461C16">
        <w:rPr>
          <w:rFonts w:cs="Arial"/>
        </w:rPr>
        <w:t>požadavky</w:t>
      </w:r>
      <w:r w:rsidR="0086532F" w:rsidRPr="00461C16">
        <w:rPr>
          <w:rFonts w:cs="Arial"/>
        </w:rPr>
        <w:t>, k nimž je doplněno v</w:t>
      </w:r>
      <w:r w:rsidRPr="00461C16">
        <w:rPr>
          <w:rFonts w:cs="Arial"/>
        </w:rPr>
        <w:t>yhodnocení souladu</w:t>
      </w:r>
      <w:r w:rsidR="00064D82" w:rsidRPr="00461C16">
        <w:rPr>
          <w:rFonts w:cs="Arial"/>
        </w:rPr>
        <w:t xml:space="preserve"> </w:t>
      </w:r>
      <w:r w:rsidR="00602CCE" w:rsidRPr="00461C16">
        <w:rPr>
          <w:rFonts w:cs="Arial"/>
        </w:rPr>
        <w:t>Územního plánu</w:t>
      </w:r>
      <w:r w:rsidR="00DB274A" w:rsidRPr="00461C16">
        <w:rPr>
          <w:rFonts w:cs="Arial"/>
        </w:rPr>
        <w:t xml:space="preserve"> </w:t>
      </w:r>
      <w:r w:rsidR="0086532F" w:rsidRPr="00461C16">
        <w:rPr>
          <w:rFonts w:cs="Arial"/>
        </w:rPr>
        <w:t>(</w:t>
      </w:r>
      <w:r w:rsidR="0086532F" w:rsidRPr="00461C16">
        <w:rPr>
          <w:rFonts w:cs="Arial"/>
          <w:i/>
        </w:rPr>
        <w:t>kurzivou</w:t>
      </w:r>
      <w:r w:rsidR="0086532F" w:rsidRPr="00461C16">
        <w:rPr>
          <w:rFonts w:cs="Arial"/>
        </w:rPr>
        <w:t>).</w:t>
      </w:r>
    </w:p>
    <w:p w14:paraId="0EFF7EEA" w14:textId="77777777" w:rsidR="004E1C7A" w:rsidRPr="00461C16" w:rsidRDefault="00FB1CCD" w:rsidP="007F050A">
      <w:pPr>
        <w:pStyle w:val="Heading3"/>
        <w:rPr>
          <w:lang w:eastAsia="en-US"/>
        </w:rPr>
      </w:pPr>
      <w:bookmarkStart w:id="13" w:name="_Toc36116234"/>
      <w:r w:rsidRPr="00461C16">
        <w:rPr>
          <w:lang w:eastAsia="en-US"/>
        </w:rPr>
        <w:t>1</w:t>
      </w:r>
      <w:r w:rsidR="004E1C7A" w:rsidRPr="00461C16">
        <w:rPr>
          <w:lang w:eastAsia="en-US"/>
        </w:rPr>
        <w:t>.1.1</w:t>
      </w:r>
      <w:r w:rsidR="004E1C7A" w:rsidRPr="00461C16">
        <w:rPr>
          <w:lang w:eastAsia="en-US"/>
        </w:rPr>
        <w:tab/>
        <w:t xml:space="preserve">Republikové priority </w:t>
      </w:r>
      <w:r w:rsidR="004E1C7A" w:rsidRPr="00461C16">
        <w:t>územního</w:t>
      </w:r>
      <w:r w:rsidR="004E1C7A" w:rsidRPr="00461C16">
        <w:rPr>
          <w:lang w:eastAsia="en-US"/>
        </w:rPr>
        <w:t xml:space="preserve"> plánování</w:t>
      </w:r>
      <w:bookmarkEnd w:id="12"/>
      <w:bookmarkEnd w:id="13"/>
      <w:r w:rsidR="004E1C7A" w:rsidRPr="00461C16">
        <w:rPr>
          <w:lang w:eastAsia="en-US"/>
        </w:rPr>
        <w:t xml:space="preserve"> </w:t>
      </w:r>
    </w:p>
    <w:p w14:paraId="7AB49A84" w14:textId="77777777" w:rsidR="00DC36CB" w:rsidRPr="00461C16" w:rsidRDefault="00DC36CB" w:rsidP="00DC36CB">
      <w:pPr>
        <w:spacing w:before="180" w:line="240" w:lineRule="auto"/>
        <w:ind w:left="425" w:hanging="425"/>
        <w:rPr>
          <w:rFonts w:cs="Arial"/>
          <w:lang w:eastAsia="en-US"/>
        </w:rPr>
      </w:pPr>
      <w:r w:rsidRPr="00461C16">
        <w:rPr>
          <w:rFonts w:cs="Arial"/>
        </w:rPr>
        <w:t xml:space="preserve">(14) </w:t>
      </w:r>
      <w:r w:rsidRPr="00461C16">
        <w:rPr>
          <w:rFonts w:cs="Arial"/>
        </w:rPr>
        <w:tab/>
      </w:r>
      <w:r w:rsidRPr="00461C16">
        <w:rPr>
          <w:rFonts w:cs="Arial"/>
          <w:lang w:eastAsia="en-US"/>
        </w:rPr>
        <w:t>Ve veřejném zájmu chránit a rozvíjet přírodní, civilizační a kulturní hodnoty území, včetně urbanistického, architektonického a archeologického dědictví. Zachovat ráz jedinečné urbanistické struktury území, struktury osídlení a jedinečné kulturní krajiny, které jsou výrazem identity území, jeho historie a tradice. Tato území mají značnou hodnotu, např. i jako turistické atraktivity. Jejich ochrana by měla být provázána s potřebami ekonomického a sociálního rozvoje v souladu s principy udržitelného rozvoje. V některých případech je nutná cílená ochrana míst zvláštního zájmu, v jiných případech je třeba chránit, respektive obnovit celé krajinné celky. Krajina je živým</w:t>
      </w:r>
      <w:r w:rsidR="008A132F">
        <w:rPr>
          <w:rFonts w:cs="Arial"/>
          <w:lang w:eastAsia="en-US"/>
        </w:rPr>
        <w:t>,</w:t>
      </w:r>
      <w:r w:rsidRPr="00461C16">
        <w:rPr>
          <w:rFonts w:cs="Arial"/>
          <w:lang w:eastAsia="en-US"/>
        </w:rPr>
        <w:t xml:space="preserve"> v čase proměnným celkem, který vyžaduje tvůrčí, avšak citlivý přístup k vyváženému všestrannému rozvoji tak, aby byly zachovány její stěžejní kulturní, přírodní a užitné hodnoty. </w:t>
      </w:r>
    </w:p>
    <w:p w14:paraId="7D98AD0A" w14:textId="77777777" w:rsidR="00DC36CB" w:rsidRPr="00461C16" w:rsidRDefault="00DC36CB" w:rsidP="00DC36CB">
      <w:pPr>
        <w:spacing w:before="120" w:after="120" w:line="240" w:lineRule="auto"/>
        <w:ind w:left="425"/>
        <w:rPr>
          <w:rFonts w:cs="Arial"/>
        </w:rPr>
      </w:pPr>
      <w:r w:rsidRPr="00461C16">
        <w:rPr>
          <w:rFonts w:cs="Arial"/>
          <w:lang w:eastAsia="en-US"/>
        </w:rPr>
        <w:t>Bránit upadání venkovské krajiny jako důsledku nedostatku lidských zásahů.</w:t>
      </w:r>
    </w:p>
    <w:p w14:paraId="653358D5" w14:textId="77777777" w:rsidR="00DC36CB" w:rsidRPr="00461C16" w:rsidRDefault="00DC36CB" w:rsidP="00DC36CB">
      <w:pPr>
        <w:pStyle w:val="1text"/>
        <w:rPr>
          <w:i/>
          <w:lang w:eastAsia="en-US"/>
        </w:rPr>
      </w:pPr>
      <w:r w:rsidRPr="00461C16">
        <w:rPr>
          <w:i/>
          <w:lang w:eastAsia="en-US"/>
        </w:rPr>
        <w:t xml:space="preserve">ÚP </w:t>
      </w:r>
      <w:r w:rsidR="003F3D74" w:rsidRPr="00461C16">
        <w:rPr>
          <w:i/>
          <w:lang w:eastAsia="en-US"/>
        </w:rPr>
        <w:t>Hrádek nad Nisou</w:t>
      </w:r>
      <w:r w:rsidRPr="00461C16">
        <w:rPr>
          <w:i/>
          <w:lang w:eastAsia="en-US"/>
        </w:rPr>
        <w:t xml:space="preserve"> vytváří předpoklady pro udržitelný rozvoj území, spočívající ve vyváženém vztahu podmínek pro příznivé životní prostředí, pro hospodářský rozvoj a pro soudržnost společenství obyvatel. Cílem koncepce územního plánu je především vytvoření předpokladů pro </w:t>
      </w:r>
      <w:r w:rsidR="003F3D74" w:rsidRPr="00461C16">
        <w:rPr>
          <w:i/>
          <w:lang w:eastAsia="en-US"/>
        </w:rPr>
        <w:t xml:space="preserve">rozvoj bydlení a služeb, </w:t>
      </w:r>
      <w:r w:rsidRPr="00461C16">
        <w:rPr>
          <w:i/>
          <w:lang w:eastAsia="en-US"/>
        </w:rPr>
        <w:t xml:space="preserve">rozvoj rekreace </w:t>
      </w:r>
      <w:r w:rsidR="003F3D74" w:rsidRPr="00461C16">
        <w:rPr>
          <w:i/>
          <w:lang w:eastAsia="en-US"/>
        </w:rPr>
        <w:t xml:space="preserve">a rozvoj výroby </w:t>
      </w:r>
      <w:r w:rsidRPr="00461C16">
        <w:rPr>
          <w:i/>
          <w:lang w:eastAsia="en-US"/>
        </w:rPr>
        <w:t>se současným zachováním harmonického krajinného prostředí.</w:t>
      </w:r>
    </w:p>
    <w:p w14:paraId="7DE3DB7C" w14:textId="77777777" w:rsidR="00DC36CB" w:rsidRPr="00461C16" w:rsidRDefault="00DC36CB" w:rsidP="00DC36CB">
      <w:pPr>
        <w:pStyle w:val="1text"/>
        <w:rPr>
          <w:i/>
          <w:lang w:eastAsia="en-US"/>
        </w:rPr>
      </w:pPr>
      <w:r w:rsidRPr="00461C16">
        <w:rPr>
          <w:i/>
          <w:lang w:eastAsia="en-US"/>
        </w:rPr>
        <w:t xml:space="preserve">Stávající přírodní, kulturní a civilizační hodnoty identifikované na území města jsou </w:t>
      </w:r>
      <w:r w:rsidR="003F3D74" w:rsidRPr="00461C16">
        <w:rPr>
          <w:i/>
          <w:lang w:eastAsia="en-US"/>
        </w:rPr>
        <w:t>v maximální možné míře</w:t>
      </w:r>
      <w:r w:rsidRPr="00461C16">
        <w:rPr>
          <w:i/>
          <w:lang w:eastAsia="en-US"/>
        </w:rPr>
        <w:t xml:space="preserve"> chráněny. Navržené záměry </w:t>
      </w:r>
      <w:r w:rsidR="003F3D74" w:rsidRPr="00461C16">
        <w:rPr>
          <w:i/>
          <w:lang w:eastAsia="en-US"/>
        </w:rPr>
        <w:t xml:space="preserve">zpravidla </w:t>
      </w:r>
      <w:r w:rsidRPr="00461C16">
        <w:rPr>
          <w:i/>
          <w:lang w:eastAsia="en-US"/>
        </w:rPr>
        <w:t>nepředstavují vzhledem ke svému charakteru a poloze zásah do původní urbanistické struktury města, pouze ji doplňují</w:t>
      </w:r>
      <w:r w:rsidR="003F3D74" w:rsidRPr="00461C16">
        <w:rPr>
          <w:i/>
          <w:lang w:eastAsia="en-US"/>
        </w:rPr>
        <w:t xml:space="preserve">. </w:t>
      </w:r>
    </w:p>
    <w:p w14:paraId="29682AC5" w14:textId="77777777" w:rsidR="00DC36CB" w:rsidRPr="00461C16" w:rsidRDefault="00DC36CB" w:rsidP="00DC36CB">
      <w:pPr>
        <w:pStyle w:val="1text"/>
        <w:rPr>
          <w:i/>
          <w:lang w:eastAsia="en-US"/>
        </w:rPr>
      </w:pPr>
      <w:r w:rsidRPr="00461C16">
        <w:rPr>
          <w:i/>
          <w:lang w:eastAsia="en-US"/>
        </w:rPr>
        <w:t xml:space="preserve">Vymezením nových ploch změn vytváří územní plán podmínky pro zkvalitnění podmínek pro bydlení a podnikání a pro zlepšení dostupnosti veřejné infrastruktury, jako prostředků pro posílení soudržnosti obyvatel a ekonomické konkurenceschopnosti města. </w:t>
      </w:r>
    </w:p>
    <w:p w14:paraId="1C3D91D3" w14:textId="77777777" w:rsidR="00DC36CB" w:rsidRPr="00461C16" w:rsidRDefault="00DC36CB" w:rsidP="00DC36CB">
      <w:pPr>
        <w:spacing w:before="180" w:line="240" w:lineRule="auto"/>
        <w:ind w:left="425" w:hanging="425"/>
        <w:rPr>
          <w:rFonts w:cs="Arial"/>
          <w:i/>
        </w:rPr>
      </w:pPr>
      <w:r w:rsidRPr="00461C16">
        <w:rPr>
          <w:rFonts w:cs="Arial"/>
          <w:lang w:eastAsia="en-US"/>
        </w:rPr>
        <w:t>(14a) Při plánování rozvoje venkovských území a oblastí dbát na rozvoj primárního sektoru při zohlednění ochrany kvalitní zemědělské, především orné půdy a ekologických funkcí krajiny</w:t>
      </w:r>
      <w:r w:rsidRPr="00461C16">
        <w:rPr>
          <w:rFonts w:cs="Arial"/>
          <w:i/>
        </w:rPr>
        <w:t>.</w:t>
      </w:r>
    </w:p>
    <w:p w14:paraId="010FFF5B" w14:textId="77777777" w:rsidR="00DC36CB" w:rsidRPr="00461C16" w:rsidRDefault="00DC36CB" w:rsidP="00DC36CB">
      <w:pPr>
        <w:spacing w:before="120" w:after="120" w:line="240" w:lineRule="auto"/>
        <w:rPr>
          <w:rFonts w:cs="Arial"/>
          <w:i/>
          <w:lang w:eastAsia="en-US"/>
        </w:rPr>
      </w:pPr>
      <w:r w:rsidRPr="00461C16">
        <w:rPr>
          <w:rFonts w:cs="Arial"/>
          <w:i/>
          <w:lang w:eastAsia="en-US"/>
        </w:rPr>
        <w:t xml:space="preserve">Charakter a způsob využití krajiny jsou zachovány, se zohledněním rovnovážného vztahu mezi funkcí přírodní, ekologickou a ekonomickou. Územní plán vymezuje plochy </w:t>
      </w:r>
      <w:r w:rsidR="00650E00" w:rsidRPr="00461C16">
        <w:rPr>
          <w:rFonts w:cs="Arial"/>
          <w:i/>
          <w:lang w:eastAsia="en-US"/>
        </w:rPr>
        <w:t xml:space="preserve">smíšené nezastavěného území </w:t>
      </w:r>
      <w:r w:rsidRPr="00461C16">
        <w:rPr>
          <w:rFonts w:cs="Arial"/>
          <w:i/>
          <w:lang w:eastAsia="en-US"/>
        </w:rPr>
        <w:t xml:space="preserve">za účelem ochrany </w:t>
      </w:r>
      <w:r w:rsidR="00650E00" w:rsidRPr="00461C16">
        <w:rPr>
          <w:rFonts w:cs="Arial"/>
          <w:i/>
          <w:lang w:eastAsia="en-US"/>
        </w:rPr>
        <w:t xml:space="preserve">zemědělské půdy </w:t>
      </w:r>
      <w:r w:rsidRPr="00461C16">
        <w:rPr>
          <w:rFonts w:cs="Arial"/>
          <w:i/>
          <w:lang w:eastAsia="en-US"/>
        </w:rPr>
        <w:t xml:space="preserve">pro další obhospodařování, plochy lesní a plochy </w:t>
      </w:r>
      <w:r w:rsidR="00650E00" w:rsidRPr="00461C16">
        <w:rPr>
          <w:rFonts w:cs="Arial"/>
          <w:i/>
          <w:lang w:eastAsia="en-US"/>
        </w:rPr>
        <w:t xml:space="preserve">krajinné zeleně </w:t>
      </w:r>
      <w:r w:rsidRPr="00461C16">
        <w:rPr>
          <w:rFonts w:cs="Arial"/>
          <w:i/>
          <w:lang w:eastAsia="en-US"/>
        </w:rPr>
        <w:t>za účelem posílení ekologické stability krajiny. Je respektována plocha současné těžby bez dalších prostorových nároků. Rozvoj zástavby do volné krajiny je orientován na okrajové polohy zastavěného území</w:t>
      </w:r>
      <w:r w:rsidR="00857E92" w:rsidRPr="00461C16">
        <w:rPr>
          <w:rFonts w:cs="Arial"/>
          <w:i/>
          <w:lang w:eastAsia="en-US"/>
        </w:rPr>
        <w:t>.</w:t>
      </w:r>
    </w:p>
    <w:p w14:paraId="5DC40645"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 xml:space="preserve">(15) </w:t>
      </w:r>
      <w:r w:rsidRPr="00461C16">
        <w:rPr>
          <w:rFonts w:cs="Arial"/>
          <w:lang w:eastAsia="en-US"/>
        </w:rPr>
        <w:tab/>
        <w:t xml:space="preserve">Předcházet při změnách nebo vytváření urbánního prostředí prostorově sociální segregaci s negativními vlivy na sociální soudržnost obyvatel. Analyzovat hlavní mechanizmy, jimiž k segregaci dochází, zvažovat </w:t>
      </w:r>
      <w:r w:rsidRPr="00461C16">
        <w:rPr>
          <w:rFonts w:cs="Arial"/>
          <w:lang w:eastAsia="en-US"/>
        </w:rPr>
        <w:lastRenderedPageBreak/>
        <w:t>existující a potenciální důsledky a navrhovat při územně plánovací činnosti řešení, vhodná pro prevenci nežádoucí míry segregace nebo snížení její úrovně.</w:t>
      </w:r>
    </w:p>
    <w:p w14:paraId="44317875" w14:textId="77777777" w:rsidR="00DC36CB" w:rsidRPr="00461C16" w:rsidRDefault="00DC36CB" w:rsidP="00DC36CB">
      <w:pPr>
        <w:pStyle w:val="1text"/>
        <w:rPr>
          <w:i/>
          <w:lang w:eastAsia="en-US"/>
        </w:rPr>
      </w:pPr>
      <w:r w:rsidRPr="00461C16">
        <w:rPr>
          <w:i/>
          <w:lang w:eastAsia="en-US"/>
        </w:rPr>
        <w:t xml:space="preserve">ÚP </w:t>
      </w:r>
      <w:r w:rsidR="000F6CEF" w:rsidRPr="00461C16">
        <w:rPr>
          <w:i/>
          <w:lang w:eastAsia="en-US"/>
        </w:rPr>
        <w:t>Hrádek nad Nisou</w:t>
      </w:r>
      <w:r w:rsidRPr="00461C16">
        <w:rPr>
          <w:i/>
          <w:lang w:eastAsia="en-US"/>
        </w:rPr>
        <w:t xml:space="preserve"> vytváří předpoklady pro rozvoj bydlení, zlepšení dostupnosti veřejného vybavení, dopravní a technické infrastruktury a zvýšení flexibility ve využívání území prostřednictvím smíšených funkcí, což v důsledku přinese zkvalitnění podmínek pro život obyvatel a posílení sociálních vazeb uvnitř města. </w:t>
      </w:r>
    </w:p>
    <w:p w14:paraId="38E6FB51" w14:textId="77777777" w:rsidR="00DC36CB" w:rsidRPr="00461C16" w:rsidRDefault="00DC36CB" w:rsidP="00DC36CB">
      <w:pPr>
        <w:pStyle w:val="1text"/>
        <w:rPr>
          <w:b/>
          <w:i/>
          <w:lang w:eastAsia="en-US"/>
        </w:rPr>
      </w:pPr>
      <w:r w:rsidRPr="00461C16">
        <w:rPr>
          <w:i/>
          <w:lang w:eastAsia="en-US"/>
        </w:rPr>
        <w:t>Nové rozvojové plochy jsou navrženy ve vazbě na stabilizovaná území a fragmentovaná zástavba je v maximální možné míře navržena k propojení do souvislých celků k podpoření současných prostorových a společenských vztahů v jednotlivých částech města, takže nedojde ke vzniku izolovaných lokalit bez odpovídajícího vybavení a s rizikem vytvoření segregované zástavby.</w:t>
      </w:r>
    </w:p>
    <w:p w14:paraId="104431F6"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 xml:space="preserve">(16) </w:t>
      </w:r>
      <w:r w:rsidRPr="00461C16">
        <w:rPr>
          <w:rFonts w:cs="Arial"/>
          <w:lang w:eastAsia="en-US"/>
        </w:rPr>
        <w:tab/>
        <w:t xml:space="preserve">Při stanovování způsobu využití území v územně plánovací dokumentaci dávat přednost komplexním řešením před uplatňováním jednostranných hledisek a požadavků, které ve svých důsledcích zhoršují stav i hodnoty území. Vhodná řešení územního rozvoje je zapotřebí hledat ve spolupráci s obyvateli území i s jeho uživateli a v souladu s určením a charakterem oblastí, os, ploch a koridorů vymezených v PÚR ČR. </w:t>
      </w:r>
    </w:p>
    <w:p w14:paraId="233D748C" w14:textId="77777777" w:rsidR="00DC36CB" w:rsidRPr="00461C16" w:rsidRDefault="00DC36CB" w:rsidP="00DC36CB">
      <w:pPr>
        <w:pStyle w:val="1text"/>
        <w:rPr>
          <w:i/>
          <w:lang w:eastAsia="en-US"/>
        </w:rPr>
      </w:pPr>
      <w:r w:rsidRPr="00461C16">
        <w:rPr>
          <w:i/>
          <w:lang w:eastAsia="en-US"/>
        </w:rPr>
        <w:t xml:space="preserve">Koncepce ÚP </w:t>
      </w:r>
      <w:r w:rsidR="000F6CEF" w:rsidRPr="00461C16">
        <w:rPr>
          <w:i/>
          <w:lang w:eastAsia="en-US"/>
        </w:rPr>
        <w:t>Hrádek nad Nisou</w:t>
      </w:r>
      <w:r w:rsidRPr="00461C16">
        <w:rPr>
          <w:i/>
          <w:lang w:eastAsia="en-US"/>
        </w:rPr>
        <w:t xml:space="preserve"> je založena na komplexním přístupu, zohledňujícím všechny nezbytné aspekty pro udržitelný návrh rozvoje území, tj. zejména harmonický soulad mezi potřebami a požadavky na další rozvoj, ochranou všech hodnot území a limity využití území, stanovenými příslušnými právními předpisy. Koncepce rozvoje města vychází z důkladné analýzy území, jeho potenciálu, potřeb a problémů a vytváří předpoklady pro vyvážený rozvoj všech jeho složek.</w:t>
      </w:r>
    </w:p>
    <w:p w14:paraId="07ACF1F5"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(16a) Při územně plánovací činnosti vycházet z principu integrovaného rozvoje území, zejména měst a regionů, který představuje objektivní a komplexní posuzování a následné koordinování prostorových, odvětvových a časových hledisek.</w:t>
      </w:r>
    </w:p>
    <w:p w14:paraId="10CB0857" w14:textId="77777777" w:rsidR="00DC36CB" w:rsidRPr="00461C16" w:rsidRDefault="00DC36CB" w:rsidP="00DC36CB">
      <w:pPr>
        <w:spacing w:before="120" w:after="120" w:line="240" w:lineRule="auto"/>
        <w:rPr>
          <w:b/>
          <w:i/>
          <w:lang w:eastAsia="en-US"/>
        </w:rPr>
      </w:pPr>
      <w:r w:rsidRPr="00461C16">
        <w:rPr>
          <w:i/>
        </w:rPr>
        <w:t xml:space="preserve">ÚP </w:t>
      </w:r>
      <w:r w:rsidR="000F6CEF" w:rsidRPr="00461C16">
        <w:rPr>
          <w:i/>
        </w:rPr>
        <w:t>Hrádek nad Nisou</w:t>
      </w:r>
      <w:r w:rsidRPr="00461C16">
        <w:rPr>
          <w:i/>
        </w:rPr>
        <w:t xml:space="preserve"> reflektuje principy integrovaného rozvoje, neboť územní plánování obecně je založeno na objektivním a komplexním posuzování stavu města a na řešení, v němž se koordinují návrhy územního rozvoje vytvářející předpoklady pro investice do bydlení, ekonomických aktivit, vybavenosti a volnočasových aktivit s řešením obsluhy dopravní a technickou infrastrukturou a pro ochranu hodnot území. Koncepce územního plánu </w:t>
      </w:r>
      <w:r w:rsidRPr="00461C16">
        <w:rPr>
          <w:i/>
          <w:lang w:eastAsia="en-US"/>
        </w:rPr>
        <w:t>nepřispívá k dezintegraci rozvoje města a k disproporci v jeho vyváženém rozvoji.</w:t>
      </w:r>
    </w:p>
    <w:p w14:paraId="580BBE42"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 xml:space="preserve">(17) </w:t>
      </w:r>
      <w:r w:rsidRPr="00461C16">
        <w:rPr>
          <w:rFonts w:cs="Arial"/>
          <w:lang w:eastAsia="en-US"/>
        </w:rPr>
        <w:tab/>
        <w:t xml:space="preserve">Vytvářet v území podmínky k odstraňování důsledků hospodářských změn lokalizací zastavitelných ploch pro vytváření pracovních příležitostí zejména v hospodářsky problémových regionech a napomoci tak řešení problémů v těchto územích. </w:t>
      </w:r>
    </w:p>
    <w:p w14:paraId="558EBCD9" w14:textId="77777777" w:rsidR="00DC36CB" w:rsidRPr="00461C16" w:rsidRDefault="00DC36CB" w:rsidP="00DC36CB">
      <w:pPr>
        <w:pStyle w:val="1text"/>
        <w:rPr>
          <w:i/>
          <w:lang w:eastAsia="en-US"/>
        </w:rPr>
      </w:pPr>
      <w:r w:rsidRPr="00461C16">
        <w:rPr>
          <w:i/>
          <w:lang w:eastAsia="en-US"/>
        </w:rPr>
        <w:t xml:space="preserve">Město </w:t>
      </w:r>
      <w:r w:rsidR="000F6CEF" w:rsidRPr="00461C16">
        <w:rPr>
          <w:i/>
          <w:lang w:eastAsia="en-US"/>
        </w:rPr>
        <w:t>Hrádek nad Nisou</w:t>
      </w:r>
      <w:r w:rsidRPr="00461C16">
        <w:rPr>
          <w:i/>
          <w:lang w:eastAsia="en-US"/>
        </w:rPr>
        <w:t xml:space="preserve"> není hodnoceno jako hospodářsky problémový region. Součástí koncepce ÚP je nicméně i vymezení ploch pro rozvoj podnikání, </w:t>
      </w:r>
      <w:r w:rsidR="000F6CEF" w:rsidRPr="00461C16">
        <w:rPr>
          <w:i/>
          <w:lang w:eastAsia="en-US"/>
        </w:rPr>
        <w:t xml:space="preserve">s ohledem na strategickou polohu na významném dopravním tahu a na státní hranici s vazbou na Polsko a Německo. Rozvoj podnikatelských aktivit je možný </w:t>
      </w:r>
      <w:r w:rsidRPr="00461C16">
        <w:rPr>
          <w:i/>
          <w:lang w:eastAsia="en-US"/>
        </w:rPr>
        <w:t>v rámci samostatných ploch pro výrobu a komerční vybavení a dále ve smíšených obytných plochách, umožňujících lokalizaci zařízení pro občanské vybavení či drobnou výrobu jako přidruženou činnost k bydlení. Cílem je zejména posílení ekonomické základny města a zatraktivnění prostředí pro bydlení, v druhé řadě i vytvoření nabídky dalších pracovních příležitostí.</w:t>
      </w:r>
    </w:p>
    <w:p w14:paraId="5FEFA6A0"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 xml:space="preserve">(18) </w:t>
      </w:r>
      <w:r w:rsidRPr="00461C16">
        <w:rPr>
          <w:rFonts w:cs="Arial"/>
          <w:lang w:eastAsia="en-US"/>
        </w:rPr>
        <w:tab/>
        <w:t>Podporovat polycentrický rozvoj sídelní struktury. Vytvářet předpoklady pro posílení partnerství mezi městskými a venkovskými oblastmi a zlepšit tak jejich konkurenceschopnost.</w:t>
      </w:r>
    </w:p>
    <w:p w14:paraId="07D82125" w14:textId="77777777" w:rsidR="00DC36CB" w:rsidRPr="00461C16" w:rsidRDefault="00DC36CB" w:rsidP="00DC36CB">
      <w:pPr>
        <w:pStyle w:val="1text"/>
        <w:rPr>
          <w:i/>
          <w:lang w:eastAsia="en-US"/>
        </w:rPr>
      </w:pPr>
      <w:r w:rsidRPr="00461C16">
        <w:rPr>
          <w:i/>
          <w:lang w:eastAsia="en-US"/>
        </w:rPr>
        <w:t xml:space="preserve">Urbanistická struktura města </w:t>
      </w:r>
      <w:r w:rsidR="00E51E9F" w:rsidRPr="00461C16">
        <w:rPr>
          <w:i/>
          <w:lang w:eastAsia="en-US"/>
        </w:rPr>
        <w:t>Hrádek nad Nisou</w:t>
      </w:r>
      <w:r w:rsidRPr="00461C16">
        <w:rPr>
          <w:i/>
          <w:lang w:eastAsia="en-US"/>
        </w:rPr>
        <w:t xml:space="preserve"> je založena na polycentrickém uspořádání tvořeném několika samostatnými sídly volně rozptýlenými v krajině. Územní plán toto založení respektuje, posiluje svébytnost jednotlivých sídel a umožňuje přidružení dalších doplňkových funkcí k dominantnímu bydlení, čímž přispívá k jejich stabilitě a konkurenceschopnosti, zároveň však podporuje část </w:t>
      </w:r>
      <w:r w:rsidR="00E51E9F" w:rsidRPr="00461C16">
        <w:rPr>
          <w:i/>
          <w:lang w:eastAsia="en-US"/>
        </w:rPr>
        <w:t xml:space="preserve">Hrádek nad Nisou </w:t>
      </w:r>
      <w:r w:rsidRPr="00461C16">
        <w:rPr>
          <w:i/>
          <w:lang w:eastAsia="en-US"/>
        </w:rPr>
        <w:t>jako významové těžiště celého města. Rozvoj je navržen ve všech částech města, proporcionálně dle jejich velikosti a potřeb, s převažujícím smíšeným charakterem navrhovaného využití, který umožňuje maximální flexibilitu a schopnost rychle reagovat na potřeby města, případně i okolních obcí. Pro posílení vazeb v širším zájmovém území jsou stabilizovány a doplněny plochy dopravní infrastruktury a veřejných prostranství, které zlepší dostupnost sídel a prostupnost krajiny.</w:t>
      </w:r>
    </w:p>
    <w:p w14:paraId="097C33D4"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lastRenderedPageBreak/>
        <w:t xml:space="preserve">(19) </w:t>
      </w:r>
      <w:r w:rsidRPr="00461C16">
        <w:rPr>
          <w:rFonts w:cs="Arial"/>
          <w:lang w:eastAsia="en-US"/>
        </w:rPr>
        <w:tab/>
        <w:t>Vytvářet předpoklady pro polyfunkční využívání opuštěných areálů a ploch (tzv. brownfields průmyslového, zemědělského, vojenského a jiného původu). Hospodárně využívat zastavěné území (podpora přestaveb revitalizací a sanací území) a zajistit ochranu nezastavěného území (zejména zemědělské a lesní půdy) a zachování veřejné zeleně, včetně minimalizace její fragmentace. Cílem je účelné využívání a uspořádání území úsporné v nárocích na veřejné rozpočty na dopravu a energie, které koordinací veřejných a soukromých zájmů na rozvoji území omezuje negativní důsledky suburbanizace pro udržitelný rozvoj území.</w:t>
      </w:r>
    </w:p>
    <w:p w14:paraId="7CDD0602" w14:textId="77777777" w:rsidR="00DC36CB" w:rsidRPr="00461C16" w:rsidRDefault="00DC36CB" w:rsidP="00DC36CB">
      <w:pPr>
        <w:pStyle w:val="1text"/>
        <w:rPr>
          <w:i/>
          <w:lang w:eastAsia="en-US"/>
        </w:rPr>
      </w:pPr>
      <w:r w:rsidRPr="00461C16">
        <w:rPr>
          <w:i/>
          <w:lang w:eastAsia="en-US"/>
        </w:rPr>
        <w:t xml:space="preserve">Hospodárné využívání území a ochrana volné krajiny před fragmentací jsou jedním ze základních cílů koncepce ÚP. Rozvojové plochy jsou vymezeny přednostně v prolukách v zastavěném území a v plochách brownfields, v druhé řadě v přímé návaznosti na hranici zastavěného území. Nedochází k zakládání nové zástavby ve volné krajině. Krajinné prostředí, plochy ZPF, lesa a zeleně jsou </w:t>
      </w:r>
      <w:r w:rsidR="00E51E9F" w:rsidRPr="00461C16">
        <w:rPr>
          <w:i/>
          <w:lang w:eastAsia="en-US"/>
        </w:rPr>
        <w:t xml:space="preserve">v maximální možné míře </w:t>
      </w:r>
      <w:r w:rsidRPr="00461C16">
        <w:rPr>
          <w:i/>
          <w:lang w:eastAsia="en-US"/>
        </w:rPr>
        <w:t>chráněny jako významné přírodní hodnoty.</w:t>
      </w:r>
    </w:p>
    <w:p w14:paraId="463C6B32"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(20)</w:t>
      </w:r>
      <w:r w:rsidRPr="00461C16">
        <w:rPr>
          <w:rFonts w:cs="Arial"/>
          <w:lang w:eastAsia="en-US"/>
        </w:rPr>
        <w:tab/>
        <w:t>Rozvojové záměry, které mohou významně ovlivnit charakter krajiny, umísťovat do co nejméně konfliktních lokalit a následně podporovat potřebná kompenzační opatření. S ohledem na to při územně plánovací činnosti, pokud je to možné a odůvodněné, respektovat veřejné zájmy např. ochrany biologické rozmanitosti a kvality životního prostředí, zejména formou důsledné ochrany zvláště chráněných území, lokalit soustavy Natura 2000, mokřadů, ochranných pásem vodních zdrojů, chráněné oblasti přirozené akumulace vod a nerostného bohatství, ochrany zemědělského a lesního půdního fondu. Vytvářet územní podmínky pro implementaci a respektování územních systémů ekologické stability a zvyšování a udržování ekologické stability a k zajištění ekologických funkcí i v ostatní volné krajině a pro ochranu krajinných prvků přírodního charakteru v zastavěných územích, zvyšování a udržování rozmanitosti venkovské krajiny. V rámci územně plánovací činnosti vytvářet podmínky pro ochranu krajinného rázu s ohledem na cílové charakteristiky a typy krajiny a vytvářet podmínky pro využití přírodních zdrojů.</w:t>
      </w:r>
    </w:p>
    <w:p w14:paraId="16E9295E" w14:textId="77777777" w:rsidR="0032444C" w:rsidRPr="00461C16" w:rsidRDefault="0032444C" w:rsidP="00DC36CB">
      <w:pPr>
        <w:pStyle w:val="1text"/>
        <w:rPr>
          <w:i/>
          <w:lang w:eastAsia="en-US"/>
        </w:rPr>
      </w:pPr>
      <w:r w:rsidRPr="00461C16">
        <w:rPr>
          <w:i/>
          <w:lang w:eastAsia="en-US"/>
        </w:rPr>
        <w:t xml:space="preserve">ÚP vymezuje rozsáhlé plochy výroby a skladování, které mohou mít negativní vliv na krajinný ráz. Jejich lokalizace koresponduje s trasou stávajícího obchvatu města a navazuje na již založenou průmyslovou zónu Hrádek nad Nisou, nejedná se tedy o novou strukturu v krajině. Druhý potenciální zásah do krajinného charakteru představuje návrh rozšíření rekreační zóny Kristýna, ani v tomto případě se však nejedná o zakládání solitérní zástavby, nýbrž pouze o rozvoj již existujícího areálu v izolované poloze. </w:t>
      </w:r>
    </w:p>
    <w:p w14:paraId="09E4CA93" w14:textId="77777777" w:rsidR="00DC36CB" w:rsidRPr="00461C16" w:rsidRDefault="0032444C" w:rsidP="00DC36CB">
      <w:pPr>
        <w:pStyle w:val="1text"/>
        <w:rPr>
          <w:i/>
          <w:lang w:eastAsia="en-US"/>
        </w:rPr>
      </w:pPr>
      <w:r w:rsidRPr="00461C16">
        <w:rPr>
          <w:i/>
          <w:lang w:eastAsia="en-US"/>
        </w:rPr>
        <w:t>Ve zbývající části území j</w:t>
      </w:r>
      <w:r w:rsidR="00DC36CB" w:rsidRPr="00461C16">
        <w:rPr>
          <w:i/>
          <w:lang w:eastAsia="en-US"/>
        </w:rPr>
        <w:t>e zachována stávající krajinná pestrost a struktura a jsou chráněny veškeré přírodní hodnot</w:t>
      </w:r>
      <w:r w:rsidR="003D6C79" w:rsidRPr="00461C16">
        <w:rPr>
          <w:i/>
          <w:lang w:eastAsia="en-US"/>
        </w:rPr>
        <w:t>y</w:t>
      </w:r>
      <w:r w:rsidR="00DC36CB" w:rsidRPr="00461C16">
        <w:rPr>
          <w:i/>
          <w:lang w:eastAsia="en-US"/>
        </w:rPr>
        <w:t xml:space="preserve">, zejména rozsáhlé plochy zemědělské půdy, lesních pozemků, vodní plochy a územní systém ekologické stability. Pro zvýšení ekologické stability krajiny je navrženo lokální doplnění ÚSES. </w:t>
      </w:r>
    </w:p>
    <w:p w14:paraId="293C318F"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(20a) Vytvářet územní podmínky pro zajištění migrační propustnosti krajiny pro volně žijící živočichy a pro člověka, zejména při umísťování dopravní a technické infrastruktury. V rámci územně plánovací činnosti omezovat nežádoucí srůstání sídel s ohledem na zajištění přístupnosti a prostupnosti krajiny.</w:t>
      </w:r>
    </w:p>
    <w:p w14:paraId="054611B8" w14:textId="77777777" w:rsidR="004B2ACB" w:rsidRPr="00461C16" w:rsidRDefault="004B2ACB" w:rsidP="00DC36CB">
      <w:pPr>
        <w:pStyle w:val="1text"/>
        <w:rPr>
          <w:i/>
          <w:lang w:eastAsia="en-US"/>
        </w:rPr>
      </w:pPr>
      <w:r w:rsidRPr="00461C16">
        <w:rPr>
          <w:i/>
          <w:lang w:eastAsia="en-US"/>
        </w:rPr>
        <w:t>Využití koridoru městského obchvatu pro rozvoj průmyslové zóny Hrádek nad Nisou a umisťování dalších výrobních a skladovacích zařízení ve vazbě na státní hranici představuje významné přiblížení zástavby části Hrádek k zástavbě sídla Oldřichov na Hranicích, odstup je zachován prostřednictvím pásu izolační zeleně. V případně ostatních sídel nedochází k jejich srůstání, je respektována polycentrická struktura města a rozvoj je směřován do proluk a na hranici zastavěného území.</w:t>
      </w:r>
    </w:p>
    <w:p w14:paraId="6C22805B" w14:textId="77777777" w:rsidR="004B2ACB" w:rsidRPr="00461C16" w:rsidRDefault="004B2ACB" w:rsidP="00DC36CB">
      <w:pPr>
        <w:pStyle w:val="1text"/>
        <w:rPr>
          <w:i/>
          <w:lang w:eastAsia="en-US"/>
        </w:rPr>
      </w:pPr>
      <w:r w:rsidRPr="00461C16">
        <w:rPr>
          <w:i/>
          <w:lang w:eastAsia="en-US"/>
        </w:rPr>
        <w:t xml:space="preserve">Z hlediska prostupnosti krajiny je již v současné době výraznou bariérou obchvat města (silnice I/35), bariérový efekt je posílen vymezením ploch pro výrobu podél komunikace. Případnou propustnost pro migraci živočichů </w:t>
      </w:r>
      <w:r w:rsidR="00A521CE" w:rsidRPr="00461C16">
        <w:rPr>
          <w:i/>
          <w:lang w:eastAsia="en-US"/>
        </w:rPr>
        <w:t>by bylo</w:t>
      </w:r>
      <w:r w:rsidRPr="00461C16">
        <w:rPr>
          <w:i/>
          <w:lang w:eastAsia="en-US"/>
        </w:rPr>
        <w:t xml:space="preserve"> nutn</w:t>
      </w:r>
      <w:r w:rsidR="00A521CE" w:rsidRPr="00461C16">
        <w:rPr>
          <w:i/>
          <w:lang w:eastAsia="en-US"/>
        </w:rPr>
        <w:t>é</w:t>
      </w:r>
      <w:r w:rsidRPr="00461C16">
        <w:rPr>
          <w:i/>
          <w:lang w:eastAsia="en-US"/>
        </w:rPr>
        <w:t xml:space="preserve"> řešit v podrobnější dokumentaci</w:t>
      </w:r>
      <w:r w:rsidR="00FA6DBB" w:rsidRPr="00461C16">
        <w:rPr>
          <w:i/>
          <w:lang w:eastAsia="en-US"/>
        </w:rPr>
        <w:t>, která prověří a navrhne</w:t>
      </w:r>
      <w:r w:rsidR="00A521CE" w:rsidRPr="00461C16">
        <w:rPr>
          <w:i/>
          <w:lang w:eastAsia="en-US"/>
        </w:rPr>
        <w:t xml:space="preserve"> uspořádání zástavby v plochách, nicméně stávající vedení silnice I/35 a neexistence migračních koridorů, stejně jako rozsah navazujících zastavěných ploch reálně neumožňuje žádné migrační směry.</w:t>
      </w:r>
    </w:p>
    <w:p w14:paraId="02A30BF6"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(21)</w:t>
      </w:r>
      <w:r w:rsidRPr="00461C16">
        <w:rPr>
          <w:rFonts w:cs="Arial"/>
          <w:lang w:eastAsia="en-US"/>
        </w:rPr>
        <w:tab/>
        <w:t>Vymezit a chránit ve spolupráci s dotčenými obcemi před zastavěním pozemky nezbytné pro vytvoření souvislých ploch veřejně přístupné zeleně (zelené pásy) v rozvojových oblastech a v rozvojových osách a ve specifických oblastech, na jejichž území je krajina negativně poznamenána lidskou činností, s využitím její přirozené obnovy; cílem je zachování souvislých pásů nezastavěného území v bezprostředním okolí velkých měst, způsobilých pro nenáročné formy krátkodobé rekreace a dále pro vznik a rozvoj lesních porostů a zachování prostupnosti krajiny.</w:t>
      </w:r>
    </w:p>
    <w:p w14:paraId="440E9B3B" w14:textId="77777777" w:rsidR="00DC36CB" w:rsidRPr="00461C16" w:rsidRDefault="00D91E16" w:rsidP="00DC36CB">
      <w:pPr>
        <w:pStyle w:val="1text"/>
        <w:rPr>
          <w:i/>
          <w:lang w:eastAsia="en-US"/>
        </w:rPr>
      </w:pPr>
      <w:r w:rsidRPr="00461C16">
        <w:rPr>
          <w:i/>
          <w:lang w:eastAsia="en-US"/>
        </w:rPr>
        <w:lastRenderedPageBreak/>
        <w:t xml:space="preserve">Požadavek není zcela relevantní pro město Hrádek. Město je sice součástí rozvojové oblasti OB7 a rozvojové osy OS3, nejde však o velké město. V ÚP jsou respektovány lesní masivy v jihozápadní části území (Sedlecký vrch, Popova skála ad.) a zelená osa Nisy. </w:t>
      </w:r>
    </w:p>
    <w:p w14:paraId="7F660F7B"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(22)</w:t>
      </w:r>
      <w:r w:rsidRPr="00461C16">
        <w:rPr>
          <w:rFonts w:cs="Arial"/>
          <w:lang w:eastAsia="en-US"/>
        </w:rPr>
        <w:tab/>
        <w:t>Vytvářet podmínky pro rozvoj a využití předpokladů území pro různé formy cestovního ruchu (např. cykloturistika, agroturistika, poznávací turistika), při zachování a rozvoji hodnot území. Podporovat propojení míst, atraktivních z hlediska cestovního ruchu, turistickými cestami, které umožňují celoroční využití pro různé formy turistiky (např. pěší, cyklo, lyžařská, hipo).</w:t>
      </w:r>
    </w:p>
    <w:p w14:paraId="096CEBDB" w14:textId="77777777" w:rsidR="00BE30EA" w:rsidRPr="00461C16" w:rsidRDefault="00DC36CB" w:rsidP="00DC36CB">
      <w:pPr>
        <w:pStyle w:val="1text"/>
        <w:rPr>
          <w:i/>
          <w:lang w:eastAsia="en-US"/>
        </w:rPr>
      </w:pPr>
      <w:r w:rsidRPr="00461C16">
        <w:rPr>
          <w:i/>
          <w:lang w:eastAsia="en-US"/>
        </w:rPr>
        <w:t xml:space="preserve">Navržená koncepce rozvoje zohledňuje veškeré identifikované hodnoty na území města. Atraktivita města a kvalita přírodního prostředí </w:t>
      </w:r>
      <w:r w:rsidR="00BE30EA" w:rsidRPr="00461C16">
        <w:rPr>
          <w:i/>
          <w:lang w:eastAsia="en-US"/>
        </w:rPr>
        <w:t xml:space="preserve">a zázemí </w:t>
      </w:r>
      <w:r w:rsidRPr="00461C16">
        <w:rPr>
          <w:i/>
          <w:lang w:eastAsia="en-US"/>
        </w:rPr>
        <w:t xml:space="preserve">vytváří </w:t>
      </w:r>
      <w:r w:rsidR="00BE30EA" w:rsidRPr="00461C16">
        <w:rPr>
          <w:i/>
          <w:lang w:eastAsia="en-US"/>
        </w:rPr>
        <w:t>z Hrádku nad Nisou</w:t>
      </w:r>
      <w:r w:rsidRPr="00461C16">
        <w:rPr>
          <w:i/>
          <w:lang w:eastAsia="en-US"/>
        </w:rPr>
        <w:t xml:space="preserve"> vyhledávaný cíl pro turistiku a různé formy rekreace. </w:t>
      </w:r>
      <w:r w:rsidR="00BE30EA" w:rsidRPr="00461C16">
        <w:rPr>
          <w:i/>
          <w:lang w:eastAsia="en-US"/>
        </w:rPr>
        <w:t xml:space="preserve">Nejvýznamnějším zařízením s obrovským potenciálem pro další rozvoj je rekreační areál okolo vodní plochy Kristýna. </w:t>
      </w:r>
    </w:p>
    <w:p w14:paraId="32A0E1F0" w14:textId="77777777" w:rsidR="00BE30EA" w:rsidRPr="00461C16" w:rsidRDefault="00DC36CB" w:rsidP="00DC36CB">
      <w:pPr>
        <w:pStyle w:val="1text"/>
        <w:rPr>
          <w:i/>
          <w:lang w:eastAsia="en-US"/>
        </w:rPr>
      </w:pPr>
      <w:r w:rsidRPr="00461C16">
        <w:rPr>
          <w:i/>
          <w:lang w:eastAsia="en-US"/>
        </w:rPr>
        <w:t xml:space="preserve">ÚP podporuje </w:t>
      </w:r>
      <w:r w:rsidR="00BE30EA" w:rsidRPr="00461C16">
        <w:rPr>
          <w:i/>
          <w:lang w:eastAsia="en-US"/>
        </w:rPr>
        <w:t xml:space="preserve">atraktivitu území </w:t>
      </w:r>
      <w:r w:rsidRPr="00461C16">
        <w:rPr>
          <w:i/>
          <w:lang w:eastAsia="en-US"/>
        </w:rPr>
        <w:t>stabilizací současných rekreačních ploch a zařízení a zároveň vymezením ploch v navazujícím úz</w:t>
      </w:r>
      <w:r w:rsidR="00BE30EA" w:rsidRPr="00461C16">
        <w:rPr>
          <w:i/>
          <w:lang w:eastAsia="en-US"/>
        </w:rPr>
        <w:t>emí pro další rozvoj rekreace (zahrádková</w:t>
      </w:r>
      <w:r w:rsidRPr="00461C16">
        <w:rPr>
          <w:i/>
          <w:lang w:eastAsia="en-US"/>
        </w:rPr>
        <w:t>, hromadná</w:t>
      </w:r>
      <w:r w:rsidR="00BE30EA" w:rsidRPr="00461C16">
        <w:rPr>
          <w:i/>
          <w:lang w:eastAsia="en-US"/>
        </w:rPr>
        <w:t>, přírodní</w:t>
      </w:r>
      <w:r w:rsidRPr="00461C16">
        <w:rPr>
          <w:i/>
          <w:lang w:eastAsia="en-US"/>
        </w:rPr>
        <w:t xml:space="preserve">). ÚP vytváří předpoklady pro zkvalitnění infrastruktury cestovního ruchu, zejména vymezením převažujícího smíšeného způsobu využití ploch v zastavěném území města, který umožňuje lokalizaci různých typů zařízení pro rekreaci a cestovní ruch. </w:t>
      </w:r>
    </w:p>
    <w:p w14:paraId="61088290" w14:textId="77777777" w:rsidR="00DC36CB" w:rsidRPr="00461C16" w:rsidRDefault="006E2BA6" w:rsidP="00DC36CB">
      <w:pPr>
        <w:pStyle w:val="1text"/>
        <w:rPr>
          <w:b/>
          <w:i/>
          <w:lang w:eastAsia="en-US"/>
        </w:rPr>
      </w:pPr>
      <w:r w:rsidRPr="00461C16">
        <w:rPr>
          <w:i/>
          <w:lang w:eastAsia="en-US"/>
        </w:rPr>
        <w:t>Koncepce ÚP vytváří předpoklady pro podporu cykloturistiky zejména vymezením cyklotrasy Odra-Nisa.</w:t>
      </w:r>
    </w:p>
    <w:p w14:paraId="1E85A801"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(23)</w:t>
      </w:r>
      <w:r w:rsidRPr="00461C16">
        <w:rPr>
          <w:rFonts w:cs="Arial"/>
          <w:lang w:eastAsia="en-US"/>
        </w:rPr>
        <w:tab/>
        <w:t xml:space="preserve">Podle místních podmínek vytvářet předpoklady pro lepší dostupnost území a zkvalitnění dopravní a technické infrastruktury s ohledem na prostupnost krajiny. Při umísťování dopravní a technické infrastruktury zachovat prostupnost krajiny a minimalizovat rozsah fragmentace krajiny; je-li to z těchto hledisek účelné, umísťovat tato zařízení souběžně. Zmírňovat vystavení městských oblastí nepříznivým účinkům tranzitní železniční a silniční dopravy, mimo jiné i prostřednictvím obchvatů městských oblastí, nebo zajistit ochranu jinými vhodnými opatřeními v území. Zároveň však vymezovat plochy pro novou obytnou zástavbu tak, aby byl zachován dostatečný odstup od vymezených koridorů pro nové úseky dálnic, silnic I. třídy a železnic, a tímto způsobem důsledně předcházet zneprůchodnění území pro dopravní stavby i možnému nežádoucímu působení negativních účinků provozu dopravy na veřejné zdraví obyvatel (bez nutnosti budování nákladných technických opatření na eliminaci těchto účinků). </w:t>
      </w:r>
    </w:p>
    <w:p w14:paraId="088AF21A" w14:textId="77777777" w:rsidR="006E2BA6" w:rsidRPr="00461C16" w:rsidRDefault="006E2BA6" w:rsidP="006E2BA6">
      <w:pPr>
        <w:pStyle w:val="1text"/>
        <w:rPr>
          <w:i/>
          <w:lang w:eastAsia="en-US"/>
        </w:rPr>
      </w:pPr>
      <w:r w:rsidRPr="00461C16">
        <w:rPr>
          <w:i/>
          <w:lang w:eastAsia="en-US"/>
        </w:rPr>
        <w:t xml:space="preserve">ÚP stabilizuje stávající síť silnic včetně místních a účelových komunikací a stávající sítě a zařízení technické infrastruktury, které v současné době zajišťují optimální obsluhu území města Hrádek nad Nisou. ÚP dále navrhuje nové komunikace a nové sítě pro zlepšení obsluhy území města Hrádek nad Nisou a pro zajištění obsluhy nově navrhovaných ploch určených k zástavbě. </w:t>
      </w:r>
    </w:p>
    <w:p w14:paraId="55768AB6" w14:textId="77777777" w:rsidR="006E2BA6" w:rsidRPr="00461C16" w:rsidRDefault="006E2BA6" w:rsidP="006E2BA6">
      <w:pPr>
        <w:pStyle w:val="1text"/>
        <w:rPr>
          <w:i/>
          <w:lang w:eastAsia="en-US"/>
        </w:rPr>
      </w:pPr>
      <w:r w:rsidRPr="00461C16">
        <w:rPr>
          <w:i/>
          <w:lang w:eastAsia="en-US"/>
        </w:rPr>
        <w:t>Návrh dopravní a technické infrastruktury je proveden s ohledem na budoucí potřeby území. V ÚP je umístění dopravní a technické infrastruktury v zastavěném i nezastavěném území vzájemně koordinováno. Územní plán vytváří podmínky pro vymezení nových ploch a koridorů dopravní a technické infrastruktury s cílem minimalizace nežádoucí fragmentace krajiny a s ohledem na stávající a navrhovanou zástavbu (zejména obytnou).</w:t>
      </w:r>
    </w:p>
    <w:p w14:paraId="3FB45BF5" w14:textId="77777777" w:rsidR="00DC36CB" w:rsidRPr="00461C16" w:rsidRDefault="006E2BA6" w:rsidP="006E2BA6">
      <w:pPr>
        <w:pStyle w:val="1text"/>
        <w:rPr>
          <w:i/>
          <w:lang w:eastAsia="en-US"/>
        </w:rPr>
      </w:pPr>
      <w:r w:rsidRPr="00461C16">
        <w:rPr>
          <w:i/>
          <w:lang w:eastAsia="en-US"/>
        </w:rPr>
        <w:t>ÚP nenavrhuje žádné plochy pro novou obytnou zástavbu v blízkosti navrhovaných liniových staveb dopravní nebo technické infrastruktury.</w:t>
      </w:r>
    </w:p>
    <w:p w14:paraId="053898CE"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(24)</w:t>
      </w:r>
      <w:r w:rsidRPr="00461C16">
        <w:rPr>
          <w:rFonts w:cs="Arial"/>
          <w:lang w:eastAsia="en-US"/>
        </w:rPr>
        <w:tab/>
        <w:t>Vytvářet podmínky pro zlepšování dostupnosti území rozšiřováním a zkvalitňováním dopravní infrastruktury s ohledem na potřeby veřejné dopravy a požadavky ochrany veřejného zdraví, zejména uvnitř rozvojových oblastí a rozvojových os. Možnosti nové výstavby je třeba dostatečnou veřejnou infrastrukturou přímo podmínit. Vytvářet podmínky pro zvyšování bezpečnosti a plynulosti dopravy, ochrany a bezpečnosti obyvatelstva a zlepšování jeho ochrany před hlukem a emisemi, s ohledem na to vytvářet v území podmínky pro environmentálně šetrné formy dopravy (např. železniční, cyklistickou).</w:t>
      </w:r>
    </w:p>
    <w:p w14:paraId="674ABF4C" w14:textId="77777777" w:rsidR="006E2BA6" w:rsidRPr="00461C16" w:rsidRDefault="006E2BA6" w:rsidP="006E2BA6">
      <w:pPr>
        <w:pStyle w:val="1text"/>
        <w:rPr>
          <w:i/>
          <w:lang w:eastAsia="en-US"/>
        </w:rPr>
      </w:pPr>
      <w:r w:rsidRPr="00461C16">
        <w:rPr>
          <w:i/>
          <w:lang w:eastAsia="en-US"/>
        </w:rPr>
        <w:t>ÚP respektuje stávající plochy a zařízení dopravní infrastruktury silniční, železniční, veřejné hromadné, cyklistické i pěší a navrhuje opatření pro jejich doplnění a rozšíření, s ohledem na zlepšení hygienické kvality prostředí a zmírnění negativních dopadů dopravy na životní a obytné prostředí.</w:t>
      </w:r>
    </w:p>
    <w:p w14:paraId="3999A3BF" w14:textId="77777777" w:rsidR="00DC36CB" w:rsidRPr="00461C16" w:rsidRDefault="006E2BA6" w:rsidP="006E2BA6">
      <w:pPr>
        <w:pStyle w:val="1text"/>
        <w:rPr>
          <w:b/>
          <w:i/>
          <w:lang w:eastAsia="en-US"/>
        </w:rPr>
      </w:pPr>
      <w:r w:rsidRPr="00461C16">
        <w:rPr>
          <w:i/>
          <w:lang w:eastAsia="en-US"/>
        </w:rPr>
        <w:t>Ochrana obyvatel před hlukem a emisemi z dopravy je zajištěna vlastní lokalizací rozvojových ploch pro bydlení a rekreaci přednostně mimo území exponovaná hlukem z dopravy, případně vymezením doprovodné zeleně podél dopravních tras (např zelený pás mezi silnicí I/35 a rozvojovým územím v severní části sídla Hrádek nad Nisou).</w:t>
      </w:r>
    </w:p>
    <w:p w14:paraId="562BA7C2"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lastRenderedPageBreak/>
        <w:t>(24a) Na územích, kde dochází dlouhodobě k překračování zákonem stanovených mezních hodnot imisních limitů pro ochranu lidského zdraví, je nutné předcházet dalšímu významnému zhoršování stavu. Vhodným uspořádáním ploch v území obcí vytvářet podmínky pro minimalizaci negativních vlivů koncentrované výrobní činnosti na bydlení. Vymezovat plochy pro novou obytnou zástavbu tak, aby byl zachován dostatečný odstup od průmyslových nebo zemědělských areálů.</w:t>
      </w:r>
    </w:p>
    <w:p w14:paraId="63CFA15B" w14:textId="77777777" w:rsidR="00DC36CB" w:rsidRPr="00461C16" w:rsidRDefault="00DC36CB" w:rsidP="00DC36CB">
      <w:pPr>
        <w:pStyle w:val="1text"/>
        <w:rPr>
          <w:i/>
          <w:lang w:eastAsia="en-US"/>
        </w:rPr>
      </w:pPr>
      <w:r w:rsidRPr="00461C16">
        <w:rPr>
          <w:i/>
          <w:lang w:eastAsia="en-US"/>
        </w:rPr>
        <w:t xml:space="preserve">Na území města </w:t>
      </w:r>
      <w:r w:rsidR="00451A8E" w:rsidRPr="00461C16">
        <w:rPr>
          <w:i/>
          <w:lang w:eastAsia="en-US"/>
        </w:rPr>
        <w:t>Hrádek nad Nisou</w:t>
      </w:r>
      <w:r w:rsidRPr="00461C16">
        <w:rPr>
          <w:i/>
          <w:lang w:eastAsia="en-US"/>
        </w:rPr>
        <w:t xml:space="preserve"> se nachází </w:t>
      </w:r>
      <w:r w:rsidR="00451A8E" w:rsidRPr="00461C16">
        <w:rPr>
          <w:i/>
          <w:lang w:eastAsia="en-US"/>
        </w:rPr>
        <w:t xml:space="preserve">několik </w:t>
      </w:r>
      <w:r w:rsidRPr="00461C16">
        <w:rPr>
          <w:i/>
          <w:lang w:eastAsia="en-US"/>
        </w:rPr>
        <w:t>rozsáhlejší</w:t>
      </w:r>
      <w:r w:rsidR="00451A8E" w:rsidRPr="00461C16">
        <w:rPr>
          <w:i/>
          <w:lang w:eastAsia="en-US"/>
        </w:rPr>
        <w:t>ch</w:t>
      </w:r>
      <w:r w:rsidRPr="00461C16">
        <w:rPr>
          <w:i/>
          <w:lang w:eastAsia="en-US"/>
        </w:rPr>
        <w:t xml:space="preserve"> výrobní</w:t>
      </w:r>
      <w:r w:rsidR="00451A8E" w:rsidRPr="00461C16">
        <w:rPr>
          <w:i/>
          <w:lang w:eastAsia="en-US"/>
        </w:rPr>
        <w:t>ch</w:t>
      </w:r>
      <w:r w:rsidRPr="00461C16">
        <w:rPr>
          <w:i/>
          <w:lang w:eastAsia="en-US"/>
        </w:rPr>
        <w:t xml:space="preserve"> areál</w:t>
      </w:r>
      <w:r w:rsidR="00451A8E" w:rsidRPr="00461C16">
        <w:rPr>
          <w:i/>
          <w:lang w:eastAsia="en-US"/>
        </w:rPr>
        <w:t>ů</w:t>
      </w:r>
      <w:r w:rsidRPr="00461C16">
        <w:rPr>
          <w:i/>
          <w:lang w:eastAsia="en-US"/>
        </w:rPr>
        <w:t xml:space="preserve"> s negativním dopadem na lidské zdraví</w:t>
      </w:r>
      <w:r w:rsidR="00451A8E" w:rsidRPr="00461C16">
        <w:rPr>
          <w:i/>
          <w:lang w:eastAsia="en-US"/>
        </w:rPr>
        <w:t>, ke zhoršování imisní situace výrazně přispívá i tranzitní dopravní obsluha směřující za státní hranice</w:t>
      </w:r>
      <w:r w:rsidRPr="00461C16">
        <w:rPr>
          <w:i/>
          <w:lang w:eastAsia="en-US"/>
        </w:rPr>
        <w:t>.</w:t>
      </w:r>
      <w:r w:rsidR="00451A8E" w:rsidRPr="00461C16">
        <w:rPr>
          <w:i/>
          <w:lang w:eastAsia="en-US"/>
        </w:rPr>
        <w:t xml:space="preserve"> K částečnému zlepšení situace přispělo dobudování obchvatu města na silnici I/35, alespoň v rozsahu obytných lokalit. Další výrobní plochy se zvýšenými nároky na dopravní obsluhu jsou navrženy právě ve vazbě na městský obchvat, tedy s vyloučením zátěže na obytná území města. </w:t>
      </w:r>
      <w:r w:rsidRPr="00461C16">
        <w:rPr>
          <w:i/>
          <w:lang w:eastAsia="en-US"/>
        </w:rPr>
        <w:t>Nové plochy pro obytnou zástavbu jsou vymezeny v dostatečné odstupové vzdálenosti od stávajících i navrhovaných areálů výroby</w:t>
      </w:r>
      <w:r w:rsidR="00451A8E" w:rsidRPr="00461C16">
        <w:rPr>
          <w:i/>
          <w:lang w:eastAsia="en-US"/>
        </w:rPr>
        <w:t>, případně jsou izolovány pásem zeleně</w:t>
      </w:r>
      <w:r w:rsidRPr="00461C16">
        <w:rPr>
          <w:i/>
          <w:lang w:eastAsia="en-US"/>
        </w:rPr>
        <w:t>.</w:t>
      </w:r>
    </w:p>
    <w:p w14:paraId="2F6DFEC5"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(25)</w:t>
      </w:r>
      <w:r w:rsidRPr="00461C16">
        <w:rPr>
          <w:rFonts w:cs="Arial"/>
          <w:lang w:eastAsia="en-US"/>
        </w:rPr>
        <w:tab/>
        <w:t xml:space="preserve">Vytvářet podmínky pro preventivní ochranu území a obyvatelstva před potenciálními riziky a přírodními katastrofami v území (záplavy, sesuvy půdy, eroze, sucho atd.) s cílem minimalizovat rozsah případných škod. Zejména zajistit územní ochranu ploch potřebných pro umísťování staveb a opatření na ochranu před povodněmi a pro vymezení území určených k řízeným rozlivům povodní. Vytvářet podmínky pro zvýšení přirozené retence srážkových vod v území s ohledem na strukturu osídlení a kulturní krajinu jako alternativy k umělé akumulaci vod. </w:t>
      </w:r>
    </w:p>
    <w:p w14:paraId="29D395D2" w14:textId="77777777" w:rsidR="00DC36CB" w:rsidRPr="00461C16" w:rsidRDefault="00DC36CB" w:rsidP="00DC36CB">
      <w:pPr>
        <w:spacing w:before="120" w:line="240" w:lineRule="auto"/>
        <w:ind w:left="425"/>
        <w:rPr>
          <w:rFonts w:cs="Arial"/>
          <w:lang w:eastAsia="en-US"/>
        </w:rPr>
      </w:pPr>
      <w:r w:rsidRPr="00461C16">
        <w:rPr>
          <w:rFonts w:cs="Arial"/>
          <w:lang w:eastAsia="en-US"/>
        </w:rPr>
        <w:t>V zastavěných územích a zastavitelných plochách vytvářet podmínky pro zadržování, vsakování i využívání dešťových vod jako zdroje vody a s cílem zmírňování účinků povodní.</w:t>
      </w:r>
    </w:p>
    <w:p w14:paraId="3527735B" w14:textId="77777777" w:rsidR="00DC36CB" w:rsidRPr="00461C16" w:rsidRDefault="006E2BA6" w:rsidP="00DC36CB">
      <w:pPr>
        <w:pStyle w:val="1text"/>
        <w:rPr>
          <w:i/>
          <w:lang w:eastAsia="en-US"/>
        </w:rPr>
      </w:pPr>
      <w:r w:rsidRPr="00461C16">
        <w:rPr>
          <w:i/>
          <w:lang w:eastAsia="en-US"/>
        </w:rPr>
        <w:t>ÚP vytváří základní podmínky pro preventivní ochranu obyvatel města před potenciálními riziky a přírodními katastrofami v území zejména důsledným zohledněním stanovených záplavových území včetně aktivní zóny záplavového území a dalších přírodních limitů využití území při vymezování zastavitelných ploch a ploch přestavby. Lokalizace rozvojových ploch je navržena tak, aby byla vyloučena potencionální rizika a přírodní katastrofy.</w:t>
      </w:r>
    </w:p>
    <w:p w14:paraId="45812A46" w14:textId="77777777" w:rsidR="006E2BA6" w:rsidRPr="00461C16" w:rsidRDefault="006E2BA6" w:rsidP="00DC36CB">
      <w:pPr>
        <w:pStyle w:val="1text"/>
        <w:rPr>
          <w:i/>
          <w:lang w:eastAsia="en-US"/>
        </w:rPr>
      </w:pPr>
      <w:r w:rsidRPr="00461C16">
        <w:rPr>
          <w:i/>
          <w:lang w:eastAsia="en-US"/>
        </w:rPr>
        <w:t>Nová zástavba bude představovat navýšení podílu ploch se zpevněným povrchem. Pro eliminaci zvýšeného odtoku dešť</w:t>
      </w:r>
      <w:r w:rsidR="0083526B" w:rsidRPr="00461C16">
        <w:rPr>
          <w:i/>
          <w:lang w:eastAsia="en-US"/>
        </w:rPr>
        <w:t>ových vod ze zpevněných ploch jsou stanoveny podmínky nakládání s dešťovými vodami.</w:t>
      </w:r>
    </w:p>
    <w:p w14:paraId="073F8C76"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(26)</w:t>
      </w:r>
      <w:r w:rsidRPr="00461C16">
        <w:rPr>
          <w:rFonts w:cs="Arial"/>
          <w:lang w:eastAsia="en-US"/>
        </w:rPr>
        <w:tab/>
        <w:t>Vymezovat zastavitelné plochy v záplavových územích a umisťovat do nich veřejnou infrastrukturu jen ve zcela výjimečných a zvlášť odůvodněných případech. Vymezovat a chránit zastavitelné plochy pro přemístění zástavby z území s vysokou mírou rizika vzniku povodňových škod.</w:t>
      </w:r>
    </w:p>
    <w:p w14:paraId="2BFC33DB" w14:textId="77777777" w:rsidR="00DC36CB" w:rsidRPr="00461C16" w:rsidRDefault="00DC36CB" w:rsidP="00DC36CB">
      <w:pPr>
        <w:pStyle w:val="1text"/>
        <w:rPr>
          <w:b/>
          <w:i/>
          <w:lang w:eastAsia="en-US"/>
        </w:rPr>
      </w:pPr>
      <w:r w:rsidRPr="00461C16">
        <w:rPr>
          <w:i/>
          <w:lang w:eastAsia="en-US"/>
        </w:rPr>
        <w:t xml:space="preserve">Ve správním území města </w:t>
      </w:r>
      <w:r w:rsidR="00451A8E" w:rsidRPr="00461C16">
        <w:rPr>
          <w:i/>
          <w:lang w:eastAsia="en-US"/>
        </w:rPr>
        <w:t>Hrádek nad Nisou je stanoveno záplavové území s aktivní zónou záplavového území na toku Lužické Nisy. Protože záplavové území zasahuje centrum města včetně částí Loučná a Donín, je z části navrženo jeho výhledové zastavění (územní rezerva), s podmínkou realizace protipovodňových opatření. Na východním okraji zasahuje záplavové území a aktivní zóna záplavového území sídlo Dolní Suchá. Další rozvoj podél páteřní komunikace je zde navržen rovněž v plochách územní rezervy, s podmínkou realizace protipovodňových opatření.</w:t>
      </w:r>
    </w:p>
    <w:p w14:paraId="055E19C0"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(27)</w:t>
      </w:r>
      <w:r w:rsidRPr="00461C16">
        <w:rPr>
          <w:rFonts w:cs="Arial"/>
          <w:lang w:eastAsia="en-US"/>
        </w:rPr>
        <w:tab/>
        <w:t xml:space="preserve">Vytvářet podmínky pro koordinované umísťování veřejné infrastruktury v území a její rozvoj a tím podporovat její účelné využívání v rámci sídelní struktury. Vytvářet rovněž podmínky pro zkvalitnění dopravní dostupnosti obcí (měst), které jsou přirozenými regionálními centry v území tak, aby se díky možnostem, poloze i infrastruktuře těchto obcí zlepšovaly i podmínky pro rozvoj okolních obcí ve venkovských oblastech a v oblastech se specifickými geografickými podmínkami. </w:t>
      </w:r>
    </w:p>
    <w:p w14:paraId="060E8F47" w14:textId="77777777" w:rsidR="00DC36CB" w:rsidRPr="00461C16" w:rsidRDefault="00DC36CB" w:rsidP="00DC36CB">
      <w:pPr>
        <w:spacing w:before="120" w:line="240" w:lineRule="auto"/>
        <w:ind w:left="425"/>
        <w:rPr>
          <w:rFonts w:cs="Arial"/>
          <w:lang w:eastAsia="en-US"/>
        </w:rPr>
      </w:pPr>
      <w:r w:rsidRPr="00461C16">
        <w:rPr>
          <w:rFonts w:cs="Arial"/>
          <w:lang w:eastAsia="en-US"/>
        </w:rPr>
        <w:t xml:space="preserve">Při řešení problémů udržitelného rozvoje území využívat regionálních seskupení (klastrů) k dialogu všech partnerů, na které mají změny v území dopad a kteří mohou posilovat atraktivitu území investicemi ve prospěch územního rozvoje. </w:t>
      </w:r>
    </w:p>
    <w:p w14:paraId="779B56EE" w14:textId="77777777" w:rsidR="00DC36CB" w:rsidRPr="00461C16" w:rsidRDefault="00DC36CB" w:rsidP="00DC36CB">
      <w:pPr>
        <w:spacing w:before="120" w:line="240" w:lineRule="auto"/>
        <w:ind w:left="425"/>
        <w:rPr>
          <w:rFonts w:cs="Arial"/>
          <w:lang w:eastAsia="en-US"/>
        </w:rPr>
      </w:pPr>
      <w:r w:rsidRPr="00461C16">
        <w:rPr>
          <w:rFonts w:cs="Arial"/>
          <w:lang w:eastAsia="en-US"/>
        </w:rPr>
        <w:t xml:space="preserve">Při územně plánovací činnosti stanovovat podmínky pro vytvoření výkonné sítě osobní i nákladní železniční, silniční, vodní a letecké dopravy, včetně sítí regionálních letišť, efektivní dopravní sítě pro spojení městských oblastí s venkovskými oblastmi, stejně jako řešení přeshraniční dopravy, protože mobilita a dostupnost jsou klíčovými předpoklady hospodářského rozvoje ve všech regionech. </w:t>
      </w:r>
    </w:p>
    <w:p w14:paraId="1D62D4E2" w14:textId="77777777" w:rsidR="0083526B" w:rsidRPr="00461C16" w:rsidRDefault="0083526B" w:rsidP="0083526B">
      <w:pPr>
        <w:pStyle w:val="1text"/>
        <w:rPr>
          <w:i/>
          <w:lang w:eastAsia="en-US"/>
        </w:rPr>
      </w:pPr>
      <w:r w:rsidRPr="00461C16">
        <w:rPr>
          <w:i/>
          <w:lang w:eastAsia="en-US"/>
        </w:rPr>
        <w:lastRenderedPageBreak/>
        <w:t>ÚP respektuje význam a polohu města Hrádek nad Nisou v širší struktuře osídlení, stabilizuje stávající plochy a zařízení veřejné infrastruktury a vytváří podmínky pro její další rozvoj, s ohledem na identifikované potřeby a rozvojový potenciál jednotlivých částí města a s cílem podpory hospodářského rozvoje města ve vazbě na jeho okolí.</w:t>
      </w:r>
    </w:p>
    <w:p w14:paraId="738DB5A5" w14:textId="77777777" w:rsidR="0083526B" w:rsidRPr="00461C16" w:rsidRDefault="0083526B" w:rsidP="0083526B">
      <w:pPr>
        <w:pStyle w:val="1text"/>
        <w:rPr>
          <w:i/>
          <w:lang w:eastAsia="en-US"/>
        </w:rPr>
      </w:pPr>
      <w:r w:rsidRPr="00461C16">
        <w:rPr>
          <w:i/>
          <w:lang w:eastAsia="en-US"/>
        </w:rPr>
        <w:t>ÚP stabilizuje všechny plochy stávající dopravní infrastruktury silniční a železniční, zabezpečující vynikající dopravní vazby města Hrádek nad Nisou na území okolních měst, obcí a okolních států. Silnice I/35 má zásadní význam pro zajištění širších regionálních dopravních vazeb a její stabilizace a ochrana v územním plánu je předpokladem pro zachování kvality dopravní obslužnosti celého širšího regionu.</w:t>
      </w:r>
    </w:p>
    <w:p w14:paraId="1E7E6917" w14:textId="77777777" w:rsidR="00DC36CB" w:rsidRPr="00461C16" w:rsidRDefault="0083526B" w:rsidP="0083526B">
      <w:pPr>
        <w:pStyle w:val="1text"/>
        <w:rPr>
          <w:i/>
          <w:lang w:eastAsia="en-US"/>
        </w:rPr>
      </w:pPr>
      <w:r w:rsidRPr="00461C16">
        <w:rPr>
          <w:i/>
          <w:lang w:eastAsia="en-US"/>
        </w:rPr>
        <w:t>S cílem vytvoření podmínek pro zlepšení dostupnosti Hrádku nad Nisou</w:t>
      </w:r>
      <w:r w:rsidR="00391C39" w:rsidRPr="00461C16">
        <w:rPr>
          <w:i/>
          <w:lang w:eastAsia="en-US"/>
        </w:rPr>
        <w:t xml:space="preserve"> po železnici</w:t>
      </w:r>
      <w:r w:rsidRPr="00461C16">
        <w:rPr>
          <w:i/>
          <w:lang w:eastAsia="en-US"/>
        </w:rPr>
        <w:t xml:space="preserve"> a zlepšení přeshraničních </w:t>
      </w:r>
      <w:r w:rsidR="00391C39" w:rsidRPr="00461C16">
        <w:rPr>
          <w:i/>
          <w:lang w:eastAsia="en-US"/>
        </w:rPr>
        <w:t xml:space="preserve">dopravních </w:t>
      </w:r>
      <w:r w:rsidRPr="00461C16">
        <w:rPr>
          <w:i/>
          <w:lang w:eastAsia="en-US"/>
        </w:rPr>
        <w:t xml:space="preserve">vazeb vymezuje ÚP koridor </w:t>
      </w:r>
      <w:r w:rsidR="00680440" w:rsidRPr="00461C16">
        <w:rPr>
          <w:i/>
          <w:lang w:eastAsia="en-US"/>
        </w:rPr>
        <w:t>dráž</w:t>
      </w:r>
      <w:r w:rsidRPr="00461C16">
        <w:rPr>
          <w:i/>
          <w:lang w:eastAsia="en-US"/>
        </w:rPr>
        <w:t>ní dopravy X01 pro optimalizaci a elektrizaci železniční trati č. 089.</w:t>
      </w:r>
    </w:p>
    <w:p w14:paraId="72924B6E"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(28)</w:t>
      </w:r>
      <w:r w:rsidRPr="00461C16">
        <w:rPr>
          <w:rFonts w:cs="Arial"/>
          <w:lang w:eastAsia="en-US"/>
        </w:rPr>
        <w:tab/>
        <w:t>Pro zajištění kvality života obyvatel zohledňovat nároky dalšího vývoje území, požadovat jeho řešení ve všech potřebných dlouhodobých souvislostech, včetně nároků na veřejnou infrastrukturu. Návrh a ochranu kvalitních městských prostorů a veřejné infrastruktury je nutné řešit ve spolupráci veřejného i soukromého sektoru s veřejností.</w:t>
      </w:r>
    </w:p>
    <w:p w14:paraId="71649E03" w14:textId="77777777" w:rsidR="00DC36CB" w:rsidRPr="00461C16" w:rsidRDefault="00DC36CB" w:rsidP="00DC36CB">
      <w:pPr>
        <w:pStyle w:val="1text"/>
        <w:rPr>
          <w:i/>
          <w:lang w:eastAsia="en-US"/>
        </w:rPr>
      </w:pPr>
      <w:r w:rsidRPr="00461C16">
        <w:rPr>
          <w:i/>
          <w:lang w:eastAsia="en-US"/>
        </w:rPr>
        <w:t>Koncepce ÚP směřuje k vybudování kvalitního prostředí pro život, včetně odpovídající veřejné infrastruktury a kvalitních veřejných prostorů ve městě. Stávající zařízení veřejné infrastruktury a veškeré městské prostory jsou zachovány a jsou doplněny o nová veřejná prostranství, zejména pro potřeby vymezených rozvojových území. Umisťování nezbytných zařízení veřejné infrastruktury je možné ve všech plochách, v souladu s podmínkami využití, dle aktuálních požadavků a potřeb.</w:t>
      </w:r>
    </w:p>
    <w:p w14:paraId="3C0EDE63"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(29)</w:t>
      </w:r>
      <w:r w:rsidRPr="00461C16">
        <w:rPr>
          <w:rFonts w:cs="Arial"/>
          <w:lang w:eastAsia="en-US"/>
        </w:rPr>
        <w:tab/>
        <w:t>Zvláštní pozornost věnovat návaznosti různých druhů dopravy. S ohledem na to vymezovat plochy a koridory nezbytné pro efektivní integrované systémy veřejné dopravy nebo městskou hromadnou dopravu, umožňující účelné propojení ploch bydlení, ploch rekreace, občanského vybavení, veřejných prostranství, výroby a dalších ploch, s požadavky na kvalitní životní prostředí. Vytvářet tak podmínky pro rozvoj účinného a dostupného systému, který bude poskytovat obyvatelům rovné možnosti mobility a dosažitelnosti v území. S ohledem na to vytvářet podmínky pro vybudování a užívání vhodné sítě pěších a cyklistických cest, včetně doprovodné zeleně v místech, kde je to vhodné.</w:t>
      </w:r>
    </w:p>
    <w:p w14:paraId="21765B33" w14:textId="5E291AC3" w:rsidR="00DC36CB" w:rsidRPr="00461C16" w:rsidRDefault="0083526B" w:rsidP="00DC36CB">
      <w:pPr>
        <w:pStyle w:val="1text"/>
        <w:rPr>
          <w:b/>
          <w:i/>
          <w:lang w:eastAsia="en-US"/>
        </w:rPr>
      </w:pPr>
      <w:r w:rsidRPr="00461C16">
        <w:rPr>
          <w:i/>
          <w:lang w:eastAsia="en-US"/>
        </w:rPr>
        <w:t>ÚP stanovuje dopravní koncepci města Hrádek nad Nisou založenou na propojení silniční, železniční, autobusové, pěší a cyklistické dopravy, ve vazbě na širší území a okolní obce. Stávající dopravní systémy a subsystémy jsou doplněny o nové prvky a součásti, a to v závislosti na potřebách navrhovaného plošného rozvoje území města, s cílem zlepšení prostupnosti území a zajištění dopravní přístupnosti do vymezených rozvojových ploch. Zajištění optimálních podmínek pro prostorovou spojitost a kontinuitu systému veřejných prostranství je jedním z hlavních cílů ÚP.</w:t>
      </w:r>
    </w:p>
    <w:p w14:paraId="54958832"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(30)</w:t>
      </w:r>
      <w:r w:rsidRPr="00461C16">
        <w:rPr>
          <w:rFonts w:cs="Arial"/>
          <w:lang w:eastAsia="en-US"/>
        </w:rPr>
        <w:tab/>
        <w:t>Úroveň technické infrastruktury, zejména dodávku vody a zpracování odpadních vod je nutno koncipovat tak, aby splňovala požadavky na vysokou kvalitu života v současnosti i v budoucnosti.</w:t>
      </w:r>
    </w:p>
    <w:p w14:paraId="0796C9BF" w14:textId="77777777" w:rsidR="0083526B" w:rsidRPr="00461C16" w:rsidRDefault="0083526B" w:rsidP="0083526B">
      <w:pPr>
        <w:pStyle w:val="1text"/>
        <w:rPr>
          <w:i/>
          <w:lang w:eastAsia="en-US"/>
        </w:rPr>
      </w:pPr>
      <w:r w:rsidRPr="00461C16">
        <w:rPr>
          <w:i/>
          <w:lang w:eastAsia="en-US"/>
        </w:rPr>
        <w:t xml:space="preserve">V rámci koncepce technické infrastruktury je navrženo zásobování vodou, odvádění a likvidace odpadních vod, zásobování elektrickou energií a zemním plynem. Je respektován systém odpadového hospodářství, trasy vedení telekomunikačních kabelů, bez nutnosti jejich dalšího rozšiřování. </w:t>
      </w:r>
    </w:p>
    <w:p w14:paraId="3EC66739" w14:textId="77777777" w:rsidR="00DC36CB" w:rsidRPr="00461C16" w:rsidRDefault="0083526B" w:rsidP="0083526B">
      <w:pPr>
        <w:pStyle w:val="1text"/>
        <w:rPr>
          <w:i/>
          <w:lang w:eastAsia="en-US"/>
        </w:rPr>
      </w:pPr>
      <w:r w:rsidRPr="00461C16">
        <w:rPr>
          <w:i/>
          <w:lang w:eastAsia="en-US"/>
        </w:rPr>
        <w:t>Koncepce technické infrastruktury je stanovena na základě identifikovaných potřeb a předpokládaného vývoje území a s ohledem na nově vymezené rozvojové plochy tak, aby pokrývala ve všech oblastech budoucí nároky obyvatel a byla tak zajištěna optimální kvalita jejich životních podmínek.</w:t>
      </w:r>
    </w:p>
    <w:p w14:paraId="5C72D072"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t>(31)</w:t>
      </w:r>
      <w:r w:rsidRPr="00461C16">
        <w:rPr>
          <w:rFonts w:cs="Arial"/>
          <w:lang w:eastAsia="en-US"/>
        </w:rPr>
        <w:tab/>
        <w:t>Vytvářet územní podmínky pro rozvoj decentralizované, efektivní a bezpečné výroby energie z obnovitelných zdrojů, šetrné k životnímu prostředí, s cílem minimalizace jejich negativních vlivů a rizik při respektování přednosti zajištění bezpečného zásobování území energiemi.</w:t>
      </w:r>
    </w:p>
    <w:p w14:paraId="3BB37DFB" w14:textId="77777777" w:rsidR="00DC36CB" w:rsidRPr="00461C16" w:rsidRDefault="0083526B" w:rsidP="00DC36CB">
      <w:pPr>
        <w:pStyle w:val="1text"/>
        <w:rPr>
          <w:b/>
          <w:i/>
          <w:lang w:eastAsia="en-US"/>
        </w:rPr>
      </w:pPr>
      <w:r w:rsidRPr="00461C16">
        <w:rPr>
          <w:i/>
          <w:lang w:eastAsia="en-US"/>
        </w:rPr>
        <w:t>ÚP navrhuje ucelený systém zásobování města Hrádek nad Nisou energiemi odpovídající stávajícím nárokům města i budoucím nárokům při zohlednění navrhovaného rozvoje území města.</w:t>
      </w:r>
    </w:p>
    <w:p w14:paraId="6FF4D47B" w14:textId="77777777" w:rsidR="00DC36CB" w:rsidRPr="00461C16" w:rsidRDefault="00DC36CB" w:rsidP="00DC36CB">
      <w:pPr>
        <w:spacing w:before="180" w:line="240" w:lineRule="auto"/>
        <w:ind w:left="425" w:hanging="425"/>
        <w:rPr>
          <w:rFonts w:cs="Arial"/>
          <w:lang w:eastAsia="en-US"/>
        </w:rPr>
      </w:pPr>
      <w:r w:rsidRPr="00461C16">
        <w:rPr>
          <w:rFonts w:cs="Arial"/>
          <w:lang w:eastAsia="en-US"/>
        </w:rPr>
        <w:lastRenderedPageBreak/>
        <w:t>(32)</w:t>
      </w:r>
      <w:r w:rsidRPr="00461C16">
        <w:rPr>
          <w:rFonts w:cs="Arial"/>
          <w:lang w:eastAsia="en-US"/>
        </w:rPr>
        <w:tab/>
        <w:t>Při stanovování urbanistické koncepce posoudit kvalitu bytového fondu ve znevýhodněných městských částech a v souladu s požadavky na kvalitní městské struktury, zdravé prostředí a účinnou infrastrukturu věnovat pozornost vymezení ploch přestavby.</w:t>
      </w:r>
    </w:p>
    <w:p w14:paraId="1E886BC5" w14:textId="77777777" w:rsidR="003F205D" w:rsidRPr="00461C16" w:rsidRDefault="00DC36CB" w:rsidP="00DC36CB">
      <w:pPr>
        <w:pStyle w:val="1text"/>
        <w:rPr>
          <w:b/>
          <w:i/>
          <w:lang w:eastAsia="en-US"/>
        </w:rPr>
      </w:pPr>
      <w:r w:rsidRPr="00461C16">
        <w:rPr>
          <w:i/>
          <w:lang w:eastAsia="en-US"/>
        </w:rPr>
        <w:t>Pro další rozvoj města jsou přednostně využity proluky v zastavěném území, v druhé řadě plochy přímo navazující na hranici zastavěného území. Současná obytná zástavba vykazuje vysokou kvalitu a je dobře dopravně dostupná, s výjimkou některých částí s vy</w:t>
      </w:r>
      <w:r w:rsidR="002D38DF" w:rsidRPr="00461C16">
        <w:rPr>
          <w:i/>
          <w:lang w:eastAsia="en-US"/>
        </w:rPr>
        <w:t>šší</w:t>
      </w:r>
      <w:r w:rsidRPr="00461C16">
        <w:rPr>
          <w:i/>
          <w:lang w:eastAsia="en-US"/>
        </w:rPr>
        <w:t>m podílem rekreačního bydlení (</w:t>
      </w:r>
      <w:r w:rsidR="002D38DF" w:rsidRPr="00461C16">
        <w:rPr>
          <w:i/>
          <w:lang w:eastAsia="en-US"/>
        </w:rPr>
        <w:t>Uhelná, Horní Sedlo, Dolní Suchá</w:t>
      </w:r>
      <w:r w:rsidRPr="00461C16">
        <w:rPr>
          <w:i/>
          <w:lang w:eastAsia="en-US"/>
        </w:rPr>
        <w:t xml:space="preserve">). Nové plochy pro bydlení jsou navrženy v návaznosti na stávající obytné lokality a respektují jejich charakter. Převažuje smíšená obytná zástavba, v části </w:t>
      </w:r>
      <w:r w:rsidR="002D38DF" w:rsidRPr="00461C16">
        <w:rPr>
          <w:i/>
          <w:lang w:eastAsia="en-US"/>
        </w:rPr>
        <w:t>Hrádek nad Nisou</w:t>
      </w:r>
      <w:r w:rsidRPr="00461C16">
        <w:rPr>
          <w:i/>
          <w:lang w:eastAsia="en-US"/>
        </w:rPr>
        <w:t xml:space="preserve"> </w:t>
      </w:r>
      <w:r w:rsidR="001B6658" w:rsidRPr="00461C16">
        <w:rPr>
          <w:i/>
          <w:lang w:eastAsia="en-US"/>
        </w:rPr>
        <w:t>městská a příměstsk</w:t>
      </w:r>
      <w:r w:rsidR="002D38DF" w:rsidRPr="00461C16">
        <w:rPr>
          <w:i/>
          <w:lang w:eastAsia="en-US"/>
        </w:rPr>
        <w:t>á</w:t>
      </w:r>
      <w:r w:rsidRPr="00461C16">
        <w:rPr>
          <w:i/>
          <w:lang w:eastAsia="en-US"/>
        </w:rPr>
        <w:t xml:space="preserve"> obytná zástavba v rodinných domech městského typu, v ostatních částech města venkovská obytná zástavba. Součástí rozvojových území jsou nová veřejná prostranství a nezbytná zařízení veřejné infrastruktury, která zlepší prostupnost území a kvalitu podmínek pro život nejen v těchto částech města. Ke kvalitě a atraktivitě obytného prostředí přispěje i možnost lokalizace drobných podnikatelských aktivit (obchod, služby, drobná výroba).</w:t>
      </w:r>
    </w:p>
    <w:p w14:paraId="729B2C6B" w14:textId="77777777" w:rsidR="004E1C7A" w:rsidRPr="00461C16" w:rsidRDefault="00FB1CCD" w:rsidP="007F050A">
      <w:pPr>
        <w:pStyle w:val="Heading3"/>
        <w:rPr>
          <w:lang w:eastAsia="en-US"/>
        </w:rPr>
      </w:pPr>
      <w:bookmarkStart w:id="14" w:name="_Toc360178558"/>
      <w:bookmarkStart w:id="15" w:name="_Toc36116235"/>
      <w:r w:rsidRPr="00461C16">
        <w:rPr>
          <w:lang w:eastAsia="en-US"/>
        </w:rPr>
        <w:t>1</w:t>
      </w:r>
      <w:r w:rsidR="002F1727" w:rsidRPr="00461C16">
        <w:rPr>
          <w:lang w:eastAsia="en-US"/>
        </w:rPr>
        <w:t>.</w:t>
      </w:r>
      <w:r w:rsidR="004E1C7A" w:rsidRPr="00461C16">
        <w:rPr>
          <w:lang w:eastAsia="en-US"/>
        </w:rPr>
        <w:t>1.2</w:t>
      </w:r>
      <w:r w:rsidR="004E1C7A" w:rsidRPr="00461C16">
        <w:rPr>
          <w:lang w:eastAsia="en-US"/>
        </w:rPr>
        <w:tab/>
        <w:t>Rozvojové oblasti a rozvojové osy</w:t>
      </w:r>
      <w:bookmarkEnd w:id="14"/>
      <w:bookmarkEnd w:id="15"/>
    </w:p>
    <w:p w14:paraId="46040C7E" w14:textId="77777777" w:rsidR="00930D15" w:rsidRPr="00461C16" w:rsidRDefault="00930D15" w:rsidP="00930D15">
      <w:pPr>
        <w:pStyle w:val="1text"/>
      </w:pPr>
      <w:bookmarkStart w:id="16" w:name="_Toc360178559"/>
      <w:r w:rsidRPr="00461C16">
        <w:t xml:space="preserve">Území města </w:t>
      </w:r>
      <w:r w:rsidR="00DC0033" w:rsidRPr="00461C16">
        <w:t>Hrádek nad Nisou je</w:t>
      </w:r>
      <w:r w:rsidRPr="00461C16">
        <w:t xml:space="preserve"> součástí </w:t>
      </w:r>
      <w:r w:rsidRPr="00461C16">
        <w:rPr>
          <w:b/>
        </w:rPr>
        <w:t xml:space="preserve">rozvojové oblasti </w:t>
      </w:r>
      <w:r w:rsidR="00DC0033" w:rsidRPr="00461C16">
        <w:rPr>
          <w:b/>
        </w:rPr>
        <w:t>OB7 Liberec</w:t>
      </w:r>
      <w:r w:rsidR="00DC0033" w:rsidRPr="00461C16">
        <w:t xml:space="preserve"> a </w:t>
      </w:r>
      <w:r w:rsidR="00DC0033" w:rsidRPr="00461C16">
        <w:rPr>
          <w:b/>
        </w:rPr>
        <w:t>r</w:t>
      </w:r>
      <w:r w:rsidRPr="00461C16">
        <w:rPr>
          <w:b/>
        </w:rPr>
        <w:t xml:space="preserve">ozvojové osy </w:t>
      </w:r>
      <w:r w:rsidR="00DC0033" w:rsidRPr="00461C16">
        <w:rPr>
          <w:b/>
        </w:rPr>
        <w:t xml:space="preserve">OS3 Praha – Liberec – hranice ČR / Německo, Polsko (-Görlitz/Zgorzelec) </w:t>
      </w:r>
      <w:r w:rsidRPr="00461C16">
        <w:t>vymezené v PÚR ČR.</w:t>
      </w:r>
    </w:p>
    <w:p w14:paraId="24600EEC" w14:textId="77777777" w:rsidR="00DC0033" w:rsidRPr="00461C16" w:rsidRDefault="00DC0033" w:rsidP="00930D15">
      <w:pPr>
        <w:pStyle w:val="1text"/>
      </w:pPr>
      <w:r w:rsidRPr="00461C16">
        <w:t xml:space="preserve">Pro rozvojovou oblast OB7 stanovuje PÚR ČR </w:t>
      </w:r>
      <w:r w:rsidRPr="00461C16">
        <w:rPr>
          <w:u w:val="single"/>
        </w:rPr>
        <w:t>úkol pro územní plánování</w:t>
      </w:r>
      <w:r w:rsidRPr="00461C16">
        <w:t xml:space="preserve">: </w:t>
      </w:r>
    </w:p>
    <w:p w14:paraId="142942B6" w14:textId="77777777" w:rsidR="00DC0033" w:rsidRPr="00461C16" w:rsidRDefault="00DC0033" w:rsidP="00930D15">
      <w:pPr>
        <w:pStyle w:val="1text"/>
      </w:pPr>
      <w:r w:rsidRPr="00461C16">
        <w:t>Řešit územní souvislosti napojení oblasti na modernizované železniční tratě ve směru na Prahu.</w:t>
      </w:r>
    </w:p>
    <w:p w14:paraId="0DF104D4" w14:textId="77777777" w:rsidR="00DC0033" w:rsidRPr="00461C16" w:rsidRDefault="00391C39" w:rsidP="00DC0033">
      <w:pPr>
        <w:pStyle w:val="1text"/>
        <w:spacing w:after="120"/>
        <w:rPr>
          <w:i/>
          <w:lang w:eastAsia="en-US"/>
        </w:rPr>
      </w:pPr>
      <w:r w:rsidRPr="00461C16">
        <w:rPr>
          <w:i/>
          <w:lang w:eastAsia="en-US"/>
        </w:rPr>
        <w:t xml:space="preserve">S cílem vytvoření podmínek pro zlepšení dostupnosti Hrádku nad Nisou po železnici a zlepšení přeshraničních dopravních vazeb vymezuje ÚP koridor </w:t>
      </w:r>
      <w:r w:rsidR="00680440" w:rsidRPr="00461C16">
        <w:rPr>
          <w:i/>
          <w:lang w:eastAsia="en-US"/>
        </w:rPr>
        <w:t>dráž</w:t>
      </w:r>
      <w:r w:rsidRPr="00461C16">
        <w:rPr>
          <w:i/>
          <w:lang w:eastAsia="en-US"/>
        </w:rPr>
        <w:t>ní dopravy X01 pro optimalizaci a elektrizaci železniční trati č. 089.</w:t>
      </w:r>
    </w:p>
    <w:p w14:paraId="72530225" w14:textId="77777777" w:rsidR="00DC0033" w:rsidRPr="00461C16" w:rsidRDefault="00DC0033" w:rsidP="00DC0033">
      <w:pPr>
        <w:pStyle w:val="1text"/>
        <w:spacing w:after="120"/>
      </w:pPr>
      <w:r w:rsidRPr="00461C16">
        <w:t xml:space="preserve">Pro rozvojové oblasti a rozvojové osy jsou v PÚR ČR stanovena obecná </w:t>
      </w:r>
      <w:r w:rsidRPr="00461C16">
        <w:rPr>
          <w:u w:val="single"/>
        </w:rPr>
        <w:t>kritéria a podmínky pro rozhodování o změnách v území</w:t>
      </w:r>
      <w:r w:rsidRPr="00461C16">
        <w:t>:</w:t>
      </w:r>
    </w:p>
    <w:p w14:paraId="75862A11" w14:textId="77777777" w:rsidR="00DC0033" w:rsidRPr="00461C16" w:rsidRDefault="00DC0033" w:rsidP="00DC0033">
      <w:pPr>
        <w:pStyle w:val="Default"/>
        <w:spacing w:before="120" w:after="120"/>
        <w:jc w:val="both"/>
        <w:rPr>
          <w:rFonts w:ascii="Arial Narrow" w:hAnsi="Arial Narrow"/>
          <w:sz w:val="22"/>
          <w:szCs w:val="22"/>
          <w:lang w:val="cs-CZ"/>
        </w:rPr>
      </w:pPr>
      <w:r w:rsidRPr="00461C16">
        <w:rPr>
          <w:rFonts w:ascii="Arial Narrow" w:hAnsi="Arial Narrow"/>
          <w:sz w:val="22"/>
          <w:szCs w:val="22"/>
          <w:lang w:val="cs-CZ"/>
        </w:rPr>
        <w:t xml:space="preserve">Při rozhodování a posuzování záměrů na změny území ve všech rozvojových oblastech a rozvojových osách je nutno sledovat zejména: </w:t>
      </w:r>
    </w:p>
    <w:p w14:paraId="3708CC48" w14:textId="77777777" w:rsidR="00DC0033" w:rsidRPr="00461C16" w:rsidRDefault="00DC0033" w:rsidP="00427598">
      <w:pPr>
        <w:pStyle w:val="Default"/>
        <w:numPr>
          <w:ilvl w:val="0"/>
          <w:numId w:val="69"/>
        </w:numPr>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možnosti využití stávající veřejné infrastruktury a potřebu jejího dalšího rozvoje a dobudování při současném respektování přírodních, kulturních a civilizačních hodnot území, </w:t>
      </w:r>
    </w:p>
    <w:p w14:paraId="6791B49B" w14:textId="77777777" w:rsidR="00391C39" w:rsidRPr="00461C16" w:rsidRDefault="00391C39" w:rsidP="001B2A7D">
      <w:pPr>
        <w:pStyle w:val="Default"/>
        <w:spacing w:before="60" w:after="60"/>
        <w:ind w:left="567"/>
        <w:jc w:val="both"/>
        <w:rPr>
          <w:rFonts w:ascii="Arial Narrow" w:hAnsi="Arial Narrow"/>
          <w:i/>
          <w:sz w:val="22"/>
          <w:szCs w:val="22"/>
          <w:lang w:val="cs-CZ" w:eastAsia="en-US"/>
        </w:rPr>
      </w:pPr>
      <w:r w:rsidRPr="00461C16">
        <w:rPr>
          <w:rFonts w:ascii="Arial Narrow" w:hAnsi="Arial Narrow"/>
          <w:i/>
          <w:sz w:val="22"/>
          <w:szCs w:val="22"/>
          <w:lang w:val="cs-CZ" w:eastAsia="en-US"/>
        </w:rPr>
        <w:t>ÚP stabilizuje všechny plochy stávající dopravní infrastruktury silniční a železniční, zabezpečující vynikající dopravní vazby města Hrádek nad Nisou na území okolních měst, obcí a okolních států.</w:t>
      </w:r>
    </w:p>
    <w:p w14:paraId="5BCA7EF7" w14:textId="77777777" w:rsidR="001B2A7D" w:rsidRPr="00461C16" w:rsidRDefault="00391C39" w:rsidP="001B2A7D">
      <w:pPr>
        <w:pStyle w:val="Default"/>
        <w:spacing w:before="60" w:after="60"/>
        <w:ind w:left="567"/>
        <w:jc w:val="both"/>
        <w:rPr>
          <w:rFonts w:ascii="Arial Narrow" w:hAnsi="Arial Narrow"/>
          <w:sz w:val="22"/>
          <w:szCs w:val="22"/>
          <w:lang w:val="cs-CZ"/>
        </w:rPr>
      </w:pPr>
      <w:r w:rsidRPr="00461C16">
        <w:rPr>
          <w:rFonts w:ascii="Arial Narrow" w:hAnsi="Arial Narrow"/>
          <w:i/>
          <w:sz w:val="22"/>
          <w:szCs w:val="22"/>
          <w:lang w:val="cs-CZ" w:eastAsia="en-US"/>
        </w:rPr>
        <w:t>V rámci koncepce technické infrastruktury je navrženo zásobování vodou, odvádění a likvidace odpadních vod, zásobování elektrickou energií a zemním plynem. Je respektován systém odpadového hospodářství, trasy vedení telekomunikačních kabelů, bez nutnosti jejich dalšího rozšiřování.</w:t>
      </w:r>
    </w:p>
    <w:p w14:paraId="0275AFB6" w14:textId="77777777" w:rsidR="00DC0033" w:rsidRPr="00461C16" w:rsidRDefault="00DC0033" w:rsidP="00427598">
      <w:pPr>
        <w:pStyle w:val="Default"/>
        <w:numPr>
          <w:ilvl w:val="0"/>
          <w:numId w:val="69"/>
        </w:numPr>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rozvoj bydlení při upřednostnění rozvoje uvnitř zastavěného území a předcházení prostorové sociální segregaci, fragmentaci krajiny nově vymezenými zastavitelnými plochami a záborům ploch veřejné zeleně sloužící svému účelu, </w:t>
      </w:r>
    </w:p>
    <w:p w14:paraId="77E294C2" w14:textId="77777777" w:rsidR="001B2A7D" w:rsidRPr="00461C16" w:rsidRDefault="001B2A7D" w:rsidP="001B2A7D">
      <w:pPr>
        <w:pStyle w:val="Default"/>
        <w:spacing w:before="60" w:after="60"/>
        <w:ind w:left="567"/>
        <w:jc w:val="both"/>
        <w:rPr>
          <w:rFonts w:ascii="Arial Narrow" w:hAnsi="Arial Narrow"/>
          <w:sz w:val="22"/>
          <w:szCs w:val="22"/>
          <w:lang w:val="cs-CZ"/>
        </w:rPr>
      </w:pPr>
      <w:r w:rsidRPr="00461C16">
        <w:rPr>
          <w:rFonts w:ascii="Arial Narrow" w:hAnsi="Arial Narrow"/>
          <w:i/>
          <w:sz w:val="22"/>
          <w:szCs w:val="22"/>
          <w:shd w:val="clear" w:color="auto" w:fill="FFFFFF"/>
          <w:lang w:val="cs-CZ"/>
        </w:rPr>
        <w:t>Územní plán pro další rozvoj bydlení přednostně využívá proluky v zastavěném území, případně polohy na jeho hranici, bez fragmentace volné krajiny. Lokalizace ploch změn vazbou na stabilizovaná obytná území zároveň nepřispívá k sociální segregaci obytných lokalit.</w:t>
      </w:r>
    </w:p>
    <w:p w14:paraId="4A71C6CC"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c) </w:t>
      </w:r>
      <w:r w:rsidRPr="00461C16">
        <w:rPr>
          <w:rFonts w:ascii="Arial Narrow" w:hAnsi="Arial Narrow"/>
          <w:sz w:val="22"/>
          <w:szCs w:val="22"/>
          <w:lang w:val="cs-CZ"/>
        </w:rPr>
        <w:tab/>
        <w:t xml:space="preserve">nové využití nevyužívaných průmyslových, skladových, dopravních a jiných ploch, </w:t>
      </w:r>
    </w:p>
    <w:p w14:paraId="09E4554E" w14:textId="77777777" w:rsidR="001B2A7D" w:rsidRPr="00461C16" w:rsidRDefault="001B2A7D" w:rsidP="001B2A7D">
      <w:pPr>
        <w:pStyle w:val="BodyText"/>
        <w:spacing w:before="120" w:after="120"/>
        <w:ind w:left="567"/>
        <w:rPr>
          <w:i/>
          <w:sz w:val="22"/>
          <w:szCs w:val="22"/>
        </w:rPr>
      </w:pPr>
      <w:r w:rsidRPr="00461C16">
        <w:rPr>
          <w:i/>
          <w:color w:val="000000"/>
          <w:sz w:val="22"/>
          <w:szCs w:val="22"/>
          <w:shd w:val="clear" w:color="auto" w:fill="FFFFFF"/>
        </w:rPr>
        <w:t xml:space="preserve">Areály brownfields byly navrženy k novému využití a začlenění do okolní struktury zástavby. Navržený způsob využití vždy zohledňuje polohu konkrétní plochy, charakter navazujícího území, stejně jako aktuální potřeb a požadavky města. </w:t>
      </w:r>
    </w:p>
    <w:p w14:paraId="17A958F8"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d) </w:t>
      </w:r>
      <w:r w:rsidRPr="00461C16">
        <w:rPr>
          <w:rFonts w:ascii="Arial Narrow" w:hAnsi="Arial Narrow"/>
          <w:sz w:val="22"/>
          <w:szCs w:val="22"/>
          <w:lang w:val="cs-CZ"/>
        </w:rPr>
        <w:tab/>
        <w:t xml:space="preserve">řešení rekultivace a revitalizace opuštěných areálů a ploch (např. předcházející těžbou, průmyslovým využitím, armádou apod.), účelnou organizaci materiálových toků a nakládání s odpady, </w:t>
      </w:r>
    </w:p>
    <w:p w14:paraId="56C6EE72" w14:textId="77777777" w:rsidR="0051239A" w:rsidRPr="00461C16" w:rsidRDefault="0051239A" w:rsidP="00DC0033">
      <w:pPr>
        <w:pStyle w:val="Default"/>
        <w:spacing w:before="60" w:after="60"/>
        <w:ind w:left="567" w:hanging="567"/>
        <w:jc w:val="both"/>
        <w:rPr>
          <w:rFonts w:ascii="Arial Narrow" w:hAnsi="Arial Narrow"/>
          <w:i/>
          <w:sz w:val="22"/>
          <w:szCs w:val="22"/>
          <w:lang w:val="cs-CZ"/>
        </w:rPr>
      </w:pPr>
      <w:r w:rsidRPr="00461C16">
        <w:rPr>
          <w:rFonts w:ascii="Arial Narrow" w:hAnsi="Arial Narrow"/>
          <w:i/>
          <w:sz w:val="22"/>
          <w:szCs w:val="22"/>
          <w:lang w:val="cs-CZ"/>
        </w:rPr>
        <w:tab/>
        <w:t>Ve správním území města se nachází především brownfields průmyslového charakteru, s ukončenou výrobou či z větší části již opuštěné. Tyto plochy jsou navrženy k funkční či prostorové transformaci, jako plochy přestavby.</w:t>
      </w:r>
    </w:p>
    <w:p w14:paraId="28B668C7"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e) </w:t>
      </w:r>
      <w:r w:rsidRPr="00461C16">
        <w:rPr>
          <w:rFonts w:ascii="Arial Narrow" w:hAnsi="Arial Narrow"/>
          <w:sz w:val="22"/>
          <w:szCs w:val="22"/>
          <w:lang w:val="cs-CZ"/>
        </w:rPr>
        <w:tab/>
        <w:t xml:space="preserve">zachování a rozvoj společenské funkce tradičních městských center, </w:t>
      </w:r>
    </w:p>
    <w:p w14:paraId="78DE5A34" w14:textId="77777777" w:rsidR="0051239A" w:rsidRPr="00461C16" w:rsidRDefault="0051239A" w:rsidP="0051239A">
      <w:pPr>
        <w:pStyle w:val="Default"/>
        <w:spacing w:before="60" w:after="60"/>
        <w:ind w:left="567"/>
        <w:jc w:val="both"/>
        <w:rPr>
          <w:rFonts w:ascii="Arial Narrow" w:hAnsi="Arial Narrow"/>
          <w:sz w:val="22"/>
          <w:szCs w:val="22"/>
          <w:lang w:val="cs-CZ"/>
        </w:rPr>
      </w:pPr>
      <w:r w:rsidRPr="00461C16">
        <w:rPr>
          <w:rFonts w:ascii="Arial Narrow" w:hAnsi="Arial Narrow"/>
          <w:i/>
          <w:sz w:val="22"/>
          <w:szCs w:val="22"/>
          <w:shd w:val="clear" w:color="auto" w:fill="FFFFFF"/>
          <w:lang w:val="cs-CZ"/>
        </w:rPr>
        <w:lastRenderedPageBreak/>
        <w:t>Město Hrádek nad Nisou je rozvíjeno jako polycentrická struktura s přirozeným těžištěm v části Hrádek n. N., kde jsou stabilizovány a posíleny jeho městské funkce, zejména komerční i nekomerční služby a bydlení.</w:t>
      </w:r>
    </w:p>
    <w:p w14:paraId="05377AC6"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f)</w:t>
      </w:r>
      <w:r w:rsidRPr="00461C16">
        <w:rPr>
          <w:rFonts w:ascii="Arial Narrow" w:hAnsi="Arial Narrow"/>
          <w:sz w:val="22"/>
          <w:szCs w:val="22"/>
          <w:lang w:val="cs-CZ"/>
        </w:rPr>
        <w:tab/>
        <w:t xml:space="preserve">ochranu a využití rekreačního potenciálu krajiny, </w:t>
      </w:r>
    </w:p>
    <w:p w14:paraId="3C6DB766" w14:textId="77777777" w:rsidR="001B2A7D" w:rsidRPr="00461C16" w:rsidRDefault="00D91E16" w:rsidP="001B2A7D">
      <w:pPr>
        <w:pStyle w:val="Default"/>
        <w:spacing w:before="60" w:after="60"/>
        <w:ind w:left="567"/>
        <w:jc w:val="both"/>
        <w:rPr>
          <w:rFonts w:ascii="Arial Narrow" w:hAnsi="Arial Narrow"/>
          <w:sz w:val="22"/>
          <w:szCs w:val="22"/>
          <w:lang w:val="cs-CZ"/>
        </w:rPr>
      </w:pPr>
      <w:r w:rsidRPr="00461C16">
        <w:rPr>
          <w:rFonts w:ascii="Arial Narrow" w:hAnsi="Arial Narrow"/>
          <w:i/>
          <w:sz w:val="22"/>
          <w:szCs w:val="22"/>
          <w:lang w:val="cs-CZ" w:eastAsia="en-US"/>
        </w:rPr>
        <w:t>Rekreační potenciál krajiny na území města je respektován a rozvíjen. Jedná se zejména o rekreační využití zatopeného dolu Kristýna a též velice atraktivní krajiny Lužických hor zasahující na území města svým východním cípem.</w:t>
      </w:r>
    </w:p>
    <w:p w14:paraId="5821AA1B"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g</w:t>
      </w:r>
      <w:r w:rsidR="00221ED9" w:rsidRPr="00461C16">
        <w:rPr>
          <w:rFonts w:ascii="Arial Narrow" w:hAnsi="Arial Narrow"/>
          <w:sz w:val="22"/>
          <w:szCs w:val="22"/>
          <w:lang w:val="cs-CZ"/>
        </w:rPr>
        <w:t>)</w:t>
      </w:r>
      <w:r w:rsidRPr="00461C16">
        <w:rPr>
          <w:rFonts w:ascii="Arial Narrow" w:hAnsi="Arial Narrow"/>
          <w:sz w:val="22"/>
          <w:szCs w:val="22"/>
          <w:lang w:val="cs-CZ"/>
        </w:rPr>
        <w:tab/>
        <w:t xml:space="preserve">minimalizování ovlivnění přírodních a krajinných hodnot území. </w:t>
      </w:r>
    </w:p>
    <w:p w14:paraId="1E87B6C9" w14:textId="77777777" w:rsidR="001B2A7D" w:rsidRPr="00461C16" w:rsidRDefault="00D91E16" w:rsidP="001B2A7D">
      <w:pPr>
        <w:pStyle w:val="Default"/>
        <w:spacing w:before="60" w:after="60"/>
        <w:ind w:left="567"/>
        <w:jc w:val="both"/>
        <w:rPr>
          <w:rFonts w:ascii="Arial Narrow" w:hAnsi="Arial Narrow"/>
          <w:sz w:val="22"/>
          <w:szCs w:val="22"/>
          <w:lang w:val="cs-CZ"/>
        </w:rPr>
      </w:pPr>
      <w:r w:rsidRPr="00461C16">
        <w:rPr>
          <w:rFonts w:ascii="Arial Narrow" w:hAnsi="Arial Narrow"/>
          <w:i/>
          <w:sz w:val="22"/>
          <w:szCs w:val="22"/>
          <w:lang w:val="cs-CZ" w:eastAsia="en-US"/>
        </w:rPr>
        <w:t>Přírodní a krajinné hodnoty jsou v ÚP respektovány a jsou vytvořeny podmínky pro jejich efektivní ochranu a odpovídající využití.</w:t>
      </w:r>
    </w:p>
    <w:p w14:paraId="577C02DA" w14:textId="77777777" w:rsidR="00DC0033" w:rsidRPr="00461C16" w:rsidRDefault="00DC0033" w:rsidP="00DC0033">
      <w:pPr>
        <w:pStyle w:val="1text"/>
        <w:spacing w:before="240" w:after="120"/>
      </w:pPr>
      <w:r w:rsidRPr="00461C16">
        <w:t xml:space="preserve">Pro rozvojové oblasti a rozvojové osy jsou v PÚR ČR stanoveny obecné </w:t>
      </w:r>
      <w:r w:rsidRPr="00461C16">
        <w:rPr>
          <w:u w:val="single"/>
        </w:rPr>
        <w:t>úkoly pro územní plánování</w:t>
      </w:r>
      <w:r w:rsidRPr="00461C16">
        <w:t>:</w:t>
      </w:r>
    </w:p>
    <w:p w14:paraId="4B864A20" w14:textId="77777777" w:rsidR="00DC0033" w:rsidRPr="00461C16" w:rsidRDefault="00DC0033" w:rsidP="0076488C">
      <w:pPr>
        <w:pStyle w:val="Default"/>
        <w:numPr>
          <w:ilvl w:val="0"/>
          <w:numId w:val="70"/>
        </w:numPr>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Při respektování republikových priorit územního plánování umožňovat v rozvojových oblastech a rozvojových osách intenzivní využívání území v souvislosti s rozvojem veřejné infrastruktury. Z tohoto důvodu v rozvojových oblastech a v rozvojových osách vytvářet podmínky pro umístění aktivit mezinárodního a republikového významu s požadavky na změny v území a tím přispívat k zachování charakteru území mimo rozvojové oblasti a rozvojové osy. </w:t>
      </w:r>
    </w:p>
    <w:p w14:paraId="79D67ACC" w14:textId="77777777" w:rsidR="00B4194F" w:rsidRPr="00461C16" w:rsidRDefault="00B4194F" w:rsidP="00B4194F">
      <w:pPr>
        <w:pStyle w:val="Default"/>
        <w:spacing w:before="60" w:after="60"/>
        <w:ind w:left="567"/>
        <w:jc w:val="both"/>
        <w:rPr>
          <w:rFonts w:ascii="Arial Narrow" w:hAnsi="Arial Narrow"/>
          <w:i/>
          <w:sz w:val="22"/>
          <w:szCs w:val="22"/>
          <w:lang w:val="cs-CZ"/>
        </w:rPr>
      </w:pPr>
      <w:r w:rsidRPr="00461C16">
        <w:rPr>
          <w:rFonts w:ascii="Arial Narrow" w:hAnsi="Arial Narrow"/>
          <w:i/>
          <w:sz w:val="22"/>
          <w:szCs w:val="22"/>
          <w:lang w:val="cs-CZ"/>
        </w:rPr>
        <w:t>Územní plán vytváří podmínky pro rozvoj republikově významné průmyslové zóny Hrádek nad Nisou a umisťování výrobních a skladovacích zařízení ve vazbě na silnici I/35, která je hlavním dopravním tahem do Polska a Německa. Zároveň navrhuje rozvoj rekreační zóny okolo vodní plochy Kristýna, která má vzhledem ke svému rozsahu i poloze na hranici 3 států jednoznačně nadmístní (mezinárodní) význam.</w:t>
      </w:r>
    </w:p>
    <w:p w14:paraId="3431E7C2"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b) </w:t>
      </w:r>
      <w:r w:rsidRPr="00461C16">
        <w:rPr>
          <w:rFonts w:ascii="Arial Narrow" w:hAnsi="Arial Narrow"/>
          <w:sz w:val="22"/>
          <w:szCs w:val="22"/>
          <w:lang w:val="cs-CZ"/>
        </w:rPr>
        <w:tab/>
        <w:t xml:space="preserve">Úkoly, stanovené pro jednotlivé rozvojové oblasti a rozvojové osy, musí být převzaty do územně plánovací dokumentace krajů a obcí. </w:t>
      </w:r>
    </w:p>
    <w:p w14:paraId="7994DCDB" w14:textId="77777777" w:rsidR="00532F83" w:rsidRPr="00461C16" w:rsidRDefault="00532F83" w:rsidP="00DC0033">
      <w:pPr>
        <w:pStyle w:val="Default"/>
        <w:spacing w:before="60" w:after="60"/>
        <w:ind w:left="567" w:hanging="567"/>
        <w:jc w:val="both"/>
        <w:rPr>
          <w:rFonts w:ascii="Arial Narrow" w:hAnsi="Arial Narrow"/>
          <w:i/>
          <w:sz w:val="22"/>
          <w:szCs w:val="22"/>
          <w:lang w:val="cs-CZ"/>
        </w:rPr>
      </w:pPr>
      <w:r w:rsidRPr="00461C16">
        <w:rPr>
          <w:rFonts w:ascii="Arial Narrow" w:hAnsi="Arial Narrow"/>
          <w:i/>
          <w:sz w:val="22"/>
          <w:szCs w:val="22"/>
          <w:lang w:val="cs-CZ"/>
        </w:rPr>
        <w:tab/>
        <w:t>Relevantní úkoly, týkající se území Hrádku nad Nisou, byly převzaty a v maximální možné míře zohledněny v koncepci ÚP.</w:t>
      </w:r>
    </w:p>
    <w:p w14:paraId="5EE9C687"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c) </w:t>
      </w:r>
      <w:r w:rsidRPr="00461C16">
        <w:rPr>
          <w:rFonts w:ascii="Arial Narrow" w:hAnsi="Arial Narrow"/>
          <w:sz w:val="22"/>
          <w:szCs w:val="22"/>
          <w:lang w:val="cs-CZ"/>
        </w:rPr>
        <w:tab/>
        <w:t xml:space="preserve">Kraje v zásadách územního rozvoje dle potřeby upřesní vymezení rozvojových oblastí a rozvojových os v rozlišení podle území jednotlivých obcí, popřípadě jednotlivých katastrálních území, při respektování důvodů vymezení dotyčných rozvojových oblastí a rozvojových os. V případě rozvojových os a oblastí je možné tyto osy nebo oblasti vymezit i pouze v části katastrálního území. </w:t>
      </w:r>
    </w:p>
    <w:p w14:paraId="49720461" w14:textId="77777777" w:rsidR="00532F83" w:rsidRPr="00461C16" w:rsidRDefault="00532F83" w:rsidP="00DC0033">
      <w:pPr>
        <w:pStyle w:val="Default"/>
        <w:spacing w:before="60" w:after="60"/>
        <w:ind w:left="567" w:hanging="567"/>
        <w:jc w:val="both"/>
        <w:rPr>
          <w:rFonts w:ascii="Arial Narrow" w:hAnsi="Arial Narrow"/>
          <w:i/>
          <w:sz w:val="22"/>
          <w:szCs w:val="22"/>
          <w:lang w:val="cs-CZ"/>
        </w:rPr>
      </w:pPr>
      <w:r w:rsidRPr="00461C16">
        <w:rPr>
          <w:rFonts w:ascii="Arial Narrow" w:hAnsi="Arial Narrow"/>
          <w:sz w:val="22"/>
          <w:szCs w:val="22"/>
          <w:lang w:val="cs-CZ"/>
        </w:rPr>
        <w:tab/>
      </w:r>
      <w:r w:rsidRPr="00461C16">
        <w:rPr>
          <w:rFonts w:ascii="Arial Narrow" w:hAnsi="Arial Narrow"/>
          <w:i/>
          <w:sz w:val="22"/>
          <w:szCs w:val="22"/>
          <w:lang w:val="cs-CZ"/>
        </w:rPr>
        <w:t>Požadavek se týká Zásad územního rozvoje Libereckého kraje, nikoliv ÚP Hrádek nad Nisou.</w:t>
      </w:r>
    </w:p>
    <w:p w14:paraId="361EE730"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d) </w:t>
      </w:r>
      <w:r w:rsidRPr="00461C16">
        <w:rPr>
          <w:rFonts w:ascii="Arial Narrow" w:hAnsi="Arial Narrow"/>
          <w:sz w:val="22"/>
          <w:szCs w:val="22"/>
          <w:lang w:val="cs-CZ"/>
        </w:rPr>
        <w:tab/>
        <w:t xml:space="preserve">V zásadách územního rozvoje nebo při jejich aktualizacích, podle konkrétních podmínek a možností území, zohlednit typologii obsaženou ve Strategii regionálního rozvoje ČR 2014–2020. </w:t>
      </w:r>
    </w:p>
    <w:p w14:paraId="5A97F022" w14:textId="77777777" w:rsidR="00532F83" w:rsidRPr="00461C16" w:rsidRDefault="00532F83" w:rsidP="00532F83">
      <w:pPr>
        <w:pStyle w:val="Default"/>
        <w:spacing w:before="60" w:after="60"/>
        <w:ind w:left="567"/>
        <w:jc w:val="both"/>
        <w:rPr>
          <w:rFonts w:ascii="Arial Narrow" w:hAnsi="Arial Narrow"/>
          <w:sz w:val="22"/>
          <w:szCs w:val="22"/>
          <w:lang w:val="cs-CZ"/>
        </w:rPr>
      </w:pPr>
      <w:r w:rsidRPr="00461C16">
        <w:rPr>
          <w:rFonts w:ascii="Arial Narrow" w:hAnsi="Arial Narrow"/>
          <w:i/>
          <w:sz w:val="22"/>
          <w:szCs w:val="22"/>
          <w:lang w:val="cs-CZ"/>
        </w:rPr>
        <w:t>Požadavek se týká Zásad územního rozvoje Libereckého kraje, nikoliv ÚP Hrádek nad Nisou.</w:t>
      </w:r>
    </w:p>
    <w:p w14:paraId="11E41E13" w14:textId="77777777" w:rsidR="00DC0033" w:rsidRPr="00461C16" w:rsidRDefault="00DC0033" w:rsidP="00DC0033">
      <w:pPr>
        <w:pStyle w:val="Default"/>
        <w:spacing w:before="60" w:after="60"/>
        <w:ind w:left="567" w:hanging="567"/>
        <w:jc w:val="both"/>
        <w:rPr>
          <w:rFonts w:ascii="Arial Narrow" w:hAnsi="Arial Narrow"/>
          <w:sz w:val="22"/>
          <w:szCs w:val="22"/>
          <w:lang w:val="cs-CZ"/>
        </w:rPr>
      </w:pPr>
      <w:r w:rsidRPr="00461C16">
        <w:rPr>
          <w:rFonts w:ascii="Arial Narrow" w:hAnsi="Arial Narrow"/>
          <w:sz w:val="22"/>
          <w:szCs w:val="22"/>
          <w:lang w:val="cs-CZ"/>
        </w:rPr>
        <w:t xml:space="preserve">e) </w:t>
      </w:r>
      <w:r w:rsidRPr="00461C16">
        <w:rPr>
          <w:rFonts w:ascii="Arial Narrow" w:hAnsi="Arial Narrow"/>
          <w:sz w:val="22"/>
          <w:szCs w:val="22"/>
          <w:lang w:val="cs-CZ"/>
        </w:rPr>
        <w:tab/>
        <w:t xml:space="preserve">V zásadách územního rozvoje nebo při jejich aktualizacích postupovat mimo jiné v souladu s Programy zlepšování kvality ovzduší, pokud to zmocnění pro obsah zásad územního rozvoje uvedené v právních předpisech umožňuje. </w:t>
      </w:r>
    </w:p>
    <w:p w14:paraId="77626A95" w14:textId="77777777" w:rsidR="00DC0033" w:rsidRPr="00461C16" w:rsidRDefault="00532F83" w:rsidP="00532F83">
      <w:pPr>
        <w:pStyle w:val="1text"/>
        <w:spacing w:after="120"/>
        <w:ind w:left="567"/>
        <w:rPr>
          <w:i/>
          <w:lang w:eastAsia="en-US"/>
        </w:rPr>
      </w:pPr>
      <w:r w:rsidRPr="00461C16">
        <w:rPr>
          <w:i/>
        </w:rPr>
        <w:t>Požadavek se týká Zásad územního rozvoje Libereckého kraje, nikoliv ÚP Hrádek nad Nisou.</w:t>
      </w:r>
    </w:p>
    <w:p w14:paraId="159FD25D" w14:textId="77777777" w:rsidR="004E1C7A" w:rsidRPr="00461C16" w:rsidRDefault="00FB1CCD" w:rsidP="007F050A">
      <w:pPr>
        <w:pStyle w:val="Heading3"/>
        <w:rPr>
          <w:lang w:eastAsia="en-US"/>
        </w:rPr>
      </w:pPr>
      <w:bookmarkStart w:id="17" w:name="_Toc36116236"/>
      <w:r w:rsidRPr="00461C16">
        <w:rPr>
          <w:lang w:eastAsia="en-US"/>
        </w:rPr>
        <w:t>1</w:t>
      </w:r>
      <w:r w:rsidR="002F1727" w:rsidRPr="00461C16">
        <w:rPr>
          <w:lang w:eastAsia="en-US"/>
        </w:rPr>
        <w:t>.</w:t>
      </w:r>
      <w:r w:rsidR="008F49A3" w:rsidRPr="00461C16">
        <w:rPr>
          <w:lang w:eastAsia="en-US"/>
        </w:rPr>
        <w:t>1.3</w:t>
      </w:r>
      <w:r w:rsidR="004E1C7A" w:rsidRPr="00461C16">
        <w:rPr>
          <w:lang w:eastAsia="en-US"/>
        </w:rPr>
        <w:tab/>
        <w:t>Specifické oblasti</w:t>
      </w:r>
      <w:bookmarkEnd w:id="17"/>
    </w:p>
    <w:p w14:paraId="2F55F38E" w14:textId="77777777" w:rsidR="004E1C7A" w:rsidRPr="00461C16" w:rsidRDefault="00930D15" w:rsidP="007F050A">
      <w:pPr>
        <w:pStyle w:val="1text"/>
      </w:pPr>
      <w:r w:rsidRPr="00461C16">
        <w:t>Území m</w:t>
      </w:r>
      <w:r w:rsidR="004E1C7A" w:rsidRPr="00461C16">
        <w:t>ěst</w:t>
      </w:r>
      <w:r w:rsidRPr="00461C16">
        <w:t>a</w:t>
      </w:r>
      <w:r w:rsidR="004E1C7A" w:rsidRPr="00461C16">
        <w:t xml:space="preserve"> </w:t>
      </w:r>
      <w:r w:rsidR="001D4307" w:rsidRPr="00461C16">
        <w:t>Hrádek nad Nisou</w:t>
      </w:r>
      <w:r w:rsidRPr="00461C16">
        <w:t xml:space="preserve"> </w:t>
      </w:r>
      <w:r w:rsidR="004E1C7A" w:rsidRPr="00461C16">
        <w:t>není součástí žádné specifické oblasti</w:t>
      </w:r>
      <w:r w:rsidR="00DE011B" w:rsidRPr="00461C16">
        <w:t>,</w:t>
      </w:r>
      <w:r w:rsidR="004E1C7A" w:rsidRPr="00461C16">
        <w:t xml:space="preserve"> vymezené v PÚR ČR.</w:t>
      </w:r>
    </w:p>
    <w:p w14:paraId="0F6D6A27" w14:textId="77777777" w:rsidR="004E1C7A" w:rsidRPr="00461C16" w:rsidRDefault="00FB1CCD" w:rsidP="007F050A">
      <w:pPr>
        <w:pStyle w:val="Heading3"/>
        <w:rPr>
          <w:lang w:eastAsia="en-US"/>
        </w:rPr>
      </w:pPr>
      <w:bookmarkStart w:id="18" w:name="_Toc36116237"/>
      <w:r w:rsidRPr="00461C16">
        <w:rPr>
          <w:lang w:eastAsia="en-US"/>
        </w:rPr>
        <w:t>1</w:t>
      </w:r>
      <w:r w:rsidR="002F1727" w:rsidRPr="00461C16">
        <w:rPr>
          <w:lang w:eastAsia="en-US"/>
        </w:rPr>
        <w:t>.</w:t>
      </w:r>
      <w:r w:rsidR="004E1C7A" w:rsidRPr="00461C16">
        <w:rPr>
          <w:lang w:eastAsia="en-US"/>
        </w:rPr>
        <w:t>1.4</w:t>
      </w:r>
      <w:r w:rsidR="004E1C7A" w:rsidRPr="00461C16">
        <w:rPr>
          <w:lang w:eastAsia="en-US"/>
        </w:rPr>
        <w:tab/>
        <w:t>Koridory a plochy dopravní infrastruktury</w:t>
      </w:r>
      <w:bookmarkEnd w:id="16"/>
      <w:bookmarkEnd w:id="18"/>
    </w:p>
    <w:p w14:paraId="738E0C4B" w14:textId="77777777" w:rsidR="00013E21" w:rsidRPr="00461C16" w:rsidRDefault="008E2022" w:rsidP="00CB2927">
      <w:pPr>
        <w:spacing w:after="120"/>
      </w:pPr>
      <w:r w:rsidRPr="00461C16">
        <w:t xml:space="preserve">PÚR ČR </w:t>
      </w:r>
      <w:r w:rsidR="00391C39" w:rsidRPr="00461C16">
        <w:t>ne</w:t>
      </w:r>
      <w:r w:rsidRPr="00461C16">
        <w:t>vymezuje koridor</w:t>
      </w:r>
      <w:r w:rsidR="00391C39" w:rsidRPr="00461C16">
        <w:t>y</w:t>
      </w:r>
      <w:r w:rsidR="00DE011B" w:rsidRPr="00461C16">
        <w:t xml:space="preserve"> dopravní infrastruktury</w:t>
      </w:r>
      <w:r w:rsidRPr="00461C16">
        <w:t xml:space="preserve"> s potenciálním dopadem na správn</w:t>
      </w:r>
      <w:r w:rsidR="00391C39" w:rsidRPr="00461C16">
        <w:t>í území města Hrádek nad Nisou.</w:t>
      </w:r>
    </w:p>
    <w:p w14:paraId="2B7A86F1" w14:textId="77777777" w:rsidR="004E1C7A" w:rsidRPr="00461C16" w:rsidRDefault="00FB1CCD" w:rsidP="007F050A">
      <w:pPr>
        <w:pStyle w:val="Heading3"/>
        <w:rPr>
          <w:lang w:eastAsia="en-US"/>
        </w:rPr>
      </w:pPr>
      <w:bookmarkStart w:id="19" w:name="_Toc360178560"/>
      <w:bookmarkStart w:id="20" w:name="_Toc36116238"/>
      <w:r w:rsidRPr="00461C16">
        <w:rPr>
          <w:lang w:eastAsia="en-US"/>
        </w:rPr>
        <w:t>1</w:t>
      </w:r>
      <w:r w:rsidR="002F1727" w:rsidRPr="00461C16">
        <w:rPr>
          <w:lang w:eastAsia="en-US"/>
        </w:rPr>
        <w:t>.</w:t>
      </w:r>
      <w:r w:rsidR="004E1C7A" w:rsidRPr="00461C16">
        <w:rPr>
          <w:lang w:eastAsia="en-US"/>
        </w:rPr>
        <w:t>1.5</w:t>
      </w:r>
      <w:r w:rsidR="004E1C7A" w:rsidRPr="00461C16">
        <w:rPr>
          <w:lang w:eastAsia="en-US"/>
        </w:rPr>
        <w:tab/>
        <w:t>Koridory a plochy technické infrastruktury</w:t>
      </w:r>
      <w:bookmarkEnd w:id="19"/>
      <w:r w:rsidR="004E1C7A" w:rsidRPr="00461C16">
        <w:rPr>
          <w:lang w:eastAsia="en-US"/>
        </w:rPr>
        <w:t xml:space="preserve"> a souvisejících rozvojových záměrů</w:t>
      </w:r>
      <w:bookmarkEnd w:id="20"/>
    </w:p>
    <w:p w14:paraId="1697A265" w14:textId="77777777" w:rsidR="00531A31" w:rsidRPr="00461C16" w:rsidRDefault="00531A31" w:rsidP="007F050A">
      <w:pPr>
        <w:pStyle w:val="1text"/>
        <w:rPr>
          <w:lang w:eastAsia="cs-CZ"/>
        </w:rPr>
      </w:pPr>
      <w:bookmarkStart w:id="21" w:name="_Toc360178561"/>
      <w:bookmarkStart w:id="22" w:name="_Toc424191813"/>
      <w:r w:rsidRPr="00461C16">
        <w:rPr>
          <w:lang w:eastAsia="cs-CZ"/>
        </w:rPr>
        <w:t xml:space="preserve">Koridory nadřazených inženýrských sítí vymezených v PÚR ČR </w:t>
      </w:r>
      <w:r w:rsidR="00013E21" w:rsidRPr="00461C16">
        <w:rPr>
          <w:lang w:eastAsia="cs-CZ"/>
        </w:rPr>
        <w:t xml:space="preserve">do správního území města </w:t>
      </w:r>
      <w:r w:rsidR="008E2022" w:rsidRPr="00461C16">
        <w:rPr>
          <w:lang w:eastAsia="cs-CZ"/>
        </w:rPr>
        <w:t>Hrádek nad Nisou</w:t>
      </w:r>
      <w:r w:rsidR="00013E21" w:rsidRPr="00461C16">
        <w:rPr>
          <w:lang w:eastAsia="cs-CZ"/>
        </w:rPr>
        <w:t xml:space="preserve"> </w:t>
      </w:r>
      <w:r w:rsidRPr="00461C16">
        <w:rPr>
          <w:lang w:eastAsia="cs-CZ"/>
        </w:rPr>
        <w:t xml:space="preserve">nezasahují. </w:t>
      </w:r>
    </w:p>
    <w:p w14:paraId="523DC42C" w14:textId="77777777" w:rsidR="004E1C7A" w:rsidRPr="00461C16" w:rsidRDefault="00FB1CCD" w:rsidP="007F050A">
      <w:pPr>
        <w:pStyle w:val="Heading2"/>
      </w:pPr>
      <w:bookmarkStart w:id="23" w:name="_Toc36116239"/>
      <w:r w:rsidRPr="00461C16">
        <w:lastRenderedPageBreak/>
        <w:t>1</w:t>
      </w:r>
      <w:r w:rsidR="002F1727" w:rsidRPr="00461C16">
        <w:t>.</w:t>
      </w:r>
      <w:r w:rsidR="004E1C7A" w:rsidRPr="00461C16">
        <w:t>2</w:t>
      </w:r>
      <w:r w:rsidR="004E1C7A" w:rsidRPr="00461C16">
        <w:tab/>
        <w:t>Vyhodnocení souladu s</w:t>
      </w:r>
      <w:r w:rsidR="00E75224" w:rsidRPr="00461C16">
        <w:t xml:space="preserve">e </w:t>
      </w:r>
      <w:bookmarkEnd w:id="21"/>
      <w:r w:rsidR="004E1C7A" w:rsidRPr="00461C16">
        <w:t>Z</w:t>
      </w:r>
      <w:r w:rsidR="00E75224" w:rsidRPr="00461C16">
        <w:t>ásadami územního rozvoje</w:t>
      </w:r>
      <w:r w:rsidR="004E1C7A" w:rsidRPr="00461C16">
        <w:t xml:space="preserve"> </w:t>
      </w:r>
      <w:r w:rsidR="009715F3" w:rsidRPr="00461C16">
        <w:t>Libereckého</w:t>
      </w:r>
      <w:r w:rsidR="004A6672" w:rsidRPr="00461C16">
        <w:t xml:space="preserve"> </w:t>
      </w:r>
      <w:r w:rsidR="004E1C7A" w:rsidRPr="00461C16">
        <w:t>kraje</w:t>
      </w:r>
      <w:bookmarkEnd w:id="22"/>
      <w:bookmarkEnd w:id="23"/>
    </w:p>
    <w:p w14:paraId="269BB0C4" w14:textId="77777777" w:rsidR="00E75224" w:rsidRPr="00461C16" w:rsidRDefault="004E1C7A" w:rsidP="00E75224">
      <w:pPr>
        <w:spacing w:before="240" w:after="120" w:line="240" w:lineRule="auto"/>
      </w:pPr>
      <w:r w:rsidRPr="00461C16">
        <w:t xml:space="preserve">Platnou nadřazenou územně plánovací dokumentací pro </w:t>
      </w:r>
      <w:r w:rsidR="009715F3" w:rsidRPr="00461C16">
        <w:t>město Hrádek nad Nisou</w:t>
      </w:r>
      <w:r w:rsidR="004A6672" w:rsidRPr="00461C16">
        <w:t xml:space="preserve"> </w:t>
      </w:r>
      <w:r w:rsidRPr="00461C16">
        <w:t xml:space="preserve">jsou Zásady územního rozvoje </w:t>
      </w:r>
      <w:r w:rsidR="009715F3" w:rsidRPr="00461C16">
        <w:t>Libereckého</w:t>
      </w:r>
      <w:r w:rsidR="004A6672" w:rsidRPr="00461C16">
        <w:t xml:space="preserve"> </w:t>
      </w:r>
      <w:r w:rsidR="00CC5AB1" w:rsidRPr="00461C16">
        <w:t>kraje (dále též „ZÚR“)</w:t>
      </w:r>
      <w:r w:rsidRPr="00461C16">
        <w:t xml:space="preserve">, vydané </w:t>
      </w:r>
      <w:r w:rsidR="00E75224" w:rsidRPr="00461C16">
        <w:t xml:space="preserve">Zastupitelstvem </w:t>
      </w:r>
      <w:r w:rsidR="009715F3" w:rsidRPr="00461C16">
        <w:t xml:space="preserve">Libereckého </w:t>
      </w:r>
      <w:r w:rsidR="00CF2AD3" w:rsidRPr="00461C16">
        <w:t xml:space="preserve">kraje dne </w:t>
      </w:r>
      <w:r w:rsidR="009715F3" w:rsidRPr="00461C16">
        <w:t>21. 12</w:t>
      </w:r>
      <w:r w:rsidR="00CF2AD3" w:rsidRPr="00461C16">
        <w:t>. </w:t>
      </w:r>
      <w:r w:rsidR="00E75224" w:rsidRPr="00461C16">
        <w:t xml:space="preserve">2011 </w:t>
      </w:r>
      <w:r w:rsidR="009715F3" w:rsidRPr="00461C16">
        <w:rPr>
          <w:rFonts w:ascii="Arial" w:hAnsi="Arial" w:cs="Arial"/>
          <w:color w:val="333333"/>
          <w:sz w:val="21"/>
          <w:szCs w:val="21"/>
          <w:shd w:val="clear" w:color="auto" w:fill="FFFFFF"/>
        </w:rPr>
        <w:t>č. 466/11/ZK</w:t>
      </w:r>
      <w:r w:rsidR="009715F3" w:rsidRPr="00461C16">
        <w:rPr>
          <w:rStyle w:val="apple-converted-space"/>
          <w:rFonts w:ascii="Arial" w:hAnsi="Arial"/>
          <w:color w:val="333333"/>
          <w:sz w:val="21"/>
          <w:szCs w:val="21"/>
          <w:shd w:val="clear" w:color="auto" w:fill="FFFFFF"/>
        </w:rPr>
        <w:t> </w:t>
      </w:r>
      <w:r w:rsidR="00CF2AD3" w:rsidRPr="00461C16">
        <w:t>,</w:t>
      </w:r>
      <w:r w:rsidR="00E75224" w:rsidRPr="00461C16">
        <w:t xml:space="preserve"> s účinností od </w:t>
      </w:r>
      <w:r w:rsidR="009715F3" w:rsidRPr="00461C16">
        <w:t>22</w:t>
      </w:r>
      <w:r w:rsidR="00E75224" w:rsidRPr="00461C16">
        <w:t>.</w:t>
      </w:r>
      <w:r w:rsidR="009715F3" w:rsidRPr="00461C16">
        <w:t> </w:t>
      </w:r>
      <w:r w:rsidR="00CF2AD3" w:rsidRPr="00461C16">
        <w:t>1</w:t>
      </w:r>
      <w:r w:rsidR="00E75224" w:rsidRPr="00461C16">
        <w:t>. 201</w:t>
      </w:r>
      <w:r w:rsidR="009715F3" w:rsidRPr="00461C16">
        <w:t>2</w:t>
      </w:r>
      <w:r w:rsidR="00966CFF" w:rsidRPr="00461C16">
        <w:t xml:space="preserve">. </w:t>
      </w:r>
    </w:p>
    <w:p w14:paraId="3DD90E71" w14:textId="77777777" w:rsidR="00F220C0" w:rsidRPr="00461C16" w:rsidRDefault="004E1C7A" w:rsidP="007F050A">
      <w:pPr>
        <w:spacing w:before="120" w:line="240" w:lineRule="auto"/>
        <w:rPr>
          <w:rFonts w:cs="Arial"/>
        </w:rPr>
      </w:pPr>
      <w:r w:rsidRPr="00461C16">
        <w:rPr>
          <w:rFonts w:cs="Arial"/>
        </w:rPr>
        <w:t xml:space="preserve">Ze </w:t>
      </w:r>
      <w:r w:rsidR="003F0B2F" w:rsidRPr="00461C16">
        <w:rPr>
          <w:rFonts w:cs="Arial"/>
        </w:rPr>
        <w:t xml:space="preserve">ZÚR </w:t>
      </w:r>
      <w:r w:rsidR="009715F3" w:rsidRPr="00461C16">
        <w:rPr>
          <w:rFonts w:cs="Arial"/>
        </w:rPr>
        <w:t>Libereckého kraje</w:t>
      </w:r>
      <w:r w:rsidR="003F0B2F" w:rsidRPr="00461C16">
        <w:rPr>
          <w:rFonts w:cs="Arial"/>
        </w:rPr>
        <w:t xml:space="preserve"> </w:t>
      </w:r>
      <w:r w:rsidRPr="00461C16">
        <w:rPr>
          <w:rFonts w:cs="Arial"/>
        </w:rPr>
        <w:t xml:space="preserve">vyplývají </w:t>
      </w:r>
      <w:r w:rsidR="00F220C0" w:rsidRPr="00461C16">
        <w:rPr>
          <w:rFonts w:cs="Arial"/>
        </w:rPr>
        <w:t xml:space="preserve">pro řešení </w:t>
      </w:r>
      <w:r w:rsidR="00CE7982" w:rsidRPr="00461C16">
        <w:rPr>
          <w:rFonts w:cs="Arial"/>
        </w:rPr>
        <w:t>Územního plánu</w:t>
      </w:r>
      <w:r w:rsidR="00F220C0" w:rsidRPr="00461C16">
        <w:rPr>
          <w:rFonts w:cs="Arial"/>
        </w:rPr>
        <w:t xml:space="preserve"> dále uvedené požadavky, k nimž je doplněno vyhodnocení souladu Územního plánu (kurzivou).</w:t>
      </w:r>
    </w:p>
    <w:p w14:paraId="4B0BEA94" w14:textId="77777777" w:rsidR="004A6672" w:rsidRPr="00461C16" w:rsidRDefault="00FB1CCD" w:rsidP="00E75224">
      <w:pPr>
        <w:pStyle w:val="Heading3"/>
        <w:rPr>
          <w:sz w:val="20"/>
        </w:rPr>
      </w:pPr>
      <w:bookmarkStart w:id="24" w:name="_Toc36116240"/>
      <w:r w:rsidRPr="00461C16">
        <w:t>1</w:t>
      </w:r>
      <w:r w:rsidR="002F1727" w:rsidRPr="00461C16">
        <w:t>.</w:t>
      </w:r>
      <w:r w:rsidR="004A6672" w:rsidRPr="00461C16">
        <w:t>2.1</w:t>
      </w:r>
      <w:r w:rsidR="004A6672" w:rsidRPr="00461C16">
        <w:tab/>
        <w:t>Priority územního plánování kraje pro zajištění udržitelného rozvoje území</w:t>
      </w:r>
      <w:bookmarkEnd w:id="24"/>
    </w:p>
    <w:p w14:paraId="23330E54" w14:textId="77777777" w:rsidR="004A6672" w:rsidRPr="00461C16" w:rsidRDefault="004A6672" w:rsidP="00E75224">
      <w:pPr>
        <w:pStyle w:val="1text"/>
      </w:pPr>
      <w:r w:rsidRPr="00461C16">
        <w:t xml:space="preserve">Pro správní území </w:t>
      </w:r>
      <w:r w:rsidR="003D76CF" w:rsidRPr="00461C16">
        <w:t>města Hrádek nad Nisou</w:t>
      </w:r>
      <w:r w:rsidRPr="00461C16">
        <w:t xml:space="preserve"> jsou v ZÚR </w:t>
      </w:r>
      <w:r w:rsidR="003D76CF" w:rsidRPr="00461C16">
        <w:t>Libereckého kraje</w:t>
      </w:r>
      <w:r w:rsidRPr="00461C16">
        <w:t xml:space="preserve"> </w:t>
      </w:r>
      <w:r w:rsidR="00AB3575" w:rsidRPr="00461C16">
        <w:t>stanoveny</w:t>
      </w:r>
      <w:r w:rsidR="00E75224" w:rsidRPr="00461C16">
        <w:t xml:space="preserve"> </w:t>
      </w:r>
      <w:r w:rsidRPr="00461C16">
        <w:t>následující priority územního plánování kraje:</w:t>
      </w:r>
    </w:p>
    <w:p w14:paraId="78B968D4" w14:textId="77777777" w:rsidR="0045621F" w:rsidRPr="00461C16" w:rsidRDefault="0045621F" w:rsidP="00456021">
      <w:pPr>
        <w:pStyle w:val="ListParagraph"/>
        <w:numPr>
          <w:ilvl w:val="0"/>
          <w:numId w:val="50"/>
        </w:numPr>
        <w:spacing w:before="120" w:after="120"/>
        <w:ind w:left="567" w:hanging="567"/>
        <w:rPr>
          <w:szCs w:val="18"/>
        </w:rPr>
      </w:pPr>
      <w:r w:rsidRPr="00461C16">
        <w:rPr>
          <w:szCs w:val="18"/>
        </w:rPr>
        <w:t>Prostředky a nástroji územního plánování ve veřejném zájmu chránit přírodní hodnoty území kraje, zvyšovat funkční účinnost zvláště a obecně chráněných území přírody a zajistit jejich organické doplnění a propojení s prvky ÚSES a NATURA 2000.</w:t>
      </w:r>
    </w:p>
    <w:p w14:paraId="7BF795AE" w14:textId="77777777" w:rsidR="00FE7E90" w:rsidRPr="00461C16" w:rsidRDefault="0045621F" w:rsidP="0045621F">
      <w:pPr>
        <w:pStyle w:val="ListParagraph"/>
        <w:spacing w:before="120" w:after="120"/>
        <w:ind w:left="567"/>
        <w:rPr>
          <w:szCs w:val="18"/>
        </w:rPr>
      </w:pPr>
      <w:r w:rsidRPr="00461C16">
        <w:rPr>
          <w:szCs w:val="18"/>
        </w:rPr>
        <w:t>Při stanovování způsobu využití území v územně plánovací dokumentaci upřednostňovat komplexní řešení před uplatňováním jednostranných hledisek a požadavků, které ve svých důsledcích zhoršují stav i hodnoty území. Nepřipouštět takové zásahy a aktivity, které by samy o sobě nebo ve svých důsledcích poškozovaly stav zvláště chráněných území.</w:t>
      </w:r>
      <w:r w:rsidR="00FE7E90" w:rsidRPr="00461C16">
        <w:rPr>
          <w:szCs w:val="18"/>
        </w:rPr>
        <w:t xml:space="preserve"> </w:t>
      </w:r>
    </w:p>
    <w:p w14:paraId="64364066" w14:textId="77777777" w:rsidR="00221ED9" w:rsidRPr="00461C16" w:rsidRDefault="00221ED9" w:rsidP="00221ED9">
      <w:pPr>
        <w:pStyle w:val="1text"/>
        <w:rPr>
          <w:i/>
          <w:lang w:eastAsia="en-US"/>
        </w:rPr>
      </w:pPr>
      <w:r w:rsidRPr="00461C16">
        <w:rPr>
          <w:i/>
          <w:lang w:eastAsia="en-US"/>
        </w:rPr>
        <w:t xml:space="preserve">Přírodní hodnoty území města jsou respektovány a v ÚP jsou vytvořeny podmínky pro jejich ochranu. Hodnotné části krajiny jsou začleněny do ÚSES na všech úrovních. </w:t>
      </w:r>
    </w:p>
    <w:p w14:paraId="10518391" w14:textId="77777777" w:rsidR="00221ED9" w:rsidRPr="00461C16" w:rsidRDefault="00221ED9" w:rsidP="00221ED9">
      <w:pPr>
        <w:pStyle w:val="1text"/>
        <w:rPr>
          <w:i/>
          <w:lang w:eastAsia="en-US"/>
        </w:rPr>
      </w:pPr>
      <w:r w:rsidRPr="00461C16">
        <w:rPr>
          <w:i/>
          <w:lang w:eastAsia="en-US"/>
        </w:rPr>
        <w:t>Koncepce ÚP Hrádek nad Nisou je založena na komplexním přístupu, zohledňujícím všechny nezbytné aspekty pro udržitelný návrh rozvoje území, tj. zejména harmonický soulad mezi potřebami a požadavky na další rozvoj, ochranou všech hodnot území a limity využití území, stanovenými příslušnými právními předpisy. Koncepce rozvoje města vychází z důkladné analýzy území, jeho potenciálu, potřeb a problémů a vytváří předpoklady pro vyvážený rozvoj všech jeho složek.</w:t>
      </w:r>
    </w:p>
    <w:p w14:paraId="2231047B" w14:textId="77777777" w:rsidR="0045621F" w:rsidRPr="00461C16" w:rsidRDefault="0045621F" w:rsidP="00456021">
      <w:pPr>
        <w:pStyle w:val="ListParagraph"/>
        <w:numPr>
          <w:ilvl w:val="0"/>
          <w:numId w:val="50"/>
        </w:numPr>
        <w:spacing w:before="120" w:after="120"/>
        <w:ind w:left="567" w:hanging="567"/>
        <w:rPr>
          <w:rFonts w:cs="Arial"/>
          <w:lang w:eastAsia="cs-CZ"/>
        </w:rPr>
      </w:pPr>
      <w:r w:rsidRPr="00461C16">
        <w:rPr>
          <w:rFonts w:cs="Arial"/>
          <w:lang w:eastAsia="cs-CZ"/>
        </w:rPr>
        <w:t xml:space="preserve">Vhodným přístupem k využívání území a </w:t>
      </w:r>
      <w:r w:rsidRPr="00461C16">
        <w:rPr>
          <w:szCs w:val="18"/>
        </w:rPr>
        <w:t>respektováním</w:t>
      </w:r>
      <w:r w:rsidRPr="00461C16">
        <w:rPr>
          <w:rFonts w:cs="Arial"/>
          <w:lang w:eastAsia="cs-CZ"/>
        </w:rPr>
        <w:t xml:space="preserve"> územních opatření zajistit ochranu vodohospodářsky významných území v systému CHOPAV, ochranu povrchových a podzemních vod a vodních ekosystémů zvyšujících retenčních schopnost území s cílem zabezpečit dostatek zdrojů kvalitní pitné a užitkové vody pro stávající budoucí rozvojové potřeby kraje. </w:t>
      </w:r>
    </w:p>
    <w:p w14:paraId="4D859C01" w14:textId="77777777" w:rsidR="001F4C14" w:rsidRPr="00461C16" w:rsidRDefault="0045621F" w:rsidP="0045621F">
      <w:pPr>
        <w:autoSpaceDE w:val="0"/>
        <w:autoSpaceDN w:val="0"/>
        <w:adjustRightInd w:val="0"/>
        <w:spacing w:before="120" w:line="240" w:lineRule="auto"/>
        <w:ind w:left="567"/>
        <w:jc w:val="left"/>
        <w:rPr>
          <w:rFonts w:cs="Arial"/>
          <w:lang w:eastAsia="cs-CZ"/>
        </w:rPr>
      </w:pPr>
      <w:r w:rsidRPr="00461C16">
        <w:rPr>
          <w:rFonts w:cs="Arial"/>
          <w:lang w:eastAsia="cs-CZ"/>
        </w:rPr>
        <w:t>Stanovit podmínky pro hospodárné využívání území, chránit a přiměřeně využívat přírodní surovinové, léčivé a energetické zdroje území, podporovat rozvoj obnovitelných zdrojů energie.</w:t>
      </w:r>
    </w:p>
    <w:p w14:paraId="19BEAA7B" w14:textId="77777777" w:rsidR="00DC36CB" w:rsidRPr="00461C16" w:rsidRDefault="00C7269B" w:rsidP="00DC36CB">
      <w:pPr>
        <w:spacing w:before="120" w:after="120"/>
        <w:rPr>
          <w:szCs w:val="18"/>
        </w:rPr>
      </w:pPr>
      <w:r w:rsidRPr="00461C16">
        <w:rPr>
          <w:i/>
          <w:szCs w:val="18"/>
        </w:rPr>
        <w:t>ÚP neobsahuje řešení, které by negativně ovlivnilo přírodní zdroje vod a nerostných surovin. V</w:t>
      </w:r>
      <w:r w:rsidR="008C7977" w:rsidRPr="00461C16">
        <w:rPr>
          <w:i/>
          <w:szCs w:val="18"/>
        </w:rPr>
        <w:t>o</w:t>
      </w:r>
      <w:r w:rsidRPr="00461C16">
        <w:rPr>
          <w:i/>
          <w:szCs w:val="18"/>
        </w:rPr>
        <w:t>dní plochy a to</w:t>
      </w:r>
      <w:r w:rsidR="008C7977" w:rsidRPr="00461C16">
        <w:rPr>
          <w:i/>
          <w:szCs w:val="18"/>
        </w:rPr>
        <w:t>k</w:t>
      </w:r>
      <w:r w:rsidRPr="00461C16">
        <w:rPr>
          <w:i/>
          <w:szCs w:val="18"/>
        </w:rPr>
        <w:t xml:space="preserve">y a další zdroje </w:t>
      </w:r>
      <w:r w:rsidR="008C7977" w:rsidRPr="00461C16">
        <w:rPr>
          <w:i/>
          <w:szCs w:val="18"/>
        </w:rPr>
        <w:t xml:space="preserve">vody a též zdroje nerostných surovin </w:t>
      </w:r>
      <w:r w:rsidRPr="00461C16">
        <w:rPr>
          <w:i/>
          <w:szCs w:val="18"/>
        </w:rPr>
        <w:t>jsou chráněny jako přírodní ho</w:t>
      </w:r>
      <w:r w:rsidR="008C7977" w:rsidRPr="00461C16">
        <w:rPr>
          <w:i/>
          <w:szCs w:val="18"/>
        </w:rPr>
        <w:t>d</w:t>
      </w:r>
      <w:r w:rsidRPr="00461C16">
        <w:rPr>
          <w:i/>
          <w:szCs w:val="18"/>
        </w:rPr>
        <w:t>not</w:t>
      </w:r>
      <w:r w:rsidR="008C7977" w:rsidRPr="00461C16">
        <w:rPr>
          <w:i/>
          <w:szCs w:val="18"/>
        </w:rPr>
        <w:t>a. Navržená opatření v krajině jsou předpokladem pro zlepšení jejího vodního režimu.</w:t>
      </w:r>
    </w:p>
    <w:p w14:paraId="429EFB8A" w14:textId="77777777" w:rsidR="00061B08" w:rsidRPr="00461C16" w:rsidRDefault="00061B08" w:rsidP="00CF1D28">
      <w:pPr>
        <w:pStyle w:val="ListParagraph"/>
        <w:numPr>
          <w:ilvl w:val="0"/>
          <w:numId w:val="50"/>
        </w:numPr>
        <w:spacing w:before="120" w:after="120"/>
        <w:ind w:left="567" w:hanging="567"/>
        <w:rPr>
          <w:szCs w:val="18"/>
        </w:rPr>
      </w:pPr>
      <w:r w:rsidRPr="00461C16">
        <w:rPr>
          <w:szCs w:val="18"/>
        </w:rPr>
        <w:t>Vhodným přístupem k využívání území, respektování územních opatření, odstraněním starých ekologických zátěží, vhodným využitím de</w:t>
      </w:r>
      <w:r w:rsidR="0016681C" w:rsidRPr="00461C16">
        <w:rPr>
          <w:szCs w:val="18"/>
        </w:rPr>
        <w:t>vastovaných území a zamezením nežádoucích civilizačních projevů na kvalitu životního prostředí a obytné hodnoty kraje zajistit ochranu ovzduší, vod a půdy před znečištěním v území.</w:t>
      </w:r>
    </w:p>
    <w:p w14:paraId="6824A237" w14:textId="77777777" w:rsidR="00DC36CB" w:rsidRPr="00461C16" w:rsidRDefault="00C4292A" w:rsidP="00532F83">
      <w:pPr>
        <w:pStyle w:val="ListParagraph"/>
        <w:spacing w:before="120" w:after="120"/>
        <w:ind w:left="0"/>
        <w:rPr>
          <w:i/>
          <w:szCs w:val="18"/>
        </w:rPr>
      </w:pPr>
      <w:r w:rsidRPr="00461C16">
        <w:rPr>
          <w:i/>
          <w:szCs w:val="18"/>
        </w:rPr>
        <w:t xml:space="preserve">ÚP neobsahuje řešení, která by vedle ke znečištění prostředí nad únosnou mez. Plochy s využitím pro výrobu a sklady náročné na dopravní obsluhu jsou vázány na ochvat města (I/35) a </w:t>
      </w:r>
      <w:r w:rsidR="00650E00" w:rsidRPr="00461C16">
        <w:rPr>
          <w:i/>
          <w:szCs w:val="18"/>
        </w:rPr>
        <w:t xml:space="preserve">jejich realizace a využití nepovede </w:t>
      </w:r>
      <w:r w:rsidRPr="00461C16">
        <w:rPr>
          <w:i/>
          <w:szCs w:val="18"/>
        </w:rPr>
        <w:t xml:space="preserve">tedy ke zvýšení zátěže obytných území emisemi z dopravy. Stavby a zařízení způsobující znečištění vod a půd ÚP nenavrhuje. </w:t>
      </w:r>
    </w:p>
    <w:p w14:paraId="607003F3" w14:textId="77777777" w:rsidR="0016681C" w:rsidRPr="00461C16" w:rsidRDefault="0016681C" w:rsidP="00CF1D28">
      <w:pPr>
        <w:pStyle w:val="ListParagraph"/>
        <w:numPr>
          <w:ilvl w:val="0"/>
          <w:numId w:val="50"/>
        </w:numPr>
        <w:spacing w:before="120" w:after="120"/>
        <w:ind w:left="567" w:hanging="567"/>
        <w:rPr>
          <w:szCs w:val="18"/>
        </w:rPr>
      </w:pPr>
      <w:r w:rsidRPr="00461C16">
        <w:rPr>
          <w:szCs w:val="18"/>
        </w:rPr>
        <w:t>Vhodným přístupem k ochraně půdního fondu, upřednostňováním ekologických forem hospodaření a účinným rozvíjením prvků ÚSES zajistit ochranu zemědělské a lesní půdy před vodní a větrnou erozí, před svahovými deformacemi a neodůvodněnými zábory pro jiné účely ve smyslu ochrany půdy jako prakticky neobnovitelné složky životního prostředí a ve smyslu uchování produkční hodnoty území.</w:t>
      </w:r>
    </w:p>
    <w:p w14:paraId="445477AA" w14:textId="77777777" w:rsidR="00650E00" w:rsidRPr="00461C16" w:rsidRDefault="00650E00" w:rsidP="00650E00">
      <w:pPr>
        <w:spacing w:before="120" w:after="120" w:line="240" w:lineRule="auto"/>
        <w:rPr>
          <w:rFonts w:cs="Arial"/>
          <w:i/>
          <w:lang w:eastAsia="en-US"/>
        </w:rPr>
      </w:pPr>
      <w:r w:rsidRPr="00461C16">
        <w:rPr>
          <w:rFonts w:cs="Arial"/>
          <w:i/>
          <w:lang w:eastAsia="en-US"/>
        </w:rPr>
        <w:lastRenderedPageBreak/>
        <w:t>Územní plán vymezuje plochy smíšené nezastavěného území za účelem ochrany zemědělské půdy pro další obhospodařování, plochy lesní a plochy krajinné zeleně území a vymezuje skladební části ÚSES na lokální, regionální a nadregionální úrovni za účelem posílení ekologické stability krajiny a ochrany krajiny. Je respektována plocha současné těžby bez dalších prostorových nároků. Rozvoj zástavby zasahující do ploch zpf je orientován na okrajové polohy zastavěného území.</w:t>
      </w:r>
    </w:p>
    <w:p w14:paraId="777F8E4B" w14:textId="77777777" w:rsidR="00650E00" w:rsidRPr="00461C16" w:rsidRDefault="00650E00" w:rsidP="00650E00">
      <w:pPr>
        <w:spacing w:before="120" w:after="120" w:line="240" w:lineRule="auto"/>
        <w:rPr>
          <w:rFonts w:cs="Arial"/>
          <w:i/>
          <w:lang w:eastAsia="en-US"/>
        </w:rPr>
      </w:pPr>
      <w:r w:rsidRPr="00461C16">
        <w:rPr>
          <w:rFonts w:cs="Arial"/>
          <w:i/>
          <w:lang w:eastAsia="en-US"/>
        </w:rPr>
        <w:t>Charakter hospodaření na ZPF nemůže ÚP jakkoliv ovlivnit .</w:t>
      </w:r>
    </w:p>
    <w:p w14:paraId="7382D5C5" w14:textId="77777777" w:rsidR="001F4C14" w:rsidRPr="00461C16" w:rsidRDefault="0016681C" w:rsidP="00CF1D28">
      <w:pPr>
        <w:pStyle w:val="1text"/>
        <w:numPr>
          <w:ilvl w:val="0"/>
          <w:numId w:val="50"/>
        </w:numPr>
        <w:ind w:left="567" w:hanging="567"/>
        <w:rPr>
          <w:i/>
        </w:rPr>
      </w:pPr>
      <w:r w:rsidRPr="00461C16">
        <w:t xml:space="preserve">Citlivým přístupem k řešení urbanizace území, odpovědným hospodařením s nerostným bohatstvím kraje – obnovitelnými i neobnovitelnými zdroji, minimalizací nevhodných zásahů a podporou úprav, směrovaných ke zkvalitnění krajinných hodnot území, zachovat potenciál, kvalitu a jedinečnost kulturní krajiny v její rozmanitosti. </w:t>
      </w:r>
    </w:p>
    <w:p w14:paraId="7D4FD096" w14:textId="77777777" w:rsidR="00DC36CB" w:rsidRPr="00461C16" w:rsidRDefault="00650E00" w:rsidP="00DC36CB">
      <w:pPr>
        <w:pStyle w:val="1text"/>
        <w:rPr>
          <w:i/>
        </w:rPr>
      </w:pPr>
      <w:r w:rsidRPr="00461C16">
        <w:rPr>
          <w:i/>
          <w:szCs w:val="18"/>
        </w:rPr>
        <w:t>ÚP neobsahuje návrhy, které by významně ovlivnily potenciál, kvalitu a jedinečnost kulturní krajiny. Významné části krajiny jsou vymezeny a respektovány jako přírodní hodnoty, jsou vytvořeny podmínky pro jejich ochranu.</w:t>
      </w:r>
    </w:p>
    <w:p w14:paraId="7A020B97" w14:textId="77777777" w:rsidR="00DC36CB" w:rsidRPr="00461C16" w:rsidRDefault="0016681C" w:rsidP="00CF1D28">
      <w:pPr>
        <w:pStyle w:val="1text"/>
        <w:numPr>
          <w:ilvl w:val="0"/>
          <w:numId w:val="50"/>
        </w:numPr>
        <w:ind w:left="567" w:hanging="567"/>
        <w:rPr>
          <w:i/>
        </w:rPr>
      </w:pPr>
      <w:r w:rsidRPr="00461C16">
        <w:t xml:space="preserve">Preventivními zásahy pro ochranu území před přírodními katastrofami a potenciálními riziky minimalizovat rozsah možných škod z působení přírodních sil v území. </w:t>
      </w:r>
    </w:p>
    <w:p w14:paraId="3B839EDC" w14:textId="77777777" w:rsidR="00DC36CB" w:rsidRPr="00461C16" w:rsidRDefault="00650E00" w:rsidP="00DC36CB">
      <w:pPr>
        <w:pStyle w:val="1text"/>
        <w:rPr>
          <w:i/>
        </w:rPr>
      </w:pPr>
      <w:r w:rsidRPr="00461C16">
        <w:rPr>
          <w:i/>
        </w:rPr>
        <w:t xml:space="preserve">V ÚP jsou respektována záplavová území </w:t>
      </w:r>
      <w:r w:rsidR="00925D78">
        <w:rPr>
          <w:i/>
        </w:rPr>
        <w:t xml:space="preserve">Lužické </w:t>
      </w:r>
      <w:r w:rsidRPr="00461C16">
        <w:rPr>
          <w:i/>
        </w:rPr>
        <w:t xml:space="preserve">Nisy, je navržen koridor pro umístění staveb protipovodňových opatření. </w:t>
      </w:r>
      <w:r w:rsidR="0060161C" w:rsidRPr="00461C16">
        <w:rPr>
          <w:i/>
        </w:rPr>
        <w:t xml:space="preserve">Poddolovaná území neohrožují zastavěná území. </w:t>
      </w:r>
      <w:r w:rsidRPr="00461C16">
        <w:rPr>
          <w:i/>
        </w:rPr>
        <w:t xml:space="preserve">Jiná rizika přírodních katastrof nejsou identifikována. </w:t>
      </w:r>
    </w:p>
    <w:p w14:paraId="43723344" w14:textId="77777777" w:rsidR="0016681C" w:rsidRPr="00461C16" w:rsidRDefault="0016681C" w:rsidP="00427598">
      <w:pPr>
        <w:pStyle w:val="1text"/>
        <w:numPr>
          <w:ilvl w:val="0"/>
          <w:numId w:val="50"/>
        </w:numPr>
        <w:ind w:left="567" w:hanging="567"/>
      </w:pPr>
      <w:r w:rsidRPr="00461C16">
        <w:t>Podporovat rozvoj hospodářských a sociálních funkcí ve vymezených rozvojových oblastech a v rozvojových osách kraje zajištěných odpovídající dopravní obsluhou a technickou infrastrukturou s minimem negativních dopadů na životní prostředí. Rozvoj ekonomických aktivit zajistit odpovídající kapacitou obytných a obslužných funkcí.</w:t>
      </w:r>
    </w:p>
    <w:p w14:paraId="0F258D46" w14:textId="77777777" w:rsidR="0052568A" w:rsidRPr="00461C16" w:rsidRDefault="0052568A" w:rsidP="00DC36CB">
      <w:pPr>
        <w:spacing w:before="120" w:after="120"/>
        <w:rPr>
          <w:i/>
        </w:rPr>
      </w:pPr>
      <w:r w:rsidRPr="00461C16">
        <w:rPr>
          <w:i/>
        </w:rPr>
        <w:t>Pro rozvoj podnikatelských aktivit jsou vymezeny rozsáhlé plochy výroby a skladování soustředěné především podél koridoru městského obchvatu, v návaznosti na stávající průmyslovou zónu, tedy v dostupnosti veřejné infrastruktury a zároveň s minimalizací negativních vlivů na životní prostředí.</w:t>
      </w:r>
      <w:r w:rsidR="003C41CE" w:rsidRPr="00461C16">
        <w:rPr>
          <w:i/>
        </w:rPr>
        <w:t xml:space="preserve"> </w:t>
      </w:r>
      <w:r w:rsidRPr="00461C16">
        <w:rPr>
          <w:i/>
        </w:rPr>
        <w:t xml:space="preserve">Další příležitosti pro podnikání představuje smíšené městské území, kde lze umisťovat nerušivé činnosti, především drobnou výrobu, komerční </w:t>
      </w:r>
      <w:r w:rsidR="003C41CE" w:rsidRPr="00461C16">
        <w:rPr>
          <w:i/>
        </w:rPr>
        <w:t>č</w:t>
      </w:r>
      <w:r w:rsidRPr="00461C16">
        <w:rPr>
          <w:i/>
        </w:rPr>
        <w:t xml:space="preserve">i nekomerční služby. </w:t>
      </w:r>
    </w:p>
    <w:p w14:paraId="2EA97A8A" w14:textId="77777777" w:rsidR="003C41CE" w:rsidRPr="00461C16" w:rsidRDefault="003C41CE" w:rsidP="00DC36CB">
      <w:pPr>
        <w:spacing w:before="120" w:after="120"/>
        <w:rPr>
          <w:i/>
        </w:rPr>
      </w:pPr>
      <w:r w:rsidRPr="00461C16">
        <w:rPr>
          <w:i/>
        </w:rPr>
        <w:t>Spolu s plochami pro ekonomický rozvoj města jsou adekvátně navýšeny plochy pro obytnou zástavbu a další nezbytné funkce města, zajišťující kvalitu a pohodu bydlení.</w:t>
      </w:r>
    </w:p>
    <w:p w14:paraId="36CEDE3E" w14:textId="77777777" w:rsidR="00A80F5C" w:rsidRPr="00461C16" w:rsidRDefault="00A70259" w:rsidP="00427598">
      <w:pPr>
        <w:pStyle w:val="ListParagraph"/>
        <w:numPr>
          <w:ilvl w:val="0"/>
          <w:numId w:val="50"/>
        </w:numPr>
        <w:spacing w:before="120" w:after="120"/>
        <w:ind w:left="567" w:hanging="567"/>
        <w:rPr>
          <w:szCs w:val="18"/>
        </w:rPr>
      </w:pPr>
      <w:r w:rsidRPr="00461C16">
        <w:rPr>
          <w:szCs w:val="18"/>
        </w:rPr>
        <w:t xml:space="preserve">Podporovat únosný rozvoj hospodářských a sociálních funkcí ve specifických oblastech kraje a řešit specifické problémy, které jsou příčinou jejich vymezení. </w:t>
      </w:r>
    </w:p>
    <w:p w14:paraId="3930CFC2" w14:textId="77777777" w:rsidR="00DC36CB" w:rsidRPr="00461C16" w:rsidRDefault="003C41CE" w:rsidP="00DC36CB">
      <w:pPr>
        <w:spacing w:before="120" w:after="120"/>
        <w:rPr>
          <w:i/>
        </w:rPr>
      </w:pPr>
      <w:r w:rsidRPr="00461C16">
        <w:rPr>
          <w:i/>
        </w:rPr>
        <w:t>Požadavek není relevantní pro ÚP Hrádek nad Nisou, město není součástí specifické oblasti</w:t>
      </w:r>
      <w:r w:rsidR="00DC36CB" w:rsidRPr="00461C16">
        <w:rPr>
          <w:i/>
        </w:rPr>
        <w:t>.</w:t>
      </w:r>
    </w:p>
    <w:p w14:paraId="209F1A26" w14:textId="77777777" w:rsidR="00A80F5C" w:rsidRPr="00461C16" w:rsidRDefault="00A70259" w:rsidP="00427598">
      <w:pPr>
        <w:pStyle w:val="ListParagraph"/>
        <w:numPr>
          <w:ilvl w:val="0"/>
          <w:numId w:val="50"/>
        </w:numPr>
        <w:spacing w:before="120" w:after="120"/>
        <w:ind w:left="567" w:hanging="567"/>
        <w:rPr>
          <w:szCs w:val="18"/>
        </w:rPr>
      </w:pPr>
      <w:r w:rsidRPr="00461C16">
        <w:rPr>
          <w:szCs w:val="18"/>
        </w:rPr>
        <w:t>Chránit a přiměřeně využívat přírodní surovinové zdroje.</w:t>
      </w:r>
    </w:p>
    <w:p w14:paraId="12BAE106" w14:textId="77777777" w:rsidR="00DC36CB" w:rsidRPr="00461C16" w:rsidRDefault="0060161C" w:rsidP="00DC36CB">
      <w:pPr>
        <w:spacing w:before="120" w:after="120"/>
        <w:rPr>
          <w:i/>
        </w:rPr>
      </w:pPr>
      <w:r w:rsidRPr="00461C16">
        <w:rPr>
          <w:i/>
          <w:szCs w:val="18"/>
        </w:rPr>
        <w:t xml:space="preserve">Ložiska nerostných surovin jsou v ÚP respektována. Jsou stabilizovány DP Grabštejn a Václavice. Nové plochy těžby nejsou navrhovány. </w:t>
      </w:r>
    </w:p>
    <w:p w14:paraId="26576605" w14:textId="77777777" w:rsidR="00A80F5C" w:rsidRPr="00461C16" w:rsidRDefault="00A70259" w:rsidP="00427598">
      <w:pPr>
        <w:pStyle w:val="ListParagraph"/>
        <w:numPr>
          <w:ilvl w:val="0"/>
          <w:numId w:val="50"/>
        </w:numPr>
        <w:spacing w:before="120" w:after="120"/>
        <w:ind w:left="567" w:hanging="567"/>
        <w:rPr>
          <w:szCs w:val="18"/>
        </w:rPr>
      </w:pPr>
      <w:r w:rsidRPr="00461C16">
        <w:rPr>
          <w:szCs w:val="18"/>
        </w:rPr>
        <w:t>Zajistit kvalitní dopravní napojení Libereckého kraje na evropskou dopravní síť, kvalitní propojení Libereckého kraje s okolními regiony a zlepšení dostupnosti Liberce ze všech částí kraje.</w:t>
      </w:r>
    </w:p>
    <w:p w14:paraId="01F18232" w14:textId="77777777" w:rsidR="00A70259" w:rsidRPr="00461C16" w:rsidRDefault="00862955" w:rsidP="00DC36CB">
      <w:pPr>
        <w:spacing w:before="120" w:after="120"/>
        <w:rPr>
          <w:i/>
          <w:szCs w:val="18"/>
        </w:rPr>
      </w:pPr>
      <w:r w:rsidRPr="00461C16">
        <w:rPr>
          <w:i/>
          <w:szCs w:val="18"/>
        </w:rPr>
        <w:t>Na území města Hrádek nad Nisou byla v minulosti realizována přeložka silnice I/35, čímž se výrazně lepšila jeho dopravní dostupnost.</w:t>
      </w:r>
      <w:r w:rsidR="00B40DF6">
        <w:rPr>
          <w:i/>
          <w:szCs w:val="18"/>
        </w:rPr>
        <w:t xml:space="preserve"> Pro budoucí rozšíření silnice na čtyřpruh</w:t>
      </w:r>
      <w:r w:rsidR="00D86AC0">
        <w:rPr>
          <w:i/>
          <w:szCs w:val="18"/>
        </w:rPr>
        <w:t>ové uspořádání</w:t>
      </w:r>
      <w:r w:rsidR="00B40DF6">
        <w:rPr>
          <w:i/>
          <w:szCs w:val="18"/>
        </w:rPr>
        <w:t xml:space="preserve"> je vymezena</w:t>
      </w:r>
      <w:r w:rsidR="00D86AC0">
        <w:rPr>
          <w:i/>
          <w:szCs w:val="18"/>
        </w:rPr>
        <w:t xml:space="preserve"> plocha</w:t>
      </w:r>
      <w:r w:rsidR="00B40DF6">
        <w:rPr>
          <w:i/>
          <w:szCs w:val="18"/>
        </w:rPr>
        <w:t xml:space="preserve"> územní rezerv</w:t>
      </w:r>
      <w:r w:rsidR="00D86AC0">
        <w:rPr>
          <w:i/>
          <w:szCs w:val="18"/>
        </w:rPr>
        <w:t>y</w:t>
      </w:r>
      <w:r w:rsidR="00B40DF6">
        <w:rPr>
          <w:i/>
          <w:szCs w:val="18"/>
        </w:rPr>
        <w:t xml:space="preserve"> R16.</w:t>
      </w:r>
    </w:p>
    <w:p w14:paraId="291C6A5E" w14:textId="77777777" w:rsidR="00A70259" w:rsidRPr="00461C16" w:rsidRDefault="00A70259" w:rsidP="00427598">
      <w:pPr>
        <w:pStyle w:val="ListParagraph"/>
        <w:numPr>
          <w:ilvl w:val="0"/>
          <w:numId w:val="50"/>
        </w:numPr>
        <w:spacing w:before="120" w:after="120"/>
        <w:ind w:left="567" w:hanging="567"/>
        <w:rPr>
          <w:szCs w:val="18"/>
        </w:rPr>
      </w:pPr>
      <w:r w:rsidRPr="00461C16">
        <w:rPr>
          <w:szCs w:val="18"/>
        </w:rPr>
        <w:t xml:space="preserve">Koordinovat dopravní systémy, zajišťovat optimalizovanou dopraní obslužnost všech částí kraje s upřednostňováním významu veřejné dopravy. </w:t>
      </w:r>
    </w:p>
    <w:p w14:paraId="42296673" w14:textId="77777777" w:rsidR="00DC36CB" w:rsidRPr="00461C16" w:rsidRDefault="00862955" w:rsidP="00345ABD">
      <w:pPr>
        <w:pStyle w:val="1text"/>
        <w:rPr>
          <w:i/>
          <w:szCs w:val="18"/>
        </w:rPr>
      </w:pPr>
      <w:r w:rsidRPr="00461C16">
        <w:rPr>
          <w:i/>
          <w:szCs w:val="18"/>
        </w:rPr>
        <w:t>Dopravní napojení území města Hrádek nad Nisou je po realizaci přeložky silnice I/35 na velmi dobré úrovni.</w:t>
      </w:r>
      <w:r w:rsidR="00D86AC0">
        <w:rPr>
          <w:i/>
          <w:szCs w:val="18"/>
        </w:rPr>
        <w:t xml:space="preserve"> Pro budoucí rozšíření silnice na čtyřpruhové uspořádání je vymezena plocha územní rezervy R16.</w:t>
      </w:r>
    </w:p>
    <w:p w14:paraId="494C3380" w14:textId="77777777" w:rsidR="00687CDD" w:rsidRPr="00461C16" w:rsidRDefault="00687CDD" w:rsidP="00427598">
      <w:pPr>
        <w:pStyle w:val="1text"/>
        <w:numPr>
          <w:ilvl w:val="0"/>
          <w:numId w:val="50"/>
        </w:numPr>
        <w:ind w:left="567" w:hanging="567"/>
        <w:rPr>
          <w:szCs w:val="18"/>
        </w:rPr>
      </w:pPr>
      <w:r w:rsidRPr="00461C16">
        <w:rPr>
          <w:szCs w:val="18"/>
        </w:rPr>
        <w:t>Zajistit kvalitní a odpovídající propojení oblastí, podoblastí a středisek cestovního ruchu systémem multifunkčních turistických koridorů při zachování přírodních a kulturních hodnot území.</w:t>
      </w:r>
    </w:p>
    <w:p w14:paraId="0B609AA8" w14:textId="77777777" w:rsidR="00DC36CB" w:rsidRPr="00461C16" w:rsidRDefault="00862955" w:rsidP="00DC36CB">
      <w:pPr>
        <w:pStyle w:val="1text"/>
        <w:rPr>
          <w:i/>
        </w:rPr>
      </w:pPr>
      <w:r w:rsidRPr="00461C16">
        <w:rPr>
          <w:i/>
          <w:szCs w:val="18"/>
        </w:rPr>
        <w:t>ÚP respektuje multifunkční turistické koridory a vytváří podmínky pro jejich rozvoj.</w:t>
      </w:r>
      <w:r w:rsidR="00DC36CB" w:rsidRPr="00461C16">
        <w:rPr>
          <w:i/>
        </w:rPr>
        <w:t xml:space="preserve"> </w:t>
      </w:r>
    </w:p>
    <w:p w14:paraId="1419DAC1" w14:textId="77777777" w:rsidR="00A80F5C" w:rsidRPr="00461C16" w:rsidRDefault="00687CDD" w:rsidP="00427598">
      <w:pPr>
        <w:pStyle w:val="1text"/>
        <w:numPr>
          <w:ilvl w:val="0"/>
          <w:numId w:val="50"/>
        </w:numPr>
        <w:ind w:left="567" w:hanging="567"/>
      </w:pPr>
      <w:r w:rsidRPr="00461C16">
        <w:lastRenderedPageBreak/>
        <w:t>Odpovědným hospodařením se zdroji a údržbou a rozvojem spolehlivých jímacích a rozvodných systémů a úpraven zabezpečit bezproblémové zásobování obyvatel a dalších odběratelů nezávadnou kvalitní vodou za sociálně únosné ceny.</w:t>
      </w:r>
    </w:p>
    <w:p w14:paraId="3EE9C8AC" w14:textId="77777777" w:rsidR="00220936" w:rsidRPr="00461C16" w:rsidRDefault="00862955" w:rsidP="00220936">
      <w:pPr>
        <w:pStyle w:val="1text"/>
        <w:rPr>
          <w:i/>
        </w:rPr>
      </w:pPr>
      <w:r w:rsidRPr="00461C16">
        <w:rPr>
          <w:i/>
          <w:szCs w:val="18"/>
        </w:rPr>
        <w:t>Úroveň zásobování vodou je na relativně dobré úrovni a do budoucna nevykazuje zásadní koncepční změny.</w:t>
      </w:r>
    </w:p>
    <w:p w14:paraId="29C44EEB" w14:textId="77777777" w:rsidR="00A80F5C" w:rsidRPr="00461C16" w:rsidRDefault="00687CDD" w:rsidP="0076488C">
      <w:pPr>
        <w:pStyle w:val="1text"/>
        <w:numPr>
          <w:ilvl w:val="0"/>
          <w:numId w:val="50"/>
        </w:numPr>
        <w:ind w:left="567" w:hanging="567"/>
        <w:rPr>
          <w:i/>
        </w:rPr>
      </w:pPr>
      <w:r w:rsidRPr="00461C16">
        <w:t>Důsledně přistupovat k zajištění efektivní likvidace odpadních vod bez negativních dopadů na životní prostředí.</w:t>
      </w:r>
    </w:p>
    <w:p w14:paraId="6B145E71" w14:textId="77777777" w:rsidR="00220936" w:rsidRPr="00461C16" w:rsidRDefault="00862955" w:rsidP="00862955">
      <w:pPr>
        <w:pStyle w:val="1text"/>
        <w:rPr>
          <w:i/>
          <w:szCs w:val="18"/>
        </w:rPr>
      </w:pPr>
      <w:r w:rsidRPr="00461C16">
        <w:rPr>
          <w:i/>
          <w:szCs w:val="18"/>
        </w:rPr>
        <w:t>Úroveň likvidace odpadních vod je na relativně dobré úrovni a do budoucna nevykazuje zásadní koncepční změny.</w:t>
      </w:r>
    </w:p>
    <w:p w14:paraId="0778036D" w14:textId="77777777" w:rsidR="00687CDD" w:rsidRPr="00461C16" w:rsidRDefault="00687CDD" w:rsidP="0076488C">
      <w:pPr>
        <w:pStyle w:val="ListParagraph"/>
        <w:numPr>
          <w:ilvl w:val="0"/>
          <w:numId w:val="50"/>
        </w:numPr>
        <w:spacing w:before="120" w:after="120"/>
        <w:ind w:left="567" w:hanging="567"/>
        <w:rPr>
          <w:szCs w:val="18"/>
        </w:rPr>
      </w:pPr>
      <w:r w:rsidRPr="00461C16">
        <w:rPr>
          <w:szCs w:val="18"/>
        </w:rPr>
        <w:t xml:space="preserve">Zajistit územní podmínky pro efektivní zásobování území energiemi a hospodaření s nimi. </w:t>
      </w:r>
    </w:p>
    <w:p w14:paraId="22280F24" w14:textId="77777777" w:rsidR="00A80F5C" w:rsidRPr="00461C16" w:rsidRDefault="00862955" w:rsidP="00862955">
      <w:pPr>
        <w:pStyle w:val="1text"/>
        <w:rPr>
          <w:i/>
          <w:szCs w:val="18"/>
        </w:rPr>
      </w:pPr>
      <w:r w:rsidRPr="00461C16">
        <w:rPr>
          <w:i/>
          <w:szCs w:val="18"/>
        </w:rPr>
        <w:t>Úroveň zásobování území energiemi je na relativně dobré úrovni a do budoucna nevykazuje zásadní koncepční změny.</w:t>
      </w:r>
      <w:r w:rsidR="001F4C14" w:rsidRPr="00461C16">
        <w:rPr>
          <w:i/>
          <w:szCs w:val="18"/>
        </w:rPr>
        <w:t xml:space="preserve"> </w:t>
      </w:r>
    </w:p>
    <w:p w14:paraId="75D9A7CD" w14:textId="77777777" w:rsidR="00A80F5C" w:rsidRPr="00461C16" w:rsidRDefault="00687CDD" w:rsidP="0076488C">
      <w:pPr>
        <w:pStyle w:val="1text"/>
        <w:numPr>
          <w:ilvl w:val="0"/>
          <w:numId w:val="50"/>
        </w:numPr>
        <w:ind w:left="567" w:hanging="567"/>
        <w:rPr>
          <w:i/>
          <w:szCs w:val="18"/>
        </w:rPr>
      </w:pPr>
      <w:r w:rsidRPr="00461C16">
        <w:rPr>
          <w:szCs w:val="18"/>
        </w:rPr>
        <w:t>Vytvářet územní podmínky pro uplatnění ekologicky šetrnějších primárních energetických zdrojů a realizaci rozsáhlého programu využití obnovitelných zdrojů energie.</w:t>
      </w:r>
    </w:p>
    <w:p w14:paraId="3A074781" w14:textId="77777777" w:rsidR="00687CDD" w:rsidRPr="00461C16" w:rsidRDefault="00862955" w:rsidP="00345ABD">
      <w:pPr>
        <w:pStyle w:val="1text"/>
        <w:rPr>
          <w:i/>
        </w:rPr>
      </w:pPr>
      <w:r w:rsidRPr="00461C16">
        <w:rPr>
          <w:i/>
          <w:szCs w:val="18"/>
        </w:rPr>
        <w:t>ÚP vytváří podmínky pro uplatnění ekologicky šetrných energetických zdrojů.</w:t>
      </w:r>
    </w:p>
    <w:p w14:paraId="444EE639" w14:textId="77777777" w:rsidR="00A80F5C" w:rsidRPr="00461C16" w:rsidRDefault="00687CDD" w:rsidP="0076488C">
      <w:pPr>
        <w:pStyle w:val="1text"/>
        <w:numPr>
          <w:ilvl w:val="0"/>
          <w:numId w:val="50"/>
        </w:numPr>
        <w:ind w:left="567" w:hanging="567"/>
      </w:pPr>
      <w:r w:rsidRPr="00461C16">
        <w:t>Vytvářet územní podmínky pro ekonomicky efektivní aplikaci kombinované výroby elektřiny a tepla ve stávajících i nových zdrojích energie.</w:t>
      </w:r>
    </w:p>
    <w:p w14:paraId="21E2E1B0" w14:textId="77777777" w:rsidR="00220936" w:rsidRPr="00461C16" w:rsidRDefault="00862955" w:rsidP="00220936">
      <w:pPr>
        <w:pStyle w:val="1text"/>
        <w:rPr>
          <w:i/>
        </w:rPr>
      </w:pPr>
      <w:r w:rsidRPr="00461C16">
        <w:rPr>
          <w:i/>
          <w:szCs w:val="18"/>
        </w:rPr>
        <w:t xml:space="preserve">Energetická koncepce je založena na dvojcestném zásobování energiemi a to na kombinaci: elektrická energie + zemní plyn; elektrická energie + alternativní ekologická paliva nezávislá na sítích technické infrastruktury. </w:t>
      </w:r>
    </w:p>
    <w:p w14:paraId="17F8F3A2" w14:textId="77777777" w:rsidR="00A80F5C" w:rsidRPr="00461C16" w:rsidRDefault="00687CDD" w:rsidP="0076488C">
      <w:pPr>
        <w:pStyle w:val="1text"/>
        <w:numPr>
          <w:ilvl w:val="0"/>
          <w:numId w:val="50"/>
        </w:numPr>
        <w:ind w:left="567" w:hanging="567"/>
      </w:pPr>
      <w:r w:rsidRPr="00461C16">
        <w:t>Vytvářet územní podmínky pro zajištění spolehlivosti dodávek energie na celém území kraje.</w:t>
      </w:r>
    </w:p>
    <w:p w14:paraId="44A74766" w14:textId="77777777" w:rsidR="00220936" w:rsidRPr="00461C16" w:rsidRDefault="00862955" w:rsidP="007E41CF">
      <w:pPr>
        <w:spacing w:before="120" w:after="120"/>
        <w:rPr>
          <w:i/>
        </w:rPr>
      </w:pPr>
      <w:r w:rsidRPr="00461C16">
        <w:rPr>
          <w:i/>
          <w:szCs w:val="18"/>
        </w:rPr>
        <w:t>Úroveň zásobování území energiemi je na relativně dobré úrovni a do budoucna nevykazuje zásadní koncepční změny.</w:t>
      </w:r>
    </w:p>
    <w:p w14:paraId="606ADAB6" w14:textId="77777777" w:rsidR="00A80F5C" w:rsidRPr="00461C16" w:rsidRDefault="00687CDD" w:rsidP="0076488C">
      <w:pPr>
        <w:pStyle w:val="ListParagraph"/>
        <w:numPr>
          <w:ilvl w:val="0"/>
          <w:numId w:val="50"/>
        </w:numPr>
        <w:spacing w:before="120" w:after="120"/>
        <w:ind w:left="567" w:hanging="567"/>
      </w:pPr>
      <w:r w:rsidRPr="00461C16">
        <w:t>Vytvářet podmínky pro zlepšení dostupnosti služeb spojů a telekomunikací ve vztahu k potřebám území.</w:t>
      </w:r>
    </w:p>
    <w:p w14:paraId="7E555CF8" w14:textId="77777777" w:rsidR="00220936" w:rsidRPr="00461C16" w:rsidRDefault="00862955" w:rsidP="008B4C93">
      <w:pPr>
        <w:pStyle w:val="1text"/>
        <w:rPr>
          <w:i/>
        </w:rPr>
      </w:pPr>
      <w:r w:rsidRPr="00461C16">
        <w:rPr>
          <w:i/>
          <w:szCs w:val="18"/>
        </w:rPr>
        <w:t>Úroveň telekomunikačních sítí je na relativně dobré úrovni a do budoucna nevykazuje zásadní koncepční změny.</w:t>
      </w:r>
    </w:p>
    <w:p w14:paraId="2BDC82AB" w14:textId="77777777" w:rsidR="00687CDD" w:rsidRPr="00461C16" w:rsidRDefault="00B03674" w:rsidP="0076488C">
      <w:pPr>
        <w:pStyle w:val="1text"/>
        <w:numPr>
          <w:ilvl w:val="0"/>
          <w:numId w:val="50"/>
        </w:numPr>
        <w:ind w:left="567" w:hanging="567"/>
      </w:pPr>
      <w:r w:rsidRPr="00461C16">
        <w:t>Prostředky a nástroji územního plánování vytvářet předpoklady pro udržitelný rozvoj území:</w:t>
      </w:r>
    </w:p>
    <w:p w14:paraId="458D953D" w14:textId="77777777" w:rsidR="00B03674" w:rsidRPr="00461C16" w:rsidRDefault="00B03674" w:rsidP="00427598">
      <w:pPr>
        <w:pStyle w:val="1text"/>
        <w:numPr>
          <w:ilvl w:val="0"/>
          <w:numId w:val="51"/>
        </w:numPr>
        <w:ind w:left="993" w:hanging="426"/>
      </w:pPr>
      <w:r w:rsidRPr="00461C16">
        <w:t>navrhovat a rozvíjet pouze kvalitní a příznivá urbanistická a architektonická řešení sídel vybavených nabídkou pracovních příležitostí, potřebnou veřejnou infrastrukturou, dostatečným zastoupením veřejných prostranství a veřejné zeleně, respektující ochranu přírody a krajiny</w:t>
      </w:r>
    </w:p>
    <w:p w14:paraId="63A32B10" w14:textId="77777777" w:rsidR="00B03674" w:rsidRPr="00461C16" w:rsidRDefault="00B03674" w:rsidP="00427598">
      <w:pPr>
        <w:pStyle w:val="1text"/>
        <w:numPr>
          <w:ilvl w:val="0"/>
          <w:numId w:val="51"/>
        </w:numPr>
        <w:ind w:left="993" w:hanging="426"/>
      </w:pPr>
      <w:r w:rsidRPr="00461C16">
        <w:t>stanovením územně technických podmínek v rámci komplexního rozvoje obcí a v souladu s určením a charakterem oblastí, os, ploch a koridorů vymezených v ZÚR LK zajistit předpoklady pro vysokou životní úroveň obyvatelstva s kvalitním bytovým fondem, službami vč. dobrých podmínek pro trávení volného času a vzdělávání pro rozvoj kvalitních lidských zdrojů</w:t>
      </w:r>
    </w:p>
    <w:p w14:paraId="05B7DFDB" w14:textId="77777777" w:rsidR="001F4C14" w:rsidRPr="00461C16" w:rsidRDefault="00B03674" w:rsidP="00427598">
      <w:pPr>
        <w:pStyle w:val="1text"/>
        <w:numPr>
          <w:ilvl w:val="0"/>
          <w:numId w:val="51"/>
        </w:numPr>
        <w:ind w:left="993" w:hanging="426"/>
      </w:pPr>
      <w:r w:rsidRPr="00461C16">
        <w:t>vhodná řešení územního rozvoje je zapotřebí hledat ve spolupráci s obyvateli území i s jeho dalšími uživateli</w:t>
      </w:r>
    </w:p>
    <w:p w14:paraId="7A137C44" w14:textId="77777777" w:rsidR="003C41CE" w:rsidRPr="00461C16" w:rsidRDefault="003C41CE" w:rsidP="00BE40CF">
      <w:pPr>
        <w:pStyle w:val="1text"/>
        <w:rPr>
          <w:i/>
        </w:rPr>
      </w:pPr>
      <w:r w:rsidRPr="00461C16">
        <w:rPr>
          <w:i/>
        </w:rPr>
        <w:t>ÚP navrhuje rozvoj města s ohledem na jeho charakter, uspořádání a urbanistické a architektonické hodnoty. Všechny nové plochy změn, určené k zastavění, jsou napojeny na dopravní a technickou infrastrukturu. Pro plochy smíšené obytné, plochy bydlení, občanského vybavení a rekreace je stanovena podmínka zajištění odpovídajícího podílu veřejných prostranství. Nedílnou součástí ploch změn jsou rovněž plochy veřejné zeleně. Využití rozsáhlejších ploch je podmíněno pořízením územní studie, která prověří jejich vnitřní uspořádání a zajistí kvalitní řešení zástavby.</w:t>
      </w:r>
    </w:p>
    <w:p w14:paraId="5893473F" w14:textId="77777777" w:rsidR="00BE40CF" w:rsidRPr="00461C16" w:rsidRDefault="003C41CE" w:rsidP="00BE40CF">
      <w:pPr>
        <w:pStyle w:val="1text"/>
        <w:rPr>
          <w:i/>
        </w:rPr>
      </w:pPr>
      <w:r w:rsidRPr="00461C16">
        <w:rPr>
          <w:i/>
        </w:rPr>
        <w:t>Komplexní přístup při stanovení koncepce ÚP je předpokladem pro zajištění kvalitních podmínek pro život i podnikání obyvatel města.</w:t>
      </w:r>
    </w:p>
    <w:p w14:paraId="2521102F" w14:textId="77777777" w:rsidR="00B03674" w:rsidRPr="00461C16" w:rsidRDefault="00B03674" w:rsidP="00427598">
      <w:pPr>
        <w:pStyle w:val="1text"/>
        <w:numPr>
          <w:ilvl w:val="0"/>
          <w:numId w:val="50"/>
        </w:numPr>
        <w:ind w:left="567" w:hanging="567"/>
      </w:pPr>
      <w:r w:rsidRPr="00461C16">
        <w:t>V optimální prostorové a organizační struktuře území upevnit integritu kraje a současně zlepšit jeho integraci v republikových a středoevropských vazbách.</w:t>
      </w:r>
    </w:p>
    <w:p w14:paraId="00769BD1" w14:textId="77777777" w:rsidR="008E2022" w:rsidRPr="00461C16" w:rsidRDefault="0045621F" w:rsidP="008E2022">
      <w:pPr>
        <w:pStyle w:val="1text"/>
        <w:rPr>
          <w:i/>
        </w:rPr>
      </w:pPr>
      <w:r w:rsidRPr="00461C16">
        <w:rPr>
          <w:i/>
        </w:rPr>
        <w:lastRenderedPageBreak/>
        <w:t>Koncepce ÚP posiluje prostupnost a dostupnost území i v přeshraničních vazbách, zlepšuje ekonomickou konkurenceschopnost města rozvojem ploch pro podnikatelské aktivity ve strategické poloze a podporuje rozvoj dalších aktivit nadmístního významu (zejména rekreace), které přispějí ke zlepšení funkčních vazeb uvnitř kraje, s dopadem i na navazující území Polska a Německa.</w:t>
      </w:r>
    </w:p>
    <w:p w14:paraId="61445201" w14:textId="77777777" w:rsidR="00B03674" w:rsidRPr="00461C16" w:rsidRDefault="00B03674" w:rsidP="00427598">
      <w:pPr>
        <w:pStyle w:val="1text"/>
        <w:numPr>
          <w:ilvl w:val="0"/>
          <w:numId w:val="50"/>
        </w:numPr>
        <w:ind w:left="567" w:hanging="567"/>
      </w:pPr>
      <w:r w:rsidRPr="00461C16">
        <w:t xml:space="preserve">Podporovat polycentrický rozvoj sídelní struktury. Vytvářet předpoklady pro posílení partnerství mezi urbánními a venkovskými oblastmi a zlepšit tak jejich konkurenceschopnost v rámci republiky i EU. </w:t>
      </w:r>
    </w:p>
    <w:p w14:paraId="150AC93B" w14:textId="77777777" w:rsidR="008E2022" w:rsidRPr="00461C16" w:rsidRDefault="00A73B40" w:rsidP="008E2022">
      <w:pPr>
        <w:pStyle w:val="1text"/>
        <w:rPr>
          <w:i/>
        </w:rPr>
      </w:pPr>
      <w:r w:rsidRPr="00461C16">
        <w:rPr>
          <w:i/>
          <w:color w:val="000000"/>
          <w:shd w:val="clear" w:color="auto" w:fill="FFFFFF"/>
        </w:rPr>
        <w:t xml:space="preserve">viz kap. 1.1.1 </w:t>
      </w:r>
      <w:r w:rsidR="0045621F" w:rsidRPr="00461C16">
        <w:rPr>
          <w:i/>
          <w:color w:val="000000"/>
          <w:shd w:val="clear" w:color="auto" w:fill="FFFFFF"/>
        </w:rPr>
        <w:t>Republikové priority územního plánování -</w:t>
      </w:r>
      <w:r w:rsidR="00B345B4" w:rsidRPr="00461C16">
        <w:rPr>
          <w:i/>
          <w:color w:val="000000"/>
          <w:shd w:val="clear" w:color="auto" w:fill="FFFFFF"/>
        </w:rPr>
        <w:t xml:space="preserve"> </w:t>
      </w:r>
      <w:r w:rsidR="0045621F" w:rsidRPr="00461C16">
        <w:rPr>
          <w:i/>
          <w:color w:val="000000"/>
          <w:shd w:val="clear" w:color="auto" w:fill="FFFFFF"/>
        </w:rPr>
        <w:t>vyhodnocení požadavku č. 18</w:t>
      </w:r>
    </w:p>
    <w:p w14:paraId="59D6ABB5" w14:textId="77777777" w:rsidR="00B03674" w:rsidRPr="00461C16" w:rsidRDefault="00B03674" w:rsidP="0076488C">
      <w:pPr>
        <w:pStyle w:val="1text"/>
        <w:numPr>
          <w:ilvl w:val="0"/>
          <w:numId w:val="50"/>
        </w:numPr>
        <w:ind w:left="567" w:hanging="567"/>
      </w:pPr>
      <w:r w:rsidRPr="00461C16">
        <w:t xml:space="preserve">V rozvojových koncepcích diferencovaně zohledňovat rozdílné charaktery jednotlivých částí kraje a podmínky pro jejich využívání – oblasti s převahou přírodních hodnot, oblasti s vysokou koncentrací socioekonomických aktivit a oblasti venkovského prostoru. </w:t>
      </w:r>
    </w:p>
    <w:p w14:paraId="1B861F57" w14:textId="77777777" w:rsidR="008E2022" w:rsidRPr="00461C16" w:rsidRDefault="0045621F" w:rsidP="008E2022">
      <w:pPr>
        <w:pStyle w:val="1text"/>
        <w:rPr>
          <w:i/>
        </w:rPr>
      </w:pPr>
      <w:r w:rsidRPr="00461C16">
        <w:rPr>
          <w:i/>
        </w:rPr>
        <w:t>Koncepce ÚP zohledňuje charakter jednotlivých území a rozvoj města i jeho částí je navržen s ohledem na konkrétní podmínky, při zachování a ochraně všech stávajících hodnot.</w:t>
      </w:r>
    </w:p>
    <w:p w14:paraId="036D0541" w14:textId="77777777" w:rsidR="00B03674" w:rsidRPr="00461C16" w:rsidRDefault="00B03674" w:rsidP="0076488C">
      <w:pPr>
        <w:pStyle w:val="1text"/>
        <w:numPr>
          <w:ilvl w:val="0"/>
          <w:numId w:val="50"/>
        </w:numPr>
        <w:ind w:left="567" w:hanging="567"/>
      </w:pPr>
      <w:r w:rsidRPr="00461C16">
        <w:t xml:space="preserve">Bránit upadání venkovské krajiny jako důsledku nedostatku lidských zásahů. </w:t>
      </w:r>
    </w:p>
    <w:p w14:paraId="086F4E62" w14:textId="77777777" w:rsidR="008E2022" w:rsidRPr="00461C16" w:rsidRDefault="00A73B40" w:rsidP="008E2022">
      <w:pPr>
        <w:pStyle w:val="1text"/>
        <w:rPr>
          <w:i/>
        </w:rPr>
      </w:pPr>
      <w:r w:rsidRPr="00461C16">
        <w:rPr>
          <w:i/>
          <w:color w:val="000000"/>
          <w:shd w:val="clear" w:color="auto" w:fill="FFFFFF"/>
        </w:rPr>
        <w:t xml:space="preserve">viz kap. 1.1.1 </w:t>
      </w:r>
      <w:r w:rsidR="0045621F" w:rsidRPr="00461C16">
        <w:rPr>
          <w:i/>
          <w:color w:val="000000"/>
          <w:shd w:val="clear" w:color="auto" w:fill="FFFFFF"/>
        </w:rPr>
        <w:t>Republikové priority územního plánování -</w:t>
      </w:r>
      <w:r w:rsidR="00B345B4" w:rsidRPr="00461C16">
        <w:rPr>
          <w:i/>
          <w:color w:val="000000"/>
          <w:shd w:val="clear" w:color="auto" w:fill="FFFFFF"/>
        </w:rPr>
        <w:t xml:space="preserve"> </w:t>
      </w:r>
      <w:r w:rsidR="0045621F" w:rsidRPr="00461C16">
        <w:rPr>
          <w:i/>
          <w:color w:val="000000"/>
          <w:shd w:val="clear" w:color="auto" w:fill="FFFFFF"/>
        </w:rPr>
        <w:t>vyhodnocení požadavku č. 14</w:t>
      </w:r>
    </w:p>
    <w:p w14:paraId="311EA8D2" w14:textId="77777777" w:rsidR="00B03674" w:rsidRPr="00461C16" w:rsidRDefault="00B03674" w:rsidP="0076488C">
      <w:pPr>
        <w:pStyle w:val="1text"/>
        <w:numPr>
          <w:ilvl w:val="0"/>
          <w:numId w:val="50"/>
        </w:numPr>
        <w:ind w:left="567" w:hanging="567"/>
      </w:pPr>
      <w:r w:rsidRPr="00461C16">
        <w:t>Koncentrací hlavních ekonomických aktivit v rozvojových oblastech a podél rozvojových os zajistit ochranu nezastavěného území a podmínky nerušeného vývoje venkovského prostoru a přírodního potenciálu území kraje.</w:t>
      </w:r>
    </w:p>
    <w:p w14:paraId="003F4201" w14:textId="77777777" w:rsidR="008E2022" w:rsidRPr="00461C16" w:rsidRDefault="0045621F" w:rsidP="008E2022">
      <w:pPr>
        <w:pStyle w:val="1text"/>
        <w:rPr>
          <w:i/>
        </w:rPr>
      </w:pPr>
      <w:r w:rsidRPr="00461C16">
        <w:rPr>
          <w:i/>
        </w:rPr>
        <w:t>Hlavní ekonomické aktivity jsou soustředěny podél městského obchvatu (silnice I/35), na hlavním mezinárodním dopravním tahu a mimo obytné území města a zástavbu samostatných částí. Lokalizace ploch pro rozvoj výroby tedy chrání obytná území před negativními vlivy dopravní obsluhy výrobních zařízení.</w:t>
      </w:r>
    </w:p>
    <w:p w14:paraId="15D3DF4E" w14:textId="77777777" w:rsidR="00B03674" w:rsidRPr="00461C16" w:rsidRDefault="00B03674" w:rsidP="0076488C">
      <w:pPr>
        <w:pStyle w:val="1text"/>
        <w:numPr>
          <w:ilvl w:val="0"/>
          <w:numId w:val="50"/>
        </w:numPr>
        <w:ind w:left="567" w:hanging="567"/>
      </w:pPr>
      <w:r w:rsidRPr="00461C16">
        <w:t>Pro potřeby diferenciace územně plánovacích přístupů ve smyslu principů udržitelného rozvoje zpřesňují ZÚR LK na území kraje vymezení republikově významných rozvojových oblastí, rozvojových os a specifických oblastí stanovených v PÚR ČR (2008) a vymezují další charakterem obdobné oblasti a osy nadmístního významu a pro všechny z nich stanovují zásady pro rozhodování o změnách v území a konkrétní úkoly pro územní plánování, přičemž sledují následující priority:</w:t>
      </w:r>
    </w:p>
    <w:p w14:paraId="7C2A7CFD" w14:textId="77777777" w:rsidR="00B03674" w:rsidRPr="00461C16" w:rsidRDefault="006B4B03" w:rsidP="0076488C">
      <w:pPr>
        <w:pStyle w:val="1text"/>
        <w:numPr>
          <w:ilvl w:val="0"/>
          <w:numId w:val="52"/>
        </w:numPr>
      </w:pPr>
      <w:r w:rsidRPr="00461C16">
        <w:t>v území stanovených rozvojových oblastí a rozvojových os kraje podporovat efektivní využívání území pro stabilizaci a rozvoj hospodářských a sociálních funkcí a jejich zajištění odpovídající technickou vybaveností a dopravní obsluhou, při zachování nezastupitelných přírodních a kulturních hodnot a dostatečném zastoupení veřejné zeleně</w:t>
      </w:r>
    </w:p>
    <w:p w14:paraId="0509F353" w14:textId="77777777" w:rsidR="006B4B03" w:rsidRPr="00461C16" w:rsidRDefault="006B4B03" w:rsidP="0076488C">
      <w:pPr>
        <w:pStyle w:val="1text"/>
        <w:numPr>
          <w:ilvl w:val="0"/>
          <w:numId w:val="52"/>
        </w:numPr>
      </w:pPr>
      <w:r w:rsidRPr="00461C16">
        <w:t>v území stanovených specifických oblastí kraje podporovat přiměřené využívání specifických hodnot a účinné řešení specifických problémů, pro které jsou vymezeny; prosazovat vhodné formy rozvoje, které vyhoví potřebám hospodářského a sociálního využívání území a neohrozí zachování jeho přírodních a kulturních hodnot</w:t>
      </w:r>
    </w:p>
    <w:p w14:paraId="69C8751E" w14:textId="77777777" w:rsidR="006B4B03" w:rsidRPr="00461C16" w:rsidRDefault="006B4B03" w:rsidP="0076488C">
      <w:pPr>
        <w:pStyle w:val="1text"/>
        <w:numPr>
          <w:ilvl w:val="0"/>
          <w:numId w:val="52"/>
        </w:numPr>
      </w:pPr>
      <w:r w:rsidRPr="00461C16">
        <w:t>vytvářet předpoklady pro nové využívání pouštěných areálů a ploch (tzv. brownfields průmyslového, zemědělského, vojenského a jiného původu)</w:t>
      </w:r>
    </w:p>
    <w:p w14:paraId="4A41E20E" w14:textId="77777777" w:rsidR="006B4B03" w:rsidRPr="00461C16" w:rsidRDefault="006B4B03" w:rsidP="0076488C">
      <w:pPr>
        <w:pStyle w:val="1text"/>
        <w:numPr>
          <w:ilvl w:val="0"/>
          <w:numId w:val="52"/>
        </w:numPr>
      </w:pPr>
      <w:r w:rsidRPr="00461C16">
        <w:t xml:space="preserve">podle místních podmínek vytvářet předpoklady pro lepší dostupnost území a zkvalitnění dopravní a technické infrastruktury, dopravní a technickou infrastrukturu umísťovat s ohledem na prostupnost krajiny a minimalizaci fragmentace krajiny – je-li to účelné, do společných koridorů </w:t>
      </w:r>
    </w:p>
    <w:p w14:paraId="5C8A0AFA" w14:textId="77777777" w:rsidR="006B4B03" w:rsidRPr="00461C16" w:rsidRDefault="006B4B03" w:rsidP="0076488C">
      <w:pPr>
        <w:pStyle w:val="1text"/>
        <w:numPr>
          <w:ilvl w:val="0"/>
          <w:numId w:val="52"/>
        </w:numPr>
      </w:pPr>
      <w:r w:rsidRPr="00461C16">
        <w:t>koncepce řešení koordinovat se sousedními kraji a státy</w:t>
      </w:r>
    </w:p>
    <w:p w14:paraId="36D3F522" w14:textId="77777777" w:rsidR="0045621F" w:rsidRPr="00461C16" w:rsidRDefault="0045621F" w:rsidP="0045621F">
      <w:pPr>
        <w:pStyle w:val="1text"/>
        <w:ind w:left="567"/>
        <w:rPr>
          <w:i/>
        </w:rPr>
      </w:pPr>
      <w:r w:rsidRPr="00461C16">
        <w:rPr>
          <w:i/>
        </w:rPr>
        <w:t xml:space="preserve">Území je součástí rozvojové oblasti a rozvojové osy dle PÚR ČR. Koncepce ÚP stabilizuje stávající funkce a umožňuje jejich rozvoj, zejména ve prospěch výroby, bydlení a rekreace. Součástí ploch určených k dalšímu využití jsou i areály brownfields, které představují funkčně a strukturálně nežádoucí prvky v území. </w:t>
      </w:r>
    </w:p>
    <w:p w14:paraId="7C6FEACC" w14:textId="77777777" w:rsidR="0045621F" w:rsidRPr="00461C16" w:rsidRDefault="0045621F" w:rsidP="0045621F">
      <w:pPr>
        <w:pStyle w:val="1text"/>
        <w:ind w:left="567"/>
        <w:rPr>
          <w:i/>
        </w:rPr>
      </w:pPr>
      <w:r w:rsidRPr="00461C16">
        <w:rPr>
          <w:i/>
        </w:rPr>
        <w:lastRenderedPageBreak/>
        <w:t xml:space="preserve">Rozvoj je soustředěn primárně do proluk a na hranici zastavěného území tak, aby nedocházelo k fragmentaci a poškozování volné krajiny. Stávající systém veřejné infrastruktury je zachován a jsou vytvořeny podmínky pro jeho zkvalitnění a doplnění, především ve vymezených rozvojových územích. </w:t>
      </w:r>
    </w:p>
    <w:p w14:paraId="6C8F7EF4" w14:textId="77777777" w:rsidR="008E2022" w:rsidRPr="00461C16" w:rsidRDefault="0045621F" w:rsidP="0045621F">
      <w:pPr>
        <w:pStyle w:val="1text"/>
        <w:ind w:left="567"/>
        <w:rPr>
          <w:i/>
        </w:rPr>
      </w:pPr>
      <w:r w:rsidRPr="00461C16">
        <w:rPr>
          <w:i/>
        </w:rPr>
        <w:t>Koordinace se sousedními obcemi je zajištěna prostřednictvím koordinace záměrů v jejich platné ÚPD.</w:t>
      </w:r>
    </w:p>
    <w:p w14:paraId="580657BE" w14:textId="77777777" w:rsidR="006B4B03" w:rsidRPr="00461C16" w:rsidRDefault="006B4B03" w:rsidP="00427598">
      <w:pPr>
        <w:pStyle w:val="1text"/>
        <w:numPr>
          <w:ilvl w:val="0"/>
          <w:numId w:val="50"/>
        </w:numPr>
        <w:ind w:left="567" w:hanging="567"/>
      </w:pPr>
      <w:r w:rsidRPr="00461C16">
        <w:t>Ve veřejném zájmu chránit a rozvíjet přírodní, civilizační a kulturní hodnoty území, včetně urbanistického, architektonického a archeologického dědictví. Zachovat ráz jedinečné urbanistické struktury území, struktury osídlení a jedinečné kulturní krajiny, které jsou výrazem identity území, jeho historie a tradice. Dbát na vyváženost všech třech pilířů udržitelného rozvoje území a nepřipustit snížení jedinečných hodnot území:</w:t>
      </w:r>
    </w:p>
    <w:p w14:paraId="0660ECAB" w14:textId="77777777" w:rsidR="006B4B03" w:rsidRPr="00461C16" w:rsidRDefault="006B4B03" w:rsidP="00427598">
      <w:pPr>
        <w:pStyle w:val="1text"/>
        <w:numPr>
          <w:ilvl w:val="0"/>
          <w:numId w:val="53"/>
        </w:numPr>
      </w:pPr>
      <w:r w:rsidRPr="00461C16">
        <w:t>ve stanovených případech cíleně chránit místa nebo krajinné celky zvláštního zájmu (legislativně zajištěná zvláštní ochrana přírodních, civilizačních a kulturních hodnot území)</w:t>
      </w:r>
    </w:p>
    <w:p w14:paraId="4F640B07" w14:textId="77777777" w:rsidR="006B4B03" w:rsidRPr="00461C16" w:rsidRDefault="006B4B03" w:rsidP="00427598">
      <w:pPr>
        <w:pStyle w:val="1text"/>
        <w:numPr>
          <w:ilvl w:val="0"/>
          <w:numId w:val="53"/>
        </w:numPr>
      </w:pPr>
      <w:r w:rsidRPr="00461C16">
        <w:t>zvláštní pozornost věnovat obnově venkovské krajiny vč. charakteru životních podmínek s důrazem na zachování objektů i souborů lidové architektury v celkové</w:t>
      </w:r>
      <w:r w:rsidR="00B345B4" w:rsidRPr="00461C16">
        <w:t xml:space="preserve"> </w:t>
      </w:r>
      <w:r w:rsidRPr="00461C16">
        <w:t>krajinné kompozici</w:t>
      </w:r>
    </w:p>
    <w:p w14:paraId="4C07DA24" w14:textId="77777777" w:rsidR="006B4B03" w:rsidRPr="00461C16" w:rsidRDefault="006B4B03" w:rsidP="00427598">
      <w:pPr>
        <w:pStyle w:val="1text"/>
        <w:numPr>
          <w:ilvl w:val="0"/>
          <w:numId w:val="53"/>
        </w:numPr>
      </w:pPr>
      <w:r w:rsidRPr="00461C16">
        <w:t>objektivně rozlišovat případy, kdy je důležitější vhodný tvůrčí rozvoj a obnova krajiny než zachování stávající situace</w:t>
      </w:r>
    </w:p>
    <w:p w14:paraId="644885AC" w14:textId="77777777" w:rsidR="006B4B03" w:rsidRPr="00461C16" w:rsidRDefault="006B4B03" w:rsidP="00427598">
      <w:pPr>
        <w:pStyle w:val="1text"/>
        <w:numPr>
          <w:ilvl w:val="0"/>
          <w:numId w:val="53"/>
        </w:numPr>
      </w:pPr>
      <w:r w:rsidRPr="00461C16">
        <w:t>při řešení ochrany hodnot území je nezbytné zohledňovat také požadavky na zvyšování kvality života obyvatel a hospodářského rozvoje území</w:t>
      </w:r>
    </w:p>
    <w:p w14:paraId="4D3CF538" w14:textId="77777777" w:rsidR="008E2022" w:rsidRPr="00461C16" w:rsidRDefault="00A73B40" w:rsidP="008E2022">
      <w:pPr>
        <w:pStyle w:val="1text"/>
        <w:rPr>
          <w:i/>
        </w:rPr>
      </w:pPr>
      <w:r w:rsidRPr="00461C16">
        <w:rPr>
          <w:i/>
          <w:color w:val="000000"/>
          <w:shd w:val="clear" w:color="auto" w:fill="FFFFFF"/>
        </w:rPr>
        <w:t xml:space="preserve">viz kap. 1.1.1 </w:t>
      </w:r>
      <w:r w:rsidR="0045621F" w:rsidRPr="00461C16">
        <w:rPr>
          <w:i/>
          <w:color w:val="000000"/>
          <w:shd w:val="clear" w:color="auto" w:fill="FFFFFF"/>
        </w:rPr>
        <w:t>Republikové priority územního plánování -</w:t>
      </w:r>
      <w:r w:rsidR="00B345B4" w:rsidRPr="00461C16">
        <w:rPr>
          <w:i/>
          <w:color w:val="000000"/>
          <w:shd w:val="clear" w:color="auto" w:fill="FFFFFF"/>
        </w:rPr>
        <w:t xml:space="preserve"> </w:t>
      </w:r>
      <w:r w:rsidR="0045621F" w:rsidRPr="00461C16">
        <w:rPr>
          <w:i/>
          <w:color w:val="000000"/>
          <w:shd w:val="clear" w:color="auto" w:fill="FFFFFF"/>
        </w:rPr>
        <w:t>vyhodnocení požadavku č. 14</w:t>
      </w:r>
    </w:p>
    <w:p w14:paraId="3698481A" w14:textId="77777777" w:rsidR="006B4B03" w:rsidRPr="00461C16" w:rsidRDefault="006B4B03" w:rsidP="00427598">
      <w:pPr>
        <w:pStyle w:val="1text"/>
        <w:numPr>
          <w:ilvl w:val="0"/>
          <w:numId w:val="50"/>
        </w:numPr>
        <w:ind w:left="567" w:hanging="567"/>
      </w:pPr>
      <w:r w:rsidRPr="00461C16">
        <w:t>Vytvářet podmínky pro rozvoj a využití předpokladů území pro odpovídající formy cestovního ruchu, obzvláště ve specifických oblastech – vždy při zachování přírodních a kulturních hodnot území:</w:t>
      </w:r>
    </w:p>
    <w:p w14:paraId="0B12D05C" w14:textId="77777777" w:rsidR="006B4B03" w:rsidRPr="00461C16" w:rsidRDefault="006B4B03" w:rsidP="00427598">
      <w:pPr>
        <w:pStyle w:val="1text"/>
        <w:numPr>
          <w:ilvl w:val="0"/>
          <w:numId w:val="54"/>
        </w:numPr>
      </w:pPr>
      <w:r w:rsidRPr="00461C16">
        <w:t>vymezit a podporovat rozvoj hierarchie struktury nástupních a obslužných center a středisek cestovního ruchu včetně zajištěnosti a odpovídající kvality služeb</w:t>
      </w:r>
    </w:p>
    <w:p w14:paraId="6BD014C3" w14:textId="77777777" w:rsidR="006B4B03" w:rsidRPr="00461C16" w:rsidRDefault="006B4B03" w:rsidP="00427598">
      <w:pPr>
        <w:pStyle w:val="1text"/>
        <w:numPr>
          <w:ilvl w:val="0"/>
          <w:numId w:val="54"/>
        </w:numPr>
      </w:pPr>
      <w:r w:rsidRPr="00461C16">
        <w:t xml:space="preserve">podporovat rozvoj cestovního ruchu v dosud málo využívaných vhodných lokalitách za účelem zajištění nabídky nových pracovních příležitostí a odlehčení urbanizační zátěže tradičních středisek </w:t>
      </w:r>
    </w:p>
    <w:p w14:paraId="28B977A6" w14:textId="77777777" w:rsidR="006B4B03" w:rsidRPr="00461C16" w:rsidRDefault="006B4B03" w:rsidP="00427598">
      <w:pPr>
        <w:pStyle w:val="1text"/>
        <w:numPr>
          <w:ilvl w:val="0"/>
          <w:numId w:val="54"/>
        </w:numPr>
      </w:pPr>
      <w:r w:rsidRPr="00461C16">
        <w:t>upřednostňovat šetrné formy cestovního ruchu (cykloturistika, agroturistika, poznávací turistika aj.)</w:t>
      </w:r>
    </w:p>
    <w:p w14:paraId="6E2FEA0D" w14:textId="77777777" w:rsidR="006B4B03" w:rsidRPr="00461C16" w:rsidRDefault="006B4B03" w:rsidP="00427598">
      <w:pPr>
        <w:pStyle w:val="1text"/>
        <w:numPr>
          <w:ilvl w:val="0"/>
          <w:numId w:val="54"/>
        </w:numPr>
      </w:pPr>
      <w:r w:rsidRPr="00461C16">
        <w:t>podporovat propojení atraktivních míst turistickými cestami, které umožňují celoroční využití pro různé formy turistiky (pěší, cyklo, lyžařská, hipo</w:t>
      </w:r>
      <w:r w:rsidR="00750249" w:rsidRPr="00461C16">
        <w:t xml:space="preserve"> </w:t>
      </w:r>
      <w:r w:rsidRPr="00461C16">
        <w:t>aj.)</w:t>
      </w:r>
    </w:p>
    <w:p w14:paraId="3F32F141" w14:textId="77777777" w:rsidR="00750249" w:rsidRPr="00461C16" w:rsidRDefault="00750249" w:rsidP="00427598">
      <w:pPr>
        <w:pStyle w:val="1text"/>
        <w:numPr>
          <w:ilvl w:val="0"/>
          <w:numId w:val="54"/>
        </w:numPr>
      </w:pPr>
      <w:r w:rsidRPr="00461C16">
        <w:t>hledat a přijmout opatření ke koordinovanému usměrňování a řízení rekreace a cestovního ruchu jako zdroje přetížení území v nejvíce exponovaných prostorech Jizerských hor, Krkonoš a Českého ráje a naopak navrhnout a realizovat územně plánovací a jiná rozvojová opatření na podporu využití existujících územních rezerv hodnotných území v prostoru Frýdlantska, Ralska, Lužických hor a Jihozápadního Českolipska a tím přispět k vytváření nových pracovních příležitostí</w:t>
      </w:r>
    </w:p>
    <w:p w14:paraId="205E2042" w14:textId="69F486D9" w:rsidR="008E2022" w:rsidRPr="006D5245" w:rsidRDefault="00917F00" w:rsidP="008E2022">
      <w:pPr>
        <w:pStyle w:val="1text"/>
        <w:rPr>
          <w:i/>
        </w:rPr>
      </w:pPr>
      <w:r w:rsidRPr="006D5245">
        <w:rPr>
          <w:i/>
        </w:rPr>
        <w:t xml:space="preserve">Území města Hrádek nad Nisou není součástí specifické oblasti. Koncepce ÚP vytváří podmínky pro rozvoj rekreace a cestovního ruchu zejména návrhem rozšíření rekreačního areálu Kristýna, v druhé řadě pak návrhem rekreačního lesoparku Loučná. K podpoře infrastruktury cestovního ruchu přispívá vymezení smíšených ploch, kde je možné umisťovat komerční zařízení související s rekreací a cestovním ruchem. V souladu s §18, odst. 5 stavebního zákona je možná realizace </w:t>
      </w:r>
      <w:r w:rsidRPr="006D5245">
        <w:rPr>
          <w:rFonts w:cs="Arial"/>
          <w:i/>
          <w:color w:val="000000"/>
        </w:rPr>
        <w:t xml:space="preserve">opatření a staveb, které zlepší podmínky jeho využití pro účely rekreace a cestovního ruchu i </w:t>
      </w:r>
      <w:r w:rsidRPr="006D5245">
        <w:rPr>
          <w:i/>
        </w:rPr>
        <w:t>v nezastavěném území. Jsou stabilizovány stávající cyklotrasy a cyklostezky v území.</w:t>
      </w:r>
    </w:p>
    <w:p w14:paraId="56084F0E" w14:textId="77777777" w:rsidR="00750249" w:rsidRPr="00461C16" w:rsidRDefault="00750249" w:rsidP="00427598">
      <w:pPr>
        <w:pStyle w:val="1text"/>
        <w:numPr>
          <w:ilvl w:val="0"/>
          <w:numId w:val="50"/>
        </w:numPr>
        <w:ind w:left="567" w:hanging="567"/>
      </w:pPr>
      <w:r w:rsidRPr="00461C16">
        <w:t>Vytvářet podmínky pro preventivní ochranu území a obyvatelstva před potenciálními riziky a přírodními katastrofami v území s cílem minimalizovat rozsah případných škod:</w:t>
      </w:r>
    </w:p>
    <w:p w14:paraId="17CDA614" w14:textId="77777777" w:rsidR="00750249" w:rsidRPr="00461C16" w:rsidRDefault="00750249" w:rsidP="00427598">
      <w:pPr>
        <w:pStyle w:val="1text"/>
        <w:numPr>
          <w:ilvl w:val="0"/>
          <w:numId w:val="55"/>
        </w:numPr>
      </w:pPr>
      <w:r w:rsidRPr="00461C16">
        <w:t xml:space="preserve">zajistit územní ochranu ploch potřebných pro umísťování staveb a opatření na ochranu před povodněmi a ploch určených k řízeným rozlivům povodní </w:t>
      </w:r>
    </w:p>
    <w:p w14:paraId="47690683" w14:textId="77777777" w:rsidR="00750249" w:rsidRPr="00461C16" w:rsidRDefault="00750249" w:rsidP="00427598">
      <w:pPr>
        <w:pStyle w:val="1text"/>
        <w:numPr>
          <w:ilvl w:val="0"/>
          <w:numId w:val="55"/>
        </w:numPr>
      </w:pPr>
      <w:r w:rsidRPr="00461C16">
        <w:lastRenderedPageBreak/>
        <w:t xml:space="preserve">vymezovat zastavitelné plochy v záplavových územích a umisťovat v nich veřejnou infrastrukturu jen ve výjimečných a zvlášť odůvodněných případech </w:t>
      </w:r>
    </w:p>
    <w:p w14:paraId="232BA0BD" w14:textId="77777777" w:rsidR="00750249" w:rsidRPr="00461C16" w:rsidRDefault="00750249" w:rsidP="00427598">
      <w:pPr>
        <w:pStyle w:val="1text"/>
        <w:numPr>
          <w:ilvl w:val="0"/>
          <w:numId w:val="55"/>
        </w:numPr>
      </w:pPr>
      <w:r w:rsidRPr="00461C16">
        <w:t>vymezovat a chránit zastavitelné plochy pro přemístění zástavby z území s vysokou mírou rizika vzniku povodňových škod</w:t>
      </w:r>
    </w:p>
    <w:p w14:paraId="5BC241A2" w14:textId="77777777" w:rsidR="00750249" w:rsidRPr="00461C16" w:rsidRDefault="00750249" w:rsidP="00427598">
      <w:pPr>
        <w:pStyle w:val="1text"/>
        <w:numPr>
          <w:ilvl w:val="0"/>
          <w:numId w:val="55"/>
        </w:numPr>
      </w:pPr>
      <w:r w:rsidRPr="00461C16">
        <w:t>při návrhu využívání území zohledňovat problematiku území s ohroženou stabilitou – zastavitelné plochy v sesuvných a erozí ohrožených územích vymezovat jen ve výjimečných a zvlášť odůvodněných případech</w:t>
      </w:r>
    </w:p>
    <w:p w14:paraId="465CCEED" w14:textId="77777777" w:rsidR="008E2022" w:rsidRPr="00461C16" w:rsidRDefault="00917F00" w:rsidP="008E2022">
      <w:pPr>
        <w:pStyle w:val="1text"/>
        <w:rPr>
          <w:i/>
        </w:rPr>
      </w:pPr>
      <w:r w:rsidRPr="00461C16">
        <w:rPr>
          <w:i/>
        </w:rPr>
        <w:t xml:space="preserve">Na území města jsou stanovena záplavová území a aktivní zóna záplavového území. Pro ochranu zastavěného území </w:t>
      </w:r>
      <w:r w:rsidR="00E13D4F" w:rsidRPr="00461C16">
        <w:rPr>
          <w:i/>
        </w:rPr>
        <w:t>j</w:t>
      </w:r>
      <w:r w:rsidR="00E13D4F">
        <w:rPr>
          <w:i/>
        </w:rPr>
        <w:t>e</w:t>
      </w:r>
      <w:r w:rsidR="00E13D4F" w:rsidRPr="00461C16">
        <w:rPr>
          <w:i/>
        </w:rPr>
        <w:t xml:space="preserve"> </w:t>
      </w:r>
      <w:r w:rsidRPr="00461C16">
        <w:rPr>
          <w:i/>
        </w:rPr>
        <w:t>vymezen koridor protipovodňových opatření X02 na toku Lužické Nisy</w:t>
      </w:r>
      <w:r w:rsidR="00E13D4F">
        <w:rPr>
          <w:i/>
        </w:rPr>
        <w:t>.</w:t>
      </w:r>
      <w:r w:rsidRPr="00461C16">
        <w:rPr>
          <w:i/>
        </w:rPr>
        <w:t>Realizace opatření zároveň zvýší využitelnost území zejména v kompaktní části města.</w:t>
      </w:r>
      <w:r w:rsidR="00E13D4F">
        <w:rPr>
          <w:i/>
        </w:rPr>
        <w:t xml:space="preserve"> </w:t>
      </w:r>
      <w:r w:rsidR="00E13D4F" w:rsidRPr="005C3EFE">
        <w:rPr>
          <w:i/>
        </w:rPr>
        <w:t xml:space="preserve">Na Oldřichovském potoce </w:t>
      </w:r>
      <w:r w:rsidR="00E13D4F">
        <w:rPr>
          <w:i/>
        </w:rPr>
        <w:t>byla</w:t>
      </w:r>
      <w:r w:rsidR="00E13D4F" w:rsidRPr="005C3EFE">
        <w:rPr>
          <w:i/>
        </w:rPr>
        <w:t xml:space="preserve"> v roce 2014 </w:t>
      </w:r>
      <w:r w:rsidR="00E13D4F">
        <w:rPr>
          <w:i/>
        </w:rPr>
        <w:t>dokončena</w:t>
      </w:r>
      <w:r w:rsidR="00E13D4F" w:rsidRPr="005C3EFE">
        <w:rPr>
          <w:i/>
        </w:rPr>
        <w:t> realizac</w:t>
      </w:r>
      <w:r w:rsidR="00E13D4F">
        <w:rPr>
          <w:i/>
        </w:rPr>
        <w:t>e</w:t>
      </w:r>
      <w:r w:rsidR="00E13D4F" w:rsidRPr="005C3EFE">
        <w:rPr>
          <w:i/>
        </w:rPr>
        <w:t xml:space="preserve"> zvodnělého poldru, který zajišťuje protipovodňovou ochranu sídla Oldřichov na Hranicích</w:t>
      </w:r>
      <w:r w:rsidR="006D5245">
        <w:rPr>
          <w:i/>
        </w:rPr>
        <w:t>, v ÚP je poldr respektován</w:t>
      </w:r>
      <w:r w:rsidR="00E13D4F" w:rsidRPr="005C3EFE">
        <w:rPr>
          <w:i/>
        </w:rPr>
        <w:t>.</w:t>
      </w:r>
    </w:p>
    <w:p w14:paraId="717B233A" w14:textId="77777777" w:rsidR="008E2022" w:rsidRPr="00461C16" w:rsidRDefault="00750249" w:rsidP="0076488C">
      <w:pPr>
        <w:pStyle w:val="1text"/>
        <w:numPr>
          <w:ilvl w:val="0"/>
          <w:numId w:val="50"/>
        </w:numPr>
        <w:ind w:left="567" w:hanging="567"/>
      </w:pPr>
      <w:r w:rsidRPr="00461C16">
        <w:t>Vytvářením územních podmínek pro rozvoj vzdělanosti obyvatelstva a rozmanité struktury hospodářské základny území, založené na spolupráci v širším evropském prostoru, snížit riziko důsledků náhlých hospodářských změn</w:t>
      </w:r>
      <w:r w:rsidR="006B438C" w:rsidRPr="00461C16">
        <w:t>.</w:t>
      </w:r>
    </w:p>
    <w:p w14:paraId="1C034CB4" w14:textId="77777777" w:rsidR="008E2022" w:rsidRPr="00461C16" w:rsidRDefault="00EB0BC4" w:rsidP="008E2022">
      <w:pPr>
        <w:pStyle w:val="1text"/>
      </w:pPr>
      <w:r w:rsidRPr="00461C16">
        <w:rPr>
          <w:i/>
        </w:rPr>
        <w:t>Územní plán nemá možnosti, jak zajistit vzdělanost obyvatel ani spolupráci v širším evropském prostoru. Koncepce ÚP vytváří předpoklady pro možné umisťování zařízení veřejného občanského vybavení zejména vymezením ploch smíšených obytných v převážné části zástavby města, což umožňuje realizaci takového zařízení v podstatě kdekoliv, dle konkrétní potřeby. Pro rozvoj ekonomického sektoru města je klíčové především vymezení rozsáhlých ploch výroby, v návaznosti na silnici I/35, které reagují na polohu v rozvojové ose a na státní hranici. Pro tyto plochy jsou stanoveny podmínky využití, ÚP však již následně nemůže ovlivnit budoucího investora a přesný charakter jeho výrobních aktivit.</w:t>
      </w:r>
    </w:p>
    <w:p w14:paraId="45A246C5" w14:textId="77777777" w:rsidR="00750249" w:rsidRPr="00461C16" w:rsidRDefault="00750249" w:rsidP="0076488C">
      <w:pPr>
        <w:pStyle w:val="1text"/>
        <w:numPr>
          <w:ilvl w:val="0"/>
          <w:numId w:val="50"/>
        </w:numPr>
        <w:ind w:left="567" w:hanging="567"/>
      </w:pPr>
      <w:r w:rsidRPr="00461C16">
        <w:t>Při změnách nebo vytváření urbánního prostředí předcházet prostorově-sociální segregaci s negativními vlivy na sociální soudržnost obyvatel:</w:t>
      </w:r>
    </w:p>
    <w:p w14:paraId="7D81C1F0" w14:textId="77777777" w:rsidR="00750249" w:rsidRPr="00461C16" w:rsidRDefault="00750249" w:rsidP="0076488C">
      <w:pPr>
        <w:pStyle w:val="1text"/>
        <w:numPr>
          <w:ilvl w:val="0"/>
          <w:numId w:val="56"/>
        </w:numPr>
      </w:pPr>
      <w:r w:rsidRPr="00461C16">
        <w:t xml:space="preserve">věnovat trvalou pozornost hodnocení regionálních a lokálních disparit socioekonomického a demografického vývoje a identifikaci problémových částí kraje a ohrožených skupin obyvatel, řešení problematiky menšin, sociálně slabších, sociálně méně přizpůsobivých a sociálně vyloučených skupin obyvatel </w:t>
      </w:r>
    </w:p>
    <w:p w14:paraId="75FA143D" w14:textId="77777777" w:rsidR="00750249" w:rsidRPr="00461C16" w:rsidRDefault="00750249" w:rsidP="0076488C">
      <w:pPr>
        <w:pStyle w:val="1text"/>
        <w:numPr>
          <w:ilvl w:val="0"/>
          <w:numId w:val="56"/>
        </w:numPr>
      </w:pPr>
      <w:r w:rsidRPr="00461C16">
        <w:t>věnovat trvalou pozornost důsledkům změn věkové struktury obyvatel a dalších uživatelů území, které se promítají a budou promítat do měnících se nároků na systémy technické a občanské vybavenosti (školství, zdravotnictví, sociální péče, kultura, sport a tělovýchova, veřejná správa apod.)</w:t>
      </w:r>
    </w:p>
    <w:p w14:paraId="15E75256" w14:textId="77777777" w:rsidR="00750249" w:rsidRPr="00461C16" w:rsidRDefault="00750249" w:rsidP="0076488C">
      <w:pPr>
        <w:pStyle w:val="1text"/>
        <w:numPr>
          <w:ilvl w:val="0"/>
          <w:numId w:val="56"/>
        </w:numPr>
      </w:pPr>
      <w:r w:rsidRPr="00461C16">
        <w:t>věnovat trvalou pozornost a péči o bytový fond s ohledem na diferencované požadavky na úroveň a lokalizaci bydlení včetně hodnocení jejich dopadů na udržitelný rozvoj území s rizikem narůstajících projevů a problémů sociální segregace</w:t>
      </w:r>
    </w:p>
    <w:p w14:paraId="664E6F8D" w14:textId="77777777" w:rsidR="00750249" w:rsidRPr="00461C16" w:rsidRDefault="00750249" w:rsidP="0076488C">
      <w:pPr>
        <w:pStyle w:val="1text"/>
        <w:numPr>
          <w:ilvl w:val="0"/>
          <w:numId w:val="56"/>
        </w:numPr>
      </w:pPr>
      <w:r w:rsidRPr="00461C16">
        <w:t>věnovat trvalou pozornost územím se sníženou a klesající nabídkou pracovního uplatnění, hledat vhodné nástroje intervencí včetně územně plánovacích opatření</w:t>
      </w:r>
    </w:p>
    <w:p w14:paraId="6A1A6AE8" w14:textId="77777777" w:rsidR="008E2022" w:rsidRPr="00461C16" w:rsidRDefault="00EB0BC4" w:rsidP="008E2022">
      <w:pPr>
        <w:pStyle w:val="1text"/>
        <w:rPr>
          <w:i/>
        </w:rPr>
      </w:pPr>
      <w:r w:rsidRPr="00461C16">
        <w:rPr>
          <w:i/>
        </w:rPr>
        <w:t xml:space="preserve">Územní plán nemá reálné možnosti, jak řešit sociální začlenění určitých skupin obyvatelstva či jak ovlivnit demografický vývoj, může pouze vytvořit podmínky pro kvalitní obytné prostředí, které mohou vést ke zvýšení atraktivity prostředí a mohou být motivací pro zvýšení přírůstku obyvatel migrací. Koncepce ÚP chrání stávající hodnoty města, dotváří jeho strukturu doplněním proluk a přestavbou brownfields, vymezuje nové plochy veřejné zeleně a vytváří podmínky pro zlepšení prostupnosti a dostupnosti celého území, což jsou faktory výrazně ovlivňující podmínky pro život v pozitivním smyslu. Druhým aspektem a prostředkem pro dosažení tohoto cíle a pro zajištění pestrosti a kvality bytového fondu, výroby i služeb je flexibilita a polyfunkčnost ve využití území. </w:t>
      </w:r>
    </w:p>
    <w:p w14:paraId="12843BB2" w14:textId="77777777" w:rsidR="004A6672" w:rsidRPr="00461C16" w:rsidRDefault="00FB1CCD" w:rsidP="007E6412">
      <w:pPr>
        <w:pStyle w:val="Heading3"/>
      </w:pPr>
      <w:bookmarkStart w:id="25" w:name="_Toc36116241"/>
      <w:r w:rsidRPr="00461C16">
        <w:t>1</w:t>
      </w:r>
      <w:r w:rsidR="002F1727" w:rsidRPr="00461C16">
        <w:t>.</w:t>
      </w:r>
      <w:r w:rsidR="004A6672" w:rsidRPr="00461C16">
        <w:t>2.</w:t>
      </w:r>
      <w:r w:rsidR="001E2C1D" w:rsidRPr="00461C16">
        <w:t>2</w:t>
      </w:r>
      <w:r w:rsidR="004A6672" w:rsidRPr="00461C16">
        <w:tab/>
        <w:t>R</w:t>
      </w:r>
      <w:r w:rsidR="00923959" w:rsidRPr="00461C16">
        <w:t>ozvojové oblasti a osy</w:t>
      </w:r>
      <w:r w:rsidR="00FD6418" w:rsidRPr="00461C16">
        <w:t xml:space="preserve"> republikového</w:t>
      </w:r>
      <w:r w:rsidR="004A6672" w:rsidRPr="00461C16">
        <w:t xml:space="preserve"> významu</w:t>
      </w:r>
      <w:bookmarkEnd w:id="25"/>
      <w:r w:rsidR="00B345B4" w:rsidRPr="00461C16">
        <w:t xml:space="preserve"> </w:t>
      </w:r>
    </w:p>
    <w:p w14:paraId="75F2E757" w14:textId="77777777" w:rsidR="00DA226C" w:rsidRPr="00461C16" w:rsidRDefault="00923959" w:rsidP="00526D60">
      <w:pPr>
        <w:pStyle w:val="1text"/>
      </w:pPr>
      <w:r w:rsidRPr="00461C16">
        <w:t>Správní území města Hrádek nad Nisou</w:t>
      </w:r>
      <w:r w:rsidR="00526D60" w:rsidRPr="00461C16">
        <w:t xml:space="preserve"> </w:t>
      </w:r>
      <w:r w:rsidR="00FD6418" w:rsidRPr="00461C16">
        <w:t xml:space="preserve">je </w:t>
      </w:r>
      <w:r w:rsidR="001E2C1D" w:rsidRPr="00461C16">
        <w:t>součástí</w:t>
      </w:r>
      <w:r w:rsidR="00FD6418" w:rsidRPr="00461C16">
        <w:t xml:space="preserve"> rozvojové oblasti a osy republikového významu, které jsou zpřesněné v ZÚR LK.</w:t>
      </w:r>
      <w:r w:rsidR="001E2C1D" w:rsidRPr="00461C16">
        <w:t xml:space="preserve"> </w:t>
      </w:r>
    </w:p>
    <w:p w14:paraId="02A1DFFB" w14:textId="77777777" w:rsidR="00753F4E" w:rsidRPr="00461C16" w:rsidRDefault="00753F4E" w:rsidP="00526D60">
      <w:pPr>
        <w:pStyle w:val="1text"/>
        <w:rPr>
          <w:b/>
        </w:rPr>
      </w:pPr>
    </w:p>
    <w:p w14:paraId="171A5EE7" w14:textId="77777777" w:rsidR="00FD6418" w:rsidRPr="00461C16" w:rsidRDefault="00FD6418" w:rsidP="00753F4E">
      <w:pPr>
        <w:pStyle w:val="4podnadpis"/>
      </w:pPr>
      <w:r w:rsidRPr="00461C16">
        <w:t>ROB1 Rozvojová oblast Liberec</w:t>
      </w:r>
    </w:p>
    <w:p w14:paraId="69B778AB" w14:textId="77777777" w:rsidR="0097649C" w:rsidRPr="00461C16" w:rsidRDefault="0097649C" w:rsidP="0076488C">
      <w:pPr>
        <w:pStyle w:val="1text"/>
        <w:numPr>
          <w:ilvl w:val="0"/>
          <w:numId w:val="50"/>
        </w:numPr>
        <w:ind w:left="567" w:hanging="567"/>
        <w:rPr>
          <w:b/>
        </w:rPr>
      </w:pPr>
      <w:r w:rsidRPr="00461C16">
        <w:t xml:space="preserve">Zlepšovat nadregionální a regionální vazby s ostatními rozvojovými oblastmi v rámci kraje, s Prahou a sousedními kraji (zejména NUTS2) a se sousedními oblastmi v Německu a Polsku. Do rozvojových předpokladů oblasti zahrnovat přeshraniční souvislosti rozvojových os ROS 1, ROS 4 a ROS 8 ve specifických podmínkách okrajových území Německa / Sasko a Polsko / Dolní Slezsko. </w:t>
      </w:r>
    </w:p>
    <w:p w14:paraId="3E9D242B" w14:textId="77777777" w:rsidR="0097649C" w:rsidRPr="00461C16" w:rsidRDefault="0097649C" w:rsidP="00CC5080">
      <w:pPr>
        <w:pStyle w:val="1text"/>
        <w:ind w:left="567"/>
      </w:pPr>
      <w:r w:rsidRPr="00461C16">
        <w:t>Rozvíjet funkční kooperace mezi centry osídlení: Liberec – Jablonec nad Nisou, Jablonec nad Nisou – Smržovka – Tanvald – Desná, Liberec – Chrastava – Hrádek nad Nisou a dále Zittau (Německo) a Bogatynia (Polsko), Jablonec nad Nisou – Rychnov u Jablonce nad Nisou, Tanvald – Velké Hamry.</w:t>
      </w:r>
    </w:p>
    <w:p w14:paraId="2D815C9D" w14:textId="77777777" w:rsidR="0097649C" w:rsidRPr="00461C16" w:rsidRDefault="00FF5122" w:rsidP="0097649C">
      <w:pPr>
        <w:pStyle w:val="1text"/>
        <w:rPr>
          <w:i/>
        </w:rPr>
      </w:pPr>
      <w:r w:rsidRPr="00461C16">
        <w:rPr>
          <w:i/>
        </w:rPr>
        <w:t>K posílení regionálních a přeshraničních vazeb přispěje zejména stabilizace a rozvoj dopravní sítě a vymezení rozsáhlých ploch pro výrobu a skladování podél obchvatu města na silnici I/35 (vazba na Polsko a Německo) a pro rekreaci u areálu Kristýna (vazba na Německo).</w:t>
      </w:r>
      <w:r w:rsidR="00B40DF6">
        <w:rPr>
          <w:i/>
        </w:rPr>
        <w:t xml:space="preserve"> </w:t>
      </w:r>
      <w:r w:rsidR="00B40DF6">
        <w:rPr>
          <w:i/>
          <w:szCs w:val="18"/>
        </w:rPr>
        <w:t>Pro budoucí rozšíření silnice I/35 na čtyřpruhové uspořádání je vymezena plocha územní rezervy R16.</w:t>
      </w:r>
    </w:p>
    <w:p w14:paraId="56CAC874" w14:textId="77777777" w:rsidR="0097649C" w:rsidRPr="00461C16" w:rsidRDefault="0097649C" w:rsidP="00903F77">
      <w:pPr>
        <w:pStyle w:val="1text"/>
        <w:numPr>
          <w:ilvl w:val="0"/>
          <w:numId w:val="50"/>
        </w:numPr>
        <w:ind w:left="567" w:hanging="567"/>
        <w:rPr>
          <w:b/>
        </w:rPr>
      </w:pPr>
      <w:r w:rsidRPr="00461C16">
        <w:t>Zlepšovat nadregionální a regionální vazby kapacitními dopravními napojeními na významné vnitrostátní a mezistátní silniční a železniční koridory v Německu a Polsku.</w:t>
      </w:r>
    </w:p>
    <w:p w14:paraId="3C78E6AD" w14:textId="77777777" w:rsidR="00456145" w:rsidRPr="00461C16" w:rsidRDefault="00456145" w:rsidP="0097649C">
      <w:pPr>
        <w:pStyle w:val="1text"/>
        <w:rPr>
          <w:i/>
        </w:rPr>
      </w:pPr>
      <w:r w:rsidRPr="00461C16">
        <w:rPr>
          <w:i/>
        </w:rPr>
        <w:t>Z hlediska silničních vazeb představuje nevýznamnější dopravní tah, který zajišťuje nadregionální a regionální vazby na významné vnitrostátní a mezistátní silniční koridory v Německu a Polsku, silnice I/35 (resp. I/35L), kterou ÚP stabilizuje a chrání jako významnou civilizační hodnotu území.</w:t>
      </w:r>
      <w:r w:rsidR="00B40DF6">
        <w:rPr>
          <w:i/>
        </w:rPr>
        <w:t xml:space="preserve"> </w:t>
      </w:r>
      <w:r w:rsidR="00B40DF6">
        <w:rPr>
          <w:i/>
          <w:szCs w:val="18"/>
        </w:rPr>
        <w:t>Pro budoucí rozšíření silnice I/35 na čtyřpruhové uspořádání je vymezena plocha územní rezervy R16.</w:t>
      </w:r>
    </w:p>
    <w:p w14:paraId="05366134" w14:textId="77777777" w:rsidR="0097649C" w:rsidRPr="00461C16" w:rsidRDefault="00456145" w:rsidP="0097649C">
      <w:pPr>
        <w:pStyle w:val="1text"/>
        <w:rPr>
          <w:i/>
        </w:rPr>
      </w:pPr>
      <w:r w:rsidRPr="00461C16">
        <w:rPr>
          <w:i/>
        </w:rPr>
        <w:t>S cílem vytvoření podmínek pro zlepšení dostupnosti Hrádku nad Nisou po železnici a zlepšení přeshraničních dopravních vazeb vymezuje ÚP koridor drážní dopravy X01 pro optimalizaci a elektrizaci železniční trati č. 089.</w:t>
      </w:r>
    </w:p>
    <w:p w14:paraId="123BC004" w14:textId="77777777" w:rsidR="0097649C" w:rsidRPr="00461C16" w:rsidRDefault="0097649C" w:rsidP="00903F77">
      <w:pPr>
        <w:pStyle w:val="1text"/>
        <w:numPr>
          <w:ilvl w:val="0"/>
          <w:numId w:val="50"/>
        </w:numPr>
        <w:ind w:left="567" w:hanging="567"/>
        <w:rPr>
          <w:b/>
        </w:rPr>
      </w:pPr>
      <w:r w:rsidRPr="00461C16">
        <w:t xml:space="preserve">Zajišťovat služby metropole – krajského města Liberec a jejich dostupnost pro spádový obvod kraje. </w:t>
      </w:r>
    </w:p>
    <w:p w14:paraId="19420ECE" w14:textId="77777777" w:rsidR="0097649C" w:rsidRPr="00461C16" w:rsidRDefault="00FF5122" w:rsidP="0097649C">
      <w:pPr>
        <w:pStyle w:val="1text"/>
        <w:rPr>
          <w:i/>
        </w:rPr>
      </w:pPr>
      <w:r w:rsidRPr="00461C16">
        <w:rPr>
          <w:i/>
        </w:rPr>
        <w:t xml:space="preserve">Požadavek není relevantní pro ÚP Hrádek nad Nisou. Vazbu na krajské město Liberec zajišťuje silnice I/35, která je v ÚP stabilizována. </w:t>
      </w:r>
      <w:r w:rsidR="00B40DF6">
        <w:rPr>
          <w:i/>
          <w:szCs w:val="18"/>
        </w:rPr>
        <w:t>Pro budoucí rozšíření silnice I/35 na čtyřpruhové uspořádání je vymezena plocha územní rezervy R16.</w:t>
      </w:r>
    </w:p>
    <w:p w14:paraId="163EB4E7" w14:textId="77777777" w:rsidR="0097649C" w:rsidRPr="00461C16" w:rsidRDefault="0097649C" w:rsidP="00903F77">
      <w:pPr>
        <w:pStyle w:val="1text"/>
        <w:numPr>
          <w:ilvl w:val="0"/>
          <w:numId w:val="50"/>
        </w:numPr>
        <w:ind w:left="567" w:hanging="567"/>
      </w:pPr>
      <w:r w:rsidRPr="00461C16">
        <w:t xml:space="preserve">Zohlednit polohu souvislého historického pásu osídlení s nejvyšší koncentrací obytných, hospodářských a rekreačních funkcí v komplikovaných geomorfologických podmínkách a v prostorové a funkční souvislosti s přilehlými specifickými oblastmi SOB5 Jizerské hory, SOB6 Západní Krkonoše, SOB8 Český ráj sever, SOB2 Lužické hory a v nich uplatňovanými podmínkami zvláštní ochrany přírody (KRNAP, CHKO Jizerské hory, CHKO Český ráj, CHKO Lužické hory). </w:t>
      </w:r>
    </w:p>
    <w:p w14:paraId="7EAEC101" w14:textId="77777777" w:rsidR="0097649C" w:rsidRPr="00461C16" w:rsidRDefault="009A6B7E" w:rsidP="0097649C">
      <w:pPr>
        <w:pStyle w:val="1text"/>
        <w:rPr>
          <w:i/>
        </w:rPr>
      </w:pPr>
      <w:r w:rsidRPr="00461C16">
        <w:rPr>
          <w:i/>
        </w:rPr>
        <w:t>Stávající charakter a uspořádání území, stejně jako jeho morfologie jsou jedním ze základních východisek pro stanovení koncepce ÚP. Území města není součástí žádné specifické oblasti, dotýká se ho však území se zvýšenou ochranou přírody (CHKO Lužické hory), jehož hodnoty jsou respektovány.</w:t>
      </w:r>
    </w:p>
    <w:p w14:paraId="112F4152" w14:textId="77777777" w:rsidR="0097649C" w:rsidRPr="00461C16" w:rsidRDefault="0097649C" w:rsidP="00903F77">
      <w:pPr>
        <w:pStyle w:val="1text"/>
        <w:numPr>
          <w:ilvl w:val="0"/>
          <w:numId w:val="50"/>
        </w:numPr>
        <w:ind w:left="567" w:hanging="567"/>
      </w:pPr>
      <w:r w:rsidRPr="00461C16">
        <w:t xml:space="preserve">Při rozhodování o změnách v území posuzovat skutečné zátěže počtem a hustotou všech potenciálních uživatelů území – pokud je toto navyšování zátěže území únosné nebo žádoucí, odvozovat z těchto údajů dimenze veřejné infrastruktury. </w:t>
      </w:r>
    </w:p>
    <w:p w14:paraId="5CE9A74D" w14:textId="77777777" w:rsidR="0097649C" w:rsidRPr="00461C16" w:rsidRDefault="00DE41ED" w:rsidP="0097649C">
      <w:pPr>
        <w:pStyle w:val="1text"/>
        <w:rPr>
          <w:i/>
        </w:rPr>
      </w:pPr>
      <w:r w:rsidRPr="00461C16">
        <w:rPr>
          <w:i/>
        </w:rPr>
        <w:t>Požadavek bude řešen v podrobnějším stupni (např. v rámci územní studie, regulačního plánu) v závislosti na navrženém prostorovém uspořádání a nárůstu počtu obyvatel.</w:t>
      </w:r>
    </w:p>
    <w:p w14:paraId="0AC41DE0" w14:textId="77777777" w:rsidR="0097649C" w:rsidRPr="00461C16" w:rsidRDefault="0097649C" w:rsidP="00F96972">
      <w:pPr>
        <w:pStyle w:val="1text"/>
        <w:spacing w:before="240"/>
        <w:rPr>
          <w:u w:val="single"/>
        </w:rPr>
      </w:pPr>
      <w:r w:rsidRPr="00461C16">
        <w:rPr>
          <w:u w:val="single"/>
        </w:rPr>
        <w:t>Úkoly pro územní plánování:</w:t>
      </w:r>
    </w:p>
    <w:p w14:paraId="20BAD93E" w14:textId="77777777" w:rsidR="0097649C" w:rsidRPr="00461C16" w:rsidRDefault="0097649C" w:rsidP="00903F77">
      <w:pPr>
        <w:pStyle w:val="1text"/>
        <w:numPr>
          <w:ilvl w:val="0"/>
          <w:numId w:val="50"/>
        </w:numPr>
        <w:ind w:left="567" w:hanging="567"/>
        <w:rPr>
          <w:u w:val="single"/>
        </w:rPr>
      </w:pPr>
      <w:r w:rsidRPr="00461C16">
        <w:t xml:space="preserve">Ve smyslu principů udržitelného rozvoje zpřesnit zónování rozvojové oblasti na úrovni ÚPD jednotlivých zahrnutých obcí na územní části pro přednostní umisťování ekonomických aktivit a na územní části pro přednostní umisťování bydlení a příměstské rekreace a tím zajistit podmínky pro snížení zatížení navazujících zvláště chráněných území, zejména specifické oblasti Jizerské hory. </w:t>
      </w:r>
    </w:p>
    <w:p w14:paraId="3B2CE236" w14:textId="77777777" w:rsidR="00C95C5C" w:rsidRPr="00461C16" w:rsidRDefault="00FF5122" w:rsidP="00C95C5C">
      <w:pPr>
        <w:pStyle w:val="1text"/>
        <w:rPr>
          <w:i/>
        </w:rPr>
      </w:pPr>
      <w:r w:rsidRPr="00461C16">
        <w:rPr>
          <w:i/>
        </w:rPr>
        <w:t xml:space="preserve">Koncepce ÚP respektuje stávající charakter území a dále jej rozvíjí, s ohledem na převládající způsob využití i stávající hodnoty území. Dominantní funkcí zůstává bydlení, které rozvíjí současné rezidenční lokality, především </w:t>
      </w:r>
      <w:r w:rsidRPr="00461C16">
        <w:rPr>
          <w:i/>
        </w:rPr>
        <w:lastRenderedPageBreak/>
        <w:t>v okrajových polohách města. Pro výrobní a průmyslové aktivity je zachována a dále rozvíjena průmyslová zóna Hrádek nad Nisou a navazující plochy podél silnice I/35. Plochy pro rekreaci jsou rozvíjeny v návaznosti na stávající rekreační území, v krajinném zázemí města. Při vymezování rozvojových ploch jsou maximálně zohledněny požadavky na ochranu hodnot, včetně přírodně cenných území (CHKO Lužické hory).</w:t>
      </w:r>
    </w:p>
    <w:p w14:paraId="43EEFE6B" w14:textId="77777777" w:rsidR="0097649C" w:rsidRPr="00461C16" w:rsidRDefault="0097649C" w:rsidP="00903F77">
      <w:pPr>
        <w:pStyle w:val="1text"/>
        <w:numPr>
          <w:ilvl w:val="0"/>
          <w:numId w:val="50"/>
        </w:numPr>
        <w:ind w:left="567" w:hanging="567"/>
        <w:rPr>
          <w:u w:val="single"/>
        </w:rPr>
      </w:pPr>
      <w:r w:rsidRPr="00461C16">
        <w:t xml:space="preserve">Zpřesnit a chránit koridory silniční dopravy vymezené v ZÚR na území dotčených obcí. </w:t>
      </w:r>
    </w:p>
    <w:p w14:paraId="42A32FAE" w14:textId="77777777" w:rsidR="0097649C" w:rsidRPr="00461C16" w:rsidRDefault="0097649C" w:rsidP="00CC5080">
      <w:pPr>
        <w:pStyle w:val="1text"/>
        <w:ind w:left="567"/>
      </w:pPr>
      <w:r w:rsidRPr="00461C16">
        <w:t>Zpřesnit a chránit koridory železniční dopravy – řešit územní souvislosti napojení oblasti na modernizované železniční tratě ve směrech na Prahu a Hradec Králové:</w:t>
      </w:r>
    </w:p>
    <w:p w14:paraId="0968F3C4" w14:textId="77777777" w:rsidR="0097649C" w:rsidRPr="00461C16" w:rsidRDefault="0097649C" w:rsidP="00903F77">
      <w:pPr>
        <w:pStyle w:val="1text"/>
        <w:numPr>
          <w:ilvl w:val="0"/>
          <w:numId w:val="65"/>
        </w:numPr>
        <w:rPr>
          <w:u w:val="single"/>
        </w:rPr>
      </w:pPr>
      <w:r w:rsidRPr="00461C16">
        <w:t xml:space="preserve">Zpřesnit koridor železniční tratě Praha – Turnov – Liberec – Frýdlant – Polsko/Zawidów (koridor kombinované dopravy) na území dotčených obcí. </w:t>
      </w:r>
    </w:p>
    <w:p w14:paraId="1A5C599B" w14:textId="77777777" w:rsidR="0097649C" w:rsidRPr="00461C16" w:rsidRDefault="00AD4571" w:rsidP="00903F77">
      <w:pPr>
        <w:pStyle w:val="1text"/>
        <w:numPr>
          <w:ilvl w:val="0"/>
          <w:numId w:val="65"/>
        </w:numPr>
        <w:rPr>
          <w:u w:val="single"/>
        </w:rPr>
      </w:pPr>
      <w:r w:rsidRPr="00461C16">
        <w:t xml:space="preserve">Prověřit podmínky pro potenciální využití koridoru železniční trati Liberec – Hrádek nad Nisou pro kombinovanou dopravu s napojením na modernizovanou železniční trať v Zittau (Německo). </w:t>
      </w:r>
    </w:p>
    <w:p w14:paraId="63E65A03" w14:textId="77777777" w:rsidR="00AD4571" w:rsidRPr="00461C16" w:rsidRDefault="00AD4571" w:rsidP="00903F77">
      <w:pPr>
        <w:pStyle w:val="1text"/>
        <w:numPr>
          <w:ilvl w:val="0"/>
          <w:numId w:val="65"/>
        </w:numPr>
        <w:rPr>
          <w:u w:val="single"/>
        </w:rPr>
      </w:pPr>
      <w:r w:rsidRPr="00461C16">
        <w:t xml:space="preserve">Chránit území pro výběr varianty koridoru železniční trati Liberec – Česká Lípa v úseku Bílý Kostel nad Nisou – Rynoltice, zpřesnit vedení trasy na území dotčených obcí. </w:t>
      </w:r>
    </w:p>
    <w:p w14:paraId="1718029A" w14:textId="77777777" w:rsidR="006D329E" w:rsidRPr="00F02309" w:rsidRDefault="006D329E" w:rsidP="006D329E">
      <w:pPr>
        <w:pStyle w:val="1text"/>
        <w:rPr>
          <w:i/>
        </w:rPr>
      </w:pPr>
      <w:r w:rsidRPr="00461C16">
        <w:rPr>
          <w:i/>
        </w:rPr>
        <w:t xml:space="preserve">S cílem vytvoření podmínek pro </w:t>
      </w:r>
      <w:r w:rsidRPr="00F02309">
        <w:rPr>
          <w:i/>
        </w:rPr>
        <w:t>zlepšení dostupnosti Hrádku nad Nisou po železnici a zlepšení přeshraničních dopravních vazeb vymezuje ÚP koridor drážní dopravy X01 pro optimalizaci a elektrizaci železniční trati č. 089.</w:t>
      </w:r>
    </w:p>
    <w:p w14:paraId="0F289BCD" w14:textId="77777777" w:rsidR="00C95C5C" w:rsidRPr="00F02309" w:rsidRDefault="006D329E" w:rsidP="006D329E">
      <w:pPr>
        <w:pStyle w:val="1text"/>
        <w:rPr>
          <w:i/>
        </w:rPr>
      </w:pPr>
      <w:r w:rsidRPr="00F02309">
        <w:rPr>
          <w:i/>
        </w:rPr>
        <w:t xml:space="preserve">ÚP vymezuje v rámci správního území města Hrádek nad Nisou koridor územní rezervy </w:t>
      </w:r>
      <w:r w:rsidR="00F02309" w:rsidRPr="00F02309">
        <w:rPr>
          <w:i/>
        </w:rPr>
        <w:t>R</w:t>
      </w:r>
      <w:r w:rsidR="00F02309">
        <w:rPr>
          <w:i/>
        </w:rPr>
        <w:t>13</w:t>
      </w:r>
      <w:r w:rsidR="00F02309" w:rsidRPr="00F02309">
        <w:rPr>
          <w:i/>
        </w:rPr>
        <w:t xml:space="preserve"> </w:t>
      </w:r>
      <w:r w:rsidRPr="00F02309">
        <w:rPr>
          <w:i/>
        </w:rPr>
        <w:t>železniční dopravy pro budoucí prověření železničního spojení Liberec – Česká Lípa, úsek Bílý Kostel nad Nisou – Rynoltice (koridor D33A dle ZÚR Libereckého kraje). Výběr finální varianty bude prověřen v rámci aktualizace ZÚR Libereckého kraje.</w:t>
      </w:r>
    </w:p>
    <w:p w14:paraId="23EDB063" w14:textId="77777777" w:rsidR="00AD4571" w:rsidRPr="00461C16" w:rsidRDefault="00AD4571" w:rsidP="00903F77">
      <w:pPr>
        <w:pStyle w:val="1text"/>
        <w:numPr>
          <w:ilvl w:val="0"/>
          <w:numId w:val="50"/>
        </w:numPr>
        <w:ind w:left="567" w:hanging="567"/>
        <w:rPr>
          <w:u w:val="single"/>
        </w:rPr>
      </w:pPr>
      <w:r w:rsidRPr="00F02309">
        <w:t>Vytvářet územní podmínky pro zlepšování vnitrokrajské</w:t>
      </w:r>
      <w:r w:rsidRPr="00461C16">
        <w:t xml:space="preserve"> dopravní sítě zejména ve smyslu provozních a prostorových propojení s ostatními rozvojovými oblastmi a pro dosažení relativně rovnocenné přístupnosti jednotlivých obcí uvnitř oblasti. </w:t>
      </w:r>
    </w:p>
    <w:p w14:paraId="7094802E" w14:textId="77777777" w:rsidR="00AD4571" w:rsidRPr="00461C16" w:rsidRDefault="00AD4571" w:rsidP="00CC5080">
      <w:pPr>
        <w:pStyle w:val="1text"/>
        <w:ind w:left="567"/>
      </w:pPr>
      <w:r w:rsidRPr="00461C16">
        <w:t xml:space="preserve">Prověřit možnosti využitelnosti vazby dopravních koridorů na strategické rozvojové plochy na území významných center osídlení. </w:t>
      </w:r>
    </w:p>
    <w:p w14:paraId="0C066A16" w14:textId="77777777" w:rsidR="00AD4571" w:rsidRPr="00461C16" w:rsidRDefault="00AD4571" w:rsidP="00CC5080">
      <w:pPr>
        <w:pStyle w:val="1text"/>
        <w:ind w:left="567"/>
      </w:pPr>
      <w:r w:rsidRPr="00461C16">
        <w:t xml:space="preserve">Podporovat aktivity směřující k posílení významu veřejné dopravy, významného aspektu integrity oblasti i Libereckého kraje. Optimalizovat rozmístění železničních zastávek na regionálních tratích. </w:t>
      </w:r>
    </w:p>
    <w:p w14:paraId="6D208DC1" w14:textId="77777777" w:rsidR="00C95C5C" w:rsidRPr="00461C16" w:rsidRDefault="00AD4571" w:rsidP="00CC5080">
      <w:pPr>
        <w:pStyle w:val="1text"/>
        <w:ind w:left="567"/>
      </w:pPr>
      <w:r w:rsidRPr="00461C16">
        <w:t xml:space="preserve">Upřesňování koridorů dopravní a technické vybavenosti vždy řešit při respektování evropsky významných lokalit a ptačích oblastí a v souladu s principy zabezpečení dostatečné prostupnosti krajiny a nenarušení územního systému ekologické stability a krajinných horizontů. </w:t>
      </w:r>
    </w:p>
    <w:p w14:paraId="14EB150F" w14:textId="77777777" w:rsidR="00456145" w:rsidRPr="00461C16" w:rsidRDefault="00456145" w:rsidP="00456145">
      <w:pPr>
        <w:pStyle w:val="1text"/>
        <w:rPr>
          <w:i/>
        </w:rPr>
      </w:pPr>
      <w:r w:rsidRPr="00461C16">
        <w:rPr>
          <w:i/>
        </w:rPr>
        <w:t>ÚP nenavrhuje záměry, které by měly dopad na evropsky významné lokality a ptačí oblasti.</w:t>
      </w:r>
    </w:p>
    <w:p w14:paraId="1993A250" w14:textId="77777777" w:rsidR="00C95C5C" w:rsidRPr="00461C16" w:rsidRDefault="00456145" w:rsidP="00456145">
      <w:pPr>
        <w:pStyle w:val="1text"/>
        <w:rPr>
          <w:i/>
        </w:rPr>
      </w:pPr>
      <w:r w:rsidRPr="00461C16">
        <w:rPr>
          <w:i/>
        </w:rPr>
        <w:t>Více viz vyhodnocení předcházejícího bodu.</w:t>
      </w:r>
    </w:p>
    <w:p w14:paraId="4FC6A3F0" w14:textId="77777777" w:rsidR="00AD4571" w:rsidRPr="00461C16" w:rsidRDefault="00AD4571" w:rsidP="00903F77">
      <w:pPr>
        <w:pStyle w:val="1text"/>
        <w:numPr>
          <w:ilvl w:val="0"/>
          <w:numId w:val="50"/>
        </w:numPr>
        <w:ind w:left="567" w:hanging="567"/>
        <w:rPr>
          <w:u w:val="single"/>
        </w:rPr>
      </w:pPr>
      <w:r w:rsidRPr="00461C16">
        <w:t xml:space="preserve">Vytvářet územní podmínky pro vstup strategických investorů a rozvoj nových ekonomických aktivit v rámci restrukturalizace výrobního potenciálu po zániku tradičních odvětví, upřednostňovat využití zainvestovaných a připravených lokalit. </w:t>
      </w:r>
    </w:p>
    <w:p w14:paraId="128C15F7" w14:textId="77777777" w:rsidR="00C95C5C" w:rsidRPr="00461C16" w:rsidRDefault="009A6B7E" w:rsidP="00C95C5C">
      <w:pPr>
        <w:pStyle w:val="1text"/>
        <w:rPr>
          <w:i/>
        </w:rPr>
      </w:pPr>
      <w:r w:rsidRPr="00461C16">
        <w:rPr>
          <w:i/>
        </w:rPr>
        <w:t>ÚP vymezuje nové samostatné plochy pro výrobu různého typu, čímž je zajištěna pestrost a variabilita výrobních aktivit. Jejich značný rozsah umožňuje participaci více investorů. Další (nerušivé) výrobní aktivity lze umisťovat i ve smíšených plochách a plochách bydlení, které tvoří dominantní podíl v půdorysu města.</w:t>
      </w:r>
    </w:p>
    <w:p w14:paraId="23336E2A" w14:textId="77777777" w:rsidR="00AD4571" w:rsidRPr="00461C16" w:rsidRDefault="00AD4571" w:rsidP="00903F77">
      <w:pPr>
        <w:pStyle w:val="1text"/>
        <w:numPr>
          <w:ilvl w:val="0"/>
          <w:numId w:val="50"/>
        </w:numPr>
        <w:ind w:left="567" w:hanging="567"/>
        <w:rPr>
          <w:u w:val="single"/>
        </w:rPr>
      </w:pPr>
      <w:r w:rsidRPr="00461C16">
        <w:t xml:space="preserve">Rozvoj nových ekonomických aktivit zajistit odpovídajícími obytnými kapacitami. </w:t>
      </w:r>
    </w:p>
    <w:p w14:paraId="0715F509" w14:textId="77777777" w:rsidR="00AD4571" w:rsidRPr="00461C16" w:rsidRDefault="00AD4571" w:rsidP="00CC5080">
      <w:pPr>
        <w:pStyle w:val="1text"/>
        <w:ind w:left="567"/>
      </w:pPr>
      <w:r w:rsidRPr="00461C16">
        <w:t xml:space="preserve">Návrhy nových ploch pro bydlení odvozovat ze sociodemografických prognóz v souladu s koncepcemi rozvoje obcí v širších územních souvislostech a vždy je zajistit odpovídajícími kapacitami veřejné infrastruktury a veřejných prostranství. </w:t>
      </w:r>
    </w:p>
    <w:p w14:paraId="70662173" w14:textId="77777777" w:rsidR="00C95C5C" w:rsidRPr="00461C16" w:rsidRDefault="009A6B7E" w:rsidP="00C95C5C">
      <w:pPr>
        <w:pStyle w:val="1text"/>
        <w:rPr>
          <w:i/>
        </w:rPr>
      </w:pPr>
      <w:r w:rsidRPr="00461C16">
        <w:rPr>
          <w:i/>
        </w:rPr>
        <w:t>Návrh ploch pro bydlení vychází jak z dostupných závazných podkladů, tak i ze sociodemografické prognózy města, která předpokládá plynulý nárůst počtu obyvatel. Paralelně s vymezením nových ploch pro bydlení je zajištěno jejich napojení na sítě veřejné infrastruktury a je zajištěn nezbytný rozsah veřejných prostranství.</w:t>
      </w:r>
    </w:p>
    <w:p w14:paraId="191E280C" w14:textId="77777777" w:rsidR="00AD4571" w:rsidRPr="00461C16" w:rsidRDefault="00AD4571" w:rsidP="00903F77">
      <w:pPr>
        <w:pStyle w:val="1text"/>
        <w:numPr>
          <w:ilvl w:val="0"/>
          <w:numId w:val="50"/>
        </w:numPr>
        <w:ind w:left="567" w:hanging="567"/>
        <w:rPr>
          <w:u w:val="single"/>
        </w:rPr>
      </w:pPr>
      <w:r w:rsidRPr="00461C16">
        <w:t xml:space="preserve">Regulačními nástroji územního plánování zajistit koncepční a koordinovaný rozvoj obcí v sídelní struktuře. </w:t>
      </w:r>
    </w:p>
    <w:p w14:paraId="34F32429" w14:textId="77777777" w:rsidR="00AD4571" w:rsidRPr="00461C16" w:rsidRDefault="00AD4571" w:rsidP="00CC5080">
      <w:pPr>
        <w:pStyle w:val="1text"/>
        <w:ind w:left="567"/>
      </w:pPr>
      <w:r w:rsidRPr="00461C16">
        <w:lastRenderedPageBreak/>
        <w:t xml:space="preserve">Upřednostňovat intenzifikaci využití zastavěných území před zástavbou volných ploch a tak minimalizovat nároky na rozsah nových zastavitelných ploch na úroveň nezbytných potřeb. </w:t>
      </w:r>
    </w:p>
    <w:p w14:paraId="6EBEFD87" w14:textId="77777777" w:rsidR="00AD4571" w:rsidRPr="00461C16" w:rsidRDefault="00AD4571" w:rsidP="00CC5080">
      <w:pPr>
        <w:pStyle w:val="1text"/>
        <w:ind w:left="567"/>
      </w:pPr>
      <w:r w:rsidRPr="00461C16">
        <w:t xml:space="preserve">Nepřipustit spontánní přístupy k urbanizaci území, regulovat umístění a koncentraci obslužných a zábavních zařízení podél komunikační sítě. </w:t>
      </w:r>
    </w:p>
    <w:p w14:paraId="30110C92" w14:textId="77777777" w:rsidR="00AD4571" w:rsidRPr="00461C16" w:rsidRDefault="00AD4571" w:rsidP="00CC5080">
      <w:pPr>
        <w:pStyle w:val="1text"/>
        <w:ind w:left="567"/>
      </w:pPr>
      <w:r w:rsidRPr="00461C16">
        <w:t>Chránit přírodní vodní plochy a přirozené průběhy vodních toků, údolních niv před nevratnými urbanizačními zásahy.</w:t>
      </w:r>
    </w:p>
    <w:p w14:paraId="191BFF81" w14:textId="77777777" w:rsidR="007C77D4" w:rsidRPr="00461C16" w:rsidRDefault="007C77D4" w:rsidP="00C95C5C">
      <w:pPr>
        <w:pStyle w:val="1text"/>
        <w:rPr>
          <w:i/>
        </w:rPr>
      </w:pPr>
      <w:r w:rsidRPr="00461C16">
        <w:rPr>
          <w:i/>
        </w:rPr>
        <w:t>Koncepční a koordinovaný rozvoj města je zajištěn vlastním zpracováním ÚP, který stanovuje koncepci rozvoje a koordinuje veškeré sledované oblasti i zájmy v území.</w:t>
      </w:r>
    </w:p>
    <w:p w14:paraId="6225AFC2" w14:textId="77777777" w:rsidR="00C95C5C" w:rsidRPr="00461C16" w:rsidRDefault="007C77D4" w:rsidP="00C95C5C">
      <w:pPr>
        <w:pStyle w:val="1text"/>
        <w:rPr>
          <w:i/>
        </w:rPr>
      </w:pPr>
      <w:r w:rsidRPr="00461C16">
        <w:rPr>
          <w:i/>
        </w:rPr>
        <w:t xml:space="preserve">Pro další rozvoj města jsou přednostně využity proluky v zastavěném území a brownfields. </w:t>
      </w:r>
    </w:p>
    <w:p w14:paraId="5AD492A5" w14:textId="77777777" w:rsidR="007C77D4" w:rsidRPr="00461C16" w:rsidRDefault="007C77D4" w:rsidP="00C95C5C">
      <w:pPr>
        <w:pStyle w:val="1text"/>
        <w:rPr>
          <w:i/>
        </w:rPr>
      </w:pPr>
      <w:r w:rsidRPr="00461C16">
        <w:rPr>
          <w:i/>
        </w:rPr>
        <w:t>Vodní toky a plochy jsou stabilizovány jako plochy vodních ploch a toků</w:t>
      </w:r>
      <w:r w:rsidR="000C53E2" w:rsidRPr="00461C16">
        <w:rPr>
          <w:i/>
        </w:rPr>
        <w:t xml:space="preserve"> a chráněny, jejich změny či úpravy nejsou navrženy, s výjimkou návrhu protipovodňových opatření na Lužické Nise, která jsou nezbytná pro ochranu zástavby města.</w:t>
      </w:r>
    </w:p>
    <w:p w14:paraId="280AB6BC" w14:textId="77777777" w:rsidR="00AD4571" w:rsidRPr="00461C16" w:rsidRDefault="00AD4571" w:rsidP="00903F77">
      <w:pPr>
        <w:pStyle w:val="1text"/>
        <w:numPr>
          <w:ilvl w:val="0"/>
          <w:numId w:val="50"/>
        </w:numPr>
        <w:ind w:left="567" w:hanging="567"/>
      </w:pPr>
      <w:r w:rsidRPr="00461C16">
        <w:t xml:space="preserve">Řešit nové využití nebo odstranění tzv. brownfields. </w:t>
      </w:r>
    </w:p>
    <w:p w14:paraId="3E110843" w14:textId="77777777" w:rsidR="00AD4571" w:rsidRPr="00461C16" w:rsidRDefault="00AD4571" w:rsidP="00CC5080">
      <w:pPr>
        <w:pStyle w:val="1text"/>
        <w:ind w:left="567"/>
      </w:pPr>
      <w:r w:rsidRPr="00461C16">
        <w:t xml:space="preserve">Zajistit ochranu a optimální využití technických památek, industriální architektury a lidové architektury. </w:t>
      </w:r>
    </w:p>
    <w:p w14:paraId="2E76D47F" w14:textId="77777777" w:rsidR="00C95C5C" w:rsidRPr="00461C16" w:rsidRDefault="007C77D4" w:rsidP="00C95C5C">
      <w:pPr>
        <w:pStyle w:val="1text"/>
        <w:rPr>
          <w:i/>
        </w:rPr>
      </w:pPr>
      <w:r w:rsidRPr="00461C16">
        <w:rPr>
          <w:i/>
        </w:rPr>
        <w:t>Evidované brownfields jsou navrženy k přestavbě a integraci do navazujícího území, jako prostředek pro ozdravění území, zvýšení kompaktnosti a zlepšení vnitřních prostorových i funkčních vazeb. Jedná se především o areál bývalého Bekonu v centru města a bývalou Koloru v ul. Legionářská, které jsou vymezeny jako plochy pře</w:t>
      </w:r>
      <w:r w:rsidR="00EF3CB3" w:rsidRPr="00461C16">
        <w:rPr>
          <w:i/>
        </w:rPr>
        <w:t>stavby na smíšené městské území, dále i o areál bývalé cihelny, dnes využívaný jako skatepark.</w:t>
      </w:r>
    </w:p>
    <w:p w14:paraId="1FC2E408" w14:textId="77777777" w:rsidR="007C77D4" w:rsidRPr="00461C16" w:rsidRDefault="007C77D4" w:rsidP="00C95C5C">
      <w:pPr>
        <w:pStyle w:val="1text"/>
        <w:rPr>
          <w:i/>
        </w:rPr>
      </w:pPr>
      <w:r w:rsidRPr="00461C16">
        <w:rPr>
          <w:i/>
        </w:rPr>
        <w:t>Ochrana významných architektonických staveb , které nemají status nemovité kulturní památky, je zajištěna na obecné úrovni vymezením těchto staveb jako architektonicky cenné stavby, pro něž jsou stanoveny bližší podmínky v kapitole B.3 ÚP – Základní koncepce ochrany a rozvoje kulturních hodnot území.</w:t>
      </w:r>
    </w:p>
    <w:p w14:paraId="12B2BCDC" w14:textId="77777777" w:rsidR="00AD4571" w:rsidRPr="00461C16" w:rsidRDefault="00AD4571" w:rsidP="00903F77">
      <w:pPr>
        <w:pStyle w:val="1text"/>
        <w:numPr>
          <w:ilvl w:val="0"/>
          <w:numId w:val="50"/>
        </w:numPr>
        <w:ind w:left="567" w:hanging="567"/>
      </w:pPr>
      <w:r w:rsidRPr="00461C16">
        <w:t>Cílevědomým rozvojem sportovně rekreační vybavenosti posilovat význam:</w:t>
      </w:r>
    </w:p>
    <w:p w14:paraId="6E03EF01" w14:textId="77777777" w:rsidR="00AD4571" w:rsidRPr="00461C16" w:rsidRDefault="00AD4571" w:rsidP="00903F77">
      <w:pPr>
        <w:pStyle w:val="1text"/>
        <w:numPr>
          <w:ilvl w:val="0"/>
          <w:numId w:val="65"/>
        </w:numPr>
      </w:pPr>
      <w:r w:rsidRPr="00461C16">
        <w:t>denní rekreace obyvatel pro reprodukci pracovní síly</w:t>
      </w:r>
    </w:p>
    <w:p w14:paraId="27F4E436" w14:textId="77777777" w:rsidR="00AD4571" w:rsidRPr="00461C16" w:rsidRDefault="00AD4571" w:rsidP="00903F77">
      <w:pPr>
        <w:pStyle w:val="1text"/>
        <w:numPr>
          <w:ilvl w:val="0"/>
          <w:numId w:val="65"/>
        </w:numPr>
      </w:pPr>
      <w:r w:rsidRPr="00461C16">
        <w:t xml:space="preserve">sportovního vyžití na úrovni místního i nadmístního významu </w:t>
      </w:r>
    </w:p>
    <w:p w14:paraId="78E3C65A" w14:textId="77777777" w:rsidR="00AD4571" w:rsidRPr="00461C16" w:rsidRDefault="00AD4571" w:rsidP="00903F77">
      <w:pPr>
        <w:pStyle w:val="1text"/>
        <w:numPr>
          <w:ilvl w:val="0"/>
          <w:numId w:val="65"/>
        </w:numPr>
      </w:pPr>
      <w:r w:rsidRPr="00461C16">
        <w:t>nástupních center cestovního ruchu a vazeb na blízká střediska cestovního ruchu</w:t>
      </w:r>
    </w:p>
    <w:p w14:paraId="553D699F" w14:textId="77777777" w:rsidR="00C95C5C" w:rsidRPr="00461C16" w:rsidRDefault="003F3D74" w:rsidP="00C95C5C">
      <w:pPr>
        <w:pStyle w:val="1text"/>
        <w:rPr>
          <w:i/>
        </w:rPr>
      </w:pPr>
      <w:r w:rsidRPr="00461C16">
        <w:rPr>
          <w:i/>
          <w:color w:val="000000"/>
          <w:shd w:val="clear" w:color="auto" w:fill="FFFFFF"/>
        </w:rPr>
        <w:t>Územní plán vytváří podmínky pro rozvoj infrastruktury cestovního ruchu zejména podporou služeb, ochranou stávajících kulturně – historických a přírodních hodnot města, rozvojem cyklostezek a stabilizací a posilováním významu stávajících sportovních a rekreačních zařízení, přednostně v části Hrádek nad Nisou, kde je nevyšší potenciál pro tyto aktivity. Nejvýznamnějším zařízením je areál okolo rekreační plochy Kristýna, kde je navrženo rozšíření o další sportovně – rekreační plochy, s možností výstavby objektu pro hromadné ubytování, a celkové doplnění a zkvalitnění služeb pro návštěvníky.</w:t>
      </w:r>
    </w:p>
    <w:p w14:paraId="3009ED94" w14:textId="77777777" w:rsidR="00C95C5C" w:rsidRPr="00461C16" w:rsidRDefault="00C95C5C" w:rsidP="00903F77">
      <w:pPr>
        <w:pStyle w:val="1text"/>
        <w:numPr>
          <w:ilvl w:val="0"/>
          <w:numId w:val="50"/>
        </w:numPr>
        <w:ind w:left="567" w:hanging="567"/>
      </w:pPr>
      <w:r w:rsidRPr="00461C16">
        <w:t xml:space="preserve">Připravovat územní podmínky pro realizace efektivní protipovodňové ochrany, podporovat rozliv a zadržování vody ve volné krajině a zabraňovat zvyšování povrchového odtoku. Přistupovat citlivě k regulaci na Lužické Nise a jejích přítocích návrhem k přírodě šetrných forem protipovodňové ochrany zejména na území CHKO Jizerské hory a s ohledem na předměty ochrany vymezených EVL. </w:t>
      </w:r>
    </w:p>
    <w:p w14:paraId="07EC0110" w14:textId="77777777" w:rsidR="00C95C5C" w:rsidRPr="00461C16" w:rsidRDefault="008A2736" w:rsidP="00C95C5C">
      <w:pPr>
        <w:pStyle w:val="1text"/>
        <w:rPr>
          <w:i/>
        </w:rPr>
      </w:pPr>
      <w:r w:rsidRPr="00461C16">
        <w:rPr>
          <w:i/>
        </w:rPr>
        <w:t>ÚP vymezuje v rámci správního území města Hrádek nad Nisou koridor protipovodňových opatření X</w:t>
      </w:r>
      <w:r w:rsidR="008067F6" w:rsidRPr="00461C16">
        <w:rPr>
          <w:i/>
        </w:rPr>
        <w:t>02</w:t>
      </w:r>
      <w:r w:rsidRPr="00461C16">
        <w:rPr>
          <w:i/>
        </w:rPr>
        <w:t>, v </w:t>
      </w:r>
      <w:r w:rsidR="00E13D4F" w:rsidRPr="00461C16">
        <w:rPr>
          <w:i/>
        </w:rPr>
        <w:t>n</w:t>
      </w:r>
      <w:r w:rsidR="00E13D4F">
        <w:rPr>
          <w:i/>
        </w:rPr>
        <w:t>ěm</w:t>
      </w:r>
      <w:r w:rsidR="00E13D4F" w:rsidRPr="00461C16">
        <w:rPr>
          <w:i/>
        </w:rPr>
        <w:t xml:space="preserve">ž </w:t>
      </w:r>
      <w:r w:rsidRPr="00461C16">
        <w:rPr>
          <w:i/>
        </w:rPr>
        <w:t>umožňuje dle potřeb realizovat konkrétní technická protipovodňové stavby. V současné době se zpracovává „Studie odtokových poměrů včetně návrhů možných protipovodňových opatření pro povodí Lužické Nisy“, z níž by měly vyplynout konkrétní záměry pro území města Hrádek nad Nisou.</w:t>
      </w:r>
      <w:r w:rsidR="00E13D4F">
        <w:rPr>
          <w:i/>
        </w:rPr>
        <w:t xml:space="preserve"> </w:t>
      </w:r>
      <w:r w:rsidR="00E13D4F" w:rsidRPr="005C3EFE">
        <w:rPr>
          <w:i/>
        </w:rPr>
        <w:t xml:space="preserve">Na Oldřichovském potoce </w:t>
      </w:r>
      <w:r w:rsidR="00E13D4F">
        <w:rPr>
          <w:i/>
        </w:rPr>
        <w:t>byla</w:t>
      </w:r>
      <w:r w:rsidR="00E13D4F" w:rsidRPr="005C3EFE">
        <w:rPr>
          <w:i/>
        </w:rPr>
        <w:t xml:space="preserve"> v roce 2014 </w:t>
      </w:r>
      <w:r w:rsidR="00E13D4F">
        <w:rPr>
          <w:i/>
        </w:rPr>
        <w:t>dokončena</w:t>
      </w:r>
      <w:r w:rsidR="00E13D4F" w:rsidRPr="005C3EFE">
        <w:rPr>
          <w:i/>
        </w:rPr>
        <w:t> realizac</w:t>
      </w:r>
      <w:r w:rsidR="00E13D4F">
        <w:rPr>
          <w:i/>
        </w:rPr>
        <w:t>e</w:t>
      </w:r>
      <w:r w:rsidR="00E13D4F" w:rsidRPr="005C3EFE">
        <w:rPr>
          <w:i/>
        </w:rPr>
        <w:t xml:space="preserve"> zvodnělého poldru, který zajišťuje protipovodňovou ochranu sídla Oldřichov na Hranicích</w:t>
      </w:r>
      <w:r w:rsidR="006D5245">
        <w:rPr>
          <w:i/>
        </w:rPr>
        <w:t>, v ÚP je poldr respektován</w:t>
      </w:r>
      <w:r w:rsidR="00E13D4F" w:rsidRPr="005C3EFE">
        <w:rPr>
          <w:i/>
        </w:rPr>
        <w:t>.</w:t>
      </w:r>
    </w:p>
    <w:p w14:paraId="03F1826E" w14:textId="77777777" w:rsidR="00C95C5C" w:rsidRPr="00461C16" w:rsidRDefault="00C95C5C" w:rsidP="00903F77">
      <w:pPr>
        <w:pStyle w:val="1text"/>
        <w:numPr>
          <w:ilvl w:val="0"/>
          <w:numId w:val="50"/>
        </w:numPr>
        <w:ind w:left="567" w:hanging="567"/>
      </w:pPr>
      <w:r w:rsidRPr="00461C16">
        <w:t>Koordinovat plánovací a rozvojové aktivity ORP Liberec, ORP Jablonec nad Nisou a ORP Tanvald s Královéhradeckým, Středočeským a Ústeckým krajem a se záměry sousedních regionů Sasko v Německu a Dolní Slezsko v Polsku.</w:t>
      </w:r>
    </w:p>
    <w:p w14:paraId="6325719A" w14:textId="77777777" w:rsidR="00AD4571" w:rsidRPr="00461C16" w:rsidRDefault="008A2736" w:rsidP="008A2736">
      <w:pPr>
        <w:pStyle w:val="1text"/>
        <w:rPr>
          <w:u w:val="single"/>
        </w:rPr>
      </w:pPr>
      <w:r w:rsidRPr="00461C16">
        <w:rPr>
          <w:i/>
        </w:rPr>
        <w:t>Koordinace je zajištěna.</w:t>
      </w:r>
    </w:p>
    <w:p w14:paraId="2E841144" w14:textId="77777777" w:rsidR="0097649C" w:rsidRPr="00461C16" w:rsidRDefault="00FD6418" w:rsidP="00753F4E">
      <w:pPr>
        <w:pStyle w:val="4podnadpis"/>
      </w:pPr>
      <w:r w:rsidRPr="00461C16">
        <w:lastRenderedPageBreak/>
        <w:t>ROS1 Praha – hranice kraje – Turnov – Liberec – Bílý Kostel nad Nisou – Hrádek nad Nisou – Hranice ČR / Německo, Polsko</w:t>
      </w:r>
      <w:r w:rsidR="0097649C" w:rsidRPr="00461C16">
        <w:t xml:space="preserve"> </w:t>
      </w:r>
    </w:p>
    <w:p w14:paraId="1B971BE5" w14:textId="77777777" w:rsidR="0097649C" w:rsidRPr="00461C16" w:rsidRDefault="0097649C" w:rsidP="00903F77">
      <w:pPr>
        <w:pStyle w:val="1text"/>
        <w:numPr>
          <w:ilvl w:val="0"/>
          <w:numId w:val="50"/>
        </w:numPr>
        <w:ind w:left="567" w:hanging="567"/>
        <w:rPr>
          <w:b/>
        </w:rPr>
      </w:pPr>
      <w:r w:rsidRPr="00461C16">
        <w:t xml:space="preserve">Do rozvojových předpokladů dotčených obcí zahrnovat přeshraniční souvislosti rozvojové osy ve specifických podmínkách okrajových území Německa/Saska a Polska/Dolní Slezsko. </w:t>
      </w:r>
    </w:p>
    <w:p w14:paraId="0F15F0E4" w14:textId="77777777" w:rsidR="00C95C5C" w:rsidRPr="00461C16" w:rsidRDefault="002E37ED" w:rsidP="00C95C5C">
      <w:pPr>
        <w:pStyle w:val="1text"/>
        <w:rPr>
          <w:i/>
        </w:rPr>
      </w:pPr>
      <w:r w:rsidRPr="00461C16">
        <w:rPr>
          <w:i/>
        </w:rPr>
        <w:t xml:space="preserve">V rámci zpracování návrhu ÚP nebyly ze strany SRN ani Polska vzneseny požadavky na koordinaci konkrétních záměrů v ÚP. </w:t>
      </w:r>
    </w:p>
    <w:p w14:paraId="57C7265B" w14:textId="77777777" w:rsidR="0097649C" w:rsidRPr="00461C16" w:rsidRDefault="0097649C" w:rsidP="00903F77">
      <w:pPr>
        <w:pStyle w:val="1text"/>
        <w:numPr>
          <w:ilvl w:val="0"/>
          <w:numId w:val="50"/>
        </w:numPr>
        <w:ind w:left="567" w:hanging="567"/>
        <w:rPr>
          <w:b/>
        </w:rPr>
      </w:pPr>
      <w:r w:rsidRPr="00461C16">
        <w:t xml:space="preserve">Zkvalitnit přeshraniční silniční a železniční spojení pro všechny druhy dopravy do Německa a Polska. </w:t>
      </w:r>
    </w:p>
    <w:p w14:paraId="0E174E7F" w14:textId="77777777" w:rsidR="00C95C5C" w:rsidRPr="00461C16" w:rsidRDefault="002E37ED" w:rsidP="00C95C5C">
      <w:pPr>
        <w:pStyle w:val="1text"/>
        <w:rPr>
          <w:i/>
          <w:lang w:eastAsia="en-US"/>
        </w:rPr>
      </w:pPr>
      <w:r w:rsidRPr="00461C16">
        <w:rPr>
          <w:i/>
          <w:lang w:eastAsia="en-US"/>
        </w:rPr>
        <w:t>S cílem vytvoření podmínek pro zlepšení dostupnosti Hrádku nad Nisou po železnici a zlepšení přeshraničních dopravních vazeb vymezuje ÚP koridory železniční dopravy X01 pro optimalizaci a elektrizaci železniční trati č. 089.</w:t>
      </w:r>
    </w:p>
    <w:p w14:paraId="2F2B2505" w14:textId="77777777" w:rsidR="002E37ED" w:rsidRPr="00461C16" w:rsidRDefault="002E37ED" w:rsidP="00C95C5C">
      <w:pPr>
        <w:pStyle w:val="1text"/>
        <w:rPr>
          <w:i/>
        </w:rPr>
      </w:pPr>
      <w:r w:rsidRPr="00461C16">
        <w:rPr>
          <w:i/>
          <w:lang w:eastAsia="en-US"/>
        </w:rPr>
        <w:t>Přeložka silnice I/35 byla realizována.</w:t>
      </w:r>
      <w:r w:rsidR="00B40DF6">
        <w:rPr>
          <w:i/>
          <w:lang w:eastAsia="en-US"/>
        </w:rPr>
        <w:t xml:space="preserve"> </w:t>
      </w:r>
      <w:r w:rsidR="00B40DF6">
        <w:rPr>
          <w:i/>
          <w:szCs w:val="18"/>
        </w:rPr>
        <w:t>Pro budoucí rozšíření silnice I/35 na čtyřpruhové uspořádání je vymezena plocha územní rezervy R16.</w:t>
      </w:r>
    </w:p>
    <w:p w14:paraId="25380437" w14:textId="77777777" w:rsidR="00C95C5C" w:rsidRPr="00461C16" w:rsidRDefault="00C95C5C" w:rsidP="00F53CB3">
      <w:pPr>
        <w:pStyle w:val="1text"/>
        <w:spacing w:before="240"/>
        <w:rPr>
          <w:b/>
          <w:u w:val="single"/>
        </w:rPr>
      </w:pPr>
      <w:r w:rsidRPr="00461C16">
        <w:rPr>
          <w:u w:val="single"/>
        </w:rPr>
        <w:t>Úkoly pro územní plánování:</w:t>
      </w:r>
    </w:p>
    <w:p w14:paraId="71066BD3" w14:textId="77777777" w:rsidR="00FD6418" w:rsidRPr="00461C16" w:rsidRDefault="00C95C5C" w:rsidP="00903F77">
      <w:pPr>
        <w:pStyle w:val="1text"/>
        <w:numPr>
          <w:ilvl w:val="0"/>
          <w:numId w:val="50"/>
        </w:numPr>
        <w:ind w:left="567" w:hanging="567"/>
        <w:rPr>
          <w:b/>
        </w:rPr>
      </w:pPr>
      <w:r w:rsidRPr="00461C16">
        <w:t>Upřesnit koridory pro kapacitní dopravní tahy napojující území Libereckého kraje na významné dopravní cesty v Německu, vymezené v ZÚR:</w:t>
      </w:r>
    </w:p>
    <w:p w14:paraId="1E63602F" w14:textId="77777777" w:rsidR="00C95C5C" w:rsidRPr="00461C16" w:rsidRDefault="00C95C5C" w:rsidP="00C95C5C">
      <w:pPr>
        <w:pStyle w:val="1text"/>
        <w:ind w:left="709"/>
      </w:pPr>
      <w:r w:rsidRPr="00461C16">
        <w:t xml:space="preserve">- silnice I/35 – Liberec – Bílý Kostel nad Nisou – Hrádek nad Nisou – hranice ČR (Zittau), </w:t>
      </w:r>
    </w:p>
    <w:p w14:paraId="656DBF84" w14:textId="77777777" w:rsidR="00C95C5C" w:rsidRPr="00461C16" w:rsidRDefault="00C95C5C" w:rsidP="00C95C5C">
      <w:pPr>
        <w:pStyle w:val="1text"/>
        <w:ind w:left="709"/>
      </w:pPr>
      <w:r w:rsidRPr="00461C16">
        <w:t>- železniční trať Liberec – Chrastava – Hrádek nad Nisou – hranice ČR (Zittau).</w:t>
      </w:r>
    </w:p>
    <w:p w14:paraId="3E591FFE" w14:textId="77777777" w:rsidR="003B772A" w:rsidRPr="00461C16" w:rsidRDefault="001C0EC5" w:rsidP="003B772A">
      <w:pPr>
        <w:pStyle w:val="1text"/>
        <w:spacing w:after="240"/>
        <w:rPr>
          <w:i/>
        </w:rPr>
      </w:pPr>
      <w:r w:rsidRPr="00461C16">
        <w:rPr>
          <w:i/>
        </w:rPr>
        <w:t>Přeložka silnice I/35 byla realizována</w:t>
      </w:r>
      <w:r w:rsidR="00AA1642">
        <w:rPr>
          <w:i/>
        </w:rPr>
        <w:t>, prozatím v polovičním profilu (S11,5/80)</w:t>
      </w:r>
      <w:r w:rsidRPr="00461C16">
        <w:rPr>
          <w:i/>
        </w:rPr>
        <w:t>.</w:t>
      </w:r>
      <w:r w:rsidR="00AA1642">
        <w:rPr>
          <w:i/>
        </w:rPr>
        <w:t xml:space="preserve"> V rámci pořizované Aktualizace č. 1 ZÚR</w:t>
      </w:r>
      <w:r w:rsidR="00B40DF6" w:rsidRPr="00B40DF6">
        <w:rPr>
          <w:i/>
          <w:szCs w:val="18"/>
        </w:rPr>
        <w:t xml:space="preserve"> </w:t>
      </w:r>
      <w:r w:rsidR="003B07D8">
        <w:rPr>
          <w:i/>
          <w:szCs w:val="18"/>
        </w:rPr>
        <w:t xml:space="preserve">LK </w:t>
      </w:r>
      <w:r w:rsidR="00AA1642">
        <w:rPr>
          <w:i/>
          <w:szCs w:val="18"/>
        </w:rPr>
        <w:t>je vymezena územní rezerva na dobudování plného profilu v návrhové kategorii S24,5/80.</w:t>
      </w:r>
    </w:p>
    <w:p w14:paraId="7C2D2278" w14:textId="77777777" w:rsidR="001C0EC5" w:rsidRPr="00461C16" w:rsidRDefault="001C0EC5" w:rsidP="003B772A">
      <w:pPr>
        <w:pStyle w:val="1text"/>
        <w:spacing w:after="240"/>
        <w:rPr>
          <w:i/>
        </w:rPr>
      </w:pPr>
      <w:r w:rsidRPr="00461C16">
        <w:rPr>
          <w:i/>
        </w:rPr>
        <w:t xml:space="preserve">ÚP v souladu se ZÚR Libereckého kraje zpřesňuje v rámci správního území města Hrádek nad Nisou koridor </w:t>
      </w:r>
      <w:r w:rsidR="00680440" w:rsidRPr="00461C16">
        <w:rPr>
          <w:i/>
        </w:rPr>
        <w:t>dráž</w:t>
      </w:r>
      <w:r w:rsidRPr="00461C16">
        <w:rPr>
          <w:i/>
        </w:rPr>
        <w:t>ní dopravy (DZ.k) X01 pro optimalizaci a elektrizaci železniční trati č. 089.</w:t>
      </w:r>
    </w:p>
    <w:p w14:paraId="6A905592" w14:textId="77777777" w:rsidR="00C95C5C" w:rsidRPr="00461C16" w:rsidRDefault="00C95C5C" w:rsidP="00903F77">
      <w:pPr>
        <w:pStyle w:val="1text"/>
        <w:numPr>
          <w:ilvl w:val="0"/>
          <w:numId w:val="50"/>
        </w:numPr>
        <w:ind w:left="567" w:hanging="567"/>
        <w:rPr>
          <w:b/>
        </w:rPr>
      </w:pPr>
      <w:r w:rsidRPr="00461C16">
        <w:t xml:space="preserve">Upřesnit vedení koridoru železniční tratě Praha – Turnov – Liberec – Frýdlant – hranice ČR (Zawidów) pro kombinovanou dopravu mezinárodního významu. </w:t>
      </w:r>
    </w:p>
    <w:p w14:paraId="3E2FA52B" w14:textId="77777777" w:rsidR="003B772A" w:rsidRPr="00461C16" w:rsidRDefault="001C0EC5" w:rsidP="003B772A">
      <w:pPr>
        <w:pStyle w:val="1text"/>
        <w:spacing w:after="240"/>
        <w:rPr>
          <w:i/>
        </w:rPr>
      </w:pPr>
      <w:r w:rsidRPr="00461C16">
        <w:rPr>
          <w:i/>
        </w:rPr>
        <w:t>Mimo řešené území.</w:t>
      </w:r>
    </w:p>
    <w:p w14:paraId="44E04860" w14:textId="77777777" w:rsidR="00C95C5C" w:rsidRPr="00461C16" w:rsidRDefault="00C95C5C" w:rsidP="00903F77">
      <w:pPr>
        <w:pStyle w:val="1text"/>
        <w:numPr>
          <w:ilvl w:val="0"/>
          <w:numId w:val="50"/>
        </w:numPr>
        <w:ind w:left="567" w:hanging="567"/>
        <w:rPr>
          <w:b/>
        </w:rPr>
      </w:pPr>
      <w:r w:rsidRPr="00461C16">
        <w:t xml:space="preserve">Řešit územní souvislosti návaznosti koridoru modernizované železniční tratě Turnov – Jičín – Hradec Králové. </w:t>
      </w:r>
    </w:p>
    <w:p w14:paraId="6B4557F9" w14:textId="77777777" w:rsidR="003B772A" w:rsidRPr="00461C16" w:rsidRDefault="001C0EC5" w:rsidP="003B772A">
      <w:pPr>
        <w:pStyle w:val="1text"/>
        <w:spacing w:after="240"/>
        <w:rPr>
          <w:i/>
        </w:rPr>
      </w:pPr>
      <w:r w:rsidRPr="00461C16">
        <w:rPr>
          <w:i/>
        </w:rPr>
        <w:t>Mimo řešené území.</w:t>
      </w:r>
    </w:p>
    <w:p w14:paraId="5E4CE823" w14:textId="77777777" w:rsidR="003B772A" w:rsidRPr="00461C16" w:rsidRDefault="003B772A" w:rsidP="00903F77">
      <w:pPr>
        <w:pStyle w:val="1text"/>
        <w:numPr>
          <w:ilvl w:val="0"/>
          <w:numId w:val="50"/>
        </w:numPr>
        <w:ind w:left="567" w:hanging="567"/>
        <w:rPr>
          <w:b/>
        </w:rPr>
      </w:pPr>
      <w:r w:rsidRPr="00461C16">
        <w:t xml:space="preserve">Vytvořit územní podmínky pro vznik veřejného logistického centra (VLC) napojeného na železniční, silniční a případně i leteckou dopravu za účelem poskytování širokého spektra logistických služeb v rámci zapojení do evropské sítě VLC. </w:t>
      </w:r>
    </w:p>
    <w:p w14:paraId="47726A25" w14:textId="77777777" w:rsidR="003B772A" w:rsidRPr="00461C16" w:rsidRDefault="005F1220" w:rsidP="003B772A">
      <w:pPr>
        <w:pStyle w:val="1text"/>
        <w:spacing w:after="240"/>
        <w:rPr>
          <w:i/>
        </w:rPr>
      </w:pPr>
      <w:r w:rsidRPr="00461C16">
        <w:rPr>
          <w:i/>
        </w:rPr>
        <w:t>Mimo řešené území.</w:t>
      </w:r>
    </w:p>
    <w:p w14:paraId="0B5EE8B5" w14:textId="77777777" w:rsidR="003B772A" w:rsidRPr="00461C16" w:rsidRDefault="003B772A" w:rsidP="00903F77">
      <w:pPr>
        <w:pStyle w:val="1text"/>
        <w:numPr>
          <w:ilvl w:val="0"/>
          <w:numId w:val="50"/>
        </w:numPr>
        <w:ind w:left="567" w:hanging="567"/>
        <w:rPr>
          <w:b/>
        </w:rPr>
      </w:pPr>
      <w:r w:rsidRPr="00461C16">
        <w:t xml:space="preserve">Zkvalitňovat systémy veřejné dopravy, zohlednit Projekt společného využití železničních a tramvajových tratí. </w:t>
      </w:r>
    </w:p>
    <w:p w14:paraId="5312245F" w14:textId="77777777" w:rsidR="003B772A" w:rsidRPr="00461C16" w:rsidRDefault="001C0EC5" w:rsidP="003B772A">
      <w:pPr>
        <w:pStyle w:val="1text"/>
        <w:spacing w:after="240"/>
        <w:rPr>
          <w:i/>
        </w:rPr>
      </w:pPr>
      <w:r w:rsidRPr="00461C16">
        <w:rPr>
          <w:i/>
          <w:color w:val="000000"/>
          <w:shd w:val="clear" w:color="auto" w:fill="FFFFFF"/>
        </w:rPr>
        <w:t xml:space="preserve">S cílem vytvoření podmínek pro zlepšení dostupnosti Hrádku nad Nisou po železnici a zlepšení přeshraničních dopravních vazeb vymezuje ÚP koridor </w:t>
      </w:r>
      <w:r w:rsidR="00680440" w:rsidRPr="00461C16">
        <w:rPr>
          <w:i/>
          <w:color w:val="000000"/>
          <w:shd w:val="clear" w:color="auto" w:fill="FFFFFF"/>
        </w:rPr>
        <w:t>dráž</w:t>
      </w:r>
      <w:r w:rsidRPr="00461C16">
        <w:rPr>
          <w:i/>
          <w:color w:val="000000"/>
          <w:shd w:val="clear" w:color="auto" w:fill="FFFFFF"/>
        </w:rPr>
        <w:t>ní dopravy X01 pro optimalizaci a elektrizaci železniční trati č. 089.</w:t>
      </w:r>
    </w:p>
    <w:p w14:paraId="7A0A2853" w14:textId="77777777" w:rsidR="003B772A" w:rsidRPr="00461C16" w:rsidRDefault="003B772A" w:rsidP="00903F77">
      <w:pPr>
        <w:pStyle w:val="1text"/>
        <w:numPr>
          <w:ilvl w:val="0"/>
          <w:numId w:val="50"/>
        </w:numPr>
        <w:ind w:left="567" w:hanging="567"/>
        <w:rPr>
          <w:b/>
        </w:rPr>
      </w:pPr>
      <w:r w:rsidRPr="00461C16">
        <w:t xml:space="preserve">V rámci rozvojové osy vytvářet územní podmínky pro rozvoj cyklodopravy. </w:t>
      </w:r>
    </w:p>
    <w:p w14:paraId="72B9F3DB" w14:textId="77777777" w:rsidR="003B772A" w:rsidRPr="00461C16" w:rsidRDefault="002E37ED" w:rsidP="003B772A">
      <w:pPr>
        <w:pStyle w:val="1text"/>
        <w:spacing w:after="240"/>
        <w:rPr>
          <w:i/>
        </w:rPr>
      </w:pPr>
      <w:r w:rsidRPr="00461C16">
        <w:rPr>
          <w:i/>
          <w:color w:val="000000"/>
          <w:shd w:val="clear" w:color="auto" w:fill="FFFFFF"/>
        </w:rPr>
        <w:t>Koncepce ÚP vytváří předpoklady pro podporu cykloturistiky zejména stanovením zásad rozvoje pěší a cyklistické dopravy na území města Hrádek nad Nisou, stabilizováním stávajících cyklostezek a značených cyklotras a vymezením cyklotrasy Odra-Nisa.</w:t>
      </w:r>
    </w:p>
    <w:p w14:paraId="62CD1490" w14:textId="77777777" w:rsidR="003B772A" w:rsidRPr="00461C16" w:rsidRDefault="003B772A" w:rsidP="00903F77">
      <w:pPr>
        <w:pStyle w:val="1text"/>
        <w:numPr>
          <w:ilvl w:val="0"/>
          <w:numId w:val="50"/>
        </w:numPr>
        <w:ind w:left="567" w:hanging="567"/>
        <w:rPr>
          <w:b/>
        </w:rPr>
      </w:pPr>
      <w:r w:rsidRPr="00461C16">
        <w:lastRenderedPageBreak/>
        <w:t xml:space="preserve">Koordinovat plánovací a rozvojové aktivity se sousedním Středočeským krajem a sousedními regiony Německo – Sasko a Polsko – Dolní Slezsko. </w:t>
      </w:r>
    </w:p>
    <w:p w14:paraId="709AC9D4" w14:textId="77777777" w:rsidR="003B772A" w:rsidRPr="00461C16" w:rsidRDefault="001C0EC5" w:rsidP="003B772A">
      <w:pPr>
        <w:pStyle w:val="1text"/>
        <w:spacing w:after="240"/>
        <w:rPr>
          <w:i/>
        </w:rPr>
      </w:pPr>
      <w:r w:rsidRPr="00461C16">
        <w:rPr>
          <w:i/>
        </w:rPr>
        <w:t>V rámci zpracování návrhu ÚP nebyly ze strany SRN ani Polska vzneseny požadavky na koordinaci konkrétních záměrů v ÚP.</w:t>
      </w:r>
    </w:p>
    <w:p w14:paraId="7D3DAAF8" w14:textId="77777777" w:rsidR="00DA226C" w:rsidRPr="00461C16" w:rsidRDefault="00FB1CCD" w:rsidP="00DA226C">
      <w:pPr>
        <w:pStyle w:val="Heading3"/>
      </w:pPr>
      <w:bookmarkStart w:id="26" w:name="_Toc36116242"/>
      <w:r w:rsidRPr="00461C16">
        <w:t>1</w:t>
      </w:r>
      <w:r w:rsidR="002F1727" w:rsidRPr="00461C16">
        <w:t>.</w:t>
      </w:r>
      <w:r w:rsidR="004A6672" w:rsidRPr="00461C16">
        <w:t>2.</w:t>
      </w:r>
      <w:r w:rsidR="0005452E" w:rsidRPr="00461C16">
        <w:t>3</w:t>
      </w:r>
      <w:r w:rsidR="004A6672" w:rsidRPr="00461C16">
        <w:tab/>
        <w:t>Plochy a koridory doprav</w:t>
      </w:r>
      <w:r w:rsidR="00A856AF" w:rsidRPr="00461C16">
        <w:t>ní infrastruktury</w:t>
      </w:r>
      <w:r w:rsidR="00526D60" w:rsidRPr="00461C16">
        <w:t xml:space="preserve"> mezinárodního</w:t>
      </w:r>
      <w:r w:rsidR="004A6672" w:rsidRPr="00461C16">
        <w:t xml:space="preserve"> významu</w:t>
      </w:r>
      <w:bookmarkEnd w:id="26"/>
      <w:r w:rsidR="00B345B4" w:rsidRPr="00461C16">
        <w:t xml:space="preserve"> </w:t>
      </w:r>
    </w:p>
    <w:p w14:paraId="41D4EE18" w14:textId="77777777" w:rsidR="002471B4" w:rsidRPr="00461C16" w:rsidRDefault="004A6672" w:rsidP="00555010">
      <w:pPr>
        <w:pStyle w:val="1text"/>
      </w:pPr>
      <w:r w:rsidRPr="00461C16">
        <w:t xml:space="preserve">ZÚR </w:t>
      </w:r>
      <w:r w:rsidR="003B07D8">
        <w:t xml:space="preserve">Libereckého kraje </w:t>
      </w:r>
      <w:r w:rsidRPr="00461C16">
        <w:t xml:space="preserve">zpřesňují na území </w:t>
      </w:r>
      <w:r w:rsidR="0004769A" w:rsidRPr="00461C16">
        <w:t>Libereckého</w:t>
      </w:r>
      <w:r w:rsidR="002471B4" w:rsidRPr="00461C16">
        <w:t xml:space="preserve"> </w:t>
      </w:r>
      <w:r w:rsidRPr="00461C16">
        <w:t xml:space="preserve">kraje </w:t>
      </w:r>
      <w:r w:rsidR="0088712A" w:rsidRPr="00461C16">
        <w:t xml:space="preserve">dopravní </w:t>
      </w:r>
      <w:r w:rsidRPr="00461C16">
        <w:t>koridor</w:t>
      </w:r>
      <w:r w:rsidR="0004769A" w:rsidRPr="00461C16">
        <w:t>y mezinárodního</w:t>
      </w:r>
      <w:r w:rsidRPr="00461C16">
        <w:t xml:space="preserve"> významu</w:t>
      </w:r>
      <w:r w:rsidR="0088712A" w:rsidRPr="00461C16">
        <w:t xml:space="preserve">, do správního území města </w:t>
      </w:r>
      <w:r w:rsidR="0004769A" w:rsidRPr="00461C16">
        <w:t>Hrádek nad Nisou zasahuje D02 – silnice I/35, úsek Bílý Kostel nad Nisou – Hrádek nad Nisou – hranice</w:t>
      </w:r>
      <w:r w:rsidR="005B75EE" w:rsidRPr="00461C16">
        <w:t xml:space="preserve"> ČR a železniční koridor D28 úsek Liberec – Chrastava – Bílý Kostel nad Nisou – Hrádek nad Nisou – hranice ČR</w:t>
      </w:r>
      <w:r w:rsidR="0004769A" w:rsidRPr="00461C16">
        <w:t>.</w:t>
      </w:r>
      <w:r w:rsidR="00B345B4" w:rsidRPr="00461C16">
        <w:t xml:space="preserve"> </w:t>
      </w:r>
    </w:p>
    <w:p w14:paraId="20BEEE41" w14:textId="77777777" w:rsidR="0088712A" w:rsidRPr="00461C16" w:rsidRDefault="001D6A5D" w:rsidP="00555010">
      <w:pPr>
        <w:pStyle w:val="1text"/>
      </w:pPr>
      <w:r w:rsidRPr="00461C16">
        <w:t>Ve vymezeném silničním koridoru</w:t>
      </w:r>
      <w:r w:rsidR="0088712A" w:rsidRPr="00461C16">
        <w:t xml:space="preserve"> se stanovují následující </w:t>
      </w:r>
      <w:r w:rsidR="0088712A" w:rsidRPr="00461C16">
        <w:rPr>
          <w:u w:val="single"/>
        </w:rPr>
        <w:t>úkoly pro územní plánování</w:t>
      </w:r>
      <w:r w:rsidR="0088712A" w:rsidRPr="00461C16">
        <w:t>:</w:t>
      </w:r>
    </w:p>
    <w:p w14:paraId="57C6FDCB" w14:textId="77777777" w:rsidR="0004769A" w:rsidRPr="00461C16" w:rsidRDefault="0004769A" w:rsidP="00903F77">
      <w:pPr>
        <w:pStyle w:val="1text"/>
        <w:numPr>
          <w:ilvl w:val="0"/>
          <w:numId w:val="50"/>
        </w:numPr>
        <w:ind w:left="567" w:hanging="567"/>
      </w:pPr>
      <w:r w:rsidRPr="00461C16">
        <w:t>Koordinovat vedení koridoru na hranicích ČR ve vazbách na Polsko a Německo.</w:t>
      </w:r>
    </w:p>
    <w:p w14:paraId="080327D8" w14:textId="77777777" w:rsidR="0004769A" w:rsidRPr="00461C16" w:rsidRDefault="0004769A" w:rsidP="00903F77">
      <w:pPr>
        <w:pStyle w:val="1text"/>
        <w:numPr>
          <w:ilvl w:val="0"/>
          <w:numId w:val="50"/>
        </w:numPr>
        <w:ind w:left="567" w:hanging="567"/>
      </w:pPr>
      <w:r w:rsidRPr="00461C16">
        <w:t xml:space="preserve">Upřesnit, stabilizovat a řešit územní souvislosti vedení koridoru. </w:t>
      </w:r>
    </w:p>
    <w:p w14:paraId="7C1C4DCD" w14:textId="77777777" w:rsidR="00C41F02" w:rsidRPr="00461C16" w:rsidRDefault="001C0EC5" w:rsidP="00C41F02">
      <w:pPr>
        <w:pStyle w:val="1text"/>
        <w:spacing w:after="240"/>
        <w:rPr>
          <w:i/>
        </w:rPr>
      </w:pPr>
      <w:r w:rsidRPr="00461C16">
        <w:rPr>
          <w:i/>
        </w:rPr>
        <w:t>Přeložka silnice I/35 byla realizována.</w:t>
      </w:r>
      <w:r w:rsidR="00B40DF6" w:rsidRPr="00B40DF6">
        <w:rPr>
          <w:i/>
          <w:szCs w:val="18"/>
        </w:rPr>
        <w:t xml:space="preserve"> </w:t>
      </w:r>
      <w:r w:rsidR="00B40DF6">
        <w:rPr>
          <w:i/>
          <w:szCs w:val="18"/>
        </w:rPr>
        <w:t>Pro budoucí rozšíření silnice I/35 na čtyřpruhové uspořádání je vymezena plocha územní rezervy R16.</w:t>
      </w:r>
    </w:p>
    <w:p w14:paraId="64E1A47C" w14:textId="77777777" w:rsidR="00555010" w:rsidRPr="00461C16" w:rsidRDefault="001D6A5D" w:rsidP="00753F4E">
      <w:pPr>
        <w:pStyle w:val="4podnadpis"/>
        <w:rPr>
          <w:u w:val="single"/>
        </w:rPr>
      </w:pPr>
      <w:r w:rsidRPr="00461C16">
        <w:t>Projekt společného využití žel</w:t>
      </w:r>
      <w:r w:rsidR="00555010" w:rsidRPr="00461C16">
        <w:t>ezničních a tramvajových tratí</w:t>
      </w:r>
      <w:r w:rsidR="00555010" w:rsidRPr="00461C16">
        <w:rPr>
          <w:u w:val="single"/>
        </w:rPr>
        <w:t>:</w:t>
      </w:r>
    </w:p>
    <w:p w14:paraId="3F70225B" w14:textId="77777777" w:rsidR="00555010" w:rsidRPr="00461C16" w:rsidRDefault="00555010" w:rsidP="00555010">
      <w:pPr>
        <w:pStyle w:val="Intabulka"/>
        <w:jc w:val="both"/>
        <w:rPr>
          <w:rFonts w:ascii="Arial Narrow" w:hAnsi="Arial Narrow"/>
          <w:sz w:val="22"/>
          <w:szCs w:val="22"/>
          <w:lang w:val="cs-CZ"/>
        </w:rPr>
      </w:pPr>
      <w:r w:rsidRPr="00461C16">
        <w:rPr>
          <w:rFonts w:ascii="Arial Narrow" w:hAnsi="Arial Narrow"/>
          <w:sz w:val="22"/>
          <w:szCs w:val="22"/>
          <w:lang w:val="cs-CZ"/>
        </w:rPr>
        <w:t xml:space="preserve">Konečnou vizí projektu se stane využití stávajícího železničního spojení v délce přes 110 km v ose Zittau – Jelenia Gora přes Hrádek nad Nisou, Chrastavu, Liberec, Jablonec nad Nisou, Smržovku, Tanvald, Harrachov a Szklarskou Porebu. </w:t>
      </w:r>
    </w:p>
    <w:p w14:paraId="4BE2D9D2" w14:textId="77777777" w:rsidR="00555010" w:rsidRPr="00461C16" w:rsidRDefault="00555010" w:rsidP="00903F77">
      <w:pPr>
        <w:pStyle w:val="Intabulka"/>
        <w:numPr>
          <w:ilvl w:val="0"/>
          <w:numId w:val="50"/>
        </w:numPr>
        <w:spacing w:before="120"/>
        <w:ind w:left="567" w:hanging="567"/>
        <w:jc w:val="both"/>
        <w:rPr>
          <w:rFonts w:ascii="Arial Narrow" w:hAnsi="Arial Narrow"/>
          <w:sz w:val="22"/>
          <w:szCs w:val="22"/>
          <w:lang w:val="cs-CZ"/>
        </w:rPr>
      </w:pPr>
      <w:r w:rsidRPr="00461C16">
        <w:rPr>
          <w:rFonts w:ascii="Arial Narrow" w:hAnsi="Arial Narrow"/>
          <w:sz w:val="22"/>
          <w:szCs w:val="22"/>
          <w:lang w:val="cs-CZ"/>
        </w:rPr>
        <w:t>Zohlednit zařazení příslušných železničních tratí do projektu společného využití železničních a tramvajových tratí.</w:t>
      </w:r>
    </w:p>
    <w:p w14:paraId="58CB222E" w14:textId="77777777" w:rsidR="00C41F02" w:rsidRPr="00461C16" w:rsidRDefault="001C0EC5" w:rsidP="00C41F02">
      <w:pPr>
        <w:pStyle w:val="1text"/>
        <w:rPr>
          <w:i/>
        </w:rPr>
      </w:pPr>
      <w:r w:rsidRPr="00461C16">
        <w:rPr>
          <w:i/>
          <w:color w:val="000000"/>
          <w:shd w:val="clear" w:color="auto" w:fill="FFFFFF"/>
        </w:rPr>
        <w:t xml:space="preserve">S cílem vytvoření podmínek pro zlepšení dostupnosti Hrádku nad Nisou po železnici a zlepšení přeshraničních dopravních vazeb vymezuje ÚP koridor </w:t>
      </w:r>
      <w:r w:rsidR="00680440" w:rsidRPr="00461C16">
        <w:rPr>
          <w:i/>
          <w:color w:val="000000"/>
          <w:shd w:val="clear" w:color="auto" w:fill="FFFFFF"/>
        </w:rPr>
        <w:t>dráž</w:t>
      </w:r>
      <w:r w:rsidRPr="00461C16">
        <w:rPr>
          <w:i/>
          <w:color w:val="000000"/>
          <w:shd w:val="clear" w:color="auto" w:fill="FFFFFF"/>
        </w:rPr>
        <w:t>ní dopravy X01 pro optimalizaci a elektrizaci železniční trati č. 089.</w:t>
      </w:r>
    </w:p>
    <w:p w14:paraId="03EB3733" w14:textId="77777777" w:rsidR="00587BAD" w:rsidRPr="00461C16" w:rsidRDefault="003115D5" w:rsidP="00DA226C">
      <w:pPr>
        <w:pStyle w:val="Heading3"/>
      </w:pPr>
      <w:bookmarkStart w:id="27" w:name="_Toc36116243"/>
      <w:r w:rsidRPr="00461C16">
        <w:t>1.2.4</w:t>
      </w:r>
      <w:r w:rsidRPr="00461C16">
        <w:tab/>
      </w:r>
      <w:r w:rsidR="00DA226C" w:rsidRPr="00461C16">
        <w:t>Zásady koncepce rozvoje technické infrastruktury</w:t>
      </w:r>
      <w:bookmarkEnd w:id="27"/>
    </w:p>
    <w:p w14:paraId="71B155FF" w14:textId="77777777" w:rsidR="00DA226C" w:rsidRPr="00461C16" w:rsidRDefault="00DA226C" w:rsidP="00903F77">
      <w:pPr>
        <w:pStyle w:val="ListParagraph"/>
        <w:numPr>
          <w:ilvl w:val="0"/>
          <w:numId w:val="50"/>
        </w:numPr>
        <w:spacing w:before="120" w:after="120"/>
        <w:ind w:left="567" w:hanging="567"/>
      </w:pPr>
      <w:r w:rsidRPr="00461C16">
        <w:t xml:space="preserve">Chránit, územně upřesňovat a koordinovat vymezené koridory pro zásobování pitnou vodou v ÚPD dotčených obcí ve vzájemných návaznostech. </w:t>
      </w:r>
    </w:p>
    <w:p w14:paraId="3B3D19DD" w14:textId="77777777" w:rsidR="00F53CB3" w:rsidRPr="00461C16" w:rsidRDefault="0050198D" w:rsidP="00F53CB3">
      <w:pPr>
        <w:spacing w:before="120" w:after="120"/>
      </w:pPr>
      <w:r w:rsidRPr="00461C16">
        <w:rPr>
          <w:i/>
        </w:rPr>
        <w:t>ÚP stanovuje rozvoj vodovodní soustavy realizovat v souladu s Plánem rozvoje vodovodů a kanalizací Libereckého kraje. Případné posílení kapacity vodovodu je možno realizovat bez nutnosti změny ÚP.</w:t>
      </w:r>
      <w:r w:rsidR="00F53CB3" w:rsidRPr="00461C16">
        <w:t xml:space="preserve"> </w:t>
      </w:r>
    </w:p>
    <w:p w14:paraId="32160170" w14:textId="77777777" w:rsidR="00DA226C" w:rsidRPr="00461C16" w:rsidRDefault="00DA226C" w:rsidP="00903F77">
      <w:pPr>
        <w:pStyle w:val="ListParagraph"/>
        <w:numPr>
          <w:ilvl w:val="0"/>
          <w:numId w:val="50"/>
        </w:numPr>
        <w:spacing w:before="120" w:after="120"/>
        <w:ind w:left="567" w:hanging="567"/>
      </w:pPr>
      <w:r w:rsidRPr="00461C16">
        <w:t xml:space="preserve">U obcí, které dosud nejsou zásobovány z veřejného vodovodu posoudit variantní řešení: propojení s některým ze stávajících vodovodů nebo zajištění zásobování z místních zdrojů. </w:t>
      </w:r>
    </w:p>
    <w:p w14:paraId="1141EA7A" w14:textId="77777777" w:rsidR="00C41F02" w:rsidRPr="00461C16" w:rsidRDefault="0050198D" w:rsidP="00C41F02">
      <w:pPr>
        <w:pStyle w:val="1text"/>
        <w:spacing w:after="120"/>
        <w:rPr>
          <w:i/>
        </w:rPr>
      </w:pPr>
      <w:r w:rsidRPr="00461C16">
        <w:rPr>
          <w:i/>
        </w:rPr>
        <w:t>ÚP stanovuje rozvoj vodovodní soustavy realizovat v souladu s Plánem rozvoje vodovodů a kanalizací Libereckého kraje. Případné posílení kapacity vodovodu je možno realizovat bez nutnosti změny ÚP.</w:t>
      </w:r>
    </w:p>
    <w:p w14:paraId="28CCF40F" w14:textId="77777777" w:rsidR="00DA226C" w:rsidRPr="00461C16" w:rsidRDefault="00DA226C" w:rsidP="00903F77">
      <w:pPr>
        <w:pStyle w:val="ListParagraph"/>
        <w:numPr>
          <w:ilvl w:val="0"/>
          <w:numId w:val="50"/>
        </w:numPr>
        <w:spacing w:before="120" w:after="120"/>
        <w:ind w:left="567" w:hanging="567"/>
      </w:pPr>
      <w:r w:rsidRPr="00461C16">
        <w:t xml:space="preserve">Pro zajištění lepší jakosti povrchových a podzemních vod řešit v ÚPD obcí v souladu s PRVK LK vyhovující systém odkanalizování a čištění komunálních a průmyslových odpadních vod ve všech návaznostech a to zejména v rozvojových oblastech LK. </w:t>
      </w:r>
    </w:p>
    <w:p w14:paraId="59BB9D98" w14:textId="77777777" w:rsidR="00C41F02" w:rsidRPr="00461C16" w:rsidRDefault="0050198D" w:rsidP="00C41F02">
      <w:pPr>
        <w:pStyle w:val="1text"/>
        <w:spacing w:after="120"/>
        <w:rPr>
          <w:i/>
        </w:rPr>
      </w:pPr>
      <w:r w:rsidRPr="00461C16">
        <w:rPr>
          <w:i/>
          <w:shd w:val="clear" w:color="auto" w:fill="FFFFFF"/>
        </w:rPr>
        <w:t>ÚP stanovuje rozvoj kanalizační soustavy realizovat v souladu s Plánem rozvoje vodovodů a kanalizací Libereckého kraje.</w:t>
      </w:r>
    </w:p>
    <w:p w14:paraId="0D99A843" w14:textId="77777777" w:rsidR="00DA226C" w:rsidRPr="00461C16" w:rsidRDefault="00DA226C" w:rsidP="00903F77">
      <w:pPr>
        <w:pStyle w:val="ListParagraph"/>
        <w:numPr>
          <w:ilvl w:val="0"/>
          <w:numId w:val="50"/>
        </w:numPr>
        <w:spacing w:before="120" w:after="120"/>
        <w:ind w:left="567" w:hanging="567"/>
      </w:pPr>
      <w:r w:rsidRPr="00461C16">
        <w:t xml:space="preserve">Vytvářet územní podmínky pro zvýšení kapacity stávajících čistíren odpadních vod a pro výstavbu lokálních malých čistíren. </w:t>
      </w:r>
    </w:p>
    <w:p w14:paraId="5AD8D639" w14:textId="77777777" w:rsidR="00C41F02" w:rsidRPr="00461C16" w:rsidRDefault="0050198D" w:rsidP="00C41F02">
      <w:pPr>
        <w:pStyle w:val="1text"/>
        <w:spacing w:after="120"/>
        <w:rPr>
          <w:i/>
        </w:rPr>
      </w:pPr>
      <w:r w:rsidRPr="00461C16">
        <w:rPr>
          <w:i/>
          <w:shd w:val="clear" w:color="auto" w:fill="FFFFFF"/>
        </w:rPr>
        <w:t>Rozvoj stávajících čistíren odpadních vod a výstavba malých lokálních čistíren je umožněn v rámci stanovené koncepce odvádění a likvidace odpadních vod.</w:t>
      </w:r>
    </w:p>
    <w:p w14:paraId="4B9F3846" w14:textId="77777777" w:rsidR="00DA226C" w:rsidRPr="00461C16" w:rsidRDefault="00DA226C" w:rsidP="00903F77">
      <w:pPr>
        <w:pStyle w:val="ListParagraph"/>
        <w:numPr>
          <w:ilvl w:val="0"/>
          <w:numId w:val="50"/>
        </w:numPr>
        <w:spacing w:before="120" w:after="120"/>
        <w:ind w:left="567" w:hanging="567"/>
      </w:pPr>
      <w:r w:rsidRPr="00461C16">
        <w:lastRenderedPageBreak/>
        <w:t xml:space="preserve">V obcích kde je výstavba kanalizace a ČOV ekonomicky a technicky neopodstatněná, řešit odkanalizování individuálně v souladu s PRVK LK. Ke snížení zatížení stávajících ČOV balastními vodami řešit odkanalizování území důsledky navrhováním oddílné kanalizace. </w:t>
      </w:r>
    </w:p>
    <w:p w14:paraId="363EC107" w14:textId="77777777" w:rsidR="00C41F02" w:rsidRPr="00461C16" w:rsidRDefault="0050198D" w:rsidP="00C41F02">
      <w:pPr>
        <w:pStyle w:val="1text"/>
        <w:spacing w:after="120"/>
        <w:rPr>
          <w:i/>
        </w:rPr>
      </w:pPr>
      <w:r w:rsidRPr="00461C16">
        <w:rPr>
          <w:i/>
          <w:shd w:val="clear" w:color="auto" w:fill="FFFFFF"/>
        </w:rPr>
        <w:t>ÚP stanovuje rozvoj kanalizační soustavy realizovat v souladu s Plánem rozvoje vodovodů a kanalizací Libereckého kraje. Kanalizaci v nově vymezovaných rozvojových plochách navrhuje územní plán řešit důsledně jako oddílnou splaškovou.</w:t>
      </w:r>
    </w:p>
    <w:p w14:paraId="207FFD17" w14:textId="77777777" w:rsidR="00DA226C" w:rsidRPr="00461C16" w:rsidRDefault="00DA226C" w:rsidP="00903F77">
      <w:pPr>
        <w:pStyle w:val="ListParagraph"/>
        <w:numPr>
          <w:ilvl w:val="0"/>
          <w:numId w:val="50"/>
        </w:numPr>
        <w:spacing w:before="120" w:after="120"/>
        <w:ind w:left="567" w:hanging="567"/>
      </w:pPr>
      <w:r w:rsidRPr="00461C16">
        <w:t xml:space="preserve">Vhodným návrhem hospodaření v krajině a v urbanizovaných plochách snížit odtok dešťových vod z území a následně vnos nežádoucích látek do povrchových vod. </w:t>
      </w:r>
    </w:p>
    <w:p w14:paraId="691D2322" w14:textId="77777777" w:rsidR="00C41F02" w:rsidRPr="00461C16" w:rsidRDefault="0060161C" w:rsidP="00C41F02">
      <w:pPr>
        <w:pStyle w:val="1text"/>
        <w:spacing w:after="120"/>
        <w:rPr>
          <w:i/>
        </w:rPr>
      </w:pPr>
      <w:r w:rsidRPr="00461C16">
        <w:rPr>
          <w:i/>
        </w:rPr>
        <w:t xml:space="preserve">Způsob hospodaření v území nelze ÚP ovlivnit. Ke </w:t>
      </w:r>
      <w:r w:rsidR="005E55EE" w:rsidRPr="00461C16">
        <w:rPr>
          <w:i/>
        </w:rPr>
        <w:t xml:space="preserve">snížení odtoku vody v krajině </w:t>
      </w:r>
      <w:r w:rsidRPr="00461C16">
        <w:rPr>
          <w:i/>
        </w:rPr>
        <w:t xml:space="preserve">jsou vytvořeny podmínky vymezením ÚSES a stanovením požadavků na zachování a doplnění drobných krajinných prvků, ochranu vodních ploch a toků, </w:t>
      </w:r>
      <w:r w:rsidR="005E55EE" w:rsidRPr="00461C16">
        <w:rPr>
          <w:i/>
        </w:rPr>
        <w:t>revitalizaci</w:t>
      </w:r>
      <w:r w:rsidRPr="00461C16">
        <w:rPr>
          <w:i/>
        </w:rPr>
        <w:t xml:space="preserve"> vodních toků, které jsou součástí ÚSES</w:t>
      </w:r>
      <w:r w:rsidR="005E55EE" w:rsidRPr="00461C16">
        <w:rPr>
          <w:i/>
        </w:rPr>
        <w:t xml:space="preserve">. Pro snížení odtoku vod z urbanizovaného území jsou vytvořeny předpoklady požadavky na </w:t>
      </w:r>
      <w:r w:rsidRPr="00461C16">
        <w:rPr>
          <w:i/>
        </w:rPr>
        <w:t>likvidaci dešťových vod</w:t>
      </w:r>
      <w:r w:rsidR="005E55EE" w:rsidRPr="00461C16">
        <w:rPr>
          <w:i/>
        </w:rPr>
        <w:t xml:space="preserve"> v zastavěném území a v zastavitelných plochách </w:t>
      </w:r>
      <w:r w:rsidRPr="00461C16">
        <w:rPr>
          <w:i/>
        </w:rPr>
        <w:t xml:space="preserve">na pozemku vsakováním nebo akumulací. </w:t>
      </w:r>
    </w:p>
    <w:p w14:paraId="1DD9D001" w14:textId="77777777" w:rsidR="00DA226C" w:rsidRPr="00461C16" w:rsidRDefault="00DA226C" w:rsidP="00903F77">
      <w:pPr>
        <w:pStyle w:val="ListParagraph"/>
        <w:numPr>
          <w:ilvl w:val="0"/>
          <w:numId w:val="50"/>
        </w:numPr>
        <w:spacing w:before="120" w:after="120"/>
        <w:ind w:left="567" w:hanging="567"/>
      </w:pPr>
      <w:r w:rsidRPr="00461C16">
        <w:t xml:space="preserve">Zabránit další urbanizaci inundačních území a maximálně tyto prostory údolních niv uvolňovat a ve zdůvodněných případech posoudit ekonomické a sociální dopady redislokace riskantně umístěných objektů, přehodnotit urbanistické záměry v těchto územích. </w:t>
      </w:r>
    </w:p>
    <w:p w14:paraId="480D8B7B" w14:textId="77777777" w:rsidR="00DA226C" w:rsidRPr="00461C16" w:rsidRDefault="00DA226C" w:rsidP="00CC5080">
      <w:pPr>
        <w:pStyle w:val="ListParagraph"/>
        <w:spacing w:before="120" w:after="120"/>
        <w:ind w:left="567"/>
      </w:pPr>
      <w:r w:rsidRPr="00461C16">
        <w:t xml:space="preserve">Vymezovat zastavitelné plochy v záplavových územích a umisťovat do nich veřejnou infrastrukturu jen ve zcela výjimečných a zvlášť odůvodněných případech. Vymezovat a chránit zastavitelné plochy pro přemístění zástavby z území s vysokou mírou rizika vzniku povodňových škod. </w:t>
      </w:r>
    </w:p>
    <w:p w14:paraId="4AACD4B6" w14:textId="77777777" w:rsidR="00C41F02" w:rsidRPr="00461C16" w:rsidRDefault="003429AB" w:rsidP="00C41F02">
      <w:pPr>
        <w:pStyle w:val="1text"/>
        <w:spacing w:after="120"/>
        <w:rPr>
          <w:i/>
        </w:rPr>
      </w:pPr>
      <w:r w:rsidRPr="00461C16">
        <w:rPr>
          <w:i/>
        </w:rPr>
        <w:t>V záplavovém území nejsou vymezen</w:t>
      </w:r>
      <w:r w:rsidR="00086795" w:rsidRPr="00461C16">
        <w:rPr>
          <w:i/>
        </w:rPr>
        <w:t>y</w:t>
      </w:r>
      <w:r w:rsidRPr="00461C16">
        <w:rPr>
          <w:i/>
        </w:rPr>
        <w:t xml:space="preserve"> zastavitelné plochy. </w:t>
      </w:r>
    </w:p>
    <w:p w14:paraId="63691A97" w14:textId="77777777" w:rsidR="00DA226C" w:rsidRPr="00461C16" w:rsidRDefault="00DA226C" w:rsidP="00903F77">
      <w:pPr>
        <w:pStyle w:val="ListParagraph"/>
        <w:numPr>
          <w:ilvl w:val="0"/>
          <w:numId w:val="50"/>
        </w:numPr>
        <w:spacing w:before="120" w:after="120"/>
        <w:ind w:left="567" w:hanging="567"/>
      </w:pPr>
      <w:r w:rsidRPr="00461C16">
        <w:t xml:space="preserve">Vytvářet územní podmínky pro navyšování retenční schopnosti krajiny a to především formou revitalizací toků a mokřadních biotopů v nivách a v pramenných oblastech, návrhem vhodných krajinných a technických úprav území zabraňovat vzniku povrchového odtoku vod, erozích a transportních procesů z povodí. Podporovat revitalizaci nevhodně upravených toků jako součást protipovodňové ochrany. </w:t>
      </w:r>
    </w:p>
    <w:p w14:paraId="522DEFD7" w14:textId="77777777" w:rsidR="0060161C" w:rsidRPr="00461C16" w:rsidRDefault="0060161C" w:rsidP="0060161C">
      <w:pPr>
        <w:pStyle w:val="1text"/>
        <w:spacing w:after="120"/>
        <w:rPr>
          <w:i/>
        </w:rPr>
      </w:pPr>
      <w:r w:rsidRPr="00461C16">
        <w:rPr>
          <w:i/>
        </w:rPr>
        <w:t xml:space="preserve">Ke zlepšení vodního režimu území jsou vytvořeny podmínky vymezením ÚSES a stanovením požadavků na zachování a doplnění drobných krajinných prvků, ochranu vodních ploch a toků, revitalizaci vodních toků, které jsou součástí ÚSES a na likvidaci dešťových vod na pozemku vsakováním nebo akumulací. </w:t>
      </w:r>
    </w:p>
    <w:p w14:paraId="4756F4E7" w14:textId="77777777" w:rsidR="00DA226C" w:rsidRPr="00461C16" w:rsidRDefault="00DA226C" w:rsidP="00903F77">
      <w:pPr>
        <w:pStyle w:val="ListParagraph"/>
        <w:numPr>
          <w:ilvl w:val="0"/>
          <w:numId w:val="50"/>
        </w:numPr>
        <w:spacing w:before="120" w:after="120"/>
        <w:ind w:left="567" w:hanging="567"/>
      </w:pPr>
      <w:r w:rsidRPr="00461C16">
        <w:t xml:space="preserve">V místech, kde je to vhodné, vytvářet územní podmínky pro neškodný přirozený rozliv povodňových toků ve volné krajině. </w:t>
      </w:r>
    </w:p>
    <w:p w14:paraId="6DFE2E09" w14:textId="77777777" w:rsidR="00C41F02" w:rsidRPr="00461C16" w:rsidRDefault="00F46E15" w:rsidP="00C41F02">
      <w:pPr>
        <w:pStyle w:val="1text"/>
        <w:spacing w:after="120"/>
        <w:rPr>
          <w:i/>
        </w:rPr>
      </w:pPr>
      <w:r w:rsidRPr="00461C16">
        <w:rPr>
          <w:i/>
        </w:rPr>
        <w:t xml:space="preserve">Na území města nejsou podmínky pro řešení přirozeného rozlivu povodňových vod z Nisy. Co se týče přítoků Nisy, je možné přirozený rozliv umožnit ve volné krajině dle potřeby. </w:t>
      </w:r>
    </w:p>
    <w:p w14:paraId="4B391398" w14:textId="77777777" w:rsidR="00E90E0F" w:rsidRPr="00461C16" w:rsidRDefault="00DA226C" w:rsidP="00903F77">
      <w:pPr>
        <w:pStyle w:val="ListParagraph"/>
        <w:numPr>
          <w:ilvl w:val="0"/>
          <w:numId w:val="50"/>
        </w:numPr>
        <w:spacing w:before="120" w:after="120"/>
        <w:ind w:left="567" w:hanging="567"/>
      </w:pPr>
      <w:r w:rsidRPr="00461C16">
        <w:t>Obce a významné provozy chránit adekvátní protipovod</w:t>
      </w:r>
      <w:r w:rsidR="00E90E0F" w:rsidRPr="00461C16">
        <w:t>ňovou ochranou. Prot</w:t>
      </w:r>
      <w:r w:rsidRPr="00461C16">
        <w:t>ipovodňová</w:t>
      </w:r>
      <w:r w:rsidR="00E90E0F" w:rsidRPr="00461C16">
        <w:t xml:space="preserve"> opatření na tocích ve zvláště chráněných územích a územích EVL řešit přírodě blízkými způsoby, vyloučit zásahy měnící charakter úseků s dochovaným přírodním korytem. </w:t>
      </w:r>
    </w:p>
    <w:p w14:paraId="67B17FAA" w14:textId="77777777" w:rsidR="009F49DC" w:rsidRPr="00461C16" w:rsidRDefault="00F22794" w:rsidP="009F49DC">
      <w:pPr>
        <w:spacing w:before="120" w:after="120"/>
        <w:rPr>
          <w:i/>
        </w:rPr>
      </w:pPr>
      <w:r>
        <w:rPr>
          <w:i/>
        </w:rPr>
        <w:t xml:space="preserve">V souladu se ZÚR Libereckého kraje </w:t>
      </w:r>
      <w:r w:rsidR="00CF60A0" w:rsidRPr="00461C16">
        <w:rPr>
          <w:i/>
        </w:rPr>
        <w:t>ÚP vymezuje v rámci správního území města Hrádek nad Nisou koridor protipovodňových opatření X</w:t>
      </w:r>
      <w:r w:rsidR="008067F6" w:rsidRPr="00461C16">
        <w:rPr>
          <w:i/>
        </w:rPr>
        <w:t>02</w:t>
      </w:r>
      <w:r w:rsidR="00CF60A0" w:rsidRPr="00461C16">
        <w:rPr>
          <w:i/>
        </w:rPr>
        <w:t>, v </w:t>
      </w:r>
      <w:r w:rsidR="00E13D4F" w:rsidRPr="00461C16">
        <w:rPr>
          <w:i/>
        </w:rPr>
        <w:t>n</w:t>
      </w:r>
      <w:r w:rsidR="00E13D4F">
        <w:rPr>
          <w:i/>
        </w:rPr>
        <w:t>ěm</w:t>
      </w:r>
      <w:r w:rsidR="00E13D4F" w:rsidRPr="00461C16">
        <w:rPr>
          <w:i/>
        </w:rPr>
        <w:t xml:space="preserve">ž </w:t>
      </w:r>
      <w:r w:rsidR="00CF60A0" w:rsidRPr="00461C16">
        <w:rPr>
          <w:i/>
        </w:rPr>
        <w:t>umožňuje dle potřeb realizovat konkrétní technická protipovodňové stavby. V současné době se zpracovává „Studie odtokových poměrů včetně návrhů možných protipovodňových opatření pro povodí Lužické Nisy“, z níž by měly vyplynout konkrétní záměry pro území města Hrádek nad Nisou.</w:t>
      </w:r>
      <w:r w:rsidR="00E13D4F">
        <w:rPr>
          <w:i/>
        </w:rPr>
        <w:t xml:space="preserve"> </w:t>
      </w:r>
    </w:p>
    <w:p w14:paraId="1F7B879C" w14:textId="77777777" w:rsidR="00581239" w:rsidRPr="00581239" w:rsidRDefault="00E13D4F" w:rsidP="00581239">
      <w:pPr>
        <w:pStyle w:val="ListParagraph"/>
        <w:spacing w:before="120" w:after="120"/>
        <w:ind w:left="0"/>
      </w:pPr>
      <w:r w:rsidRPr="005C3EFE">
        <w:rPr>
          <w:i/>
        </w:rPr>
        <w:t xml:space="preserve">Na Oldřichovském potoce </w:t>
      </w:r>
      <w:r>
        <w:rPr>
          <w:i/>
        </w:rPr>
        <w:t>byla</w:t>
      </w:r>
      <w:r w:rsidRPr="005C3EFE">
        <w:rPr>
          <w:i/>
        </w:rPr>
        <w:t xml:space="preserve"> v roce 2014 </w:t>
      </w:r>
      <w:r>
        <w:rPr>
          <w:i/>
        </w:rPr>
        <w:t>dokončena</w:t>
      </w:r>
      <w:r w:rsidRPr="005C3EFE">
        <w:rPr>
          <w:i/>
        </w:rPr>
        <w:t> realizac</w:t>
      </w:r>
      <w:r>
        <w:rPr>
          <w:i/>
        </w:rPr>
        <w:t>e</w:t>
      </w:r>
      <w:r w:rsidRPr="005C3EFE">
        <w:rPr>
          <w:i/>
        </w:rPr>
        <w:t xml:space="preserve"> zvodnělého poldru, který zajišťuje protipovodňovou ochranu sídla Oldřichov na Hranicích.</w:t>
      </w:r>
      <w:r w:rsidR="006D5245">
        <w:rPr>
          <w:i/>
        </w:rPr>
        <w:t xml:space="preserve"> </w:t>
      </w:r>
      <w:r w:rsidR="00F22794">
        <w:rPr>
          <w:i/>
        </w:rPr>
        <w:t xml:space="preserve">Z tohoto důvodu není ze ZÚR LK převzat koridor protipovodňových opatření (P53), který již pozbyl aktuálnosti a v rámci pořizované Aktualizace č. 1 ZÚR Libereckého kraje se vypouští. </w:t>
      </w:r>
      <w:r w:rsidR="00925D78">
        <w:rPr>
          <w:i/>
        </w:rPr>
        <w:t>V ÚP je poldr respektován</w:t>
      </w:r>
      <w:r w:rsidR="00581239">
        <w:rPr>
          <w:i/>
        </w:rPr>
        <w:t>.</w:t>
      </w:r>
      <w:r w:rsidR="00925D78" w:rsidRPr="00461C16" w:rsidDel="00E13D4F">
        <w:rPr>
          <w:i/>
        </w:rPr>
        <w:t xml:space="preserve"> </w:t>
      </w:r>
    </w:p>
    <w:p w14:paraId="610E1FE5" w14:textId="77777777" w:rsidR="00E90E0F" w:rsidRPr="00461C16" w:rsidRDefault="00E90E0F" w:rsidP="00903F77">
      <w:pPr>
        <w:pStyle w:val="ListParagraph"/>
        <w:numPr>
          <w:ilvl w:val="0"/>
          <w:numId w:val="50"/>
        </w:numPr>
        <w:spacing w:before="120" w:after="120"/>
        <w:ind w:left="567" w:hanging="567"/>
      </w:pPr>
      <w:r w:rsidRPr="00461C16">
        <w:t xml:space="preserve">Prioritně řešit protipovodňovou ochranu zejména v nejkritičtějších částech inundací vodních toků: Ploučnice, Svitávky, Smědé, Lužické Nisy, Jizery. </w:t>
      </w:r>
    </w:p>
    <w:p w14:paraId="75EA852E" w14:textId="77777777" w:rsidR="00C41F02" w:rsidRDefault="007025D4" w:rsidP="00C41F02">
      <w:pPr>
        <w:pStyle w:val="1text"/>
        <w:spacing w:after="120"/>
        <w:rPr>
          <w:i/>
        </w:rPr>
      </w:pPr>
      <w:r w:rsidRPr="00461C16">
        <w:rPr>
          <w:i/>
        </w:rPr>
        <w:t xml:space="preserve">ÚP vymezuje v rámci správního území města Hrádek nad Nisou koridor protipovodňových opatření </w:t>
      </w:r>
      <w:r w:rsidR="008067F6" w:rsidRPr="00461C16">
        <w:rPr>
          <w:i/>
        </w:rPr>
        <w:t xml:space="preserve">X02, </w:t>
      </w:r>
      <w:r w:rsidRPr="00461C16">
        <w:rPr>
          <w:i/>
        </w:rPr>
        <w:t>v </w:t>
      </w:r>
      <w:r w:rsidR="0052597B" w:rsidRPr="00461C16">
        <w:rPr>
          <w:i/>
        </w:rPr>
        <w:t>n</w:t>
      </w:r>
      <w:r w:rsidR="0052597B">
        <w:rPr>
          <w:i/>
        </w:rPr>
        <w:t>ěm</w:t>
      </w:r>
      <w:r w:rsidR="0052597B" w:rsidRPr="00461C16">
        <w:rPr>
          <w:i/>
        </w:rPr>
        <w:t xml:space="preserve">ž </w:t>
      </w:r>
      <w:r w:rsidRPr="00461C16">
        <w:rPr>
          <w:i/>
        </w:rPr>
        <w:t xml:space="preserve">umožňuje dle potřeb realizovat konkrétní technická protipovodňové stavby. V současné době se zpracovává </w:t>
      </w:r>
      <w:r w:rsidRPr="00461C16">
        <w:rPr>
          <w:i/>
        </w:rPr>
        <w:lastRenderedPageBreak/>
        <w:t>„Studie odtokových poměrů včetně návrhů možných protipovodňových opatření pro povodí Lužické Nisy“, z níž by měly vyplynout konkrétní záměry pro území města Hrádek nad Nisou.</w:t>
      </w:r>
      <w:r w:rsidR="0052597B">
        <w:rPr>
          <w:i/>
        </w:rPr>
        <w:t xml:space="preserve"> </w:t>
      </w:r>
    </w:p>
    <w:p w14:paraId="4104329E" w14:textId="77777777" w:rsidR="0052597B" w:rsidRPr="00461C16" w:rsidRDefault="0052597B" w:rsidP="00C41F02">
      <w:pPr>
        <w:pStyle w:val="1text"/>
        <w:spacing w:after="120"/>
        <w:rPr>
          <w:i/>
        </w:rPr>
      </w:pPr>
      <w:r w:rsidRPr="005C3EFE">
        <w:rPr>
          <w:i/>
        </w:rPr>
        <w:t xml:space="preserve">Na Oldřichovském potoce </w:t>
      </w:r>
      <w:r>
        <w:rPr>
          <w:i/>
        </w:rPr>
        <w:t>byla</w:t>
      </w:r>
      <w:r w:rsidRPr="005C3EFE">
        <w:rPr>
          <w:i/>
        </w:rPr>
        <w:t xml:space="preserve"> v roce 2014 </w:t>
      </w:r>
      <w:r>
        <w:rPr>
          <w:i/>
        </w:rPr>
        <w:t>dokončena</w:t>
      </w:r>
      <w:r w:rsidRPr="005C3EFE">
        <w:rPr>
          <w:i/>
        </w:rPr>
        <w:t> realizac</w:t>
      </w:r>
      <w:r>
        <w:rPr>
          <w:i/>
        </w:rPr>
        <w:t>e</w:t>
      </w:r>
      <w:r w:rsidRPr="005C3EFE">
        <w:rPr>
          <w:i/>
        </w:rPr>
        <w:t xml:space="preserve"> zvodnělého poldru, který zajišťuje protipovodňovou ochranu sídla Oldřichov na Hranicích.</w:t>
      </w:r>
      <w:r w:rsidR="00F22794">
        <w:rPr>
          <w:i/>
        </w:rPr>
        <w:t xml:space="preserve"> Z tohoto důvodu není ze ZÚR LK převzat koridor protipovodňových opatření (P53), který již pozbyl aktuálnosti a v rámci pořizované Aktualizace č. 1 ZÚR Libereckého kraje se vypouští.</w:t>
      </w:r>
      <w:r w:rsidR="00925D78" w:rsidRPr="00925D78">
        <w:rPr>
          <w:i/>
        </w:rPr>
        <w:t xml:space="preserve"> </w:t>
      </w:r>
      <w:r w:rsidR="00925D78">
        <w:rPr>
          <w:i/>
        </w:rPr>
        <w:t>V ÚP je poldr respektován</w:t>
      </w:r>
    </w:p>
    <w:p w14:paraId="5916A972" w14:textId="77777777" w:rsidR="00E90E0F" w:rsidRPr="00461C16" w:rsidRDefault="00E90E0F" w:rsidP="00903F77">
      <w:pPr>
        <w:pStyle w:val="ListParagraph"/>
        <w:numPr>
          <w:ilvl w:val="0"/>
          <w:numId w:val="50"/>
        </w:numPr>
        <w:spacing w:before="120" w:after="120"/>
        <w:ind w:left="567" w:hanging="567"/>
      </w:pPr>
      <w:r w:rsidRPr="00461C16">
        <w:t xml:space="preserve">Koordinovat, územně zpřesňovat a územně chránit koridory protipovodňových opatření ve vzájemných návaznostech, nepovolovat taková opatření, která by mohla zhoršit průtok povodňové vlny v jiné obci. </w:t>
      </w:r>
    </w:p>
    <w:p w14:paraId="556F5048" w14:textId="77777777" w:rsidR="00C41F02" w:rsidRPr="00461C16" w:rsidRDefault="00CF60A0" w:rsidP="00C41F02">
      <w:pPr>
        <w:pStyle w:val="1text"/>
        <w:spacing w:after="120"/>
        <w:rPr>
          <w:i/>
        </w:rPr>
      </w:pPr>
      <w:r w:rsidRPr="00461C16">
        <w:rPr>
          <w:i/>
        </w:rPr>
        <w:t xml:space="preserve">ÚP vymezuje v rámci správního území města Hrádek nad Nisou koridor protipovodňových opatření </w:t>
      </w:r>
      <w:r w:rsidR="008067F6" w:rsidRPr="00461C16">
        <w:rPr>
          <w:i/>
        </w:rPr>
        <w:t xml:space="preserve">X02, </w:t>
      </w:r>
      <w:r w:rsidRPr="00461C16">
        <w:rPr>
          <w:i/>
        </w:rPr>
        <w:t>v </w:t>
      </w:r>
      <w:r w:rsidR="0052597B" w:rsidRPr="00461C16">
        <w:rPr>
          <w:i/>
        </w:rPr>
        <w:t>n</w:t>
      </w:r>
      <w:r w:rsidR="0052597B">
        <w:rPr>
          <w:i/>
        </w:rPr>
        <w:t>ěm</w:t>
      </w:r>
      <w:r w:rsidR="0052597B" w:rsidRPr="00461C16">
        <w:rPr>
          <w:i/>
        </w:rPr>
        <w:t xml:space="preserve">ž </w:t>
      </w:r>
      <w:r w:rsidRPr="00461C16">
        <w:rPr>
          <w:i/>
        </w:rPr>
        <w:t>umožňuje dle potřeb realizovat konkrétní technická protipovodňové stavby. V současné době se zpracovává „Studie odtokových poměrů včetně návrhů možných protipovodňových opatření pro povodí Lužické Nisy“, z níž by měly vyplynout konkrétní záměry pro území města Hrádek nad Nisou.</w:t>
      </w:r>
    </w:p>
    <w:p w14:paraId="2A67BA24" w14:textId="77777777" w:rsidR="00CF60A0" w:rsidRPr="00461C16" w:rsidRDefault="0052597B" w:rsidP="00C41F02">
      <w:pPr>
        <w:pStyle w:val="1text"/>
        <w:spacing w:after="120"/>
        <w:rPr>
          <w:i/>
        </w:rPr>
      </w:pPr>
      <w:r w:rsidRPr="005C3EFE">
        <w:rPr>
          <w:i/>
        </w:rPr>
        <w:t xml:space="preserve">Na Oldřichovském potoce </w:t>
      </w:r>
      <w:r>
        <w:rPr>
          <w:i/>
        </w:rPr>
        <w:t>byla</w:t>
      </w:r>
      <w:r w:rsidRPr="005C3EFE">
        <w:rPr>
          <w:i/>
        </w:rPr>
        <w:t xml:space="preserve"> v roce 2014 </w:t>
      </w:r>
      <w:r>
        <w:rPr>
          <w:i/>
        </w:rPr>
        <w:t>dokončena</w:t>
      </w:r>
      <w:r w:rsidRPr="005C3EFE">
        <w:rPr>
          <w:i/>
        </w:rPr>
        <w:t> realizac</w:t>
      </w:r>
      <w:r>
        <w:rPr>
          <w:i/>
        </w:rPr>
        <w:t>e</w:t>
      </w:r>
      <w:r w:rsidRPr="005C3EFE">
        <w:rPr>
          <w:i/>
        </w:rPr>
        <w:t xml:space="preserve"> zvodnělého poldru, který zajišťuje protipovodňovou ochranu sídla Oldřichov na Hranicích.</w:t>
      </w:r>
      <w:r w:rsidR="00F22794">
        <w:rPr>
          <w:i/>
        </w:rPr>
        <w:t xml:space="preserve"> Z tohoto důvodu není ze ZÚR LK převzat koridor protipovodňových opatření (P53), který již pozbyl aktuálnosti a v rámci pořizované Aktualizace č. 1 ZÚR Libereckého kraje se vypouští. </w:t>
      </w:r>
      <w:r w:rsidR="00925D78">
        <w:rPr>
          <w:i/>
        </w:rPr>
        <w:t>V ÚP je poldr respektován</w:t>
      </w:r>
      <w:r w:rsidR="00925D78" w:rsidRPr="00461C16" w:rsidDel="0052597B">
        <w:rPr>
          <w:i/>
        </w:rPr>
        <w:t xml:space="preserve"> </w:t>
      </w:r>
    </w:p>
    <w:p w14:paraId="685CC4B4" w14:textId="77777777" w:rsidR="00E90E0F" w:rsidRPr="00461C16" w:rsidRDefault="00E90E0F" w:rsidP="00903F77">
      <w:pPr>
        <w:pStyle w:val="ListParagraph"/>
        <w:numPr>
          <w:ilvl w:val="0"/>
          <w:numId w:val="50"/>
        </w:numPr>
        <w:spacing w:before="120" w:after="120"/>
        <w:ind w:left="567" w:hanging="567"/>
      </w:pPr>
      <w:r w:rsidRPr="00461C16">
        <w:t xml:space="preserve">Vytvářet územní podmínky pro zvyšování podílu obnovitelných zdrojů energie na celkové spotřebě energií a paliv. </w:t>
      </w:r>
    </w:p>
    <w:p w14:paraId="49F30E1F" w14:textId="77777777" w:rsidR="00C41F02" w:rsidRPr="00461C16" w:rsidRDefault="007025D4" w:rsidP="00C41F02">
      <w:pPr>
        <w:pStyle w:val="1text"/>
        <w:spacing w:after="120"/>
        <w:rPr>
          <w:i/>
        </w:rPr>
      </w:pPr>
      <w:r w:rsidRPr="00461C16">
        <w:rPr>
          <w:i/>
          <w:shd w:val="clear" w:color="auto" w:fill="FFFFFF"/>
        </w:rPr>
        <w:t>Energetická koncepce je založena na dvojcestném zásobování energiemi a to na kombinaci: elektrická energie + zemní plyn; elektrická energie + alternativní ekologická paliva nezávislá na sítích technické infrastruktury. ÚP dále umožňuje např. umisťovat fotovoltaická zařízení pro výrobu elektrické energie na střechy výrobních a skladových objektů.</w:t>
      </w:r>
    </w:p>
    <w:p w14:paraId="0C71A836" w14:textId="77777777" w:rsidR="00E90E0F" w:rsidRPr="00461C16" w:rsidRDefault="00E90E0F" w:rsidP="00903F77">
      <w:pPr>
        <w:pStyle w:val="ListParagraph"/>
        <w:numPr>
          <w:ilvl w:val="0"/>
          <w:numId w:val="50"/>
        </w:numPr>
        <w:spacing w:before="120" w:after="120"/>
        <w:ind w:left="567" w:hanging="567"/>
      </w:pPr>
      <w:r w:rsidRPr="00461C16">
        <w:t xml:space="preserve">Vytvářet územní podmínky pro realizaci rozsáhlého programu úspor energie v oblastech výrobních, distribučních a spotřebních systémů. </w:t>
      </w:r>
    </w:p>
    <w:p w14:paraId="7F4ED723" w14:textId="77777777" w:rsidR="00C41F02" w:rsidRPr="00461C16" w:rsidRDefault="007025D4" w:rsidP="00C41F02">
      <w:pPr>
        <w:pStyle w:val="1text"/>
        <w:spacing w:after="120"/>
        <w:rPr>
          <w:i/>
        </w:rPr>
      </w:pPr>
      <w:r w:rsidRPr="00461C16">
        <w:rPr>
          <w:i/>
          <w:shd w:val="clear" w:color="auto" w:fill="FFFFFF"/>
        </w:rPr>
        <w:t>Koncepce zásobování elektrickou energií umožňuje rozvoj dle konkrétních územních požadavků.</w:t>
      </w:r>
    </w:p>
    <w:p w14:paraId="0EA04A69" w14:textId="77777777" w:rsidR="00E90E0F" w:rsidRPr="00461C16" w:rsidRDefault="00E90E0F" w:rsidP="00903F77">
      <w:pPr>
        <w:pStyle w:val="ListParagraph"/>
        <w:numPr>
          <w:ilvl w:val="0"/>
          <w:numId w:val="50"/>
        </w:numPr>
        <w:spacing w:before="120" w:after="120"/>
        <w:ind w:left="567" w:hanging="567"/>
      </w:pPr>
      <w:r w:rsidRPr="00461C16">
        <w:t xml:space="preserve">Vytvářet územní podmínky pro ekonomicky efektivní aplikaci kombinované výroby elektřiny a tepla ve stávajících i nových zdrojích energie. </w:t>
      </w:r>
    </w:p>
    <w:p w14:paraId="365358D0" w14:textId="77777777" w:rsidR="00C41F02" w:rsidRPr="00461C16" w:rsidRDefault="007025D4" w:rsidP="00C41F02">
      <w:pPr>
        <w:pStyle w:val="1text"/>
        <w:spacing w:after="120"/>
        <w:rPr>
          <w:i/>
        </w:rPr>
      </w:pPr>
      <w:r w:rsidRPr="00461C16">
        <w:rPr>
          <w:i/>
          <w:shd w:val="clear" w:color="auto" w:fill="FFFFFF"/>
        </w:rPr>
        <w:t>Koncepce zásobování elektrickou energií a teplem umožňuje rozvoj dle konkrétních územních požadavků.</w:t>
      </w:r>
    </w:p>
    <w:p w14:paraId="36830605" w14:textId="77777777" w:rsidR="00E90E0F" w:rsidRPr="00461C16" w:rsidRDefault="00E90E0F" w:rsidP="00903F77">
      <w:pPr>
        <w:pStyle w:val="ListParagraph"/>
        <w:numPr>
          <w:ilvl w:val="0"/>
          <w:numId w:val="50"/>
        </w:numPr>
        <w:spacing w:before="120" w:after="120"/>
        <w:ind w:left="567" w:hanging="567"/>
      </w:pPr>
      <w:r w:rsidRPr="00461C16">
        <w:t xml:space="preserve">Objektivně prověřovat udržitelnost systémů centrálního zásobování teplem včetně případné možnosti jejich částečné decentralizace. </w:t>
      </w:r>
    </w:p>
    <w:p w14:paraId="5B8ABB37" w14:textId="77777777" w:rsidR="00C41F02" w:rsidRPr="00461C16" w:rsidRDefault="007025D4" w:rsidP="00C41F02">
      <w:pPr>
        <w:pStyle w:val="1text"/>
        <w:spacing w:after="120"/>
        <w:rPr>
          <w:i/>
        </w:rPr>
      </w:pPr>
      <w:r w:rsidRPr="00461C16">
        <w:rPr>
          <w:i/>
          <w:shd w:val="clear" w:color="auto" w:fill="FFFFFF"/>
        </w:rPr>
        <w:t>Stávající způsoby vytápění zůstanou zachovány. Případný rozvoj systémů CZT je umožněn bez nutnosti změny ÚP.</w:t>
      </w:r>
    </w:p>
    <w:p w14:paraId="743D1F2B" w14:textId="77777777" w:rsidR="00E90E0F" w:rsidRPr="00461C16" w:rsidRDefault="00E90E0F" w:rsidP="00903F77">
      <w:pPr>
        <w:pStyle w:val="ListParagraph"/>
        <w:numPr>
          <w:ilvl w:val="0"/>
          <w:numId w:val="50"/>
        </w:numPr>
        <w:spacing w:before="120" w:after="120"/>
        <w:ind w:left="567" w:hanging="567"/>
      </w:pPr>
      <w:r w:rsidRPr="00461C16">
        <w:t xml:space="preserve">Vytvářet územní podmínky pro využití potenciálu biomasy. </w:t>
      </w:r>
    </w:p>
    <w:p w14:paraId="67E1ADEE" w14:textId="77777777" w:rsidR="00C41F02" w:rsidRPr="00461C16" w:rsidRDefault="007025D4" w:rsidP="00C41F02">
      <w:pPr>
        <w:pStyle w:val="1text"/>
        <w:spacing w:after="120"/>
        <w:rPr>
          <w:i/>
        </w:rPr>
      </w:pPr>
      <w:r w:rsidRPr="00461C16">
        <w:rPr>
          <w:i/>
          <w:shd w:val="clear" w:color="auto" w:fill="FFFFFF"/>
        </w:rPr>
        <w:t>ÚP navrhuje upřednostňovat využívání alternativních a obnovitelných zdrojů energie.</w:t>
      </w:r>
    </w:p>
    <w:p w14:paraId="57DA604C" w14:textId="77777777" w:rsidR="00E90E0F" w:rsidRPr="00461C16" w:rsidRDefault="00E90E0F" w:rsidP="00903F77">
      <w:pPr>
        <w:pStyle w:val="ListParagraph"/>
        <w:numPr>
          <w:ilvl w:val="0"/>
          <w:numId w:val="50"/>
        </w:numPr>
        <w:spacing w:before="120" w:after="120"/>
        <w:ind w:left="567" w:hanging="567"/>
      </w:pPr>
      <w:r w:rsidRPr="00461C16">
        <w:t xml:space="preserve">Podporovat rozvoj využití geotermální energie. </w:t>
      </w:r>
    </w:p>
    <w:p w14:paraId="6FAD1F78" w14:textId="77777777" w:rsidR="00C41F02" w:rsidRPr="00461C16" w:rsidRDefault="007025D4" w:rsidP="00C41F02">
      <w:pPr>
        <w:pStyle w:val="1text"/>
        <w:spacing w:after="120"/>
        <w:rPr>
          <w:i/>
        </w:rPr>
      </w:pPr>
      <w:r w:rsidRPr="00461C16">
        <w:rPr>
          <w:i/>
        </w:rPr>
        <w:t>Mimo působnost ÚP.</w:t>
      </w:r>
    </w:p>
    <w:p w14:paraId="5F9D32F5" w14:textId="77777777" w:rsidR="00E90E0F" w:rsidRPr="00461C16" w:rsidRDefault="00E90E0F" w:rsidP="00903F77">
      <w:pPr>
        <w:pStyle w:val="ListParagraph"/>
        <w:numPr>
          <w:ilvl w:val="0"/>
          <w:numId w:val="50"/>
        </w:numPr>
        <w:spacing w:before="120" w:after="120"/>
        <w:ind w:left="567" w:hanging="567"/>
      </w:pPr>
      <w:r w:rsidRPr="00461C16">
        <w:t xml:space="preserve">Využívat výrobu energií ze spalovny odpadů v Liberci. </w:t>
      </w:r>
    </w:p>
    <w:p w14:paraId="2CB8BE4B" w14:textId="77777777" w:rsidR="00C41F02" w:rsidRPr="00461C16" w:rsidRDefault="007025D4" w:rsidP="00C41F02">
      <w:pPr>
        <w:pStyle w:val="1text"/>
        <w:spacing w:after="120"/>
        <w:rPr>
          <w:i/>
        </w:rPr>
      </w:pPr>
      <w:r w:rsidRPr="00461C16">
        <w:rPr>
          <w:i/>
        </w:rPr>
        <w:t>Mimo působnost ÚP.</w:t>
      </w:r>
    </w:p>
    <w:p w14:paraId="4668FC31" w14:textId="77777777" w:rsidR="00E90E0F" w:rsidRPr="00461C16" w:rsidRDefault="00E90E0F" w:rsidP="00903F77">
      <w:pPr>
        <w:pStyle w:val="ListParagraph"/>
        <w:numPr>
          <w:ilvl w:val="0"/>
          <w:numId w:val="50"/>
        </w:numPr>
        <w:spacing w:before="120" w:after="120"/>
        <w:ind w:left="567" w:hanging="567"/>
      </w:pPr>
      <w:r w:rsidRPr="00461C16">
        <w:t xml:space="preserve">Výstavbu větrných a fotovoltaických elektráren odpovědně posuzovat ve vztahu k ochraně přírody, krajiny, životnímu prostředí a krajinnému rázu. </w:t>
      </w:r>
    </w:p>
    <w:p w14:paraId="449FBF70" w14:textId="77777777" w:rsidR="00C41F02" w:rsidRPr="00461C16" w:rsidRDefault="00852332" w:rsidP="00C41F02">
      <w:pPr>
        <w:pStyle w:val="1text"/>
        <w:spacing w:after="120"/>
        <w:rPr>
          <w:i/>
        </w:rPr>
      </w:pPr>
      <w:r w:rsidRPr="00461C16">
        <w:rPr>
          <w:i/>
        </w:rPr>
        <w:t>Týká se vyhodnocení konkrétních záměrů, nutno posoudit v procesu EIA.</w:t>
      </w:r>
    </w:p>
    <w:p w14:paraId="3F800B26" w14:textId="77777777" w:rsidR="00E90E0F" w:rsidRPr="00461C16" w:rsidRDefault="00E90E0F" w:rsidP="00903F77">
      <w:pPr>
        <w:pStyle w:val="ListParagraph"/>
        <w:numPr>
          <w:ilvl w:val="0"/>
          <w:numId w:val="50"/>
        </w:numPr>
        <w:spacing w:before="120" w:after="120"/>
        <w:ind w:left="567" w:hanging="567"/>
      </w:pPr>
      <w:r w:rsidRPr="00461C16">
        <w:t xml:space="preserve">V ÚPD obcí vytvářet územní podmínky pro využití energie z obnovitelných zdrojů a koordinovat jednotlivé systémy v souladu s ochranou přírodních hodnot území. </w:t>
      </w:r>
    </w:p>
    <w:p w14:paraId="2E387404" w14:textId="77777777" w:rsidR="00C41F02" w:rsidRPr="00461C16" w:rsidRDefault="00852332" w:rsidP="00C41F02">
      <w:pPr>
        <w:pStyle w:val="1text"/>
        <w:spacing w:after="120"/>
        <w:rPr>
          <w:i/>
        </w:rPr>
      </w:pPr>
      <w:r w:rsidRPr="00461C16">
        <w:rPr>
          <w:i/>
          <w:shd w:val="clear" w:color="auto" w:fill="FFFFFF"/>
        </w:rPr>
        <w:lastRenderedPageBreak/>
        <w:t>Energetická koncepce je založena na dvojcestném zásobování energiemi a to na kombinaci: elektrická energie + zemní plyn; elektrická energie + alternativní ekologická paliva nezávislá na sítích technické infrastruktury. ÚP dále umožňuje např. umisťovat fotovoltaická zařízení pro výrobu elektrické energie na střechy výrobních a skladových objektů.</w:t>
      </w:r>
    </w:p>
    <w:p w14:paraId="46C794AB" w14:textId="77777777" w:rsidR="00E90E0F" w:rsidRPr="00461C16" w:rsidRDefault="00E90E0F" w:rsidP="00903F77">
      <w:pPr>
        <w:pStyle w:val="ListParagraph"/>
        <w:numPr>
          <w:ilvl w:val="0"/>
          <w:numId w:val="50"/>
        </w:numPr>
        <w:spacing w:before="120" w:after="120"/>
        <w:ind w:left="567" w:hanging="567"/>
      </w:pPr>
      <w:r w:rsidRPr="00461C16">
        <w:t xml:space="preserve">V ÚPD obcí vytvářet podmínky pro rozvoj plynofikace a koordinovat možné kombinace využití dalších druhů energií v území. </w:t>
      </w:r>
    </w:p>
    <w:p w14:paraId="719F4E71" w14:textId="77777777" w:rsidR="00C41F02" w:rsidRPr="00461C16" w:rsidRDefault="00D12133" w:rsidP="00C41F02">
      <w:pPr>
        <w:pStyle w:val="1text"/>
        <w:spacing w:after="120"/>
        <w:rPr>
          <w:i/>
        </w:rPr>
      </w:pPr>
      <w:r w:rsidRPr="00461C16">
        <w:rPr>
          <w:i/>
        </w:rPr>
        <w:t>ÚP nenavrhuje konkrétní trasy plynovodů pro napojení rozvojových ploch. Konkrétní způsob napojení bude upřesněn v územním řízení, přičemž plynovody budou přednostně vedeny v plochách veřejných prostranství a dopravní infrastruktury. Tyto budou vedeny v souladu se stanovenými podmínkami trasování inženýrských sítí a umisťování objektů a zařízení technické infrastruktury (v plochách veřejných prostranství a dopravní infrastruktury). Vždy je potřeba posoudit ekonomickou efektivnost záměru připojení jednotlivých rozvojových ploch.</w:t>
      </w:r>
    </w:p>
    <w:p w14:paraId="07913B97" w14:textId="77777777" w:rsidR="00E90E0F" w:rsidRPr="00461C16" w:rsidRDefault="00E90E0F" w:rsidP="00903F77">
      <w:pPr>
        <w:pStyle w:val="ListParagraph"/>
        <w:numPr>
          <w:ilvl w:val="0"/>
          <w:numId w:val="50"/>
        </w:numPr>
        <w:spacing w:before="120" w:after="120"/>
        <w:ind w:left="567" w:hanging="567"/>
      </w:pPr>
      <w:r w:rsidRPr="00461C16">
        <w:t xml:space="preserve">Územně chránit a koordinovat koridory a plochy pro investiční záměry v oblasti komunikační infrastruktury – systémů elektronických komunikací pro zajišťování sítí pro vysokorychlostní přístup k internetu, dále doplňování vysílacích radiových sítí pro zemské digitální televizní a rozhlasové vysílání včetně výstavby sítí UMTS (Univerzální mobilní telekomunikační systém) s ohledem na hodnoty území. </w:t>
      </w:r>
    </w:p>
    <w:p w14:paraId="69A7D11E" w14:textId="77777777" w:rsidR="00C41F02" w:rsidRPr="00461C16" w:rsidRDefault="00D12133" w:rsidP="00C41F02">
      <w:pPr>
        <w:pStyle w:val="1text"/>
        <w:spacing w:after="120"/>
        <w:rPr>
          <w:i/>
        </w:rPr>
      </w:pPr>
      <w:r w:rsidRPr="00461C16">
        <w:rPr>
          <w:i/>
          <w:shd w:val="clear" w:color="auto" w:fill="FFFFFF"/>
        </w:rPr>
        <w:t>Současný systém elektronických komunikačních rozvodů a zařízení je stabilizován a zůstane zachován. Jeho případný rozvoj je umožněn bez nutnosti změny ÚP.</w:t>
      </w:r>
    </w:p>
    <w:p w14:paraId="660E4DC1" w14:textId="77777777" w:rsidR="00E90E0F" w:rsidRPr="00461C16" w:rsidRDefault="00E90E0F" w:rsidP="00903F77">
      <w:pPr>
        <w:pStyle w:val="ListParagraph"/>
        <w:numPr>
          <w:ilvl w:val="0"/>
          <w:numId w:val="50"/>
        </w:numPr>
        <w:spacing w:before="120" w:after="120"/>
        <w:ind w:left="567" w:hanging="567"/>
      </w:pPr>
      <w:r w:rsidRPr="00461C16">
        <w:t xml:space="preserve">Vytvářet podmínky pro založení krajské logisticky propojené sítě zařízení na využití biologicky rozložitelných, spalitelných odpadů a travní biomasy umožňující racionální využití kapacit a efektivní odbyt kompostu a energií. </w:t>
      </w:r>
    </w:p>
    <w:p w14:paraId="4DC9C77E" w14:textId="77777777" w:rsidR="00C41F02" w:rsidRPr="00461C16" w:rsidRDefault="00D12133" w:rsidP="00C41F02">
      <w:pPr>
        <w:pStyle w:val="1text"/>
        <w:spacing w:after="120"/>
        <w:rPr>
          <w:i/>
        </w:rPr>
      </w:pPr>
      <w:r w:rsidRPr="00461C16">
        <w:rPr>
          <w:i/>
          <w:shd w:val="clear" w:color="auto" w:fill="FFFFFF"/>
        </w:rPr>
        <w:t>Nelze řešit územním plánem.</w:t>
      </w:r>
    </w:p>
    <w:p w14:paraId="50F71992" w14:textId="77777777" w:rsidR="00E90E0F" w:rsidRPr="00461C16" w:rsidRDefault="00E90E0F" w:rsidP="00903F77">
      <w:pPr>
        <w:pStyle w:val="ListParagraph"/>
        <w:numPr>
          <w:ilvl w:val="0"/>
          <w:numId w:val="50"/>
        </w:numPr>
        <w:spacing w:before="120" w:after="120"/>
        <w:ind w:left="567" w:hanging="567"/>
      </w:pPr>
      <w:r w:rsidRPr="00461C16">
        <w:t xml:space="preserve">Vytvářet územní předpoklady pro materiálové a energetické využití odpadů. </w:t>
      </w:r>
    </w:p>
    <w:p w14:paraId="329CC5FD" w14:textId="77777777" w:rsidR="00C41F02" w:rsidRPr="00461C16" w:rsidRDefault="00D12133" w:rsidP="00C41F02">
      <w:pPr>
        <w:pStyle w:val="1text"/>
        <w:spacing w:after="120"/>
        <w:rPr>
          <w:i/>
        </w:rPr>
      </w:pPr>
      <w:r w:rsidRPr="00461C16">
        <w:rPr>
          <w:i/>
          <w:shd w:val="clear" w:color="auto" w:fill="FFFFFF"/>
        </w:rPr>
        <w:t>ÚP navrhuje upřednostňovat využívání alternativních a obnovitelných zdrojů energie.</w:t>
      </w:r>
    </w:p>
    <w:p w14:paraId="43644D7B" w14:textId="77777777" w:rsidR="00E90E0F" w:rsidRPr="00461C16" w:rsidRDefault="00E90E0F" w:rsidP="00903F77">
      <w:pPr>
        <w:pStyle w:val="ListParagraph"/>
        <w:numPr>
          <w:ilvl w:val="0"/>
          <w:numId w:val="50"/>
        </w:numPr>
        <w:spacing w:before="120" w:after="120"/>
        <w:ind w:left="567" w:hanging="567"/>
      </w:pPr>
      <w:r w:rsidRPr="00461C16">
        <w:t xml:space="preserve">Snižovat podíl skládkovaných spalitelných odpadů na 0 %. </w:t>
      </w:r>
    </w:p>
    <w:p w14:paraId="79FD47F7" w14:textId="77777777" w:rsidR="00C41F02" w:rsidRPr="00461C16" w:rsidRDefault="00D12133" w:rsidP="00C41F02">
      <w:pPr>
        <w:pStyle w:val="1text"/>
        <w:spacing w:after="120"/>
        <w:rPr>
          <w:i/>
        </w:rPr>
      </w:pPr>
      <w:r w:rsidRPr="00461C16">
        <w:rPr>
          <w:i/>
          <w:shd w:val="clear" w:color="auto" w:fill="FFFFFF"/>
        </w:rPr>
        <w:t>Nelze řešit územním plánem.</w:t>
      </w:r>
    </w:p>
    <w:p w14:paraId="04BEB83C" w14:textId="77777777" w:rsidR="00E90E0F" w:rsidRPr="00461C16" w:rsidRDefault="00E90E0F" w:rsidP="00903F77">
      <w:pPr>
        <w:pStyle w:val="ListParagraph"/>
        <w:numPr>
          <w:ilvl w:val="0"/>
          <w:numId w:val="50"/>
        </w:numPr>
        <w:spacing w:before="120" w:after="120"/>
        <w:ind w:left="567" w:hanging="567"/>
      </w:pPr>
      <w:r w:rsidRPr="00461C16">
        <w:t xml:space="preserve">Preferovat integrované systémy nakládání s odpady, tzn. Komplexní regionální systémy za předpokladu zajištění logistiky a odbytu výstupů. </w:t>
      </w:r>
    </w:p>
    <w:p w14:paraId="23AE7FAF" w14:textId="77777777" w:rsidR="00C41F02" w:rsidRPr="00461C16" w:rsidRDefault="00D12133" w:rsidP="00C41F02">
      <w:pPr>
        <w:pStyle w:val="1text"/>
        <w:spacing w:after="120"/>
        <w:rPr>
          <w:i/>
        </w:rPr>
      </w:pPr>
      <w:r w:rsidRPr="00461C16">
        <w:rPr>
          <w:i/>
          <w:shd w:val="clear" w:color="auto" w:fill="FFFFFF"/>
        </w:rPr>
        <w:t>Stávající systém odvozu a likvidace komunálního odpadů je funkční, stabilizovaný a zůstane zachován.</w:t>
      </w:r>
    </w:p>
    <w:p w14:paraId="786524A7" w14:textId="77777777" w:rsidR="00E90E0F" w:rsidRPr="00461C16" w:rsidRDefault="00E90E0F" w:rsidP="00903F77">
      <w:pPr>
        <w:pStyle w:val="ListParagraph"/>
        <w:numPr>
          <w:ilvl w:val="0"/>
          <w:numId w:val="50"/>
        </w:numPr>
        <w:spacing w:before="120" w:after="120"/>
        <w:ind w:left="567" w:hanging="567"/>
      </w:pPr>
      <w:r w:rsidRPr="00461C16">
        <w:t>Nevytvářet podmínky pro vznik nových lokalit pro skládkování komunálních a velkoobjemových odpadů.</w:t>
      </w:r>
    </w:p>
    <w:p w14:paraId="5B3C10D4" w14:textId="77777777" w:rsidR="00C41F02" w:rsidRPr="00461C16" w:rsidRDefault="00D12133" w:rsidP="00C41F02">
      <w:pPr>
        <w:pStyle w:val="1text"/>
        <w:spacing w:after="120"/>
        <w:rPr>
          <w:i/>
        </w:rPr>
      </w:pPr>
      <w:r w:rsidRPr="00461C16">
        <w:rPr>
          <w:i/>
          <w:shd w:val="clear" w:color="auto" w:fill="FFFFFF"/>
        </w:rPr>
        <w:t>ÚP nevytváří podmínky pro vznik nových lokalit pro skládkování komunálních a velkoobjemných odpadů.</w:t>
      </w:r>
    </w:p>
    <w:p w14:paraId="2A5E8017" w14:textId="77777777" w:rsidR="00DA226C" w:rsidRPr="00461C16" w:rsidRDefault="00E90E0F" w:rsidP="00903F77">
      <w:pPr>
        <w:pStyle w:val="ListParagraph"/>
        <w:numPr>
          <w:ilvl w:val="0"/>
          <w:numId w:val="50"/>
        </w:numPr>
        <w:spacing w:before="120" w:after="120"/>
        <w:ind w:left="567" w:hanging="567"/>
      </w:pPr>
      <w:r w:rsidRPr="00461C16">
        <w:t>Vytvářet územní předpoklady pro řešení odstranění starých ekologických zátěží – černých skládek.</w:t>
      </w:r>
      <w:r w:rsidR="00B345B4" w:rsidRPr="00461C16">
        <w:t xml:space="preserve"> </w:t>
      </w:r>
    </w:p>
    <w:p w14:paraId="0664BB7D" w14:textId="77777777" w:rsidR="00C41F02" w:rsidRPr="00461C16" w:rsidRDefault="005F1220" w:rsidP="00C41F02">
      <w:pPr>
        <w:pStyle w:val="1text"/>
        <w:spacing w:after="120"/>
        <w:rPr>
          <w:i/>
        </w:rPr>
      </w:pPr>
      <w:r w:rsidRPr="00461C16">
        <w:rPr>
          <w:i/>
          <w:shd w:val="clear" w:color="auto" w:fill="FFFFFF"/>
        </w:rPr>
        <w:t>Mimo podrobnost územního plánu.</w:t>
      </w:r>
    </w:p>
    <w:p w14:paraId="617968AD" w14:textId="77777777" w:rsidR="00F0349A" w:rsidRPr="00461C16" w:rsidRDefault="00FB1CCD" w:rsidP="000E118D">
      <w:pPr>
        <w:pStyle w:val="Heading3"/>
      </w:pPr>
      <w:bookmarkStart w:id="28" w:name="_Toc36116244"/>
      <w:r w:rsidRPr="00461C16">
        <w:t>1</w:t>
      </w:r>
      <w:r w:rsidR="00F0349A" w:rsidRPr="00461C16">
        <w:t>.2.</w:t>
      </w:r>
      <w:r w:rsidR="003115D5" w:rsidRPr="00461C16">
        <w:t>5</w:t>
      </w:r>
      <w:r w:rsidR="00F0349A" w:rsidRPr="00461C16">
        <w:tab/>
      </w:r>
      <w:r w:rsidR="00896ADE" w:rsidRPr="00461C16">
        <w:t xml:space="preserve">Zásady koncepce </w:t>
      </w:r>
      <w:r w:rsidR="005F3AB6" w:rsidRPr="00461C16">
        <w:t>rozvoje územního systému ekologické stability</w:t>
      </w:r>
      <w:bookmarkEnd w:id="28"/>
    </w:p>
    <w:p w14:paraId="09B18C84" w14:textId="77777777" w:rsidR="00B51FA0" w:rsidRPr="00461C16" w:rsidRDefault="00B51FA0"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Prvky ÚSES respektovat jako plochy a koridory nezastavitelné, s využitím pro zvýšení biodiverzity a ekologické stability krajiny, kde lze výjimečně umístit protipovodňová opatření a stavby dopravní a technické infrastruktury. Plochy vymezených biocenter a biokoridorů v případě, že jejich současný stav odpovídá cílovému, všestranně chránit.</w:t>
      </w:r>
    </w:p>
    <w:p w14:paraId="7B686B5B" w14:textId="64E63521" w:rsidR="00AE080A" w:rsidRPr="00461C16" w:rsidRDefault="00F46E15" w:rsidP="00485346">
      <w:pPr>
        <w:pStyle w:val="1text"/>
        <w:rPr>
          <w:i/>
        </w:rPr>
      </w:pPr>
      <w:r w:rsidRPr="00461C16">
        <w:rPr>
          <w:i/>
        </w:rPr>
        <w:t xml:space="preserve">Skladebné části ÚSES na regionální a nadregionální úrovni (NRBK K19B, NRBK K34B, RC1790, 1273 a 143 a RK 638) jsou v ÚP respektovány jako nezastavitelné. Jsou v nich umístěny plochy s využitím plochy lesa, plochy vodní a vodohospodářské a plochy krajinné zeleně. Podmínky umístění staveb dle § 18 odst. 5 stavebního zákona je upřesněny v kap. F ÚP. </w:t>
      </w:r>
    </w:p>
    <w:p w14:paraId="6FEB863B" w14:textId="77777777" w:rsidR="00B51FA0" w:rsidRPr="00461C16" w:rsidRDefault="00B51FA0"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Prvky ÚSES (bez ohledu na jejich biogeografický význam, či jejich příslušnost k V-ZCHÚ) upřesňovat dle katastru nemovitostí a jednotek prostorového rozdělení lesa, a jejich vymezení koordinovat ve vzájemných </w:t>
      </w:r>
      <w:r w:rsidRPr="00461C16">
        <w:rPr>
          <w:rFonts w:cs="Arial"/>
          <w:lang w:eastAsia="cs-CZ"/>
        </w:rPr>
        <w:lastRenderedPageBreak/>
        <w:t xml:space="preserve">návaznostech propojenosti systému a zohlednit geomorfologické a ekologické podmínky daného území. Vytvářet územní podmínky pro odstraňování překryvů prvků ÚSES a zastavěných ploch, případné nutné překryvy minimalizovat. </w:t>
      </w:r>
    </w:p>
    <w:p w14:paraId="39896F28" w14:textId="77777777" w:rsidR="00AE080A" w:rsidRPr="00461C16" w:rsidRDefault="00324A07" w:rsidP="00485346">
      <w:pPr>
        <w:pStyle w:val="1text"/>
        <w:rPr>
          <w:i/>
        </w:rPr>
      </w:pPr>
      <w:r w:rsidRPr="00461C16">
        <w:rPr>
          <w:i/>
        </w:rPr>
        <w:t>Skladebné části ÚSES na regionální a nadregionální úrovni (NRBK K19B, NRBK K34B, RC1790, 1273 a 143 a RK 638) jsou v ÚP upřesněny dle požadavků ZÚR</w:t>
      </w:r>
      <w:r w:rsidR="003B07D8">
        <w:rPr>
          <w:i/>
        </w:rPr>
        <w:t xml:space="preserve"> LK</w:t>
      </w:r>
      <w:r w:rsidRPr="00461C16">
        <w:rPr>
          <w:i/>
        </w:rPr>
        <w:t>.</w:t>
      </w:r>
    </w:p>
    <w:p w14:paraId="687A36C2" w14:textId="77777777" w:rsidR="00B51FA0" w:rsidRPr="00461C16" w:rsidRDefault="00B51FA0"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Případné územní překryvy a střety prvků ÚSES s lokalitami těžby nerostů řešit v rámci zohlednění vzájemných potřeb využití území – pro potřeby ÚSES i pro těžbu surovin. Situaci řešit na základě projektové dokumentace rekultivací dotčených území po ukončení těžby v souladu se zájmy ochrany přírody a krajiny. V tomto procesu budou prvky ÚSES považovány dočasně s omezenou funkčností, cílem opatření je podpora funkcí ÚSES při samotné těžbě a zejmé</w:t>
      </w:r>
      <w:r w:rsidR="00042B59" w:rsidRPr="00461C16">
        <w:rPr>
          <w:rFonts w:cs="Arial"/>
          <w:lang w:eastAsia="cs-CZ"/>
        </w:rPr>
        <w:t xml:space="preserve">na obnova dotčených prvků ÚSES </w:t>
      </w:r>
      <w:r w:rsidRPr="00461C16">
        <w:rPr>
          <w:rFonts w:cs="Arial"/>
          <w:lang w:eastAsia="cs-CZ"/>
        </w:rPr>
        <w:t>po jejím ukončení.</w:t>
      </w:r>
    </w:p>
    <w:p w14:paraId="33939987" w14:textId="77777777" w:rsidR="00485346" w:rsidRPr="00461C16" w:rsidRDefault="00324A07" w:rsidP="00485346">
      <w:pPr>
        <w:pStyle w:val="1text"/>
        <w:rPr>
          <w:i/>
        </w:rPr>
      </w:pPr>
      <w:r w:rsidRPr="00461C16">
        <w:rPr>
          <w:i/>
        </w:rPr>
        <w:t xml:space="preserve">Podmínky řešení střet skladebných částí ÚSES a ložisek NS jsou uvedeny v kap. E.4. ÚP. </w:t>
      </w:r>
    </w:p>
    <w:p w14:paraId="40759CD8" w14:textId="77777777" w:rsidR="00042B59" w:rsidRPr="00461C16" w:rsidRDefault="00042B59"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Vytvářet územní předpoklady pro funkčnost systému v prostorech protipovodňových opatření, včetně stanovení dalších způsobů využívání těchto ploch s ohledem na zájmy ochrany přírody a krajiny, na základě zpracované podrobné projektové dokumentace dle metodiky ÚSES. </w:t>
      </w:r>
    </w:p>
    <w:p w14:paraId="7B0EEB46" w14:textId="77777777" w:rsidR="00485346" w:rsidRPr="00461C16" w:rsidRDefault="00324A07" w:rsidP="00485346">
      <w:pPr>
        <w:pStyle w:val="1text"/>
        <w:rPr>
          <w:i/>
        </w:rPr>
      </w:pPr>
      <w:r w:rsidRPr="00461C16">
        <w:rPr>
          <w:i/>
        </w:rPr>
        <w:t xml:space="preserve">V ÚP jsou vytvořeny předpoklady pro zajištění celistvosti a funkčnosti skladebných částí, detaily řešení včetně sladění funkce ÚSES a funkce protipovodňových opatření bude řešeno v rámci projektové dokumentace. </w:t>
      </w:r>
    </w:p>
    <w:p w14:paraId="0664D059" w14:textId="77777777" w:rsidR="00042B59" w:rsidRPr="00461C16" w:rsidRDefault="00042B59"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Územní překryvy prvků ÚSES s liniovými stavbami dopravní a technické infrastruktury minimalizovat a v případě nutnosti řešit překryvy odbornou projektovou přípravou staveb za podmínky, že nedojde k významnému snížení funkčnosti ekosystému a k podstatnému snížení jeho ekostabilizující funkce v krajině.</w:t>
      </w:r>
    </w:p>
    <w:p w14:paraId="649999CE" w14:textId="77777777" w:rsidR="00485346" w:rsidRPr="00461C16" w:rsidRDefault="00BC3BC9" w:rsidP="00D02090">
      <w:pPr>
        <w:pStyle w:val="1text"/>
        <w:rPr>
          <w:i/>
        </w:rPr>
      </w:pPr>
      <w:r w:rsidRPr="00461C16">
        <w:rPr>
          <w:i/>
        </w:rPr>
        <w:t>V ÚP jsou střety s liniovými stavbami minimální. P</w:t>
      </w:r>
      <w:r w:rsidR="00FD19F2" w:rsidRPr="00461C16">
        <w:rPr>
          <w:i/>
        </w:rPr>
        <w:t xml:space="preserve">řípadná nezbytná technická opatření budou řešena v projektové dokumentaci staveb technické a dopravní infrastruktury </w:t>
      </w:r>
      <w:r w:rsidRPr="00461C16">
        <w:rPr>
          <w:i/>
        </w:rPr>
        <w:t xml:space="preserve">na </w:t>
      </w:r>
      <w:r w:rsidR="00FD19F2" w:rsidRPr="00461C16">
        <w:rPr>
          <w:i/>
        </w:rPr>
        <w:t>základ</w:t>
      </w:r>
      <w:r w:rsidR="0021368C" w:rsidRPr="00461C16">
        <w:rPr>
          <w:i/>
        </w:rPr>
        <w:t>ě</w:t>
      </w:r>
      <w:r w:rsidR="00FD19F2" w:rsidRPr="00461C16">
        <w:rPr>
          <w:i/>
        </w:rPr>
        <w:t xml:space="preserve"> požadavku příslušného orgánu ochrany přírody a krajiny</w:t>
      </w:r>
      <w:r w:rsidRPr="00461C16">
        <w:rPr>
          <w:i/>
        </w:rPr>
        <w:t xml:space="preserve">. </w:t>
      </w:r>
    </w:p>
    <w:p w14:paraId="73AE6BDE" w14:textId="77777777" w:rsidR="00042B59" w:rsidRPr="00461C16" w:rsidRDefault="00042B59"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Při vymezování lokálních prvků ÚSES zohlednit označování prvků ÚSES podle celokrajské posloupnosti (podklad KOPK LK).</w:t>
      </w:r>
    </w:p>
    <w:p w14:paraId="056D2368" w14:textId="77777777" w:rsidR="00485346" w:rsidRPr="00461C16" w:rsidRDefault="00BC3BC9" w:rsidP="00D02090">
      <w:pPr>
        <w:pStyle w:val="1text"/>
        <w:rPr>
          <w:i/>
        </w:rPr>
      </w:pPr>
      <w:r w:rsidRPr="00461C16">
        <w:rPr>
          <w:i/>
        </w:rPr>
        <w:t>Značení skladebných částí je provedeno na základě Koncepce ochrany a přírody a krajiny Libereckého kraje.</w:t>
      </w:r>
    </w:p>
    <w:p w14:paraId="46F3F4B8" w14:textId="77777777" w:rsidR="000E118D" w:rsidRPr="00461C16" w:rsidRDefault="000E118D" w:rsidP="000E118D">
      <w:pPr>
        <w:pStyle w:val="Heading3"/>
      </w:pPr>
      <w:bookmarkStart w:id="29" w:name="_Toc36116245"/>
      <w:r w:rsidRPr="00461C16">
        <w:t>1.2.6</w:t>
      </w:r>
      <w:r w:rsidRPr="00461C16">
        <w:tab/>
        <w:t>Zásady koncepce ochrany a rozvoje přírodních hodnot</w:t>
      </w:r>
      <w:bookmarkEnd w:id="29"/>
    </w:p>
    <w:p w14:paraId="18000991" w14:textId="77777777" w:rsidR="00671A9E" w:rsidRPr="00461C16" w:rsidRDefault="00671A9E" w:rsidP="00671A9E">
      <w:pPr>
        <w:pStyle w:val="4podnadpis"/>
      </w:pPr>
      <w:r w:rsidRPr="00461C16">
        <w:t>Zajistit ochranu přírodních hodnot území kraje jejich vhodným využíváním a odpovídající péčí.</w:t>
      </w:r>
    </w:p>
    <w:p w14:paraId="547BC788" w14:textId="77777777" w:rsidR="000E118D" w:rsidRPr="00461C16" w:rsidRDefault="000E118D"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Vytvářet uzemni podmínky pro zabezpečen</w:t>
      </w:r>
      <w:r w:rsidR="00671A9E" w:rsidRPr="00461C16">
        <w:rPr>
          <w:rFonts w:cs="Arial"/>
          <w:lang w:eastAsia="cs-CZ"/>
        </w:rPr>
        <w:t>í</w:t>
      </w:r>
      <w:r w:rsidRPr="00461C16">
        <w:rPr>
          <w:rFonts w:cs="Arial"/>
          <w:lang w:eastAsia="cs-CZ"/>
        </w:rPr>
        <w:t xml:space="preserve"> ochrany a p</w:t>
      </w:r>
      <w:r w:rsidR="00671A9E" w:rsidRPr="00461C16">
        <w:rPr>
          <w:rFonts w:cs="Arial"/>
          <w:lang w:eastAsia="cs-CZ"/>
        </w:rPr>
        <w:t>é</w:t>
      </w:r>
      <w:r w:rsidRPr="00461C16">
        <w:rPr>
          <w:rFonts w:cs="Arial"/>
          <w:lang w:eastAsia="cs-CZ"/>
        </w:rPr>
        <w:t>če o přírodní hodnoty území upřednostňováním šetrných forem využívaní území v souladu se zájmy ochrany přírody a krajiny. Dle principů udržitelného rozvoje navrhovat obnovu a zvyšovaní zastoupeni přírodních složek v narušených územních částech.</w:t>
      </w:r>
    </w:p>
    <w:p w14:paraId="2BA28DAA" w14:textId="77777777" w:rsidR="000E118D" w:rsidRPr="00461C16" w:rsidRDefault="000E118D" w:rsidP="00671A9E">
      <w:pPr>
        <w:pStyle w:val="1text"/>
        <w:rPr>
          <w:i/>
          <w:sz w:val="24"/>
        </w:rPr>
      </w:pPr>
      <w:r w:rsidRPr="00461C16">
        <w:rPr>
          <w:i/>
          <w:sz w:val="24"/>
        </w:rPr>
        <w:t>V Ú</w:t>
      </w:r>
      <w:r w:rsidR="00671A9E" w:rsidRPr="00461C16">
        <w:rPr>
          <w:i/>
          <w:sz w:val="24"/>
        </w:rPr>
        <w:t>P</w:t>
      </w:r>
      <w:r w:rsidRPr="00461C16">
        <w:rPr>
          <w:i/>
          <w:sz w:val="24"/>
        </w:rPr>
        <w:t xml:space="preserve"> js</w:t>
      </w:r>
      <w:r w:rsidR="00671A9E" w:rsidRPr="00461C16">
        <w:rPr>
          <w:i/>
          <w:sz w:val="24"/>
        </w:rPr>
        <w:t>ou</w:t>
      </w:r>
      <w:r w:rsidRPr="00461C16">
        <w:rPr>
          <w:i/>
          <w:sz w:val="24"/>
        </w:rPr>
        <w:t xml:space="preserve"> vytvořeny podmínky pr</w:t>
      </w:r>
      <w:r w:rsidR="00671A9E" w:rsidRPr="00461C16">
        <w:rPr>
          <w:i/>
          <w:sz w:val="24"/>
        </w:rPr>
        <w:t>o ochranu všech přírodních hodnot a pro uplatnění principů udržitelného rozvoje při využívání území, zejména při umisťování staveb a zařízení.</w:t>
      </w:r>
    </w:p>
    <w:p w14:paraId="162183C2" w14:textId="77777777" w:rsidR="00042B59" w:rsidRPr="00461C16" w:rsidRDefault="00042B59"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Dbát na zachování přírodních a přírodě blízkých biotopů a respektovat lokality zvláště chráněných rostlin a živočichů v území.</w:t>
      </w:r>
    </w:p>
    <w:p w14:paraId="1EC86A84" w14:textId="77777777" w:rsidR="00BC3BC9" w:rsidRPr="00461C16" w:rsidRDefault="00BC3BC9" w:rsidP="00D02090">
      <w:pPr>
        <w:pStyle w:val="1text"/>
        <w:rPr>
          <w:i/>
        </w:rPr>
      </w:pPr>
      <w:r w:rsidRPr="00461C16">
        <w:rPr>
          <w:i/>
        </w:rPr>
        <w:t>V ÚP jsou vytvořeny předpoklady pro ochranu a zachování přírodních a přírodě blízkých biotopů a respektovat lokality zvláště chráněných rostlin a živočichů v území.</w:t>
      </w:r>
    </w:p>
    <w:p w14:paraId="09AB16E8" w14:textId="77777777" w:rsidR="00042B59" w:rsidRPr="00461C16" w:rsidRDefault="00042B59"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Vytvářet územní podmínky pro zajištění a obnovu migrační průchodnosti vodních toků. </w:t>
      </w:r>
    </w:p>
    <w:p w14:paraId="039A8AAA" w14:textId="77777777" w:rsidR="00042B59" w:rsidRPr="00461C16" w:rsidRDefault="009A727E" w:rsidP="0021368C">
      <w:pPr>
        <w:pStyle w:val="1text"/>
        <w:rPr>
          <w:i/>
        </w:rPr>
      </w:pPr>
      <w:r w:rsidRPr="00461C16">
        <w:rPr>
          <w:i/>
        </w:rPr>
        <w:t xml:space="preserve">V ÚP nejsou navrženy záměry opatření snižující migrační průchodnost toků, případná potřebná opatření lze </w:t>
      </w:r>
      <w:r w:rsidR="0021368C" w:rsidRPr="00461C16">
        <w:rPr>
          <w:i/>
        </w:rPr>
        <w:t xml:space="preserve">realizovat v plochách W v souladu s podmínkami uvedenými v kap. F územního plánu. </w:t>
      </w:r>
    </w:p>
    <w:p w14:paraId="5AC66111" w14:textId="77777777" w:rsidR="00042B59" w:rsidRPr="00461C16" w:rsidRDefault="00042B59" w:rsidP="00671A9E">
      <w:pPr>
        <w:pStyle w:val="4podnadpis"/>
        <w:rPr>
          <w:u w:val="single"/>
        </w:rPr>
      </w:pPr>
      <w:r w:rsidRPr="00461C16">
        <w:t>Zabezpečovat ochranu přírodních hodnot v oblasti zemědělského hospodaření, lesního hospodaření a myslivosti:</w:t>
      </w:r>
    </w:p>
    <w:p w14:paraId="0786A3B1" w14:textId="77777777" w:rsidR="00042B59" w:rsidRPr="00461C16" w:rsidRDefault="00F04B8B"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lastRenderedPageBreak/>
        <w:t xml:space="preserve">Méně hodnotné či dlouhodobě nevyužívané zemědělské pozemky přednostně navrhovat i jako prostor pro nápravu stavu či pro jiné způsoby využití. </w:t>
      </w:r>
    </w:p>
    <w:p w14:paraId="534280F6" w14:textId="77777777" w:rsidR="00485346" w:rsidRPr="00461C16" w:rsidRDefault="009A727E" w:rsidP="00D02090">
      <w:pPr>
        <w:pStyle w:val="1text"/>
        <w:rPr>
          <w:i/>
        </w:rPr>
      </w:pPr>
      <w:r w:rsidRPr="00461C16">
        <w:rPr>
          <w:i/>
        </w:rPr>
        <w:t xml:space="preserve">Zemědělské pozemky jsou s výjimkou pozemků určených k zastavění a pozemků ve skladebných částech ÚSES primárně určeny po zemědělskou výrobu bez ohledu na jejich aktuální využití. Opatření k případné obnově využití je možné v intencích ÚP realizovat. </w:t>
      </w:r>
    </w:p>
    <w:p w14:paraId="395A3808" w14:textId="77777777" w:rsidR="00F04B8B" w:rsidRPr="00461C16" w:rsidRDefault="00F04B8B"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 xml:space="preserve">Vytvářet územní předpoklady pro programovou obnovu živočišné výroby, územně bez ohledu na administrativní hranice obcí. </w:t>
      </w:r>
    </w:p>
    <w:p w14:paraId="55245C81" w14:textId="77777777" w:rsidR="00485346" w:rsidRPr="00461C16" w:rsidRDefault="009A727E" w:rsidP="00D02090">
      <w:pPr>
        <w:pStyle w:val="1text"/>
        <w:rPr>
          <w:i/>
        </w:rPr>
      </w:pPr>
      <w:r w:rsidRPr="00461C16">
        <w:rPr>
          <w:i/>
        </w:rPr>
        <w:t xml:space="preserve">Opatření k zajištění živočišné výroby je možné realizovat na plochách NS v souladu se stavebním zákonem a zákony upravujícími zemědělské využití půd a krajiny. V ÚP není tato </w:t>
      </w:r>
      <w:r w:rsidR="000457BA" w:rsidRPr="00461C16">
        <w:rPr>
          <w:i/>
        </w:rPr>
        <w:t>problematika</w:t>
      </w:r>
      <w:r w:rsidRPr="00461C16">
        <w:rPr>
          <w:i/>
        </w:rPr>
        <w:t xml:space="preserve"> </w:t>
      </w:r>
      <w:r w:rsidR="000457BA" w:rsidRPr="00461C16">
        <w:rPr>
          <w:i/>
        </w:rPr>
        <w:t>řešitelná.</w:t>
      </w:r>
    </w:p>
    <w:p w14:paraId="6EFD9348" w14:textId="77777777" w:rsidR="00F04B8B" w:rsidRPr="00461C16" w:rsidRDefault="00F04B8B" w:rsidP="00671A9E">
      <w:pPr>
        <w:pStyle w:val="4podnadpis"/>
      </w:pPr>
      <w:r w:rsidRPr="00461C16">
        <w:t>Zabezpečovat zachování krajinných hodnot a krajinného rázu diferencovaně dle vymezených oblastí krajinného rázu a krajinných typů:</w:t>
      </w:r>
    </w:p>
    <w:p w14:paraId="110829DE" w14:textId="77777777" w:rsidR="00F04B8B" w:rsidRPr="00461C16" w:rsidRDefault="00F04B8B"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Ekonomické aktivity a jejich doprovodné zázemí s vysokými nároky na urbanizační zátěž území umisťovat přednostně ve stanovených rozvojových oblastech a v kontextu rozvojových os ve smyslu odlehčení ostatních částí území s vyššími přírodními a krajinářskými hodnotami, zejména specifických oblastí. </w:t>
      </w:r>
    </w:p>
    <w:p w14:paraId="013AF51B" w14:textId="77777777" w:rsidR="00485346" w:rsidRPr="00461C16" w:rsidRDefault="00D02090" w:rsidP="00D02090">
      <w:pPr>
        <w:pStyle w:val="1text"/>
        <w:rPr>
          <w:i/>
        </w:rPr>
      </w:pPr>
      <w:r w:rsidRPr="00461C16">
        <w:rPr>
          <w:i/>
        </w:rPr>
        <w:t>V ÚP jsou vymezeny plochy pro výrobu, skladování a velkoplošné komerční aktivity, ve vazbě na stávající průmyslovou zónu (uvnitř zastavěného a urbanizovaného území) a podél městského obchvatu na silnici I/35, tedy s maximálním ohledem na ochranu obytného území (vyloučení dopravní obsluhy mimo zastavěné území) a na přírodní i krajinné hodnoty. Lokalizace těchto ploch potvrzuje důvody vymezení rozvojové oblasti a zejména rozvojové osy, která je vedena právě podél silnice I/35.</w:t>
      </w:r>
    </w:p>
    <w:p w14:paraId="4DD9BCE9" w14:textId="77777777" w:rsidR="00F04B8B" w:rsidRPr="00461C16" w:rsidRDefault="00F04B8B"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 xml:space="preserve">Vytvářet územní podmínky pro zachování, obnovu a optimální užívání historických a kulturních fenoménů v území, zachovat krajinný ráz a odstraňovat prvky, které jej poškozují. </w:t>
      </w:r>
    </w:p>
    <w:p w14:paraId="35312803" w14:textId="6E912E51" w:rsidR="00485346" w:rsidRPr="00461C16" w:rsidRDefault="000457BA" w:rsidP="00D02090">
      <w:pPr>
        <w:pStyle w:val="1text"/>
        <w:rPr>
          <w:i/>
        </w:rPr>
      </w:pPr>
      <w:r w:rsidRPr="00461C16">
        <w:rPr>
          <w:i/>
        </w:rPr>
        <w:t>Historické a kulturní fenomény v krajině jsou označeny za kulturní hodnoty</w:t>
      </w:r>
      <w:r w:rsidR="008A132F">
        <w:rPr>
          <w:i/>
        </w:rPr>
        <w:t>,</w:t>
      </w:r>
      <w:r w:rsidRPr="00461C16">
        <w:rPr>
          <w:i/>
        </w:rPr>
        <w:t xml:space="preserve"> jsou respektovány a jsou vytvořeny podmínky pro jejich ochranu. V ÚP jsou definovány krajinné osy, krajinné horizonty a krajinné dominanty významné z hlediska ochrany krajinného rázu. Tyto části krajiny jsou respektovány a jsou vytvořeny podmínky pro jejich ochranu.</w:t>
      </w:r>
    </w:p>
    <w:p w14:paraId="39D8D993" w14:textId="77777777" w:rsidR="00F04B8B" w:rsidRPr="00461C16" w:rsidRDefault="00F04B8B"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Rozšiřovat prostupnost krajiny zejména sítí tzv. zvykových cest spolu s návrhy doprovodné zeleně.</w:t>
      </w:r>
    </w:p>
    <w:p w14:paraId="4F1FB81D" w14:textId="77777777" w:rsidR="00485346" w:rsidRPr="00461C16" w:rsidRDefault="000457BA" w:rsidP="00D02090">
      <w:pPr>
        <w:pStyle w:val="1text"/>
        <w:rPr>
          <w:i/>
        </w:rPr>
      </w:pPr>
      <w:r w:rsidRPr="00461C16">
        <w:rPr>
          <w:i/>
        </w:rPr>
        <w:t xml:space="preserve">V ÚP nejsou navrženy nové cesty v krajině, jejich stav byl shledán jako dostatečný. </w:t>
      </w:r>
    </w:p>
    <w:p w14:paraId="0EE716F7" w14:textId="77777777" w:rsidR="00F04B8B" w:rsidRPr="00461C16" w:rsidRDefault="00F04B8B" w:rsidP="00671A9E">
      <w:pPr>
        <w:pStyle w:val="4podnadpis"/>
      </w:pPr>
      <w:r w:rsidRPr="00461C16">
        <w:t>Odpovědně vymezovat potenciálně vhodné oblasti pro pěstování biomasy a rychlerostoucích dřevin pro energetické účely.</w:t>
      </w:r>
    </w:p>
    <w:p w14:paraId="5268C0D2" w14:textId="77777777" w:rsidR="00F04B8B" w:rsidRPr="00461C16" w:rsidRDefault="00F04B8B"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Zajistit podrobné vyhodnocení potřeb a dopadů na zájmy ochrany přírody a krajiny při rozhodování o umístění ploch pro pěstování biomasy pro energetické účely. </w:t>
      </w:r>
    </w:p>
    <w:p w14:paraId="17BA0FE2" w14:textId="77777777" w:rsidR="00485346" w:rsidRPr="00461C16" w:rsidRDefault="000457BA" w:rsidP="00485346">
      <w:pPr>
        <w:pStyle w:val="1text"/>
        <w:rPr>
          <w:i/>
        </w:rPr>
      </w:pPr>
      <w:r w:rsidRPr="00461C16">
        <w:rPr>
          <w:i/>
        </w:rPr>
        <w:t xml:space="preserve">Možnost pěstování biomasy a vč. rychlerostoucích dřevin na zemědělské půdě nelze nástroji územního plánování řešit. </w:t>
      </w:r>
    </w:p>
    <w:p w14:paraId="5800118A" w14:textId="77777777" w:rsidR="00F04B8B" w:rsidRPr="00461C16" w:rsidRDefault="00F04B8B"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Z potencionálně vhodných oblastí pro pěstování biomasy pro energetické využívání alternativních a obnovitelných zdrojů vyloučit území obcí a jejich částí ležící ve zvláště a obecně chráněných územích, vč. území v jejich těsném a ovlivnitelném sousedství. </w:t>
      </w:r>
    </w:p>
    <w:p w14:paraId="15ADBD11" w14:textId="77777777" w:rsidR="00485346" w:rsidRPr="00461C16" w:rsidRDefault="003A21D1" w:rsidP="00485346">
      <w:pPr>
        <w:pStyle w:val="1text"/>
        <w:rPr>
          <w:i/>
        </w:rPr>
      </w:pPr>
      <w:r w:rsidRPr="00461C16">
        <w:rPr>
          <w:i/>
        </w:rPr>
        <w:t>Viz vyhodnocení k bodu (101.)</w:t>
      </w:r>
    </w:p>
    <w:p w14:paraId="453AF829" w14:textId="77777777" w:rsidR="000A2ACA" w:rsidRPr="00461C16" w:rsidRDefault="00671A9E" w:rsidP="00671A9E">
      <w:pPr>
        <w:pStyle w:val="4podnadpis"/>
      </w:pPr>
      <w:r w:rsidRPr="00461C16">
        <w:t xml:space="preserve">Hospodárně využívat nerostné bohatství kraje, řešit územní střety mezi zájmy těžby nerostných surovin a zájmy ochrany přírody a krajiny. </w:t>
      </w:r>
    </w:p>
    <w:p w14:paraId="024F2593" w14:textId="77777777" w:rsidR="004F0906" w:rsidRPr="00461C16" w:rsidRDefault="004F0906"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 xml:space="preserve">Vytvářet územní předpoklady pro těžbu ložisek nerostných surovin, koordinovat využívání ložisek nerostných surovin na hranicích kraje se sousedními kraji a státy. </w:t>
      </w:r>
    </w:p>
    <w:p w14:paraId="3161225D" w14:textId="77777777" w:rsidR="00485346" w:rsidRPr="00461C16" w:rsidRDefault="003A21D1" w:rsidP="00485346">
      <w:pPr>
        <w:pStyle w:val="1text"/>
        <w:rPr>
          <w:i/>
        </w:rPr>
      </w:pPr>
      <w:r w:rsidRPr="00461C16">
        <w:rPr>
          <w:i/>
        </w:rPr>
        <w:t>V ÚP jsou respektovány plochy pro ochranu ložisek nerostných surovin a stabilizována plocha těžby písku ve Václavicích. Těžba v rozsahu přesahujícím hranice ČR není předpokládána.</w:t>
      </w:r>
    </w:p>
    <w:p w14:paraId="767018D5" w14:textId="77777777" w:rsidR="004F0906" w:rsidRPr="00461C16" w:rsidRDefault="004F0906"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lastRenderedPageBreak/>
        <w:t xml:space="preserve">Způsoby provedení sanací a rekultivací území po těžbě řešit s ohledem na budoucí využití těžbou dotčeného území v souladu s požadavky na ochranu přírody a krajiny. </w:t>
      </w:r>
    </w:p>
    <w:p w14:paraId="4575AC6C" w14:textId="77777777" w:rsidR="00485346" w:rsidRPr="00461C16" w:rsidRDefault="003A21D1" w:rsidP="00485346">
      <w:pPr>
        <w:pStyle w:val="1text"/>
        <w:rPr>
          <w:i/>
        </w:rPr>
      </w:pPr>
      <w:r w:rsidRPr="00461C16">
        <w:rPr>
          <w:i/>
        </w:rPr>
        <w:t xml:space="preserve">Stávající těžební prostor pískovny Václavice bude po ukončení těžby rekultivován dle schváleného plánu rekultivace </w:t>
      </w:r>
    </w:p>
    <w:p w14:paraId="4E648D9D" w14:textId="77777777" w:rsidR="004F0906" w:rsidRPr="00461C16" w:rsidRDefault="004F0906"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 xml:space="preserve">Při zpracování ÚPD zajistit ochranu přírodních geologických fenoménů kraje, předpokládaných a zjištěných ložisek nerostů jako přírodních hodnot území. </w:t>
      </w:r>
    </w:p>
    <w:p w14:paraId="0299ACD6" w14:textId="77777777" w:rsidR="00485346" w:rsidRPr="00461C16" w:rsidRDefault="003A21D1" w:rsidP="00485346">
      <w:pPr>
        <w:pStyle w:val="1text"/>
        <w:rPr>
          <w:i/>
        </w:rPr>
      </w:pPr>
      <w:r w:rsidRPr="00461C16">
        <w:rPr>
          <w:i/>
        </w:rPr>
        <w:t>V ÚP jsou zdroje nerostných surovin označeny jako přírodní hodnoty</w:t>
      </w:r>
    </w:p>
    <w:p w14:paraId="5C883753" w14:textId="77777777" w:rsidR="004F0906" w:rsidRPr="00461C16" w:rsidRDefault="004F0906"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 xml:space="preserve">V součinnosti s dotčenými orgány státní správy a odbornými institucemi stanovit postup sanace, časový harmonogram a nové využití území v lokalitách po těžbě uranových rud. </w:t>
      </w:r>
    </w:p>
    <w:p w14:paraId="70BF6416" w14:textId="77777777" w:rsidR="00485346" w:rsidRPr="00461C16" w:rsidRDefault="003A21D1" w:rsidP="00485346">
      <w:pPr>
        <w:pStyle w:val="1text"/>
        <w:rPr>
          <w:i/>
        </w:rPr>
      </w:pPr>
      <w:r w:rsidRPr="00461C16">
        <w:rPr>
          <w:i/>
        </w:rPr>
        <w:t xml:space="preserve">Požadavek není relevantní pro území Hrádku nad Nisou. </w:t>
      </w:r>
    </w:p>
    <w:p w14:paraId="796F9746" w14:textId="77777777" w:rsidR="004F0906" w:rsidRPr="00461C16" w:rsidRDefault="004F0906" w:rsidP="00903F77">
      <w:pPr>
        <w:pStyle w:val="ListParagraph"/>
        <w:numPr>
          <w:ilvl w:val="0"/>
          <w:numId w:val="50"/>
        </w:numPr>
        <w:autoSpaceDE w:val="0"/>
        <w:autoSpaceDN w:val="0"/>
        <w:adjustRightInd w:val="0"/>
        <w:spacing w:before="120" w:line="240" w:lineRule="auto"/>
        <w:ind w:left="567" w:hanging="567"/>
        <w:rPr>
          <w:rFonts w:cs="Arial"/>
          <w:lang w:eastAsia="cs-CZ"/>
        </w:rPr>
      </w:pPr>
      <w:r w:rsidRPr="00461C16">
        <w:rPr>
          <w:rFonts w:cs="Arial"/>
          <w:lang w:eastAsia="cs-CZ"/>
        </w:rPr>
        <w:t xml:space="preserve">V souladu s Regionální surovinovou politikou Libereckého kraje do roku 2015 zpracovat řešení sanace a vytvářet územní předpoklady pro rekultivaci ploch starých ekologických zátěží a ploch devastovaných těžbou. </w:t>
      </w:r>
    </w:p>
    <w:p w14:paraId="490B5F3A" w14:textId="77777777" w:rsidR="00836BBB" w:rsidRPr="00461C16" w:rsidRDefault="00836BBB" w:rsidP="00836BBB">
      <w:pPr>
        <w:pStyle w:val="1text"/>
        <w:rPr>
          <w:i/>
        </w:rPr>
      </w:pPr>
      <w:r w:rsidRPr="00461C16">
        <w:rPr>
          <w:i/>
        </w:rPr>
        <w:t>Stávající těžební prostor pískovny Václavice bude po ukončení těžby rekultivován dle schváleného plánu rekultivace, což je v ÚP potvrzeno.</w:t>
      </w:r>
    </w:p>
    <w:p w14:paraId="54510537" w14:textId="77777777" w:rsidR="00671A9E" w:rsidRPr="00461C16" w:rsidRDefault="00671A9E" w:rsidP="009A266C">
      <w:pPr>
        <w:pStyle w:val="4podnadpis"/>
      </w:pPr>
      <w:r w:rsidRPr="00461C16">
        <w:t>Územně chránit a hospodárně využívat povrchové a podzemní zdroje vody a</w:t>
      </w:r>
      <w:r w:rsidR="009A266C" w:rsidRPr="00461C16">
        <w:t xml:space="preserve"> </w:t>
      </w:r>
      <w:r w:rsidRPr="00461C16">
        <w:t>prameniště minerálních a léčivých vod, podporovat posilování retenční schopnosti</w:t>
      </w:r>
      <w:r w:rsidR="009A266C" w:rsidRPr="00461C16">
        <w:t xml:space="preserve"> </w:t>
      </w:r>
      <w:r w:rsidRPr="00461C16">
        <w:t>území kraje.</w:t>
      </w:r>
    </w:p>
    <w:p w14:paraId="43420451" w14:textId="77777777" w:rsidR="009A266C" w:rsidRPr="00461C16" w:rsidRDefault="009A266C"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Vytvářet územní podmínky pro zajištění vodohospodářských zájmů v území, navrhovat územní úpravy a opatření k ochraně a kultivaci vodních zdrojů, toků, ploch a vodních ekosystémů.</w:t>
      </w:r>
    </w:p>
    <w:p w14:paraId="56AC827F" w14:textId="77777777" w:rsidR="009A266C" w:rsidRPr="00461C16" w:rsidRDefault="009A266C" w:rsidP="009A266C">
      <w:pPr>
        <w:pStyle w:val="1text"/>
        <w:spacing w:after="120"/>
        <w:rPr>
          <w:rFonts w:cs="Arial"/>
          <w:i/>
          <w:lang w:eastAsia="cs-CZ"/>
        </w:rPr>
      </w:pPr>
      <w:r w:rsidRPr="00461C16">
        <w:rPr>
          <w:rFonts w:cs="Arial"/>
          <w:i/>
          <w:lang w:eastAsia="cs-CZ"/>
        </w:rPr>
        <w:t xml:space="preserve">V ÚP jsou vodní zdroje chráněny jako přírodní hodnoty. Specifická opatření na ochranu a rozvoj vodních zdrojů navrhována nejsou. </w:t>
      </w:r>
    </w:p>
    <w:p w14:paraId="331731A2" w14:textId="77777777" w:rsidR="009A266C" w:rsidRPr="00461C16" w:rsidRDefault="009A266C"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Navyšovat retenční schopnost krajiny návrhy vhodných terénních pokryvů (lesní plochy, převádění orné půdy na trvalé travní porosty v záplavových územích aj.) a lokalizací menších vodních nádrží v horních částech povodí při respektování ochrany přírodních hodnot území. Podporovat revitalizaci nevhodně upravených toků.</w:t>
      </w:r>
    </w:p>
    <w:p w14:paraId="1BD7D21F" w14:textId="77777777" w:rsidR="001D415E" w:rsidRPr="00461C16" w:rsidRDefault="001D415E" w:rsidP="001D415E">
      <w:pPr>
        <w:pStyle w:val="1text"/>
        <w:spacing w:after="120"/>
        <w:rPr>
          <w:i/>
        </w:rPr>
      </w:pPr>
      <w:r w:rsidRPr="00461C16">
        <w:rPr>
          <w:i/>
        </w:rPr>
        <w:t xml:space="preserve">Ke zlepšení vodního </w:t>
      </w:r>
      <w:r w:rsidRPr="00461C16">
        <w:rPr>
          <w:rFonts w:cs="Arial"/>
          <w:i/>
          <w:lang w:eastAsia="cs-CZ"/>
        </w:rPr>
        <w:t>režimu</w:t>
      </w:r>
      <w:r w:rsidRPr="00461C16">
        <w:rPr>
          <w:i/>
        </w:rPr>
        <w:t xml:space="preserve"> území jsou vytvořeny podmínky vymezením ÚSES a stanovením požadavků na zachování a doplnění drobných krajinných prvků, ochranu vodních ploch a toků, revitalizaci vodních toků, které jsou součástí ÚSES a na likvidaci dešťových vod na pozemku vsakováním nebo akumulací. </w:t>
      </w:r>
    </w:p>
    <w:p w14:paraId="41A4A091" w14:textId="77777777" w:rsidR="009A266C" w:rsidRPr="00461C16" w:rsidRDefault="009A266C" w:rsidP="009A266C">
      <w:pPr>
        <w:pStyle w:val="1text"/>
        <w:spacing w:after="120"/>
        <w:rPr>
          <w:rFonts w:cs="Arial"/>
          <w:lang w:eastAsia="cs-CZ"/>
        </w:rPr>
      </w:pPr>
      <w:r w:rsidRPr="00461C16">
        <w:rPr>
          <w:i/>
          <w:lang w:eastAsia="cs-CZ"/>
        </w:rPr>
        <w:t>N</w:t>
      </w:r>
      <w:r w:rsidR="001D415E" w:rsidRPr="00461C16">
        <w:rPr>
          <w:i/>
          <w:lang w:eastAsia="cs-CZ"/>
        </w:rPr>
        <w:t xml:space="preserve">ové </w:t>
      </w:r>
      <w:r w:rsidRPr="00461C16">
        <w:rPr>
          <w:i/>
          <w:lang w:eastAsia="cs-CZ"/>
        </w:rPr>
        <w:t>vodní ploch</w:t>
      </w:r>
      <w:r w:rsidR="001D415E" w:rsidRPr="00461C16">
        <w:rPr>
          <w:i/>
          <w:lang w:eastAsia="cs-CZ"/>
        </w:rPr>
        <w:t>y</w:t>
      </w:r>
      <w:r w:rsidRPr="00461C16">
        <w:rPr>
          <w:i/>
          <w:lang w:eastAsia="cs-CZ"/>
        </w:rPr>
        <w:t xml:space="preserve"> </w:t>
      </w:r>
      <w:r w:rsidR="001D415E" w:rsidRPr="00461C16">
        <w:rPr>
          <w:i/>
          <w:lang w:eastAsia="cs-CZ"/>
        </w:rPr>
        <w:t xml:space="preserve">navrženy </w:t>
      </w:r>
      <w:r w:rsidRPr="00461C16">
        <w:rPr>
          <w:i/>
          <w:lang w:eastAsia="cs-CZ"/>
        </w:rPr>
        <w:t>nejsou</w:t>
      </w:r>
      <w:r w:rsidR="001D415E" w:rsidRPr="00461C16">
        <w:rPr>
          <w:i/>
          <w:lang w:eastAsia="cs-CZ"/>
        </w:rPr>
        <w:t>.</w:t>
      </w:r>
      <w:r w:rsidRPr="00461C16">
        <w:rPr>
          <w:i/>
          <w:lang w:eastAsia="cs-CZ"/>
        </w:rPr>
        <w:t xml:space="preserve"> </w:t>
      </w:r>
    </w:p>
    <w:p w14:paraId="63B0A215" w14:textId="77777777" w:rsidR="009A266C" w:rsidRPr="00461C16" w:rsidRDefault="009A266C"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Nepřipouštět nevhodné využívání území v údolních nivách vodních toků, zajišťovat prostupnost podél vodních toků, nepovolovat nevhodné morfologické úpravy.</w:t>
      </w:r>
    </w:p>
    <w:p w14:paraId="0A46DD71" w14:textId="77777777" w:rsidR="009A266C" w:rsidRPr="00461C16" w:rsidRDefault="001D415E" w:rsidP="001D415E">
      <w:pPr>
        <w:pStyle w:val="1text"/>
        <w:spacing w:after="120"/>
        <w:rPr>
          <w:i/>
          <w:lang w:eastAsia="cs-CZ"/>
        </w:rPr>
      </w:pPr>
      <w:r w:rsidRPr="00461C16">
        <w:rPr>
          <w:i/>
          <w:lang w:eastAsia="cs-CZ"/>
        </w:rPr>
        <w:t>V ÚP nejsou navrženy nové záměry, které by negativně ovlivňovaly vodní toky. Požadavek na prostupnost podél vodních toků je dán v podmínkách využití ploch W v kap. F ÚP.</w:t>
      </w:r>
    </w:p>
    <w:p w14:paraId="5BA9FB69" w14:textId="77777777" w:rsidR="009A266C" w:rsidRPr="00461C16" w:rsidRDefault="009A266C"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V součinnosti s dotčenými orgány státní správy a odbornými institucemi reagovat na negativní změny kvantity a jakosti podzemních a povrchových vod v souvislosti s těžbou dolu Turów. </w:t>
      </w:r>
    </w:p>
    <w:p w14:paraId="231ED04D" w14:textId="52AAD8E1" w:rsidR="001D415E" w:rsidRPr="00461C16" w:rsidRDefault="001D415E" w:rsidP="001D415E">
      <w:pPr>
        <w:pStyle w:val="1text"/>
        <w:spacing w:after="120"/>
        <w:rPr>
          <w:rFonts w:cs="Arial"/>
          <w:i/>
          <w:lang w:eastAsia="cs-CZ"/>
        </w:rPr>
      </w:pPr>
      <w:r w:rsidRPr="00461C16">
        <w:rPr>
          <w:rFonts w:cs="Arial"/>
          <w:i/>
          <w:lang w:eastAsia="cs-CZ"/>
        </w:rPr>
        <w:t xml:space="preserve">Řešení problému spočívá v omezení těžby v dolu Turów, což je předmětem jednání na mezinárodní úrovni. V ÚP nelze řešit. </w:t>
      </w:r>
    </w:p>
    <w:p w14:paraId="7029D5B0" w14:textId="77777777" w:rsidR="004A6672" w:rsidRPr="00461C16" w:rsidRDefault="00FB1CCD" w:rsidP="00647E96">
      <w:pPr>
        <w:pStyle w:val="Heading3"/>
      </w:pPr>
      <w:bookmarkStart w:id="30" w:name="_Toc36116246"/>
      <w:r w:rsidRPr="00461C16">
        <w:t>1</w:t>
      </w:r>
      <w:r w:rsidR="002F1727" w:rsidRPr="00461C16">
        <w:t>.</w:t>
      </w:r>
      <w:r w:rsidR="004A6672" w:rsidRPr="00461C16">
        <w:t>2.</w:t>
      </w:r>
      <w:r w:rsidR="0062448C" w:rsidRPr="00461C16">
        <w:t>7</w:t>
      </w:r>
      <w:r w:rsidR="004A6672" w:rsidRPr="00461C16">
        <w:tab/>
      </w:r>
      <w:r w:rsidR="001D415E" w:rsidRPr="00461C16">
        <w:t xml:space="preserve">Zásady koncepce ochrany </w:t>
      </w:r>
      <w:r w:rsidR="00DC19A0" w:rsidRPr="00461C16">
        <w:t xml:space="preserve">kulturních </w:t>
      </w:r>
      <w:r w:rsidR="004A6672" w:rsidRPr="00461C16">
        <w:t>hodnot</w:t>
      </w:r>
      <w:bookmarkEnd w:id="30"/>
      <w:r w:rsidR="004A6672" w:rsidRPr="00461C16">
        <w:t xml:space="preserve"> </w:t>
      </w:r>
    </w:p>
    <w:p w14:paraId="0FF7B83A" w14:textId="77777777" w:rsidR="000A2ACA" w:rsidRPr="00461C16" w:rsidRDefault="00DC19A0" w:rsidP="00DC19A0">
      <w:pPr>
        <w:pStyle w:val="4podnadpis"/>
      </w:pPr>
      <w:r w:rsidRPr="00461C16">
        <w:t>Vytvářet územní podmínky pro zabezpečení ochrany a péče o památkový fond kraje, respektovat dochované historické dědictví jako významný fenomén území, vytvářet územní podmínky pro jeho využívání ve prospěch rozvoje cestovního ruchu, kongresové a poznávací turistiky na území kraje.</w:t>
      </w:r>
    </w:p>
    <w:p w14:paraId="2D634324" w14:textId="77777777" w:rsidR="00092EFF" w:rsidRPr="00461C16" w:rsidRDefault="00092EFF"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lastRenderedPageBreak/>
        <w:t xml:space="preserve">Vytvářet územní podmínky pro zabezpečení ochrany a péče o chráněná památková území a nemovitý památkový fond kraje, usilovat o kvalitu a soulad řešení nové zástavby v jejich okolí, nepřipouštět výrazově nebo funkčně konkurenční územní zásahy. Chránit kulturní hodnoty území včetně urbanistického, architektonického a archeologického dědictví. </w:t>
      </w:r>
    </w:p>
    <w:p w14:paraId="54138D26" w14:textId="77777777" w:rsidR="00485346" w:rsidRPr="00461C16" w:rsidRDefault="002219DF" w:rsidP="00A0717B">
      <w:pPr>
        <w:pStyle w:val="1text"/>
        <w:spacing w:after="120"/>
        <w:rPr>
          <w:i/>
        </w:rPr>
      </w:pPr>
      <w:r w:rsidRPr="00461C16">
        <w:rPr>
          <w:i/>
        </w:rPr>
        <w:t>Na území města je vymezena městská památková zóna a jsou zde evidovány nemovité kulturní památky, zahrnuté do kulturních hodnot. Do kulturních hodnot jsou zařazeny i urbanisticky významné kompoziční prvky a architektonicky cenné stavby, vymezené zpracovatelem ÚP. Pro ochranu všech těchto území a staveb je stanovena obecná podmínka zohlednění jejich hodnot, z hlediska hmotového, materiálového a barevného řešení staveb (kap. B.3 Územního plánu). Přesné podmínky ochrany staveb v MPZ a nemovitých kulturních památek vyplývají z příslušných legislativních předpisů, tedy zákona č. 20/1987 Sb., o státní památkové péči</w:t>
      </w:r>
      <w:r w:rsidR="00A53768" w:rsidRPr="00461C16">
        <w:rPr>
          <w:i/>
        </w:rPr>
        <w:t>, v platném znění</w:t>
      </w:r>
      <w:r w:rsidRPr="00461C16">
        <w:rPr>
          <w:i/>
        </w:rPr>
        <w:t>.</w:t>
      </w:r>
    </w:p>
    <w:p w14:paraId="0D1AD92D" w14:textId="77777777" w:rsidR="00092EFF" w:rsidRPr="00461C16" w:rsidRDefault="00092EFF"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Vytvářet územní podmínky pro přiměřené, významu odpovídající a šetrné využívání památkových objektů i zón pro bydlení, kulturní a komerční účely především ve vazbách na rozvoj cestovního ruchu, kongresové a poznávací turistiky a podporovat územní požadavky na vybudování navazujících zařízení a vybavenosti. </w:t>
      </w:r>
    </w:p>
    <w:p w14:paraId="5A0A5C2D" w14:textId="77777777" w:rsidR="00485346" w:rsidRPr="00461C16" w:rsidRDefault="00A84737" w:rsidP="00A0717B">
      <w:pPr>
        <w:pStyle w:val="1text"/>
        <w:spacing w:after="120"/>
        <w:rPr>
          <w:i/>
        </w:rPr>
      </w:pPr>
      <w:r w:rsidRPr="00461C16">
        <w:rPr>
          <w:i/>
        </w:rPr>
        <w:t>Možnost využití jednotlivých staveb pro rekreaci a cestovní ruch je stanovena podmínkami využití ploch v kap. F Územního plánu, dle způsobu využití vymezené plochy. Z vymezených ploch nejsou samostatně vyčleněny památkové objekty.</w:t>
      </w:r>
      <w:r w:rsidR="00B345B4" w:rsidRPr="00461C16">
        <w:rPr>
          <w:i/>
        </w:rPr>
        <w:t xml:space="preserve"> </w:t>
      </w:r>
      <w:r w:rsidRPr="00461C16">
        <w:rPr>
          <w:i/>
        </w:rPr>
        <w:t>Pro ochranu jednotlivých nemovitých kulturních památek je stanovena obecná podmínka zohlednění jejich hodnot, z hlediska hmotového, materiálového a barevného řešení staveb (kap. B.3 Územního plánu). Přesné podmínky ochrany nemovitých kulturních památek vyplývají z příslušných legislativních předpisů, tedy zákona č. 20/1987 Sb., o státní památkové péči</w:t>
      </w:r>
      <w:r w:rsidR="00A53768" w:rsidRPr="00461C16">
        <w:rPr>
          <w:i/>
        </w:rPr>
        <w:t>, v platném znění</w:t>
      </w:r>
      <w:r w:rsidRPr="00461C16">
        <w:rPr>
          <w:i/>
        </w:rPr>
        <w:t>.</w:t>
      </w:r>
    </w:p>
    <w:p w14:paraId="5A7F1977" w14:textId="77777777" w:rsidR="00092EFF" w:rsidRPr="00461C16" w:rsidRDefault="00092EFF"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Zajišťovat kvalitní řešení dostavby a rozvoje území vyhlášených městských památkových zón, vesnických památkových rezervací a zón na základě předchozích stavebně historických a dalších specifických průzkumů. </w:t>
      </w:r>
    </w:p>
    <w:p w14:paraId="5900D261" w14:textId="77777777" w:rsidR="00485346" w:rsidRPr="00461C16" w:rsidRDefault="00DB2993" w:rsidP="00A0717B">
      <w:pPr>
        <w:pStyle w:val="1text"/>
        <w:spacing w:after="120"/>
        <w:rPr>
          <w:i/>
        </w:rPr>
      </w:pPr>
      <w:r w:rsidRPr="00461C16">
        <w:rPr>
          <w:i/>
        </w:rPr>
        <w:t>Městská památková zóna je v koncepci ÚP zohledněna. Pro její ochranu, resp. pro ochranu jednotlivých staveb v ní a navazujících území je stanovena obecná podmínka zohlednění jejich hodnot, z hlediska hmotového, materiálového a barevného řešení staveb (kap. B.3 Územního plánu). Součástí této kapitoly je i vymezení konkrétních architektonických staveb, jejichž evidence byla předmětem doplňujících průzkumů a rozborů zpracovatele. Přesné podmínky ochrany vyplývají z příslušných legislativních předpisů, tedy zákona č. 20/1987 Sb., o státní památkové péči</w:t>
      </w:r>
      <w:r w:rsidR="00A53768" w:rsidRPr="00461C16">
        <w:rPr>
          <w:i/>
        </w:rPr>
        <w:t>, v platném znění</w:t>
      </w:r>
      <w:r w:rsidRPr="00461C16">
        <w:rPr>
          <w:i/>
        </w:rPr>
        <w:t>.</w:t>
      </w:r>
    </w:p>
    <w:p w14:paraId="0F93BF83" w14:textId="77777777" w:rsidR="00DC19A0" w:rsidRPr="00461C16" w:rsidRDefault="00DC19A0" w:rsidP="00DC19A0">
      <w:pPr>
        <w:pStyle w:val="4podnadpis"/>
      </w:pPr>
      <w:r w:rsidRPr="00461C16">
        <w:t>Zajistit evidenci a vytvářet územní podmínky pro vhodné využití území s koncentrací objektů lidové architektury, vnímat dochované soubory jako významnou součást osídlení a obrazu krajiny v kontextu historie osídlení s přesahem do sousedních krajů a států.</w:t>
      </w:r>
    </w:p>
    <w:p w14:paraId="3226CA20" w14:textId="77777777" w:rsidR="00092EFF" w:rsidRPr="00461C16" w:rsidRDefault="00092EFF"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Stanovit regulativy ochrany historicky cenných lokalit s kumulací lidové architektury, které nejsou vyhlášeny za památkově chráněná území. </w:t>
      </w:r>
    </w:p>
    <w:p w14:paraId="1524F6AF" w14:textId="77777777" w:rsidR="00485346" w:rsidRPr="00461C16" w:rsidRDefault="008A320B" w:rsidP="00A0717B">
      <w:pPr>
        <w:pStyle w:val="1text"/>
        <w:spacing w:after="120"/>
        <w:rPr>
          <w:i/>
        </w:rPr>
      </w:pPr>
      <w:r w:rsidRPr="00461C16">
        <w:rPr>
          <w:i/>
        </w:rPr>
        <w:t>Koncepcí ÚP jsou vymezeny urbanisticky významné kompoziční prvky a architektonicky cenné stavby. Pro ně je v kapitole B.3 Územního plánu (Základní koncepce ochrany a rozvoje kulturních hodnot území) stanovena obecná podmínka zohlednění jejich hodnot, z hlediska hmotového, materiálového a barevného řešení staveb. Součástí této evidence jsou i objekty lidové architektury, bez statutu nemovité kulturní památky.</w:t>
      </w:r>
    </w:p>
    <w:p w14:paraId="46184EDF" w14:textId="77777777" w:rsidR="00092EFF" w:rsidRPr="00461C16" w:rsidRDefault="00092EFF"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Podporovat využívání objektů lidové architektury pro trvalé bydlení i rozvoj šetrných forem cestovního ruchu a poznávací turistiky na území kraje.</w:t>
      </w:r>
    </w:p>
    <w:p w14:paraId="2D969CCD" w14:textId="77777777" w:rsidR="00485346" w:rsidRPr="00461C16" w:rsidRDefault="001260A8" w:rsidP="00A0717B">
      <w:pPr>
        <w:pStyle w:val="1text"/>
        <w:spacing w:after="120"/>
        <w:rPr>
          <w:i/>
        </w:rPr>
      </w:pPr>
      <w:r w:rsidRPr="00461C16">
        <w:rPr>
          <w:i/>
        </w:rPr>
        <w:t xml:space="preserve">Z hlediska způsobu využití nejsou </w:t>
      </w:r>
      <w:r w:rsidR="00DC19A0" w:rsidRPr="00461C16">
        <w:rPr>
          <w:i/>
        </w:rPr>
        <w:t>odlišeny</w:t>
      </w:r>
      <w:r w:rsidRPr="00461C16">
        <w:rPr>
          <w:i/>
        </w:rPr>
        <w:t xml:space="preserve"> objekty lidové architektury. Ty jsou začleněny dle skutečného způsobu využití zpravidla do ploch bydlení. Podmínky využití ploch umožňují v rámci přípustného využití jejich dostatečnou variabilitu, včetně využití pro rekreační bydlení.</w:t>
      </w:r>
    </w:p>
    <w:p w14:paraId="060A2B82" w14:textId="77777777" w:rsidR="00DC19A0" w:rsidRPr="00461C16" w:rsidRDefault="00DC19A0" w:rsidP="00DC19A0">
      <w:pPr>
        <w:pStyle w:val="4podnadpis"/>
      </w:pPr>
      <w:r w:rsidRPr="00461C16">
        <w:t>Respektovat archeologická naleziště dle evidence ÚAP Libereckého kraje a zajistit jejich ochranu.</w:t>
      </w:r>
    </w:p>
    <w:p w14:paraId="4F33D532" w14:textId="77777777" w:rsidR="00DC19A0" w:rsidRPr="00461C16" w:rsidRDefault="00DC19A0"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Vytvářet </w:t>
      </w:r>
      <w:r w:rsidR="009218A4" w:rsidRPr="00461C16">
        <w:rPr>
          <w:rFonts w:cs="Arial"/>
          <w:lang w:eastAsia="cs-CZ"/>
        </w:rPr>
        <w:t>ú</w:t>
      </w:r>
      <w:r w:rsidRPr="00461C16">
        <w:rPr>
          <w:rFonts w:cs="Arial"/>
          <w:lang w:eastAsia="cs-CZ"/>
        </w:rPr>
        <w:t>zemní podmínky pro zachování celistvosti a ochrany lokalit archeologických nálezů na původním místě a v prokazatelně cenných lokalitách omezit stavební činnost a zásahy do terénu.</w:t>
      </w:r>
    </w:p>
    <w:p w14:paraId="1286B722" w14:textId="77777777" w:rsidR="00DC19A0" w:rsidRPr="00461C16" w:rsidRDefault="00DC19A0" w:rsidP="00DC19A0">
      <w:pPr>
        <w:pStyle w:val="1text"/>
        <w:spacing w:after="120"/>
        <w:rPr>
          <w:rFonts w:cs="Arial"/>
          <w:i/>
          <w:lang w:eastAsia="cs-CZ"/>
        </w:rPr>
      </w:pPr>
      <w:r w:rsidRPr="00461C16">
        <w:rPr>
          <w:rFonts w:cs="Arial"/>
          <w:i/>
          <w:lang w:eastAsia="cs-CZ"/>
        </w:rPr>
        <w:lastRenderedPageBreak/>
        <w:t xml:space="preserve">Archeologická naleziště jsou chráněna jako kulturní hodnoty kraje a jsou respektována jako významný limit rozvoje území. </w:t>
      </w:r>
    </w:p>
    <w:p w14:paraId="552C5044" w14:textId="77777777" w:rsidR="00DC19A0" w:rsidRPr="00461C16" w:rsidRDefault="00DC19A0"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Podporovat uzemni požadavky na vybudování doprovodného informačního vybaveni.</w:t>
      </w:r>
    </w:p>
    <w:p w14:paraId="20103465" w14:textId="77777777" w:rsidR="00DC19A0" w:rsidRPr="00461C16" w:rsidRDefault="00DC19A0" w:rsidP="00DC19A0">
      <w:pPr>
        <w:autoSpaceDE w:val="0"/>
        <w:autoSpaceDN w:val="0"/>
        <w:adjustRightInd w:val="0"/>
        <w:spacing w:before="120" w:after="120" w:line="240" w:lineRule="auto"/>
        <w:rPr>
          <w:rFonts w:cs="Arial"/>
          <w:i/>
          <w:lang w:eastAsia="cs-CZ"/>
        </w:rPr>
      </w:pPr>
      <w:r w:rsidRPr="00461C16">
        <w:rPr>
          <w:rFonts w:cs="Arial"/>
          <w:i/>
          <w:lang w:eastAsia="cs-CZ"/>
        </w:rPr>
        <w:t xml:space="preserve">Mimo podrobnost územního plánu. </w:t>
      </w:r>
    </w:p>
    <w:p w14:paraId="28B6CB8D" w14:textId="77777777" w:rsidR="00DC19A0" w:rsidRPr="00461C16" w:rsidRDefault="00DC19A0" w:rsidP="00903F77">
      <w:pPr>
        <w:pStyle w:val="ListParagraph"/>
        <w:numPr>
          <w:ilvl w:val="0"/>
          <w:numId w:val="50"/>
        </w:numPr>
        <w:autoSpaceDE w:val="0"/>
        <w:autoSpaceDN w:val="0"/>
        <w:adjustRightInd w:val="0"/>
        <w:spacing w:before="120" w:after="120" w:line="240" w:lineRule="auto"/>
        <w:ind w:left="567" w:hanging="567"/>
      </w:pPr>
      <w:r w:rsidRPr="00461C16">
        <w:rPr>
          <w:rFonts w:cs="Arial"/>
          <w:lang w:eastAsia="cs-CZ"/>
        </w:rPr>
        <w:t>Zv</w:t>
      </w:r>
      <w:r w:rsidR="009218A4" w:rsidRPr="00461C16">
        <w:rPr>
          <w:rFonts w:cs="Arial"/>
          <w:lang w:eastAsia="cs-CZ"/>
        </w:rPr>
        <w:t>ý</w:t>
      </w:r>
      <w:r w:rsidRPr="00461C16">
        <w:rPr>
          <w:rFonts w:cs="Arial"/>
          <w:lang w:eastAsia="cs-CZ"/>
        </w:rPr>
        <w:t>šenou pozornost věnovat předevš</w:t>
      </w:r>
      <w:r w:rsidR="009218A4" w:rsidRPr="00461C16">
        <w:rPr>
          <w:rFonts w:cs="Arial"/>
          <w:lang w:eastAsia="cs-CZ"/>
        </w:rPr>
        <w:t>í</w:t>
      </w:r>
      <w:r w:rsidRPr="00461C16">
        <w:rPr>
          <w:rFonts w:cs="Arial"/>
          <w:lang w:eastAsia="cs-CZ"/>
        </w:rPr>
        <w:t>m p</w:t>
      </w:r>
      <w:r w:rsidR="009218A4" w:rsidRPr="00461C16">
        <w:rPr>
          <w:rFonts w:cs="Arial"/>
          <w:lang w:eastAsia="cs-CZ"/>
        </w:rPr>
        <w:t>á</w:t>
      </w:r>
      <w:r w:rsidRPr="00461C16">
        <w:rPr>
          <w:rFonts w:cs="Arial"/>
          <w:lang w:eastAsia="cs-CZ"/>
        </w:rPr>
        <w:t xml:space="preserve">su </w:t>
      </w:r>
      <w:r w:rsidR="009218A4" w:rsidRPr="00461C16">
        <w:rPr>
          <w:rFonts w:cs="Arial"/>
          <w:lang w:eastAsia="cs-CZ"/>
        </w:rPr>
        <w:t>ú</w:t>
      </w:r>
      <w:r w:rsidRPr="00461C16">
        <w:rPr>
          <w:rFonts w:cs="Arial"/>
          <w:lang w:eastAsia="cs-CZ"/>
        </w:rPr>
        <w:t>zem</w:t>
      </w:r>
      <w:r w:rsidR="009218A4" w:rsidRPr="00461C16">
        <w:rPr>
          <w:rFonts w:cs="Arial"/>
          <w:lang w:eastAsia="cs-CZ"/>
        </w:rPr>
        <w:t>í</w:t>
      </w:r>
      <w:r w:rsidRPr="00461C16">
        <w:rPr>
          <w:rFonts w:cs="Arial"/>
          <w:lang w:eastAsia="cs-CZ"/>
        </w:rPr>
        <w:t xml:space="preserve"> pod</w:t>
      </w:r>
      <w:r w:rsidR="009218A4" w:rsidRPr="00461C16">
        <w:rPr>
          <w:rFonts w:cs="Arial"/>
          <w:lang w:eastAsia="cs-CZ"/>
        </w:rPr>
        <w:t>é</w:t>
      </w:r>
      <w:r w:rsidRPr="00461C16">
        <w:rPr>
          <w:rFonts w:cs="Arial"/>
          <w:lang w:eastAsia="cs-CZ"/>
        </w:rPr>
        <w:t xml:space="preserve">l Jizery (přibližně </w:t>
      </w:r>
      <w:r w:rsidR="009218A4" w:rsidRPr="00461C16">
        <w:rPr>
          <w:rFonts w:cs="Arial"/>
          <w:lang w:eastAsia="cs-CZ"/>
        </w:rPr>
        <w:t>ú</w:t>
      </w:r>
      <w:r w:rsidRPr="00461C16">
        <w:rPr>
          <w:rFonts w:cs="Arial"/>
          <w:lang w:eastAsia="cs-CZ"/>
        </w:rPr>
        <w:t>zem</w:t>
      </w:r>
      <w:r w:rsidR="009218A4" w:rsidRPr="00461C16">
        <w:rPr>
          <w:rFonts w:cs="Arial"/>
          <w:lang w:eastAsia="cs-CZ"/>
        </w:rPr>
        <w:t>í</w:t>
      </w:r>
      <w:r w:rsidRPr="00461C16">
        <w:rPr>
          <w:rFonts w:cs="Arial"/>
          <w:lang w:eastAsia="cs-CZ"/>
        </w:rPr>
        <w:t xml:space="preserve"> Turnov - Svijany), </w:t>
      </w:r>
      <w:r w:rsidR="009218A4" w:rsidRPr="00461C16">
        <w:rPr>
          <w:rFonts w:cs="Arial"/>
          <w:lang w:eastAsia="cs-CZ"/>
        </w:rPr>
        <w:t>ú</w:t>
      </w:r>
      <w:r w:rsidRPr="00461C16">
        <w:rPr>
          <w:rFonts w:cs="Arial"/>
          <w:lang w:eastAsia="cs-CZ"/>
        </w:rPr>
        <w:t>zem</w:t>
      </w:r>
      <w:r w:rsidR="009218A4" w:rsidRPr="00461C16">
        <w:rPr>
          <w:rFonts w:cs="Arial"/>
          <w:lang w:eastAsia="cs-CZ"/>
        </w:rPr>
        <w:t>í</w:t>
      </w:r>
      <w:r w:rsidRPr="00461C16">
        <w:rPr>
          <w:rFonts w:cs="Arial"/>
          <w:lang w:eastAsia="cs-CZ"/>
        </w:rPr>
        <w:t xml:space="preserve"> </w:t>
      </w:r>
      <w:r w:rsidR="009218A4" w:rsidRPr="00461C16">
        <w:rPr>
          <w:rFonts w:cs="Arial"/>
          <w:lang w:eastAsia="cs-CZ"/>
        </w:rPr>
        <w:t>Č</w:t>
      </w:r>
      <w:r w:rsidRPr="00461C16">
        <w:rPr>
          <w:rFonts w:cs="Arial"/>
          <w:lang w:eastAsia="cs-CZ"/>
        </w:rPr>
        <w:t>esk</w:t>
      </w:r>
      <w:r w:rsidR="009218A4" w:rsidRPr="00461C16">
        <w:rPr>
          <w:rFonts w:cs="Arial"/>
          <w:lang w:eastAsia="cs-CZ"/>
        </w:rPr>
        <w:t>é</w:t>
      </w:r>
      <w:r w:rsidRPr="00461C16">
        <w:rPr>
          <w:rFonts w:cs="Arial"/>
          <w:lang w:eastAsia="cs-CZ"/>
        </w:rPr>
        <w:t>ho r</w:t>
      </w:r>
      <w:r w:rsidR="009218A4" w:rsidRPr="00461C16">
        <w:rPr>
          <w:rFonts w:cs="Arial"/>
          <w:lang w:eastAsia="cs-CZ"/>
        </w:rPr>
        <w:t>á</w:t>
      </w:r>
      <w:r w:rsidRPr="00461C16">
        <w:rPr>
          <w:rFonts w:cs="Arial"/>
          <w:lang w:eastAsia="cs-CZ"/>
        </w:rPr>
        <w:t>je, Kokoř</w:t>
      </w:r>
      <w:r w:rsidR="009218A4" w:rsidRPr="00461C16">
        <w:rPr>
          <w:rFonts w:cs="Arial"/>
          <w:lang w:eastAsia="cs-CZ"/>
        </w:rPr>
        <w:t>í</w:t>
      </w:r>
      <w:r w:rsidRPr="00461C16">
        <w:rPr>
          <w:rFonts w:cs="Arial"/>
          <w:lang w:eastAsia="cs-CZ"/>
        </w:rPr>
        <w:t>nska, Fr</w:t>
      </w:r>
      <w:r w:rsidR="009218A4" w:rsidRPr="00461C16">
        <w:rPr>
          <w:rFonts w:cs="Arial"/>
          <w:lang w:eastAsia="cs-CZ"/>
        </w:rPr>
        <w:t>ý</w:t>
      </w:r>
      <w:r w:rsidRPr="00461C16">
        <w:rPr>
          <w:rFonts w:cs="Arial"/>
          <w:lang w:eastAsia="cs-CZ"/>
        </w:rPr>
        <w:t xml:space="preserve">dlantska a </w:t>
      </w:r>
      <w:r w:rsidR="00A778BE" w:rsidRPr="00461C16">
        <w:rPr>
          <w:rFonts w:cs="Arial"/>
          <w:lang w:eastAsia="cs-CZ"/>
        </w:rPr>
        <w:t>Č</w:t>
      </w:r>
      <w:r w:rsidRPr="00461C16">
        <w:rPr>
          <w:rFonts w:cs="Arial"/>
          <w:lang w:eastAsia="cs-CZ"/>
        </w:rPr>
        <w:t>eskodubska.</w:t>
      </w:r>
    </w:p>
    <w:p w14:paraId="07ABB74B" w14:textId="77777777" w:rsidR="009218A4" w:rsidRPr="00461C16" w:rsidRDefault="009218A4" w:rsidP="009218A4">
      <w:pPr>
        <w:autoSpaceDE w:val="0"/>
        <w:autoSpaceDN w:val="0"/>
        <w:adjustRightInd w:val="0"/>
        <w:spacing w:before="120" w:after="120" w:line="240" w:lineRule="auto"/>
        <w:rPr>
          <w:i/>
        </w:rPr>
      </w:pPr>
      <w:r w:rsidRPr="00461C16">
        <w:rPr>
          <w:i/>
        </w:rPr>
        <w:t xml:space="preserve">Územní vymezení se netýká Hrádku nad Nisou. </w:t>
      </w:r>
    </w:p>
    <w:p w14:paraId="61A36E45" w14:textId="77777777" w:rsidR="00BC4524" w:rsidRPr="00461C16" w:rsidRDefault="00FB1CCD" w:rsidP="00316DB1">
      <w:pPr>
        <w:pStyle w:val="Heading3"/>
      </w:pPr>
      <w:bookmarkStart w:id="31" w:name="_Toc36116247"/>
      <w:r w:rsidRPr="00461C16">
        <w:t>1</w:t>
      </w:r>
      <w:r w:rsidR="002F1727" w:rsidRPr="00461C16">
        <w:t>.</w:t>
      </w:r>
      <w:r w:rsidR="004A6672" w:rsidRPr="00461C16">
        <w:t>2.</w:t>
      </w:r>
      <w:r w:rsidR="0062448C" w:rsidRPr="00461C16">
        <w:t>8</w:t>
      </w:r>
      <w:r w:rsidR="004A6672" w:rsidRPr="00461C16">
        <w:tab/>
      </w:r>
      <w:r w:rsidR="00DC19A0" w:rsidRPr="00461C16">
        <w:t xml:space="preserve">Zásady koncepce ochrany civilizačních </w:t>
      </w:r>
      <w:r w:rsidR="00BC4524" w:rsidRPr="00461C16">
        <w:t>hodnot</w:t>
      </w:r>
      <w:bookmarkEnd w:id="31"/>
    </w:p>
    <w:p w14:paraId="55CA257B" w14:textId="77777777" w:rsidR="00BC4524" w:rsidRPr="00461C16" w:rsidRDefault="00BC4524" w:rsidP="00BC4524">
      <w:pPr>
        <w:pStyle w:val="1text"/>
      </w:pPr>
      <w:r w:rsidRPr="00461C16">
        <w:t xml:space="preserve">Mezi civilizační hodnoty území kraje jsou </w:t>
      </w:r>
      <w:r w:rsidR="00AC7730" w:rsidRPr="00461C16">
        <w:t>ve správním</w:t>
      </w:r>
      <w:r w:rsidR="00FB6A5F" w:rsidRPr="00461C16">
        <w:t xml:space="preserve"> území města Hrádek nad Nisou v ZÚR LK</w:t>
      </w:r>
      <w:r w:rsidRPr="00461C16">
        <w:t xml:space="preserve"> zařazeny:</w:t>
      </w:r>
    </w:p>
    <w:p w14:paraId="470CC669" w14:textId="77777777" w:rsidR="00BC4524" w:rsidRPr="00461C16" w:rsidRDefault="00FB6A5F" w:rsidP="004B62B3">
      <w:pPr>
        <w:pStyle w:val="1text"/>
        <w:numPr>
          <w:ilvl w:val="0"/>
          <w:numId w:val="21"/>
        </w:numPr>
        <w:rPr>
          <w:b/>
        </w:rPr>
      </w:pPr>
      <w:r w:rsidRPr="00461C16">
        <w:rPr>
          <w:b/>
        </w:rPr>
        <w:t>rozvoj struktury osídlení</w:t>
      </w:r>
    </w:p>
    <w:p w14:paraId="5024851B" w14:textId="77777777" w:rsidR="00BC4524" w:rsidRPr="00461C16" w:rsidRDefault="00FB6A5F" w:rsidP="004B62B3">
      <w:pPr>
        <w:pStyle w:val="1text"/>
        <w:numPr>
          <w:ilvl w:val="0"/>
          <w:numId w:val="21"/>
        </w:numPr>
        <w:rPr>
          <w:b/>
        </w:rPr>
      </w:pPr>
      <w:r w:rsidRPr="00461C16">
        <w:rPr>
          <w:b/>
        </w:rPr>
        <w:t>koncepce územního uspořádání, typologie venkovských a městských prostorů</w:t>
      </w:r>
    </w:p>
    <w:p w14:paraId="24134A48" w14:textId="77777777" w:rsidR="00AC7730" w:rsidRPr="00461C16" w:rsidRDefault="00FB6A5F" w:rsidP="004B62B3">
      <w:pPr>
        <w:pStyle w:val="1text"/>
        <w:numPr>
          <w:ilvl w:val="0"/>
          <w:numId w:val="21"/>
        </w:numPr>
        <w:rPr>
          <w:b/>
        </w:rPr>
      </w:pPr>
      <w:r w:rsidRPr="00461C16">
        <w:rPr>
          <w:b/>
        </w:rPr>
        <w:t>urbanistické a architektonické hodnoty</w:t>
      </w:r>
    </w:p>
    <w:p w14:paraId="13156E19" w14:textId="77777777" w:rsidR="00AC7730" w:rsidRPr="00461C16" w:rsidRDefault="00AC7730" w:rsidP="004B62B3">
      <w:pPr>
        <w:pStyle w:val="1text"/>
        <w:numPr>
          <w:ilvl w:val="0"/>
          <w:numId w:val="21"/>
        </w:numPr>
      </w:pPr>
      <w:r w:rsidRPr="00461C16">
        <w:rPr>
          <w:b/>
        </w:rPr>
        <w:t>ekonomická základna</w:t>
      </w:r>
      <w:r w:rsidR="00FB6A5F" w:rsidRPr="00461C16">
        <w:rPr>
          <w:b/>
        </w:rPr>
        <w:t xml:space="preserve"> kraje</w:t>
      </w:r>
    </w:p>
    <w:p w14:paraId="382D6290" w14:textId="77777777" w:rsidR="00FB6A5F" w:rsidRPr="00461C16" w:rsidRDefault="00FB6A5F" w:rsidP="004B62B3">
      <w:pPr>
        <w:pStyle w:val="1text"/>
        <w:numPr>
          <w:ilvl w:val="0"/>
          <w:numId w:val="21"/>
        </w:numPr>
      </w:pPr>
      <w:r w:rsidRPr="00461C16">
        <w:rPr>
          <w:b/>
        </w:rPr>
        <w:t>občanské vybavení</w:t>
      </w:r>
    </w:p>
    <w:p w14:paraId="402B11F8" w14:textId="77777777" w:rsidR="00FB6A5F" w:rsidRPr="00461C16" w:rsidRDefault="00FB6A5F" w:rsidP="004B62B3">
      <w:pPr>
        <w:pStyle w:val="1text"/>
        <w:numPr>
          <w:ilvl w:val="0"/>
          <w:numId w:val="21"/>
        </w:numPr>
      </w:pPr>
      <w:r w:rsidRPr="00461C16">
        <w:rPr>
          <w:b/>
        </w:rPr>
        <w:t>cestovní ruch, rekreace</w:t>
      </w:r>
    </w:p>
    <w:p w14:paraId="4F5D20E6" w14:textId="77777777" w:rsidR="00FB6A5F" w:rsidRPr="00461C16" w:rsidRDefault="00FB6A5F" w:rsidP="004B62B3">
      <w:pPr>
        <w:pStyle w:val="1text"/>
        <w:numPr>
          <w:ilvl w:val="0"/>
          <w:numId w:val="21"/>
        </w:numPr>
      </w:pPr>
      <w:r w:rsidRPr="00461C16">
        <w:rPr>
          <w:b/>
        </w:rPr>
        <w:t>koncepce ochrany území a zvýšení jeho bezpečnosti</w:t>
      </w:r>
    </w:p>
    <w:p w14:paraId="42C3EE2C" w14:textId="77777777" w:rsidR="00DC19A0" w:rsidRPr="00461C16" w:rsidRDefault="00DC19A0" w:rsidP="00DC19A0">
      <w:pPr>
        <w:pStyle w:val="4podnadpis"/>
      </w:pPr>
      <w:r w:rsidRPr="00461C16">
        <w:t>Upevňovat strukturu osídlení jako hierarchický systém s jednoznačným přiřazením každé obce k jednomu nespornému centru osídlení, jehož spádový obvod je dále jednoznačně přiřazen k centru osídlení vyššímu.</w:t>
      </w:r>
    </w:p>
    <w:p w14:paraId="7194E6EC"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Území kraje považovat z hlediska struktury osídlení rozděl</w:t>
      </w:r>
      <w:r w:rsidR="002108EB" w:rsidRPr="00461C16">
        <w:rPr>
          <w:rFonts w:cs="Arial"/>
          <w:lang w:eastAsia="cs-CZ"/>
        </w:rPr>
        <w:t>e</w:t>
      </w:r>
      <w:r w:rsidRPr="00461C16">
        <w:rPr>
          <w:rFonts w:cs="Arial"/>
          <w:lang w:eastAsia="cs-CZ"/>
        </w:rPr>
        <w:t xml:space="preserve">né na 38 spádových obvodů nesporných center osídlení respektujících hranice kraje a s výjimkou dvou obvodů (Česká Lípa a Nový Bor) také hranice správních obvodů obcí s rozšířenou působností. </w:t>
      </w:r>
    </w:p>
    <w:p w14:paraId="786BDCDF" w14:textId="77777777" w:rsidR="00485346" w:rsidRPr="00461C16" w:rsidRDefault="002108EB" w:rsidP="00A0717B">
      <w:pPr>
        <w:pStyle w:val="1text"/>
        <w:spacing w:after="120"/>
        <w:rPr>
          <w:i/>
        </w:rPr>
      </w:pPr>
      <w:r w:rsidRPr="00461C16">
        <w:rPr>
          <w:i/>
        </w:rPr>
        <w:t>Administrativní členění je koncepcí ÚP respektováno, stejně jako vlastní struktura osídlení.</w:t>
      </w:r>
    </w:p>
    <w:p w14:paraId="5D056201"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Strukturu osídlení považovat za systém, v němž je každá obec jednoznačně přiřazena k jednomu nespornému centru osídlení a jeho spádový obvod je jednoznačně přiřazen k centru osídlení hierarchicky vyššího významu. </w:t>
      </w:r>
    </w:p>
    <w:p w14:paraId="328D981B" w14:textId="77777777" w:rsidR="00485346" w:rsidRPr="00461C16" w:rsidRDefault="002108EB" w:rsidP="00A0717B">
      <w:pPr>
        <w:pStyle w:val="1text"/>
        <w:spacing w:after="120"/>
        <w:rPr>
          <w:i/>
        </w:rPr>
      </w:pPr>
      <w:r w:rsidRPr="00461C16">
        <w:rPr>
          <w:i/>
        </w:rPr>
        <w:t xml:space="preserve">Administrativní členění je respektováno, stejně jako vlastní struktura osídlení a tvoří základ koncepce ÚP. Město Hrádek nad Nisou spáduje do hierarchicky vyššího sídla, tedy krajského města Liberec. Uvnitř vlastního sídla Hrádek nad Nisou spádují jednotlivé izolované části města do části Hrádek nad Nisou. </w:t>
      </w:r>
    </w:p>
    <w:p w14:paraId="7D11122E"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Při koordinaci územně plánovací činnosti a územně plánovací dokumentace obcí vycházet z metody výpočtu potenciálních uživatelů území zahrnující vedle trvale bydlících obyvatel také ostatní uživatele území z důvodu práce, vzdělávání, rekreace a druhého bydlení. Dále také vycházet z aktualizované kategorizace obcí podle vlivu jednodenní návštěvnosti území.</w:t>
      </w:r>
    </w:p>
    <w:p w14:paraId="12F36EC4" w14:textId="77777777" w:rsidR="00485346" w:rsidRPr="00461C16" w:rsidRDefault="002108EB" w:rsidP="00A0717B">
      <w:pPr>
        <w:pStyle w:val="1text"/>
        <w:spacing w:after="120"/>
        <w:rPr>
          <w:i/>
        </w:rPr>
      </w:pPr>
      <w:r w:rsidRPr="00461C16">
        <w:rPr>
          <w:i/>
        </w:rPr>
        <w:t xml:space="preserve">Koncepce ÚP vychází jak ze stávajícího počtu obyvatel, tak i z jeho předpokládaného navýšení při realizaci navržených záměrů, včetně zahrnutí vlivu sezónní návštěvnosti. Bilance počtu obyvatel jsou východiskem pro stanovení nároků na veřejnou infrastrukturu. </w:t>
      </w:r>
    </w:p>
    <w:p w14:paraId="1FED1904"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V podmínkách Libereckého kraje považovat za zvláště významnou kategorii obcí a jejich funkčních kooperací s významným vlivem ostatních uživatelů území, jež výrazně zvyšují nároky na územně plánovací činnost, ale především na územně technické a jiné vybavení obcí. </w:t>
      </w:r>
    </w:p>
    <w:p w14:paraId="65E570B0" w14:textId="77777777" w:rsidR="00485346" w:rsidRPr="00461C16" w:rsidRDefault="002108EB" w:rsidP="00A0717B">
      <w:pPr>
        <w:pStyle w:val="1text"/>
        <w:spacing w:after="120"/>
        <w:rPr>
          <w:i/>
        </w:rPr>
      </w:pPr>
      <w:r w:rsidRPr="00461C16">
        <w:rPr>
          <w:i/>
        </w:rPr>
        <w:t xml:space="preserve">viz </w:t>
      </w:r>
      <w:r w:rsidR="00485346" w:rsidRPr="00461C16">
        <w:rPr>
          <w:i/>
        </w:rPr>
        <w:t>vyhodnocení</w:t>
      </w:r>
      <w:r w:rsidRPr="00461C16">
        <w:rPr>
          <w:i/>
        </w:rPr>
        <w:t xml:space="preserve"> požadavku č. 115</w:t>
      </w:r>
    </w:p>
    <w:p w14:paraId="2E20FFA8"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lastRenderedPageBreak/>
        <w:t xml:space="preserve">Pro koordinaci územně plánovacích a rozvojových aktivit používat také členění obcí podle hustoty potenciálních uživatelů území na zastavěné plochy, vyjadřující různou míru urbanizačního tlaku na území a míru jeho skutečného nebo potenciálního zatížení. </w:t>
      </w:r>
    </w:p>
    <w:p w14:paraId="42FCA334" w14:textId="77777777" w:rsidR="00485346" w:rsidRPr="00461C16" w:rsidRDefault="002108EB" w:rsidP="00A0717B">
      <w:pPr>
        <w:pStyle w:val="1text"/>
        <w:spacing w:after="120"/>
        <w:rPr>
          <w:i/>
        </w:rPr>
      </w:pPr>
      <w:r w:rsidRPr="00461C16">
        <w:rPr>
          <w:i/>
        </w:rPr>
        <w:t>Koncepce ÚP vychází ze struktury i hustoty osídlení, která je proměnlivá nejen v rozsahu celého správního území města, ale i uvnitř zastavěného území. Tomu uzpůsobuje rozsah i charakter navrhovaných intervencí.</w:t>
      </w:r>
    </w:p>
    <w:p w14:paraId="710DCD31"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Podrobněji analyzovat příčiny a důsledky snížené vnitřní integrity Libereckého kraje. Českolipsko a Jilemnice jsou spádovými procesy svých obyvatel vázány silněji k Mladé Boleslavi a k Vrchlabí, resp. k Praze než k Liberci. </w:t>
      </w:r>
    </w:p>
    <w:p w14:paraId="3985BFB2" w14:textId="77777777" w:rsidR="00485346" w:rsidRPr="00461C16" w:rsidRDefault="002108EB" w:rsidP="00A0717B">
      <w:pPr>
        <w:pStyle w:val="1text"/>
        <w:spacing w:after="120"/>
        <w:rPr>
          <w:i/>
        </w:rPr>
      </w:pPr>
      <w:r w:rsidRPr="00461C16">
        <w:rPr>
          <w:i/>
        </w:rPr>
        <w:t xml:space="preserve">Požadavek se netýká správního území města Hrádek nad Nisou, které přirozeně spáduje právě do krajského města Liberec. </w:t>
      </w:r>
    </w:p>
    <w:p w14:paraId="5B17E2E8"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Koordinaci územně plánovací činností obcí založit na respektování spádových obvodů nesporných center osídlení a vymezených funkčních kooperací, které tvoří základní rámec pro hodnocení vlivu širších vztahů a stanovení problémů k řešení s nadmístním významem, jež se týká více obcí. </w:t>
      </w:r>
    </w:p>
    <w:p w14:paraId="3E68D6EB" w14:textId="77777777" w:rsidR="00485346" w:rsidRPr="00461C16" w:rsidRDefault="00736F4A" w:rsidP="00A0717B">
      <w:pPr>
        <w:pStyle w:val="1text"/>
        <w:spacing w:after="120"/>
        <w:rPr>
          <w:i/>
        </w:rPr>
      </w:pPr>
      <w:r w:rsidRPr="00461C16">
        <w:rPr>
          <w:i/>
        </w:rPr>
        <w:t>viz vyhodnocení požadavku č. 114</w:t>
      </w:r>
    </w:p>
    <w:p w14:paraId="5709B9C8"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Regionální význam center osídlení a jejich vybavenost hodnotit podle velikosti potenciálních uživatelů území ve spádových obvodech jejich nejvyšší působnosti. </w:t>
      </w:r>
    </w:p>
    <w:p w14:paraId="2B290147" w14:textId="77777777" w:rsidR="00485346" w:rsidRPr="00461C16" w:rsidRDefault="00736F4A" w:rsidP="00A0717B">
      <w:pPr>
        <w:pStyle w:val="1text"/>
        <w:spacing w:after="120"/>
        <w:rPr>
          <w:i/>
        </w:rPr>
      </w:pPr>
      <w:r w:rsidRPr="00461C16">
        <w:rPr>
          <w:i/>
        </w:rPr>
        <w:t>viz vyhodnocení požadavku č. 115</w:t>
      </w:r>
    </w:p>
    <w:p w14:paraId="5F22CF8B"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Význam ostatních obcí (neplnící funkce center osídlení) hodnotit podle počtu potenciálních uživatelů území a jejich hustoty na zastavěné plochy jako vyjádření skutečných, možných a předpokládaných absolutních a relativních zátěží jejich území. </w:t>
      </w:r>
    </w:p>
    <w:p w14:paraId="5580DDAA" w14:textId="77777777" w:rsidR="00485346" w:rsidRPr="00461C16" w:rsidRDefault="00736F4A" w:rsidP="00A0717B">
      <w:pPr>
        <w:pStyle w:val="1text"/>
        <w:spacing w:after="120"/>
        <w:rPr>
          <w:i/>
        </w:rPr>
      </w:pPr>
      <w:r w:rsidRPr="00461C16">
        <w:rPr>
          <w:i/>
        </w:rPr>
        <w:t>Požadavek se netýká města Hrádek nad Nisou, které je vymezeno jako mikroregionální centrum osídlení nižšího stupně.</w:t>
      </w:r>
    </w:p>
    <w:p w14:paraId="4BC49840" w14:textId="77777777" w:rsidR="007C2967" w:rsidRPr="00461C16" w:rsidRDefault="007C2967"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Na území Libereckého kraje respektovat navrženou strukturu osídlení rozdělením obcí do šesti hierarchických</w:t>
      </w:r>
      <w:r w:rsidR="004C3336" w:rsidRPr="00461C16">
        <w:rPr>
          <w:rFonts w:cs="Arial"/>
          <w:lang w:eastAsia="cs-CZ"/>
        </w:rPr>
        <w:t xml:space="preserve"> kate</w:t>
      </w:r>
      <w:r w:rsidRPr="00461C16">
        <w:rPr>
          <w:rFonts w:cs="Arial"/>
          <w:lang w:eastAsia="cs-CZ"/>
        </w:rPr>
        <w:t>gorií – jež zahrnují nesporná centra osídlení (pět kategorií) a ostatní (nestřediskové) obce:</w:t>
      </w:r>
    </w:p>
    <w:p w14:paraId="5011B2C1" w14:textId="77777777" w:rsidR="007C2967" w:rsidRPr="00461C16" w:rsidRDefault="007C2967" w:rsidP="001C22D8">
      <w:pPr>
        <w:pStyle w:val="ListParagraph"/>
        <w:numPr>
          <w:ilvl w:val="1"/>
          <w:numId w:val="13"/>
        </w:numPr>
        <w:autoSpaceDE w:val="0"/>
        <w:autoSpaceDN w:val="0"/>
        <w:adjustRightInd w:val="0"/>
        <w:spacing w:before="60" w:line="240" w:lineRule="auto"/>
        <w:rPr>
          <w:rFonts w:cs="Arial"/>
          <w:lang w:eastAsia="cs-CZ"/>
        </w:rPr>
      </w:pPr>
      <w:r w:rsidRPr="00461C16">
        <w:rPr>
          <w:rFonts w:cs="Arial"/>
          <w:lang w:eastAsia="cs-CZ"/>
        </w:rPr>
        <w:t>centrum a region nadregionálního významu: Liberec</w:t>
      </w:r>
    </w:p>
    <w:p w14:paraId="52037858" w14:textId="77777777" w:rsidR="007C2967" w:rsidRPr="00461C16" w:rsidRDefault="007C2967" w:rsidP="001C22D8">
      <w:pPr>
        <w:pStyle w:val="ListParagraph"/>
        <w:numPr>
          <w:ilvl w:val="1"/>
          <w:numId w:val="13"/>
        </w:numPr>
        <w:autoSpaceDE w:val="0"/>
        <w:autoSpaceDN w:val="0"/>
        <w:adjustRightInd w:val="0"/>
        <w:spacing w:before="60" w:line="240" w:lineRule="auto"/>
        <w:rPr>
          <w:rFonts w:cs="Arial"/>
          <w:lang w:eastAsia="cs-CZ"/>
        </w:rPr>
      </w:pPr>
      <w:r w:rsidRPr="00461C16">
        <w:rPr>
          <w:rFonts w:cs="Arial"/>
          <w:lang w:eastAsia="cs-CZ"/>
        </w:rPr>
        <w:t>centra a regiony regionálního významu: Česká Lípa, Jablonec nad Nisou, Turnov</w:t>
      </w:r>
    </w:p>
    <w:p w14:paraId="6A2CA6D3" w14:textId="77777777" w:rsidR="007C2967" w:rsidRPr="00461C16" w:rsidRDefault="007C2967" w:rsidP="001C22D8">
      <w:pPr>
        <w:pStyle w:val="ListParagraph"/>
        <w:numPr>
          <w:ilvl w:val="1"/>
          <w:numId w:val="13"/>
        </w:numPr>
        <w:autoSpaceDE w:val="0"/>
        <w:autoSpaceDN w:val="0"/>
        <w:adjustRightInd w:val="0"/>
        <w:spacing w:before="60" w:line="240" w:lineRule="auto"/>
        <w:rPr>
          <w:rFonts w:cs="Arial"/>
          <w:lang w:eastAsia="cs-CZ"/>
        </w:rPr>
      </w:pPr>
      <w:r w:rsidRPr="00461C16">
        <w:rPr>
          <w:rFonts w:cs="Arial"/>
          <w:lang w:eastAsia="cs-CZ"/>
        </w:rPr>
        <w:t>centra a regiony mikroregionálního významu vyššího stupně: Frýdlant, Jilemn</w:t>
      </w:r>
      <w:r w:rsidR="004C3336" w:rsidRPr="00461C16">
        <w:rPr>
          <w:rFonts w:cs="Arial"/>
          <w:lang w:eastAsia="cs-CZ"/>
        </w:rPr>
        <w:t>ice, Nový Bor, Semily, Tanvald</w:t>
      </w:r>
    </w:p>
    <w:p w14:paraId="4E08EB35" w14:textId="77777777" w:rsidR="004C3336" w:rsidRPr="00461C16" w:rsidRDefault="004C3336" w:rsidP="001C22D8">
      <w:pPr>
        <w:pStyle w:val="ListParagraph"/>
        <w:numPr>
          <w:ilvl w:val="1"/>
          <w:numId w:val="13"/>
        </w:numPr>
        <w:autoSpaceDE w:val="0"/>
        <w:autoSpaceDN w:val="0"/>
        <w:adjustRightInd w:val="0"/>
        <w:spacing w:before="60" w:line="240" w:lineRule="auto"/>
        <w:rPr>
          <w:rFonts w:cs="Arial"/>
          <w:lang w:eastAsia="cs-CZ"/>
        </w:rPr>
      </w:pPr>
      <w:r w:rsidRPr="00461C16">
        <w:rPr>
          <w:rFonts w:cs="Arial"/>
          <w:lang w:eastAsia="cs-CZ"/>
        </w:rPr>
        <w:t>centra a regiony mikroregionálního významu nižšího stupně: Cvikov, Český Dub, Desná, Dubá, Doksy, Harrachov, Hejnice, Hrádek nad Nisou, Chrastava, Jablonné v Podještědí, Kamenický Šenov, Lomnice nad Popelkou, Mimoň, Nové Město pod Smrkem, Rokytnice nad Jizerou, Smržovka, Stráž pod Ralskem, Velké Hamry, Železný Brod</w:t>
      </w:r>
    </w:p>
    <w:p w14:paraId="47342213" w14:textId="77777777" w:rsidR="004C3336" w:rsidRPr="00461C16" w:rsidRDefault="004C3336" w:rsidP="001C22D8">
      <w:pPr>
        <w:pStyle w:val="ListParagraph"/>
        <w:numPr>
          <w:ilvl w:val="1"/>
          <w:numId w:val="13"/>
        </w:numPr>
        <w:autoSpaceDE w:val="0"/>
        <w:autoSpaceDN w:val="0"/>
        <w:adjustRightInd w:val="0"/>
        <w:spacing w:before="60" w:line="240" w:lineRule="auto"/>
        <w:rPr>
          <w:rFonts w:cs="Arial"/>
          <w:lang w:eastAsia="cs-CZ"/>
        </w:rPr>
      </w:pPr>
      <w:r w:rsidRPr="00461C16">
        <w:rPr>
          <w:rFonts w:cs="Arial"/>
          <w:lang w:eastAsia="cs-CZ"/>
        </w:rPr>
        <w:t>centra a regiony subregionálního významu: Hodkovice nad Mohelkou, Jablonec nad Jizerou, Josfův Důl, Osečná, Raspenava, Rovensko pod Troskami, Rychnov u Jablonce nad Nisou, Vysoké nad Jizerou, Zákupy, Žandov</w:t>
      </w:r>
    </w:p>
    <w:p w14:paraId="360C1A3B" w14:textId="77777777" w:rsidR="004C3336" w:rsidRPr="00461C16" w:rsidRDefault="004C3336" w:rsidP="001C22D8">
      <w:pPr>
        <w:pStyle w:val="ListParagraph"/>
        <w:numPr>
          <w:ilvl w:val="1"/>
          <w:numId w:val="13"/>
        </w:numPr>
        <w:autoSpaceDE w:val="0"/>
        <w:autoSpaceDN w:val="0"/>
        <w:adjustRightInd w:val="0"/>
        <w:spacing w:before="60" w:line="240" w:lineRule="auto"/>
        <w:rPr>
          <w:rFonts w:cs="Arial"/>
          <w:lang w:eastAsia="cs-CZ"/>
        </w:rPr>
      </w:pPr>
      <w:r w:rsidRPr="00461C16">
        <w:rPr>
          <w:rFonts w:cs="Arial"/>
          <w:lang w:eastAsia="cs-CZ"/>
        </w:rPr>
        <w:t>ostatní obce (nestřediskové) – neplnící funkce nesporných center osídlení</w:t>
      </w:r>
    </w:p>
    <w:p w14:paraId="09570F6C" w14:textId="77777777" w:rsidR="00485346" w:rsidRPr="00461C16" w:rsidRDefault="002108EB" w:rsidP="00485346">
      <w:pPr>
        <w:pStyle w:val="1text"/>
        <w:rPr>
          <w:i/>
        </w:rPr>
      </w:pPr>
      <w:r w:rsidRPr="00461C16">
        <w:rPr>
          <w:i/>
        </w:rPr>
        <w:t>Struktura osídlení, stanovená ZÚR Libereckého kraje, je koncepcí ÚP respektována. Město Hrádek nad Nisou je rozvíjeno jako centrum mikroregionálního významu. Tomu odpovídá i předpokládaná potřeba na rozvoj jednotlivých funkčních složek, z hlediska struktury i plošného rozsahu.</w:t>
      </w:r>
    </w:p>
    <w:p w14:paraId="6BF7485F" w14:textId="77777777" w:rsidR="004C3336" w:rsidRPr="00461C16" w:rsidRDefault="004C3336" w:rsidP="00753F4E">
      <w:pPr>
        <w:pStyle w:val="4podnadpis"/>
      </w:pPr>
      <w:r w:rsidRPr="00461C16">
        <w:t>Vytvářet územní předpoklady pro zvyšování funkčních kooperací mezi centry osídlení na bázi intenzivnějších pracovních a obslužných kontaktů:</w:t>
      </w:r>
    </w:p>
    <w:p w14:paraId="08A04FD0" w14:textId="77777777" w:rsidR="004C3336" w:rsidRPr="00461C16" w:rsidRDefault="004C3336" w:rsidP="00A0717B">
      <w:pPr>
        <w:autoSpaceDE w:val="0"/>
        <w:autoSpaceDN w:val="0"/>
        <w:adjustRightInd w:val="0"/>
        <w:spacing w:before="120" w:after="120" w:line="240" w:lineRule="auto"/>
        <w:rPr>
          <w:rFonts w:cs="Arial"/>
          <w:u w:val="single"/>
          <w:lang w:eastAsia="cs-CZ"/>
        </w:rPr>
      </w:pPr>
      <w:r w:rsidRPr="00461C16">
        <w:rPr>
          <w:rFonts w:cs="Arial"/>
          <w:u w:val="single"/>
          <w:lang w:eastAsia="cs-CZ"/>
        </w:rPr>
        <w:t>Úkoly pro územní plánování:</w:t>
      </w:r>
    </w:p>
    <w:p w14:paraId="0922963D" w14:textId="77777777" w:rsidR="004C3336" w:rsidRPr="00461C16" w:rsidRDefault="004C3336"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Při pořizování a aktualizaci územně plánovací dokumentace obcí respektovat stávající nebo navrhované a předpokládané funkční vazby a kooperace mezi centry osídlení a jejich svazky. </w:t>
      </w:r>
    </w:p>
    <w:p w14:paraId="0EEA5411" w14:textId="77777777" w:rsidR="00485346" w:rsidRPr="00461C16" w:rsidRDefault="005436FB" w:rsidP="00A0717B">
      <w:pPr>
        <w:pStyle w:val="1text"/>
        <w:spacing w:after="120"/>
        <w:rPr>
          <w:i/>
        </w:rPr>
      </w:pPr>
      <w:r w:rsidRPr="00461C16">
        <w:rPr>
          <w:i/>
        </w:rPr>
        <w:lastRenderedPageBreak/>
        <w:t xml:space="preserve">viz vyhodnocení požadavku č. 114. Vazba na krajské město Liberec je respektována stabilizací silnice I/35, která představuje hlavní dopravní spojení mezi oběma městy. Stávající dopravní síť je stabilizována i ve vlastním správním území města, kde jsou samostatné části města napojeny zpravidla silnicemi III. třídy. Kvalitní dopravní prostupnost a dostupnost území je základním předpokladem pro posílením vazeb a kooperace mezi sídly, v druhé řadě pak lokalizace veřejného občanského vybavení či komerčních aktivit, které obsluhují širší zájmové území. V části Hrádek nad Nisou jsou navrženy rozsáhlé plochy pro tyto aktivity, s předpokladem nadmístního významu (výroba podél obchvatu města, rekreační areál Kristýna). </w:t>
      </w:r>
    </w:p>
    <w:p w14:paraId="4EA7C29A" w14:textId="77777777" w:rsidR="00BC4524" w:rsidRPr="00461C16" w:rsidRDefault="004C3336"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Územní předpoklady pro zvyšování funkčních kooperací mezi centry osídlení a jejich svazky na bázi intenzivnějších pracovních a obslužných kontaktů a aktivit podpořit koordinovaným průmětem veřejné infrastruktury do rozvojových dokumentů a územně plánovacích dokumentací.</w:t>
      </w:r>
      <w:r w:rsidR="00B345B4" w:rsidRPr="00461C16">
        <w:rPr>
          <w:rFonts w:cs="Arial"/>
          <w:lang w:eastAsia="cs-CZ"/>
        </w:rPr>
        <w:t xml:space="preserve"> </w:t>
      </w:r>
    </w:p>
    <w:p w14:paraId="14E17127" w14:textId="77777777" w:rsidR="00485346" w:rsidRPr="00461C16" w:rsidRDefault="005436FB" w:rsidP="00A0717B">
      <w:pPr>
        <w:pStyle w:val="1text"/>
        <w:spacing w:after="120"/>
        <w:rPr>
          <w:i/>
        </w:rPr>
      </w:pPr>
      <w:r w:rsidRPr="00461C16">
        <w:rPr>
          <w:i/>
        </w:rPr>
        <w:t>viz vyhodnocení požadavku č. 124</w:t>
      </w:r>
    </w:p>
    <w:p w14:paraId="27BEAB87" w14:textId="77777777" w:rsidR="00C40378" w:rsidRPr="00461C16" w:rsidRDefault="00C40378" w:rsidP="00753F4E">
      <w:pPr>
        <w:pStyle w:val="4podnadpis"/>
      </w:pPr>
      <w:r w:rsidRPr="00461C16">
        <w:t>Koncepce územního uspořádání, typologie venkovských a městských prostorů:</w:t>
      </w:r>
    </w:p>
    <w:p w14:paraId="58C72306" w14:textId="77777777" w:rsidR="00C40378" w:rsidRPr="00461C16" w:rsidRDefault="00C40378"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Zvyšovat kvalitu životních podmínek a vzhledu obcí. </w:t>
      </w:r>
    </w:p>
    <w:p w14:paraId="6A9773DF" w14:textId="77777777" w:rsidR="00485346" w:rsidRPr="00461C16" w:rsidRDefault="005436FB" w:rsidP="00A0717B">
      <w:pPr>
        <w:pStyle w:val="1text"/>
        <w:spacing w:after="120"/>
        <w:rPr>
          <w:i/>
        </w:rPr>
      </w:pPr>
      <w:r w:rsidRPr="00461C16">
        <w:rPr>
          <w:i/>
        </w:rPr>
        <w:t>ÚP vytváří předpoklady pro zkvalitnění životních podmínek zajištěním optimální dostupnosti veřejné infrastruktury včetně vymezení veřejných prostranství a veřejné zeleně a posílením obslužné funkce sídel k rozšíření nabídky služeb pro obyvatele města. Významným faktorem pro kvalitu života ve města je variabilita a polyfunkčnost území, zajištěná vymezením smíšených ploch, při ochraně všech stávajících hodnot území.</w:t>
      </w:r>
    </w:p>
    <w:p w14:paraId="4F4511EB" w14:textId="77777777" w:rsidR="00C40378" w:rsidRPr="00461C16" w:rsidRDefault="00C40378"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Aktivity republikového a nadmístního významu rozvíjet v rámci vymezených rozvojových oblastí a v zónách pro přednostní umisťování ekonomických aktivit, obytnou základnu upevňovat v zónách pro přednostní umisťování bydlení a příměstské rekreace.</w:t>
      </w:r>
    </w:p>
    <w:p w14:paraId="27CD5165" w14:textId="77777777" w:rsidR="00485346" w:rsidRPr="00461C16" w:rsidRDefault="005436FB" w:rsidP="00A0717B">
      <w:pPr>
        <w:pStyle w:val="1text"/>
        <w:spacing w:after="120"/>
        <w:rPr>
          <w:i/>
        </w:rPr>
      </w:pPr>
      <w:r w:rsidRPr="00461C16">
        <w:rPr>
          <w:i/>
        </w:rPr>
        <w:t xml:space="preserve">Stávající funkční struktura území je respektována, všechny funkce jsou rozvíjeny ve vazbě na lokality se stejným způsobem využití. Ekonomické aktivity nadmístního významu s vysokými dopravními nároky jsou situovány podél městského obchvatu na silnici I/35, tedy na páteři rozvojové osy území. Bydlení je rozvíjeno zejména v prolukách a na okrajích zastavěného území sídel a je doplněno menšími plochami zeleně pro každodenní rekreaci. Nejvýznamnějším </w:t>
      </w:r>
      <w:r w:rsidR="00A0717B" w:rsidRPr="00461C16">
        <w:rPr>
          <w:i/>
        </w:rPr>
        <w:t>prostorem pro rozvoj rekreace je areál Kristýna, na severní hranici území.</w:t>
      </w:r>
    </w:p>
    <w:p w14:paraId="0AB84E2F" w14:textId="77777777" w:rsidR="00C40378" w:rsidRPr="00461C16" w:rsidRDefault="00C40378"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Regulovat a usměrňovat suburbanizaci v území – řešit plynulý přechod urbanizovaných částí území do volné krajiny. </w:t>
      </w:r>
    </w:p>
    <w:p w14:paraId="5B9C2748" w14:textId="77777777" w:rsidR="00485346" w:rsidRPr="00461C16" w:rsidRDefault="005436FB" w:rsidP="00A0717B">
      <w:pPr>
        <w:pStyle w:val="1text"/>
        <w:spacing w:after="120"/>
        <w:rPr>
          <w:i/>
        </w:rPr>
      </w:pPr>
      <w:r w:rsidRPr="00461C16">
        <w:rPr>
          <w:i/>
        </w:rPr>
        <w:t>Plynulý přechod zástavby do volné krajiny je zajištěn zejména stanovením odpovídajících prostorových podmínek, tedy strukturou zástavby a maximální výškou.</w:t>
      </w:r>
    </w:p>
    <w:p w14:paraId="109BD691" w14:textId="77777777" w:rsidR="00C40378" w:rsidRPr="00461C16" w:rsidRDefault="00C40378"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Vymezit a chránit souvislé pásy nezastavěného území v bezprostřední blízkosti měst pro vytváření souvislých ploch veřejně přístupné zeleně způsobilých pro šetrné formy krátkodobé rekreace.</w:t>
      </w:r>
    </w:p>
    <w:p w14:paraId="4583313F" w14:textId="77777777" w:rsidR="00485346" w:rsidRPr="00461C16" w:rsidRDefault="00F24610" w:rsidP="00A0717B">
      <w:pPr>
        <w:pStyle w:val="1text"/>
        <w:spacing w:after="120"/>
        <w:rPr>
          <w:i/>
        </w:rPr>
      </w:pPr>
      <w:r w:rsidRPr="00461C16">
        <w:rPr>
          <w:i/>
        </w:rPr>
        <w:t xml:space="preserve">Souvislý zelený krajinný celek tvoří východní okraj CHKO Lužické hory, který spolu s údolím Nisy vytváří dostatečné předpoklady pro krátkodobou rekreaci. </w:t>
      </w:r>
    </w:p>
    <w:p w14:paraId="55051D0B" w14:textId="77777777" w:rsidR="00C40378" w:rsidRPr="00461C16" w:rsidRDefault="00C40378"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Podporovat přiměřený rozvoj veřejné infrastruktury. </w:t>
      </w:r>
    </w:p>
    <w:p w14:paraId="4038230F" w14:textId="77777777" w:rsidR="00485346" w:rsidRPr="00461C16" w:rsidRDefault="00A0717B" w:rsidP="00A0717B">
      <w:pPr>
        <w:pStyle w:val="1text"/>
        <w:spacing w:after="120"/>
        <w:rPr>
          <w:i/>
        </w:rPr>
      </w:pPr>
      <w:r w:rsidRPr="00461C16">
        <w:rPr>
          <w:i/>
        </w:rPr>
        <w:t>Navržený rozvoj veřejné infrastruktury odpovídá současným a předpokládaným potřebám vzniklým v důsledku vymezení zastavitelných ploch a ploch přestavby.</w:t>
      </w:r>
    </w:p>
    <w:p w14:paraId="44A5DE26" w14:textId="77777777" w:rsidR="00C40378" w:rsidRPr="00461C16" w:rsidRDefault="00C40378"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Vylučovat vznik nových sídelních útvarů ve volné krajině. </w:t>
      </w:r>
    </w:p>
    <w:p w14:paraId="2A4840A2" w14:textId="77777777" w:rsidR="00485346" w:rsidRPr="00461C16" w:rsidRDefault="0052568A" w:rsidP="00A0717B">
      <w:pPr>
        <w:pStyle w:val="1text"/>
        <w:spacing w:after="120"/>
        <w:rPr>
          <w:i/>
        </w:rPr>
      </w:pPr>
      <w:r w:rsidRPr="00461C16">
        <w:rPr>
          <w:i/>
        </w:rPr>
        <w:t>ÚP nevymezuje plochy k zastavění ve volné krajině, vždy navazuje na hranici zastavěného území, případně na jiné zastavitelné plochy. Koncepcí ÚP tedy nedochází k zakládání nových sídelních útvarů v krajině</w:t>
      </w:r>
    </w:p>
    <w:p w14:paraId="30E43EC0" w14:textId="77777777" w:rsidR="00C40378" w:rsidRPr="00461C16" w:rsidRDefault="00C40378"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Stabilizovat a rozvíjet ÚSES rekultivací nefunkčních prvků. </w:t>
      </w:r>
    </w:p>
    <w:p w14:paraId="3F48128F" w14:textId="77777777" w:rsidR="00485346" w:rsidRPr="00461C16" w:rsidRDefault="00F24610" w:rsidP="00A0717B">
      <w:pPr>
        <w:pStyle w:val="1text"/>
        <w:spacing w:after="120"/>
        <w:rPr>
          <w:i/>
        </w:rPr>
      </w:pPr>
      <w:r w:rsidRPr="00461C16">
        <w:rPr>
          <w:i/>
        </w:rPr>
        <w:t>V ÚP jsou upřesněny skladebné části ÚSES na nadregionální a regionální úrovni a vymezeny skladebné části lokálního ÚSES. Realizační opatření k zajištění funkčnosti ÚSES nelze v ÚP řešit. Pojem „rekultivace nefunkčních prvků“ je nejasný.</w:t>
      </w:r>
      <w:r w:rsidR="00B345B4" w:rsidRPr="00461C16">
        <w:rPr>
          <w:i/>
        </w:rPr>
        <w:t xml:space="preserve"> </w:t>
      </w:r>
    </w:p>
    <w:p w14:paraId="4AFCC460" w14:textId="77777777" w:rsidR="00C40378" w:rsidRPr="00461C16" w:rsidRDefault="00C40378"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Respektovat a chránit zvláště chráněná území přírody – případný stavební rozvoj v nich řešit důsledně v souladu s potřebou ochrany přírody.</w:t>
      </w:r>
    </w:p>
    <w:p w14:paraId="5E067B34" w14:textId="77777777" w:rsidR="00485346" w:rsidRPr="00461C16" w:rsidRDefault="00F24610" w:rsidP="00A0717B">
      <w:pPr>
        <w:pStyle w:val="1text"/>
        <w:spacing w:after="120"/>
        <w:rPr>
          <w:i/>
        </w:rPr>
      </w:pPr>
      <w:r w:rsidRPr="00461C16">
        <w:rPr>
          <w:i/>
        </w:rPr>
        <w:lastRenderedPageBreak/>
        <w:t xml:space="preserve">Zvláště chráněné části přírody (CHKO Lužické hory a dočasně chráněná plocha jsou respektovány jako přírodní hodnoty. </w:t>
      </w:r>
    </w:p>
    <w:p w14:paraId="39B15C0C" w14:textId="77777777" w:rsidR="00C40378" w:rsidRPr="00461C16" w:rsidRDefault="00C40378" w:rsidP="00753F4E">
      <w:pPr>
        <w:pStyle w:val="4podnadpis"/>
      </w:pPr>
      <w:r w:rsidRPr="00461C16">
        <w:t>Urbanistické a architektonické hodnoty:</w:t>
      </w:r>
    </w:p>
    <w:p w14:paraId="64251040" w14:textId="77777777" w:rsidR="00C40378" w:rsidRPr="00461C16" w:rsidRDefault="00C40378"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Respektovat vymezené členění území kraje na rozvojové oblasti, rozvojové osy a specifické oblasti – ostatní části území kraje pokládat za území stabilizovaná s přirozenou mírou rozvoje. </w:t>
      </w:r>
    </w:p>
    <w:p w14:paraId="7CED438F" w14:textId="77777777" w:rsidR="00485346" w:rsidRPr="00461C16" w:rsidRDefault="00A0717B" w:rsidP="00485346">
      <w:pPr>
        <w:pStyle w:val="1text"/>
        <w:rPr>
          <w:i/>
        </w:rPr>
      </w:pPr>
      <w:r w:rsidRPr="00461C16">
        <w:rPr>
          <w:i/>
        </w:rPr>
        <w:t>Město Hrádek nad Nisou je zařazeno do rozvojové oblasti a rozvojové osy. Koncepce ÚP zohledňuje veškeré požadavky, které jsou pro jejich území stanoveny. Vyhodnocení splnění těchto požadavků je obsaženo v kap. 1.1.2 a 1.2.2.</w:t>
      </w:r>
    </w:p>
    <w:p w14:paraId="3545BCC3" w14:textId="77777777" w:rsidR="00C40378" w:rsidRPr="00461C16" w:rsidRDefault="00C40378"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Respektovat historickou sídelní strukturu Libereckého kraje s významným potenciálem stavebního, průmyslového a technického dědictví jakožto základem dílčích rozvojových koncepcí v symbióze ochrany starého a rozvoje nového na úrovni jednotlivých obcí. </w:t>
      </w:r>
    </w:p>
    <w:p w14:paraId="4F674966" w14:textId="77777777" w:rsidR="00485346" w:rsidRPr="00461C16" w:rsidRDefault="009979C0" w:rsidP="00485346">
      <w:pPr>
        <w:pStyle w:val="1text"/>
        <w:rPr>
          <w:i/>
        </w:rPr>
      </w:pPr>
      <w:r w:rsidRPr="00461C16">
        <w:rPr>
          <w:i/>
        </w:rPr>
        <w:t>Sídelní struktura, jakož i další urbanistické a architektonické hodnoty území jsou v koncepci ÚP respektovány. Pro přestavby a novou výstavbou jsou stanoveny obecné podmínky ochrany, týkající se respektování charakteru okolí, zejména hmotového uspořádání a výtvarného řešení staveb. V celém zastavěném a zastavitelném území jsou dále definovány podmínky prostorového uspořádání, v rozsahu struktury zástavby a maximální výšky.</w:t>
      </w:r>
    </w:p>
    <w:p w14:paraId="4877AF9C" w14:textId="77777777" w:rsidR="00C40378" w:rsidRPr="00461C16" w:rsidRDefault="00C40378"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V rozvojových koncepcích jednotlivých obcí uplatňovat diferencovaný přístup, odvozený od jejich významu v sídelní struktuře (hierarchický systém), podmínek území a místních tradic, ale vždy ve smyslu integrity širšího regionálního prostoru. </w:t>
      </w:r>
    </w:p>
    <w:p w14:paraId="3298E08B" w14:textId="77777777" w:rsidR="00485346" w:rsidRPr="00461C16" w:rsidRDefault="00C8390B" w:rsidP="00485346">
      <w:pPr>
        <w:pStyle w:val="1text"/>
        <w:rPr>
          <w:i/>
        </w:rPr>
      </w:pPr>
      <w:r w:rsidRPr="00461C16">
        <w:rPr>
          <w:i/>
        </w:rPr>
        <w:t>Sídelní struktura, stejně jako charakter území a jeho konkrétní podmínky (morfologie, hustota osídlení, hodnoty území, současný způsob využití území, atd.), jsou jedním z východisek pro stanovení koncepce ÚP.</w:t>
      </w:r>
    </w:p>
    <w:p w14:paraId="2DEB0B6A" w14:textId="77777777" w:rsidR="00C40378" w:rsidRPr="00461C16" w:rsidRDefault="00C40378"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Řídit urbanizaci a rozvoj hlavních ekonomických aktivit v rozsahu vymezených rozvojových oblastí a rozvojových os v základních vazbách na nejvýznamnější centra osídlení a omezit rozšiřování intenzivní zástavby do venkovského prostoru a přírodních částí krajiny. </w:t>
      </w:r>
    </w:p>
    <w:p w14:paraId="2D21AFF6" w14:textId="77777777" w:rsidR="00485346" w:rsidRPr="00461C16" w:rsidRDefault="00C8390B" w:rsidP="00485346">
      <w:pPr>
        <w:pStyle w:val="1text"/>
        <w:rPr>
          <w:i/>
        </w:rPr>
      </w:pPr>
      <w:r w:rsidRPr="00461C16">
        <w:rPr>
          <w:i/>
        </w:rPr>
        <w:t>Nejvýznamnější ekonomické aktivity jsou soustředěny podél obchvatu města na silnici I/35, kde nedochází k zátěži obytných částí sídel (především části Hrádek nad Nisou) dopravní obsluhou. Rozvoj je omezen na území bezprostředně přiléhající k trase komunikace tak, aby byl minimalizován negativní vliv na krajinné zázemí města a zábor zemědělské půdy.</w:t>
      </w:r>
    </w:p>
    <w:p w14:paraId="00682AAA" w14:textId="77777777" w:rsidR="00C40378" w:rsidRPr="00461C16" w:rsidRDefault="00C40378"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Urbanistické koncepce rozvoje jednotlivých obcí i koncepce ochrany dochovaných hodnot v sídelní struktuře kraje navrhovat koordinovaně v souvislosti s potřebami sousedních obcí a celého regionu. </w:t>
      </w:r>
    </w:p>
    <w:p w14:paraId="37397B5F" w14:textId="77777777" w:rsidR="00485346" w:rsidRPr="00461C16" w:rsidRDefault="00C8390B" w:rsidP="00485346">
      <w:pPr>
        <w:pStyle w:val="1text"/>
        <w:rPr>
          <w:i/>
        </w:rPr>
      </w:pPr>
      <w:r w:rsidRPr="00461C16">
        <w:rPr>
          <w:i/>
        </w:rPr>
        <w:t>Koncepce ÚP Hrádek nad Nisou je stanovena s ohledem na charakter území sousedních obcí a záměry na změny v území vymezené v příslušných ÚPD obcí. Dopad záměrů, vymezených v ÚP Hrádek nad Nisou, na území sousedních obcí, je vyhodnocen v kap. 4 Odůvodnění ÚP – Koordinace využívání území z hlediska širších vztahů.</w:t>
      </w:r>
    </w:p>
    <w:p w14:paraId="333ECD85" w14:textId="77777777" w:rsidR="00C40378" w:rsidRPr="00461C16" w:rsidRDefault="00C40378"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V územně plánovací dokumentaci jednotlivých obcí zohledňovat odlišné území a funkční dispozice sídel, upřednostňovat intenzifikaci využití již zastavěných území a optimalizovat rozsah zastavitelných ploch v souladu se skutečnými potřebami. </w:t>
      </w:r>
    </w:p>
    <w:p w14:paraId="0B5F3FA9" w14:textId="77777777" w:rsidR="00485346" w:rsidRPr="00461C16" w:rsidRDefault="00C8390B" w:rsidP="00485346">
      <w:pPr>
        <w:pStyle w:val="1text"/>
        <w:rPr>
          <w:i/>
        </w:rPr>
      </w:pPr>
      <w:r w:rsidRPr="00461C16">
        <w:rPr>
          <w:i/>
        </w:rPr>
        <w:t>Koncepce ÚP je stanovena s ohledem na charakter a uspořádání města a jeho částí. Pro další rozvoj jsou přednostně využity proluky, dále pak plochy bezprostředně navazující na zastavěné území.</w:t>
      </w:r>
    </w:p>
    <w:p w14:paraId="6019EFCA" w14:textId="77777777" w:rsidR="00C40378" w:rsidRPr="00461C16" w:rsidRDefault="00C40378"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Revitalizovat narušená a devastovaná území kraje včetně starých ekologických zátěží odpovídajícími asanačními zásahy a vhodným využitím území.</w:t>
      </w:r>
    </w:p>
    <w:p w14:paraId="5E10F777" w14:textId="77777777" w:rsidR="00485346" w:rsidRPr="00461C16" w:rsidRDefault="00C8390B" w:rsidP="00485346">
      <w:pPr>
        <w:pStyle w:val="1text"/>
        <w:rPr>
          <w:i/>
        </w:rPr>
      </w:pPr>
      <w:r w:rsidRPr="00461C16">
        <w:rPr>
          <w:i/>
        </w:rPr>
        <w:t xml:space="preserve">Je navrženo využití identifikovaných brownfields a jejich funkční a objemové začlenění do okolního území. Předpokladem pro nové využití brownfields výrobního původu je prověření existence ekologických zátěží a jejich odstranění. </w:t>
      </w:r>
    </w:p>
    <w:p w14:paraId="4BF27D53" w14:textId="77777777" w:rsidR="00106F4A" w:rsidRPr="00461C16" w:rsidRDefault="00106F4A" w:rsidP="00753F4E">
      <w:pPr>
        <w:pStyle w:val="4podnadpis"/>
      </w:pPr>
      <w:r w:rsidRPr="00461C16">
        <w:t>Ekonomická základna kraje:</w:t>
      </w:r>
    </w:p>
    <w:p w14:paraId="30BEC4FA" w14:textId="77777777" w:rsidR="00106F4A" w:rsidRPr="00461C16" w:rsidRDefault="00106F4A" w:rsidP="00903F77">
      <w:pPr>
        <w:pStyle w:val="ListParagraph"/>
        <w:numPr>
          <w:ilvl w:val="0"/>
          <w:numId w:val="50"/>
        </w:numPr>
        <w:autoSpaceDE w:val="0"/>
        <w:autoSpaceDN w:val="0"/>
        <w:adjustRightInd w:val="0"/>
        <w:spacing w:before="60" w:line="240" w:lineRule="auto"/>
        <w:rPr>
          <w:rFonts w:cs="Arial"/>
          <w:lang w:eastAsia="cs-CZ"/>
        </w:rPr>
      </w:pPr>
      <w:r w:rsidRPr="00461C16">
        <w:rPr>
          <w:rFonts w:cs="Arial"/>
          <w:lang w:eastAsia="cs-CZ"/>
        </w:rPr>
        <w:t>Připravit územní podmínky pro rozvoj podnikatelských aktivit v celém využitelném území kraje zejména:</w:t>
      </w:r>
    </w:p>
    <w:p w14:paraId="21976CE9" w14:textId="77777777" w:rsidR="00106F4A" w:rsidRPr="00461C16" w:rsidRDefault="00106F4A" w:rsidP="00903F77">
      <w:pPr>
        <w:pStyle w:val="ListParagraph"/>
        <w:numPr>
          <w:ilvl w:val="0"/>
          <w:numId w:val="62"/>
        </w:numPr>
        <w:autoSpaceDE w:val="0"/>
        <w:autoSpaceDN w:val="0"/>
        <w:adjustRightInd w:val="0"/>
        <w:spacing w:before="60" w:line="240" w:lineRule="auto"/>
        <w:ind w:left="1134" w:hanging="425"/>
        <w:rPr>
          <w:rFonts w:cs="Arial"/>
          <w:lang w:eastAsia="cs-CZ"/>
        </w:rPr>
      </w:pPr>
      <w:r w:rsidRPr="00461C16">
        <w:rPr>
          <w:rFonts w:cs="Arial"/>
          <w:lang w:eastAsia="cs-CZ"/>
        </w:rPr>
        <w:t>aktivity republikového a nadmístního významu v zónách pro přednostní umisťování ekonomických aktivit rozvojových oblastí a rozvojových os</w:t>
      </w:r>
    </w:p>
    <w:p w14:paraId="4939E210" w14:textId="77777777" w:rsidR="00106F4A" w:rsidRPr="00461C16" w:rsidRDefault="00106F4A" w:rsidP="00903F77">
      <w:pPr>
        <w:pStyle w:val="ListParagraph"/>
        <w:numPr>
          <w:ilvl w:val="0"/>
          <w:numId w:val="62"/>
        </w:numPr>
        <w:autoSpaceDE w:val="0"/>
        <w:autoSpaceDN w:val="0"/>
        <w:adjustRightInd w:val="0"/>
        <w:spacing w:before="60" w:line="240" w:lineRule="auto"/>
        <w:ind w:left="1134" w:hanging="425"/>
        <w:rPr>
          <w:rFonts w:cs="Arial"/>
          <w:lang w:eastAsia="cs-CZ"/>
        </w:rPr>
      </w:pPr>
      <w:r w:rsidRPr="00461C16">
        <w:rPr>
          <w:rFonts w:cs="Arial"/>
          <w:lang w:eastAsia="cs-CZ"/>
        </w:rPr>
        <w:lastRenderedPageBreak/>
        <w:t>další aktivity nadmístního významu v ostatních centrech osídlení ve vazbách na vymezené rozvojové osy</w:t>
      </w:r>
    </w:p>
    <w:p w14:paraId="4CA25B39" w14:textId="77777777" w:rsidR="00485346" w:rsidRPr="00461C16" w:rsidRDefault="00B87098" w:rsidP="00B87098">
      <w:pPr>
        <w:pStyle w:val="1text"/>
        <w:spacing w:after="120"/>
        <w:rPr>
          <w:i/>
        </w:rPr>
      </w:pPr>
      <w:r w:rsidRPr="00461C16">
        <w:rPr>
          <w:i/>
        </w:rPr>
        <w:t xml:space="preserve">Město Hrádek nad Nisou je zařazeno do rozvojové oblasti a rozvojové osy. Páteří této osy je silnice I/35, která ve správním území města tvoří jeho obchvat. Koncepce ÚP vymezuje rozsáhlé plochy pro komerční aktivity (výroba, skladování, prodej) v přímé vazbě na tuto komunikaci, čímž posiluje význam a ekonomickou </w:t>
      </w:r>
      <w:r w:rsidR="00F24610" w:rsidRPr="00461C16">
        <w:rPr>
          <w:i/>
        </w:rPr>
        <w:t>konkurenceschopnost</w:t>
      </w:r>
      <w:r w:rsidRPr="00461C16">
        <w:rPr>
          <w:i/>
        </w:rPr>
        <w:t xml:space="preserve"> města v širší struktuře osídlení.</w:t>
      </w:r>
    </w:p>
    <w:p w14:paraId="0B928AA1" w14:textId="77777777" w:rsidR="00106F4A" w:rsidRPr="00461C16" w:rsidRDefault="00106F4A"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V ÚPD obcí připravovat další plochy výroby včetně rezerv pro vzdálenější časový horizont.</w:t>
      </w:r>
    </w:p>
    <w:p w14:paraId="0FDCEBB4" w14:textId="77777777" w:rsidR="00485346" w:rsidRPr="00461C16" w:rsidRDefault="00B87098" w:rsidP="00B87098">
      <w:pPr>
        <w:pStyle w:val="1text"/>
        <w:spacing w:after="120"/>
        <w:rPr>
          <w:i/>
        </w:rPr>
      </w:pPr>
      <w:r w:rsidRPr="00461C16">
        <w:rPr>
          <w:i/>
        </w:rPr>
        <w:t>Koncepce ÚP vymezuje rozsáhlé plochy výrob</w:t>
      </w:r>
      <w:r w:rsidR="00CC5F11" w:rsidRPr="00461C16">
        <w:rPr>
          <w:i/>
        </w:rPr>
        <w:t>y</w:t>
      </w:r>
      <w:r w:rsidRPr="00461C16">
        <w:rPr>
          <w:i/>
        </w:rPr>
        <w:t xml:space="preserve"> a skladování ve vazbě na stávající průmyslovou zónu Hráde</w:t>
      </w:r>
      <w:r w:rsidR="00CC5F11" w:rsidRPr="00461C16">
        <w:rPr>
          <w:i/>
        </w:rPr>
        <w:t>k</w:t>
      </w:r>
      <w:r w:rsidRPr="00461C16">
        <w:rPr>
          <w:i/>
        </w:rPr>
        <w:t xml:space="preserve"> nad Nisou a na obchvat města na silnici I/35. Součástí předpokládaného rozvoje</w:t>
      </w:r>
      <w:r w:rsidR="00CC5F11" w:rsidRPr="00461C16">
        <w:rPr>
          <w:i/>
        </w:rPr>
        <w:t xml:space="preserve"> průmyslu</w:t>
      </w:r>
      <w:r w:rsidRPr="00461C16">
        <w:rPr>
          <w:i/>
        </w:rPr>
        <w:t xml:space="preserve"> je i několik ploch územních rezerv, které definují cílový stav v území. </w:t>
      </w:r>
    </w:p>
    <w:p w14:paraId="294B081F" w14:textId="77777777" w:rsidR="00106F4A" w:rsidRPr="00461C16" w:rsidRDefault="00106F4A"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V souladu s kvalitou půdních typů a klimatických podmínek připravit územní podmínky pro zemědělskou činnost v produkčních i mimoprodukčních funkcích s dominantní funkcí péče o krajinu. </w:t>
      </w:r>
    </w:p>
    <w:p w14:paraId="3E835BC9" w14:textId="77777777" w:rsidR="00485346" w:rsidRPr="00461C16" w:rsidRDefault="00F24610" w:rsidP="00B87098">
      <w:pPr>
        <w:pStyle w:val="1text"/>
        <w:spacing w:after="120"/>
        <w:rPr>
          <w:i/>
        </w:rPr>
      </w:pPr>
      <w:r w:rsidRPr="00461C16">
        <w:rPr>
          <w:i/>
        </w:rPr>
        <w:t xml:space="preserve">V ÚP jsou vytvořeny podmínky pro zemědělské </w:t>
      </w:r>
      <w:r w:rsidR="00DB1E1B">
        <w:rPr>
          <w:i/>
        </w:rPr>
        <w:t>využívání pozemků ZPF mimo zastavěné území, na plochách smíšených nezastavěného území – zemědělských (NS).</w:t>
      </w:r>
    </w:p>
    <w:p w14:paraId="506515A5" w14:textId="77777777" w:rsidR="00106F4A" w:rsidRPr="00461C16" w:rsidRDefault="00106F4A"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Hledat nové využití nebo připravit likvidaci opuštěných velkokapacitních areálů produkční zemědělské výroby zejména ve venkovském prostoru. </w:t>
      </w:r>
    </w:p>
    <w:p w14:paraId="50FC3CCC" w14:textId="77777777" w:rsidR="00485346" w:rsidRPr="00461C16" w:rsidRDefault="00CC5F11" w:rsidP="00B87098">
      <w:pPr>
        <w:pStyle w:val="1text"/>
        <w:spacing w:after="120"/>
        <w:rPr>
          <w:i/>
        </w:rPr>
      </w:pPr>
      <w:r w:rsidRPr="00461C16">
        <w:rPr>
          <w:i/>
        </w:rPr>
        <w:t>Požadavek není relevantní pro ÚP Hrádek nad Nisou. Na území města se nachází pouze funkční zemědělské areály, bez nutnosti řešit jejich nové využití (Václavice, Donín).</w:t>
      </w:r>
    </w:p>
    <w:p w14:paraId="77B5407D" w14:textId="77777777" w:rsidR="00106F4A" w:rsidRPr="00461C16" w:rsidRDefault="00106F4A"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Formy a intenzitu zemědělského a lesního hospodaření usměrňovat podle zásad využívání jednotlivých typů krajiny. </w:t>
      </w:r>
    </w:p>
    <w:p w14:paraId="7F77E834" w14:textId="77777777" w:rsidR="00485346" w:rsidRPr="00461C16" w:rsidRDefault="00F24610" w:rsidP="00B87098">
      <w:pPr>
        <w:pStyle w:val="1text"/>
        <w:spacing w:after="120"/>
        <w:rPr>
          <w:i/>
        </w:rPr>
      </w:pPr>
      <w:r w:rsidRPr="00461C16">
        <w:rPr>
          <w:i/>
        </w:rPr>
        <w:t>Prostřednictvím ÚP nelze ovlivnit formu a intenzitu hospodaření na zpf a v lesích. Specifické požad</w:t>
      </w:r>
      <w:r w:rsidR="00456021">
        <w:rPr>
          <w:i/>
        </w:rPr>
        <w:t>a</w:t>
      </w:r>
      <w:r w:rsidRPr="00461C16">
        <w:rPr>
          <w:i/>
        </w:rPr>
        <w:t>vky jsou definovány pouze pro plochy lesů zařazených do skladebných částí ÚSES.</w:t>
      </w:r>
    </w:p>
    <w:p w14:paraId="36140934" w14:textId="77777777" w:rsidR="00106F4A" w:rsidRPr="00461C16" w:rsidRDefault="00106F4A"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Přípravou územních podmínek pro rozvoj podnikatelských aktivit v zónách pro umisťování ekonomických aktivit rozvojových oblastí a vyšších centrech osídlení ve vazbách na vymezené rozvojové osy zajistit podmínky pro zachování nerušené celistvosti zemědělské a lesozemědělské krajiny s dobrými podmínkami pro zemědělské a lesnické hospodaření. </w:t>
      </w:r>
    </w:p>
    <w:p w14:paraId="39B1E28A" w14:textId="77777777" w:rsidR="00485346" w:rsidRPr="00461C16" w:rsidRDefault="00480AE9" w:rsidP="00B87098">
      <w:pPr>
        <w:pStyle w:val="1text"/>
        <w:spacing w:after="120"/>
        <w:rPr>
          <w:i/>
        </w:rPr>
      </w:pPr>
      <w:r w:rsidRPr="00461C16">
        <w:rPr>
          <w:i/>
        </w:rPr>
        <w:t xml:space="preserve">V souladu se zařazením města do rozvojové osy ROS1 je v zázemí Hrádku vymezen poměrně velký rozsah ploch pro podnikatelské aktivity. Jsou vázány na obchvat města (I/35) a v zásadě neovlivňují celistvost </w:t>
      </w:r>
      <w:r w:rsidR="00EE7A02" w:rsidRPr="00461C16">
        <w:rPr>
          <w:i/>
        </w:rPr>
        <w:t>zemědělských</w:t>
      </w:r>
      <w:r w:rsidRPr="00461C16">
        <w:rPr>
          <w:i/>
        </w:rPr>
        <w:t xml:space="preserve"> ploch </w:t>
      </w:r>
      <w:r w:rsidR="00EE7A02" w:rsidRPr="00461C16">
        <w:rPr>
          <w:i/>
        </w:rPr>
        <w:t xml:space="preserve">v severovýchodním sektoru území. </w:t>
      </w:r>
    </w:p>
    <w:p w14:paraId="784C8905" w14:textId="77777777" w:rsidR="00106F4A" w:rsidRPr="00461C16" w:rsidRDefault="00106F4A" w:rsidP="00671A9E">
      <w:pPr>
        <w:pStyle w:val="4podnadpis"/>
      </w:pPr>
      <w:r w:rsidRPr="00461C16">
        <w:t>Občanské vybavení:</w:t>
      </w:r>
    </w:p>
    <w:p w14:paraId="2B316A32" w14:textId="77777777" w:rsidR="00106F4A" w:rsidRPr="00461C16" w:rsidRDefault="00106F4A"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Územně podporovat rozvoj kultury a zájmových aktivit ve vztahu ke stabilizaci obyvatelstva a k využití volného času. </w:t>
      </w:r>
    </w:p>
    <w:p w14:paraId="21C3D0DD" w14:textId="77777777" w:rsidR="00CC5F11" w:rsidRPr="00461C16" w:rsidRDefault="00CC5F11" w:rsidP="00B87098">
      <w:pPr>
        <w:pStyle w:val="1text"/>
        <w:spacing w:after="120"/>
        <w:rPr>
          <w:i/>
        </w:rPr>
      </w:pPr>
      <w:r w:rsidRPr="00461C16">
        <w:rPr>
          <w:i/>
        </w:rPr>
        <w:t>Koncepce ÚP vytváří předpoklady pro rozvoj volnočasových aktivit, zejména ve vymezení ploch pro rekreaci a sport (Kristýna, sport okolo skateparku a kynologického cvičiště).</w:t>
      </w:r>
    </w:p>
    <w:p w14:paraId="703079CF" w14:textId="77777777" w:rsidR="00485346" w:rsidRPr="00461C16" w:rsidRDefault="00CC5F11" w:rsidP="00B87098">
      <w:pPr>
        <w:pStyle w:val="1text"/>
        <w:spacing w:after="120"/>
        <w:rPr>
          <w:i/>
        </w:rPr>
      </w:pPr>
      <w:r w:rsidRPr="00461C16">
        <w:rPr>
          <w:i/>
        </w:rPr>
        <w:t>Pro kulturní zařízení nejsou navrženy samostatné plochy, jejich umisťování je možné dle potřeby v podstatě ve všech smíšených plochách, které tvoří dominantní podíl v půdorysu zastavěného území města, případně též v plochách bydlení. Ve všech těchto plochách je rovněž možné umístit i další zařízení pro sport a volný čas.</w:t>
      </w:r>
    </w:p>
    <w:p w14:paraId="0EBDFE00" w14:textId="77777777" w:rsidR="00106F4A" w:rsidRPr="00461C16" w:rsidRDefault="00106F4A"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 xml:space="preserve">Podporovat využití opuštěných výrobních areálů pro zřizování center volného času v integraci s funkční obchodní, společensko – zábavní, tělovýchovnou a tzv. kongresovou turistiku. </w:t>
      </w:r>
    </w:p>
    <w:p w14:paraId="29C60CF5" w14:textId="77777777" w:rsidR="00485346" w:rsidRPr="00461C16" w:rsidRDefault="00C8390B" w:rsidP="00B87098">
      <w:pPr>
        <w:pStyle w:val="1text"/>
        <w:spacing w:after="120"/>
        <w:rPr>
          <w:i/>
        </w:rPr>
      </w:pPr>
      <w:r w:rsidRPr="00461C16">
        <w:rPr>
          <w:i/>
        </w:rPr>
        <w:t xml:space="preserve">Je navrženo využití identifikovaných brownfields a jejich funkční a objemové začlenění do okolního území, jako plochy smíšené obytné, které </w:t>
      </w:r>
      <w:r w:rsidR="00B87098" w:rsidRPr="00461C16">
        <w:rPr>
          <w:i/>
        </w:rPr>
        <w:t xml:space="preserve">v případě potřeby </w:t>
      </w:r>
      <w:r w:rsidRPr="00461C16">
        <w:rPr>
          <w:i/>
        </w:rPr>
        <w:t>umožňují lokalizaci veřejné i komerční vybavenosti včetně staveb a zařízení pro turistiku</w:t>
      </w:r>
      <w:r w:rsidR="00B87098" w:rsidRPr="00461C16">
        <w:rPr>
          <w:i/>
        </w:rPr>
        <w:t>.</w:t>
      </w:r>
    </w:p>
    <w:p w14:paraId="2DEBED5E" w14:textId="77777777" w:rsidR="00106F4A" w:rsidRPr="00461C16" w:rsidRDefault="00106F4A"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Řešit a podporovat rozvoj veřejné vybavenosti jako důležitý předpoklad a součást: </w:t>
      </w:r>
    </w:p>
    <w:p w14:paraId="4EFE0B3C" w14:textId="77777777" w:rsidR="00106F4A" w:rsidRPr="00461C16" w:rsidRDefault="00106F4A" w:rsidP="00903F77">
      <w:pPr>
        <w:pStyle w:val="ListParagraph"/>
        <w:numPr>
          <w:ilvl w:val="0"/>
          <w:numId w:val="63"/>
        </w:numPr>
        <w:autoSpaceDE w:val="0"/>
        <w:autoSpaceDN w:val="0"/>
        <w:adjustRightInd w:val="0"/>
        <w:spacing w:before="60" w:line="240" w:lineRule="auto"/>
        <w:rPr>
          <w:rFonts w:cs="Arial"/>
          <w:lang w:eastAsia="cs-CZ"/>
        </w:rPr>
      </w:pPr>
      <w:r w:rsidRPr="00461C16">
        <w:rPr>
          <w:rFonts w:cs="Arial"/>
          <w:lang w:eastAsia="cs-CZ"/>
        </w:rPr>
        <w:t>revitalizace městských center</w:t>
      </w:r>
    </w:p>
    <w:p w14:paraId="0301DFB5" w14:textId="77777777" w:rsidR="00106F4A" w:rsidRPr="00461C16" w:rsidRDefault="00CC5F11" w:rsidP="00903F77">
      <w:pPr>
        <w:pStyle w:val="ListParagraph"/>
        <w:numPr>
          <w:ilvl w:val="0"/>
          <w:numId w:val="63"/>
        </w:numPr>
        <w:autoSpaceDE w:val="0"/>
        <w:autoSpaceDN w:val="0"/>
        <w:adjustRightInd w:val="0"/>
        <w:spacing w:before="60" w:line="240" w:lineRule="auto"/>
        <w:rPr>
          <w:rFonts w:cs="Arial"/>
          <w:lang w:eastAsia="cs-CZ"/>
        </w:rPr>
      </w:pPr>
      <w:r w:rsidRPr="00461C16">
        <w:rPr>
          <w:rFonts w:cs="Arial"/>
          <w:lang w:eastAsia="cs-CZ"/>
        </w:rPr>
        <w:t xml:space="preserve">regenerace obytných souborů </w:t>
      </w:r>
    </w:p>
    <w:p w14:paraId="79EFCD3C" w14:textId="77777777" w:rsidR="00106F4A" w:rsidRPr="00461C16" w:rsidRDefault="00106F4A" w:rsidP="00903F77">
      <w:pPr>
        <w:pStyle w:val="ListParagraph"/>
        <w:numPr>
          <w:ilvl w:val="0"/>
          <w:numId w:val="63"/>
        </w:numPr>
        <w:autoSpaceDE w:val="0"/>
        <w:autoSpaceDN w:val="0"/>
        <w:adjustRightInd w:val="0"/>
        <w:spacing w:before="60" w:line="240" w:lineRule="auto"/>
        <w:rPr>
          <w:rFonts w:cs="Arial"/>
          <w:lang w:eastAsia="cs-CZ"/>
        </w:rPr>
      </w:pPr>
      <w:r w:rsidRPr="00461C16">
        <w:rPr>
          <w:rFonts w:cs="Arial"/>
          <w:lang w:eastAsia="cs-CZ"/>
        </w:rPr>
        <w:lastRenderedPageBreak/>
        <w:t>nové využití tzv. brownfields</w:t>
      </w:r>
    </w:p>
    <w:p w14:paraId="7FA176A0" w14:textId="77777777" w:rsidR="00106F4A" w:rsidRPr="00461C16" w:rsidRDefault="00106F4A" w:rsidP="00903F77">
      <w:pPr>
        <w:pStyle w:val="ListParagraph"/>
        <w:numPr>
          <w:ilvl w:val="0"/>
          <w:numId w:val="63"/>
        </w:numPr>
        <w:autoSpaceDE w:val="0"/>
        <w:autoSpaceDN w:val="0"/>
        <w:adjustRightInd w:val="0"/>
        <w:spacing w:before="60" w:line="240" w:lineRule="auto"/>
        <w:rPr>
          <w:rFonts w:cs="Arial"/>
          <w:lang w:eastAsia="cs-CZ"/>
        </w:rPr>
      </w:pPr>
      <w:r w:rsidRPr="00461C16">
        <w:rPr>
          <w:rFonts w:cs="Arial"/>
          <w:lang w:eastAsia="cs-CZ"/>
        </w:rPr>
        <w:t>nového využití technických a historických památek</w:t>
      </w:r>
    </w:p>
    <w:p w14:paraId="7050C465" w14:textId="77777777" w:rsidR="00106F4A" w:rsidRPr="00461C16" w:rsidRDefault="00106F4A" w:rsidP="00903F77">
      <w:pPr>
        <w:pStyle w:val="ListParagraph"/>
        <w:numPr>
          <w:ilvl w:val="0"/>
          <w:numId w:val="63"/>
        </w:numPr>
        <w:autoSpaceDE w:val="0"/>
        <w:autoSpaceDN w:val="0"/>
        <w:adjustRightInd w:val="0"/>
        <w:spacing w:before="60" w:line="240" w:lineRule="auto"/>
        <w:rPr>
          <w:rFonts w:cs="Arial"/>
          <w:lang w:eastAsia="cs-CZ"/>
        </w:rPr>
      </w:pPr>
      <w:r w:rsidRPr="00461C16">
        <w:rPr>
          <w:rFonts w:cs="Arial"/>
          <w:lang w:eastAsia="cs-CZ"/>
        </w:rPr>
        <w:t>dovybavení obcí s významnou rekreační funkcí</w:t>
      </w:r>
    </w:p>
    <w:p w14:paraId="658B42A9" w14:textId="77777777" w:rsidR="00106F4A" w:rsidRPr="00461C16" w:rsidRDefault="00106F4A" w:rsidP="00903F77">
      <w:pPr>
        <w:pStyle w:val="ListParagraph"/>
        <w:numPr>
          <w:ilvl w:val="0"/>
          <w:numId w:val="63"/>
        </w:numPr>
        <w:autoSpaceDE w:val="0"/>
        <w:autoSpaceDN w:val="0"/>
        <w:adjustRightInd w:val="0"/>
        <w:spacing w:before="60" w:line="240" w:lineRule="auto"/>
        <w:rPr>
          <w:rFonts w:cs="Arial"/>
          <w:lang w:eastAsia="cs-CZ"/>
        </w:rPr>
      </w:pPr>
      <w:r w:rsidRPr="00461C16">
        <w:rPr>
          <w:rFonts w:cs="Arial"/>
          <w:lang w:eastAsia="cs-CZ"/>
        </w:rPr>
        <w:t>snižování existujících regionálních disparit</w:t>
      </w:r>
    </w:p>
    <w:p w14:paraId="2A8943DC" w14:textId="77777777" w:rsidR="00485346" w:rsidRPr="00461C16" w:rsidRDefault="00CC5F11" w:rsidP="00485346">
      <w:pPr>
        <w:pStyle w:val="1text"/>
        <w:rPr>
          <w:i/>
        </w:rPr>
      </w:pPr>
      <w:r w:rsidRPr="00461C16">
        <w:rPr>
          <w:i/>
        </w:rPr>
        <w:t>Městské centrum je vymezeno jako smíšené městské území, kde polyfunkčnost a flexibilita využití jsou základními předpoklady pro jeho revitalizaci. Stávající rezidenční plochy jsou stabilizovány, s výjimkou funkčně či strukturálně nevyhovujících částí, které jsou navrženy k přestavbě. Je navrženo nové využití brownfields výrobního původu, které budou začleně</w:t>
      </w:r>
      <w:r w:rsidR="00EF3CB3" w:rsidRPr="00461C16">
        <w:rPr>
          <w:i/>
        </w:rPr>
        <w:t>ny do smíšeného městského území, případně využity pro sportovní vybavenost.</w:t>
      </w:r>
    </w:p>
    <w:p w14:paraId="6EFD0910" w14:textId="77777777" w:rsidR="00B84A0C" w:rsidRPr="00461C16" w:rsidRDefault="00B84A0C" w:rsidP="00485346">
      <w:pPr>
        <w:pStyle w:val="1text"/>
        <w:rPr>
          <w:i/>
        </w:rPr>
      </w:pPr>
      <w:r w:rsidRPr="00461C16">
        <w:rPr>
          <w:i/>
        </w:rPr>
        <w:t>Ochrana památek je stanovena obecnými podmínkami ochrany kulturních hodnot, mezi něž jsou tyto stavby zařazeny. V případě nemovitých kulturních památek se ochrana řídí příslušnými právními předpisy (zákon č. 20/1987 Sb., o státní památkové péči).</w:t>
      </w:r>
    </w:p>
    <w:p w14:paraId="7C51A937" w14:textId="77777777" w:rsidR="00B84A0C" w:rsidRPr="00461C16" w:rsidRDefault="00B84A0C" w:rsidP="00485346">
      <w:pPr>
        <w:pStyle w:val="1text"/>
        <w:rPr>
          <w:i/>
        </w:rPr>
      </w:pPr>
      <w:r w:rsidRPr="00461C16">
        <w:rPr>
          <w:i/>
        </w:rPr>
        <w:t>Součástí koncepce ÚP je i řešení koncepce rekreace, kterou představují rekreační areály pro hromadnou formu rekreace, přírodní formu rekreace či plochy pro krátkodobou každodenní rekreaci obyvatel (veřejná zeleň).</w:t>
      </w:r>
    </w:p>
    <w:p w14:paraId="63D58D4D" w14:textId="77777777" w:rsidR="00106F4A" w:rsidRPr="00461C16" w:rsidRDefault="00106F4A"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Řešit a územně podporovat:</w:t>
      </w:r>
    </w:p>
    <w:p w14:paraId="129AB996" w14:textId="77777777" w:rsidR="00106F4A" w:rsidRPr="00461C16" w:rsidRDefault="00B25E79" w:rsidP="00903F77">
      <w:pPr>
        <w:pStyle w:val="ListParagraph"/>
        <w:numPr>
          <w:ilvl w:val="0"/>
          <w:numId w:val="64"/>
        </w:numPr>
        <w:autoSpaceDE w:val="0"/>
        <w:autoSpaceDN w:val="0"/>
        <w:adjustRightInd w:val="0"/>
        <w:spacing w:before="60" w:line="240" w:lineRule="auto"/>
        <w:rPr>
          <w:rFonts w:cs="Arial"/>
          <w:lang w:eastAsia="cs-CZ"/>
        </w:rPr>
      </w:pPr>
      <w:r w:rsidRPr="00461C16">
        <w:rPr>
          <w:rFonts w:cs="Arial"/>
          <w:lang w:eastAsia="cs-CZ"/>
        </w:rPr>
        <w:t>d</w:t>
      </w:r>
      <w:r w:rsidR="00106F4A" w:rsidRPr="00461C16">
        <w:rPr>
          <w:rFonts w:cs="Arial"/>
          <w:lang w:eastAsia="cs-CZ"/>
        </w:rPr>
        <w:t>ostupnost a zkvalitňování veřejných služeb včetně vytváření a zlepšování služeb pro podnikání a podnikatelské subjekty</w:t>
      </w:r>
    </w:p>
    <w:p w14:paraId="54CE7792" w14:textId="77777777" w:rsidR="00B25E79" w:rsidRPr="00461C16" w:rsidRDefault="00B25E79" w:rsidP="00903F77">
      <w:pPr>
        <w:pStyle w:val="ListParagraph"/>
        <w:numPr>
          <w:ilvl w:val="0"/>
          <w:numId w:val="64"/>
        </w:numPr>
        <w:autoSpaceDE w:val="0"/>
        <w:autoSpaceDN w:val="0"/>
        <w:adjustRightInd w:val="0"/>
        <w:spacing w:before="60" w:line="240" w:lineRule="auto"/>
        <w:rPr>
          <w:rFonts w:cs="Arial"/>
          <w:lang w:eastAsia="cs-CZ"/>
        </w:rPr>
      </w:pPr>
      <w:r w:rsidRPr="00461C16">
        <w:rPr>
          <w:rFonts w:cs="Arial"/>
          <w:lang w:eastAsia="cs-CZ"/>
        </w:rPr>
        <w:t>rozvoj turistického-rekreačních služeb a s tím související základní a doprovodné infrastruktury jako důležitého zdroje ekonomické prosperity obcí</w:t>
      </w:r>
    </w:p>
    <w:p w14:paraId="0FCE1234" w14:textId="77777777" w:rsidR="00B25E79" w:rsidRPr="00461C16" w:rsidRDefault="00B25E79" w:rsidP="00903F77">
      <w:pPr>
        <w:pStyle w:val="ListParagraph"/>
        <w:numPr>
          <w:ilvl w:val="0"/>
          <w:numId w:val="64"/>
        </w:numPr>
        <w:autoSpaceDE w:val="0"/>
        <w:autoSpaceDN w:val="0"/>
        <w:adjustRightInd w:val="0"/>
        <w:spacing w:before="60" w:line="240" w:lineRule="auto"/>
        <w:rPr>
          <w:rFonts w:cs="Arial"/>
          <w:lang w:eastAsia="cs-CZ"/>
        </w:rPr>
      </w:pPr>
      <w:r w:rsidRPr="00461C16">
        <w:rPr>
          <w:rFonts w:cs="Arial"/>
          <w:lang w:eastAsia="cs-CZ"/>
        </w:rPr>
        <w:t>zlepšování stavebně technického stavu a vybavenosti škol včetně podpory polyfunkční role škol zejména v malých obcích a ve venkovském prostoru</w:t>
      </w:r>
    </w:p>
    <w:p w14:paraId="6F9D1986" w14:textId="77777777" w:rsidR="00B25E79" w:rsidRPr="00461C16" w:rsidRDefault="00B25E79" w:rsidP="00903F77">
      <w:pPr>
        <w:pStyle w:val="ListParagraph"/>
        <w:numPr>
          <w:ilvl w:val="0"/>
          <w:numId w:val="64"/>
        </w:numPr>
        <w:autoSpaceDE w:val="0"/>
        <w:autoSpaceDN w:val="0"/>
        <w:adjustRightInd w:val="0"/>
        <w:spacing w:before="60" w:line="240" w:lineRule="auto"/>
        <w:rPr>
          <w:rFonts w:cs="Arial"/>
          <w:lang w:eastAsia="cs-CZ"/>
        </w:rPr>
      </w:pPr>
      <w:r w:rsidRPr="00461C16">
        <w:rPr>
          <w:rFonts w:cs="Arial"/>
          <w:lang w:eastAsia="cs-CZ"/>
        </w:rPr>
        <w:t>optimalizaci sítě zařízení zdravotnické péče s ohledem na obce a místa s významným vlivem ostatních uživatelů území a jednodenní návštěvnosti</w:t>
      </w:r>
    </w:p>
    <w:p w14:paraId="78E91234" w14:textId="77777777" w:rsidR="00B25E79" w:rsidRPr="00461C16" w:rsidRDefault="00B25E79" w:rsidP="00903F77">
      <w:pPr>
        <w:pStyle w:val="ListParagraph"/>
        <w:numPr>
          <w:ilvl w:val="0"/>
          <w:numId w:val="64"/>
        </w:numPr>
        <w:autoSpaceDE w:val="0"/>
        <w:autoSpaceDN w:val="0"/>
        <w:adjustRightInd w:val="0"/>
        <w:spacing w:before="60" w:line="240" w:lineRule="auto"/>
        <w:rPr>
          <w:rFonts w:cs="Arial"/>
          <w:lang w:eastAsia="cs-CZ"/>
        </w:rPr>
      </w:pPr>
      <w:r w:rsidRPr="00461C16">
        <w:rPr>
          <w:rFonts w:cs="Arial"/>
          <w:lang w:eastAsia="cs-CZ"/>
        </w:rPr>
        <w:t xml:space="preserve">modernizaci a rozšiřování sítě zařízení sociální péče s ohledem na měnící se rozmístění a věkovou strukturu trvale bydlících obyvatel </w:t>
      </w:r>
    </w:p>
    <w:p w14:paraId="206C3DB8" w14:textId="77777777" w:rsidR="00B25E79" w:rsidRPr="00461C16" w:rsidRDefault="00B25E79" w:rsidP="00903F77">
      <w:pPr>
        <w:pStyle w:val="ListParagraph"/>
        <w:numPr>
          <w:ilvl w:val="0"/>
          <w:numId w:val="64"/>
        </w:numPr>
        <w:autoSpaceDE w:val="0"/>
        <w:autoSpaceDN w:val="0"/>
        <w:adjustRightInd w:val="0"/>
        <w:spacing w:before="60" w:line="240" w:lineRule="auto"/>
        <w:rPr>
          <w:rFonts w:cs="Arial"/>
          <w:lang w:eastAsia="cs-CZ"/>
        </w:rPr>
      </w:pPr>
      <w:r w:rsidRPr="00461C16">
        <w:rPr>
          <w:rFonts w:cs="Arial"/>
          <w:lang w:eastAsia="cs-CZ"/>
        </w:rPr>
        <w:t>výstavbu, údržbu a modernizaci zařízení pro zájmovou, kulturní a sportovně-tělovýchovnou činnost a nové formy volnočasových aktivit</w:t>
      </w:r>
    </w:p>
    <w:p w14:paraId="738873D0" w14:textId="77777777" w:rsidR="00485346" w:rsidRPr="00461C16" w:rsidRDefault="00B263A9" w:rsidP="00485346">
      <w:pPr>
        <w:pStyle w:val="1text"/>
        <w:rPr>
          <w:i/>
        </w:rPr>
      </w:pPr>
      <w:r w:rsidRPr="00461C16">
        <w:rPr>
          <w:i/>
        </w:rPr>
        <w:t>V ÚP jsou stabilizovány významné plochy veřejného občanského vybavení, rekreace a podnikatelských aktivit.</w:t>
      </w:r>
      <w:r w:rsidR="005C6B4E" w:rsidRPr="00461C16">
        <w:rPr>
          <w:i/>
        </w:rPr>
        <w:t xml:space="preserve"> Pro jejich další rozvoj vymezuje samostatné plochy, zároveň je jich lokalizace přípustná i v dalších plochách s rozdílným způsobem využití, zejména v plochách smíšených obytných a plochách bydlení. Zajištěním flexibility ve využití území je dosaženo maximální dynamiky pro rozvoj města a pro zajištění kvalitních podmínek pro život obyvatel.</w:t>
      </w:r>
    </w:p>
    <w:p w14:paraId="54CFE6B3" w14:textId="77777777" w:rsidR="00B25E79" w:rsidRPr="00461C16" w:rsidRDefault="00B25E79"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Vytvářet podmínky pro koordinované umisťování a rozvoj významných zařízení veřejného občanského vybavení ve smyslu jejich účelného využívání v rámci sídelní struktury. </w:t>
      </w:r>
    </w:p>
    <w:p w14:paraId="46D24FD9" w14:textId="77777777" w:rsidR="00485346" w:rsidRPr="00461C16" w:rsidRDefault="00B84A0C" w:rsidP="00485346">
      <w:pPr>
        <w:pStyle w:val="1text"/>
        <w:rPr>
          <w:i/>
        </w:rPr>
      </w:pPr>
      <w:r w:rsidRPr="00461C16">
        <w:rPr>
          <w:i/>
        </w:rPr>
        <w:t>Významné areály veřejného občanského vybavení jsou stabilizovány v</w:t>
      </w:r>
      <w:r w:rsidR="00B263A9" w:rsidRPr="00461C16">
        <w:rPr>
          <w:i/>
        </w:rPr>
        <w:t xml:space="preserve"> samostatných </w:t>
      </w:r>
      <w:r w:rsidRPr="00461C16">
        <w:rPr>
          <w:i/>
        </w:rPr>
        <w:t>plochách veřejného občanského vybavení. Pro další rozvoj občanského vybavení je podstatné, že tyto stavby a zařízení mohou být součástí v podstatě téměř všech ploch s rozdílným způsobem využití, resp. ploch smíšených obytných a ploch bydlení, které tvoří dominantní podíl v půdorysu zastavěného území města.</w:t>
      </w:r>
    </w:p>
    <w:p w14:paraId="0D4E041D" w14:textId="77777777" w:rsidR="00B25E79" w:rsidRPr="00461C16" w:rsidRDefault="00B25E79" w:rsidP="00671A9E">
      <w:pPr>
        <w:pStyle w:val="4podnadpis"/>
      </w:pPr>
      <w:r w:rsidRPr="00461C16">
        <w:t>Cestovní ruch:</w:t>
      </w:r>
    </w:p>
    <w:p w14:paraId="05007C91" w14:textId="77777777" w:rsidR="00B25E79" w:rsidRPr="00461C16" w:rsidRDefault="00B25E79"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Vytvářet územní podmínky pro rozvoj šetrného cestovního ruchu a v maximální možné míře využívat místní potenciál a zdroje, postupně a přirozeně rozvíjet území při zachování jeho přírodních a kulturních hodnot.</w:t>
      </w:r>
    </w:p>
    <w:p w14:paraId="7EB78AB5" w14:textId="77777777" w:rsidR="00485346" w:rsidRPr="00461C16" w:rsidRDefault="003C24AA" w:rsidP="00485346">
      <w:pPr>
        <w:pStyle w:val="1text"/>
        <w:rPr>
          <w:i/>
        </w:rPr>
      </w:pPr>
      <w:r w:rsidRPr="00461C16">
        <w:rPr>
          <w:i/>
        </w:rPr>
        <w:t>Koncepce</w:t>
      </w:r>
      <w:r w:rsidR="00B345B4" w:rsidRPr="00461C16">
        <w:rPr>
          <w:i/>
        </w:rPr>
        <w:t xml:space="preserve"> </w:t>
      </w:r>
      <w:r w:rsidRPr="00461C16">
        <w:rPr>
          <w:i/>
        </w:rPr>
        <w:t>ÚP vytváří podmínky pro rozvoj rekreace a cestovního ruchu zejména ve vazbě na přírodní hodnoty území, tvořené jedinečným krajinným zázemím a blízkou CHKO Lužické hory. Je navržen rozvoj rekreačního areálu Kristýna či vytvoření lesoparku v Loučné. Rozvoj cestovního ruchu ve vazbě na kulturní hodnoty území (MPZ, nemovité kulturní památky) je soustředěn na zvýšení flexibility zastavěného území</w:t>
      </w:r>
      <w:r w:rsidR="003D3D05" w:rsidRPr="00461C16">
        <w:rPr>
          <w:i/>
        </w:rPr>
        <w:t>, kde je možné realizovat nezbytné stavby a opatření pro podporu infrastruktury cestovního ruchu.</w:t>
      </w:r>
    </w:p>
    <w:p w14:paraId="62513F42" w14:textId="77777777" w:rsidR="00B25E79" w:rsidRPr="00461C16" w:rsidRDefault="00B25E79"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lastRenderedPageBreak/>
        <w:t xml:space="preserve">Podporovat rozvoj využívání vhodných území kraje pro lázeňské, léčebné a rehabilitační účely, řešit případné střety se zájmy ohrožujícími formy využívání těchto území. </w:t>
      </w:r>
    </w:p>
    <w:p w14:paraId="61F4AA68" w14:textId="77777777" w:rsidR="00485346" w:rsidRPr="00461C16" w:rsidRDefault="003C24AA" w:rsidP="00485346">
      <w:pPr>
        <w:pStyle w:val="1text"/>
        <w:rPr>
          <w:i/>
        </w:rPr>
      </w:pPr>
      <w:r w:rsidRPr="00461C16">
        <w:rPr>
          <w:i/>
        </w:rPr>
        <w:t>Požadavek není relevantní pro ÚP Hrádek nad Nisou, město nemá status lázní ani se zde nenachází zdroje přírodních léčivých vod.</w:t>
      </w:r>
    </w:p>
    <w:p w14:paraId="023A330C" w14:textId="77777777" w:rsidR="00B25E79" w:rsidRPr="00461C16" w:rsidRDefault="00B25E79" w:rsidP="00903F77">
      <w:pPr>
        <w:pStyle w:val="ListParagraph"/>
        <w:numPr>
          <w:ilvl w:val="0"/>
          <w:numId w:val="50"/>
        </w:numPr>
        <w:autoSpaceDE w:val="0"/>
        <w:autoSpaceDN w:val="0"/>
        <w:adjustRightInd w:val="0"/>
        <w:spacing w:before="120" w:after="120" w:line="240" w:lineRule="auto"/>
        <w:ind w:left="567" w:hanging="567"/>
        <w:rPr>
          <w:rFonts w:cs="Arial"/>
          <w:lang w:eastAsia="cs-CZ"/>
        </w:rPr>
      </w:pPr>
      <w:r w:rsidRPr="00461C16">
        <w:rPr>
          <w:rFonts w:cs="Arial"/>
          <w:lang w:eastAsia="cs-CZ"/>
        </w:rPr>
        <w:t>Vytvářet podmínky pro systémový rozvoj cestovního ruchu a pro naplňování charakteristik jednotlivých středisek a center cestovního ruchu dle kategorizace</w:t>
      </w:r>
      <w:r w:rsidR="00AA187B" w:rsidRPr="00461C16">
        <w:rPr>
          <w:rFonts w:cs="Arial"/>
          <w:lang w:eastAsia="cs-CZ"/>
        </w:rPr>
        <w:t>. Hrádek nad Nisou je zařazen do kategorie p</w:t>
      </w:r>
      <w:r w:rsidRPr="00461C16">
        <w:rPr>
          <w:rFonts w:cs="Arial"/>
          <w:lang w:eastAsia="cs-CZ"/>
        </w:rPr>
        <w:t>olyfunkční střediska cestovního ruchu – PSCR – centra osídlení zajišťující obslužné zázemí středisek cestovního ruchu a příměstských středisek rekreace, současně plnící funkci střediska cestovního ruchu:</w:t>
      </w:r>
    </w:p>
    <w:p w14:paraId="0DC50FFB" w14:textId="77777777" w:rsidR="00B25E79" w:rsidRPr="00461C16" w:rsidRDefault="00B25E79" w:rsidP="00C41445">
      <w:pPr>
        <w:pStyle w:val="ListParagraph"/>
        <w:numPr>
          <w:ilvl w:val="0"/>
          <w:numId w:val="81"/>
        </w:numPr>
        <w:autoSpaceDE w:val="0"/>
        <w:autoSpaceDN w:val="0"/>
        <w:adjustRightInd w:val="0"/>
        <w:spacing w:before="60" w:line="240" w:lineRule="auto"/>
        <w:rPr>
          <w:rFonts w:cs="Arial"/>
          <w:lang w:eastAsia="cs-CZ"/>
        </w:rPr>
      </w:pPr>
      <w:r w:rsidRPr="00461C16">
        <w:rPr>
          <w:rFonts w:cs="Arial"/>
          <w:lang w:eastAsia="cs-CZ"/>
        </w:rPr>
        <w:t xml:space="preserve">Vytvářet územní podmínky pro kvalitní dopravní dostupnost. </w:t>
      </w:r>
    </w:p>
    <w:p w14:paraId="5C02C1A3" w14:textId="77777777" w:rsidR="00B25E79" w:rsidRPr="00461C16" w:rsidRDefault="00B25E79" w:rsidP="00C41445">
      <w:pPr>
        <w:pStyle w:val="ListParagraph"/>
        <w:numPr>
          <w:ilvl w:val="0"/>
          <w:numId w:val="81"/>
        </w:numPr>
        <w:autoSpaceDE w:val="0"/>
        <w:autoSpaceDN w:val="0"/>
        <w:adjustRightInd w:val="0"/>
        <w:spacing w:before="60" w:line="240" w:lineRule="auto"/>
        <w:rPr>
          <w:rFonts w:cs="Arial"/>
          <w:lang w:eastAsia="cs-CZ"/>
        </w:rPr>
      </w:pPr>
      <w:r w:rsidRPr="00461C16">
        <w:rPr>
          <w:rFonts w:cs="Arial"/>
          <w:lang w:eastAsia="cs-CZ"/>
        </w:rPr>
        <w:t xml:space="preserve">Připravit územní podmínky pro rozvoj služeb cestovního ruchu. </w:t>
      </w:r>
    </w:p>
    <w:p w14:paraId="70CB768F" w14:textId="77777777" w:rsidR="00B25E79" w:rsidRPr="00461C16" w:rsidRDefault="00B25E79" w:rsidP="00C41445">
      <w:pPr>
        <w:pStyle w:val="ListParagraph"/>
        <w:numPr>
          <w:ilvl w:val="0"/>
          <w:numId w:val="81"/>
        </w:numPr>
        <w:autoSpaceDE w:val="0"/>
        <w:autoSpaceDN w:val="0"/>
        <w:adjustRightInd w:val="0"/>
        <w:spacing w:before="60" w:line="240" w:lineRule="auto"/>
        <w:rPr>
          <w:rFonts w:cs="Arial"/>
          <w:lang w:eastAsia="cs-CZ"/>
        </w:rPr>
      </w:pPr>
      <w:r w:rsidRPr="00461C16">
        <w:rPr>
          <w:rFonts w:cs="Arial"/>
          <w:lang w:eastAsia="cs-CZ"/>
        </w:rPr>
        <w:t>Vytvářet územní podmínky pro rozvoj veřejné infrastruktury.</w:t>
      </w:r>
    </w:p>
    <w:p w14:paraId="48903ED0" w14:textId="77777777" w:rsidR="00B25E79" w:rsidRPr="00461C16" w:rsidRDefault="00B25E79" w:rsidP="00C41445">
      <w:pPr>
        <w:pStyle w:val="ListParagraph"/>
        <w:numPr>
          <w:ilvl w:val="0"/>
          <w:numId w:val="81"/>
        </w:numPr>
        <w:autoSpaceDE w:val="0"/>
        <w:autoSpaceDN w:val="0"/>
        <w:adjustRightInd w:val="0"/>
        <w:spacing w:before="60" w:line="240" w:lineRule="auto"/>
        <w:rPr>
          <w:rFonts w:cs="Arial"/>
          <w:lang w:eastAsia="cs-CZ"/>
        </w:rPr>
      </w:pPr>
      <w:r w:rsidRPr="00461C16">
        <w:rPr>
          <w:rFonts w:cs="Arial"/>
          <w:lang w:eastAsia="cs-CZ"/>
        </w:rPr>
        <w:t xml:space="preserve">Vytvářet územní předpoklady pro využití potenciálu cestovního ruchu. </w:t>
      </w:r>
    </w:p>
    <w:p w14:paraId="60C69CEF" w14:textId="77777777" w:rsidR="00B25E79" w:rsidRPr="00461C16" w:rsidRDefault="00B25E79" w:rsidP="00C41445">
      <w:pPr>
        <w:pStyle w:val="ListParagraph"/>
        <w:numPr>
          <w:ilvl w:val="0"/>
          <w:numId w:val="81"/>
        </w:numPr>
        <w:autoSpaceDE w:val="0"/>
        <w:autoSpaceDN w:val="0"/>
        <w:adjustRightInd w:val="0"/>
        <w:spacing w:before="60" w:line="240" w:lineRule="auto"/>
        <w:rPr>
          <w:rFonts w:cs="Arial"/>
          <w:lang w:eastAsia="cs-CZ"/>
        </w:rPr>
      </w:pPr>
      <w:r w:rsidRPr="00461C16">
        <w:rPr>
          <w:rFonts w:cs="Arial"/>
          <w:lang w:eastAsia="cs-CZ"/>
        </w:rPr>
        <w:t xml:space="preserve">Vytvářet územní předpoklady pro efektivní veřejnou dopravu umožňující účelné propojení s dalšími středisky cestovního ruchu. </w:t>
      </w:r>
    </w:p>
    <w:p w14:paraId="3E7F61D4" w14:textId="77777777" w:rsidR="00AA187B" w:rsidRPr="00461C16" w:rsidRDefault="00AA187B" w:rsidP="00AA187B">
      <w:pPr>
        <w:pStyle w:val="1text"/>
        <w:rPr>
          <w:i/>
        </w:rPr>
      </w:pPr>
      <w:r w:rsidRPr="00461C16">
        <w:rPr>
          <w:i/>
        </w:rPr>
        <w:t>Rekreace a cestovní ruch – viz vyhodnocení požadavku č. 151</w:t>
      </w:r>
    </w:p>
    <w:p w14:paraId="37D8D629" w14:textId="77777777" w:rsidR="00485346" w:rsidRPr="00461C16" w:rsidRDefault="00AA187B" w:rsidP="00AA187B">
      <w:pPr>
        <w:pStyle w:val="1text"/>
        <w:rPr>
          <w:i/>
        </w:rPr>
      </w:pPr>
      <w:r w:rsidRPr="00461C16">
        <w:rPr>
          <w:i/>
        </w:rPr>
        <w:t>Dopravní dostupnost a prostupnost, veřejná infrastruktura - v</w:t>
      </w:r>
      <w:r w:rsidR="00E642E8" w:rsidRPr="00461C16">
        <w:rPr>
          <w:i/>
        </w:rPr>
        <w:t>iz vyhodnocení v kap. 6.5.</w:t>
      </w:r>
    </w:p>
    <w:p w14:paraId="149CBC10" w14:textId="77777777" w:rsidR="00B25E79" w:rsidRPr="00461C16" w:rsidRDefault="00B25E79"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Připravit územní podmínky pro zkvalitnění a dobudování turistické infrastruktury upřesňováním sítě multifunkčních koridorů – cílových bodů a propojovacích tras pro řízený rozvoj cestovního ruchu se základní a doprovodnou infrastrukturou CR. Ve zvláště chráněných územích upřednostňovat využití stávající dopravní sítě. </w:t>
      </w:r>
    </w:p>
    <w:p w14:paraId="5BE76B22" w14:textId="77777777" w:rsidR="00485346" w:rsidRPr="00461C16" w:rsidRDefault="008A2736" w:rsidP="00485346">
      <w:pPr>
        <w:pStyle w:val="1text"/>
        <w:rPr>
          <w:i/>
          <w:lang w:eastAsia="en-US"/>
        </w:rPr>
      </w:pPr>
      <w:r w:rsidRPr="00461C16">
        <w:rPr>
          <w:i/>
          <w:lang w:eastAsia="en-US"/>
        </w:rPr>
        <w:t>ÚP vytváří předpoklady pro zkvalitnění infrastruktury cestovního ruchu, zejména vymezením převažujícího smíšeného způsobu využití ploch v zastavěném území města, který umožňuje lokalizaci různých typů zařízení pro rekreaci a cestovní ruch.</w:t>
      </w:r>
    </w:p>
    <w:p w14:paraId="5805CF77" w14:textId="77777777" w:rsidR="008A2736" w:rsidRPr="00461C16" w:rsidRDefault="008A2736" w:rsidP="00485346">
      <w:pPr>
        <w:pStyle w:val="1text"/>
        <w:rPr>
          <w:i/>
        </w:rPr>
      </w:pPr>
      <w:r w:rsidRPr="00461C16">
        <w:rPr>
          <w:i/>
          <w:lang w:eastAsia="en-US"/>
        </w:rPr>
        <w:t>V rámci stanovených multifunkčních turistických koridorů ÚP vytváří předpoklady pro podporu cykloturistiky např. vymezením cyklotrasy Odra-Nisa.</w:t>
      </w:r>
    </w:p>
    <w:p w14:paraId="71F4F972" w14:textId="77777777" w:rsidR="00B25E79" w:rsidRPr="00461C16" w:rsidRDefault="00B25E79"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Zajistit územní předpoklady pro kvalitní městskou a turistickou dopravu do středisek CR, příměstských středisek rekreace, lázeňských a léčebných středisek. </w:t>
      </w:r>
    </w:p>
    <w:p w14:paraId="5E1275DC" w14:textId="77777777" w:rsidR="00485346" w:rsidRPr="00461C16" w:rsidRDefault="008A2736" w:rsidP="00485346">
      <w:pPr>
        <w:pStyle w:val="1text"/>
        <w:rPr>
          <w:i/>
        </w:rPr>
      </w:pPr>
      <w:r w:rsidRPr="00461C16">
        <w:rPr>
          <w:i/>
          <w:lang w:eastAsia="en-US"/>
        </w:rPr>
        <w:t>ÚP vytváří předpoklady pro zkvalitnění infrastruktury cestovního ruchu, zejména vymezením převažujícího smíšeného způsobu využití ploch v zastavěném území města, který umožňuje lokalizaci různých typů zařízení pro rekreaci a cestovní ruch.</w:t>
      </w:r>
    </w:p>
    <w:p w14:paraId="0540650C" w14:textId="77777777" w:rsidR="00587BAD" w:rsidRPr="00461C16" w:rsidRDefault="00587BAD" w:rsidP="00671A9E">
      <w:pPr>
        <w:pStyle w:val="4podnadpis"/>
      </w:pPr>
      <w:r w:rsidRPr="00461C16">
        <w:t>Zásady koncepce ochrany území a zvýšení jeho bezpečnosti:</w:t>
      </w:r>
    </w:p>
    <w:p w14:paraId="127134F6" w14:textId="77777777" w:rsidR="00587BAD" w:rsidRPr="00461C16" w:rsidRDefault="00587BAD"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Respektovat ochranu nemovitostí a zařízení včetně ochranných pásem a vytvářet územní podmínky pro umístění nových zařízení a infrastruktury. </w:t>
      </w:r>
    </w:p>
    <w:p w14:paraId="1C096C4E" w14:textId="7F4F0886" w:rsidR="00485346" w:rsidRPr="00461C16" w:rsidRDefault="003C24AA" w:rsidP="00485346">
      <w:pPr>
        <w:pStyle w:val="1text"/>
        <w:rPr>
          <w:i/>
        </w:rPr>
      </w:pPr>
      <w:r w:rsidRPr="00461C16">
        <w:rPr>
          <w:i/>
        </w:rPr>
        <w:t xml:space="preserve">Veškeré limity využití území včetně ochranných pásem jsou respektovány. Nezbytná dopravní a technická infrastruktura je </w:t>
      </w:r>
      <w:r w:rsidR="00DB1E1B" w:rsidRPr="00461C16">
        <w:rPr>
          <w:i/>
        </w:rPr>
        <w:t>realizovateln</w:t>
      </w:r>
      <w:r w:rsidR="00DB1E1B">
        <w:rPr>
          <w:i/>
        </w:rPr>
        <w:t>á</w:t>
      </w:r>
      <w:r w:rsidR="00DB1E1B" w:rsidRPr="00461C16">
        <w:rPr>
          <w:i/>
        </w:rPr>
        <w:t xml:space="preserve"> </w:t>
      </w:r>
      <w:r w:rsidRPr="00461C16">
        <w:rPr>
          <w:i/>
        </w:rPr>
        <w:t>v celém správním území města, v zastavěném a zastavitelném území dle podmínek využití ploch, v nezastavitelném území dle §18, odst. 5 stavebního zákona.</w:t>
      </w:r>
    </w:p>
    <w:p w14:paraId="308CA2E3" w14:textId="77777777" w:rsidR="00587BAD" w:rsidRPr="00461C16" w:rsidRDefault="00587BAD"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Vytvářet územní předpoklady pro bezpečné skladování nebezpečných látek, respektovat zásady ochrany před jejich vlivy a důsledky možné havárie, které jsou řešeny v Havarijním a Krizovém plánu kraje. </w:t>
      </w:r>
    </w:p>
    <w:p w14:paraId="1E519AEF" w14:textId="77777777" w:rsidR="00485346" w:rsidRPr="00461C16" w:rsidRDefault="003C24AA" w:rsidP="00485346">
      <w:pPr>
        <w:pStyle w:val="1text"/>
        <w:rPr>
          <w:i/>
        </w:rPr>
      </w:pPr>
      <w:r w:rsidRPr="00461C16">
        <w:rPr>
          <w:i/>
        </w:rPr>
        <w:t>Havarijní a Krizový plán kraje jsou respektovány jako základní obecné podklady pro stanovení koncepce ÚP. Konkrétní ochrana území a jeho obyvatel v případě havárie přísluší havarijnímu plánu subjektu, v jehož areálu jsou nebezpečné látky skladovány.</w:t>
      </w:r>
    </w:p>
    <w:p w14:paraId="3BB18CB4" w14:textId="77777777" w:rsidR="00587BAD" w:rsidRPr="00461C16" w:rsidRDefault="00587BAD"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Území, s potenciálním ohrožením povodňovou vlnou způsobenou zvláštní povodní vzniklou havárií nebo nouzovým řešením kritické situace na vodním díle, chránit adekvátní protipovodňovou ochranu, posuzovat umisťování nových investic do těchto území (ekonomické hledisko, lidské zdroje)</w:t>
      </w:r>
    </w:p>
    <w:p w14:paraId="256FB2FA" w14:textId="77777777" w:rsidR="00485346" w:rsidRPr="00461C16" w:rsidRDefault="009B0965" w:rsidP="00485346">
      <w:pPr>
        <w:pStyle w:val="1text"/>
        <w:rPr>
          <w:i/>
        </w:rPr>
      </w:pPr>
      <w:r w:rsidRPr="00461C16">
        <w:rPr>
          <w:i/>
          <w:szCs w:val="18"/>
        </w:rPr>
        <w:t>Lze řešit bez vazby na ÚP.</w:t>
      </w:r>
    </w:p>
    <w:p w14:paraId="4931F5A4" w14:textId="77777777" w:rsidR="00587BAD" w:rsidRPr="00461C16" w:rsidRDefault="00587BAD"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lastRenderedPageBreak/>
        <w:t xml:space="preserve">V ÚPD obcí zohlednit opatření vyplývající z mimořádných a krizových situací. </w:t>
      </w:r>
    </w:p>
    <w:p w14:paraId="1CA95FBC" w14:textId="77777777" w:rsidR="00485346" w:rsidRPr="00461C16" w:rsidRDefault="003C24AA" w:rsidP="00485346">
      <w:pPr>
        <w:pStyle w:val="1text"/>
        <w:rPr>
          <w:i/>
        </w:rPr>
      </w:pPr>
      <w:r w:rsidRPr="00461C16">
        <w:rPr>
          <w:i/>
        </w:rPr>
        <w:t>Mimořádnou či krizovou situaci lze teoreticky očekávat v případě havárie uvnitř některého z výrobních areálů, ve kterých dochází k manipulaci s nebezpečnými látkami. Na území města nicméně vzhledem k charakteru výroby není reálný předpoklad, že by k takové situaci mohlo dojít. Ostatní krizové situace zaviněné vyšší mocí či vnější silou, nelze v ÚP ošetřit, protože nemají konkrétní územní průmět.</w:t>
      </w:r>
    </w:p>
    <w:p w14:paraId="28CA69E4" w14:textId="77777777" w:rsidR="00587BAD" w:rsidRPr="00461C16" w:rsidRDefault="00587BAD"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Vytvářet podmínky pro evakuaci obyvatelstva, územně chránit navřená, přijímací střediska a evakuační trasy uvedené v Havarijním plánu kraje. </w:t>
      </w:r>
    </w:p>
    <w:p w14:paraId="784D2B50" w14:textId="77777777" w:rsidR="00485346" w:rsidRPr="00461C16" w:rsidRDefault="003C24AA" w:rsidP="00485346">
      <w:pPr>
        <w:pStyle w:val="1text"/>
        <w:rPr>
          <w:i/>
        </w:rPr>
      </w:pPr>
      <w:r w:rsidRPr="00461C16">
        <w:rPr>
          <w:i/>
        </w:rPr>
        <w:t>Havarijní plán kraje je respektován jako základní obecný podklad pro stanovení koncepce ÚP. Nezbytnou evakuaci obyvatelstva lze provádět mimo ÚP, konkrétní postup stanovuje havarijní, krizový či evakuační plán.</w:t>
      </w:r>
    </w:p>
    <w:p w14:paraId="438393F3" w14:textId="77777777" w:rsidR="00587BAD" w:rsidRPr="00461C16" w:rsidRDefault="00587BAD"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 xml:space="preserve">Vytvářet podmínky pro nouzové zásobování obyvatelstva vodou (alternativní podzemní zdroje, vhodné povrchové zdroje, propojení vodárenských sítí). </w:t>
      </w:r>
    </w:p>
    <w:p w14:paraId="29CF9CBB" w14:textId="77777777" w:rsidR="00485346" w:rsidRPr="00461C16" w:rsidRDefault="008A2736" w:rsidP="00485346">
      <w:pPr>
        <w:pStyle w:val="1text"/>
        <w:rPr>
          <w:i/>
        </w:rPr>
      </w:pPr>
      <w:r w:rsidRPr="00461C16">
        <w:rPr>
          <w:i/>
          <w:szCs w:val="18"/>
        </w:rPr>
        <w:t>Lze řešit bez vazby na ÚP.</w:t>
      </w:r>
    </w:p>
    <w:p w14:paraId="1CBC8867" w14:textId="77777777" w:rsidR="00587BAD" w:rsidRPr="00461C16" w:rsidRDefault="00587BAD" w:rsidP="00903F77">
      <w:pPr>
        <w:pStyle w:val="ListParagraph"/>
        <w:numPr>
          <w:ilvl w:val="0"/>
          <w:numId w:val="50"/>
        </w:numPr>
        <w:autoSpaceDE w:val="0"/>
        <w:autoSpaceDN w:val="0"/>
        <w:adjustRightInd w:val="0"/>
        <w:spacing w:before="60" w:line="240" w:lineRule="auto"/>
        <w:ind w:left="567" w:hanging="567"/>
        <w:rPr>
          <w:rFonts w:cs="Arial"/>
          <w:lang w:eastAsia="cs-CZ"/>
        </w:rPr>
      </w:pPr>
      <w:r w:rsidRPr="00461C16">
        <w:rPr>
          <w:rFonts w:cs="Arial"/>
          <w:lang w:eastAsia="cs-CZ"/>
        </w:rPr>
        <w:t>Vytvářet podmínky pro zabezpečení hlavních dopravních tras zejména s důrazem na uvedené silnice R35 a R10, I/13, I/14, I/35, I/9, I/10 a I/38.</w:t>
      </w:r>
    </w:p>
    <w:p w14:paraId="07C9A26D" w14:textId="77777777" w:rsidR="00485346" w:rsidRPr="00461C16" w:rsidRDefault="008A2736" w:rsidP="00485346">
      <w:pPr>
        <w:pStyle w:val="1text"/>
        <w:spacing w:after="120"/>
        <w:rPr>
          <w:i/>
        </w:rPr>
      </w:pPr>
      <w:r w:rsidRPr="00461C16">
        <w:rPr>
          <w:i/>
          <w:szCs w:val="18"/>
        </w:rPr>
        <w:t>ÚP stabilizuje vedení silnice I/35 jako základní páteřní komunikaci nadřazeného komunikačního systému města Hrádek nad Nisou.</w:t>
      </w:r>
      <w:r w:rsidR="00B40DF6" w:rsidRPr="00B40DF6">
        <w:rPr>
          <w:i/>
          <w:szCs w:val="18"/>
        </w:rPr>
        <w:t xml:space="preserve"> </w:t>
      </w:r>
      <w:r w:rsidR="00B40DF6">
        <w:rPr>
          <w:i/>
          <w:szCs w:val="18"/>
        </w:rPr>
        <w:t>Pro budoucí rozšíření silnice I/35 na čtyřpruhové uspořádání je vymezena plocha územní rezervy R16.</w:t>
      </w:r>
    </w:p>
    <w:p w14:paraId="5D68DC41" w14:textId="77777777" w:rsidR="000964A4" w:rsidRPr="00461C16" w:rsidRDefault="00FB1CCD" w:rsidP="000964A4">
      <w:pPr>
        <w:pStyle w:val="Heading3"/>
      </w:pPr>
      <w:bookmarkStart w:id="32" w:name="_Toc36116248"/>
      <w:r w:rsidRPr="00461C16">
        <w:t>1</w:t>
      </w:r>
      <w:r w:rsidR="000964A4" w:rsidRPr="00461C16">
        <w:t>.2.</w:t>
      </w:r>
      <w:r w:rsidR="0062448C" w:rsidRPr="00461C16">
        <w:t>9</w:t>
      </w:r>
      <w:r w:rsidR="000964A4" w:rsidRPr="00461C16">
        <w:tab/>
        <w:t>Cílové charakteristiky krajiny</w:t>
      </w:r>
      <w:bookmarkEnd w:id="32"/>
      <w:r w:rsidR="000964A4" w:rsidRPr="00461C16">
        <w:t xml:space="preserve"> </w:t>
      </w:r>
    </w:p>
    <w:p w14:paraId="1AD68D58" w14:textId="77777777" w:rsidR="005F3AB6" w:rsidRPr="00461C16" w:rsidRDefault="00591534" w:rsidP="00591534">
      <w:pPr>
        <w:pStyle w:val="4podnadpis"/>
      </w:pPr>
      <w:r w:rsidRPr="00461C16">
        <w:t>Ochranu krajinného rázu (KR) realizovat dle podmínek péče o krajinný ráz ve vymezených oblastech a podoblastech krajinného rázu.</w:t>
      </w:r>
    </w:p>
    <w:p w14:paraId="33F939BE" w14:textId="77777777" w:rsidR="0062448C" w:rsidRPr="00461C16" w:rsidRDefault="0062448C" w:rsidP="00591534">
      <w:pPr>
        <w:pStyle w:val="4podnadpis"/>
        <w:rPr>
          <w:b w:val="0"/>
          <w:i w:val="0"/>
          <w:u w:val="single"/>
        </w:rPr>
      </w:pPr>
      <w:r w:rsidRPr="00461C16">
        <w:rPr>
          <w:b w:val="0"/>
          <w:i w:val="0"/>
          <w:u w:val="single"/>
        </w:rPr>
        <w:t>Základní společná kritéria a podmínky p</w:t>
      </w:r>
      <w:r w:rsidR="00AC09B5" w:rsidRPr="00461C16">
        <w:rPr>
          <w:b w:val="0"/>
          <w:i w:val="0"/>
          <w:u w:val="single"/>
        </w:rPr>
        <w:t>é</w:t>
      </w:r>
      <w:r w:rsidRPr="00461C16">
        <w:rPr>
          <w:b w:val="0"/>
          <w:i w:val="0"/>
          <w:u w:val="single"/>
        </w:rPr>
        <w:t>če o krajinný ráz pro rozhodování o změnách v území:</w:t>
      </w:r>
    </w:p>
    <w:p w14:paraId="7B290084"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Respektovat a rozvíjet základní atributy krajinného rázu a územní stabilitu charakteristickou pro jednotky krajinného rázu a jejich pozitivní charakteristiky. </w:t>
      </w:r>
    </w:p>
    <w:p w14:paraId="6F05C7A1" w14:textId="77777777" w:rsidR="00241159" w:rsidRPr="00461C16" w:rsidRDefault="005F3AB6" w:rsidP="005F3AB6">
      <w:pPr>
        <w:pStyle w:val="1text"/>
        <w:rPr>
          <w:i/>
          <w:szCs w:val="18"/>
        </w:rPr>
      </w:pPr>
      <w:r w:rsidRPr="00461C16">
        <w:rPr>
          <w:i/>
          <w:szCs w:val="18"/>
        </w:rPr>
        <w:t>V </w:t>
      </w:r>
      <w:r w:rsidR="00376CFF" w:rsidRPr="00461C16">
        <w:rPr>
          <w:i/>
          <w:szCs w:val="18"/>
        </w:rPr>
        <w:t>Ú</w:t>
      </w:r>
      <w:r w:rsidRPr="00461C16">
        <w:rPr>
          <w:i/>
          <w:szCs w:val="18"/>
        </w:rPr>
        <w:t>P nejsou navrženy záměry vedoucí k narušení základních atributů krajinného rázu</w:t>
      </w:r>
      <w:r w:rsidR="00591534" w:rsidRPr="00461C16">
        <w:rPr>
          <w:i/>
          <w:szCs w:val="18"/>
        </w:rPr>
        <w:t xml:space="preserve"> v</w:t>
      </w:r>
      <w:r w:rsidR="00241159" w:rsidRPr="00461C16">
        <w:rPr>
          <w:i/>
          <w:szCs w:val="18"/>
        </w:rPr>
        <w:t> </w:t>
      </w:r>
      <w:r w:rsidR="00376CFF" w:rsidRPr="00461C16">
        <w:rPr>
          <w:i/>
          <w:szCs w:val="18"/>
        </w:rPr>
        <w:t>podoblast</w:t>
      </w:r>
      <w:r w:rsidR="00241159" w:rsidRPr="00461C16">
        <w:rPr>
          <w:i/>
          <w:szCs w:val="18"/>
        </w:rPr>
        <w:t xml:space="preserve">ech </w:t>
      </w:r>
      <w:r w:rsidR="00376CFF" w:rsidRPr="00461C16">
        <w:rPr>
          <w:i/>
          <w:szCs w:val="18"/>
        </w:rPr>
        <w:t xml:space="preserve">krajinného </w:t>
      </w:r>
      <w:r w:rsidR="00591534" w:rsidRPr="00461C16">
        <w:rPr>
          <w:i/>
          <w:szCs w:val="18"/>
        </w:rPr>
        <w:t>rázu 02-2 Hrádecko a Chrastavsko</w:t>
      </w:r>
      <w:r w:rsidR="00241159" w:rsidRPr="00461C16">
        <w:rPr>
          <w:i/>
          <w:szCs w:val="18"/>
        </w:rPr>
        <w:t xml:space="preserve"> a 12-1 Lužické hory – východní část.</w:t>
      </w:r>
      <w:r w:rsidRPr="00461C16">
        <w:rPr>
          <w:i/>
          <w:szCs w:val="18"/>
        </w:rPr>
        <w:t xml:space="preserve"> </w:t>
      </w:r>
    </w:p>
    <w:p w14:paraId="4BC8591C" w14:textId="77777777" w:rsidR="005F3AB6" w:rsidRPr="00461C16" w:rsidRDefault="00241159" w:rsidP="005F3AB6">
      <w:pPr>
        <w:pStyle w:val="1text"/>
        <w:rPr>
          <w:i/>
        </w:rPr>
      </w:pPr>
      <w:r w:rsidRPr="00461C16">
        <w:rPr>
          <w:i/>
          <w:szCs w:val="18"/>
        </w:rPr>
        <w:t xml:space="preserve">V prostoru východně od I/35 </w:t>
      </w:r>
      <w:r w:rsidR="005F3AB6" w:rsidRPr="00461C16">
        <w:rPr>
          <w:i/>
          <w:szCs w:val="18"/>
        </w:rPr>
        <w:t xml:space="preserve">jsou vymezeny poměrně rozsáhlé plochy pro ekonomické aktivity, jsou uchovány poměrně rozsáhlé plochy zemědělských půd v oblasti zemědělské krajiny. Nedochází k narušení charakteru lesozemědělské a lesní krajiny. </w:t>
      </w:r>
    </w:p>
    <w:p w14:paraId="600F571E"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Respektovat chráněné části krajiny a krajinné útvary, minimalizovat zásahy do území zájmů ochrany přírody a krajiny. </w:t>
      </w:r>
    </w:p>
    <w:p w14:paraId="478E12D5" w14:textId="77777777" w:rsidR="005F3AB6" w:rsidRPr="00461C16" w:rsidRDefault="005F3AB6" w:rsidP="005F3AB6">
      <w:pPr>
        <w:pStyle w:val="BodyText"/>
        <w:spacing w:before="120" w:after="120"/>
        <w:rPr>
          <w:i/>
          <w:sz w:val="22"/>
          <w:szCs w:val="22"/>
        </w:rPr>
      </w:pPr>
      <w:r w:rsidRPr="00461C16">
        <w:rPr>
          <w:i/>
          <w:sz w:val="22"/>
          <w:szCs w:val="22"/>
          <w:shd w:val="clear" w:color="auto" w:fill="FFFFFF"/>
        </w:rPr>
        <w:t xml:space="preserve">Chráněné části krajiny jsou v ÚP respektovány jako přírodní hodnoty, nejsou navrženy záměry, které by </w:t>
      </w:r>
      <w:r w:rsidR="00376CFF" w:rsidRPr="00461C16">
        <w:rPr>
          <w:i/>
          <w:sz w:val="22"/>
          <w:szCs w:val="22"/>
          <w:shd w:val="clear" w:color="auto" w:fill="FFFFFF"/>
        </w:rPr>
        <w:t>mohly</w:t>
      </w:r>
      <w:r w:rsidRPr="00461C16">
        <w:rPr>
          <w:i/>
          <w:sz w:val="22"/>
          <w:szCs w:val="22"/>
          <w:shd w:val="clear" w:color="auto" w:fill="FFFFFF"/>
        </w:rPr>
        <w:t xml:space="preserve"> tyto části území poškodit. </w:t>
      </w:r>
    </w:p>
    <w:p w14:paraId="307555AA"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Respektovat cenné urbanistické a architektonické znaky sídelních útvarů – doplňovat je pouze objemově a tektonicky vhodnou zástavbou. </w:t>
      </w:r>
    </w:p>
    <w:p w14:paraId="20641DE5" w14:textId="77777777" w:rsidR="005F3AB6" w:rsidRPr="00461C16" w:rsidRDefault="005F3AB6" w:rsidP="005F3AB6">
      <w:pPr>
        <w:pStyle w:val="BodyText"/>
        <w:spacing w:before="120" w:after="120"/>
        <w:rPr>
          <w:i/>
          <w:color w:val="000000"/>
          <w:sz w:val="22"/>
          <w:szCs w:val="22"/>
          <w:shd w:val="clear" w:color="auto" w:fill="FFFFFF"/>
        </w:rPr>
      </w:pPr>
      <w:r w:rsidRPr="00461C16">
        <w:rPr>
          <w:i/>
          <w:color w:val="000000"/>
          <w:sz w:val="22"/>
          <w:szCs w:val="22"/>
          <w:shd w:val="clear" w:color="auto" w:fill="FFFFFF"/>
        </w:rPr>
        <w:t>Realizace objemově a charakterově vhodné zástavby je zajištěna stanovením zásad v kap. B.3 ÚP – Základní koncepce ochrany a rozvoje kulturních hodnot území a stanovením podmínek využití a prostorového uspořádání v kap. F ÚP.</w:t>
      </w:r>
    </w:p>
    <w:p w14:paraId="3BDBAA71"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Upřednostňovat využití potenciálu ploch v zastavěném území sídelních útvarů, zejména proluk a přestavbových území, před vymezováním nových zastavitelných ploch ve volné krajině, při zachování migrační prostupnosti krajiny (zejména nepropojovat sídla).</w:t>
      </w:r>
    </w:p>
    <w:p w14:paraId="75267921" w14:textId="77777777" w:rsidR="005F3AB6" w:rsidRPr="00461C16" w:rsidRDefault="005F3AB6" w:rsidP="005F3AB6">
      <w:pPr>
        <w:pStyle w:val="BodyText"/>
        <w:spacing w:before="120" w:after="120"/>
        <w:rPr>
          <w:i/>
          <w:sz w:val="22"/>
          <w:szCs w:val="22"/>
          <w:lang w:eastAsia="en-US"/>
        </w:rPr>
      </w:pPr>
      <w:r w:rsidRPr="00461C16">
        <w:rPr>
          <w:i/>
          <w:sz w:val="22"/>
          <w:szCs w:val="22"/>
          <w:lang w:eastAsia="en-US"/>
        </w:rPr>
        <w:t>Rozvojové plochy jsou vymezeny přednostně v prolukách v zastavěném území a v plochách brownfields, v druhé řadě v přímé návaznosti na hranici zastavěného území. Nedochází k zakládání nové zástavby ve volné krajině.</w:t>
      </w:r>
    </w:p>
    <w:p w14:paraId="6001DD26" w14:textId="77777777" w:rsidR="005F3AB6" w:rsidRPr="00461C16" w:rsidRDefault="005F3AB6" w:rsidP="005F3AB6">
      <w:pPr>
        <w:pStyle w:val="1text"/>
        <w:rPr>
          <w:i/>
          <w:lang w:eastAsia="en-US"/>
        </w:rPr>
      </w:pPr>
      <w:r w:rsidRPr="00461C16">
        <w:rPr>
          <w:i/>
          <w:lang w:eastAsia="en-US"/>
        </w:rPr>
        <w:t xml:space="preserve">Koncepce ÚP respektuje polycentrickou strukturu města a nepřispívá ke srůstání jednotlivých sídel, s výjimkou návrhu ploch výroby podél městského obchvatu, které prostorově propojí sídla Hrádek nad Nisou a Oldřichov na </w:t>
      </w:r>
      <w:r w:rsidRPr="00461C16">
        <w:rPr>
          <w:i/>
          <w:lang w:eastAsia="en-US"/>
        </w:rPr>
        <w:lastRenderedPageBreak/>
        <w:t xml:space="preserve">Hranicích (odstup je zachován pouze prostřednictvím pásu izolační zeleně), jedná se však o záměr nadmístního významu, podpořený začleněním města do rozvojové oblasti a rozvojové osy a zároveň strategickou polohou na státní hranici. </w:t>
      </w:r>
    </w:p>
    <w:p w14:paraId="428DE5E1" w14:textId="77777777" w:rsidR="005F3AB6" w:rsidRPr="00461C16" w:rsidRDefault="005F3AB6" w:rsidP="005F3AB6">
      <w:pPr>
        <w:pStyle w:val="1text"/>
        <w:rPr>
          <w:i/>
          <w:lang w:eastAsia="en-US"/>
        </w:rPr>
      </w:pPr>
      <w:r w:rsidRPr="00461C16">
        <w:rPr>
          <w:i/>
          <w:lang w:eastAsia="en-US"/>
        </w:rPr>
        <w:t>Z hlediska prostupnosti krajiny je již v současné době výraznou bariérou obchvat města (silnice I/35), bariérový efekt je posílen vymezením zmíněných ploch pro výrobu podél komunikace. Případnou propustnost pro migraci živočichů by bylo nutné řešit v podrobnější dokumentaci, která prověří a navrhne uspořádání zástavby v plochách, nicméně stávající vedení silnice I/35 a neexistence migračních koridorů, stejně jako rozsah navazujících zastavěných ploch reálně neumožňuje žádné migrační směry.</w:t>
      </w:r>
    </w:p>
    <w:p w14:paraId="58B8B1DE"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Umisťování staveb a zařízení, jejichž parametry by mohly narušit pozitivní charakteristiky krajinného rázu, podmínit kladným vyhodnocením vlivu na krajinný ráz a negativní dopady eliminovat. </w:t>
      </w:r>
    </w:p>
    <w:p w14:paraId="408C7647" w14:textId="77777777" w:rsidR="005F3AB6" w:rsidRPr="00461C16" w:rsidRDefault="005F3AB6" w:rsidP="005F3AB6">
      <w:pPr>
        <w:pStyle w:val="BodyText"/>
        <w:spacing w:before="120" w:after="120"/>
        <w:rPr>
          <w:i/>
          <w:sz w:val="22"/>
          <w:szCs w:val="22"/>
        </w:rPr>
      </w:pPr>
      <w:r w:rsidRPr="00461C16">
        <w:rPr>
          <w:i/>
          <w:sz w:val="22"/>
          <w:szCs w:val="22"/>
          <w:shd w:val="clear" w:color="auto" w:fill="FFFFFF"/>
        </w:rPr>
        <w:t xml:space="preserve">Požadavek je uplatněn v kap. E.2 územního plánu. </w:t>
      </w:r>
    </w:p>
    <w:p w14:paraId="67A25975"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Při umisťování výškových staveb (stožáry mobilních operátorů, větrné elektrárny aj.) postupovat v souladu s požadavky na ochranu krajinného rázu. </w:t>
      </w:r>
    </w:p>
    <w:p w14:paraId="5A4ECB46" w14:textId="77777777" w:rsidR="005F3AB6" w:rsidRPr="00461C16" w:rsidRDefault="005F3AB6" w:rsidP="005F3AB6">
      <w:pPr>
        <w:pStyle w:val="BodyText"/>
        <w:spacing w:before="120" w:after="120"/>
        <w:rPr>
          <w:i/>
          <w:sz w:val="22"/>
          <w:szCs w:val="22"/>
        </w:rPr>
      </w:pPr>
      <w:r w:rsidRPr="00461C16">
        <w:rPr>
          <w:i/>
          <w:color w:val="000000"/>
          <w:sz w:val="22"/>
          <w:szCs w:val="22"/>
          <w:shd w:val="clear" w:color="auto" w:fill="FFFFFF"/>
        </w:rPr>
        <w:t xml:space="preserve">Tento požadavek bude řešen v rámci řízení o umístění stavby či jiného obdobného řízení. </w:t>
      </w:r>
    </w:p>
    <w:p w14:paraId="1BD91A3E"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Při umisťování koridorů staveb dopravní a technické infrastruktury sledovat aspekty nenarušitelnosti spojitosti krajinných celků a jejich horizontů, zamezit fragmentaci přirozeně ucelených částí krajiny, nutné případy eliminovat. </w:t>
      </w:r>
    </w:p>
    <w:p w14:paraId="72D07FE2" w14:textId="77777777" w:rsidR="005F3AB6" w:rsidRPr="00461C16" w:rsidRDefault="005F3AB6" w:rsidP="005F3AB6">
      <w:pPr>
        <w:pStyle w:val="BodyText"/>
        <w:spacing w:before="120" w:after="120"/>
        <w:rPr>
          <w:i/>
          <w:sz w:val="22"/>
          <w:szCs w:val="22"/>
        </w:rPr>
      </w:pPr>
      <w:r w:rsidRPr="00461C16">
        <w:rPr>
          <w:i/>
          <w:sz w:val="22"/>
          <w:szCs w:val="22"/>
          <w:shd w:val="clear" w:color="auto" w:fill="FFFFFF"/>
        </w:rPr>
        <w:t>ÚP nenavrhuje koridory staveb</w:t>
      </w:r>
      <w:r w:rsidRPr="00461C16">
        <w:rPr>
          <w:rFonts w:eastAsia="SimSun" w:cs="Times New Roman"/>
          <w:sz w:val="22"/>
          <w:szCs w:val="22"/>
        </w:rPr>
        <w:t xml:space="preserve"> </w:t>
      </w:r>
      <w:r w:rsidRPr="00461C16">
        <w:rPr>
          <w:i/>
          <w:sz w:val="22"/>
          <w:szCs w:val="22"/>
          <w:shd w:val="clear" w:color="auto" w:fill="FFFFFF"/>
        </w:rPr>
        <w:t>dopravní a technické infrastruktury, které by vnášely do území nové segmenty vytvářející novou fragmentaci krajiny.</w:t>
      </w:r>
    </w:p>
    <w:p w14:paraId="43C6E641"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Chránit místa výhledů, horizontů a krajinných dominant. </w:t>
      </w:r>
    </w:p>
    <w:p w14:paraId="407C2DD8" w14:textId="77777777" w:rsidR="005F3AB6" w:rsidRPr="00461C16" w:rsidRDefault="005F3AB6" w:rsidP="005F3AB6">
      <w:pPr>
        <w:pStyle w:val="BodyText"/>
        <w:spacing w:before="120" w:after="120"/>
        <w:rPr>
          <w:i/>
          <w:sz w:val="22"/>
          <w:szCs w:val="22"/>
        </w:rPr>
      </w:pPr>
      <w:r w:rsidRPr="00461C16">
        <w:rPr>
          <w:i/>
          <w:sz w:val="22"/>
          <w:szCs w:val="22"/>
          <w:shd w:val="clear" w:color="auto" w:fill="FFFFFF"/>
        </w:rPr>
        <w:t>Místa výhledů, horizontů a krajinných dominant jsou chráněny jako přírodní hodnoty, podmínky jejich ochrany jsou zpřesněny v kap. E.2 územního plánu.</w:t>
      </w:r>
    </w:p>
    <w:p w14:paraId="76F79653"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Využívat půdní fond za dodržení principů udržitelného rozvoje území. </w:t>
      </w:r>
    </w:p>
    <w:p w14:paraId="134EECB6" w14:textId="77777777" w:rsidR="005F3AB6" w:rsidRPr="00461C16" w:rsidRDefault="005F3AB6" w:rsidP="005F3AB6">
      <w:pPr>
        <w:pStyle w:val="BodyText"/>
        <w:spacing w:before="120" w:after="120"/>
        <w:rPr>
          <w:i/>
          <w:sz w:val="22"/>
          <w:szCs w:val="22"/>
        </w:rPr>
      </w:pPr>
      <w:r w:rsidRPr="00461C16">
        <w:rPr>
          <w:i/>
          <w:sz w:val="22"/>
          <w:szCs w:val="22"/>
          <w:shd w:val="clear" w:color="auto" w:fill="FFFFFF"/>
        </w:rPr>
        <w:t xml:space="preserve">V ÚP jsou řešeny základní podmínky využívání půdního fondu, řešení požadavků týkajících se střídání kultur, způsobů těžby a obnovy lesa apod. podléhá jiným právním přepisům mimo oblast územního plánování. </w:t>
      </w:r>
    </w:p>
    <w:p w14:paraId="55DBADA6"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 xml:space="preserve">Chránit přírodě blízké prvky rozčleňující krajinu. </w:t>
      </w:r>
    </w:p>
    <w:p w14:paraId="67A1A799" w14:textId="77777777" w:rsidR="005F3AB6" w:rsidRPr="00461C16" w:rsidRDefault="005F3AB6" w:rsidP="005F3AB6">
      <w:pPr>
        <w:pStyle w:val="BodyText"/>
        <w:spacing w:before="120" w:after="120"/>
        <w:rPr>
          <w:i/>
          <w:sz w:val="22"/>
          <w:szCs w:val="22"/>
        </w:rPr>
      </w:pPr>
      <w:r w:rsidRPr="00461C16">
        <w:rPr>
          <w:i/>
          <w:sz w:val="22"/>
          <w:szCs w:val="22"/>
          <w:shd w:val="clear" w:color="auto" w:fill="FFFFFF"/>
        </w:rPr>
        <w:t xml:space="preserve">Drobné krajinné prvky jsou vymezeny jako přírodní hodnoty, jejich ochrana a případné doplnění jsou dále uvedeny jako požadavek využití ploch NS. </w:t>
      </w:r>
    </w:p>
    <w:p w14:paraId="3FA780CF"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Respektovat základní jednotky krajinného rázu, hranice oblastí krajinného rázu (OKR) a podoblastí krajinného rázu (POKR) up</w:t>
      </w:r>
      <w:r w:rsidRPr="00461C16">
        <w:rPr>
          <w:rFonts w:cs="TimesNewRoman"/>
          <w:lang w:eastAsia="cs-CZ"/>
        </w:rPr>
        <w:t>ř</w:t>
      </w:r>
      <w:r w:rsidRPr="00461C16">
        <w:rPr>
          <w:lang w:eastAsia="cs-CZ"/>
        </w:rPr>
        <w:t>es</w:t>
      </w:r>
      <w:r w:rsidRPr="00461C16">
        <w:rPr>
          <w:rFonts w:cs="TimesNewRoman"/>
          <w:lang w:eastAsia="cs-CZ"/>
        </w:rPr>
        <w:t>ň</w:t>
      </w:r>
      <w:r w:rsidRPr="00461C16">
        <w:rPr>
          <w:lang w:eastAsia="cs-CZ"/>
        </w:rPr>
        <w:t>ovat dle místních podmínek, tyto vyšší celky v rámci ÚAP obcí ve spolupráci s orgánem ochrany p</w:t>
      </w:r>
      <w:r w:rsidRPr="00461C16">
        <w:rPr>
          <w:rFonts w:cs="TimesNewRoman"/>
          <w:lang w:eastAsia="cs-CZ"/>
        </w:rPr>
        <w:t>ř</w:t>
      </w:r>
      <w:r w:rsidRPr="00461C16">
        <w:rPr>
          <w:lang w:eastAsia="cs-CZ"/>
        </w:rPr>
        <w:t xml:space="preserve">írody dále </w:t>
      </w:r>
      <w:r w:rsidRPr="00461C16">
        <w:rPr>
          <w:rFonts w:cs="TimesNewRoman"/>
          <w:lang w:eastAsia="cs-CZ"/>
        </w:rPr>
        <w:t>č</w:t>
      </w:r>
      <w:r w:rsidRPr="00461C16">
        <w:rPr>
          <w:lang w:eastAsia="cs-CZ"/>
        </w:rPr>
        <w:t>lenit na „místa krajinného rázu“ i dle krajinné typologie (význa</w:t>
      </w:r>
      <w:r w:rsidRPr="00461C16">
        <w:rPr>
          <w:rFonts w:cs="TimesNewRoman"/>
          <w:lang w:eastAsia="cs-CZ"/>
        </w:rPr>
        <w:t>č</w:t>
      </w:r>
      <w:r w:rsidRPr="00461C16">
        <w:rPr>
          <w:lang w:eastAsia="cs-CZ"/>
        </w:rPr>
        <w:t>nosti a unicity krajinných typ</w:t>
      </w:r>
      <w:r w:rsidRPr="00461C16">
        <w:rPr>
          <w:rFonts w:cs="TimesNewRoman"/>
          <w:lang w:eastAsia="cs-CZ"/>
        </w:rPr>
        <w:t>ů</w:t>
      </w:r>
      <w:r w:rsidRPr="00461C16">
        <w:rPr>
          <w:lang w:eastAsia="cs-CZ"/>
        </w:rPr>
        <w:t>).</w:t>
      </w:r>
    </w:p>
    <w:p w14:paraId="18055214" w14:textId="77777777" w:rsidR="005F3AB6" w:rsidRPr="00461C16" w:rsidRDefault="00241159" w:rsidP="005F3AB6">
      <w:pPr>
        <w:pStyle w:val="BodyText"/>
        <w:spacing w:before="120" w:after="120"/>
        <w:rPr>
          <w:i/>
          <w:sz w:val="22"/>
          <w:szCs w:val="22"/>
        </w:rPr>
      </w:pPr>
      <w:r w:rsidRPr="00461C16">
        <w:rPr>
          <w:i/>
          <w:sz w:val="22"/>
          <w:szCs w:val="22"/>
          <w:shd w:val="clear" w:color="auto" w:fill="FFFFFF"/>
        </w:rPr>
        <w:t>Roz</w:t>
      </w:r>
      <w:r w:rsidR="00F77F07" w:rsidRPr="00461C16">
        <w:rPr>
          <w:i/>
          <w:sz w:val="22"/>
          <w:szCs w:val="22"/>
          <w:shd w:val="clear" w:color="auto" w:fill="FFFFFF"/>
        </w:rPr>
        <w:t>h</w:t>
      </w:r>
      <w:r w:rsidRPr="00461C16">
        <w:rPr>
          <w:i/>
          <w:sz w:val="22"/>
          <w:szCs w:val="22"/>
          <w:shd w:val="clear" w:color="auto" w:fill="FFFFFF"/>
        </w:rPr>
        <w:t xml:space="preserve">raní mezi oblastmi krajinného rázu 02 a 12 je vedena po </w:t>
      </w:r>
      <w:r w:rsidR="00CA60C9" w:rsidRPr="00461C16">
        <w:rPr>
          <w:i/>
          <w:sz w:val="22"/>
          <w:szCs w:val="22"/>
          <w:shd w:val="clear" w:color="auto" w:fill="FFFFFF"/>
        </w:rPr>
        <w:t>hranici</w:t>
      </w:r>
      <w:r w:rsidRPr="00461C16">
        <w:rPr>
          <w:i/>
          <w:sz w:val="22"/>
          <w:szCs w:val="22"/>
          <w:shd w:val="clear" w:color="auto" w:fill="FFFFFF"/>
        </w:rPr>
        <w:t xml:space="preserve"> CHKO Lužické hory a </w:t>
      </w:r>
      <w:r w:rsidR="00CA60C9" w:rsidRPr="00461C16">
        <w:rPr>
          <w:i/>
          <w:sz w:val="22"/>
          <w:szCs w:val="22"/>
          <w:shd w:val="clear" w:color="auto" w:fill="FFFFFF"/>
        </w:rPr>
        <w:t>tudíž</w:t>
      </w:r>
      <w:r w:rsidRPr="00461C16">
        <w:rPr>
          <w:i/>
          <w:sz w:val="22"/>
          <w:szCs w:val="22"/>
          <w:shd w:val="clear" w:color="auto" w:fill="FFFFFF"/>
        </w:rPr>
        <w:t xml:space="preserve"> není v Ú</w:t>
      </w:r>
      <w:r w:rsidR="00CA60C9" w:rsidRPr="00461C16">
        <w:rPr>
          <w:i/>
          <w:sz w:val="22"/>
          <w:szCs w:val="22"/>
          <w:shd w:val="clear" w:color="auto" w:fill="FFFFFF"/>
        </w:rPr>
        <w:t>P</w:t>
      </w:r>
      <w:r w:rsidRPr="00461C16">
        <w:rPr>
          <w:i/>
          <w:sz w:val="22"/>
          <w:szCs w:val="22"/>
          <w:shd w:val="clear" w:color="auto" w:fill="FFFFFF"/>
        </w:rPr>
        <w:t xml:space="preserve"> upřesněna. </w:t>
      </w:r>
    </w:p>
    <w:p w14:paraId="1F2A8AAE"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Stanovením podmínek pro využívání ploch s rozdílným využitím v ÚP vytvo</w:t>
      </w:r>
      <w:r w:rsidRPr="00461C16">
        <w:rPr>
          <w:rFonts w:cs="TimesNewRoman"/>
          <w:lang w:eastAsia="cs-CZ"/>
        </w:rPr>
        <w:t>ř</w:t>
      </w:r>
      <w:r w:rsidRPr="00461C16">
        <w:rPr>
          <w:lang w:eastAsia="cs-CZ"/>
        </w:rPr>
        <w:t>it podmínky pro ochranu krajinného rázu (dle zjišt</w:t>
      </w:r>
      <w:r w:rsidRPr="00461C16">
        <w:rPr>
          <w:rFonts w:cs="TimesNewRoman"/>
          <w:lang w:eastAsia="cs-CZ"/>
        </w:rPr>
        <w:t>ě</w:t>
      </w:r>
      <w:r w:rsidRPr="00461C16">
        <w:rPr>
          <w:lang w:eastAsia="cs-CZ"/>
        </w:rPr>
        <w:t>ných podmínek ÚAP).</w:t>
      </w:r>
    </w:p>
    <w:p w14:paraId="3E16FEA4" w14:textId="77777777" w:rsidR="005F3AB6" w:rsidRPr="00461C16" w:rsidRDefault="005F3AB6" w:rsidP="005F3AB6">
      <w:pPr>
        <w:pStyle w:val="BodyText"/>
        <w:spacing w:before="120" w:after="120"/>
        <w:rPr>
          <w:i/>
          <w:sz w:val="22"/>
          <w:szCs w:val="22"/>
        </w:rPr>
      </w:pPr>
      <w:r w:rsidRPr="00461C16">
        <w:rPr>
          <w:i/>
          <w:sz w:val="22"/>
          <w:szCs w:val="22"/>
        </w:rPr>
        <w:t xml:space="preserve">Podmínky pro ochranu krajinného rázu jsou v ÚP dány zejména podmínkami prostorového uspořádání uvedenými v kap. F.2 ÚP. </w:t>
      </w:r>
    </w:p>
    <w:p w14:paraId="1333B3B8" w14:textId="77777777" w:rsidR="005F3AB6" w:rsidRPr="00461C16" w:rsidRDefault="005F3AB6" w:rsidP="00903F77">
      <w:pPr>
        <w:pStyle w:val="ListParagraph"/>
        <w:numPr>
          <w:ilvl w:val="0"/>
          <w:numId w:val="50"/>
        </w:numPr>
        <w:autoSpaceDE w:val="0"/>
        <w:autoSpaceDN w:val="0"/>
        <w:adjustRightInd w:val="0"/>
        <w:spacing w:before="120" w:after="120" w:line="240" w:lineRule="auto"/>
        <w:rPr>
          <w:lang w:eastAsia="cs-CZ"/>
        </w:rPr>
      </w:pPr>
      <w:r w:rsidRPr="00461C16">
        <w:rPr>
          <w:lang w:eastAsia="cs-CZ"/>
        </w:rPr>
        <w:t>Vytvářet územní podmínky pro zemědělské a lesnické hospodaření pro údržbu půdního fondu a krajiny.</w:t>
      </w:r>
    </w:p>
    <w:p w14:paraId="41826107" w14:textId="77777777" w:rsidR="005F3AB6" w:rsidRPr="00461C16" w:rsidRDefault="005F3AB6" w:rsidP="005F3AB6">
      <w:pPr>
        <w:pStyle w:val="BodyText"/>
        <w:spacing w:before="120" w:after="120"/>
        <w:rPr>
          <w:i/>
          <w:sz w:val="22"/>
          <w:szCs w:val="22"/>
        </w:rPr>
      </w:pPr>
      <w:r w:rsidRPr="00461C16">
        <w:rPr>
          <w:i/>
          <w:sz w:val="22"/>
          <w:szCs w:val="22"/>
        </w:rPr>
        <w:t>Územní podmínky pro zemědělské a lesnické hospodaření a pro údržbu půdního fondu a krajiny jsou dány vymezení ploch s rozdílným způsobem využití v nezastavěném území (plochy v krajině) a podmínkami pro jejich využití a uspořádání.</w:t>
      </w:r>
    </w:p>
    <w:p w14:paraId="70E0CE67" w14:textId="77777777" w:rsidR="00A06EB9" w:rsidRDefault="00A06EB9">
      <w:pPr>
        <w:spacing w:line="240" w:lineRule="auto"/>
        <w:jc w:val="left"/>
        <w:rPr>
          <w:u w:val="single"/>
        </w:rPr>
      </w:pPr>
      <w:r>
        <w:rPr>
          <w:u w:val="single"/>
        </w:rPr>
        <w:br w:type="page"/>
      </w:r>
    </w:p>
    <w:p w14:paraId="41D11273" w14:textId="1FB7FFE6" w:rsidR="00BF18BF" w:rsidRPr="00461C16" w:rsidRDefault="00BF18BF" w:rsidP="00485346">
      <w:pPr>
        <w:spacing w:before="120" w:after="120"/>
        <w:rPr>
          <w:u w:val="single"/>
        </w:rPr>
      </w:pPr>
      <w:r w:rsidRPr="00461C16">
        <w:rPr>
          <w:u w:val="single"/>
        </w:rPr>
        <w:lastRenderedPageBreak/>
        <w:t xml:space="preserve">Specifická kritéria a podmínky </w:t>
      </w:r>
      <w:r w:rsidR="0062448C" w:rsidRPr="00461C16">
        <w:rPr>
          <w:u w:val="single"/>
        </w:rPr>
        <w:t xml:space="preserve">pro </w:t>
      </w:r>
      <w:r w:rsidR="0062448C" w:rsidRPr="00461C16">
        <w:rPr>
          <w:b/>
          <w:u w:val="single"/>
        </w:rPr>
        <w:t>oblast krajinného rázu 02 Liberecko</w:t>
      </w:r>
      <w:r w:rsidR="0062448C" w:rsidRPr="00461C16">
        <w:rPr>
          <w:u w:val="single"/>
        </w:rPr>
        <w:t xml:space="preserve"> </w:t>
      </w:r>
      <w:r w:rsidRPr="00461C16">
        <w:rPr>
          <w:u w:val="single"/>
        </w:rPr>
        <w:t>při plánování změn v území a rozhodování o nich:</w:t>
      </w:r>
    </w:p>
    <w:p w14:paraId="0CBD9581" w14:textId="77777777" w:rsidR="00BF18BF" w:rsidRPr="00461C16" w:rsidRDefault="00BF18BF" w:rsidP="00903F77">
      <w:pPr>
        <w:pStyle w:val="ListParagraph"/>
        <w:numPr>
          <w:ilvl w:val="0"/>
          <w:numId w:val="50"/>
        </w:numPr>
        <w:spacing w:before="120" w:after="120"/>
        <w:ind w:left="567" w:hanging="567"/>
      </w:pPr>
      <w:r w:rsidRPr="00461C16">
        <w:t xml:space="preserve">Udržení současného charakteru oblasti, minimalizovat negativní zásahy do krajinného prostředí, eliminovat ovlivnění krajinného rázu nevhodnými investičními záměry. </w:t>
      </w:r>
    </w:p>
    <w:p w14:paraId="601D3387" w14:textId="77777777" w:rsidR="00485346" w:rsidRPr="00461C16" w:rsidRDefault="00EE7A02" w:rsidP="00485346">
      <w:pPr>
        <w:pStyle w:val="1text"/>
        <w:rPr>
          <w:i/>
        </w:rPr>
      </w:pPr>
      <w:r w:rsidRPr="00461C16">
        <w:rPr>
          <w:i/>
          <w:szCs w:val="18"/>
        </w:rPr>
        <w:t xml:space="preserve">V ÚP nejsou navrženy záměry vedoucí k zásadní proměně území města. I když jsou vymezeny poměrně rozsáhlé plochy pro ekonomické aktivity ve vazbě na I/35, </w:t>
      </w:r>
      <w:r w:rsidR="00DB1E1B">
        <w:rPr>
          <w:i/>
          <w:szCs w:val="18"/>
        </w:rPr>
        <w:t xml:space="preserve">nadále </w:t>
      </w:r>
      <w:r w:rsidRPr="00461C16">
        <w:rPr>
          <w:i/>
          <w:szCs w:val="18"/>
        </w:rPr>
        <w:t xml:space="preserve">jsou uchovány poměrně rozsáhlé plochy zemědělských půd v oblasti zemědělské krajiny. Nedochází k narušení charakteru lesozemědělské a lesní krajiny. </w:t>
      </w:r>
    </w:p>
    <w:p w14:paraId="5B4EAEB0" w14:textId="77777777" w:rsidR="00BF18BF" w:rsidRPr="00461C16" w:rsidRDefault="00BF18BF" w:rsidP="00903F77">
      <w:pPr>
        <w:pStyle w:val="ListParagraph"/>
        <w:numPr>
          <w:ilvl w:val="0"/>
          <w:numId w:val="50"/>
        </w:numPr>
        <w:spacing w:before="120" w:after="120"/>
        <w:ind w:left="567" w:hanging="567"/>
      </w:pPr>
      <w:r w:rsidRPr="00461C16">
        <w:t xml:space="preserve">Chránit reliéf krajiny, krajinné dominanty a horizonty, zachovat cenné urbanistické a architektonické znaky sídelních útvarů. </w:t>
      </w:r>
    </w:p>
    <w:p w14:paraId="74907E4F" w14:textId="77777777" w:rsidR="00485346" w:rsidRPr="00461C16" w:rsidRDefault="00EE7A02" w:rsidP="00485346">
      <w:pPr>
        <w:pStyle w:val="1text"/>
        <w:rPr>
          <w:i/>
        </w:rPr>
      </w:pPr>
      <w:r w:rsidRPr="00461C16">
        <w:rPr>
          <w:i/>
          <w:szCs w:val="18"/>
        </w:rPr>
        <w:t xml:space="preserve">Ochrana </w:t>
      </w:r>
      <w:r w:rsidR="00F77F07" w:rsidRPr="00461C16">
        <w:rPr>
          <w:i/>
          <w:szCs w:val="18"/>
        </w:rPr>
        <w:t xml:space="preserve">částí krajiny podstatných z hlediska krajinného rázu </w:t>
      </w:r>
      <w:r w:rsidRPr="00461C16">
        <w:rPr>
          <w:i/>
          <w:szCs w:val="18"/>
        </w:rPr>
        <w:t xml:space="preserve">je řešena jako součást koncepce uspořádání krajiny v kap. E. ÚP. </w:t>
      </w:r>
    </w:p>
    <w:p w14:paraId="664A9DE0" w14:textId="77777777" w:rsidR="00BF18BF" w:rsidRPr="00461C16" w:rsidRDefault="00BF18BF" w:rsidP="00903F77">
      <w:pPr>
        <w:pStyle w:val="ListParagraph"/>
        <w:numPr>
          <w:ilvl w:val="0"/>
          <w:numId w:val="50"/>
        </w:numPr>
        <w:spacing w:before="120" w:after="120"/>
        <w:ind w:left="567" w:hanging="567"/>
      </w:pPr>
      <w:r w:rsidRPr="00461C16">
        <w:t xml:space="preserve">V krajině vytvářet prostory pro kvalitní bydlení, snižovat hustotu zástavby na přechodu do volné krajiny, zejména na svazích Ještědského hřbetu a Jizerských hor. </w:t>
      </w:r>
    </w:p>
    <w:p w14:paraId="579779E8" w14:textId="77777777" w:rsidR="00485346" w:rsidRPr="00461C16" w:rsidRDefault="003608B4" w:rsidP="00485346">
      <w:pPr>
        <w:pStyle w:val="1text"/>
        <w:rPr>
          <w:i/>
        </w:rPr>
      </w:pPr>
      <w:r w:rsidRPr="00461C16">
        <w:rPr>
          <w:i/>
        </w:rPr>
        <w:t xml:space="preserve">Kvalita bydlení je zajištěna volbou vhodné polohy rozvojových ploch z urbanistického, dopravního i krajinářského hlediska, napojením na veřejnou infrastrukturu a zajištěním dostupnosti služeb. Hustota zástavby se snižuje ve směru od vnitřní části města do okrajových poloh, spolu se strukturou a výškou zástavby. </w:t>
      </w:r>
    </w:p>
    <w:p w14:paraId="692CA9D2" w14:textId="77777777" w:rsidR="00BF18BF" w:rsidRPr="00461C16" w:rsidRDefault="00BF18BF" w:rsidP="00903F77">
      <w:pPr>
        <w:pStyle w:val="ListParagraph"/>
        <w:numPr>
          <w:ilvl w:val="0"/>
          <w:numId w:val="50"/>
        </w:numPr>
        <w:spacing w:before="120" w:after="120"/>
        <w:ind w:left="567" w:hanging="567"/>
      </w:pPr>
      <w:r w:rsidRPr="00461C16">
        <w:t>Zachovat zemědělský charakter části POKR Hrádecko – Chrastavsko s venkovskými sídly.</w:t>
      </w:r>
    </w:p>
    <w:p w14:paraId="717BD6BF" w14:textId="77777777" w:rsidR="00485346" w:rsidRPr="00461C16" w:rsidRDefault="00241159" w:rsidP="00485346">
      <w:pPr>
        <w:pStyle w:val="1text"/>
        <w:rPr>
          <w:i/>
          <w:szCs w:val="18"/>
        </w:rPr>
      </w:pPr>
      <w:r w:rsidRPr="00461C16">
        <w:rPr>
          <w:i/>
          <w:szCs w:val="18"/>
        </w:rPr>
        <w:t>V podoblasti krajinného rázu 02-2 jsou uchovány rozsáhlé plochy zemědělských půd, i</w:t>
      </w:r>
      <w:r w:rsidR="00D14941" w:rsidRPr="00461C16">
        <w:rPr>
          <w:i/>
          <w:szCs w:val="18"/>
        </w:rPr>
        <w:t xml:space="preserve"> když jsou </w:t>
      </w:r>
      <w:r w:rsidRPr="00461C16">
        <w:rPr>
          <w:i/>
          <w:szCs w:val="18"/>
        </w:rPr>
        <w:t xml:space="preserve">zde </w:t>
      </w:r>
      <w:r w:rsidR="00D14941" w:rsidRPr="00461C16">
        <w:rPr>
          <w:i/>
          <w:szCs w:val="18"/>
        </w:rPr>
        <w:t>vymezeny poměrně rozsáhlé plochy pro ekonomické aktivity ve vazbě na I/35, Nejsou vymezeny záměry naru</w:t>
      </w:r>
      <w:r w:rsidR="00F779B8" w:rsidRPr="00461C16">
        <w:rPr>
          <w:i/>
          <w:szCs w:val="18"/>
        </w:rPr>
        <w:t>šu</w:t>
      </w:r>
      <w:r w:rsidR="00D14941" w:rsidRPr="00461C16">
        <w:rPr>
          <w:i/>
          <w:szCs w:val="18"/>
        </w:rPr>
        <w:t>jící ch</w:t>
      </w:r>
      <w:r w:rsidR="00F779B8" w:rsidRPr="00461C16">
        <w:rPr>
          <w:i/>
          <w:szCs w:val="18"/>
        </w:rPr>
        <w:t>a</w:t>
      </w:r>
      <w:r w:rsidR="00D14941" w:rsidRPr="00461C16">
        <w:rPr>
          <w:i/>
          <w:szCs w:val="18"/>
        </w:rPr>
        <w:t xml:space="preserve">rakter zemědělských </w:t>
      </w:r>
      <w:r w:rsidR="00F779B8" w:rsidRPr="00461C16">
        <w:rPr>
          <w:i/>
          <w:szCs w:val="18"/>
        </w:rPr>
        <w:t>sídel</w:t>
      </w:r>
      <w:r w:rsidR="00D14941" w:rsidRPr="00461C16">
        <w:rPr>
          <w:i/>
          <w:szCs w:val="18"/>
        </w:rPr>
        <w:t>.</w:t>
      </w:r>
    </w:p>
    <w:p w14:paraId="36EA4816" w14:textId="77777777" w:rsidR="007D5D6C" w:rsidRPr="00461C16" w:rsidRDefault="007D5D6C" w:rsidP="007D5D6C">
      <w:pPr>
        <w:spacing w:before="120" w:after="120"/>
        <w:rPr>
          <w:u w:val="single"/>
        </w:rPr>
      </w:pPr>
      <w:r w:rsidRPr="00461C16">
        <w:rPr>
          <w:u w:val="single"/>
        </w:rPr>
        <w:t xml:space="preserve">Specifická kritéria a podmínky pro </w:t>
      </w:r>
      <w:r w:rsidRPr="00461C16">
        <w:rPr>
          <w:b/>
          <w:u w:val="single"/>
        </w:rPr>
        <w:t xml:space="preserve">oblast krajinného rázu 12 Lužické hory </w:t>
      </w:r>
      <w:r w:rsidRPr="00461C16">
        <w:rPr>
          <w:u w:val="single"/>
        </w:rPr>
        <w:t>při plánování změn v území a rozhodování o nich:</w:t>
      </w:r>
    </w:p>
    <w:p w14:paraId="54DC40A5" w14:textId="77777777" w:rsidR="007D5D6C" w:rsidRPr="00461C16" w:rsidRDefault="007D5D6C" w:rsidP="00903F77">
      <w:pPr>
        <w:pStyle w:val="ListParagraph"/>
        <w:numPr>
          <w:ilvl w:val="0"/>
          <w:numId w:val="50"/>
        </w:numPr>
        <w:spacing w:before="120" w:after="120"/>
        <w:ind w:left="567" w:hanging="567"/>
      </w:pPr>
      <w:r w:rsidRPr="00461C16">
        <w:t>Ochrana přírody a krajiny bude na velkoplošně zvláště chráněném území i nadále realizovaná dle plánů peče o ZCHU (CHKO LH), území zvláště nechráněna v kontextu regulativů ZCHU,</w:t>
      </w:r>
    </w:p>
    <w:p w14:paraId="20A8CCD0" w14:textId="77777777" w:rsidR="007D5D6C" w:rsidRPr="00461C16" w:rsidRDefault="007D5D6C" w:rsidP="007D5D6C">
      <w:pPr>
        <w:spacing w:before="120" w:after="120"/>
        <w:rPr>
          <w:i/>
        </w:rPr>
      </w:pPr>
      <w:r w:rsidRPr="00461C16">
        <w:rPr>
          <w:i/>
        </w:rPr>
        <w:t xml:space="preserve">Požadavek mimo oblast územního plánování. </w:t>
      </w:r>
    </w:p>
    <w:p w14:paraId="06C61D5C" w14:textId="77777777" w:rsidR="007D5D6C" w:rsidRPr="00461C16" w:rsidRDefault="007D5D6C" w:rsidP="00903F77">
      <w:pPr>
        <w:pStyle w:val="ListParagraph"/>
        <w:numPr>
          <w:ilvl w:val="0"/>
          <w:numId w:val="50"/>
        </w:numPr>
        <w:spacing w:before="120" w:after="120"/>
        <w:ind w:left="567" w:hanging="567"/>
      </w:pPr>
      <w:r w:rsidRPr="00461C16">
        <w:t>Zachování členitosti území a venkovského charakteru oblasti.</w:t>
      </w:r>
    </w:p>
    <w:p w14:paraId="79610512" w14:textId="77777777" w:rsidR="007D5D6C" w:rsidRPr="00461C16" w:rsidRDefault="007D5D6C" w:rsidP="007D5D6C">
      <w:pPr>
        <w:spacing w:before="120" w:after="120"/>
        <w:rPr>
          <w:i/>
        </w:rPr>
      </w:pPr>
      <w:r w:rsidRPr="00461C16">
        <w:rPr>
          <w:i/>
        </w:rPr>
        <w:t>V ÚP nejsou navrženy záměry, které by pozměnily členitost východní části CHKO a venkovský charakter sídel.</w:t>
      </w:r>
    </w:p>
    <w:p w14:paraId="1A0C7BA7" w14:textId="77777777" w:rsidR="007D5D6C" w:rsidRPr="00461C16" w:rsidRDefault="007D5D6C" w:rsidP="00903F77">
      <w:pPr>
        <w:pStyle w:val="ListParagraph"/>
        <w:numPr>
          <w:ilvl w:val="0"/>
          <w:numId w:val="50"/>
        </w:numPr>
        <w:spacing w:before="120" w:after="120"/>
        <w:ind w:left="567" w:hanging="567"/>
      </w:pPr>
      <w:r w:rsidRPr="00461C16">
        <w:t>Nove stavby nadzemních vedení technické infrastruktury situovat přednostně mimo les a pohledové horizonty.</w:t>
      </w:r>
    </w:p>
    <w:p w14:paraId="6BF06FBC" w14:textId="16070640" w:rsidR="007D5D6C" w:rsidRPr="00461C16" w:rsidRDefault="007D5D6C" w:rsidP="007D5D6C">
      <w:pPr>
        <w:spacing w:before="120" w:after="120"/>
        <w:rPr>
          <w:i/>
        </w:rPr>
      </w:pPr>
      <w:r w:rsidRPr="00461C16">
        <w:rPr>
          <w:i/>
        </w:rPr>
        <w:t xml:space="preserve">V ÚP nejsou navrženy </w:t>
      </w:r>
      <w:r w:rsidR="0024688A" w:rsidRPr="00461C16">
        <w:rPr>
          <w:i/>
        </w:rPr>
        <w:t xml:space="preserve">stavby nadzemních vedení ovlivňující území CHKO. </w:t>
      </w:r>
    </w:p>
    <w:p w14:paraId="01FB76BD" w14:textId="77777777" w:rsidR="007D5D6C" w:rsidRPr="00461C16" w:rsidRDefault="0024688A" w:rsidP="00903F77">
      <w:pPr>
        <w:pStyle w:val="ListParagraph"/>
        <w:numPr>
          <w:ilvl w:val="0"/>
          <w:numId w:val="50"/>
        </w:numPr>
        <w:spacing w:before="120" w:after="120"/>
        <w:ind w:left="567" w:hanging="567"/>
      </w:pPr>
      <w:r w:rsidRPr="00461C16">
        <w:t>Z</w:t>
      </w:r>
      <w:r w:rsidR="007D5D6C" w:rsidRPr="00461C16">
        <w:t>měny využit</w:t>
      </w:r>
      <w:r w:rsidRPr="00461C16">
        <w:t>í</w:t>
      </w:r>
      <w:r w:rsidR="007D5D6C" w:rsidRPr="00461C16">
        <w:t xml:space="preserve"> </w:t>
      </w:r>
      <w:r w:rsidRPr="00461C16">
        <w:t>ú</w:t>
      </w:r>
      <w:r w:rsidR="007D5D6C" w:rsidRPr="00461C16">
        <w:t>zem</w:t>
      </w:r>
      <w:r w:rsidRPr="00461C16">
        <w:t>í</w:t>
      </w:r>
      <w:r w:rsidR="007D5D6C" w:rsidRPr="00461C16">
        <w:t xml:space="preserve"> nesm</w:t>
      </w:r>
      <w:r w:rsidRPr="00461C16">
        <w:t>í</w:t>
      </w:r>
      <w:r w:rsidR="007D5D6C" w:rsidRPr="00461C16">
        <w:t xml:space="preserve"> snižovat, likvidovat či znehodnocovat existuj</w:t>
      </w:r>
      <w:r w:rsidRPr="00461C16">
        <w:t>í</w:t>
      </w:r>
      <w:r w:rsidR="007D5D6C" w:rsidRPr="00461C16">
        <w:t>c</w:t>
      </w:r>
      <w:r w:rsidRPr="00461C16">
        <w:t>í</w:t>
      </w:r>
      <w:r w:rsidR="007D5D6C" w:rsidRPr="00461C16">
        <w:t xml:space="preserve"> krajin</w:t>
      </w:r>
      <w:r w:rsidRPr="00461C16">
        <w:t>á</w:t>
      </w:r>
      <w:r w:rsidR="007D5D6C" w:rsidRPr="00461C16">
        <w:t>řsk</w:t>
      </w:r>
      <w:r w:rsidRPr="00461C16">
        <w:t xml:space="preserve">é </w:t>
      </w:r>
      <w:r w:rsidR="007D5D6C" w:rsidRPr="00461C16">
        <w:t>hodnoty.</w:t>
      </w:r>
    </w:p>
    <w:p w14:paraId="2706D274" w14:textId="77777777" w:rsidR="0024688A" w:rsidRPr="00461C16" w:rsidRDefault="0024688A" w:rsidP="0024688A">
      <w:pPr>
        <w:spacing w:before="120" w:after="120"/>
        <w:rPr>
          <w:i/>
        </w:rPr>
      </w:pPr>
      <w:r w:rsidRPr="00461C16">
        <w:rPr>
          <w:i/>
        </w:rPr>
        <w:t>Celé území CHKO, plochy lesů, krajinné dominanty a horizonty a místa výhledů jsou v ÚP vymezeny jako přírodní hodnoty a jsou v návrhu využití území respektovány.</w:t>
      </w:r>
    </w:p>
    <w:p w14:paraId="4BC482E9" w14:textId="77777777" w:rsidR="00BF18BF" w:rsidRPr="00461C16" w:rsidRDefault="00BF18BF" w:rsidP="0024688A">
      <w:pPr>
        <w:pStyle w:val="4podnadpis"/>
      </w:pPr>
      <w:r w:rsidRPr="00461C16">
        <w:t>Územní rozvoj realizovat v souladu se základními krajinnými typy dle</w:t>
      </w:r>
      <w:r w:rsidR="0062448C" w:rsidRPr="00461C16">
        <w:t xml:space="preserve"> převládajících způsobů využití</w:t>
      </w:r>
    </w:p>
    <w:p w14:paraId="4CDEFC29" w14:textId="77777777" w:rsidR="0024688A" w:rsidRPr="00461C16" w:rsidRDefault="0024688A" w:rsidP="00485346">
      <w:pPr>
        <w:spacing w:before="120" w:after="120"/>
        <w:rPr>
          <w:u w:val="single"/>
        </w:rPr>
      </w:pPr>
      <w:r w:rsidRPr="00461C16">
        <w:rPr>
          <w:u w:val="single"/>
        </w:rPr>
        <w:t xml:space="preserve">Lesní krajiny </w:t>
      </w:r>
    </w:p>
    <w:p w14:paraId="217C90BB" w14:textId="77777777" w:rsidR="0024688A" w:rsidRPr="00461C16" w:rsidRDefault="0024688A" w:rsidP="00903F77">
      <w:pPr>
        <w:pStyle w:val="ListParagraph"/>
        <w:numPr>
          <w:ilvl w:val="0"/>
          <w:numId w:val="50"/>
        </w:numPr>
        <w:spacing w:before="120" w:after="120"/>
        <w:ind w:left="567" w:hanging="567"/>
      </w:pPr>
      <w:r w:rsidRPr="00461C16">
        <w:t>Zachování a ochrana přírodních a krajinářských hodnot, produkčních i mimoprodukčních funkci lesů.</w:t>
      </w:r>
    </w:p>
    <w:p w14:paraId="42C9159F" w14:textId="77777777" w:rsidR="0024688A" w:rsidRPr="00461C16" w:rsidRDefault="0024688A" w:rsidP="0024688A">
      <w:pPr>
        <w:spacing w:before="120" w:after="120"/>
        <w:rPr>
          <w:i/>
        </w:rPr>
      </w:pPr>
      <w:r w:rsidRPr="00461C16">
        <w:rPr>
          <w:i/>
        </w:rPr>
        <w:t xml:space="preserve">V ÚP jsou lesy chráněny jako přírodní hodnota (VKP) a nedílná složka krajiny. Zachování a rozvoj produkčních a mimoprodukčních funkcí lesa jsou deklarovány stanovením podmínek využití ploch NL. </w:t>
      </w:r>
    </w:p>
    <w:p w14:paraId="374F5DBD" w14:textId="77777777" w:rsidR="0024688A" w:rsidRPr="00461C16" w:rsidRDefault="0024688A" w:rsidP="00903F77">
      <w:pPr>
        <w:pStyle w:val="ListParagraph"/>
        <w:numPr>
          <w:ilvl w:val="0"/>
          <w:numId w:val="50"/>
        </w:numPr>
        <w:spacing w:before="120" w:after="120"/>
        <w:ind w:left="567" w:hanging="567"/>
      </w:pPr>
      <w:r w:rsidRPr="00461C16">
        <w:t>Minimalizace záborů PUPFL.</w:t>
      </w:r>
    </w:p>
    <w:p w14:paraId="7ACBE17D" w14:textId="77777777" w:rsidR="0024688A" w:rsidRPr="00461C16" w:rsidRDefault="00241159" w:rsidP="0024688A">
      <w:pPr>
        <w:spacing w:before="120" w:after="120"/>
        <w:rPr>
          <w:i/>
        </w:rPr>
      </w:pPr>
      <w:r w:rsidRPr="00461C16">
        <w:rPr>
          <w:i/>
        </w:rPr>
        <w:t xml:space="preserve">Na území krajiny lesní nejsou navrhovány záměry představující zábory </w:t>
      </w:r>
      <w:r w:rsidR="0024688A" w:rsidRPr="00461C16">
        <w:rPr>
          <w:i/>
        </w:rPr>
        <w:t>PUPFL</w:t>
      </w:r>
      <w:r w:rsidRPr="00461C16">
        <w:rPr>
          <w:i/>
        </w:rPr>
        <w:t>.</w:t>
      </w:r>
      <w:r w:rsidR="0024688A" w:rsidRPr="00461C16">
        <w:rPr>
          <w:i/>
        </w:rPr>
        <w:t xml:space="preserve"> </w:t>
      </w:r>
    </w:p>
    <w:p w14:paraId="7A9683B3" w14:textId="77777777" w:rsidR="0024688A" w:rsidRPr="00461C16" w:rsidRDefault="0024688A" w:rsidP="00903F77">
      <w:pPr>
        <w:pStyle w:val="ListParagraph"/>
        <w:numPr>
          <w:ilvl w:val="0"/>
          <w:numId w:val="50"/>
        </w:numPr>
        <w:spacing w:before="120" w:after="120"/>
        <w:ind w:left="567" w:hanging="567"/>
      </w:pPr>
      <w:r w:rsidRPr="00461C16">
        <w:t xml:space="preserve">Regulace </w:t>
      </w:r>
      <w:r w:rsidR="000A03AE" w:rsidRPr="00461C16">
        <w:t>zátěží</w:t>
      </w:r>
      <w:r w:rsidRPr="00461C16">
        <w:t xml:space="preserve"> </w:t>
      </w:r>
      <w:r w:rsidR="000A03AE" w:rsidRPr="00461C16">
        <w:t>území</w:t>
      </w:r>
      <w:r w:rsidRPr="00461C16">
        <w:t xml:space="preserve"> </w:t>
      </w:r>
      <w:r w:rsidR="000A03AE" w:rsidRPr="00461C16">
        <w:t>intenzivními</w:t>
      </w:r>
      <w:r w:rsidRPr="00461C16">
        <w:t xml:space="preserve"> formami rekreace a </w:t>
      </w:r>
      <w:r w:rsidR="000A03AE" w:rsidRPr="00461C16">
        <w:t>cestovního</w:t>
      </w:r>
      <w:r w:rsidRPr="00461C16">
        <w:t xml:space="preserve"> ruchu.</w:t>
      </w:r>
    </w:p>
    <w:p w14:paraId="7B475DA3" w14:textId="77777777" w:rsidR="000A03AE" w:rsidRPr="00461C16" w:rsidRDefault="000A03AE" w:rsidP="000A03AE">
      <w:pPr>
        <w:spacing w:before="120" w:after="120"/>
        <w:rPr>
          <w:i/>
        </w:rPr>
      </w:pPr>
      <w:r w:rsidRPr="00461C16">
        <w:rPr>
          <w:i/>
        </w:rPr>
        <w:lastRenderedPageBreak/>
        <w:t>V ÚP nejsou na území CHKO vymezovány nové plochy rekreace.</w:t>
      </w:r>
    </w:p>
    <w:p w14:paraId="7BE040E7" w14:textId="77777777" w:rsidR="0024688A" w:rsidRPr="00461C16" w:rsidRDefault="0024688A" w:rsidP="00903F77">
      <w:pPr>
        <w:pStyle w:val="ListParagraph"/>
        <w:numPr>
          <w:ilvl w:val="0"/>
          <w:numId w:val="50"/>
        </w:numPr>
        <w:spacing w:before="120" w:after="120"/>
        <w:ind w:left="567" w:hanging="567"/>
      </w:pPr>
      <w:r w:rsidRPr="00461C16">
        <w:t>Převažující intenzita ochrany krajinného rázu: I. a II. stupeň</w:t>
      </w:r>
    </w:p>
    <w:p w14:paraId="6526E683" w14:textId="77777777" w:rsidR="00493905" w:rsidRPr="00461C16" w:rsidRDefault="00493905" w:rsidP="00493905">
      <w:pPr>
        <w:spacing w:before="120" w:after="120"/>
        <w:rPr>
          <w:rFonts w:cs="Arial"/>
          <w:szCs w:val="18"/>
          <w:lang w:eastAsia="en-US"/>
        </w:rPr>
      </w:pPr>
      <w:r w:rsidRPr="00461C16">
        <w:rPr>
          <w:i/>
        </w:rPr>
        <w:t xml:space="preserve">Krajinné dominanty a horizonty v území </w:t>
      </w:r>
      <w:r w:rsidR="00C27FC6" w:rsidRPr="00461C16">
        <w:rPr>
          <w:i/>
        </w:rPr>
        <w:t>CHKO j</w:t>
      </w:r>
      <w:r w:rsidRPr="00461C16">
        <w:rPr>
          <w:i/>
        </w:rPr>
        <w:t xml:space="preserve">sou </w:t>
      </w:r>
      <w:r w:rsidR="00C27FC6" w:rsidRPr="00461C16">
        <w:rPr>
          <w:i/>
        </w:rPr>
        <w:t>vymezen</w:t>
      </w:r>
      <w:r w:rsidRPr="00461C16">
        <w:rPr>
          <w:i/>
        </w:rPr>
        <w:t>y</w:t>
      </w:r>
      <w:r w:rsidR="00C27FC6" w:rsidRPr="00461C16">
        <w:rPr>
          <w:i/>
        </w:rPr>
        <w:t xml:space="preserve"> jako </w:t>
      </w:r>
      <w:r w:rsidRPr="00461C16">
        <w:rPr>
          <w:rFonts w:cs="Arial"/>
          <w:i/>
          <w:szCs w:val="18"/>
          <w:lang w:eastAsia="en-US"/>
        </w:rPr>
        <w:t>území se vysokou mírou ochrany krajinného rázu</w:t>
      </w:r>
      <w:r w:rsidRPr="00461C16">
        <w:rPr>
          <w:rFonts w:cs="Arial"/>
          <w:szCs w:val="18"/>
          <w:lang w:eastAsia="en-US"/>
        </w:rPr>
        <w:t>.</w:t>
      </w:r>
    </w:p>
    <w:p w14:paraId="20660E87" w14:textId="77777777" w:rsidR="0024688A" w:rsidRPr="00461C16" w:rsidRDefault="0024688A" w:rsidP="00903F77">
      <w:pPr>
        <w:pStyle w:val="ListParagraph"/>
        <w:numPr>
          <w:ilvl w:val="0"/>
          <w:numId w:val="50"/>
        </w:numPr>
        <w:spacing w:before="120" w:after="120"/>
        <w:ind w:left="567" w:hanging="567"/>
      </w:pPr>
      <w:r w:rsidRPr="00461C16">
        <w:t>Vytv</w:t>
      </w:r>
      <w:r w:rsidR="000A03AE" w:rsidRPr="00461C16">
        <w:t>á</w:t>
      </w:r>
      <w:r w:rsidRPr="00461C16">
        <w:t xml:space="preserve">řeni </w:t>
      </w:r>
      <w:r w:rsidR="000A03AE" w:rsidRPr="00461C16">
        <w:t>ú</w:t>
      </w:r>
      <w:r w:rsidRPr="00461C16">
        <w:t>zemn</w:t>
      </w:r>
      <w:r w:rsidR="000A03AE" w:rsidRPr="00461C16">
        <w:t xml:space="preserve">ích </w:t>
      </w:r>
      <w:r w:rsidRPr="00461C16">
        <w:t>podm</w:t>
      </w:r>
      <w:r w:rsidR="000A03AE" w:rsidRPr="00461C16">
        <w:t>í</w:t>
      </w:r>
      <w:r w:rsidRPr="00461C16">
        <w:t>nek pro stabilitu ploch porostů.</w:t>
      </w:r>
    </w:p>
    <w:p w14:paraId="064809D8" w14:textId="77777777" w:rsidR="000A03AE" w:rsidRPr="00461C16" w:rsidRDefault="000A03AE" w:rsidP="000A03AE">
      <w:pPr>
        <w:spacing w:before="120" w:after="120"/>
        <w:rPr>
          <w:i/>
        </w:rPr>
      </w:pPr>
      <w:r w:rsidRPr="00461C16">
        <w:rPr>
          <w:i/>
        </w:rPr>
        <w:t>Požadavek b</w:t>
      </w:r>
      <w:r w:rsidR="00493905" w:rsidRPr="00461C16">
        <w:rPr>
          <w:i/>
        </w:rPr>
        <w:t xml:space="preserve">ude </w:t>
      </w:r>
      <w:r w:rsidRPr="00461C16">
        <w:rPr>
          <w:i/>
        </w:rPr>
        <w:t xml:space="preserve">řešen nástroji lesního </w:t>
      </w:r>
      <w:r w:rsidR="00493905" w:rsidRPr="00461C16">
        <w:rPr>
          <w:i/>
        </w:rPr>
        <w:t xml:space="preserve">hospodářského </w:t>
      </w:r>
      <w:r w:rsidRPr="00461C16">
        <w:rPr>
          <w:i/>
        </w:rPr>
        <w:t xml:space="preserve">plánování a ochrany přírody. </w:t>
      </w:r>
      <w:r w:rsidR="00F77F07" w:rsidRPr="00461C16">
        <w:rPr>
          <w:i/>
        </w:rPr>
        <w:t>Podmínky pro využití ploch NL uvedené v kap. F</w:t>
      </w:r>
      <w:r w:rsidR="00B345B4" w:rsidRPr="00461C16">
        <w:rPr>
          <w:i/>
        </w:rPr>
        <w:t xml:space="preserve"> </w:t>
      </w:r>
      <w:r w:rsidRPr="00461C16">
        <w:rPr>
          <w:i/>
        </w:rPr>
        <w:t>ÚP</w:t>
      </w:r>
      <w:r w:rsidR="00F77F07" w:rsidRPr="00461C16">
        <w:rPr>
          <w:i/>
        </w:rPr>
        <w:t xml:space="preserve"> umožňují realizaci stabilizačních a ochranných opatření dle potřeby.</w:t>
      </w:r>
    </w:p>
    <w:p w14:paraId="14AE4ACF" w14:textId="77777777" w:rsidR="0024688A" w:rsidRPr="00461C16" w:rsidRDefault="00C27FC6" w:rsidP="00903F77">
      <w:pPr>
        <w:pStyle w:val="ListParagraph"/>
        <w:numPr>
          <w:ilvl w:val="0"/>
          <w:numId w:val="50"/>
        </w:numPr>
        <w:spacing w:before="120" w:after="120"/>
        <w:ind w:left="567" w:hanging="567"/>
      </w:pPr>
      <w:r w:rsidRPr="00461C16">
        <w:t>Zábory</w:t>
      </w:r>
      <w:r w:rsidR="0024688A" w:rsidRPr="00461C16">
        <w:t xml:space="preserve"> PUPFL v souvislostech s rozvojem </w:t>
      </w:r>
      <w:r w:rsidRPr="00461C16">
        <w:t>území</w:t>
      </w:r>
      <w:r w:rsidR="0024688A" w:rsidRPr="00461C16">
        <w:t xml:space="preserve"> omezovat pouze na m</w:t>
      </w:r>
      <w:r w:rsidRPr="00461C16">
        <w:t>í</w:t>
      </w:r>
      <w:r w:rsidR="0024688A" w:rsidRPr="00461C16">
        <w:t>ru nezbytnou.</w:t>
      </w:r>
    </w:p>
    <w:p w14:paraId="7D78A889" w14:textId="77777777" w:rsidR="00C27FC6" w:rsidRPr="00461C16" w:rsidRDefault="00C27FC6" w:rsidP="00C27FC6">
      <w:pPr>
        <w:spacing w:before="120" w:after="120"/>
        <w:rPr>
          <w:i/>
        </w:rPr>
      </w:pPr>
      <w:r w:rsidRPr="00461C16">
        <w:rPr>
          <w:i/>
        </w:rPr>
        <w:t>Viz vyhodnocení požadavku uvedené</w:t>
      </w:r>
      <w:r w:rsidR="00B30D2A" w:rsidRPr="00461C16">
        <w:rPr>
          <w:i/>
        </w:rPr>
        <w:t>ho</w:t>
      </w:r>
      <w:r w:rsidRPr="00461C16">
        <w:rPr>
          <w:i/>
        </w:rPr>
        <w:t xml:space="preserve"> pod bodem 193. </w:t>
      </w:r>
    </w:p>
    <w:p w14:paraId="18E67899" w14:textId="77777777" w:rsidR="0024688A" w:rsidRPr="00461C16" w:rsidRDefault="0024688A" w:rsidP="00903F77">
      <w:pPr>
        <w:pStyle w:val="ListParagraph"/>
        <w:numPr>
          <w:ilvl w:val="0"/>
          <w:numId w:val="50"/>
        </w:numPr>
        <w:spacing w:before="120" w:after="120"/>
        <w:ind w:left="567" w:hanging="567"/>
      </w:pPr>
      <w:r w:rsidRPr="00461C16">
        <w:t>Vytv</w:t>
      </w:r>
      <w:r w:rsidR="00C27FC6" w:rsidRPr="00461C16">
        <w:t>á</w:t>
      </w:r>
      <w:r w:rsidRPr="00461C16">
        <w:t xml:space="preserve">řeni </w:t>
      </w:r>
      <w:r w:rsidR="00C27FC6" w:rsidRPr="00461C16">
        <w:t>ú</w:t>
      </w:r>
      <w:r w:rsidRPr="00461C16">
        <w:t>zemn</w:t>
      </w:r>
      <w:r w:rsidR="00C27FC6" w:rsidRPr="00461C16">
        <w:t xml:space="preserve">ích </w:t>
      </w:r>
      <w:r w:rsidRPr="00461C16">
        <w:t>podm</w:t>
      </w:r>
      <w:r w:rsidR="00C27FC6" w:rsidRPr="00461C16">
        <w:t>í</w:t>
      </w:r>
      <w:r w:rsidRPr="00461C16">
        <w:t>nek pro regulovan</w:t>
      </w:r>
      <w:r w:rsidR="00C27FC6" w:rsidRPr="00461C16">
        <w:t>é</w:t>
      </w:r>
      <w:r w:rsidRPr="00461C16">
        <w:t xml:space="preserve"> rekreačn</w:t>
      </w:r>
      <w:r w:rsidR="00C27FC6" w:rsidRPr="00461C16">
        <w:t>í</w:t>
      </w:r>
      <w:r w:rsidRPr="00461C16">
        <w:t xml:space="preserve"> </w:t>
      </w:r>
      <w:r w:rsidR="00C27FC6" w:rsidRPr="00461C16">
        <w:t>využívaní</w:t>
      </w:r>
      <w:r w:rsidRPr="00461C16">
        <w:t xml:space="preserve"> </w:t>
      </w:r>
      <w:r w:rsidR="00C27FC6" w:rsidRPr="00461C16">
        <w:t>vymezených</w:t>
      </w:r>
      <w:r w:rsidRPr="00461C16">
        <w:t xml:space="preserve"> prostorů.</w:t>
      </w:r>
    </w:p>
    <w:p w14:paraId="5CAD3D8D" w14:textId="77777777" w:rsidR="00C27FC6" w:rsidRPr="00461C16" w:rsidRDefault="00C27FC6" w:rsidP="00C27FC6">
      <w:pPr>
        <w:spacing w:before="120" w:after="120"/>
        <w:rPr>
          <w:i/>
        </w:rPr>
      </w:pPr>
      <w:r w:rsidRPr="00461C16">
        <w:rPr>
          <w:i/>
        </w:rPr>
        <w:t>Viz vyhodnocení požadavku uvedené</w:t>
      </w:r>
      <w:r w:rsidR="00B30D2A" w:rsidRPr="00461C16">
        <w:rPr>
          <w:i/>
        </w:rPr>
        <w:t>ho</w:t>
      </w:r>
      <w:r w:rsidRPr="00461C16">
        <w:rPr>
          <w:i/>
        </w:rPr>
        <w:t xml:space="preserve"> pod bodem 194. </w:t>
      </w:r>
    </w:p>
    <w:p w14:paraId="7D1F3E5C" w14:textId="77777777" w:rsidR="00BF18BF" w:rsidRPr="00461C16" w:rsidRDefault="00BF18BF" w:rsidP="00485346">
      <w:pPr>
        <w:spacing w:before="120" w:after="120"/>
        <w:rPr>
          <w:u w:val="single"/>
        </w:rPr>
      </w:pPr>
      <w:r w:rsidRPr="00461C16">
        <w:rPr>
          <w:u w:val="single"/>
        </w:rPr>
        <w:t>Lesozemědělské krajiny</w:t>
      </w:r>
    </w:p>
    <w:p w14:paraId="32A83E18" w14:textId="77777777" w:rsidR="00BF18BF" w:rsidRPr="00461C16" w:rsidRDefault="00BF18BF" w:rsidP="00903F77">
      <w:pPr>
        <w:pStyle w:val="ListParagraph"/>
        <w:numPr>
          <w:ilvl w:val="0"/>
          <w:numId w:val="50"/>
        </w:numPr>
        <w:spacing w:before="120" w:after="120"/>
        <w:ind w:left="567" w:hanging="567"/>
      </w:pPr>
      <w:r w:rsidRPr="00461C16">
        <w:t xml:space="preserve">Využívání složek půdního fondu v souladu s principy udržitelného rozvoje území. </w:t>
      </w:r>
    </w:p>
    <w:p w14:paraId="7B62DD21" w14:textId="77777777" w:rsidR="003608B4" w:rsidRPr="00461C16" w:rsidRDefault="00D14941" w:rsidP="003608B4">
      <w:pPr>
        <w:spacing w:before="120" w:after="120"/>
      </w:pPr>
      <w:r w:rsidRPr="00461C16">
        <w:rPr>
          <w:i/>
          <w:szCs w:val="18"/>
        </w:rPr>
        <w:t xml:space="preserve">V ÚP jsou vytvořeny podmínky pro produkční využívání zpf a pupfl i pro plnění ekologických funkcí zemědělských ploch a lesů. Zábory zpf a pupfl jsou vymezeny v míře nezbytné pro udržitelný rozvoj obyvatelstva a ekonomický růst. </w:t>
      </w:r>
    </w:p>
    <w:p w14:paraId="1ACA46F5" w14:textId="77777777" w:rsidR="00BF18BF" w:rsidRPr="00461C16" w:rsidRDefault="003608B4" w:rsidP="00903F77">
      <w:pPr>
        <w:pStyle w:val="ListParagraph"/>
        <w:numPr>
          <w:ilvl w:val="0"/>
          <w:numId w:val="50"/>
        </w:numPr>
        <w:spacing w:before="120" w:after="120"/>
        <w:ind w:left="567" w:hanging="567"/>
      </w:pPr>
      <w:r w:rsidRPr="00461C16">
        <w:t>Respektování sídel</w:t>
      </w:r>
      <w:r w:rsidR="00BF18BF" w:rsidRPr="00461C16">
        <w:t xml:space="preserve">ní struktury, její přírodní a urbanistické hodnoty. </w:t>
      </w:r>
    </w:p>
    <w:p w14:paraId="5D10E42B" w14:textId="77777777" w:rsidR="003608B4" w:rsidRPr="00461C16" w:rsidRDefault="003608B4" w:rsidP="003608B4">
      <w:pPr>
        <w:pStyle w:val="1text"/>
        <w:rPr>
          <w:i/>
        </w:rPr>
      </w:pPr>
      <w:r w:rsidRPr="00461C16">
        <w:rPr>
          <w:i/>
        </w:rPr>
        <w:t xml:space="preserve">Koncepce ÚP respektuje polycentrické uspořádání města i všechny identifikované hodnoty přírodního a urbanistického charakteru. Ochrana hodnot je </w:t>
      </w:r>
      <w:r w:rsidR="00124A22" w:rsidRPr="00461C16">
        <w:rPr>
          <w:i/>
        </w:rPr>
        <w:t>zajiště</w:t>
      </w:r>
      <w:r w:rsidRPr="00461C16">
        <w:rPr>
          <w:i/>
        </w:rPr>
        <w:t>na obecnými zásadami ochrany hodnot stanovenými v ÚP, respektováním zákonných limitů využití území a v neposlední řadě také vlastní lokalizací ploch změn.</w:t>
      </w:r>
    </w:p>
    <w:p w14:paraId="6C0E242E" w14:textId="77777777" w:rsidR="00BF18BF" w:rsidRPr="00461C16" w:rsidRDefault="00BF18BF" w:rsidP="00903F77">
      <w:pPr>
        <w:pStyle w:val="ListParagraph"/>
        <w:numPr>
          <w:ilvl w:val="0"/>
          <w:numId w:val="50"/>
        </w:numPr>
        <w:spacing w:before="120" w:after="120"/>
        <w:ind w:left="567" w:hanging="567"/>
      </w:pPr>
      <w:r w:rsidRPr="00461C16">
        <w:t xml:space="preserve">Zachování případně obnova harmonického vztahu sídel a volné krajiny – respektování přírodních i urbanistických hodnot. </w:t>
      </w:r>
    </w:p>
    <w:p w14:paraId="758EDB63" w14:textId="77777777" w:rsidR="003608B4" w:rsidRPr="00461C16" w:rsidRDefault="00124A22" w:rsidP="003608B4">
      <w:pPr>
        <w:pStyle w:val="1text"/>
        <w:rPr>
          <w:i/>
        </w:rPr>
      </w:pPr>
      <w:r w:rsidRPr="00461C16">
        <w:rPr>
          <w:i/>
        </w:rPr>
        <w:t>K harmonickému a vyváženému vztahu sídel a krajiny přispívá proporcionalita zastavěného a zastavitelného území vůči nezastavěným plochám ve volné krajině, v druhé řadě i stanovené podmínky prostorového uspořádání, které při definování struktury a maximální výšky zástavby zohledňují polohu zástavby v sídle / krajině a charakter navazujícího území.</w:t>
      </w:r>
    </w:p>
    <w:p w14:paraId="04836DB7" w14:textId="77777777" w:rsidR="00BF18BF" w:rsidRPr="00461C16" w:rsidRDefault="00BF18BF" w:rsidP="00903F77">
      <w:pPr>
        <w:pStyle w:val="ListParagraph"/>
        <w:numPr>
          <w:ilvl w:val="0"/>
          <w:numId w:val="50"/>
        </w:numPr>
        <w:spacing w:before="120" w:after="120"/>
        <w:ind w:left="567" w:hanging="567"/>
      </w:pPr>
      <w:r w:rsidRPr="00461C16">
        <w:t xml:space="preserve">Ochrana významných a dominantních prvků vzrostlé nelesní zeleně v sídlech i ve volné krajině. </w:t>
      </w:r>
    </w:p>
    <w:p w14:paraId="4114A5A0" w14:textId="77777777" w:rsidR="003608B4" w:rsidRPr="00461C16" w:rsidRDefault="00D14941" w:rsidP="003608B4">
      <w:pPr>
        <w:spacing w:before="120" w:after="120"/>
      </w:pPr>
      <w:r w:rsidRPr="00461C16">
        <w:rPr>
          <w:i/>
          <w:szCs w:val="18"/>
        </w:rPr>
        <w:t xml:space="preserve">Významné plochy nelesní zeleně jsou chráněny formou vymezení takového způsobu využití, které eliminuje ohrožení ploch výstavbou či jiným </w:t>
      </w:r>
      <w:r w:rsidR="00F779B8" w:rsidRPr="00461C16">
        <w:rPr>
          <w:i/>
          <w:szCs w:val="18"/>
        </w:rPr>
        <w:t>produkčním</w:t>
      </w:r>
      <w:r w:rsidRPr="00461C16">
        <w:rPr>
          <w:i/>
          <w:szCs w:val="18"/>
        </w:rPr>
        <w:t xml:space="preserve"> využitím (plochy se </w:t>
      </w:r>
      <w:r w:rsidR="00F779B8" w:rsidRPr="00461C16">
        <w:rPr>
          <w:i/>
          <w:szCs w:val="18"/>
        </w:rPr>
        <w:t>způsobem</w:t>
      </w:r>
      <w:r w:rsidRPr="00461C16">
        <w:rPr>
          <w:i/>
          <w:szCs w:val="18"/>
        </w:rPr>
        <w:t xml:space="preserve"> využití ZV, NK) </w:t>
      </w:r>
    </w:p>
    <w:p w14:paraId="5022C20B" w14:textId="77777777" w:rsidR="00BF18BF" w:rsidRPr="00461C16" w:rsidRDefault="00BF18BF" w:rsidP="00903F77">
      <w:pPr>
        <w:pStyle w:val="ListParagraph"/>
        <w:numPr>
          <w:ilvl w:val="0"/>
          <w:numId w:val="50"/>
        </w:numPr>
        <w:spacing w:before="120" w:after="120"/>
        <w:ind w:left="567" w:hanging="567"/>
      </w:pPr>
      <w:r w:rsidRPr="00461C16">
        <w:t xml:space="preserve">Změny využití území nesmí narušit relativní vyváženost kulturní krajiny nebo zabránit dosažení vyváženého stavu. </w:t>
      </w:r>
    </w:p>
    <w:p w14:paraId="607AEE72" w14:textId="77777777" w:rsidR="003608B4" w:rsidRPr="00461C16" w:rsidRDefault="00F779B8" w:rsidP="00E87C66">
      <w:pPr>
        <w:pStyle w:val="1text"/>
        <w:rPr>
          <w:i/>
          <w:szCs w:val="18"/>
        </w:rPr>
      </w:pPr>
      <w:r w:rsidRPr="00461C16">
        <w:rPr>
          <w:i/>
          <w:szCs w:val="18"/>
        </w:rPr>
        <w:t xml:space="preserve">V ÚP nejsou navrženy změny využití ploch, které by narušily vyváženost kulturní krajiny. I když jsou vymezeny poměrně rozsáhlé plochy pro ekonomické aktivity ve vazbě na I/35, jsou uchovány rozsáhlé plochy </w:t>
      </w:r>
      <w:r w:rsidR="00B24CCA" w:rsidRPr="00461C16">
        <w:rPr>
          <w:i/>
          <w:szCs w:val="18"/>
        </w:rPr>
        <w:t>volné krajiny.</w:t>
      </w:r>
    </w:p>
    <w:p w14:paraId="671A6C12" w14:textId="77777777" w:rsidR="00BF18BF" w:rsidRPr="00461C16" w:rsidRDefault="00BF18BF" w:rsidP="00903F77">
      <w:pPr>
        <w:pStyle w:val="ListParagraph"/>
        <w:numPr>
          <w:ilvl w:val="0"/>
          <w:numId w:val="50"/>
        </w:numPr>
        <w:spacing w:before="120" w:after="120"/>
        <w:ind w:left="567" w:hanging="567"/>
      </w:pPr>
      <w:r w:rsidRPr="00461C16">
        <w:t xml:space="preserve">Vytvářet podmínky pro obnovu přirozeného vodního režimu na v minulosti nevhodně meliorovaných zemědělských pozemcích nebo na plochách s nefunkčním systémem odvodnění. </w:t>
      </w:r>
    </w:p>
    <w:p w14:paraId="7BB0D483" w14:textId="77777777" w:rsidR="003608B4" w:rsidRPr="00461C16" w:rsidRDefault="00E87C66" w:rsidP="003608B4">
      <w:pPr>
        <w:spacing w:before="120" w:after="120"/>
      </w:pPr>
      <w:r w:rsidRPr="00461C16">
        <w:rPr>
          <w:i/>
          <w:szCs w:val="18"/>
        </w:rPr>
        <w:t xml:space="preserve">V ÚP nejsou navržena konkrétní opatření k nápravě vodního režimu </w:t>
      </w:r>
      <w:r w:rsidR="00493905" w:rsidRPr="00461C16">
        <w:rPr>
          <w:i/>
          <w:szCs w:val="18"/>
        </w:rPr>
        <w:t xml:space="preserve">meliorovaných </w:t>
      </w:r>
      <w:r w:rsidRPr="00461C16">
        <w:rPr>
          <w:i/>
          <w:szCs w:val="18"/>
        </w:rPr>
        <w:t>ploch, jejich realizace je však dle ÚP možná</w:t>
      </w:r>
      <w:r w:rsidR="00B345B4" w:rsidRPr="00461C16">
        <w:rPr>
          <w:i/>
          <w:szCs w:val="18"/>
        </w:rPr>
        <w:t xml:space="preserve"> </w:t>
      </w:r>
      <w:r w:rsidRPr="00461C16">
        <w:rPr>
          <w:i/>
          <w:szCs w:val="18"/>
        </w:rPr>
        <w:t>dle potřeby.</w:t>
      </w:r>
    </w:p>
    <w:p w14:paraId="49D5ADF6" w14:textId="77777777" w:rsidR="00BF18BF" w:rsidRPr="00461C16" w:rsidRDefault="00BF18BF" w:rsidP="00903F77">
      <w:pPr>
        <w:pStyle w:val="ListParagraph"/>
        <w:numPr>
          <w:ilvl w:val="0"/>
          <w:numId w:val="50"/>
        </w:numPr>
        <w:spacing w:before="120" w:after="120"/>
        <w:ind w:left="567" w:hanging="567"/>
      </w:pPr>
      <w:r w:rsidRPr="00461C16">
        <w:t xml:space="preserve">Vytvářet podmínky pro územní </w:t>
      </w:r>
      <w:r w:rsidR="0052568A" w:rsidRPr="00461C16">
        <w:t>rozvoj v harmonickém vztahu síd</w:t>
      </w:r>
      <w:r w:rsidRPr="00461C16">
        <w:t>e</w:t>
      </w:r>
      <w:r w:rsidR="0052568A" w:rsidRPr="00461C16">
        <w:t>l</w:t>
      </w:r>
      <w:r w:rsidRPr="00461C16">
        <w:t xml:space="preserve">ní struktury a volné krajiny. </w:t>
      </w:r>
    </w:p>
    <w:p w14:paraId="257F8053" w14:textId="77777777" w:rsidR="00493905" w:rsidRPr="00461C16" w:rsidRDefault="00493905" w:rsidP="00493905">
      <w:pPr>
        <w:spacing w:before="120" w:after="120"/>
        <w:rPr>
          <w:i/>
        </w:rPr>
      </w:pPr>
      <w:r w:rsidRPr="00461C16">
        <w:rPr>
          <w:i/>
        </w:rPr>
        <w:t>Viz vyhodnocení požadavku uvedené</w:t>
      </w:r>
      <w:r w:rsidR="00B30D2A" w:rsidRPr="00461C16">
        <w:rPr>
          <w:i/>
        </w:rPr>
        <w:t>ho</w:t>
      </w:r>
      <w:r w:rsidRPr="00461C16">
        <w:rPr>
          <w:i/>
        </w:rPr>
        <w:t xml:space="preserve"> pod bodem 201. </w:t>
      </w:r>
    </w:p>
    <w:p w14:paraId="276AAE58" w14:textId="77777777" w:rsidR="00BF18BF" w:rsidRPr="00461C16" w:rsidRDefault="00BF18BF" w:rsidP="00903F77">
      <w:pPr>
        <w:pStyle w:val="ListParagraph"/>
        <w:numPr>
          <w:ilvl w:val="0"/>
          <w:numId w:val="50"/>
        </w:numPr>
        <w:spacing w:before="120" w:after="120"/>
        <w:ind w:left="567" w:hanging="567"/>
      </w:pPr>
      <w:r w:rsidRPr="00461C16">
        <w:t>Nezakládat nová odloučená sídla ve volné krajině.</w:t>
      </w:r>
    </w:p>
    <w:p w14:paraId="42AF36AB" w14:textId="77777777" w:rsidR="00485346" w:rsidRPr="00461C16" w:rsidRDefault="0052568A" w:rsidP="00485346">
      <w:pPr>
        <w:pStyle w:val="1text"/>
        <w:rPr>
          <w:i/>
        </w:rPr>
      </w:pPr>
      <w:r w:rsidRPr="00461C16">
        <w:rPr>
          <w:i/>
        </w:rPr>
        <w:t>ÚP nevymezuje plochy k zastavění ve volné krajině, vždy navazuje na hranici zastavěného území, případně na jiné zastavitelné plochy. Koncepcí ÚP tedy nedochází k zakládání nových odloučených sídel v krajině.</w:t>
      </w:r>
    </w:p>
    <w:p w14:paraId="2C6C02BE" w14:textId="77777777" w:rsidR="00C27FC6" w:rsidRPr="00461C16" w:rsidRDefault="00C27FC6" w:rsidP="00C27FC6">
      <w:pPr>
        <w:spacing w:before="120" w:after="120"/>
        <w:rPr>
          <w:u w:val="single"/>
        </w:rPr>
      </w:pPr>
      <w:r w:rsidRPr="00461C16">
        <w:rPr>
          <w:u w:val="single"/>
        </w:rPr>
        <w:lastRenderedPageBreak/>
        <w:t xml:space="preserve">Zemědělské krajiny </w:t>
      </w:r>
    </w:p>
    <w:p w14:paraId="46B1F9E8" w14:textId="77777777" w:rsidR="00C27FC6" w:rsidRPr="00461C16" w:rsidRDefault="00C27FC6" w:rsidP="00903F77">
      <w:pPr>
        <w:pStyle w:val="ListParagraph"/>
        <w:numPr>
          <w:ilvl w:val="0"/>
          <w:numId w:val="50"/>
        </w:numPr>
        <w:spacing w:before="120" w:after="120"/>
        <w:ind w:left="567" w:hanging="567"/>
      </w:pPr>
      <w:r w:rsidRPr="00461C16">
        <w:t xml:space="preserve">Využívání půdního fondu pro zemědělské hospodaření v souladu s principy udržitelného </w:t>
      </w:r>
      <w:r w:rsidR="00493905" w:rsidRPr="00461C16">
        <w:t>rozvoje území.</w:t>
      </w:r>
    </w:p>
    <w:p w14:paraId="34CD0CAD" w14:textId="77777777" w:rsidR="00493905" w:rsidRPr="00461C16" w:rsidRDefault="00493905" w:rsidP="00493905">
      <w:pPr>
        <w:spacing w:before="120" w:after="120"/>
      </w:pPr>
      <w:r w:rsidRPr="00461C16">
        <w:rPr>
          <w:i/>
          <w:szCs w:val="18"/>
        </w:rPr>
        <w:t xml:space="preserve">V ÚP jsou vytvořeny podmínky pro produkční využívání zpf i pro plnění ekologických funkcí zemědělských ploch. Zábory zpf jsou vymezeny v míře nezbytné pro udržitelný rozvoj obyvatelstva a ekonomický růst. </w:t>
      </w:r>
    </w:p>
    <w:p w14:paraId="396C290E" w14:textId="77777777" w:rsidR="00493905" w:rsidRPr="00461C16" w:rsidRDefault="00C27FC6" w:rsidP="00903F77">
      <w:pPr>
        <w:pStyle w:val="ListParagraph"/>
        <w:numPr>
          <w:ilvl w:val="0"/>
          <w:numId w:val="50"/>
        </w:numPr>
        <w:spacing w:before="120" w:after="120"/>
        <w:ind w:left="567" w:hanging="567"/>
      </w:pPr>
      <w:r w:rsidRPr="00461C16">
        <w:t>Respektování urbanistické struktury sídel, chránit zemědělský půdní fond před urbanizační</w:t>
      </w:r>
      <w:r w:rsidR="00493905" w:rsidRPr="00461C16">
        <w:t xml:space="preserve"> </w:t>
      </w:r>
      <w:r w:rsidRPr="00461C16">
        <w:t>expanzí.</w:t>
      </w:r>
    </w:p>
    <w:p w14:paraId="056FE09F" w14:textId="26878B9C" w:rsidR="00493905" w:rsidRPr="00461C16" w:rsidRDefault="00493905" w:rsidP="00493905">
      <w:pPr>
        <w:pStyle w:val="1text"/>
        <w:rPr>
          <w:i/>
          <w:lang w:eastAsia="en-US"/>
        </w:rPr>
      </w:pPr>
      <w:r w:rsidRPr="00461C16">
        <w:rPr>
          <w:i/>
          <w:lang w:eastAsia="en-US"/>
        </w:rPr>
        <w:t xml:space="preserve">Koncepce ÚP respektuje urbanistickou strukturu sídel. Zábor zpf je navržen pro nové plochy bydlení nezbytné k udržení sociální soudržnosti města a pro plochy výroby podél městského obchvatu. Zde se jedná o záměr nadmístního významu vyplývající ze začlenění města do rozvojové oblasti a rozvojové osy a zároveň strategickou polohou na státní hranici. </w:t>
      </w:r>
    </w:p>
    <w:p w14:paraId="3008E1C5" w14:textId="77777777" w:rsidR="00C27FC6" w:rsidRPr="00461C16" w:rsidRDefault="00C27FC6" w:rsidP="00903F77">
      <w:pPr>
        <w:pStyle w:val="ListParagraph"/>
        <w:numPr>
          <w:ilvl w:val="0"/>
          <w:numId w:val="50"/>
        </w:numPr>
        <w:spacing w:before="120" w:after="120"/>
        <w:ind w:left="567" w:hanging="567"/>
      </w:pPr>
      <w:r w:rsidRPr="00461C16">
        <w:t>Převažující intenzita ochrany krajinného rázu: IV. stupeň.</w:t>
      </w:r>
      <w:r w:rsidR="00493905" w:rsidRPr="00461C16">
        <w:t xml:space="preserve"> </w:t>
      </w:r>
    </w:p>
    <w:p w14:paraId="5FCA0A45" w14:textId="77777777" w:rsidR="00493905" w:rsidRPr="00461C16" w:rsidRDefault="00493905" w:rsidP="00493905">
      <w:pPr>
        <w:pStyle w:val="1text"/>
        <w:rPr>
          <w:i/>
          <w:lang w:eastAsia="en-US"/>
        </w:rPr>
      </w:pPr>
      <w:r w:rsidRPr="00461C16">
        <w:rPr>
          <w:i/>
          <w:lang w:eastAsia="en-US"/>
        </w:rPr>
        <w:t>Vodní tok Lužická Nisa a jeho údolí jako hlavní krajinná osa území jsou vymezeny jako území se zvýšenou mírou ochrany krajinného rázu.</w:t>
      </w:r>
    </w:p>
    <w:p w14:paraId="64F8F2BF" w14:textId="77777777" w:rsidR="00C27FC6" w:rsidRPr="00461C16" w:rsidRDefault="00C27FC6" w:rsidP="00903F77">
      <w:pPr>
        <w:pStyle w:val="ListParagraph"/>
        <w:numPr>
          <w:ilvl w:val="0"/>
          <w:numId w:val="50"/>
        </w:numPr>
        <w:spacing w:before="120" w:after="120"/>
        <w:ind w:left="567" w:hanging="567"/>
      </w:pPr>
      <w:r w:rsidRPr="00461C16">
        <w:t>Vhodným a účelným rozčleňováním nadměrně scelených zemědělských ploch (remízy a</w:t>
      </w:r>
      <w:r w:rsidR="00493905" w:rsidRPr="00461C16">
        <w:t xml:space="preserve"> </w:t>
      </w:r>
      <w:r w:rsidRPr="00461C16">
        <w:t>doprovodné linie podél silnic a účelových cest) zvyšovat krajinnou hodnotu, a ekologickou</w:t>
      </w:r>
      <w:r w:rsidR="00493905" w:rsidRPr="00461C16">
        <w:t xml:space="preserve"> </w:t>
      </w:r>
      <w:r w:rsidRPr="00461C16">
        <w:t>stabilitu a protipovodňovou ochranu území.</w:t>
      </w:r>
    </w:p>
    <w:p w14:paraId="3D8588FD" w14:textId="77777777" w:rsidR="00493905" w:rsidRPr="00461C16" w:rsidRDefault="00493905" w:rsidP="00493905">
      <w:pPr>
        <w:spacing w:before="120" w:after="120"/>
        <w:rPr>
          <w:i/>
        </w:rPr>
      </w:pPr>
      <w:r w:rsidRPr="00461C16">
        <w:rPr>
          <w:i/>
        </w:rPr>
        <w:t xml:space="preserve">V ÚP je stanoven požadavek na doplnění drobných krajinných prvků, které přispějí k rozčlenění </w:t>
      </w:r>
      <w:r w:rsidR="00B30D2A" w:rsidRPr="00461C16">
        <w:rPr>
          <w:i/>
        </w:rPr>
        <w:t xml:space="preserve">velkých půdních bloků. </w:t>
      </w:r>
    </w:p>
    <w:p w14:paraId="46E53890" w14:textId="77777777" w:rsidR="00C27FC6" w:rsidRPr="00461C16" w:rsidRDefault="00C27FC6" w:rsidP="00903F77">
      <w:pPr>
        <w:pStyle w:val="ListParagraph"/>
        <w:numPr>
          <w:ilvl w:val="0"/>
          <w:numId w:val="50"/>
        </w:numPr>
        <w:spacing w:before="120" w:after="120"/>
        <w:ind w:left="567" w:hanging="567"/>
      </w:pPr>
      <w:r w:rsidRPr="00461C16">
        <w:t>Vytvářet podmínky pro obnovu přirozeného vodního režimu na v minulosti nevhodně</w:t>
      </w:r>
      <w:r w:rsidR="00493905" w:rsidRPr="00461C16">
        <w:t xml:space="preserve"> </w:t>
      </w:r>
      <w:r w:rsidRPr="00461C16">
        <w:t>meliorovaných zemědělských pozemcích nebo na plochách s nefunkčním systémem</w:t>
      </w:r>
      <w:r w:rsidR="00493905" w:rsidRPr="00461C16">
        <w:t xml:space="preserve"> </w:t>
      </w:r>
      <w:r w:rsidRPr="00461C16">
        <w:t>odvodnění.</w:t>
      </w:r>
    </w:p>
    <w:p w14:paraId="62B7C04E" w14:textId="77777777" w:rsidR="00B30D2A" w:rsidRPr="00461C16" w:rsidRDefault="00B30D2A" w:rsidP="00B30D2A">
      <w:pPr>
        <w:spacing w:before="120" w:after="120"/>
        <w:rPr>
          <w:i/>
        </w:rPr>
      </w:pPr>
      <w:r w:rsidRPr="00461C16">
        <w:rPr>
          <w:i/>
        </w:rPr>
        <w:t xml:space="preserve">Viz vyhodnocení požadavku uvedeného pod bodem 204. </w:t>
      </w:r>
    </w:p>
    <w:p w14:paraId="3E5961ED" w14:textId="77777777" w:rsidR="00C27FC6" w:rsidRPr="00461C16" w:rsidRDefault="00C27FC6" w:rsidP="00903F77">
      <w:pPr>
        <w:pStyle w:val="ListParagraph"/>
        <w:numPr>
          <w:ilvl w:val="0"/>
          <w:numId w:val="50"/>
        </w:numPr>
        <w:spacing w:before="120" w:after="120"/>
        <w:ind w:left="567" w:hanging="567"/>
      </w:pPr>
      <w:r w:rsidRPr="00461C16">
        <w:t>Nezakládat nová odloučená sídla ve volné krajině.</w:t>
      </w:r>
    </w:p>
    <w:p w14:paraId="060EA907" w14:textId="77777777" w:rsidR="00B30D2A" w:rsidRPr="00461C16" w:rsidRDefault="00B30D2A" w:rsidP="00B30D2A">
      <w:pPr>
        <w:spacing w:before="120" w:after="120"/>
        <w:rPr>
          <w:i/>
        </w:rPr>
      </w:pPr>
      <w:r w:rsidRPr="00461C16">
        <w:rPr>
          <w:i/>
        </w:rPr>
        <w:t xml:space="preserve">Viz vyhodnocení požadavku uvedeného pod bodem 206. </w:t>
      </w:r>
    </w:p>
    <w:p w14:paraId="7B77228B" w14:textId="77777777" w:rsidR="00B30D2A" w:rsidRPr="00461C16" w:rsidRDefault="00B30D2A" w:rsidP="00B30D2A">
      <w:pPr>
        <w:pStyle w:val="4podnadpis"/>
      </w:pPr>
      <w:r w:rsidRPr="00461C16">
        <w:t>Územní rozvoj realizovat v souladu se základními krajinnými typy dle reliéfu, význačnosti a unicity</w:t>
      </w:r>
    </w:p>
    <w:p w14:paraId="247526C2" w14:textId="77777777" w:rsidR="00BF18BF" w:rsidRPr="00461C16" w:rsidRDefault="00BF18BF" w:rsidP="00485346">
      <w:pPr>
        <w:spacing w:before="120" w:after="120"/>
        <w:rPr>
          <w:u w:val="single"/>
        </w:rPr>
      </w:pPr>
      <w:r w:rsidRPr="00461C16">
        <w:rPr>
          <w:u w:val="single"/>
        </w:rPr>
        <w:t>Běžné krajinné typy</w:t>
      </w:r>
    </w:p>
    <w:p w14:paraId="3D5CA87C" w14:textId="77777777" w:rsidR="00BF18BF" w:rsidRPr="00461C16" w:rsidRDefault="00BF18BF" w:rsidP="00903F77">
      <w:pPr>
        <w:pStyle w:val="ListParagraph"/>
        <w:numPr>
          <w:ilvl w:val="0"/>
          <w:numId w:val="50"/>
        </w:numPr>
        <w:spacing w:before="120" w:after="120"/>
        <w:ind w:left="567" w:hanging="567"/>
      </w:pPr>
      <w:r w:rsidRPr="00461C16">
        <w:t>Zachování přírodní a kulturní struktury, preferovat krajinářské aspekty, ochrana základních a dominan</w:t>
      </w:r>
      <w:r w:rsidR="00060C80" w:rsidRPr="00461C16">
        <w:t xml:space="preserve">tních znaků krajiny určujících vymezené krajinné typy. </w:t>
      </w:r>
    </w:p>
    <w:p w14:paraId="26B865E1" w14:textId="77777777" w:rsidR="003608B4" w:rsidRPr="00461C16" w:rsidRDefault="00534813" w:rsidP="003608B4">
      <w:pPr>
        <w:spacing w:before="120" w:after="120"/>
        <w:rPr>
          <w:i/>
        </w:rPr>
      </w:pPr>
      <w:r w:rsidRPr="00461C16">
        <w:rPr>
          <w:i/>
        </w:rPr>
        <w:t xml:space="preserve">V ÚP jsou respektovány a stabilizovány plochy zemědělské půdy (s výjimkou ploch určených k zastavění), lesů, vodní plochy a přírodní nelesní plochy a venkovská sídla. </w:t>
      </w:r>
      <w:r w:rsidR="00AD0740" w:rsidRPr="00461C16">
        <w:rPr>
          <w:i/>
        </w:rPr>
        <w:t xml:space="preserve">Dominantní znaky </w:t>
      </w:r>
      <w:r w:rsidR="000F56D2" w:rsidRPr="00461C16">
        <w:rPr>
          <w:i/>
        </w:rPr>
        <w:t>krajiny</w:t>
      </w:r>
      <w:r w:rsidR="00AD0740" w:rsidRPr="00461C16">
        <w:rPr>
          <w:i/>
        </w:rPr>
        <w:t xml:space="preserve"> jsou chráněny jako přírodní hodnoty. </w:t>
      </w:r>
    </w:p>
    <w:p w14:paraId="0B29317F" w14:textId="77777777" w:rsidR="00060C80" w:rsidRPr="00461C16" w:rsidRDefault="00060C80" w:rsidP="00903F77">
      <w:pPr>
        <w:pStyle w:val="ListParagraph"/>
        <w:numPr>
          <w:ilvl w:val="0"/>
          <w:numId w:val="50"/>
        </w:numPr>
        <w:spacing w:before="120" w:after="120"/>
        <w:ind w:left="567" w:hanging="567"/>
      </w:pPr>
      <w:r w:rsidRPr="00461C16">
        <w:t xml:space="preserve">Zabezpečovat zachování krajinných hodnot diferencovaně dle vymezených krajinných typů v intencích jejich formulovaných kritérií a podmínky při plánování změn v území. </w:t>
      </w:r>
    </w:p>
    <w:p w14:paraId="465C96EC" w14:textId="77777777" w:rsidR="00485346" w:rsidRPr="00461C16" w:rsidRDefault="00B24CCA" w:rsidP="00B24CCA">
      <w:pPr>
        <w:pStyle w:val="1text"/>
        <w:tabs>
          <w:tab w:val="left" w:pos="2100"/>
        </w:tabs>
        <w:rPr>
          <w:i/>
        </w:rPr>
      </w:pPr>
      <w:r w:rsidRPr="00461C16">
        <w:rPr>
          <w:i/>
          <w:szCs w:val="18"/>
        </w:rPr>
        <w:t>Krajinné hodnoty, zejména volná krajina jako celek, části krajiny významné z hlediska krajinného rázu a přírodní zdroje jsou chráněny jako přírodní hodnoty.</w:t>
      </w:r>
      <w:r w:rsidR="00B345B4" w:rsidRPr="00461C16">
        <w:rPr>
          <w:i/>
          <w:szCs w:val="18"/>
        </w:rPr>
        <w:t xml:space="preserve"> </w:t>
      </w:r>
    </w:p>
    <w:p w14:paraId="6916C801" w14:textId="77777777" w:rsidR="00060C80" w:rsidRPr="00461C16" w:rsidRDefault="00060C80" w:rsidP="00B30D2A">
      <w:pPr>
        <w:pStyle w:val="4podnadpis"/>
      </w:pPr>
      <w:r w:rsidRPr="00461C16">
        <w:t>Ochranu krajinného rázu realizovat diferencovaně:</w:t>
      </w:r>
    </w:p>
    <w:p w14:paraId="2A03BA43" w14:textId="77777777" w:rsidR="00060C80" w:rsidRPr="00461C16" w:rsidRDefault="00060C80" w:rsidP="00485346">
      <w:pPr>
        <w:spacing w:before="120" w:after="120"/>
      </w:pPr>
      <w:r w:rsidRPr="00461C16">
        <w:t>Stupně (intenzity) diferencované ochrany krajinného rázu:</w:t>
      </w:r>
    </w:p>
    <w:p w14:paraId="6C0D6564" w14:textId="77777777" w:rsidR="00060C80" w:rsidRPr="00461C16" w:rsidRDefault="00060C80" w:rsidP="00485346">
      <w:pPr>
        <w:spacing w:before="120" w:after="120"/>
      </w:pPr>
      <w:r w:rsidRPr="00461C16">
        <w:t>I. stupeň ochrany (nejvyšší, až absolutní ochrana krajinného rázu)</w:t>
      </w:r>
    </w:p>
    <w:p w14:paraId="58F7B15A" w14:textId="77777777" w:rsidR="00060C80" w:rsidRPr="00461C16" w:rsidRDefault="00060C80" w:rsidP="00903F77">
      <w:pPr>
        <w:pStyle w:val="ListParagraph"/>
        <w:numPr>
          <w:ilvl w:val="0"/>
          <w:numId w:val="57"/>
        </w:numPr>
        <w:autoSpaceDE w:val="0"/>
        <w:autoSpaceDN w:val="0"/>
        <w:adjustRightInd w:val="0"/>
        <w:spacing w:before="120" w:after="120" w:line="240" w:lineRule="auto"/>
        <w:rPr>
          <w:rFonts w:cs="Arial"/>
          <w:lang w:eastAsia="cs-CZ"/>
        </w:rPr>
      </w:pPr>
      <w:r w:rsidRPr="00461C16">
        <w:rPr>
          <w:rFonts w:cs="Arial"/>
          <w:lang w:eastAsia="cs-CZ"/>
        </w:rPr>
        <w:t>určen pro nejcennější krajinné a přírodní hodnoty území Libereckého kraje, zastoupené zde</w:t>
      </w:r>
    </w:p>
    <w:p w14:paraId="315BA5A2" w14:textId="77777777" w:rsidR="00060C80" w:rsidRPr="00461C16" w:rsidRDefault="00060C80" w:rsidP="00485346">
      <w:pPr>
        <w:autoSpaceDE w:val="0"/>
        <w:autoSpaceDN w:val="0"/>
        <w:adjustRightInd w:val="0"/>
        <w:spacing w:before="120" w:after="120" w:line="240" w:lineRule="auto"/>
        <w:ind w:firstLine="720"/>
        <w:rPr>
          <w:rFonts w:cs="Arial"/>
          <w:lang w:eastAsia="cs-CZ"/>
        </w:rPr>
      </w:pPr>
      <w:r w:rsidRPr="00461C16">
        <w:rPr>
          <w:rFonts w:cs="Arial"/>
          <w:lang w:eastAsia="cs-CZ"/>
        </w:rPr>
        <w:t>nejpřísnějšími zónami V-ZCHU odstupňované ochrany přírody a krajiny, krajině</w:t>
      </w:r>
    </w:p>
    <w:p w14:paraId="23EE0CD3" w14:textId="77777777" w:rsidR="00060C80" w:rsidRPr="00461C16" w:rsidRDefault="00060C80" w:rsidP="00485346">
      <w:pPr>
        <w:autoSpaceDE w:val="0"/>
        <w:autoSpaceDN w:val="0"/>
        <w:adjustRightInd w:val="0"/>
        <w:spacing w:before="120" w:after="120" w:line="240" w:lineRule="auto"/>
        <w:ind w:firstLine="720"/>
        <w:rPr>
          <w:rFonts w:cs="Arial"/>
          <w:lang w:eastAsia="cs-CZ"/>
        </w:rPr>
      </w:pPr>
      <w:r w:rsidRPr="00461C16">
        <w:rPr>
          <w:rFonts w:cs="Arial"/>
          <w:lang w:eastAsia="cs-CZ"/>
        </w:rPr>
        <w:t>dominantními nebo přírodně nejcennějšími maloplošnými ZCHU, krajinně nejcennějšími</w:t>
      </w:r>
    </w:p>
    <w:p w14:paraId="7E6EAD60" w14:textId="77777777" w:rsidR="00060C80" w:rsidRPr="00461C16" w:rsidRDefault="00060C80" w:rsidP="00485346">
      <w:pPr>
        <w:autoSpaceDE w:val="0"/>
        <w:autoSpaceDN w:val="0"/>
        <w:adjustRightInd w:val="0"/>
        <w:spacing w:before="120" w:after="120" w:line="240" w:lineRule="auto"/>
        <w:ind w:firstLine="720"/>
        <w:rPr>
          <w:rFonts w:cs="Arial"/>
          <w:lang w:eastAsia="cs-CZ"/>
        </w:rPr>
      </w:pPr>
      <w:r w:rsidRPr="00461C16">
        <w:rPr>
          <w:rFonts w:cs="Arial"/>
          <w:lang w:eastAsia="cs-CZ"/>
        </w:rPr>
        <w:t>územími přírodních parků, a krajinářsky nejhodnotnějšími územími význačných a</w:t>
      </w:r>
    </w:p>
    <w:p w14:paraId="76FE3AF3" w14:textId="77777777" w:rsidR="00060C80" w:rsidRPr="00461C16" w:rsidRDefault="00060C80" w:rsidP="00485346">
      <w:pPr>
        <w:spacing w:before="120" w:after="120"/>
        <w:ind w:firstLine="720"/>
        <w:rPr>
          <w:rFonts w:cs="Arial"/>
          <w:lang w:eastAsia="cs-CZ"/>
        </w:rPr>
      </w:pPr>
      <w:r w:rsidRPr="00461C16">
        <w:rPr>
          <w:rFonts w:cs="Arial"/>
          <w:lang w:eastAsia="cs-CZ"/>
        </w:rPr>
        <w:lastRenderedPageBreak/>
        <w:t>unikátních krajinných typů,</w:t>
      </w:r>
    </w:p>
    <w:p w14:paraId="12287EE1" w14:textId="77777777" w:rsidR="00060C80" w:rsidRPr="00461C16" w:rsidRDefault="00060C80" w:rsidP="00903F77">
      <w:pPr>
        <w:pStyle w:val="ListParagraph"/>
        <w:numPr>
          <w:ilvl w:val="0"/>
          <w:numId w:val="57"/>
        </w:numPr>
        <w:spacing w:before="120" w:after="120"/>
        <w:rPr>
          <w:rFonts w:cs="Arial"/>
          <w:lang w:eastAsia="cs-CZ"/>
        </w:rPr>
      </w:pPr>
      <w:r w:rsidRPr="00461C16">
        <w:rPr>
          <w:rFonts w:cs="Arial"/>
          <w:lang w:eastAsia="cs-CZ"/>
        </w:rPr>
        <w:t>tyto hodnoty jsou obecně tvořené krajinnými dominantními, obzory, výjimečným a unikátním reliéfem, plochami a územími přírodních a přírodě blízkých ekosystémů či dochovanými prvky nebo územními s nejvyšší památkovou ochranou</w:t>
      </w:r>
    </w:p>
    <w:p w14:paraId="3698484B" w14:textId="77777777" w:rsidR="00060C80" w:rsidRPr="00461C16" w:rsidRDefault="00060C80" w:rsidP="00903F77">
      <w:pPr>
        <w:pStyle w:val="ListParagraph"/>
        <w:numPr>
          <w:ilvl w:val="0"/>
          <w:numId w:val="57"/>
        </w:numPr>
        <w:spacing w:before="120" w:after="120"/>
        <w:rPr>
          <w:rFonts w:cs="Arial"/>
          <w:lang w:eastAsia="cs-CZ"/>
        </w:rPr>
      </w:pPr>
      <w:r w:rsidRPr="00461C16">
        <w:rPr>
          <w:rFonts w:cs="Arial"/>
          <w:lang w:eastAsia="cs-CZ"/>
        </w:rPr>
        <w:t>přísně jsou chráněny dominantní a hlavní typické znaky dané oblasti krajinného rázu, realizovaná ochrana je většinou výrazně konzervační</w:t>
      </w:r>
    </w:p>
    <w:p w14:paraId="0B1A34D3" w14:textId="77777777" w:rsidR="00060C80" w:rsidRPr="00461C16" w:rsidRDefault="00060C80" w:rsidP="00485346">
      <w:pPr>
        <w:spacing w:before="120" w:after="120"/>
        <w:rPr>
          <w:rFonts w:cs="Arial"/>
          <w:lang w:eastAsia="cs-CZ"/>
        </w:rPr>
      </w:pPr>
      <w:r w:rsidRPr="00461C16">
        <w:rPr>
          <w:rFonts w:cs="Arial"/>
          <w:lang w:eastAsia="cs-CZ"/>
        </w:rPr>
        <w:t>II. stupeň ochrany (vysoká ochrana krajinného rázu)</w:t>
      </w:r>
    </w:p>
    <w:p w14:paraId="07693263" w14:textId="77777777" w:rsidR="00060C80" w:rsidRPr="00461C16" w:rsidRDefault="00060C80" w:rsidP="00903F77">
      <w:pPr>
        <w:pStyle w:val="ListParagraph"/>
        <w:numPr>
          <w:ilvl w:val="0"/>
          <w:numId w:val="58"/>
        </w:numPr>
        <w:spacing w:before="120" w:after="120"/>
        <w:rPr>
          <w:rFonts w:cs="Arial"/>
          <w:lang w:eastAsia="cs-CZ"/>
        </w:rPr>
      </w:pPr>
      <w:r w:rsidRPr="00461C16">
        <w:rPr>
          <w:rFonts w:cs="Arial"/>
          <w:lang w:eastAsia="cs-CZ"/>
        </w:rPr>
        <w:t xml:space="preserve">ostatní přírodně a krajinářsky cenná území, tvořená zejména územím nižších zón odstupňované ochrany přírody a krajiny V-ZCHÚ, kulturními částmi přírodních parků, ale i dalšími aspekty – krajinnými a </w:t>
      </w:r>
      <w:r w:rsidR="00AD0740" w:rsidRPr="00461C16">
        <w:rPr>
          <w:rFonts w:cs="Arial"/>
          <w:lang w:eastAsia="cs-CZ"/>
        </w:rPr>
        <w:t>sídelními</w:t>
      </w:r>
      <w:r w:rsidRPr="00461C16">
        <w:rPr>
          <w:rFonts w:cs="Arial"/>
          <w:lang w:eastAsia="cs-CZ"/>
        </w:rPr>
        <w:t xml:space="preserve"> památkovými zónami</w:t>
      </w:r>
      <w:r w:rsidR="004711C7" w:rsidRPr="00461C16">
        <w:rPr>
          <w:rFonts w:cs="Arial"/>
          <w:lang w:eastAsia="cs-CZ"/>
        </w:rPr>
        <w:t xml:space="preserve">, ochrannými pásmy kulturních památek či ZCHÚ, částmi význačných a unikátních krajinných typů apod. </w:t>
      </w:r>
    </w:p>
    <w:p w14:paraId="69BEA820" w14:textId="77777777" w:rsidR="004711C7" w:rsidRPr="00461C16" w:rsidRDefault="004711C7" w:rsidP="00903F77">
      <w:pPr>
        <w:pStyle w:val="ListParagraph"/>
        <w:numPr>
          <w:ilvl w:val="0"/>
          <w:numId w:val="58"/>
        </w:numPr>
        <w:spacing w:before="120" w:after="120"/>
        <w:rPr>
          <w:rFonts w:cs="Arial"/>
          <w:lang w:eastAsia="cs-CZ"/>
        </w:rPr>
      </w:pPr>
      <w:r w:rsidRPr="00461C16">
        <w:rPr>
          <w:rFonts w:cs="Arial"/>
          <w:lang w:eastAsia="cs-CZ"/>
        </w:rPr>
        <w:t>jsou chráněny typické znaky, kdy některé doplňující znaky, které brání současnému životu v krajině, lze operativně i pominout</w:t>
      </w:r>
    </w:p>
    <w:p w14:paraId="5244BB40" w14:textId="77777777" w:rsidR="004711C7" w:rsidRPr="00461C16" w:rsidRDefault="004711C7" w:rsidP="00903F77">
      <w:pPr>
        <w:pStyle w:val="ListParagraph"/>
        <w:numPr>
          <w:ilvl w:val="0"/>
          <w:numId w:val="58"/>
        </w:numPr>
        <w:spacing w:before="120" w:after="120"/>
        <w:rPr>
          <w:rFonts w:cs="Arial"/>
          <w:lang w:eastAsia="cs-CZ"/>
        </w:rPr>
      </w:pPr>
      <w:r w:rsidRPr="00461C16">
        <w:rPr>
          <w:rFonts w:cs="Arial"/>
          <w:lang w:eastAsia="cs-CZ"/>
        </w:rPr>
        <w:t>tento stupeň ochrany je stále výrazně konzervační, umožňuje však určité změny, v částech území s významnějším podílem výše jmenovaných zájmů památkové péče pak tento stupeň ochrany platí i pro část urbanizované krajiny</w:t>
      </w:r>
    </w:p>
    <w:p w14:paraId="31D0681C" w14:textId="77777777" w:rsidR="004711C7" w:rsidRPr="00461C16" w:rsidRDefault="004711C7" w:rsidP="00485346">
      <w:pPr>
        <w:spacing w:before="120" w:after="120"/>
        <w:rPr>
          <w:rFonts w:cs="Arial"/>
          <w:lang w:eastAsia="cs-CZ"/>
        </w:rPr>
      </w:pPr>
      <w:r w:rsidRPr="00461C16">
        <w:rPr>
          <w:rFonts w:cs="Arial"/>
          <w:lang w:eastAsia="cs-CZ"/>
        </w:rPr>
        <w:t>III. stupeň ochrany (zvýšená ochrana krajinného rázu)</w:t>
      </w:r>
    </w:p>
    <w:p w14:paraId="2336B631" w14:textId="77777777" w:rsidR="004711C7" w:rsidRPr="00461C16" w:rsidRDefault="004711C7" w:rsidP="00903F77">
      <w:pPr>
        <w:pStyle w:val="ListParagraph"/>
        <w:numPr>
          <w:ilvl w:val="0"/>
          <w:numId w:val="59"/>
        </w:numPr>
        <w:spacing w:before="120" w:after="120"/>
        <w:rPr>
          <w:rFonts w:cs="Arial"/>
          <w:lang w:eastAsia="cs-CZ"/>
        </w:rPr>
      </w:pPr>
      <w:r w:rsidRPr="00461C16">
        <w:rPr>
          <w:rFonts w:cs="Arial"/>
          <w:lang w:eastAsia="cs-CZ"/>
        </w:rPr>
        <w:t>uplatňován z jiných zájmů vyplývajících z územního konsensu a legislativních ustanovení (příměstské lesy, rekreační areály aj.)</w:t>
      </w:r>
    </w:p>
    <w:p w14:paraId="04F83C3D" w14:textId="77777777" w:rsidR="004711C7" w:rsidRPr="00461C16" w:rsidRDefault="004711C7" w:rsidP="00903F77">
      <w:pPr>
        <w:pStyle w:val="ListParagraph"/>
        <w:numPr>
          <w:ilvl w:val="0"/>
          <w:numId w:val="59"/>
        </w:numPr>
        <w:spacing w:before="120" w:after="120"/>
        <w:rPr>
          <w:rFonts w:cs="Arial"/>
          <w:lang w:eastAsia="cs-CZ"/>
        </w:rPr>
      </w:pPr>
      <w:r w:rsidRPr="00461C16">
        <w:rPr>
          <w:rFonts w:cs="Arial"/>
          <w:lang w:eastAsia="cs-CZ"/>
        </w:rPr>
        <w:t>chráněny jsou zejména krajinné dominantní znaky, ale některé hlavní typické znaky, pokud brání rozvoji území, lze i pominout, tvorba krajiny je v rovnováze s ochranou jejich dochovaných hodnot</w:t>
      </w:r>
    </w:p>
    <w:p w14:paraId="422B99BF" w14:textId="77777777" w:rsidR="004711C7" w:rsidRPr="00461C16" w:rsidRDefault="004711C7" w:rsidP="00485346">
      <w:pPr>
        <w:spacing w:before="120" w:after="120"/>
        <w:rPr>
          <w:rFonts w:cs="Arial"/>
          <w:lang w:eastAsia="cs-CZ"/>
        </w:rPr>
      </w:pPr>
      <w:r w:rsidRPr="00461C16">
        <w:rPr>
          <w:rFonts w:cs="Arial"/>
          <w:lang w:eastAsia="cs-CZ"/>
        </w:rPr>
        <w:t>IV. stupeň ochrany (základní ochrana krajinného rázu)</w:t>
      </w:r>
    </w:p>
    <w:p w14:paraId="1DB606F6" w14:textId="77777777" w:rsidR="004711C7" w:rsidRPr="00461C16" w:rsidRDefault="004711C7" w:rsidP="00903F77">
      <w:pPr>
        <w:pStyle w:val="ListParagraph"/>
        <w:numPr>
          <w:ilvl w:val="0"/>
          <w:numId w:val="60"/>
        </w:numPr>
        <w:spacing w:before="120" w:after="120"/>
        <w:rPr>
          <w:rFonts w:cs="Arial"/>
          <w:lang w:eastAsia="cs-CZ"/>
        </w:rPr>
      </w:pPr>
      <w:r w:rsidRPr="00461C16">
        <w:rPr>
          <w:rFonts w:cs="Arial"/>
          <w:lang w:eastAsia="cs-CZ"/>
        </w:rPr>
        <w:t>ponecháván na zvážení orgánu ochrany přírody a krajiny – pro jeho realizaci orgán stanoví minimum ochrany hodnot, které bude vždy požadováno, ale nikdy překračováno</w:t>
      </w:r>
    </w:p>
    <w:p w14:paraId="6B35C549" w14:textId="3903A8A7" w:rsidR="004711C7" w:rsidRPr="00461C16" w:rsidRDefault="004711C7" w:rsidP="00903F77">
      <w:pPr>
        <w:pStyle w:val="ListParagraph"/>
        <w:numPr>
          <w:ilvl w:val="0"/>
          <w:numId w:val="60"/>
        </w:numPr>
        <w:spacing w:before="120" w:after="120"/>
        <w:rPr>
          <w:rFonts w:cs="Arial"/>
          <w:lang w:eastAsia="cs-CZ"/>
        </w:rPr>
      </w:pPr>
      <w:r w:rsidRPr="00461C16">
        <w:rPr>
          <w:rFonts w:cs="Arial"/>
          <w:lang w:eastAsia="cs-CZ"/>
        </w:rPr>
        <w:t xml:space="preserve">za tuto základní ochranu lze považovat ochranu dominantních typických znaků krajinného rázu dané oblasti, vše ostatní má </w:t>
      </w:r>
      <w:r w:rsidR="00DB1E1B" w:rsidRPr="00461C16">
        <w:rPr>
          <w:rFonts w:cs="Arial"/>
          <w:lang w:eastAsia="cs-CZ"/>
        </w:rPr>
        <w:t>funk</w:t>
      </w:r>
      <w:r w:rsidR="00DB1E1B">
        <w:rPr>
          <w:rFonts w:cs="Arial"/>
          <w:lang w:eastAsia="cs-CZ"/>
        </w:rPr>
        <w:t>ci</w:t>
      </w:r>
      <w:r w:rsidR="00DB1E1B" w:rsidRPr="00461C16">
        <w:rPr>
          <w:rFonts w:cs="Arial"/>
          <w:lang w:eastAsia="cs-CZ"/>
        </w:rPr>
        <w:t xml:space="preserve"> </w:t>
      </w:r>
      <w:r w:rsidRPr="00461C16">
        <w:rPr>
          <w:rFonts w:cs="Arial"/>
          <w:lang w:eastAsia="cs-CZ"/>
        </w:rPr>
        <w:t>pouze inspirační; v tomto stupni ochrany již zcela zásadně převažuje tvorba krajinného rázu nad jeho ochranou a chráněné znaky pro tvorbu pouze vymezují široké rámce</w:t>
      </w:r>
    </w:p>
    <w:p w14:paraId="08DE6B06" w14:textId="77777777" w:rsidR="004711C7" w:rsidRPr="00461C16" w:rsidRDefault="004711C7" w:rsidP="00485346">
      <w:pPr>
        <w:spacing w:before="120" w:after="120"/>
        <w:rPr>
          <w:rFonts w:cs="Arial"/>
          <w:lang w:eastAsia="cs-CZ"/>
        </w:rPr>
      </w:pPr>
      <w:r w:rsidRPr="00461C16">
        <w:rPr>
          <w:rFonts w:cs="Arial"/>
          <w:lang w:eastAsia="cs-CZ"/>
        </w:rPr>
        <w:t>V. stupeň ochrany (aktivní ochrana krajinného rázu – cílená obnova narušené krajiny)</w:t>
      </w:r>
    </w:p>
    <w:p w14:paraId="57BC6F10" w14:textId="77777777" w:rsidR="004711C7" w:rsidRPr="00461C16" w:rsidRDefault="004711C7" w:rsidP="00903F77">
      <w:pPr>
        <w:pStyle w:val="ListParagraph"/>
        <w:numPr>
          <w:ilvl w:val="0"/>
          <w:numId w:val="61"/>
        </w:numPr>
        <w:spacing w:before="120" w:after="120"/>
        <w:rPr>
          <w:rFonts w:cs="Arial"/>
          <w:lang w:eastAsia="cs-CZ"/>
        </w:rPr>
      </w:pPr>
      <w:r w:rsidRPr="00461C16">
        <w:rPr>
          <w:rFonts w:cs="Arial"/>
          <w:lang w:eastAsia="cs-CZ"/>
        </w:rPr>
        <w:t>uplatňován v územích, kde krajinný ráz není téměř dochován, výrazně pozměněn nebo je nutno jej z jiných obecně přijatých celospolečenských hledisek změnit (části zemědělské a urbanizované krajiny)</w:t>
      </w:r>
    </w:p>
    <w:p w14:paraId="72FDA741" w14:textId="77777777" w:rsidR="004711C7" w:rsidRPr="00461C16" w:rsidRDefault="004711C7" w:rsidP="00485346">
      <w:pPr>
        <w:spacing w:before="120" w:after="120"/>
        <w:rPr>
          <w:rFonts w:cs="Arial"/>
          <w:lang w:eastAsia="cs-CZ"/>
        </w:rPr>
      </w:pPr>
      <w:r w:rsidRPr="00461C16">
        <w:rPr>
          <w:rFonts w:cs="Arial"/>
          <w:lang w:eastAsia="cs-CZ"/>
        </w:rPr>
        <w:t>Úkoly pro územní plánování:</w:t>
      </w:r>
    </w:p>
    <w:p w14:paraId="08065EC7" w14:textId="77777777" w:rsidR="004711C7" w:rsidRPr="00461C16" w:rsidRDefault="004711C7" w:rsidP="00903F77">
      <w:pPr>
        <w:pStyle w:val="ListParagraph"/>
        <w:numPr>
          <w:ilvl w:val="0"/>
          <w:numId w:val="50"/>
        </w:numPr>
        <w:spacing w:before="120" w:after="120"/>
        <w:ind w:left="567" w:hanging="567"/>
        <w:rPr>
          <w:rFonts w:cs="Arial"/>
          <w:lang w:eastAsia="cs-CZ"/>
        </w:rPr>
      </w:pPr>
      <w:r w:rsidRPr="00461C16">
        <w:rPr>
          <w:rFonts w:cs="Arial"/>
          <w:lang w:eastAsia="cs-CZ"/>
        </w:rPr>
        <w:t>Intenzitu ochrany krajinného rázu diferencovat v rámci vymezených jednotek krajinné typologie a jejich význačnosti a unikátnosti, a dle hlavních a určujících znaků krajinného rázu (krajinných dominant, reliéfu, využití, míst výhledů apod.)</w:t>
      </w:r>
    </w:p>
    <w:p w14:paraId="776EBD00" w14:textId="77777777" w:rsidR="00485346" w:rsidRPr="00461C16" w:rsidRDefault="00AD0740" w:rsidP="00485346">
      <w:pPr>
        <w:pStyle w:val="1text"/>
        <w:rPr>
          <w:i/>
        </w:rPr>
      </w:pPr>
      <w:r w:rsidRPr="00461C16">
        <w:rPr>
          <w:i/>
          <w:szCs w:val="18"/>
        </w:rPr>
        <w:t>V ÚP j</w:t>
      </w:r>
      <w:r w:rsidR="007B7825" w:rsidRPr="00461C16">
        <w:rPr>
          <w:i/>
          <w:szCs w:val="18"/>
        </w:rPr>
        <w:t xml:space="preserve">e uvedena míra ochrany krajinného rázu v kap. E.2. </w:t>
      </w:r>
    </w:p>
    <w:p w14:paraId="6E55987E" w14:textId="77777777" w:rsidR="00445727" w:rsidRPr="00461C16" w:rsidRDefault="00FB1CCD" w:rsidP="00445727">
      <w:pPr>
        <w:pStyle w:val="Heading3"/>
      </w:pPr>
      <w:bookmarkStart w:id="33" w:name="_Toc36116249"/>
      <w:r w:rsidRPr="00461C16">
        <w:t>1</w:t>
      </w:r>
      <w:r w:rsidR="00445727" w:rsidRPr="00461C16">
        <w:t>.2.</w:t>
      </w:r>
      <w:r w:rsidR="003115D5" w:rsidRPr="00461C16">
        <w:t>1</w:t>
      </w:r>
      <w:r w:rsidR="0062448C" w:rsidRPr="00461C16">
        <w:t>0</w:t>
      </w:r>
      <w:r w:rsidR="00445727" w:rsidRPr="00461C16">
        <w:tab/>
        <w:t>Veřejně prospěšné stavby, veřejně prospěšná opatření</w:t>
      </w:r>
      <w:bookmarkEnd w:id="33"/>
      <w:r w:rsidR="00445727" w:rsidRPr="00461C16">
        <w:t xml:space="preserve"> </w:t>
      </w:r>
    </w:p>
    <w:p w14:paraId="64C7FE66" w14:textId="77777777" w:rsidR="00445727" w:rsidRPr="00461C16" w:rsidRDefault="00445727" w:rsidP="00445727">
      <w:pPr>
        <w:pStyle w:val="1text"/>
      </w:pPr>
      <w:r w:rsidRPr="00461C16">
        <w:t xml:space="preserve">ZÚR </w:t>
      </w:r>
      <w:r w:rsidR="003B07D8">
        <w:t xml:space="preserve">Libereckého kraje </w:t>
      </w:r>
      <w:r w:rsidRPr="00461C16">
        <w:t xml:space="preserve">vymezují </w:t>
      </w:r>
      <w:r w:rsidR="006035F8" w:rsidRPr="00461C16">
        <w:t xml:space="preserve">ve správním území města Hrádek nad Nisou </w:t>
      </w:r>
      <w:r w:rsidRPr="00461C16">
        <w:t xml:space="preserve">jako </w:t>
      </w:r>
      <w:r w:rsidRPr="00461C16">
        <w:rPr>
          <w:b/>
        </w:rPr>
        <w:t>veřejně prospěšné stavby</w:t>
      </w:r>
      <w:r w:rsidRPr="00461C16">
        <w:t xml:space="preserve"> následující </w:t>
      </w:r>
      <w:r w:rsidR="006035F8" w:rsidRPr="00461C16">
        <w:t>koridory dopravní infrastruktury</w:t>
      </w:r>
      <w:r w:rsidRPr="00461C16">
        <w:t>:</w:t>
      </w:r>
    </w:p>
    <w:p w14:paraId="67778D28" w14:textId="77777777" w:rsidR="00445727" w:rsidRPr="00461C16" w:rsidRDefault="004711C7" w:rsidP="004B62B3">
      <w:pPr>
        <w:pStyle w:val="ListParagraph"/>
        <w:numPr>
          <w:ilvl w:val="0"/>
          <w:numId w:val="22"/>
        </w:numPr>
        <w:autoSpaceDE w:val="0"/>
        <w:autoSpaceDN w:val="0"/>
        <w:adjustRightInd w:val="0"/>
        <w:spacing w:before="60" w:line="240" w:lineRule="auto"/>
        <w:jc w:val="left"/>
        <w:rPr>
          <w:rFonts w:cs="Arial"/>
          <w:lang w:eastAsia="cs-CZ"/>
        </w:rPr>
      </w:pPr>
      <w:r w:rsidRPr="00461C16">
        <w:rPr>
          <w:rFonts w:cs="Arial"/>
          <w:b/>
          <w:lang w:eastAsia="cs-CZ"/>
        </w:rPr>
        <w:t xml:space="preserve">D02 I/35 – </w:t>
      </w:r>
      <w:r w:rsidRPr="00461C16">
        <w:rPr>
          <w:rFonts w:cs="Arial"/>
          <w:lang w:eastAsia="cs-CZ"/>
        </w:rPr>
        <w:t>úsek Bílý Kostel nad Nisou – Hrádek nad Nisou – hranice ČR</w:t>
      </w:r>
    </w:p>
    <w:p w14:paraId="706F2C44" w14:textId="77777777" w:rsidR="00445727" w:rsidRPr="00461C16" w:rsidRDefault="004711C7" w:rsidP="004B62B3">
      <w:pPr>
        <w:pStyle w:val="ListParagraph"/>
        <w:numPr>
          <w:ilvl w:val="0"/>
          <w:numId w:val="22"/>
        </w:numPr>
        <w:autoSpaceDE w:val="0"/>
        <w:autoSpaceDN w:val="0"/>
        <w:adjustRightInd w:val="0"/>
        <w:spacing w:before="60" w:line="240" w:lineRule="auto"/>
        <w:jc w:val="left"/>
        <w:rPr>
          <w:rFonts w:cs="Arial"/>
          <w:lang w:eastAsia="cs-CZ"/>
        </w:rPr>
      </w:pPr>
      <w:r w:rsidRPr="00461C16">
        <w:rPr>
          <w:rFonts w:cs="Arial"/>
          <w:b/>
          <w:lang w:eastAsia="cs-CZ"/>
        </w:rPr>
        <w:t xml:space="preserve">D28 </w:t>
      </w:r>
      <w:r w:rsidRPr="00461C16">
        <w:rPr>
          <w:rFonts w:cs="Arial"/>
          <w:lang w:eastAsia="cs-CZ"/>
        </w:rPr>
        <w:t xml:space="preserve">– železniční koridor – úsek Liberec – Chrastava – Bílý Kostel nad Nisou – Hrádek nad Nisou, optimalizace, elektrifikace </w:t>
      </w:r>
    </w:p>
    <w:p w14:paraId="74022CC1" w14:textId="77777777" w:rsidR="004711C7" w:rsidRPr="00461C16" w:rsidRDefault="004711C7" w:rsidP="004B62B3">
      <w:pPr>
        <w:pStyle w:val="ListParagraph"/>
        <w:numPr>
          <w:ilvl w:val="0"/>
          <w:numId w:val="22"/>
        </w:numPr>
        <w:autoSpaceDE w:val="0"/>
        <w:autoSpaceDN w:val="0"/>
        <w:adjustRightInd w:val="0"/>
        <w:spacing w:before="60" w:line="240" w:lineRule="auto"/>
        <w:jc w:val="left"/>
        <w:rPr>
          <w:rFonts w:cs="Arial"/>
          <w:lang w:eastAsia="cs-CZ"/>
        </w:rPr>
      </w:pPr>
      <w:r w:rsidRPr="00461C16">
        <w:rPr>
          <w:rFonts w:cs="Arial"/>
          <w:b/>
          <w:lang w:eastAsia="cs-CZ"/>
        </w:rPr>
        <w:t xml:space="preserve">D43 </w:t>
      </w:r>
      <w:r w:rsidRPr="00461C16">
        <w:rPr>
          <w:rFonts w:cs="Arial"/>
          <w:lang w:eastAsia="cs-CZ"/>
        </w:rPr>
        <w:t xml:space="preserve">– přeshraniční spojení </w:t>
      </w:r>
    </w:p>
    <w:p w14:paraId="127BD24A" w14:textId="77777777" w:rsidR="00445727" w:rsidRPr="00461C16" w:rsidRDefault="00445727" w:rsidP="00445727">
      <w:pPr>
        <w:autoSpaceDE w:val="0"/>
        <w:autoSpaceDN w:val="0"/>
        <w:adjustRightInd w:val="0"/>
        <w:spacing w:before="120" w:line="240" w:lineRule="auto"/>
        <w:jc w:val="left"/>
        <w:rPr>
          <w:rFonts w:cs="Arial"/>
          <w:lang w:eastAsia="cs-CZ"/>
        </w:rPr>
      </w:pPr>
      <w:r w:rsidRPr="00461C16">
        <w:rPr>
          <w:rFonts w:cs="Arial"/>
          <w:lang w:eastAsia="cs-CZ"/>
        </w:rPr>
        <w:lastRenderedPageBreak/>
        <w:t>Pro vymezené koridory se stanovuj</w:t>
      </w:r>
      <w:r w:rsidR="00603780" w:rsidRPr="00461C16">
        <w:rPr>
          <w:rFonts w:cs="Arial"/>
          <w:lang w:eastAsia="cs-CZ"/>
        </w:rPr>
        <w:t>e</w:t>
      </w:r>
      <w:r w:rsidRPr="00461C16">
        <w:rPr>
          <w:rFonts w:cs="Arial"/>
          <w:lang w:eastAsia="cs-CZ"/>
        </w:rPr>
        <w:t xml:space="preserve"> následující ú</w:t>
      </w:r>
      <w:r w:rsidR="00603780" w:rsidRPr="00461C16">
        <w:rPr>
          <w:rFonts w:cs="Arial"/>
          <w:lang w:eastAsia="cs-CZ"/>
        </w:rPr>
        <w:t>kol</w:t>
      </w:r>
      <w:r w:rsidRPr="00461C16">
        <w:rPr>
          <w:rFonts w:cs="Arial"/>
          <w:lang w:eastAsia="cs-CZ"/>
        </w:rPr>
        <w:t xml:space="preserve"> pro územní plánování:</w:t>
      </w:r>
    </w:p>
    <w:p w14:paraId="333F2332" w14:textId="77777777" w:rsidR="00E65227" w:rsidRPr="00461C16" w:rsidRDefault="00E65227" w:rsidP="00903F77">
      <w:pPr>
        <w:pStyle w:val="ListParagraph"/>
        <w:numPr>
          <w:ilvl w:val="0"/>
          <w:numId w:val="50"/>
        </w:numPr>
        <w:autoSpaceDE w:val="0"/>
        <w:autoSpaceDN w:val="0"/>
        <w:adjustRightInd w:val="0"/>
        <w:spacing w:before="120" w:line="240" w:lineRule="auto"/>
        <w:ind w:left="567" w:hanging="567"/>
        <w:jc w:val="left"/>
        <w:rPr>
          <w:rFonts w:cs="Arial"/>
          <w:lang w:eastAsia="cs-CZ"/>
        </w:rPr>
      </w:pPr>
      <w:r w:rsidRPr="00461C16">
        <w:rPr>
          <w:rFonts w:cs="Arial"/>
          <w:lang w:eastAsia="cs-CZ"/>
        </w:rPr>
        <w:t>V ÚPD dotčených obcí stabilizovat, zpřesňovat a koordinovat vymezené VPS.</w:t>
      </w:r>
    </w:p>
    <w:p w14:paraId="1836057D" w14:textId="77777777" w:rsidR="006035F8" w:rsidRPr="00461C16" w:rsidRDefault="008A2736" w:rsidP="006035F8">
      <w:pPr>
        <w:pStyle w:val="1text"/>
        <w:rPr>
          <w:i/>
          <w:szCs w:val="18"/>
        </w:rPr>
      </w:pPr>
      <w:r w:rsidRPr="00461C16">
        <w:rPr>
          <w:i/>
          <w:szCs w:val="18"/>
        </w:rPr>
        <w:t>Přeložka silnice I/35 byla realizována.</w:t>
      </w:r>
    </w:p>
    <w:p w14:paraId="6B7D5B75" w14:textId="77777777" w:rsidR="008A2736" w:rsidRPr="00461C16" w:rsidRDefault="008A2736" w:rsidP="006035F8">
      <w:pPr>
        <w:pStyle w:val="1text"/>
        <w:rPr>
          <w:i/>
        </w:rPr>
      </w:pPr>
      <w:r w:rsidRPr="00461C16">
        <w:rPr>
          <w:i/>
        </w:rPr>
        <w:t xml:space="preserve">ÚP v souladu se ZÚR Libereckého kraje zpřesňuje v rámci správního území města Hrádek nad Nisou koridor </w:t>
      </w:r>
      <w:r w:rsidR="00680440" w:rsidRPr="00461C16">
        <w:rPr>
          <w:i/>
        </w:rPr>
        <w:t>dráž</w:t>
      </w:r>
      <w:r w:rsidRPr="00461C16">
        <w:rPr>
          <w:i/>
        </w:rPr>
        <w:t>ní dopravy (DZ.k) X01 pro optimalizaci a elektrizaci železniční trati č. 089. Koridor je v ÚP sledován jako VPS.</w:t>
      </w:r>
    </w:p>
    <w:p w14:paraId="432A898B" w14:textId="77777777" w:rsidR="004E1C7A" w:rsidRPr="00461C16" w:rsidRDefault="008306DA" w:rsidP="008306DA">
      <w:pPr>
        <w:pStyle w:val="Heading2"/>
      </w:pPr>
      <w:bookmarkStart w:id="34" w:name="_Toc384727992"/>
      <w:bookmarkStart w:id="35" w:name="_Toc424191814"/>
      <w:bookmarkStart w:id="36" w:name="_Toc36116250"/>
      <w:r w:rsidRPr="00461C16">
        <w:t>1</w:t>
      </w:r>
      <w:r w:rsidR="00236826" w:rsidRPr="00461C16">
        <w:t>.</w:t>
      </w:r>
      <w:r w:rsidRPr="00461C16">
        <w:t>3</w:t>
      </w:r>
      <w:r w:rsidR="00236826" w:rsidRPr="00461C16">
        <w:tab/>
      </w:r>
      <w:r w:rsidR="004E1C7A" w:rsidRPr="00461C16">
        <w:t>Vyhodnocení souladu s cíli a úkoly územního plánování (dle § 18 a § 19 stavebního zákona), zejména s požadavky na ochranu architektonických a urbanistických hodnot v území a požadavky na ochranu nezastavěného území</w:t>
      </w:r>
      <w:bookmarkEnd w:id="34"/>
      <w:bookmarkEnd w:id="35"/>
      <w:bookmarkEnd w:id="36"/>
    </w:p>
    <w:p w14:paraId="51EB8504" w14:textId="77777777" w:rsidR="004E1C7A" w:rsidRPr="00461C16" w:rsidRDefault="008306DA" w:rsidP="008306DA">
      <w:pPr>
        <w:pStyle w:val="Heading3"/>
      </w:pPr>
      <w:bookmarkStart w:id="37" w:name="_Toc384727993"/>
      <w:bookmarkStart w:id="38" w:name="_Toc36116251"/>
      <w:r w:rsidRPr="00461C16">
        <w:t>1</w:t>
      </w:r>
      <w:r w:rsidR="004E1C7A" w:rsidRPr="00461C16">
        <w:t>.</w:t>
      </w:r>
      <w:r w:rsidRPr="00461C16">
        <w:t>3.</w:t>
      </w:r>
      <w:r w:rsidR="004E1C7A" w:rsidRPr="00461C16">
        <w:t>1</w:t>
      </w:r>
      <w:r w:rsidR="004E1C7A" w:rsidRPr="00461C16">
        <w:tab/>
        <w:t>Vyhodnocení souladu s cíli územního plánování stanovenými v § 18 stavebního zákona</w:t>
      </w:r>
      <w:bookmarkEnd w:id="37"/>
      <w:bookmarkEnd w:id="38"/>
    </w:p>
    <w:p w14:paraId="535ADD64" w14:textId="77777777" w:rsidR="004E1C7A" w:rsidRPr="00461C16" w:rsidRDefault="004E1C7A" w:rsidP="007F050A">
      <w:pPr>
        <w:spacing w:before="120" w:after="120" w:line="240" w:lineRule="auto"/>
        <w:rPr>
          <w:rFonts w:cs="Arial"/>
        </w:rPr>
      </w:pPr>
      <w:r w:rsidRPr="00461C16">
        <w:rPr>
          <w:rFonts w:cs="Arial"/>
        </w:rPr>
        <w:t xml:space="preserve">Ze stavebního zákona vyplývají následující cíle územní plánování. Vyhodnocení souladu </w:t>
      </w:r>
      <w:r w:rsidR="00E614A7" w:rsidRPr="00461C16">
        <w:rPr>
          <w:rFonts w:cs="Arial"/>
        </w:rPr>
        <w:t xml:space="preserve">Územního plánu </w:t>
      </w:r>
      <w:r w:rsidR="006035F8" w:rsidRPr="00461C16">
        <w:rPr>
          <w:rFonts w:cs="Arial"/>
        </w:rPr>
        <w:t>Hrádek nad Nisou</w:t>
      </w:r>
      <w:r w:rsidR="00E614A7" w:rsidRPr="00461C16">
        <w:rPr>
          <w:rFonts w:cs="Arial"/>
        </w:rPr>
        <w:t xml:space="preserve"> </w:t>
      </w:r>
      <w:r w:rsidR="00B55125" w:rsidRPr="00461C16">
        <w:rPr>
          <w:rFonts w:cs="Arial"/>
        </w:rPr>
        <w:t xml:space="preserve">s cíli ÚP </w:t>
      </w:r>
      <w:r w:rsidRPr="00461C16">
        <w:rPr>
          <w:rFonts w:cs="Arial"/>
        </w:rPr>
        <w:t>je uveden</w:t>
      </w:r>
      <w:r w:rsidR="00B55125" w:rsidRPr="00461C16">
        <w:rPr>
          <w:rFonts w:cs="Arial"/>
        </w:rPr>
        <w:t xml:space="preserve">o </w:t>
      </w:r>
      <w:r w:rsidR="006035F8" w:rsidRPr="00461C16">
        <w:rPr>
          <w:rFonts w:cs="Arial"/>
          <w:i/>
        </w:rPr>
        <w:t>kurzivou</w:t>
      </w:r>
      <w:r w:rsidR="00B55125" w:rsidRPr="00461C16">
        <w:rPr>
          <w:rFonts w:cs="Arial"/>
        </w:rPr>
        <w:t>.</w:t>
      </w:r>
      <w:r w:rsidR="00B345B4" w:rsidRPr="00461C16">
        <w:rPr>
          <w:rFonts w:cs="Arial"/>
        </w:rPr>
        <w:t xml:space="preserve"> </w:t>
      </w:r>
    </w:p>
    <w:p w14:paraId="5FEC3798" w14:textId="77777777" w:rsidR="004E1C7A" w:rsidRPr="00461C16" w:rsidRDefault="004E1C7A" w:rsidP="007F050A">
      <w:pPr>
        <w:spacing w:before="180" w:line="240" w:lineRule="auto"/>
        <w:ind w:left="425" w:hanging="425"/>
        <w:rPr>
          <w:rFonts w:cs="Arial"/>
          <w:lang w:eastAsia="en-US"/>
        </w:rPr>
      </w:pPr>
      <w:r w:rsidRPr="00461C16">
        <w:rPr>
          <w:rFonts w:cs="Arial"/>
          <w:lang w:eastAsia="en-US"/>
        </w:rPr>
        <w:t>(1)</w:t>
      </w:r>
      <w:r w:rsidRPr="00461C16">
        <w:rPr>
          <w:rFonts w:cs="Arial"/>
          <w:lang w:eastAsia="en-US"/>
        </w:rPr>
        <w:tab/>
        <w:t>Cílem územního plánování je vytvářet předpoklady pro výstavbu a pro udržitelný rozvoj území, spočívající ve vyváženém vztahu podmínek pro příznivé životní prostředí, pro hospodářský rozvoj a pro soudržnost společenství obyvatel území a který uspokojuje potřeby současné generace, aniž by ohrožoval podmínky života generací budoucích.</w:t>
      </w:r>
    </w:p>
    <w:p w14:paraId="041D9C23" w14:textId="77777777" w:rsidR="008F47A3" w:rsidRPr="00461C16" w:rsidRDefault="00305802" w:rsidP="008F47A3">
      <w:pPr>
        <w:pStyle w:val="1text"/>
        <w:rPr>
          <w:rFonts w:cs="Arial"/>
          <w:lang w:eastAsia="en-US"/>
        </w:rPr>
      </w:pPr>
      <w:r w:rsidRPr="00461C16">
        <w:rPr>
          <w:i/>
        </w:rPr>
        <w:t>P</w:t>
      </w:r>
      <w:r w:rsidR="008F47A3" w:rsidRPr="00461C16">
        <w:rPr>
          <w:i/>
        </w:rPr>
        <w:t xml:space="preserve">ředpoklady pro výstavbu a udržitelný rozvoj území </w:t>
      </w:r>
      <w:r w:rsidRPr="00461C16">
        <w:rPr>
          <w:i/>
        </w:rPr>
        <w:t xml:space="preserve">jsou zajištěny zejména přednostním využíváním prostorových rezerv v zastavěném území, v druhé řadě rovněž proporcionálním návrhem zastavitelných ploch v souladu s potřebami dalšího rozvoje jednotlivých částí města a s ohledem </w:t>
      </w:r>
      <w:r w:rsidR="003153E6" w:rsidRPr="00461C16">
        <w:rPr>
          <w:i/>
        </w:rPr>
        <w:t>na</w:t>
      </w:r>
      <w:r w:rsidRPr="00461C16">
        <w:rPr>
          <w:i/>
        </w:rPr>
        <w:t xml:space="preserve"> dostupnost veřejné infrastruktury. </w:t>
      </w:r>
    </w:p>
    <w:p w14:paraId="7EFB9CFD" w14:textId="77777777" w:rsidR="004E1C7A" w:rsidRPr="00461C16" w:rsidRDefault="004E1C7A" w:rsidP="007F050A">
      <w:pPr>
        <w:spacing w:before="180" w:line="240" w:lineRule="auto"/>
        <w:ind w:left="425" w:hanging="425"/>
        <w:rPr>
          <w:rFonts w:cs="Arial"/>
          <w:lang w:eastAsia="en-US"/>
        </w:rPr>
      </w:pPr>
      <w:r w:rsidRPr="00461C16">
        <w:rPr>
          <w:rFonts w:cs="Arial"/>
          <w:lang w:eastAsia="en-US"/>
        </w:rPr>
        <w:t xml:space="preserve">(2) </w:t>
      </w:r>
      <w:r w:rsidR="00B55125" w:rsidRPr="00461C16">
        <w:rPr>
          <w:rFonts w:cs="Arial"/>
          <w:lang w:eastAsia="en-US"/>
        </w:rPr>
        <w:tab/>
      </w:r>
      <w:r w:rsidRPr="00461C16">
        <w:rPr>
          <w:rFonts w:cs="Arial"/>
          <w:lang w:eastAsia="en-US"/>
        </w:rPr>
        <w:t>Územní plánování zajišťuje předpoklady pro udržitelný rozvoj území soustavným a komplexním řešením účelného využití a prostorového uspořádání území s cílem dosažení obecně prospěšného souladu veřejných a soukromých zájmů na rozvoji území. Za tím účelem sleduje společenský a hospodářský potenciál rozvoje.</w:t>
      </w:r>
    </w:p>
    <w:p w14:paraId="15C2918B" w14:textId="77777777" w:rsidR="008F47A3" w:rsidRPr="00461C16" w:rsidRDefault="006263C8" w:rsidP="008F47A3">
      <w:pPr>
        <w:pStyle w:val="1text"/>
        <w:rPr>
          <w:rFonts w:cs="Arial"/>
          <w:lang w:eastAsia="en-US"/>
        </w:rPr>
      </w:pPr>
      <w:r w:rsidRPr="00461C16">
        <w:rPr>
          <w:i/>
        </w:rPr>
        <w:t>Koncepce ÚP řeší území celého města komplexně, se zohledněním současného využití území a požadavků na jeho další rozvoj, vyplývající z veřejných i soukromých zájmů. Zajištění trvale udržitelného rozvoje území je cílem koncepce ÚP.</w:t>
      </w:r>
    </w:p>
    <w:p w14:paraId="6456503E" w14:textId="77777777" w:rsidR="004E1C7A" w:rsidRPr="00461C16" w:rsidRDefault="004E1C7A" w:rsidP="007F050A">
      <w:pPr>
        <w:spacing w:before="180" w:line="240" w:lineRule="auto"/>
        <w:ind w:left="425" w:hanging="425"/>
        <w:rPr>
          <w:rFonts w:cs="Arial"/>
          <w:lang w:eastAsia="en-US"/>
        </w:rPr>
      </w:pPr>
      <w:r w:rsidRPr="00461C16">
        <w:rPr>
          <w:rFonts w:cs="Arial"/>
          <w:lang w:eastAsia="en-US"/>
        </w:rPr>
        <w:t xml:space="preserve">(3) </w:t>
      </w:r>
      <w:r w:rsidR="00B55125" w:rsidRPr="00461C16">
        <w:rPr>
          <w:rFonts w:cs="Arial"/>
          <w:lang w:eastAsia="en-US"/>
        </w:rPr>
        <w:tab/>
      </w:r>
      <w:r w:rsidRPr="00461C16">
        <w:rPr>
          <w:rFonts w:cs="Arial"/>
          <w:lang w:eastAsia="en-US"/>
        </w:rPr>
        <w:t>Orgány územního plánování postupem podle tohoto zákona koordinují veřejné i soukromé záměry změn v území, výstavbu a jiné činnosti ovlivňující rozvoj území a konkretizují ochranu veřejných zájmů vyplývajících ze zvláštních právních předpisů.</w:t>
      </w:r>
    </w:p>
    <w:p w14:paraId="5E51570D" w14:textId="77777777" w:rsidR="008F47A3" w:rsidRPr="00461C16" w:rsidRDefault="00305802" w:rsidP="008F47A3">
      <w:pPr>
        <w:spacing w:before="120" w:after="120"/>
        <w:rPr>
          <w:i/>
        </w:rPr>
      </w:pPr>
      <w:r w:rsidRPr="00461C16">
        <w:rPr>
          <w:i/>
        </w:rPr>
        <w:t>V </w:t>
      </w:r>
      <w:r w:rsidR="006263C8" w:rsidRPr="00461C16">
        <w:rPr>
          <w:i/>
        </w:rPr>
        <w:t>ÚP</w:t>
      </w:r>
      <w:r w:rsidR="008F47A3" w:rsidRPr="00461C16">
        <w:rPr>
          <w:i/>
        </w:rPr>
        <w:t xml:space="preserve"> jsou respektovány a zohledněny veřejné i soukromé záměry v území i ochrana veřejných zájmů dle zvláštních předpisů. </w:t>
      </w:r>
    </w:p>
    <w:p w14:paraId="71858994" w14:textId="77777777" w:rsidR="004E1C7A" w:rsidRPr="00461C16" w:rsidRDefault="004E1C7A" w:rsidP="007F050A">
      <w:pPr>
        <w:spacing w:before="180" w:line="240" w:lineRule="auto"/>
        <w:ind w:left="425" w:hanging="425"/>
        <w:rPr>
          <w:rFonts w:cs="Arial"/>
          <w:lang w:eastAsia="en-US"/>
        </w:rPr>
      </w:pPr>
      <w:r w:rsidRPr="00461C16">
        <w:rPr>
          <w:rFonts w:cs="Arial"/>
          <w:lang w:eastAsia="en-US"/>
        </w:rPr>
        <w:t xml:space="preserve">(4) </w:t>
      </w:r>
      <w:r w:rsidR="00B55125" w:rsidRPr="00461C16">
        <w:rPr>
          <w:rFonts w:cs="Arial"/>
          <w:lang w:eastAsia="en-US"/>
        </w:rPr>
        <w:tab/>
      </w:r>
      <w:r w:rsidRPr="00461C16">
        <w:rPr>
          <w:rFonts w:cs="Arial"/>
          <w:lang w:eastAsia="en-US"/>
        </w:rPr>
        <w:t>Územní plánování ve veřejném zájmu chrání a rozvíjí přírodní, kulturní a civilizační hodnoty území, včetně urbanistického, architektonického a archeologického dědictví. Přitom chrání krajinu jako podstatnou složku prostředí života obyvatel a základ jejich totožnosti. S ohledem na to určuje podmínky pro hospodárné využívání zastavěného území a zajišťuje ochranu nezastavěného území a nezastavitelných pozemků. Zastavitelné plochy se vymezují s ohledem na potenciál rozvoje území a míru využití zastavěného území.</w:t>
      </w:r>
    </w:p>
    <w:p w14:paraId="2AFBD646" w14:textId="77777777" w:rsidR="008F47A3" w:rsidRPr="00461C16" w:rsidRDefault="00305802" w:rsidP="008F47A3">
      <w:pPr>
        <w:spacing w:before="120" w:after="120"/>
        <w:rPr>
          <w:i/>
        </w:rPr>
      </w:pPr>
      <w:r w:rsidRPr="00461C16">
        <w:rPr>
          <w:i/>
        </w:rPr>
        <w:t xml:space="preserve">Přírodní, kulturní a civilizační hodnoty území jsou respektovány </w:t>
      </w:r>
      <w:r w:rsidR="006263C8" w:rsidRPr="00461C16">
        <w:rPr>
          <w:i/>
        </w:rPr>
        <w:t xml:space="preserve">již </w:t>
      </w:r>
      <w:r w:rsidRPr="00461C16">
        <w:rPr>
          <w:i/>
        </w:rPr>
        <w:t>samotn</w:t>
      </w:r>
      <w:r w:rsidR="006263C8" w:rsidRPr="00461C16">
        <w:rPr>
          <w:i/>
        </w:rPr>
        <w:t>ým charakterem navržených změn a jejich lokalizací, přednostně uvnitř zastavěného území, případně na jeho hranici.</w:t>
      </w:r>
      <w:r w:rsidRPr="00461C16">
        <w:rPr>
          <w:i/>
        </w:rPr>
        <w:t xml:space="preserve"> </w:t>
      </w:r>
      <w:r w:rsidR="006263C8" w:rsidRPr="00461C16">
        <w:rPr>
          <w:i/>
        </w:rPr>
        <w:t>Z</w:t>
      </w:r>
      <w:r w:rsidRPr="00461C16">
        <w:rPr>
          <w:i/>
        </w:rPr>
        <w:t xml:space="preserve">ároveň jsou </w:t>
      </w:r>
      <w:r w:rsidR="006263C8" w:rsidRPr="00461C16">
        <w:rPr>
          <w:i/>
        </w:rPr>
        <w:t xml:space="preserve">tyto hodnoty </w:t>
      </w:r>
      <w:r w:rsidRPr="00461C16">
        <w:rPr>
          <w:i/>
        </w:rPr>
        <w:t>v maximální možné míře chráněny formou stanovených podmínek</w:t>
      </w:r>
      <w:r w:rsidR="006263C8" w:rsidRPr="00461C16">
        <w:rPr>
          <w:i/>
        </w:rPr>
        <w:t xml:space="preserve"> v rámci koncepce ochrany a rozvoje hodnot.</w:t>
      </w:r>
      <w:r w:rsidR="00B345B4" w:rsidRPr="00461C16">
        <w:rPr>
          <w:i/>
        </w:rPr>
        <w:t xml:space="preserve"> </w:t>
      </w:r>
    </w:p>
    <w:p w14:paraId="1A57F74D" w14:textId="77777777" w:rsidR="004E1C7A" w:rsidRPr="00461C16" w:rsidRDefault="004E1C7A" w:rsidP="007F050A">
      <w:pPr>
        <w:spacing w:before="180" w:line="240" w:lineRule="auto"/>
        <w:ind w:left="425" w:hanging="425"/>
        <w:rPr>
          <w:rFonts w:cs="Arial"/>
          <w:lang w:eastAsia="en-US"/>
        </w:rPr>
      </w:pPr>
      <w:r w:rsidRPr="00461C16">
        <w:rPr>
          <w:rFonts w:cs="Arial"/>
          <w:lang w:eastAsia="en-US"/>
        </w:rPr>
        <w:t xml:space="preserve">(5) </w:t>
      </w:r>
      <w:r w:rsidR="00B55125" w:rsidRPr="00461C16">
        <w:rPr>
          <w:rFonts w:cs="Arial"/>
          <w:lang w:eastAsia="en-US"/>
        </w:rPr>
        <w:tab/>
      </w:r>
      <w:r w:rsidRPr="00461C16">
        <w:rPr>
          <w:rFonts w:cs="Arial"/>
          <w:lang w:eastAsia="en-US"/>
        </w:rPr>
        <w:t xml:space="preserve">V nezastavěném území lze v souladu s jeho charakterem umisťovat stavby, zařízení, a jiná opatření pouze pro zemědělství, lesnictví, vodní hospodářství, těžbu nerostů, pro ochranu přírody a krajiny, pro veřejnou dopravní a technickou infrastrukturu, pro snižování nebezpečí ekologických a přírodních katastrof a pro </w:t>
      </w:r>
      <w:r w:rsidRPr="00461C16">
        <w:rPr>
          <w:rFonts w:cs="Arial"/>
          <w:lang w:eastAsia="en-US"/>
        </w:rPr>
        <w:lastRenderedPageBreak/>
        <w:t xml:space="preserve">odstraňování jejich důsledků, a dále taková technická opatření a stavby, které zlepší podmínky jeho využití pro účely rekreace a cestovního ruchu, například cyklistické stezky, hygienická zařízení, ekologická a informační centra. Uvedené stavby, zařízení a jiná opatření včetně staveb, které s nimi bezprostředně souvisejí včetně oplocení, lze v nezastavěném území umisťovat v případech, pokud je územně plánovací dokumentace výslovně nevylučuje. </w:t>
      </w:r>
    </w:p>
    <w:p w14:paraId="3BB6FD78" w14:textId="77777777" w:rsidR="006709FF" w:rsidRPr="00461C16" w:rsidRDefault="006263C8" w:rsidP="003272B9">
      <w:pPr>
        <w:spacing w:before="120" w:after="120"/>
        <w:rPr>
          <w:i/>
        </w:rPr>
      </w:pPr>
      <w:r w:rsidRPr="00461C16">
        <w:rPr>
          <w:i/>
        </w:rPr>
        <w:t>U</w:t>
      </w:r>
      <w:r w:rsidR="003272B9" w:rsidRPr="00461C16">
        <w:rPr>
          <w:i/>
        </w:rPr>
        <w:t xml:space="preserve">misťování staveb v nezastavěném území </w:t>
      </w:r>
      <w:r w:rsidR="007B7825" w:rsidRPr="00461C16">
        <w:rPr>
          <w:i/>
        </w:rPr>
        <w:t xml:space="preserve">dle </w:t>
      </w:r>
      <w:r w:rsidRPr="00461C16">
        <w:rPr>
          <w:i/>
        </w:rPr>
        <w:t>§</w:t>
      </w:r>
      <w:r w:rsidR="007B7825" w:rsidRPr="00461C16">
        <w:rPr>
          <w:i/>
        </w:rPr>
        <w:t xml:space="preserve"> </w:t>
      </w:r>
      <w:r w:rsidRPr="00461C16">
        <w:rPr>
          <w:i/>
        </w:rPr>
        <w:t>18, odst. 5 zákona č. 183/2006 Sb., v platném znění</w:t>
      </w:r>
      <w:r w:rsidR="007B7825" w:rsidRPr="00461C16">
        <w:rPr>
          <w:i/>
        </w:rPr>
        <w:t xml:space="preserve"> je v ÚP upraveno u příslušných ploch v kap. F. Jsou zde uvedeny stavby, které jsou v dané ploše z celkového výčtu přípustné</w:t>
      </w:r>
      <w:r w:rsidR="00086D96" w:rsidRPr="00461C16">
        <w:rPr>
          <w:i/>
        </w:rPr>
        <w:t xml:space="preserve">. </w:t>
      </w:r>
      <w:r w:rsidR="007B7825" w:rsidRPr="00461C16">
        <w:rPr>
          <w:i/>
        </w:rPr>
        <w:t xml:space="preserve">V </w:t>
      </w:r>
      <w:r w:rsidRPr="00461C16">
        <w:rPr>
          <w:i/>
        </w:rPr>
        <w:t xml:space="preserve">ÚP </w:t>
      </w:r>
      <w:r w:rsidR="007B7825" w:rsidRPr="00461C16">
        <w:rPr>
          <w:i/>
        </w:rPr>
        <w:t xml:space="preserve">se </w:t>
      </w:r>
      <w:r w:rsidRPr="00461C16">
        <w:rPr>
          <w:i/>
        </w:rPr>
        <w:t>nevymezuje území</w:t>
      </w:r>
      <w:r w:rsidR="007B7825" w:rsidRPr="00461C16">
        <w:rPr>
          <w:i/>
        </w:rPr>
        <w:t xml:space="preserve"> s úplným </w:t>
      </w:r>
      <w:r w:rsidRPr="00461C16">
        <w:rPr>
          <w:i/>
        </w:rPr>
        <w:t>vyloučen</w:t>
      </w:r>
      <w:r w:rsidR="007B7825" w:rsidRPr="00461C16">
        <w:rPr>
          <w:i/>
        </w:rPr>
        <w:t xml:space="preserve">ím </w:t>
      </w:r>
      <w:r w:rsidRPr="00461C16">
        <w:rPr>
          <w:i/>
        </w:rPr>
        <w:t>umisťování staveb dle §18, odst. 5 zákona.</w:t>
      </w:r>
      <w:r w:rsidR="003C5E98" w:rsidRPr="00461C16">
        <w:rPr>
          <w:i/>
        </w:rPr>
        <w:t xml:space="preserve"> </w:t>
      </w:r>
    </w:p>
    <w:p w14:paraId="7626BCC8" w14:textId="77777777" w:rsidR="004E1C7A" w:rsidRPr="00461C16" w:rsidRDefault="004E1C7A" w:rsidP="003272B9">
      <w:pPr>
        <w:spacing w:before="180" w:line="240" w:lineRule="auto"/>
        <w:ind w:left="425" w:hanging="425"/>
        <w:rPr>
          <w:rFonts w:cs="Arial"/>
          <w:lang w:eastAsia="en-US"/>
        </w:rPr>
      </w:pPr>
      <w:r w:rsidRPr="00461C16">
        <w:rPr>
          <w:rFonts w:cs="Arial"/>
          <w:lang w:eastAsia="en-US"/>
        </w:rPr>
        <w:t xml:space="preserve">(6) </w:t>
      </w:r>
      <w:r w:rsidR="00B55125" w:rsidRPr="00461C16">
        <w:rPr>
          <w:rFonts w:cs="Arial"/>
          <w:lang w:eastAsia="en-US"/>
        </w:rPr>
        <w:tab/>
      </w:r>
      <w:r w:rsidRPr="00461C16">
        <w:rPr>
          <w:rFonts w:cs="Arial"/>
          <w:lang w:eastAsia="en-US"/>
        </w:rPr>
        <w:t>Na nezastavitelných pozemcích lze výjimečně umístit technickou infrastrukturu způsobem, který neznemožní jejich dosavadní užívání.</w:t>
      </w:r>
    </w:p>
    <w:p w14:paraId="47253CD7" w14:textId="77777777" w:rsidR="006263C8" w:rsidRPr="00461C16" w:rsidRDefault="00086D96" w:rsidP="003272B9">
      <w:pPr>
        <w:spacing w:before="120" w:after="120"/>
        <w:rPr>
          <w:i/>
        </w:rPr>
      </w:pPr>
      <w:r w:rsidRPr="00461C16">
        <w:rPr>
          <w:i/>
        </w:rPr>
        <w:t xml:space="preserve">Viz vyhodnocení k předchozímu bodu. </w:t>
      </w:r>
    </w:p>
    <w:p w14:paraId="7A9BEB6E" w14:textId="77777777" w:rsidR="004E1C7A" w:rsidRPr="00461C16" w:rsidRDefault="008306DA" w:rsidP="008306DA">
      <w:pPr>
        <w:pStyle w:val="Heading3"/>
      </w:pPr>
      <w:bookmarkStart w:id="39" w:name="_Toc384727994"/>
      <w:bookmarkStart w:id="40" w:name="_Toc36116252"/>
      <w:r w:rsidRPr="00461C16">
        <w:t>1</w:t>
      </w:r>
      <w:r w:rsidR="004E1C7A" w:rsidRPr="00461C16">
        <w:t>.</w:t>
      </w:r>
      <w:r w:rsidRPr="00461C16">
        <w:t>3.</w:t>
      </w:r>
      <w:r w:rsidR="004E1C7A" w:rsidRPr="00461C16">
        <w:t>2</w:t>
      </w:r>
      <w:r w:rsidR="004E1C7A" w:rsidRPr="00461C16">
        <w:tab/>
        <w:t>Vyhodnocení souladu s úkoly územního plánování stanovenými v § 19 stavebního zákona</w:t>
      </w:r>
      <w:bookmarkEnd w:id="39"/>
      <w:bookmarkEnd w:id="40"/>
    </w:p>
    <w:p w14:paraId="4AA3C74F" w14:textId="77777777" w:rsidR="00B55125" w:rsidRPr="00461C16" w:rsidRDefault="004E1C7A" w:rsidP="007F050A">
      <w:pPr>
        <w:spacing w:before="120" w:after="120" w:line="240" w:lineRule="auto"/>
        <w:rPr>
          <w:rFonts w:cs="Arial"/>
        </w:rPr>
      </w:pPr>
      <w:r w:rsidRPr="00461C16">
        <w:rPr>
          <w:rFonts w:cs="Arial"/>
        </w:rPr>
        <w:t xml:space="preserve">Ze stavebního zákona vyplývají následující úkoly pro územní plánování. </w:t>
      </w:r>
      <w:r w:rsidR="00B55125" w:rsidRPr="00461C16">
        <w:rPr>
          <w:rFonts w:cs="Arial"/>
        </w:rPr>
        <w:t>Vyhodnocení souladu Ú</w:t>
      </w:r>
      <w:r w:rsidR="00C51561" w:rsidRPr="00461C16">
        <w:rPr>
          <w:rFonts w:cs="Arial"/>
        </w:rPr>
        <w:t xml:space="preserve">zemního plánu </w:t>
      </w:r>
      <w:r w:rsidR="006035F8" w:rsidRPr="00461C16">
        <w:rPr>
          <w:rFonts w:cs="Arial"/>
        </w:rPr>
        <w:t>Hrádek nad Nisou</w:t>
      </w:r>
      <w:r w:rsidR="00C51561" w:rsidRPr="00461C16">
        <w:rPr>
          <w:rFonts w:cs="Arial"/>
        </w:rPr>
        <w:t xml:space="preserve"> </w:t>
      </w:r>
      <w:r w:rsidR="00B55125" w:rsidRPr="00461C16">
        <w:rPr>
          <w:rFonts w:cs="Arial"/>
        </w:rPr>
        <w:t>s </w:t>
      </w:r>
      <w:r w:rsidR="006035F8" w:rsidRPr="00461C16">
        <w:rPr>
          <w:rFonts w:cs="Arial"/>
        </w:rPr>
        <w:t>úkoly</w:t>
      </w:r>
      <w:r w:rsidR="00B55125" w:rsidRPr="00461C16">
        <w:rPr>
          <w:rFonts w:cs="Arial"/>
        </w:rPr>
        <w:t xml:space="preserve"> ÚP je uvedeno </w:t>
      </w:r>
      <w:r w:rsidR="006035F8" w:rsidRPr="00461C16">
        <w:rPr>
          <w:rFonts w:cs="Arial"/>
          <w:i/>
        </w:rPr>
        <w:t>kurzivou</w:t>
      </w:r>
      <w:r w:rsidR="00B55125" w:rsidRPr="00461C16">
        <w:rPr>
          <w:rFonts w:cs="Arial"/>
        </w:rPr>
        <w:t>.</w:t>
      </w:r>
      <w:r w:rsidR="00B345B4" w:rsidRPr="00461C16">
        <w:rPr>
          <w:rFonts w:cs="Arial"/>
        </w:rPr>
        <w:t xml:space="preserve"> </w:t>
      </w:r>
    </w:p>
    <w:p w14:paraId="0821EE5B" w14:textId="77777777" w:rsidR="004E1C7A" w:rsidRPr="00461C16" w:rsidRDefault="00B55125" w:rsidP="007F050A">
      <w:pPr>
        <w:spacing w:before="180" w:line="240" w:lineRule="auto"/>
        <w:ind w:left="425" w:hanging="425"/>
        <w:rPr>
          <w:rFonts w:cs="Arial"/>
          <w:lang w:eastAsia="en-US"/>
        </w:rPr>
      </w:pPr>
      <w:r w:rsidRPr="00461C16">
        <w:rPr>
          <w:rFonts w:cs="Arial"/>
          <w:lang w:eastAsia="en-US"/>
        </w:rPr>
        <w:t>(1)</w:t>
      </w:r>
      <w:r w:rsidRPr="00461C16">
        <w:rPr>
          <w:rFonts w:cs="Arial"/>
          <w:lang w:eastAsia="en-US"/>
        </w:rPr>
        <w:tab/>
      </w:r>
      <w:r w:rsidR="004E1C7A" w:rsidRPr="00461C16">
        <w:rPr>
          <w:rFonts w:cs="Arial"/>
          <w:lang w:eastAsia="en-US"/>
        </w:rPr>
        <w:t>Úkolem územního plánování je zejména</w:t>
      </w:r>
      <w:r w:rsidRPr="00461C16">
        <w:rPr>
          <w:rFonts w:cs="Arial"/>
          <w:lang w:eastAsia="en-US"/>
        </w:rPr>
        <w:t>:</w:t>
      </w:r>
    </w:p>
    <w:p w14:paraId="18C1C592" w14:textId="77777777" w:rsidR="004E1C7A" w:rsidRPr="00461C16" w:rsidRDefault="004E1C7A" w:rsidP="00860145">
      <w:pPr>
        <w:pStyle w:val="2psmeno"/>
        <w:numPr>
          <w:ilvl w:val="0"/>
          <w:numId w:val="11"/>
        </w:numPr>
        <w:spacing w:before="120"/>
        <w:ind w:left="851" w:hanging="425"/>
      </w:pPr>
      <w:r w:rsidRPr="00461C16">
        <w:t>zjišťovat a posuzovat stav území, jeho přírodní,</w:t>
      </w:r>
      <w:r w:rsidR="00C51561" w:rsidRPr="00461C16">
        <w:t xml:space="preserve"> kulturní a civilizační hodnoty;</w:t>
      </w:r>
    </w:p>
    <w:p w14:paraId="5CC52178" w14:textId="77777777" w:rsidR="003272B9" w:rsidRPr="00461C16" w:rsidRDefault="00C87DD4" w:rsidP="003272B9">
      <w:pPr>
        <w:pStyle w:val="1text"/>
        <w:spacing w:before="60"/>
        <w:ind w:left="425"/>
        <w:rPr>
          <w:i/>
          <w:lang w:eastAsia="en-US"/>
        </w:rPr>
      </w:pPr>
      <w:r w:rsidRPr="00461C16">
        <w:rPr>
          <w:i/>
          <w:lang w:eastAsia="en-US"/>
        </w:rPr>
        <w:t>Koncepce ochrany a rozvoj hodnot území města je stanovena na základě průzkumu</w:t>
      </w:r>
      <w:r w:rsidR="00A7114D" w:rsidRPr="00461C16">
        <w:rPr>
          <w:i/>
          <w:lang w:eastAsia="en-US"/>
        </w:rPr>
        <w:t xml:space="preserve"> současného stavu</w:t>
      </w:r>
      <w:r w:rsidRPr="00461C16">
        <w:rPr>
          <w:i/>
          <w:lang w:eastAsia="en-US"/>
        </w:rPr>
        <w:t xml:space="preserve"> a komplexní analýzy celého území, včetně identifikace jeho přírodních, kulturních a civilizačních hodnot. </w:t>
      </w:r>
    </w:p>
    <w:p w14:paraId="11A1D19D" w14:textId="77777777" w:rsidR="004E1C7A" w:rsidRPr="00461C16" w:rsidRDefault="004E1C7A" w:rsidP="00860145">
      <w:pPr>
        <w:pStyle w:val="2psmeno"/>
        <w:numPr>
          <w:ilvl w:val="0"/>
          <w:numId w:val="11"/>
        </w:numPr>
        <w:spacing w:before="120"/>
        <w:ind w:left="851" w:hanging="425"/>
      </w:pPr>
      <w:r w:rsidRPr="00461C16">
        <w:t>stanovovat koncepci rozvoje území, včetně urbanistické koncepce s ohle</w:t>
      </w:r>
      <w:r w:rsidR="00C51561" w:rsidRPr="00461C16">
        <w:t>dem na hodnoty a podmínky území;</w:t>
      </w:r>
    </w:p>
    <w:p w14:paraId="07F31F6C" w14:textId="5C69E55C" w:rsidR="003272B9" w:rsidRPr="00461C16" w:rsidRDefault="00A7114D" w:rsidP="003272B9">
      <w:pPr>
        <w:pStyle w:val="1text"/>
        <w:spacing w:before="60"/>
        <w:ind w:left="425"/>
        <w:rPr>
          <w:i/>
          <w:lang w:eastAsia="en-US"/>
        </w:rPr>
      </w:pPr>
      <w:r w:rsidRPr="00461C16">
        <w:rPr>
          <w:i/>
          <w:lang w:eastAsia="en-US"/>
        </w:rPr>
        <w:t xml:space="preserve">Koncepce rozvoje území vychází ze současných podmínek území a potřeb jeho dalšího rozvoje, při zachování a respektování všech identifikovaných hodnot území. </w:t>
      </w:r>
    </w:p>
    <w:p w14:paraId="15092C3B" w14:textId="77777777" w:rsidR="004E1C7A" w:rsidRPr="00461C16" w:rsidRDefault="004E1C7A" w:rsidP="00860145">
      <w:pPr>
        <w:pStyle w:val="2psmeno"/>
        <w:numPr>
          <w:ilvl w:val="0"/>
          <w:numId w:val="11"/>
        </w:numPr>
        <w:spacing w:before="120"/>
        <w:ind w:left="851" w:hanging="425"/>
      </w:pPr>
      <w:r w:rsidRPr="00461C16">
        <w:t>prověřovat a posuzovat potřebu změn v území, veřejný zájem na jejich provedení, jejich přínosy, problémy, rizika s ohledem například na veřejné zdraví, životní prostředí, geologickou stavbu území, vliv na veřejnou infrastrukturu</w:t>
      </w:r>
      <w:r w:rsidR="00C51561" w:rsidRPr="00461C16">
        <w:t xml:space="preserve"> a na její hospodárné využívání;</w:t>
      </w:r>
    </w:p>
    <w:p w14:paraId="1BF29D8A" w14:textId="77777777" w:rsidR="003272B9" w:rsidRPr="00461C16" w:rsidRDefault="004A7CB1" w:rsidP="003272B9">
      <w:pPr>
        <w:pStyle w:val="1text"/>
        <w:spacing w:before="60"/>
        <w:ind w:left="425"/>
        <w:rPr>
          <w:i/>
          <w:lang w:eastAsia="en-US"/>
        </w:rPr>
      </w:pPr>
      <w:r w:rsidRPr="00461C16">
        <w:rPr>
          <w:i/>
          <w:lang w:eastAsia="en-US"/>
        </w:rPr>
        <w:t>Koncepce ÚP</w:t>
      </w:r>
      <w:r w:rsidR="003272B9" w:rsidRPr="00461C16">
        <w:rPr>
          <w:i/>
          <w:lang w:eastAsia="en-US"/>
        </w:rPr>
        <w:t xml:space="preserve"> vychází z analýzy potřeb změn v</w:t>
      </w:r>
      <w:r w:rsidRPr="00461C16">
        <w:rPr>
          <w:i/>
          <w:lang w:eastAsia="en-US"/>
        </w:rPr>
        <w:t> </w:t>
      </w:r>
      <w:r w:rsidR="003272B9" w:rsidRPr="00461C16">
        <w:rPr>
          <w:i/>
          <w:lang w:eastAsia="en-US"/>
        </w:rPr>
        <w:t>území</w:t>
      </w:r>
      <w:r w:rsidRPr="00461C16">
        <w:rPr>
          <w:i/>
          <w:lang w:eastAsia="en-US"/>
        </w:rPr>
        <w:t xml:space="preserve"> a posouzení jejich dopadu ve vztahu k veřejným zájmům</w:t>
      </w:r>
      <w:r w:rsidR="003272B9" w:rsidRPr="00461C16">
        <w:rPr>
          <w:i/>
          <w:lang w:eastAsia="en-US"/>
        </w:rPr>
        <w:t xml:space="preserve">. Před vymezením ploch byla </w:t>
      </w:r>
      <w:r w:rsidRPr="00461C16">
        <w:rPr>
          <w:i/>
          <w:lang w:eastAsia="en-US"/>
        </w:rPr>
        <w:t xml:space="preserve">zároveň </w:t>
      </w:r>
      <w:r w:rsidR="003272B9" w:rsidRPr="00461C16">
        <w:rPr>
          <w:i/>
          <w:lang w:eastAsia="en-US"/>
        </w:rPr>
        <w:t xml:space="preserve">zvážena </w:t>
      </w:r>
      <w:r w:rsidRPr="00461C16">
        <w:rPr>
          <w:i/>
          <w:lang w:eastAsia="en-US"/>
        </w:rPr>
        <w:t xml:space="preserve">související </w:t>
      </w:r>
      <w:r w:rsidR="003272B9" w:rsidRPr="00461C16">
        <w:rPr>
          <w:i/>
          <w:lang w:eastAsia="en-US"/>
        </w:rPr>
        <w:t xml:space="preserve">rizika i přínosy. Nebyly zjištěny žádné zásadní negativní vlivy na životní prostředí a problémy v oblasti </w:t>
      </w:r>
      <w:r w:rsidRPr="00461C16">
        <w:rPr>
          <w:i/>
          <w:lang w:eastAsia="en-US"/>
        </w:rPr>
        <w:t xml:space="preserve">veřejné </w:t>
      </w:r>
      <w:r w:rsidR="003272B9" w:rsidRPr="00461C16">
        <w:rPr>
          <w:i/>
          <w:lang w:eastAsia="en-US"/>
        </w:rPr>
        <w:t xml:space="preserve">infrastruktury. </w:t>
      </w:r>
    </w:p>
    <w:p w14:paraId="45928343" w14:textId="77777777" w:rsidR="004E1C7A" w:rsidRPr="00461C16" w:rsidRDefault="004E1C7A" w:rsidP="00860145">
      <w:pPr>
        <w:pStyle w:val="2psmeno"/>
        <w:numPr>
          <w:ilvl w:val="0"/>
          <w:numId w:val="11"/>
        </w:numPr>
        <w:spacing w:before="120"/>
        <w:ind w:left="851" w:hanging="425"/>
      </w:pPr>
      <w:r w:rsidRPr="00461C16">
        <w:t>stanovovat urbanistické, architektonické a estetické požadavky na využívání a prostorové uspořádání území a na jeho změny, zejména na umíst</w:t>
      </w:r>
      <w:r w:rsidR="00C51561" w:rsidRPr="00461C16">
        <w:t>ění, uspořádání a řešení staveb;</w:t>
      </w:r>
    </w:p>
    <w:p w14:paraId="20C269CC" w14:textId="77777777" w:rsidR="003272B9" w:rsidRPr="00461C16" w:rsidRDefault="00FC2060" w:rsidP="003272B9">
      <w:pPr>
        <w:pStyle w:val="1text"/>
        <w:spacing w:before="60"/>
        <w:ind w:left="425"/>
        <w:rPr>
          <w:i/>
        </w:rPr>
      </w:pPr>
      <w:r w:rsidRPr="00461C16">
        <w:rPr>
          <w:i/>
        </w:rPr>
        <w:t>Součástí koncepce ÚP je stanovení požadavků na způsob využívání a prostorové uspořádání území, z urbanistického, architektonického a estetického hlediska. Tyto požadavky jsou definovány v kapitole F Územního plánu - F.1 Vymezení ploch s rozdílným způsobem využití a</w:t>
      </w:r>
      <w:r w:rsidR="00124236" w:rsidRPr="00461C16">
        <w:rPr>
          <w:i/>
        </w:rPr>
        <w:t xml:space="preserve"> </w:t>
      </w:r>
      <w:r w:rsidRPr="00461C16">
        <w:rPr>
          <w:i/>
        </w:rPr>
        <w:t>F.2. Podmínky prostorového uspořádání území.</w:t>
      </w:r>
    </w:p>
    <w:p w14:paraId="5D618363" w14:textId="77777777" w:rsidR="004E1C7A" w:rsidRPr="00461C16" w:rsidRDefault="004E1C7A" w:rsidP="00860145">
      <w:pPr>
        <w:pStyle w:val="2psmeno"/>
        <w:numPr>
          <w:ilvl w:val="0"/>
          <w:numId w:val="11"/>
        </w:numPr>
        <w:spacing w:before="120"/>
        <w:ind w:left="851" w:hanging="425"/>
      </w:pPr>
      <w:r w:rsidRPr="00461C16">
        <w:t>stanovovat podmínky pro provedení změn v území, zejména pak pro umístění a uspořádání staveb s ohledem na stáva</w:t>
      </w:r>
      <w:r w:rsidR="00C51561" w:rsidRPr="00461C16">
        <w:t>jící charakter a hodnoty území;</w:t>
      </w:r>
    </w:p>
    <w:p w14:paraId="00FA435D" w14:textId="77777777" w:rsidR="003272B9" w:rsidRPr="00461C16" w:rsidRDefault="009A5BD5" w:rsidP="003272B9">
      <w:pPr>
        <w:pStyle w:val="1text"/>
        <w:spacing w:before="60"/>
        <w:ind w:left="425"/>
        <w:rPr>
          <w:i/>
        </w:rPr>
      </w:pPr>
      <w:r w:rsidRPr="00461C16">
        <w:rPr>
          <w:i/>
        </w:rPr>
        <w:t xml:space="preserve">Součástí koncepce ÚP je stanovení podmínek </w:t>
      </w:r>
      <w:r w:rsidR="00D262AE" w:rsidRPr="00461C16">
        <w:rPr>
          <w:i/>
        </w:rPr>
        <w:t xml:space="preserve">pro provedení změn </w:t>
      </w:r>
      <w:r w:rsidRPr="00461C16">
        <w:rPr>
          <w:i/>
        </w:rPr>
        <w:t xml:space="preserve">v území, </w:t>
      </w:r>
      <w:r w:rsidR="00D262AE" w:rsidRPr="00461C16">
        <w:rPr>
          <w:i/>
        </w:rPr>
        <w:t>vč</w:t>
      </w:r>
      <w:r w:rsidRPr="00461C16">
        <w:rPr>
          <w:i/>
        </w:rPr>
        <w:t>etně</w:t>
      </w:r>
      <w:r w:rsidR="00D262AE" w:rsidRPr="00461C16">
        <w:rPr>
          <w:i/>
        </w:rPr>
        <w:t xml:space="preserve"> požadavků na řešení dopravní a technické infrastruktury</w:t>
      </w:r>
      <w:r w:rsidRPr="00461C16">
        <w:rPr>
          <w:i/>
        </w:rPr>
        <w:t>, se zachováním stávajícího charakteru území a při současné ochraně všech identifikovaných hodnot.</w:t>
      </w:r>
      <w:r w:rsidR="003272B9" w:rsidRPr="00461C16">
        <w:rPr>
          <w:i/>
        </w:rPr>
        <w:t xml:space="preserve"> </w:t>
      </w:r>
    </w:p>
    <w:p w14:paraId="1BF6E476" w14:textId="77777777" w:rsidR="004E1C7A" w:rsidRPr="00461C16" w:rsidRDefault="004E1C7A" w:rsidP="00860145">
      <w:pPr>
        <w:pStyle w:val="2psmeno"/>
        <w:numPr>
          <w:ilvl w:val="0"/>
          <w:numId w:val="11"/>
        </w:numPr>
        <w:spacing w:before="120"/>
        <w:ind w:left="851" w:hanging="425"/>
      </w:pPr>
      <w:r w:rsidRPr="00461C16">
        <w:t>stanovovat pořadí pro</w:t>
      </w:r>
      <w:r w:rsidR="00C51561" w:rsidRPr="00461C16">
        <w:t>vádění změn v území (etapizaci);</w:t>
      </w:r>
    </w:p>
    <w:p w14:paraId="69A733A5" w14:textId="77777777" w:rsidR="00D262AE" w:rsidRPr="00461C16" w:rsidRDefault="00D262AE" w:rsidP="00D262AE">
      <w:pPr>
        <w:pStyle w:val="1text"/>
        <w:spacing w:before="60"/>
        <w:ind w:left="425"/>
        <w:rPr>
          <w:i/>
        </w:rPr>
      </w:pPr>
      <w:r w:rsidRPr="00461C16">
        <w:rPr>
          <w:i/>
        </w:rPr>
        <w:t>Vzhledem k</w:t>
      </w:r>
      <w:r w:rsidR="009A5BD5" w:rsidRPr="00461C16">
        <w:rPr>
          <w:i/>
        </w:rPr>
        <w:t xml:space="preserve"> charakteru záměrů vymezených v ÚP </w:t>
      </w:r>
      <w:r w:rsidRPr="00461C16">
        <w:rPr>
          <w:i/>
        </w:rPr>
        <w:t>nebyl</w:t>
      </w:r>
      <w:r w:rsidR="009A5BD5" w:rsidRPr="00461C16">
        <w:rPr>
          <w:i/>
        </w:rPr>
        <w:t>o stanovení pořadí</w:t>
      </w:r>
      <w:r w:rsidRPr="00461C16">
        <w:rPr>
          <w:i/>
        </w:rPr>
        <w:t xml:space="preserve"> změn v území vyhodnocen</w:t>
      </w:r>
      <w:r w:rsidR="009A5BD5" w:rsidRPr="00461C16">
        <w:rPr>
          <w:i/>
        </w:rPr>
        <w:t>o</w:t>
      </w:r>
      <w:r w:rsidRPr="00461C16">
        <w:rPr>
          <w:i/>
        </w:rPr>
        <w:t xml:space="preserve"> jako potřebn</w:t>
      </w:r>
      <w:r w:rsidR="009A5BD5" w:rsidRPr="00461C16">
        <w:rPr>
          <w:i/>
        </w:rPr>
        <w:t>é</w:t>
      </w:r>
      <w:r w:rsidRPr="00461C16">
        <w:rPr>
          <w:i/>
        </w:rPr>
        <w:t xml:space="preserve">. </w:t>
      </w:r>
    </w:p>
    <w:p w14:paraId="4E752FCC" w14:textId="77777777" w:rsidR="004E1C7A" w:rsidRPr="00461C16" w:rsidRDefault="004E1C7A" w:rsidP="00860145">
      <w:pPr>
        <w:pStyle w:val="2psmeno"/>
        <w:numPr>
          <w:ilvl w:val="0"/>
          <w:numId w:val="11"/>
        </w:numPr>
        <w:spacing w:before="120"/>
        <w:ind w:left="851" w:hanging="425"/>
      </w:pPr>
      <w:r w:rsidRPr="00461C16">
        <w:t>vytvářet v území podmínky pro snižování nebezpečí ekologických a přírodních katastrof a pro odstraňování jejich důsledků</w:t>
      </w:r>
      <w:r w:rsidR="00C51561" w:rsidRPr="00461C16">
        <w:t>, a to přírodě blízkým způsobem;</w:t>
      </w:r>
    </w:p>
    <w:p w14:paraId="00B78805" w14:textId="77777777" w:rsidR="00D262AE" w:rsidRPr="00461C16" w:rsidRDefault="00124236" w:rsidP="00D262AE">
      <w:pPr>
        <w:pStyle w:val="1text"/>
        <w:spacing w:before="60"/>
        <w:ind w:left="425"/>
        <w:rPr>
          <w:i/>
        </w:rPr>
      </w:pPr>
      <w:r w:rsidRPr="00461C16">
        <w:rPr>
          <w:i/>
        </w:rPr>
        <w:lastRenderedPageBreak/>
        <w:t>Ve správním území města jsou stanovena záplavová území a aktivní zóna záplavového území. Pro ochranu</w:t>
      </w:r>
      <w:r w:rsidR="00785C16" w:rsidRPr="00461C16">
        <w:rPr>
          <w:i/>
        </w:rPr>
        <w:t xml:space="preserve"> území</w:t>
      </w:r>
      <w:r w:rsidRPr="00461C16">
        <w:rPr>
          <w:i/>
        </w:rPr>
        <w:t xml:space="preserve"> j</w:t>
      </w:r>
      <w:r w:rsidR="0052597B">
        <w:rPr>
          <w:i/>
        </w:rPr>
        <w:t>e</w:t>
      </w:r>
      <w:r w:rsidRPr="00461C16">
        <w:rPr>
          <w:i/>
        </w:rPr>
        <w:t xml:space="preserve"> vymezen koridor protipovodňových opatření X02 (Lužická Nisa).</w:t>
      </w:r>
      <w:r w:rsidR="0052597B">
        <w:rPr>
          <w:i/>
        </w:rPr>
        <w:t xml:space="preserve"> </w:t>
      </w:r>
      <w:r w:rsidR="0052597B" w:rsidRPr="005C3EFE">
        <w:rPr>
          <w:i/>
        </w:rPr>
        <w:t xml:space="preserve">Na Oldřichovském potoce </w:t>
      </w:r>
      <w:r w:rsidR="0052597B">
        <w:rPr>
          <w:i/>
        </w:rPr>
        <w:t>byla</w:t>
      </w:r>
      <w:r w:rsidR="0052597B" w:rsidRPr="005C3EFE">
        <w:rPr>
          <w:i/>
        </w:rPr>
        <w:t xml:space="preserve"> v roce 2014 </w:t>
      </w:r>
      <w:r w:rsidR="0052597B">
        <w:rPr>
          <w:i/>
        </w:rPr>
        <w:t>dokončena</w:t>
      </w:r>
      <w:r w:rsidR="0052597B" w:rsidRPr="005C3EFE">
        <w:rPr>
          <w:i/>
        </w:rPr>
        <w:t> realizac</w:t>
      </w:r>
      <w:r w:rsidR="0052597B">
        <w:rPr>
          <w:i/>
        </w:rPr>
        <w:t>e</w:t>
      </w:r>
      <w:r w:rsidR="0052597B" w:rsidRPr="005C3EFE">
        <w:rPr>
          <w:i/>
        </w:rPr>
        <w:t xml:space="preserve"> zvodnělého poldru, který zajišťuje protipovodňovou ochranu sídla Oldřichov na Hranicích</w:t>
      </w:r>
      <w:r w:rsidR="0052597B">
        <w:rPr>
          <w:i/>
        </w:rPr>
        <w:t>, v ÚP je poldr respektován</w:t>
      </w:r>
      <w:r w:rsidR="0052597B" w:rsidRPr="005C3EFE">
        <w:rPr>
          <w:i/>
        </w:rPr>
        <w:t>.</w:t>
      </w:r>
    </w:p>
    <w:p w14:paraId="1BE9D24E" w14:textId="77777777" w:rsidR="004E1C7A" w:rsidRPr="00461C16" w:rsidRDefault="004E1C7A" w:rsidP="00860145">
      <w:pPr>
        <w:pStyle w:val="2psmeno"/>
        <w:numPr>
          <w:ilvl w:val="0"/>
          <w:numId w:val="11"/>
        </w:numPr>
        <w:spacing w:before="120"/>
        <w:ind w:left="851" w:hanging="425"/>
      </w:pPr>
      <w:r w:rsidRPr="00461C16">
        <w:t>vytvářet v území podmínky pro odstraňování důsl</w:t>
      </w:r>
      <w:r w:rsidR="00C51561" w:rsidRPr="00461C16">
        <w:t>edků náhlých hospodářských změn;</w:t>
      </w:r>
    </w:p>
    <w:p w14:paraId="7435AD6F" w14:textId="77777777" w:rsidR="00D262AE" w:rsidRPr="00461C16" w:rsidRDefault="009B1A5A" w:rsidP="00D262AE">
      <w:pPr>
        <w:pStyle w:val="1text"/>
        <w:spacing w:before="60"/>
        <w:ind w:left="425"/>
        <w:rPr>
          <w:i/>
        </w:rPr>
      </w:pPr>
      <w:r w:rsidRPr="00461C16">
        <w:rPr>
          <w:i/>
        </w:rPr>
        <w:t>Vymezením smíšených ploch na území města je dosaženo maximální flexibility ve využívání území, které může bezprostředně reagovat na hospodářské změny a aktuální potřeby, bez nutnosti změny ÚP</w:t>
      </w:r>
      <w:r w:rsidR="00D262AE" w:rsidRPr="00461C16">
        <w:rPr>
          <w:i/>
        </w:rPr>
        <w:t xml:space="preserve">. </w:t>
      </w:r>
    </w:p>
    <w:p w14:paraId="4A4B8262" w14:textId="77777777" w:rsidR="004E1C7A" w:rsidRPr="00461C16" w:rsidRDefault="004E1C7A" w:rsidP="00860145">
      <w:pPr>
        <w:pStyle w:val="2psmeno"/>
        <w:numPr>
          <w:ilvl w:val="0"/>
          <w:numId w:val="11"/>
        </w:numPr>
        <w:spacing w:before="120"/>
        <w:ind w:left="851" w:hanging="425"/>
      </w:pPr>
      <w:r w:rsidRPr="00461C16">
        <w:t>stanovovat podmínky pro obnovu a rozvoj sídelní s</w:t>
      </w:r>
      <w:r w:rsidR="00C51561" w:rsidRPr="00461C16">
        <w:t>truktury a pro kvalitní bydlení;</w:t>
      </w:r>
    </w:p>
    <w:p w14:paraId="4DD5BFFE" w14:textId="77777777" w:rsidR="00D262AE" w:rsidRPr="00461C16" w:rsidRDefault="009B1A5A" w:rsidP="00D262AE">
      <w:pPr>
        <w:pStyle w:val="1text"/>
        <w:spacing w:before="60"/>
        <w:ind w:left="425"/>
      </w:pPr>
      <w:r w:rsidRPr="00461C16">
        <w:rPr>
          <w:i/>
        </w:rPr>
        <w:t>Stabilizace a rozvoj sídelní struktury je dosažen proporcionálním rozvojem jednotlivých částí města, zejména jejich rezidenční funkce – trvalé či rekreační bydlení. Kvalita podmínek pro bydlení je zajištěn</w:t>
      </w:r>
      <w:r w:rsidR="003F4629" w:rsidRPr="00461C16">
        <w:rPr>
          <w:i/>
        </w:rPr>
        <w:t>a</w:t>
      </w:r>
      <w:r w:rsidRPr="00461C16">
        <w:rPr>
          <w:i/>
        </w:rPr>
        <w:t xml:space="preserve"> vhodnou lokalizací vymezených ploch bydlení či ploch smíšených obytných, doplněním nezbytné infrastruktury a stanovením adekvátních podmínek využití a </w:t>
      </w:r>
      <w:r w:rsidR="003F4629" w:rsidRPr="00461C16">
        <w:rPr>
          <w:i/>
        </w:rPr>
        <w:t xml:space="preserve">prostorového </w:t>
      </w:r>
      <w:r w:rsidRPr="00461C16">
        <w:rPr>
          <w:i/>
        </w:rPr>
        <w:t xml:space="preserve">uspořádání území. </w:t>
      </w:r>
    </w:p>
    <w:p w14:paraId="1C335DAD" w14:textId="77777777" w:rsidR="004E1C7A" w:rsidRPr="00461C16" w:rsidRDefault="004E1C7A" w:rsidP="00860145">
      <w:pPr>
        <w:pStyle w:val="2psmeno"/>
        <w:numPr>
          <w:ilvl w:val="0"/>
          <w:numId w:val="11"/>
        </w:numPr>
        <w:spacing w:before="120"/>
        <w:ind w:left="851" w:hanging="425"/>
      </w:pPr>
      <w:r w:rsidRPr="00461C16">
        <w:t>prověřovat a vytvářet v území podmínky pro hospodárné vynakládání prostředků z veře</w:t>
      </w:r>
      <w:r w:rsidR="00C51561" w:rsidRPr="00461C16">
        <w:t>jných rozpočtů na změny v území;</w:t>
      </w:r>
    </w:p>
    <w:p w14:paraId="799D669F" w14:textId="77777777" w:rsidR="00D262AE" w:rsidRPr="00461C16" w:rsidRDefault="000C37F5" w:rsidP="00D262AE">
      <w:pPr>
        <w:pStyle w:val="1text"/>
        <w:spacing w:before="60"/>
        <w:ind w:left="425"/>
        <w:rPr>
          <w:i/>
        </w:rPr>
      </w:pPr>
      <w:r w:rsidRPr="00461C16">
        <w:rPr>
          <w:i/>
          <w:iCs/>
        </w:rPr>
        <w:t>V ÚP jsou navrženy nové zastavitelné plochy i plochy přestavby tak, aby bylo maximálně využito stávající vybavení – napojení na dopravní síť a sítě technické infrastruktury, veřejné občanské vybavení. Vhodnou lokalizací ploch, případně stanovením podmínek pro využití vymezených ploch, přispívá ÚP k optimalizaci vynakládání veřejných prostředků.</w:t>
      </w:r>
    </w:p>
    <w:p w14:paraId="2676EB7B" w14:textId="77777777" w:rsidR="004E1C7A" w:rsidRPr="00461C16" w:rsidRDefault="004E1C7A" w:rsidP="00860145">
      <w:pPr>
        <w:pStyle w:val="2psmeno"/>
        <w:numPr>
          <w:ilvl w:val="0"/>
          <w:numId w:val="11"/>
        </w:numPr>
        <w:spacing w:before="120"/>
        <w:ind w:left="851" w:hanging="425"/>
      </w:pPr>
      <w:r w:rsidRPr="00461C16">
        <w:t>vytvářet v území podmínk</w:t>
      </w:r>
      <w:r w:rsidR="00C51561" w:rsidRPr="00461C16">
        <w:t>y pro zajištění civilní ochrany;</w:t>
      </w:r>
    </w:p>
    <w:p w14:paraId="3B34A221" w14:textId="77777777" w:rsidR="00D262AE" w:rsidRPr="00461C16" w:rsidRDefault="00103850" w:rsidP="00D262AE">
      <w:pPr>
        <w:pStyle w:val="1text"/>
        <w:spacing w:before="60"/>
        <w:ind w:left="425"/>
        <w:rPr>
          <w:i/>
        </w:rPr>
      </w:pPr>
      <w:r w:rsidRPr="00461C16">
        <w:rPr>
          <w:i/>
        </w:rPr>
        <w:t xml:space="preserve">Stávající zařízení pro civilní ochranu jsou na území města respektována, nová nejsou navržena. Civilní ochrana se bude řídit příslušnými platnými právními předpisy, zejména vyhláškou č. 380/2002 Sb., k přípravě a provádění úkolů ochrany obyvatelstva. Konkrétní podmínky civilní ochrany </w:t>
      </w:r>
      <w:r w:rsidR="00F0789F">
        <w:rPr>
          <w:i/>
        </w:rPr>
        <w:t>definované</w:t>
      </w:r>
      <w:r w:rsidR="00F0789F" w:rsidRPr="00461C16">
        <w:rPr>
          <w:i/>
        </w:rPr>
        <w:t xml:space="preserve"> </w:t>
      </w:r>
      <w:r w:rsidRPr="00461C16">
        <w:rPr>
          <w:i/>
        </w:rPr>
        <w:t xml:space="preserve">v ÚP </w:t>
      </w:r>
      <w:r w:rsidR="00F0789F">
        <w:rPr>
          <w:i/>
        </w:rPr>
        <w:t>zohledňují požadavky</w:t>
      </w:r>
      <w:r w:rsidRPr="00461C16">
        <w:rPr>
          <w:i/>
        </w:rPr>
        <w:t> </w:t>
      </w:r>
      <w:r w:rsidR="00D84C37">
        <w:rPr>
          <w:i/>
        </w:rPr>
        <w:t>Povodňového</w:t>
      </w:r>
      <w:r w:rsidR="00D24946">
        <w:rPr>
          <w:i/>
        </w:rPr>
        <w:t xml:space="preserve"> plánu, Požárního řádu</w:t>
      </w:r>
      <w:r w:rsidR="00D84C37">
        <w:rPr>
          <w:i/>
        </w:rPr>
        <w:t xml:space="preserve"> a Požárního poplachového </w:t>
      </w:r>
      <w:r w:rsidRPr="00461C16">
        <w:rPr>
          <w:i/>
        </w:rPr>
        <w:t>plánu města</w:t>
      </w:r>
      <w:r w:rsidR="000F2A88">
        <w:rPr>
          <w:i/>
        </w:rPr>
        <w:t>,</w:t>
      </w:r>
      <w:r w:rsidR="00D84C37">
        <w:rPr>
          <w:i/>
        </w:rPr>
        <w:t xml:space="preserve"> stejně jako</w:t>
      </w:r>
      <w:r w:rsidR="000F2A88">
        <w:rPr>
          <w:i/>
        </w:rPr>
        <w:t xml:space="preserve"> </w:t>
      </w:r>
      <w:r w:rsidR="00D84C37">
        <w:rPr>
          <w:i/>
        </w:rPr>
        <w:t>H</w:t>
      </w:r>
      <w:r w:rsidR="00F0789F">
        <w:rPr>
          <w:i/>
        </w:rPr>
        <w:t>avarijního</w:t>
      </w:r>
      <w:r w:rsidR="000F2A88">
        <w:rPr>
          <w:i/>
        </w:rPr>
        <w:t xml:space="preserve"> a </w:t>
      </w:r>
      <w:r w:rsidR="00D84C37">
        <w:rPr>
          <w:i/>
        </w:rPr>
        <w:t>K</w:t>
      </w:r>
      <w:r w:rsidR="000F2A88">
        <w:rPr>
          <w:i/>
        </w:rPr>
        <w:t>rizové</w:t>
      </w:r>
      <w:r w:rsidR="00F0789F">
        <w:rPr>
          <w:i/>
        </w:rPr>
        <w:t>ho</w:t>
      </w:r>
      <w:r w:rsidR="000F2A88">
        <w:rPr>
          <w:i/>
        </w:rPr>
        <w:t xml:space="preserve"> plánu </w:t>
      </w:r>
      <w:r w:rsidR="00D84C37">
        <w:rPr>
          <w:i/>
        </w:rPr>
        <w:t xml:space="preserve">Libereckého </w:t>
      </w:r>
      <w:r w:rsidR="000F2A88">
        <w:rPr>
          <w:i/>
        </w:rPr>
        <w:t>kraje</w:t>
      </w:r>
      <w:r w:rsidRPr="00461C16">
        <w:rPr>
          <w:i/>
        </w:rPr>
        <w:t>.</w:t>
      </w:r>
      <w:r w:rsidR="00B345B4" w:rsidRPr="00461C16">
        <w:rPr>
          <w:i/>
        </w:rPr>
        <w:t xml:space="preserve"> </w:t>
      </w:r>
    </w:p>
    <w:p w14:paraId="6D3C9AA9" w14:textId="77777777" w:rsidR="004E1C7A" w:rsidRPr="00461C16" w:rsidRDefault="004E1C7A" w:rsidP="00860145">
      <w:pPr>
        <w:pStyle w:val="2psmeno"/>
        <w:numPr>
          <w:ilvl w:val="0"/>
          <w:numId w:val="11"/>
        </w:numPr>
        <w:spacing w:before="120"/>
        <w:ind w:left="851" w:hanging="425"/>
      </w:pPr>
      <w:r w:rsidRPr="00461C16">
        <w:t>určovat nutné asanační, rekonstrukční</w:t>
      </w:r>
      <w:r w:rsidR="00C51561" w:rsidRPr="00461C16">
        <w:t xml:space="preserve"> a rekultivační zásahy do území;</w:t>
      </w:r>
    </w:p>
    <w:p w14:paraId="49063AF5" w14:textId="77777777" w:rsidR="0084419C" w:rsidRPr="00461C16" w:rsidRDefault="00122282" w:rsidP="0084419C">
      <w:pPr>
        <w:pStyle w:val="1text"/>
        <w:spacing w:before="60"/>
        <w:ind w:left="425"/>
        <w:rPr>
          <w:i/>
        </w:rPr>
      </w:pPr>
      <w:r w:rsidRPr="00461C16">
        <w:rPr>
          <w:i/>
        </w:rPr>
        <w:t xml:space="preserve">V rámci stanovení koncepce ÚP byla posouzena potřeba asanačních, rekonstrukčních a rekultivačních zásahů v území, tato potřeba nebyla prokázána. </w:t>
      </w:r>
    </w:p>
    <w:p w14:paraId="0F10A2B2" w14:textId="77777777" w:rsidR="004E1C7A" w:rsidRPr="00461C16" w:rsidRDefault="004E1C7A" w:rsidP="00860145">
      <w:pPr>
        <w:pStyle w:val="2psmeno"/>
        <w:numPr>
          <w:ilvl w:val="0"/>
          <w:numId w:val="11"/>
        </w:numPr>
        <w:spacing w:before="120"/>
        <w:ind w:left="851" w:hanging="425"/>
      </w:pPr>
      <w:r w:rsidRPr="00461C16">
        <w:t>vytvářet podmínky pro ochranu území podle zvláštních právních předpisů před negativními vlivy záměrů na území a navrhovat kompenzační opatření, pokud zvláštní</w:t>
      </w:r>
      <w:r w:rsidR="00C51561" w:rsidRPr="00461C16">
        <w:t xml:space="preserve"> právní předpis nestanoví jinak;</w:t>
      </w:r>
    </w:p>
    <w:p w14:paraId="0C3E4A67" w14:textId="77777777" w:rsidR="0084419C" w:rsidRPr="00461C16" w:rsidRDefault="000C37F5" w:rsidP="0084419C">
      <w:pPr>
        <w:pStyle w:val="1text"/>
        <w:spacing w:before="60"/>
        <w:ind w:left="425"/>
        <w:rPr>
          <w:i/>
        </w:rPr>
      </w:pPr>
      <w:r w:rsidRPr="00461C16">
        <w:rPr>
          <w:i/>
          <w:iCs/>
        </w:rPr>
        <w:t>Kompenzační opatření se stanovují v souladu s § 50 odst. 6 stavebního zákona, v platném znění. Řešení územního plánu nevykazuje negativní vlivy na životní prostředí a nevyvolává potřebu návrhu kompenzačních opatření.</w:t>
      </w:r>
    </w:p>
    <w:p w14:paraId="4CB90CB0" w14:textId="77777777" w:rsidR="004E1C7A" w:rsidRPr="00461C16" w:rsidRDefault="004E1C7A" w:rsidP="00860145">
      <w:pPr>
        <w:pStyle w:val="2psmeno"/>
        <w:numPr>
          <w:ilvl w:val="0"/>
          <w:numId w:val="11"/>
        </w:numPr>
        <w:spacing w:before="120"/>
        <w:ind w:left="851" w:hanging="425"/>
      </w:pPr>
      <w:r w:rsidRPr="00461C16">
        <w:t xml:space="preserve">regulovat rozsah ploch </w:t>
      </w:r>
      <w:r w:rsidR="00C51561" w:rsidRPr="00461C16">
        <w:t>pro využívání přírodních zdrojů;</w:t>
      </w:r>
    </w:p>
    <w:p w14:paraId="72288969" w14:textId="5BBCBEC9" w:rsidR="0084419C" w:rsidRPr="00461C16" w:rsidRDefault="001A6F43" w:rsidP="0084419C">
      <w:pPr>
        <w:pStyle w:val="2psmeno"/>
        <w:numPr>
          <w:ilvl w:val="0"/>
          <w:numId w:val="0"/>
        </w:numPr>
        <w:ind w:left="426"/>
        <w:rPr>
          <w:i/>
        </w:rPr>
      </w:pPr>
      <w:r w:rsidRPr="00461C16">
        <w:rPr>
          <w:i/>
        </w:rPr>
        <w:t xml:space="preserve">V ÚP </w:t>
      </w:r>
      <w:r w:rsidR="000E7DF1" w:rsidRPr="00461C16">
        <w:rPr>
          <w:i/>
        </w:rPr>
        <w:t>j</w:t>
      </w:r>
      <w:r w:rsidR="000E7DF1">
        <w:rPr>
          <w:i/>
        </w:rPr>
        <w:t>e</w:t>
      </w:r>
      <w:r w:rsidR="000E7DF1" w:rsidRPr="00461C16">
        <w:rPr>
          <w:i/>
        </w:rPr>
        <w:t xml:space="preserve"> stabilizován</w:t>
      </w:r>
      <w:r w:rsidR="000E7DF1">
        <w:rPr>
          <w:i/>
        </w:rPr>
        <w:t>a</w:t>
      </w:r>
      <w:r w:rsidR="000E7DF1" w:rsidRPr="00461C16">
        <w:rPr>
          <w:i/>
        </w:rPr>
        <w:t xml:space="preserve"> </w:t>
      </w:r>
      <w:r w:rsidR="00864EAB" w:rsidRPr="00461C16">
        <w:rPr>
          <w:i/>
        </w:rPr>
        <w:t xml:space="preserve">současná </w:t>
      </w:r>
      <w:r w:rsidRPr="00461C16">
        <w:rPr>
          <w:i/>
        </w:rPr>
        <w:t>plocha těžb</w:t>
      </w:r>
      <w:r w:rsidR="00864EAB" w:rsidRPr="00461C16">
        <w:rPr>
          <w:i/>
        </w:rPr>
        <w:t>y</w:t>
      </w:r>
      <w:r w:rsidRPr="00461C16">
        <w:rPr>
          <w:i/>
        </w:rPr>
        <w:t xml:space="preserve"> </w:t>
      </w:r>
      <w:r w:rsidR="00864EAB" w:rsidRPr="00461C16">
        <w:rPr>
          <w:i/>
        </w:rPr>
        <w:t xml:space="preserve">písku ve Václavicích. </w:t>
      </w:r>
      <w:r w:rsidR="00AC02D5" w:rsidRPr="00461C16">
        <w:rPr>
          <w:i/>
        </w:rPr>
        <w:t xml:space="preserve">Nové plochy těžby navrhovány nejsou. Využívání zemědělské půdy a pozemků určených k plnění funkcí lesa jako přírodních zdrojů není ÚP specificky regulováno, neboť se řídí jinými dokumenty vydávanými podle příslušných právních předpisů (agrotechnické postupy, lesní hospodářské plány a osnovy). </w:t>
      </w:r>
    </w:p>
    <w:p w14:paraId="182C7A4E" w14:textId="77777777" w:rsidR="004E1C7A" w:rsidRPr="00461C16" w:rsidRDefault="004E1C7A" w:rsidP="00860145">
      <w:pPr>
        <w:pStyle w:val="2psmeno"/>
        <w:numPr>
          <w:ilvl w:val="0"/>
          <w:numId w:val="11"/>
        </w:numPr>
        <w:spacing w:before="120"/>
        <w:ind w:left="851" w:hanging="425"/>
      </w:pPr>
      <w:r w:rsidRPr="00461C16">
        <w:t>uplatňovat poznatky zejména z oborů architektury, urbanismu, územního plánování a ekologie a památkové péče.</w:t>
      </w:r>
    </w:p>
    <w:p w14:paraId="7D5CD13B" w14:textId="77777777" w:rsidR="0084419C" w:rsidRPr="00461C16" w:rsidRDefault="007E425A" w:rsidP="0084419C">
      <w:pPr>
        <w:pStyle w:val="2psmeno"/>
        <w:numPr>
          <w:ilvl w:val="0"/>
          <w:numId w:val="0"/>
        </w:numPr>
        <w:ind w:left="426"/>
        <w:rPr>
          <w:i/>
        </w:rPr>
      </w:pPr>
      <w:r w:rsidRPr="00461C16">
        <w:rPr>
          <w:i/>
        </w:rPr>
        <w:t xml:space="preserve">ÚP </w:t>
      </w:r>
      <w:r w:rsidR="00864EAB" w:rsidRPr="00461C16">
        <w:rPr>
          <w:i/>
        </w:rPr>
        <w:t>Hrádek nad Nisou</w:t>
      </w:r>
      <w:r w:rsidR="0084419C" w:rsidRPr="00461C16">
        <w:rPr>
          <w:i/>
        </w:rPr>
        <w:t xml:space="preserve"> byl zhotoven kvalifikovan</w:t>
      </w:r>
      <w:r w:rsidRPr="00461C16">
        <w:rPr>
          <w:i/>
        </w:rPr>
        <w:t>ými</w:t>
      </w:r>
      <w:r w:rsidR="0084419C" w:rsidRPr="00461C16">
        <w:rPr>
          <w:i/>
        </w:rPr>
        <w:t xml:space="preserve"> autorizovan</w:t>
      </w:r>
      <w:r w:rsidRPr="00461C16">
        <w:rPr>
          <w:i/>
        </w:rPr>
        <w:t>ými</w:t>
      </w:r>
      <w:r w:rsidR="0084419C" w:rsidRPr="00461C16">
        <w:rPr>
          <w:i/>
        </w:rPr>
        <w:t xml:space="preserve"> osob</w:t>
      </w:r>
      <w:r w:rsidRPr="00461C16">
        <w:rPr>
          <w:i/>
        </w:rPr>
        <w:t>ami, s nezbytnou znalostí všech řešených oblastí</w:t>
      </w:r>
      <w:r w:rsidR="0084419C" w:rsidRPr="00461C16">
        <w:rPr>
          <w:i/>
        </w:rPr>
        <w:t xml:space="preserve">. </w:t>
      </w:r>
    </w:p>
    <w:p w14:paraId="6CD3CEE6" w14:textId="77777777" w:rsidR="004E1C7A" w:rsidRPr="00461C16" w:rsidRDefault="004E1C7A" w:rsidP="007F050A">
      <w:pPr>
        <w:spacing w:before="180" w:line="240" w:lineRule="auto"/>
        <w:ind w:left="425" w:hanging="425"/>
        <w:rPr>
          <w:rFonts w:cs="Arial"/>
          <w:lang w:eastAsia="en-US"/>
        </w:rPr>
      </w:pPr>
      <w:r w:rsidRPr="00461C16">
        <w:rPr>
          <w:rFonts w:cs="Arial"/>
          <w:lang w:eastAsia="en-US"/>
        </w:rPr>
        <w:t xml:space="preserve">(2) </w:t>
      </w:r>
      <w:r w:rsidR="00B55125" w:rsidRPr="00461C16">
        <w:rPr>
          <w:rFonts w:cs="Arial"/>
          <w:lang w:eastAsia="en-US"/>
        </w:rPr>
        <w:tab/>
      </w:r>
      <w:r w:rsidRPr="00461C16">
        <w:rPr>
          <w:rFonts w:cs="Arial"/>
          <w:lang w:eastAsia="en-US"/>
        </w:rPr>
        <w:t xml:space="preserve">Úkolem územního plánování je také posouzení vlivů politiky územního rozvoje, zásad územního rozvoje nebo územního plánu na udržitelný rozvoj území (§ 18 odst. 1). Pro účely tohoto posouzení se zpracovává vyhodnocení vlivů na udržitelný rozvoj území. Jeho součástí je také vyhodnocení vlivů na životní prostředí s náležitostmi stanovenými v příloze k tomuto zákonu, včetně posouzení vlivu na evropsky významnou lokalitu nebo ptačí oblast. </w:t>
      </w:r>
    </w:p>
    <w:p w14:paraId="14B5412C" w14:textId="77777777" w:rsidR="0084419C" w:rsidRPr="00461C16" w:rsidRDefault="00864EAB" w:rsidP="0084419C">
      <w:pPr>
        <w:pStyle w:val="1text"/>
        <w:rPr>
          <w:i/>
        </w:rPr>
      </w:pPr>
      <w:r w:rsidRPr="00461C16">
        <w:rPr>
          <w:i/>
        </w:rPr>
        <w:lastRenderedPageBreak/>
        <w:t>Při projednání návrhu Zadání ÚP Hrádek nad Nisou neuplatnil Krajský úřad Libereckého kraje požadavek na zpracování vyhodnocení vlivů na životní prostředí ani na lokality soustavy Natura 2000. Vyhodnocení vlivů na udržitelný rozvoj území tedy není součástí dokumentace ÚP.</w:t>
      </w:r>
    </w:p>
    <w:p w14:paraId="0891F2F4" w14:textId="77777777" w:rsidR="004E1C7A" w:rsidRPr="00461C16" w:rsidRDefault="008306DA" w:rsidP="008306DA">
      <w:pPr>
        <w:pStyle w:val="Heading2"/>
      </w:pPr>
      <w:bookmarkStart w:id="41" w:name="_Toc384727995"/>
      <w:bookmarkStart w:id="42" w:name="_Toc424191815"/>
      <w:bookmarkStart w:id="43" w:name="_Toc36116253"/>
      <w:r w:rsidRPr="00461C16">
        <w:t>1</w:t>
      </w:r>
      <w:r w:rsidR="009340E5" w:rsidRPr="00461C16">
        <w:t>.</w:t>
      </w:r>
      <w:r w:rsidRPr="00461C16">
        <w:t>4</w:t>
      </w:r>
      <w:r w:rsidR="004E1C7A" w:rsidRPr="00461C16">
        <w:tab/>
        <w:t>Vyhodnocení souladu s požadavky stavebního zákona a jeho prováděcích právních předpisů</w:t>
      </w:r>
      <w:bookmarkEnd w:id="41"/>
      <w:bookmarkEnd w:id="42"/>
      <w:bookmarkEnd w:id="43"/>
    </w:p>
    <w:p w14:paraId="6222366F" w14:textId="77777777" w:rsidR="004E1C7A" w:rsidRPr="00461C16" w:rsidRDefault="009C2515" w:rsidP="006F75B3">
      <w:pPr>
        <w:pStyle w:val="1text"/>
        <w:spacing w:before="240"/>
        <w:rPr>
          <w:i/>
        </w:rPr>
      </w:pPr>
      <w:r w:rsidRPr="00461C16">
        <w:rPr>
          <w:rFonts w:cs="Arial"/>
          <w:i/>
          <w:lang w:eastAsia="en-US"/>
        </w:rPr>
        <w:t xml:space="preserve">Územní plán </w:t>
      </w:r>
      <w:r w:rsidR="00586522" w:rsidRPr="00461C16">
        <w:rPr>
          <w:rFonts w:cs="Arial"/>
          <w:i/>
          <w:lang w:eastAsia="en-US"/>
        </w:rPr>
        <w:t>Hrádek nad Nisou</w:t>
      </w:r>
      <w:r w:rsidR="00043400" w:rsidRPr="00461C16">
        <w:rPr>
          <w:rFonts w:cs="Arial"/>
          <w:i/>
          <w:lang w:eastAsia="en-US"/>
        </w:rPr>
        <w:t xml:space="preserve"> </w:t>
      </w:r>
      <w:r w:rsidR="004E1C7A" w:rsidRPr="00461C16">
        <w:rPr>
          <w:i/>
        </w:rPr>
        <w:t xml:space="preserve">splňuje požadavky stanovené stavebním zákonem a jeho prováděcími předpisy. </w:t>
      </w:r>
    </w:p>
    <w:p w14:paraId="558F1837" w14:textId="7F067D8D" w:rsidR="004E1C7A" w:rsidRPr="00461C16" w:rsidRDefault="009C2515" w:rsidP="007F050A">
      <w:pPr>
        <w:pStyle w:val="1text"/>
        <w:rPr>
          <w:i/>
        </w:rPr>
      </w:pPr>
      <w:r w:rsidRPr="00461C16">
        <w:rPr>
          <w:rFonts w:cs="Arial"/>
          <w:i/>
          <w:lang w:eastAsia="en-US"/>
        </w:rPr>
        <w:t xml:space="preserve">Územní plán </w:t>
      </w:r>
      <w:r w:rsidR="00586522" w:rsidRPr="00461C16">
        <w:rPr>
          <w:rFonts w:cs="Arial"/>
          <w:i/>
          <w:lang w:eastAsia="en-US"/>
        </w:rPr>
        <w:t>Hrádek nad Nisou</w:t>
      </w:r>
      <w:r w:rsidRPr="00461C16">
        <w:rPr>
          <w:rFonts w:cs="Arial"/>
          <w:i/>
          <w:lang w:eastAsia="en-US"/>
        </w:rPr>
        <w:t xml:space="preserve"> </w:t>
      </w:r>
      <w:r w:rsidR="004E1C7A" w:rsidRPr="00461C16">
        <w:rPr>
          <w:i/>
        </w:rPr>
        <w:t>je zpracován a pořízen v souladu s cíli a úkoly územního plánování stanovenými v § 18 a 19 stavebního zákona.</w:t>
      </w:r>
    </w:p>
    <w:p w14:paraId="6DA0D24A" w14:textId="77777777" w:rsidR="004E1C7A" w:rsidRPr="00461C16" w:rsidRDefault="009C2515" w:rsidP="007F050A">
      <w:pPr>
        <w:pStyle w:val="1text"/>
        <w:rPr>
          <w:i/>
        </w:rPr>
      </w:pPr>
      <w:r w:rsidRPr="00461C16">
        <w:rPr>
          <w:rFonts w:cs="Arial"/>
          <w:i/>
          <w:lang w:eastAsia="en-US"/>
        </w:rPr>
        <w:t xml:space="preserve">Územní plán </w:t>
      </w:r>
      <w:r w:rsidR="00586522" w:rsidRPr="00461C16">
        <w:rPr>
          <w:rFonts w:cs="Arial"/>
          <w:i/>
          <w:lang w:eastAsia="en-US"/>
        </w:rPr>
        <w:t>Hrádek nad Nisou</w:t>
      </w:r>
      <w:r w:rsidRPr="00461C16">
        <w:rPr>
          <w:rFonts w:cs="Arial"/>
          <w:i/>
          <w:lang w:eastAsia="en-US"/>
        </w:rPr>
        <w:t xml:space="preserve"> </w:t>
      </w:r>
      <w:r w:rsidR="004E1C7A" w:rsidRPr="00461C16">
        <w:rPr>
          <w:i/>
        </w:rPr>
        <w:t>splňuje požadavky na obsah územního plánu a jeho odůvodnění stanovené v § 43 stavebního zákona a v příloze č. 7 k vyhlášce č. 500/2006 Sb., o územně analytických podkladech, územně plánovací dokumentaci a způsobu evidence územně plánovací činnosti</w:t>
      </w:r>
      <w:r w:rsidR="00A53768" w:rsidRPr="00461C16">
        <w:rPr>
          <w:i/>
        </w:rPr>
        <w:t>, v platném znění</w:t>
      </w:r>
      <w:r w:rsidR="004E1C7A" w:rsidRPr="00461C16">
        <w:rPr>
          <w:i/>
        </w:rPr>
        <w:t xml:space="preserve">. </w:t>
      </w:r>
      <w:r w:rsidRPr="00461C16">
        <w:rPr>
          <w:rFonts w:cs="Arial"/>
          <w:i/>
          <w:lang w:eastAsia="en-US"/>
        </w:rPr>
        <w:t>Územní plán</w:t>
      </w:r>
      <w:r w:rsidR="00043400" w:rsidRPr="00461C16">
        <w:rPr>
          <w:rFonts w:cs="Arial"/>
          <w:i/>
          <w:lang w:eastAsia="en-US"/>
        </w:rPr>
        <w:t xml:space="preserve"> </w:t>
      </w:r>
      <w:r w:rsidR="004E1C7A" w:rsidRPr="00461C16">
        <w:rPr>
          <w:i/>
        </w:rPr>
        <w:t>rovněž splňuje požadavky vyhlášky č. 501/2006 Sb., o obecných požadavcích na využívání území</w:t>
      </w:r>
      <w:r w:rsidR="00A53768" w:rsidRPr="00461C16">
        <w:rPr>
          <w:i/>
        </w:rPr>
        <w:t>, v platném znění</w:t>
      </w:r>
      <w:r w:rsidR="004E1C7A" w:rsidRPr="00461C16">
        <w:rPr>
          <w:i/>
        </w:rPr>
        <w:t xml:space="preserve">. </w:t>
      </w:r>
    </w:p>
    <w:p w14:paraId="4DB058B1" w14:textId="77777777" w:rsidR="004E1C7A" w:rsidRPr="00461C16" w:rsidRDefault="004E1C7A" w:rsidP="007F050A">
      <w:pPr>
        <w:pStyle w:val="1text"/>
        <w:rPr>
          <w:i/>
        </w:rPr>
      </w:pPr>
      <w:r w:rsidRPr="00461C16">
        <w:rPr>
          <w:i/>
        </w:rPr>
        <w:t>V soulad</w:t>
      </w:r>
      <w:r w:rsidR="009C2515" w:rsidRPr="00461C16">
        <w:rPr>
          <w:i/>
        </w:rPr>
        <w:t xml:space="preserve">u s § 158 stavebního zákona byl </w:t>
      </w:r>
      <w:r w:rsidR="009C2515" w:rsidRPr="00461C16">
        <w:rPr>
          <w:rFonts w:cs="Arial"/>
          <w:i/>
          <w:lang w:eastAsia="en-US"/>
        </w:rPr>
        <w:t xml:space="preserve">Územní plán </w:t>
      </w:r>
      <w:r w:rsidR="00586522" w:rsidRPr="00461C16">
        <w:rPr>
          <w:rFonts w:cs="Arial"/>
          <w:i/>
          <w:lang w:eastAsia="en-US"/>
        </w:rPr>
        <w:t>Hrádek nad Nisou</w:t>
      </w:r>
      <w:r w:rsidRPr="00461C16">
        <w:rPr>
          <w:i/>
        </w:rPr>
        <w:t xml:space="preserve"> zpracován osobou, která má oprávnění k výkonu vybraných činností ve výstavbě (zpracování ÚPD) podle zvláštního právního předpisu (zákon č. 360/1992 Sb.</w:t>
      </w:r>
      <w:r w:rsidR="00A53768" w:rsidRPr="00461C16">
        <w:rPr>
          <w:i/>
        </w:rPr>
        <w:t>, v platném znění</w:t>
      </w:r>
      <w:r w:rsidRPr="00461C16">
        <w:rPr>
          <w:i/>
        </w:rPr>
        <w:t>).</w:t>
      </w:r>
    </w:p>
    <w:p w14:paraId="0147693A" w14:textId="77777777" w:rsidR="004E1C7A" w:rsidRPr="00461C16" w:rsidRDefault="004E1C7A" w:rsidP="007F050A">
      <w:pPr>
        <w:pStyle w:val="1text"/>
        <w:rPr>
          <w:i/>
        </w:rPr>
      </w:pPr>
      <w:r w:rsidRPr="00461C16">
        <w:rPr>
          <w:i/>
        </w:rPr>
        <w:t xml:space="preserve">V souladu s § 6 odst. 2 a s § 24 odst. 1 stavebního zákona je pořizovatelem Městský úřad </w:t>
      </w:r>
      <w:r w:rsidR="00586522" w:rsidRPr="00461C16">
        <w:rPr>
          <w:i/>
        </w:rPr>
        <w:t>Hrádek nad Nisou</w:t>
      </w:r>
      <w:r w:rsidRPr="00461C16">
        <w:rPr>
          <w:i/>
        </w:rPr>
        <w:t>, splňující kvalifikační požadavky pro výkon územně plánovací činností kladené na úřední</w:t>
      </w:r>
      <w:r w:rsidR="009C2515" w:rsidRPr="00461C16">
        <w:rPr>
          <w:i/>
        </w:rPr>
        <w:t>ky obecních úřadů stanovené v § </w:t>
      </w:r>
      <w:r w:rsidRPr="00461C16">
        <w:rPr>
          <w:i/>
        </w:rPr>
        <w:t xml:space="preserve">24 odst. </w:t>
      </w:r>
      <w:r w:rsidR="00681F79">
        <w:rPr>
          <w:i/>
        </w:rPr>
        <w:t>3</w:t>
      </w:r>
      <w:r w:rsidR="00681F79" w:rsidRPr="00461C16">
        <w:rPr>
          <w:i/>
        </w:rPr>
        <w:t xml:space="preserve"> </w:t>
      </w:r>
      <w:r w:rsidRPr="00461C16">
        <w:rPr>
          <w:i/>
        </w:rPr>
        <w:t xml:space="preserve">stavebního zákona. </w:t>
      </w:r>
    </w:p>
    <w:p w14:paraId="2B9C9144" w14:textId="77777777" w:rsidR="004E1C7A" w:rsidRPr="00461C16" w:rsidRDefault="004E1C7A" w:rsidP="007F050A">
      <w:pPr>
        <w:pStyle w:val="1text"/>
        <w:rPr>
          <w:i/>
        </w:rPr>
      </w:pPr>
      <w:r w:rsidRPr="00461C16">
        <w:rPr>
          <w:i/>
        </w:rPr>
        <w:t xml:space="preserve">Při projednávání jednotlivých fází </w:t>
      </w:r>
      <w:r w:rsidR="009C2515" w:rsidRPr="00461C16">
        <w:rPr>
          <w:rFonts w:cs="Arial"/>
          <w:i/>
          <w:lang w:eastAsia="en-US"/>
        </w:rPr>
        <w:t xml:space="preserve">Územního plánu </w:t>
      </w:r>
      <w:r w:rsidR="00586522" w:rsidRPr="00461C16">
        <w:rPr>
          <w:rFonts w:cs="Arial"/>
          <w:i/>
          <w:lang w:eastAsia="en-US"/>
        </w:rPr>
        <w:t>Hrádek nad Nisou</w:t>
      </w:r>
      <w:r w:rsidR="009C2515" w:rsidRPr="00461C16">
        <w:rPr>
          <w:rFonts w:cs="Arial"/>
          <w:i/>
          <w:lang w:eastAsia="en-US"/>
        </w:rPr>
        <w:t xml:space="preserve"> </w:t>
      </w:r>
      <w:r w:rsidRPr="00461C16">
        <w:rPr>
          <w:i/>
        </w:rPr>
        <w:t>bylo postupováno v souladu se stavebním zákonem a jeho prováděcími předpisy.</w:t>
      </w:r>
    </w:p>
    <w:p w14:paraId="307DA437" w14:textId="77777777" w:rsidR="004E1C7A" w:rsidRPr="00461C16" w:rsidRDefault="008306DA" w:rsidP="008306DA">
      <w:pPr>
        <w:pStyle w:val="Heading2"/>
      </w:pPr>
      <w:bookmarkStart w:id="44" w:name="_Toc360459960"/>
      <w:bookmarkStart w:id="45" w:name="_Toc384727996"/>
      <w:bookmarkStart w:id="46" w:name="_Toc424191816"/>
      <w:bookmarkStart w:id="47" w:name="_Toc36116254"/>
      <w:r w:rsidRPr="00461C16">
        <w:t>1</w:t>
      </w:r>
      <w:r w:rsidR="009340E5" w:rsidRPr="00461C16">
        <w:t>.</w:t>
      </w:r>
      <w:r w:rsidRPr="00461C16">
        <w:t>5</w:t>
      </w:r>
      <w:r w:rsidR="004E1C7A" w:rsidRPr="00461C16">
        <w:tab/>
        <w:t>Vyhodnocení souladu s požadavky zvláštních právních předpisů a se stanovisky dotčených orgánů podle zvláštních právních předpisů, popřípadě s výsledkem řešení rozporů</w:t>
      </w:r>
      <w:bookmarkEnd w:id="44"/>
      <w:bookmarkEnd w:id="45"/>
      <w:bookmarkEnd w:id="46"/>
      <w:bookmarkEnd w:id="47"/>
      <w:r w:rsidR="004E1C7A" w:rsidRPr="00461C16">
        <w:t xml:space="preserve"> </w:t>
      </w:r>
    </w:p>
    <w:p w14:paraId="5F118E09" w14:textId="77777777" w:rsidR="004E1C7A" w:rsidRPr="00C41445" w:rsidRDefault="008559DA" w:rsidP="007F050A">
      <w:pPr>
        <w:spacing w:before="240" w:after="120" w:line="240" w:lineRule="auto"/>
        <w:rPr>
          <w:i/>
        </w:rPr>
      </w:pPr>
      <w:r w:rsidRPr="00461C16">
        <w:rPr>
          <w:rFonts w:cs="Arial"/>
          <w:i/>
          <w:lang w:eastAsia="en-US"/>
        </w:rPr>
        <w:t xml:space="preserve">Územní plán </w:t>
      </w:r>
      <w:r w:rsidR="00586522" w:rsidRPr="00461C16">
        <w:rPr>
          <w:rFonts w:cs="Arial"/>
          <w:i/>
          <w:lang w:eastAsia="en-US"/>
        </w:rPr>
        <w:t>Hrádek nad Nisou</w:t>
      </w:r>
      <w:r w:rsidR="00043400" w:rsidRPr="00461C16">
        <w:rPr>
          <w:rFonts w:cs="Arial"/>
          <w:i/>
          <w:lang w:eastAsia="en-US"/>
        </w:rPr>
        <w:t xml:space="preserve"> </w:t>
      </w:r>
      <w:r w:rsidR="004E1C7A" w:rsidRPr="00461C16">
        <w:rPr>
          <w:i/>
        </w:rPr>
        <w:t xml:space="preserve">je zpracován v souladu s požadavky zvláštních právních předpisů. </w:t>
      </w:r>
      <w:r w:rsidR="0084419C" w:rsidRPr="00461C16">
        <w:rPr>
          <w:i/>
        </w:rPr>
        <w:t>Žádný ze záměrů řešených v</w:t>
      </w:r>
      <w:r w:rsidRPr="00461C16">
        <w:rPr>
          <w:i/>
        </w:rPr>
        <w:t xml:space="preserve"> Územním plánu </w:t>
      </w:r>
      <w:r w:rsidR="0084419C" w:rsidRPr="00461C16">
        <w:rPr>
          <w:i/>
        </w:rPr>
        <w:t xml:space="preserve">není v rozporu s předpisy na ochranu životního prostředí a přírody a krajiny, ochrany vod, ochrany ovzduší, ochrany půd, </w:t>
      </w:r>
      <w:r w:rsidR="0084419C" w:rsidRPr="00C41445">
        <w:rPr>
          <w:i/>
        </w:rPr>
        <w:t>ochrany lesa, ochrany horninového prostředí, památkové ochrany, ochrany a využívání dopravní a technické infrastruktury apod.</w:t>
      </w:r>
    </w:p>
    <w:p w14:paraId="17E71342" w14:textId="77777777" w:rsidR="00501553" w:rsidRPr="00461C16" w:rsidRDefault="00501553">
      <w:pPr>
        <w:spacing w:line="240" w:lineRule="auto"/>
        <w:jc w:val="left"/>
        <w:rPr>
          <w:rFonts w:cs="Arial"/>
          <w:b/>
          <w:bCs/>
          <w:caps/>
          <w:spacing w:val="40"/>
          <w:kern w:val="32"/>
          <w:sz w:val="30"/>
          <w:szCs w:val="32"/>
          <w:lang w:val="nl-NL"/>
        </w:rPr>
      </w:pPr>
      <w:bookmarkStart w:id="48" w:name="_Toc424191817"/>
      <w:r w:rsidRPr="00461C16">
        <w:br w:type="page"/>
      </w:r>
    </w:p>
    <w:p w14:paraId="16DA8E0A" w14:textId="77777777" w:rsidR="004E1C7A" w:rsidRPr="00461C16" w:rsidRDefault="00501553" w:rsidP="007F050A">
      <w:pPr>
        <w:pStyle w:val="Heading1"/>
      </w:pPr>
      <w:bookmarkStart w:id="49" w:name="_Toc36116255"/>
      <w:r w:rsidRPr="00461C16">
        <w:lastRenderedPageBreak/>
        <w:t>2</w:t>
      </w:r>
      <w:r w:rsidR="009340E5" w:rsidRPr="00461C16">
        <w:t>.</w:t>
      </w:r>
      <w:r w:rsidR="004E1C7A" w:rsidRPr="00461C16">
        <w:tab/>
      </w:r>
      <w:bookmarkStart w:id="50" w:name="_Toc384727997"/>
      <w:r w:rsidR="004E1C7A" w:rsidRPr="00461C16">
        <w:t>ZPRÁVA O VYHODNOCENÍ VLIVŮ NA UDRŽITELNÝ ROZVOJ ÚZEMÍ OBSAHUJÍCÍ ZÁKLADNÍ INFORMACE O VÝSLEDCÍCH TOHOTO VYHODNOCENÍ VČETNĚ VÝSLEDKŮ VYHODNOCENÍ VLIVŮ NA ŽIVOTNÍ PROSTŘEDÍ, STANOVISKO KRAJSKÉHO ÚŘADU PODLE § 50 ODST. 5 A SDĚLENÍ, JAK BYLO STANOVISKO PODLE § 50 ODST. 5 ZOHLEDNĚNO, S UVEDENÍM ZÁVAŽNÝCH DŮVODŮ, POKUD NĚKTERÉ POŽADAVKY NEBO PODMÍNKY ZOHLEDNĚNY NEBYLY</w:t>
      </w:r>
      <w:bookmarkEnd w:id="48"/>
      <w:bookmarkEnd w:id="50"/>
      <w:bookmarkEnd w:id="49"/>
    </w:p>
    <w:p w14:paraId="5987DEE9" w14:textId="77777777" w:rsidR="00904F0D" w:rsidRPr="00461C16" w:rsidRDefault="00E614A7" w:rsidP="007F050A">
      <w:pPr>
        <w:spacing w:before="240" w:line="240" w:lineRule="auto"/>
      </w:pPr>
      <w:bookmarkStart w:id="51" w:name="_Toc371610123"/>
      <w:bookmarkStart w:id="52" w:name="_Toc384727999"/>
      <w:r w:rsidRPr="00461C16">
        <w:t>K</w:t>
      </w:r>
      <w:r w:rsidR="00904F0D" w:rsidRPr="00461C16">
        <w:t xml:space="preserve"> Z</w:t>
      </w:r>
      <w:r w:rsidR="0084419C" w:rsidRPr="00461C16">
        <w:t xml:space="preserve">adání </w:t>
      </w:r>
      <w:r w:rsidRPr="00461C16">
        <w:t xml:space="preserve">Územního plánu </w:t>
      </w:r>
      <w:r w:rsidR="006F75B3" w:rsidRPr="00461C16">
        <w:t>Hrádek nad Nisou</w:t>
      </w:r>
      <w:r w:rsidRPr="00461C16">
        <w:t xml:space="preserve"> </w:t>
      </w:r>
      <w:r w:rsidR="007844DF" w:rsidRPr="00461C16">
        <w:t xml:space="preserve">uplatnil </w:t>
      </w:r>
      <w:r w:rsidR="00904F0D" w:rsidRPr="00461C16">
        <w:t xml:space="preserve">Krajský úřad </w:t>
      </w:r>
      <w:r w:rsidR="006F75B3" w:rsidRPr="00461C16">
        <w:t>Liberec</w:t>
      </w:r>
      <w:r w:rsidRPr="00461C16">
        <w:t>ké</w:t>
      </w:r>
      <w:r w:rsidR="0084419C" w:rsidRPr="00461C16">
        <w:t xml:space="preserve">ho kraje </w:t>
      </w:r>
      <w:r w:rsidR="007844DF" w:rsidRPr="00461C16">
        <w:t xml:space="preserve">dne </w:t>
      </w:r>
      <w:r w:rsidR="004136A5" w:rsidRPr="00461C16">
        <w:t xml:space="preserve">29.10.2012 </w:t>
      </w:r>
      <w:r w:rsidR="00434735" w:rsidRPr="00461C16">
        <w:t>stanovisk</w:t>
      </w:r>
      <w:r w:rsidR="007844DF" w:rsidRPr="00461C16">
        <w:t>o</w:t>
      </w:r>
      <w:r w:rsidR="00434735" w:rsidRPr="00461C16">
        <w:t xml:space="preserve"> č. j. </w:t>
      </w:r>
      <w:r w:rsidR="004136A5" w:rsidRPr="00461C16">
        <w:t>OÚPSŘ/273/2012/OÚP</w:t>
      </w:r>
      <w:r w:rsidR="007844DF" w:rsidRPr="00461C16">
        <w:t>, ve kterém</w:t>
      </w:r>
      <w:r w:rsidR="007844DF" w:rsidRPr="00461C16">
        <w:rPr>
          <w:b/>
        </w:rPr>
        <w:t xml:space="preserve"> ne</w:t>
      </w:r>
      <w:r w:rsidR="00434735" w:rsidRPr="00461C16">
        <w:rPr>
          <w:b/>
        </w:rPr>
        <w:t>uplatn</w:t>
      </w:r>
      <w:r w:rsidR="007844DF" w:rsidRPr="00461C16">
        <w:rPr>
          <w:b/>
        </w:rPr>
        <w:t>il</w:t>
      </w:r>
      <w:r w:rsidR="00904F0D" w:rsidRPr="00461C16">
        <w:rPr>
          <w:b/>
        </w:rPr>
        <w:t xml:space="preserve"> požadavek na vyhodnocení vlivů </w:t>
      </w:r>
      <w:r w:rsidRPr="00461C16">
        <w:rPr>
          <w:b/>
        </w:rPr>
        <w:t xml:space="preserve">Územního plánu </w:t>
      </w:r>
      <w:r w:rsidR="00BB0A46" w:rsidRPr="00461C16">
        <w:rPr>
          <w:b/>
        </w:rPr>
        <w:t xml:space="preserve">Hrádek nad Nisou </w:t>
      </w:r>
      <w:r w:rsidR="00904F0D" w:rsidRPr="00461C16">
        <w:rPr>
          <w:b/>
        </w:rPr>
        <w:t>na životní prostředí</w:t>
      </w:r>
      <w:r w:rsidR="00904F0D" w:rsidRPr="00461C16">
        <w:t xml:space="preserve"> dle § 10i odst. 3 zákona č. 100/2001 Sb., o posuzování vlivů na životní prostředí a o změně některých souvisejících zákonů</w:t>
      </w:r>
      <w:r w:rsidR="00434735" w:rsidRPr="00461C16">
        <w:t xml:space="preserve">. Krajský úřad zároveň v tomto stanovisku </w:t>
      </w:r>
      <w:r w:rsidR="00434735" w:rsidRPr="00461C16">
        <w:rPr>
          <w:b/>
        </w:rPr>
        <w:t xml:space="preserve">vyloučil vliv Územního plánu </w:t>
      </w:r>
      <w:r w:rsidR="00BB0A46" w:rsidRPr="00461C16">
        <w:rPr>
          <w:b/>
        </w:rPr>
        <w:t>Hrádek nad Nisou</w:t>
      </w:r>
      <w:r w:rsidR="00434735" w:rsidRPr="00461C16">
        <w:rPr>
          <w:b/>
        </w:rPr>
        <w:t xml:space="preserve"> na </w:t>
      </w:r>
      <w:r w:rsidR="00904F0D" w:rsidRPr="00461C16">
        <w:rPr>
          <w:b/>
        </w:rPr>
        <w:t xml:space="preserve">lokality </w:t>
      </w:r>
      <w:r w:rsidR="009340E5" w:rsidRPr="00461C16">
        <w:rPr>
          <w:b/>
        </w:rPr>
        <w:t>Natura</w:t>
      </w:r>
      <w:r w:rsidR="00904F0D" w:rsidRPr="00461C16">
        <w:rPr>
          <w:b/>
        </w:rPr>
        <w:t xml:space="preserve"> 2000</w:t>
      </w:r>
      <w:r w:rsidR="00904F0D" w:rsidRPr="00461C16">
        <w:t xml:space="preserve"> dle § 45i zákona č. 114/1992 Sb., o ochrany přírody a krajiny, v platném znění.</w:t>
      </w:r>
    </w:p>
    <w:p w14:paraId="4C7F8336" w14:textId="77777777" w:rsidR="003B2A8E" w:rsidRPr="00461C16" w:rsidRDefault="003B2A8E" w:rsidP="00BB0A46">
      <w:pPr>
        <w:pStyle w:val="1odstavec"/>
      </w:pPr>
      <w:r w:rsidRPr="00461C16">
        <w:t xml:space="preserve">Vyhodnocení </w:t>
      </w:r>
      <w:r w:rsidR="00BB0A46" w:rsidRPr="00461C16">
        <w:t>vlivů na udržitelný rozvoj území tedy nebylo zpracováno.</w:t>
      </w:r>
    </w:p>
    <w:p w14:paraId="52D97E0A" w14:textId="77777777" w:rsidR="003B2A8E" w:rsidRPr="00461C16" w:rsidRDefault="003B2A8E" w:rsidP="003B2A8E">
      <w:pPr>
        <w:tabs>
          <w:tab w:val="left" w:pos="567"/>
        </w:tabs>
      </w:pPr>
    </w:p>
    <w:p w14:paraId="7CC53426" w14:textId="77777777" w:rsidR="003B2A8E" w:rsidRPr="00461C16" w:rsidRDefault="003B2A8E" w:rsidP="003B2A8E">
      <w:pPr>
        <w:tabs>
          <w:tab w:val="left" w:pos="567"/>
        </w:tabs>
      </w:pPr>
    </w:p>
    <w:p w14:paraId="346E92F0" w14:textId="77777777" w:rsidR="003B2A8E" w:rsidRPr="00461C16" w:rsidRDefault="003B2A8E" w:rsidP="003B2A8E">
      <w:pPr>
        <w:tabs>
          <w:tab w:val="left" w:pos="567"/>
        </w:tabs>
      </w:pPr>
    </w:p>
    <w:p w14:paraId="1107C1DB" w14:textId="77777777" w:rsidR="003B2A8E" w:rsidRPr="00461C16" w:rsidRDefault="003B2A8E" w:rsidP="003B2A8E">
      <w:pPr>
        <w:tabs>
          <w:tab w:val="left" w:pos="567"/>
        </w:tabs>
      </w:pPr>
      <w:r w:rsidRPr="00461C16">
        <w:t xml:space="preserve"> </w:t>
      </w:r>
    </w:p>
    <w:p w14:paraId="71A498AA" w14:textId="77777777" w:rsidR="00381669" w:rsidRPr="00461C16" w:rsidRDefault="00381669" w:rsidP="00381669">
      <w:pPr>
        <w:jc w:val="left"/>
        <w:rPr>
          <w:rFonts w:cs="Arial"/>
          <w:b/>
          <w:bCs/>
          <w:kern w:val="32"/>
          <w:sz w:val="32"/>
          <w:szCs w:val="32"/>
        </w:rPr>
      </w:pPr>
    </w:p>
    <w:p w14:paraId="5281B51B" w14:textId="77777777" w:rsidR="003B2A8E" w:rsidRPr="00461C16" w:rsidRDefault="003B2A8E" w:rsidP="00381669">
      <w:pPr>
        <w:jc w:val="left"/>
        <w:rPr>
          <w:rFonts w:cs="Arial"/>
          <w:b/>
          <w:bCs/>
          <w:kern w:val="32"/>
          <w:sz w:val="32"/>
          <w:szCs w:val="32"/>
        </w:rPr>
      </w:pPr>
    </w:p>
    <w:p w14:paraId="550DB6AE" w14:textId="77777777" w:rsidR="003B2A8E" w:rsidRPr="00461C16" w:rsidRDefault="003B2A8E" w:rsidP="00381669">
      <w:pPr>
        <w:jc w:val="left"/>
        <w:rPr>
          <w:rFonts w:cs="Arial"/>
          <w:b/>
          <w:bCs/>
          <w:kern w:val="32"/>
          <w:sz w:val="32"/>
          <w:szCs w:val="32"/>
        </w:rPr>
      </w:pPr>
    </w:p>
    <w:p w14:paraId="0A26244E" w14:textId="77777777" w:rsidR="003B2A8E" w:rsidRPr="00461C16" w:rsidRDefault="003B2A8E" w:rsidP="00381669">
      <w:pPr>
        <w:jc w:val="left"/>
        <w:rPr>
          <w:rFonts w:cs="Arial"/>
          <w:b/>
          <w:bCs/>
          <w:kern w:val="32"/>
          <w:sz w:val="32"/>
          <w:szCs w:val="32"/>
        </w:rPr>
      </w:pPr>
    </w:p>
    <w:p w14:paraId="744B77CF" w14:textId="77777777" w:rsidR="00501553" w:rsidRPr="00461C16" w:rsidRDefault="00501553">
      <w:pPr>
        <w:spacing w:line="240" w:lineRule="auto"/>
        <w:jc w:val="left"/>
        <w:rPr>
          <w:rFonts w:cs="Arial"/>
          <w:b/>
          <w:bCs/>
          <w:caps/>
          <w:spacing w:val="40"/>
          <w:kern w:val="32"/>
          <w:sz w:val="30"/>
          <w:szCs w:val="32"/>
          <w:lang w:val="nl-NL"/>
        </w:rPr>
      </w:pPr>
      <w:r w:rsidRPr="00461C16">
        <w:br w:type="page"/>
      </w:r>
    </w:p>
    <w:p w14:paraId="0E40383D" w14:textId="20DE8EEE" w:rsidR="003153E6" w:rsidRPr="00461C16" w:rsidRDefault="00501553" w:rsidP="003153E6">
      <w:pPr>
        <w:pStyle w:val="Heading1"/>
      </w:pPr>
      <w:bookmarkStart w:id="53" w:name="_Toc36116256"/>
      <w:r w:rsidRPr="00461C16">
        <w:lastRenderedPageBreak/>
        <w:t>3</w:t>
      </w:r>
      <w:r w:rsidR="003153E6" w:rsidRPr="00461C16">
        <w:t>.</w:t>
      </w:r>
      <w:r w:rsidR="003153E6" w:rsidRPr="00461C16">
        <w:tab/>
      </w:r>
      <w:r w:rsidR="00F76705" w:rsidRPr="00461C16">
        <w:t xml:space="preserve">VYHODNOCENÍ SPLNĚNÍ POŽADAVKŮ ZADÁNÍ POPŘÍPADĚ VYHODNOCENÍ SOULADU SE SCHVÁLENÝM VÝBĚREM NEJVHODNĚJŠÍ VARIANTY A PODMÍNKAMI K JEJÍ ÚPRAVĚ V PŘÍPADĚ POSTUPU PODLE § 51 ODST. 2 STAVEBNÍHO ZÁKONA, S POKYNY PRO ZPRACOVÁNÍ NÁVRHU ÚZEMNÍHO PLÁNU V PŘÍPADĚ POSTUPU PODLE § 51 ODST. 3 STAVEBNÍHO ZÁKONA, </w:t>
      </w:r>
      <w:r w:rsidR="00C521FE">
        <w:t xml:space="preserve">S POKYNY PRO PŘEPRACOVÁNÍ NÁVRHU V PŘÍPADĚ POSTUPU PODLE §53 ODST. 3 STAVEBNÍHO ZÁKONA, </w:t>
      </w:r>
      <w:r w:rsidR="00F76705" w:rsidRPr="00461C16">
        <w:t>S POKYNY K ÚPRAVĚ NÁVRHU ÚZEMNÍHO PLÁNU V PŘÍPADĚ POSTUPU PODLE § 54 ODST. 3 STAVEBNÍHO ZÁKONA</w:t>
      </w:r>
      <w:r w:rsidR="00C521FE">
        <w:t>, S ROZHODNUTÍM O POŘÍZENÍ ÚZEMNÍHO PLÁNU NEBO JEHO ZMĚNY A O JEJÍM OBSAHU V PŘÍPADĚ POSTUPU PODLE §55 ODST. 3 STAVEBNÍHO ZÁKONA</w:t>
      </w:r>
      <w:bookmarkEnd w:id="53"/>
    </w:p>
    <w:p w14:paraId="50BA2F56" w14:textId="77777777" w:rsidR="00D653AD" w:rsidRPr="00461C16" w:rsidRDefault="00D653AD" w:rsidP="00D653AD">
      <w:pPr>
        <w:autoSpaceDE w:val="0"/>
        <w:autoSpaceDN w:val="0"/>
        <w:adjustRightInd w:val="0"/>
        <w:spacing w:line="240" w:lineRule="auto"/>
        <w:jc w:val="left"/>
        <w:rPr>
          <w:lang w:eastAsia="cs-CZ"/>
        </w:rPr>
      </w:pPr>
      <w:bookmarkStart w:id="54" w:name="_Toc424191828"/>
      <w:bookmarkStart w:id="55" w:name="_Toc239843545"/>
      <w:bookmarkStart w:id="56" w:name="_Toc268687917"/>
      <w:bookmarkStart w:id="57" w:name="_Toc360178580"/>
      <w:bookmarkEnd w:id="51"/>
      <w:bookmarkEnd w:id="52"/>
      <w:r w:rsidRPr="00461C16">
        <w:rPr>
          <w:lang w:eastAsia="cs-CZ"/>
        </w:rPr>
        <w:t>Po</w:t>
      </w:r>
      <w:r w:rsidRPr="00461C16">
        <w:rPr>
          <w:rFonts w:cs="TimesNewRoman"/>
          <w:lang w:eastAsia="cs-CZ"/>
        </w:rPr>
        <w:t>ř</w:t>
      </w:r>
      <w:r w:rsidRPr="00461C16">
        <w:rPr>
          <w:lang w:eastAsia="cs-CZ"/>
        </w:rPr>
        <w:t>ízení Územního plánu Hrádek nad Nisou bylo schváleno Zastupitelstvem m</w:t>
      </w:r>
      <w:r w:rsidRPr="00461C16">
        <w:rPr>
          <w:rFonts w:cs="TimesNewRoman"/>
          <w:lang w:eastAsia="cs-CZ"/>
        </w:rPr>
        <w:t>ě</w:t>
      </w:r>
      <w:r w:rsidRPr="00461C16">
        <w:rPr>
          <w:lang w:eastAsia="cs-CZ"/>
        </w:rPr>
        <w:t xml:space="preserve">sta Hrádek nad Nisou dne 27. 1. 2010 usnesením </w:t>
      </w:r>
      <w:r w:rsidRPr="00461C16">
        <w:rPr>
          <w:rFonts w:cs="TimesNewRoman"/>
          <w:lang w:eastAsia="cs-CZ"/>
        </w:rPr>
        <w:t>č</w:t>
      </w:r>
      <w:r w:rsidRPr="00461C16">
        <w:rPr>
          <w:lang w:eastAsia="cs-CZ"/>
        </w:rPr>
        <w:t>. 1/ZM/32/10.</w:t>
      </w:r>
    </w:p>
    <w:p w14:paraId="11B6D268" w14:textId="77777777" w:rsidR="00F76705" w:rsidRPr="00461C16" w:rsidRDefault="00501553" w:rsidP="0052137E">
      <w:pPr>
        <w:pStyle w:val="Heading2"/>
        <w:spacing w:after="240"/>
        <w:rPr>
          <w:lang w:eastAsia="cs-CZ"/>
        </w:rPr>
      </w:pPr>
      <w:bookmarkStart w:id="58" w:name="_Toc36116257"/>
      <w:r w:rsidRPr="00461C16">
        <w:rPr>
          <w:lang w:eastAsia="cs-CZ"/>
        </w:rPr>
        <w:t>3</w:t>
      </w:r>
      <w:r w:rsidR="00F76705" w:rsidRPr="00461C16">
        <w:rPr>
          <w:lang w:eastAsia="cs-CZ"/>
        </w:rPr>
        <w:t>.1</w:t>
      </w:r>
      <w:r w:rsidR="00F76705" w:rsidRPr="00461C16">
        <w:rPr>
          <w:lang w:eastAsia="cs-CZ"/>
        </w:rPr>
        <w:tab/>
        <w:t xml:space="preserve">Požadavky </w:t>
      </w:r>
      <w:r w:rsidR="0052137E" w:rsidRPr="00461C16">
        <w:rPr>
          <w:lang w:eastAsia="cs-CZ"/>
        </w:rPr>
        <w:t>vyplývající z</w:t>
      </w:r>
      <w:r w:rsidR="00DD373B" w:rsidRPr="00461C16">
        <w:rPr>
          <w:lang w:eastAsia="cs-CZ"/>
        </w:rPr>
        <w:t> PÚR, územně plánovací dokumentace vydané krajem, popřípadě z dalších širších územních vztahů</w:t>
      </w:r>
      <w:bookmarkEnd w:id="58"/>
      <w:r w:rsidR="00B345B4" w:rsidRPr="00461C16">
        <w:rPr>
          <w:lang w:eastAsia="cs-CZ"/>
        </w:rPr>
        <w:t xml:space="preserve"> </w:t>
      </w:r>
    </w:p>
    <w:p w14:paraId="2DB2A34B" w14:textId="77777777" w:rsidR="00DD373B" w:rsidRPr="00461C16" w:rsidRDefault="00753F4E" w:rsidP="00753F4E">
      <w:pPr>
        <w:pStyle w:val="Heading3"/>
      </w:pPr>
      <w:bookmarkStart w:id="59" w:name="_Toc36116258"/>
      <w:r w:rsidRPr="00461C16">
        <w:t>3.1.1</w:t>
      </w:r>
      <w:r w:rsidRPr="00461C16">
        <w:tab/>
      </w:r>
      <w:r w:rsidR="00DD373B" w:rsidRPr="00461C16">
        <w:t>Požadavky vyplývající z Politiky územního rozvoje</w:t>
      </w:r>
      <w:bookmarkEnd w:id="59"/>
    </w:p>
    <w:p w14:paraId="392F40F9" w14:textId="77777777" w:rsidR="00F76705" w:rsidRPr="00461C16" w:rsidRDefault="00021084" w:rsidP="00C41445">
      <w:pPr>
        <w:pStyle w:val="BodyText"/>
        <w:numPr>
          <w:ilvl w:val="0"/>
          <w:numId w:val="97"/>
        </w:numPr>
        <w:spacing w:before="120" w:after="120"/>
        <w:rPr>
          <w:sz w:val="22"/>
          <w:szCs w:val="22"/>
        </w:rPr>
      </w:pPr>
      <w:r w:rsidRPr="00461C16">
        <w:rPr>
          <w:sz w:val="22"/>
          <w:szCs w:val="22"/>
        </w:rPr>
        <w:t>Respektovat rozvoj veřejné infrastruktury mezinárodního a republikového významu při současném zachování hodnot území.</w:t>
      </w:r>
    </w:p>
    <w:p w14:paraId="64DC6A4B" w14:textId="77777777" w:rsidR="005A4B4C" w:rsidRPr="00461C16" w:rsidRDefault="005A4B4C" w:rsidP="005A4B4C">
      <w:pPr>
        <w:pStyle w:val="BodyText"/>
        <w:spacing w:before="120" w:after="120"/>
        <w:rPr>
          <w:i/>
          <w:color w:val="000000"/>
          <w:sz w:val="22"/>
          <w:szCs w:val="22"/>
          <w:shd w:val="clear" w:color="auto" w:fill="FFFFFF"/>
        </w:rPr>
      </w:pPr>
      <w:r w:rsidRPr="00461C16">
        <w:rPr>
          <w:i/>
          <w:color w:val="000000"/>
          <w:sz w:val="22"/>
          <w:szCs w:val="22"/>
          <w:shd w:val="clear" w:color="auto" w:fill="FFFFFF"/>
        </w:rPr>
        <w:t>ÚP respektuje význam a polohu města Hrádek nad Nisou v širší struktuře osídlení, stabilizuje stávající plochy a zařízení veřejné infrastruktury a vytváří podmínky pro její další rozvoj, s ohledem na identifikované potřeby a rozvojový potenciál jednotlivých částí města a s cílem podpory hospodářského rozvoje města ve vazbě na jeho okolí.</w:t>
      </w:r>
    </w:p>
    <w:p w14:paraId="76E6B747" w14:textId="77777777" w:rsidR="005A4B4C" w:rsidRPr="00461C16" w:rsidRDefault="005A4B4C" w:rsidP="005A4B4C">
      <w:pPr>
        <w:pStyle w:val="BodyText"/>
        <w:spacing w:before="120" w:after="120"/>
        <w:rPr>
          <w:i/>
          <w:color w:val="000000"/>
          <w:sz w:val="22"/>
          <w:szCs w:val="22"/>
          <w:shd w:val="clear" w:color="auto" w:fill="FFFFFF"/>
        </w:rPr>
      </w:pPr>
      <w:r w:rsidRPr="00461C16">
        <w:rPr>
          <w:i/>
          <w:color w:val="000000"/>
          <w:sz w:val="22"/>
          <w:szCs w:val="22"/>
          <w:shd w:val="clear" w:color="auto" w:fill="FFFFFF"/>
        </w:rPr>
        <w:t>ÚP stabilizuje všechny plochy stávající dopravní infrastruktury silniční a železniční, zabezpečující vynikající dopravní vazby města Hrádek nad Nisou na území okolních měst, obcí a okolních států. Silnice I/35 má zásadní význam pro zajištění širších regionálních dopravních vazeb a její stabilizace a ochrana v územním plánu je předpokladem pro zachování kvality dopravní obslužnosti celého širšího regionu.</w:t>
      </w:r>
      <w:r w:rsidR="00B40DF6">
        <w:rPr>
          <w:i/>
          <w:color w:val="000000"/>
          <w:sz w:val="22"/>
          <w:szCs w:val="22"/>
          <w:shd w:val="clear" w:color="auto" w:fill="FFFFFF"/>
        </w:rPr>
        <w:t xml:space="preserve"> </w:t>
      </w:r>
      <w:r w:rsidR="00B40DF6" w:rsidRPr="002F15EB">
        <w:rPr>
          <w:i/>
          <w:sz w:val="22"/>
          <w:szCs w:val="22"/>
        </w:rPr>
        <w:t>Pro budoucí rozšíření silnice I/35 na čtyřpruhové uspořádání je vymezena plocha územní rezervy R16.</w:t>
      </w:r>
    </w:p>
    <w:p w14:paraId="0C121E8D" w14:textId="77777777" w:rsidR="00BB58CC" w:rsidRPr="00461C16" w:rsidRDefault="005A4B4C" w:rsidP="005A4B4C">
      <w:pPr>
        <w:pStyle w:val="BodyText"/>
        <w:spacing w:before="120" w:after="120"/>
        <w:rPr>
          <w:i/>
          <w:sz w:val="22"/>
          <w:szCs w:val="22"/>
        </w:rPr>
      </w:pPr>
      <w:r w:rsidRPr="00461C16">
        <w:rPr>
          <w:i/>
          <w:color w:val="000000"/>
          <w:sz w:val="22"/>
          <w:szCs w:val="22"/>
          <w:shd w:val="clear" w:color="auto" w:fill="FFFFFF"/>
        </w:rPr>
        <w:t>S cílem vytvoření podmínek pro zlepšení dostupnosti Hrádku nad Nisou po železnici a zlepšení přeshraničních dopravních vazeb vymezuje ÚP koridory železniční dopravy X01 pro optimalizaci a elektrizaci železniční trati č. 089.</w:t>
      </w:r>
    </w:p>
    <w:p w14:paraId="2E2AAF29" w14:textId="77777777" w:rsidR="00BB58CC" w:rsidRPr="00461C16" w:rsidRDefault="00021084" w:rsidP="00C41445">
      <w:pPr>
        <w:pStyle w:val="BodyText"/>
        <w:numPr>
          <w:ilvl w:val="0"/>
          <w:numId w:val="97"/>
        </w:numPr>
        <w:spacing w:before="120" w:after="120"/>
        <w:rPr>
          <w:sz w:val="22"/>
          <w:szCs w:val="22"/>
        </w:rPr>
      </w:pPr>
      <w:r w:rsidRPr="00461C16">
        <w:rPr>
          <w:sz w:val="22"/>
          <w:szCs w:val="22"/>
        </w:rPr>
        <w:t>Respektovat rozvoj bydlení při upřednostnění rozvoje uvnitř zastavěného území a předcházení prostorově sociální segregaci, fragmentaci a záborům ploch veřejně přístupné zeleně.</w:t>
      </w:r>
    </w:p>
    <w:p w14:paraId="368E8A9E" w14:textId="77777777" w:rsidR="00BB58CC" w:rsidRPr="00461C16" w:rsidRDefault="00C82801" w:rsidP="00BB58CC">
      <w:pPr>
        <w:pStyle w:val="BodyText"/>
        <w:spacing w:before="120" w:after="120"/>
        <w:rPr>
          <w:i/>
          <w:sz w:val="22"/>
          <w:szCs w:val="22"/>
        </w:rPr>
      </w:pPr>
      <w:r w:rsidRPr="00461C16">
        <w:rPr>
          <w:i/>
          <w:color w:val="000000"/>
          <w:sz w:val="22"/>
          <w:szCs w:val="22"/>
          <w:shd w:val="clear" w:color="auto" w:fill="FFFFFF"/>
        </w:rPr>
        <w:t>viz kap. 1.1.2</w:t>
      </w:r>
      <w:r w:rsidR="001B2A7D" w:rsidRPr="00461C16">
        <w:rPr>
          <w:i/>
          <w:color w:val="000000"/>
          <w:sz w:val="22"/>
          <w:szCs w:val="22"/>
          <w:shd w:val="clear" w:color="auto" w:fill="FFFFFF"/>
        </w:rPr>
        <w:t xml:space="preserve"> Rozvojové oblasti a rozvojové osy – vyhodnocení kritérií a podmínek pro rozhodování o změnách v území, bod b)</w:t>
      </w:r>
    </w:p>
    <w:p w14:paraId="15689742" w14:textId="77777777" w:rsidR="00BB58CC" w:rsidRPr="00461C16" w:rsidRDefault="00021084" w:rsidP="00C41445">
      <w:pPr>
        <w:pStyle w:val="BodyText"/>
        <w:numPr>
          <w:ilvl w:val="0"/>
          <w:numId w:val="97"/>
        </w:numPr>
        <w:spacing w:before="120" w:after="120"/>
        <w:rPr>
          <w:sz w:val="22"/>
          <w:szCs w:val="22"/>
        </w:rPr>
      </w:pPr>
      <w:r w:rsidRPr="00461C16">
        <w:rPr>
          <w:sz w:val="22"/>
          <w:szCs w:val="22"/>
        </w:rPr>
        <w:t>Respektovat nové využití nevyužívaných průmyslových, skladových, dopravních a jiných ploch.</w:t>
      </w:r>
    </w:p>
    <w:p w14:paraId="687F79DE" w14:textId="77777777" w:rsidR="00BB58CC" w:rsidRPr="00461C16" w:rsidRDefault="00C82801" w:rsidP="00BB58CC">
      <w:pPr>
        <w:pStyle w:val="BodyText"/>
        <w:spacing w:before="120" w:after="120"/>
        <w:rPr>
          <w:i/>
          <w:sz w:val="22"/>
          <w:szCs w:val="22"/>
        </w:rPr>
      </w:pPr>
      <w:r w:rsidRPr="00461C16">
        <w:rPr>
          <w:i/>
          <w:color w:val="000000"/>
          <w:sz w:val="22"/>
          <w:szCs w:val="22"/>
          <w:shd w:val="clear" w:color="auto" w:fill="FFFFFF"/>
        </w:rPr>
        <w:lastRenderedPageBreak/>
        <w:t>viz kap. 1.1.2</w:t>
      </w:r>
      <w:r w:rsidR="001B2A7D" w:rsidRPr="00461C16">
        <w:rPr>
          <w:i/>
          <w:color w:val="000000"/>
          <w:sz w:val="22"/>
          <w:szCs w:val="22"/>
          <w:shd w:val="clear" w:color="auto" w:fill="FFFFFF"/>
        </w:rPr>
        <w:t xml:space="preserve"> Rozvojové oblasti a rozvojové osy – vyhodnocení kritérií a podmínek pro rozhodování o změnách v území, bod c)</w:t>
      </w:r>
    </w:p>
    <w:p w14:paraId="7D733101" w14:textId="77777777" w:rsidR="00021084" w:rsidRPr="00461C16" w:rsidRDefault="00021084" w:rsidP="00C41445">
      <w:pPr>
        <w:pStyle w:val="BodyText"/>
        <w:numPr>
          <w:ilvl w:val="0"/>
          <w:numId w:val="97"/>
        </w:numPr>
        <w:spacing w:before="120" w:after="120"/>
        <w:rPr>
          <w:sz w:val="22"/>
          <w:szCs w:val="22"/>
        </w:rPr>
      </w:pPr>
      <w:r w:rsidRPr="00461C16">
        <w:rPr>
          <w:sz w:val="22"/>
          <w:szCs w:val="22"/>
        </w:rPr>
        <w:t>Respektovat řešení rekultivace a revitalizace opuštěných areálů a ploch (např. předcházející těžbou, průmyslovým využitím, armádou apod.), účelnou organizaci materiálových toků a nakládání s odpady.</w:t>
      </w:r>
    </w:p>
    <w:p w14:paraId="472C0121" w14:textId="77777777" w:rsidR="00BB58CC" w:rsidRPr="00461C16" w:rsidRDefault="00C82801" w:rsidP="00BB58CC">
      <w:pPr>
        <w:pStyle w:val="BodyText"/>
        <w:spacing w:before="120" w:after="120"/>
        <w:rPr>
          <w:i/>
          <w:sz w:val="22"/>
          <w:szCs w:val="22"/>
        </w:rPr>
      </w:pPr>
      <w:r w:rsidRPr="00461C16">
        <w:rPr>
          <w:i/>
          <w:color w:val="000000"/>
          <w:sz w:val="22"/>
          <w:szCs w:val="22"/>
          <w:shd w:val="clear" w:color="auto" w:fill="FFFFFF"/>
        </w:rPr>
        <w:t>viz kap. 1.1.2</w:t>
      </w:r>
      <w:r w:rsidR="0051239A" w:rsidRPr="00461C16">
        <w:rPr>
          <w:i/>
          <w:color w:val="000000"/>
          <w:sz w:val="22"/>
          <w:szCs w:val="22"/>
          <w:shd w:val="clear" w:color="auto" w:fill="FFFFFF"/>
        </w:rPr>
        <w:t xml:space="preserve"> Rozvojové oblasti a rozvojové osy – vyhodnocení kritérií a podmínek pro rozhodování o změnách v území, bod d)</w:t>
      </w:r>
    </w:p>
    <w:p w14:paraId="7E341BF0" w14:textId="77777777" w:rsidR="00021084" w:rsidRPr="00461C16" w:rsidRDefault="00021084" w:rsidP="00A06EB9">
      <w:pPr>
        <w:pStyle w:val="BodyText"/>
        <w:numPr>
          <w:ilvl w:val="0"/>
          <w:numId w:val="97"/>
        </w:numPr>
        <w:spacing w:before="120" w:after="120"/>
        <w:rPr>
          <w:sz w:val="22"/>
          <w:szCs w:val="22"/>
        </w:rPr>
      </w:pPr>
      <w:r w:rsidRPr="00461C16">
        <w:rPr>
          <w:sz w:val="22"/>
          <w:szCs w:val="22"/>
        </w:rPr>
        <w:t xml:space="preserve">Respektovat zachování a rozvoj společenské funkce tradičních městských center. </w:t>
      </w:r>
    </w:p>
    <w:p w14:paraId="3020B4EF" w14:textId="77777777" w:rsidR="00BB58CC" w:rsidRPr="00461C16" w:rsidRDefault="00C82801" w:rsidP="00BB58CC">
      <w:pPr>
        <w:pStyle w:val="BodyText"/>
        <w:spacing w:before="120" w:after="120"/>
        <w:rPr>
          <w:i/>
          <w:sz w:val="22"/>
          <w:szCs w:val="22"/>
        </w:rPr>
      </w:pPr>
      <w:r w:rsidRPr="00461C16">
        <w:rPr>
          <w:i/>
          <w:color w:val="000000"/>
          <w:sz w:val="22"/>
          <w:szCs w:val="22"/>
          <w:shd w:val="clear" w:color="auto" w:fill="FFFFFF"/>
        </w:rPr>
        <w:t>viz kap. 1.1.2</w:t>
      </w:r>
      <w:r w:rsidR="0051239A" w:rsidRPr="00461C16">
        <w:rPr>
          <w:i/>
          <w:color w:val="000000"/>
          <w:sz w:val="22"/>
          <w:szCs w:val="22"/>
          <w:shd w:val="clear" w:color="auto" w:fill="FFFFFF"/>
        </w:rPr>
        <w:t xml:space="preserve"> Rozvojové oblasti a rozvojové osy – vyhodnocení kritérií a podmínek pro rozhodování o změnách v území, bod e)</w:t>
      </w:r>
      <w:r w:rsidR="00B14EF2" w:rsidRPr="00461C16">
        <w:rPr>
          <w:i/>
          <w:color w:val="000000"/>
          <w:sz w:val="22"/>
          <w:szCs w:val="22"/>
          <w:shd w:val="clear" w:color="auto" w:fill="FFFFFF"/>
        </w:rPr>
        <w:t xml:space="preserve"> </w:t>
      </w:r>
    </w:p>
    <w:p w14:paraId="71C9FA48" w14:textId="77777777" w:rsidR="00021084" w:rsidRPr="00461C16" w:rsidRDefault="00021084" w:rsidP="00A06EB9">
      <w:pPr>
        <w:pStyle w:val="BodyText"/>
        <w:numPr>
          <w:ilvl w:val="0"/>
          <w:numId w:val="97"/>
        </w:numPr>
        <w:spacing w:before="120" w:after="120"/>
        <w:rPr>
          <w:sz w:val="22"/>
          <w:szCs w:val="22"/>
        </w:rPr>
      </w:pPr>
      <w:r w:rsidRPr="00461C16">
        <w:rPr>
          <w:sz w:val="22"/>
          <w:szCs w:val="22"/>
        </w:rPr>
        <w:t>Respektovat ochranu a využití rekreačního potenciálu krajiny.</w:t>
      </w:r>
    </w:p>
    <w:p w14:paraId="6C93849B" w14:textId="77777777" w:rsidR="00C82801" w:rsidRPr="00461C16" w:rsidRDefault="00C82801" w:rsidP="00C82801">
      <w:pPr>
        <w:pStyle w:val="BodyText"/>
        <w:spacing w:before="120" w:after="120"/>
        <w:rPr>
          <w:i/>
          <w:sz w:val="22"/>
          <w:szCs w:val="22"/>
        </w:rPr>
      </w:pPr>
      <w:r w:rsidRPr="00461C16">
        <w:rPr>
          <w:i/>
          <w:color w:val="000000"/>
          <w:sz w:val="22"/>
          <w:szCs w:val="22"/>
          <w:shd w:val="clear" w:color="auto" w:fill="FFFFFF"/>
        </w:rPr>
        <w:t>viz kap. 1.1.2 Rozvojové oblasti a rozvojové osy – vyhodnocení kritérií a podmínek pro rozhodování o změnách v území, bod f)</w:t>
      </w:r>
    </w:p>
    <w:p w14:paraId="7253103D" w14:textId="77777777" w:rsidR="00BB58CC" w:rsidRPr="00461C16" w:rsidRDefault="00021084" w:rsidP="00A06EB9">
      <w:pPr>
        <w:pStyle w:val="BodyText"/>
        <w:numPr>
          <w:ilvl w:val="0"/>
          <w:numId w:val="97"/>
        </w:numPr>
        <w:spacing w:before="120" w:after="120"/>
        <w:rPr>
          <w:sz w:val="22"/>
          <w:szCs w:val="22"/>
        </w:rPr>
      </w:pPr>
      <w:r w:rsidRPr="00461C16">
        <w:rPr>
          <w:sz w:val="22"/>
          <w:szCs w:val="22"/>
        </w:rPr>
        <w:t xml:space="preserve">Respektovat republikové priority územního plánování a umožňovat v rozvojových oblastech a rozvojových osách intenzivní využívání území v souvislosti s rozvojem </w:t>
      </w:r>
      <w:r w:rsidR="002A09F2" w:rsidRPr="00461C16">
        <w:rPr>
          <w:sz w:val="22"/>
          <w:szCs w:val="22"/>
        </w:rPr>
        <w:t xml:space="preserve">veřejné infrastruktury. Z tohoto důvodu v rozvojových oblastech a v rozvojových osách vytvářet podmínky pro umístění aktivit mezinárodního a republikového významu s požadavky na změny v území a tím přispívat k zachování charakteru území mimo rozvojové oblasti a rozvojové osy. </w:t>
      </w:r>
    </w:p>
    <w:p w14:paraId="77A2DD95" w14:textId="77777777" w:rsidR="00BB58CC" w:rsidRPr="00461C16" w:rsidRDefault="00C82801" w:rsidP="00BB58CC">
      <w:pPr>
        <w:pStyle w:val="BodyText"/>
        <w:spacing w:before="120" w:after="120"/>
        <w:rPr>
          <w:i/>
          <w:sz w:val="22"/>
          <w:szCs w:val="22"/>
        </w:rPr>
      </w:pPr>
      <w:r w:rsidRPr="00461C16">
        <w:rPr>
          <w:i/>
          <w:color w:val="000000"/>
          <w:sz w:val="22"/>
          <w:szCs w:val="22"/>
          <w:shd w:val="clear" w:color="auto" w:fill="FFFFFF"/>
        </w:rPr>
        <w:t>viz kap. 1.1.2</w:t>
      </w:r>
      <w:r w:rsidR="00B4194F" w:rsidRPr="00461C16">
        <w:rPr>
          <w:i/>
          <w:color w:val="000000"/>
          <w:sz w:val="22"/>
          <w:szCs w:val="22"/>
          <w:shd w:val="clear" w:color="auto" w:fill="FFFFFF"/>
        </w:rPr>
        <w:t xml:space="preserve"> Rozvojové oblasti a rozvojové osy – vyhodnocení úkolů pro územní plánování, bod a)</w:t>
      </w:r>
    </w:p>
    <w:p w14:paraId="3E1B8CD9" w14:textId="77777777" w:rsidR="00BB58CC" w:rsidRPr="00461C16" w:rsidRDefault="002A09F2" w:rsidP="00A06EB9">
      <w:pPr>
        <w:pStyle w:val="BodyText"/>
        <w:numPr>
          <w:ilvl w:val="0"/>
          <w:numId w:val="97"/>
        </w:numPr>
        <w:spacing w:before="120" w:after="120"/>
        <w:rPr>
          <w:sz w:val="22"/>
          <w:szCs w:val="22"/>
        </w:rPr>
      </w:pPr>
      <w:r w:rsidRPr="00461C16">
        <w:rPr>
          <w:sz w:val="22"/>
          <w:szCs w:val="22"/>
        </w:rPr>
        <w:t xml:space="preserve">Respektovat úkoly, stanovené pro jednotlivé rozvojové oblasti a rozvojové osy, které musí být převzaty do územně plánovací dokumentace krajů a obcí. </w:t>
      </w:r>
    </w:p>
    <w:p w14:paraId="41F73414" w14:textId="77777777" w:rsidR="00BB58CC" w:rsidRPr="00461C16" w:rsidRDefault="007B0CDE" w:rsidP="00BB58CC">
      <w:pPr>
        <w:pStyle w:val="BodyText"/>
        <w:spacing w:before="120" w:after="120"/>
        <w:rPr>
          <w:i/>
          <w:sz w:val="22"/>
          <w:szCs w:val="22"/>
        </w:rPr>
      </w:pPr>
      <w:r w:rsidRPr="00461C16">
        <w:rPr>
          <w:i/>
          <w:color w:val="000000"/>
          <w:sz w:val="22"/>
          <w:szCs w:val="22"/>
          <w:shd w:val="clear" w:color="auto" w:fill="FFFFFF"/>
        </w:rPr>
        <w:t>Ú</w:t>
      </w:r>
      <w:r w:rsidR="00B14EF2" w:rsidRPr="00461C16">
        <w:rPr>
          <w:i/>
          <w:color w:val="000000"/>
          <w:sz w:val="22"/>
          <w:szCs w:val="22"/>
          <w:shd w:val="clear" w:color="auto" w:fill="FFFFFF"/>
        </w:rPr>
        <w:t>koly</w:t>
      </w:r>
      <w:r w:rsidRPr="00461C16">
        <w:rPr>
          <w:i/>
          <w:color w:val="000000"/>
          <w:sz w:val="22"/>
          <w:szCs w:val="22"/>
          <w:shd w:val="clear" w:color="auto" w:fill="FFFFFF"/>
        </w:rPr>
        <w:t xml:space="preserve"> relevantní pro ÚP Hrádek nad Nisou</w:t>
      </w:r>
      <w:r w:rsidR="00B14EF2" w:rsidRPr="00461C16">
        <w:rPr>
          <w:i/>
          <w:color w:val="000000"/>
          <w:sz w:val="22"/>
          <w:szCs w:val="22"/>
          <w:shd w:val="clear" w:color="auto" w:fill="FFFFFF"/>
        </w:rPr>
        <w:t xml:space="preserve"> jsou respektovány a zohledněny. Způsob jejich zohlednění je vyhodnocen v kap. 1.1 Odůvodnění ÚP – Vyhodnocení souladu s PÚR ČR.</w:t>
      </w:r>
      <w:r w:rsidR="00B345B4" w:rsidRPr="00461C16">
        <w:rPr>
          <w:i/>
          <w:color w:val="000000"/>
          <w:sz w:val="22"/>
          <w:szCs w:val="22"/>
          <w:shd w:val="clear" w:color="auto" w:fill="FFFFFF"/>
        </w:rPr>
        <w:t xml:space="preserve"> </w:t>
      </w:r>
    </w:p>
    <w:p w14:paraId="4395B589" w14:textId="77777777" w:rsidR="00BB58CC" w:rsidRPr="00461C16" w:rsidRDefault="002A09F2" w:rsidP="00A06EB9">
      <w:pPr>
        <w:pStyle w:val="BodyText"/>
        <w:numPr>
          <w:ilvl w:val="0"/>
          <w:numId w:val="97"/>
        </w:numPr>
        <w:spacing w:before="120" w:after="120"/>
        <w:rPr>
          <w:sz w:val="22"/>
          <w:szCs w:val="22"/>
        </w:rPr>
      </w:pPr>
      <w:r w:rsidRPr="00461C16">
        <w:rPr>
          <w:sz w:val="22"/>
          <w:szCs w:val="22"/>
        </w:rPr>
        <w:t xml:space="preserve">Respektovat upřesnění </w:t>
      </w:r>
      <w:r w:rsidR="00072AFA" w:rsidRPr="00461C16">
        <w:rPr>
          <w:sz w:val="22"/>
          <w:szCs w:val="22"/>
        </w:rPr>
        <w:t>zásad</w:t>
      </w:r>
      <w:r w:rsidRPr="00461C16">
        <w:rPr>
          <w:sz w:val="22"/>
          <w:szCs w:val="22"/>
        </w:rPr>
        <w:t xml:space="preserve"> územního rozvoje o vymezení rozvojových oblastí a rozvojových os v rozlišení </w:t>
      </w:r>
      <w:r w:rsidR="00D24F45" w:rsidRPr="00461C16">
        <w:rPr>
          <w:sz w:val="22"/>
          <w:szCs w:val="22"/>
        </w:rPr>
        <w:t>podle území jednotlivých obcí. Respektovat</w:t>
      </w:r>
      <w:r w:rsidRPr="00461C16">
        <w:rPr>
          <w:sz w:val="22"/>
          <w:szCs w:val="22"/>
        </w:rPr>
        <w:t xml:space="preserve"> </w:t>
      </w:r>
      <w:r w:rsidR="00D24F45" w:rsidRPr="00461C16">
        <w:rPr>
          <w:sz w:val="22"/>
          <w:szCs w:val="22"/>
        </w:rPr>
        <w:t xml:space="preserve">důvody vymezení jednotlivých rozvojových oblastí a rozvojových os. </w:t>
      </w:r>
    </w:p>
    <w:p w14:paraId="6162338A" w14:textId="77777777" w:rsidR="00BB58CC" w:rsidRPr="00461C16" w:rsidRDefault="007B0CDE" w:rsidP="00BB58CC">
      <w:pPr>
        <w:pStyle w:val="BodyText"/>
        <w:spacing w:before="120" w:after="120"/>
        <w:rPr>
          <w:i/>
          <w:sz w:val="22"/>
          <w:szCs w:val="22"/>
        </w:rPr>
      </w:pPr>
      <w:r w:rsidRPr="00461C16">
        <w:rPr>
          <w:i/>
          <w:color w:val="000000"/>
          <w:sz w:val="22"/>
          <w:szCs w:val="22"/>
          <w:shd w:val="clear" w:color="auto" w:fill="FFFFFF"/>
        </w:rPr>
        <w:t xml:space="preserve">Zásady a důvody vymezení rozvojových oblasti a os relevantní pro ÚP Hrádek nad Nisou jsou respektovány a zohledněny. Způsob jejich zohlednění je vyhodnocen v kap. 1.2. Odůvodnění ÚP – Vyhodnocení souladu se ZÚR Libereckého kraje. </w:t>
      </w:r>
    </w:p>
    <w:p w14:paraId="0F602F1F" w14:textId="77777777" w:rsidR="00BB58CC" w:rsidRPr="00461C16" w:rsidRDefault="002A09F2" w:rsidP="00A06EB9">
      <w:pPr>
        <w:pStyle w:val="BodyText"/>
        <w:numPr>
          <w:ilvl w:val="0"/>
          <w:numId w:val="97"/>
        </w:numPr>
        <w:spacing w:before="120" w:after="120"/>
        <w:rPr>
          <w:sz w:val="22"/>
          <w:szCs w:val="22"/>
        </w:rPr>
      </w:pPr>
      <w:r w:rsidRPr="00461C16">
        <w:rPr>
          <w:sz w:val="22"/>
          <w:szCs w:val="22"/>
        </w:rPr>
        <w:t>Zohlednit dotčení řešení území rozvojovou osou OS3 Praha – Liberec – hranice ČR/Německo, Polsko (-Görlitz/Zgorzelec).</w:t>
      </w:r>
    </w:p>
    <w:p w14:paraId="77FC60A5" w14:textId="77777777" w:rsidR="00BB58CC" w:rsidRPr="00461C16" w:rsidRDefault="007B0CDE" w:rsidP="00BB58CC">
      <w:pPr>
        <w:pStyle w:val="BodyText"/>
        <w:spacing w:before="120" w:after="120"/>
        <w:rPr>
          <w:i/>
          <w:sz w:val="22"/>
          <w:szCs w:val="22"/>
        </w:rPr>
      </w:pPr>
      <w:r w:rsidRPr="00461C16">
        <w:rPr>
          <w:i/>
          <w:color w:val="000000"/>
          <w:sz w:val="22"/>
          <w:szCs w:val="22"/>
          <w:shd w:val="clear" w:color="auto" w:fill="FFFFFF"/>
        </w:rPr>
        <w:t xml:space="preserve">Rozvojová osa OS3 včetně stanovených kritérií a podmínek pro rozhodování a úkolů pro územní plánování relevantních pro ÚP Hrádek nad Nisou jsou respektovány a zohledněny. Způsob jejich zohlednění je vyhodnocen v kap. 1.1 Odůvodnění ÚP – Vyhodnocení souladu s PÚR ČR. </w:t>
      </w:r>
    </w:p>
    <w:p w14:paraId="28149679" w14:textId="77777777" w:rsidR="00BB58CC" w:rsidRPr="00461C16" w:rsidRDefault="002A09F2" w:rsidP="00A06EB9">
      <w:pPr>
        <w:pStyle w:val="BodyText"/>
        <w:numPr>
          <w:ilvl w:val="0"/>
          <w:numId w:val="97"/>
        </w:numPr>
        <w:spacing w:before="120" w:after="120"/>
        <w:rPr>
          <w:sz w:val="22"/>
          <w:szCs w:val="22"/>
        </w:rPr>
      </w:pPr>
      <w:r w:rsidRPr="00461C16">
        <w:rPr>
          <w:sz w:val="22"/>
          <w:szCs w:val="22"/>
        </w:rPr>
        <w:t xml:space="preserve">Zajistit vyšší kvalitu dopravy, např. zvýšit přepravní rychlosti dopravy a atraktivity železniční dopravy. </w:t>
      </w:r>
    </w:p>
    <w:p w14:paraId="38DD759A" w14:textId="77777777" w:rsidR="00BB58CC" w:rsidRPr="00461C16" w:rsidRDefault="005328DA" w:rsidP="00BB58CC">
      <w:pPr>
        <w:pStyle w:val="BodyText"/>
        <w:spacing w:before="120" w:after="120"/>
        <w:rPr>
          <w:i/>
          <w:sz w:val="22"/>
          <w:szCs w:val="22"/>
        </w:rPr>
      </w:pPr>
      <w:r w:rsidRPr="00461C16">
        <w:rPr>
          <w:i/>
          <w:color w:val="000000"/>
          <w:sz w:val="22"/>
          <w:szCs w:val="22"/>
          <w:shd w:val="clear" w:color="auto" w:fill="FFFFFF"/>
        </w:rPr>
        <w:t>viz kap. 1.1.4 Plochy a koridory dopravní infrastruktury</w:t>
      </w:r>
    </w:p>
    <w:p w14:paraId="22F56007" w14:textId="77777777" w:rsidR="002A09F2" w:rsidRPr="00461C16" w:rsidRDefault="002A09F2" w:rsidP="00A06EB9">
      <w:pPr>
        <w:pStyle w:val="BodyText"/>
        <w:numPr>
          <w:ilvl w:val="0"/>
          <w:numId w:val="97"/>
        </w:numPr>
        <w:spacing w:before="120" w:after="120"/>
        <w:rPr>
          <w:sz w:val="22"/>
          <w:szCs w:val="22"/>
        </w:rPr>
      </w:pPr>
      <w:r w:rsidRPr="00461C16">
        <w:rPr>
          <w:sz w:val="22"/>
          <w:szCs w:val="22"/>
        </w:rPr>
        <w:t xml:space="preserve">Hledat nejméně konfliktní řešení s ochranou přírody a krajiny. </w:t>
      </w:r>
    </w:p>
    <w:p w14:paraId="3A71A02B" w14:textId="77777777" w:rsidR="00C82801" w:rsidRPr="00461C16" w:rsidRDefault="00C82801" w:rsidP="00C82801">
      <w:pPr>
        <w:pStyle w:val="BodyText"/>
        <w:spacing w:before="120" w:after="120"/>
        <w:rPr>
          <w:i/>
          <w:sz w:val="22"/>
          <w:szCs w:val="22"/>
        </w:rPr>
      </w:pPr>
      <w:r w:rsidRPr="00461C16">
        <w:rPr>
          <w:i/>
          <w:color w:val="000000"/>
          <w:sz w:val="22"/>
          <w:szCs w:val="22"/>
          <w:shd w:val="clear" w:color="auto" w:fill="FFFFFF"/>
        </w:rPr>
        <w:t>viz kap. 1.1.4 Plochy a koridory dopravní infrastruktury</w:t>
      </w:r>
    </w:p>
    <w:p w14:paraId="341A713B" w14:textId="77777777" w:rsidR="002A09F2" w:rsidRPr="00461C16" w:rsidRDefault="00D24F45" w:rsidP="00A06EB9">
      <w:pPr>
        <w:pStyle w:val="BodyText"/>
        <w:numPr>
          <w:ilvl w:val="0"/>
          <w:numId w:val="97"/>
        </w:numPr>
        <w:spacing w:before="120" w:after="120"/>
        <w:rPr>
          <w:sz w:val="22"/>
          <w:szCs w:val="22"/>
        </w:rPr>
      </w:pPr>
      <w:r w:rsidRPr="00461C16">
        <w:rPr>
          <w:sz w:val="22"/>
          <w:szCs w:val="22"/>
        </w:rPr>
        <w:t xml:space="preserve">Zabezpečit podmínky mezinárodních dohod, např. AGC a AGTC. </w:t>
      </w:r>
    </w:p>
    <w:p w14:paraId="7576B594" w14:textId="77777777" w:rsidR="00BB58CC" w:rsidRPr="00461C16" w:rsidRDefault="005328DA" w:rsidP="00BB58CC">
      <w:pPr>
        <w:pStyle w:val="BodyText"/>
        <w:spacing w:before="120" w:after="120"/>
        <w:rPr>
          <w:i/>
          <w:sz w:val="22"/>
          <w:szCs w:val="22"/>
        </w:rPr>
      </w:pPr>
      <w:r w:rsidRPr="00461C16">
        <w:rPr>
          <w:i/>
          <w:color w:val="000000"/>
          <w:sz w:val="22"/>
          <w:szCs w:val="22"/>
          <w:shd w:val="clear" w:color="auto" w:fill="FFFFFF"/>
        </w:rPr>
        <w:t>viz kap. 1.1.4. Plochy a koridory dopravní infrastruktury</w:t>
      </w:r>
    </w:p>
    <w:p w14:paraId="6620E41A" w14:textId="77777777" w:rsidR="00D24F45" w:rsidRPr="00461C16" w:rsidRDefault="00072AFA" w:rsidP="00A06EB9">
      <w:pPr>
        <w:pStyle w:val="BodyText"/>
        <w:numPr>
          <w:ilvl w:val="0"/>
          <w:numId w:val="97"/>
        </w:numPr>
        <w:spacing w:before="120" w:after="120"/>
        <w:rPr>
          <w:sz w:val="22"/>
          <w:szCs w:val="22"/>
        </w:rPr>
      </w:pPr>
      <w:r w:rsidRPr="00461C16">
        <w:rPr>
          <w:sz w:val="22"/>
          <w:szCs w:val="22"/>
        </w:rPr>
        <w:t>Respektovat v zásadách územního rozvoje upřesnění vymezení ploch a koridorů dopravní infrastruktury, při respektování důvodů vymezení a kritérií a podmínek pro rozhodování.</w:t>
      </w:r>
    </w:p>
    <w:p w14:paraId="16DBA4AC" w14:textId="77777777" w:rsidR="00BB58CC" w:rsidRPr="00461C16" w:rsidRDefault="005328DA" w:rsidP="00BB58CC">
      <w:pPr>
        <w:pStyle w:val="BodyText"/>
        <w:spacing w:before="120" w:after="120"/>
        <w:rPr>
          <w:i/>
          <w:sz w:val="22"/>
          <w:szCs w:val="22"/>
        </w:rPr>
      </w:pPr>
      <w:r w:rsidRPr="00461C16">
        <w:rPr>
          <w:i/>
          <w:color w:val="000000"/>
          <w:sz w:val="22"/>
          <w:szCs w:val="22"/>
          <w:shd w:val="clear" w:color="auto" w:fill="FFFFFF"/>
        </w:rPr>
        <w:t>Požadavek se týká ZÚR</w:t>
      </w:r>
      <w:r w:rsidR="003B07D8">
        <w:rPr>
          <w:i/>
          <w:color w:val="000000"/>
          <w:sz w:val="22"/>
          <w:szCs w:val="22"/>
          <w:shd w:val="clear" w:color="auto" w:fill="FFFFFF"/>
        </w:rPr>
        <w:t xml:space="preserve"> LK</w:t>
      </w:r>
      <w:r w:rsidRPr="00461C16">
        <w:rPr>
          <w:i/>
          <w:color w:val="000000"/>
          <w:sz w:val="22"/>
          <w:szCs w:val="22"/>
          <w:shd w:val="clear" w:color="auto" w:fill="FFFFFF"/>
        </w:rPr>
        <w:t>.</w:t>
      </w:r>
    </w:p>
    <w:p w14:paraId="03490B31" w14:textId="77777777" w:rsidR="00D24F45" w:rsidRPr="00461C16" w:rsidRDefault="00072AFA" w:rsidP="00A06EB9">
      <w:pPr>
        <w:pStyle w:val="BodyText"/>
        <w:numPr>
          <w:ilvl w:val="0"/>
          <w:numId w:val="97"/>
        </w:numPr>
        <w:spacing w:before="120" w:after="120"/>
        <w:rPr>
          <w:sz w:val="22"/>
          <w:szCs w:val="22"/>
        </w:rPr>
      </w:pPr>
      <w:r w:rsidRPr="00461C16">
        <w:rPr>
          <w:sz w:val="22"/>
          <w:szCs w:val="22"/>
        </w:rPr>
        <w:t xml:space="preserve">Zajistit územní ochranu vymezených koridorů a ploch, případně územní rezervou. </w:t>
      </w:r>
    </w:p>
    <w:p w14:paraId="243F0CD3" w14:textId="77777777" w:rsidR="00BB58CC" w:rsidRPr="00461C16" w:rsidRDefault="005328DA" w:rsidP="00BB58CC">
      <w:pPr>
        <w:pStyle w:val="BodyText"/>
        <w:spacing w:before="120" w:after="120"/>
        <w:rPr>
          <w:i/>
          <w:sz w:val="22"/>
          <w:szCs w:val="22"/>
        </w:rPr>
      </w:pPr>
      <w:r w:rsidRPr="00461C16">
        <w:rPr>
          <w:i/>
          <w:color w:val="000000"/>
          <w:sz w:val="22"/>
          <w:szCs w:val="22"/>
          <w:shd w:val="clear" w:color="auto" w:fill="FFFFFF"/>
        </w:rPr>
        <w:lastRenderedPageBreak/>
        <w:t>viz kap. 1.1.4. Plochy a koridory dopravní infrastruktury</w:t>
      </w:r>
    </w:p>
    <w:p w14:paraId="21DBD312" w14:textId="77777777" w:rsidR="00D24F45" w:rsidRPr="00461C16" w:rsidRDefault="00072AFA" w:rsidP="00A06EB9">
      <w:pPr>
        <w:pStyle w:val="BodyText"/>
        <w:numPr>
          <w:ilvl w:val="0"/>
          <w:numId w:val="97"/>
        </w:numPr>
        <w:spacing w:before="120" w:after="120"/>
        <w:rPr>
          <w:sz w:val="22"/>
          <w:szCs w:val="22"/>
        </w:rPr>
      </w:pPr>
      <w:r w:rsidRPr="00461C16">
        <w:rPr>
          <w:sz w:val="22"/>
          <w:szCs w:val="22"/>
        </w:rPr>
        <w:t xml:space="preserve">Postupovat při pořizování územně plánovací dokumentace v souladu s kritérii a podmínkami pro rozhodování o změnách v území. </w:t>
      </w:r>
    </w:p>
    <w:p w14:paraId="093D30E9" w14:textId="77777777" w:rsidR="00BB58CC" w:rsidRPr="00461C16" w:rsidRDefault="007B0CDE" w:rsidP="00BB58CC">
      <w:pPr>
        <w:pStyle w:val="BodyText"/>
        <w:spacing w:before="120" w:after="120"/>
        <w:rPr>
          <w:i/>
          <w:sz w:val="22"/>
          <w:szCs w:val="22"/>
        </w:rPr>
      </w:pPr>
      <w:r w:rsidRPr="00461C16">
        <w:rPr>
          <w:i/>
          <w:color w:val="000000"/>
          <w:sz w:val="22"/>
          <w:szCs w:val="22"/>
          <w:shd w:val="clear" w:color="auto" w:fill="FFFFFF"/>
        </w:rPr>
        <w:t>Kritéria a podmínky pro rozhodování relevantní pro ÚP Hrádek nad Nisou jsou respektovány a zohledněny. Způsob jejich zohlednění je vyhodnocen v kap. 1.1. Odůvodnění ÚP – Vyhodnocení souladu s PÚR ČR.</w:t>
      </w:r>
    </w:p>
    <w:p w14:paraId="0B8A062E" w14:textId="77777777" w:rsidR="00072AFA" w:rsidRPr="00461C16" w:rsidRDefault="00072AFA" w:rsidP="00A06EB9">
      <w:pPr>
        <w:pStyle w:val="BodyText"/>
        <w:numPr>
          <w:ilvl w:val="0"/>
          <w:numId w:val="97"/>
        </w:numPr>
        <w:spacing w:before="120" w:after="120"/>
        <w:rPr>
          <w:sz w:val="22"/>
          <w:szCs w:val="22"/>
        </w:rPr>
      </w:pPr>
      <w:r w:rsidRPr="00461C16">
        <w:rPr>
          <w:sz w:val="22"/>
          <w:szCs w:val="22"/>
        </w:rPr>
        <w:t>Řešit územní souvislosti vymezených koridorů a ploch při pořizování územně plánovací dokumentace.</w:t>
      </w:r>
    </w:p>
    <w:p w14:paraId="491BDAA4" w14:textId="77777777" w:rsidR="00BB58CC" w:rsidRPr="00461C16" w:rsidRDefault="005328DA" w:rsidP="00BB58CC">
      <w:pPr>
        <w:pStyle w:val="BodyText"/>
        <w:spacing w:before="120" w:after="120"/>
        <w:rPr>
          <w:i/>
          <w:sz w:val="22"/>
          <w:szCs w:val="22"/>
        </w:rPr>
      </w:pPr>
      <w:r w:rsidRPr="00461C16">
        <w:rPr>
          <w:i/>
          <w:color w:val="000000"/>
          <w:sz w:val="22"/>
          <w:szCs w:val="22"/>
          <w:shd w:val="clear" w:color="auto" w:fill="FFFFFF"/>
        </w:rPr>
        <w:t>viz kap. 1.1.4 Plochy a koridory dopravní infrastruktury</w:t>
      </w:r>
    </w:p>
    <w:p w14:paraId="4C9FADCE" w14:textId="77777777" w:rsidR="00072AFA" w:rsidRPr="00461C16" w:rsidRDefault="00072AFA" w:rsidP="00A06EB9">
      <w:pPr>
        <w:pStyle w:val="BodyText"/>
        <w:numPr>
          <w:ilvl w:val="0"/>
          <w:numId w:val="97"/>
        </w:numPr>
        <w:spacing w:before="120" w:after="120"/>
        <w:rPr>
          <w:sz w:val="22"/>
          <w:szCs w:val="22"/>
        </w:rPr>
      </w:pPr>
      <w:r w:rsidRPr="00461C16">
        <w:rPr>
          <w:sz w:val="22"/>
          <w:szCs w:val="22"/>
        </w:rPr>
        <w:t xml:space="preserve">Zohlednit dotčení řešeného územní koridorem kapacitní silnice S4 – vymezení </w:t>
      </w:r>
      <w:r w:rsidR="00CE2CCD" w:rsidRPr="00461C16">
        <w:rPr>
          <w:sz w:val="22"/>
          <w:szCs w:val="22"/>
        </w:rPr>
        <w:t>Bílý K</w:t>
      </w:r>
      <w:r w:rsidRPr="00461C16">
        <w:rPr>
          <w:sz w:val="22"/>
          <w:szCs w:val="22"/>
        </w:rPr>
        <w:t xml:space="preserve">ostel – Hrádek nad Nisou – hranice ČR. </w:t>
      </w:r>
    </w:p>
    <w:p w14:paraId="24DB84B7" w14:textId="77777777" w:rsidR="00BB58CC" w:rsidRPr="00461C16" w:rsidRDefault="005328DA" w:rsidP="00BB58CC">
      <w:pPr>
        <w:pStyle w:val="BodyText"/>
        <w:spacing w:before="120" w:after="120"/>
        <w:rPr>
          <w:i/>
          <w:sz w:val="22"/>
          <w:szCs w:val="22"/>
        </w:rPr>
      </w:pPr>
      <w:r w:rsidRPr="00461C16">
        <w:rPr>
          <w:i/>
          <w:color w:val="000000"/>
          <w:sz w:val="22"/>
          <w:szCs w:val="22"/>
          <w:shd w:val="clear" w:color="auto" w:fill="FFFFFF"/>
        </w:rPr>
        <w:t>Předmětná silnice byla realizována a je v ÚP stabilizována.</w:t>
      </w:r>
    </w:p>
    <w:p w14:paraId="147F21E5" w14:textId="77777777" w:rsidR="00072AFA" w:rsidRPr="00461C16" w:rsidRDefault="00072AFA" w:rsidP="00A06EB9">
      <w:pPr>
        <w:pStyle w:val="BodyText"/>
        <w:numPr>
          <w:ilvl w:val="0"/>
          <w:numId w:val="97"/>
        </w:numPr>
        <w:spacing w:before="120" w:after="120"/>
        <w:rPr>
          <w:sz w:val="22"/>
          <w:szCs w:val="22"/>
        </w:rPr>
      </w:pPr>
      <w:r w:rsidRPr="00461C16">
        <w:rPr>
          <w:sz w:val="22"/>
          <w:szCs w:val="22"/>
        </w:rPr>
        <w:t>Ve veřejném zájmu chránit a rozvíjet přírodní, civilizační a kulturní hodnoty území, včetně urbanistického, architektonického a archeologického dědictví. Zachovat ráz jedinečné urbanistické struktury územní, struktury osídlení a jedinečné kulturní krajiny, které jsou výrazem identity území, jeho historie a tradice.</w:t>
      </w:r>
    </w:p>
    <w:p w14:paraId="6C44179E" w14:textId="77777777" w:rsidR="004A6B4D" w:rsidRPr="00461C16" w:rsidRDefault="004A6B4D" w:rsidP="004A6B4D">
      <w:pPr>
        <w:pStyle w:val="1text"/>
        <w:rPr>
          <w:i/>
        </w:rPr>
      </w:pPr>
      <w:r w:rsidRPr="00461C16">
        <w:rPr>
          <w:i/>
          <w:color w:val="000000"/>
          <w:shd w:val="clear" w:color="auto" w:fill="FFFFFF"/>
        </w:rPr>
        <w:t>viz kap. 1.1.1 Republikové priority územního plánování -</w:t>
      </w:r>
      <w:r w:rsidR="00B345B4" w:rsidRPr="00461C16">
        <w:rPr>
          <w:i/>
          <w:color w:val="000000"/>
          <w:shd w:val="clear" w:color="auto" w:fill="FFFFFF"/>
        </w:rPr>
        <w:t xml:space="preserve"> </w:t>
      </w:r>
      <w:r w:rsidRPr="00461C16">
        <w:rPr>
          <w:i/>
          <w:color w:val="000000"/>
          <w:shd w:val="clear" w:color="auto" w:fill="FFFFFF"/>
        </w:rPr>
        <w:t>vyhodnocení požadavku č. 14</w:t>
      </w:r>
    </w:p>
    <w:p w14:paraId="0B4B08E7" w14:textId="77777777" w:rsidR="00C5531B" w:rsidRPr="00461C16" w:rsidRDefault="00C5531B" w:rsidP="00A06EB9">
      <w:pPr>
        <w:pStyle w:val="BodyText"/>
        <w:numPr>
          <w:ilvl w:val="0"/>
          <w:numId w:val="97"/>
        </w:numPr>
        <w:spacing w:before="120" w:after="120"/>
        <w:rPr>
          <w:sz w:val="22"/>
          <w:szCs w:val="22"/>
        </w:rPr>
      </w:pPr>
      <w:r w:rsidRPr="00461C16">
        <w:rPr>
          <w:sz w:val="22"/>
          <w:szCs w:val="22"/>
        </w:rPr>
        <w:t xml:space="preserve">Předcházet při změnách nebo vytváření urbánního prostředí prostorově – sociální segregaci a negativními vlivy na sociální soudržnost obyvatel. </w:t>
      </w:r>
    </w:p>
    <w:p w14:paraId="58A14D2C"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934C28"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BB58CC" w:rsidRPr="00461C16">
        <w:rPr>
          <w:i/>
          <w:color w:val="000000"/>
          <w:sz w:val="22"/>
          <w:szCs w:val="22"/>
          <w:shd w:val="clear" w:color="auto" w:fill="FFFFFF"/>
        </w:rPr>
        <w:t>vyhodnocení</w:t>
      </w:r>
      <w:r w:rsidR="00934C28" w:rsidRPr="00461C16">
        <w:rPr>
          <w:i/>
          <w:color w:val="000000"/>
          <w:sz w:val="22"/>
          <w:szCs w:val="22"/>
          <w:shd w:val="clear" w:color="auto" w:fill="FFFFFF"/>
        </w:rPr>
        <w:t xml:space="preserve"> požadavku č. 15</w:t>
      </w:r>
    </w:p>
    <w:p w14:paraId="3F1A8739"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P</w:t>
      </w:r>
      <w:r w:rsidRPr="00461C16">
        <w:rPr>
          <w:rFonts w:cs="TimesNewRoman"/>
          <w:lang w:eastAsia="cs-CZ"/>
        </w:rPr>
        <w:t>ř</w:t>
      </w:r>
      <w:r w:rsidRPr="00461C16">
        <w:rPr>
          <w:lang w:eastAsia="cs-CZ"/>
        </w:rPr>
        <w:t>i stanovování zp</w:t>
      </w:r>
      <w:r w:rsidRPr="00461C16">
        <w:rPr>
          <w:rFonts w:cs="TimesNewRoman"/>
          <w:lang w:eastAsia="cs-CZ"/>
        </w:rPr>
        <w:t>ů</w:t>
      </w:r>
      <w:r w:rsidRPr="00461C16">
        <w:rPr>
          <w:lang w:eastAsia="cs-CZ"/>
        </w:rPr>
        <w:t>sobu využití území v územn</w:t>
      </w:r>
      <w:r w:rsidRPr="00461C16">
        <w:rPr>
          <w:rFonts w:cs="TimesNewRoman"/>
          <w:lang w:eastAsia="cs-CZ"/>
        </w:rPr>
        <w:t xml:space="preserve">ě </w:t>
      </w:r>
      <w:r w:rsidRPr="00461C16">
        <w:rPr>
          <w:lang w:eastAsia="cs-CZ"/>
        </w:rPr>
        <w:t>plánovací dokumentaci up</w:t>
      </w:r>
      <w:r w:rsidRPr="00461C16">
        <w:rPr>
          <w:rFonts w:cs="TimesNewRoman"/>
          <w:lang w:eastAsia="cs-CZ"/>
        </w:rPr>
        <w:t>ř</w:t>
      </w:r>
      <w:r w:rsidRPr="00461C16">
        <w:rPr>
          <w:lang w:eastAsia="cs-CZ"/>
        </w:rPr>
        <w:t xml:space="preserve">ednostnit komplexní </w:t>
      </w:r>
      <w:r w:rsidRPr="00461C16">
        <w:rPr>
          <w:rFonts w:cs="TimesNewRoman"/>
          <w:lang w:eastAsia="cs-CZ"/>
        </w:rPr>
        <w:t>ř</w:t>
      </w:r>
      <w:r w:rsidRPr="00461C16">
        <w:rPr>
          <w:lang w:eastAsia="cs-CZ"/>
        </w:rPr>
        <w:t>ešení p</w:t>
      </w:r>
      <w:r w:rsidRPr="00461C16">
        <w:rPr>
          <w:rFonts w:cs="TimesNewRoman"/>
          <w:lang w:eastAsia="cs-CZ"/>
        </w:rPr>
        <w:t>ř</w:t>
      </w:r>
      <w:r w:rsidRPr="00461C16">
        <w:rPr>
          <w:lang w:eastAsia="cs-CZ"/>
        </w:rPr>
        <w:t>ed uplat</w:t>
      </w:r>
      <w:r w:rsidRPr="00461C16">
        <w:rPr>
          <w:rFonts w:cs="TimesNewRoman"/>
          <w:lang w:eastAsia="cs-CZ"/>
        </w:rPr>
        <w:t>ň</w:t>
      </w:r>
      <w:r w:rsidRPr="00461C16">
        <w:rPr>
          <w:lang w:eastAsia="cs-CZ"/>
        </w:rPr>
        <w:t>ováním jednostranných hledisek a požadavk</w:t>
      </w:r>
      <w:r w:rsidRPr="00461C16">
        <w:rPr>
          <w:rFonts w:cs="TimesNewRoman"/>
          <w:lang w:eastAsia="cs-CZ"/>
        </w:rPr>
        <w:t>ů</w:t>
      </w:r>
      <w:r w:rsidRPr="00461C16">
        <w:rPr>
          <w:lang w:eastAsia="cs-CZ"/>
        </w:rPr>
        <w:t>, které ve svých d</w:t>
      </w:r>
      <w:r w:rsidRPr="00461C16">
        <w:rPr>
          <w:rFonts w:cs="TimesNewRoman"/>
          <w:lang w:eastAsia="cs-CZ"/>
        </w:rPr>
        <w:t>ů</w:t>
      </w:r>
      <w:r w:rsidRPr="00461C16">
        <w:rPr>
          <w:lang w:eastAsia="cs-CZ"/>
        </w:rPr>
        <w:t>sledcích zhoršují stav i hodnoty území. P</w:t>
      </w:r>
      <w:r w:rsidRPr="00461C16">
        <w:rPr>
          <w:rFonts w:cs="TimesNewRoman"/>
          <w:lang w:eastAsia="cs-CZ"/>
        </w:rPr>
        <w:t>ř</w:t>
      </w:r>
      <w:r w:rsidRPr="00461C16">
        <w:rPr>
          <w:lang w:eastAsia="cs-CZ"/>
        </w:rPr>
        <w:t xml:space="preserve">i </w:t>
      </w:r>
      <w:r w:rsidRPr="00461C16">
        <w:rPr>
          <w:rFonts w:cs="TimesNewRoman"/>
          <w:lang w:eastAsia="cs-CZ"/>
        </w:rPr>
        <w:t>ř</w:t>
      </w:r>
      <w:r w:rsidRPr="00461C16">
        <w:rPr>
          <w:lang w:eastAsia="cs-CZ"/>
        </w:rPr>
        <w:t>ešení ochrany hodnot území je nezbytné zohled</w:t>
      </w:r>
      <w:r w:rsidRPr="00461C16">
        <w:rPr>
          <w:rFonts w:cs="TimesNewRoman"/>
          <w:lang w:eastAsia="cs-CZ"/>
        </w:rPr>
        <w:t>ň</w:t>
      </w:r>
      <w:r w:rsidRPr="00461C16">
        <w:rPr>
          <w:lang w:eastAsia="cs-CZ"/>
        </w:rPr>
        <w:t>ovat také požadavky na zvyšování kvality života obyvatel a hospodá</w:t>
      </w:r>
      <w:r w:rsidRPr="00461C16">
        <w:rPr>
          <w:rFonts w:cs="TimesNewRoman"/>
          <w:lang w:eastAsia="cs-CZ"/>
        </w:rPr>
        <w:t>ř</w:t>
      </w:r>
      <w:r w:rsidRPr="00461C16">
        <w:rPr>
          <w:lang w:eastAsia="cs-CZ"/>
        </w:rPr>
        <w:t xml:space="preserve">ského rozvoje území. Vhodná </w:t>
      </w:r>
      <w:r w:rsidRPr="00461C16">
        <w:rPr>
          <w:rFonts w:cs="TimesNewRoman"/>
          <w:lang w:eastAsia="cs-CZ"/>
        </w:rPr>
        <w:t>ř</w:t>
      </w:r>
      <w:r w:rsidRPr="00461C16">
        <w:rPr>
          <w:lang w:eastAsia="cs-CZ"/>
        </w:rPr>
        <w:t>ešení územního rozvoje je zapot</w:t>
      </w:r>
      <w:r w:rsidRPr="00461C16">
        <w:rPr>
          <w:rFonts w:cs="TimesNewRoman"/>
          <w:lang w:eastAsia="cs-CZ"/>
        </w:rPr>
        <w:t>ř</w:t>
      </w:r>
      <w:r w:rsidRPr="00461C16">
        <w:rPr>
          <w:lang w:eastAsia="cs-CZ"/>
        </w:rPr>
        <w:t>ebí hledat ve spolupráci s obyvateli území i s jeho uživateli a v souladu s ur</w:t>
      </w:r>
      <w:r w:rsidRPr="00461C16">
        <w:rPr>
          <w:rFonts w:cs="TimesNewRoman"/>
          <w:lang w:eastAsia="cs-CZ"/>
        </w:rPr>
        <w:t>č</w:t>
      </w:r>
      <w:r w:rsidRPr="00461C16">
        <w:rPr>
          <w:lang w:eastAsia="cs-CZ"/>
        </w:rPr>
        <w:t>ením a charakterem oblastí, os, ploch a koridor</w:t>
      </w:r>
      <w:r w:rsidRPr="00461C16">
        <w:rPr>
          <w:rFonts w:cs="TimesNewRoman"/>
          <w:lang w:eastAsia="cs-CZ"/>
        </w:rPr>
        <w:t xml:space="preserve">ů </w:t>
      </w:r>
      <w:r w:rsidRPr="00461C16">
        <w:rPr>
          <w:lang w:eastAsia="cs-CZ"/>
        </w:rPr>
        <w:t xml:space="preserve">vymezených v PÚR </w:t>
      </w:r>
      <w:r w:rsidRPr="00461C16">
        <w:rPr>
          <w:rFonts w:cs="TimesNewRoman"/>
          <w:lang w:eastAsia="cs-CZ"/>
        </w:rPr>
        <w:t>Č</w:t>
      </w:r>
      <w:r w:rsidRPr="00461C16">
        <w:rPr>
          <w:lang w:eastAsia="cs-CZ"/>
        </w:rPr>
        <w:t>R.</w:t>
      </w:r>
    </w:p>
    <w:p w14:paraId="77C2614E"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934C28"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934C28" w:rsidRPr="00461C16">
        <w:rPr>
          <w:i/>
          <w:color w:val="000000"/>
          <w:sz w:val="22"/>
          <w:szCs w:val="22"/>
          <w:shd w:val="clear" w:color="auto" w:fill="FFFFFF"/>
        </w:rPr>
        <w:t>vyhodnocení požadavku č. 16</w:t>
      </w:r>
    </w:p>
    <w:p w14:paraId="771BF81A"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Podporovat polycentrický rozvoj sídelní struktury. Vytvářet předpoklady pro posílení partnerství mezi městskými a venkovskými oblastmi a zlepšit tak jejich konkurenceschopnost.</w:t>
      </w:r>
    </w:p>
    <w:p w14:paraId="0709E693"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934C28"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934C28" w:rsidRPr="00461C16">
        <w:rPr>
          <w:i/>
          <w:color w:val="000000"/>
          <w:sz w:val="22"/>
          <w:szCs w:val="22"/>
          <w:shd w:val="clear" w:color="auto" w:fill="FFFFFF"/>
        </w:rPr>
        <w:t>vyhodnocení požadavku č. 18</w:t>
      </w:r>
    </w:p>
    <w:p w14:paraId="21DF42E3"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Vytvá</w:t>
      </w:r>
      <w:r w:rsidRPr="00461C16">
        <w:rPr>
          <w:rFonts w:cs="TimesNewRoman"/>
          <w:lang w:eastAsia="cs-CZ"/>
        </w:rPr>
        <w:t>ř</w:t>
      </w:r>
      <w:r w:rsidRPr="00461C16">
        <w:rPr>
          <w:lang w:eastAsia="cs-CZ"/>
        </w:rPr>
        <w:t>et p</w:t>
      </w:r>
      <w:r w:rsidRPr="00461C16">
        <w:rPr>
          <w:rFonts w:cs="TimesNewRoman"/>
          <w:lang w:eastAsia="cs-CZ"/>
        </w:rPr>
        <w:t>ř</w:t>
      </w:r>
      <w:r w:rsidRPr="00461C16">
        <w:rPr>
          <w:lang w:eastAsia="cs-CZ"/>
        </w:rPr>
        <w:t>edpoklady pro polyfunk</w:t>
      </w:r>
      <w:r w:rsidRPr="00461C16">
        <w:rPr>
          <w:rFonts w:cs="TimesNewRoman"/>
          <w:lang w:eastAsia="cs-CZ"/>
        </w:rPr>
        <w:t>č</w:t>
      </w:r>
      <w:r w:rsidRPr="00461C16">
        <w:rPr>
          <w:lang w:eastAsia="cs-CZ"/>
        </w:rPr>
        <w:t>ní využívání opušt</w:t>
      </w:r>
      <w:r w:rsidRPr="00461C16">
        <w:rPr>
          <w:rFonts w:cs="TimesNewRoman"/>
          <w:lang w:eastAsia="cs-CZ"/>
        </w:rPr>
        <w:t>ě</w:t>
      </w:r>
      <w:r w:rsidRPr="00461C16">
        <w:rPr>
          <w:lang w:eastAsia="cs-CZ"/>
        </w:rPr>
        <w:t>ných areál</w:t>
      </w:r>
      <w:r w:rsidRPr="00461C16">
        <w:rPr>
          <w:rFonts w:cs="TimesNewRoman"/>
          <w:lang w:eastAsia="cs-CZ"/>
        </w:rPr>
        <w:t xml:space="preserve">ů </w:t>
      </w:r>
      <w:r w:rsidRPr="00461C16">
        <w:rPr>
          <w:lang w:eastAsia="cs-CZ"/>
        </w:rPr>
        <w:t>a ploch. Hospodárn</w:t>
      </w:r>
      <w:r w:rsidRPr="00461C16">
        <w:rPr>
          <w:rFonts w:cs="TimesNewRoman"/>
          <w:lang w:eastAsia="cs-CZ"/>
        </w:rPr>
        <w:t xml:space="preserve">ě </w:t>
      </w:r>
      <w:r w:rsidRPr="00461C16">
        <w:rPr>
          <w:lang w:eastAsia="cs-CZ"/>
        </w:rPr>
        <w:t>využívat zastav</w:t>
      </w:r>
      <w:r w:rsidRPr="00461C16">
        <w:rPr>
          <w:rFonts w:cs="TimesNewRoman"/>
          <w:lang w:eastAsia="cs-CZ"/>
        </w:rPr>
        <w:t>ě</w:t>
      </w:r>
      <w:r w:rsidRPr="00461C16">
        <w:rPr>
          <w:lang w:eastAsia="cs-CZ"/>
        </w:rPr>
        <w:t>né území a zajistit ochranu nezastav</w:t>
      </w:r>
      <w:r w:rsidRPr="00461C16">
        <w:rPr>
          <w:rFonts w:cs="TimesNewRoman"/>
          <w:lang w:eastAsia="cs-CZ"/>
        </w:rPr>
        <w:t>ě</w:t>
      </w:r>
      <w:r w:rsidRPr="00461C16">
        <w:rPr>
          <w:lang w:eastAsia="cs-CZ"/>
        </w:rPr>
        <w:t>ného území a zachování ve</w:t>
      </w:r>
      <w:r w:rsidRPr="00461C16">
        <w:rPr>
          <w:rFonts w:cs="TimesNewRoman"/>
          <w:lang w:eastAsia="cs-CZ"/>
        </w:rPr>
        <w:t>ř</w:t>
      </w:r>
      <w:r w:rsidRPr="00461C16">
        <w:rPr>
          <w:lang w:eastAsia="cs-CZ"/>
        </w:rPr>
        <w:t>ejné</w:t>
      </w:r>
      <w:r w:rsidRPr="00461C16">
        <w:rPr>
          <w:rFonts w:cs="TimesNewRoman"/>
          <w:lang w:eastAsia="cs-CZ"/>
        </w:rPr>
        <w:t xml:space="preserve"> </w:t>
      </w:r>
      <w:r w:rsidRPr="00461C16">
        <w:rPr>
          <w:lang w:eastAsia="cs-CZ"/>
        </w:rPr>
        <w:t>zelen</w:t>
      </w:r>
      <w:r w:rsidRPr="00461C16">
        <w:rPr>
          <w:rFonts w:cs="TimesNewRoman"/>
          <w:lang w:eastAsia="cs-CZ"/>
        </w:rPr>
        <w:t>ě</w:t>
      </w:r>
      <w:r w:rsidRPr="00461C16">
        <w:rPr>
          <w:lang w:eastAsia="cs-CZ"/>
        </w:rPr>
        <w:t>. Cílem je ú</w:t>
      </w:r>
      <w:r w:rsidRPr="00461C16">
        <w:rPr>
          <w:rFonts w:cs="TimesNewRoman"/>
          <w:lang w:eastAsia="cs-CZ"/>
        </w:rPr>
        <w:t>č</w:t>
      </w:r>
      <w:r w:rsidRPr="00461C16">
        <w:rPr>
          <w:lang w:eastAsia="cs-CZ"/>
        </w:rPr>
        <w:t>elné využívání a uspo</w:t>
      </w:r>
      <w:r w:rsidRPr="00461C16">
        <w:rPr>
          <w:rFonts w:cs="TimesNewRoman"/>
          <w:lang w:eastAsia="cs-CZ"/>
        </w:rPr>
        <w:t>ř</w:t>
      </w:r>
      <w:r w:rsidRPr="00461C16">
        <w:rPr>
          <w:lang w:eastAsia="cs-CZ"/>
        </w:rPr>
        <w:t>ádání území úsporné v nárocích na ve</w:t>
      </w:r>
      <w:r w:rsidRPr="00461C16">
        <w:rPr>
          <w:rFonts w:cs="TimesNewRoman"/>
          <w:lang w:eastAsia="cs-CZ"/>
        </w:rPr>
        <w:t>ř</w:t>
      </w:r>
      <w:r w:rsidRPr="00461C16">
        <w:rPr>
          <w:lang w:eastAsia="cs-CZ"/>
        </w:rPr>
        <w:t>ejné</w:t>
      </w:r>
      <w:r w:rsidRPr="00461C16">
        <w:rPr>
          <w:rFonts w:cs="TimesNewRoman"/>
          <w:lang w:eastAsia="cs-CZ"/>
        </w:rPr>
        <w:t xml:space="preserve"> </w:t>
      </w:r>
      <w:r w:rsidRPr="00461C16">
        <w:rPr>
          <w:lang w:eastAsia="cs-CZ"/>
        </w:rPr>
        <w:t>rozpo</w:t>
      </w:r>
      <w:r w:rsidRPr="00461C16">
        <w:rPr>
          <w:rFonts w:cs="TimesNewRoman"/>
          <w:lang w:eastAsia="cs-CZ"/>
        </w:rPr>
        <w:t>č</w:t>
      </w:r>
      <w:r w:rsidRPr="00461C16">
        <w:rPr>
          <w:lang w:eastAsia="cs-CZ"/>
        </w:rPr>
        <w:t>ty na dopravu a energie, které koordinací ve</w:t>
      </w:r>
      <w:r w:rsidRPr="00461C16">
        <w:rPr>
          <w:rFonts w:cs="TimesNewRoman"/>
          <w:lang w:eastAsia="cs-CZ"/>
        </w:rPr>
        <w:t>ř</w:t>
      </w:r>
      <w:r w:rsidRPr="00461C16">
        <w:rPr>
          <w:lang w:eastAsia="cs-CZ"/>
        </w:rPr>
        <w:t>ejných a soukromých zájm</w:t>
      </w:r>
      <w:r w:rsidRPr="00461C16">
        <w:rPr>
          <w:rFonts w:cs="TimesNewRoman"/>
          <w:lang w:eastAsia="cs-CZ"/>
        </w:rPr>
        <w:t xml:space="preserve">ů </w:t>
      </w:r>
      <w:r w:rsidRPr="00461C16">
        <w:rPr>
          <w:lang w:eastAsia="cs-CZ"/>
        </w:rPr>
        <w:t>na rozvoji</w:t>
      </w:r>
      <w:r w:rsidRPr="00461C16">
        <w:rPr>
          <w:rFonts w:cs="TimesNewRoman"/>
          <w:lang w:eastAsia="cs-CZ"/>
        </w:rPr>
        <w:t xml:space="preserve"> </w:t>
      </w:r>
      <w:r w:rsidRPr="00461C16">
        <w:rPr>
          <w:lang w:eastAsia="cs-CZ"/>
        </w:rPr>
        <w:t>území omezuje negativní d</w:t>
      </w:r>
      <w:r w:rsidRPr="00461C16">
        <w:rPr>
          <w:rFonts w:cs="TimesNewRoman"/>
          <w:lang w:eastAsia="cs-CZ"/>
        </w:rPr>
        <w:t>ů</w:t>
      </w:r>
      <w:r w:rsidRPr="00461C16">
        <w:rPr>
          <w:lang w:eastAsia="cs-CZ"/>
        </w:rPr>
        <w:t>sledky suburbanizace pro udržitelný rozvoj území.</w:t>
      </w:r>
    </w:p>
    <w:p w14:paraId="0D15BBC2"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934C28"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934C28" w:rsidRPr="00461C16">
        <w:rPr>
          <w:i/>
          <w:color w:val="000000"/>
          <w:sz w:val="22"/>
          <w:szCs w:val="22"/>
          <w:shd w:val="clear" w:color="auto" w:fill="FFFFFF"/>
        </w:rPr>
        <w:t>vyhodnocení požadavku č. 19</w:t>
      </w:r>
    </w:p>
    <w:p w14:paraId="15D0CB49"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Rozvojové zám</w:t>
      </w:r>
      <w:r w:rsidRPr="00461C16">
        <w:rPr>
          <w:rFonts w:cs="TimesNewRoman"/>
          <w:lang w:eastAsia="cs-CZ"/>
        </w:rPr>
        <w:t>ě</w:t>
      </w:r>
      <w:r w:rsidRPr="00461C16">
        <w:rPr>
          <w:lang w:eastAsia="cs-CZ"/>
        </w:rPr>
        <w:t>ry, které mohou významn</w:t>
      </w:r>
      <w:r w:rsidRPr="00461C16">
        <w:rPr>
          <w:rFonts w:cs="TimesNewRoman"/>
          <w:lang w:eastAsia="cs-CZ"/>
        </w:rPr>
        <w:t xml:space="preserve">ě </w:t>
      </w:r>
      <w:r w:rsidRPr="00461C16">
        <w:rPr>
          <w:lang w:eastAsia="cs-CZ"/>
        </w:rPr>
        <w:t>ovlivnit charakter krajiny, umís</w:t>
      </w:r>
      <w:r w:rsidRPr="00461C16">
        <w:rPr>
          <w:rFonts w:cs="TimesNewRoman"/>
          <w:lang w:eastAsia="cs-CZ"/>
        </w:rPr>
        <w:t>ť</w:t>
      </w:r>
      <w:r w:rsidRPr="00461C16">
        <w:rPr>
          <w:lang w:eastAsia="cs-CZ"/>
        </w:rPr>
        <w:t>ovat do co nejmén</w:t>
      </w:r>
      <w:r w:rsidRPr="00461C16">
        <w:rPr>
          <w:rFonts w:cs="TimesNewRoman"/>
          <w:lang w:eastAsia="cs-CZ"/>
        </w:rPr>
        <w:t xml:space="preserve">ě </w:t>
      </w:r>
      <w:r w:rsidRPr="00461C16">
        <w:rPr>
          <w:lang w:eastAsia="cs-CZ"/>
        </w:rPr>
        <w:t>konfliktních lokalit a následn</w:t>
      </w:r>
      <w:r w:rsidRPr="00461C16">
        <w:rPr>
          <w:rFonts w:cs="TimesNewRoman"/>
          <w:lang w:eastAsia="cs-CZ"/>
        </w:rPr>
        <w:t xml:space="preserve">ě </w:t>
      </w:r>
      <w:r w:rsidRPr="00461C16">
        <w:rPr>
          <w:lang w:eastAsia="cs-CZ"/>
        </w:rPr>
        <w:t>podporovat pot</w:t>
      </w:r>
      <w:r w:rsidRPr="00461C16">
        <w:rPr>
          <w:rFonts w:cs="TimesNewRoman"/>
          <w:lang w:eastAsia="cs-CZ"/>
        </w:rPr>
        <w:t>ř</w:t>
      </w:r>
      <w:r w:rsidRPr="00461C16">
        <w:rPr>
          <w:lang w:eastAsia="cs-CZ"/>
        </w:rPr>
        <w:t>ebná kompenza</w:t>
      </w:r>
      <w:r w:rsidRPr="00461C16">
        <w:rPr>
          <w:rFonts w:cs="TimesNewRoman"/>
          <w:lang w:eastAsia="cs-CZ"/>
        </w:rPr>
        <w:t>č</w:t>
      </w:r>
      <w:r w:rsidRPr="00461C16">
        <w:rPr>
          <w:lang w:eastAsia="cs-CZ"/>
        </w:rPr>
        <w:t>ní opat</w:t>
      </w:r>
      <w:r w:rsidRPr="00461C16">
        <w:rPr>
          <w:rFonts w:cs="TimesNewRoman"/>
          <w:lang w:eastAsia="cs-CZ"/>
        </w:rPr>
        <w:t>ř</w:t>
      </w:r>
      <w:r w:rsidRPr="00461C16">
        <w:rPr>
          <w:lang w:eastAsia="cs-CZ"/>
        </w:rPr>
        <w:t>ení. S ohledem na to p</w:t>
      </w:r>
      <w:r w:rsidRPr="00461C16">
        <w:rPr>
          <w:rFonts w:cs="TimesNewRoman"/>
          <w:lang w:eastAsia="cs-CZ"/>
        </w:rPr>
        <w:t>ř</w:t>
      </w:r>
      <w:r w:rsidRPr="00461C16">
        <w:rPr>
          <w:lang w:eastAsia="cs-CZ"/>
        </w:rPr>
        <w:t>i územn</w:t>
      </w:r>
      <w:r w:rsidRPr="00461C16">
        <w:rPr>
          <w:rFonts w:cs="TimesNewRoman"/>
          <w:lang w:eastAsia="cs-CZ"/>
        </w:rPr>
        <w:t xml:space="preserve">ě </w:t>
      </w:r>
      <w:r w:rsidRPr="00461C16">
        <w:rPr>
          <w:lang w:eastAsia="cs-CZ"/>
        </w:rPr>
        <w:t xml:space="preserve">plánovací </w:t>
      </w:r>
      <w:r w:rsidRPr="00461C16">
        <w:rPr>
          <w:rFonts w:cs="TimesNewRoman"/>
          <w:lang w:eastAsia="cs-CZ"/>
        </w:rPr>
        <w:t>č</w:t>
      </w:r>
      <w:r w:rsidRPr="00461C16">
        <w:rPr>
          <w:lang w:eastAsia="cs-CZ"/>
        </w:rPr>
        <w:t>innosti, pokud je to možné a od</w:t>
      </w:r>
      <w:r w:rsidRPr="00461C16">
        <w:rPr>
          <w:rFonts w:cs="TimesNewRoman"/>
          <w:lang w:eastAsia="cs-CZ"/>
        </w:rPr>
        <w:t>ů</w:t>
      </w:r>
      <w:r w:rsidRPr="00461C16">
        <w:rPr>
          <w:lang w:eastAsia="cs-CZ"/>
        </w:rPr>
        <w:t>vodn</w:t>
      </w:r>
      <w:r w:rsidRPr="00461C16">
        <w:rPr>
          <w:rFonts w:cs="TimesNewRoman"/>
          <w:lang w:eastAsia="cs-CZ"/>
        </w:rPr>
        <w:t>ě</w:t>
      </w:r>
      <w:r w:rsidRPr="00461C16">
        <w:rPr>
          <w:lang w:eastAsia="cs-CZ"/>
        </w:rPr>
        <w:t>né, respektovat ve</w:t>
      </w:r>
      <w:r w:rsidRPr="00461C16">
        <w:rPr>
          <w:rFonts w:cs="TimesNewRoman"/>
          <w:lang w:eastAsia="cs-CZ"/>
        </w:rPr>
        <w:t>ř</w:t>
      </w:r>
      <w:r w:rsidRPr="00461C16">
        <w:rPr>
          <w:lang w:eastAsia="cs-CZ"/>
        </w:rPr>
        <w:t>ejné zájmy nap</w:t>
      </w:r>
      <w:r w:rsidRPr="00461C16">
        <w:rPr>
          <w:rFonts w:cs="TimesNewRoman"/>
          <w:lang w:eastAsia="cs-CZ"/>
        </w:rPr>
        <w:t>ř</w:t>
      </w:r>
      <w:r w:rsidRPr="00461C16">
        <w:rPr>
          <w:lang w:eastAsia="cs-CZ"/>
        </w:rPr>
        <w:t>. ochrany biologické rozmanitosti a kvality životního prost</w:t>
      </w:r>
      <w:r w:rsidRPr="00461C16">
        <w:rPr>
          <w:rFonts w:cs="TimesNewRoman"/>
          <w:lang w:eastAsia="cs-CZ"/>
        </w:rPr>
        <w:t>ř</w:t>
      </w:r>
      <w:r w:rsidRPr="00461C16">
        <w:rPr>
          <w:lang w:eastAsia="cs-CZ"/>
        </w:rPr>
        <w:t>edí, zejména formou d</w:t>
      </w:r>
      <w:r w:rsidRPr="00461C16">
        <w:rPr>
          <w:rFonts w:cs="TimesNewRoman"/>
          <w:lang w:eastAsia="cs-CZ"/>
        </w:rPr>
        <w:t>ů</w:t>
      </w:r>
      <w:r w:rsidRPr="00461C16">
        <w:rPr>
          <w:lang w:eastAsia="cs-CZ"/>
        </w:rPr>
        <w:t>sledné ochrany zvlášt</w:t>
      </w:r>
      <w:r w:rsidRPr="00461C16">
        <w:rPr>
          <w:rFonts w:cs="TimesNewRoman"/>
          <w:lang w:eastAsia="cs-CZ"/>
        </w:rPr>
        <w:t xml:space="preserve">ě </w:t>
      </w:r>
      <w:r w:rsidRPr="00461C16">
        <w:rPr>
          <w:lang w:eastAsia="cs-CZ"/>
        </w:rPr>
        <w:t>chrán</w:t>
      </w:r>
      <w:r w:rsidRPr="00461C16">
        <w:rPr>
          <w:rFonts w:cs="TimesNewRoman"/>
          <w:lang w:eastAsia="cs-CZ"/>
        </w:rPr>
        <w:t>ě</w:t>
      </w:r>
      <w:r w:rsidRPr="00461C16">
        <w:rPr>
          <w:lang w:eastAsia="cs-CZ"/>
        </w:rPr>
        <w:t>ných území, lokalit soustavy Natura 2000, mok</w:t>
      </w:r>
      <w:r w:rsidRPr="00461C16">
        <w:rPr>
          <w:rFonts w:cs="TimesNewRoman"/>
          <w:lang w:eastAsia="cs-CZ"/>
        </w:rPr>
        <w:t>ř</w:t>
      </w:r>
      <w:r w:rsidRPr="00461C16">
        <w:rPr>
          <w:lang w:eastAsia="cs-CZ"/>
        </w:rPr>
        <w:t>ad</w:t>
      </w:r>
      <w:r w:rsidRPr="00461C16">
        <w:rPr>
          <w:rFonts w:cs="TimesNewRoman"/>
          <w:lang w:eastAsia="cs-CZ"/>
        </w:rPr>
        <w:t>ů</w:t>
      </w:r>
      <w:r w:rsidRPr="00461C16">
        <w:rPr>
          <w:lang w:eastAsia="cs-CZ"/>
        </w:rPr>
        <w:t>, ochranných pásem vodních zdroj</w:t>
      </w:r>
      <w:r w:rsidRPr="00461C16">
        <w:rPr>
          <w:rFonts w:cs="TimesNewRoman"/>
          <w:lang w:eastAsia="cs-CZ"/>
        </w:rPr>
        <w:t>ů</w:t>
      </w:r>
      <w:r w:rsidRPr="00461C16">
        <w:rPr>
          <w:lang w:eastAsia="cs-CZ"/>
        </w:rPr>
        <w:t>, chrán</w:t>
      </w:r>
      <w:r w:rsidRPr="00461C16">
        <w:rPr>
          <w:rFonts w:cs="TimesNewRoman"/>
          <w:lang w:eastAsia="cs-CZ"/>
        </w:rPr>
        <w:t>ě</w:t>
      </w:r>
      <w:r w:rsidRPr="00461C16">
        <w:rPr>
          <w:lang w:eastAsia="cs-CZ"/>
        </w:rPr>
        <w:t>né oblasti p</w:t>
      </w:r>
      <w:r w:rsidRPr="00461C16">
        <w:rPr>
          <w:rFonts w:cs="TimesNewRoman"/>
          <w:lang w:eastAsia="cs-CZ"/>
        </w:rPr>
        <w:t>ř</w:t>
      </w:r>
      <w:r w:rsidRPr="00461C16">
        <w:rPr>
          <w:lang w:eastAsia="cs-CZ"/>
        </w:rPr>
        <w:t>irozené akumulace vod a nerostného bohatství, ochrany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lského a lesního p</w:t>
      </w:r>
      <w:r w:rsidRPr="00461C16">
        <w:rPr>
          <w:rFonts w:cs="TimesNewRoman"/>
          <w:lang w:eastAsia="cs-CZ"/>
        </w:rPr>
        <w:t>ů</w:t>
      </w:r>
      <w:r w:rsidRPr="00461C16">
        <w:rPr>
          <w:lang w:eastAsia="cs-CZ"/>
        </w:rPr>
        <w:t>dního fondu. Vytvá</w:t>
      </w:r>
      <w:r w:rsidRPr="00461C16">
        <w:rPr>
          <w:rFonts w:cs="TimesNewRoman"/>
          <w:lang w:eastAsia="cs-CZ"/>
        </w:rPr>
        <w:t>ř</w:t>
      </w:r>
      <w:r w:rsidRPr="00461C16">
        <w:rPr>
          <w:lang w:eastAsia="cs-CZ"/>
        </w:rPr>
        <w:t>et územní podmínky pro respektování ÚSES a vytvá</w:t>
      </w:r>
      <w:r w:rsidRPr="00461C16">
        <w:rPr>
          <w:rFonts w:cs="TimesNewRoman"/>
          <w:lang w:eastAsia="cs-CZ"/>
        </w:rPr>
        <w:t>ř</w:t>
      </w:r>
      <w:r w:rsidRPr="00461C16">
        <w:rPr>
          <w:lang w:eastAsia="cs-CZ"/>
        </w:rPr>
        <w:t>et podmínky pro ochranu krajinného rázu.</w:t>
      </w:r>
    </w:p>
    <w:p w14:paraId="06135FC7"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CD4535"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CD4535" w:rsidRPr="00461C16">
        <w:rPr>
          <w:i/>
          <w:color w:val="000000"/>
          <w:sz w:val="22"/>
          <w:szCs w:val="22"/>
          <w:shd w:val="clear" w:color="auto" w:fill="FFFFFF"/>
        </w:rPr>
        <w:t>vyhodnocení požadavku č. 20</w:t>
      </w:r>
    </w:p>
    <w:p w14:paraId="304E07DF"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Vytvá</w:t>
      </w:r>
      <w:r w:rsidRPr="00461C16">
        <w:rPr>
          <w:rFonts w:cs="TimesNewRoman"/>
          <w:lang w:eastAsia="cs-CZ"/>
        </w:rPr>
        <w:t>ř</w:t>
      </w:r>
      <w:r w:rsidRPr="00461C16">
        <w:rPr>
          <w:lang w:eastAsia="cs-CZ"/>
        </w:rPr>
        <w:t>et podmínky pro zlepšování dostupnosti území rozši</w:t>
      </w:r>
      <w:r w:rsidRPr="00461C16">
        <w:rPr>
          <w:rFonts w:cs="TimesNewRoman"/>
          <w:lang w:eastAsia="cs-CZ"/>
        </w:rPr>
        <w:t>ř</w:t>
      </w:r>
      <w:r w:rsidRPr="00461C16">
        <w:rPr>
          <w:lang w:eastAsia="cs-CZ"/>
        </w:rPr>
        <w:t>ováním a zkvalit</w:t>
      </w:r>
      <w:r w:rsidRPr="00461C16">
        <w:rPr>
          <w:rFonts w:cs="TimesNewRoman"/>
          <w:lang w:eastAsia="cs-CZ"/>
        </w:rPr>
        <w:t>ň</w:t>
      </w:r>
      <w:r w:rsidRPr="00461C16">
        <w:rPr>
          <w:lang w:eastAsia="cs-CZ"/>
        </w:rPr>
        <w:t>ováním dopravní infrastruktury s ohledem na pot</w:t>
      </w:r>
      <w:r w:rsidRPr="00461C16">
        <w:rPr>
          <w:rFonts w:cs="TimesNewRoman"/>
          <w:lang w:eastAsia="cs-CZ"/>
        </w:rPr>
        <w:t>ř</w:t>
      </w:r>
      <w:r w:rsidRPr="00461C16">
        <w:rPr>
          <w:lang w:eastAsia="cs-CZ"/>
        </w:rPr>
        <w:t>eby ve</w:t>
      </w:r>
      <w:r w:rsidRPr="00461C16">
        <w:rPr>
          <w:rFonts w:cs="TimesNewRoman"/>
          <w:lang w:eastAsia="cs-CZ"/>
        </w:rPr>
        <w:t>ř</w:t>
      </w:r>
      <w:r w:rsidRPr="00461C16">
        <w:rPr>
          <w:lang w:eastAsia="cs-CZ"/>
        </w:rPr>
        <w:t>ejné dopravy a požadavky ve</w:t>
      </w:r>
      <w:r w:rsidRPr="00461C16">
        <w:rPr>
          <w:rFonts w:cs="TimesNewRoman"/>
          <w:lang w:eastAsia="cs-CZ"/>
        </w:rPr>
        <w:t>ř</w:t>
      </w:r>
      <w:r w:rsidRPr="00461C16">
        <w:rPr>
          <w:lang w:eastAsia="cs-CZ"/>
        </w:rPr>
        <w:t>ejného zdraví. Možnosti nové výstavby posuzovat vždy s ohledem na to, jaké vyvolá nároky na zm</w:t>
      </w:r>
      <w:r w:rsidRPr="00461C16">
        <w:rPr>
          <w:rFonts w:cs="TimesNewRoman"/>
          <w:lang w:eastAsia="cs-CZ"/>
        </w:rPr>
        <w:t>ě</w:t>
      </w:r>
      <w:r w:rsidRPr="00461C16">
        <w:rPr>
          <w:lang w:eastAsia="cs-CZ"/>
        </w:rPr>
        <w:t>ny ve</w:t>
      </w:r>
      <w:r w:rsidRPr="00461C16">
        <w:rPr>
          <w:rFonts w:cs="TimesNewRoman"/>
          <w:lang w:eastAsia="cs-CZ"/>
        </w:rPr>
        <w:t>ř</w:t>
      </w:r>
      <w:r w:rsidRPr="00461C16">
        <w:rPr>
          <w:lang w:eastAsia="cs-CZ"/>
        </w:rPr>
        <w:t>ejné dopravní infrastruktury a ve</w:t>
      </w:r>
      <w:r w:rsidRPr="00461C16">
        <w:rPr>
          <w:rFonts w:cs="TimesNewRoman"/>
          <w:lang w:eastAsia="cs-CZ"/>
        </w:rPr>
        <w:t>ř</w:t>
      </w:r>
      <w:r w:rsidRPr="00461C16">
        <w:rPr>
          <w:lang w:eastAsia="cs-CZ"/>
        </w:rPr>
        <w:t>ejné dopravy. Vytvá</w:t>
      </w:r>
      <w:r w:rsidRPr="00461C16">
        <w:rPr>
          <w:rFonts w:cs="TimesNewRoman"/>
          <w:lang w:eastAsia="cs-CZ"/>
        </w:rPr>
        <w:t>ř</w:t>
      </w:r>
      <w:r w:rsidRPr="00461C16">
        <w:rPr>
          <w:lang w:eastAsia="cs-CZ"/>
        </w:rPr>
        <w:t>et podmínky pro zvyšování bezpe</w:t>
      </w:r>
      <w:r w:rsidRPr="00461C16">
        <w:rPr>
          <w:rFonts w:cs="TimesNewRoman"/>
          <w:lang w:eastAsia="cs-CZ"/>
        </w:rPr>
        <w:t>č</w:t>
      </w:r>
      <w:r w:rsidRPr="00461C16">
        <w:rPr>
          <w:lang w:eastAsia="cs-CZ"/>
        </w:rPr>
        <w:t>nosti a plynulosti dopravy, ochrany a bezpe</w:t>
      </w:r>
      <w:r w:rsidRPr="00461C16">
        <w:rPr>
          <w:rFonts w:cs="TimesNewRoman"/>
          <w:lang w:eastAsia="cs-CZ"/>
        </w:rPr>
        <w:t>č</w:t>
      </w:r>
      <w:r w:rsidRPr="00461C16">
        <w:rPr>
          <w:lang w:eastAsia="cs-CZ"/>
        </w:rPr>
        <w:t xml:space="preserve">nosti obyvatelstva a zlepšování </w:t>
      </w:r>
      <w:r w:rsidRPr="00461C16">
        <w:rPr>
          <w:lang w:eastAsia="cs-CZ"/>
        </w:rPr>
        <w:lastRenderedPageBreak/>
        <w:t>jeho ochrany p</w:t>
      </w:r>
      <w:r w:rsidRPr="00461C16">
        <w:rPr>
          <w:rFonts w:cs="TimesNewRoman"/>
          <w:lang w:eastAsia="cs-CZ"/>
        </w:rPr>
        <w:t>ř</w:t>
      </w:r>
      <w:r w:rsidRPr="00461C16">
        <w:rPr>
          <w:lang w:eastAsia="cs-CZ"/>
        </w:rPr>
        <w:t>ed hlukem a emisemi, s ohledem na to vytvá</w:t>
      </w:r>
      <w:r w:rsidRPr="00461C16">
        <w:rPr>
          <w:rFonts w:cs="TimesNewRoman"/>
          <w:lang w:eastAsia="cs-CZ"/>
        </w:rPr>
        <w:t>ř</w:t>
      </w:r>
      <w:r w:rsidRPr="00461C16">
        <w:rPr>
          <w:lang w:eastAsia="cs-CZ"/>
        </w:rPr>
        <w:t>et v území podmínky pro enviromentáln</w:t>
      </w:r>
      <w:r w:rsidRPr="00461C16">
        <w:rPr>
          <w:rFonts w:cs="TimesNewRoman"/>
          <w:lang w:eastAsia="cs-CZ"/>
        </w:rPr>
        <w:t xml:space="preserve">ě </w:t>
      </w:r>
      <w:r w:rsidRPr="00461C16">
        <w:rPr>
          <w:lang w:eastAsia="cs-CZ"/>
        </w:rPr>
        <w:t>šetrné formy dopravy.</w:t>
      </w:r>
    </w:p>
    <w:p w14:paraId="3C90C0CA"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CD4535"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CD4535" w:rsidRPr="00461C16">
        <w:rPr>
          <w:i/>
          <w:color w:val="000000"/>
          <w:sz w:val="22"/>
          <w:szCs w:val="22"/>
          <w:shd w:val="clear" w:color="auto" w:fill="FFFFFF"/>
        </w:rPr>
        <w:t>vyhodnocení požadavku č. 24</w:t>
      </w:r>
    </w:p>
    <w:p w14:paraId="1840E9DD"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Vytvá</w:t>
      </w:r>
      <w:r w:rsidRPr="00461C16">
        <w:rPr>
          <w:rFonts w:cs="TimesNewRoman"/>
          <w:lang w:eastAsia="cs-CZ"/>
        </w:rPr>
        <w:t>ř</w:t>
      </w:r>
      <w:r w:rsidRPr="00461C16">
        <w:rPr>
          <w:lang w:eastAsia="cs-CZ"/>
        </w:rPr>
        <w:t>et podmínky pro preventivní ochranu území a obyvatelstva p</w:t>
      </w:r>
      <w:r w:rsidRPr="00461C16">
        <w:rPr>
          <w:rFonts w:cs="TimesNewRoman"/>
          <w:lang w:eastAsia="cs-CZ"/>
        </w:rPr>
        <w:t>ř</w:t>
      </w:r>
      <w:r w:rsidRPr="00461C16">
        <w:rPr>
          <w:lang w:eastAsia="cs-CZ"/>
        </w:rPr>
        <w:t>ed potencionálními riziky a p</w:t>
      </w:r>
      <w:r w:rsidRPr="00461C16">
        <w:rPr>
          <w:rFonts w:cs="TimesNewRoman"/>
          <w:lang w:eastAsia="cs-CZ"/>
        </w:rPr>
        <w:t>ř</w:t>
      </w:r>
      <w:r w:rsidRPr="00461C16">
        <w:rPr>
          <w:lang w:eastAsia="cs-CZ"/>
        </w:rPr>
        <w:t>írodními katastrofami v území (záplavy, sesuvy p</w:t>
      </w:r>
      <w:r w:rsidRPr="00461C16">
        <w:rPr>
          <w:rFonts w:cs="TimesNewRoman"/>
          <w:lang w:eastAsia="cs-CZ"/>
        </w:rPr>
        <w:t>ů</w:t>
      </w:r>
      <w:r w:rsidR="000F0C27" w:rsidRPr="00461C16">
        <w:rPr>
          <w:lang w:eastAsia="cs-CZ"/>
        </w:rPr>
        <w:t xml:space="preserve">dy, eroze,..) </w:t>
      </w:r>
      <w:r w:rsidRPr="00461C16">
        <w:rPr>
          <w:lang w:eastAsia="cs-CZ"/>
        </w:rPr>
        <w:t>s cílem minimalizovat rozsah p</w:t>
      </w:r>
      <w:r w:rsidRPr="00461C16">
        <w:rPr>
          <w:rFonts w:cs="TimesNewRoman"/>
          <w:lang w:eastAsia="cs-CZ"/>
        </w:rPr>
        <w:t>ř</w:t>
      </w:r>
      <w:r w:rsidRPr="00461C16">
        <w:rPr>
          <w:lang w:eastAsia="cs-CZ"/>
        </w:rPr>
        <w:t>ípadných škod. Zejména zajistit územní ochranu ploch pot</w:t>
      </w:r>
      <w:r w:rsidRPr="00461C16">
        <w:rPr>
          <w:rFonts w:cs="TimesNewRoman"/>
          <w:lang w:eastAsia="cs-CZ"/>
        </w:rPr>
        <w:t>ř</w:t>
      </w:r>
      <w:r w:rsidRPr="00461C16">
        <w:rPr>
          <w:lang w:eastAsia="cs-CZ"/>
        </w:rPr>
        <w:t>ebných pro umis</w:t>
      </w:r>
      <w:r w:rsidRPr="00461C16">
        <w:rPr>
          <w:rFonts w:cs="TimesNewRoman"/>
          <w:lang w:eastAsia="cs-CZ"/>
        </w:rPr>
        <w:t>ť</w:t>
      </w:r>
      <w:r w:rsidRPr="00461C16">
        <w:rPr>
          <w:lang w:eastAsia="cs-CZ"/>
        </w:rPr>
        <w:t>ování staveb a opat</w:t>
      </w:r>
      <w:r w:rsidRPr="00461C16">
        <w:rPr>
          <w:rFonts w:cs="TimesNewRoman"/>
          <w:lang w:eastAsia="cs-CZ"/>
        </w:rPr>
        <w:t>ř</w:t>
      </w:r>
      <w:r w:rsidRPr="00461C16">
        <w:rPr>
          <w:lang w:eastAsia="cs-CZ"/>
        </w:rPr>
        <w:t>ení na ochranu p</w:t>
      </w:r>
      <w:r w:rsidRPr="00461C16">
        <w:rPr>
          <w:rFonts w:cs="TimesNewRoman"/>
          <w:lang w:eastAsia="cs-CZ"/>
        </w:rPr>
        <w:t>ř</w:t>
      </w:r>
      <w:r w:rsidRPr="00461C16">
        <w:rPr>
          <w:lang w:eastAsia="cs-CZ"/>
        </w:rPr>
        <w:t>ed povodn</w:t>
      </w:r>
      <w:r w:rsidRPr="00461C16">
        <w:rPr>
          <w:rFonts w:cs="TimesNewRoman"/>
          <w:lang w:eastAsia="cs-CZ"/>
        </w:rPr>
        <w:t>ě</w:t>
      </w:r>
      <w:r w:rsidRPr="00461C16">
        <w:rPr>
          <w:lang w:eastAsia="cs-CZ"/>
        </w:rPr>
        <w:t>mi a pro vymezení území ur</w:t>
      </w:r>
      <w:r w:rsidRPr="00461C16">
        <w:rPr>
          <w:rFonts w:cs="TimesNewRoman"/>
          <w:lang w:eastAsia="cs-CZ"/>
        </w:rPr>
        <w:t>č</w:t>
      </w:r>
      <w:r w:rsidRPr="00461C16">
        <w:rPr>
          <w:lang w:eastAsia="cs-CZ"/>
        </w:rPr>
        <w:t xml:space="preserve">ených k </w:t>
      </w:r>
      <w:r w:rsidRPr="00461C16">
        <w:rPr>
          <w:rFonts w:cs="TimesNewRoman"/>
          <w:lang w:eastAsia="cs-CZ"/>
        </w:rPr>
        <w:t>ř</w:t>
      </w:r>
      <w:r w:rsidRPr="00461C16">
        <w:rPr>
          <w:lang w:eastAsia="cs-CZ"/>
        </w:rPr>
        <w:t>ízeným rozliv</w:t>
      </w:r>
      <w:r w:rsidRPr="00461C16">
        <w:rPr>
          <w:rFonts w:cs="TimesNewRoman"/>
          <w:lang w:eastAsia="cs-CZ"/>
        </w:rPr>
        <w:t>ů</w:t>
      </w:r>
      <w:r w:rsidRPr="00461C16">
        <w:rPr>
          <w:lang w:eastAsia="cs-CZ"/>
        </w:rPr>
        <w:t>m povodní. Vytvá</w:t>
      </w:r>
      <w:r w:rsidRPr="00461C16">
        <w:rPr>
          <w:rFonts w:cs="TimesNewRoman"/>
          <w:lang w:eastAsia="cs-CZ"/>
        </w:rPr>
        <w:t>ř</w:t>
      </w:r>
      <w:r w:rsidRPr="00461C16">
        <w:rPr>
          <w:lang w:eastAsia="cs-CZ"/>
        </w:rPr>
        <w:t>et podmínky pro zvýšení p</w:t>
      </w:r>
      <w:r w:rsidRPr="00461C16">
        <w:rPr>
          <w:rFonts w:cs="TimesNewRoman"/>
          <w:lang w:eastAsia="cs-CZ"/>
        </w:rPr>
        <w:t>ř</w:t>
      </w:r>
      <w:r w:rsidRPr="00461C16">
        <w:rPr>
          <w:lang w:eastAsia="cs-CZ"/>
        </w:rPr>
        <w:t>irozené retence srážkových vod v území s ohledem na strukturu osídlení a kulturní krajinu jako alternativy k um</w:t>
      </w:r>
      <w:r w:rsidRPr="00461C16">
        <w:rPr>
          <w:rFonts w:cs="TimesNewRoman"/>
          <w:lang w:eastAsia="cs-CZ"/>
        </w:rPr>
        <w:t>ě</w:t>
      </w:r>
      <w:r w:rsidRPr="00461C16">
        <w:rPr>
          <w:lang w:eastAsia="cs-CZ"/>
        </w:rPr>
        <w:t>lé akumulaci vod.</w:t>
      </w:r>
    </w:p>
    <w:p w14:paraId="0D588D05"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D66708"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D66708" w:rsidRPr="00461C16">
        <w:rPr>
          <w:i/>
          <w:color w:val="000000"/>
          <w:sz w:val="22"/>
          <w:szCs w:val="22"/>
          <w:shd w:val="clear" w:color="auto" w:fill="FFFFFF"/>
        </w:rPr>
        <w:t>vyhodnocení požadavku č. 25</w:t>
      </w:r>
    </w:p>
    <w:p w14:paraId="1926A21B"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 xml:space="preserve">Vymezovat zastavitelné plochy v záplavových územích a umísťovat do nich veřejnou infrastrukturu jen ve zcela výjimečných a zvlášť odůvodněných případech. </w:t>
      </w:r>
    </w:p>
    <w:p w14:paraId="7A259C81"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D66708"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D66708" w:rsidRPr="00461C16">
        <w:rPr>
          <w:i/>
          <w:color w:val="000000"/>
          <w:sz w:val="22"/>
          <w:szCs w:val="22"/>
          <w:shd w:val="clear" w:color="auto" w:fill="FFFFFF"/>
        </w:rPr>
        <w:t>vyhodnocení požadavku č. 26</w:t>
      </w:r>
    </w:p>
    <w:p w14:paraId="0FF1F1A2"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Vytvá</w:t>
      </w:r>
      <w:r w:rsidRPr="00461C16">
        <w:rPr>
          <w:rFonts w:cs="TimesNewRoman"/>
          <w:lang w:eastAsia="cs-CZ"/>
        </w:rPr>
        <w:t>ř</w:t>
      </w:r>
      <w:r w:rsidRPr="00461C16">
        <w:rPr>
          <w:lang w:eastAsia="cs-CZ"/>
        </w:rPr>
        <w:t xml:space="preserve">et podmínky pro </w:t>
      </w:r>
      <w:r w:rsidR="00D66708" w:rsidRPr="00461C16">
        <w:rPr>
          <w:lang w:eastAsia="cs-CZ"/>
        </w:rPr>
        <w:t>koordinované umís</w:t>
      </w:r>
      <w:r w:rsidR="00D66708" w:rsidRPr="00461C16">
        <w:rPr>
          <w:rFonts w:cs="TimesNewRoman"/>
          <w:lang w:eastAsia="cs-CZ"/>
        </w:rPr>
        <w:t>ť</w:t>
      </w:r>
      <w:r w:rsidR="00D66708" w:rsidRPr="00461C16">
        <w:rPr>
          <w:lang w:eastAsia="cs-CZ"/>
        </w:rPr>
        <w:t>ování ve</w:t>
      </w:r>
      <w:r w:rsidR="00D66708" w:rsidRPr="00461C16">
        <w:rPr>
          <w:rFonts w:cs="TimesNewRoman"/>
          <w:lang w:eastAsia="cs-CZ"/>
        </w:rPr>
        <w:t>ř</w:t>
      </w:r>
      <w:r w:rsidR="00D66708" w:rsidRPr="00461C16">
        <w:rPr>
          <w:lang w:eastAsia="cs-CZ"/>
        </w:rPr>
        <w:t xml:space="preserve">ejné infrastruktury </w:t>
      </w:r>
      <w:r w:rsidRPr="00461C16">
        <w:rPr>
          <w:lang w:eastAsia="cs-CZ"/>
        </w:rPr>
        <w:t>v území a její rozvoj s tím podporovat její ú</w:t>
      </w:r>
      <w:r w:rsidRPr="00461C16">
        <w:rPr>
          <w:rFonts w:cs="TimesNewRoman"/>
          <w:lang w:eastAsia="cs-CZ"/>
        </w:rPr>
        <w:t>č</w:t>
      </w:r>
      <w:r w:rsidRPr="00461C16">
        <w:rPr>
          <w:lang w:eastAsia="cs-CZ"/>
        </w:rPr>
        <w:t>elné využívání v rámci sídelní struktury. P</w:t>
      </w:r>
      <w:r w:rsidRPr="00461C16">
        <w:rPr>
          <w:rFonts w:cs="TimesNewRoman"/>
          <w:lang w:eastAsia="cs-CZ"/>
        </w:rPr>
        <w:t>ř</w:t>
      </w:r>
      <w:r w:rsidRPr="00461C16">
        <w:rPr>
          <w:lang w:eastAsia="cs-CZ"/>
        </w:rPr>
        <w:t>i územn</w:t>
      </w:r>
      <w:r w:rsidRPr="00461C16">
        <w:rPr>
          <w:rFonts w:cs="TimesNewRoman"/>
          <w:lang w:eastAsia="cs-CZ"/>
        </w:rPr>
        <w:t>ě</w:t>
      </w:r>
      <w:r w:rsidRPr="00461C16">
        <w:rPr>
          <w:lang w:eastAsia="cs-CZ"/>
        </w:rPr>
        <w:t xml:space="preserve"> plánovací </w:t>
      </w:r>
      <w:r w:rsidRPr="00461C16">
        <w:rPr>
          <w:rFonts w:cs="TimesNewRoman"/>
          <w:lang w:eastAsia="cs-CZ"/>
        </w:rPr>
        <w:t>č</w:t>
      </w:r>
      <w:r w:rsidRPr="00461C16">
        <w:rPr>
          <w:lang w:eastAsia="cs-CZ"/>
        </w:rPr>
        <w:t>innosti stanovovat podmínky pro vytvo</w:t>
      </w:r>
      <w:r w:rsidRPr="00461C16">
        <w:rPr>
          <w:rFonts w:cs="TimesNewRoman"/>
          <w:lang w:eastAsia="cs-CZ"/>
        </w:rPr>
        <w:t>ř</w:t>
      </w:r>
      <w:r w:rsidRPr="00461C16">
        <w:rPr>
          <w:lang w:eastAsia="cs-CZ"/>
        </w:rPr>
        <w:t>ení výkonné sít</w:t>
      </w:r>
      <w:r w:rsidRPr="00461C16">
        <w:rPr>
          <w:rFonts w:cs="TimesNewRoman"/>
          <w:lang w:eastAsia="cs-CZ"/>
        </w:rPr>
        <w:t xml:space="preserve">ě </w:t>
      </w:r>
      <w:r w:rsidRPr="00461C16">
        <w:rPr>
          <w:lang w:eastAsia="cs-CZ"/>
        </w:rPr>
        <w:t>osobní i nákladní železni</w:t>
      </w:r>
      <w:r w:rsidRPr="00461C16">
        <w:rPr>
          <w:rFonts w:cs="TimesNewRoman"/>
          <w:lang w:eastAsia="cs-CZ"/>
        </w:rPr>
        <w:t>č</w:t>
      </w:r>
      <w:r w:rsidRPr="00461C16">
        <w:rPr>
          <w:lang w:eastAsia="cs-CZ"/>
        </w:rPr>
        <w:t>ní, silni</w:t>
      </w:r>
      <w:r w:rsidRPr="00461C16">
        <w:rPr>
          <w:rFonts w:cs="TimesNewRoman"/>
          <w:lang w:eastAsia="cs-CZ"/>
        </w:rPr>
        <w:t>č</w:t>
      </w:r>
      <w:r w:rsidRPr="00461C16">
        <w:rPr>
          <w:lang w:eastAsia="cs-CZ"/>
        </w:rPr>
        <w:t>ní, vodní a letecké dopravy, efektivní dopravní sít</w:t>
      </w:r>
      <w:r w:rsidRPr="00461C16">
        <w:rPr>
          <w:rFonts w:cs="TimesNewRoman"/>
          <w:lang w:eastAsia="cs-CZ"/>
        </w:rPr>
        <w:t xml:space="preserve">ě </w:t>
      </w:r>
      <w:r w:rsidRPr="00461C16">
        <w:rPr>
          <w:lang w:eastAsia="cs-CZ"/>
        </w:rPr>
        <w:t>pro spojení m</w:t>
      </w:r>
      <w:r w:rsidRPr="00461C16">
        <w:rPr>
          <w:rFonts w:cs="TimesNewRoman"/>
          <w:lang w:eastAsia="cs-CZ"/>
        </w:rPr>
        <w:t>ě</w:t>
      </w:r>
      <w:r w:rsidRPr="00461C16">
        <w:rPr>
          <w:lang w:eastAsia="cs-CZ"/>
        </w:rPr>
        <w:t>stských oblastí s venkovskými oblastmi, stejn</w:t>
      </w:r>
      <w:r w:rsidRPr="00461C16">
        <w:rPr>
          <w:rFonts w:cs="TimesNewRoman"/>
          <w:lang w:eastAsia="cs-CZ"/>
        </w:rPr>
        <w:t xml:space="preserve">ě </w:t>
      </w:r>
      <w:r w:rsidRPr="00461C16">
        <w:rPr>
          <w:lang w:eastAsia="cs-CZ"/>
        </w:rPr>
        <w:t xml:space="preserve">jako </w:t>
      </w:r>
      <w:r w:rsidRPr="00461C16">
        <w:rPr>
          <w:rFonts w:cs="TimesNewRoman"/>
          <w:lang w:eastAsia="cs-CZ"/>
        </w:rPr>
        <w:t>ř</w:t>
      </w:r>
      <w:r w:rsidRPr="00461C16">
        <w:rPr>
          <w:lang w:eastAsia="cs-CZ"/>
        </w:rPr>
        <w:t>ešení p</w:t>
      </w:r>
      <w:r w:rsidRPr="00461C16">
        <w:rPr>
          <w:rFonts w:cs="TimesNewRoman"/>
          <w:lang w:eastAsia="cs-CZ"/>
        </w:rPr>
        <w:t>ř</w:t>
      </w:r>
      <w:r w:rsidRPr="00461C16">
        <w:rPr>
          <w:lang w:eastAsia="cs-CZ"/>
        </w:rPr>
        <w:t>eshrani</w:t>
      </w:r>
      <w:r w:rsidRPr="00461C16">
        <w:rPr>
          <w:rFonts w:cs="TimesNewRoman"/>
          <w:lang w:eastAsia="cs-CZ"/>
        </w:rPr>
        <w:t>č</w:t>
      </w:r>
      <w:r w:rsidRPr="00461C16">
        <w:rPr>
          <w:lang w:eastAsia="cs-CZ"/>
        </w:rPr>
        <w:t>ní dopravy.</w:t>
      </w:r>
    </w:p>
    <w:p w14:paraId="4FCF9590"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4A6B4D"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4A6B4D" w:rsidRPr="00461C16">
        <w:rPr>
          <w:i/>
          <w:color w:val="000000"/>
          <w:sz w:val="22"/>
          <w:szCs w:val="22"/>
          <w:shd w:val="clear" w:color="auto" w:fill="FFFFFF"/>
        </w:rPr>
        <w:t>vyhodnocení požadavku č. 27</w:t>
      </w:r>
    </w:p>
    <w:p w14:paraId="69A99A9D"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Zvláštní pozornost věnovat návaznosti různých druhů dopravy. Vytvářet tak podmínky pro rozvoj účinného a dostupného systému, který bude poskytovat obyvatelům rovné možnosti mobility a dosažitelnosti v území. S ohledem na to vytvářet podmínky pro vybudování a užívání vhodné sítě pěších a cyklistických cest.</w:t>
      </w:r>
    </w:p>
    <w:p w14:paraId="2A9D690E"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4A6B4D"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4A6B4D" w:rsidRPr="00461C16">
        <w:rPr>
          <w:i/>
          <w:color w:val="000000"/>
          <w:sz w:val="22"/>
          <w:szCs w:val="22"/>
          <w:shd w:val="clear" w:color="auto" w:fill="FFFFFF"/>
        </w:rPr>
        <w:t>vyhodnocení požadavku č. 29</w:t>
      </w:r>
    </w:p>
    <w:p w14:paraId="73D406C3"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 xml:space="preserve">Úroveň technické infrastruktury, zejména dodávku vody a zpracování odpadních vod je nutno koncipovat tak, aby splňovala požadavky na vysokou kvalitu života v současnosti i v budoucnosti. </w:t>
      </w:r>
    </w:p>
    <w:p w14:paraId="28146E63"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4A6B4D"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4A6B4D" w:rsidRPr="00461C16">
        <w:rPr>
          <w:i/>
          <w:color w:val="000000"/>
          <w:sz w:val="22"/>
          <w:szCs w:val="22"/>
          <w:shd w:val="clear" w:color="auto" w:fill="FFFFFF"/>
        </w:rPr>
        <w:t>vyhodnocení požadavku č. 30</w:t>
      </w:r>
    </w:p>
    <w:p w14:paraId="32DB9612" w14:textId="77777777" w:rsidR="00C5531B" w:rsidRPr="00461C16" w:rsidRDefault="00C5531B"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Vytvá</w:t>
      </w:r>
      <w:r w:rsidRPr="00461C16">
        <w:rPr>
          <w:rFonts w:cs="TimesNewRoman"/>
          <w:lang w:eastAsia="cs-CZ"/>
        </w:rPr>
        <w:t>ř</w:t>
      </w:r>
      <w:r w:rsidRPr="00461C16">
        <w:rPr>
          <w:lang w:eastAsia="cs-CZ"/>
        </w:rPr>
        <w:t>et územní podmínky pro rozvoj decentralizované, efektivní a bezpe</w:t>
      </w:r>
      <w:r w:rsidRPr="00461C16">
        <w:rPr>
          <w:rFonts w:cs="TimesNewRoman"/>
          <w:lang w:eastAsia="cs-CZ"/>
        </w:rPr>
        <w:t>č</w:t>
      </w:r>
      <w:r w:rsidRPr="00461C16">
        <w:rPr>
          <w:lang w:eastAsia="cs-CZ"/>
        </w:rPr>
        <w:t>né výroby</w:t>
      </w:r>
      <w:r w:rsidR="00A3519C" w:rsidRPr="00461C16">
        <w:rPr>
          <w:lang w:eastAsia="cs-CZ"/>
        </w:rPr>
        <w:t xml:space="preserve"> </w:t>
      </w:r>
      <w:r w:rsidRPr="00461C16">
        <w:rPr>
          <w:lang w:eastAsia="cs-CZ"/>
        </w:rPr>
        <w:t>energie z obnovitelných zdroj</w:t>
      </w:r>
      <w:r w:rsidRPr="00461C16">
        <w:rPr>
          <w:rFonts w:cs="TimesNewRoman"/>
          <w:lang w:eastAsia="cs-CZ"/>
        </w:rPr>
        <w:t>ů</w:t>
      </w:r>
      <w:r w:rsidRPr="00461C16">
        <w:rPr>
          <w:lang w:eastAsia="cs-CZ"/>
        </w:rPr>
        <w:t>, šetrné k životnímu prost</w:t>
      </w:r>
      <w:r w:rsidRPr="00461C16">
        <w:rPr>
          <w:rFonts w:cs="TimesNewRoman"/>
          <w:lang w:eastAsia="cs-CZ"/>
        </w:rPr>
        <w:t>ř</w:t>
      </w:r>
      <w:r w:rsidRPr="00461C16">
        <w:rPr>
          <w:lang w:eastAsia="cs-CZ"/>
        </w:rPr>
        <w:t>edí, s cílem minimalizace jejich</w:t>
      </w:r>
      <w:r w:rsidR="00A3519C" w:rsidRPr="00461C16">
        <w:rPr>
          <w:lang w:eastAsia="cs-CZ"/>
        </w:rPr>
        <w:t xml:space="preserve"> </w:t>
      </w:r>
      <w:r w:rsidRPr="00461C16">
        <w:rPr>
          <w:lang w:eastAsia="cs-CZ"/>
        </w:rPr>
        <w:t>negativních vliv</w:t>
      </w:r>
      <w:r w:rsidRPr="00461C16">
        <w:rPr>
          <w:rFonts w:cs="TimesNewRoman"/>
          <w:lang w:eastAsia="cs-CZ"/>
        </w:rPr>
        <w:t xml:space="preserve">ů </w:t>
      </w:r>
      <w:r w:rsidRPr="00461C16">
        <w:rPr>
          <w:lang w:eastAsia="cs-CZ"/>
        </w:rPr>
        <w:t>a rizik p</w:t>
      </w:r>
      <w:r w:rsidRPr="00461C16">
        <w:rPr>
          <w:rFonts w:cs="TimesNewRoman"/>
          <w:lang w:eastAsia="cs-CZ"/>
        </w:rPr>
        <w:t>ř</w:t>
      </w:r>
      <w:r w:rsidRPr="00461C16">
        <w:rPr>
          <w:lang w:eastAsia="cs-CZ"/>
        </w:rPr>
        <w:t>i respektování p</w:t>
      </w:r>
      <w:r w:rsidRPr="00461C16">
        <w:rPr>
          <w:rFonts w:cs="TimesNewRoman"/>
          <w:lang w:eastAsia="cs-CZ"/>
        </w:rPr>
        <w:t>ř</w:t>
      </w:r>
      <w:r w:rsidRPr="00461C16">
        <w:rPr>
          <w:lang w:eastAsia="cs-CZ"/>
        </w:rPr>
        <w:t>ednosti zajišt</w:t>
      </w:r>
      <w:r w:rsidRPr="00461C16">
        <w:rPr>
          <w:rFonts w:cs="TimesNewRoman"/>
          <w:lang w:eastAsia="cs-CZ"/>
        </w:rPr>
        <w:t>ě</w:t>
      </w:r>
      <w:r w:rsidRPr="00461C16">
        <w:rPr>
          <w:lang w:eastAsia="cs-CZ"/>
        </w:rPr>
        <w:t>ní bezpe</w:t>
      </w:r>
      <w:r w:rsidRPr="00461C16">
        <w:rPr>
          <w:rFonts w:cs="TimesNewRoman"/>
          <w:lang w:eastAsia="cs-CZ"/>
        </w:rPr>
        <w:t>č</w:t>
      </w:r>
      <w:r w:rsidRPr="00461C16">
        <w:rPr>
          <w:lang w:eastAsia="cs-CZ"/>
        </w:rPr>
        <w:t>ného zásobování území</w:t>
      </w:r>
      <w:r w:rsidR="00A3519C" w:rsidRPr="00461C16">
        <w:rPr>
          <w:lang w:eastAsia="cs-CZ"/>
        </w:rPr>
        <w:t xml:space="preserve"> </w:t>
      </w:r>
      <w:r w:rsidRPr="00461C16">
        <w:rPr>
          <w:lang w:eastAsia="cs-CZ"/>
        </w:rPr>
        <w:t>energiemi.</w:t>
      </w:r>
    </w:p>
    <w:p w14:paraId="2D18FCAB"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1.1.1 </w:t>
      </w:r>
      <w:r w:rsidR="004A6B4D" w:rsidRPr="00461C16">
        <w:rPr>
          <w:i/>
          <w:color w:val="000000"/>
          <w:sz w:val="22"/>
          <w:szCs w:val="22"/>
          <w:shd w:val="clear" w:color="auto" w:fill="FFFFFF"/>
        </w:rPr>
        <w:t>Republikové priority územního plánování -</w:t>
      </w:r>
      <w:r w:rsidR="00B345B4" w:rsidRPr="00461C16">
        <w:rPr>
          <w:i/>
          <w:color w:val="000000"/>
          <w:sz w:val="22"/>
          <w:szCs w:val="22"/>
          <w:shd w:val="clear" w:color="auto" w:fill="FFFFFF"/>
        </w:rPr>
        <w:t xml:space="preserve"> </w:t>
      </w:r>
      <w:r w:rsidR="004A6B4D" w:rsidRPr="00461C16">
        <w:rPr>
          <w:i/>
          <w:color w:val="000000"/>
          <w:sz w:val="22"/>
          <w:szCs w:val="22"/>
          <w:shd w:val="clear" w:color="auto" w:fill="FFFFFF"/>
        </w:rPr>
        <w:t>vyhodnocení požadavku č. 31</w:t>
      </w:r>
    </w:p>
    <w:p w14:paraId="32A1F494" w14:textId="77777777" w:rsidR="00E426D6" w:rsidRPr="00461C16" w:rsidRDefault="00A3519C"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Při stanovování urbanistické koncepce posoudit kvalitu bytového fondu ve znevýhodněných částech obce a v souladu s požadavky na kvalitní obecní struktury, zdravé prostředí a účinnou infrastrukturu, věnovat pozornost vymezení ploch přestavby.</w:t>
      </w:r>
    </w:p>
    <w:p w14:paraId="0A309E0C" w14:textId="77777777" w:rsidR="008F4C19" w:rsidRPr="00461C16" w:rsidRDefault="00A73B40" w:rsidP="008F4C19">
      <w:pPr>
        <w:autoSpaceDE w:val="0"/>
        <w:autoSpaceDN w:val="0"/>
        <w:adjustRightInd w:val="0"/>
        <w:spacing w:before="120" w:line="240" w:lineRule="auto"/>
        <w:rPr>
          <w:i/>
          <w:lang w:eastAsia="cs-CZ"/>
        </w:rPr>
      </w:pPr>
      <w:r w:rsidRPr="00461C16">
        <w:rPr>
          <w:i/>
          <w:color w:val="000000"/>
          <w:shd w:val="clear" w:color="auto" w:fill="FFFFFF"/>
        </w:rPr>
        <w:t xml:space="preserve">viz kap. 1.1.1 </w:t>
      </w:r>
      <w:r w:rsidR="004A6B4D" w:rsidRPr="00461C16">
        <w:rPr>
          <w:i/>
          <w:color w:val="000000"/>
          <w:shd w:val="clear" w:color="auto" w:fill="FFFFFF"/>
        </w:rPr>
        <w:t>Republikové priority územního plánování -</w:t>
      </w:r>
      <w:r w:rsidR="00B345B4" w:rsidRPr="00461C16">
        <w:rPr>
          <w:i/>
          <w:color w:val="000000"/>
          <w:shd w:val="clear" w:color="auto" w:fill="FFFFFF"/>
        </w:rPr>
        <w:t xml:space="preserve"> </w:t>
      </w:r>
      <w:r w:rsidR="004A6B4D" w:rsidRPr="00461C16">
        <w:rPr>
          <w:i/>
          <w:color w:val="000000"/>
          <w:shd w:val="clear" w:color="auto" w:fill="FFFFFF"/>
        </w:rPr>
        <w:t>vyhodnocení požadavku č. 32</w:t>
      </w:r>
    </w:p>
    <w:p w14:paraId="062BE264" w14:textId="77777777" w:rsidR="00DD373B" w:rsidRPr="00461C16" w:rsidRDefault="00753F4E" w:rsidP="00753F4E">
      <w:pPr>
        <w:pStyle w:val="Heading3"/>
        <w:rPr>
          <w:u w:val="single"/>
          <w:lang w:eastAsia="cs-CZ"/>
        </w:rPr>
      </w:pPr>
      <w:bookmarkStart w:id="60" w:name="_Toc36116259"/>
      <w:r w:rsidRPr="00461C16">
        <w:t>3.1.2</w:t>
      </w:r>
      <w:r w:rsidRPr="00461C16">
        <w:tab/>
      </w:r>
      <w:r w:rsidR="00DD373B" w:rsidRPr="00461C16">
        <w:t>Požadavky vyplývající z územně plánovací dokumentace vydané krajem</w:t>
      </w:r>
      <w:bookmarkEnd w:id="60"/>
    </w:p>
    <w:p w14:paraId="5C98DA5D" w14:textId="77777777" w:rsidR="00E426D6" w:rsidRPr="00461C16" w:rsidRDefault="00AB2362" w:rsidP="00753F4E">
      <w:pPr>
        <w:pStyle w:val="4podnadpis"/>
      </w:pPr>
      <w:r w:rsidRPr="00461C16">
        <w:t>Rozvojová oblast republikového významu</w:t>
      </w:r>
    </w:p>
    <w:p w14:paraId="6EFDF8ED" w14:textId="77777777" w:rsidR="00F76705" w:rsidRPr="00461C16" w:rsidRDefault="00E426D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t xml:space="preserve">Zlepšovat nadregionální a regionální vazby s ostatními rozvojovými oblastmi v rámci kraje, s Prahou a sousedními kraji (zejména NUTS2) a se sousedními oblastmi v Německu a Polsku. Do rozvojových předpokladů oblasti zahrnovat přeshraniční souvislosti rozvojových os ROS 1, ROS 4 a ROS 8 ve specifických podmínkách okrajových území Německa / Sasko a Polsko / Dolní Slezsko. </w:t>
      </w:r>
    </w:p>
    <w:p w14:paraId="20437F74" w14:textId="77777777" w:rsidR="00E426D6" w:rsidRPr="00461C16" w:rsidRDefault="00E426D6" w:rsidP="006D5245">
      <w:pPr>
        <w:pStyle w:val="ListParagraph"/>
        <w:autoSpaceDE w:val="0"/>
        <w:autoSpaceDN w:val="0"/>
        <w:adjustRightInd w:val="0"/>
        <w:spacing w:before="120" w:after="120" w:line="240" w:lineRule="auto"/>
        <w:ind w:left="567"/>
      </w:pPr>
      <w:r w:rsidRPr="00461C16">
        <w:t>Rozvíjet funkční kooperace mezi centry osídlení: Liberec – Jablonec nad Nisou, Jablonec nad Nisou – Smržovka – Tanvald – Desná, Liberec – Chrastava – Hrádek nad Nisou a dále Zittau (Německo) a Bogatynia (Polsko), Jablonec nad Nisou – Rychnov u Jablonce nad Nisou, Tanvald – Velké Hamry.</w:t>
      </w:r>
    </w:p>
    <w:p w14:paraId="587D5995"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1.2.2 </w:t>
      </w:r>
      <w:r w:rsidR="004520ED" w:rsidRPr="00461C16">
        <w:rPr>
          <w:i/>
          <w:color w:val="000000"/>
          <w:sz w:val="22"/>
          <w:szCs w:val="22"/>
          <w:shd w:val="clear" w:color="auto" w:fill="FFFFFF"/>
        </w:rPr>
        <w:t>Rozvojové oblasti a osy republikového významu -</w:t>
      </w:r>
      <w:r w:rsidR="00B345B4" w:rsidRPr="00461C16">
        <w:rPr>
          <w:i/>
          <w:color w:val="000000"/>
          <w:sz w:val="22"/>
          <w:szCs w:val="22"/>
          <w:shd w:val="clear" w:color="auto" w:fill="FFFFFF"/>
        </w:rPr>
        <w:t xml:space="preserve"> </w:t>
      </w:r>
      <w:r w:rsidR="004520ED" w:rsidRPr="00461C16">
        <w:rPr>
          <w:i/>
          <w:color w:val="000000"/>
          <w:sz w:val="22"/>
          <w:szCs w:val="22"/>
          <w:shd w:val="clear" w:color="auto" w:fill="FFFFFF"/>
        </w:rPr>
        <w:t>vyhodnocení požadavku č. 32</w:t>
      </w:r>
    </w:p>
    <w:p w14:paraId="5BE29E2A" w14:textId="77777777" w:rsidR="00E426D6" w:rsidRPr="00461C16" w:rsidRDefault="00E426D6"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lastRenderedPageBreak/>
        <w:t xml:space="preserve">Zlepšovat nadregionální a regionální vazby kapacitními dopravními napojeními na významné vnitrostátní i mezistátní silniční a železniční koridory v Německu a Polsku. </w:t>
      </w:r>
    </w:p>
    <w:p w14:paraId="1FDAA6D3" w14:textId="77777777" w:rsidR="00456145" w:rsidRPr="00461C16" w:rsidRDefault="00456145" w:rsidP="00456145">
      <w:pPr>
        <w:pStyle w:val="BodyText"/>
        <w:spacing w:before="120" w:after="120"/>
        <w:rPr>
          <w:i/>
          <w:sz w:val="22"/>
          <w:szCs w:val="22"/>
          <w:shd w:val="clear" w:color="auto" w:fill="FFFFFF"/>
        </w:rPr>
      </w:pPr>
      <w:r w:rsidRPr="00461C16">
        <w:rPr>
          <w:i/>
          <w:sz w:val="22"/>
          <w:szCs w:val="22"/>
          <w:shd w:val="clear" w:color="auto" w:fill="FFFFFF"/>
        </w:rPr>
        <w:t>Z hlediska silničních vazeb představuje nevýznamnější dopravní tah, který zajišťuje nadregionální a regionální vazby na významné vnitrostátní a mezistátní silniční koridory v Německu a Polsku, silnice I/35 (resp. I/35L), kterou ÚP stabilizuje a chrání jako významnou civilizační hodnotu území.</w:t>
      </w:r>
      <w:r w:rsidR="00B40DF6" w:rsidRPr="00B40DF6">
        <w:rPr>
          <w:i/>
          <w:szCs w:val="18"/>
        </w:rPr>
        <w:t xml:space="preserve"> </w:t>
      </w:r>
      <w:r w:rsidR="00B40DF6" w:rsidRPr="00B40DF6">
        <w:rPr>
          <w:i/>
          <w:sz w:val="22"/>
          <w:szCs w:val="22"/>
        </w:rPr>
        <w:t>Pro budoucí rozšíření silnice I/35 na čtyřpruhové uspořádání je vymezena plocha územní rezervy R16.</w:t>
      </w:r>
    </w:p>
    <w:p w14:paraId="223E9FE8" w14:textId="77777777" w:rsidR="00BB58CC" w:rsidRPr="00461C16" w:rsidRDefault="00456145" w:rsidP="00456145">
      <w:pPr>
        <w:pStyle w:val="BodyText"/>
        <w:spacing w:before="120" w:after="120"/>
        <w:rPr>
          <w:i/>
          <w:sz w:val="22"/>
          <w:szCs w:val="22"/>
        </w:rPr>
      </w:pPr>
      <w:r w:rsidRPr="00461C16">
        <w:rPr>
          <w:i/>
          <w:sz w:val="22"/>
          <w:szCs w:val="22"/>
          <w:shd w:val="clear" w:color="auto" w:fill="FFFFFF"/>
        </w:rPr>
        <w:t>S cílem vytvoření podmínek pro zlepšení dostupnosti Hrádku nad Nisou po železnici a zlepšení přeshraničních dopravních vazeb vymezuje ÚP koridor drážní dopravy X01 pro optimalizaci a elektrizaci železniční trati č. 089.</w:t>
      </w:r>
    </w:p>
    <w:p w14:paraId="5789440C" w14:textId="77777777" w:rsidR="00E426D6" w:rsidRPr="00461C16" w:rsidRDefault="00E426D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Zajištovat služby metropole – krajského města Liberec a jejich dostupnost pro spádový obvod kraje. </w:t>
      </w:r>
    </w:p>
    <w:p w14:paraId="4804661D"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1.2.2 </w:t>
      </w:r>
      <w:r w:rsidR="004520ED" w:rsidRPr="00461C16">
        <w:rPr>
          <w:i/>
          <w:color w:val="000000"/>
          <w:sz w:val="22"/>
          <w:szCs w:val="22"/>
          <w:shd w:val="clear" w:color="auto" w:fill="FFFFFF"/>
        </w:rPr>
        <w:t>Rozvojové oblasti a osy republikového významu -</w:t>
      </w:r>
      <w:r w:rsidR="00B345B4" w:rsidRPr="00461C16">
        <w:rPr>
          <w:i/>
          <w:color w:val="000000"/>
          <w:sz w:val="22"/>
          <w:szCs w:val="22"/>
          <w:shd w:val="clear" w:color="auto" w:fill="FFFFFF"/>
        </w:rPr>
        <w:t xml:space="preserve"> </w:t>
      </w:r>
      <w:r w:rsidR="004520ED" w:rsidRPr="00461C16">
        <w:rPr>
          <w:i/>
          <w:color w:val="000000"/>
          <w:sz w:val="22"/>
          <w:szCs w:val="22"/>
          <w:shd w:val="clear" w:color="auto" w:fill="FFFFFF"/>
        </w:rPr>
        <w:t xml:space="preserve">vyhodnocení požadavku č. 34 </w:t>
      </w:r>
    </w:p>
    <w:p w14:paraId="6BCE33A2" w14:textId="77777777" w:rsidR="00E426D6" w:rsidRPr="00461C16" w:rsidRDefault="00E426D6" w:rsidP="00A06EB9">
      <w:pPr>
        <w:pStyle w:val="ListParagraph"/>
        <w:numPr>
          <w:ilvl w:val="0"/>
          <w:numId w:val="97"/>
        </w:numPr>
        <w:autoSpaceDE w:val="0"/>
        <w:autoSpaceDN w:val="0"/>
        <w:adjustRightInd w:val="0"/>
        <w:spacing w:before="120" w:after="120" w:line="240" w:lineRule="auto"/>
        <w:rPr>
          <w:lang w:eastAsia="cs-CZ"/>
        </w:rPr>
      </w:pPr>
      <w:r w:rsidRPr="00461C16">
        <w:rPr>
          <w:lang w:eastAsia="cs-CZ"/>
        </w:rPr>
        <w:t>Zohlednit polohu souvislého historického pásu osídlení s nejvyšší koncentrací obytných, hospodářských a rekreačních funkcí v komplikovaných geomorfologických podmínkách a v prostorové a funkční souvislosti s přilehlými specifickými oblastmi SOB5 Jizerské hory, SOB6 Západní Krkonoše, SOB8 Český ráj sever, SOB2 Lužické hory a v nich uplatňovaný</w:t>
      </w:r>
      <w:r w:rsidR="00CE2CCD" w:rsidRPr="00461C16">
        <w:rPr>
          <w:lang w:eastAsia="cs-CZ"/>
        </w:rPr>
        <w:t>mi podmínkami zvláštn</w:t>
      </w:r>
      <w:r w:rsidRPr="00461C16">
        <w:rPr>
          <w:lang w:eastAsia="cs-CZ"/>
        </w:rPr>
        <w:t>í ochrany přírody (KRNAP</w:t>
      </w:r>
      <w:r w:rsidR="00CE2CCD" w:rsidRPr="00461C16">
        <w:rPr>
          <w:lang w:eastAsia="cs-CZ"/>
        </w:rPr>
        <w:t>, CHKO Jizerské hory, CHKO Český ráj, CHKO Lužické hory).</w:t>
      </w:r>
    </w:p>
    <w:p w14:paraId="609FCA88"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1.2.2 </w:t>
      </w:r>
      <w:r w:rsidR="004520ED" w:rsidRPr="00461C16">
        <w:rPr>
          <w:i/>
          <w:color w:val="000000"/>
          <w:sz w:val="22"/>
          <w:szCs w:val="22"/>
          <w:shd w:val="clear" w:color="auto" w:fill="FFFFFF"/>
        </w:rPr>
        <w:t>Rozvojové oblasti a osy republikového významu -</w:t>
      </w:r>
      <w:r w:rsidR="00B345B4" w:rsidRPr="00461C16">
        <w:rPr>
          <w:i/>
          <w:color w:val="000000"/>
          <w:sz w:val="22"/>
          <w:szCs w:val="22"/>
          <w:shd w:val="clear" w:color="auto" w:fill="FFFFFF"/>
        </w:rPr>
        <w:t xml:space="preserve"> </w:t>
      </w:r>
      <w:r w:rsidR="004520ED" w:rsidRPr="00461C16">
        <w:rPr>
          <w:i/>
          <w:color w:val="000000"/>
          <w:sz w:val="22"/>
          <w:szCs w:val="22"/>
          <w:shd w:val="clear" w:color="auto" w:fill="FFFFFF"/>
        </w:rPr>
        <w:t>vyhodnocení požadavku č. 35</w:t>
      </w:r>
    </w:p>
    <w:p w14:paraId="6D29A6D5" w14:textId="77777777" w:rsidR="00CE2CCD" w:rsidRPr="00461C16" w:rsidRDefault="00CE2CCD"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Ve smyslu principů udržitelného rozvoje zpřesnit zónování rozvojové oblasti na úrovni ÚPD jednotlivých zahrnutých obcí na územní části pro přednostní umisťování ekonomických aktivit a na územní části pro přednostní umisťování bydlení a příměstské rekreace a tím zajistit podmínky pro snížení zatížení navazujících zvláště chráněných území, zejména specifické oblasti Jizerské hory. </w:t>
      </w:r>
    </w:p>
    <w:p w14:paraId="71F23B01"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1.2.2 </w:t>
      </w:r>
      <w:r w:rsidR="004520ED" w:rsidRPr="00461C16">
        <w:rPr>
          <w:i/>
          <w:color w:val="000000"/>
          <w:sz w:val="22"/>
          <w:szCs w:val="22"/>
          <w:shd w:val="clear" w:color="auto" w:fill="FFFFFF"/>
        </w:rPr>
        <w:t>Rozvojové oblasti a osy republikového významu -</w:t>
      </w:r>
      <w:r w:rsidR="00B345B4" w:rsidRPr="00461C16">
        <w:rPr>
          <w:i/>
          <w:color w:val="000000"/>
          <w:sz w:val="22"/>
          <w:szCs w:val="22"/>
          <w:shd w:val="clear" w:color="auto" w:fill="FFFFFF"/>
        </w:rPr>
        <w:t xml:space="preserve"> </w:t>
      </w:r>
      <w:r w:rsidR="004520ED" w:rsidRPr="00461C16">
        <w:rPr>
          <w:i/>
          <w:color w:val="000000"/>
          <w:sz w:val="22"/>
          <w:szCs w:val="22"/>
          <w:shd w:val="clear" w:color="auto" w:fill="FFFFFF"/>
        </w:rPr>
        <w:t xml:space="preserve">vyhodnocení požadavku č. 37 </w:t>
      </w:r>
    </w:p>
    <w:p w14:paraId="74CE787E" w14:textId="77777777" w:rsidR="00CE2CCD" w:rsidRPr="00461C16" w:rsidRDefault="00CE2CCD"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Zpřesnit a chránit koridory silniční dopravy vymezené v ZÚR na území dotčených obcí. </w:t>
      </w:r>
    </w:p>
    <w:p w14:paraId="2FF15F9A" w14:textId="77777777" w:rsidR="00CE2CCD" w:rsidRPr="00461C16" w:rsidRDefault="00CE2CCD" w:rsidP="006D5245">
      <w:pPr>
        <w:pStyle w:val="ListParagraph"/>
        <w:autoSpaceDE w:val="0"/>
        <w:autoSpaceDN w:val="0"/>
        <w:adjustRightInd w:val="0"/>
        <w:spacing w:before="120" w:after="120" w:line="240" w:lineRule="auto"/>
        <w:ind w:left="567"/>
        <w:rPr>
          <w:lang w:eastAsia="cs-CZ"/>
        </w:rPr>
      </w:pPr>
      <w:r w:rsidRPr="00461C16">
        <w:rPr>
          <w:lang w:eastAsia="cs-CZ"/>
        </w:rPr>
        <w:t xml:space="preserve">Zpřesnit a chránit koridory železniční dopravy – řešit územní souvislosti napojení oblasti na modernizované železniční tratě ve směrech na Prahu a Hradec Králové: </w:t>
      </w:r>
    </w:p>
    <w:p w14:paraId="59ED6B17" w14:textId="77777777" w:rsidR="00CE2CCD" w:rsidRPr="00461C16" w:rsidRDefault="00CE2CCD" w:rsidP="001C22D8">
      <w:pPr>
        <w:pStyle w:val="5odrazka"/>
        <w:numPr>
          <w:ilvl w:val="1"/>
          <w:numId w:val="16"/>
        </w:numPr>
      </w:pPr>
      <w:r w:rsidRPr="00461C16">
        <w:t xml:space="preserve">Zpřesnit koridor železniční trati Praha – Turnov – Liberec – Frýdlant – Polsko / Zawidów (koridor kombinované dopravy) na území dotčených obcí. </w:t>
      </w:r>
    </w:p>
    <w:p w14:paraId="04322A86" w14:textId="77777777" w:rsidR="00CE2CCD" w:rsidRPr="00461C16" w:rsidRDefault="00CE2CCD" w:rsidP="001C22D8">
      <w:pPr>
        <w:pStyle w:val="5odrazka"/>
        <w:numPr>
          <w:ilvl w:val="1"/>
          <w:numId w:val="16"/>
        </w:numPr>
      </w:pPr>
      <w:r w:rsidRPr="00461C16">
        <w:t xml:space="preserve">Prověřit podmínky pro potenciální využití koridoru železniční trati Liberec – Hrádek nad Nisou pro kombinovanou dopravu s napojením na modernizovanou železniční trať v Zittau (Německo). </w:t>
      </w:r>
    </w:p>
    <w:p w14:paraId="13961001" w14:textId="77777777" w:rsidR="00CE2CCD" w:rsidRPr="00461C16" w:rsidRDefault="00CE2CCD" w:rsidP="001C22D8">
      <w:pPr>
        <w:pStyle w:val="5odrazka"/>
        <w:numPr>
          <w:ilvl w:val="1"/>
          <w:numId w:val="16"/>
        </w:numPr>
      </w:pPr>
      <w:r w:rsidRPr="00461C16">
        <w:t>Chránit území pro výběr varianty koridoru železniční trati Liberec – Česká Lípa v úseku Bílý Kostel nad Nisou – Rynoltice, zpřesnit vedení trasy na území dotčených obcí.</w:t>
      </w:r>
    </w:p>
    <w:p w14:paraId="7EF0A81D" w14:textId="77777777" w:rsidR="006D329E" w:rsidRPr="00F02309" w:rsidRDefault="006D329E" w:rsidP="006D329E">
      <w:pPr>
        <w:pStyle w:val="BodyText"/>
        <w:spacing w:before="120" w:after="120"/>
        <w:rPr>
          <w:i/>
          <w:sz w:val="22"/>
          <w:szCs w:val="22"/>
          <w:shd w:val="clear" w:color="auto" w:fill="FFFFFF"/>
        </w:rPr>
      </w:pPr>
      <w:r w:rsidRPr="00461C16">
        <w:rPr>
          <w:i/>
          <w:sz w:val="22"/>
          <w:szCs w:val="22"/>
          <w:shd w:val="clear" w:color="auto" w:fill="FFFFFF"/>
        </w:rPr>
        <w:t xml:space="preserve">S cílem vytvoření podmínek pro zlepšení dostupnosti Hrádku nad </w:t>
      </w:r>
      <w:r w:rsidRPr="00F02309">
        <w:rPr>
          <w:i/>
          <w:sz w:val="22"/>
          <w:szCs w:val="22"/>
          <w:shd w:val="clear" w:color="auto" w:fill="FFFFFF"/>
        </w:rPr>
        <w:t>Nisou po železnici a zlepšení přeshraničních dopravních vazeb vymezuje ÚP koridor drážní dopravy X01 pro optimalizaci a elektrizaci železniční trati č. 089.</w:t>
      </w:r>
    </w:p>
    <w:p w14:paraId="716E51C0" w14:textId="77777777" w:rsidR="00BB58CC" w:rsidRPr="00F02309" w:rsidRDefault="006D329E" w:rsidP="006D329E">
      <w:pPr>
        <w:pStyle w:val="BodyText"/>
        <w:spacing w:before="120" w:after="120"/>
        <w:rPr>
          <w:i/>
          <w:sz w:val="22"/>
          <w:szCs w:val="22"/>
          <w:shd w:val="clear" w:color="auto" w:fill="FFFFFF"/>
        </w:rPr>
      </w:pPr>
      <w:r w:rsidRPr="00F02309">
        <w:rPr>
          <w:i/>
          <w:sz w:val="22"/>
          <w:szCs w:val="22"/>
          <w:shd w:val="clear" w:color="auto" w:fill="FFFFFF"/>
        </w:rPr>
        <w:t xml:space="preserve">ÚP vymezuje v rámci správního území města Hrádek nad Nisou koridor územní rezervy </w:t>
      </w:r>
      <w:r w:rsidR="00F02309" w:rsidRPr="00F02309">
        <w:rPr>
          <w:i/>
          <w:sz w:val="22"/>
          <w:szCs w:val="22"/>
          <w:shd w:val="clear" w:color="auto" w:fill="FFFFFF"/>
        </w:rPr>
        <w:t xml:space="preserve">R13 </w:t>
      </w:r>
      <w:r w:rsidRPr="00F02309">
        <w:rPr>
          <w:i/>
          <w:sz w:val="22"/>
          <w:szCs w:val="22"/>
          <w:shd w:val="clear" w:color="auto" w:fill="FFFFFF"/>
        </w:rPr>
        <w:t>železniční dopravy pro budoucí prověření železničního spojení Liberec – Česká Lípa, úsek Bílý Kostel nad Nisou – Rynoltice (koridor D33A dle ZÚR Libereckého kraje). Výběr finální varianty bude prověřen v rámci aktualizace ZÚR Libereckého kraje.</w:t>
      </w:r>
    </w:p>
    <w:p w14:paraId="30431E46" w14:textId="77777777" w:rsidR="00227256" w:rsidRPr="00F02309" w:rsidRDefault="00CE2CCD" w:rsidP="00A06EB9">
      <w:pPr>
        <w:pStyle w:val="ListParagraph"/>
        <w:numPr>
          <w:ilvl w:val="0"/>
          <w:numId w:val="97"/>
        </w:numPr>
        <w:autoSpaceDE w:val="0"/>
        <w:autoSpaceDN w:val="0"/>
        <w:adjustRightInd w:val="0"/>
        <w:spacing w:before="120" w:after="120" w:line="240" w:lineRule="auto"/>
        <w:ind w:left="567" w:hanging="567"/>
        <w:rPr>
          <w:lang w:eastAsia="cs-CZ"/>
        </w:rPr>
      </w:pPr>
      <w:r w:rsidRPr="00F02309">
        <w:rPr>
          <w:lang w:eastAsia="cs-CZ"/>
        </w:rPr>
        <w:t xml:space="preserve">Vytvářet územní podmínky pro zlepšování vnitrokrajské dopravní sítě zejména ve smyslu provozních a prostorových propojení s ostatními </w:t>
      </w:r>
      <w:r w:rsidR="00BD7ED4" w:rsidRPr="00F02309">
        <w:rPr>
          <w:lang w:eastAsia="cs-CZ"/>
        </w:rPr>
        <w:t>rozvojovými oblastmi a pro dosažení relativně rovnocenné přístupnosti jednotlivých obcí uvnitř oblasti.</w:t>
      </w:r>
    </w:p>
    <w:p w14:paraId="19ED3015" w14:textId="77777777" w:rsidR="00227256" w:rsidRPr="00461C16" w:rsidRDefault="00BD7ED4" w:rsidP="006D5245">
      <w:pPr>
        <w:pStyle w:val="ListParagraph"/>
        <w:autoSpaceDE w:val="0"/>
        <w:autoSpaceDN w:val="0"/>
        <w:adjustRightInd w:val="0"/>
        <w:spacing w:before="120" w:after="120" w:line="240" w:lineRule="auto"/>
        <w:ind w:left="567"/>
        <w:rPr>
          <w:lang w:eastAsia="cs-CZ"/>
        </w:rPr>
      </w:pPr>
      <w:r w:rsidRPr="00461C16">
        <w:rPr>
          <w:lang w:eastAsia="cs-CZ"/>
        </w:rPr>
        <w:t xml:space="preserve">Prověřit možnosti využitelnosti vazby dopravních koridorů na strategické rozvojové plochy na území významných center osídlení. </w:t>
      </w:r>
    </w:p>
    <w:p w14:paraId="3B5A6880" w14:textId="77777777" w:rsidR="00227256" w:rsidRPr="00461C16" w:rsidRDefault="00BD7ED4" w:rsidP="006D5245">
      <w:pPr>
        <w:pStyle w:val="ListParagraph"/>
        <w:autoSpaceDE w:val="0"/>
        <w:autoSpaceDN w:val="0"/>
        <w:adjustRightInd w:val="0"/>
        <w:spacing w:before="120" w:after="120" w:line="240" w:lineRule="auto"/>
        <w:ind w:left="567"/>
        <w:rPr>
          <w:lang w:eastAsia="cs-CZ"/>
        </w:rPr>
      </w:pPr>
      <w:r w:rsidRPr="00461C16">
        <w:rPr>
          <w:lang w:eastAsia="cs-CZ"/>
        </w:rPr>
        <w:t>Podporovat aktivity směřující k posílení významu veřejné dopravy, významného aspektu integrity oblasti i Libereckého kraje. Optimalizovat rozmístění železničních zastávek na regionálních tratích.</w:t>
      </w:r>
    </w:p>
    <w:p w14:paraId="1667CC4C" w14:textId="77777777" w:rsidR="00CE2CCD" w:rsidRPr="00461C16" w:rsidRDefault="00BD7ED4" w:rsidP="006D5245">
      <w:pPr>
        <w:pStyle w:val="ListParagraph"/>
        <w:autoSpaceDE w:val="0"/>
        <w:autoSpaceDN w:val="0"/>
        <w:adjustRightInd w:val="0"/>
        <w:spacing w:before="120" w:after="120" w:line="240" w:lineRule="auto"/>
        <w:ind w:left="567"/>
        <w:rPr>
          <w:lang w:eastAsia="cs-CZ"/>
        </w:rPr>
      </w:pPr>
      <w:r w:rsidRPr="00461C16">
        <w:rPr>
          <w:lang w:eastAsia="cs-CZ"/>
        </w:rPr>
        <w:lastRenderedPageBreak/>
        <w:t xml:space="preserve">Upřesňování koridorů dopravní a technické vybavenosti vždy řešit při respektování evropsky významných lokalit a ptačích oblastí a v souladu s principy zabezpečení dostatečné prostupnosti krajiny a nenarušení územního systému ekologické stability a krajinných horizontů. </w:t>
      </w:r>
    </w:p>
    <w:p w14:paraId="27153243" w14:textId="77777777" w:rsidR="00BB58CC" w:rsidRPr="00461C16" w:rsidRDefault="00456145" w:rsidP="00BB58CC">
      <w:pPr>
        <w:pStyle w:val="BodyText"/>
        <w:spacing w:before="120" w:after="120"/>
        <w:rPr>
          <w:i/>
          <w:sz w:val="22"/>
          <w:szCs w:val="22"/>
          <w:shd w:val="clear" w:color="auto" w:fill="FFFFFF"/>
        </w:rPr>
      </w:pPr>
      <w:r w:rsidRPr="00461C16">
        <w:rPr>
          <w:i/>
          <w:sz w:val="22"/>
          <w:szCs w:val="22"/>
          <w:shd w:val="clear" w:color="auto" w:fill="FFFFFF"/>
        </w:rPr>
        <w:t>ÚP nenavrhuje záměry, které by měly dopad na evropsky významné lokality a ptačí oblasti.</w:t>
      </w:r>
    </w:p>
    <w:p w14:paraId="73360615" w14:textId="77777777" w:rsidR="00456145" w:rsidRPr="00461C16" w:rsidRDefault="00456145" w:rsidP="00BB58CC">
      <w:pPr>
        <w:pStyle w:val="BodyText"/>
        <w:spacing w:before="120" w:after="120"/>
        <w:rPr>
          <w:i/>
          <w:sz w:val="22"/>
          <w:szCs w:val="22"/>
        </w:rPr>
      </w:pPr>
      <w:r w:rsidRPr="00461C16">
        <w:rPr>
          <w:i/>
          <w:sz w:val="22"/>
          <w:szCs w:val="22"/>
          <w:shd w:val="clear" w:color="auto" w:fill="FFFFFF"/>
        </w:rPr>
        <w:t>Více viz vyhodnocení předcházejícího bodu.</w:t>
      </w:r>
    </w:p>
    <w:p w14:paraId="7A945A59" w14:textId="77777777" w:rsidR="00BD7ED4" w:rsidRPr="00461C16" w:rsidRDefault="00BD7ED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územní podmínky pro vstup strategických investorů a rozvoj nových ekonomických aktivit v rámci restrukturalizace výrobního potenciálu po zániku tradičních odvětví, upřednostňovat využití zainvestovaných a připravených lokalit. </w:t>
      </w:r>
    </w:p>
    <w:p w14:paraId="285AF8F3"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1.2.2 </w:t>
      </w:r>
      <w:r w:rsidR="004520ED" w:rsidRPr="00461C16">
        <w:rPr>
          <w:i/>
          <w:color w:val="000000"/>
          <w:sz w:val="22"/>
          <w:szCs w:val="22"/>
          <w:shd w:val="clear" w:color="auto" w:fill="FFFFFF"/>
        </w:rPr>
        <w:t>Rozvojové oblasti a osy republikového významu -</w:t>
      </w:r>
      <w:r w:rsidR="00B345B4" w:rsidRPr="00461C16">
        <w:rPr>
          <w:i/>
          <w:color w:val="000000"/>
          <w:sz w:val="22"/>
          <w:szCs w:val="22"/>
          <w:shd w:val="clear" w:color="auto" w:fill="FFFFFF"/>
        </w:rPr>
        <w:t xml:space="preserve"> </w:t>
      </w:r>
      <w:r w:rsidR="004520ED" w:rsidRPr="00461C16">
        <w:rPr>
          <w:i/>
          <w:color w:val="000000"/>
          <w:sz w:val="22"/>
          <w:szCs w:val="22"/>
          <w:shd w:val="clear" w:color="auto" w:fill="FFFFFF"/>
        </w:rPr>
        <w:t>vyhodnocení požadavku č. 40</w:t>
      </w:r>
    </w:p>
    <w:p w14:paraId="450D5C6B" w14:textId="77777777" w:rsidR="00BD7ED4" w:rsidRPr="00461C16" w:rsidRDefault="00BD7ED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Rozvoj nových ekonomických aktivit zajistit odpovídajícími obytnými kapacitami. Návrhy nových ploch pro bydlení odvozovat ze sociodemografických prognóz v souladu s koncepcemi rozvoje obcí v širších územních souvislostech a vždy je zajistit odpovídajícími kapacitami veřejné infrastru</w:t>
      </w:r>
      <w:r w:rsidR="00BB58CC" w:rsidRPr="00461C16">
        <w:rPr>
          <w:lang w:eastAsia="cs-CZ"/>
        </w:rPr>
        <w:t>ktury a veřejných prostranství.</w:t>
      </w:r>
    </w:p>
    <w:p w14:paraId="2C9F3C0E"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1.2.2 </w:t>
      </w:r>
      <w:r w:rsidR="004520ED" w:rsidRPr="00461C16">
        <w:rPr>
          <w:i/>
          <w:color w:val="000000"/>
          <w:sz w:val="22"/>
          <w:szCs w:val="22"/>
          <w:shd w:val="clear" w:color="auto" w:fill="FFFFFF"/>
        </w:rPr>
        <w:t>Rozvojové oblasti a osy republikového významu -</w:t>
      </w:r>
      <w:r w:rsidR="00B345B4" w:rsidRPr="00461C16">
        <w:rPr>
          <w:i/>
          <w:color w:val="000000"/>
          <w:sz w:val="22"/>
          <w:szCs w:val="22"/>
          <w:shd w:val="clear" w:color="auto" w:fill="FFFFFF"/>
        </w:rPr>
        <w:t xml:space="preserve"> </w:t>
      </w:r>
      <w:r w:rsidR="004520ED" w:rsidRPr="00461C16">
        <w:rPr>
          <w:i/>
          <w:color w:val="000000"/>
          <w:sz w:val="22"/>
          <w:szCs w:val="22"/>
          <w:shd w:val="clear" w:color="auto" w:fill="FFFFFF"/>
        </w:rPr>
        <w:t>vyhodnocení požadavku č. 41</w:t>
      </w:r>
    </w:p>
    <w:p w14:paraId="73CFADFD" w14:textId="77777777" w:rsidR="00227256" w:rsidRPr="00461C16" w:rsidRDefault="00BD7ED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Regulačními nástroji územního plánování zajistit koncepční a koordinovaný rozvoj obcí v sídelní struktuře. </w:t>
      </w:r>
    </w:p>
    <w:p w14:paraId="0152B900" w14:textId="77777777" w:rsidR="00227256" w:rsidRPr="00461C16" w:rsidRDefault="00BD7ED4" w:rsidP="006D5245">
      <w:pPr>
        <w:pStyle w:val="ListParagraph"/>
        <w:autoSpaceDE w:val="0"/>
        <w:autoSpaceDN w:val="0"/>
        <w:adjustRightInd w:val="0"/>
        <w:spacing w:before="120" w:after="120" w:line="240" w:lineRule="auto"/>
        <w:ind w:left="567"/>
        <w:rPr>
          <w:lang w:eastAsia="cs-CZ"/>
        </w:rPr>
      </w:pPr>
      <w:r w:rsidRPr="00461C16">
        <w:rPr>
          <w:lang w:eastAsia="cs-CZ"/>
        </w:rPr>
        <w:t xml:space="preserve">Upřednostňovat intenzifikaci využití zastavěných území před zástavbou volných ploch a tak minimalizovat nároky na rozsah nových zastavitelných ploch na úroveň nezbytných potřeb. </w:t>
      </w:r>
    </w:p>
    <w:p w14:paraId="5D8FF2AA" w14:textId="77777777" w:rsidR="00227256" w:rsidRPr="00461C16" w:rsidRDefault="00BD7ED4" w:rsidP="006D5245">
      <w:pPr>
        <w:pStyle w:val="ListParagraph"/>
        <w:autoSpaceDE w:val="0"/>
        <w:autoSpaceDN w:val="0"/>
        <w:adjustRightInd w:val="0"/>
        <w:spacing w:before="120" w:after="120" w:line="240" w:lineRule="auto"/>
        <w:ind w:left="567"/>
        <w:rPr>
          <w:lang w:eastAsia="cs-CZ"/>
        </w:rPr>
      </w:pPr>
      <w:r w:rsidRPr="00461C16">
        <w:rPr>
          <w:lang w:eastAsia="cs-CZ"/>
        </w:rPr>
        <w:t xml:space="preserve">Nepřipouštět spontánní přístupy k urbanizaci území, regulovat umístění a koncentraci obslužných a zábavních zařízení podél komunikační sítě. </w:t>
      </w:r>
    </w:p>
    <w:p w14:paraId="765D5067" w14:textId="77777777" w:rsidR="00BD7ED4" w:rsidRPr="00461C16" w:rsidRDefault="00BD7ED4" w:rsidP="006D5245">
      <w:pPr>
        <w:pStyle w:val="ListParagraph"/>
        <w:autoSpaceDE w:val="0"/>
        <w:autoSpaceDN w:val="0"/>
        <w:adjustRightInd w:val="0"/>
        <w:spacing w:before="120" w:after="120" w:line="240" w:lineRule="auto"/>
        <w:ind w:left="567"/>
        <w:rPr>
          <w:lang w:eastAsia="cs-CZ"/>
        </w:rPr>
      </w:pPr>
      <w:r w:rsidRPr="00461C16">
        <w:rPr>
          <w:lang w:eastAsia="cs-CZ"/>
        </w:rPr>
        <w:t>Chránit přírodní vodní plochy a přirozené průběhy vodních toků, údolních niv před nevratnými urbanizačními zásahy.</w:t>
      </w:r>
      <w:r w:rsidR="00B345B4" w:rsidRPr="00461C16">
        <w:rPr>
          <w:lang w:eastAsia="cs-CZ"/>
        </w:rPr>
        <w:t xml:space="preserve"> </w:t>
      </w:r>
    </w:p>
    <w:p w14:paraId="74E27341"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1.2.2 </w:t>
      </w:r>
      <w:r w:rsidR="004520ED" w:rsidRPr="00461C16">
        <w:rPr>
          <w:i/>
          <w:color w:val="000000"/>
          <w:sz w:val="22"/>
          <w:szCs w:val="22"/>
          <w:shd w:val="clear" w:color="auto" w:fill="FFFFFF"/>
        </w:rPr>
        <w:t>Rozvojové oblasti a osy republikového významu - vyhodnocení požadavku č. 42</w:t>
      </w:r>
    </w:p>
    <w:p w14:paraId="2E6C7DEC" w14:textId="77777777" w:rsidR="00BD7ED4" w:rsidRPr="00461C16" w:rsidRDefault="00BD7ED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Řešit nové využití nebo odstranění tzv. brownfields. Zajistit ochranu a optimální využití technických památek, industriální architektury a lidové architektury. </w:t>
      </w:r>
    </w:p>
    <w:p w14:paraId="1327A393"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t xml:space="preserve">viz kap. 1.2.2 </w:t>
      </w:r>
      <w:r w:rsidR="004520ED" w:rsidRPr="00461C16">
        <w:rPr>
          <w:i/>
          <w:color w:val="000000"/>
          <w:sz w:val="22"/>
          <w:szCs w:val="22"/>
          <w:shd w:val="clear" w:color="auto" w:fill="FFFFFF"/>
        </w:rPr>
        <w:t>Rozvojové oblasti a osy republikového významu -</w:t>
      </w:r>
      <w:r w:rsidR="00B345B4" w:rsidRPr="00461C16">
        <w:rPr>
          <w:i/>
          <w:color w:val="000000"/>
          <w:sz w:val="22"/>
          <w:szCs w:val="22"/>
          <w:shd w:val="clear" w:color="auto" w:fill="FFFFFF"/>
        </w:rPr>
        <w:t xml:space="preserve"> </w:t>
      </w:r>
      <w:r w:rsidR="004520ED" w:rsidRPr="00461C16">
        <w:rPr>
          <w:i/>
          <w:color w:val="000000"/>
          <w:sz w:val="22"/>
          <w:szCs w:val="22"/>
          <w:shd w:val="clear" w:color="auto" w:fill="FFFFFF"/>
        </w:rPr>
        <w:t>vyhodnocení požadavku č. 43</w:t>
      </w:r>
    </w:p>
    <w:p w14:paraId="72BAF3E6" w14:textId="77777777" w:rsidR="00BD7ED4" w:rsidRPr="00461C16" w:rsidRDefault="00BD7ED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Cílevědomým rozvojem sportovně rekreační vybavenosti posilovat význam:</w:t>
      </w:r>
    </w:p>
    <w:p w14:paraId="092BB2EC" w14:textId="77777777" w:rsidR="0012027E" w:rsidRPr="00461C16" w:rsidRDefault="0012027E" w:rsidP="001C22D8">
      <w:pPr>
        <w:pStyle w:val="5odrazka"/>
        <w:numPr>
          <w:ilvl w:val="1"/>
          <w:numId w:val="16"/>
        </w:numPr>
      </w:pPr>
      <w:r w:rsidRPr="00461C16">
        <w:t>denní rekreace obyvatel pro reprodukci pracovní síly</w:t>
      </w:r>
    </w:p>
    <w:p w14:paraId="6C7BBEA8" w14:textId="77777777" w:rsidR="0012027E" w:rsidRPr="00461C16" w:rsidRDefault="0012027E" w:rsidP="001C22D8">
      <w:pPr>
        <w:pStyle w:val="5odrazka"/>
        <w:numPr>
          <w:ilvl w:val="1"/>
          <w:numId w:val="16"/>
        </w:numPr>
      </w:pPr>
      <w:r w:rsidRPr="00461C16">
        <w:t>sportovního využití na úrovni místního a nadmístního významu</w:t>
      </w:r>
    </w:p>
    <w:p w14:paraId="624E1257" w14:textId="77777777" w:rsidR="0012027E" w:rsidRPr="00461C16" w:rsidRDefault="0012027E" w:rsidP="001C22D8">
      <w:pPr>
        <w:pStyle w:val="5odrazka"/>
        <w:numPr>
          <w:ilvl w:val="1"/>
          <w:numId w:val="16"/>
        </w:numPr>
      </w:pPr>
      <w:r w:rsidRPr="00461C16">
        <w:t>nástupních center cestovního ruchu a vazeb na blízká střediska cestovního ruchu</w:t>
      </w:r>
    </w:p>
    <w:p w14:paraId="68226F3E" w14:textId="77777777" w:rsidR="00BB58CC" w:rsidRPr="00461C16" w:rsidRDefault="00A73B40" w:rsidP="004520ED">
      <w:pPr>
        <w:pStyle w:val="5odrazka"/>
        <w:numPr>
          <w:ilvl w:val="0"/>
          <w:numId w:val="0"/>
        </w:numPr>
        <w:spacing w:before="120"/>
        <w:rPr>
          <w:i/>
        </w:rPr>
      </w:pPr>
      <w:r w:rsidRPr="00461C16">
        <w:rPr>
          <w:i/>
          <w:color w:val="000000"/>
          <w:shd w:val="clear" w:color="auto" w:fill="FFFFFF"/>
        </w:rPr>
        <w:t xml:space="preserve">viz kap. 1.2.2 </w:t>
      </w:r>
      <w:r w:rsidR="003F3D74" w:rsidRPr="00461C16">
        <w:rPr>
          <w:i/>
          <w:color w:val="000000"/>
          <w:shd w:val="clear" w:color="auto" w:fill="FFFFFF"/>
        </w:rPr>
        <w:t xml:space="preserve">Rozvojové oblasti a osy republikového významu – vyhodnocení požadavku č. </w:t>
      </w:r>
      <w:r w:rsidR="0046414D" w:rsidRPr="00461C16">
        <w:rPr>
          <w:i/>
          <w:color w:val="000000"/>
          <w:shd w:val="clear" w:color="auto" w:fill="FFFFFF"/>
        </w:rPr>
        <w:t>44</w:t>
      </w:r>
    </w:p>
    <w:p w14:paraId="0C127CFC"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Připravovat územní podmínky pro realizaci efektivní protipovodňové ochrany, podporovat rozliv a zadržování vody ve volné krajině a zabraňovat zvyšování povrchového odtoku. Přistupovat citlivě k regulaci na Lužické Nise a jejích přítocích návrhem k přírodě šetrných forem protipovodňové ochrany zejména na území CHKO Jizerské hory a s ohledem na předměty ochrany vymezených EVL. </w:t>
      </w:r>
    </w:p>
    <w:p w14:paraId="3C5192C2" w14:textId="77777777" w:rsidR="00A778BE" w:rsidRPr="00461C16" w:rsidRDefault="00A778BE" w:rsidP="00A778BE">
      <w:pPr>
        <w:pStyle w:val="5odrazka"/>
        <w:numPr>
          <w:ilvl w:val="0"/>
          <w:numId w:val="0"/>
        </w:numPr>
        <w:spacing w:before="120"/>
        <w:rPr>
          <w:i/>
        </w:rPr>
      </w:pPr>
      <w:r w:rsidRPr="00461C16">
        <w:rPr>
          <w:i/>
          <w:color w:val="000000"/>
          <w:shd w:val="clear" w:color="auto" w:fill="FFFFFF"/>
        </w:rPr>
        <w:t>viz kap. 1.2.2 Rozvojové oblasti a osy republikového významu – vyhodnocení požadavku č. 45</w:t>
      </w:r>
    </w:p>
    <w:p w14:paraId="2077F3B2"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Koordinovat plánovací a rozvojové aktivity ORP Liberec, ORP Jablonec nad Nisou a ORP Tanvald s Královéhradeckým, Středočeským a Ústeckým krajem a se záměry sousedních regionů Sasko v Německu a Dolní Slezsko v Polsku.</w:t>
      </w:r>
    </w:p>
    <w:p w14:paraId="34CCB7A0" w14:textId="77777777" w:rsidR="008F4C19" w:rsidRPr="00461C16" w:rsidRDefault="004520ED" w:rsidP="008F4C19">
      <w:pPr>
        <w:autoSpaceDE w:val="0"/>
        <w:autoSpaceDN w:val="0"/>
        <w:adjustRightInd w:val="0"/>
        <w:spacing w:before="120" w:line="240" w:lineRule="auto"/>
        <w:rPr>
          <w:i/>
        </w:rPr>
      </w:pPr>
      <w:r w:rsidRPr="00461C16">
        <w:rPr>
          <w:i/>
        </w:rPr>
        <w:t>Koordinace je zajištěna.</w:t>
      </w:r>
    </w:p>
    <w:p w14:paraId="2CAD454D" w14:textId="77777777" w:rsidR="00AB2362" w:rsidRPr="00461C16" w:rsidRDefault="00AB2362" w:rsidP="00A778BE">
      <w:pPr>
        <w:pStyle w:val="4podnadpis"/>
      </w:pPr>
      <w:r w:rsidRPr="00461C16">
        <w:t>Rozvojové osy I. řádu – republikového významu</w:t>
      </w:r>
    </w:p>
    <w:p w14:paraId="0E485C17"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Do rozvojových předpokladů dotčených obcí zahrnovat přeshraniční souvislosti rozvojové osy ve specifických podmínkách okrajových území Německa/Saska a Polska/ Dolní Slezsko.</w:t>
      </w:r>
    </w:p>
    <w:p w14:paraId="09018BEA" w14:textId="77777777" w:rsidR="00BB58CC" w:rsidRPr="00461C16" w:rsidRDefault="00A73B40" w:rsidP="00BB58CC">
      <w:pPr>
        <w:pStyle w:val="BodyText"/>
        <w:spacing w:before="120" w:after="120"/>
        <w:rPr>
          <w:i/>
          <w:sz w:val="22"/>
          <w:szCs w:val="22"/>
        </w:rPr>
      </w:pPr>
      <w:r w:rsidRPr="00461C16">
        <w:rPr>
          <w:i/>
          <w:color w:val="000000"/>
          <w:sz w:val="22"/>
          <w:szCs w:val="22"/>
          <w:shd w:val="clear" w:color="auto" w:fill="FFFFFF"/>
        </w:rPr>
        <w:lastRenderedPageBreak/>
        <w:t xml:space="preserve">viz kap. 1.2.2 </w:t>
      </w:r>
      <w:r w:rsidR="004520ED" w:rsidRPr="00461C16">
        <w:rPr>
          <w:i/>
          <w:color w:val="000000"/>
          <w:sz w:val="22"/>
          <w:szCs w:val="22"/>
          <w:shd w:val="clear" w:color="auto" w:fill="FFFFFF"/>
        </w:rPr>
        <w:t>Rozvojové oblasti a osy republikového významu – vyhodnocení požadavku č. 47</w:t>
      </w:r>
    </w:p>
    <w:p w14:paraId="1B615445"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Zkvalitnit přeshraniční silniční a železniční spojení pro všechny druhy dopravy do Německa a Polska. </w:t>
      </w:r>
    </w:p>
    <w:p w14:paraId="7FEAA0BF" w14:textId="77777777" w:rsidR="000179CA" w:rsidRPr="00461C16" w:rsidRDefault="008A2736" w:rsidP="000179CA">
      <w:pPr>
        <w:pStyle w:val="BodyText"/>
        <w:spacing w:before="120" w:after="120"/>
        <w:rPr>
          <w:i/>
          <w:sz w:val="22"/>
          <w:szCs w:val="22"/>
        </w:rPr>
      </w:pPr>
      <w:r w:rsidRPr="00461C16">
        <w:rPr>
          <w:i/>
          <w:color w:val="000000"/>
          <w:sz w:val="22"/>
          <w:szCs w:val="22"/>
          <w:shd w:val="clear" w:color="auto" w:fill="FFFFFF"/>
        </w:rPr>
        <w:t>S cílem vytvoření podmínek pro zlepšení dostupnosti Hrádku nad Nisou po železnici a zlepšení přeshraničních dopravních vazeb vymezuje ÚP koridory železniční dopravy X01 pro optimalizaci a elektrizaci železniční trati č. 089. Dopravní spojení silniční je na dobré úrovni bez nutnosti zásadních změn.</w:t>
      </w:r>
    </w:p>
    <w:p w14:paraId="6725BCBD"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Upřesnit koridory pro kapacitní dopravní tahy napojující území Libereckého kraje na významné dopravní cesty v Německu, vymezené v ZÚR:</w:t>
      </w:r>
    </w:p>
    <w:p w14:paraId="2DC69A85" w14:textId="77777777" w:rsidR="0012027E" w:rsidRPr="00461C16" w:rsidRDefault="0012027E" w:rsidP="001C22D8">
      <w:pPr>
        <w:pStyle w:val="5odrazka"/>
        <w:numPr>
          <w:ilvl w:val="1"/>
          <w:numId w:val="16"/>
        </w:numPr>
      </w:pPr>
      <w:r w:rsidRPr="00461C16">
        <w:t xml:space="preserve">silnice I/35 – Liberec – Bílý Kostel nad Nisou – Hrádek nad Nisou – hranice ČR (Zittau), </w:t>
      </w:r>
    </w:p>
    <w:p w14:paraId="37229D75" w14:textId="77777777" w:rsidR="008A2736" w:rsidRPr="00461C16" w:rsidRDefault="0012027E" w:rsidP="008A2736">
      <w:pPr>
        <w:pStyle w:val="5odrazka"/>
        <w:numPr>
          <w:ilvl w:val="1"/>
          <w:numId w:val="16"/>
        </w:numPr>
      </w:pPr>
      <w:r w:rsidRPr="00461C16">
        <w:t>železniční trať Liberec – Chrastava – Hrádek nad Nisou – hranice ČR (Zittau).</w:t>
      </w:r>
    </w:p>
    <w:p w14:paraId="45FF73BC" w14:textId="77777777" w:rsidR="008A2736" w:rsidRPr="00461C16" w:rsidRDefault="008A2736" w:rsidP="008A2736">
      <w:pPr>
        <w:pStyle w:val="5odrazka"/>
        <w:numPr>
          <w:ilvl w:val="0"/>
          <w:numId w:val="0"/>
        </w:numPr>
        <w:rPr>
          <w:i/>
          <w:shd w:val="clear" w:color="auto" w:fill="FFFFFF"/>
        </w:rPr>
      </w:pPr>
      <w:r w:rsidRPr="00461C16">
        <w:rPr>
          <w:i/>
          <w:shd w:val="clear" w:color="auto" w:fill="FFFFFF"/>
        </w:rPr>
        <w:t>Přeložka silnice I/35 byla realizována.</w:t>
      </w:r>
    </w:p>
    <w:p w14:paraId="7407D227" w14:textId="77777777" w:rsidR="000179CA" w:rsidRPr="00461C16" w:rsidRDefault="008A2736" w:rsidP="008A2736">
      <w:pPr>
        <w:pStyle w:val="5odrazka"/>
        <w:numPr>
          <w:ilvl w:val="0"/>
          <w:numId w:val="0"/>
        </w:numPr>
        <w:rPr>
          <w:i/>
        </w:rPr>
      </w:pPr>
      <w:r w:rsidRPr="00461C16">
        <w:rPr>
          <w:i/>
          <w:shd w:val="clear" w:color="auto" w:fill="FFFFFF"/>
        </w:rPr>
        <w:t>ÚP v souladu se ZÚR Libereckého kraje zpřesňuje v rámci správního území města Hrádek nad Nisou koridor železniční dopravy (DZ.k) X01 pro optimalizaci a elektrizaci železniční trati č. 089.</w:t>
      </w:r>
    </w:p>
    <w:p w14:paraId="6B1620B8" w14:textId="77777777" w:rsidR="0012027E" w:rsidRPr="00461C16" w:rsidRDefault="000179CA"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Upřes</w:t>
      </w:r>
      <w:r w:rsidR="0012027E" w:rsidRPr="00461C16">
        <w:rPr>
          <w:lang w:eastAsia="cs-CZ"/>
        </w:rPr>
        <w:t xml:space="preserve">nit vedení koridoru železniční tratě Praha – Turnov – Liberec – Frýdlant – hranice ČR (Zawidów) pro kombinovanou dopravu mezinárodního významu. </w:t>
      </w:r>
    </w:p>
    <w:p w14:paraId="4AF22B1A" w14:textId="77777777" w:rsidR="000179CA" w:rsidRPr="00461C16" w:rsidRDefault="008A2736" w:rsidP="000179CA">
      <w:pPr>
        <w:pStyle w:val="5odrazka"/>
        <w:numPr>
          <w:ilvl w:val="0"/>
          <w:numId w:val="0"/>
        </w:numPr>
        <w:rPr>
          <w:i/>
        </w:rPr>
      </w:pPr>
      <w:r w:rsidRPr="00461C16">
        <w:rPr>
          <w:i/>
          <w:shd w:val="clear" w:color="auto" w:fill="FFFFFF"/>
        </w:rPr>
        <w:t>Mimo řešené území.</w:t>
      </w:r>
    </w:p>
    <w:p w14:paraId="476C72D1"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Řešit územní souvislosti návaznosti koridoru modernizované železniční tratě Turnov – Jičín – Hradec Králové.</w:t>
      </w:r>
    </w:p>
    <w:p w14:paraId="267D84C2" w14:textId="77777777" w:rsidR="000179CA" w:rsidRPr="00461C16" w:rsidRDefault="008A2736" w:rsidP="000179CA">
      <w:pPr>
        <w:pStyle w:val="5odrazka"/>
        <w:numPr>
          <w:ilvl w:val="0"/>
          <w:numId w:val="0"/>
        </w:numPr>
        <w:rPr>
          <w:i/>
        </w:rPr>
      </w:pPr>
      <w:r w:rsidRPr="00461C16">
        <w:rPr>
          <w:i/>
          <w:shd w:val="clear" w:color="auto" w:fill="FFFFFF"/>
        </w:rPr>
        <w:t>Mimo řešené území.</w:t>
      </w:r>
    </w:p>
    <w:p w14:paraId="385ACF3C"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územní podmínky pro vznik veřejného logistického centra (VLC) napojeného na železniční, silniční a případně i leteckou dopravu za účelem poskytování širokého spektra logistických služeb v rámci zapojení do evropské sítě VLC. </w:t>
      </w:r>
    </w:p>
    <w:p w14:paraId="0ECCF296" w14:textId="77777777" w:rsidR="000179CA" w:rsidRPr="00461C16" w:rsidRDefault="008A2736" w:rsidP="000179CA">
      <w:pPr>
        <w:pStyle w:val="5odrazka"/>
        <w:numPr>
          <w:ilvl w:val="0"/>
          <w:numId w:val="0"/>
        </w:numPr>
        <w:rPr>
          <w:i/>
        </w:rPr>
      </w:pPr>
      <w:r w:rsidRPr="00461C16">
        <w:rPr>
          <w:i/>
          <w:shd w:val="clear" w:color="auto" w:fill="FFFFFF"/>
        </w:rPr>
        <w:t>Mimo řešené území.</w:t>
      </w:r>
    </w:p>
    <w:p w14:paraId="67832A66"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Zkvalitňovat systémy veřejné dopravy, zohlednit Projekt společného využití železničních a tramvajových tratí. </w:t>
      </w:r>
    </w:p>
    <w:p w14:paraId="2DFE76F4" w14:textId="77777777" w:rsidR="000179CA" w:rsidRPr="00461C16" w:rsidRDefault="001C0EC5" w:rsidP="000179CA">
      <w:pPr>
        <w:pStyle w:val="5odrazka"/>
        <w:numPr>
          <w:ilvl w:val="0"/>
          <w:numId w:val="0"/>
        </w:numPr>
        <w:rPr>
          <w:i/>
        </w:rPr>
      </w:pPr>
      <w:r w:rsidRPr="00461C16">
        <w:rPr>
          <w:i/>
          <w:color w:val="000000"/>
          <w:shd w:val="clear" w:color="auto" w:fill="FFFFFF"/>
        </w:rPr>
        <w:t>S cílem vytvoření podmínek pro zlepšení dostupnosti Hrádku nad Nisou po železnici a zlepšení přeshraničních dopravních vazeb vymezuje ÚP koridor železniční dopravy X01 pro optimalizaci a elektrizaci železniční trati č. 089.</w:t>
      </w:r>
    </w:p>
    <w:p w14:paraId="162637B3" w14:textId="77777777" w:rsidR="0012027E" w:rsidRPr="00461C16" w:rsidRDefault="0012027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Koordinovat plánovací a rozvojové aktivity se sousedním Středočeským krajem a sousedními regiony Německo – Sasko a Polsko – Dolní Slezsko.</w:t>
      </w:r>
    </w:p>
    <w:p w14:paraId="53338553" w14:textId="77777777" w:rsidR="008F4C19" w:rsidRPr="00461C16" w:rsidRDefault="00A73B40" w:rsidP="008F4C19">
      <w:pPr>
        <w:autoSpaceDE w:val="0"/>
        <w:autoSpaceDN w:val="0"/>
        <w:adjustRightInd w:val="0"/>
        <w:spacing w:before="120" w:line="240" w:lineRule="auto"/>
        <w:rPr>
          <w:i/>
          <w:lang w:eastAsia="cs-CZ"/>
        </w:rPr>
      </w:pPr>
      <w:r w:rsidRPr="00461C16">
        <w:rPr>
          <w:i/>
          <w:color w:val="000000"/>
          <w:shd w:val="clear" w:color="auto" w:fill="FFFFFF"/>
        </w:rPr>
        <w:t xml:space="preserve">viz kap. 1.2.2 </w:t>
      </w:r>
      <w:r w:rsidR="004520ED" w:rsidRPr="00461C16">
        <w:rPr>
          <w:i/>
          <w:color w:val="000000"/>
          <w:shd w:val="clear" w:color="auto" w:fill="FFFFFF"/>
        </w:rPr>
        <w:t>Rozvojové oblasti a osy republikového významu – vyhodnocení požadavku č. 55</w:t>
      </w:r>
    </w:p>
    <w:p w14:paraId="7A8E9CF0" w14:textId="77777777" w:rsidR="00AB2362" w:rsidRPr="00461C16" w:rsidRDefault="00AB2362" w:rsidP="00F77F07">
      <w:pPr>
        <w:pStyle w:val="4podnadpis"/>
      </w:pPr>
      <w:r w:rsidRPr="00461C16">
        <w:t>Zásady koncepce rozvoje dopravní infrastruktury</w:t>
      </w:r>
    </w:p>
    <w:p w14:paraId="4C279095"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 ÚPD dotčených obcí:</w:t>
      </w:r>
    </w:p>
    <w:p w14:paraId="24E28576" w14:textId="77777777" w:rsidR="00980CF0" w:rsidRPr="00461C16" w:rsidRDefault="00980CF0" w:rsidP="001C22D8">
      <w:pPr>
        <w:pStyle w:val="5odrazka"/>
        <w:numPr>
          <w:ilvl w:val="1"/>
          <w:numId w:val="16"/>
        </w:numPr>
        <w:spacing w:before="120" w:after="120"/>
      </w:pPr>
      <w:r w:rsidRPr="00461C16">
        <w:t>koordinovat vedení koridoru na hranicích ČR ve vazbách na Polsko a Německo,</w:t>
      </w:r>
    </w:p>
    <w:p w14:paraId="2126D7D6" w14:textId="77777777" w:rsidR="00980CF0" w:rsidRPr="00461C16" w:rsidRDefault="00980CF0" w:rsidP="001C22D8">
      <w:pPr>
        <w:pStyle w:val="5odrazka"/>
        <w:numPr>
          <w:ilvl w:val="1"/>
          <w:numId w:val="16"/>
        </w:numPr>
        <w:spacing w:before="120" w:after="120"/>
      </w:pPr>
      <w:r w:rsidRPr="00461C16">
        <w:t>upřesnit, stabilizovat a řešit územní souvislosti vedení koridoru.</w:t>
      </w:r>
    </w:p>
    <w:p w14:paraId="6A32E9A8" w14:textId="77777777" w:rsidR="000179CA" w:rsidRPr="00461C16" w:rsidRDefault="001C0EC5" w:rsidP="001C0EC5">
      <w:pPr>
        <w:pStyle w:val="5odrazka"/>
        <w:numPr>
          <w:ilvl w:val="0"/>
          <w:numId w:val="0"/>
        </w:numPr>
      </w:pPr>
      <w:r w:rsidRPr="00461C16">
        <w:rPr>
          <w:i/>
          <w:shd w:val="clear" w:color="auto" w:fill="FFFFFF"/>
        </w:rPr>
        <w:t>Silnice I/35 byla realizována.</w:t>
      </w:r>
      <w:r w:rsidR="00B40DF6" w:rsidRPr="00B40DF6">
        <w:rPr>
          <w:i/>
          <w:szCs w:val="18"/>
        </w:rPr>
        <w:t xml:space="preserve"> </w:t>
      </w:r>
      <w:r w:rsidR="00B40DF6" w:rsidRPr="00B40DF6">
        <w:rPr>
          <w:i/>
        </w:rPr>
        <w:t>Pro budoucí rozšíření silnice I/35 na čtyřpruhové uspořádání je vymezena plocha územní rezervy R16.</w:t>
      </w:r>
    </w:p>
    <w:p w14:paraId="3E3AC5B9"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Koordinovat vedení koridoru na hranicích LK ve vazbách na Polsko a Německo. </w:t>
      </w:r>
    </w:p>
    <w:p w14:paraId="6FC00F10" w14:textId="77777777" w:rsidR="000179CA" w:rsidRPr="00461C16" w:rsidRDefault="001C0EC5" w:rsidP="000179CA">
      <w:pPr>
        <w:pStyle w:val="5odrazka"/>
        <w:numPr>
          <w:ilvl w:val="0"/>
          <w:numId w:val="0"/>
        </w:numPr>
        <w:rPr>
          <w:i/>
        </w:rPr>
      </w:pPr>
      <w:r w:rsidRPr="00461C16">
        <w:rPr>
          <w:i/>
          <w:shd w:val="clear" w:color="auto" w:fill="FFFFFF"/>
        </w:rPr>
        <w:t>Silnice I/35 byla realizována.</w:t>
      </w:r>
      <w:r w:rsidR="00B40DF6">
        <w:rPr>
          <w:i/>
          <w:shd w:val="clear" w:color="auto" w:fill="FFFFFF"/>
        </w:rPr>
        <w:t xml:space="preserve"> </w:t>
      </w:r>
      <w:r w:rsidR="00B40DF6">
        <w:rPr>
          <w:i/>
          <w:szCs w:val="18"/>
        </w:rPr>
        <w:t>Pro budoucí rozšíření silnice I/35 na čtyřpruhové uspořádání je vymezena plocha územní rezervy R16.</w:t>
      </w:r>
    </w:p>
    <w:p w14:paraId="360ED63E"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Koordinovat vazby s územní rezervou pro koridor železniční trati Bílý Kostel nad Nisou – Rynoltice. </w:t>
      </w:r>
    </w:p>
    <w:p w14:paraId="723DE50F" w14:textId="77777777" w:rsidR="000179CA" w:rsidRPr="00461C16" w:rsidRDefault="001C0EC5" w:rsidP="000179CA">
      <w:pPr>
        <w:pStyle w:val="5odrazka"/>
        <w:numPr>
          <w:ilvl w:val="0"/>
          <w:numId w:val="0"/>
        </w:numPr>
        <w:rPr>
          <w:i/>
        </w:rPr>
      </w:pPr>
      <w:r w:rsidRPr="00461C16">
        <w:rPr>
          <w:i/>
          <w:shd w:val="clear" w:color="auto" w:fill="FFFFFF"/>
        </w:rPr>
        <w:t>ÚP koordinuje vymezení koridoru územní rezervy pro železniční trať s okolními obcemi.</w:t>
      </w:r>
    </w:p>
    <w:p w14:paraId="4B8956CD"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 xml:space="preserve">Zohlednit zařazení do projektu společného využití železničních a tramvajových tratí. </w:t>
      </w:r>
    </w:p>
    <w:p w14:paraId="6ED3D51B" w14:textId="77777777" w:rsidR="000179CA" w:rsidRPr="00461C16" w:rsidRDefault="001C0EC5" w:rsidP="000179CA">
      <w:pPr>
        <w:pStyle w:val="5odrazka"/>
        <w:numPr>
          <w:ilvl w:val="0"/>
          <w:numId w:val="0"/>
        </w:numPr>
        <w:rPr>
          <w:i/>
        </w:rPr>
      </w:pPr>
      <w:r w:rsidRPr="00461C16">
        <w:rPr>
          <w:i/>
          <w:color w:val="000000"/>
          <w:shd w:val="clear" w:color="auto" w:fill="FFFFFF"/>
        </w:rPr>
        <w:t xml:space="preserve">S cílem vytvoření podmínek pro zlepšení dostupnosti Hrádku nad Nisou po železnici a zlepšení přeshraničních dopravních vazeb vymezuje ÚP koridor </w:t>
      </w:r>
      <w:r w:rsidR="00680440" w:rsidRPr="00461C16">
        <w:rPr>
          <w:i/>
          <w:color w:val="000000"/>
          <w:shd w:val="clear" w:color="auto" w:fill="FFFFFF"/>
        </w:rPr>
        <w:t>dráž</w:t>
      </w:r>
      <w:r w:rsidRPr="00461C16">
        <w:rPr>
          <w:i/>
          <w:color w:val="000000"/>
          <w:shd w:val="clear" w:color="auto" w:fill="FFFFFF"/>
        </w:rPr>
        <w:t>ní dopravy X01 pro optimalizaci a elektrizaci železniční trati č. 089.</w:t>
      </w:r>
    </w:p>
    <w:p w14:paraId="4FA35675" w14:textId="77777777" w:rsidR="000179CA"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územní podmínky pro potenciální využití koridoru pro kombinovanou dopravu s napojením na modernizovanou železniční trať v Zittau (Německo). </w:t>
      </w:r>
    </w:p>
    <w:p w14:paraId="4838A4D7" w14:textId="77777777" w:rsidR="000179CA" w:rsidRPr="00461C16" w:rsidRDefault="008A2736" w:rsidP="000179CA">
      <w:pPr>
        <w:pStyle w:val="5odrazka"/>
        <w:numPr>
          <w:ilvl w:val="0"/>
          <w:numId w:val="0"/>
        </w:numPr>
        <w:rPr>
          <w:i/>
        </w:rPr>
      </w:pPr>
      <w:r w:rsidRPr="00461C16">
        <w:rPr>
          <w:i/>
          <w:color w:val="000000"/>
          <w:shd w:val="clear" w:color="auto" w:fill="FFFFFF"/>
        </w:rPr>
        <w:t xml:space="preserve">S cílem vytvoření podmínek pro zlepšení dostupnosti Hrádku nad Nisou po železnici a zlepšení přeshraničních dopravních vazeb vymezuje ÚP koridor </w:t>
      </w:r>
      <w:r w:rsidR="00680440" w:rsidRPr="00461C16">
        <w:rPr>
          <w:i/>
          <w:color w:val="000000"/>
          <w:shd w:val="clear" w:color="auto" w:fill="FFFFFF"/>
        </w:rPr>
        <w:t>drážní</w:t>
      </w:r>
      <w:r w:rsidRPr="00461C16">
        <w:rPr>
          <w:i/>
          <w:color w:val="000000"/>
          <w:shd w:val="clear" w:color="auto" w:fill="FFFFFF"/>
        </w:rPr>
        <w:t xml:space="preserve"> dopravy X01 pro optimalizaci a elektrizaci železniční trati č. 089.</w:t>
      </w:r>
    </w:p>
    <w:p w14:paraId="401899E2"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Stabilizovat a řešit územní souvislosti vedení koridoru v ÚPD dotčených obcí. </w:t>
      </w:r>
    </w:p>
    <w:p w14:paraId="0AD43B69" w14:textId="77777777" w:rsidR="000179CA" w:rsidRPr="00461C16" w:rsidRDefault="008A2736" w:rsidP="000179CA">
      <w:pPr>
        <w:pStyle w:val="5odrazka"/>
        <w:numPr>
          <w:ilvl w:val="0"/>
          <w:numId w:val="0"/>
        </w:numPr>
        <w:rPr>
          <w:i/>
        </w:rPr>
      </w:pPr>
      <w:r w:rsidRPr="00461C16">
        <w:rPr>
          <w:i/>
          <w:shd w:val="clear" w:color="auto" w:fill="FFFFFF"/>
        </w:rPr>
        <w:t>Viz vyhodnocení předchozího bodu.</w:t>
      </w:r>
    </w:p>
    <w:p w14:paraId="0AF7E97D"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Výběrem varianty upřesnit vedení koridoru v úseku Bílý Kostel nad Nisou – Rynoltice, prověřit územní studii. </w:t>
      </w:r>
    </w:p>
    <w:p w14:paraId="63C518AE" w14:textId="77777777" w:rsidR="000179CA" w:rsidRPr="00461C16" w:rsidRDefault="008A2736" w:rsidP="000179CA">
      <w:pPr>
        <w:pStyle w:val="5odrazka"/>
        <w:numPr>
          <w:ilvl w:val="0"/>
          <w:numId w:val="0"/>
        </w:numPr>
        <w:rPr>
          <w:i/>
        </w:rPr>
      </w:pPr>
      <w:r w:rsidRPr="00F02309">
        <w:rPr>
          <w:i/>
          <w:color w:val="000000"/>
          <w:shd w:val="clear" w:color="auto" w:fill="FFFFFF"/>
        </w:rPr>
        <w:t xml:space="preserve">ÚP vymezuje v rámci správního území města Hrádek nad Nisou koridor územní rezervy </w:t>
      </w:r>
      <w:r w:rsidR="00F02309" w:rsidRPr="00F02309">
        <w:rPr>
          <w:i/>
          <w:color w:val="000000"/>
          <w:shd w:val="clear" w:color="auto" w:fill="FFFFFF"/>
        </w:rPr>
        <w:t>R</w:t>
      </w:r>
      <w:r w:rsidR="00F02309">
        <w:rPr>
          <w:i/>
          <w:color w:val="000000"/>
          <w:shd w:val="clear" w:color="auto" w:fill="FFFFFF"/>
        </w:rPr>
        <w:t>13</w:t>
      </w:r>
      <w:r w:rsidR="00F02309" w:rsidRPr="00F02309">
        <w:rPr>
          <w:i/>
          <w:color w:val="000000"/>
          <w:shd w:val="clear" w:color="auto" w:fill="FFFFFF"/>
        </w:rPr>
        <w:t xml:space="preserve"> </w:t>
      </w:r>
      <w:r w:rsidRPr="00F02309">
        <w:rPr>
          <w:i/>
          <w:color w:val="000000"/>
          <w:shd w:val="clear" w:color="auto" w:fill="FFFFFF"/>
        </w:rPr>
        <w:t>železniční dopravy pro budoucí prověření železničního spojení Liberec – Česká Lípa, úsek Bílý Kostel nad Nisou – Rynoltice (koridor D33A dle ZÚR Libereckého kraje). Výběr finální varianty bude prověřen v rámci aktualizace ZÚR Libereckého kraje.</w:t>
      </w:r>
    </w:p>
    <w:p w14:paraId="1B50B4DD"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Zajistit územní ochranu koridoru jako územní rezervu pro jeho budoucí prověření v širších územních souvislostech. </w:t>
      </w:r>
    </w:p>
    <w:p w14:paraId="02373A1C" w14:textId="77777777" w:rsidR="007225A2" w:rsidRPr="00461C16" w:rsidRDefault="008A2736" w:rsidP="007225A2">
      <w:pPr>
        <w:pStyle w:val="BodyText"/>
        <w:spacing w:before="120" w:after="120"/>
        <w:rPr>
          <w:i/>
          <w:sz w:val="22"/>
          <w:szCs w:val="22"/>
        </w:rPr>
      </w:pPr>
      <w:r w:rsidRPr="00461C16">
        <w:rPr>
          <w:i/>
          <w:sz w:val="22"/>
          <w:szCs w:val="22"/>
          <w:shd w:val="clear" w:color="auto" w:fill="FFFFFF"/>
        </w:rPr>
        <w:t>Viz vyhodnocení přechozího bodu.</w:t>
      </w:r>
    </w:p>
    <w:p w14:paraId="1BBD0403"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Zohlednit zařazení příslušných železničních tratí do projektu společného využití železničních a tramvajových tratí. </w:t>
      </w:r>
    </w:p>
    <w:p w14:paraId="3D4FB7A4" w14:textId="77777777" w:rsidR="007225A2" w:rsidRPr="00461C16" w:rsidRDefault="001C0EC5" w:rsidP="007225A2">
      <w:pPr>
        <w:pStyle w:val="BodyText"/>
        <w:spacing w:before="120" w:after="120"/>
        <w:rPr>
          <w:i/>
          <w:sz w:val="22"/>
          <w:szCs w:val="22"/>
        </w:rPr>
      </w:pPr>
      <w:r w:rsidRPr="00461C16">
        <w:rPr>
          <w:i/>
          <w:color w:val="000000"/>
          <w:sz w:val="22"/>
          <w:szCs w:val="22"/>
          <w:shd w:val="clear" w:color="auto" w:fill="FFFFFF"/>
        </w:rPr>
        <w:t xml:space="preserve">S cílem vytvoření podmínek pro zlepšení dostupnosti Hrádku nad Nisou po železnici a zlepšení přeshraničních dopravních vazeb vymezuje ÚP koridor </w:t>
      </w:r>
      <w:r w:rsidR="00680440" w:rsidRPr="00461C16">
        <w:rPr>
          <w:i/>
          <w:color w:val="000000"/>
          <w:sz w:val="22"/>
          <w:szCs w:val="22"/>
          <w:shd w:val="clear" w:color="auto" w:fill="FFFFFF"/>
        </w:rPr>
        <w:t>drážní</w:t>
      </w:r>
      <w:r w:rsidRPr="00461C16">
        <w:rPr>
          <w:i/>
          <w:color w:val="000000"/>
          <w:sz w:val="22"/>
          <w:szCs w:val="22"/>
          <w:shd w:val="clear" w:color="auto" w:fill="FFFFFF"/>
        </w:rPr>
        <w:t xml:space="preserve"> dopravy X01 pro optimalizaci a elektrizaci železniční trati č. 089.</w:t>
      </w:r>
    </w:p>
    <w:p w14:paraId="3644E32C"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Akceptovat stávající rozsah a režim letních i zimních turistických cest a cyklotras zejména ve zvláště chráněných územích. </w:t>
      </w:r>
    </w:p>
    <w:p w14:paraId="0BCBEB99" w14:textId="77777777" w:rsidR="007225A2" w:rsidRPr="00461C16" w:rsidRDefault="008A2736" w:rsidP="007225A2">
      <w:pPr>
        <w:pStyle w:val="BodyText"/>
        <w:spacing w:before="120" w:after="120"/>
        <w:rPr>
          <w:i/>
          <w:sz w:val="22"/>
          <w:szCs w:val="22"/>
        </w:rPr>
      </w:pPr>
      <w:r w:rsidRPr="00461C16">
        <w:rPr>
          <w:i/>
          <w:sz w:val="22"/>
          <w:szCs w:val="22"/>
          <w:shd w:val="clear" w:color="auto" w:fill="FFFFFF"/>
        </w:rPr>
        <w:t>ÚP respektuje stávající rozsah a režim letních i zimních turistických cest a cyklotras.</w:t>
      </w:r>
    </w:p>
    <w:p w14:paraId="291A138A" w14:textId="77777777" w:rsidR="00980CF0"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Na území KRNAP v rámci koridoru Nová Hřebenovka nerozšiřovat síť cyklotras. </w:t>
      </w:r>
    </w:p>
    <w:p w14:paraId="686C6F7F" w14:textId="77777777" w:rsidR="007225A2" w:rsidRPr="00461C16" w:rsidRDefault="008A2736" w:rsidP="007225A2">
      <w:pPr>
        <w:pStyle w:val="BodyText"/>
        <w:spacing w:before="120" w:after="120"/>
        <w:rPr>
          <w:i/>
          <w:sz w:val="22"/>
          <w:szCs w:val="22"/>
        </w:rPr>
      </w:pPr>
      <w:r w:rsidRPr="00461C16">
        <w:rPr>
          <w:i/>
          <w:sz w:val="22"/>
          <w:szCs w:val="22"/>
          <w:shd w:val="clear" w:color="auto" w:fill="FFFFFF"/>
        </w:rPr>
        <w:t>Mimo řešené území.</w:t>
      </w:r>
    </w:p>
    <w:p w14:paraId="22FE373A" w14:textId="77777777" w:rsidR="00AB2362" w:rsidRPr="00461C16" w:rsidRDefault="00980CF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Na území CHKO Jizerské hory v rámci koridoru Nová Hřebenovka nerozšiřovat síť cyklotras a lyžařských běžeckých tras do EVL Bukovec a I. zóny</w:t>
      </w:r>
      <w:r w:rsidR="00AB2362" w:rsidRPr="00461C16">
        <w:rPr>
          <w:lang w:eastAsia="cs-CZ"/>
        </w:rPr>
        <w:t xml:space="preserve"> CHKO Jizerské hory. </w:t>
      </w:r>
    </w:p>
    <w:p w14:paraId="0D99689E" w14:textId="77777777" w:rsidR="007225A2" w:rsidRPr="00461C16" w:rsidRDefault="001C0EC5" w:rsidP="007225A2">
      <w:pPr>
        <w:pStyle w:val="BodyText"/>
        <w:spacing w:before="120" w:after="120"/>
        <w:rPr>
          <w:i/>
          <w:sz w:val="22"/>
          <w:szCs w:val="22"/>
        </w:rPr>
      </w:pPr>
      <w:r w:rsidRPr="00461C16">
        <w:rPr>
          <w:i/>
          <w:sz w:val="22"/>
          <w:szCs w:val="22"/>
          <w:shd w:val="clear" w:color="auto" w:fill="FFFFFF"/>
        </w:rPr>
        <w:t>Mimo řešené území.</w:t>
      </w:r>
    </w:p>
    <w:p w14:paraId="514F1FE2" w14:textId="77777777" w:rsidR="00AB2362" w:rsidRPr="00461C16" w:rsidRDefault="00AB236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rámci koridorů vyhledat konkrétní vedení turistických, cyklistických, lyžařských a vodních tras, na území se zvláštní ochranou přírody vést trasy v maximální možné míře po stávající dopravní síti. </w:t>
      </w:r>
    </w:p>
    <w:p w14:paraId="6386FA90" w14:textId="77777777" w:rsidR="007225A2" w:rsidRPr="00461C16" w:rsidRDefault="001C0EC5" w:rsidP="007225A2">
      <w:pPr>
        <w:pStyle w:val="BodyText"/>
        <w:spacing w:before="120" w:after="120"/>
        <w:rPr>
          <w:i/>
          <w:sz w:val="22"/>
          <w:szCs w:val="22"/>
        </w:rPr>
      </w:pPr>
      <w:r w:rsidRPr="00461C16">
        <w:rPr>
          <w:i/>
          <w:sz w:val="22"/>
          <w:szCs w:val="22"/>
          <w:shd w:val="clear" w:color="auto" w:fill="FFFFFF"/>
        </w:rPr>
        <w:t>Vedení turistických tras je graficky znázorněno ve</w:t>
      </w:r>
      <w:r w:rsidR="00B345B4" w:rsidRPr="00461C16">
        <w:rPr>
          <w:i/>
          <w:sz w:val="22"/>
          <w:szCs w:val="22"/>
          <w:shd w:val="clear" w:color="auto" w:fill="FFFFFF"/>
        </w:rPr>
        <w:t xml:space="preserve"> </w:t>
      </w:r>
      <w:r w:rsidRPr="00461C16">
        <w:rPr>
          <w:i/>
          <w:sz w:val="22"/>
          <w:szCs w:val="22"/>
          <w:shd w:val="clear" w:color="auto" w:fill="FFFFFF"/>
        </w:rPr>
        <w:t>výkrese II.1 Koordinační výkres.</w:t>
      </w:r>
    </w:p>
    <w:p w14:paraId="4C4761DE" w14:textId="77777777" w:rsidR="00AB2362" w:rsidRPr="00461C16" w:rsidRDefault="00AB236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Koordinovat vazby jednotlivých druhů dopravy, preferovat segregaci tras dle jednotlivých aktivit pro zmenšení kumulace negativních vlivů na chráněná území. </w:t>
      </w:r>
    </w:p>
    <w:p w14:paraId="69826FA4" w14:textId="77777777" w:rsidR="007225A2" w:rsidRPr="00461C16" w:rsidRDefault="001C0EC5" w:rsidP="007225A2">
      <w:pPr>
        <w:pStyle w:val="BodyText"/>
        <w:spacing w:before="120" w:after="120"/>
        <w:rPr>
          <w:i/>
          <w:sz w:val="22"/>
          <w:szCs w:val="22"/>
          <w:shd w:val="clear" w:color="auto" w:fill="FFFFFF"/>
        </w:rPr>
      </w:pPr>
      <w:r w:rsidRPr="00461C16">
        <w:rPr>
          <w:i/>
          <w:sz w:val="22"/>
          <w:szCs w:val="22"/>
          <w:shd w:val="clear" w:color="auto" w:fill="FFFFFF"/>
        </w:rPr>
        <w:t>ÚP mj. navrhuje zkvalitňovat podmínky pro pohyb chodců a cyklistů po území města, zejména podél průjezdních úseků silnic doplňovat samostatné komunikace nebo jiná opatření pro chodce a cyklisty.</w:t>
      </w:r>
    </w:p>
    <w:p w14:paraId="4C01D94B" w14:textId="77777777" w:rsidR="001C0EC5" w:rsidRPr="00461C16" w:rsidRDefault="001C0EC5" w:rsidP="007225A2">
      <w:pPr>
        <w:pStyle w:val="BodyText"/>
        <w:spacing w:before="120" w:after="120"/>
        <w:rPr>
          <w:i/>
          <w:sz w:val="22"/>
          <w:szCs w:val="22"/>
        </w:rPr>
      </w:pPr>
      <w:r w:rsidRPr="00461C16">
        <w:rPr>
          <w:i/>
          <w:sz w:val="22"/>
          <w:szCs w:val="22"/>
          <w:shd w:val="clear" w:color="auto" w:fill="FFFFFF"/>
        </w:rPr>
        <w:t>ÚP nevytváří předpoklady zvyšování kumulace negativních vlivů na chráněná území.</w:t>
      </w:r>
    </w:p>
    <w:p w14:paraId="7DF9EF9A" w14:textId="77777777" w:rsidR="00AB2362" w:rsidRPr="00461C16" w:rsidRDefault="00AB236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Vytvářet podmínky pro rozvojové aktivity cestovního ruchu, upřesňovat rozsah a náplň multifukčních koridorů</w:t>
      </w:r>
    </w:p>
    <w:p w14:paraId="7869F395" w14:textId="77777777" w:rsidR="00593CD3" w:rsidRPr="00461C16" w:rsidRDefault="00593CD3" w:rsidP="00593CD3">
      <w:pPr>
        <w:autoSpaceDE w:val="0"/>
        <w:autoSpaceDN w:val="0"/>
        <w:adjustRightInd w:val="0"/>
        <w:spacing w:before="120" w:line="240" w:lineRule="auto"/>
        <w:rPr>
          <w:i/>
          <w:lang w:eastAsia="en-US"/>
        </w:rPr>
      </w:pPr>
      <w:r w:rsidRPr="00461C16">
        <w:rPr>
          <w:i/>
          <w:lang w:eastAsia="en-US"/>
        </w:rPr>
        <w:t xml:space="preserve">Navržená koncepce rozvoje zohledňuje veškeré identifikované hodnoty na území města. Atraktivita města a kvalita přírodního prostředí a zázemí vytváří z Hrádku nad Nisou vyhledávaný cíl pro turistiku a různé formy </w:t>
      </w:r>
      <w:r w:rsidRPr="00461C16">
        <w:rPr>
          <w:i/>
          <w:lang w:eastAsia="en-US"/>
        </w:rPr>
        <w:lastRenderedPageBreak/>
        <w:t xml:space="preserve">rekreace. Nejvýznamnějším zařízením s obrovským potenciálem pro další rozvoj je rekreační areál okolo vodní plochy Kristýna. </w:t>
      </w:r>
    </w:p>
    <w:p w14:paraId="13B29916" w14:textId="77777777" w:rsidR="00593CD3" w:rsidRPr="00461C16" w:rsidRDefault="00593CD3" w:rsidP="00593CD3">
      <w:pPr>
        <w:autoSpaceDE w:val="0"/>
        <w:autoSpaceDN w:val="0"/>
        <w:adjustRightInd w:val="0"/>
        <w:spacing w:before="120" w:line="240" w:lineRule="auto"/>
        <w:rPr>
          <w:i/>
          <w:lang w:eastAsia="en-US"/>
        </w:rPr>
      </w:pPr>
      <w:r w:rsidRPr="00461C16">
        <w:rPr>
          <w:i/>
          <w:lang w:eastAsia="en-US"/>
        </w:rPr>
        <w:t xml:space="preserve">ÚP podporuje atraktivitu území stabilizací současných rekreačních ploch a zařízení a zároveň vymezením ploch v navazujícím území pro další rozvoj rekreace. ÚP vytváří předpoklady pro zkvalitnění infrastruktury cestovního ruchu, zejména vymezením převažujícího smíšeného způsobu využití ploch v zastavěném území města, který umožňuje lokalizaci různých typů zařízení pro rekreaci a cestovní ruch. </w:t>
      </w:r>
    </w:p>
    <w:p w14:paraId="45A7A181" w14:textId="77777777" w:rsidR="007225A2" w:rsidRPr="00461C16" w:rsidRDefault="00593CD3" w:rsidP="00593CD3">
      <w:pPr>
        <w:autoSpaceDE w:val="0"/>
        <w:autoSpaceDN w:val="0"/>
        <w:adjustRightInd w:val="0"/>
        <w:spacing w:before="120" w:line="240" w:lineRule="auto"/>
        <w:rPr>
          <w:i/>
          <w:lang w:eastAsia="en-US"/>
        </w:rPr>
      </w:pPr>
      <w:r w:rsidRPr="00461C16">
        <w:rPr>
          <w:i/>
          <w:lang w:eastAsia="en-US"/>
        </w:rPr>
        <w:t>V rámci stanovených multifunkčních turistických koridorů ÚP vytváří předpoklady pro podporu cykloturistiky např. vymezením cyklotrasy Odra-Nisa.</w:t>
      </w:r>
    </w:p>
    <w:p w14:paraId="4AEBBAC3" w14:textId="77777777" w:rsidR="00980CF0" w:rsidRPr="00461C16" w:rsidRDefault="00AB236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Koordinovat přeshraniční spojení se zájmy Polska a v širších souvislostech Německa. </w:t>
      </w:r>
    </w:p>
    <w:p w14:paraId="5068B011" w14:textId="77777777" w:rsidR="008F4C19" w:rsidRPr="00461C16" w:rsidRDefault="00593CD3" w:rsidP="008F4C19">
      <w:pPr>
        <w:autoSpaceDE w:val="0"/>
        <w:autoSpaceDN w:val="0"/>
        <w:adjustRightInd w:val="0"/>
        <w:spacing w:before="120" w:line="240" w:lineRule="auto"/>
        <w:rPr>
          <w:i/>
          <w:color w:val="000000"/>
          <w:shd w:val="clear" w:color="auto" w:fill="FFFFFF"/>
        </w:rPr>
      </w:pPr>
      <w:r w:rsidRPr="00461C16">
        <w:rPr>
          <w:i/>
          <w:lang w:eastAsia="en-US"/>
        </w:rPr>
        <w:t xml:space="preserve">S cílem vytvoření podmínek pro zlepšení dostupnosti Hrádku nad Nisou po železnici a zlepšení přeshraničních dopravních vazeb vymezuje ÚP koridor </w:t>
      </w:r>
      <w:r w:rsidR="00680440" w:rsidRPr="00461C16">
        <w:rPr>
          <w:i/>
          <w:color w:val="000000"/>
          <w:shd w:val="clear" w:color="auto" w:fill="FFFFFF"/>
        </w:rPr>
        <w:t>drážní</w:t>
      </w:r>
      <w:r w:rsidRPr="00461C16">
        <w:rPr>
          <w:i/>
          <w:lang w:eastAsia="en-US"/>
        </w:rPr>
        <w:t xml:space="preserve"> dopravy X01 pro optimalizaci a elektrizaci železniční trati č. 089.</w:t>
      </w:r>
      <w:r w:rsidRPr="00461C16">
        <w:rPr>
          <w:i/>
          <w:color w:val="000000"/>
          <w:shd w:val="clear" w:color="auto" w:fill="FFFFFF"/>
        </w:rPr>
        <w:t xml:space="preserve"> Dopravní spojení silniční je na dobré úrovni bez nutnosti zásadních změn.</w:t>
      </w:r>
    </w:p>
    <w:p w14:paraId="5B376539" w14:textId="77777777" w:rsidR="00AB2362" w:rsidRPr="00461C16" w:rsidRDefault="00AB2362" w:rsidP="006C6B28">
      <w:pPr>
        <w:pStyle w:val="4podnadpis"/>
        <w:spacing w:before="240"/>
      </w:pPr>
      <w:r w:rsidRPr="00461C16">
        <w:t>Zásady koncepce rozvoje technické infrastruktury</w:t>
      </w:r>
    </w:p>
    <w:p w14:paraId="77332EDE" w14:textId="77777777" w:rsidR="00AB2362"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Účinnost a kapacita existujících čistíren odpadních vod. </w:t>
      </w:r>
    </w:p>
    <w:p w14:paraId="019A01D3" w14:textId="77777777" w:rsidR="007225A2" w:rsidRPr="00461C16" w:rsidRDefault="00593CD3" w:rsidP="007225A2">
      <w:pPr>
        <w:pStyle w:val="BodyText"/>
        <w:spacing w:before="120" w:after="120"/>
        <w:rPr>
          <w:i/>
          <w:sz w:val="22"/>
          <w:szCs w:val="22"/>
        </w:rPr>
      </w:pPr>
      <w:r w:rsidRPr="00461C16">
        <w:rPr>
          <w:i/>
          <w:sz w:val="22"/>
          <w:szCs w:val="22"/>
          <w:shd w:val="clear" w:color="auto" w:fill="FFFFFF"/>
        </w:rPr>
        <w:t>Rozvoj stávajících čistíren odpadních vod je umožněn v rámci stanovené koncepce odvádění a likvidace odpadních vod.</w:t>
      </w:r>
    </w:p>
    <w:p w14:paraId="0C44A2D8"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Místní absence vyhovujícího systému odkanalizování a čištění odpadních vod. </w:t>
      </w:r>
    </w:p>
    <w:p w14:paraId="4027EBDF" w14:textId="77777777" w:rsidR="007225A2" w:rsidRPr="00461C16" w:rsidRDefault="00593CD3" w:rsidP="007225A2">
      <w:pPr>
        <w:pStyle w:val="BodyText"/>
        <w:spacing w:before="120" w:after="120"/>
        <w:rPr>
          <w:i/>
          <w:sz w:val="22"/>
          <w:szCs w:val="22"/>
        </w:rPr>
      </w:pPr>
      <w:r w:rsidRPr="00461C16">
        <w:rPr>
          <w:i/>
          <w:sz w:val="22"/>
          <w:szCs w:val="22"/>
          <w:shd w:val="clear" w:color="auto" w:fill="FFFFFF"/>
        </w:rPr>
        <w:t>ÚP stanovuje rozvoj kanalizační soustavy realizovat v souladu s Plánem rozvoje vodovodů a kanalizací Libereckého kraje. Rozvoj kanalizační soustavy je zároveň umožněn v rámci stanovené koncepce odvádění a likvidace odpadních vod.</w:t>
      </w:r>
    </w:p>
    <w:p w14:paraId="5690A037"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Pro zajištění lepší jakosti povrchových a podzemních vod řešit v ÚPD obcí v souladu s PRVK LK vyhovující systém odkanalizování a čištění komunálních a průmyslových odpadních vod ve všech návaznostech a to zejména v rozvojových oblastech Libereckého kraje. </w:t>
      </w:r>
    </w:p>
    <w:p w14:paraId="055F4A2E" w14:textId="77777777" w:rsidR="00A1469F" w:rsidRPr="00461C16" w:rsidRDefault="00A1469F" w:rsidP="00A1469F">
      <w:pPr>
        <w:pStyle w:val="BodyText"/>
        <w:spacing w:before="120" w:after="120"/>
        <w:rPr>
          <w:i/>
          <w:sz w:val="22"/>
          <w:szCs w:val="22"/>
          <w:shd w:val="clear" w:color="auto" w:fill="FFFFFF"/>
        </w:rPr>
      </w:pPr>
      <w:r w:rsidRPr="00461C16">
        <w:rPr>
          <w:i/>
          <w:sz w:val="22"/>
          <w:szCs w:val="22"/>
          <w:shd w:val="clear" w:color="auto" w:fill="FFFFFF"/>
        </w:rPr>
        <w:t>Viz kap. 1.2.4 Zásady koncepce rozvoje technické infrastruktury – vyhodnocení požadavku č. 61.</w:t>
      </w:r>
    </w:p>
    <w:p w14:paraId="33AD8547"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Vytvářet územní podmínky pro zvýšení kapacity stávajících čistíren odpadních vod a pro výst</w:t>
      </w:r>
      <w:r w:rsidR="007225A2" w:rsidRPr="00461C16">
        <w:rPr>
          <w:lang w:eastAsia="cs-CZ"/>
        </w:rPr>
        <w:t>avbu lokálních malých čistíren.</w:t>
      </w:r>
    </w:p>
    <w:p w14:paraId="22DEC1F9" w14:textId="77777777" w:rsidR="00A1469F" w:rsidRPr="00461C16" w:rsidRDefault="00A1469F" w:rsidP="00A1469F">
      <w:pPr>
        <w:pStyle w:val="BodyText"/>
        <w:spacing w:before="120" w:after="120"/>
        <w:rPr>
          <w:i/>
          <w:sz w:val="22"/>
          <w:szCs w:val="22"/>
          <w:shd w:val="clear" w:color="auto" w:fill="FFFFFF"/>
        </w:rPr>
      </w:pPr>
      <w:r w:rsidRPr="00461C16">
        <w:rPr>
          <w:i/>
          <w:sz w:val="22"/>
          <w:szCs w:val="22"/>
          <w:shd w:val="clear" w:color="auto" w:fill="FFFFFF"/>
        </w:rPr>
        <w:t>Viz kap. 1.2.4 Zásady koncepce rozvoje technické infrastruktury – vyhodnocení požadavku č. 62.</w:t>
      </w:r>
    </w:p>
    <w:p w14:paraId="56C42461"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obcích, kde je výstavba kanalizace a ČOV ekonomicky a technicky neopodstatněná, řešit odkanalizování individuálně v souladu s PRVK LK. Ke snížení zatížení stávajících ČOV balastními vodami řešit odkanalizování území důsledným navrhováním oddílné kanalizace. </w:t>
      </w:r>
    </w:p>
    <w:p w14:paraId="3DB47C8C" w14:textId="77777777" w:rsidR="00A1469F" w:rsidRPr="00461C16" w:rsidRDefault="00A1469F" w:rsidP="00A1469F">
      <w:pPr>
        <w:pStyle w:val="BodyText"/>
        <w:spacing w:before="120" w:after="120"/>
        <w:rPr>
          <w:i/>
          <w:sz w:val="22"/>
          <w:szCs w:val="22"/>
          <w:shd w:val="clear" w:color="auto" w:fill="FFFFFF"/>
        </w:rPr>
      </w:pPr>
      <w:r w:rsidRPr="00461C16">
        <w:rPr>
          <w:i/>
          <w:sz w:val="22"/>
          <w:szCs w:val="22"/>
          <w:shd w:val="clear" w:color="auto" w:fill="FFFFFF"/>
        </w:rPr>
        <w:t>Viz kap. 1.2.4 Zásady koncepce rozvoje technické infrastruktury – vyhodnocení požadavku č. 63.</w:t>
      </w:r>
    </w:p>
    <w:p w14:paraId="501AE27F"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Vhodným návrhem hospodaření v krajině a v urbanizovaných plochách snížit odtok dešťových vod v území a následně vnos nežádoucích látek do povrchových vod. </w:t>
      </w:r>
    </w:p>
    <w:p w14:paraId="32700199" w14:textId="77777777" w:rsidR="00A1469F" w:rsidRPr="00461C16" w:rsidRDefault="00A1469F" w:rsidP="00A1469F">
      <w:pPr>
        <w:pStyle w:val="BodyText"/>
        <w:spacing w:before="120" w:after="120"/>
        <w:rPr>
          <w:i/>
          <w:sz w:val="22"/>
          <w:szCs w:val="22"/>
          <w:shd w:val="clear" w:color="auto" w:fill="FFFFFF"/>
        </w:rPr>
      </w:pPr>
      <w:r w:rsidRPr="00461C16">
        <w:rPr>
          <w:i/>
          <w:sz w:val="22"/>
          <w:szCs w:val="22"/>
          <w:shd w:val="clear" w:color="auto" w:fill="FFFFFF"/>
        </w:rPr>
        <w:t>Viz kap. 1.2.4 Zásady koncepce rozvoje technické infrastruktury – vyhodnocení požadavku č. 64.</w:t>
      </w:r>
    </w:p>
    <w:p w14:paraId="0DFA0DCC" w14:textId="77777777" w:rsidR="00431C21" w:rsidRPr="00461C16" w:rsidRDefault="00431C21" w:rsidP="00C41445">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Zabránit další urbanizaci inundačních území a maximálně tyto prostory údolních niv uvolňovat a ve zdůvodněných případech posoudit ekonomické a sociální dopady redislokace riskantně umístěných objektů, přehodnotit urbanistické záměry v těchto územích. </w:t>
      </w:r>
    </w:p>
    <w:p w14:paraId="4CEFFBF6" w14:textId="77777777" w:rsidR="007225A2" w:rsidRPr="00461C16" w:rsidRDefault="00431C21" w:rsidP="00F22794">
      <w:pPr>
        <w:pStyle w:val="ListParagraph"/>
        <w:autoSpaceDE w:val="0"/>
        <w:autoSpaceDN w:val="0"/>
        <w:adjustRightInd w:val="0"/>
        <w:spacing w:before="120" w:after="120" w:line="240" w:lineRule="auto"/>
        <w:ind w:left="567"/>
        <w:rPr>
          <w:lang w:eastAsia="cs-CZ"/>
        </w:rPr>
      </w:pPr>
      <w:r w:rsidRPr="00461C16">
        <w:rPr>
          <w:lang w:eastAsia="cs-CZ"/>
        </w:rPr>
        <w:t xml:space="preserve">Vymezovat zastavitelné plochy v záplavových územích a umisťovat do nich veřejnou infrastrukturu jen ve zcela výjimečných a zvlášť odůvodněných případech. Vymezovat a chránit zastavitelné plochy pro přemístění zástavby z území s vysokou mírou rizika vzniku povodňových škod. </w:t>
      </w:r>
    </w:p>
    <w:p w14:paraId="2DA1F6B1" w14:textId="658DBAE5" w:rsidR="007225A2" w:rsidRPr="00461C16" w:rsidRDefault="00A1469F" w:rsidP="007225A2">
      <w:pPr>
        <w:pStyle w:val="BodyText"/>
        <w:spacing w:before="120" w:after="120"/>
        <w:rPr>
          <w:i/>
          <w:sz w:val="22"/>
          <w:szCs w:val="22"/>
        </w:rPr>
      </w:pPr>
      <w:r w:rsidRPr="00461C16">
        <w:rPr>
          <w:i/>
          <w:sz w:val="22"/>
          <w:szCs w:val="22"/>
          <w:shd w:val="clear" w:color="auto" w:fill="FFFFFF"/>
        </w:rPr>
        <w:t>Viz kap. 1.2.4 Zásady koncepce rozvoje technické infrastruktury – vyhodnocení požadavku č. 65.</w:t>
      </w:r>
    </w:p>
    <w:p w14:paraId="3981B47A"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územní podmínky pro navyšování retenční schopnosti krajiny a to především formou revitalizace toků a mokřadních biotopů v nivách a pramenných oblastech, návrhem vhodných krajinných a technických </w:t>
      </w:r>
      <w:r w:rsidRPr="00461C16">
        <w:rPr>
          <w:lang w:eastAsia="cs-CZ"/>
        </w:rPr>
        <w:lastRenderedPageBreak/>
        <w:t xml:space="preserve">úprav území zabraňovat vzniku povrchového odtoku vod, erozních a transportních procesů z povodí. Podporovat revitalizaci nevhodně upravených toků jako součást protipovodňové ochrany. </w:t>
      </w:r>
    </w:p>
    <w:p w14:paraId="3FF56D6F" w14:textId="77777777" w:rsidR="007225A2" w:rsidRPr="00461C16" w:rsidRDefault="005E55EE" w:rsidP="007225A2">
      <w:pPr>
        <w:pStyle w:val="BodyText"/>
        <w:spacing w:before="120" w:after="120"/>
        <w:rPr>
          <w:i/>
          <w:sz w:val="22"/>
          <w:szCs w:val="22"/>
          <w:shd w:val="clear" w:color="auto" w:fill="FFFFFF"/>
        </w:rPr>
      </w:pPr>
      <w:r w:rsidRPr="00461C16">
        <w:rPr>
          <w:i/>
          <w:sz w:val="22"/>
          <w:szCs w:val="22"/>
          <w:shd w:val="clear" w:color="auto" w:fill="FFFFFF"/>
        </w:rPr>
        <w:t>Viz kap. 1.2.4 Zásady koncepce rozvoje technické infrastruktury – vyhodnocení požadavku č. 66.</w:t>
      </w:r>
    </w:p>
    <w:p w14:paraId="45740F3E"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místech, kde je to vhodné, vytvářet územní podmínky pro neškodný přirozený rozliv povodňových toků ve volné krajině. </w:t>
      </w:r>
    </w:p>
    <w:p w14:paraId="1079A826" w14:textId="77777777" w:rsidR="00A1469F" w:rsidRPr="00461C16" w:rsidRDefault="00A1469F" w:rsidP="00A1469F">
      <w:pPr>
        <w:pStyle w:val="BodyText"/>
        <w:spacing w:before="120" w:after="120"/>
        <w:rPr>
          <w:i/>
          <w:sz w:val="22"/>
          <w:szCs w:val="22"/>
          <w:shd w:val="clear" w:color="auto" w:fill="FFFFFF"/>
        </w:rPr>
      </w:pPr>
      <w:r w:rsidRPr="00461C16">
        <w:rPr>
          <w:i/>
          <w:sz w:val="22"/>
          <w:szCs w:val="22"/>
          <w:shd w:val="clear" w:color="auto" w:fill="FFFFFF"/>
        </w:rPr>
        <w:t>Viz kap. 1.2.4 Zásady koncepce rozvoje technické infrastruktury – vyhodnocení požadavku č. 67.</w:t>
      </w:r>
    </w:p>
    <w:p w14:paraId="26347F7D"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Obce a významné provozy chránit adekvátní protipovodňovou ochranou. Protipovodňová opatření na tocích ve zvláště chráněných územích a územích EVL řešit přírodě blízkými způsoby, vyloučit zásahy měnící charakter úseků s dochovaným přírodním korytem.</w:t>
      </w:r>
    </w:p>
    <w:p w14:paraId="470BB567" w14:textId="77777777" w:rsidR="00925D78" w:rsidRDefault="00D57482" w:rsidP="007225A2">
      <w:pPr>
        <w:pStyle w:val="BodyText"/>
        <w:spacing w:before="120" w:after="120"/>
        <w:rPr>
          <w:i/>
          <w:sz w:val="22"/>
          <w:szCs w:val="22"/>
        </w:rPr>
      </w:pPr>
      <w:r w:rsidRPr="00461C16">
        <w:rPr>
          <w:i/>
          <w:sz w:val="22"/>
          <w:szCs w:val="22"/>
        </w:rPr>
        <w:t xml:space="preserve">ÚP vymezuje v rámci správního území města Hrádek nad Nisou koridor protipovodňových opatření </w:t>
      </w:r>
      <w:r w:rsidR="008067F6" w:rsidRPr="00461C16">
        <w:rPr>
          <w:i/>
          <w:sz w:val="22"/>
          <w:szCs w:val="22"/>
        </w:rPr>
        <w:t xml:space="preserve">X02, </w:t>
      </w:r>
      <w:r w:rsidRPr="00461C16">
        <w:rPr>
          <w:i/>
          <w:sz w:val="22"/>
          <w:szCs w:val="22"/>
        </w:rPr>
        <w:t>v </w:t>
      </w:r>
      <w:r w:rsidR="0052597B" w:rsidRPr="00461C16">
        <w:rPr>
          <w:i/>
          <w:sz w:val="22"/>
          <w:szCs w:val="22"/>
        </w:rPr>
        <w:t>n</w:t>
      </w:r>
      <w:r w:rsidR="0052597B">
        <w:rPr>
          <w:i/>
          <w:sz w:val="22"/>
          <w:szCs w:val="22"/>
        </w:rPr>
        <w:t>ěm</w:t>
      </w:r>
      <w:r w:rsidR="0052597B" w:rsidRPr="00461C16">
        <w:rPr>
          <w:i/>
          <w:sz w:val="22"/>
          <w:szCs w:val="22"/>
        </w:rPr>
        <w:t xml:space="preserve">ž </w:t>
      </w:r>
      <w:r w:rsidRPr="00461C16">
        <w:rPr>
          <w:i/>
          <w:sz w:val="22"/>
          <w:szCs w:val="22"/>
        </w:rPr>
        <w:t>umožňuje dle potřeb realizovat konkrétní technická protipovodňové stavby. V současné době se zpracovává „Studie odtokových poměrů včetně návrhů možných protipovodňových opatření pro povodí Lužické Nisy“, z níž by měly vyplynout konkrétní záměry pro území města Hrádek nad Nisou.</w:t>
      </w:r>
      <w:r w:rsidR="0052597B">
        <w:rPr>
          <w:i/>
          <w:sz w:val="22"/>
          <w:szCs w:val="22"/>
        </w:rPr>
        <w:t xml:space="preserve"> </w:t>
      </w:r>
    </w:p>
    <w:p w14:paraId="273B05D7" w14:textId="77777777" w:rsidR="0052597B" w:rsidRPr="0052597B" w:rsidRDefault="0052597B" w:rsidP="007225A2">
      <w:pPr>
        <w:pStyle w:val="BodyText"/>
        <w:spacing w:before="120" w:after="120"/>
        <w:rPr>
          <w:i/>
          <w:sz w:val="22"/>
          <w:szCs w:val="22"/>
        </w:rPr>
      </w:pPr>
      <w:r w:rsidRPr="0052597B">
        <w:rPr>
          <w:i/>
          <w:sz w:val="22"/>
          <w:szCs w:val="22"/>
        </w:rPr>
        <w:t>Na Oldřichovském potoce byla v roce 2014 dokončena realizace zvodnělého poldru, který zajišťuje protipovodňovou ochranu sídla Oldřichov na Hranicích.</w:t>
      </w:r>
      <w:r w:rsidR="00925D78">
        <w:rPr>
          <w:i/>
          <w:sz w:val="22"/>
          <w:szCs w:val="22"/>
        </w:rPr>
        <w:t xml:space="preserve"> </w:t>
      </w:r>
      <w:r w:rsidR="00925D78" w:rsidRPr="00925D78">
        <w:rPr>
          <w:i/>
          <w:sz w:val="22"/>
          <w:szCs w:val="22"/>
        </w:rPr>
        <w:t>Z tohoto důvodu není ze ZÚR LK převzat koridor protipovodňových opatření (P53), který již pozbyl aktuálnosti a v rámci pořizované Aktualizace č. 1 ZÚR Libereckého kraje se vypouští.</w:t>
      </w:r>
      <w:r w:rsidR="00925D78">
        <w:rPr>
          <w:i/>
          <w:sz w:val="22"/>
          <w:szCs w:val="22"/>
        </w:rPr>
        <w:t xml:space="preserve"> Realizovaný poldr je v ÚP respektován.</w:t>
      </w:r>
    </w:p>
    <w:p w14:paraId="1E5BBF48" w14:textId="77777777" w:rsidR="00431C21" w:rsidRPr="00461C16" w:rsidRDefault="00431C2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Prioritně řešit protipovodňovou ochranu zejména v nejkritičtějších částech inundací vodních toků: Ploučnice, Svitávky, Smědé, Lužické Nisy, Jizery.</w:t>
      </w:r>
    </w:p>
    <w:p w14:paraId="40C5ED25" w14:textId="77777777" w:rsidR="007225A2" w:rsidRPr="00461C16" w:rsidRDefault="007025D4" w:rsidP="007225A2">
      <w:pPr>
        <w:pStyle w:val="BodyText"/>
        <w:spacing w:before="120" w:after="120"/>
        <w:rPr>
          <w:i/>
          <w:sz w:val="22"/>
          <w:szCs w:val="22"/>
        </w:rPr>
      </w:pPr>
      <w:r w:rsidRPr="00461C16">
        <w:rPr>
          <w:i/>
          <w:sz w:val="22"/>
          <w:szCs w:val="22"/>
        </w:rPr>
        <w:t xml:space="preserve">ÚP vymezuje v rámci správního území města Hrádek nad Nisou koridor protipovodňových opatření </w:t>
      </w:r>
      <w:r w:rsidR="008067F6" w:rsidRPr="00461C16">
        <w:rPr>
          <w:i/>
          <w:sz w:val="22"/>
          <w:szCs w:val="22"/>
        </w:rPr>
        <w:t xml:space="preserve">X02, </w:t>
      </w:r>
      <w:r w:rsidRPr="00461C16">
        <w:rPr>
          <w:i/>
          <w:sz w:val="22"/>
          <w:szCs w:val="22"/>
        </w:rPr>
        <w:t>v n</w:t>
      </w:r>
      <w:r w:rsidR="0052597B">
        <w:rPr>
          <w:i/>
          <w:sz w:val="22"/>
          <w:szCs w:val="22"/>
        </w:rPr>
        <w:t>ěm</w:t>
      </w:r>
      <w:r w:rsidRPr="00461C16">
        <w:rPr>
          <w:i/>
          <w:sz w:val="22"/>
          <w:szCs w:val="22"/>
        </w:rPr>
        <w:t>ž umožňuje dle potřeb realizovat konkrétní technická protipovodňové stavby. V současné době se zpracovává „Studie odtokových poměrů včetně návrhů možných protipovodňových opatření pro povodí Lužické Nisy“, z níž by měly vyplynout konkrétní záměry pro území města Hrádek nad Nisou.</w:t>
      </w:r>
      <w:r w:rsidR="0052597B">
        <w:rPr>
          <w:i/>
          <w:sz w:val="22"/>
          <w:szCs w:val="22"/>
        </w:rPr>
        <w:t xml:space="preserve"> </w:t>
      </w:r>
    </w:p>
    <w:p w14:paraId="042782EE"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Koordinovat, územně zpřesňovat a územně chránit koridory protipovodňových opatření ve vzájemných návaznostech, nepovolovat taková opatření, která by mohla zhoršit průtok povodňové vlny v jiné obci. </w:t>
      </w:r>
    </w:p>
    <w:p w14:paraId="7AD699CE" w14:textId="77777777" w:rsidR="00D514FC" w:rsidRPr="00461C16" w:rsidRDefault="00D514FC" w:rsidP="00D514FC">
      <w:pPr>
        <w:pStyle w:val="BodyText"/>
        <w:spacing w:before="120" w:after="120"/>
        <w:rPr>
          <w:i/>
          <w:sz w:val="22"/>
          <w:szCs w:val="22"/>
        </w:rPr>
      </w:pPr>
      <w:r w:rsidRPr="00461C16">
        <w:rPr>
          <w:i/>
          <w:sz w:val="22"/>
          <w:szCs w:val="22"/>
        </w:rPr>
        <w:t xml:space="preserve">ÚP vymezuje v rámci správního území města Hrádek nad Nisou koridor protipovodňových opatření </w:t>
      </w:r>
      <w:r w:rsidR="008067F6" w:rsidRPr="00461C16">
        <w:rPr>
          <w:i/>
          <w:sz w:val="22"/>
          <w:szCs w:val="22"/>
        </w:rPr>
        <w:t>X02,</w:t>
      </w:r>
      <w:r w:rsidR="008067F6" w:rsidRPr="00461C16">
        <w:rPr>
          <w:i/>
        </w:rPr>
        <w:t xml:space="preserve"> </w:t>
      </w:r>
      <w:r w:rsidRPr="00461C16">
        <w:rPr>
          <w:i/>
          <w:sz w:val="22"/>
          <w:szCs w:val="22"/>
        </w:rPr>
        <w:t>v n</w:t>
      </w:r>
      <w:r w:rsidR="0052597B">
        <w:rPr>
          <w:i/>
          <w:sz w:val="22"/>
          <w:szCs w:val="22"/>
        </w:rPr>
        <w:t>ěm</w:t>
      </w:r>
      <w:r w:rsidRPr="00461C16">
        <w:rPr>
          <w:i/>
          <w:sz w:val="22"/>
          <w:szCs w:val="22"/>
        </w:rPr>
        <w:t>ž umožňuje dle potřeb realizovat konkrétní technická protipovodňové stavby. V současné době se zpracovává „Studie odtokových poměrů včetně návrhů možných protipovodňových opatření pro povodí Lužické Nisy“, z níž by měly vyplynout konkrétní záměry pro území města Hrádek nad Nisou.</w:t>
      </w:r>
    </w:p>
    <w:p w14:paraId="15D780A1" w14:textId="77777777" w:rsidR="00D514FC" w:rsidRPr="00461C16" w:rsidRDefault="0052597B" w:rsidP="00D514FC">
      <w:pPr>
        <w:pStyle w:val="BodyText"/>
        <w:spacing w:before="120" w:after="120"/>
        <w:rPr>
          <w:i/>
          <w:sz w:val="22"/>
          <w:szCs w:val="22"/>
        </w:rPr>
      </w:pPr>
      <w:r w:rsidRPr="0052597B">
        <w:rPr>
          <w:i/>
          <w:sz w:val="22"/>
          <w:szCs w:val="22"/>
        </w:rPr>
        <w:t>Na Oldřichovském potoce byla v roce 2014 dokončena realizace zvodnělého poldru, který zajišťuje protipovodňovou ochranu sídla Oldřichov na Hranicích.</w:t>
      </w:r>
      <w:r w:rsidR="00925D78">
        <w:rPr>
          <w:i/>
          <w:sz w:val="22"/>
          <w:szCs w:val="22"/>
        </w:rPr>
        <w:t xml:space="preserve"> </w:t>
      </w:r>
      <w:r w:rsidR="00925D78" w:rsidRPr="00925D78">
        <w:rPr>
          <w:i/>
          <w:sz w:val="22"/>
          <w:szCs w:val="22"/>
        </w:rPr>
        <w:t>Z tohoto důvodu není ze ZÚR LK převzat koridor protipovodňových opatření (P53), který již pozbyl aktuálnosti a v rámci pořizované Aktualizace č. 1 ZÚR Libereckého kraje se vypouští.</w:t>
      </w:r>
      <w:r w:rsidR="00925D78">
        <w:rPr>
          <w:i/>
          <w:sz w:val="22"/>
          <w:szCs w:val="22"/>
        </w:rPr>
        <w:t xml:space="preserve"> Realizovaný poldr je v ÚP respektován. </w:t>
      </w:r>
    </w:p>
    <w:p w14:paraId="076E5FA8" w14:textId="77777777" w:rsidR="007225A2"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Vytvářet územní podmínky pro zvyšování podílu obnovitelných zdrojů energie na celkové spotřebě energií a paliv</w:t>
      </w:r>
    </w:p>
    <w:p w14:paraId="3058683B" w14:textId="77777777" w:rsidR="00891A2E" w:rsidRPr="00461C16" w:rsidRDefault="00D514FC" w:rsidP="00D514FC">
      <w:pPr>
        <w:pStyle w:val="BodyText"/>
        <w:spacing w:before="120" w:after="120"/>
        <w:rPr>
          <w:i/>
          <w:sz w:val="22"/>
          <w:szCs w:val="22"/>
        </w:rPr>
      </w:pPr>
      <w:r w:rsidRPr="00461C16">
        <w:rPr>
          <w:i/>
          <w:sz w:val="22"/>
          <w:szCs w:val="22"/>
          <w:shd w:val="clear" w:color="auto" w:fill="FFFFFF"/>
        </w:rPr>
        <w:t>Energetická koncepce je založena na dvojcestném zásobování energiemi a to na kombinaci: elektrická energie + zemní plyn; elektrická energie + alternativní ekologická paliva nezávislá na sítích technické infrastruktury. ÚP dále umožňuje např. umisťovat fotovoltaická zařízení pro výrobu elektrické energie na střechy výrobních a skladových objektů.</w:t>
      </w:r>
    </w:p>
    <w:p w14:paraId="4AA35BC0"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Vytvářet územní podmínky pro realizaci rozsáhlého programu úspor energie v oblastech výrobních, distribučních a spotřebních systémů.</w:t>
      </w:r>
    </w:p>
    <w:p w14:paraId="7803B70E" w14:textId="77777777" w:rsidR="007225A2" w:rsidRPr="00461C16" w:rsidRDefault="00D514FC" w:rsidP="007225A2">
      <w:pPr>
        <w:pStyle w:val="BodyText"/>
        <w:spacing w:before="120" w:after="120"/>
        <w:rPr>
          <w:i/>
          <w:sz w:val="22"/>
          <w:szCs w:val="22"/>
        </w:rPr>
      </w:pPr>
      <w:r w:rsidRPr="00461C16">
        <w:rPr>
          <w:i/>
          <w:sz w:val="22"/>
          <w:szCs w:val="22"/>
          <w:shd w:val="clear" w:color="auto" w:fill="FFFFFF"/>
        </w:rPr>
        <w:t>Koncepce zásobování elektrickou energií umožňuje rozvoj dle konkrétních územních požadavků.</w:t>
      </w:r>
    </w:p>
    <w:p w14:paraId="419279EA"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územní podmínky pro ekonomicky efektivní aplikaci kombinované výroby elektřiny a tepla ve stávajících i nových zdrojích energie. </w:t>
      </w:r>
    </w:p>
    <w:p w14:paraId="2B5BDA27" w14:textId="77777777" w:rsidR="007225A2" w:rsidRPr="00461C16" w:rsidRDefault="00D514FC" w:rsidP="007225A2">
      <w:pPr>
        <w:pStyle w:val="BodyText"/>
        <w:spacing w:before="120" w:after="120"/>
        <w:rPr>
          <w:i/>
          <w:sz w:val="22"/>
          <w:szCs w:val="22"/>
        </w:rPr>
      </w:pPr>
      <w:r w:rsidRPr="00461C16">
        <w:rPr>
          <w:i/>
          <w:sz w:val="22"/>
          <w:szCs w:val="22"/>
          <w:shd w:val="clear" w:color="auto" w:fill="FFFFFF"/>
        </w:rPr>
        <w:t>Koncepce zásobování elektrickou energií a teplem umožňuje rozvoj dle konkrétních územních požadavků.</w:t>
      </w:r>
    </w:p>
    <w:p w14:paraId="7DCCE354"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Objektivně prověřovat udržitelnost systémů centrálního zásobování teplem včetně případné možnosti jejich částečné decentralizace (například budování sídlištních výtopen).</w:t>
      </w:r>
    </w:p>
    <w:p w14:paraId="383A1390" w14:textId="77777777" w:rsidR="007225A2" w:rsidRPr="00461C16" w:rsidRDefault="00D514FC" w:rsidP="007225A2">
      <w:pPr>
        <w:pStyle w:val="BodyText"/>
        <w:spacing w:before="120" w:after="120"/>
        <w:rPr>
          <w:i/>
          <w:sz w:val="22"/>
          <w:szCs w:val="22"/>
        </w:rPr>
      </w:pPr>
      <w:r w:rsidRPr="00461C16">
        <w:rPr>
          <w:i/>
          <w:sz w:val="22"/>
          <w:szCs w:val="22"/>
          <w:shd w:val="clear" w:color="auto" w:fill="FFFFFF"/>
        </w:rPr>
        <w:t>Stávající způsoby vytápění zůstanou zachovány. Případný rozvoj systémů CZT je umožněn bez nutnosti změny ÚP.</w:t>
      </w:r>
    </w:p>
    <w:p w14:paraId="270D5381"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Územně chránit a koordinovat koridory a plochy pro investiční záměry v oblasti komunikační infrastruktury -</w:t>
      </w:r>
      <w:r w:rsidR="00B345B4" w:rsidRPr="00461C16">
        <w:rPr>
          <w:lang w:eastAsia="cs-CZ"/>
        </w:rPr>
        <w:t xml:space="preserve"> </w:t>
      </w:r>
      <w:r w:rsidRPr="00461C16">
        <w:rPr>
          <w:lang w:eastAsia="cs-CZ"/>
        </w:rPr>
        <w:t xml:space="preserve">systémů elektronických komunikací pro zajišťování sítí pro vysokorychlostní přístup k internetu, dále doplňování vysílacích radiových sítí pro zemské digitální televizní a rozhlasové vysílání včetně výstavby sítí UMTS (Univerzální mobilní telekomunikační systém) s ohledem na hodnoty území. </w:t>
      </w:r>
    </w:p>
    <w:p w14:paraId="45494DAF" w14:textId="77777777" w:rsidR="007225A2" w:rsidRPr="00461C16" w:rsidRDefault="00B2121D" w:rsidP="007225A2">
      <w:pPr>
        <w:pStyle w:val="BodyText"/>
        <w:spacing w:before="120" w:after="120"/>
        <w:rPr>
          <w:i/>
          <w:sz w:val="22"/>
          <w:szCs w:val="22"/>
        </w:rPr>
      </w:pPr>
      <w:r w:rsidRPr="00461C16">
        <w:rPr>
          <w:i/>
          <w:sz w:val="22"/>
          <w:szCs w:val="22"/>
          <w:shd w:val="clear" w:color="auto" w:fill="FFFFFF"/>
        </w:rPr>
        <w:t>Současný systém elektronických komunikačních rozvodů a zařízení je stabilizován a zůstane zachován. Jeho případný rozvoj je umožněn bez nutnosti změny ÚP.</w:t>
      </w:r>
    </w:p>
    <w:p w14:paraId="283619E7"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podmínky pro založení krajské logisticky propojené sítě zařízení na využití biologicky rozložitelných, spalitelných odpadů a travní biomasy umožňující racionální využití kapacit a efektivní odbyt kompostu a energií. </w:t>
      </w:r>
    </w:p>
    <w:p w14:paraId="3E8C78E7" w14:textId="77777777" w:rsidR="007225A2" w:rsidRPr="00461C16" w:rsidRDefault="00B2121D" w:rsidP="007225A2">
      <w:pPr>
        <w:pStyle w:val="BodyText"/>
        <w:spacing w:before="120" w:after="120"/>
        <w:rPr>
          <w:i/>
          <w:sz w:val="22"/>
          <w:szCs w:val="22"/>
        </w:rPr>
      </w:pPr>
      <w:r w:rsidRPr="00461C16">
        <w:rPr>
          <w:i/>
          <w:sz w:val="22"/>
          <w:szCs w:val="22"/>
          <w:shd w:val="clear" w:color="auto" w:fill="FFFFFF"/>
        </w:rPr>
        <w:t>Nelze řešit územním plánem.</w:t>
      </w:r>
    </w:p>
    <w:p w14:paraId="2E07026C"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územní předpoklady pro materiálové a energetické využití odpadů. </w:t>
      </w:r>
    </w:p>
    <w:p w14:paraId="5DF4AE2B" w14:textId="77777777" w:rsidR="007225A2" w:rsidRPr="00461C16" w:rsidRDefault="00B2121D" w:rsidP="007225A2">
      <w:pPr>
        <w:pStyle w:val="BodyText"/>
        <w:spacing w:before="120" w:after="120"/>
        <w:rPr>
          <w:i/>
          <w:sz w:val="22"/>
          <w:szCs w:val="22"/>
        </w:rPr>
      </w:pPr>
      <w:r w:rsidRPr="00461C16">
        <w:rPr>
          <w:i/>
          <w:sz w:val="22"/>
          <w:szCs w:val="22"/>
          <w:shd w:val="clear" w:color="auto" w:fill="FFFFFF"/>
        </w:rPr>
        <w:t xml:space="preserve">ÚP </w:t>
      </w:r>
      <w:r w:rsidR="00D514FC" w:rsidRPr="00461C16">
        <w:rPr>
          <w:i/>
          <w:sz w:val="22"/>
          <w:szCs w:val="22"/>
          <w:shd w:val="clear" w:color="auto" w:fill="FFFFFF"/>
        </w:rPr>
        <w:t>navrhuje</w:t>
      </w:r>
      <w:r w:rsidRPr="00461C16">
        <w:rPr>
          <w:i/>
          <w:sz w:val="22"/>
          <w:szCs w:val="22"/>
          <w:shd w:val="clear" w:color="auto" w:fill="FFFFFF"/>
        </w:rPr>
        <w:t xml:space="preserve"> upřednostňovat využívání alternativních a obnovitelných zdrojů energie.</w:t>
      </w:r>
    </w:p>
    <w:p w14:paraId="0ECA85A9"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Snižovat podíl skládkovaných spalitelných odpadů na 0 %.</w:t>
      </w:r>
    </w:p>
    <w:p w14:paraId="0A76564D" w14:textId="77777777" w:rsidR="007225A2" w:rsidRPr="00461C16" w:rsidRDefault="00B2121D" w:rsidP="007225A2">
      <w:pPr>
        <w:pStyle w:val="BodyText"/>
        <w:spacing w:before="120" w:after="120"/>
        <w:rPr>
          <w:i/>
          <w:sz w:val="22"/>
          <w:szCs w:val="22"/>
        </w:rPr>
      </w:pPr>
      <w:r w:rsidRPr="00461C16">
        <w:rPr>
          <w:i/>
          <w:sz w:val="22"/>
          <w:szCs w:val="22"/>
          <w:shd w:val="clear" w:color="auto" w:fill="FFFFFF"/>
        </w:rPr>
        <w:t>Nelze řešit územním plánem.</w:t>
      </w:r>
    </w:p>
    <w:p w14:paraId="78D97A65"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Preferovat integrované systémy nakládání s odpady, tzn. Komplexní regionální systémy za předpokladu zajištění logistiky a odbytu výstupů. </w:t>
      </w:r>
    </w:p>
    <w:p w14:paraId="4A397E42" w14:textId="77777777" w:rsidR="007225A2" w:rsidRPr="00461C16" w:rsidRDefault="00B2121D" w:rsidP="007225A2">
      <w:pPr>
        <w:pStyle w:val="BodyText"/>
        <w:spacing w:before="120" w:after="120"/>
        <w:rPr>
          <w:i/>
          <w:sz w:val="22"/>
          <w:szCs w:val="22"/>
        </w:rPr>
      </w:pPr>
      <w:r w:rsidRPr="00461C16">
        <w:rPr>
          <w:i/>
          <w:sz w:val="22"/>
          <w:szCs w:val="22"/>
          <w:shd w:val="clear" w:color="auto" w:fill="FFFFFF"/>
        </w:rPr>
        <w:t>Stávající systém odvozu a likvidace komunálního odpadů je funkční, stabilizovaný a zůstane zachován.</w:t>
      </w:r>
    </w:p>
    <w:p w14:paraId="1AAD96B3"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Nevytvářet podmínky pro vznik nových lokalit pro skládkování komunálních a velkoobjemných odpadů. </w:t>
      </w:r>
    </w:p>
    <w:p w14:paraId="107B1A03" w14:textId="77777777" w:rsidR="007225A2" w:rsidRPr="00461C16" w:rsidRDefault="00B2121D" w:rsidP="007225A2">
      <w:pPr>
        <w:pStyle w:val="BodyText"/>
        <w:spacing w:before="120" w:after="120"/>
        <w:rPr>
          <w:i/>
          <w:sz w:val="22"/>
          <w:szCs w:val="22"/>
        </w:rPr>
      </w:pPr>
      <w:r w:rsidRPr="00461C16">
        <w:rPr>
          <w:i/>
          <w:sz w:val="22"/>
          <w:szCs w:val="22"/>
          <w:shd w:val="clear" w:color="auto" w:fill="FFFFFF"/>
        </w:rPr>
        <w:t>ÚP nevytváří podmínky pro vznik nových lokalit pro skládkování komunálních a velkoobjemných odpadů.</w:t>
      </w:r>
    </w:p>
    <w:p w14:paraId="5DA1956B"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územní předpoklady pro řešení odstranění starých ekologických zátěží – černých skládek. </w:t>
      </w:r>
    </w:p>
    <w:p w14:paraId="1AEE09C8" w14:textId="77777777" w:rsidR="008F4C19" w:rsidRPr="00461C16" w:rsidRDefault="00B2121D" w:rsidP="008F4C19">
      <w:pPr>
        <w:autoSpaceDE w:val="0"/>
        <w:autoSpaceDN w:val="0"/>
        <w:adjustRightInd w:val="0"/>
        <w:spacing w:before="120" w:line="240" w:lineRule="auto"/>
        <w:rPr>
          <w:i/>
          <w:lang w:eastAsia="cs-CZ"/>
        </w:rPr>
      </w:pPr>
      <w:r w:rsidRPr="00461C16">
        <w:rPr>
          <w:i/>
          <w:shd w:val="clear" w:color="auto" w:fill="FFFFFF"/>
        </w:rPr>
        <w:t>Mimo podrobnost územního plánu.</w:t>
      </w:r>
    </w:p>
    <w:p w14:paraId="38FA0450" w14:textId="77777777" w:rsidR="00891A2E" w:rsidRPr="00461C16" w:rsidRDefault="00891A2E" w:rsidP="00F77F07">
      <w:pPr>
        <w:pStyle w:val="4podnadpis"/>
      </w:pPr>
      <w:r w:rsidRPr="00461C16">
        <w:t>Zásady koncepce rozvoje územního systému ekologické stability</w:t>
      </w:r>
    </w:p>
    <w:p w14:paraId="6A8455EA" w14:textId="77777777" w:rsidR="00891A2E" w:rsidRPr="00461C16" w:rsidRDefault="00891A2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Prvky ÚSES respektovat jako plochy a koridory nezastavitelné, s využitím pro zvýšení biodiverzity a ekologické stability</w:t>
      </w:r>
      <w:r w:rsidR="002C208A" w:rsidRPr="00461C16">
        <w:rPr>
          <w:lang w:eastAsia="cs-CZ"/>
        </w:rPr>
        <w:t xml:space="preserve"> krajiny, kde lze výjimečně umístit protipovodňová opatření a stavby dopravní a technické infrastruktury. Plochy vymezených biocenter a biokoridorů v případě, že jejich současný stav odpovídá cílovému, všestranně chránit.</w:t>
      </w:r>
    </w:p>
    <w:p w14:paraId="71E0DE94" w14:textId="77777777" w:rsidR="00A1469F" w:rsidRPr="00461C16" w:rsidRDefault="00A1469F" w:rsidP="00A1469F">
      <w:pPr>
        <w:pStyle w:val="BodyText"/>
        <w:spacing w:before="120" w:after="120"/>
        <w:rPr>
          <w:i/>
          <w:sz w:val="22"/>
          <w:szCs w:val="22"/>
          <w:shd w:val="clear" w:color="auto" w:fill="FFFFFF"/>
        </w:rPr>
      </w:pPr>
      <w:r w:rsidRPr="00461C16">
        <w:rPr>
          <w:i/>
          <w:sz w:val="22"/>
          <w:szCs w:val="22"/>
          <w:shd w:val="clear" w:color="auto" w:fill="FFFFFF"/>
        </w:rPr>
        <w:t xml:space="preserve">Viz kap. 1.2.5 Zásady koncepce </w:t>
      </w:r>
      <w:r w:rsidR="000E118D" w:rsidRPr="00461C16">
        <w:rPr>
          <w:i/>
          <w:sz w:val="22"/>
          <w:szCs w:val="22"/>
          <w:shd w:val="clear" w:color="auto" w:fill="FFFFFF"/>
        </w:rPr>
        <w:t xml:space="preserve">rozvoje územního systému ekologické stability </w:t>
      </w:r>
      <w:r w:rsidRPr="00461C16">
        <w:rPr>
          <w:i/>
          <w:sz w:val="22"/>
          <w:szCs w:val="22"/>
          <w:shd w:val="clear" w:color="auto" w:fill="FFFFFF"/>
        </w:rPr>
        <w:t>– vyhodnocení požadavku č. 88.</w:t>
      </w:r>
    </w:p>
    <w:p w14:paraId="5AC7B52C" w14:textId="77777777" w:rsidR="002C208A" w:rsidRPr="00461C16" w:rsidRDefault="002C208A"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Prvky ÚSES (bez ohledu na jejich biogeografický význam, či jejich příslušnost k V-ZCHÚ) upřesňovat dle katastru nemovitostí a jednotek prostorového rozdělení lesa, a jejich vymezení koordinovat ve vzájemných návaznostech propojenosti systému a zohlednit geomorfologické a ekologické podmínky daného území. Vytvářet územní podmínky pro odstraňování překryvů prvků ÚSES a zastavěných ploch, případné nutné překryvy minimalizovat.</w:t>
      </w:r>
    </w:p>
    <w:p w14:paraId="3A7E37EB" w14:textId="77777777" w:rsidR="007225A2" w:rsidRPr="00461C16" w:rsidRDefault="00A1469F" w:rsidP="007225A2">
      <w:pPr>
        <w:pStyle w:val="BodyText"/>
        <w:spacing w:before="120" w:after="120"/>
        <w:rPr>
          <w:i/>
          <w:sz w:val="22"/>
          <w:szCs w:val="22"/>
        </w:rPr>
      </w:pPr>
      <w:r w:rsidRPr="00461C16">
        <w:rPr>
          <w:i/>
          <w:sz w:val="22"/>
          <w:szCs w:val="22"/>
          <w:shd w:val="clear" w:color="auto" w:fill="FFFFFF"/>
        </w:rPr>
        <w:t xml:space="preserve">Viz kap. 1.2.5 </w:t>
      </w:r>
      <w:r w:rsidR="000E118D" w:rsidRPr="00461C16">
        <w:rPr>
          <w:i/>
          <w:sz w:val="22"/>
          <w:szCs w:val="22"/>
          <w:shd w:val="clear" w:color="auto" w:fill="FFFFFF"/>
        </w:rPr>
        <w:t>Zásady koncepce rozvoje územního systému ekologické stability</w:t>
      </w:r>
      <w:r w:rsidRPr="00461C16">
        <w:rPr>
          <w:i/>
          <w:sz w:val="22"/>
          <w:szCs w:val="22"/>
          <w:shd w:val="clear" w:color="auto" w:fill="FFFFFF"/>
        </w:rPr>
        <w:t xml:space="preserve"> – vyhodnocení požadavku č. 89.</w:t>
      </w:r>
    </w:p>
    <w:p w14:paraId="17341188" w14:textId="77777777" w:rsidR="00F14EA7" w:rsidRPr="00461C16" w:rsidRDefault="00F14EA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Případné územní překryvy a střety prvků ÚSES s lokalitami těžby nerostů řešit v rámci zohlednění vzájemných potřeb využití území – pro potřeby ÚSES i pro těžbu surovin. Situaci řešit na základě projektové dokumentace rekultivací dotčených území po ukončení těžby v souladu se zájmy ochrany přírody a krajiny. V tomto procesu budou prvky ÚSES považovány dočasně s omezenou funkčností, cílem opatření je podpora funkcí ÚSES při samotné těžbě a zejména obnova dotčených prvků ÚSES po jejím ukončení. </w:t>
      </w:r>
    </w:p>
    <w:p w14:paraId="43915C1B" w14:textId="77777777" w:rsidR="007225A2" w:rsidRPr="00461C16" w:rsidRDefault="00A1469F" w:rsidP="007225A2">
      <w:pPr>
        <w:pStyle w:val="BodyText"/>
        <w:spacing w:before="120" w:after="120"/>
        <w:rPr>
          <w:i/>
          <w:sz w:val="22"/>
          <w:szCs w:val="22"/>
        </w:rPr>
      </w:pPr>
      <w:r w:rsidRPr="00461C16">
        <w:rPr>
          <w:i/>
          <w:sz w:val="22"/>
          <w:szCs w:val="22"/>
          <w:shd w:val="clear" w:color="auto" w:fill="FFFFFF"/>
        </w:rPr>
        <w:lastRenderedPageBreak/>
        <w:t xml:space="preserve">Viz kap. 1.2.5 </w:t>
      </w:r>
      <w:r w:rsidR="000E118D" w:rsidRPr="00461C16">
        <w:rPr>
          <w:i/>
          <w:sz w:val="22"/>
          <w:szCs w:val="22"/>
          <w:shd w:val="clear" w:color="auto" w:fill="FFFFFF"/>
        </w:rPr>
        <w:t>Zásady koncepce rozvoje územního systému ekologické stability</w:t>
      </w:r>
      <w:r w:rsidRPr="00461C16">
        <w:rPr>
          <w:i/>
          <w:sz w:val="22"/>
          <w:szCs w:val="22"/>
          <w:shd w:val="clear" w:color="auto" w:fill="FFFFFF"/>
        </w:rPr>
        <w:t xml:space="preserve"> – vyhodnocení požadavku č. 9</w:t>
      </w:r>
      <w:r w:rsidR="005C40B5" w:rsidRPr="00461C16">
        <w:rPr>
          <w:i/>
          <w:sz w:val="22"/>
          <w:szCs w:val="22"/>
          <w:shd w:val="clear" w:color="auto" w:fill="FFFFFF"/>
        </w:rPr>
        <w:t>0</w:t>
      </w:r>
      <w:r w:rsidRPr="00461C16">
        <w:rPr>
          <w:i/>
          <w:sz w:val="22"/>
          <w:szCs w:val="22"/>
          <w:shd w:val="clear" w:color="auto" w:fill="FFFFFF"/>
        </w:rPr>
        <w:t>.</w:t>
      </w:r>
    </w:p>
    <w:p w14:paraId="3A875F83" w14:textId="77777777" w:rsidR="00F14EA7" w:rsidRPr="00461C16" w:rsidRDefault="00F14EA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w:t>
      </w:r>
      <w:r w:rsidRPr="00461C16">
        <w:rPr>
          <w:rFonts w:cs="TimesNewRoman"/>
          <w:lang w:eastAsia="cs-CZ"/>
        </w:rPr>
        <w:t>ř</w:t>
      </w:r>
      <w:r w:rsidRPr="00461C16">
        <w:rPr>
          <w:lang w:eastAsia="cs-CZ"/>
        </w:rPr>
        <w:t>et územní p</w:t>
      </w:r>
      <w:r w:rsidRPr="00461C16">
        <w:rPr>
          <w:rFonts w:cs="TimesNewRoman"/>
          <w:lang w:eastAsia="cs-CZ"/>
        </w:rPr>
        <w:t>ř</w:t>
      </w:r>
      <w:r w:rsidRPr="00461C16">
        <w:rPr>
          <w:lang w:eastAsia="cs-CZ"/>
        </w:rPr>
        <w:t>edpoklady pro funk</w:t>
      </w:r>
      <w:r w:rsidRPr="00461C16">
        <w:rPr>
          <w:rFonts w:cs="TimesNewRoman"/>
          <w:lang w:eastAsia="cs-CZ"/>
        </w:rPr>
        <w:t>č</w:t>
      </w:r>
      <w:r w:rsidRPr="00461C16">
        <w:rPr>
          <w:lang w:eastAsia="cs-CZ"/>
        </w:rPr>
        <w:t>nost systému v prostorech protipovod</w:t>
      </w:r>
      <w:r w:rsidRPr="00461C16">
        <w:rPr>
          <w:rFonts w:cs="TimesNewRoman"/>
          <w:lang w:eastAsia="cs-CZ"/>
        </w:rPr>
        <w:t>ň</w:t>
      </w:r>
      <w:r w:rsidRPr="00461C16">
        <w:rPr>
          <w:lang w:eastAsia="cs-CZ"/>
        </w:rPr>
        <w:t>ových opat</w:t>
      </w:r>
      <w:r w:rsidRPr="00461C16">
        <w:rPr>
          <w:rFonts w:cs="TimesNewRoman"/>
          <w:lang w:eastAsia="cs-CZ"/>
        </w:rPr>
        <w:t>ř</w:t>
      </w:r>
      <w:r w:rsidRPr="00461C16">
        <w:rPr>
          <w:lang w:eastAsia="cs-CZ"/>
        </w:rPr>
        <w:t>ení,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stanovení dalších zp</w:t>
      </w:r>
      <w:r w:rsidRPr="00461C16">
        <w:rPr>
          <w:rFonts w:cs="TimesNewRoman"/>
          <w:lang w:eastAsia="cs-CZ"/>
        </w:rPr>
        <w:t>ů</w:t>
      </w:r>
      <w:r w:rsidRPr="00461C16">
        <w:rPr>
          <w:lang w:eastAsia="cs-CZ"/>
        </w:rPr>
        <w:t>sob</w:t>
      </w:r>
      <w:r w:rsidRPr="00461C16">
        <w:rPr>
          <w:rFonts w:cs="TimesNewRoman"/>
          <w:lang w:eastAsia="cs-CZ"/>
        </w:rPr>
        <w:t xml:space="preserve">ů </w:t>
      </w:r>
      <w:r w:rsidRPr="00461C16">
        <w:rPr>
          <w:lang w:eastAsia="cs-CZ"/>
        </w:rPr>
        <w:t>využívání t</w:t>
      </w:r>
      <w:r w:rsidRPr="00461C16">
        <w:rPr>
          <w:rFonts w:cs="TimesNewRoman"/>
          <w:lang w:eastAsia="cs-CZ"/>
        </w:rPr>
        <w:t>ě</w:t>
      </w:r>
      <w:r w:rsidRPr="00461C16">
        <w:rPr>
          <w:lang w:eastAsia="cs-CZ"/>
        </w:rPr>
        <w:t>chto ploch s ohledem na zájmy ochrany p</w:t>
      </w:r>
      <w:r w:rsidRPr="00461C16">
        <w:rPr>
          <w:rFonts w:cs="TimesNewRoman"/>
          <w:lang w:eastAsia="cs-CZ"/>
        </w:rPr>
        <w:t>ř</w:t>
      </w:r>
      <w:r w:rsidRPr="00461C16">
        <w:rPr>
          <w:lang w:eastAsia="cs-CZ"/>
        </w:rPr>
        <w:t>írody a krajiny, na základ</w:t>
      </w:r>
      <w:r w:rsidRPr="00461C16">
        <w:rPr>
          <w:rFonts w:cs="TimesNewRoman"/>
          <w:lang w:eastAsia="cs-CZ"/>
        </w:rPr>
        <w:t xml:space="preserve">ě </w:t>
      </w:r>
      <w:r w:rsidRPr="00461C16">
        <w:rPr>
          <w:lang w:eastAsia="cs-CZ"/>
        </w:rPr>
        <w:t>zpracované podrobné projektové dokumentace dle metodiky ÚSES.</w:t>
      </w:r>
    </w:p>
    <w:p w14:paraId="7667E70C" w14:textId="77777777" w:rsidR="007225A2" w:rsidRPr="00461C16" w:rsidRDefault="00CA732C" w:rsidP="007225A2">
      <w:pPr>
        <w:pStyle w:val="BodyText"/>
        <w:spacing w:before="120" w:after="120"/>
        <w:rPr>
          <w:i/>
          <w:sz w:val="22"/>
          <w:szCs w:val="22"/>
        </w:rPr>
      </w:pPr>
      <w:r w:rsidRPr="00461C16">
        <w:rPr>
          <w:i/>
          <w:sz w:val="22"/>
          <w:szCs w:val="22"/>
          <w:shd w:val="clear" w:color="auto" w:fill="FFFFFF"/>
        </w:rPr>
        <w:t xml:space="preserve">Viz kap. 1.2.5 </w:t>
      </w:r>
      <w:r w:rsidR="000E118D" w:rsidRPr="00461C16">
        <w:rPr>
          <w:i/>
          <w:sz w:val="22"/>
          <w:szCs w:val="22"/>
          <w:shd w:val="clear" w:color="auto" w:fill="FFFFFF"/>
        </w:rPr>
        <w:t>Zásady koncepce rozvoje územního systému ekologické stability</w:t>
      </w:r>
      <w:r w:rsidRPr="00461C16">
        <w:rPr>
          <w:i/>
          <w:sz w:val="22"/>
          <w:szCs w:val="22"/>
          <w:shd w:val="clear" w:color="auto" w:fill="FFFFFF"/>
        </w:rPr>
        <w:t xml:space="preserve"> – vyhodnocení požadavku č. 91.</w:t>
      </w:r>
    </w:p>
    <w:p w14:paraId="0B17BBFC" w14:textId="77777777" w:rsidR="00F14EA7" w:rsidRPr="00461C16" w:rsidRDefault="00F14EA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Územní p</w:t>
      </w:r>
      <w:r w:rsidRPr="00461C16">
        <w:rPr>
          <w:rFonts w:cs="TimesNewRoman"/>
          <w:lang w:eastAsia="cs-CZ"/>
        </w:rPr>
        <w:t>ř</w:t>
      </w:r>
      <w:r w:rsidRPr="00461C16">
        <w:rPr>
          <w:lang w:eastAsia="cs-CZ"/>
        </w:rPr>
        <w:t>ekryvy prvk</w:t>
      </w:r>
      <w:r w:rsidRPr="00461C16">
        <w:rPr>
          <w:rFonts w:cs="TimesNewRoman"/>
          <w:lang w:eastAsia="cs-CZ"/>
        </w:rPr>
        <w:t xml:space="preserve">ů </w:t>
      </w:r>
      <w:r w:rsidRPr="00461C16">
        <w:rPr>
          <w:lang w:eastAsia="cs-CZ"/>
        </w:rPr>
        <w:t>ÚSES s liniovými stavbami dopravní a technické infrastruktury minimalizovat a v p</w:t>
      </w:r>
      <w:r w:rsidRPr="00461C16">
        <w:rPr>
          <w:rFonts w:cs="TimesNewRoman"/>
          <w:lang w:eastAsia="cs-CZ"/>
        </w:rPr>
        <w:t>ř</w:t>
      </w:r>
      <w:r w:rsidRPr="00461C16">
        <w:rPr>
          <w:lang w:eastAsia="cs-CZ"/>
        </w:rPr>
        <w:t>ípad</w:t>
      </w:r>
      <w:r w:rsidRPr="00461C16">
        <w:rPr>
          <w:rFonts w:cs="TimesNewRoman"/>
          <w:lang w:eastAsia="cs-CZ"/>
        </w:rPr>
        <w:t xml:space="preserve">ě </w:t>
      </w:r>
      <w:r w:rsidRPr="00461C16">
        <w:rPr>
          <w:lang w:eastAsia="cs-CZ"/>
        </w:rPr>
        <w:t xml:space="preserve">nutnosti </w:t>
      </w:r>
      <w:r w:rsidRPr="00461C16">
        <w:rPr>
          <w:rFonts w:cs="TimesNewRoman"/>
          <w:lang w:eastAsia="cs-CZ"/>
        </w:rPr>
        <w:t>ř</w:t>
      </w:r>
      <w:r w:rsidRPr="00461C16">
        <w:rPr>
          <w:lang w:eastAsia="cs-CZ"/>
        </w:rPr>
        <w:t>ešit p</w:t>
      </w:r>
      <w:r w:rsidRPr="00461C16">
        <w:rPr>
          <w:rFonts w:cs="TimesNewRoman"/>
          <w:lang w:eastAsia="cs-CZ"/>
        </w:rPr>
        <w:t>ř</w:t>
      </w:r>
      <w:r w:rsidRPr="00461C16">
        <w:rPr>
          <w:lang w:eastAsia="cs-CZ"/>
        </w:rPr>
        <w:t>ekryvy odbornou projektovou p</w:t>
      </w:r>
      <w:r w:rsidRPr="00461C16">
        <w:rPr>
          <w:rFonts w:cs="TimesNewRoman"/>
          <w:lang w:eastAsia="cs-CZ"/>
        </w:rPr>
        <w:t>ř</w:t>
      </w:r>
      <w:r w:rsidRPr="00461C16">
        <w:rPr>
          <w:lang w:eastAsia="cs-CZ"/>
        </w:rPr>
        <w:t>ípravou staveb za podmínky, že nedojde k významnému snížení funk</w:t>
      </w:r>
      <w:r w:rsidRPr="00461C16">
        <w:rPr>
          <w:rFonts w:cs="TimesNewRoman"/>
          <w:lang w:eastAsia="cs-CZ"/>
        </w:rPr>
        <w:t>č</w:t>
      </w:r>
      <w:r w:rsidRPr="00461C16">
        <w:rPr>
          <w:lang w:eastAsia="cs-CZ"/>
        </w:rPr>
        <w:t>nosti ekosystému a k podstatnému snížení jeho ekostabilizující funkce v krajin</w:t>
      </w:r>
      <w:r w:rsidRPr="00461C16">
        <w:rPr>
          <w:rFonts w:cs="TimesNewRoman"/>
          <w:lang w:eastAsia="cs-CZ"/>
        </w:rPr>
        <w:t>ě</w:t>
      </w:r>
      <w:r w:rsidRPr="00461C16">
        <w:rPr>
          <w:lang w:eastAsia="cs-CZ"/>
        </w:rPr>
        <w:t>.</w:t>
      </w:r>
    </w:p>
    <w:p w14:paraId="28937981" w14:textId="77777777" w:rsidR="007225A2" w:rsidRPr="00461C16" w:rsidRDefault="0021368C" w:rsidP="007225A2">
      <w:pPr>
        <w:pStyle w:val="BodyText"/>
        <w:spacing w:before="120" w:after="120"/>
        <w:rPr>
          <w:i/>
          <w:sz w:val="22"/>
          <w:szCs w:val="22"/>
        </w:rPr>
      </w:pPr>
      <w:r w:rsidRPr="00461C16">
        <w:rPr>
          <w:i/>
          <w:sz w:val="22"/>
          <w:szCs w:val="22"/>
          <w:shd w:val="clear" w:color="auto" w:fill="FFFFFF"/>
        </w:rPr>
        <w:t xml:space="preserve">Viz kap. 1.2.5 </w:t>
      </w:r>
      <w:r w:rsidR="000E118D" w:rsidRPr="00461C16">
        <w:rPr>
          <w:i/>
          <w:sz w:val="22"/>
          <w:szCs w:val="22"/>
          <w:shd w:val="clear" w:color="auto" w:fill="FFFFFF"/>
        </w:rPr>
        <w:t>Zásady koncepce rozvoje územního systému ekologické stability</w:t>
      </w:r>
      <w:r w:rsidRPr="00461C16">
        <w:rPr>
          <w:i/>
          <w:sz w:val="22"/>
          <w:szCs w:val="22"/>
          <w:shd w:val="clear" w:color="auto" w:fill="FFFFFF"/>
        </w:rPr>
        <w:t xml:space="preserve"> – vyhodnocení požadavku č. 92</w:t>
      </w:r>
    </w:p>
    <w:p w14:paraId="3CA9243A" w14:textId="77777777" w:rsidR="00F14EA7" w:rsidRPr="00461C16" w:rsidRDefault="00F14EA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Při vymezování lokálních prvků ÚSES zohlednit označování prvků ÚSES podle celokrajské posloupnosti (podklad KOPK LK).</w:t>
      </w:r>
    </w:p>
    <w:p w14:paraId="3FDFA128" w14:textId="77777777" w:rsidR="008F4C19" w:rsidRPr="00461C16" w:rsidRDefault="0021368C" w:rsidP="008F4C19">
      <w:pPr>
        <w:autoSpaceDE w:val="0"/>
        <w:autoSpaceDN w:val="0"/>
        <w:adjustRightInd w:val="0"/>
        <w:spacing w:before="120" w:line="240" w:lineRule="auto"/>
        <w:rPr>
          <w:i/>
          <w:lang w:eastAsia="cs-CZ"/>
        </w:rPr>
      </w:pPr>
      <w:r w:rsidRPr="00461C16">
        <w:rPr>
          <w:i/>
          <w:shd w:val="clear" w:color="auto" w:fill="FFFFFF"/>
        </w:rPr>
        <w:t xml:space="preserve">Viz kap. 1.2.5 </w:t>
      </w:r>
      <w:r w:rsidR="000E118D" w:rsidRPr="00461C16">
        <w:rPr>
          <w:i/>
          <w:shd w:val="clear" w:color="auto" w:fill="FFFFFF"/>
        </w:rPr>
        <w:t xml:space="preserve">Zásady koncepce rozvoje územního systému ekologické stability </w:t>
      </w:r>
      <w:r w:rsidRPr="00461C16">
        <w:rPr>
          <w:i/>
          <w:shd w:val="clear" w:color="auto" w:fill="FFFFFF"/>
        </w:rPr>
        <w:t>– vyhodnocení požadavku č. 93</w:t>
      </w:r>
    </w:p>
    <w:p w14:paraId="01365E71" w14:textId="77777777" w:rsidR="00753F4E" w:rsidRPr="00461C16" w:rsidRDefault="00753F4E" w:rsidP="00F77F07">
      <w:pPr>
        <w:pStyle w:val="4podnadpis"/>
      </w:pPr>
      <w:r w:rsidRPr="00461C16">
        <w:t>Upřesnění územních podmínek koncepce ochrany a rozvoje přírodních, kulturních a civilizačních hodnot území kraje</w:t>
      </w:r>
    </w:p>
    <w:p w14:paraId="1DD1BF8A" w14:textId="77777777" w:rsidR="00753F4E" w:rsidRPr="00461C16" w:rsidRDefault="00753F4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Plošné obecnější požadavky – viz Textová část návrhu Zásad územního rozvoje Libereckého kraje</w:t>
      </w:r>
    </w:p>
    <w:p w14:paraId="12ADC43D" w14:textId="77777777" w:rsidR="00753F4E" w:rsidRPr="00461C16" w:rsidRDefault="00753F4E" w:rsidP="00753F4E">
      <w:pPr>
        <w:autoSpaceDE w:val="0"/>
        <w:autoSpaceDN w:val="0"/>
        <w:adjustRightInd w:val="0"/>
        <w:spacing w:before="120" w:after="120" w:line="240" w:lineRule="auto"/>
        <w:rPr>
          <w:lang w:eastAsia="cs-CZ"/>
        </w:rPr>
      </w:pPr>
      <w:r w:rsidRPr="00461C16">
        <w:rPr>
          <w:lang w:eastAsia="cs-CZ"/>
        </w:rPr>
        <w:t xml:space="preserve">Viz kap. </w:t>
      </w:r>
      <w:r w:rsidR="005C45FF" w:rsidRPr="00461C16">
        <w:rPr>
          <w:lang w:eastAsia="cs-CZ"/>
        </w:rPr>
        <w:t>1.2.4 – 1.2.8.</w:t>
      </w:r>
    </w:p>
    <w:p w14:paraId="2F4E127E" w14:textId="77777777" w:rsidR="009830DE" w:rsidRPr="00461C16" w:rsidRDefault="009830DE" w:rsidP="00F77F07">
      <w:pPr>
        <w:pStyle w:val="4podnadpis"/>
      </w:pPr>
      <w:r w:rsidRPr="00461C16">
        <w:t>Vymezení cílových charakteristik krajiny</w:t>
      </w:r>
    </w:p>
    <w:p w14:paraId="6128420D"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a rozvíjet základní atributy krajinného rázu a územní stabilitu charakteristickou pro jednotky krajinného rázu a jejich pozitivní charakteristiky. </w:t>
      </w:r>
    </w:p>
    <w:p w14:paraId="607ADFD9"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71.</w:t>
      </w:r>
    </w:p>
    <w:p w14:paraId="64EA785F"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chráněné části krajiny a krajinné útvary, minimalizovat zásahy do území zájmů ochrany přírody a krajiny. </w:t>
      </w:r>
    </w:p>
    <w:p w14:paraId="1218CDF9"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72.</w:t>
      </w:r>
    </w:p>
    <w:p w14:paraId="5CA28DCA"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cenné urbanistic</w:t>
      </w:r>
      <w:r w:rsidR="007E0331" w:rsidRPr="00461C16">
        <w:rPr>
          <w:lang w:eastAsia="cs-CZ"/>
        </w:rPr>
        <w:t>ké a architektonické znaky sídel</w:t>
      </w:r>
      <w:r w:rsidRPr="00461C16">
        <w:rPr>
          <w:lang w:eastAsia="cs-CZ"/>
        </w:rPr>
        <w:t xml:space="preserve">ních útvarů – doplňovat je pouze objemově a tektonicky vhodnou zástavbou. </w:t>
      </w:r>
    </w:p>
    <w:p w14:paraId="63267165"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73.</w:t>
      </w:r>
    </w:p>
    <w:p w14:paraId="54D928ED"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Upřednostňovat využití potenciálu ploch v zastavěném území sídelních útvarů, zejména proluk a přestavbových území, před vymezováním nových zastavitelných ploch ve volné krajině, při zachování migrační prostupnosti krajiny (zejména nepropojovat sídla).</w:t>
      </w:r>
    </w:p>
    <w:p w14:paraId="2A03E1E4"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74.</w:t>
      </w:r>
    </w:p>
    <w:p w14:paraId="71FDC0D7"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Umisťování staveb a zařízení, jejichž parametry by mohly narušit pozitivní charakteristiky krajinného rázu, podmínit kladným vyhodnocením vlivu na krajinný ráz a negativní dopady eliminovat. </w:t>
      </w:r>
    </w:p>
    <w:p w14:paraId="2EDBF038"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75.</w:t>
      </w:r>
    </w:p>
    <w:p w14:paraId="469B4E6A"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Při umisťování výškových staveb (stožáry mobilních operátorů, větrné elektrárny aj.) postupovat v souladu s požadavky na ochranu krajinného rázu. </w:t>
      </w:r>
    </w:p>
    <w:p w14:paraId="4F1C0994"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76.</w:t>
      </w:r>
      <w:r w:rsidR="008A4D63" w:rsidRPr="00461C16">
        <w:rPr>
          <w:i/>
          <w:color w:val="000000"/>
          <w:sz w:val="22"/>
          <w:szCs w:val="22"/>
          <w:shd w:val="clear" w:color="auto" w:fill="FFFFFF"/>
        </w:rPr>
        <w:t xml:space="preserve"> </w:t>
      </w:r>
    </w:p>
    <w:p w14:paraId="01A86124"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Při umisťování koridorů staveb dopravní a technické infrastruktury sledovat aspekty nenarušitelnosti spojitosti krajinných celků a jejich horizontů, zamezit fragmentaci přirozeně ucelených částí krajiny, nutné případy eliminovat. </w:t>
      </w:r>
    </w:p>
    <w:p w14:paraId="33A3448C"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77.</w:t>
      </w:r>
    </w:p>
    <w:p w14:paraId="1989779E"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 xml:space="preserve">Chránit místa výhledů, horizontů a krajinných dominant. </w:t>
      </w:r>
    </w:p>
    <w:p w14:paraId="49BEB5B0"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78.</w:t>
      </w:r>
    </w:p>
    <w:p w14:paraId="344CF57F"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Využívat půdní fond za dodržení principů udržitelného rozvoje území. </w:t>
      </w:r>
    </w:p>
    <w:p w14:paraId="0772CF20"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79.</w:t>
      </w:r>
    </w:p>
    <w:p w14:paraId="5A80A4C3"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Chránit přírodě blízké prvky rozčleňující krajinu. </w:t>
      </w:r>
    </w:p>
    <w:p w14:paraId="143DB824"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80.</w:t>
      </w:r>
    </w:p>
    <w:p w14:paraId="1ECDF4C1"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základní jednotky krajinného rázu, hranice oblastí krajinného rázu (OKR) a podoblastí krajinného rázu (POKR) up</w:t>
      </w:r>
      <w:r w:rsidRPr="00461C16">
        <w:rPr>
          <w:rFonts w:cs="TimesNewRoman"/>
          <w:lang w:eastAsia="cs-CZ"/>
        </w:rPr>
        <w:t>ř</w:t>
      </w:r>
      <w:r w:rsidRPr="00461C16">
        <w:rPr>
          <w:lang w:eastAsia="cs-CZ"/>
        </w:rPr>
        <w:t>es</w:t>
      </w:r>
      <w:r w:rsidRPr="00461C16">
        <w:rPr>
          <w:rFonts w:cs="TimesNewRoman"/>
          <w:lang w:eastAsia="cs-CZ"/>
        </w:rPr>
        <w:t>ň</w:t>
      </w:r>
      <w:r w:rsidRPr="00461C16">
        <w:rPr>
          <w:lang w:eastAsia="cs-CZ"/>
        </w:rPr>
        <w:t>ovat dle místních podmínek, tyto vyšší celky v rámci ÚAP obcí ve spolupráci s orgánem ochrany p</w:t>
      </w:r>
      <w:r w:rsidRPr="00461C16">
        <w:rPr>
          <w:rFonts w:cs="TimesNewRoman"/>
          <w:lang w:eastAsia="cs-CZ"/>
        </w:rPr>
        <w:t>ř</w:t>
      </w:r>
      <w:r w:rsidRPr="00461C16">
        <w:rPr>
          <w:lang w:eastAsia="cs-CZ"/>
        </w:rPr>
        <w:t xml:space="preserve">írody dále </w:t>
      </w:r>
      <w:r w:rsidRPr="00461C16">
        <w:rPr>
          <w:rFonts w:cs="TimesNewRoman"/>
          <w:lang w:eastAsia="cs-CZ"/>
        </w:rPr>
        <w:t>č</w:t>
      </w:r>
      <w:r w:rsidRPr="00461C16">
        <w:rPr>
          <w:lang w:eastAsia="cs-CZ"/>
        </w:rPr>
        <w:t>lenit na „místa krajinného rázu“ i dle krajinné typologie (význa</w:t>
      </w:r>
      <w:r w:rsidRPr="00461C16">
        <w:rPr>
          <w:rFonts w:cs="TimesNewRoman"/>
          <w:lang w:eastAsia="cs-CZ"/>
        </w:rPr>
        <w:t>č</w:t>
      </w:r>
      <w:r w:rsidRPr="00461C16">
        <w:rPr>
          <w:lang w:eastAsia="cs-CZ"/>
        </w:rPr>
        <w:t>nosti a unicity krajinných typ</w:t>
      </w:r>
      <w:r w:rsidRPr="00461C16">
        <w:rPr>
          <w:rFonts w:cs="TimesNewRoman"/>
          <w:lang w:eastAsia="cs-CZ"/>
        </w:rPr>
        <w:t>ů</w:t>
      </w:r>
      <w:r w:rsidRPr="00461C16">
        <w:rPr>
          <w:lang w:eastAsia="cs-CZ"/>
        </w:rPr>
        <w:t>).</w:t>
      </w:r>
    </w:p>
    <w:p w14:paraId="5E334204"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81.</w:t>
      </w:r>
    </w:p>
    <w:p w14:paraId="6F786C3E" w14:textId="77777777" w:rsidR="009830DE" w:rsidRPr="00461C16" w:rsidRDefault="009830D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Stanovením podmínek pro využívání ploch s rozdílným využitím v ÚP vytvo</w:t>
      </w:r>
      <w:r w:rsidRPr="00461C16">
        <w:rPr>
          <w:rFonts w:cs="TimesNewRoman"/>
          <w:lang w:eastAsia="cs-CZ"/>
        </w:rPr>
        <w:t>ř</w:t>
      </w:r>
      <w:r w:rsidRPr="00461C16">
        <w:rPr>
          <w:lang w:eastAsia="cs-CZ"/>
        </w:rPr>
        <w:t>it podmínky pro ochranu krajinného rázu (dle zjišt</w:t>
      </w:r>
      <w:r w:rsidRPr="00461C16">
        <w:rPr>
          <w:rFonts w:cs="TimesNewRoman"/>
          <w:lang w:eastAsia="cs-CZ"/>
        </w:rPr>
        <w:t>ě</w:t>
      </w:r>
      <w:r w:rsidRPr="00461C16">
        <w:rPr>
          <w:lang w:eastAsia="cs-CZ"/>
        </w:rPr>
        <w:t>ných podmínek ÚAP)</w:t>
      </w:r>
      <w:r w:rsidR="00285E35" w:rsidRPr="00461C16">
        <w:rPr>
          <w:lang w:eastAsia="cs-CZ"/>
        </w:rPr>
        <w:t>.</w:t>
      </w:r>
    </w:p>
    <w:p w14:paraId="79DD69BA"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82.</w:t>
      </w:r>
    </w:p>
    <w:p w14:paraId="3E2DF14B" w14:textId="77777777" w:rsidR="00891A2E" w:rsidRPr="00461C16" w:rsidRDefault="00285E35"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Vytvářet územní podmínky pro zemědělské a lesnické hospodaření pro údržbu půdního fondu a krajiny.</w:t>
      </w:r>
    </w:p>
    <w:p w14:paraId="038E934E"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83.</w:t>
      </w:r>
    </w:p>
    <w:p w14:paraId="0FB5CEA3" w14:textId="77777777" w:rsidR="00F7709A" w:rsidRPr="00461C16" w:rsidRDefault="00F7709A" w:rsidP="00864B7A">
      <w:pPr>
        <w:pStyle w:val="BodyText"/>
        <w:spacing w:before="240" w:after="120"/>
        <w:rPr>
          <w:sz w:val="22"/>
          <w:szCs w:val="22"/>
          <w:u w:val="single"/>
          <w:shd w:val="clear" w:color="auto" w:fill="FFFFFF"/>
        </w:rPr>
      </w:pPr>
      <w:r w:rsidRPr="00461C16">
        <w:rPr>
          <w:sz w:val="22"/>
          <w:szCs w:val="22"/>
          <w:u w:val="single"/>
          <w:shd w:val="clear" w:color="auto" w:fill="FFFFFF"/>
        </w:rPr>
        <w:t>POKR 02-2 Liberecko - Hrádecko a Chrastavsko</w:t>
      </w:r>
    </w:p>
    <w:p w14:paraId="4CC4F8A3" w14:textId="77777777" w:rsidR="00F7709A" w:rsidRPr="00461C16" w:rsidRDefault="00F7709A"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Udržet současný charakteru oblasti, minimalizovat negativní zásahy do krajinného prost</w:t>
      </w:r>
      <w:r w:rsidRPr="00461C16">
        <w:rPr>
          <w:rFonts w:eastAsia="TimesNewRoman" w:cs="TimesNewRoman"/>
          <w:lang w:eastAsia="cs-CZ"/>
        </w:rPr>
        <w:t>ř</w:t>
      </w:r>
      <w:r w:rsidRPr="00461C16">
        <w:rPr>
          <w:lang w:eastAsia="cs-CZ"/>
        </w:rPr>
        <w:t>edí, eliminovat ovlivn</w:t>
      </w:r>
      <w:r w:rsidRPr="00461C16">
        <w:rPr>
          <w:rFonts w:eastAsia="TimesNewRoman" w:cs="TimesNewRoman"/>
          <w:lang w:eastAsia="cs-CZ"/>
        </w:rPr>
        <w:t>ě</w:t>
      </w:r>
      <w:r w:rsidRPr="00461C16">
        <w:rPr>
          <w:lang w:eastAsia="cs-CZ"/>
        </w:rPr>
        <w:t>ní krajinného rázu nevhodnými investi</w:t>
      </w:r>
      <w:r w:rsidRPr="00461C16">
        <w:rPr>
          <w:rFonts w:eastAsia="TimesNewRoman" w:cs="TimesNewRoman"/>
          <w:lang w:eastAsia="cs-CZ"/>
        </w:rPr>
        <w:t>č</w:t>
      </w:r>
      <w:r w:rsidRPr="00461C16">
        <w:rPr>
          <w:lang w:eastAsia="cs-CZ"/>
        </w:rPr>
        <w:t>ními zám</w:t>
      </w:r>
      <w:r w:rsidRPr="00461C16">
        <w:rPr>
          <w:rFonts w:eastAsia="TimesNewRoman" w:cs="TimesNewRoman"/>
          <w:lang w:eastAsia="cs-CZ"/>
        </w:rPr>
        <w:t>ě</w:t>
      </w:r>
      <w:r w:rsidRPr="00461C16">
        <w:rPr>
          <w:lang w:eastAsia="cs-CZ"/>
        </w:rPr>
        <w:t>ry.</w:t>
      </w:r>
    </w:p>
    <w:p w14:paraId="3B83729C" w14:textId="77777777" w:rsidR="005C45FF" w:rsidRPr="00461C16" w:rsidRDefault="00314C5F" w:rsidP="005C45FF">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5C45FF" w:rsidRPr="00461C16">
        <w:rPr>
          <w:i/>
          <w:sz w:val="22"/>
          <w:szCs w:val="22"/>
          <w:shd w:val="clear" w:color="auto" w:fill="FFFFFF"/>
        </w:rPr>
        <w:t>84.</w:t>
      </w:r>
    </w:p>
    <w:p w14:paraId="3CD0AC01" w14:textId="77777777" w:rsidR="00F7709A" w:rsidRPr="00461C16" w:rsidRDefault="00F7709A"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Chránit reliéf krajiny, krajinné dominanty a horizonty, zachovat cenné urbanistické a architektonické znaky sídelních útvar</w:t>
      </w:r>
      <w:r w:rsidRPr="00461C16">
        <w:rPr>
          <w:rFonts w:eastAsia="TimesNewRoman" w:cs="TimesNewRoman"/>
          <w:lang w:eastAsia="cs-CZ"/>
        </w:rPr>
        <w:t>ů</w:t>
      </w:r>
      <w:r w:rsidRPr="00461C16">
        <w:rPr>
          <w:lang w:eastAsia="cs-CZ"/>
        </w:rPr>
        <w:t xml:space="preserve">. </w:t>
      </w:r>
    </w:p>
    <w:p w14:paraId="2C637A55"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85.</w:t>
      </w:r>
    </w:p>
    <w:p w14:paraId="7F58CBCB" w14:textId="77777777" w:rsidR="00F7709A" w:rsidRPr="00461C16" w:rsidRDefault="00F7709A" w:rsidP="00A06EB9">
      <w:pPr>
        <w:pStyle w:val="ListParagraph"/>
        <w:numPr>
          <w:ilvl w:val="0"/>
          <w:numId w:val="97"/>
        </w:numPr>
        <w:autoSpaceDE w:val="0"/>
        <w:autoSpaceDN w:val="0"/>
        <w:adjustRightInd w:val="0"/>
        <w:spacing w:before="120" w:after="120" w:line="240" w:lineRule="auto"/>
        <w:ind w:left="567" w:hanging="567"/>
        <w:jc w:val="left"/>
        <w:rPr>
          <w:i/>
        </w:rPr>
      </w:pPr>
      <w:r w:rsidRPr="00461C16">
        <w:rPr>
          <w:lang w:eastAsia="cs-CZ"/>
        </w:rPr>
        <w:t>V krajin</w:t>
      </w:r>
      <w:r w:rsidRPr="00461C16">
        <w:rPr>
          <w:rFonts w:eastAsia="TimesNewRoman" w:cs="TimesNewRoman"/>
          <w:lang w:eastAsia="cs-CZ"/>
        </w:rPr>
        <w:t xml:space="preserve">ě </w:t>
      </w:r>
      <w:r w:rsidRPr="00461C16">
        <w:rPr>
          <w:lang w:eastAsia="cs-CZ"/>
        </w:rPr>
        <w:t>vytvá</w:t>
      </w:r>
      <w:r w:rsidRPr="00461C16">
        <w:rPr>
          <w:rFonts w:eastAsia="TimesNewRoman" w:cs="TimesNewRoman"/>
          <w:lang w:eastAsia="cs-CZ"/>
        </w:rPr>
        <w:t>ř</w:t>
      </w:r>
      <w:r w:rsidRPr="00461C16">
        <w:rPr>
          <w:lang w:eastAsia="cs-CZ"/>
        </w:rPr>
        <w:t>et prostory pro kvalitní bydlení, snižovat hustotu zástavby na p</w:t>
      </w:r>
      <w:r w:rsidRPr="00461C16">
        <w:rPr>
          <w:rFonts w:eastAsia="TimesNewRoman" w:cs="TimesNewRoman"/>
          <w:lang w:eastAsia="cs-CZ"/>
        </w:rPr>
        <w:t>ř</w:t>
      </w:r>
      <w:r w:rsidRPr="00461C16">
        <w:rPr>
          <w:lang w:eastAsia="cs-CZ"/>
        </w:rPr>
        <w:t>echodu do volné krajiny, zejména na svazích Ješt</w:t>
      </w:r>
      <w:r w:rsidRPr="00461C16">
        <w:rPr>
          <w:rFonts w:eastAsia="TimesNewRoman" w:cs="TimesNewRoman"/>
          <w:lang w:eastAsia="cs-CZ"/>
        </w:rPr>
        <w:t>ě</w:t>
      </w:r>
      <w:r w:rsidRPr="00461C16">
        <w:rPr>
          <w:lang w:eastAsia="cs-CZ"/>
        </w:rPr>
        <w:t>dského h</w:t>
      </w:r>
      <w:r w:rsidRPr="00461C16">
        <w:rPr>
          <w:rFonts w:eastAsia="TimesNewRoman" w:cs="TimesNewRoman"/>
          <w:lang w:eastAsia="cs-CZ"/>
        </w:rPr>
        <w:t>ř</w:t>
      </w:r>
      <w:r w:rsidRPr="00461C16">
        <w:rPr>
          <w:lang w:eastAsia="cs-CZ"/>
        </w:rPr>
        <w:t>betu a Jizerských hor.</w:t>
      </w:r>
      <w:r w:rsidRPr="00461C16">
        <w:rPr>
          <w:i/>
          <w:shd w:val="clear" w:color="auto" w:fill="FFFFFF"/>
        </w:rPr>
        <w:t xml:space="preserve"> </w:t>
      </w:r>
    </w:p>
    <w:p w14:paraId="0C8F1E70"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86.</w:t>
      </w:r>
    </w:p>
    <w:p w14:paraId="698F738B" w14:textId="77777777" w:rsidR="00F7709A" w:rsidRPr="00461C16" w:rsidRDefault="00F7709A" w:rsidP="00A06EB9">
      <w:pPr>
        <w:pStyle w:val="ListParagraph"/>
        <w:numPr>
          <w:ilvl w:val="0"/>
          <w:numId w:val="97"/>
        </w:numPr>
        <w:autoSpaceDE w:val="0"/>
        <w:autoSpaceDN w:val="0"/>
        <w:adjustRightInd w:val="0"/>
        <w:spacing w:before="120" w:after="120" w:line="240" w:lineRule="auto"/>
        <w:ind w:left="567" w:hanging="567"/>
        <w:jc w:val="left"/>
        <w:rPr>
          <w:i/>
        </w:rPr>
      </w:pPr>
      <w:r w:rsidRPr="00461C16">
        <w:rPr>
          <w:lang w:eastAsia="cs-CZ"/>
        </w:rPr>
        <w:t>Zachovat zem</w:t>
      </w:r>
      <w:r w:rsidRPr="00461C16">
        <w:rPr>
          <w:rFonts w:eastAsia="TimesNewRoman" w:cs="TimesNewRoman"/>
          <w:lang w:eastAsia="cs-CZ"/>
        </w:rPr>
        <w:t>ě</w:t>
      </w:r>
      <w:r w:rsidRPr="00461C16">
        <w:rPr>
          <w:lang w:eastAsia="cs-CZ"/>
        </w:rPr>
        <w:t>d</w:t>
      </w:r>
      <w:r w:rsidRPr="00461C16">
        <w:rPr>
          <w:rFonts w:eastAsia="TimesNewRoman" w:cs="TimesNewRoman"/>
          <w:lang w:eastAsia="cs-CZ"/>
        </w:rPr>
        <w:t>ě</w:t>
      </w:r>
      <w:r w:rsidRPr="00461C16">
        <w:rPr>
          <w:lang w:eastAsia="cs-CZ"/>
        </w:rPr>
        <w:t xml:space="preserve">lský charakter </w:t>
      </w:r>
      <w:r w:rsidRPr="00461C16">
        <w:rPr>
          <w:rFonts w:eastAsia="TimesNewRoman" w:cs="TimesNewRoman"/>
          <w:lang w:eastAsia="cs-CZ"/>
        </w:rPr>
        <w:t>č</w:t>
      </w:r>
      <w:r w:rsidRPr="00461C16">
        <w:rPr>
          <w:lang w:eastAsia="cs-CZ"/>
        </w:rPr>
        <w:t>ásti POKR Hrádecko-Chrastavsko s venkovskými sídly.</w:t>
      </w:r>
    </w:p>
    <w:p w14:paraId="3F5098ED"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87.</w:t>
      </w:r>
    </w:p>
    <w:p w14:paraId="1207987D" w14:textId="77777777" w:rsidR="00F7709A" w:rsidRPr="00461C16" w:rsidRDefault="00F7709A" w:rsidP="00864B7A">
      <w:pPr>
        <w:pStyle w:val="BodyText"/>
        <w:spacing w:before="240" w:after="120"/>
        <w:rPr>
          <w:sz w:val="22"/>
          <w:szCs w:val="22"/>
          <w:u w:val="single"/>
        </w:rPr>
      </w:pPr>
      <w:r w:rsidRPr="00461C16">
        <w:rPr>
          <w:sz w:val="22"/>
          <w:szCs w:val="22"/>
          <w:u w:val="single"/>
          <w:shd w:val="clear" w:color="auto" w:fill="FFFFFF"/>
        </w:rPr>
        <w:t>POKR 12-1 Lužické hory – Východní část</w:t>
      </w:r>
    </w:p>
    <w:p w14:paraId="4871A576" w14:textId="77777777" w:rsidR="00285E35" w:rsidRPr="00461C16" w:rsidRDefault="00285E35"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ochranu přírody a krajiny na velkoplošně zvláště chráněném území a i nadále realizovat dle plánů péče o ZCHÚ (CHKO LH), území zvláště nechráněná v kontextu regulativů ZCHÚ. </w:t>
      </w:r>
    </w:p>
    <w:p w14:paraId="4AE58698"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88.</w:t>
      </w:r>
    </w:p>
    <w:p w14:paraId="6269502E" w14:textId="77777777" w:rsidR="00285E35" w:rsidRPr="00461C16" w:rsidRDefault="00285E35"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Zachovávat členitost území a venkovského charakteru oblasti. </w:t>
      </w:r>
    </w:p>
    <w:p w14:paraId="7D35E22E"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89.</w:t>
      </w:r>
    </w:p>
    <w:p w14:paraId="1732E704" w14:textId="77777777" w:rsidR="00285E35" w:rsidRPr="00461C16" w:rsidRDefault="00285E35"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Nové stavby nadzemních vedení technické infrastruktury situovat přednostně mimo les a pohledové horizonty. </w:t>
      </w:r>
    </w:p>
    <w:p w14:paraId="16D531F0"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90.</w:t>
      </w:r>
    </w:p>
    <w:p w14:paraId="0BE9817B" w14:textId="77777777" w:rsidR="00285E35" w:rsidRPr="00461C16" w:rsidRDefault="00285E35"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Změny využití území nesmí snižovat, likvidovat či znehodnocovat existující krajinářské hodnoty.</w:t>
      </w:r>
    </w:p>
    <w:p w14:paraId="1819157E"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91.</w:t>
      </w:r>
    </w:p>
    <w:p w14:paraId="155A3308" w14:textId="77777777" w:rsidR="00F7709A" w:rsidRPr="00461C16" w:rsidRDefault="00F7709A" w:rsidP="00864B7A">
      <w:pPr>
        <w:pStyle w:val="BodyText"/>
        <w:spacing w:before="240" w:after="120"/>
        <w:rPr>
          <w:sz w:val="22"/>
          <w:szCs w:val="22"/>
          <w:u w:val="single"/>
        </w:rPr>
      </w:pPr>
      <w:r w:rsidRPr="00461C16">
        <w:rPr>
          <w:sz w:val="22"/>
          <w:szCs w:val="22"/>
          <w:u w:val="single"/>
          <w:shd w:val="clear" w:color="auto" w:fill="FFFFFF"/>
        </w:rPr>
        <w:lastRenderedPageBreak/>
        <w:t>Lesní krajiny</w:t>
      </w:r>
    </w:p>
    <w:p w14:paraId="40646C7C" w14:textId="77777777" w:rsidR="007476F6" w:rsidRPr="00461C16" w:rsidRDefault="00864B7A"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Zajisti</w:t>
      </w:r>
      <w:r w:rsidR="00285E35" w:rsidRPr="00461C16">
        <w:rPr>
          <w:lang w:eastAsia="cs-CZ"/>
        </w:rPr>
        <w:t>t zachování a ochranu přírodních a krajinářských hodnot, produkčních i mimoprodukčních funkcí lesů.</w:t>
      </w:r>
    </w:p>
    <w:p w14:paraId="67A29BD3"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92.</w:t>
      </w:r>
    </w:p>
    <w:p w14:paraId="6440D221" w14:textId="77777777" w:rsidR="007476F6" w:rsidRPr="00461C16" w:rsidRDefault="007476F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Minimalizovat zábory PUPFL.</w:t>
      </w:r>
    </w:p>
    <w:p w14:paraId="25CA2C15"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93.</w:t>
      </w:r>
    </w:p>
    <w:p w14:paraId="5809F147" w14:textId="77777777" w:rsidR="007476F6" w:rsidRPr="00461C16" w:rsidRDefault="007476F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Regul</w:t>
      </w:r>
      <w:r w:rsidR="00864B7A" w:rsidRPr="00461C16">
        <w:rPr>
          <w:lang w:eastAsia="cs-CZ"/>
        </w:rPr>
        <w:t>ovat</w:t>
      </w:r>
      <w:r w:rsidRPr="00461C16">
        <w:rPr>
          <w:lang w:eastAsia="cs-CZ"/>
        </w:rPr>
        <w:t xml:space="preserve"> zátěž</w:t>
      </w:r>
      <w:r w:rsidR="00864B7A" w:rsidRPr="00461C16">
        <w:rPr>
          <w:lang w:eastAsia="cs-CZ"/>
        </w:rPr>
        <w:t>e</w:t>
      </w:r>
      <w:r w:rsidRPr="00461C16">
        <w:rPr>
          <w:lang w:eastAsia="cs-CZ"/>
        </w:rPr>
        <w:t xml:space="preserve"> území intenzivními formami rekreace a cestovního ruchu. </w:t>
      </w:r>
    </w:p>
    <w:p w14:paraId="107A0DDB"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94.</w:t>
      </w:r>
    </w:p>
    <w:p w14:paraId="357254F7" w14:textId="77777777" w:rsidR="007476F6" w:rsidRPr="00461C16" w:rsidRDefault="007476F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Vytvořit územní podmínky pro stabilitu ploch porostů. </w:t>
      </w:r>
    </w:p>
    <w:p w14:paraId="7E32495D"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w:t>
      </w:r>
      <w:r w:rsidR="00F77F07" w:rsidRPr="00461C16">
        <w:rPr>
          <w:i/>
          <w:sz w:val="22"/>
          <w:szCs w:val="22"/>
          <w:shd w:val="clear" w:color="auto" w:fill="FFFFFF"/>
        </w:rPr>
        <w:t>9</w:t>
      </w:r>
      <w:r w:rsidRPr="00461C16">
        <w:rPr>
          <w:i/>
          <w:sz w:val="22"/>
          <w:szCs w:val="22"/>
          <w:shd w:val="clear" w:color="auto" w:fill="FFFFFF"/>
        </w:rPr>
        <w:t>6</w:t>
      </w:r>
      <w:r w:rsidR="00F77F07" w:rsidRPr="00461C16">
        <w:rPr>
          <w:i/>
          <w:sz w:val="22"/>
          <w:szCs w:val="22"/>
          <w:shd w:val="clear" w:color="auto" w:fill="FFFFFF"/>
        </w:rPr>
        <w:t>.</w:t>
      </w:r>
    </w:p>
    <w:p w14:paraId="6A35797B" w14:textId="77777777" w:rsidR="007476F6" w:rsidRPr="00461C16" w:rsidRDefault="007476F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Zábory PUPFL v souvislostech s rozvojem území omezovat pouze na míru nezbytnou. </w:t>
      </w:r>
    </w:p>
    <w:p w14:paraId="208257E6" w14:textId="77777777" w:rsidR="00F77F07" w:rsidRPr="00461C16" w:rsidRDefault="00314C5F" w:rsidP="00F77F07">
      <w:pPr>
        <w:pStyle w:val="BodyText"/>
        <w:spacing w:before="120" w:after="120"/>
        <w:rPr>
          <w:i/>
          <w:sz w:val="22"/>
          <w:szCs w:val="22"/>
        </w:rPr>
      </w:pPr>
      <w:r w:rsidRPr="00461C16">
        <w:rPr>
          <w:i/>
          <w:sz w:val="22"/>
          <w:szCs w:val="22"/>
          <w:shd w:val="clear" w:color="auto" w:fill="FFFFFF"/>
        </w:rPr>
        <w:t>Viz kap. 1.2.9 Cílové charakteristiky krajiny – vyhodnocení požadavku č. 193.</w:t>
      </w:r>
    </w:p>
    <w:p w14:paraId="4372E1D4" w14:textId="77777777" w:rsidR="007F3676" w:rsidRPr="00461C16" w:rsidRDefault="007476F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Vytvořit územní podmínky pro regulované rekreační využívání vymezených prostorů.</w:t>
      </w:r>
    </w:p>
    <w:p w14:paraId="294E629A" w14:textId="77777777" w:rsidR="007225A2" w:rsidRPr="00461C16" w:rsidRDefault="00314C5F" w:rsidP="007225A2">
      <w:pPr>
        <w:pStyle w:val="BodyText"/>
        <w:spacing w:before="120" w:after="120"/>
        <w:rPr>
          <w:i/>
          <w:color w:val="000000"/>
          <w:sz w:val="22"/>
          <w:szCs w:val="22"/>
          <w:shd w:val="clear" w:color="auto" w:fill="FFFFFF"/>
        </w:rPr>
      </w:pPr>
      <w:r w:rsidRPr="00461C16">
        <w:rPr>
          <w:i/>
          <w:sz w:val="22"/>
          <w:szCs w:val="22"/>
          <w:shd w:val="clear" w:color="auto" w:fill="FFFFFF"/>
        </w:rPr>
        <w:t>Viz kap. 1.2.9 Cílové charakteristiky krajiny – vyhodnocení požadavku č. 194.</w:t>
      </w:r>
    </w:p>
    <w:p w14:paraId="3F296697" w14:textId="77777777" w:rsidR="00864B7A" w:rsidRPr="00461C16" w:rsidRDefault="00864B7A" w:rsidP="00864B7A">
      <w:pPr>
        <w:pStyle w:val="BodyText"/>
        <w:spacing w:before="240" w:after="120"/>
        <w:rPr>
          <w:sz w:val="22"/>
          <w:szCs w:val="22"/>
          <w:u w:val="single"/>
        </w:rPr>
      </w:pPr>
      <w:r w:rsidRPr="00461C16">
        <w:rPr>
          <w:color w:val="000000"/>
          <w:sz w:val="22"/>
          <w:szCs w:val="22"/>
          <w:u w:val="single"/>
          <w:shd w:val="clear" w:color="auto" w:fill="FFFFFF"/>
        </w:rPr>
        <w:t>Lesozemědělské krajiny</w:t>
      </w:r>
    </w:p>
    <w:p w14:paraId="325194FC" w14:textId="77777777" w:rsidR="007F3676" w:rsidRPr="00461C16" w:rsidRDefault="007F367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Využívání složek půdního fondu v souladu s principy udržitelného rozvoje území. </w:t>
      </w:r>
    </w:p>
    <w:p w14:paraId="7ECD511F" w14:textId="77777777" w:rsidR="00314C5F" w:rsidRPr="00461C16" w:rsidRDefault="00314C5F" w:rsidP="00314C5F">
      <w:pPr>
        <w:pStyle w:val="BodyText"/>
        <w:spacing w:before="120" w:after="120"/>
        <w:rPr>
          <w:i/>
          <w:sz w:val="22"/>
          <w:szCs w:val="22"/>
        </w:rPr>
      </w:pPr>
      <w:r w:rsidRPr="00461C16">
        <w:rPr>
          <w:i/>
          <w:sz w:val="22"/>
          <w:szCs w:val="22"/>
          <w:shd w:val="clear" w:color="auto" w:fill="FFFFFF"/>
        </w:rPr>
        <w:t>Viz kap. 1.2.9 Cílové charakteristiky krajiny – vyhodnocení požadavku č. 199.</w:t>
      </w:r>
    </w:p>
    <w:p w14:paraId="25AE20B4" w14:textId="77777777" w:rsidR="007F3676" w:rsidRPr="00461C16" w:rsidRDefault="007F367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Respektování sídelní struktury, její přírodní a urbanistické hodnoty. </w:t>
      </w:r>
    </w:p>
    <w:p w14:paraId="24295868" w14:textId="77777777" w:rsidR="00314C5F" w:rsidRPr="00461C16" w:rsidRDefault="00314C5F" w:rsidP="00314C5F">
      <w:pPr>
        <w:pStyle w:val="BodyText"/>
        <w:spacing w:before="120" w:after="120"/>
        <w:rPr>
          <w:i/>
          <w:sz w:val="22"/>
          <w:szCs w:val="22"/>
        </w:rPr>
      </w:pPr>
      <w:r w:rsidRPr="00461C16">
        <w:rPr>
          <w:i/>
          <w:sz w:val="22"/>
          <w:szCs w:val="22"/>
          <w:shd w:val="clear" w:color="auto" w:fill="FFFFFF"/>
        </w:rPr>
        <w:t>Viz kap. 1.2.9 Cílové charakteristiky krajiny – vyhodnocení požadavku č. 200.</w:t>
      </w:r>
    </w:p>
    <w:p w14:paraId="61315E67" w14:textId="77777777" w:rsidR="007F3676" w:rsidRPr="00461C16" w:rsidRDefault="007F367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Zachování případně obnova harmonického vztahu sídel a volné krajiny – respektování přírodních i urbanistických hodnot. </w:t>
      </w:r>
    </w:p>
    <w:p w14:paraId="3DFF8057" w14:textId="77777777" w:rsidR="007225A2" w:rsidRPr="00461C16" w:rsidRDefault="00523766" w:rsidP="007225A2">
      <w:pPr>
        <w:pStyle w:val="BodyText"/>
        <w:spacing w:before="120" w:after="120"/>
        <w:rPr>
          <w:i/>
          <w:sz w:val="22"/>
          <w:szCs w:val="22"/>
        </w:rPr>
      </w:pPr>
      <w:r w:rsidRPr="00461C16">
        <w:rPr>
          <w:i/>
          <w:color w:val="000000"/>
          <w:sz w:val="22"/>
          <w:szCs w:val="22"/>
          <w:shd w:val="clear" w:color="auto" w:fill="FFFFFF"/>
        </w:rPr>
        <w:t xml:space="preserve">viz kap. 1.2.9. Cílové charakteristiky krajiny – vyhodnocení požadavku č. </w:t>
      </w:r>
      <w:r w:rsidR="00314C5F" w:rsidRPr="00461C16">
        <w:rPr>
          <w:i/>
          <w:color w:val="000000"/>
          <w:sz w:val="22"/>
          <w:szCs w:val="22"/>
          <w:shd w:val="clear" w:color="auto" w:fill="FFFFFF"/>
        </w:rPr>
        <w:t>201.</w:t>
      </w:r>
    </w:p>
    <w:p w14:paraId="0DEB6B2A" w14:textId="77777777" w:rsidR="007F3676" w:rsidRPr="00461C16" w:rsidRDefault="007F367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Ochrana významných a dominantních prvků vzrostlé nelesní zeleně v sídlech i ve volné krajině. </w:t>
      </w:r>
    </w:p>
    <w:p w14:paraId="1B7AF0C5"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202.</w:t>
      </w:r>
    </w:p>
    <w:p w14:paraId="5673661E" w14:textId="77777777" w:rsidR="007F3676" w:rsidRPr="00461C16" w:rsidRDefault="007F367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Změny využití území nesmí narušit relativní vyváženost kulturní krajiny nebo zabránit dosažení vyváženého stavu. </w:t>
      </w:r>
    </w:p>
    <w:p w14:paraId="242181B7"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203.</w:t>
      </w:r>
    </w:p>
    <w:p w14:paraId="347A03C7" w14:textId="77777777" w:rsidR="001258F2" w:rsidRPr="00461C16" w:rsidRDefault="007F367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w:t>
      </w:r>
      <w:r w:rsidR="001258F2" w:rsidRPr="00461C16">
        <w:rPr>
          <w:lang w:eastAsia="cs-CZ"/>
        </w:rPr>
        <w:t xml:space="preserve">tvářet podmínky pro obnovu přirozeného vodního režimu na v minulosti nevhodně meliorovaných zemědělských pozemcích nebo na plochách s nefunkčním systémem odvodnění. </w:t>
      </w:r>
    </w:p>
    <w:p w14:paraId="47EFA8E8"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204.</w:t>
      </w:r>
    </w:p>
    <w:p w14:paraId="502FAE49" w14:textId="77777777" w:rsidR="001258F2" w:rsidRPr="00461C16"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Vytvářet podmínky pro územní rozvoj v harmonickém vztahu sídelní struktury a volné krajiny. </w:t>
      </w:r>
    </w:p>
    <w:p w14:paraId="503E16D6"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201.</w:t>
      </w:r>
    </w:p>
    <w:p w14:paraId="78FEF44B" w14:textId="77777777" w:rsidR="001258F2" w:rsidRPr="00461C16"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Nezakládat nová odloučená sídla ve volné krajině. </w:t>
      </w:r>
    </w:p>
    <w:p w14:paraId="67EED84E" w14:textId="77777777" w:rsidR="007225A2" w:rsidRPr="00461C16" w:rsidRDefault="00314C5F" w:rsidP="007225A2">
      <w:pPr>
        <w:pStyle w:val="BodyText"/>
        <w:spacing w:before="120" w:after="120"/>
        <w:rPr>
          <w:i/>
          <w:color w:val="000000"/>
          <w:sz w:val="22"/>
          <w:szCs w:val="22"/>
          <w:shd w:val="clear" w:color="auto" w:fill="FFFFFF"/>
        </w:rPr>
      </w:pPr>
      <w:r w:rsidRPr="00461C16">
        <w:rPr>
          <w:i/>
          <w:color w:val="000000"/>
          <w:sz w:val="22"/>
          <w:szCs w:val="22"/>
          <w:shd w:val="clear" w:color="auto" w:fill="FFFFFF"/>
        </w:rPr>
        <w:t>V</w:t>
      </w:r>
      <w:r w:rsidR="00FD16D2" w:rsidRPr="00461C16">
        <w:rPr>
          <w:i/>
          <w:color w:val="000000"/>
          <w:sz w:val="22"/>
          <w:szCs w:val="22"/>
          <w:shd w:val="clear" w:color="auto" w:fill="FFFFFF"/>
        </w:rPr>
        <w:t xml:space="preserve">iz kap. 1.2.9. Cílové charakteristiky krajiny – vyhodnocení požadavku č. </w:t>
      </w:r>
      <w:r w:rsidRPr="00461C16">
        <w:rPr>
          <w:i/>
          <w:color w:val="000000"/>
          <w:sz w:val="22"/>
          <w:szCs w:val="22"/>
          <w:shd w:val="clear" w:color="auto" w:fill="FFFFFF"/>
        </w:rPr>
        <w:t>206.</w:t>
      </w:r>
    </w:p>
    <w:p w14:paraId="50ED1A4D" w14:textId="77777777" w:rsidR="00864B7A" w:rsidRPr="00461C16" w:rsidRDefault="00864B7A" w:rsidP="00864B7A">
      <w:pPr>
        <w:pStyle w:val="BodyText"/>
        <w:spacing w:before="240" w:after="120"/>
        <w:rPr>
          <w:sz w:val="22"/>
          <w:szCs w:val="22"/>
          <w:u w:val="single"/>
        </w:rPr>
      </w:pPr>
      <w:r w:rsidRPr="00461C16">
        <w:rPr>
          <w:color w:val="000000"/>
          <w:sz w:val="22"/>
          <w:szCs w:val="22"/>
          <w:u w:val="single"/>
          <w:shd w:val="clear" w:color="auto" w:fill="FFFFFF"/>
        </w:rPr>
        <w:t>Zemědělské krajiny</w:t>
      </w:r>
    </w:p>
    <w:p w14:paraId="3316E061" w14:textId="77777777" w:rsidR="001258F2" w:rsidRPr="00461C16"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Využívat půdní fond pro zemědělské hospodaření v souladu s principy udržitelného rozvoje území. </w:t>
      </w:r>
    </w:p>
    <w:p w14:paraId="0FAAAC01"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207.</w:t>
      </w:r>
    </w:p>
    <w:p w14:paraId="21954FC6" w14:textId="77777777" w:rsidR="001258F2" w:rsidRPr="00461C16"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 xml:space="preserve">Respektovat urbanistické struktury sídel, chránit zemědělský půdní fond před urbanizační expanzí. </w:t>
      </w:r>
    </w:p>
    <w:p w14:paraId="78221540"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208.</w:t>
      </w:r>
    </w:p>
    <w:p w14:paraId="4E962C8A" w14:textId="77777777" w:rsidR="001258F2" w:rsidRPr="00461C16"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Vhodným a ú</w:t>
      </w:r>
      <w:r w:rsidRPr="00461C16">
        <w:rPr>
          <w:rFonts w:cs="TimesNewRoman"/>
          <w:lang w:eastAsia="cs-CZ"/>
        </w:rPr>
        <w:t>č</w:t>
      </w:r>
      <w:r w:rsidRPr="00461C16">
        <w:rPr>
          <w:lang w:eastAsia="cs-CZ"/>
        </w:rPr>
        <w:t>elným roz</w:t>
      </w:r>
      <w:r w:rsidRPr="00461C16">
        <w:rPr>
          <w:rFonts w:cs="TimesNewRoman"/>
          <w:lang w:eastAsia="cs-CZ"/>
        </w:rPr>
        <w:t>č</w:t>
      </w:r>
      <w:r w:rsidRPr="00461C16">
        <w:rPr>
          <w:lang w:eastAsia="cs-CZ"/>
        </w:rPr>
        <w:t>le</w:t>
      </w:r>
      <w:r w:rsidRPr="00461C16">
        <w:rPr>
          <w:rFonts w:cs="TimesNewRoman"/>
          <w:lang w:eastAsia="cs-CZ"/>
        </w:rPr>
        <w:t>ň</w:t>
      </w:r>
      <w:r w:rsidRPr="00461C16">
        <w:rPr>
          <w:lang w:eastAsia="cs-CZ"/>
        </w:rPr>
        <w:t>ováním nadm</w:t>
      </w:r>
      <w:r w:rsidRPr="00461C16">
        <w:rPr>
          <w:rFonts w:cs="TimesNewRoman"/>
          <w:lang w:eastAsia="cs-CZ"/>
        </w:rPr>
        <w:t>ě</w:t>
      </w:r>
      <w:r w:rsidRPr="00461C16">
        <w:rPr>
          <w:lang w:eastAsia="cs-CZ"/>
        </w:rPr>
        <w:t>rn</w:t>
      </w:r>
      <w:r w:rsidRPr="00461C16">
        <w:rPr>
          <w:rFonts w:cs="TimesNewRoman"/>
          <w:lang w:eastAsia="cs-CZ"/>
        </w:rPr>
        <w:t xml:space="preserve">ě </w:t>
      </w:r>
      <w:r w:rsidRPr="00461C16">
        <w:rPr>
          <w:lang w:eastAsia="cs-CZ"/>
        </w:rPr>
        <w:t>scelených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lských ploch (remízy a doprovodné linie podél silnic a ú</w:t>
      </w:r>
      <w:r w:rsidRPr="00461C16">
        <w:rPr>
          <w:rFonts w:cs="TimesNewRoman"/>
          <w:lang w:eastAsia="cs-CZ"/>
        </w:rPr>
        <w:t>č</w:t>
      </w:r>
      <w:r w:rsidRPr="00461C16">
        <w:rPr>
          <w:lang w:eastAsia="cs-CZ"/>
        </w:rPr>
        <w:t>elových cest) zvyšovat krajinnou hodnotu, a ekologickou stabilitu a protipovod</w:t>
      </w:r>
      <w:r w:rsidRPr="00461C16">
        <w:rPr>
          <w:rFonts w:cs="TimesNewRoman"/>
          <w:lang w:eastAsia="cs-CZ"/>
        </w:rPr>
        <w:t>ň</w:t>
      </w:r>
      <w:r w:rsidRPr="00461C16">
        <w:rPr>
          <w:lang w:eastAsia="cs-CZ"/>
        </w:rPr>
        <w:t>ovou ochranu území.</w:t>
      </w:r>
      <w:r w:rsidR="00B345B4" w:rsidRPr="00461C16">
        <w:rPr>
          <w:lang w:eastAsia="cs-CZ"/>
        </w:rPr>
        <w:t xml:space="preserve"> </w:t>
      </w:r>
    </w:p>
    <w:p w14:paraId="7237805F"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210.</w:t>
      </w:r>
    </w:p>
    <w:p w14:paraId="5644BF56" w14:textId="77777777" w:rsidR="001258F2" w:rsidRPr="00461C16"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w:t>
      </w:r>
      <w:r w:rsidRPr="00461C16">
        <w:rPr>
          <w:rFonts w:cs="TimesNewRoman"/>
          <w:lang w:eastAsia="cs-CZ"/>
        </w:rPr>
        <w:t>ř</w:t>
      </w:r>
      <w:r w:rsidRPr="00461C16">
        <w:rPr>
          <w:lang w:eastAsia="cs-CZ"/>
        </w:rPr>
        <w:t>et podmínky pro obnovu p</w:t>
      </w:r>
      <w:r w:rsidRPr="00461C16">
        <w:rPr>
          <w:rFonts w:cs="TimesNewRoman"/>
          <w:lang w:eastAsia="cs-CZ"/>
        </w:rPr>
        <w:t>ř</w:t>
      </w:r>
      <w:r w:rsidRPr="00461C16">
        <w:rPr>
          <w:lang w:eastAsia="cs-CZ"/>
        </w:rPr>
        <w:t>irozeného vodního režimu na v minulosti nevhodn</w:t>
      </w:r>
      <w:r w:rsidRPr="00461C16">
        <w:rPr>
          <w:rFonts w:cs="TimesNewRoman"/>
          <w:lang w:eastAsia="cs-CZ"/>
        </w:rPr>
        <w:t xml:space="preserve">ě </w:t>
      </w:r>
      <w:r w:rsidRPr="00461C16">
        <w:rPr>
          <w:lang w:eastAsia="cs-CZ"/>
        </w:rPr>
        <w:t>meliorovaných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lských pozemcích nebo na plochách s nefunk</w:t>
      </w:r>
      <w:r w:rsidRPr="00461C16">
        <w:rPr>
          <w:rFonts w:cs="TimesNewRoman"/>
          <w:lang w:eastAsia="cs-CZ"/>
        </w:rPr>
        <w:t>č</w:t>
      </w:r>
      <w:r w:rsidRPr="00461C16">
        <w:rPr>
          <w:lang w:eastAsia="cs-CZ"/>
        </w:rPr>
        <w:t>ním systémem odvodn</w:t>
      </w:r>
      <w:r w:rsidRPr="00461C16">
        <w:rPr>
          <w:rFonts w:cs="TimesNewRoman"/>
          <w:lang w:eastAsia="cs-CZ"/>
        </w:rPr>
        <w:t>ě</w:t>
      </w:r>
      <w:r w:rsidRPr="00461C16">
        <w:rPr>
          <w:lang w:eastAsia="cs-CZ"/>
        </w:rPr>
        <w:t>ní.</w:t>
      </w:r>
    </w:p>
    <w:p w14:paraId="266D25C7" w14:textId="77777777" w:rsidR="007225A2" w:rsidRPr="00461C16" w:rsidRDefault="00314C5F" w:rsidP="007225A2">
      <w:pPr>
        <w:pStyle w:val="BodyText"/>
        <w:spacing w:before="120" w:after="120"/>
        <w:rPr>
          <w:i/>
          <w:sz w:val="22"/>
          <w:szCs w:val="22"/>
        </w:rPr>
      </w:pPr>
      <w:r w:rsidRPr="00461C16">
        <w:rPr>
          <w:i/>
          <w:sz w:val="22"/>
          <w:szCs w:val="22"/>
          <w:shd w:val="clear" w:color="auto" w:fill="FFFFFF"/>
        </w:rPr>
        <w:t>Viz kap. 1.2.9 Cílové charakteristiky krajiny – vyhodnocení požadavku č. 204.</w:t>
      </w:r>
    </w:p>
    <w:p w14:paraId="444F0D79" w14:textId="77777777" w:rsidR="001258F2" w:rsidRPr="00461C16" w:rsidRDefault="008F4C1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N</w:t>
      </w:r>
      <w:r w:rsidR="001258F2" w:rsidRPr="00461C16">
        <w:rPr>
          <w:lang w:eastAsia="cs-CZ"/>
        </w:rPr>
        <w:t>ezakládat nová odloučená sídla ve volné krajině.</w:t>
      </w:r>
    </w:p>
    <w:p w14:paraId="27C4AE0E" w14:textId="77777777" w:rsidR="008F4C19" w:rsidRPr="00461C16" w:rsidRDefault="00314C5F" w:rsidP="008F4C19">
      <w:pPr>
        <w:autoSpaceDE w:val="0"/>
        <w:autoSpaceDN w:val="0"/>
        <w:adjustRightInd w:val="0"/>
        <w:spacing w:before="120" w:line="240" w:lineRule="auto"/>
        <w:rPr>
          <w:i/>
          <w:lang w:eastAsia="cs-CZ"/>
        </w:rPr>
      </w:pPr>
      <w:r w:rsidRPr="00461C16">
        <w:rPr>
          <w:i/>
          <w:color w:val="000000"/>
          <w:shd w:val="clear" w:color="auto" w:fill="FFFFFF"/>
        </w:rPr>
        <w:t>V</w:t>
      </w:r>
      <w:r w:rsidR="00864B7A" w:rsidRPr="00461C16">
        <w:rPr>
          <w:i/>
          <w:color w:val="000000"/>
          <w:shd w:val="clear" w:color="auto" w:fill="FFFFFF"/>
        </w:rPr>
        <w:t xml:space="preserve">iz kap. 1.2.9. Cílové charakteristiky krajiny – vyhodnocení požadavku č. </w:t>
      </w:r>
      <w:r w:rsidRPr="00461C16">
        <w:rPr>
          <w:i/>
          <w:color w:val="000000"/>
          <w:shd w:val="clear" w:color="auto" w:fill="FFFFFF"/>
        </w:rPr>
        <w:t>206.</w:t>
      </w:r>
    </w:p>
    <w:p w14:paraId="3F56136C" w14:textId="77777777" w:rsidR="001258F2" w:rsidRPr="00461C16" w:rsidRDefault="001258F2" w:rsidP="00864B7A">
      <w:pPr>
        <w:autoSpaceDE w:val="0"/>
        <w:autoSpaceDN w:val="0"/>
        <w:adjustRightInd w:val="0"/>
        <w:spacing w:before="240" w:line="240" w:lineRule="auto"/>
        <w:rPr>
          <w:u w:val="single"/>
          <w:lang w:eastAsia="cs-CZ"/>
        </w:rPr>
      </w:pPr>
      <w:r w:rsidRPr="00461C16">
        <w:rPr>
          <w:u w:val="single"/>
          <w:lang w:eastAsia="cs-CZ"/>
        </w:rPr>
        <w:t>Požadavky nadmístního významu na koordinaci ÚPD obcí</w:t>
      </w:r>
    </w:p>
    <w:p w14:paraId="6433E2E2" w14:textId="77777777" w:rsidR="001258F2" w:rsidRPr="00461C16"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Při zpřesňování územního vymezení navržených ploch a koridorů ZÚR LK v ÚPD dotčených obcí respektovat úkoly pro územní plánování dle příslušnosti k jednotlivým kapitolám ZÚR LK. </w:t>
      </w:r>
    </w:p>
    <w:p w14:paraId="3593F156" w14:textId="77777777" w:rsidR="007225A2" w:rsidRPr="00461C16" w:rsidRDefault="00C641AC" w:rsidP="007225A2">
      <w:pPr>
        <w:pStyle w:val="BodyText"/>
        <w:spacing w:before="120" w:after="120"/>
        <w:rPr>
          <w:i/>
          <w:sz w:val="22"/>
          <w:szCs w:val="22"/>
        </w:rPr>
      </w:pPr>
      <w:r w:rsidRPr="00461C16">
        <w:rPr>
          <w:i/>
          <w:color w:val="000000"/>
          <w:sz w:val="22"/>
          <w:szCs w:val="22"/>
          <w:shd w:val="clear" w:color="auto" w:fill="FFFFFF"/>
        </w:rPr>
        <w:t>Viz kap. 1.2.</w:t>
      </w:r>
    </w:p>
    <w:p w14:paraId="079E460A" w14:textId="77777777" w:rsidR="001258F2" w:rsidRPr="00461C16"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Koordinaci ploch a koridorů VPS a VPO vymezených ZÚR LK (výkres č. 4: Výkres VPS, VPO a asanací nadmístního významu a kapitola G textové části) v ÚPD dotčených obcí zajistit v rozsahu viz. „VYMEZENÍ KORIDOR</w:t>
      </w:r>
      <w:r w:rsidRPr="00461C16">
        <w:rPr>
          <w:rFonts w:cs="TimesNewRoman"/>
          <w:lang w:eastAsia="cs-CZ"/>
        </w:rPr>
        <w:t xml:space="preserve">Ů </w:t>
      </w:r>
      <w:r w:rsidRPr="00461C16">
        <w:rPr>
          <w:lang w:eastAsia="cs-CZ"/>
        </w:rPr>
        <w:t>A PLOCH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ŠNÝCH STAVEB (VPS) A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ŠNÝCH OPAT</w:t>
      </w:r>
      <w:r w:rsidRPr="00461C16">
        <w:rPr>
          <w:rFonts w:cs="TimesNewRoman"/>
          <w:lang w:eastAsia="cs-CZ"/>
        </w:rPr>
        <w:t>Ř</w:t>
      </w:r>
      <w:r w:rsidRPr="00461C16">
        <w:rPr>
          <w:lang w:eastAsia="cs-CZ"/>
        </w:rPr>
        <w:t>ENÍ (VPO)“</w:t>
      </w:r>
    </w:p>
    <w:p w14:paraId="5DF1A048" w14:textId="77777777" w:rsidR="007225A2" w:rsidRPr="00461C16" w:rsidRDefault="00C641AC" w:rsidP="007225A2">
      <w:pPr>
        <w:pStyle w:val="BodyText"/>
        <w:spacing w:before="120" w:after="120"/>
        <w:rPr>
          <w:i/>
          <w:sz w:val="22"/>
          <w:szCs w:val="22"/>
        </w:rPr>
      </w:pPr>
      <w:r w:rsidRPr="00461C16">
        <w:rPr>
          <w:i/>
          <w:color w:val="000000"/>
          <w:sz w:val="22"/>
          <w:szCs w:val="22"/>
          <w:shd w:val="clear" w:color="auto" w:fill="FFFFFF"/>
        </w:rPr>
        <w:t>ÚP respektuje koordinaci ploch a koridorů VPS a VPO vymezených ZÚR Libereckého kraje.</w:t>
      </w:r>
    </w:p>
    <w:p w14:paraId="199EE245" w14:textId="77777777" w:rsidR="001258F2" w:rsidRPr="00F02309" w:rsidRDefault="00125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Koordinaci dalších ploch a </w:t>
      </w:r>
      <w:r w:rsidRPr="00F02309">
        <w:rPr>
          <w:lang w:eastAsia="cs-CZ"/>
        </w:rPr>
        <w:t>koridor</w:t>
      </w:r>
      <w:r w:rsidRPr="00F02309">
        <w:rPr>
          <w:rFonts w:cs="TimesNewRoman"/>
          <w:lang w:eastAsia="cs-CZ"/>
        </w:rPr>
        <w:t xml:space="preserve">ů </w:t>
      </w:r>
      <w:r w:rsidRPr="00F02309">
        <w:rPr>
          <w:lang w:eastAsia="cs-CZ"/>
        </w:rPr>
        <w:t xml:space="preserve">vymezených ZÚR LK (výkres </w:t>
      </w:r>
      <w:r w:rsidRPr="00F02309">
        <w:rPr>
          <w:rFonts w:cs="TimesNewRoman"/>
          <w:lang w:eastAsia="cs-CZ"/>
        </w:rPr>
        <w:t>č</w:t>
      </w:r>
      <w:r w:rsidRPr="00F02309">
        <w:rPr>
          <w:lang w:eastAsia="cs-CZ"/>
        </w:rPr>
        <w:t>.</w:t>
      </w:r>
      <w:r w:rsidR="0063654B" w:rsidRPr="00F02309">
        <w:rPr>
          <w:lang w:eastAsia="cs-CZ"/>
        </w:rPr>
        <w:t xml:space="preserve"> </w:t>
      </w:r>
      <w:r w:rsidRPr="00F02309">
        <w:rPr>
          <w:lang w:eastAsia="cs-CZ"/>
        </w:rPr>
        <w:t>2: Výkres ploch a koridor</w:t>
      </w:r>
      <w:r w:rsidRPr="00F02309">
        <w:rPr>
          <w:rFonts w:cs="TimesNewRoman"/>
          <w:lang w:eastAsia="cs-CZ"/>
        </w:rPr>
        <w:t xml:space="preserve">ů </w:t>
      </w:r>
      <w:r w:rsidRPr="00F02309">
        <w:rPr>
          <w:lang w:eastAsia="cs-CZ"/>
        </w:rPr>
        <w:t>nadmístního významu, v</w:t>
      </w:r>
      <w:r w:rsidRPr="00F02309">
        <w:rPr>
          <w:rFonts w:cs="TimesNewRoman"/>
          <w:lang w:eastAsia="cs-CZ"/>
        </w:rPr>
        <w:t>č</w:t>
      </w:r>
      <w:r w:rsidRPr="00F02309">
        <w:rPr>
          <w:lang w:eastAsia="cs-CZ"/>
        </w:rPr>
        <w:t>etn</w:t>
      </w:r>
      <w:r w:rsidRPr="00F02309">
        <w:rPr>
          <w:rFonts w:cs="TimesNewRoman"/>
          <w:lang w:eastAsia="cs-CZ"/>
        </w:rPr>
        <w:t xml:space="preserve">ě </w:t>
      </w:r>
      <w:r w:rsidRPr="00F02309">
        <w:rPr>
          <w:lang w:eastAsia="cs-CZ"/>
        </w:rPr>
        <w:t xml:space="preserve">ÚSES), které mají význam </w:t>
      </w:r>
      <w:r w:rsidRPr="00F02309">
        <w:rPr>
          <w:bCs/>
          <w:lang w:eastAsia="cs-CZ"/>
        </w:rPr>
        <w:t xml:space="preserve">územní rezervy </w:t>
      </w:r>
      <w:r w:rsidRPr="00F02309">
        <w:rPr>
          <w:lang w:eastAsia="cs-CZ"/>
        </w:rPr>
        <w:t>a nejsou p</w:t>
      </w:r>
      <w:r w:rsidRPr="00F02309">
        <w:rPr>
          <w:rFonts w:cs="TimesNewRoman"/>
          <w:lang w:eastAsia="cs-CZ"/>
        </w:rPr>
        <w:t>ř</w:t>
      </w:r>
      <w:r w:rsidRPr="00F02309">
        <w:rPr>
          <w:lang w:eastAsia="cs-CZ"/>
        </w:rPr>
        <w:t>edm</w:t>
      </w:r>
      <w:r w:rsidRPr="00F02309">
        <w:rPr>
          <w:rFonts w:cs="TimesNewRoman"/>
          <w:lang w:eastAsia="cs-CZ"/>
        </w:rPr>
        <w:t>ě</w:t>
      </w:r>
      <w:r w:rsidRPr="00F02309">
        <w:rPr>
          <w:lang w:eastAsia="cs-CZ"/>
        </w:rPr>
        <w:t>tem vý</w:t>
      </w:r>
      <w:r w:rsidRPr="00F02309">
        <w:rPr>
          <w:rFonts w:cs="TimesNewRoman"/>
          <w:lang w:eastAsia="cs-CZ"/>
        </w:rPr>
        <w:t>č</w:t>
      </w:r>
      <w:r w:rsidRPr="00F02309">
        <w:rPr>
          <w:lang w:eastAsia="cs-CZ"/>
        </w:rPr>
        <w:t xml:space="preserve">tu VPS a VPO, zajistit v rozsahu: </w:t>
      </w:r>
      <w:r w:rsidRPr="00F02309">
        <w:rPr>
          <w:bCs/>
          <w:lang w:eastAsia="cs-CZ"/>
        </w:rPr>
        <w:t>SILNI</w:t>
      </w:r>
      <w:r w:rsidRPr="00F02309">
        <w:rPr>
          <w:rFonts w:cs="TimesNewRoman,Bold"/>
          <w:bCs/>
          <w:lang w:eastAsia="cs-CZ"/>
        </w:rPr>
        <w:t>Č</w:t>
      </w:r>
      <w:r w:rsidRPr="00F02309">
        <w:rPr>
          <w:bCs/>
          <w:lang w:eastAsia="cs-CZ"/>
        </w:rPr>
        <w:t xml:space="preserve">NÍ DOPRAVA – KORIDORY MEZINÁRODNÍHO VÝZNAMU D33A - </w:t>
      </w:r>
      <w:r w:rsidRPr="00F02309">
        <w:rPr>
          <w:lang w:eastAsia="cs-CZ"/>
        </w:rPr>
        <w:t>železni</w:t>
      </w:r>
      <w:r w:rsidRPr="00F02309">
        <w:rPr>
          <w:rFonts w:cs="TimesNewRoman"/>
          <w:lang w:eastAsia="cs-CZ"/>
        </w:rPr>
        <w:t>č</w:t>
      </w:r>
      <w:r w:rsidRPr="00F02309">
        <w:rPr>
          <w:lang w:eastAsia="cs-CZ"/>
        </w:rPr>
        <w:t xml:space="preserve">ní spojení Liberec - </w:t>
      </w:r>
      <w:r w:rsidRPr="00F02309">
        <w:rPr>
          <w:rFonts w:cs="TimesNewRoman"/>
          <w:lang w:eastAsia="cs-CZ"/>
        </w:rPr>
        <w:t>Č</w:t>
      </w:r>
      <w:r w:rsidRPr="00F02309">
        <w:rPr>
          <w:lang w:eastAsia="cs-CZ"/>
        </w:rPr>
        <w:t xml:space="preserve">eská Lípa, úsek Bílý Kostel nad Nisou - Rynoltice, variantní </w:t>
      </w:r>
      <w:r w:rsidRPr="00F02309">
        <w:rPr>
          <w:rFonts w:cs="TimesNewRoman"/>
          <w:lang w:eastAsia="cs-CZ"/>
        </w:rPr>
        <w:t>ř</w:t>
      </w:r>
      <w:r w:rsidRPr="00F02309">
        <w:rPr>
          <w:lang w:eastAsia="cs-CZ"/>
        </w:rPr>
        <w:t>ešení.</w:t>
      </w:r>
    </w:p>
    <w:p w14:paraId="7F5B2B0F" w14:textId="77777777" w:rsidR="008F4C19" w:rsidRPr="00461C16" w:rsidRDefault="00C641AC" w:rsidP="00C641AC">
      <w:pPr>
        <w:pStyle w:val="BodyText"/>
        <w:spacing w:before="120" w:after="120"/>
        <w:rPr>
          <w:i/>
          <w:color w:val="000000"/>
          <w:sz w:val="22"/>
          <w:szCs w:val="22"/>
          <w:shd w:val="clear" w:color="auto" w:fill="FFFFFF"/>
        </w:rPr>
      </w:pPr>
      <w:r w:rsidRPr="00F02309">
        <w:rPr>
          <w:i/>
          <w:color w:val="000000"/>
          <w:sz w:val="22"/>
          <w:szCs w:val="22"/>
          <w:shd w:val="clear" w:color="auto" w:fill="FFFFFF"/>
        </w:rPr>
        <w:t xml:space="preserve">ÚP vymezuje v rámci správního území města Hrádek nad Nisou koridor územní rezervy </w:t>
      </w:r>
      <w:r w:rsidR="00F02309" w:rsidRPr="00F02309">
        <w:rPr>
          <w:i/>
          <w:color w:val="000000"/>
          <w:sz w:val="22"/>
          <w:szCs w:val="22"/>
          <w:shd w:val="clear" w:color="auto" w:fill="FFFFFF"/>
        </w:rPr>
        <w:t xml:space="preserve">R13 </w:t>
      </w:r>
      <w:r w:rsidRPr="00F02309">
        <w:rPr>
          <w:i/>
          <w:color w:val="000000"/>
          <w:sz w:val="22"/>
          <w:szCs w:val="22"/>
          <w:shd w:val="clear" w:color="auto" w:fill="FFFFFF"/>
        </w:rPr>
        <w:t>železniční dopravy pro budoucí prověření železničního spojení Liberec – Česká Lípa, úsek Bílý Kostel nad Nisou – Rynoltice (koridor D33A dle ZÚR Libereckého kraje).</w:t>
      </w:r>
      <w:r w:rsidR="00335BFF" w:rsidRPr="00461C16">
        <w:rPr>
          <w:i/>
          <w:color w:val="000000"/>
          <w:sz w:val="22"/>
          <w:szCs w:val="22"/>
          <w:shd w:val="clear" w:color="auto" w:fill="FFFFFF"/>
        </w:rPr>
        <w:t xml:space="preserve"> </w:t>
      </w:r>
    </w:p>
    <w:p w14:paraId="678FCEEA" w14:textId="77777777" w:rsidR="007138B5" w:rsidRPr="00461C16" w:rsidRDefault="001D258E" w:rsidP="00314C5F">
      <w:pPr>
        <w:pStyle w:val="Heading3"/>
      </w:pPr>
      <w:bookmarkStart w:id="61" w:name="_Toc36116260"/>
      <w:r w:rsidRPr="00461C16">
        <w:t xml:space="preserve">3.1.3 </w:t>
      </w:r>
      <w:r w:rsidR="007138B5" w:rsidRPr="00461C16">
        <w:t>Požadavky zohledňující koncepční rozvojové materiály</w:t>
      </w:r>
      <w:bookmarkEnd w:id="61"/>
    </w:p>
    <w:p w14:paraId="1301D994"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Strategii rozvoje Libereckého kraje,</w:t>
      </w:r>
    </w:p>
    <w:p w14:paraId="4904ABD3"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Program rozvoje Libereckého kraje,</w:t>
      </w:r>
    </w:p>
    <w:p w14:paraId="5340AC2C"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Strategii udržitelného rozvoje Libereckého kraje,</w:t>
      </w:r>
    </w:p>
    <w:p w14:paraId="7319EAC0"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Zadání Zásad územního rozvoje Libereckého kraje,</w:t>
      </w:r>
    </w:p>
    <w:p w14:paraId="444FAEA0"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Plán odpadového hospodá</w:t>
      </w:r>
      <w:r w:rsidRPr="00461C16">
        <w:rPr>
          <w:rFonts w:cs="TimesNewRoman"/>
          <w:lang w:eastAsia="cs-CZ"/>
        </w:rPr>
        <w:t>ř</w:t>
      </w:r>
      <w:r w:rsidRPr="00461C16">
        <w:rPr>
          <w:lang w:eastAsia="cs-CZ"/>
        </w:rPr>
        <w:t>ství Libereckého kraje,</w:t>
      </w:r>
    </w:p>
    <w:p w14:paraId="3FEB191A"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Plán rozvoje vodovod</w:t>
      </w:r>
      <w:r w:rsidRPr="00461C16">
        <w:rPr>
          <w:rFonts w:cs="TimesNewRoman"/>
          <w:lang w:eastAsia="cs-CZ"/>
        </w:rPr>
        <w:t xml:space="preserve">ů </w:t>
      </w:r>
      <w:r w:rsidRPr="00461C16">
        <w:rPr>
          <w:lang w:eastAsia="cs-CZ"/>
        </w:rPr>
        <w:t>a kanalizací Libereckého kraje,</w:t>
      </w:r>
    </w:p>
    <w:p w14:paraId="392EC047"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Územní energetickou koncepci Libereckého kraje,</w:t>
      </w:r>
    </w:p>
    <w:p w14:paraId="519348B8"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Krajskou koncepci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lství pro Liberecký kraj,</w:t>
      </w:r>
    </w:p>
    <w:p w14:paraId="1A59AE63"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Program rozvoje cestovního ruchu Libereckého kraje,</w:t>
      </w:r>
    </w:p>
    <w:p w14:paraId="7D83C2E2"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Koncepci ochrany p</w:t>
      </w:r>
      <w:r w:rsidRPr="00461C16">
        <w:rPr>
          <w:rFonts w:cs="TimesNewRoman"/>
          <w:lang w:eastAsia="cs-CZ"/>
        </w:rPr>
        <w:t>ř</w:t>
      </w:r>
      <w:r w:rsidRPr="00461C16">
        <w:rPr>
          <w:lang w:eastAsia="cs-CZ"/>
        </w:rPr>
        <w:t>írody a krajiny Libereckého kraje,</w:t>
      </w:r>
    </w:p>
    <w:p w14:paraId="42D85DC6"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Strategii rozvoje dopravní infrastruktury Libereckého kraje,</w:t>
      </w:r>
    </w:p>
    <w:p w14:paraId="01925092"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lastRenderedPageBreak/>
        <w:t>Koncepce rozvoje cestovního ruchu pro území M</w:t>
      </w:r>
      <w:r w:rsidRPr="00461C16">
        <w:rPr>
          <w:rFonts w:cs="TimesNewRoman"/>
          <w:lang w:eastAsia="cs-CZ"/>
        </w:rPr>
        <w:t>ě</w:t>
      </w:r>
      <w:r w:rsidRPr="00461C16">
        <w:rPr>
          <w:lang w:eastAsia="cs-CZ"/>
        </w:rPr>
        <w:t xml:space="preserve">sta Hrádek nad Nisou a jeho okolí </w:t>
      </w:r>
      <w:r w:rsidRPr="00461C16">
        <w:rPr>
          <w:rFonts w:cs="TimesNewRoman"/>
          <w:lang w:eastAsia="cs-CZ"/>
        </w:rPr>
        <w:t>č</w:t>
      </w:r>
      <w:r w:rsidRPr="00461C16">
        <w:rPr>
          <w:lang w:eastAsia="cs-CZ"/>
        </w:rPr>
        <w:t xml:space="preserve">eskou </w:t>
      </w:r>
      <w:r w:rsidRPr="00461C16">
        <w:rPr>
          <w:rFonts w:cs="TimesNewRoman"/>
          <w:lang w:eastAsia="cs-CZ"/>
        </w:rPr>
        <w:t>č</w:t>
      </w:r>
      <w:r w:rsidRPr="00461C16">
        <w:rPr>
          <w:lang w:eastAsia="cs-CZ"/>
        </w:rPr>
        <w:t>ást regionu Trojzemí</w:t>
      </w:r>
    </w:p>
    <w:p w14:paraId="6529AA22"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Mikroregion Hrádecko – Chrastavsko</w:t>
      </w:r>
    </w:p>
    <w:p w14:paraId="0A70C3EE"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rozvojové plány Svazku m</w:t>
      </w:r>
      <w:r w:rsidRPr="00461C16">
        <w:rPr>
          <w:rFonts w:cs="TimesNewRoman"/>
          <w:lang w:eastAsia="cs-CZ"/>
        </w:rPr>
        <w:t>ě</w:t>
      </w:r>
      <w:r w:rsidRPr="00461C16">
        <w:rPr>
          <w:lang w:eastAsia="cs-CZ"/>
        </w:rPr>
        <w:t>st Malý trojúhelník</w:t>
      </w:r>
    </w:p>
    <w:p w14:paraId="23193DC8" w14:textId="77777777" w:rsidR="007138B5" w:rsidRPr="00461C16" w:rsidRDefault="007138B5" w:rsidP="00456021">
      <w:pPr>
        <w:pStyle w:val="ListParagraph"/>
        <w:numPr>
          <w:ilvl w:val="0"/>
          <w:numId w:val="32"/>
        </w:numPr>
        <w:autoSpaceDE w:val="0"/>
        <w:autoSpaceDN w:val="0"/>
        <w:adjustRightInd w:val="0"/>
        <w:spacing w:before="120" w:after="120" w:line="240" w:lineRule="auto"/>
        <w:rPr>
          <w:lang w:eastAsia="cs-CZ"/>
        </w:rPr>
      </w:pPr>
      <w:r w:rsidRPr="00461C16">
        <w:rPr>
          <w:lang w:eastAsia="cs-CZ"/>
        </w:rPr>
        <w:t>Hrádek 2015 – rozvojový plán m</w:t>
      </w:r>
      <w:r w:rsidRPr="00461C16">
        <w:rPr>
          <w:rFonts w:cs="TimesNewRoman"/>
          <w:lang w:eastAsia="cs-CZ"/>
        </w:rPr>
        <w:t>ě</w:t>
      </w:r>
      <w:r w:rsidRPr="00461C16">
        <w:rPr>
          <w:lang w:eastAsia="cs-CZ"/>
        </w:rPr>
        <w:t>sta Hrádek nad Nisou v letech 2005 – 2015</w:t>
      </w:r>
    </w:p>
    <w:p w14:paraId="1A63DD9A" w14:textId="77777777" w:rsidR="008F4C19" w:rsidRPr="00461C16" w:rsidRDefault="00864B7A" w:rsidP="008F4C19">
      <w:pPr>
        <w:autoSpaceDE w:val="0"/>
        <w:autoSpaceDN w:val="0"/>
        <w:adjustRightInd w:val="0"/>
        <w:spacing w:before="120" w:line="240" w:lineRule="auto"/>
        <w:rPr>
          <w:i/>
          <w:lang w:eastAsia="cs-CZ"/>
        </w:rPr>
      </w:pPr>
      <w:r w:rsidRPr="00461C16">
        <w:rPr>
          <w:i/>
          <w:lang w:eastAsia="cs-CZ"/>
        </w:rPr>
        <w:t>Při stanovení koncepce ÚP byly zohledněny všechny uvedené koncepční rozvojové materiály</w:t>
      </w:r>
      <w:r w:rsidR="0033306A" w:rsidRPr="00461C16">
        <w:rPr>
          <w:i/>
          <w:lang w:eastAsia="cs-CZ"/>
        </w:rPr>
        <w:t>, případně další dle potřeby</w:t>
      </w:r>
      <w:r w:rsidRPr="00461C16">
        <w:rPr>
          <w:i/>
          <w:lang w:eastAsia="cs-CZ"/>
        </w:rPr>
        <w:t>.</w:t>
      </w:r>
    </w:p>
    <w:p w14:paraId="04391C6A" w14:textId="77777777" w:rsidR="0052137E" w:rsidRPr="00461C16" w:rsidRDefault="0052137E" w:rsidP="0052137E">
      <w:pPr>
        <w:pStyle w:val="Heading2"/>
        <w:spacing w:after="240"/>
        <w:rPr>
          <w:lang w:eastAsia="cs-CZ"/>
        </w:rPr>
      </w:pPr>
      <w:bookmarkStart w:id="62" w:name="_Toc36116261"/>
      <w:r w:rsidRPr="00461C16">
        <w:rPr>
          <w:lang w:eastAsia="cs-CZ"/>
        </w:rPr>
        <w:t>3.2</w:t>
      </w:r>
      <w:r w:rsidRPr="00461C16">
        <w:rPr>
          <w:lang w:eastAsia="cs-CZ"/>
        </w:rPr>
        <w:tab/>
        <w:t>Požadavky na řešení vyplývající z územně analytických podkladů</w:t>
      </w:r>
      <w:bookmarkEnd w:id="62"/>
      <w:r w:rsidRPr="00461C16">
        <w:rPr>
          <w:lang w:eastAsia="cs-CZ"/>
        </w:rPr>
        <w:t xml:space="preserve"> </w:t>
      </w:r>
    </w:p>
    <w:p w14:paraId="1E03BC37" w14:textId="77777777" w:rsidR="007138B5" w:rsidRPr="00461C16" w:rsidRDefault="007138B5" w:rsidP="00C41445">
      <w:pPr>
        <w:pStyle w:val="ListParagraph"/>
        <w:numPr>
          <w:ilvl w:val="0"/>
          <w:numId w:val="97"/>
        </w:numPr>
        <w:autoSpaceDE w:val="0"/>
        <w:autoSpaceDN w:val="0"/>
        <w:adjustRightInd w:val="0"/>
        <w:spacing w:before="120" w:after="120" w:line="240" w:lineRule="auto"/>
        <w:rPr>
          <w:lang w:eastAsia="cs-CZ"/>
        </w:rPr>
      </w:pPr>
      <w:r w:rsidRPr="00461C16">
        <w:rPr>
          <w:lang w:eastAsia="cs-CZ"/>
        </w:rPr>
        <w:t>Respektovat limity využití území.</w:t>
      </w:r>
    </w:p>
    <w:p w14:paraId="10585C2E"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zastav</w:t>
      </w:r>
      <w:r w:rsidRPr="00461C16">
        <w:rPr>
          <w:rFonts w:cs="TimesNewRoman"/>
          <w:lang w:eastAsia="cs-CZ"/>
        </w:rPr>
        <w:t>ě</w:t>
      </w:r>
      <w:r w:rsidRPr="00461C16">
        <w:rPr>
          <w:lang w:eastAsia="cs-CZ"/>
        </w:rPr>
        <w:t>né území</w:t>
      </w:r>
    </w:p>
    <w:p w14:paraId="28D50E27"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M</w:t>
      </w:r>
      <w:r w:rsidRPr="00461C16">
        <w:rPr>
          <w:rFonts w:cs="TimesNewRoman"/>
          <w:lang w:eastAsia="cs-CZ"/>
        </w:rPr>
        <w:t>ě</w:t>
      </w:r>
      <w:r w:rsidRPr="00461C16">
        <w:rPr>
          <w:lang w:eastAsia="cs-CZ"/>
        </w:rPr>
        <w:t>stská památková zóna Hrádku nad Nisou</w:t>
      </w:r>
    </w:p>
    <w:p w14:paraId="108CC5EA"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 xml:space="preserve">nemovité kulturní památky + </w:t>
      </w:r>
      <w:r w:rsidRPr="00461C16">
        <w:rPr>
          <w:rFonts w:cs="TimesNewRoman"/>
          <w:lang w:eastAsia="cs-CZ"/>
        </w:rPr>
        <w:t>č</w:t>
      </w:r>
      <w:r w:rsidRPr="00461C16">
        <w:rPr>
          <w:lang w:eastAsia="cs-CZ"/>
        </w:rPr>
        <w:t>ást OP areálu hradu Grabštejn (483m2)</w:t>
      </w:r>
    </w:p>
    <w:p w14:paraId="03914A06"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území s archeologickými nálezy</w:t>
      </w:r>
    </w:p>
    <w:p w14:paraId="77D17B81"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ÚSES</w:t>
      </w:r>
    </w:p>
    <w:p w14:paraId="3A7BEDF6"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VKP registrované</w:t>
      </w:r>
    </w:p>
    <w:p w14:paraId="3F64D800"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VKP ze zákona</w:t>
      </w:r>
    </w:p>
    <w:p w14:paraId="1ABF457A"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CHKO Lužické hory – zonace</w:t>
      </w:r>
    </w:p>
    <w:p w14:paraId="36D92C1E"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lesy ochranné</w:t>
      </w:r>
    </w:p>
    <w:p w14:paraId="447E49B9" w14:textId="151DFA89"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lesy zvl</w:t>
      </w:r>
      <w:r w:rsidR="000E7DF1">
        <w:rPr>
          <w:lang w:eastAsia="cs-CZ"/>
        </w:rPr>
        <w:t>áštního</w:t>
      </w:r>
      <w:r w:rsidRPr="00461C16">
        <w:rPr>
          <w:lang w:eastAsia="cs-CZ"/>
        </w:rPr>
        <w:t xml:space="preserve"> </w:t>
      </w:r>
      <w:r w:rsidR="000E7DF1">
        <w:rPr>
          <w:lang w:eastAsia="cs-CZ"/>
        </w:rPr>
        <w:t>u</w:t>
      </w:r>
      <w:r w:rsidRPr="00461C16">
        <w:rPr>
          <w:lang w:eastAsia="cs-CZ"/>
        </w:rPr>
        <w:t>r</w:t>
      </w:r>
      <w:r w:rsidRPr="00461C16">
        <w:rPr>
          <w:rFonts w:cs="TimesNewRoman"/>
          <w:lang w:eastAsia="cs-CZ"/>
        </w:rPr>
        <w:t>č</w:t>
      </w:r>
      <w:r w:rsidRPr="00461C16">
        <w:rPr>
          <w:lang w:eastAsia="cs-CZ"/>
        </w:rPr>
        <w:t>ení</w:t>
      </w:r>
    </w:p>
    <w:p w14:paraId="3BDF1B58"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lesy hospodá</w:t>
      </w:r>
      <w:r w:rsidRPr="00461C16">
        <w:rPr>
          <w:rFonts w:cs="TimesNewRoman"/>
          <w:lang w:eastAsia="cs-CZ"/>
        </w:rPr>
        <w:t>ř</w:t>
      </w:r>
      <w:r w:rsidRPr="00461C16">
        <w:rPr>
          <w:lang w:eastAsia="cs-CZ"/>
        </w:rPr>
        <w:t>ské</w:t>
      </w:r>
    </w:p>
    <w:p w14:paraId="7928D056"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ochranné pásmo lesa – 50m</w:t>
      </w:r>
    </w:p>
    <w:p w14:paraId="2DCD7D7C"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BPEJ – t</w:t>
      </w:r>
      <w:r w:rsidRPr="00461C16">
        <w:rPr>
          <w:rFonts w:cs="TimesNewRoman"/>
          <w:lang w:eastAsia="cs-CZ"/>
        </w:rPr>
        <w:t>ř</w:t>
      </w:r>
      <w:r w:rsidRPr="00461C16">
        <w:rPr>
          <w:lang w:eastAsia="cs-CZ"/>
        </w:rPr>
        <w:t>ídy ochrany ZPF</w:t>
      </w:r>
    </w:p>
    <w:p w14:paraId="3F53DCD5"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vodní zdroje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OP</w:t>
      </w:r>
    </w:p>
    <w:p w14:paraId="0F4BA89B"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CHOPAV</w:t>
      </w:r>
    </w:p>
    <w:p w14:paraId="648FF1E3"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vodní útvar povrchových a podzemních vod</w:t>
      </w:r>
    </w:p>
    <w:p w14:paraId="013F786C"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záplavové území – Lužická Nisa</w:t>
      </w:r>
    </w:p>
    <w:p w14:paraId="7AFB6A5F"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dobývací prostor</w:t>
      </w:r>
    </w:p>
    <w:p w14:paraId="1A2CC5FC"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CHLÚ</w:t>
      </w:r>
    </w:p>
    <w:p w14:paraId="42B42326"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ložisko nerostných surovin</w:t>
      </w:r>
    </w:p>
    <w:p w14:paraId="13B5310A"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poddolované území</w:t>
      </w:r>
    </w:p>
    <w:p w14:paraId="29270402"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staré zát</w:t>
      </w:r>
      <w:r w:rsidRPr="00461C16">
        <w:rPr>
          <w:rFonts w:cs="TimesNewRoman"/>
          <w:lang w:eastAsia="cs-CZ"/>
        </w:rPr>
        <w:t>ě</w:t>
      </w:r>
      <w:r w:rsidRPr="00461C16">
        <w:rPr>
          <w:lang w:eastAsia="cs-CZ"/>
        </w:rPr>
        <w:t>že území a kontaminované plochy</w:t>
      </w:r>
    </w:p>
    <w:p w14:paraId="58D17D1E"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techn. objekty zásob. vodou + OP</w:t>
      </w:r>
    </w:p>
    <w:p w14:paraId="77B9D12B"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vodovodní sít + OP</w:t>
      </w:r>
    </w:p>
    <w:p w14:paraId="2E9A66B1"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 xml:space="preserve">techn. </w:t>
      </w:r>
      <w:r w:rsidR="000E7DF1">
        <w:rPr>
          <w:lang w:eastAsia="cs-CZ"/>
        </w:rPr>
        <w:t>o</w:t>
      </w:r>
      <w:r w:rsidRPr="00461C16">
        <w:rPr>
          <w:lang w:eastAsia="cs-CZ"/>
        </w:rPr>
        <w:t>bjekty odvád</w:t>
      </w:r>
      <w:r w:rsidRPr="00461C16">
        <w:rPr>
          <w:rFonts w:cs="TimesNewRoman"/>
          <w:lang w:eastAsia="cs-CZ"/>
        </w:rPr>
        <w:t>ě</w:t>
      </w:r>
      <w:r w:rsidRPr="00461C16">
        <w:rPr>
          <w:lang w:eastAsia="cs-CZ"/>
        </w:rPr>
        <w:t xml:space="preserve">ní a </w:t>
      </w:r>
      <w:r w:rsidRPr="00461C16">
        <w:rPr>
          <w:rFonts w:cs="TimesNewRoman"/>
          <w:lang w:eastAsia="cs-CZ"/>
        </w:rPr>
        <w:t>č</w:t>
      </w:r>
      <w:r w:rsidRPr="00461C16">
        <w:rPr>
          <w:lang w:eastAsia="cs-CZ"/>
        </w:rPr>
        <w:t>išt</w:t>
      </w:r>
      <w:r w:rsidRPr="00461C16">
        <w:rPr>
          <w:rFonts w:cs="TimesNewRoman"/>
          <w:lang w:eastAsia="cs-CZ"/>
        </w:rPr>
        <w:t>ě</w:t>
      </w:r>
      <w:r w:rsidRPr="00461C16">
        <w:rPr>
          <w:lang w:eastAsia="cs-CZ"/>
        </w:rPr>
        <w:t>ní odpadních vod + OP</w:t>
      </w:r>
    </w:p>
    <w:p w14:paraId="746268BE"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sí</w:t>
      </w:r>
      <w:r w:rsidRPr="00461C16">
        <w:rPr>
          <w:rFonts w:cs="TimesNewRoman"/>
          <w:lang w:eastAsia="cs-CZ"/>
        </w:rPr>
        <w:t xml:space="preserve">ť </w:t>
      </w:r>
      <w:r w:rsidRPr="00461C16">
        <w:rPr>
          <w:lang w:eastAsia="cs-CZ"/>
        </w:rPr>
        <w:t>kanaliza</w:t>
      </w:r>
      <w:r w:rsidRPr="00461C16">
        <w:rPr>
          <w:rFonts w:cs="TimesNewRoman"/>
          <w:lang w:eastAsia="cs-CZ"/>
        </w:rPr>
        <w:t>č</w:t>
      </w:r>
      <w:r w:rsidRPr="00461C16">
        <w:rPr>
          <w:lang w:eastAsia="cs-CZ"/>
        </w:rPr>
        <w:t>ních stok + OP</w:t>
      </w:r>
    </w:p>
    <w:p w14:paraId="7E59360F" w14:textId="3A21047B"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elektr</w:t>
      </w:r>
      <w:r w:rsidR="000E7DF1">
        <w:rPr>
          <w:lang w:eastAsia="cs-CZ"/>
        </w:rPr>
        <w:t>ické</w:t>
      </w:r>
      <w:r w:rsidR="000E7DF1" w:rsidRPr="00461C16">
        <w:rPr>
          <w:lang w:eastAsia="cs-CZ"/>
        </w:rPr>
        <w:t xml:space="preserve"> </w:t>
      </w:r>
      <w:r w:rsidR="000E7DF1">
        <w:rPr>
          <w:lang w:eastAsia="cs-CZ"/>
        </w:rPr>
        <w:t>s</w:t>
      </w:r>
      <w:r w:rsidRPr="00461C16">
        <w:rPr>
          <w:lang w:eastAsia="cs-CZ"/>
        </w:rPr>
        <w:t>tanice + OP</w:t>
      </w:r>
    </w:p>
    <w:p w14:paraId="3F7BD329"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nadzemní a podzemní vedení elektr. soustavy + OP</w:t>
      </w:r>
    </w:p>
    <w:p w14:paraId="0C60B386"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techn. objekty zásobování plynem + OP</w:t>
      </w:r>
    </w:p>
    <w:p w14:paraId="74D3D72B"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vedení plynovodu + OP a BP</w:t>
      </w:r>
    </w:p>
    <w:p w14:paraId="7DF2955D"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elektronické komunika</w:t>
      </w:r>
      <w:r w:rsidRPr="00461C16">
        <w:rPr>
          <w:rFonts w:cs="TimesNewRoman"/>
          <w:lang w:eastAsia="cs-CZ"/>
        </w:rPr>
        <w:t>č</w:t>
      </w:r>
      <w:r w:rsidRPr="00461C16">
        <w:rPr>
          <w:lang w:eastAsia="cs-CZ"/>
        </w:rPr>
        <w:t>ní za</w:t>
      </w:r>
      <w:r w:rsidRPr="00461C16">
        <w:rPr>
          <w:rFonts w:cs="TimesNewRoman"/>
          <w:lang w:eastAsia="cs-CZ"/>
        </w:rPr>
        <w:t>ř</w:t>
      </w:r>
      <w:r w:rsidRPr="00461C16">
        <w:rPr>
          <w:lang w:eastAsia="cs-CZ"/>
        </w:rPr>
        <w:t>ízení + OP</w:t>
      </w:r>
    </w:p>
    <w:p w14:paraId="5E58FDA8"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komunika</w:t>
      </w:r>
      <w:r w:rsidRPr="00461C16">
        <w:rPr>
          <w:rFonts w:cs="TimesNewRoman"/>
          <w:lang w:eastAsia="cs-CZ"/>
        </w:rPr>
        <w:t>č</w:t>
      </w:r>
      <w:r w:rsidRPr="00461C16">
        <w:rPr>
          <w:lang w:eastAsia="cs-CZ"/>
        </w:rPr>
        <w:t>ní vedení + OP</w:t>
      </w:r>
    </w:p>
    <w:p w14:paraId="1707ED07"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lastRenderedPageBreak/>
        <w:t>silnice I. t</w:t>
      </w:r>
      <w:r w:rsidRPr="00461C16">
        <w:rPr>
          <w:rFonts w:cs="TimesNewRoman"/>
          <w:lang w:eastAsia="cs-CZ"/>
        </w:rPr>
        <w:t>ř</w:t>
      </w:r>
      <w:r w:rsidRPr="00461C16">
        <w:rPr>
          <w:lang w:eastAsia="cs-CZ"/>
        </w:rPr>
        <w:t>ídy + OP</w:t>
      </w:r>
    </w:p>
    <w:p w14:paraId="261CD49A"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silnice III. t</w:t>
      </w:r>
      <w:r w:rsidRPr="00461C16">
        <w:rPr>
          <w:rFonts w:cs="TimesNewRoman"/>
          <w:lang w:eastAsia="cs-CZ"/>
        </w:rPr>
        <w:t>ř</w:t>
      </w:r>
      <w:r w:rsidRPr="00461C16">
        <w:rPr>
          <w:lang w:eastAsia="cs-CZ"/>
        </w:rPr>
        <w:t>ídy + OP</w:t>
      </w:r>
    </w:p>
    <w:p w14:paraId="3B14CE1E"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místní a ú</w:t>
      </w:r>
      <w:r w:rsidRPr="00461C16">
        <w:rPr>
          <w:rFonts w:cs="TimesNewRoman"/>
          <w:lang w:eastAsia="cs-CZ"/>
        </w:rPr>
        <w:t>č</w:t>
      </w:r>
      <w:r w:rsidRPr="00461C16">
        <w:rPr>
          <w:lang w:eastAsia="cs-CZ"/>
        </w:rPr>
        <w:t>elové komunikace + OP</w:t>
      </w:r>
    </w:p>
    <w:p w14:paraId="28343B41"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železni</w:t>
      </w:r>
      <w:r w:rsidRPr="00461C16">
        <w:rPr>
          <w:rFonts w:cs="TimesNewRoman"/>
          <w:lang w:eastAsia="cs-CZ"/>
        </w:rPr>
        <w:t>č</w:t>
      </w:r>
      <w:r w:rsidRPr="00461C16">
        <w:rPr>
          <w:lang w:eastAsia="cs-CZ"/>
        </w:rPr>
        <w:t>ní dráha celostátní + OP</w:t>
      </w:r>
    </w:p>
    <w:p w14:paraId="76D1E4BB"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železni</w:t>
      </w:r>
      <w:r w:rsidRPr="00461C16">
        <w:rPr>
          <w:rFonts w:cs="TimesNewRoman"/>
          <w:lang w:eastAsia="cs-CZ"/>
        </w:rPr>
        <w:t>č</w:t>
      </w:r>
      <w:r w:rsidRPr="00461C16">
        <w:rPr>
          <w:lang w:eastAsia="cs-CZ"/>
        </w:rPr>
        <w:t>ní vle</w:t>
      </w:r>
      <w:r w:rsidRPr="00461C16">
        <w:rPr>
          <w:rFonts w:cs="TimesNewRoman"/>
          <w:lang w:eastAsia="cs-CZ"/>
        </w:rPr>
        <w:t>č</w:t>
      </w:r>
      <w:r w:rsidRPr="00461C16">
        <w:rPr>
          <w:lang w:eastAsia="cs-CZ"/>
        </w:rPr>
        <w:t>ka + OP</w:t>
      </w:r>
    </w:p>
    <w:p w14:paraId="6D40DC02"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objekt d</w:t>
      </w:r>
      <w:r w:rsidRPr="00461C16">
        <w:rPr>
          <w:rFonts w:cs="TimesNewRoman"/>
          <w:lang w:eastAsia="cs-CZ"/>
        </w:rPr>
        <w:t>ů</w:t>
      </w:r>
      <w:r w:rsidRPr="00461C16">
        <w:rPr>
          <w:lang w:eastAsia="cs-CZ"/>
        </w:rPr>
        <w:t>ležitý pro ochranu státu + OP</w:t>
      </w:r>
    </w:p>
    <w:p w14:paraId="6C451F27" w14:textId="77777777" w:rsidR="007138B5" w:rsidRPr="00461C16" w:rsidRDefault="007138B5" w:rsidP="00427598">
      <w:pPr>
        <w:pStyle w:val="ListParagraph"/>
        <w:numPr>
          <w:ilvl w:val="0"/>
          <w:numId w:val="33"/>
        </w:numPr>
        <w:autoSpaceDE w:val="0"/>
        <w:autoSpaceDN w:val="0"/>
        <w:adjustRightInd w:val="0"/>
        <w:spacing w:before="60" w:line="240" w:lineRule="auto"/>
        <w:rPr>
          <w:lang w:eastAsia="cs-CZ"/>
        </w:rPr>
      </w:pPr>
      <w:r w:rsidRPr="00461C16">
        <w:rPr>
          <w:lang w:eastAsia="cs-CZ"/>
        </w:rPr>
        <w:t>ochranné pásmo h</w:t>
      </w:r>
      <w:r w:rsidRPr="00461C16">
        <w:rPr>
          <w:rFonts w:cs="TimesNewRoman"/>
          <w:lang w:eastAsia="cs-CZ"/>
        </w:rPr>
        <w:t>ř</w:t>
      </w:r>
      <w:r w:rsidRPr="00461C16">
        <w:rPr>
          <w:lang w:eastAsia="cs-CZ"/>
        </w:rPr>
        <w:t>bitova</w:t>
      </w:r>
    </w:p>
    <w:p w14:paraId="32C900B2" w14:textId="77777777" w:rsidR="007225A2" w:rsidRPr="00461C16" w:rsidRDefault="0033306A" w:rsidP="007225A2">
      <w:pPr>
        <w:pStyle w:val="BodyText"/>
        <w:spacing w:before="120" w:after="120"/>
        <w:rPr>
          <w:i/>
          <w:sz w:val="22"/>
          <w:szCs w:val="22"/>
        </w:rPr>
      </w:pPr>
      <w:r w:rsidRPr="00461C16">
        <w:rPr>
          <w:i/>
          <w:sz w:val="22"/>
          <w:szCs w:val="22"/>
        </w:rPr>
        <w:t xml:space="preserve">Při stanovení koncepce ÚP byly zohledněny všechny uvedené </w:t>
      </w:r>
      <w:r w:rsidRPr="00461C16">
        <w:rPr>
          <w:i/>
          <w:color w:val="000000"/>
          <w:sz w:val="22"/>
          <w:szCs w:val="22"/>
          <w:shd w:val="clear" w:color="auto" w:fill="FFFFFF"/>
        </w:rPr>
        <w:t>limity využití území. Jejich přehled je součástí kap. 6.3.5. Odůvodnění ÚP.</w:t>
      </w:r>
    </w:p>
    <w:p w14:paraId="642C8B4C" w14:textId="77777777" w:rsidR="007138B5" w:rsidRPr="00461C16" w:rsidRDefault="007D06D2" w:rsidP="00C41445">
      <w:pPr>
        <w:pStyle w:val="ListParagraph"/>
        <w:numPr>
          <w:ilvl w:val="0"/>
          <w:numId w:val="97"/>
        </w:numPr>
        <w:autoSpaceDE w:val="0"/>
        <w:autoSpaceDN w:val="0"/>
        <w:adjustRightInd w:val="0"/>
        <w:spacing w:before="120" w:after="120" w:line="240" w:lineRule="auto"/>
        <w:rPr>
          <w:lang w:eastAsia="cs-CZ"/>
        </w:rPr>
      </w:pPr>
      <w:r w:rsidRPr="00461C16">
        <w:rPr>
          <w:lang w:eastAsia="cs-CZ"/>
        </w:rPr>
        <w:t xml:space="preserve">Zohlednit </w:t>
      </w:r>
      <w:r w:rsidR="007138B5" w:rsidRPr="00461C16">
        <w:rPr>
          <w:lang w:eastAsia="cs-CZ"/>
        </w:rPr>
        <w:t>záměry z Územně analytických podkladů Libereckého kraje:</w:t>
      </w:r>
    </w:p>
    <w:p w14:paraId="1BE8CC43"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PZ7 – plocha pro podnikatelské aktivity – pr</w:t>
      </w:r>
      <w:r w:rsidRPr="00461C16">
        <w:rPr>
          <w:rFonts w:cs="TimesNewRoman"/>
          <w:lang w:eastAsia="cs-CZ"/>
        </w:rPr>
        <w:t>ů</w:t>
      </w:r>
      <w:r w:rsidRPr="00461C16">
        <w:rPr>
          <w:lang w:eastAsia="cs-CZ"/>
        </w:rPr>
        <w:t>myslová zóna Hrádek nad Nisou – Za obchvatem (Old</w:t>
      </w:r>
      <w:r w:rsidRPr="00461C16">
        <w:rPr>
          <w:rFonts w:cs="TimesNewRoman"/>
          <w:lang w:eastAsia="cs-CZ"/>
        </w:rPr>
        <w:t>ř</w:t>
      </w:r>
      <w:r w:rsidRPr="00461C16">
        <w:rPr>
          <w:lang w:eastAsia="cs-CZ"/>
        </w:rPr>
        <w:t>ichovská)</w:t>
      </w:r>
    </w:p>
    <w:p w14:paraId="4CF0DE29"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 xml:space="preserve">D02 - silnice I/35, úsek Bílý Kostel – Hrádek nad Nisou – hranice </w:t>
      </w:r>
      <w:r w:rsidRPr="00461C16">
        <w:rPr>
          <w:rFonts w:cs="TimesNewRoman"/>
          <w:lang w:eastAsia="cs-CZ"/>
        </w:rPr>
        <w:t>Č</w:t>
      </w:r>
      <w:r w:rsidRPr="00461C16">
        <w:rPr>
          <w:lang w:eastAsia="cs-CZ"/>
        </w:rPr>
        <w:t>R</w:t>
      </w:r>
    </w:p>
    <w:p w14:paraId="4F87B119"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D28+RGM - železni</w:t>
      </w:r>
      <w:r w:rsidRPr="00461C16">
        <w:rPr>
          <w:rFonts w:cs="TimesNewRoman"/>
          <w:lang w:eastAsia="cs-CZ"/>
        </w:rPr>
        <w:t>č</w:t>
      </w:r>
      <w:r w:rsidRPr="00461C16">
        <w:rPr>
          <w:lang w:eastAsia="cs-CZ"/>
        </w:rPr>
        <w:t>ní spojení Liberec – Hrádek nad Nisou - Rybništ</w:t>
      </w:r>
      <w:r w:rsidRPr="00461C16">
        <w:rPr>
          <w:rFonts w:cs="TimesNewRoman"/>
          <w:lang w:eastAsia="cs-CZ"/>
        </w:rPr>
        <w:t>ě</w:t>
      </w:r>
      <w:r w:rsidRPr="00461C16">
        <w:rPr>
          <w:lang w:eastAsia="cs-CZ"/>
        </w:rPr>
        <w:t>, úsek Liberec</w:t>
      </w:r>
    </w:p>
    <w:p w14:paraId="23A1DCA2"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 xml:space="preserve">Chrastava - Bílý Kostel n.N. – Hrádek nad Nisou - hranice </w:t>
      </w:r>
      <w:r w:rsidRPr="00461C16">
        <w:rPr>
          <w:rFonts w:cs="TimesNewRoman"/>
          <w:lang w:eastAsia="cs-CZ"/>
        </w:rPr>
        <w:t>Č</w:t>
      </w:r>
      <w:r w:rsidRPr="00461C16">
        <w:rPr>
          <w:lang w:eastAsia="cs-CZ"/>
        </w:rPr>
        <w:t>R, optimalizace, elektrizace; projekt Regiotram Nisa – využití stávajících železni</w:t>
      </w:r>
      <w:r w:rsidRPr="00461C16">
        <w:rPr>
          <w:rFonts w:cs="TimesNewRoman"/>
          <w:lang w:eastAsia="cs-CZ"/>
        </w:rPr>
        <w:t>č</w:t>
      </w:r>
      <w:r w:rsidRPr="00461C16">
        <w:rPr>
          <w:lang w:eastAsia="cs-CZ"/>
        </w:rPr>
        <w:t>ních tratí</w:t>
      </w:r>
    </w:p>
    <w:p w14:paraId="1399F072"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D33A - železni</w:t>
      </w:r>
      <w:r w:rsidRPr="00461C16">
        <w:rPr>
          <w:rFonts w:cs="TimesNewRoman"/>
          <w:lang w:eastAsia="cs-CZ"/>
        </w:rPr>
        <w:t>č</w:t>
      </w:r>
      <w:r w:rsidRPr="00461C16">
        <w:rPr>
          <w:lang w:eastAsia="cs-CZ"/>
        </w:rPr>
        <w:t xml:space="preserve">ní spojení Liberec – </w:t>
      </w:r>
      <w:r w:rsidRPr="00461C16">
        <w:rPr>
          <w:rFonts w:cs="TimesNewRoman"/>
          <w:lang w:eastAsia="cs-CZ"/>
        </w:rPr>
        <w:t>Č</w:t>
      </w:r>
      <w:r w:rsidRPr="00461C16">
        <w:rPr>
          <w:lang w:eastAsia="cs-CZ"/>
        </w:rPr>
        <w:t>eská Lípa, varianta A v úseku Bílý Kostel n.N. - Rynoltice, novostavba</w:t>
      </w:r>
    </w:p>
    <w:p w14:paraId="13AA04BB"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D40 - multifunk</w:t>
      </w:r>
      <w:r w:rsidRPr="00461C16">
        <w:rPr>
          <w:rFonts w:cs="TimesNewRoman"/>
          <w:lang w:eastAsia="cs-CZ"/>
        </w:rPr>
        <w:t>č</w:t>
      </w:r>
      <w:r w:rsidRPr="00461C16">
        <w:rPr>
          <w:lang w:eastAsia="cs-CZ"/>
        </w:rPr>
        <w:t>ní turistický koridor Lužická Nisa</w:t>
      </w:r>
    </w:p>
    <w:p w14:paraId="7C844010"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D42 - multifunk</w:t>
      </w:r>
      <w:r w:rsidRPr="00461C16">
        <w:rPr>
          <w:rFonts w:cs="TimesNewRoman"/>
          <w:lang w:eastAsia="cs-CZ"/>
        </w:rPr>
        <w:t>č</w:t>
      </w:r>
      <w:r w:rsidRPr="00461C16">
        <w:rPr>
          <w:lang w:eastAsia="cs-CZ"/>
        </w:rPr>
        <w:t>ní turistický koridor Nová H</w:t>
      </w:r>
      <w:r w:rsidRPr="00461C16">
        <w:rPr>
          <w:rFonts w:cs="TimesNewRoman"/>
          <w:lang w:eastAsia="cs-CZ"/>
        </w:rPr>
        <w:t>ř</w:t>
      </w:r>
      <w:r w:rsidRPr="00461C16">
        <w:rPr>
          <w:lang w:eastAsia="cs-CZ"/>
        </w:rPr>
        <w:t>ebenovka – jižní a severní v</w:t>
      </w:r>
      <w:r w:rsidRPr="00461C16">
        <w:rPr>
          <w:rFonts w:cs="TimesNewRoman"/>
          <w:lang w:eastAsia="cs-CZ"/>
        </w:rPr>
        <w:t>ě</w:t>
      </w:r>
      <w:r w:rsidRPr="00461C16">
        <w:rPr>
          <w:lang w:eastAsia="cs-CZ"/>
        </w:rPr>
        <w:t>tev</w:t>
      </w:r>
    </w:p>
    <w:p w14:paraId="789AA69C"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D43 - p</w:t>
      </w:r>
      <w:r w:rsidRPr="00461C16">
        <w:rPr>
          <w:rFonts w:cs="TimesNewRoman"/>
          <w:lang w:eastAsia="cs-CZ"/>
        </w:rPr>
        <w:t>ř</w:t>
      </w:r>
      <w:r w:rsidRPr="00461C16">
        <w:rPr>
          <w:lang w:eastAsia="cs-CZ"/>
        </w:rPr>
        <w:t>eshrani</w:t>
      </w:r>
      <w:r w:rsidRPr="00461C16">
        <w:rPr>
          <w:rFonts w:cs="TimesNewRoman"/>
          <w:lang w:eastAsia="cs-CZ"/>
        </w:rPr>
        <w:t>č</w:t>
      </w:r>
      <w:r w:rsidRPr="00461C16">
        <w:rPr>
          <w:lang w:eastAsia="cs-CZ"/>
        </w:rPr>
        <w:t>ní spojení silni</w:t>
      </w:r>
      <w:r w:rsidRPr="00461C16">
        <w:rPr>
          <w:rFonts w:cs="TimesNewRoman"/>
          <w:lang w:eastAsia="cs-CZ"/>
        </w:rPr>
        <w:t>č</w:t>
      </w:r>
      <w:r w:rsidRPr="00461C16">
        <w:rPr>
          <w:lang w:eastAsia="cs-CZ"/>
        </w:rPr>
        <w:t>ní – Hrádek nad Nisou, silnice R 35</w:t>
      </w:r>
    </w:p>
    <w:p w14:paraId="5FF6B82A"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 xml:space="preserve">M4 – mezinárodní cyklokoridor - Zittau - Hradec Králové (hranice </w:t>
      </w:r>
      <w:r w:rsidRPr="00461C16">
        <w:rPr>
          <w:rFonts w:cs="TimesNewRoman"/>
          <w:lang w:eastAsia="cs-CZ"/>
        </w:rPr>
        <w:t>Č</w:t>
      </w:r>
      <w:r w:rsidRPr="00461C16">
        <w:rPr>
          <w:lang w:eastAsia="cs-CZ"/>
        </w:rPr>
        <w:t>R - Hrádek n/N - Liberec varianty - Turnov - Vyske</w:t>
      </w:r>
      <w:r w:rsidRPr="00461C16">
        <w:rPr>
          <w:rFonts w:cs="TimesNewRoman"/>
          <w:lang w:eastAsia="cs-CZ"/>
        </w:rPr>
        <w:t xml:space="preserve">ř </w:t>
      </w:r>
      <w:r w:rsidRPr="00461C16">
        <w:rPr>
          <w:lang w:eastAsia="cs-CZ"/>
        </w:rPr>
        <w:t>- hranice LK)</w:t>
      </w:r>
    </w:p>
    <w:p w14:paraId="17040917"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 xml:space="preserve">M6 – mezinárodní cyklokoridor - Zittau - Karpatz (hranice </w:t>
      </w:r>
      <w:r w:rsidRPr="00461C16">
        <w:rPr>
          <w:rFonts w:cs="TimesNewRoman"/>
          <w:lang w:eastAsia="cs-CZ"/>
        </w:rPr>
        <w:t>Č</w:t>
      </w:r>
      <w:r w:rsidRPr="00461C16">
        <w:rPr>
          <w:lang w:eastAsia="cs-CZ"/>
        </w:rPr>
        <w:t xml:space="preserve">R - Hrádek n/N - hranice </w:t>
      </w:r>
      <w:r w:rsidRPr="00461C16">
        <w:rPr>
          <w:rFonts w:cs="TimesNewRoman"/>
          <w:lang w:eastAsia="cs-CZ"/>
        </w:rPr>
        <w:t>Č</w:t>
      </w:r>
      <w:r w:rsidRPr="00461C16">
        <w:rPr>
          <w:lang w:eastAsia="cs-CZ"/>
        </w:rPr>
        <w:t>R -Kunratice - Frýdlant - Nové M</w:t>
      </w:r>
      <w:r w:rsidRPr="00461C16">
        <w:rPr>
          <w:rFonts w:cs="TimesNewRoman"/>
          <w:lang w:eastAsia="cs-CZ"/>
        </w:rPr>
        <w:t>ě</w:t>
      </w:r>
      <w:r w:rsidRPr="00461C16">
        <w:rPr>
          <w:lang w:eastAsia="cs-CZ"/>
        </w:rPr>
        <w:t xml:space="preserve">sto p.S. - hranice </w:t>
      </w:r>
      <w:r w:rsidRPr="00461C16">
        <w:rPr>
          <w:rFonts w:cs="TimesNewRoman"/>
          <w:lang w:eastAsia="cs-CZ"/>
        </w:rPr>
        <w:t>Č</w:t>
      </w:r>
      <w:r w:rsidRPr="00461C16">
        <w:rPr>
          <w:lang w:eastAsia="cs-CZ"/>
        </w:rPr>
        <w:t>R)</w:t>
      </w:r>
    </w:p>
    <w:p w14:paraId="10DD6511"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NR4 – nadregionální cyklokoridor - Nová H</w:t>
      </w:r>
      <w:r w:rsidRPr="00461C16">
        <w:rPr>
          <w:rFonts w:cs="TimesNewRoman"/>
          <w:lang w:eastAsia="cs-CZ"/>
        </w:rPr>
        <w:t>ř</w:t>
      </w:r>
      <w:r w:rsidRPr="00461C16">
        <w:rPr>
          <w:lang w:eastAsia="cs-CZ"/>
        </w:rPr>
        <w:t>ebenovka sever (hranice LK - Hrádek n.N. - Chrastava - Mníšek - Hejnice - Harrachov - Rokytnice n.J. - Horní Míse</w:t>
      </w:r>
      <w:r w:rsidRPr="00461C16">
        <w:rPr>
          <w:rFonts w:cs="TimesNewRoman"/>
          <w:lang w:eastAsia="cs-CZ"/>
        </w:rPr>
        <w:t>č</w:t>
      </w:r>
      <w:r w:rsidRPr="00461C16">
        <w:rPr>
          <w:lang w:eastAsia="cs-CZ"/>
        </w:rPr>
        <w:t>ky - hranice LK)</w:t>
      </w:r>
    </w:p>
    <w:p w14:paraId="187AE903"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MN_P_E3 – mezinárodní turistický p</w:t>
      </w:r>
      <w:r w:rsidRPr="00461C16">
        <w:rPr>
          <w:rFonts w:cs="TimesNewRoman"/>
          <w:lang w:eastAsia="cs-CZ"/>
        </w:rPr>
        <w:t>ě</w:t>
      </w:r>
      <w:r w:rsidRPr="00461C16">
        <w:rPr>
          <w:lang w:eastAsia="cs-CZ"/>
        </w:rPr>
        <w:t>ší koridor - Istanbul - mys Sv. Vincent (hranice LK - Harrachov - Liberec - Ma</w:t>
      </w:r>
      <w:r w:rsidRPr="00461C16">
        <w:rPr>
          <w:rFonts w:cs="TimesNewRoman"/>
          <w:lang w:eastAsia="cs-CZ"/>
        </w:rPr>
        <w:t>ř</w:t>
      </w:r>
      <w:r w:rsidRPr="00461C16">
        <w:rPr>
          <w:lang w:eastAsia="cs-CZ"/>
        </w:rPr>
        <w:t xml:space="preserve">enice - hranice </w:t>
      </w:r>
      <w:r w:rsidRPr="00461C16">
        <w:rPr>
          <w:rFonts w:cs="TimesNewRoman"/>
          <w:lang w:eastAsia="cs-CZ"/>
        </w:rPr>
        <w:t>Č</w:t>
      </w:r>
      <w:r w:rsidRPr="00461C16">
        <w:rPr>
          <w:lang w:eastAsia="cs-CZ"/>
        </w:rPr>
        <w:t>R)</w:t>
      </w:r>
    </w:p>
    <w:p w14:paraId="3E49D588"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FK4 - Zvyšování funk</w:t>
      </w:r>
      <w:r w:rsidRPr="00461C16">
        <w:rPr>
          <w:rFonts w:cs="TimesNewRoman"/>
          <w:lang w:eastAsia="cs-CZ"/>
        </w:rPr>
        <w:t>č</w:t>
      </w:r>
      <w:r w:rsidRPr="00461C16">
        <w:rPr>
          <w:lang w:eastAsia="cs-CZ"/>
        </w:rPr>
        <w:t>ních kooperací mezi centry osídlení Liberec - Chrastava – Hrádek nad Nisou</w:t>
      </w:r>
    </w:p>
    <w:p w14:paraId="31919A26"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FK14 - Zvyšování funk</w:t>
      </w:r>
      <w:r w:rsidRPr="00461C16">
        <w:rPr>
          <w:rFonts w:cs="TimesNewRoman"/>
          <w:lang w:eastAsia="cs-CZ"/>
        </w:rPr>
        <w:t>č</w:t>
      </w:r>
      <w:r w:rsidRPr="00461C16">
        <w:rPr>
          <w:lang w:eastAsia="cs-CZ"/>
        </w:rPr>
        <w:t>ních kooperací mezi centry osídlení Hrádek n/N – Bogatynia (Polsko)</w:t>
      </w:r>
    </w:p>
    <w:p w14:paraId="39D3722E"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FK15 - Zvyšování funk</w:t>
      </w:r>
      <w:r w:rsidRPr="00461C16">
        <w:rPr>
          <w:rFonts w:cs="TimesNewRoman"/>
          <w:lang w:eastAsia="cs-CZ"/>
        </w:rPr>
        <w:t>č</w:t>
      </w:r>
      <w:r w:rsidRPr="00461C16">
        <w:rPr>
          <w:lang w:eastAsia="cs-CZ"/>
        </w:rPr>
        <w:t>ních kooperací mezi centry osídlení Hrádek n/N - Zittau (SRN)</w:t>
      </w:r>
    </w:p>
    <w:p w14:paraId="7FD02866"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DP02 - zm</w:t>
      </w:r>
      <w:r w:rsidRPr="00461C16">
        <w:rPr>
          <w:rFonts w:cs="TimesNewRoman"/>
          <w:lang w:eastAsia="cs-CZ"/>
        </w:rPr>
        <w:t>ě</w:t>
      </w:r>
      <w:r w:rsidRPr="00461C16">
        <w:rPr>
          <w:lang w:eastAsia="cs-CZ"/>
        </w:rPr>
        <w:t>na stanovení dobývacího prostoru Václavice II.</w:t>
      </w:r>
    </w:p>
    <w:p w14:paraId="6FAABB27"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P09 - protipovod</w:t>
      </w:r>
      <w:r w:rsidRPr="00461C16">
        <w:rPr>
          <w:rFonts w:cs="TimesNewRoman"/>
          <w:lang w:eastAsia="cs-CZ"/>
        </w:rPr>
        <w:t>ň</w:t>
      </w:r>
      <w:r w:rsidRPr="00461C16">
        <w:rPr>
          <w:lang w:eastAsia="cs-CZ"/>
        </w:rPr>
        <w:t>ová opat</w:t>
      </w:r>
      <w:r w:rsidRPr="00461C16">
        <w:rPr>
          <w:rFonts w:cs="TimesNewRoman"/>
          <w:lang w:eastAsia="cs-CZ"/>
        </w:rPr>
        <w:t>ř</w:t>
      </w:r>
      <w:r w:rsidRPr="00461C16">
        <w:rPr>
          <w:lang w:eastAsia="cs-CZ"/>
        </w:rPr>
        <w:t>ení na toku Lužická Nisa, úsek Jablonec nad Nisou – Hrádek nad Nisou</w:t>
      </w:r>
    </w:p>
    <w:p w14:paraId="03DAA8CE"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RC1273 - regionální biocentrum „Loupežnický vrch“</w:t>
      </w:r>
    </w:p>
    <w:p w14:paraId="768A8E05"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RC1790 - regionální biocentrum „Bore</w:t>
      </w:r>
      <w:r w:rsidRPr="00461C16">
        <w:rPr>
          <w:rFonts w:cs="TimesNewRoman"/>
          <w:lang w:eastAsia="cs-CZ"/>
        </w:rPr>
        <w:t>č</w:t>
      </w:r>
      <w:r w:rsidRPr="00461C16">
        <w:rPr>
          <w:lang w:eastAsia="cs-CZ"/>
        </w:rPr>
        <w:t>ek“</w:t>
      </w:r>
    </w:p>
    <w:p w14:paraId="3C7755F2"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K19MB - nadregionální biokoridor</w:t>
      </w:r>
    </w:p>
    <w:p w14:paraId="4928EFC4"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K34B - nadregionální biokoridor</w:t>
      </w:r>
    </w:p>
    <w:p w14:paraId="42831DA7" w14:textId="77777777" w:rsidR="007138B5" w:rsidRPr="00461C16" w:rsidRDefault="007138B5" w:rsidP="00427598">
      <w:pPr>
        <w:pStyle w:val="ListParagraph"/>
        <w:numPr>
          <w:ilvl w:val="0"/>
          <w:numId w:val="34"/>
        </w:numPr>
        <w:autoSpaceDE w:val="0"/>
        <w:autoSpaceDN w:val="0"/>
        <w:adjustRightInd w:val="0"/>
        <w:spacing w:before="60" w:line="240" w:lineRule="auto"/>
        <w:rPr>
          <w:lang w:eastAsia="cs-CZ"/>
        </w:rPr>
      </w:pPr>
      <w:r w:rsidRPr="00461C16">
        <w:rPr>
          <w:lang w:eastAsia="cs-CZ"/>
        </w:rPr>
        <w:t>RK638 - regionální biokoridor</w:t>
      </w:r>
    </w:p>
    <w:p w14:paraId="3B155547" w14:textId="77777777" w:rsidR="007225A2" w:rsidRPr="00461C16" w:rsidRDefault="0033306A" w:rsidP="007225A2">
      <w:pPr>
        <w:pStyle w:val="BodyText"/>
        <w:spacing w:before="120" w:after="120"/>
        <w:rPr>
          <w:i/>
          <w:sz w:val="22"/>
          <w:szCs w:val="22"/>
        </w:rPr>
      </w:pPr>
      <w:r w:rsidRPr="00461C16">
        <w:rPr>
          <w:i/>
          <w:sz w:val="22"/>
          <w:szCs w:val="22"/>
        </w:rPr>
        <w:t>Při stanovení koncepce ÚP byly zohledněny všechny záměry evidované v ÚAP kraje, zpravidla převzaté z platné ZÚR Libereckého kraje.</w:t>
      </w:r>
    </w:p>
    <w:p w14:paraId="3C7554D1" w14:textId="77777777" w:rsidR="007138B5" w:rsidRPr="00461C16" w:rsidRDefault="007D06D2" w:rsidP="00A06EB9">
      <w:pPr>
        <w:pStyle w:val="ListParagraph"/>
        <w:numPr>
          <w:ilvl w:val="0"/>
          <w:numId w:val="97"/>
        </w:numPr>
        <w:autoSpaceDE w:val="0"/>
        <w:autoSpaceDN w:val="0"/>
        <w:adjustRightInd w:val="0"/>
        <w:spacing w:before="120" w:line="240" w:lineRule="auto"/>
        <w:rPr>
          <w:lang w:eastAsia="cs-CZ"/>
        </w:rPr>
      </w:pPr>
      <w:r w:rsidRPr="00461C16">
        <w:rPr>
          <w:lang w:eastAsia="cs-CZ"/>
        </w:rPr>
        <w:t>Zohlednit záměry v Územně analytických podkladech ORP Liberec</w:t>
      </w:r>
      <w:r w:rsidR="0033306A" w:rsidRPr="00461C16">
        <w:rPr>
          <w:lang w:eastAsia="cs-CZ"/>
        </w:rPr>
        <w:t>:</w:t>
      </w:r>
    </w:p>
    <w:p w14:paraId="7C43AF76"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návrhové plochy bydlení hromadného (m</w:t>
      </w:r>
      <w:r w:rsidRPr="00461C16">
        <w:rPr>
          <w:rFonts w:cs="TimesNewRoman"/>
          <w:lang w:eastAsia="cs-CZ"/>
        </w:rPr>
        <w:t>ě</w:t>
      </w:r>
      <w:r w:rsidRPr="00461C16">
        <w:rPr>
          <w:lang w:eastAsia="cs-CZ"/>
        </w:rPr>
        <w:t>stského) i individuálního (venkovského)</w:t>
      </w:r>
    </w:p>
    <w:p w14:paraId="4BAF4464"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lastRenderedPageBreak/>
        <w:t>návrhové plochy drobné ob</w:t>
      </w:r>
      <w:r w:rsidRPr="00461C16">
        <w:rPr>
          <w:rFonts w:cs="TimesNewRoman"/>
          <w:lang w:eastAsia="cs-CZ"/>
        </w:rPr>
        <w:t>č</w:t>
      </w:r>
      <w:r w:rsidRPr="00461C16">
        <w:rPr>
          <w:lang w:eastAsia="cs-CZ"/>
        </w:rPr>
        <w:t>anské vybavenosti a sportu</w:t>
      </w:r>
    </w:p>
    <w:p w14:paraId="1DDF9A5B"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návrhové plochy výroby</w:t>
      </w:r>
    </w:p>
    <w:p w14:paraId="2631495C"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v</w:t>
      </w:r>
      <w:r w:rsidRPr="00461C16">
        <w:rPr>
          <w:rFonts w:cs="TimesNewRoman"/>
          <w:lang w:eastAsia="cs-CZ"/>
        </w:rPr>
        <w:t>ě</w:t>
      </w:r>
      <w:r w:rsidRPr="00461C16">
        <w:rPr>
          <w:lang w:eastAsia="cs-CZ"/>
        </w:rPr>
        <w:t>trné elektrárny ve Václavicích – Uhelné</w:t>
      </w:r>
    </w:p>
    <w:p w14:paraId="4BD82005"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využití lokality bývalé cihelny – jako plochy smíšení centrální – bydlení (50 b.j.) a komer</w:t>
      </w:r>
      <w:r w:rsidRPr="00461C16">
        <w:rPr>
          <w:rFonts w:cs="TimesNewRoman"/>
          <w:lang w:eastAsia="cs-CZ"/>
        </w:rPr>
        <w:t>č</w:t>
      </w:r>
      <w:r w:rsidRPr="00461C16">
        <w:rPr>
          <w:lang w:eastAsia="cs-CZ"/>
        </w:rPr>
        <w:t>ní vybavenost</w:t>
      </w:r>
    </w:p>
    <w:p w14:paraId="3D51323D"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výstavba fotovoltaické elektrárny v Hrádku nad Nisou</w:t>
      </w:r>
    </w:p>
    <w:p w14:paraId="6F012081"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Programové priority rozvoje obce:</w:t>
      </w:r>
    </w:p>
    <w:p w14:paraId="1948E69B"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návrh rozvojových lokalit bydlení,</w:t>
      </w:r>
    </w:p>
    <w:p w14:paraId="1CC397F6"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rozší</w:t>
      </w:r>
      <w:r w:rsidRPr="00461C16">
        <w:rPr>
          <w:rFonts w:cs="TimesNewRoman"/>
          <w:lang w:eastAsia="cs-CZ"/>
        </w:rPr>
        <w:t>ř</w:t>
      </w:r>
      <w:r w:rsidRPr="00461C16">
        <w:rPr>
          <w:lang w:eastAsia="cs-CZ"/>
        </w:rPr>
        <w:t>ení pr</w:t>
      </w:r>
      <w:r w:rsidRPr="00461C16">
        <w:rPr>
          <w:rFonts w:cs="TimesNewRoman"/>
          <w:lang w:eastAsia="cs-CZ"/>
        </w:rPr>
        <w:t>ů</w:t>
      </w:r>
      <w:r w:rsidRPr="00461C16">
        <w:rPr>
          <w:lang w:eastAsia="cs-CZ"/>
        </w:rPr>
        <w:t>myslové zóny,</w:t>
      </w:r>
    </w:p>
    <w:p w14:paraId="16A96F11"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využití opušt</w:t>
      </w:r>
      <w:r w:rsidRPr="00461C16">
        <w:rPr>
          <w:rFonts w:cs="TimesNewRoman"/>
          <w:lang w:eastAsia="cs-CZ"/>
        </w:rPr>
        <w:t>ě</w:t>
      </w:r>
      <w:r w:rsidRPr="00461C16">
        <w:rPr>
          <w:lang w:eastAsia="cs-CZ"/>
        </w:rPr>
        <w:t>ných výrobních areál</w:t>
      </w:r>
      <w:r w:rsidRPr="00461C16">
        <w:rPr>
          <w:rFonts w:cs="TimesNewRoman"/>
          <w:lang w:eastAsia="cs-CZ"/>
        </w:rPr>
        <w:t xml:space="preserve">ů </w:t>
      </w:r>
      <w:r w:rsidRPr="00461C16">
        <w:rPr>
          <w:lang w:eastAsia="cs-CZ"/>
        </w:rPr>
        <w:t>a likvidace starých ekologických zát</w:t>
      </w:r>
      <w:r w:rsidRPr="00461C16">
        <w:rPr>
          <w:rFonts w:cs="TimesNewRoman"/>
          <w:lang w:eastAsia="cs-CZ"/>
        </w:rPr>
        <w:t>ě</w:t>
      </w:r>
      <w:r w:rsidRPr="00461C16">
        <w:rPr>
          <w:lang w:eastAsia="cs-CZ"/>
        </w:rPr>
        <w:t>ží,</w:t>
      </w:r>
    </w:p>
    <w:p w14:paraId="7D16A994"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zlepšení dopravní obslužnosti m</w:t>
      </w:r>
      <w:r w:rsidRPr="00461C16">
        <w:rPr>
          <w:rFonts w:cs="TimesNewRoman"/>
          <w:lang w:eastAsia="cs-CZ"/>
        </w:rPr>
        <w:t>ě</w:t>
      </w:r>
      <w:r w:rsidRPr="00461C16">
        <w:rPr>
          <w:lang w:eastAsia="cs-CZ"/>
        </w:rPr>
        <w:t xml:space="preserve">sta a jeho okrajových </w:t>
      </w:r>
      <w:r w:rsidRPr="00461C16">
        <w:rPr>
          <w:rFonts w:cs="TimesNewRoman"/>
          <w:lang w:eastAsia="cs-CZ"/>
        </w:rPr>
        <w:t>č</w:t>
      </w:r>
      <w:r w:rsidRPr="00461C16">
        <w:rPr>
          <w:lang w:eastAsia="cs-CZ"/>
        </w:rPr>
        <w:t>ástí – zajišt</w:t>
      </w:r>
      <w:r w:rsidRPr="00461C16">
        <w:rPr>
          <w:rFonts w:cs="TimesNewRoman"/>
          <w:lang w:eastAsia="cs-CZ"/>
        </w:rPr>
        <w:t>ě</w:t>
      </w:r>
      <w:r w:rsidRPr="00461C16">
        <w:rPr>
          <w:lang w:eastAsia="cs-CZ"/>
        </w:rPr>
        <w:t>ní autobusové dopravy, podpora cyklistické dopravy,</w:t>
      </w:r>
    </w:p>
    <w:p w14:paraId="69747AC4"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podpora realizace rychlostní komunikace R35 na Liberec a p</w:t>
      </w:r>
      <w:r w:rsidRPr="00461C16">
        <w:rPr>
          <w:rFonts w:cs="TimesNewRoman"/>
          <w:lang w:eastAsia="cs-CZ"/>
        </w:rPr>
        <w:t>ř</w:t>
      </w:r>
      <w:r w:rsidRPr="00461C16">
        <w:rPr>
          <w:lang w:eastAsia="cs-CZ"/>
        </w:rPr>
        <w:t xml:space="preserve">es území Polska do Žitavy, </w:t>
      </w:r>
      <w:r w:rsidRPr="00461C16">
        <w:rPr>
          <w:rFonts w:cs="TimesNewRoman"/>
          <w:lang w:eastAsia="cs-CZ"/>
        </w:rPr>
        <w:t>ř</w:t>
      </w:r>
      <w:r w:rsidRPr="00461C16">
        <w:rPr>
          <w:lang w:eastAsia="cs-CZ"/>
        </w:rPr>
        <w:t>ešení dopravního spojení na jih (Rynoltice),</w:t>
      </w:r>
    </w:p>
    <w:p w14:paraId="34968F8A"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zavedení inženýrských sítí do rozvojových lokalit a okolních sídel,</w:t>
      </w:r>
    </w:p>
    <w:p w14:paraId="0F0D6EE9"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využití obnovitelných zdroj</w:t>
      </w:r>
      <w:r w:rsidRPr="00461C16">
        <w:rPr>
          <w:rFonts w:cs="TimesNewRoman"/>
          <w:lang w:eastAsia="cs-CZ"/>
        </w:rPr>
        <w:t xml:space="preserve">ů </w:t>
      </w:r>
      <w:r w:rsidRPr="00461C16">
        <w:rPr>
          <w:lang w:eastAsia="cs-CZ"/>
        </w:rPr>
        <w:t>energie a alternativního zdroje tepla pro centrální vytáp</w:t>
      </w:r>
      <w:r w:rsidRPr="00461C16">
        <w:rPr>
          <w:rFonts w:cs="TimesNewRoman"/>
          <w:lang w:eastAsia="cs-CZ"/>
        </w:rPr>
        <w:t>ě</w:t>
      </w:r>
      <w:r w:rsidRPr="00461C16">
        <w:rPr>
          <w:lang w:eastAsia="cs-CZ"/>
        </w:rPr>
        <w:t>ní,</w:t>
      </w:r>
    </w:p>
    <w:p w14:paraId="1164A8F4" w14:textId="77777777" w:rsidR="007D06D2" w:rsidRPr="00461C16" w:rsidRDefault="007D06D2" w:rsidP="0076488C">
      <w:pPr>
        <w:pStyle w:val="ListParagraph"/>
        <w:numPr>
          <w:ilvl w:val="0"/>
          <w:numId w:val="35"/>
        </w:numPr>
        <w:autoSpaceDE w:val="0"/>
        <w:autoSpaceDN w:val="0"/>
        <w:adjustRightInd w:val="0"/>
        <w:spacing w:before="60" w:line="240" w:lineRule="auto"/>
        <w:rPr>
          <w:lang w:eastAsia="cs-CZ"/>
        </w:rPr>
      </w:pPr>
      <w:r w:rsidRPr="00461C16">
        <w:rPr>
          <w:lang w:eastAsia="cs-CZ"/>
        </w:rPr>
        <w:t>rozvoj služeb a cestovního ruchu – využití polohy v trojzemí.</w:t>
      </w:r>
    </w:p>
    <w:p w14:paraId="5DB256FB" w14:textId="77777777" w:rsidR="008F4C19" w:rsidRPr="00461C16" w:rsidRDefault="0033306A" w:rsidP="008F4C19">
      <w:pPr>
        <w:autoSpaceDE w:val="0"/>
        <w:autoSpaceDN w:val="0"/>
        <w:adjustRightInd w:val="0"/>
        <w:spacing w:before="120" w:line="240" w:lineRule="auto"/>
        <w:rPr>
          <w:i/>
          <w:lang w:eastAsia="cs-CZ"/>
        </w:rPr>
      </w:pPr>
      <w:r w:rsidRPr="00461C16">
        <w:rPr>
          <w:i/>
          <w:lang w:eastAsia="cs-CZ"/>
        </w:rPr>
        <w:t xml:space="preserve">Při stanovení koncepce ÚP byly </w:t>
      </w:r>
      <w:r w:rsidRPr="00461C16">
        <w:rPr>
          <w:i/>
        </w:rPr>
        <w:t>prověřeny všechny záměry evidované v ÚAP kraje, zpravidla převzaté z platného ÚPSÚ Hrádek nad Nisou</w:t>
      </w:r>
      <w:r w:rsidR="003F5DFE" w:rsidRPr="00461C16">
        <w:rPr>
          <w:i/>
        </w:rPr>
        <w:t>. Zá</w:t>
      </w:r>
      <w:r w:rsidRPr="00461C16">
        <w:rPr>
          <w:i/>
        </w:rPr>
        <w:t>měry, u kterých byl vyloučen zásadní střet s limity využití území</w:t>
      </w:r>
      <w:r w:rsidR="003F5DFE" w:rsidRPr="00461C16">
        <w:rPr>
          <w:i/>
        </w:rPr>
        <w:t xml:space="preserve"> a u kterých byla potvrzena jejich aktuálnost a </w:t>
      </w:r>
      <w:r w:rsidRPr="00461C16">
        <w:rPr>
          <w:i/>
        </w:rPr>
        <w:t>soulad s urbanistickou koncepcí, byly převzaty</w:t>
      </w:r>
      <w:r w:rsidRPr="00461C16">
        <w:rPr>
          <w:i/>
          <w:lang w:eastAsia="cs-CZ"/>
        </w:rPr>
        <w:t>.</w:t>
      </w:r>
      <w:r w:rsidR="00D31498">
        <w:rPr>
          <w:i/>
          <w:lang w:eastAsia="cs-CZ"/>
        </w:rPr>
        <w:t xml:space="preserve"> Některé ze záměrů již byly realizovány (fotovoltaická elektrárna, větrné elektrárny).</w:t>
      </w:r>
    </w:p>
    <w:p w14:paraId="1DBFB9D2" w14:textId="77777777" w:rsidR="00BF0070" w:rsidRPr="00461C16" w:rsidRDefault="00BF0070" w:rsidP="00BF0070">
      <w:pPr>
        <w:pStyle w:val="Heading2"/>
        <w:spacing w:after="240"/>
        <w:rPr>
          <w:lang w:eastAsia="cs-CZ"/>
        </w:rPr>
      </w:pPr>
      <w:bookmarkStart w:id="63" w:name="_Toc36116262"/>
      <w:r w:rsidRPr="00461C16">
        <w:rPr>
          <w:lang w:eastAsia="cs-CZ"/>
        </w:rPr>
        <w:t>3.3</w:t>
      </w:r>
      <w:r w:rsidRPr="00461C16">
        <w:rPr>
          <w:lang w:eastAsia="cs-CZ"/>
        </w:rPr>
        <w:tab/>
        <w:t>Požadavky na rozvoj území obce</w:t>
      </w:r>
      <w:bookmarkEnd w:id="63"/>
      <w:r w:rsidRPr="00461C16">
        <w:rPr>
          <w:lang w:eastAsia="cs-CZ"/>
        </w:rPr>
        <w:t xml:space="preserve"> </w:t>
      </w:r>
    </w:p>
    <w:p w14:paraId="5F487093" w14:textId="77777777" w:rsidR="00EF2D77" w:rsidRPr="00461C16" w:rsidRDefault="00EF2D7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Úkolem územního plánu (jako jednoho z nástrojů územního plánování) je stanovit koncepci rozvoje území, včetně urbanistické koncepce s ohledem na hodnoty a podmínky řešeného území. </w:t>
      </w:r>
    </w:p>
    <w:p w14:paraId="79139596" w14:textId="77777777" w:rsidR="007225A2" w:rsidRPr="00461C16" w:rsidRDefault="004A6B4D" w:rsidP="007225A2">
      <w:pPr>
        <w:pStyle w:val="BodyText"/>
        <w:spacing w:before="120" w:after="120"/>
        <w:rPr>
          <w:i/>
          <w:sz w:val="22"/>
          <w:szCs w:val="22"/>
        </w:rPr>
      </w:pPr>
      <w:r w:rsidRPr="00461C16">
        <w:rPr>
          <w:i/>
          <w:color w:val="000000"/>
          <w:sz w:val="22"/>
          <w:szCs w:val="22"/>
          <w:shd w:val="clear" w:color="auto" w:fill="FFFFFF"/>
        </w:rPr>
        <w:t>Požadavek je respektován. Stanovení koncepce rozvoje v ÚP vyplývá z platných právních předpisů a je nedílnou součástí dokumentace.</w:t>
      </w:r>
    </w:p>
    <w:p w14:paraId="7F5E81B1" w14:textId="77777777" w:rsidR="00EF2D77" w:rsidRPr="00461C16" w:rsidRDefault="00EF2D7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Návrh územního plánu musí vytvořit předpoklady pro výstavbu a udržitelný rozvoj území, spočívající ve vyváženém vztahu podmínek pro příznivé životní prostředí, pro hospodářský rozvoj a pro soudržnost společenství obyvatel území a který uspokojuje potřeby současné generace, aniž by ohrožoval podmínky života budoucích generací.</w:t>
      </w:r>
    </w:p>
    <w:p w14:paraId="67A25A36" w14:textId="77777777" w:rsidR="007225A2" w:rsidRPr="00461C16" w:rsidRDefault="004A6B4D" w:rsidP="007225A2">
      <w:pPr>
        <w:pStyle w:val="BodyText"/>
        <w:spacing w:before="120" w:after="120"/>
        <w:rPr>
          <w:i/>
          <w:sz w:val="22"/>
          <w:szCs w:val="22"/>
        </w:rPr>
      </w:pPr>
      <w:r w:rsidRPr="00461C16">
        <w:rPr>
          <w:i/>
          <w:color w:val="000000"/>
          <w:sz w:val="22"/>
          <w:szCs w:val="22"/>
          <w:shd w:val="clear" w:color="auto" w:fill="FFFFFF"/>
        </w:rPr>
        <w:t>Požadavek je respektován. Vytvoření předpokladů pro zajištění trvale udržitelného rozvoje vyplývá z platných právních předpisů a je základním cílem koncepce ÚP.</w:t>
      </w:r>
    </w:p>
    <w:p w14:paraId="5A6BADA5" w14:textId="77777777" w:rsidR="007D06D2" w:rsidRPr="00461C16" w:rsidRDefault="007D06D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Návrhu ÚP Hrádek nad Nisou prověřit využitelnost zastavitelných ploch vymezených v Územním plánu sídelního útvaru Hrádek </w:t>
      </w:r>
      <w:r w:rsidR="00A2376E" w:rsidRPr="00461C16">
        <w:rPr>
          <w:lang w:eastAsia="cs-CZ"/>
        </w:rPr>
        <w:t>nad Nisou a jeho změn, vyhodnotit</w:t>
      </w:r>
      <w:r w:rsidRPr="00461C16">
        <w:rPr>
          <w:lang w:eastAsia="cs-CZ"/>
        </w:rPr>
        <w:t xml:space="preserve"> je ta</w:t>
      </w:r>
      <w:r w:rsidR="007225A2" w:rsidRPr="00461C16">
        <w:rPr>
          <w:lang w:eastAsia="cs-CZ"/>
        </w:rPr>
        <w:t xml:space="preserve">k, aby byly plněny cíle a úkoly </w:t>
      </w:r>
      <w:r w:rsidRPr="00461C16">
        <w:rPr>
          <w:lang w:eastAsia="cs-CZ"/>
        </w:rPr>
        <w:t>územního plánování, požadavk</w:t>
      </w:r>
      <w:r w:rsidR="00A2376E" w:rsidRPr="00461C16">
        <w:rPr>
          <w:lang w:eastAsia="cs-CZ"/>
        </w:rPr>
        <w:t xml:space="preserve">y zadání a případně je zapracovat do Návrhu ÚP Hrádek nad Nisou. </w:t>
      </w:r>
    </w:p>
    <w:p w14:paraId="6FF17F96" w14:textId="77777777" w:rsidR="007225A2" w:rsidRPr="00461C16" w:rsidRDefault="004A6B4D" w:rsidP="007225A2">
      <w:pPr>
        <w:pStyle w:val="BodyText"/>
        <w:spacing w:before="120" w:after="120"/>
        <w:rPr>
          <w:i/>
          <w:sz w:val="22"/>
          <w:szCs w:val="22"/>
        </w:rPr>
      </w:pPr>
      <w:r w:rsidRPr="00461C16">
        <w:rPr>
          <w:i/>
          <w:color w:val="000000"/>
          <w:sz w:val="22"/>
          <w:szCs w:val="22"/>
          <w:shd w:val="clear" w:color="auto" w:fill="FFFFFF"/>
        </w:rPr>
        <w:t>Záměry ze současně platné ÚPD města byly individuálně prověřeny. Výsledek tohoto prověření a způsob jejich zohlednění jsou součástí tabulky v kap. 6.4.2.</w:t>
      </w:r>
    </w:p>
    <w:p w14:paraId="1EB885DF" w14:textId="77777777" w:rsidR="00A2376E" w:rsidRPr="00461C16" w:rsidRDefault="00A2376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Zohlednit limity využití území, jimiž jsou návrhové plochy nebo jejich části dle Územního plánu sídelního útvaru Hrádek nad Nisou a jeho změn, které byly zatíženy vydaným územním rozhodnutím nebo stavebním povolením a tato rozhodnutí byla v platnosti.</w:t>
      </w:r>
    </w:p>
    <w:p w14:paraId="27F4708A" w14:textId="77777777" w:rsidR="007225A2" w:rsidRPr="00461C16" w:rsidRDefault="000D1763" w:rsidP="007225A2">
      <w:pPr>
        <w:pStyle w:val="BodyText"/>
        <w:spacing w:before="120" w:after="120"/>
        <w:rPr>
          <w:i/>
          <w:sz w:val="22"/>
          <w:szCs w:val="22"/>
        </w:rPr>
      </w:pPr>
      <w:r w:rsidRPr="00461C16">
        <w:rPr>
          <w:i/>
          <w:color w:val="000000"/>
          <w:sz w:val="22"/>
          <w:szCs w:val="22"/>
          <w:shd w:val="clear" w:color="auto" w:fill="FFFFFF"/>
        </w:rPr>
        <w:t>Vydaná správní rozhodnutí na změny v území byla respektována.</w:t>
      </w:r>
    </w:p>
    <w:p w14:paraId="678E1E45" w14:textId="77777777" w:rsidR="00A2376E" w:rsidRPr="00461C16" w:rsidRDefault="00A2376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Prověřit známé a uplatněné záměry města Hrádek nad Nisou, občanů a investorů, tak jak jsou uvedeny v Doplňujících průzkumech a rozborech Hrádek nad Nisou a dále prověřit známé a uplatněné záměry města Hrádek nad Nisou, občanů, majitelů pozemků a investorů, které byly shromážděny před </w:t>
      </w:r>
      <w:r w:rsidRPr="00461C16">
        <w:rPr>
          <w:lang w:eastAsia="cs-CZ"/>
        </w:rPr>
        <w:lastRenderedPageBreak/>
        <w:t>zpracováním Návrhu Zadání ÚP Hrádek nad Nisou (dle Přílohy č. 1, která je nedílnou součástí tohoto zadání). Tyto záměry vyhodnotit tak, aby byly plněny cíle a úkoly územního plánování, požadavky zadání a případně je zapracuje do Návrhu ÚP Hrádek nad Nisou.</w:t>
      </w:r>
    </w:p>
    <w:p w14:paraId="522C297D" w14:textId="77777777" w:rsidR="007225A2" w:rsidRPr="00461C16" w:rsidRDefault="001A7505" w:rsidP="007225A2">
      <w:pPr>
        <w:pStyle w:val="BodyText"/>
        <w:spacing w:before="120" w:after="120"/>
        <w:rPr>
          <w:i/>
          <w:sz w:val="22"/>
          <w:szCs w:val="22"/>
        </w:rPr>
      </w:pPr>
      <w:r w:rsidRPr="00461C16">
        <w:rPr>
          <w:i/>
          <w:color w:val="000000"/>
          <w:sz w:val="22"/>
          <w:szCs w:val="22"/>
          <w:shd w:val="clear" w:color="auto" w:fill="FFFFFF"/>
        </w:rPr>
        <w:t>Záměry města Hrádek nad Nisou, občanů, investorů a majitelů pozemků, včetně všech záměrů v Příloze č. 1 schváleného Zadání ÚP, byly prověřeny a v případě, že nebyl zjištěn zásadní střet s limity využití území či s koncepcí ÚP, byly zohledněny.</w:t>
      </w:r>
    </w:p>
    <w:p w14:paraId="034073E2" w14:textId="77777777" w:rsidR="00A2376E" w:rsidRPr="00461C16" w:rsidRDefault="00A2376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Prověřit všechny připomínky majitelů pozemků, institucí, správců sítí a občanů, které byly podány ve stanové lhůtě, vyhodnotit je tak, aby byly plněny cíle a úkoly územního plánování, požadavky zadání a případně je zapracovat do Návrhu ÚP Hrádek nad Nisou.</w:t>
      </w:r>
    </w:p>
    <w:p w14:paraId="5AAA65EA" w14:textId="77777777" w:rsidR="007225A2" w:rsidRPr="00461C16" w:rsidRDefault="000D1763" w:rsidP="007225A2">
      <w:pPr>
        <w:pStyle w:val="BodyText"/>
        <w:spacing w:before="120" w:after="120"/>
        <w:rPr>
          <w:i/>
          <w:sz w:val="22"/>
          <w:szCs w:val="22"/>
        </w:rPr>
      </w:pPr>
      <w:r w:rsidRPr="00461C16">
        <w:rPr>
          <w:i/>
          <w:color w:val="000000"/>
          <w:sz w:val="22"/>
          <w:szCs w:val="22"/>
          <w:shd w:val="clear" w:color="auto" w:fill="FFFFFF"/>
        </w:rPr>
        <w:t>Předané podněty občanů byly prověřeny a v případě, že byly v souladu s koncepcí ÚP, byly zohledněny.</w:t>
      </w:r>
    </w:p>
    <w:p w14:paraId="5614A06B" w14:textId="77777777" w:rsidR="002F6557" w:rsidRPr="00461C16" w:rsidRDefault="00A2376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Prověřit a popřípadě vymezit v Návrhu ÚP Hrádek nad Nisou další vhodné plochy bydlení</w:t>
      </w:r>
      <w:r w:rsidR="002F6557" w:rsidRPr="00461C16">
        <w:rPr>
          <w:lang w:eastAsia="cs-CZ"/>
        </w:rPr>
        <w:t>,</w:t>
      </w:r>
      <w:r w:rsidRPr="00461C16">
        <w:rPr>
          <w:lang w:eastAsia="cs-CZ"/>
        </w:rPr>
        <w:t xml:space="preserve"> úměrně s ohledem na velikost a potřeby sídla, rekreace, občanského vybavení, veřejných prostranství, smíšené obytné, výroby a skladování, smíšené výrobní, dopravní a technické infrastruktury, vodní a vodohospodářské, zemědělské, lesní, přírodní, s</w:t>
      </w:r>
      <w:r w:rsidR="002F6557" w:rsidRPr="00461C16">
        <w:rPr>
          <w:lang w:eastAsia="cs-CZ"/>
        </w:rPr>
        <w:t>míšené nezastavěné</w:t>
      </w:r>
      <w:r w:rsidRPr="00461C16">
        <w:rPr>
          <w:lang w:eastAsia="cs-CZ"/>
        </w:rPr>
        <w:t xml:space="preserve"> území, těžby nerostů, specifické. Rozsah vymezení zastavitelných ploch konzultovat v</w:t>
      </w:r>
      <w:r w:rsidR="002F6557" w:rsidRPr="00461C16">
        <w:rPr>
          <w:lang w:eastAsia="cs-CZ"/>
        </w:rPr>
        <w:t> rozpracovanosti ÚP Hrádek nad Nisou s pořizovatelem a určeným zastupitelem města Hrádek nad Nisou.</w:t>
      </w:r>
    </w:p>
    <w:p w14:paraId="705B149E" w14:textId="77777777" w:rsidR="007225A2" w:rsidRPr="00461C16" w:rsidRDefault="00231E41" w:rsidP="007225A2">
      <w:pPr>
        <w:pStyle w:val="BodyText"/>
        <w:spacing w:before="120" w:after="120"/>
        <w:rPr>
          <w:i/>
          <w:sz w:val="22"/>
          <w:szCs w:val="22"/>
        </w:rPr>
      </w:pPr>
      <w:r w:rsidRPr="00461C16">
        <w:rPr>
          <w:i/>
          <w:color w:val="000000"/>
          <w:sz w:val="22"/>
          <w:szCs w:val="22"/>
          <w:shd w:val="clear" w:color="auto" w:fill="FFFFFF"/>
        </w:rPr>
        <w:t>V ÚP jsou vymezeny plochy pro rozvoj smíšené městské a venkovské zástavby, rozvoj bydlení, rekreace, občanského vybavení, veřejných prostranství, dopravní i technické infrastruktury a výroby. Lokalizace těchto ploch zohledňuje urbanistickou strukturu města a krajiny, hodnoty i limity území.</w:t>
      </w:r>
    </w:p>
    <w:p w14:paraId="7132D2E1" w14:textId="77777777" w:rsidR="002F6557" w:rsidRPr="00461C16" w:rsidRDefault="002F655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Plochy s rozdílným zp</w:t>
      </w:r>
      <w:r w:rsidRPr="00461C16">
        <w:rPr>
          <w:rFonts w:cs="TimesNewRoman"/>
          <w:lang w:eastAsia="cs-CZ"/>
        </w:rPr>
        <w:t>ů</w:t>
      </w:r>
      <w:r w:rsidRPr="00461C16">
        <w:rPr>
          <w:lang w:eastAsia="cs-CZ"/>
        </w:rPr>
        <w:t>sobem využití lze s ohledem na specifické podmínky a charakter území dále podrobn</w:t>
      </w:r>
      <w:r w:rsidRPr="00461C16">
        <w:rPr>
          <w:rFonts w:cs="TimesNewRoman"/>
          <w:lang w:eastAsia="cs-CZ"/>
        </w:rPr>
        <w:t>ě</w:t>
      </w:r>
      <w:r w:rsidRPr="00461C16">
        <w:rPr>
          <w:lang w:eastAsia="cs-CZ"/>
        </w:rPr>
        <w:t xml:space="preserve">ji </w:t>
      </w:r>
      <w:r w:rsidRPr="00461C16">
        <w:rPr>
          <w:rFonts w:cs="TimesNewRoman"/>
          <w:lang w:eastAsia="cs-CZ"/>
        </w:rPr>
        <w:t>č</w:t>
      </w:r>
      <w:r w:rsidRPr="00461C16">
        <w:rPr>
          <w:lang w:eastAsia="cs-CZ"/>
        </w:rPr>
        <w:t xml:space="preserve">lenit dle § 3 vyhlášky </w:t>
      </w:r>
      <w:r w:rsidRPr="00461C16">
        <w:rPr>
          <w:rFonts w:cs="TimesNewRoman"/>
          <w:lang w:eastAsia="cs-CZ"/>
        </w:rPr>
        <w:t>č</w:t>
      </w:r>
      <w:r w:rsidRPr="00461C16">
        <w:rPr>
          <w:lang w:eastAsia="cs-CZ"/>
        </w:rPr>
        <w:t>. 501/2006 Sb., o obecných požadavcích na využívání území</w:t>
      </w:r>
      <w:r w:rsidR="00A53768" w:rsidRPr="00461C16">
        <w:rPr>
          <w:lang w:eastAsia="cs-CZ"/>
        </w:rPr>
        <w:t>, v platném znění</w:t>
      </w:r>
      <w:r w:rsidRPr="00461C16">
        <w:rPr>
          <w:lang w:eastAsia="cs-CZ"/>
        </w:rPr>
        <w:t>. Ve zvláš</w:t>
      </w:r>
      <w:r w:rsidRPr="00461C16">
        <w:rPr>
          <w:rFonts w:cs="TimesNewRoman"/>
          <w:lang w:eastAsia="cs-CZ"/>
        </w:rPr>
        <w:t xml:space="preserve">ť </w:t>
      </w:r>
      <w:r w:rsidRPr="00461C16">
        <w:rPr>
          <w:lang w:eastAsia="cs-CZ"/>
        </w:rPr>
        <w:t>od</w:t>
      </w:r>
      <w:r w:rsidRPr="00461C16">
        <w:rPr>
          <w:rFonts w:cs="TimesNewRoman"/>
          <w:lang w:eastAsia="cs-CZ"/>
        </w:rPr>
        <w:t>ů</w:t>
      </w:r>
      <w:r w:rsidRPr="00461C16">
        <w:rPr>
          <w:lang w:eastAsia="cs-CZ"/>
        </w:rPr>
        <w:t>vodn</w:t>
      </w:r>
      <w:r w:rsidRPr="00461C16">
        <w:rPr>
          <w:rFonts w:cs="TimesNewRoman"/>
          <w:lang w:eastAsia="cs-CZ"/>
        </w:rPr>
        <w:t>ě</w:t>
      </w:r>
      <w:r w:rsidRPr="00461C16">
        <w:rPr>
          <w:lang w:eastAsia="cs-CZ"/>
        </w:rPr>
        <w:t>ných p</w:t>
      </w:r>
      <w:r w:rsidRPr="00461C16">
        <w:rPr>
          <w:rFonts w:cs="TimesNewRoman"/>
          <w:lang w:eastAsia="cs-CZ"/>
        </w:rPr>
        <w:t>ř</w:t>
      </w:r>
      <w:r w:rsidRPr="00461C16">
        <w:rPr>
          <w:lang w:eastAsia="cs-CZ"/>
        </w:rPr>
        <w:t>ípadech lze stanovit plochy s jiným zp</w:t>
      </w:r>
      <w:r w:rsidRPr="00461C16">
        <w:rPr>
          <w:rFonts w:cs="TimesNewRoman"/>
          <w:lang w:eastAsia="cs-CZ"/>
        </w:rPr>
        <w:t>ů</w:t>
      </w:r>
      <w:r w:rsidRPr="00461C16">
        <w:rPr>
          <w:lang w:eastAsia="cs-CZ"/>
        </w:rPr>
        <w:t xml:space="preserve">sobem využití, než je stanoveno v § 4 až 19 vyhlášky </w:t>
      </w:r>
      <w:r w:rsidRPr="00461C16">
        <w:rPr>
          <w:rFonts w:cs="TimesNewRoman"/>
          <w:lang w:eastAsia="cs-CZ"/>
        </w:rPr>
        <w:t>č</w:t>
      </w:r>
      <w:r w:rsidRPr="00461C16">
        <w:rPr>
          <w:lang w:eastAsia="cs-CZ"/>
        </w:rPr>
        <w:t>. 501/2006 Sb., o obecných požadavcích na využívání území</w:t>
      </w:r>
      <w:r w:rsidR="00A53768" w:rsidRPr="00461C16">
        <w:rPr>
          <w:lang w:eastAsia="cs-CZ"/>
        </w:rPr>
        <w:t>, v platném znění</w:t>
      </w:r>
      <w:r w:rsidRPr="00461C16">
        <w:rPr>
          <w:rFonts w:cs="TimesNewRoman"/>
          <w:lang w:eastAsia="cs-CZ"/>
        </w:rPr>
        <w:t xml:space="preserve"> </w:t>
      </w:r>
      <w:r w:rsidRPr="00461C16">
        <w:rPr>
          <w:lang w:eastAsia="cs-CZ"/>
        </w:rPr>
        <w:t>a to za p</w:t>
      </w:r>
      <w:r w:rsidRPr="00461C16">
        <w:rPr>
          <w:rFonts w:cs="TimesNewRoman"/>
          <w:lang w:eastAsia="cs-CZ"/>
        </w:rPr>
        <w:t>ř</w:t>
      </w:r>
      <w:r w:rsidRPr="00461C16">
        <w:rPr>
          <w:lang w:eastAsia="cs-CZ"/>
        </w:rPr>
        <w:t>edpokladu, že to bude zd</w:t>
      </w:r>
      <w:r w:rsidRPr="00461C16">
        <w:rPr>
          <w:rFonts w:cs="TimesNewRoman"/>
          <w:lang w:eastAsia="cs-CZ"/>
        </w:rPr>
        <w:t>ů</w:t>
      </w:r>
      <w:r w:rsidRPr="00461C16">
        <w:rPr>
          <w:lang w:eastAsia="cs-CZ"/>
        </w:rPr>
        <w:t>vodn</w:t>
      </w:r>
      <w:r w:rsidRPr="00461C16">
        <w:rPr>
          <w:rFonts w:cs="TimesNewRoman"/>
          <w:lang w:eastAsia="cs-CZ"/>
        </w:rPr>
        <w:t>ě</w:t>
      </w:r>
      <w:r w:rsidRPr="00461C16">
        <w:rPr>
          <w:lang w:eastAsia="cs-CZ"/>
        </w:rPr>
        <w:t>no v od</w:t>
      </w:r>
      <w:r w:rsidRPr="00461C16">
        <w:rPr>
          <w:rFonts w:cs="TimesNewRoman"/>
          <w:lang w:eastAsia="cs-CZ"/>
        </w:rPr>
        <w:t>ů</w:t>
      </w:r>
      <w:r w:rsidRPr="00461C16">
        <w:rPr>
          <w:lang w:eastAsia="cs-CZ"/>
        </w:rPr>
        <w:t>vodn</w:t>
      </w:r>
      <w:r w:rsidRPr="00461C16">
        <w:rPr>
          <w:rFonts w:cs="TimesNewRoman"/>
          <w:lang w:eastAsia="cs-CZ"/>
        </w:rPr>
        <w:t>ě</w:t>
      </w:r>
      <w:r w:rsidRPr="00461C16">
        <w:rPr>
          <w:lang w:eastAsia="cs-CZ"/>
        </w:rPr>
        <w:t>ní opat</w:t>
      </w:r>
      <w:r w:rsidRPr="00461C16">
        <w:rPr>
          <w:rFonts w:cs="TimesNewRoman"/>
          <w:lang w:eastAsia="cs-CZ"/>
        </w:rPr>
        <w:t>ř</w:t>
      </w:r>
      <w:r w:rsidRPr="00461C16">
        <w:rPr>
          <w:lang w:eastAsia="cs-CZ"/>
        </w:rPr>
        <w:t>ení obecné povahy, kterým se vydává územní plán.</w:t>
      </w:r>
    </w:p>
    <w:p w14:paraId="45D0E7B7" w14:textId="77777777" w:rsidR="007225A2" w:rsidRPr="00461C16" w:rsidRDefault="006E280D" w:rsidP="007225A2">
      <w:pPr>
        <w:pStyle w:val="BodyText"/>
        <w:spacing w:before="120" w:after="120"/>
        <w:rPr>
          <w:i/>
          <w:sz w:val="22"/>
          <w:szCs w:val="22"/>
        </w:rPr>
      </w:pPr>
      <w:r w:rsidRPr="00461C16">
        <w:rPr>
          <w:i/>
          <w:color w:val="000000"/>
          <w:sz w:val="22"/>
          <w:szCs w:val="22"/>
          <w:shd w:val="clear" w:color="auto" w:fill="FFFFFF"/>
        </w:rPr>
        <w:t xml:space="preserve">Plochy s rozdílným způsobem využití byly vymezeny v souladu s požadavky vyhlášky č. 501/2006 Sb. a metodikou MINIS. Nad rámec §4 - §19 vyhlášky jsou vymezeny plochy zeleně, za účelem stanovení specifických podmínek využití a prostorového uspořádání a zároveň ochrany některých částí </w:t>
      </w:r>
      <w:r w:rsidR="00E437D4" w:rsidRPr="00461C16">
        <w:rPr>
          <w:i/>
          <w:color w:val="000000"/>
          <w:sz w:val="22"/>
          <w:szCs w:val="22"/>
          <w:shd w:val="clear" w:color="auto" w:fill="FFFFFF"/>
        </w:rPr>
        <w:t>území – viz odůvodnění v kap. 6.7.1.</w:t>
      </w:r>
    </w:p>
    <w:p w14:paraId="7A56398F" w14:textId="77777777" w:rsidR="002F6557" w:rsidRPr="00461C16" w:rsidRDefault="002F6557" w:rsidP="00C41445">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Prověřit a vymezit zastavěné území v souladu s § 2 odst. 1 a § 58 stavebního zákona.</w:t>
      </w:r>
    </w:p>
    <w:p w14:paraId="58EB1A3C" w14:textId="1FB5AAB1" w:rsidR="008F4C19" w:rsidRPr="00461C16" w:rsidRDefault="000D1763" w:rsidP="008F4C19">
      <w:pPr>
        <w:autoSpaceDE w:val="0"/>
        <w:autoSpaceDN w:val="0"/>
        <w:adjustRightInd w:val="0"/>
        <w:spacing w:before="120" w:line="240" w:lineRule="auto"/>
        <w:rPr>
          <w:i/>
          <w:lang w:eastAsia="cs-CZ"/>
        </w:rPr>
      </w:pPr>
      <w:r w:rsidRPr="00461C16">
        <w:rPr>
          <w:i/>
          <w:lang w:eastAsia="cs-CZ"/>
        </w:rPr>
        <w:t xml:space="preserve">Hranice zastavěného území je vymezena dle platných právních předpisů, ke dni </w:t>
      </w:r>
      <w:r w:rsidR="00280DE7">
        <w:rPr>
          <w:i/>
          <w:lang w:eastAsia="cs-CZ"/>
        </w:rPr>
        <w:t>1</w:t>
      </w:r>
      <w:r w:rsidR="00280DE7" w:rsidRPr="00461C16">
        <w:rPr>
          <w:i/>
          <w:lang w:eastAsia="cs-CZ"/>
        </w:rPr>
        <w:t>1</w:t>
      </w:r>
      <w:r w:rsidRPr="00461C16">
        <w:rPr>
          <w:i/>
          <w:lang w:eastAsia="cs-CZ"/>
        </w:rPr>
        <w:t>.</w:t>
      </w:r>
      <w:r w:rsidR="00280DE7">
        <w:rPr>
          <w:i/>
          <w:lang w:eastAsia="cs-CZ"/>
        </w:rPr>
        <w:t>1</w:t>
      </w:r>
      <w:r w:rsidRPr="00461C16">
        <w:rPr>
          <w:i/>
          <w:lang w:eastAsia="cs-CZ"/>
        </w:rPr>
        <w:t>1.</w:t>
      </w:r>
      <w:r w:rsidR="002C2B8D" w:rsidRPr="00461C16">
        <w:rPr>
          <w:i/>
          <w:lang w:eastAsia="cs-CZ"/>
        </w:rPr>
        <w:t>201</w:t>
      </w:r>
      <w:r w:rsidR="002C2B8D">
        <w:rPr>
          <w:i/>
          <w:lang w:eastAsia="cs-CZ"/>
        </w:rPr>
        <w:t>9</w:t>
      </w:r>
      <w:r w:rsidRPr="00461C16">
        <w:rPr>
          <w:i/>
          <w:lang w:eastAsia="cs-CZ"/>
        </w:rPr>
        <w:t>.</w:t>
      </w:r>
    </w:p>
    <w:p w14:paraId="4E5A503B" w14:textId="77777777" w:rsidR="00BF0070" w:rsidRPr="00461C16" w:rsidRDefault="00BF0070" w:rsidP="00BF0070">
      <w:pPr>
        <w:pStyle w:val="Heading2"/>
        <w:spacing w:after="240"/>
        <w:rPr>
          <w:lang w:eastAsia="cs-CZ"/>
        </w:rPr>
      </w:pPr>
      <w:bookmarkStart w:id="64" w:name="_Toc36116263"/>
      <w:r w:rsidRPr="00461C16">
        <w:rPr>
          <w:lang w:eastAsia="cs-CZ"/>
        </w:rPr>
        <w:t>3.4</w:t>
      </w:r>
      <w:r w:rsidRPr="00461C16">
        <w:rPr>
          <w:lang w:eastAsia="cs-CZ"/>
        </w:rPr>
        <w:tab/>
        <w:t>Požadavky na plošné a prostorové uspořádání území (urbanistickou koncepci a koncepci uspořádání krajiny)</w:t>
      </w:r>
      <w:bookmarkEnd w:id="64"/>
      <w:r w:rsidRPr="00461C16">
        <w:rPr>
          <w:lang w:eastAsia="cs-CZ"/>
        </w:rPr>
        <w:t xml:space="preserve"> </w:t>
      </w:r>
    </w:p>
    <w:p w14:paraId="79C4B881" w14:textId="77777777" w:rsidR="00EF2D77" w:rsidRPr="00461C16" w:rsidRDefault="00EF2D7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Všechny plochy územního plánu budou vymezovat podle stávajícího nebo požadovaného způsobu využití s respektováním ochrany veřejných zájmů (ochrana přírodního a kulturního dědictví, civilizačních a architektonických a urbanistických hodnot).</w:t>
      </w:r>
    </w:p>
    <w:p w14:paraId="0AE71B3C" w14:textId="77777777" w:rsidR="007225A2" w:rsidRPr="00461C16" w:rsidRDefault="00255D4C" w:rsidP="007225A2">
      <w:pPr>
        <w:pStyle w:val="BodyText"/>
        <w:spacing w:before="120" w:after="120"/>
        <w:rPr>
          <w:i/>
          <w:sz w:val="22"/>
          <w:szCs w:val="22"/>
        </w:rPr>
      </w:pPr>
      <w:r w:rsidRPr="00461C16">
        <w:rPr>
          <w:i/>
          <w:color w:val="000000"/>
          <w:sz w:val="22"/>
          <w:szCs w:val="22"/>
          <w:shd w:val="clear" w:color="auto" w:fill="FFFFFF"/>
        </w:rPr>
        <w:t>Vymezení ploch zohledňuje stávající i požadovaný způsob využití území, stejně jako veřejné zájmy.</w:t>
      </w:r>
    </w:p>
    <w:p w14:paraId="5F0C95B3" w14:textId="77777777" w:rsidR="00EF2D77" w:rsidRPr="00461C16" w:rsidRDefault="00EF2D7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S přihlédnutím k účelu a podrobnosti vymezovat zejména plochy o rozloze větší než 2000 m</w:t>
      </w:r>
      <w:r w:rsidRPr="00461C16">
        <w:rPr>
          <w:vertAlign w:val="superscript"/>
          <w:lang w:eastAsia="cs-CZ"/>
        </w:rPr>
        <w:t>2</w:t>
      </w:r>
      <w:r w:rsidRPr="00461C16">
        <w:rPr>
          <w:lang w:eastAsia="cs-CZ"/>
        </w:rPr>
        <w:t>.</w:t>
      </w:r>
    </w:p>
    <w:p w14:paraId="00D7EA1E" w14:textId="77777777" w:rsidR="008F4C19" w:rsidRPr="00461C16" w:rsidRDefault="00255D4C" w:rsidP="008F4C19">
      <w:pPr>
        <w:autoSpaceDE w:val="0"/>
        <w:autoSpaceDN w:val="0"/>
        <w:adjustRightInd w:val="0"/>
        <w:spacing w:before="120" w:line="240" w:lineRule="auto"/>
        <w:rPr>
          <w:i/>
          <w:lang w:eastAsia="cs-CZ"/>
        </w:rPr>
      </w:pPr>
      <w:r w:rsidRPr="00461C16">
        <w:rPr>
          <w:i/>
          <w:lang w:eastAsia="cs-CZ"/>
        </w:rPr>
        <w:t xml:space="preserve">Požadavek je respektován, s výjimkou několika odůvodněných případů (samostatné stavby v krajině, nezbytná ochrana stávajícího způsobu využití ploch, apod.) </w:t>
      </w:r>
    </w:p>
    <w:p w14:paraId="763D3E90" w14:textId="77777777" w:rsidR="002F6557" w:rsidRPr="00461C16" w:rsidRDefault="002F6557" w:rsidP="00EF2D77">
      <w:pPr>
        <w:spacing w:before="160"/>
        <w:rPr>
          <w:rFonts w:cs="Arial"/>
          <w:u w:val="single"/>
        </w:rPr>
      </w:pPr>
      <w:r w:rsidRPr="00461C16">
        <w:rPr>
          <w:rFonts w:cs="Arial"/>
          <w:u w:val="single"/>
        </w:rPr>
        <w:t>Urbanistická koncepce</w:t>
      </w:r>
    </w:p>
    <w:p w14:paraId="269606F6" w14:textId="77777777" w:rsidR="002F6557" w:rsidRPr="00461C16" w:rsidRDefault="002F655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Zachovávat urbanistickou koncepci stanovenou Územním plánem sídelního útvaru Hrádek nad Nisou.</w:t>
      </w:r>
    </w:p>
    <w:p w14:paraId="6495D8EB" w14:textId="77777777" w:rsidR="007225A2" w:rsidRPr="00461C16" w:rsidRDefault="001B5096" w:rsidP="007225A2">
      <w:pPr>
        <w:pStyle w:val="BodyText"/>
        <w:spacing w:before="120" w:after="120"/>
        <w:rPr>
          <w:i/>
          <w:sz w:val="22"/>
          <w:szCs w:val="22"/>
        </w:rPr>
      </w:pPr>
      <w:r w:rsidRPr="00461C16">
        <w:rPr>
          <w:i/>
          <w:color w:val="000000"/>
          <w:sz w:val="22"/>
          <w:szCs w:val="22"/>
          <w:shd w:val="clear" w:color="auto" w:fill="FFFFFF"/>
        </w:rPr>
        <w:t xml:space="preserve">Základní principy urbanistické koncepce ÚPSÚ Hrádek nad Nisou jsou respektovány. </w:t>
      </w:r>
    </w:p>
    <w:p w14:paraId="63AF8922" w14:textId="77777777" w:rsidR="002F6557" w:rsidRPr="00461C16" w:rsidRDefault="002F655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Při řešení respektovat městskou památkovou zónu</w:t>
      </w:r>
      <w:r w:rsidR="001B5096" w:rsidRPr="00461C16">
        <w:rPr>
          <w:lang w:eastAsia="cs-CZ"/>
        </w:rPr>
        <w:t>.</w:t>
      </w:r>
    </w:p>
    <w:p w14:paraId="602CCE6B" w14:textId="77777777" w:rsidR="007225A2" w:rsidRPr="00461C16" w:rsidRDefault="001B5096" w:rsidP="007225A2">
      <w:pPr>
        <w:pStyle w:val="BodyText"/>
        <w:spacing w:before="120" w:after="120"/>
        <w:rPr>
          <w:i/>
          <w:sz w:val="22"/>
          <w:szCs w:val="22"/>
        </w:rPr>
      </w:pPr>
      <w:r w:rsidRPr="00461C16">
        <w:rPr>
          <w:i/>
          <w:color w:val="000000"/>
          <w:sz w:val="22"/>
          <w:szCs w:val="22"/>
          <w:shd w:val="clear" w:color="auto" w:fill="FFFFFF"/>
        </w:rPr>
        <w:t xml:space="preserve">MPZ Hrádek nad Nisou je respektována jako významná kulturní hodnota území. </w:t>
      </w:r>
    </w:p>
    <w:p w14:paraId="31F7BC62" w14:textId="77777777" w:rsidR="002F6557" w:rsidRPr="00461C16" w:rsidRDefault="0014655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Zastavitelné plochy řešit tak, aby sídlo vhodně zahušťovaly, řešit v návaznosti na zastavěné území a tím minimalizovat zábor krajiny.</w:t>
      </w:r>
    </w:p>
    <w:p w14:paraId="0802C975" w14:textId="77777777" w:rsidR="007225A2" w:rsidRPr="00461C16" w:rsidRDefault="001B5096" w:rsidP="007225A2">
      <w:pPr>
        <w:pStyle w:val="BodyText"/>
        <w:spacing w:before="120" w:after="120"/>
        <w:rPr>
          <w:i/>
          <w:sz w:val="22"/>
          <w:szCs w:val="22"/>
        </w:rPr>
      </w:pPr>
      <w:r w:rsidRPr="00461C16">
        <w:rPr>
          <w:i/>
          <w:color w:val="000000"/>
          <w:sz w:val="22"/>
          <w:szCs w:val="22"/>
          <w:shd w:val="clear" w:color="auto" w:fill="FFFFFF"/>
        </w:rPr>
        <w:t>Plochy změn využívají přednostně prostorové proluky v zástavbě, případně jsou vymezeny na okraji zastavěného území. Zábor volné krajiny je minimalizován.</w:t>
      </w:r>
    </w:p>
    <w:p w14:paraId="6DF7366A" w14:textId="77777777" w:rsidR="00146552" w:rsidRPr="00461C16" w:rsidRDefault="0014655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Při vymezování zastavitelných ploch respektovat morfologii terénu a historicky vytvořenou urbanistickou strukturu sídla tak, aby budoucí výstavba přispívala k vytváření nové a soudobé identity prostoru při respektování prostorových vazeb s původní zástavbou.</w:t>
      </w:r>
    </w:p>
    <w:p w14:paraId="3FEF6117" w14:textId="77777777" w:rsidR="007225A2" w:rsidRPr="00461C16" w:rsidRDefault="00F94427" w:rsidP="007225A2">
      <w:pPr>
        <w:pStyle w:val="BodyText"/>
        <w:spacing w:before="120" w:after="120"/>
        <w:rPr>
          <w:i/>
          <w:sz w:val="22"/>
          <w:szCs w:val="22"/>
        </w:rPr>
      </w:pPr>
      <w:r w:rsidRPr="00461C16">
        <w:rPr>
          <w:i/>
          <w:color w:val="000000"/>
          <w:sz w:val="22"/>
          <w:szCs w:val="22"/>
          <w:shd w:val="clear" w:color="auto" w:fill="FFFFFF"/>
        </w:rPr>
        <w:t xml:space="preserve">Koncepce ÚP respektuje krajinnou i urbanistickou strukturu území a stanovuje podmínky pro zachování současného charakteru města a všech jeho hodnot. </w:t>
      </w:r>
    </w:p>
    <w:p w14:paraId="5D6C8E70" w14:textId="77777777" w:rsidR="00146552" w:rsidRPr="00461C16" w:rsidRDefault="0014655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Při plošném zajišťování urbanizačních aktivit upřednostňovat pokud možno využití zastavěného území a původních stavebních parcel. </w:t>
      </w:r>
    </w:p>
    <w:p w14:paraId="28A14BC9" w14:textId="77777777" w:rsidR="007225A2" w:rsidRPr="00461C16" w:rsidRDefault="00F94427" w:rsidP="007225A2">
      <w:pPr>
        <w:pStyle w:val="BodyText"/>
        <w:spacing w:before="120" w:after="120"/>
        <w:rPr>
          <w:i/>
          <w:sz w:val="22"/>
          <w:szCs w:val="22"/>
        </w:rPr>
      </w:pPr>
      <w:r w:rsidRPr="00461C16">
        <w:rPr>
          <w:i/>
          <w:color w:val="000000"/>
          <w:sz w:val="22"/>
          <w:szCs w:val="22"/>
          <w:shd w:val="clear" w:color="auto" w:fill="FFFFFF"/>
        </w:rPr>
        <w:t>viz</w:t>
      </w:r>
      <w:r w:rsidR="007225A2" w:rsidRPr="00461C16">
        <w:rPr>
          <w:i/>
          <w:color w:val="000000"/>
          <w:sz w:val="22"/>
          <w:szCs w:val="22"/>
          <w:shd w:val="clear" w:color="auto" w:fill="FFFFFF"/>
        </w:rPr>
        <w:t xml:space="preserve"> vyhodnocení</w:t>
      </w:r>
      <w:r w:rsidRPr="00461C16">
        <w:rPr>
          <w:i/>
          <w:color w:val="000000"/>
          <w:sz w:val="22"/>
          <w:szCs w:val="22"/>
          <w:shd w:val="clear" w:color="auto" w:fill="FFFFFF"/>
        </w:rPr>
        <w:t xml:space="preserve"> požadavku č. 159</w:t>
      </w:r>
    </w:p>
    <w:p w14:paraId="4EE5237A" w14:textId="77777777" w:rsidR="00146552" w:rsidRPr="00461C16" w:rsidRDefault="0014655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zastavěném území a zastavitelných plochách chránit – stabilizovat plochy stávající zeleně, řešit jejich zapojení do okolní krajiny. </w:t>
      </w:r>
    </w:p>
    <w:p w14:paraId="478EE7C5" w14:textId="77777777" w:rsidR="007225A2" w:rsidRPr="00461C16" w:rsidRDefault="00A32E7D" w:rsidP="007225A2">
      <w:pPr>
        <w:pStyle w:val="BodyText"/>
        <w:spacing w:before="120" w:after="120"/>
        <w:rPr>
          <w:i/>
          <w:sz w:val="22"/>
          <w:szCs w:val="22"/>
        </w:rPr>
      </w:pPr>
      <w:r w:rsidRPr="00461C16">
        <w:rPr>
          <w:i/>
          <w:color w:val="000000"/>
          <w:sz w:val="22"/>
          <w:szCs w:val="22"/>
          <w:shd w:val="clear" w:color="auto" w:fill="FFFFFF"/>
        </w:rPr>
        <w:t xml:space="preserve">Stávající významné plochy zeleně jsou stabilizovány formou ploch ZV, ZS ev. NK jako součást systému sídelní zeleně. </w:t>
      </w:r>
    </w:p>
    <w:p w14:paraId="505E5259" w14:textId="77777777" w:rsidR="00146552" w:rsidRPr="00461C16" w:rsidRDefault="0014655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Urbanizační expanze mimo hranice zastavěného území musí být uvážená a zdůvodněná, ve volné krajině nevytvářet nová sídla nebo samoty.</w:t>
      </w:r>
    </w:p>
    <w:p w14:paraId="4D89FBBE" w14:textId="77777777" w:rsidR="007225A2" w:rsidRPr="00461C16" w:rsidRDefault="00F94427" w:rsidP="007225A2">
      <w:pPr>
        <w:pStyle w:val="BodyText"/>
        <w:spacing w:before="120" w:after="120"/>
        <w:rPr>
          <w:i/>
          <w:color w:val="000000"/>
          <w:sz w:val="22"/>
          <w:szCs w:val="22"/>
          <w:shd w:val="clear" w:color="auto" w:fill="FFFFFF"/>
        </w:rPr>
      </w:pPr>
      <w:r w:rsidRPr="00461C16">
        <w:rPr>
          <w:i/>
          <w:color w:val="000000"/>
          <w:sz w:val="22"/>
          <w:szCs w:val="22"/>
          <w:shd w:val="clear" w:color="auto" w:fill="FFFFFF"/>
        </w:rPr>
        <w:t>viz vyhodnocení požadavku č. 159.</w:t>
      </w:r>
    </w:p>
    <w:p w14:paraId="418B98F1" w14:textId="17621122" w:rsidR="00F94427" w:rsidRPr="00461C16" w:rsidRDefault="00F94427" w:rsidP="007225A2">
      <w:pPr>
        <w:pStyle w:val="BodyText"/>
        <w:spacing w:before="120" w:after="120"/>
        <w:rPr>
          <w:i/>
          <w:sz w:val="22"/>
          <w:szCs w:val="22"/>
        </w:rPr>
      </w:pPr>
      <w:r w:rsidRPr="00461C16">
        <w:rPr>
          <w:i/>
          <w:color w:val="000000"/>
          <w:sz w:val="22"/>
          <w:szCs w:val="22"/>
          <w:shd w:val="clear" w:color="auto" w:fill="FFFFFF"/>
        </w:rPr>
        <w:t xml:space="preserve">Nejvýraznějším zásahem do krajiny je vymezení rozsáhlých ploch výroby podél městského obchvatu. Důvodem je podpora ekonomických aktivit s využitím potenciálu přeshraničních vazeb a poloha v rozvojové </w:t>
      </w:r>
      <w:r w:rsidR="000E7DF1" w:rsidRPr="00461C16">
        <w:rPr>
          <w:i/>
          <w:color w:val="000000"/>
          <w:sz w:val="22"/>
          <w:szCs w:val="22"/>
          <w:shd w:val="clear" w:color="auto" w:fill="FFFFFF"/>
        </w:rPr>
        <w:t>oblast</w:t>
      </w:r>
      <w:r w:rsidR="000E7DF1">
        <w:rPr>
          <w:i/>
          <w:color w:val="000000"/>
          <w:sz w:val="22"/>
          <w:szCs w:val="22"/>
          <w:shd w:val="clear" w:color="auto" w:fill="FFFFFF"/>
        </w:rPr>
        <w:t>i</w:t>
      </w:r>
      <w:r w:rsidR="000E7DF1" w:rsidRPr="00461C16">
        <w:rPr>
          <w:i/>
          <w:color w:val="000000"/>
          <w:sz w:val="22"/>
          <w:szCs w:val="22"/>
          <w:shd w:val="clear" w:color="auto" w:fill="FFFFFF"/>
        </w:rPr>
        <w:t xml:space="preserve"> </w:t>
      </w:r>
      <w:r w:rsidRPr="00461C16">
        <w:rPr>
          <w:i/>
          <w:color w:val="000000"/>
          <w:sz w:val="22"/>
          <w:szCs w:val="22"/>
          <w:shd w:val="clear" w:color="auto" w:fill="FFFFFF"/>
        </w:rPr>
        <w:t>a rozvojové ose. Koncepce ÚP nevytváří podmínky pro vznik solitérní zástavby v krajině.</w:t>
      </w:r>
    </w:p>
    <w:p w14:paraId="23772520" w14:textId="77777777" w:rsidR="00146552" w:rsidRPr="00461C16" w:rsidRDefault="0014655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podmínky stanovené ÚP pro využití (hlavní využití, přípustné využití, nepřípustné využití, popřípadě podmíněně přípustné využití). Dále respektovat podmínky stanovené ÚP pro prostorové uspořádání, včetně základních podmínek ochrany krajinného rázu. </w:t>
      </w:r>
    </w:p>
    <w:p w14:paraId="2CD812B8" w14:textId="77777777" w:rsidR="007225A2" w:rsidRPr="00456021" w:rsidRDefault="00F94427" w:rsidP="007225A2">
      <w:pPr>
        <w:pStyle w:val="BodyText"/>
        <w:spacing w:before="120" w:after="120"/>
        <w:rPr>
          <w:i/>
          <w:sz w:val="22"/>
          <w:szCs w:val="22"/>
        </w:rPr>
      </w:pPr>
      <w:r w:rsidRPr="00461C16">
        <w:rPr>
          <w:i/>
          <w:color w:val="000000"/>
          <w:sz w:val="22"/>
          <w:szCs w:val="22"/>
          <w:shd w:val="clear" w:color="auto" w:fill="FFFFFF"/>
        </w:rPr>
        <w:t xml:space="preserve">Součástí ÚP je stanovení podmínek pro způsob využití ploch – hlavní, přípustné, nepřípustné, případně též </w:t>
      </w:r>
      <w:r w:rsidRPr="00456021">
        <w:rPr>
          <w:i/>
          <w:color w:val="000000"/>
          <w:sz w:val="22"/>
          <w:szCs w:val="22"/>
          <w:shd w:val="clear" w:color="auto" w:fill="FFFFFF"/>
        </w:rPr>
        <w:t xml:space="preserve">podmíněně přípustné (viz kap. F.1 ÚP) a podmínek prostorového uspořádání ploch – struktura zástavby, maximální výška (viz kap. F.2 ÚP). </w:t>
      </w:r>
    </w:p>
    <w:p w14:paraId="7852EB5E" w14:textId="77777777" w:rsidR="00CA0C3D" w:rsidRPr="00456021" w:rsidRDefault="00146552"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Podle účelnosti vymezit plochy a koridory územních rezerv s cílem prověření možnosti budoucího využití pro stanovený účel. V případě potřeby (zejména ve vztahu k budování dopravní a technické infrastruktury) stanovit pořadí změn v území – etapizace.</w:t>
      </w:r>
    </w:p>
    <w:p w14:paraId="201C5CC7" w14:textId="77777777" w:rsidR="008F4C19" w:rsidRPr="00456021" w:rsidRDefault="00F94427" w:rsidP="008F4C19">
      <w:pPr>
        <w:autoSpaceDE w:val="0"/>
        <w:autoSpaceDN w:val="0"/>
        <w:adjustRightInd w:val="0"/>
        <w:spacing w:before="120" w:line="240" w:lineRule="auto"/>
        <w:rPr>
          <w:i/>
          <w:lang w:eastAsia="cs-CZ"/>
        </w:rPr>
      </w:pPr>
      <w:r w:rsidRPr="00456021">
        <w:rPr>
          <w:i/>
          <w:lang w:eastAsia="cs-CZ"/>
        </w:rPr>
        <w:t>V ÚP je vymezeno celkem 15 ploch a koridorů územních rezerv pro různé způsoby využití – viz kap. J ÚP. Zároveň jsou definovány podmínky pro jejich prověření.</w:t>
      </w:r>
    </w:p>
    <w:p w14:paraId="7B1FF9DC" w14:textId="77777777" w:rsidR="00F94427" w:rsidRPr="00456021" w:rsidRDefault="00F94427" w:rsidP="008F4C19">
      <w:pPr>
        <w:autoSpaceDE w:val="0"/>
        <w:autoSpaceDN w:val="0"/>
        <w:adjustRightInd w:val="0"/>
        <w:spacing w:before="120" w:line="240" w:lineRule="auto"/>
        <w:rPr>
          <w:i/>
          <w:lang w:eastAsia="cs-CZ"/>
        </w:rPr>
      </w:pPr>
      <w:r w:rsidRPr="00456021">
        <w:rPr>
          <w:i/>
          <w:lang w:eastAsia="cs-CZ"/>
        </w:rPr>
        <w:t>Stanovení etapizace nebylo vyhodnoceno jako potřebné.</w:t>
      </w:r>
    </w:p>
    <w:p w14:paraId="14C15646" w14:textId="77777777" w:rsidR="00CA0C3D" w:rsidRPr="00456021" w:rsidRDefault="00CA0C3D" w:rsidP="008F4C19">
      <w:pPr>
        <w:autoSpaceDE w:val="0"/>
        <w:autoSpaceDN w:val="0"/>
        <w:adjustRightInd w:val="0"/>
        <w:spacing w:before="120" w:line="240" w:lineRule="auto"/>
        <w:rPr>
          <w:u w:val="single"/>
          <w:lang w:eastAsia="cs-CZ"/>
        </w:rPr>
      </w:pPr>
      <w:r w:rsidRPr="00456021">
        <w:rPr>
          <w:u w:val="single"/>
          <w:lang w:eastAsia="cs-CZ"/>
        </w:rPr>
        <w:t>Koncepce krajiny:</w:t>
      </w:r>
    </w:p>
    <w:p w14:paraId="58177DE4"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 xml:space="preserve">Stanovit podmínky prostorového uspořádání tak, aby nebyl narušen krajinný ráz. </w:t>
      </w:r>
    </w:p>
    <w:p w14:paraId="18457217" w14:textId="77777777" w:rsidR="007225A2" w:rsidRPr="00456021" w:rsidRDefault="00894A16" w:rsidP="007225A2">
      <w:pPr>
        <w:pStyle w:val="BodyText"/>
        <w:spacing w:before="120" w:after="120"/>
        <w:rPr>
          <w:b/>
          <w:i/>
          <w:sz w:val="22"/>
          <w:szCs w:val="22"/>
        </w:rPr>
      </w:pPr>
      <w:r w:rsidRPr="00456021">
        <w:rPr>
          <w:i/>
          <w:sz w:val="22"/>
          <w:szCs w:val="22"/>
        </w:rPr>
        <w:t xml:space="preserve">Prostorové uspořádání je stanoveno jako součást </w:t>
      </w:r>
      <w:r w:rsidRPr="00456021">
        <w:rPr>
          <w:b/>
          <w:i/>
          <w:sz w:val="22"/>
          <w:szCs w:val="22"/>
        </w:rPr>
        <w:t xml:space="preserve">urbanistické koncepce </w:t>
      </w:r>
      <w:r w:rsidRPr="00456021">
        <w:rPr>
          <w:i/>
          <w:sz w:val="22"/>
          <w:szCs w:val="22"/>
        </w:rPr>
        <w:t>a definuje výškové upořádání výstavby a strukturu zástavby. Při stanovení regulací prostorového uspořádání vy</w:t>
      </w:r>
      <w:r w:rsidR="000E7DF1">
        <w:rPr>
          <w:i/>
          <w:sz w:val="22"/>
          <w:szCs w:val="22"/>
        </w:rPr>
        <w:t>c</w:t>
      </w:r>
      <w:r w:rsidRPr="00456021">
        <w:rPr>
          <w:i/>
          <w:sz w:val="22"/>
          <w:szCs w:val="22"/>
        </w:rPr>
        <w:t xml:space="preserve">házel zhotovitel též z ochrany krajinného rázu. </w:t>
      </w:r>
    </w:p>
    <w:p w14:paraId="3B36A32A"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Respektovat veškeré přírodní hodnoty území – chráněná území přírody (část území je v CHKO LH), významné krajinné prvky, apod.</w:t>
      </w:r>
    </w:p>
    <w:p w14:paraId="3A1E4EAF" w14:textId="77777777" w:rsidR="007225A2" w:rsidRPr="00456021" w:rsidRDefault="00894A16" w:rsidP="007225A2">
      <w:pPr>
        <w:pStyle w:val="BodyText"/>
        <w:spacing w:before="120" w:after="120"/>
        <w:rPr>
          <w:i/>
          <w:sz w:val="22"/>
          <w:szCs w:val="22"/>
        </w:rPr>
      </w:pPr>
      <w:r w:rsidRPr="00456021">
        <w:rPr>
          <w:i/>
          <w:sz w:val="22"/>
          <w:szCs w:val="22"/>
        </w:rPr>
        <w:lastRenderedPageBreak/>
        <w:t>Respektování přírodních hodnot je jedn</w:t>
      </w:r>
      <w:r w:rsidR="00D41213" w:rsidRPr="00456021">
        <w:rPr>
          <w:i/>
          <w:sz w:val="22"/>
          <w:szCs w:val="22"/>
        </w:rPr>
        <w:t xml:space="preserve">ou </w:t>
      </w:r>
      <w:r w:rsidRPr="00456021">
        <w:rPr>
          <w:i/>
          <w:sz w:val="22"/>
          <w:szCs w:val="22"/>
        </w:rPr>
        <w:t xml:space="preserve">ze </w:t>
      </w:r>
      <w:r w:rsidR="00D41213" w:rsidRPr="00456021">
        <w:rPr>
          <w:i/>
          <w:sz w:val="22"/>
          <w:szCs w:val="22"/>
        </w:rPr>
        <w:t xml:space="preserve">zásad </w:t>
      </w:r>
      <w:r w:rsidRPr="00456021">
        <w:rPr>
          <w:i/>
          <w:sz w:val="22"/>
          <w:szCs w:val="22"/>
        </w:rPr>
        <w:t>ochrany krajiny a krajinného rázu</w:t>
      </w:r>
      <w:r w:rsidR="00D41213" w:rsidRPr="00456021">
        <w:rPr>
          <w:i/>
          <w:sz w:val="22"/>
          <w:szCs w:val="22"/>
        </w:rPr>
        <w:t xml:space="preserve"> uvedených v kap. E.2 ÚP.</w:t>
      </w:r>
      <w:r w:rsidRPr="00456021">
        <w:rPr>
          <w:i/>
          <w:sz w:val="22"/>
          <w:szCs w:val="22"/>
        </w:rPr>
        <w:t xml:space="preserve"> </w:t>
      </w:r>
    </w:p>
    <w:p w14:paraId="37BD73E7"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 xml:space="preserve">Návrh zástavby odvodit z přirozené konfigurace terénu při minimalizaci dopadů na krajinný ráz, vymezené prvky ÚSES a lokality se zvláštní ochranou přírody. </w:t>
      </w:r>
    </w:p>
    <w:p w14:paraId="7A144712" w14:textId="77777777" w:rsidR="007225A2" w:rsidRPr="00456021" w:rsidRDefault="00AF7425" w:rsidP="007225A2">
      <w:pPr>
        <w:pStyle w:val="BodyText"/>
        <w:spacing w:before="120" w:after="120"/>
        <w:rPr>
          <w:i/>
          <w:sz w:val="22"/>
          <w:szCs w:val="22"/>
        </w:rPr>
      </w:pPr>
      <w:r w:rsidRPr="00456021">
        <w:rPr>
          <w:i/>
          <w:sz w:val="22"/>
          <w:szCs w:val="22"/>
        </w:rPr>
        <w:t xml:space="preserve">Návrh zastavitelných ploch a ploch přestavby je součástí </w:t>
      </w:r>
      <w:r w:rsidRPr="00456021">
        <w:rPr>
          <w:b/>
          <w:i/>
          <w:sz w:val="22"/>
          <w:szCs w:val="22"/>
        </w:rPr>
        <w:t xml:space="preserve">urbanistické koncepce. </w:t>
      </w:r>
      <w:r w:rsidRPr="00456021">
        <w:rPr>
          <w:i/>
          <w:sz w:val="22"/>
          <w:szCs w:val="22"/>
        </w:rPr>
        <w:t>Vychází z řady vstupních předpokladů v komplexním pojetí udržitelného rozvoje, zohledňuje mimo jiné i krajinný ráz.</w:t>
      </w:r>
    </w:p>
    <w:p w14:paraId="76F77BCA"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Chránit přírodně cenné nezastavěné území obce, vytvářet územní předpoklady pro další rozvoj kultivace krajiny.</w:t>
      </w:r>
    </w:p>
    <w:p w14:paraId="0F54F723" w14:textId="28380E1C" w:rsidR="007225A2" w:rsidRPr="00456021" w:rsidRDefault="00AF7425" w:rsidP="007225A2">
      <w:pPr>
        <w:pStyle w:val="BodyText"/>
        <w:spacing w:before="120" w:after="120"/>
        <w:rPr>
          <w:i/>
          <w:sz w:val="22"/>
          <w:szCs w:val="22"/>
        </w:rPr>
      </w:pPr>
      <w:r w:rsidRPr="00456021">
        <w:rPr>
          <w:i/>
          <w:sz w:val="22"/>
          <w:szCs w:val="22"/>
        </w:rPr>
        <w:t xml:space="preserve">Přírodně cenné </w:t>
      </w:r>
      <w:r w:rsidR="000E7DF1" w:rsidRPr="00456021">
        <w:rPr>
          <w:i/>
          <w:sz w:val="22"/>
          <w:szCs w:val="22"/>
        </w:rPr>
        <w:t>č</w:t>
      </w:r>
      <w:r w:rsidR="000E7DF1">
        <w:rPr>
          <w:i/>
          <w:sz w:val="22"/>
          <w:szCs w:val="22"/>
        </w:rPr>
        <w:t>á</w:t>
      </w:r>
      <w:r w:rsidR="000E7DF1" w:rsidRPr="00456021">
        <w:rPr>
          <w:i/>
          <w:sz w:val="22"/>
          <w:szCs w:val="22"/>
        </w:rPr>
        <w:t xml:space="preserve">sti </w:t>
      </w:r>
      <w:r w:rsidRPr="00456021">
        <w:rPr>
          <w:i/>
          <w:sz w:val="22"/>
          <w:szCs w:val="22"/>
        </w:rPr>
        <w:t>území jsou vymezeny jako přírodní hodnoty a jsou chráněny jako nezastavitelné plochy.</w:t>
      </w:r>
    </w:p>
    <w:p w14:paraId="4999ABD7"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 xml:space="preserve">Navrhnout zalesnění drobných částí území, kde to vyplyne z logiky územního řešení. </w:t>
      </w:r>
    </w:p>
    <w:p w14:paraId="276244CD" w14:textId="77777777" w:rsidR="007225A2" w:rsidRPr="00456021" w:rsidRDefault="00B16813" w:rsidP="007225A2">
      <w:pPr>
        <w:pStyle w:val="BodyText"/>
        <w:spacing w:before="120" w:after="120"/>
        <w:rPr>
          <w:i/>
          <w:sz w:val="22"/>
          <w:szCs w:val="22"/>
        </w:rPr>
      </w:pPr>
      <w:r w:rsidRPr="00456021">
        <w:rPr>
          <w:i/>
          <w:sz w:val="22"/>
          <w:szCs w:val="22"/>
        </w:rPr>
        <w:t xml:space="preserve">Zalesnění ploch nebylo shledáno jako opodstatněné, v nefunkčních skladebných částech ÚSES jsou vymezeny návrhové plochy se způsobem využití NK. </w:t>
      </w:r>
    </w:p>
    <w:p w14:paraId="7FF64350"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Postupovat citlivě a pokud možno minimalizovat zábory lesní půdy, postupovat ohleduplně k ochraně zemědělského půdního fondu, zvláště chránit půdy I. a II. třídy ochrany.</w:t>
      </w:r>
    </w:p>
    <w:p w14:paraId="258141E9" w14:textId="098209F6" w:rsidR="007225A2" w:rsidRPr="00456021" w:rsidRDefault="00B16813" w:rsidP="007225A2">
      <w:pPr>
        <w:pStyle w:val="BodyText"/>
        <w:spacing w:before="120" w:after="120"/>
        <w:rPr>
          <w:i/>
          <w:sz w:val="22"/>
          <w:szCs w:val="22"/>
        </w:rPr>
      </w:pPr>
      <w:r w:rsidRPr="00456021">
        <w:rPr>
          <w:i/>
          <w:sz w:val="22"/>
          <w:szCs w:val="22"/>
        </w:rPr>
        <w:t xml:space="preserve">Zábory PUPFL jsou minimální, v součtu za město činí cca 3 ha. Předpokládané zábory </w:t>
      </w:r>
      <w:r w:rsidR="000E7DF1">
        <w:rPr>
          <w:i/>
          <w:sz w:val="22"/>
          <w:szCs w:val="22"/>
        </w:rPr>
        <w:t>ZPF</w:t>
      </w:r>
      <w:r w:rsidR="000E7DF1" w:rsidRPr="00456021">
        <w:rPr>
          <w:i/>
          <w:sz w:val="22"/>
          <w:szCs w:val="22"/>
        </w:rPr>
        <w:t xml:space="preserve"> </w:t>
      </w:r>
      <w:r w:rsidRPr="00456021">
        <w:rPr>
          <w:i/>
          <w:sz w:val="22"/>
          <w:szCs w:val="22"/>
        </w:rPr>
        <w:t xml:space="preserve">jsou cca 140 ha, z toho 100 ha se týká půd I. a II. třídy ochrany. Tyto zábory jsou zdůvodnitelné veřejným zájem na ekonomickém rozvoji oblasti zařazené do rozvojové osy. </w:t>
      </w:r>
    </w:p>
    <w:p w14:paraId="6ACA4635"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Při vytváření podmínek pro rozvoj infrastruktury cestovního ruchu, upřednostňovat šetrné formy, ve smyslu ochrany přírodních hodnot území.</w:t>
      </w:r>
    </w:p>
    <w:p w14:paraId="6CF452CA" w14:textId="77777777" w:rsidR="007225A2" w:rsidRPr="00456021" w:rsidRDefault="00B16813" w:rsidP="007225A2">
      <w:pPr>
        <w:pStyle w:val="BodyText"/>
        <w:spacing w:before="120" w:after="120"/>
        <w:rPr>
          <w:i/>
          <w:sz w:val="22"/>
          <w:szCs w:val="22"/>
        </w:rPr>
      </w:pPr>
      <w:r w:rsidRPr="00456021">
        <w:rPr>
          <w:i/>
          <w:sz w:val="22"/>
          <w:szCs w:val="22"/>
        </w:rPr>
        <w:t xml:space="preserve">Rozvoj intenzivních forem cestovního ruchu je soustředěn na využití bývalého lomu Kristýna, neznamená tedy zátěž kulturní krajiny. V ostatních částech krajiny jsou vytvářeny podmínky po pěší turistiku a cykloturistiku. </w:t>
      </w:r>
    </w:p>
    <w:p w14:paraId="7419132E"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Prověřit síť účelových komunikací a navrhnout jejich doplnění zejména s ohledem na potřeby zemědělství, lesního hospodářství, cykloturistiky, pěší turistiky.</w:t>
      </w:r>
    </w:p>
    <w:p w14:paraId="0101B909" w14:textId="77777777" w:rsidR="007225A2" w:rsidRPr="00456021" w:rsidRDefault="00C641AC" w:rsidP="007225A2">
      <w:pPr>
        <w:pStyle w:val="BodyText"/>
        <w:spacing w:before="120" w:after="120"/>
        <w:rPr>
          <w:i/>
          <w:sz w:val="22"/>
          <w:szCs w:val="22"/>
        </w:rPr>
      </w:pPr>
      <w:r w:rsidRPr="00456021">
        <w:rPr>
          <w:i/>
          <w:sz w:val="22"/>
          <w:szCs w:val="22"/>
        </w:rPr>
        <w:t>ÚP stabilizuje</w:t>
      </w:r>
      <w:r w:rsidR="00A521CE" w:rsidRPr="00456021">
        <w:rPr>
          <w:i/>
          <w:sz w:val="22"/>
          <w:szCs w:val="22"/>
        </w:rPr>
        <w:t xml:space="preserve"> </w:t>
      </w:r>
      <w:r w:rsidRPr="00456021">
        <w:rPr>
          <w:i/>
          <w:sz w:val="22"/>
          <w:szCs w:val="22"/>
        </w:rPr>
        <w:t>sít účelových komunikací na území města. ÚP umožňuje výstavbu nových účelových komunikací v souladu s podmínkami pro využití ploch rozdílným způsobem využití.</w:t>
      </w:r>
    </w:p>
    <w:p w14:paraId="3A244258" w14:textId="77777777" w:rsidR="00CA0C3D" w:rsidRPr="00456021" w:rsidRDefault="00CA0C3D"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Upřesnit a zapracovat regionální územní systém ekologické stability (dále jen „ÚSES“), vyplývající ze ZÚR Libereckého kraje a dále zpracována lokalizace řešení místního ÚSES – koordinovat vzájemné návaznosti prvku ÚSES na hranicích řešeného území.</w:t>
      </w:r>
    </w:p>
    <w:p w14:paraId="1C120D07" w14:textId="77777777" w:rsidR="007225A2" w:rsidRPr="00456021" w:rsidRDefault="00474C14" w:rsidP="007225A2">
      <w:pPr>
        <w:pStyle w:val="BodyText"/>
        <w:spacing w:before="120" w:after="120"/>
        <w:rPr>
          <w:i/>
          <w:sz w:val="22"/>
          <w:szCs w:val="22"/>
        </w:rPr>
      </w:pPr>
      <w:r w:rsidRPr="00456021">
        <w:rPr>
          <w:i/>
          <w:sz w:val="22"/>
          <w:szCs w:val="22"/>
        </w:rPr>
        <w:t>Skladebné části ÚSES na nadregionální a regionální úrovni jsou v ÚP upřesněny v souladu s požadavky ZÚR Libereckého kraje.</w:t>
      </w:r>
    </w:p>
    <w:p w14:paraId="7B8A896D" w14:textId="77777777" w:rsidR="00E91EF2" w:rsidRPr="00456021" w:rsidRDefault="00E91EF2"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Při tvorbě územního plánu je třeba chránit lokality důležité z hlediska životních podmínek zvěře (pastevní plochy na okraji lesních celků, napajedla, migrační trasy zvěře), zamezit umísťování staveb ve volné krajině na plochách nenavazujících na stávající zástavbu a fyzickému oddělení lesních celků od zemědělských pozemků (souvislou zástavbou či oplocením).</w:t>
      </w:r>
    </w:p>
    <w:p w14:paraId="0CC70A2B" w14:textId="77777777" w:rsidR="008F4C19" w:rsidRPr="00461C16" w:rsidRDefault="00474C14" w:rsidP="008F4C19">
      <w:pPr>
        <w:autoSpaceDE w:val="0"/>
        <w:autoSpaceDN w:val="0"/>
        <w:adjustRightInd w:val="0"/>
        <w:spacing w:before="120" w:line="240" w:lineRule="auto"/>
        <w:rPr>
          <w:i/>
          <w:lang w:eastAsia="cs-CZ"/>
        </w:rPr>
      </w:pPr>
      <w:r w:rsidRPr="00456021">
        <w:rPr>
          <w:i/>
          <w:lang w:eastAsia="cs-CZ"/>
        </w:rPr>
        <w:t xml:space="preserve">V ÚP jsou vytvořeny podmínky pro ochranu ploch důležitých pro migraci a životní potřeby zvěře. </w:t>
      </w:r>
      <w:r w:rsidR="005B7011" w:rsidRPr="00456021">
        <w:rPr>
          <w:i/>
          <w:lang w:eastAsia="cs-CZ"/>
        </w:rPr>
        <w:t>Umisťování staveb ve volné krajině je omezeno na stavby dle § 18 odst. 5 stavebního zákona s vyloučením staveb neuvedených u jednotlivých způsobů využití v kap. F. ÚP.</w:t>
      </w:r>
      <w:r w:rsidR="005B7011" w:rsidRPr="00461C16">
        <w:rPr>
          <w:i/>
          <w:lang w:eastAsia="cs-CZ"/>
        </w:rPr>
        <w:t xml:space="preserve"> Možnost oplocení je omezena na jednoduché oplocení nebo ohradníky nestavební povahy.</w:t>
      </w:r>
    </w:p>
    <w:p w14:paraId="4ADDD8EE" w14:textId="77777777" w:rsidR="00BF0070" w:rsidRPr="00461C16" w:rsidRDefault="00BF0070" w:rsidP="00BF0070">
      <w:pPr>
        <w:pStyle w:val="Heading2"/>
        <w:spacing w:after="240"/>
        <w:rPr>
          <w:lang w:eastAsia="cs-CZ"/>
        </w:rPr>
      </w:pPr>
      <w:bookmarkStart w:id="65" w:name="_Toc36116264"/>
      <w:r w:rsidRPr="00461C16">
        <w:rPr>
          <w:lang w:eastAsia="cs-CZ"/>
        </w:rPr>
        <w:t>3.5</w:t>
      </w:r>
      <w:r w:rsidRPr="00461C16">
        <w:rPr>
          <w:lang w:eastAsia="cs-CZ"/>
        </w:rPr>
        <w:tab/>
        <w:t>Požadavky na řešení veřejné infrastruktury</w:t>
      </w:r>
      <w:bookmarkEnd w:id="65"/>
      <w:r w:rsidRPr="00461C16">
        <w:rPr>
          <w:lang w:eastAsia="cs-CZ"/>
        </w:rPr>
        <w:t xml:space="preserve"> </w:t>
      </w:r>
    </w:p>
    <w:p w14:paraId="3BD7FCFA" w14:textId="77777777" w:rsidR="00EF2D77" w:rsidRPr="00461C16" w:rsidRDefault="00EF2D77" w:rsidP="00E91EF2">
      <w:pPr>
        <w:spacing w:before="120"/>
        <w:rPr>
          <w:u w:val="single"/>
        </w:rPr>
      </w:pPr>
      <w:r w:rsidRPr="00461C16">
        <w:rPr>
          <w:u w:val="single"/>
        </w:rPr>
        <w:t>Dopravní infrastruktura</w:t>
      </w:r>
    </w:p>
    <w:p w14:paraId="6810C67A" w14:textId="77777777" w:rsidR="00EF2D77" w:rsidRPr="00461C16" w:rsidRDefault="00EF2D7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ÚP Hrádek nad Nisou bude respektovat stávající dopravní, občanské a technické vybavení řešeného území. Bude brán maximální zřetel na využití a rozvoj stávající technické infrastruktury. </w:t>
      </w:r>
    </w:p>
    <w:p w14:paraId="669B3758" w14:textId="77777777" w:rsidR="00617813" w:rsidRPr="00461C16" w:rsidRDefault="00C641AC" w:rsidP="00617813">
      <w:pPr>
        <w:pStyle w:val="BodyText"/>
        <w:spacing w:before="120" w:after="120"/>
        <w:rPr>
          <w:i/>
          <w:sz w:val="22"/>
          <w:szCs w:val="22"/>
        </w:rPr>
      </w:pPr>
      <w:r w:rsidRPr="00461C16">
        <w:rPr>
          <w:i/>
          <w:sz w:val="22"/>
          <w:szCs w:val="22"/>
        </w:rPr>
        <w:t>ÚP stanovuje zásady pro rozvoj dopravní a technické infrastruktury při zohlednění stávající dopravní, občanské a technické vybavenosti města.</w:t>
      </w:r>
    </w:p>
    <w:p w14:paraId="6BA722ED" w14:textId="77777777" w:rsidR="00EF2D77" w:rsidRPr="00461C16" w:rsidRDefault="00EF2D7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 xml:space="preserve">V grafické části ÚP Hrádek nad Nisou zakreslit stávající i návrhová dopravní a technickou infrastrukturu, včetně ochranných a bezpečnostních pásem. </w:t>
      </w:r>
    </w:p>
    <w:p w14:paraId="05F3D6E3" w14:textId="77777777" w:rsidR="00617813" w:rsidRPr="00461C16" w:rsidRDefault="00C641AC" w:rsidP="00617813">
      <w:pPr>
        <w:pStyle w:val="BodyText"/>
        <w:spacing w:before="120" w:after="120"/>
        <w:rPr>
          <w:i/>
          <w:sz w:val="22"/>
          <w:szCs w:val="22"/>
        </w:rPr>
      </w:pPr>
      <w:r w:rsidRPr="00461C16">
        <w:rPr>
          <w:i/>
          <w:sz w:val="22"/>
          <w:szCs w:val="22"/>
        </w:rPr>
        <w:t xml:space="preserve">Viz výkres I.2c Výkres koncepce </w:t>
      </w:r>
      <w:r w:rsidR="00785859">
        <w:rPr>
          <w:i/>
          <w:sz w:val="22"/>
          <w:szCs w:val="22"/>
        </w:rPr>
        <w:t>veřejn</w:t>
      </w:r>
      <w:r w:rsidRPr="00461C16">
        <w:rPr>
          <w:i/>
          <w:sz w:val="22"/>
          <w:szCs w:val="22"/>
        </w:rPr>
        <w:t>é infrastruktury.</w:t>
      </w:r>
    </w:p>
    <w:p w14:paraId="76876E72" w14:textId="77777777" w:rsidR="00EF2D77" w:rsidRPr="00461C16" w:rsidRDefault="00EF2D7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 ÚP Hrádek nad Nisou zohledn</w:t>
      </w:r>
      <w:r w:rsidR="00C641AC" w:rsidRPr="00461C16">
        <w:rPr>
          <w:lang w:eastAsia="cs-CZ"/>
        </w:rPr>
        <w:t>i</w:t>
      </w:r>
      <w:r w:rsidRPr="00461C16">
        <w:rPr>
          <w:lang w:eastAsia="cs-CZ"/>
        </w:rPr>
        <w:t>t zpracované studie a projekty dopravní a technické infrastruktury.</w:t>
      </w:r>
    </w:p>
    <w:p w14:paraId="44A4FD28" w14:textId="77777777" w:rsidR="00617813" w:rsidRPr="00461C16" w:rsidRDefault="00C641AC" w:rsidP="00617813">
      <w:pPr>
        <w:pStyle w:val="BodyText"/>
        <w:spacing w:before="120" w:after="120"/>
        <w:rPr>
          <w:i/>
          <w:sz w:val="22"/>
          <w:szCs w:val="22"/>
        </w:rPr>
      </w:pPr>
      <w:r w:rsidRPr="00461C16">
        <w:rPr>
          <w:i/>
          <w:sz w:val="22"/>
          <w:szCs w:val="22"/>
        </w:rPr>
        <w:t>ÚP zohledňuje studie, které byly v rámci zpracování návrhu ÚP k dispozici.</w:t>
      </w:r>
    </w:p>
    <w:p w14:paraId="0890B72F" w14:textId="77777777" w:rsidR="00E91EF2" w:rsidRPr="00461C16" w:rsidRDefault="00E91E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Prověřit na základě ÚP stávající koncepci dopravy stanovenou platnou územně plánovací dokumentací. </w:t>
      </w:r>
    </w:p>
    <w:p w14:paraId="32D03CC6" w14:textId="77777777" w:rsidR="00617813" w:rsidRPr="00461C16" w:rsidRDefault="00C641AC" w:rsidP="00617813">
      <w:pPr>
        <w:pStyle w:val="BodyText"/>
        <w:spacing w:before="120" w:after="120"/>
        <w:rPr>
          <w:i/>
          <w:sz w:val="22"/>
          <w:szCs w:val="22"/>
        </w:rPr>
      </w:pPr>
      <w:r w:rsidRPr="00461C16">
        <w:rPr>
          <w:i/>
          <w:sz w:val="22"/>
          <w:szCs w:val="22"/>
        </w:rPr>
        <w:t>Dopravní koncepce vychází z koncepce stanovené v dosud platné ÚPD.</w:t>
      </w:r>
    </w:p>
    <w:p w14:paraId="79B84255" w14:textId="77777777" w:rsidR="00E91EF2"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Nově navržené zastavitelné plochy budou navazovat na stávající nebo nově navržené plochy dopravní infrastruktury. </w:t>
      </w:r>
    </w:p>
    <w:p w14:paraId="2CD59EE2" w14:textId="77777777" w:rsidR="00617813" w:rsidRPr="00461C16" w:rsidRDefault="005F5FB1" w:rsidP="00617813">
      <w:pPr>
        <w:pStyle w:val="BodyText"/>
        <w:spacing w:before="120" w:after="120"/>
        <w:rPr>
          <w:i/>
          <w:sz w:val="22"/>
          <w:szCs w:val="22"/>
        </w:rPr>
      </w:pPr>
      <w:r w:rsidRPr="00461C16">
        <w:rPr>
          <w:i/>
          <w:sz w:val="22"/>
          <w:szCs w:val="22"/>
        </w:rPr>
        <w:t>ÚP vymezuje nově navržené zastavitelné plochy (resp. plochy přestavby), u kterých je potřeba zajistit dopravní obsluhu, v návaznosti na stávající či nové komunikace.</w:t>
      </w:r>
    </w:p>
    <w:p w14:paraId="1A3CFC13" w14:textId="77777777" w:rsidR="00023CB9"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Prověřit potřebu parkovacích ploch. </w:t>
      </w:r>
    </w:p>
    <w:p w14:paraId="309F32AE" w14:textId="77777777" w:rsidR="00617813" w:rsidRPr="00461C16" w:rsidRDefault="005F5FB1" w:rsidP="00617813">
      <w:pPr>
        <w:pStyle w:val="BodyText"/>
        <w:spacing w:before="120" w:after="120"/>
        <w:rPr>
          <w:i/>
          <w:sz w:val="22"/>
          <w:szCs w:val="22"/>
        </w:rPr>
      </w:pPr>
      <w:r w:rsidRPr="00461C16">
        <w:rPr>
          <w:i/>
          <w:sz w:val="22"/>
          <w:szCs w:val="22"/>
        </w:rPr>
        <w:t>Územní plán plně respektuje stávající plochy a objekty, které slouží pro parkování, odstavování a garážování vozidel obyvatel a návštěvníků města. Cílem koncepce územního plánu je nesnižovat stávající kapacitu parkovacích stání, ale naopak vytvářet podmínky pro její navýšení.</w:t>
      </w:r>
    </w:p>
    <w:p w14:paraId="66680584" w14:textId="77777777" w:rsidR="005F5FB1" w:rsidRPr="00461C16" w:rsidRDefault="005F5FB1" w:rsidP="00617813">
      <w:pPr>
        <w:pStyle w:val="BodyText"/>
        <w:spacing w:before="120" w:after="120"/>
        <w:rPr>
          <w:i/>
          <w:sz w:val="22"/>
          <w:szCs w:val="22"/>
        </w:rPr>
      </w:pPr>
      <w:r w:rsidRPr="00461C16">
        <w:rPr>
          <w:i/>
          <w:sz w:val="22"/>
          <w:szCs w:val="22"/>
        </w:rPr>
        <w:t>Pro zajištění dostatečného počtu parkovacích míst v centrální části sídliště v Liberecké ulici je vymezena plocha P21 pro veřejné parkoviště.</w:t>
      </w:r>
    </w:p>
    <w:p w14:paraId="3FA87DA8" w14:textId="77777777" w:rsidR="00023CB9"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Vytvořit územní podmínky pro realizaci účelových cest, cyklostezek za účelem zvyšování rekreační i biologické prostupnosti krajiny v návaznosti na okolí obce. </w:t>
      </w:r>
    </w:p>
    <w:p w14:paraId="3DE974AB" w14:textId="77777777" w:rsidR="00617813" w:rsidRPr="00461C16" w:rsidRDefault="00075BA8" w:rsidP="00617813">
      <w:pPr>
        <w:pStyle w:val="BodyText"/>
        <w:spacing w:before="120" w:after="120"/>
        <w:rPr>
          <w:i/>
          <w:sz w:val="22"/>
          <w:szCs w:val="22"/>
        </w:rPr>
      </w:pPr>
      <w:r w:rsidRPr="00461C16">
        <w:rPr>
          <w:i/>
          <w:sz w:val="22"/>
          <w:szCs w:val="22"/>
        </w:rPr>
        <w:t>ÚP umožňuje výstavbu účelových cest či cyklostezek v souladu s podmínkami pro využití ploch rozdílným způsobem využití.</w:t>
      </w:r>
    </w:p>
    <w:p w14:paraId="402D8768" w14:textId="77777777" w:rsidR="00023CB9"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Vymezit plochy nadregionálního a mezinárodního cyklokoridoru. </w:t>
      </w:r>
    </w:p>
    <w:p w14:paraId="2DB07EF8" w14:textId="77777777" w:rsidR="00617813" w:rsidRPr="00461C16" w:rsidRDefault="00075BA8" w:rsidP="00617813">
      <w:pPr>
        <w:pStyle w:val="BodyText"/>
        <w:spacing w:before="120" w:after="120"/>
        <w:rPr>
          <w:i/>
          <w:sz w:val="22"/>
          <w:szCs w:val="22"/>
        </w:rPr>
      </w:pPr>
      <w:r w:rsidRPr="00461C16">
        <w:rPr>
          <w:i/>
          <w:sz w:val="22"/>
          <w:szCs w:val="22"/>
        </w:rPr>
        <w:t>ÚP navrhuje vedení dálkové cyklotrasy Odra-Nisa s cílem v maximální míře vést tuto cyklotrasu v režimu segregovaného provozu po cyklostezkách s vyloučením provozu motorových vozidel. Koridor cyklotrasy je vymezen v souladu s Územně technickou studií ověření páteřní cyklotrasy Odra-Nisa v úseku Nová Ves n. N. – Hrádek n. N. /státní hranice/ (Vaner s.r.o., 11/2010).</w:t>
      </w:r>
    </w:p>
    <w:p w14:paraId="6703AFEE" w14:textId="77777777" w:rsidR="00023CB9"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vymezené cyklostezky a turistické trasy, případně navrženy nové. </w:t>
      </w:r>
    </w:p>
    <w:p w14:paraId="13813460" w14:textId="77777777" w:rsidR="00617813" w:rsidRPr="00461C16" w:rsidRDefault="00075BA8" w:rsidP="00617813">
      <w:pPr>
        <w:pStyle w:val="BodyText"/>
        <w:spacing w:before="120" w:after="120"/>
        <w:rPr>
          <w:i/>
          <w:sz w:val="22"/>
          <w:szCs w:val="22"/>
        </w:rPr>
      </w:pPr>
      <w:r w:rsidRPr="00461C16">
        <w:rPr>
          <w:i/>
          <w:sz w:val="22"/>
          <w:szCs w:val="22"/>
        </w:rPr>
        <w:t xml:space="preserve">ÚP respektuje cyklostezky a turistické trasy vedené na území města Hrádek nad Nisou. </w:t>
      </w:r>
    </w:p>
    <w:p w14:paraId="5EC30477" w14:textId="77777777" w:rsidR="00023CB9"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při řešení ÚP koridor silnice I/35.</w:t>
      </w:r>
    </w:p>
    <w:p w14:paraId="7A8F2EE8" w14:textId="77777777" w:rsidR="00617813" w:rsidRPr="00461C16" w:rsidRDefault="00D32DDB" w:rsidP="00617813">
      <w:pPr>
        <w:pStyle w:val="BodyText"/>
        <w:spacing w:before="120" w:after="120"/>
        <w:rPr>
          <w:i/>
          <w:sz w:val="22"/>
          <w:szCs w:val="22"/>
        </w:rPr>
      </w:pPr>
      <w:r w:rsidRPr="00461C16">
        <w:rPr>
          <w:i/>
          <w:sz w:val="22"/>
          <w:szCs w:val="22"/>
        </w:rPr>
        <w:t>ÚP respektuje koridor silnice I/35.</w:t>
      </w:r>
      <w:r w:rsidR="00B40DF6">
        <w:rPr>
          <w:i/>
          <w:sz w:val="22"/>
          <w:szCs w:val="22"/>
        </w:rPr>
        <w:t xml:space="preserve"> </w:t>
      </w:r>
      <w:r w:rsidR="00B40DF6" w:rsidRPr="00B40DF6">
        <w:rPr>
          <w:i/>
          <w:sz w:val="22"/>
          <w:szCs w:val="22"/>
        </w:rPr>
        <w:t>Pro budoucí rozšíření silnice I/35 na čtyřpruhové uspořádání je vymezena plocha územní rezervy R16.</w:t>
      </w:r>
    </w:p>
    <w:p w14:paraId="620766C7" w14:textId="77777777" w:rsidR="00023CB9"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Prověřit při řešení ÚP železniční dopravu. </w:t>
      </w:r>
    </w:p>
    <w:p w14:paraId="50FEBABB" w14:textId="77777777" w:rsidR="00617813" w:rsidRPr="00461C16" w:rsidRDefault="00D32DDB" w:rsidP="00617813">
      <w:pPr>
        <w:pStyle w:val="BodyText"/>
        <w:spacing w:before="120" w:after="120"/>
        <w:rPr>
          <w:i/>
          <w:sz w:val="22"/>
          <w:szCs w:val="22"/>
        </w:rPr>
      </w:pPr>
      <w:r w:rsidRPr="00461C16">
        <w:rPr>
          <w:i/>
          <w:sz w:val="22"/>
          <w:szCs w:val="22"/>
        </w:rPr>
        <w:t>ÚP řeší koncepci železniční dopravy. Viz kap. 6.5.1.</w:t>
      </w:r>
    </w:p>
    <w:p w14:paraId="574E7AFD" w14:textId="77777777" w:rsidR="00F86B70"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Řešit dopravní závady.</w:t>
      </w:r>
    </w:p>
    <w:p w14:paraId="78D11AB1" w14:textId="77777777" w:rsidR="00617813" w:rsidRPr="00461C16" w:rsidRDefault="00D32DDB" w:rsidP="00617813">
      <w:pPr>
        <w:pStyle w:val="BodyText"/>
        <w:spacing w:before="120" w:after="120"/>
        <w:rPr>
          <w:i/>
          <w:sz w:val="22"/>
          <w:szCs w:val="22"/>
        </w:rPr>
      </w:pPr>
      <w:r w:rsidRPr="00461C16">
        <w:rPr>
          <w:i/>
          <w:sz w:val="22"/>
          <w:szCs w:val="22"/>
        </w:rPr>
        <w:t>Viz kap. 6.5.1.</w:t>
      </w:r>
    </w:p>
    <w:p w14:paraId="08F9EFE4" w14:textId="77777777" w:rsidR="00023CB9"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Normovou kategorizaci silnic II. a III. třídy, kterou schválilo Zastupitelstvo Libereckého kraje usnesením č. 46/04/ZK ze dne 16. 3. 2004.</w:t>
      </w:r>
    </w:p>
    <w:p w14:paraId="7774AD68" w14:textId="77777777" w:rsidR="00617813" w:rsidRPr="00461C16" w:rsidRDefault="00D32DDB" w:rsidP="00617813">
      <w:pPr>
        <w:pStyle w:val="BodyText"/>
        <w:spacing w:before="120" w:after="120"/>
        <w:rPr>
          <w:i/>
          <w:sz w:val="22"/>
          <w:szCs w:val="22"/>
        </w:rPr>
      </w:pPr>
      <w:r w:rsidRPr="00461C16">
        <w:rPr>
          <w:i/>
          <w:sz w:val="22"/>
          <w:szCs w:val="22"/>
        </w:rPr>
        <w:t>Bude řešeno v projektové přípravě konkrétní komunikace.</w:t>
      </w:r>
    </w:p>
    <w:p w14:paraId="522D55BB" w14:textId="77777777" w:rsidR="00F86B70" w:rsidRPr="00461C16" w:rsidRDefault="00023C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U hlavních silni</w:t>
      </w:r>
      <w:r w:rsidRPr="00461C16">
        <w:rPr>
          <w:rFonts w:cs="TimesNewRoman"/>
          <w:lang w:eastAsia="cs-CZ"/>
        </w:rPr>
        <w:t>č</w:t>
      </w:r>
      <w:r w:rsidRPr="00461C16">
        <w:rPr>
          <w:lang w:eastAsia="cs-CZ"/>
        </w:rPr>
        <w:t>ních tah</w:t>
      </w:r>
      <w:r w:rsidRPr="00461C16">
        <w:rPr>
          <w:rFonts w:cs="TimesNewRoman"/>
          <w:lang w:eastAsia="cs-CZ"/>
        </w:rPr>
        <w:t>ů</w:t>
      </w:r>
      <w:r w:rsidRPr="00461C16">
        <w:rPr>
          <w:lang w:eastAsia="cs-CZ"/>
        </w:rPr>
        <w:t>, zejména u pr</w:t>
      </w:r>
      <w:r w:rsidRPr="00461C16">
        <w:rPr>
          <w:rFonts w:cs="TimesNewRoman"/>
          <w:lang w:eastAsia="cs-CZ"/>
        </w:rPr>
        <w:t>ů</w:t>
      </w:r>
      <w:r w:rsidRPr="00461C16">
        <w:rPr>
          <w:lang w:eastAsia="cs-CZ"/>
        </w:rPr>
        <w:t>tah</w:t>
      </w:r>
      <w:r w:rsidRPr="00461C16">
        <w:rPr>
          <w:rFonts w:cs="TimesNewRoman"/>
          <w:lang w:eastAsia="cs-CZ"/>
        </w:rPr>
        <w:t xml:space="preserve">ů </w:t>
      </w:r>
      <w:r w:rsidRPr="00461C16">
        <w:rPr>
          <w:lang w:eastAsia="cs-CZ"/>
        </w:rPr>
        <w:t>obcí – silnice III/2711, III/2712 (mezi k</w:t>
      </w:r>
      <w:r w:rsidRPr="00461C16">
        <w:rPr>
          <w:rFonts w:cs="TimesNewRoman"/>
          <w:lang w:eastAsia="cs-CZ"/>
        </w:rPr>
        <w:t>ř</w:t>
      </w:r>
      <w:r w:rsidRPr="00461C16">
        <w:rPr>
          <w:lang w:eastAsia="cs-CZ"/>
        </w:rPr>
        <w:t xml:space="preserve">ižovatkami se silnicemi III/2713 a III/27251), III/2713, III2716 a III/27251 vymezit v územním plánu prostory pro výstavbu místních komunikací pro nemotorovou dopravu, zejména se jedná o chodníky </w:t>
      </w:r>
      <w:r w:rsidRPr="00461C16">
        <w:rPr>
          <w:rFonts w:cs="TimesNewRoman"/>
          <w:lang w:eastAsia="cs-CZ"/>
        </w:rPr>
        <w:t>č</w:t>
      </w:r>
      <w:r w:rsidRPr="00461C16">
        <w:rPr>
          <w:lang w:eastAsia="cs-CZ"/>
        </w:rPr>
        <w:t>i cyklostezky – pokud nejsou již vybudovány.</w:t>
      </w:r>
    </w:p>
    <w:p w14:paraId="303ED6F4" w14:textId="77777777" w:rsidR="00617813" w:rsidRPr="00461C16" w:rsidRDefault="00D32DDB" w:rsidP="00617813">
      <w:pPr>
        <w:pStyle w:val="BodyText"/>
        <w:spacing w:before="120" w:after="120"/>
        <w:rPr>
          <w:i/>
          <w:sz w:val="22"/>
          <w:szCs w:val="22"/>
        </w:rPr>
      </w:pPr>
      <w:r w:rsidRPr="00461C16">
        <w:rPr>
          <w:i/>
          <w:sz w:val="22"/>
          <w:szCs w:val="22"/>
        </w:rPr>
        <w:lastRenderedPageBreak/>
        <w:t>ÚP umožňuje výstavbu chodníků či cyklostezek v souladu s podmínkami pro využití ploch rozdílným způsobem využití.</w:t>
      </w:r>
    </w:p>
    <w:p w14:paraId="75C91751" w14:textId="77777777" w:rsidR="00F86B70" w:rsidRPr="00461C16" w:rsidRDefault="00F86B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„Normovou kategorizaci krajských silnic II. a III. t</w:t>
      </w:r>
      <w:r w:rsidRPr="00461C16">
        <w:rPr>
          <w:rFonts w:cs="TimesNewRoman"/>
          <w:lang w:eastAsia="cs-CZ"/>
        </w:rPr>
        <w:t>ř</w:t>
      </w:r>
      <w:r w:rsidRPr="00461C16">
        <w:rPr>
          <w:lang w:eastAsia="cs-CZ"/>
        </w:rPr>
        <w:t xml:space="preserve">ídy“, kterou schválilo Zastupitelstvo Libereckého kraje usnesením </w:t>
      </w:r>
      <w:r w:rsidRPr="00461C16">
        <w:rPr>
          <w:rFonts w:cs="TimesNewRoman"/>
          <w:lang w:eastAsia="cs-CZ"/>
        </w:rPr>
        <w:t>č</w:t>
      </w:r>
      <w:r w:rsidRPr="00461C16">
        <w:rPr>
          <w:lang w:eastAsia="cs-CZ"/>
        </w:rPr>
        <w:t>. 46/04/ZK ze dne 16. 3. 2004. Konkrétn</w:t>
      </w:r>
      <w:r w:rsidRPr="00461C16">
        <w:rPr>
          <w:rFonts w:cs="TimesNewRoman"/>
          <w:lang w:eastAsia="cs-CZ"/>
        </w:rPr>
        <w:t xml:space="preserve">ě </w:t>
      </w:r>
      <w:r w:rsidRPr="00461C16">
        <w:rPr>
          <w:lang w:eastAsia="cs-CZ"/>
        </w:rPr>
        <w:t>se jedná o silnice III/2711, III/2712, III/2713 (p</w:t>
      </w:r>
      <w:r w:rsidRPr="00461C16">
        <w:rPr>
          <w:rFonts w:cs="TimesNewRoman"/>
          <w:lang w:eastAsia="cs-CZ"/>
        </w:rPr>
        <w:t>ů</w:t>
      </w:r>
      <w:r w:rsidRPr="00461C16">
        <w:rPr>
          <w:lang w:eastAsia="cs-CZ"/>
        </w:rPr>
        <w:t>vodn</w:t>
      </w:r>
      <w:r w:rsidRPr="00461C16">
        <w:rPr>
          <w:rFonts w:cs="TimesNewRoman"/>
          <w:lang w:eastAsia="cs-CZ"/>
        </w:rPr>
        <w:t xml:space="preserve">ě </w:t>
      </w:r>
      <w:r w:rsidRPr="00461C16">
        <w:rPr>
          <w:lang w:eastAsia="cs-CZ"/>
        </w:rPr>
        <w:t>zna</w:t>
      </w:r>
      <w:r w:rsidRPr="00461C16">
        <w:rPr>
          <w:rFonts w:cs="TimesNewRoman"/>
          <w:lang w:eastAsia="cs-CZ"/>
        </w:rPr>
        <w:t>č</w:t>
      </w:r>
      <w:r w:rsidRPr="00461C16">
        <w:rPr>
          <w:lang w:eastAsia="cs-CZ"/>
        </w:rPr>
        <w:t>ená jako III/2715 v úseku mezi k</w:t>
      </w:r>
      <w:r w:rsidRPr="00461C16">
        <w:rPr>
          <w:rFonts w:cs="TimesNewRoman"/>
          <w:lang w:eastAsia="cs-CZ"/>
        </w:rPr>
        <w:t>ř</w:t>
      </w:r>
      <w:r w:rsidRPr="00461C16">
        <w:rPr>
          <w:lang w:eastAsia="cs-CZ"/>
        </w:rPr>
        <w:t>ižovatkami solnic I/13 a III/2711), III/2716 a III/27251, které mají návrhovou kategorijní ší</w:t>
      </w:r>
      <w:r w:rsidRPr="00461C16">
        <w:rPr>
          <w:rFonts w:cs="TimesNewRoman"/>
          <w:lang w:eastAsia="cs-CZ"/>
        </w:rPr>
        <w:t>ř</w:t>
      </w:r>
      <w:r w:rsidRPr="00461C16">
        <w:rPr>
          <w:lang w:eastAsia="cs-CZ"/>
        </w:rPr>
        <w:t>ku S 7,5/60, a o silnice III/2719 a III/27110, které mají návrhovou kategorijní ší</w:t>
      </w:r>
      <w:r w:rsidRPr="00461C16">
        <w:rPr>
          <w:rFonts w:cs="TimesNewRoman"/>
          <w:lang w:eastAsia="cs-CZ"/>
        </w:rPr>
        <w:t>ř</w:t>
      </w:r>
      <w:r w:rsidRPr="00461C16">
        <w:rPr>
          <w:lang w:eastAsia="cs-CZ"/>
        </w:rPr>
        <w:t>ku S 6,5/50.</w:t>
      </w:r>
    </w:p>
    <w:p w14:paraId="3E9085F9" w14:textId="77777777" w:rsidR="00617813" w:rsidRPr="00461C16" w:rsidRDefault="00685991" w:rsidP="00617813">
      <w:pPr>
        <w:pStyle w:val="BodyText"/>
        <w:spacing w:before="120" w:after="120"/>
        <w:rPr>
          <w:i/>
          <w:sz w:val="22"/>
          <w:szCs w:val="22"/>
        </w:rPr>
      </w:pPr>
      <w:r w:rsidRPr="00461C16">
        <w:rPr>
          <w:i/>
          <w:sz w:val="22"/>
          <w:szCs w:val="22"/>
        </w:rPr>
        <w:t>Bude řešeno v projektové přípravě konkrétní komunikace.</w:t>
      </w:r>
    </w:p>
    <w:p w14:paraId="49706B90" w14:textId="77777777" w:rsidR="00023CB9" w:rsidRPr="00461C16" w:rsidRDefault="00F86B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Doplnit do územně – plánovací dokumentace pro nově navržené lokality následující článek: </w:t>
      </w:r>
      <w:r w:rsidRPr="00461C16">
        <w:rPr>
          <w:b/>
          <w:bCs/>
          <w:lang w:eastAsia="cs-CZ"/>
        </w:rPr>
        <w:t xml:space="preserve">„Hluk z dopravy : </w:t>
      </w:r>
      <w:r w:rsidRPr="00461C16">
        <w:rPr>
          <w:lang w:eastAsia="cs-CZ"/>
        </w:rPr>
        <w:t>Nebudou-li spln</w:t>
      </w:r>
      <w:r w:rsidRPr="00461C16">
        <w:rPr>
          <w:rFonts w:cs="TimesNewRoman"/>
          <w:lang w:eastAsia="cs-CZ"/>
        </w:rPr>
        <w:t>ě</w:t>
      </w:r>
      <w:r w:rsidRPr="00461C16">
        <w:rPr>
          <w:lang w:eastAsia="cs-CZ"/>
        </w:rPr>
        <w:t>ny limity hlukové zát</w:t>
      </w:r>
      <w:r w:rsidRPr="00461C16">
        <w:rPr>
          <w:rFonts w:cs="TimesNewRoman"/>
          <w:lang w:eastAsia="cs-CZ"/>
        </w:rPr>
        <w:t>ě</w:t>
      </w:r>
      <w:r w:rsidRPr="00461C16">
        <w:rPr>
          <w:lang w:eastAsia="cs-CZ"/>
        </w:rPr>
        <w:t>že v nov</w:t>
      </w:r>
      <w:r w:rsidRPr="00461C16">
        <w:rPr>
          <w:rFonts w:cs="TimesNewRoman"/>
          <w:lang w:eastAsia="cs-CZ"/>
        </w:rPr>
        <w:t xml:space="preserve">ě </w:t>
      </w:r>
      <w:r w:rsidRPr="00461C16">
        <w:rPr>
          <w:lang w:eastAsia="cs-CZ"/>
        </w:rPr>
        <w:t>navržených plochách v blízkosti silnic I. a III. t</w:t>
      </w:r>
      <w:r w:rsidRPr="00461C16">
        <w:rPr>
          <w:rFonts w:cs="TimesNewRoman"/>
          <w:lang w:eastAsia="cs-CZ"/>
        </w:rPr>
        <w:t>ř</w:t>
      </w:r>
      <w:r w:rsidRPr="00461C16">
        <w:rPr>
          <w:lang w:eastAsia="cs-CZ"/>
        </w:rPr>
        <w:t>ídy a stavebník bude následn</w:t>
      </w:r>
      <w:r w:rsidRPr="00461C16">
        <w:rPr>
          <w:rFonts w:cs="TimesNewRoman"/>
          <w:lang w:eastAsia="cs-CZ"/>
        </w:rPr>
        <w:t xml:space="preserve">ě </w:t>
      </w:r>
      <w:r w:rsidRPr="00461C16">
        <w:rPr>
          <w:lang w:eastAsia="cs-CZ"/>
        </w:rPr>
        <w:t>povinen v rámci stavby provést taková opat</w:t>
      </w:r>
      <w:r w:rsidRPr="00461C16">
        <w:rPr>
          <w:rFonts w:cs="TimesNewRoman"/>
          <w:lang w:eastAsia="cs-CZ"/>
        </w:rPr>
        <w:t>ř</w:t>
      </w:r>
      <w:r w:rsidRPr="00461C16">
        <w:rPr>
          <w:lang w:eastAsia="cs-CZ"/>
        </w:rPr>
        <w:t>ení, která povedou k odstran</w:t>
      </w:r>
      <w:r w:rsidRPr="00461C16">
        <w:rPr>
          <w:rFonts w:cs="TimesNewRoman"/>
          <w:lang w:eastAsia="cs-CZ"/>
        </w:rPr>
        <w:t>ě</w:t>
      </w:r>
      <w:r w:rsidRPr="00461C16">
        <w:rPr>
          <w:lang w:eastAsia="cs-CZ"/>
        </w:rPr>
        <w:t>ní negativních vliv</w:t>
      </w:r>
      <w:r w:rsidRPr="00461C16">
        <w:rPr>
          <w:rFonts w:cs="TimesNewRoman"/>
          <w:lang w:eastAsia="cs-CZ"/>
        </w:rPr>
        <w:t xml:space="preserve">ů </w:t>
      </w:r>
      <w:r w:rsidRPr="00461C16">
        <w:rPr>
          <w:lang w:eastAsia="cs-CZ"/>
        </w:rPr>
        <w:t>z provozu po silnicích I. a III. t</w:t>
      </w:r>
      <w:r w:rsidRPr="00461C16">
        <w:rPr>
          <w:rFonts w:cs="TimesNewRoman"/>
          <w:lang w:eastAsia="cs-CZ"/>
        </w:rPr>
        <w:t>ř</w:t>
      </w:r>
      <w:r w:rsidRPr="00461C16">
        <w:rPr>
          <w:lang w:eastAsia="cs-CZ"/>
        </w:rPr>
        <w:t>ídy, u</w:t>
      </w:r>
      <w:r w:rsidRPr="00461C16">
        <w:rPr>
          <w:rFonts w:cs="TimesNewRoman"/>
          <w:lang w:eastAsia="cs-CZ"/>
        </w:rPr>
        <w:t>č</w:t>
      </w:r>
      <w:r w:rsidRPr="00461C16">
        <w:rPr>
          <w:lang w:eastAsia="cs-CZ"/>
        </w:rPr>
        <w:t>iní tak na vlastní náklady. Tato podmínka se vztahuje na všechny stavby na nov</w:t>
      </w:r>
      <w:r w:rsidRPr="00461C16">
        <w:rPr>
          <w:rFonts w:cs="TimesNewRoman"/>
          <w:lang w:eastAsia="cs-CZ"/>
        </w:rPr>
        <w:t xml:space="preserve">ě </w:t>
      </w:r>
      <w:r w:rsidRPr="00461C16">
        <w:rPr>
          <w:lang w:eastAsia="cs-CZ"/>
        </w:rPr>
        <w:t>navržených plochách, které by mohly být ohrožené hlukem ze silnic I. a III. t</w:t>
      </w:r>
      <w:r w:rsidRPr="00461C16">
        <w:rPr>
          <w:rFonts w:cs="TimesNewRoman"/>
          <w:lang w:eastAsia="cs-CZ"/>
        </w:rPr>
        <w:t>ř</w:t>
      </w:r>
      <w:r w:rsidRPr="00461C16">
        <w:rPr>
          <w:lang w:eastAsia="cs-CZ"/>
        </w:rPr>
        <w:t>ídy, nikoli jen na ty, které se vyskytují v jejich ochranném pásmu. Podmínka provedení zmín</w:t>
      </w:r>
      <w:r w:rsidRPr="00461C16">
        <w:rPr>
          <w:rFonts w:cs="TimesNewRoman"/>
          <w:lang w:eastAsia="cs-CZ"/>
        </w:rPr>
        <w:t>ě</w:t>
      </w:r>
      <w:r w:rsidRPr="00461C16">
        <w:rPr>
          <w:lang w:eastAsia="cs-CZ"/>
        </w:rPr>
        <w:t>ných opat</w:t>
      </w:r>
      <w:r w:rsidRPr="00461C16">
        <w:rPr>
          <w:rFonts w:cs="TimesNewRoman"/>
          <w:lang w:eastAsia="cs-CZ"/>
        </w:rPr>
        <w:t>ř</w:t>
      </w:r>
      <w:r w:rsidRPr="00461C16">
        <w:rPr>
          <w:lang w:eastAsia="cs-CZ"/>
        </w:rPr>
        <w:t>ení na náklady stavebníka se vztahuje i na p</w:t>
      </w:r>
      <w:r w:rsidRPr="00461C16">
        <w:rPr>
          <w:rFonts w:cs="TimesNewRoman"/>
          <w:lang w:eastAsia="cs-CZ"/>
        </w:rPr>
        <w:t>ř</w:t>
      </w:r>
      <w:r w:rsidRPr="00461C16">
        <w:rPr>
          <w:lang w:eastAsia="cs-CZ"/>
        </w:rPr>
        <w:t>ípady, kdy by výstavba na nov</w:t>
      </w:r>
      <w:r w:rsidRPr="00461C16">
        <w:rPr>
          <w:rFonts w:cs="TimesNewRoman"/>
          <w:lang w:eastAsia="cs-CZ"/>
        </w:rPr>
        <w:t xml:space="preserve">ě </w:t>
      </w:r>
      <w:r w:rsidRPr="00461C16">
        <w:rPr>
          <w:lang w:eastAsia="cs-CZ"/>
        </w:rPr>
        <w:t>navržených plochách zp</w:t>
      </w:r>
      <w:r w:rsidRPr="00461C16">
        <w:rPr>
          <w:rFonts w:cs="TimesNewRoman"/>
          <w:lang w:eastAsia="cs-CZ"/>
        </w:rPr>
        <w:t>ů</w:t>
      </w:r>
      <w:r w:rsidRPr="00461C16">
        <w:rPr>
          <w:lang w:eastAsia="cs-CZ"/>
        </w:rPr>
        <w:t>sobila ve spojení s dopravou na p</w:t>
      </w:r>
      <w:r w:rsidRPr="00461C16">
        <w:rPr>
          <w:rFonts w:cs="TimesNewRoman"/>
          <w:lang w:eastAsia="cs-CZ"/>
        </w:rPr>
        <w:t>ř</w:t>
      </w:r>
      <w:r w:rsidRPr="00461C16">
        <w:rPr>
          <w:lang w:eastAsia="cs-CZ"/>
        </w:rPr>
        <w:t>edm</w:t>
      </w:r>
      <w:r w:rsidRPr="00461C16">
        <w:rPr>
          <w:rFonts w:cs="TimesNewRoman"/>
          <w:lang w:eastAsia="cs-CZ"/>
        </w:rPr>
        <w:t>ě</w:t>
      </w:r>
      <w:r w:rsidRPr="00461C16">
        <w:rPr>
          <w:lang w:eastAsia="cs-CZ"/>
        </w:rPr>
        <w:t>tných silnicích I. a III. t</w:t>
      </w:r>
      <w:r w:rsidRPr="00461C16">
        <w:rPr>
          <w:rFonts w:cs="TimesNewRoman"/>
          <w:lang w:eastAsia="cs-CZ"/>
        </w:rPr>
        <w:t>ř</w:t>
      </w:r>
      <w:r w:rsidRPr="00461C16">
        <w:rPr>
          <w:lang w:eastAsia="cs-CZ"/>
        </w:rPr>
        <w:t>ídy (nap</w:t>
      </w:r>
      <w:r w:rsidRPr="00461C16">
        <w:rPr>
          <w:rFonts w:cs="TimesNewRoman"/>
          <w:lang w:eastAsia="cs-CZ"/>
        </w:rPr>
        <w:t>ř</w:t>
      </w:r>
      <w:r w:rsidRPr="00461C16">
        <w:rPr>
          <w:lang w:eastAsia="cs-CZ"/>
        </w:rPr>
        <w:t>. odrazem) ohrožení nep</w:t>
      </w:r>
      <w:r w:rsidRPr="00461C16">
        <w:rPr>
          <w:rFonts w:cs="TimesNewRoman"/>
          <w:lang w:eastAsia="cs-CZ"/>
        </w:rPr>
        <w:t>ř</w:t>
      </w:r>
      <w:r w:rsidRPr="00461C16">
        <w:rPr>
          <w:lang w:eastAsia="cs-CZ"/>
        </w:rPr>
        <w:t>íznivými ú</w:t>
      </w:r>
      <w:r w:rsidRPr="00461C16">
        <w:rPr>
          <w:rFonts w:cs="TimesNewRoman"/>
          <w:lang w:eastAsia="cs-CZ"/>
        </w:rPr>
        <w:t>č</w:t>
      </w:r>
      <w:r w:rsidRPr="00461C16">
        <w:rPr>
          <w:lang w:eastAsia="cs-CZ"/>
        </w:rPr>
        <w:t xml:space="preserve">inky hluku na již navržených </w:t>
      </w:r>
      <w:r w:rsidRPr="00461C16">
        <w:rPr>
          <w:rFonts w:cs="TimesNewRoman"/>
          <w:lang w:eastAsia="cs-CZ"/>
        </w:rPr>
        <w:t>č</w:t>
      </w:r>
      <w:r w:rsidRPr="00461C16">
        <w:rPr>
          <w:lang w:eastAsia="cs-CZ"/>
        </w:rPr>
        <w:t>i zastav</w:t>
      </w:r>
      <w:r w:rsidRPr="00461C16">
        <w:rPr>
          <w:rFonts w:cs="TimesNewRoman"/>
          <w:lang w:eastAsia="cs-CZ"/>
        </w:rPr>
        <w:t>ě</w:t>
      </w:r>
      <w:r w:rsidRPr="00461C16">
        <w:rPr>
          <w:lang w:eastAsia="cs-CZ"/>
        </w:rPr>
        <w:t>ných plochách.“</w:t>
      </w:r>
    </w:p>
    <w:p w14:paraId="78DB3F70" w14:textId="77777777" w:rsidR="00233B2C" w:rsidRPr="00461C16" w:rsidRDefault="00685991" w:rsidP="00233B2C">
      <w:pPr>
        <w:autoSpaceDE w:val="0"/>
        <w:autoSpaceDN w:val="0"/>
        <w:adjustRightInd w:val="0"/>
        <w:spacing w:before="120" w:line="240" w:lineRule="auto"/>
        <w:rPr>
          <w:i/>
          <w:lang w:eastAsia="cs-CZ"/>
        </w:rPr>
      </w:pPr>
      <w:r w:rsidRPr="00461C16">
        <w:rPr>
          <w:i/>
          <w:lang w:eastAsia="cs-CZ"/>
        </w:rPr>
        <w:t>Pro všechny stabilizované plochy, zastavitelné plochy a plochy přestavby se stanovuje obecná podmínka využití a uspořádání: při umísťování staveb pro bydlení prokázat nepřekročení maximální přípustné hladiny hluku v chráněných vnitřních i venkovních prostorech stavby ve vztahu k hlukové zátěži ze stávajících a budoucích stacionárních zdrojů hluku.</w:t>
      </w:r>
    </w:p>
    <w:p w14:paraId="0E1D9A83" w14:textId="77777777" w:rsidR="00EF2D77" w:rsidRPr="00461C16" w:rsidRDefault="00EF2D77" w:rsidP="00233B2C">
      <w:pPr>
        <w:autoSpaceDE w:val="0"/>
        <w:autoSpaceDN w:val="0"/>
        <w:adjustRightInd w:val="0"/>
        <w:spacing w:before="120" w:line="240" w:lineRule="auto"/>
        <w:rPr>
          <w:u w:val="single"/>
          <w:lang w:eastAsia="cs-CZ"/>
        </w:rPr>
      </w:pPr>
      <w:r w:rsidRPr="00461C16">
        <w:rPr>
          <w:u w:val="single"/>
          <w:lang w:eastAsia="cs-CZ"/>
        </w:rPr>
        <w:t>Technická infrastruktura</w:t>
      </w:r>
    </w:p>
    <w:p w14:paraId="20BD3995" w14:textId="77777777" w:rsidR="00EF2D77" w:rsidRPr="00461C16" w:rsidRDefault="004834CB"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koncepce zásobování obce vodou ze stávajícího vodovodu. Vyhodnotit spotřebu vody a tlakové poměry s ohledem na návrh zastavitelných ploch. Na základě vyhodnocení navrhnout případné posílení kapacity vodovodu. U nově navrhovaných zastavitelných ploch požadavek na návrh řešení vodovodní sítě, která bude navazovat na stávající vodovodní síť. </w:t>
      </w:r>
    </w:p>
    <w:p w14:paraId="1656C021" w14:textId="77777777" w:rsidR="00617813" w:rsidRPr="00461C16" w:rsidRDefault="00685991" w:rsidP="00617813">
      <w:pPr>
        <w:pStyle w:val="BodyText"/>
        <w:spacing w:before="120" w:after="120"/>
        <w:rPr>
          <w:i/>
          <w:sz w:val="22"/>
          <w:szCs w:val="22"/>
        </w:rPr>
      </w:pPr>
      <w:r w:rsidRPr="00461C16">
        <w:rPr>
          <w:i/>
          <w:sz w:val="22"/>
          <w:szCs w:val="22"/>
        </w:rPr>
        <w:t>ÚP stanovuje rozvoj vodovodní soustavy realizovat v souladu s Plánem rozvoje vodovodů a kanalizací Libereckého kraje. Případné posílení kapacity vodovodu je možno realizovat bez nutnosti změny ÚP.</w:t>
      </w:r>
    </w:p>
    <w:p w14:paraId="191571E8" w14:textId="77777777" w:rsidR="004834CB" w:rsidRPr="00461C16" w:rsidRDefault="004834CB"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Zachovat stávající systém odvádění a čištění odpadních vod. Splaškové vody z nových zastavitelných</w:t>
      </w:r>
      <w:r w:rsidR="002237BE" w:rsidRPr="00461C16">
        <w:rPr>
          <w:lang w:eastAsia="cs-CZ"/>
        </w:rPr>
        <w:t xml:space="preserve"> ploch svés</w:t>
      </w:r>
      <w:r w:rsidRPr="00461C16">
        <w:rPr>
          <w:lang w:eastAsia="cs-CZ"/>
        </w:rPr>
        <w:t xml:space="preserve">t na čistírnu odpadních vod a posoudit její kapacitu. Respektovat požadavek na návrh řešení oddílné kanalizace a dále čistírny odpadních vod (Václavice u Hrádku nad Nisou), včetně vymezení ochranného pásma. V případě, kde to nebude možné, bude individuální řešení likvidace odpadních vod. </w:t>
      </w:r>
    </w:p>
    <w:p w14:paraId="66BF826F" w14:textId="77777777" w:rsidR="00617813" w:rsidRPr="00461C16" w:rsidRDefault="00685991" w:rsidP="00617813">
      <w:pPr>
        <w:pStyle w:val="BodyText"/>
        <w:spacing w:before="120" w:after="120"/>
        <w:rPr>
          <w:i/>
          <w:sz w:val="22"/>
          <w:szCs w:val="22"/>
        </w:rPr>
      </w:pPr>
      <w:r w:rsidRPr="00461C16">
        <w:rPr>
          <w:i/>
          <w:sz w:val="22"/>
          <w:szCs w:val="22"/>
        </w:rPr>
        <w:t>ÚP stanovuje rozvoj kanalizační soustavy realizovat v souladu s Plánem rozvoje vodovodů a kanalizací Libereckého kraje. Stávající systém odvádění a čištění odpadních vod je zachován.</w:t>
      </w:r>
    </w:p>
    <w:p w14:paraId="5BFBBC28" w14:textId="77777777" w:rsidR="004834CB" w:rsidRPr="00461C16" w:rsidRDefault="004834CB"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Dešťové vody je třeba pro zachování odtokových poměrů v maximální míře zdržovat na pozemku a odvádět do vsaku.</w:t>
      </w:r>
    </w:p>
    <w:p w14:paraId="636E3095" w14:textId="77777777" w:rsidR="00617813" w:rsidRPr="00461C16" w:rsidRDefault="00685991" w:rsidP="00617813">
      <w:pPr>
        <w:pStyle w:val="BodyText"/>
        <w:spacing w:before="120" w:after="120"/>
        <w:rPr>
          <w:i/>
          <w:sz w:val="22"/>
          <w:szCs w:val="22"/>
        </w:rPr>
      </w:pPr>
      <w:r w:rsidRPr="00461C16">
        <w:rPr>
          <w:i/>
          <w:sz w:val="22"/>
          <w:szCs w:val="22"/>
        </w:rPr>
        <w:t>Dešťové vody z jednotlivých rozvojových ploch navrhuje územní plán zachycovat a likvidovat přímo na pozemcích jednotlivých nemovitostí. V rozsáhlejších plochách výroby a skladování navrhuje územní plán vybudovat vlastní retenční či akumulační nádrže na dešťovou vodu.</w:t>
      </w:r>
    </w:p>
    <w:p w14:paraId="154AAD1B" w14:textId="77777777" w:rsidR="004834CB" w:rsidRPr="00461C16" w:rsidRDefault="004834CB"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Při návrhu respektovat Plán rozvoje vodovodů a kanalizací Libereckého kraje.</w:t>
      </w:r>
    </w:p>
    <w:p w14:paraId="6CDFAAA4" w14:textId="77777777" w:rsidR="00617813" w:rsidRPr="00461C16" w:rsidRDefault="00685991" w:rsidP="00617813">
      <w:pPr>
        <w:pStyle w:val="BodyText"/>
        <w:spacing w:before="120" w:after="120"/>
        <w:rPr>
          <w:i/>
          <w:sz w:val="22"/>
          <w:szCs w:val="22"/>
        </w:rPr>
      </w:pPr>
      <w:r w:rsidRPr="00461C16">
        <w:rPr>
          <w:i/>
          <w:sz w:val="22"/>
          <w:szCs w:val="22"/>
        </w:rPr>
        <w:t>ÚP stanovuje rozvoj vodovodní soustavy realizovat v souladu s Plánem rozvoje vodovodů a kanalizací Libereckého kraje.</w:t>
      </w:r>
    </w:p>
    <w:p w14:paraId="5BA23A81" w14:textId="77777777" w:rsidR="004834CB" w:rsidRPr="00461C16" w:rsidRDefault="000104AA"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Vyhodnotit zásobování el. energií s ohledem na návrh zastavitelných ploch. </w:t>
      </w:r>
    </w:p>
    <w:p w14:paraId="79AB5A79" w14:textId="77777777" w:rsidR="00617813" w:rsidRPr="00461C16" w:rsidRDefault="00685991" w:rsidP="00617813">
      <w:pPr>
        <w:pStyle w:val="BodyText"/>
        <w:spacing w:before="120" w:after="120"/>
        <w:rPr>
          <w:i/>
          <w:sz w:val="22"/>
          <w:szCs w:val="22"/>
        </w:rPr>
      </w:pPr>
      <w:r w:rsidRPr="00461C16">
        <w:rPr>
          <w:i/>
          <w:sz w:val="22"/>
          <w:szCs w:val="22"/>
        </w:rPr>
        <w:t>ÚP nenavrhuje konkrétní rozmístění nových distribučních trafostanic, ani jejich přívodních vedení. ÚP umožňuje vybudování distribučních trafostanic včetně přívodního vedení pro skupiny návrhových ploch v jednotlivých lokalitách. Umístění těchto trafostanic včetně přívodních vedení musí být upřesněno v podrobnějších stupních projektové dokumentace.</w:t>
      </w:r>
    </w:p>
    <w:p w14:paraId="3DBADE93" w14:textId="77777777" w:rsidR="000104AA" w:rsidRPr="00461C16" w:rsidRDefault="000104AA"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V Návrhu ÚP Hrádek nad Nisou posoudit možnosti napojení na el. rozvody a případně navrhnout potřebné zařízení pro zásobování el. energií v dotčených lokalitách.</w:t>
      </w:r>
    </w:p>
    <w:p w14:paraId="44F988BD" w14:textId="77777777" w:rsidR="00617813" w:rsidRPr="00461C16" w:rsidRDefault="00685991" w:rsidP="00617813">
      <w:pPr>
        <w:pStyle w:val="BodyText"/>
        <w:spacing w:before="120" w:after="120"/>
        <w:rPr>
          <w:i/>
          <w:sz w:val="22"/>
          <w:szCs w:val="22"/>
        </w:rPr>
      </w:pPr>
      <w:r w:rsidRPr="00461C16">
        <w:rPr>
          <w:i/>
          <w:sz w:val="22"/>
          <w:szCs w:val="22"/>
        </w:rPr>
        <w:t>Viz vyhodnocení předchozího bodu.</w:t>
      </w:r>
    </w:p>
    <w:p w14:paraId="33FFA49C" w14:textId="77777777" w:rsidR="001C78F2" w:rsidRPr="00461C16" w:rsidRDefault="001C7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VTL a STL plynovod. Návrh územního plánu řešit doplnění plynofikace v lokalitách stávající zástavby a dále je třeba navrhnout způsob plynofikace vybraných zastavitelných ploch. </w:t>
      </w:r>
    </w:p>
    <w:p w14:paraId="715AC85D" w14:textId="77777777" w:rsidR="00617813" w:rsidRPr="00461C16" w:rsidRDefault="00383671" w:rsidP="00617813">
      <w:pPr>
        <w:pStyle w:val="BodyText"/>
        <w:spacing w:before="120" w:after="120"/>
        <w:rPr>
          <w:i/>
          <w:sz w:val="22"/>
          <w:szCs w:val="22"/>
        </w:rPr>
      </w:pPr>
      <w:r w:rsidRPr="00461C16">
        <w:rPr>
          <w:i/>
          <w:sz w:val="22"/>
          <w:szCs w:val="22"/>
        </w:rPr>
        <w:t>ÚP respektuje stávající vedení plynovodů na území města.</w:t>
      </w:r>
    </w:p>
    <w:p w14:paraId="42C593DE" w14:textId="77777777" w:rsidR="00383671" w:rsidRPr="00461C16" w:rsidRDefault="00383671" w:rsidP="00617813">
      <w:pPr>
        <w:pStyle w:val="BodyText"/>
        <w:spacing w:before="120" w:after="120"/>
        <w:rPr>
          <w:i/>
          <w:sz w:val="22"/>
          <w:szCs w:val="22"/>
        </w:rPr>
      </w:pPr>
      <w:r w:rsidRPr="00461C16">
        <w:rPr>
          <w:i/>
          <w:sz w:val="22"/>
          <w:szCs w:val="22"/>
        </w:rPr>
        <w:t>ÚP nenavrhuje konkrétní trasy plynovodů pro napojení rozvojových ploch. Konkrétní způsob napojení bude upřesněn v územním řízení, přičemž plynovody budou přednostně vedeny v plochách veřejných prostranství a dopravní infrastruktury. Tyto budou vedeny v souladu se stanovenými podmínkami trasování inženýrských sítí a umisťování objektů a zařízení technické infrastruktury (v plochách veřejných prostranství a dopravní infrastruktury). Vždy je potřeba posoudit ekonomickou efektivnost záměru připojení jednotlivých rozvojových ploch.</w:t>
      </w:r>
    </w:p>
    <w:p w14:paraId="30C67DB2" w14:textId="77777777" w:rsidR="001C78F2" w:rsidRPr="00461C16" w:rsidRDefault="001C7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radioreléové trasy a komunikačního vedení včetně ochranného pásma.</w:t>
      </w:r>
    </w:p>
    <w:p w14:paraId="49D0EB88" w14:textId="77777777" w:rsidR="00617813" w:rsidRPr="00461C16" w:rsidRDefault="00A70F15" w:rsidP="00617813">
      <w:pPr>
        <w:pStyle w:val="BodyText"/>
        <w:spacing w:before="120" w:after="120"/>
        <w:rPr>
          <w:i/>
          <w:sz w:val="22"/>
          <w:szCs w:val="22"/>
        </w:rPr>
      </w:pPr>
      <w:r w:rsidRPr="00461C16">
        <w:rPr>
          <w:i/>
          <w:sz w:val="22"/>
          <w:szCs w:val="22"/>
        </w:rPr>
        <w:t>ÚP respektuje radioreléové trasy a komunikační vedení včetně ochranného pásma.</w:t>
      </w:r>
    </w:p>
    <w:p w14:paraId="6EE8A063" w14:textId="77777777" w:rsidR="001C78F2" w:rsidRPr="00461C16" w:rsidRDefault="001C7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Prověřit, zda je potřeba navrhovat plochy pro skládky komunálního odpadu. Respektovat stávající systém nakládání s odpady, tj. svozem komunálního odpadu oprávněnou firmou.</w:t>
      </w:r>
    </w:p>
    <w:p w14:paraId="6D5DE9F4" w14:textId="77777777" w:rsidR="00617813" w:rsidRPr="00461C16" w:rsidRDefault="00A70F15" w:rsidP="00617813">
      <w:pPr>
        <w:pStyle w:val="BodyText"/>
        <w:spacing w:before="120" w:after="120"/>
        <w:rPr>
          <w:i/>
          <w:sz w:val="22"/>
          <w:szCs w:val="22"/>
        </w:rPr>
      </w:pPr>
      <w:r w:rsidRPr="00461C16">
        <w:rPr>
          <w:i/>
          <w:sz w:val="22"/>
          <w:szCs w:val="22"/>
        </w:rPr>
        <w:t>Stávající systém odvozu a likvidace komunálního odpadů je funkční, stabilizovaný a zůstane zachován.</w:t>
      </w:r>
    </w:p>
    <w:p w14:paraId="46E5165F" w14:textId="77777777" w:rsidR="001C78F2" w:rsidRPr="00461C16" w:rsidRDefault="001C7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stávající plochy občanského vybavení a dále prověřit potřebu vymezení nových ploch občanského vybavení.</w:t>
      </w:r>
    </w:p>
    <w:p w14:paraId="5D982788" w14:textId="77777777" w:rsidR="00297C4E" w:rsidRPr="00461C16" w:rsidRDefault="00297C4E" w:rsidP="00297C4E">
      <w:pPr>
        <w:autoSpaceDE w:val="0"/>
        <w:autoSpaceDN w:val="0"/>
        <w:adjustRightInd w:val="0"/>
        <w:spacing w:before="120" w:line="240" w:lineRule="auto"/>
        <w:rPr>
          <w:i/>
          <w:lang w:eastAsia="cs-CZ"/>
        </w:rPr>
      </w:pPr>
      <w:r w:rsidRPr="00461C16">
        <w:rPr>
          <w:i/>
          <w:lang w:eastAsia="cs-CZ"/>
        </w:rPr>
        <w:t>Stávající občanské vybavení je respektováno, buď v samostatných plochách občanského vybavení nebo integrované do smíšené městské / venkovské zástavby. Je doplněno novými plochami občanského vybavení – zejména komerční a sportovní vybavenost. Viz kap. 6.5.3. – Občanské vybavení. Další zařízení občanského vybavení lze dle potřeby umisťovat i v dalších plochách s rozdílným způsobem využití, zejména plochách smíšených obytných a plochách bydlení.</w:t>
      </w:r>
    </w:p>
    <w:p w14:paraId="31317143" w14:textId="77777777" w:rsidR="001C78F2" w:rsidRPr="00461C16" w:rsidRDefault="001C78F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stávající a prověřit potřebu umístění nových ploch veřejných prostranství.</w:t>
      </w:r>
    </w:p>
    <w:p w14:paraId="50D2DD8C" w14:textId="77777777" w:rsidR="00233B2C" w:rsidRPr="00461C16" w:rsidRDefault="00F94427" w:rsidP="00233B2C">
      <w:pPr>
        <w:autoSpaceDE w:val="0"/>
        <w:autoSpaceDN w:val="0"/>
        <w:adjustRightInd w:val="0"/>
        <w:spacing w:before="120" w:line="240" w:lineRule="auto"/>
        <w:rPr>
          <w:i/>
          <w:lang w:eastAsia="cs-CZ"/>
        </w:rPr>
      </w:pPr>
      <w:r w:rsidRPr="00461C16">
        <w:rPr>
          <w:i/>
          <w:lang w:eastAsia="cs-CZ"/>
        </w:rPr>
        <w:t>Stávající veřejná prostranství jsou respektována. Jsou doplněna novými plochami veřejných prostranství – s převažující dopravní funkcí (PX) a s převažující rekreační a sociální funkcí (ZV).</w:t>
      </w:r>
      <w:r w:rsidR="00297C4E" w:rsidRPr="00461C16">
        <w:rPr>
          <w:i/>
          <w:lang w:eastAsia="cs-CZ"/>
        </w:rPr>
        <w:t xml:space="preserve"> Viz kap. 6.5. – Koncepce veřejné infrastruktury, včetně podmínek pro její umísťování.</w:t>
      </w:r>
      <w:r w:rsidRPr="00461C16">
        <w:rPr>
          <w:i/>
          <w:lang w:eastAsia="cs-CZ"/>
        </w:rPr>
        <w:t xml:space="preserve"> </w:t>
      </w:r>
      <w:r w:rsidR="00297C4E" w:rsidRPr="00461C16">
        <w:rPr>
          <w:i/>
          <w:lang w:eastAsia="cs-CZ"/>
        </w:rPr>
        <w:t xml:space="preserve">Další veřejná prostranství lze dle potřeby umisťovat v podstatě v kterékoliv ploše s rozdílným způsobem využití. </w:t>
      </w:r>
    </w:p>
    <w:p w14:paraId="448A2544" w14:textId="77777777" w:rsidR="00BF0070" w:rsidRPr="00461C16" w:rsidRDefault="00BF0070" w:rsidP="00BF0070">
      <w:pPr>
        <w:pStyle w:val="Heading2"/>
        <w:spacing w:after="240"/>
        <w:rPr>
          <w:lang w:eastAsia="cs-CZ"/>
        </w:rPr>
      </w:pPr>
      <w:bookmarkStart w:id="66" w:name="_Toc36116265"/>
      <w:r w:rsidRPr="00461C16">
        <w:rPr>
          <w:lang w:eastAsia="cs-CZ"/>
        </w:rPr>
        <w:t>3.6</w:t>
      </w:r>
      <w:r w:rsidRPr="00461C16">
        <w:rPr>
          <w:lang w:eastAsia="cs-CZ"/>
        </w:rPr>
        <w:tab/>
        <w:t>Požadavky na ochranu a rozvoj hodnot území</w:t>
      </w:r>
      <w:bookmarkEnd w:id="66"/>
      <w:r w:rsidRPr="00461C16">
        <w:rPr>
          <w:lang w:eastAsia="cs-CZ"/>
        </w:rPr>
        <w:t xml:space="preserve"> </w:t>
      </w:r>
    </w:p>
    <w:p w14:paraId="02C480A4" w14:textId="77777777" w:rsidR="00204B52" w:rsidRPr="00461C16" w:rsidRDefault="00204B52"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 ÚP Hrádek nad Nisou naplnit požadavky a podmínky pro harmonický rozvoj obce především v oblasti bydlení, rekreace a cestovního ruchu a zohlednit hodnoty jejího území (historických, kulturních, urbanistických a přírodních).</w:t>
      </w:r>
    </w:p>
    <w:p w14:paraId="4787CC60" w14:textId="77777777" w:rsidR="00233B2C" w:rsidRPr="00461C16" w:rsidRDefault="005E1CEB" w:rsidP="00233B2C">
      <w:pPr>
        <w:autoSpaceDE w:val="0"/>
        <w:autoSpaceDN w:val="0"/>
        <w:adjustRightInd w:val="0"/>
        <w:spacing w:before="120" w:line="240" w:lineRule="auto"/>
        <w:rPr>
          <w:i/>
          <w:lang w:eastAsia="cs-CZ"/>
        </w:rPr>
      </w:pPr>
      <w:r w:rsidRPr="00461C16">
        <w:rPr>
          <w:i/>
          <w:lang w:eastAsia="cs-CZ"/>
        </w:rPr>
        <w:t xml:space="preserve">Harmonický a udržitelný rozvoj města je základním cílem koncepce ÚP. Přitom jsou respektovány všechny hodnoty území a jsou stanoveny obecné podmínky pro jejich ochranu (kap. B.2 – B.4 ÚP). </w:t>
      </w:r>
    </w:p>
    <w:p w14:paraId="3FB84C94" w14:textId="77777777" w:rsidR="00204B52" w:rsidRPr="00461C16" w:rsidRDefault="00204B52" w:rsidP="00DD7DD7">
      <w:pPr>
        <w:autoSpaceDE w:val="0"/>
        <w:autoSpaceDN w:val="0"/>
        <w:adjustRightInd w:val="0"/>
        <w:spacing w:before="120" w:after="120" w:line="240" w:lineRule="auto"/>
        <w:rPr>
          <w:u w:val="single"/>
          <w:lang w:eastAsia="cs-CZ"/>
        </w:rPr>
      </w:pPr>
      <w:r w:rsidRPr="00461C16">
        <w:rPr>
          <w:u w:val="single"/>
          <w:lang w:eastAsia="cs-CZ"/>
        </w:rPr>
        <w:t>Historické a kulturní podmínky</w:t>
      </w:r>
    </w:p>
    <w:p w14:paraId="1C5EA21C" w14:textId="77777777" w:rsidR="00D15EF7" w:rsidRPr="00461C16" w:rsidRDefault="00D15EF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Ochrana objekt</w:t>
      </w:r>
      <w:r w:rsidRPr="00461C16">
        <w:rPr>
          <w:rFonts w:cs="TimesNewRoman"/>
          <w:lang w:eastAsia="cs-CZ"/>
        </w:rPr>
        <w:t xml:space="preserve">ů </w:t>
      </w:r>
      <w:r w:rsidRPr="00461C16">
        <w:rPr>
          <w:lang w:eastAsia="cs-CZ"/>
        </w:rPr>
        <w:t>zapsaných v Úst</w:t>
      </w:r>
      <w:r w:rsidRPr="00461C16">
        <w:rPr>
          <w:rFonts w:cs="TimesNewRoman"/>
          <w:lang w:eastAsia="cs-CZ"/>
        </w:rPr>
        <w:t>ř</w:t>
      </w:r>
      <w:r w:rsidRPr="00461C16">
        <w:rPr>
          <w:lang w:eastAsia="cs-CZ"/>
        </w:rPr>
        <w:t xml:space="preserve">edním seznamu kulturních památek </w:t>
      </w:r>
      <w:r w:rsidRPr="00461C16">
        <w:rPr>
          <w:rFonts w:cs="TimesNewRoman"/>
          <w:lang w:eastAsia="cs-CZ"/>
        </w:rPr>
        <w:t>Č</w:t>
      </w:r>
      <w:r w:rsidRPr="00461C16">
        <w:rPr>
          <w:lang w:eastAsia="cs-CZ"/>
        </w:rPr>
        <w:t>R pod rejst</w:t>
      </w:r>
      <w:r w:rsidRPr="00461C16">
        <w:rPr>
          <w:rFonts w:cs="TimesNewRoman"/>
          <w:lang w:eastAsia="cs-CZ"/>
        </w:rPr>
        <w:t>ř</w:t>
      </w:r>
      <w:r w:rsidRPr="00461C16">
        <w:rPr>
          <w:lang w:eastAsia="cs-CZ"/>
        </w:rPr>
        <w:t xml:space="preserve">íkovými </w:t>
      </w:r>
      <w:r w:rsidRPr="00461C16">
        <w:rPr>
          <w:rFonts w:cs="TimesNewRoman"/>
          <w:lang w:eastAsia="cs-CZ"/>
        </w:rPr>
        <w:t>č</w:t>
      </w:r>
      <w:r w:rsidRPr="00461C16">
        <w:rPr>
          <w:lang w:eastAsia="cs-CZ"/>
        </w:rPr>
        <w:t xml:space="preserve">ísly v souladu s vyhláškou </w:t>
      </w:r>
      <w:r w:rsidRPr="00461C16">
        <w:rPr>
          <w:rFonts w:cs="TimesNewRoman"/>
          <w:lang w:eastAsia="cs-CZ"/>
        </w:rPr>
        <w:t>č</w:t>
      </w:r>
      <w:r w:rsidRPr="00461C16">
        <w:rPr>
          <w:lang w:eastAsia="cs-CZ"/>
        </w:rPr>
        <w:t xml:space="preserve">. 66/1988 Sb., kterou se provádí zákon </w:t>
      </w:r>
      <w:r w:rsidRPr="00461C16">
        <w:rPr>
          <w:rFonts w:cs="TimesNewRoman"/>
          <w:lang w:eastAsia="cs-CZ"/>
        </w:rPr>
        <w:t>č</w:t>
      </w:r>
      <w:r w:rsidRPr="00461C16">
        <w:rPr>
          <w:lang w:eastAsia="cs-CZ"/>
        </w:rPr>
        <w:t>. 20/1987 Sb., o státní památkové pé</w:t>
      </w:r>
      <w:r w:rsidRPr="00461C16">
        <w:rPr>
          <w:rFonts w:cs="TimesNewRoman"/>
          <w:lang w:eastAsia="cs-CZ"/>
        </w:rPr>
        <w:t>č</w:t>
      </w:r>
      <w:r w:rsidRPr="00461C16">
        <w:rPr>
          <w:lang w:eastAsia="cs-CZ"/>
        </w:rPr>
        <w:t>i v platném zn</w:t>
      </w:r>
      <w:r w:rsidRPr="00461C16">
        <w:rPr>
          <w:rFonts w:cs="TimesNewRoman"/>
          <w:lang w:eastAsia="cs-CZ"/>
        </w:rPr>
        <w:t>ě</w:t>
      </w:r>
      <w:r w:rsidRPr="00461C16">
        <w:rPr>
          <w:lang w:eastAsia="cs-CZ"/>
        </w:rPr>
        <w:t>ní. P</w:t>
      </w:r>
      <w:r w:rsidRPr="00461C16">
        <w:rPr>
          <w:rFonts w:cs="TimesNewRoman"/>
          <w:lang w:eastAsia="cs-CZ"/>
        </w:rPr>
        <w:t>ř</w:t>
      </w:r>
      <w:r w:rsidRPr="00461C16">
        <w:rPr>
          <w:lang w:eastAsia="cs-CZ"/>
        </w:rPr>
        <w:t xml:space="preserve">i </w:t>
      </w:r>
      <w:r w:rsidRPr="00461C16">
        <w:rPr>
          <w:rFonts w:cs="TimesNewRoman"/>
          <w:lang w:eastAsia="cs-CZ"/>
        </w:rPr>
        <w:t>ř</w:t>
      </w:r>
      <w:r w:rsidRPr="00461C16">
        <w:rPr>
          <w:lang w:eastAsia="cs-CZ"/>
        </w:rPr>
        <w:t>ešení bude respektována m</w:t>
      </w:r>
      <w:r w:rsidRPr="00461C16">
        <w:rPr>
          <w:rFonts w:cs="TimesNewRoman"/>
          <w:lang w:eastAsia="cs-CZ"/>
        </w:rPr>
        <w:t>ě</w:t>
      </w:r>
      <w:r w:rsidRPr="00461C16">
        <w:rPr>
          <w:lang w:eastAsia="cs-CZ"/>
        </w:rPr>
        <w:t>stská památková zóna Hrádek nad Nisou</w:t>
      </w:r>
      <w:r w:rsidR="00617813" w:rsidRPr="00461C16">
        <w:rPr>
          <w:lang w:eastAsia="cs-CZ"/>
        </w:rPr>
        <w:t>.</w:t>
      </w:r>
    </w:p>
    <w:p w14:paraId="757DC590" w14:textId="77777777" w:rsidR="005E1CEB" w:rsidRPr="00461C16" w:rsidRDefault="005E1CEB" w:rsidP="00F22794">
      <w:pPr>
        <w:pStyle w:val="ListParagraph"/>
        <w:autoSpaceDE w:val="0"/>
        <w:autoSpaceDN w:val="0"/>
        <w:adjustRightInd w:val="0"/>
        <w:spacing w:before="120" w:after="120" w:line="240" w:lineRule="auto"/>
        <w:ind w:left="567"/>
        <w:rPr>
          <w:lang w:eastAsia="cs-CZ"/>
        </w:rPr>
      </w:pPr>
      <w:r w:rsidRPr="00461C16">
        <w:rPr>
          <w:lang w:eastAsia="cs-CZ"/>
        </w:rPr>
        <w:t>Identifikace jednotlivých památek – aktuální Ústřední seznam kulturních památek ČR pro obec Hrádek nad Nisou:</w:t>
      </w:r>
    </w:p>
    <w:p w14:paraId="6C9FF2B7" w14:textId="77777777" w:rsidR="00A06EB9" w:rsidRDefault="00A06EB9">
      <w:r>
        <w:br w:type="page"/>
      </w:r>
    </w:p>
    <w:tbl>
      <w:tblPr>
        <w:tblW w:w="9229" w:type="dxa"/>
        <w:jc w:val="center"/>
        <w:tblCellMar>
          <w:left w:w="70" w:type="dxa"/>
          <w:right w:w="70" w:type="dxa"/>
        </w:tblCellMar>
        <w:tblLook w:val="04A0" w:firstRow="1" w:lastRow="0" w:firstColumn="1" w:lastColumn="0" w:noHBand="0" w:noVBand="1"/>
      </w:tblPr>
      <w:tblGrid>
        <w:gridCol w:w="1433"/>
        <w:gridCol w:w="850"/>
        <w:gridCol w:w="1276"/>
        <w:gridCol w:w="1134"/>
        <w:gridCol w:w="851"/>
        <w:gridCol w:w="1984"/>
        <w:gridCol w:w="1701"/>
      </w:tblGrid>
      <w:tr w:rsidR="005E1CEB" w:rsidRPr="00461C16" w14:paraId="5CF6B2CD" w14:textId="77777777" w:rsidTr="00E10151">
        <w:trPr>
          <w:tblHeader/>
          <w:jc w:val="center"/>
        </w:trPr>
        <w:tc>
          <w:tcPr>
            <w:tcW w:w="1433" w:type="dxa"/>
            <w:tcBorders>
              <w:top w:val="single" w:sz="8" w:space="0" w:color="auto"/>
              <w:left w:val="single" w:sz="8" w:space="0" w:color="auto"/>
              <w:bottom w:val="single" w:sz="8" w:space="0" w:color="auto"/>
              <w:right w:val="single" w:sz="4" w:space="0" w:color="auto"/>
            </w:tcBorders>
            <w:shd w:val="clear" w:color="auto" w:fill="F2F2F2" w:themeFill="background1" w:themeFillShade="F2"/>
            <w:noWrap/>
            <w:hideMark/>
          </w:tcPr>
          <w:p w14:paraId="75112AC2" w14:textId="75CA4AAE" w:rsidR="005E1CEB" w:rsidRPr="00461C16" w:rsidRDefault="005E1CEB" w:rsidP="00A566E0">
            <w:pPr>
              <w:spacing w:before="40" w:after="40" w:line="240" w:lineRule="auto"/>
              <w:jc w:val="left"/>
              <w:rPr>
                <w:rFonts w:eastAsia="Times New Roman"/>
                <w:b/>
                <w:color w:val="000000"/>
                <w:sz w:val="20"/>
                <w:szCs w:val="20"/>
                <w:lang w:eastAsia="cs-CZ"/>
              </w:rPr>
            </w:pPr>
            <w:r w:rsidRPr="00461C16">
              <w:rPr>
                <w:rFonts w:eastAsia="Times New Roman"/>
                <w:b/>
                <w:color w:val="000000"/>
                <w:sz w:val="20"/>
                <w:szCs w:val="20"/>
                <w:lang w:eastAsia="cs-CZ"/>
              </w:rPr>
              <w:lastRenderedPageBreak/>
              <w:t>Číslo rejstříku</w:t>
            </w:r>
          </w:p>
        </w:tc>
        <w:tc>
          <w:tcPr>
            <w:tcW w:w="850" w:type="dxa"/>
            <w:tcBorders>
              <w:top w:val="single" w:sz="8" w:space="0" w:color="auto"/>
              <w:left w:val="nil"/>
              <w:bottom w:val="single" w:sz="8" w:space="0" w:color="auto"/>
              <w:right w:val="single" w:sz="4" w:space="0" w:color="auto"/>
            </w:tcBorders>
            <w:shd w:val="clear" w:color="auto" w:fill="F2F2F2" w:themeFill="background1" w:themeFillShade="F2"/>
            <w:hideMark/>
          </w:tcPr>
          <w:p w14:paraId="2EA241A6" w14:textId="77777777" w:rsidR="005E1CEB" w:rsidRPr="00461C16" w:rsidRDefault="005E1CEB" w:rsidP="00A566E0">
            <w:pPr>
              <w:spacing w:before="40" w:after="40" w:line="240" w:lineRule="auto"/>
              <w:jc w:val="left"/>
              <w:rPr>
                <w:rFonts w:eastAsia="Times New Roman"/>
                <w:b/>
                <w:color w:val="000000"/>
                <w:sz w:val="20"/>
                <w:szCs w:val="20"/>
                <w:lang w:eastAsia="cs-CZ"/>
              </w:rPr>
            </w:pPr>
            <w:r w:rsidRPr="00461C16">
              <w:rPr>
                <w:rFonts w:eastAsia="Times New Roman"/>
                <w:b/>
                <w:color w:val="000000"/>
                <w:sz w:val="20"/>
                <w:szCs w:val="20"/>
                <w:lang w:eastAsia="cs-CZ"/>
              </w:rPr>
              <w:t>Název okresu</w:t>
            </w:r>
          </w:p>
        </w:tc>
        <w:tc>
          <w:tcPr>
            <w:tcW w:w="1276" w:type="dxa"/>
            <w:tcBorders>
              <w:top w:val="single" w:sz="8" w:space="0" w:color="auto"/>
              <w:left w:val="nil"/>
              <w:bottom w:val="single" w:sz="8" w:space="0" w:color="auto"/>
              <w:right w:val="single" w:sz="4" w:space="0" w:color="auto"/>
            </w:tcBorders>
            <w:shd w:val="clear" w:color="auto" w:fill="F2F2F2" w:themeFill="background1" w:themeFillShade="F2"/>
            <w:hideMark/>
          </w:tcPr>
          <w:p w14:paraId="21BD49CF" w14:textId="77777777" w:rsidR="005E1CEB" w:rsidRPr="00461C16" w:rsidRDefault="005E1CEB" w:rsidP="00A566E0">
            <w:pPr>
              <w:spacing w:before="40" w:after="40" w:line="240" w:lineRule="auto"/>
              <w:jc w:val="left"/>
              <w:rPr>
                <w:rFonts w:eastAsia="Times New Roman"/>
                <w:b/>
                <w:color w:val="000000"/>
                <w:sz w:val="20"/>
                <w:szCs w:val="20"/>
                <w:lang w:eastAsia="cs-CZ"/>
              </w:rPr>
            </w:pPr>
            <w:r w:rsidRPr="00461C16">
              <w:rPr>
                <w:rFonts w:eastAsia="Times New Roman"/>
                <w:b/>
                <w:color w:val="000000"/>
                <w:sz w:val="20"/>
                <w:szCs w:val="20"/>
                <w:lang w:eastAsia="cs-CZ"/>
              </w:rPr>
              <w:t>Sídelní útvar</w:t>
            </w:r>
          </w:p>
        </w:tc>
        <w:tc>
          <w:tcPr>
            <w:tcW w:w="1134" w:type="dxa"/>
            <w:tcBorders>
              <w:top w:val="single" w:sz="8" w:space="0" w:color="auto"/>
              <w:left w:val="nil"/>
              <w:bottom w:val="single" w:sz="8" w:space="0" w:color="auto"/>
              <w:right w:val="single" w:sz="4" w:space="0" w:color="auto"/>
            </w:tcBorders>
            <w:shd w:val="clear" w:color="auto" w:fill="F2F2F2" w:themeFill="background1" w:themeFillShade="F2"/>
            <w:noWrap/>
            <w:hideMark/>
          </w:tcPr>
          <w:p w14:paraId="75C54F21" w14:textId="77777777" w:rsidR="005E1CEB" w:rsidRPr="00461C16" w:rsidRDefault="005E1CEB" w:rsidP="00A566E0">
            <w:pPr>
              <w:spacing w:before="40" w:after="40" w:line="240" w:lineRule="auto"/>
              <w:jc w:val="left"/>
              <w:rPr>
                <w:rFonts w:eastAsia="Times New Roman"/>
                <w:b/>
                <w:color w:val="000000"/>
                <w:sz w:val="20"/>
                <w:szCs w:val="20"/>
                <w:lang w:eastAsia="cs-CZ"/>
              </w:rPr>
            </w:pPr>
            <w:r w:rsidRPr="00461C16">
              <w:rPr>
                <w:rFonts w:eastAsia="Times New Roman"/>
                <w:b/>
                <w:color w:val="000000"/>
                <w:sz w:val="20"/>
                <w:szCs w:val="20"/>
                <w:lang w:eastAsia="cs-CZ"/>
              </w:rPr>
              <w:t>Část obce</w:t>
            </w:r>
          </w:p>
        </w:tc>
        <w:tc>
          <w:tcPr>
            <w:tcW w:w="851" w:type="dxa"/>
            <w:tcBorders>
              <w:top w:val="single" w:sz="8" w:space="0" w:color="auto"/>
              <w:left w:val="nil"/>
              <w:bottom w:val="single" w:sz="8" w:space="0" w:color="auto"/>
              <w:right w:val="single" w:sz="4" w:space="0" w:color="auto"/>
            </w:tcBorders>
            <w:shd w:val="clear" w:color="auto" w:fill="F2F2F2" w:themeFill="background1" w:themeFillShade="F2"/>
            <w:noWrap/>
            <w:hideMark/>
          </w:tcPr>
          <w:p w14:paraId="2D79A963" w14:textId="77777777" w:rsidR="005E1CEB" w:rsidRPr="00461C16" w:rsidRDefault="005E1CEB" w:rsidP="00A566E0">
            <w:pPr>
              <w:spacing w:before="40" w:after="40" w:line="240" w:lineRule="auto"/>
              <w:jc w:val="left"/>
              <w:rPr>
                <w:rFonts w:eastAsia="Times New Roman"/>
                <w:b/>
                <w:color w:val="000000"/>
                <w:sz w:val="20"/>
                <w:szCs w:val="20"/>
                <w:lang w:eastAsia="cs-CZ"/>
              </w:rPr>
            </w:pPr>
            <w:r w:rsidRPr="00461C16">
              <w:rPr>
                <w:rFonts w:eastAsia="Times New Roman"/>
                <w:b/>
                <w:color w:val="000000"/>
                <w:sz w:val="20"/>
                <w:szCs w:val="20"/>
                <w:lang w:eastAsia="cs-CZ"/>
              </w:rPr>
              <w:t>čp.</w:t>
            </w:r>
          </w:p>
        </w:tc>
        <w:tc>
          <w:tcPr>
            <w:tcW w:w="1984" w:type="dxa"/>
            <w:tcBorders>
              <w:top w:val="single" w:sz="8" w:space="0" w:color="auto"/>
              <w:left w:val="nil"/>
              <w:bottom w:val="single" w:sz="8" w:space="0" w:color="auto"/>
              <w:right w:val="single" w:sz="4" w:space="0" w:color="auto"/>
            </w:tcBorders>
            <w:shd w:val="clear" w:color="auto" w:fill="F2F2F2" w:themeFill="background1" w:themeFillShade="F2"/>
            <w:noWrap/>
            <w:hideMark/>
          </w:tcPr>
          <w:p w14:paraId="2F64134E" w14:textId="77777777" w:rsidR="005E1CEB" w:rsidRPr="00461C16" w:rsidRDefault="005E1CEB" w:rsidP="00A566E0">
            <w:pPr>
              <w:spacing w:before="40" w:after="40" w:line="240" w:lineRule="auto"/>
              <w:jc w:val="left"/>
              <w:rPr>
                <w:rFonts w:eastAsia="Times New Roman"/>
                <w:b/>
                <w:color w:val="000000"/>
                <w:sz w:val="20"/>
                <w:szCs w:val="20"/>
                <w:lang w:eastAsia="cs-CZ"/>
              </w:rPr>
            </w:pPr>
            <w:r w:rsidRPr="00461C16">
              <w:rPr>
                <w:rFonts w:eastAsia="Times New Roman"/>
                <w:b/>
                <w:color w:val="000000"/>
                <w:sz w:val="20"/>
                <w:szCs w:val="20"/>
                <w:lang w:eastAsia="cs-CZ"/>
              </w:rPr>
              <w:t>Památka</w:t>
            </w:r>
          </w:p>
        </w:tc>
        <w:tc>
          <w:tcPr>
            <w:tcW w:w="1701" w:type="dxa"/>
            <w:tcBorders>
              <w:top w:val="single" w:sz="8" w:space="0" w:color="auto"/>
              <w:left w:val="nil"/>
              <w:bottom w:val="single" w:sz="8" w:space="0" w:color="auto"/>
              <w:right w:val="single" w:sz="8" w:space="0" w:color="auto"/>
            </w:tcBorders>
            <w:shd w:val="clear" w:color="auto" w:fill="F2F2F2" w:themeFill="background1" w:themeFillShade="F2"/>
            <w:hideMark/>
          </w:tcPr>
          <w:p w14:paraId="2D457719" w14:textId="77777777" w:rsidR="005E1CEB" w:rsidRPr="00461C16" w:rsidRDefault="005E1CEB" w:rsidP="00A566E0">
            <w:pPr>
              <w:spacing w:before="40" w:after="40" w:line="240" w:lineRule="auto"/>
              <w:jc w:val="center"/>
              <w:rPr>
                <w:rFonts w:eastAsia="Times New Roman"/>
                <w:b/>
                <w:color w:val="000000"/>
                <w:sz w:val="20"/>
                <w:szCs w:val="20"/>
                <w:lang w:eastAsia="cs-CZ"/>
              </w:rPr>
            </w:pPr>
            <w:r w:rsidRPr="00461C16">
              <w:rPr>
                <w:rFonts w:eastAsia="Times New Roman"/>
                <w:b/>
                <w:color w:val="000000"/>
                <w:sz w:val="20"/>
                <w:szCs w:val="20"/>
                <w:lang w:eastAsia="cs-CZ"/>
              </w:rPr>
              <w:t>Ulice, nám./umístění</w:t>
            </w:r>
          </w:p>
        </w:tc>
      </w:tr>
      <w:tr w:rsidR="005E1CEB" w:rsidRPr="00461C16" w14:paraId="0F691602"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7F364F9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16191 / 5-4303</w:t>
            </w:r>
          </w:p>
        </w:tc>
        <w:tc>
          <w:tcPr>
            <w:tcW w:w="850" w:type="dxa"/>
            <w:tcBorders>
              <w:top w:val="nil"/>
              <w:left w:val="nil"/>
              <w:bottom w:val="single" w:sz="4" w:space="0" w:color="auto"/>
              <w:right w:val="single" w:sz="4" w:space="0" w:color="auto"/>
            </w:tcBorders>
            <w:shd w:val="clear" w:color="auto" w:fill="auto"/>
            <w:noWrap/>
            <w:hideMark/>
          </w:tcPr>
          <w:p w14:paraId="6197597F"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065145AA"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76EA4D24"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hideMark/>
          </w:tcPr>
          <w:p w14:paraId="159E5BBC"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 </w:t>
            </w:r>
          </w:p>
        </w:tc>
        <w:tc>
          <w:tcPr>
            <w:tcW w:w="1984" w:type="dxa"/>
            <w:tcBorders>
              <w:top w:val="nil"/>
              <w:left w:val="nil"/>
              <w:bottom w:val="single" w:sz="4" w:space="0" w:color="auto"/>
              <w:right w:val="single" w:sz="4" w:space="0" w:color="auto"/>
            </w:tcBorders>
            <w:shd w:val="clear" w:color="auto" w:fill="auto"/>
            <w:hideMark/>
          </w:tcPr>
          <w:p w14:paraId="7732064C"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kostel sv. Baroloměje se sochami sv. Jana Nepomuckého, sv. Jana Křtitele, sv. Josefa, sv. Archanděla Michaela, souborem zastavení křížové cesty a ohradní zdí s náhrobky a náhrobníky</w:t>
            </w:r>
          </w:p>
        </w:tc>
        <w:tc>
          <w:tcPr>
            <w:tcW w:w="1701" w:type="dxa"/>
            <w:tcBorders>
              <w:top w:val="nil"/>
              <w:left w:val="nil"/>
              <w:bottom w:val="single" w:sz="4" w:space="0" w:color="auto"/>
              <w:right w:val="single" w:sz="8" w:space="0" w:color="auto"/>
            </w:tcBorders>
            <w:shd w:val="clear" w:color="auto" w:fill="auto"/>
            <w:noWrap/>
            <w:hideMark/>
          </w:tcPr>
          <w:p w14:paraId="55288AF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3,4</w:t>
            </w:r>
          </w:p>
        </w:tc>
      </w:tr>
      <w:tr w:rsidR="005E1CEB" w:rsidRPr="00461C16" w14:paraId="0A4F57FB"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4D7DF52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20977 / 5-4305</w:t>
            </w:r>
          </w:p>
        </w:tc>
        <w:tc>
          <w:tcPr>
            <w:tcW w:w="850" w:type="dxa"/>
            <w:tcBorders>
              <w:top w:val="nil"/>
              <w:left w:val="nil"/>
              <w:bottom w:val="single" w:sz="4" w:space="0" w:color="auto"/>
              <w:right w:val="single" w:sz="4" w:space="0" w:color="auto"/>
            </w:tcBorders>
            <w:shd w:val="clear" w:color="auto" w:fill="auto"/>
            <w:noWrap/>
            <w:hideMark/>
          </w:tcPr>
          <w:p w14:paraId="74321235"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3FF17AEF"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2E05EA15"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hideMark/>
          </w:tcPr>
          <w:p w14:paraId="33F1F78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65</w:t>
            </w:r>
            <w:r w:rsidRPr="00461C16">
              <w:rPr>
                <w:rFonts w:eastAsia="Times New Roman"/>
                <w:color w:val="000000"/>
                <w:sz w:val="20"/>
                <w:szCs w:val="20"/>
                <w:lang w:eastAsia="cs-CZ"/>
              </w:rPr>
              <w:br/>
              <w:t>a 66</w:t>
            </w:r>
          </w:p>
        </w:tc>
        <w:tc>
          <w:tcPr>
            <w:tcW w:w="1984" w:type="dxa"/>
            <w:tcBorders>
              <w:top w:val="nil"/>
              <w:left w:val="nil"/>
              <w:bottom w:val="single" w:sz="4" w:space="0" w:color="auto"/>
              <w:right w:val="single" w:sz="4" w:space="0" w:color="auto"/>
            </w:tcBorders>
            <w:shd w:val="clear" w:color="auto" w:fill="auto"/>
            <w:hideMark/>
          </w:tcPr>
          <w:p w14:paraId="64B0DB7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textilní továrna - využití jako obytné domy, z větší části demolováno</w:t>
            </w:r>
          </w:p>
        </w:tc>
        <w:tc>
          <w:tcPr>
            <w:tcW w:w="1701" w:type="dxa"/>
            <w:tcBorders>
              <w:top w:val="nil"/>
              <w:left w:val="nil"/>
              <w:bottom w:val="single" w:sz="4" w:space="0" w:color="auto"/>
              <w:right w:val="single" w:sz="8" w:space="0" w:color="auto"/>
            </w:tcBorders>
            <w:shd w:val="clear" w:color="auto" w:fill="auto"/>
            <w:noWrap/>
            <w:hideMark/>
          </w:tcPr>
          <w:p w14:paraId="6FE048A2"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580/1, 508/2</w:t>
            </w:r>
          </w:p>
        </w:tc>
      </w:tr>
      <w:tr w:rsidR="005E1CEB" w:rsidRPr="00461C16" w14:paraId="38DC9F6C"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20EEE5AB"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19336 / 5-4306</w:t>
            </w:r>
          </w:p>
        </w:tc>
        <w:tc>
          <w:tcPr>
            <w:tcW w:w="850" w:type="dxa"/>
            <w:tcBorders>
              <w:top w:val="nil"/>
              <w:left w:val="nil"/>
              <w:bottom w:val="single" w:sz="4" w:space="0" w:color="auto"/>
              <w:right w:val="single" w:sz="4" w:space="0" w:color="auto"/>
            </w:tcBorders>
            <w:shd w:val="clear" w:color="auto" w:fill="auto"/>
            <w:noWrap/>
            <w:hideMark/>
          </w:tcPr>
          <w:p w14:paraId="07ED8E6B"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3F7D4250"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4365CDA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noWrap/>
            <w:hideMark/>
          </w:tcPr>
          <w:p w14:paraId="3390652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67</w:t>
            </w:r>
          </w:p>
        </w:tc>
        <w:tc>
          <w:tcPr>
            <w:tcW w:w="1984" w:type="dxa"/>
            <w:tcBorders>
              <w:top w:val="nil"/>
              <w:left w:val="nil"/>
              <w:bottom w:val="single" w:sz="4" w:space="0" w:color="auto"/>
              <w:right w:val="single" w:sz="4" w:space="0" w:color="auto"/>
            </w:tcBorders>
            <w:shd w:val="clear" w:color="auto" w:fill="auto"/>
            <w:hideMark/>
          </w:tcPr>
          <w:p w14:paraId="458553F2"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textilní továrna - využití jako obytný dům</w:t>
            </w:r>
          </w:p>
        </w:tc>
        <w:tc>
          <w:tcPr>
            <w:tcW w:w="1701" w:type="dxa"/>
            <w:tcBorders>
              <w:top w:val="nil"/>
              <w:left w:val="nil"/>
              <w:bottom w:val="single" w:sz="4" w:space="0" w:color="auto"/>
              <w:right w:val="single" w:sz="8" w:space="0" w:color="auto"/>
            </w:tcBorders>
            <w:shd w:val="clear" w:color="auto" w:fill="auto"/>
            <w:noWrap/>
            <w:hideMark/>
          </w:tcPr>
          <w:p w14:paraId="26F24F65"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494/1</w:t>
            </w:r>
          </w:p>
        </w:tc>
      </w:tr>
      <w:tr w:rsidR="005E1CEB" w:rsidRPr="00461C16" w14:paraId="601530B4"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02DCC1E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29698 / 5-4308</w:t>
            </w:r>
          </w:p>
        </w:tc>
        <w:tc>
          <w:tcPr>
            <w:tcW w:w="850" w:type="dxa"/>
            <w:tcBorders>
              <w:top w:val="nil"/>
              <w:left w:val="nil"/>
              <w:bottom w:val="single" w:sz="4" w:space="0" w:color="auto"/>
              <w:right w:val="single" w:sz="4" w:space="0" w:color="auto"/>
            </w:tcBorders>
            <w:shd w:val="clear" w:color="auto" w:fill="auto"/>
            <w:noWrap/>
            <w:hideMark/>
          </w:tcPr>
          <w:p w14:paraId="6A06D829"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239F8DAA"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3B0A8B66"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noWrap/>
            <w:hideMark/>
          </w:tcPr>
          <w:p w14:paraId="1E929D5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76</w:t>
            </w:r>
          </w:p>
        </w:tc>
        <w:tc>
          <w:tcPr>
            <w:tcW w:w="1984" w:type="dxa"/>
            <w:tcBorders>
              <w:top w:val="nil"/>
              <w:left w:val="nil"/>
              <w:bottom w:val="single" w:sz="4" w:space="0" w:color="auto"/>
              <w:right w:val="single" w:sz="4" w:space="0" w:color="auto"/>
            </w:tcBorders>
            <w:shd w:val="clear" w:color="auto" w:fill="auto"/>
            <w:noWrap/>
            <w:hideMark/>
          </w:tcPr>
          <w:p w14:paraId="79AA47C0"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fara</w:t>
            </w:r>
          </w:p>
        </w:tc>
        <w:tc>
          <w:tcPr>
            <w:tcW w:w="1701" w:type="dxa"/>
            <w:tcBorders>
              <w:top w:val="nil"/>
              <w:left w:val="nil"/>
              <w:bottom w:val="single" w:sz="4" w:space="0" w:color="auto"/>
              <w:right w:val="single" w:sz="8" w:space="0" w:color="auto"/>
            </w:tcBorders>
            <w:shd w:val="clear" w:color="auto" w:fill="auto"/>
            <w:noWrap/>
            <w:hideMark/>
          </w:tcPr>
          <w:p w14:paraId="148F7F59"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13</w:t>
            </w:r>
          </w:p>
        </w:tc>
      </w:tr>
      <w:tr w:rsidR="005E1CEB" w:rsidRPr="00461C16" w14:paraId="51004818" w14:textId="77777777" w:rsidTr="00E10151">
        <w:trPr>
          <w:jc w:val="center"/>
        </w:trPr>
        <w:tc>
          <w:tcPr>
            <w:tcW w:w="1433" w:type="dxa"/>
            <w:tcBorders>
              <w:top w:val="single" w:sz="4" w:space="0" w:color="auto"/>
              <w:left w:val="single" w:sz="8" w:space="0" w:color="auto"/>
              <w:bottom w:val="single" w:sz="4" w:space="0" w:color="auto"/>
              <w:right w:val="single" w:sz="4" w:space="0" w:color="auto"/>
            </w:tcBorders>
            <w:shd w:val="clear" w:color="auto" w:fill="auto"/>
            <w:noWrap/>
            <w:hideMark/>
          </w:tcPr>
          <w:p w14:paraId="27FA4C26"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45493 / 5-4307</w:t>
            </w:r>
          </w:p>
        </w:tc>
        <w:tc>
          <w:tcPr>
            <w:tcW w:w="850" w:type="dxa"/>
            <w:tcBorders>
              <w:top w:val="single" w:sz="4" w:space="0" w:color="auto"/>
              <w:left w:val="nil"/>
              <w:bottom w:val="single" w:sz="4" w:space="0" w:color="auto"/>
              <w:right w:val="single" w:sz="4" w:space="0" w:color="auto"/>
            </w:tcBorders>
            <w:shd w:val="clear" w:color="auto" w:fill="auto"/>
            <w:noWrap/>
            <w:hideMark/>
          </w:tcPr>
          <w:p w14:paraId="484810B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single" w:sz="4" w:space="0" w:color="auto"/>
              <w:left w:val="nil"/>
              <w:bottom w:val="single" w:sz="4" w:space="0" w:color="auto"/>
              <w:right w:val="single" w:sz="4" w:space="0" w:color="auto"/>
            </w:tcBorders>
            <w:shd w:val="clear" w:color="auto" w:fill="auto"/>
            <w:hideMark/>
          </w:tcPr>
          <w:p w14:paraId="0FB61E3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single" w:sz="4" w:space="0" w:color="auto"/>
              <w:left w:val="nil"/>
              <w:bottom w:val="single" w:sz="4" w:space="0" w:color="auto"/>
              <w:right w:val="single" w:sz="4" w:space="0" w:color="auto"/>
            </w:tcBorders>
            <w:shd w:val="clear" w:color="auto" w:fill="auto"/>
            <w:hideMark/>
          </w:tcPr>
          <w:p w14:paraId="58B0EBE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single" w:sz="4" w:space="0" w:color="auto"/>
              <w:left w:val="nil"/>
              <w:bottom w:val="single" w:sz="4" w:space="0" w:color="auto"/>
              <w:right w:val="single" w:sz="4" w:space="0" w:color="auto"/>
            </w:tcBorders>
            <w:shd w:val="clear" w:color="auto" w:fill="auto"/>
            <w:noWrap/>
            <w:hideMark/>
          </w:tcPr>
          <w:p w14:paraId="16560BC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85</w:t>
            </w:r>
          </w:p>
        </w:tc>
        <w:tc>
          <w:tcPr>
            <w:tcW w:w="1984" w:type="dxa"/>
            <w:tcBorders>
              <w:top w:val="single" w:sz="4" w:space="0" w:color="auto"/>
              <w:left w:val="nil"/>
              <w:bottom w:val="single" w:sz="4" w:space="0" w:color="auto"/>
              <w:right w:val="single" w:sz="4" w:space="0" w:color="auto"/>
            </w:tcBorders>
            <w:shd w:val="clear" w:color="auto" w:fill="auto"/>
            <w:noWrap/>
            <w:hideMark/>
          </w:tcPr>
          <w:p w14:paraId="7E0EA07D"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single" w:sz="4" w:space="0" w:color="auto"/>
              <w:left w:val="nil"/>
              <w:bottom w:val="single" w:sz="4" w:space="0" w:color="auto"/>
              <w:right w:val="single" w:sz="8" w:space="0" w:color="auto"/>
            </w:tcBorders>
            <w:shd w:val="clear" w:color="auto" w:fill="auto"/>
            <w:noWrap/>
            <w:hideMark/>
          </w:tcPr>
          <w:p w14:paraId="122FDB64"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84</w:t>
            </w:r>
          </w:p>
        </w:tc>
      </w:tr>
      <w:tr w:rsidR="005E1CEB" w:rsidRPr="00461C16" w14:paraId="28CD62E9"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12DAA679"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23760 / 5-4304</w:t>
            </w:r>
          </w:p>
        </w:tc>
        <w:tc>
          <w:tcPr>
            <w:tcW w:w="850" w:type="dxa"/>
            <w:tcBorders>
              <w:top w:val="nil"/>
              <w:left w:val="nil"/>
              <w:bottom w:val="single" w:sz="4" w:space="0" w:color="auto"/>
              <w:right w:val="single" w:sz="4" w:space="0" w:color="auto"/>
            </w:tcBorders>
            <w:shd w:val="clear" w:color="auto" w:fill="auto"/>
            <w:noWrap/>
            <w:hideMark/>
          </w:tcPr>
          <w:p w14:paraId="69313D0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21003EC5"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2174C8A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noWrap/>
            <w:hideMark/>
          </w:tcPr>
          <w:p w14:paraId="1841CA1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86</w:t>
            </w:r>
          </w:p>
        </w:tc>
        <w:tc>
          <w:tcPr>
            <w:tcW w:w="1984" w:type="dxa"/>
            <w:tcBorders>
              <w:top w:val="nil"/>
              <w:left w:val="nil"/>
              <w:bottom w:val="single" w:sz="4" w:space="0" w:color="auto"/>
              <w:right w:val="single" w:sz="4" w:space="0" w:color="auto"/>
            </w:tcBorders>
            <w:shd w:val="clear" w:color="auto" w:fill="auto"/>
            <w:noWrap/>
            <w:hideMark/>
          </w:tcPr>
          <w:p w14:paraId="2EF39D84"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nil"/>
              <w:left w:val="nil"/>
              <w:bottom w:val="single" w:sz="4" w:space="0" w:color="auto"/>
              <w:right w:val="single" w:sz="8" w:space="0" w:color="auto"/>
            </w:tcBorders>
            <w:shd w:val="clear" w:color="auto" w:fill="auto"/>
            <w:noWrap/>
            <w:hideMark/>
          </w:tcPr>
          <w:p w14:paraId="52EEA8C5"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85</w:t>
            </w:r>
          </w:p>
        </w:tc>
      </w:tr>
      <w:tr w:rsidR="005E1CEB" w:rsidRPr="00461C16" w14:paraId="3F27012A"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6A585A36"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34073 / 5-4311</w:t>
            </w:r>
          </w:p>
        </w:tc>
        <w:tc>
          <w:tcPr>
            <w:tcW w:w="850" w:type="dxa"/>
            <w:tcBorders>
              <w:top w:val="nil"/>
              <w:left w:val="nil"/>
              <w:bottom w:val="single" w:sz="4" w:space="0" w:color="auto"/>
              <w:right w:val="single" w:sz="4" w:space="0" w:color="auto"/>
            </w:tcBorders>
            <w:shd w:val="clear" w:color="auto" w:fill="auto"/>
            <w:noWrap/>
            <w:hideMark/>
          </w:tcPr>
          <w:p w14:paraId="5A89B41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6FCEB476"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67EE1876"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noWrap/>
            <w:hideMark/>
          </w:tcPr>
          <w:p w14:paraId="342D61FA"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93</w:t>
            </w:r>
          </w:p>
        </w:tc>
        <w:tc>
          <w:tcPr>
            <w:tcW w:w="1984" w:type="dxa"/>
            <w:tcBorders>
              <w:top w:val="nil"/>
              <w:left w:val="nil"/>
              <w:bottom w:val="single" w:sz="4" w:space="0" w:color="auto"/>
              <w:right w:val="single" w:sz="4" w:space="0" w:color="auto"/>
            </w:tcBorders>
            <w:shd w:val="clear" w:color="auto" w:fill="auto"/>
            <w:noWrap/>
            <w:hideMark/>
          </w:tcPr>
          <w:p w14:paraId="4C14780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nil"/>
              <w:left w:val="nil"/>
              <w:bottom w:val="single" w:sz="4" w:space="0" w:color="auto"/>
              <w:right w:val="single" w:sz="8" w:space="0" w:color="auto"/>
            </w:tcBorders>
            <w:shd w:val="clear" w:color="auto" w:fill="auto"/>
            <w:noWrap/>
            <w:hideMark/>
          </w:tcPr>
          <w:p w14:paraId="484CA37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57</w:t>
            </w:r>
          </w:p>
        </w:tc>
      </w:tr>
      <w:tr w:rsidR="005E1CEB" w:rsidRPr="00461C16" w14:paraId="3DE95561"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56647D4D"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41582 / 5-4312</w:t>
            </w:r>
          </w:p>
        </w:tc>
        <w:tc>
          <w:tcPr>
            <w:tcW w:w="850" w:type="dxa"/>
            <w:tcBorders>
              <w:top w:val="nil"/>
              <w:left w:val="nil"/>
              <w:bottom w:val="single" w:sz="4" w:space="0" w:color="auto"/>
              <w:right w:val="single" w:sz="4" w:space="0" w:color="auto"/>
            </w:tcBorders>
            <w:shd w:val="clear" w:color="auto" w:fill="auto"/>
            <w:noWrap/>
            <w:hideMark/>
          </w:tcPr>
          <w:p w14:paraId="6827D30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5AD7AE80"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1F4E411D"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noWrap/>
            <w:hideMark/>
          </w:tcPr>
          <w:p w14:paraId="1824BC7F"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109</w:t>
            </w:r>
          </w:p>
        </w:tc>
        <w:tc>
          <w:tcPr>
            <w:tcW w:w="1984" w:type="dxa"/>
            <w:tcBorders>
              <w:top w:val="nil"/>
              <w:left w:val="nil"/>
              <w:bottom w:val="single" w:sz="4" w:space="0" w:color="auto"/>
              <w:right w:val="single" w:sz="4" w:space="0" w:color="auto"/>
            </w:tcBorders>
            <w:shd w:val="clear" w:color="auto" w:fill="auto"/>
            <w:noWrap/>
            <w:hideMark/>
          </w:tcPr>
          <w:p w14:paraId="5460082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nil"/>
              <w:left w:val="nil"/>
              <w:bottom w:val="single" w:sz="4" w:space="0" w:color="auto"/>
              <w:right w:val="single" w:sz="8" w:space="0" w:color="auto"/>
            </w:tcBorders>
            <w:shd w:val="clear" w:color="auto" w:fill="auto"/>
            <w:noWrap/>
            <w:hideMark/>
          </w:tcPr>
          <w:p w14:paraId="032502C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35</w:t>
            </w:r>
          </w:p>
        </w:tc>
      </w:tr>
      <w:tr w:rsidR="005E1CEB" w:rsidRPr="00461C16" w14:paraId="0BC24FB2"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3B7D3B1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22597 / 5-4313</w:t>
            </w:r>
          </w:p>
        </w:tc>
        <w:tc>
          <w:tcPr>
            <w:tcW w:w="850" w:type="dxa"/>
            <w:tcBorders>
              <w:top w:val="nil"/>
              <w:left w:val="nil"/>
              <w:bottom w:val="single" w:sz="4" w:space="0" w:color="auto"/>
              <w:right w:val="single" w:sz="4" w:space="0" w:color="auto"/>
            </w:tcBorders>
            <w:shd w:val="clear" w:color="auto" w:fill="auto"/>
            <w:noWrap/>
            <w:hideMark/>
          </w:tcPr>
          <w:p w14:paraId="4E50AB76"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07CE9A00"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1BF69418"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noWrap/>
            <w:hideMark/>
          </w:tcPr>
          <w:p w14:paraId="5D9C28FF"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110</w:t>
            </w:r>
          </w:p>
        </w:tc>
        <w:tc>
          <w:tcPr>
            <w:tcW w:w="1984" w:type="dxa"/>
            <w:tcBorders>
              <w:top w:val="nil"/>
              <w:left w:val="nil"/>
              <w:bottom w:val="single" w:sz="4" w:space="0" w:color="auto"/>
              <w:right w:val="single" w:sz="4" w:space="0" w:color="auto"/>
            </w:tcBorders>
            <w:shd w:val="clear" w:color="auto" w:fill="auto"/>
            <w:noWrap/>
            <w:hideMark/>
          </w:tcPr>
          <w:p w14:paraId="4ADD950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nil"/>
              <w:left w:val="nil"/>
              <w:bottom w:val="single" w:sz="4" w:space="0" w:color="auto"/>
              <w:right w:val="single" w:sz="8" w:space="0" w:color="auto"/>
            </w:tcBorders>
            <w:shd w:val="clear" w:color="auto" w:fill="auto"/>
            <w:noWrap/>
            <w:hideMark/>
          </w:tcPr>
          <w:p w14:paraId="31AB17F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p.č.41</w:t>
            </w:r>
          </w:p>
        </w:tc>
      </w:tr>
      <w:tr w:rsidR="005E1CEB" w:rsidRPr="00461C16" w14:paraId="5AE9A106"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38781CA8"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18394 / 5-4309</w:t>
            </w:r>
          </w:p>
        </w:tc>
        <w:tc>
          <w:tcPr>
            <w:tcW w:w="850" w:type="dxa"/>
            <w:tcBorders>
              <w:top w:val="nil"/>
              <w:left w:val="nil"/>
              <w:bottom w:val="single" w:sz="4" w:space="0" w:color="auto"/>
              <w:right w:val="single" w:sz="4" w:space="0" w:color="auto"/>
            </w:tcBorders>
            <w:shd w:val="clear" w:color="auto" w:fill="auto"/>
            <w:noWrap/>
            <w:hideMark/>
          </w:tcPr>
          <w:p w14:paraId="72F02D5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0307B042"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5901850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noWrap/>
            <w:hideMark/>
          </w:tcPr>
          <w:p w14:paraId="2A5A42F4"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123</w:t>
            </w:r>
          </w:p>
        </w:tc>
        <w:tc>
          <w:tcPr>
            <w:tcW w:w="1984" w:type="dxa"/>
            <w:tcBorders>
              <w:top w:val="nil"/>
              <w:left w:val="nil"/>
              <w:bottom w:val="single" w:sz="4" w:space="0" w:color="auto"/>
              <w:right w:val="single" w:sz="4" w:space="0" w:color="auto"/>
            </w:tcBorders>
            <w:shd w:val="clear" w:color="auto" w:fill="auto"/>
            <w:noWrap/>
            <w:hideMark/>
          </w:tcPr>
          <w:p w14:paraId="63C76574"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nil"/>
              <w:left w:val="nil"/>
              <w:bottom w:val="single" w:sz="4" w:space="0" w:color="auto"/>
              <w:right w:val="single" w:sz="8" w:space="0" w:color="auto"/>
            </w:tcBorders>
            <w:shd w:val="clear" w:color="auto" w:fill="auto"/>
            <w:noWrap/>
            <w:hideMark/>
          </w:tcPr>
          <w:p w14:paraId="738BF2AC"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342/1</w:t>
            </w:r>
          </w:p>
        </w:tc>
      </w:tr>
      <w:tr w:rsidR="005E1CEB" w:rsidRPr="00461C16" w14:paraId="3E2FF8BB"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4FD35CCA"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19467 / 5-4310</w:t>
            </w:r>
          </w:p>
        </w:tc>
        <w:tc>
          <w:tcPr>
            <w:tcW w:w="850" w:type="dxa"/>
            <w:tcBorders>
              <w:top w:val="nil"/>
              <w:left w:val="nil"/>
              <w:bottom w:val="single" w:sz="4" w:space="0" w:color="auto"/>
              <w:right w:val="single" w:sz="4" w:space="0" w:color="auto"/>
            </w:tcBorders>
            <w:shd w:val="clear" w:color="auto" w:fill="auto"/>
            <w:noWrap/>
            <w:hideMark/>
          </w:tcPr>
          <w:p w14:paraId="7A9B83A7"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3B16887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hideMark/>
          </w:tcPr>
          <w:p w14:paraId="6A7D2AB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851" w:type="dxa"/>
            <w:tcBorders>
              <w:top w:val="nil"/>
              <w:left w:val="nil"/>
              <w:bottom w:val="single" w:sz="4" w:space="0" w:color="auto"/>
              <w:right w:val="single" w:sz="4" w:space="0" w:color="auto"/>
            </w:tcBorders>
            <w:shd w:val="clear" w:color="auto" w:fill="auto"/>
            <w:noWrap/>
            <w:hideMark/>
          </w:tcPr>
          <w:p w14:paraId="5EDDB71A"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124</w:t>
            </w:r>
          </w:p>
        </w:tc>
        <w:tc>
          <w:tcPr>
            <w:tcW w:w="1984" w:type="dxa"/>
            <w:tcBorders>
              <w:top w:val="nil"/>
              <w:left w:val="nil"/>
              <w:bottom w:val="single" w:sz="4" w:space="0" w:color="auto"/>
              <w:right w:val="single" w:sz="4" w:space="0" w:color="auto"/>
            </w:tcBorders>
            <w:shd w:val="clear" w:color="auto" w:fill="auto"/>
            <w:noWrap/>
            <w:hideMark/>
          </w:tcPr>
          <w:p w14:paraId="7AC658DA"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nil"/>
              <w:left w:val="nil"/>
              <w:bottom w:val="single" w:sz="4" w:space="0" w:color="auto"/>
              <w:right w:val="single" w:sz="8" w:space="0" w:color="auto"/>
            </w:tcBorders>
            <w:shd w:val="clear" w:color="auto" w:fill="auto"/>
            <w:noWrap/>
            <w:hideMark/>
          </w:tcPr>
          <w:p w14:paraId="264B9F6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p.č.344</w:t>
            </w:r>
          </w:p>
        </w:tc>
      </w:tr>
      <w:tr w:rsidR="005E1CEB" w:rsidRPr="00461C16" w14:paraId="562C23E1"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5165F97F"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28197 / 5-4315</w:t>
            </w:r>
          </w:p>
        </w:tc>
        <w:tc>
          <w:tcPr>
            <w:tcW w:w="850" w:type="dxa"/>
            <w:tcBorders>
              <w:top w:val="nil"/>
              <w:left w:val="nil"/>
              <w:bottom w:val="single" w:sz="4" w:space="0" w:color="auto"/>
              <w:right w:val="single" w:sz="4" w:space="0" w:color="auto"/>
            </w:tcBorders>
            <w:shd w:val="clear" w:color="auto" w:fill="auto"/>
            <w:noWrap/>
            <w:hideMark/>
          </w:tcPr>
          <w:p w14:paraId="502155A0"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hideMark/>
          </w:tcPr>
          <w:p w14:paraId="29DEC8D2"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134" w:type="dxa"/>
            <w:tcBorders>
              <w:top w:val="nil"/>
              <w:left w:val="nil"/>
              <w:bottom w:val="single" w:sz="4" w:space="0" w:color="auto"/>
              <w:right w:val="single" w:sz="4" w:space="0" w:color="auto"/>
            </w:tcBorders>
            <w:shd w:val="clear" w:color="auto" w:fill="auto"/>
            <w:noWrap/>
            <w:hideMark/>
          </w:tcPr>
          <w:p w14:paraId="62CAF721"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Donín</w:t>
            </w:r>
          </w:p>
        </w:tc>
        <w:tc>
          <w:tcPr>
            <w:tcW w:w="851" w:type="dxa"/>
            <w:tcBorders>
              <w:top w:val="nil"/>
              <w:left w:val="nil"/>
              <w:bottom w:val="single" w:sz="4" w:space="0" w:color="auto"/>
              <w:right w:val="single" w:sz="4" w:space="0" w:color="auto"/>
            </w:tcBorders>
            <w:shd w:val="clear" w:color="auto" w:fill="auto"/>
            <w:noWrap/>
            <w:hideMark/>
          </w:tcPr>
          <w:p w14:paraId="1F779AD6"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 </w:t>
            </w:r>
          </w:p>
        </w:tc>
        <w:tc>
          <w:tcPr>
            <w:tcW w:w="1984" w:type="dxa"/>
            <w:tcBorders>
              <w:top w:val="nil"/>
              <w:left w:val="nil"/>
              <w:bottom w:val="single" w:sz="4" w:space="0" w:color="auto"/>
              <w:right w:val="single" w:sz="4" w:space="0" w:color="auto"/>
            </w:tcBorders>
            <w:shd w:val="clear" w:color="auto" w:fill="auto"/>
            <w:noWrap/>
            <w:hideMark/>
          </w:tcPr>
          <w:p w14:paraId="4A7BC228"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sousoší Piety</w:t>
            </w:r>
          </w:p>
        </w:tc>
        <w:tc>
          <w:tcPr>
            <w:tcW w:w="1701" w:type="dxa"/>
            <w:tcBorders>
              <w:top w:val="nil"/>
              <w:left w:val="nil"/>
              <w:bottom w:val="single" w:sz="4" w:space="0" w:color="auto"/>
              <w:right w:val="single" w:sz="8" w:space="0" w:color="auto"/>
            </w:tcBorders>
            <w:shd w:val="clear" w:color="auto" w:fill="auto"/>
            <w:noWrap/>
            <w:hideMark/>
          </w:tcPr>
          <w:p w14:paraId="08D45E2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p.č. 955/1</w:t>
            </w:r>
          </w:p>
        </w:tc>
      </w:tr>
      <w:tr w:rsidR="005E1CEB" w:rsidRPr="00461C16" w14:paraId="3B83E85F"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76694D4B"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19688 / 5-4314</w:t>
            </w:r>
          </w:p>
        </w:tc>
        <w:tc>
          <w:tcPr>
            <w:tcW w:w="850" w:type="dxa"/>
            <w:tcBorders>
              <w:top w:val="nil"/>
              <w:left w:val="nil"/>
              <w:bottom w:val="single" w:sz="4" w:space="0" w:color="auto"/>
              <w:right w:val="single" w:sz="4" w:space="0" w:color="auto"/>
            </w:tcBorders>
            <w:shd w:val="clear" w:color="auto" w:fill="auto"/>
            <w:noWrap/>
            <w:hideMark/>
          </w:tcPr>
          <w:p w14:paraId="40C73F4A"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noWrap/>
            <w:hideMark/>
          </w:tcPr>
          <w:p w14:paraId="36D3DC44"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Horní Sedlo</w:t>
            </w:r>
          </w:p>
        </w:tc>
        <w:tc>
          <w:tcPr>
            <w:tcW w:w="1134" w:type="dxa"/>
            <w:tcBorders>
              <w:top w:val="nil"/>
              <w:left w:val="nil"/>
              <w:bottom w:val="single" w:sz="4" w:space="0" w:color="auto"/>
              <w:right w:val="single" w:sz="4" w:space="0" w:color="auto"/>
            </w:tcBorders>
            <w:shd w:val="clear" w:color="auto" w:fill="auto"/>
            <w:noWrap/>
            <w:hideMark/>
          </w:tcPr>
          <w:p w14:paraId="78B5E322"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Horní Sedlo</w:t>
            </w:r>
          </w:p>
        </w:tc>
        <w:tc>
          <w:tcPr>
            <w:tcW w:w="851" w:type="dxa"/>
            <w:tcBorders>
              <w:top w:val="nil"/>
              <w:left w:val="nil"/>
              <w:bottom w:val="single" w:sz="4" w:space="0" w:color="auto"/>
              <w:right w:val="single" w:sz="4" w:space="0" w:color="auto"/>
            </w:tcBorders>
            <w:shd w:val="clear" w:color="auto" w:fill="auto"/>
            <w:noWrap/>
            <w:hideMark/>
          </w:tcPr>
          <w:p w14:paraId="74D785A9"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 </w:t>
            </w:r>
          </w:p>
        </w:tc>
        <w:tc>
          <w:tcPr>
            <w:tcW w:w="1984" w:type="dxa"/>
            <w:tcBorders>
              <w:top w:val="nil"/>
              <w:left w:val="nil"/>
              <w:bottom w:val="single" w:sz="4" w:space="0" w:color="auto"/>
              <w:right w:val="single" w:sz="4" w:space="0" w:color="auto"/>
            </w:tcBorders>
            <w:shd w:val="clear" w:color="auto" w:fill="auto"/>
            <w:noWrap/>
            <w:hideMark/>
          </w:tcPr>
          <w:p w14:paraId="0B2F9D68"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kaple</w:t>
            </w:r>
          </w:p>
        </w:tc>
        <w:tc>
          <w:tcPr>
            <w:tcW w:w="1701" w:type="dxa"/>
            <w:tcBorders>
              <w:top w:val="nil"/>
              <w:left w:val="nil"/>
              <w:bottom w:val="single" w:sz="4" w:space="0" w:color="auto"/>
              <w:right w:val="single" w:sz="8" w:space="0" w:color="auto"/>
            </w:tcBorders>
            <w:shd w:val="clear" w:color="auto" w:fill="auto"/>
            <w:noWrap/>
            <w:hideMark/>
          </w:tcPr>
          <w:p w14:paraId="3CB65FBF"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p.p.č. 157 v k.ú.</w:t>
            </w:r>
          </w:p>
        </w:tc>
      </w:tr>
      <w:tr w:rsidR="005E1CEB" w:rsidRPr="00461C16" w14:paraId="36DD747A"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4E76510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23451 / 5-4476</w:t>
            </w:r>
          </w:p>
        </w:tc>
        <w:tc>
          <w:tcPr>
            <w:tcW w:w="850" w:type="dxa"/>
            <w:tcBorders>
              <w:top w:val="nil"/>
              <w:left w:val="nil"/>
              <w:bottom w:val="single" w:sz="4" w:space="0" w:color="auto"/>
              <w:right w:val="single" w:sz="4" w:space="0" w:color="auto"/>
            </w:tcBorders>
            <w:shd w:val="clear" w:color="auto" w:fill="auto"/>
            <w:noWrap/>
            <w:hideMark/>
          </w:tcPr>
          <w:p w14:paraId="2C0ECB64"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noWrap/>
            <w:hideMark/>
          </w:tcPr>
          <w:p w14:paraId="4E9D7300"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1134" w:type="dxa"/>
            <w:tcBorders>
              <w:top w:val="nil"/>
              <w:left w:val="nil"/>
              <w:bottom w:val="single" w:sz="4" w:space="0" w:color="auto"/>
              <w:right w:val="single" w:sz="4" w:space="0" w:color="auto"/>
            </w:tcBorders>
            <w:shd w:val="clear" w:color="auto" w:fill="auto"/>
            <w:noWrap/>
            <w:hideMark/>
          </w:tcPr>
          <w:p w14:paraId="09519F45"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851" w:type="dxa"/>
            <w:tcBorders>
              <w:top w:val="nil"/>
              <w:left w:val="nil"/>
              <w:bottom w:val="single" w:sz="4" w:space="0" w:color="auto"/>
              <w:right w:val="single" w:sz="4" w:space="0" w:color="auto"/>
            </w:tcBorders>
            <w:shd w:val="clear" w:color="auto" w:fill="auto"/>
            <w:noWrap/>
            <w:hideMark/>
          </w:tcPr>
          <w:p w14:paraId="1B57CC7F"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81</w:t>
            </w:r>
          </w:p>
        </w:tc>
        <w:tc>
          <w:tcPr>
            <w:tcW w:w="1984" w:type="dxa"/>
            <w:tcBorders>
              <w:top w:val="nil"/>
              <w:left w:val="nil"/>
              <w:bottom w:val="single" w:sz="4" w:space="0" w:color="auto"/>
              <w:right w:val="single" w:sz="4" w:space="0" w:color="auto"/>
            </w:tcBorders>
            <w:shd w:val="clear" w:color="auto" w:fill="auto"/>
            <w:noWrap/>
            <w:hideMark/>
          </w:tcPr>
          <w:p w14:paraId="124CE0FB"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nil"/>
              <w:left w:val="nil"/>
              <w:bottom w:val="single" w:sz="4" w:space="0" w:color="auto"/>
              <w:right w:val="single" w:sz="8" w:space="0" w:color="auto"/>
            </w:tcBorders>
            <w:shd w:val="clear" w:color="auto" w:fill="auto"/>
            <w:noWrap/>
            <w:hideMark/>
          </w:tcPr>
          <w:p w14:paraId="2A5FC38B"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st.p.č. 87</w:t>
            </w:r>
          </w:p>
        </w:tc>
      </w:tr>
      <w:tr w:rsidR="005E1CEB" w:rsidRPr="00461C16" w14:paraId="5254B537"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68CA430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47048 / 5-4479</w:t>
            </w:r>
          </w:p>
        </w:tc>
        <w:tc>
          <w:tcPr>
            <w:tcW w:w="850" w:type="dxa"/>
            <w:tcBorders>
              <w:top w:val="nil"/>
              <w:left w:val="nil"/>
              <w:bottom w:val="single" w:sz="4" w:space="0" w:color="auto"/>
              <w:right w:val="single" w:sz="4" w:space="0" w:color="auto"/>
            </w:tcBorders>
            <w:shd w:val="clear" w:color="auto" w:fill="auto"/>
            <w:noWrap/>
            <w:hideMark/>
          </w:tcPr>
          <w:p w14:paraId="3279AA00"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noWrap/>
            <w:hideMark/>
          </w:tcPr>
          <w:p w14:paraId="007B88A9"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1134" w:type="dxa"/>
            <w:tcBorders>
              <w:top w:val="nil"/>
              <w:left w:val="nil"/>
              <w:bottom w:val="single" w:sz="4" w:space="0" w:color="auto"/>
              <w:right w:val="single" w:sz="4" w:space="0" w:color="auto"/>
            </w:tcBorders>
            <w:shd w:val="clear" w:color="auto" w:fill="auto"/>
            <w:noWrap/>
            <w:hideMark/>
          </w:tcPr>
          <w:p w14:paraId="1E3679E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851" w:type="dxa"/>
            <w:tcBorders>
              <w:top w:val="nil"/>
              <w:left w:val="nil"/>
              <w:bottom w:val="single" w:sz="4" w:space="0" w:color="auto"/>
              <w:right w:val="single" w:sz="4" w:space="0" w:color="auto"/>
            </w:tcBorders>
            <w:shd w:val="clear" w:color="auto" w:fill="auto"/>
            <w:noWrap/>
            <w:hideMark/>
          </w:tcPr>
          <w:p w14:paraId="2AEEBFAD"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91</w:t>
            </w:r>
          </w:p>
        </w:tc>
        <w:tc>
          <w:tcPr>
            <w:tcW w:w="1984" w:type="dxa"/>
            <w:tcBorders>
              <w:top w:val="nil"/>
              <w:left w:val="nil"/>
              <w:bottom w:val="single" w:sz="4" w:space="0" w:color="auto"/>
              <w:right w:val="single" w:sz="4" w:space="0" w:color="auto"/>
            </w:tcBorders>
            <w:shd w:val="clear" w:color="auto" w:fill="auto"/>
            <w:noWrap/>
            <w:hideMark/>
          </w:tcPr>
          <w:p w14:paraId="243C1665"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větrný mlýn</w:t>
            </w:r>
          </w:p>
        </w:tc>
        <w:tc>
          <w:tcPr>
            <w:tcW w:w="1701" w:type="dxa"/>
            <w:tcBorders>
              <w:top w:val="nil"/>
              <w:left w:val="nil"/>
              <w:bottom w:val="single" w:sz="4" w:space="0" w:color="auto"/>
              <w:right w:val="single" w:sz="8" w:space="0" w:color="auto"/>
            </w:tcBorders>
            <w:shd w:val="clear" w:color="auto" w:fill="auto"/>
            <w:noWrap/>
            <w:hideMark/>
          </w:tcPr>
          <w:p w14:paraId="3033E7E9"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st.p.č. 229/1</w:t>
            </w:r>
          </w:p>
        </w:tc>
      </w:tr>
      <w:tr w:rsidR="005E1CEB" w:rsidRPr="00461C16" w14:paraId="34CC8CC3" w14:textId="77777777" w:rsidTr="00E10151">
        <w:trPr>
          <w:jc w:val="center"/>
        </w:trPr>
        <w:tc>
          <w:tcPr>
            <w:tcW w:w="1433" w:type="dxa"/>
            <w:tcBorders>
              <w:top w:val="nil"/>
              <w:left w:val="single" w:sz="8" w:space="0" w:color="auto"/>
              <w:bottom w:val="single" w:sz="4" w:space="0" w:color="auto"/>
              <w:right w:val="single" w:sz="4" w:space="0" w:color="auto"/>
            </w:tcBorders>
            <w:shd w:val="clear" w:color="auto" w:fill="auto"/>
            <w:noWrap/>
            <w:hideMark/>
          </w:tcPr>
          <w:p w14:paraId="16B8DFD4"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19611 / 5-4477</w:t>
            </w:r>
          </w:p>
        </w:tc>
        <w:tc>
          <w:tcPr>
            <w:tcW w:w="850" w:type="dxa"/>
            <w:tcBorders>
              <w:top w:val="nil"/>
              <w:left w:val="nil"/>
              <w:bottom w:val="single" w:sz="4" w:space="0" w:color="auto"/>
              <w:right w:val="single" w:sz="4" w:space="0" w:color="auto"/>
            </w:tcBorders>
            <w:shd w:val="clear" w:color="auto" w:fill="auto"/>
            <w:noWrap/>
            <w:hideMark/>
          </w:tcPr>
          <w:p w14:paraId="4D6F85E8"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4" w:space="0" w:color="auto"/>
              <w:right w:val="single" w:sz="4" w:space="0" w:color="auto"/>
            </w:tcBorders>
            <w:shd w:val="clear" w:color="auto" w:fill="auto"/>
            <w:noWrap/>
            <w:hideMark/>
          </w:tcPr>
          <w:p w14:paraId="4A70F078"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1134" w:type="dxa"/>
            <w:tcBorders>
              <w:top w:val="nil"/>
              <w:left w:val="nil"/>
              <w:bottom w:val="single" w:sz="4" w:space="0" w:color="auto"/>
              <w:right w:val="single" w:sz="4" w:space="0" w:color="auto"/>
            </w:tcBorders>
            <w:shd w:val="clear" w:color="auto" w:fill="auto"/>
            <w:noWrap/>
            <w:hideMark/>
          </w:tcPr>
          <w:p w14:paraId="69C6079A"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851" w:type="dxa"/>
            <w:tcBorders>
              <w:top w:val="nil"/>
              <w:left w:val="nil"/>
              <w:bottom w:val="single" w:sz="4" w:space="0" w:color="auto"/>
              <w:right w:val="single" w:sz="4" w:space="0" w:color="auto"/>
            </w:tcBorders>
            <w:shd w:val="clear" w:color="auto" w:fill="auto"/>
            <w:noWrap/>
            <w:hideMark/>
          </w:tcPr>
          <w:p w14:paraId="6D1EA13E"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 151</w:t>
            </w:r>
          </w:p>
        </w:tc>
        <w:tc>
          <w:tcPr>
            <w:tcW w:w="1984" w:type="dxa"/>
            <w:tcBorders>
              <w:top w:val="nil"/>
              <w:left w:val="nil"/>
              <w:bottom w:val="single" w:sz="4" w:space="0" w:color="auto"/>
              <w:right w:val="single" w:sz="4" w:space="0" w:color="auto"/>
            </w:tcBorders>
            <w:shd w:val="clear" w:color="auto" w:fill="auto"/>
            <w:noWrap/>
            <w:hideMark/>
          </w:tcPr>
          <w:p w14:paraId="4B1CC2DB"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fara</w:t>
            </w:r>
          </w:p>
        </w:tc>
        <w:tc>
          <w:tcPr>
            <w:tcW w:w="1701" w:type="dxa"/>
            <w:tcBorders>
              <w:top w:val="nil"/>
              <w:left w:val="nil"/>
              <w:bottom w:val="single" w:sz="4" w:space="0" w:color="auto"/>
              <w:right w:val="single" w:sz="8" w:space="0" w:color="auto"/>
            </w:tcBorders>
            <w:shd w:val="clear" w:color="auto" w:fill="auto"/>
            <w:noWrap/>
            <w:hideMark/>
          </w:tcPr>
          <w:p w14:paraId="296C24CD"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st.p.č. 209</w:t>
            </w:r>
          </w:p>
        </w:tc>
      </w:tr>
      <w:tr w:rsidR="005E1CEB" w:rsidRPr="00461C16" w14:paraId="5D24C3AD" w14:textId="77777777" w:rsidTr="00E10151">
        <w:trPr>
          <w:jc w:val="center"/>
        </w:trPr>
        <w:tc>
          <w:tcPr>
            <w:tcW w:w="1433" w:type="dxa"/>
            <w:tcBorders>
              <w:top w:val="nil"/>
              <w:left w:val="single" w:sz="8" w:space="0" w:color="auto"/>
              <w:bottom w:val="single" w:sz="8" w:space="0" w:color="auto"/>
              <w:right w:val="single" w:sz="4" w:space="0" w:color="auto"/>
            </w:tcBorders>
            <w:shd w:val="clear" w:color="auto" w:fill="auto"/>
            <w:noWrap/>
            <w:hideMark/>
          </w:tcPr>
          <w:p w14:paraId="2640E8D6"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32435 / 5-4478</w:t>
            </w:r>
          </w:p>
        </w:tc>
        <w:tc>
          <w:tcPr>
            <w:tcW w:w="850" w:type="dxa"/>
            <w:tcBorders>
              <w:top w:val="nil"/>
              <w:left w:val="nil"/>
              <w:bottom w:val="single" w:sz="8" w:space="0" w:color="auto"/>
              <w:right w:val="single" w:sz="4" w:space="0" w:color="auto"/>
            </w:tcBorders>
            <w:shd w:val="clear" w:color="auto" w:fill="auto"/>
            <w:noWrap/>
            <w:hideMark/>
          </w:tcPr>
          <w:p w14:paraId="233124F9"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Liberec</w:t>
            </w:r>
          </w:p>
        </w:tc>
        <w:tc>
          <w:tcPr>
            <w:tcW w:w="1276" w:type="dxa"/>
            <w:tcBorders>
              <w:top w:val="nil"/>
              <w:left w:val="nil"/>
              <w:bottom w:val="single" w:sz="8" w:space="0" w:color="auto"/>
              <w:right w:val="single" w:sz="4" w:space="0" w:color="auto"/>
            </w:tcBorders>
            <w:shd w:val="clear" w:color="auto" w:fill="auto"/>
            <w:noWrap/>
            <w:hideMark/>
          </w:tcPr>
          <w:p w14:paraId="2F642605"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1134" w:type="dxa"/>
            <w:tcBorders>
              <w:top w:val="nil"/>
              <w:left w:val="nil"/>
              <w:bottom w:val="single" w:sz="8" w:space="0" w:color="auto"/>
              <w:right w:val="single" w:sz="4" w:space="0" w:color="auto"/>
            </w:tcBorders>
            <w:shd w:val="clear" w:color="auto" w:fill="auto"/>
            <w:noWrap/>
            <w:hideMark/>
          </w:tcPr>
          <w:p w14:paraId="3013652F"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851" w:type="dxa"/>
            <w:tcBorders>
              <w:top w:val="nil"/>
              <w:left w:val="nil"/>
              <w:bottom w:val="single" w:sz="8" w:space="0" w:color="auto"/>
              <w:right w:val="single" w:sz="4" w:space="0" w:color="auto"/>
            </w:tcBorders>
            <w:shd w:val="clear" w:color="auto" w:fill="auto"/>
            <w:noWrap/>
            <w:hideMark/>
          </w:tcPr>
          <w:p w14:paraId="731D8DF8"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čp.168</w:t>
            </w:r>
          </w:p>
        </w:tc>
        <w:tc>
          <w:tcPr>
            <w:tcW w:w="1984" w:type="dxa"/>
            <w:tcBorders>
              <w:top w:val="nil"/>
              <w:left w:val="nil"/>
              <w:bottom w:val="single" w:sz="8" w:space="0" w:color="auto"/>
              <w:right w:val="single" w:sz="4" w:space="0" w:color="auto"/>
            </w:tcBorders>
            <w:shd w:val="clear" w:color="auto" w:fill="auto"/>
            <w:noWrap/>
            <w:hideMark/>
          </w:tcPr>
          <w:p w14:paraId="4FDC5163"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dům</w:t>
            </w:r>
          </w:p>
        </w:tc>
        <w:tc>
          <w:tcPr>
            <w:tcW w:w="1701" w:type="dxa"/>
            <w:tcBorders>
              <w:top w:val="nil"/>
              <w:left w:val="nil"/>
              <w:bottom w:val="single" w:sz="8" w:space="0" w:color="auto"/>
              <w:right w:val="single" w:sz="8" w:space="0" w:color="auto"/>
            </w:tcBorders>
            <w:shd w:val="clear" w:color="auto" w:fill="auto"/>
            <w:noWrap/>
            <w:hideMark/>
          </w:tcPr>
          <w:p w14:paraId="522B2B30" w14:textId="77777777" w:rsidR="005E1CEB" w:rsidRPr="00461C16" w:rsidRDefault="005E1CEB"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st.p.č. 51</w:t>
            </w:r>
          </w:p>
        </w:tc>
      </w:tr>
    </w:tbl>
    <w:p w14:paraId="6673AB9F" w14:textId="77777777" w:rsidR="00617813" w:rsidRPr="00461C16" w:rsidRDefault="005E1CEB" w:rsidP="00617813">
      <w:pPr>
        <w:pStyle w:val="BodyText"/>
        <w:spacing w:before="120" w:after="120"/>
        <w:rPr>
          <w:i/>
          <w:sz w:val="22"/>
          <w:szCs w:val="22"/>
        </w:rPr>
      </w:pPr>
      <w:r w:rsidRPr="00461C16">
        <w:rPr>
          <w:i/>
          <w:color w:val="000000"/>
          <w:sz w:val="22"/>
          <w:szCs w:val="22"/>
          <w:shd w:val="clear" w:color="auto" w:fill="FFFFFF"/>
        </w:rPr>
        <w:t xml:space="preserve">MPZ i všechny nemovité kulturní památky jsou respektovány jako významné kulturní hodnoty území – viz kap. B.3 ÚP. </w:t>
      </w:r>
    </w:p>
    <w:p w14:paraId="7E8BE28D" w14:textId="77777777" w:rsidR="00D15EF7" w:rsidRPr="00461C16" w:rsidRDefault="00D15EF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městskou památkovou zónu. </w:t>
      </w:r>
    </w:p>
    <w:p w14:paraId="577F3BB9" w14:textId="77777777" w:rsidR="00617813" w:rsidRPr="00461C16" w:rsidRDefault="005E1CEB" w:rsidP="00617813">
      <w:pPr>
        <w:pStyle w:val="BodyText"/>
        <w:spacing w:before="120" w:after="120"/>
        <w:rPr>
          <w:i/>
          <w:sz w:val="22"/>
          <w:szCs w:val="22"/>
        </w:rPr>
      </w:pPr>
      <w:r w:rsidRPr="00461C16">
        <w:rPr>
          <w:i/>
          <w:color w:val="000000"/>
          <w:sz w:val="22"/>
          <w:szCs w:val="22"/>
          <w:shd w:val="clear" w:color="auto" w:fill="FFFFFF"/>
        </w:rPr>
        <w:t>MPZ je respektována jako významná kulturní hodnota území – viz kap. B.3 ÚP.</w:t>
      </w:r>
    </w:p>
    <w:p w14:paraId="472315D4" w14:textId="77777777" w:rsidR="00D15EF7" w:rsidRPr="00461C16" w:rsidRDefault="00D15EF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ÚP Hrádek nad Nisou bude respektovat platné právní p</w:t>
      </w:r>
      <w:r w:rsidRPr="00461C16">
        <w:rPr>
          <w:rFonts w:cs="TimesNewRoman"/>
          <w:lang w:eastAsia="cs-CZ"/>
        </w:rPr>
        <w:t>ř</w:t>
      </w:r>
      <w:r w:rsidRPr="00461C16">
        <w:rPr>
          <w:lang w:eastAsia="cs-CZ"/>
        </w:rPr>
        <w:t>edpisy na ochranu kulturního, architektonického a archeologického d</w:t>
      </w:r>
      <w:r w:rsidRPr="00461C16">
        <w:rPr>
          <w:rFonts w:cs="TimesNewRoman"/>
          <w:lang w:eastAsia="cs-CZ"/>
        </w:rPr>
        <w:t>ě</w:t>
      </w:r>
      <w:r w:rsidRPr="00461C16">
        <w:rPr>
          <w:lang w:eastAsia="cs-CZ"/>
        </w:rPr>
        <w:t>dictví, p</w:t>
      </w:r>
      <w:r w:rsidRPr="00461C16">
        <w:rPr>
          <w:rFonts w:cs="TimesNewRoman"/>
          <w:lang w:eastAsia="cs-CZ"/>
        </w:rPr>
        <w:t>ř</w:t>
      </w:r>
      <w:r w:rsidRPr="00461C16">
        <w:rPr>
          <w:lang w:eastAsia="cs-CZ"/>
        </w:rPr>
        <w:t xml:space="preserve">edevším zákon </w:t>
      </w:r>
      <w:r w:rsidRPr="00461C16">
        <w:rPr>
          <w:rFonts w:cs="TimesNewRoman"/>
          <w:lang w:eastAsia="cs-CZ"/>
        </w:rPr>
        <w:t>č</w:t>
      </w:r>
      <w:r w:rsidRPr="00461C16">
        <w:rPr>
          <w:lang w:eastAsia="cs-CZ"/>
        </w:rPr>
        <w:t>.20/1987 Sb., o státní památkové pé</w:t>
      </w:r>
      <w:r w:rsidRPr="00461C16">
        <w:rPr>
          <w:rFonts w:cs="TimesNewRoman"/>
          <w:lang w:eastAsia="cs-CZ"/>
        </w:rPr>
        <w:t>č</w:t>
      </w:r>
      <w:r w:rsidRPr="00461C16">
        <w:rPr>
          <w:lang w:eastAsia="cs-CZ"/>
        </w:rPr>
        <w:t>i, v platném zn</w:t>
      </w:r>
      <w:r w:rsidRPr="00461C16">
        <w:rPr>
          <w:rFonts w:cs="TimesNewRoman"/>
          <w:lang w:eastAsia="cs-CZ"/>
        </w:rPr>
        <w:t>ě</w:t>
      </w:r>
      <w:r w:rsidRPr="00461C16">
        <w:rPr>
          <w:lang w:eastAsia="cs-CZ"/>
        </w:rPr>
        <w:t>ní Úmluvu o ochran</w:t>
      </w:r>
      <w:r w:rsidRPr="00461C16">
        <w:rPr>
          <w:rFonts w:cs="TimesNewRoman"/>
          <w:lang w:eastAsia="cs-CZ"/>
        </w:rPr>
        <w:t xml:space="preserve">ě </w:t>
      </w:r>
      <w:r w:rsidRPr="00461C16">
        <w:rPr>
          <w:lang w:eastAsia="cs-CZ"/>
        </w:rPr>
        <w:t>architektonickém d</w:t>
      </w:r>
      <w:r w:rsidRPr="00461C16">
        <w:rPr>
          <w:rFonts w:cs="TimesNewRoman"/>
          <w:lang w:eastAsia="cs-CZ"/>
        </w:rPr>
        <w:t>ě</w:t>
      </w:r>
      <w:r w:rsidRPr="00461C16">
        <w:rPr>
          <w:lang w:eastAsia="cs-CZ"/>
        </w:rPr>
        <w:t xml:space="preserve">dictví Evropy vyhlášenou ve Sbírce mezinárodních smluv pod </w:t>
      </w:r>
      <w:r w:rsidRPr="00461C16">
        <w:rPr>
          <w:rFonts w:cs="TimesNewRoman"/>
          <w:lang w:eastAsia="cs-CZ"/>
        </w:rPr>
        <w:t>č</w:t>
      </w:r>
      <w:r w:rsidRPr="00461C16">
        <w:rPr>
          <w:lang w:eastAsia="cs-CZ"/>
        </w:rPr>
        <w:t>.73/2000 a Úmluvu o ochran</w:t>
      </w:r>
      <w:r w:rsidRPr="00461C16">
        <w:rPr>
          <w:rFonts w:cs="TimesNewRoman"/>
          <w:lang w:eastAsia="cs-CZ"/>
        </w:rPr>
        <w:t xml:space="preserve">ě </w:t>
      </w:r>
      <w:r w:rsidRPr="00461C16">
        <w:rPr>
          <w:lang w:eastAsia="cs-CZ"/>
        </w:rPr>
        <w:t>archeologického d</w:t>
      </w:r>
      <w:r w:rsidRPr="00461C16">
        <w:rPr>
          <w:rFonts w:cs="TimesNewRoman"/>
          <w:lang w:eastAsia="cs-CZ"/>
        </w:rPr>
        <w:t>ě</w:t>
      </w:r>
      <w:r w:rsidRPr="00461C16">
        <w:rPr>
          <w:lang w:eastAsia="cs-CZ"/>
        </w:rPr>
        <w:t xml:space="preserve">dictví Evropy (revidované, </w:t>
      </w:r>
      <w:r w:rsidRPr="00461C16">
        <w:rPr>
          <w:rFonts w:cs="TimesNewRoman"/>
          <w:lang w:eastAsia="cs-CZ"/>
        </w:rPr>
        <w:t>č</w:t>
      </w:r>
      <w:r w:rsidRPr="00461C16">
        <w:rPr>
          <w:lang w:eastAsia="cs-CZ"/>
        </w:rPr>
        <w:t xml:space="preserve">. 143) vyhlášenou ve Sbírce mezinárodních smluv pod </w:t>
      </w:r>
      <w:r w:rsidRPr="00461C16">
        <w:rPr>
          <w:rFonts w:cs="TimesNewRoman"/>
          <w:lang w:eastAsia="cs-CZ"/>
        </w:rPr>
        <w:t>č</w:t>
      </w:r>
      <w:r w:rsidRPr="00461C16">
        <w:rPr>
          <w:lang w:eastAsia="cs-CZ"/>
        </w:rPr>
        <w:t>.99/2000.</w:t>
      </w:r>
    </w:p>
    <w:p w14:paraId="280935E4" w14:textId="77777777" w:rsidR="00617813" w:rsidRPr="00461C16" w:rsidRDefault="005E1CEB" w:rsidP="00617813">
      <w:pPr>
        <w:pStyle w:val="BodyText"/>
        <w:spacing w:before="120" w:after="120"/>
        <w:rPr>
          <w:i/>
          <w:sz w:val="22"/>
          <w:szCs w:val="22"/>
        </w:rPr>
      </w:pPr>
      <w:r w:rsidRPr="00461C16">
        <w:rPr>
          <w:i/>
          <w:color w:val="000000"/>
          <w:sz w:val="22"/>
          <w:szCs w:val="22"/>
          <w:shd w:val="clear" w:color="auto" w:fill="FFFFFF"/>
        </w:rPr>
        <w:lastRenderedPageBreak/>
        <w:t>Všechny platné právní předpisy jsou respektovány</w:t>
      </w:r>
    </w:p>
    <w:p w14:paraId="0465376F" w14:textId="77777777" w:rsidR="00D15EF7" w:rsidRPr="00461C16" w:rsidRDefault="00D15EF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ochranu architektonicky cenných souborů staveb a objektů, které nejsou zapsané ve státním seznamu nemovitých kulturních památek. </w:t>
      </w:r>
    </w:p>
    <w:p w14:paraId="3A0C5B5E" w14:textId="77777777" w:rsidR="00617813" w:rsidRPr="00461C16" w:rsidRDefault="005E1CEB" w:rsidP="00617813">
      <w:pPr>
        <w:pStyle w:val="BodyText"/>
        <w:spacing w:before="120" w:after="120"/>
        <w:rPr>
          <w:i/>
          <w:sz w:val="22"/>
          <w:szCs w:val="22"/>
        </w:rPr>
      </w:pPr>
      <w:r w:rsidRPr="00461C16">
        <w:rPr>
          <w:i/>
          <w:color w:val="000000"/>
          <w:sz w:val="22"/>
          <w:szCs w:val="22"/>
          <w:shd w:val="clear" w:color="auto" w:fill="FFFFFF"/>
        </w:rPr>
        <w:t xml:space="preserve">ÚP vymezuje urbanisticky významné kompoziční prvky, významná veřejná prostranství a architektonicky cenné stavby, bez památkové ochrany, a stanovuje obecné podmínky pro jejich ochranu – viz kap. B.3 ÚP. </w:t>
      </w:r>
    </w:p>
    <w:p w14:paraId="0719E7EA" w14:textId="77777777" w:rsidR="00D15EF7" w:rsidRPr="00461C16" w:rsidRDefault="00D15EF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skutečnost, že řešené území je území s archeologickými nálezy.</w:t>
      </w:r>
    </w:p>
    <w:p w14:paraId="07E2A96B" w14:textId="77777777" w:rsidR="00D15EF7" w:rsidRPr="00461C16" w:rsidRDefault="00AB3A9E" w:rsidP="005E1CEB">
      <w:pPr>
        <w:pStyle w:val="ListParagraph"/>
        <w:autoSpaceDE w:val="0"/>
        <w:autoSpaceDN w:val="0"/>
        <w:adjustRightInd w:val="0"/>
        <w:spacing w:before="120" w:after="120" w:line="240" w:lineRule="auto"/>
        <w:ind w:left="851"/>
        <w:rPr>
          <w:lang w:eastAsia="cs-CZ"/>
        </w:rPr>
      </w:pPr>
      <w:r w:rsidRPr="00461C16">
        <w:rPr>
          <w:lang w:eastAsia="cs-CZ"/>
        </w:rPr>
        <w:t>Území archeologické péče – aktuální ÚAN dle SAS ČR pro město Hrádek nad Nisou:</w:t>
      </w:r>
    </w:p>
    <w:tbl>
      <w:tblPr>
        <w:tblW w:w="9228" w:type="dxa"/>
        <w:tblInd w:w="55" w:type="dxa"/>
        <w:tblCellMar>
          <w:left w:w="70" w:type="dxa"/>
          <w:right w:w="70" w:type="dxa"/>
        </w:tblCellMar>
        <w:tblLook w:val="04A0" w:firstRow="1" w:lastRow="0" w:firstColumn="1" w:lastColumn="0" w:noHBand="0" w:noVBand="1"/>
      </w:tblPr>
      <w:tblGrid>
        <w:gridCol w:w="1480"/>
        <w:gridCol w:w="1000"/>
        <w:gridCol w:w="2070"/>
        <w:gridCol w:w="1560"/>
        <w:gridCol w:w="3118"/>
      </w:tblGrid>
      <w:tr w:rsidR="008E552A" w:rsidRPr="00461C16" w14:paraId="296BDEA9" w14:textId="77777777" w:rsidTr="00A521CE">
        <w:trPr>
          <w:trHeight w:val="330"/>
          <w:tblHeader/>
        </w:trPr>
        <w:tc>
          <w:tcPr>
            <w:tcW w:w="148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8A2432" w14:textId="77777777" w:rsidR="008E552A" w:rsidRPr="00461C16" w:rsidRDefault="008E552A" w:rsidP="00A566E0">
            <w:pPr>
              <w:spacing w:before="40" w:after="40" w:line="240" w:lineRule="auto"/>
              <w:jc w:val="left"/>
              <w:rPr>
                <w:rFonts w:eastAsia="Times New Roman"/>
                <w:b/>
                <w:bCs/>
                <w:color w:val="000000"/>
                <w:sz w:val="20"/>
                <w:szCs w:val="20"/>
                <w:lang w:eastAsia="cs-CZ"/>
              </w:rPr>
            </w:pPr>
            <w:r w:rsidRPr="00461C16">
              <w:rPr>
                <w:rFonts w:eastAsia="Times New Roman"/>
                <w:b/>
                <w:bCs/>
                <w:color w:val="000000"/>
                <w:sz w:val="20"/>
                <w:szCs w:val="20"/>
                <w:lang w:eastAsia="cs-CZ"/>
              </w:rPr>
              <w:t>Poř.č.SAS</w:t>
            </w:r>
          </w:p>
        </w:tc>
        <w:tc>
          <w:tcPr>
            <w:tcW w:w="1000"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579B6017" w14:textId="77777777" w:rsidR="008E552A" w:rsidRPr="00461C16" w:rsidRDefault="008E552A" w:rsidP="00A566E0">
            <w:pPr>
              <w:spacing w:before="40" w:after="40" w:line="240" w:lineRule="auto"/>
              <w:jc w:val="left"/>
              <w:rPr>
                <w:rFonts w:eastAsia="Times New Roman"/>
                <w:b/>
                <w:bCs/>
                <w:color w:val="000000"/>
                <w:sz w:val="20"/>
                <w:szCs w:val="20"/>
                <w:lang w:eastAsia="cs-CZ"/>
              </w:rPr>
            </w:pPr>
            <w:r w:rsidRPr="00461C16">
              <w:rPr>
                <w:rFonts w:eastAsia="Times New Roman"/>
                <w:b/>
                <w:bCs/>
                <w:color w:val="000000"/>
                <w:sz w:val="20"/>
                <w:szCs w:val="20"/>
                <w:lang w:eastAsia="cs-CZ"/>
              </w:rPr>
              <w:t>Soubor</w:t>
            </w:r>
          </w:p>
        </w:tc>
        <w:tc>
          <w:tcPr>
            <w:tcW w:w="2070"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7EC22898" w14:textId="77777777" w:rsidR="008E552A" w:rsidRPr="00461C16" w:rsidRDefault="008E552A" w:rsidP="00A566E0">
            <w:pPr>
              <w:spacing w:before="40" w:after="40" w:line="240" w:lineRule="auto"/>
              <w:jc w:val="left"/>
              <w:rPr>
                <w:rFonts w:eastAsia="Times New Roman"/>
                <w:b/>
                <w:bCs/>
                <w:color w:val="000000"/>
                <w:sz w:val="20"/>
                <w:szCs w:val="20"/>
                <w:lang w:eastAsia="cs-CZ"/>
              </w:rPr>
            </w:pPr>
            <w:r w:rsidRPr="00461C16">
              <w:rPr>
                <w:rFonts w:eastAsia="Times New Roman"/>
                <w:b/>
                <w:bCs/>
                <w:color w:val="000000"/>
                <w:sz w:val="20"/>
                <w:szCs w:val="20"/>
                <w:lang w:eastAsia="cs-CZ"/>
              </w:rPr>
              <w:t>Název UAN</w:t>
            </w:r>
          </w:p>
        </w:tc>
        <w:tc>
          <w:tcPr>
            <w:tcW w:w="1560"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799C520A" w14:textId="77777777" w:rsidR="008E552A" w:rsidRPr="00461C16" w:rsidRDefault="008E552A" w:rsidP="00A566E0">
            <w:pPr>
              <w:spacing w:before="40" w:after="40" w:line="240" w:lineRule="auto"/>
              <w:jc w:val="left"/>
              <w:rPr>
                <w:rFonts w:eastAsia="Times New Roman"/>
                <w:b/>
                <w:bCs/>
                <w:color w:val="000000"/>
                <w:sz w:val="20"/>
                <w:szCs w:val="20"/>
                <w:lang w:eastAsia="cs-CZ"/>
              </w:rPr>
            </w:pPr>
            <w:r w:rsidRPr="00461C16">
              <w:rPr>
                <w:rFonts w:eastAsia="Times New Roman"/>
                <w:b/>
                <w:bCs/>
                <w:color w:val="000000"/>
                <w:sz w:val="20"/>
                <w:szCs w:val="20"/>
                <w:lang w:eastAsia="cs-CZ"/>
              </w:rPr>
              <w:t>Kategorie UAN</w:t>
            </w:r>
          </w:p>
        </w:tc>
        <w:tc>
          <w:tcPr>
            <w:tcW w:w="3118" w:type="dxa"/>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7D044F87" w14:textId="77777777" w:rsidR="008E552A" w:rsidRPr="00461C16" w:rsidRDefault="008E552A" w:rsidP="00A566E0">
            <w:pPr>
              <w:spacing w:before="40" w:after="40" w:line="240" w:lineRule="auto"/>
              <w:jc w:val="left"/>
              <w:rPr>
                <w:rFonts w:eastAsia="Times New Roman"/>
                <w:b/>
                <w:bCs/>
                <w:color w:val="000000"/>
                <w:sz w:val="20"/>
                <w:szCs w:val="20"/>
                <w:lang w:eastAsia="cs-CZ"/>
              </w:rPr>
            </w:pPr>
            <w:r w:rsidRPr="00461C16">
              <w:rPr>
                <w:rFonts w:eastAsia="Times New Roman"/>
                <w:b/>
                <w:bCs/>
                <w:color w:val="000000"/>
                <w:sz w:val="20"/>
                <w:szCs w:val="20"/>
                <w:lang w:eastAsia="cs-CZ"/>
              </w:rPr>
              <w:t>Katastr, okres</w:t>
            </w:r>
          </w:p>
        </w:tc>
      </w:tr>
      <w:tr w:rsidR="008E552A" w:rsidRPr="00461C16" w14:paraId="197C0912" w14:textId="77777777" w:rsidTr="006C6B28">
        <w:trPr>
          <w:trHeight w:val="330"/>
        </w:trPr>
        <w:tc>
          <w:tcPr>
            <w:tcW w:w="1480" w:type="dxa"/>
            <w:tcBorders>
              <w:top w:val="nil"/>
              <w:left w:val="single" w:sz="4" w:space="0" w:color="auto"/>
              <w:bottom w:val="single" w:sz="4" w:space="0" w:color="auto"/>
              <w:right w:val="single" w:sz="4" w:space="0" w:color="auto"/>
            </w:tcBorders>
            <w:shd w:val="clear" w:color="auto" w:fill="auto"/>
            <w:noWrap/>
            <w:hideMark/>
          </w:tcPr>
          <w:p w14:paraId="2A49D389"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03-13-03/1</w:t>
            </w:r>
          </w:p>
        </w:tc>
        <w:tc>
          <w:tcPr>
            <w:tcW w:w="1000" w:type="dxa"/>
            <w:tcBorders>
              <w:top w:val="nil"/>
              <w:left w:val="nil"/>
              <w:bottom w:val="single" w:sz="4" w:space="0" w:color="auto"/>
              <w:right w:val="single" w:sz="4" w:space="0" w:color="auto"/>
            </w:tcBorders>
            <w:shd w:val="clear" w:color="auto" w:fill="auto"/>
            <w:noWrap/>
            <w:hideMark/>
          </w:tcPr>
          <w:p w14:paraId="6D44F5F3"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LIB-99</w:t>
            </w:r>
          </w:p>
        </w:tc>
        <w:tc>
          <w:tcPr>
            <w:tcW w:w="2070" w:type="dxa"/>
            <w:tcBorders>
              <w:top w:val="nil"/>
              <w:left w:val="nil"/>
              <w:bottom w:val="single" w:sz="4" w:space="0" w:color="auto"/>
              <w:right w:val="single" w:sz="4" w:space="0" w:color="auto"/>
            </w:tcBorders>
            <w:shd w:val="clear" w:color="auto" w:fill="auto"/>
            <w:noWrap/>
            <w:hideMark/>
          </w:tcPr>
          <w:p w14:paraId="099C5A8D"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Oldřichov na Hranicích</w:t>
            </w:r>
          </w:p>
        </w:tc>
        <w:tc>
          <w:tcPr>
            <w:tcW w:w="1560" w:type="dxa"/>
            <w:tcBorders>
              <w:top w:val="nil"/>
              <w:left w:val="nil"/>
              <w:bottom w:val="single" w:sz="4" w:space="0" w:color="auto"/>
              <w:right w:val="single" w:sz="4" w:space="0" w:color="auto"/>
            </w:tcBorders>
            <w:shd w:val="clear" w:color="auto" w:fill="auto"/>
            <w:noWrap/>
            <w:hideMark/>
          </w:tcPr>
          <w:p w14:paraId="4E4A7CA8"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II</w:t>
            </w:r>
          </w:p>
        </w:tc>
        <w:tc>
          <w:tcPr>
            <w:tcW w:w="3118" w:type="dxa"/>
            <w:tcBorders>
              <w:top w:val="nil"/>
              <w:left w:val="nil"/>
              <w:bottom w:val="single" w:sz="4" w:space="0" w:color="auto"/>
              <w:right w:val="single" w:sz="4" w:space="0" w:color="auto"/>
            </w:tcBorders>
            <w:shd w:val="clear" w:color="auto" w:fill="auto"/>
            <w:noWrap/>
            <w:hideMark/>
          </w:tcPr>
          <w:p w14:paraId="1A9D2408"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Oldřichov na Hranicích, Liberec</w:t>
            </w:r>
          </w:p>
        </w:tc>
      </w:tr>
      <w:tr w:rsidR="008E552A" w:rsidRPr="00461C16" w14:paraId="4D2B3A17" w14:textId="77777777" w:rsidTr="006C6B28">
        <w:trPr>
          <w:trHeight w:val="330"/>
        </w:trPr>
        <w:tc>
          <w:tcPr>
            <w:tcW w:w="1480" w:type="dxa"/>
            <w:tcBorders>
              <w:top w:val="nil"/>
              <w:left w:val="single" w:sz="4" w:space="0" w:color="auto"/>
              <w:bottom w:val="single" w:sz="4" w:space="0" w:color="auto"/>
              <w:right w:val="single" w:sz="4" w:space="0" w:color="auto"/>
            </w:tcBorders>
            <w:shd w:val="clear" w:color="auto" w:fill="auto"/>
            <w:noWrap/>
            <w:hideMark/>
          </w:tcPr>
          <w:p w14:paraId="4674B9ED"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03-13-08/1</w:t>
            </w:r>
          </w:p>
        </w:tc>
        <w:tc>
          <w:tcPr>
            <w:tcW w:w="1000" w:type="dxa"/>
            <w:tcBorders>
              <w:top w:val="nil"/>
              <w:left w:val="nil"/>
              <w:bottom w:val="single" w:sz="4" w:space="0" w:color="auto"/>
              <w:right w:val="single" w:sz="4" w:space="0" w:color="auto"/>
            </w:tcBorders>
            <w:shd w:val="clear" w:color="auto" w:fill="auto"/>
            <w:noWrap/>
            <w:hideMark/>
          </w:tcPr>
          <w:p w14:paraId="070D9065"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LIB-99</w:t>
            </w:r>
          </w:p>
        </w:tc>
        <w:tc>
          <w:tcPr>
            <w:tcW w:w="2070" w:type="dxa"/>
            <w:tcBorders>
              <w:top w:val="nil"/>
              <w:left w:val="nil"/>
              <w:bottom w:val="single" w:sz="4" w:space="0" w:color="auto"/>
              <w:right w:val="single" w:sz="4" w:space="0" w:color="auto"/>
            </w:tcBorders>
            <w:shd w:val="clear" w:color="auto" w:fill="auto"/>
            <w:noWrap/>
            <w:hideMark/>
          </w:tcPr>
          <w:p w14:paraId="2E691742"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w:t>
            </w:r>
          </w:p>
        </w:tc>
        <w:tc>
          <w:tcPr>
            <w:tcW w:w="1560" w:type="dxa"/>
            <w:tcBorders>
              <w:top w:val="nil"/>
              <w:left w:val="nil"/>
              <w:bottom w:val="single" w:sz="4" w:space="0" w:color="auto"/>
              <w:right w:val="single" w:sz="4" w:space="0" w:color="auto"/>
            </w:tcBorders>
            <w:shd w:val="clear" w:color="auto" w:fill="auto"/>
            <w:noWrap/>
            <w:hideMark/>
          </w:tcPr>
          <w:p w14:paraId="10AE0B08"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I</w:t>
            </w:r>
          </w:p>
        </w:tc>
        <w:tc>
          <w:tcPr>
            <w:tcW w:w="3118" w:type="dxa"/>
            <w:tcBorders>
              <w:top w:val="nil"/>
              <w:left w:val="nil"/>
              <w:bottom w:val="single" w:sz="4" w:space="0" w:color="auto"/>
              <w:right w:val="single" w:sz="4" w:space="0" w:color="auto"/>
            </w:tcBorders>
            <w:shd w:val="clear" w:color="auto" w:fill="auto"/>
            <w:noWrap/>
            <w:hideMark/>
          </w:tcPr>
          <w:p w14:paraId="7FE9F364"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Hrádek nad Nisou, Liberec</w:t>
            </w:r>
          </w:p>
        </w:tc>
      </w:tr>
      <w:tr w:rsidR="008E552A" w:rsidRPr="00461C16" w14:paraId="05C88FB8" w14:textId="77777777" w:rsidTr="006C6B28">
        <w:trPr>
          <w:trHeight w:val="330"/>
        </w:trPr>
        <w:tc>
          <w:tcPr>
            <w:tcW w:w="1480" w:type="dxa"/>
            <w:tcBorders>
              <w:top w:val="nil"/>
              <w:left w:val="single" w:sz="4" w:space="0" w:color="auto"/>
              <w:bottom w:val="single" w:sz="4" w:space="0" w:color="auto"/>
              <w:right w:val="single" w:sz="4" w:space="0" w:color="auto"/>
            </w:tcBorders>
            <w:shd w:val="clear" w:color="auto" w:fill="auto"/>
            <w:noWrap/>
            <w:hideMark/>
          </w:tcPr>
          <w:p w14:paraId="0E605A74"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03-13-08/2</w:t>
            </w:r>
          </w:p>
        </w:tc>
        <w:tc>
          <w:tcPr>
            <w:tcW w:w="1000" w:type="dxa"/>
            <w:tcBorders>
              <w:top w:val="nil"/>
              <w:left w:val="nil"/>
              <w:bottom w:val="single" w:sz="4" w:space="0" w:color="auto"/>
              <w:right w:val="single" w:sz="4" w:space="0" w:color="auto"/>
            </w:tcBorders>
            <w:shd w:val="clear" w:color="auto" w:fill="auto"/>
            <w:noWrap/>
            <w:hideMark/>
          </w:tcPr>
          <w:p w14:paraId="217ABC4E"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LIB-99</w:t>
            </w:r>
          </w:p>
        </w:tc>
        <w:tc>
          <w:tcPr>
            <w:tcW w:w="2070" w:type="dxa"/>
            <w:tcBorders>
              <w:top w:val="nil"/>
              <w:left w:val="nil"/>
              <w:bottom w:val="single" w:sz="4" w:space="0" w:color="auto"/>
              <w:right w:val="single" w:sz="4" w:space="0" w:color="auto"/>
            </w:tcBorders>
            <w:shd w:val="clear" w:color="auto" w:fill="auto"/>
            <w:noWrap/>
            <w:hideMark/>
          </w:tcPr>
          <w:p w14:paraId="7C96BD98"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Loučná</w:t>
            </w:r>
          </w:p>
        </w:tc>
        <w:tc>
          <w:tcPr>
            <w:tcW w:w="1560" w:type="dxa"/>
            <w:tcBorders>
              <w:top w:val="nil"/>
              <w:left w:val="nil"/>
              <w:bottom w:val="single" w:sz="4" w:space="0" w:color="auto"/>
              <w:right w:val="single" w:sz="4" w:space="0" w:color="auto"/>
            </w:tcBorders>
            <w:shd w:val="clear" w:color="auto" w:fill="auto"/>
            <w:noWrap/>
            <w:hideMark/>
          </w:tcPr>
          <w:p w14:paraId="3DF47870"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II</w:t>
            </w:r>
          </w:p>
        </w:tc>
        <w:tc>
          <w:tcPr>
            <w:tcW w:w="3118" w:type="dxa"/>
            <w:tcBorders>
              <w:top w:val="nil"/>
              <w:left w:val="nil"/>
              <w:bottom w:val="single" w:sz="4" w:space="0" w:color="auto"/>
              <w:right w:val="single" w:sz="4" w:space="0" w:color="auto"/>
            </w:tcBorders>
            <w:shd w:val="clear" w:color="auto" w:fill="auto"/>
            <w:noWrap/>
            <w:hideMark/>
          </w:tcPr>
          <w:p w14:paraId="66BD4337"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Loučná, Liberec</w:t>
            </w:r>
          </w:p>
        </w:tc>
      </w:tr>
      <w:tr w:rsidR="008E552A" w:rsidRPr="00461C16" w14:paraId="70759BDF" w14:textId="77777777" w:rsidTr="006C6B28">
        <w:trPr>
          <w:trHeight w:val="615"/>
        </w:trPr>
        <w:tc>
          <w:tcPr>
            <w:tcW w:w="1480" w:type="dxa"/>
            <w:tcBorders>
              <w:top w:val="nil"/>
              <w:left w:val="single" w:sz="4" w:space="0" w:color="auto"/>
              <w:bottom w:val="single" w:sz="4" w:space="0" w:color="auto"/>
              <w:right w:val="single" w:sz="4" w:space="0" w:color="auto"/>
            </w:tcBorders>
            <w:shd w:val="clear" w:color="auto" w:fill="auto"/>
            <w:noWrap/>
            <w:hideMark/>
          </w:tcPr>
          <w:p w14:paraId="7A3E272F"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03-13-08/3</w:t>
            </w:r>
          </w:p>
        </w:tc>
        <w:tc>
          <w:tcPr>
            <w:tcW w:w="1000" w:type="dxa"/>
            <w:tcBorders>
              <w:top w:val="nil"/>
              <w:left w:val="nil"/>
              <w:bottom w:val="single" w:sz="4" w:space="0" w:color="auto"/>
              <w:right w:val="single" w:sz="4" w:space="0" w:color="auto"/>
            </w:tcBorders>
            <w:shd w:val="clear" w:color="auto" w:fill="auto"/>
            <w:noWrap/>
            <w:hideMark/>
          </w:tcPr>
          <w:p w14:paraId="3D722FC2"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LIB-99</w:t>
            </w:r>
          </w:p>
        </w:tc>
        <w:tc>
          <w:tcPr>
            <w:tcW w:w="2070" w:type="dxa"/>
            <w:tcBorders>
              <w:top w:val="nil"/>
              <w:left w:val="nil"/>
              <w:bottom w:val="single" w:sz="4" w:space="0" w:color="auto"/>
              <w:right w:val="single" w:sz="4" w:space="0" w:color="auto"/>
            </w:tcBorders>
            <w:shd w:val="clear" w:color="auto" w:fill="auto"/>
            <w:noWrap/>
            <w:hideMark/>
          </w:tcPr>
          <w:p w14:paraId="609EFEB7"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Donín</w:t>
            </w:r>
          </w:p>
        </w:tc>
        <w:tc>
          <w:tcPr>
            <w:tcW w:w="1560" w:type="dxa"/>
            <w:tcBorders>
              <w:top w:val="nil"/>
              <w:left w:val="nil"/>
              <w:bottom w:val="single" w:sz="4" w:space="0" w:color="auto"/>
              <w:right w:val="single" w:sz="4" w:space="0" w:color="auto"/>
            </w:tcBorders>
            <w:shd w:val="clear" w:color="auto" w:fill="auto"/>
            <w:noWrap/>
            <w:hideMark/>
          </w:tcPr>
          <w:p w14:paraId="4E9E9922"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II</w:t>
            </w:r>
          </w:p>
        </w:tc>
        <w:tc>
          <w:tcPr>
            <w:tcW w:w="3118" w:type="dxa"/>
            <w:tcBorders>
              <w:top w:val="nil"/>
              <w:left w:val="nil"/>
              <w:bottom w:val="single" w:sz="4" w:space="0" w:color="auto"/>
              <w:right w:val="single" w:sz="4" w:space="0" w:color="auto"/>
            </w:tcBorders>
            <w:shd w:val="clear" w:color="auto" w:fill="auto"/>
            <w:hideMark/>
          </w:tcPr>
          <w:p w14:paraId="35658159"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 xml:space="preserve">Loučná, Liberec </w:t>
            </w:r>
          </w:p>
          <w:p w14:paraId="121FFE90"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Donín u Hrádku nad Nisou, Liberec</w:t>
            </w:r>
          </w:p>
        </w:tc>
      </w:tr>
      <w:tr w:rsidR="008E552A" w:rsidRPr="00461C16" w14:paraId="403F1CF3" w14:textId="77777777" w:rsidTr="006C6B28">
        <w:trPr>
          <w:trHeight w:val="330"/>
        </w:trPr>
        <w:tc>
          <w:tcPr>
            <w:tcW w:w="1480" w:type="dxa"/>
            <w:tcBorders>
              <w:top w:val="nil"/>
              <w:left w:val="single" w:sz="4" w:space="0" w:color="auto"/>
              <w:bottom w:val="single" w:sz="4" w:space="0" w:color="auto"/>
              <w:right w:val="single" w:sz="4" w:space="0" w:color="auto"/>
            </w:tcBorders>
            <w:shd w:val="clear" w:color="auto" w:fill="auto"/>
            <w:noWrap/>
            <w:hideMark/>
          </w:tcPr>
          <w:p w14:paraId="6AE9B7BD"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03-13-09/2</w:t>
            </w:r>
          </w:p>
        </w:tc>
        <w:tc>
          <w:tcPr>
            <w:tcW w:w="1000" w:type="dxa"/>
            <w:tcBorders>
              <w:top w:val="nil"/>
              <w:left w:val="nil"/>
              <w:bottom w:val="single" w:sz="4" w:space="0" w:color="auto"/>
              <w:right w:val="single" w:sz="4" w:space="0" w:color="auto"/>
            </w:tcBorders>
            <w:shd w:val="clear" w:color="auto" w:fill="auto"/>
            <w:noWrap/>
            <w:hideMark/>
          </w:tcPr>
          <w:p w14:paraId="233AC612"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LIB-99</w:t>
            </w:r>
          </w:p>
        </w:tc>
        <w:tc>
          <w:tcPr>
            <w:tcW w:w="2070" w:type="dxa"/>
            <w:tcBorders>
              <w:top w:val="nil"/>
              <w:left w:val="nil"/>
              <w:bottom w:val="single" w:sz="4" w:space="0" w:color="auto"/>
              <w:right w:val="single" w:sz="4" w:space="0" w:color="auto"/>
            </w:tcBorders>
            <w:shd w:val="clear" w:color="auto" w:fill="auto"/>
            <w:noWrap/>
            <w:hideMark/>
          </w:tcPr>
          <w:p w14:paraId="20CD767C"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w:t>
            </w:r>
          </w:p>
        </w:tc>
        <w:tc>
          <w:tcPr>
            <w:tcW w:w="1560" w:type="dxa"/>
            <w:tcBorders>
              <w:top w:val="nil"/>
              <w:left w:val="nil"/>
              <w:bottom w:val="single" w:sz="4" w:space="0" w:color="auto"/>
              <w:right w:val="single" w:sz="4" w:space="0" w:color="auto"/>
            </w:tcBorders>
            <w:shd w:val="clear" w:color="auto" w:fill="auto"/>
            <w:noWrap/>
            <w:hideMark/>
          </w:tcPr>
          <w:p w14:paraId="054733A4"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II</w:t>
            </w:r>
          </w:p>
        </w:tc>
        <w:tc>
          <w:tcPr>
            <w:tcW w:w="3118" w:type="dxa"/>
            <w:tcBorders>
              <w:top w:val="nil"/>
              <w:left w:val="nil"/>
              <w:bottom w:val="single" w:sz="4" w:space="0" w:color="auto"/>
              <w:right w:val="single" w:sz="4" w:space="0" w:color="auto"/>
            </w:tcBorders>
            <w:shd w:val="clear" w:color="auto" w:fill="auto"/>
            <w:noWrap/>
            <w:hideMark/>
          </w:tcPr>
          <w:p w14:paraId="1794BDB9"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Václavice u Hrádku nad Nisou, Liberec</w:t>
            </w:r>
          </w:p>
        </w:tc>
      </w:tr>
      <w:tr w:rsidR="008E552A" w:rsidRPr="00461C16" w14:paraId="0E622565" w14:textId="77777777" w:rsidTr="006C6B28">
        <w:trPr>
          <w:trHeight w:val="600"/>
        </w:trPr>
        <w:tc>
          <w:tcPr>
            <w:tcW w:w="1480" w:type="dxa"/>
            <w:tcBorders>
              <w:top w:val="nil"/>
              <w:left w:val="single" w:sz="4" w:space="0" w:color="auto"/>
              <w:bottom w:val="single" w:sz="4" w:space="0" w:color="auto"/>
              <w:right w:val="single" w:sz="4" w:space="0" w:color="auto"/>
            </w:tcBorders>
            <w:shd w:val="clear" w:color="auto" w:fill="auto"/>
            <w:noWrap/>
            <w:hideMark/>
          </w:tcPr>
          <w:p w14:paraId="50467FB3"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03-13-13/2</w:t>
            </w:r>
          </w:p>
        </w:tc>
        <w:tc>
          <w:tcPr>
            <w:tcW w:w="1000" w:type="dxa"/>
            <w:tcBorders>
              <w:top w:val="nil"/>
              <w:left w:val="nil"/>
              <w:bottom w:val="single" w:sz="4" w:space="0" w:color="auto"/>
              <w:right w:val="single" w:sz="4" w:space="0" w:color="auto"/>
            </w:tcBorders>
            <w:shd w:val="clear" w:color="auto" w:fill="auto"/>
            <w:noWrap/>
            <w:hideMark/>
          </w:tcPr>
          <w:p w14:paraId="3B9DE5AC"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LIB-99</w:t>
            </w:r>
          </w:p>
        </w:tc>
        <w:tc>
          <w:tcPr>
            <w:tcW w:w="2070" w:type="dxa"/>
            <w:tcBorders>
              <w:top w:val="nil"/>
              <w:left w:val="nil"/>
              <w:bottom w:val="single" w:sz="4" w:space="0" w:color="auto"/>
              <w:right w:val="single" w:sz="4" w:space="0" w:color="auto"/>
            </w:tcBorders>
            <w:shd w:val="clear" w:color="auto" w:fill="auto"/>
            <w:hideMark/>
          </w:tcPr>
          <w:p w14:paraId="3380C3B0"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pískovcové skály nad Císařskou roklí</w:t>
            </w:r>
          </w:p>
        </w:tc>
        <w:tc>
          <w:tcPr>
            <w:tcW w:w="1560" w:type="dxa"/>
            <w:tcBorders>
              <w:top w:val="nil"/>
              <w:left w:val="nil"/>
              <w:bottom w:val="single" w:sz="4" w:space="0" w:color="auto"/>
              <w:right w:val="single" w:sz="4" w:space="0" w:color="auto"/>
            </w:tcBorders>
            <w:shd w:val="clear" w:color="auto" w:fill="auto"/>
            <w:noWrap/>
            <w:hideMark/>
          </w:tcPr>
          <w:p w14:paraId="6DE0065C"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II</w:t>
            </w:r>
          </w:p>
        </w:tc>
        <w:tc>
          <w:tcPr>
            <w:tcW w:w="3118" w:type="dxa"/>
            <w:tcBorders>
              <w:top w:val="nil"/>
              <w:left w:val="nil"/>
              <w:bottom w:val="single" w:sz="4" w:space="0" w:color="auto"/>
              <w:right w:val="single" w:sz="4" w:space="0" w:color="auto"/>
            </w:tcBorders>
            <w:shd w:val="clear" w:color="auto" w:fill="auto"/>
            <w:noWrap/>
            <w:hideMark/>
          </w:tcPr>
          <w:p w14:paraId="4660E5F1"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Dolní Sedlo, Liberec</w:t>
            </w:r>
          </w:p>
        </w:tc>
      </w:tr>
      <w:tr w:rsidR="008E552A" w:rsidRPr="00461C16" w14:paraId="44F033FC" w14:textId="77777777" w:rsidTr="006C6B28">
        <w:trPr>
          <w:trHeight w:val="330"/>
        </w:trPr>
        <w:tc>
          <w:tcPr>
            <w:tcW w:w="1480" w:type="dxa"/>
            <w:tcBorders>
              <w:top w:val="nil"/>
              <w:left w:val="single" w:sz="4" w:space="0" w:color="auto"/>
              <w:bottom w:val="single" w:sz="4" w:space="0" w:color="auto"/>
              <w:right w:val="single" w:sz="4" w:space="0" w:color="auto"/>
            </w:tcBorders>
            <w:shd w:val="clear" w:color="auto" w:fill="auto"/>
            <w:noWrap/>
            <w:hideMark/>
          </w:tcPr>
          <w:p w14:paraId="66415B2C"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03-13-14/1</w:t>
            </w:r>
          </w:p>
        </w:tc>
        <w:tc>
          <w:tcPr>
            <w:tcW w:w="1000" w:type="dxa"/>
            <w:tcBorders>
              <w:top w:val="nil"/>
              <w:left w:val="nil"/>
              <w:bottom w:val="single" w:sz="4" w:space="0" w:color="auto"/>
              <w:right w:val="single" w:sz="4" w:space="0" w:color="auto"/>
            </w:tcBorders>
            <w:shd w:val="clear" w:color="auto" w:fill="auto"/>
            <w:noWrap/>
            <w:hideMark/>
          </w:tcPr>
          <w:p w14:paraId="74538BC3"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LIB-99</w:t>
            </w:r>
          </w:p>
        </w:tc>
        <w:tc>
          <w:tcPr>
            <w:tcW w:w="2070" w:type="dxa"/>
            <w:tcBorders>
              <w:top w:val="nil"/>
              <w:left w:val="nil"/>
              <w:bottom w:val="single" w:sz="4" w:space="0" w:color="auto"/>
              <w:right w:val="single" w:sz="4" w:space="0" w:color="auto"/>
            </w:tcBorders>
            <w:shd w:val="clear" w:color="auto" w:fill="auto"/>
            <w:noWrap/>
            <w:hideMark/>
          </w:tcPr>
          <w:p w14:paraId="44259D71"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Dolní Suchá</w:t>
            </w:r>
          </w:p>
        </w:tc>
        <w:tc>
          <w:tcPr>
            <w:tcW w:w="1560" w:type="dxa"/>
            <w:tcBorders>
              <w:top w:val="nil"/>
              <w:left w:val="nil"/>
              <w:bottom w:val="single" w:sz="4" w:space="0" w:color="auto"/>
              <w:right w:val="single" w:sz="4" w:space="0" w:color="auto"/>
            </w:tcBorders>
            <w:shd w:val="clear" w:color="auto" w:fill="auto"/>
            <w:noWrap/>
            <w:hideMark/>
          </w:tcPr>
          <w:p w14:paraId="7215DD93"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II</w:t>
            </w:r>
          </w:p>
        </w:tc>
        <w:tc>
          <w:tcPr>
            <w:tcW w:w="3118" w:type="dxa"/>
            <w:tcBorders>
              <w:top w:val="nil"/>
              <w:left w:val="nil"/>
              <w:bottom w:val="single" w:sz="4" w:space="0" w:color="auto"/>
              <w:right w:val="single" w:sz="4" w:space="0" w:color="auto"/>
            </w:tcBorders>
            <w:shd w:val="clear" w:color="auto" w:fill="auto"/>
            <w:noWrap/>
            <w:hideMark/>
          </w:tcPr>
          <w:p w14:paraId="4BE25553" w14:textId="77777777" w:rsidR="008E552A" w:rsidRPr="00461C16" w:rsidRDefault="008E552A" w:rsidP="00A566E0">
            <w:pPr>
              <w:spacing w:before="40" w:after="40" w:line="240" w:lineRule="auto"/>
              <w:jc w:val="left"/>
              <w:rPr>
                <w:rFonts w:eastAsia="Times New Roman"/>
                <w:color w:val="000000"/>
                <w:sz w:val="20"/>
                <w:szCs w:val="20"/>
                <w:lang w:eastAsia="cs-CZ"/>
              </w:rPr>
            </w:pPr>
            <w:r w:rsidRPr="00461C16">
              <w:rPr>
                <w:rFonts w:eastAsia="Times New Roman"/>
                <w:color w:val="000000"/>
                <w:sz w:val="20"/>
                <w:szCs w:val="20"/>
                <w:lang w:eastAsia="cs-CZ"/>
              </w:rPr>
              <w:t>Dolní Suchá u Chotyně, Liberec</w:t>
            </w:r>
          </w:p>
        </w:tc>
      </w:tr>
    </w:tbl>
    <w:p w14:paraId="4E07146D" w14:textId="77777777" w:rsidR="00617813" w:rsidRPr="00461C16" w:rsidRDefault="005E1CEB" w:rsidP="00617813">
      <w:pPr>
        <w:pStyle w:val="BodyText"/>
        <w:spacing w:before="120" w:after="120"/>
        <w:rPr>
          <w:i/>
          <w:sz w:val="22"/>
          <w:szCs w:val="22"/>
        </w:rPr>
      </w:pPr>
      <w:r w:rsidRPr="00461C16">
        <w:rPr>
          <w:i/>
          <w:color w:val="000000"/>
          <w:sz w:val="22"/>
          <w:szCs w:val="22"/>
          <w:shd w:val="clear" w:color="auto" w:fill="FFFFFF"/>
        </w:rPr>
        <w:t>Území s archeologickými nálezy je respektováno jako významná kulturní hodnota území – viz kap. B.3 ÚP.</w:t>
      </w:r>
    </w:p>
    <w:p w14:paraId="00A77730" w14:textId="77777777" w:rsidR="008E552A" w:rsidRPr="00461C16" w:rsidRDefault="003438A4" w:rsidP="005E1CEB">
      <w:pPr>
        <w:autoSpaceDE w:val="0"/>
        <w:autoSpaceDN w:val="0"/>
        <w:adjustRightInd w:val="0"/>
        <w:spacing w:before="240" w:line="240" w:lineRule="auto"/>
        <w:rPr>
          <w:u w:val="single"/>
          <w:lang w:eastAsia="cs-CZ"/>
        </w:rPr>
      </w:pPr>
      <w:r w:rsidRPr="00461C16">
        <w:rPr>
          <w:u w:val="single"/>
          <w:lang w:eastAsia="cs-CZ"/>
        </w:rPr>
        <w:t>Urbanistické hodnoty</w:t>
      </w:r>
    </w:p>
    <w:p w14:paraId="33941AE5" w14:textId="77777777" w:rsidR="008E552A"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Zachovat urbanistické a historické struktury obce. </w:t>
      </w:r>
    </w:p>
    <w:p w14:paraId="53D88E58" w14:textId="3A12AC92" w:rsidR="00617813" w:rsidRPr="00461C16" w:rsidRDefault="005E1CEB" w:rsidP="00617813">
      <w:pPr>
        <w:pStyle w:val="BodyText"/>
        <w:spacing w:before="120" w:after="120"/>
        <w:rPr>
          <w:i/>
          <w:sz w:val="22"/>
          <w:szCs w:val="22"/>
        </w:rPr>
      </w:pPr>
      <w:r w:rsidRPr="00461C16">
        <w:rPr>
          <w:i/>
          <w:color w:val="000000"/>
          <w:sz w:val="22"/>
          <w:szCs w:val="22"/>
          <w:shd w:val="clear" w:color="auto" w:fill="FFFFFF"/>
        </w:rPr>
        <w:t xml:space="preserve">Urbanistická i historická struktura </w:t>
      </w:r>
      <w:r w:rsidR="000E7DF1" w:rsidRPr="00461C16">
        <w:rPr>
          <w:i/>
          <w:color w:val="000000"/>
          <w:sz w:val="22"/>
          <w:szCs w:val="22"/>
          <w:shd w:val="clear" w:color="auto" w:fill="FFFFFF"/>
        </w:rPr>
        <w:t>j</w:t>
      </w:r>
      <w:r w:rsidR="000E7DF1">
        <w:rPr>
          <w:i/>
          <w:color w:val="000000"/>
          <w:sz w:val="22"/>
          <w:szCs w:val="22"/>
          <w:shd w:val="clear" w:color="auto" w:fill="FFFFFF"/>
        </w:rPr>
        <w:t>e</w:t>
      </w:r>
      <w:r w:rsidR="000E7DF1" w:rsidRPr="00461C16">
        <w:rPr>
          <w:i/>
          <w:color w:val="000000"/>
          <w:sz w:val="22"/>
          <w:szCs w:val="22"/>
          <w:shd w:val="clear" w:color="auto" w:fill="FFFFFF"/>
        </w:rPr>
        <w:t xml:space="preserve"> respektován</w:t>
      </w:r>
      <w:r w:rsidR="000E7DF1">
        <w:rPr>
          <w:i/>
          <w:color w:val="000000"/>
          <w:sz w:val="22"/>
          <w:szCs w:val="22"/>
          <w:shd w:val="clear" w:color="auto" w:fill="FFFFFF"/>
        </w:rPr>
        <w:t>a</w:t>
      </w:r>
      <w:r w:rsidR="000E7DF1" w:rsidRPr="00461C16">
        <w:rPr>
          <w:i/>
          <w:color w:val="000000"/>
          <w:sz w:val="22"/>
          <w:szCs w:val="22"/>
          <w:shd w:val="clear" w:color="auto" w:fill="FFFFFF"/>
        </w:rPr>
        <w:t xml:space="preserve"> </w:t>
      </w:r>
      <w:r w:rsidRPr="00461C16">
        <w:rPr>
          <w:i/>
          <w:color w:val="000000"/>
          <w:sz w:val="22"/>
          <w:szCs w:val="22"/>
          <w:shd w:val="clear" w:color="auto" w:fill="FFFFFF"/>
        </w:rPr>
        <w:t>jako základní parametr utvářející jedinečný ráz a charakter krajiny a města.</w:t>
      </w:r>
    </w:p>
    <w:p w14:paraId="35D9B26E"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Uspořádat zástavbu vhodně tak, aby doplňovala a dotvářela stávající zástavbu. </w:t>
      </w:r>
    </w:p>
    <w:p w14:paraId="7B9EE9B1" w14:textId="77777777" w:rsidR="00617813" w:rsidRPr="00461C16" w:rsidRDefault="005E1CEB" w:rsidP="00617813">
      <w:pPr>
        <w:pStyle w:val="BodyText"/>
        <w:spacing w:before="120" w:after="120"/>
        <w:rPr>
          <w:i/>
          <w:sz w:val="22"/>
          <w:szCs w:val="22"/>
        </w:rPr>
      </w:pPr>
      <w:r w:rsidRPr="00461C16">
        <w:rPr>
          <w:i/>
          <w:color w:val="000000"/>
          <w:sz w:val="22"/>
          <w:szCs w:val="22"/>
          <w:shd w:val="clear" w:color="auto" w:fill="FFFFFF"/>
        </w:rPr>
        <w:t xml:space="preserve">Plochy změn přednostně využívají prostorové proluky v zastavěném území a vhodně dotvářejí a scelují strukturu města. Další rozvoj je navržen na okrajích zástavby, s postupným rozvolněním hmoty staveb do okolní krajiny. </w:t>
      </w:r>
    </w:p>
    <w:p w14:paraId="1A78334C"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Novou výstavbou nenarušit stávající dominanty. </w:t>
      </w:r>
    </w:p>
    <w:p w14:paraId="1054B82A" w14:textId="0FB4D909" w:rsidR="00617813" w:rsidRPr="00461C16" w:rsidRDefault="005E1CEB" w:rsidP="00617813">
      <w:pPr>
        <w:pStyle w:val="BodyText"/>
        <w:spacing w:before="120" w:after="120"/>
        <w:rPr>
          <w:i/>
          <w:sz w:val="22"/>
          <w:szCs w:val="22"/>
        </w:rPr>
      </w:pPr>
      <w:r w:rsidRPr="00461C16">
        <w:rPr>
          <w:i/>
          <w:color w:val="000000"/>
          <w:sz w:val="22"/>
          <w:szCs w:val="22"/>
          <w:shd w:val="clear" w:color="auto" w:fill="FFFFFF"/>
        </w:rPr>
        <w:t xml:space="preserve">Stávající významné dominanty, které utváří charakteristické panorama města, jsou </w:t>
      </w:r>
      <w:r w:rsidR="00A61EA5" w:rsidRPr="00461C16">
        <w:rPr>
          <w:i/>
          <w:color w:val="000000"/>
          <w:sz w:val="22"/>
          <w:szCs w:val="22"/>
          <w:shd w:val="clear" w:color="auto" w:fill="FFFFFF"/>
        </w:rPr>
        <w:t>zohledněny</w:t>
      </w:r>
      <w:r w:rsidRPr="00461C16">
        <w:rPr>
          <w:i/>
          <w:color w:val="000000"/>
          <w:sz w:val="22"/>
          <w:szCs w:val="22"/>
          <w:shd w:val="clear" w:color="auto" w:fill="FFFFFF"/>
        </w:rPr>
        <w:t xml:space="preserve"> a chráněny. Koncepce ÚP stanovuje maximální výšky pro celé zastavěné a zastavitelné území města, </w:t>
      </w:r>
      <w:r w:rsidR="000E7DF1" w:rsidRPr="00461C16">
        <w:rPr>
          <w:i/>
          <w:color w:val="000000"/>
          <w:sz w:val="22"/>
          <w:szCs w:val="22"/>
          <w:shd w:val="clear" w:color="auto" w:fill="FFFFFF"/>
        </w:rPr>
        <w:t>kter</w:t>
      </w:r>
      <w:r w:rsidR="000E7DF1">
        <w:rPr>
          <w:i/>
          <w:color w:val="000000"/>
          <w:sz w:val="22"/>
          <w:szCs w:val="22"/>
          <w:shd w:val="clear" w:color="auto" w:fill="FFFFFF"/>
        </w:rPr>
        <w:t>é</w:t>
      </w:r>
      <w:r w:rsidR="000E7DF1" w:rsidRPr="00461C16">
        <w:rPr>
          <w:i/>
          <w:color w:val="000000"/>
          <w:sz w:val="22"/>
          <w:szCs w:val="22"/>
          <w:shd w:val="clear" w:color="auto" w:fill="FFFFFF"/>
        </w:rPr>
        <w:t xml:space="preserve"> respektuj</w:t>
      </w:r>
      <w:r w:rsidR="000E7DF1">
        <w:rPr>
          <w:i/>
          <w:color w:val="000000"/>
          <w:sz w:val="22"/>
          <w:szCs w:val="22"/>
          <w:shd w:val="clear" w:color="auto" w:fill="FFFFFF"/>
        </w:rPr>
        <w:t>í</w:t>
      </w:r>
      <w:r w:rsidR="000E7DF1" w:rsidRPr="00461C16">
        <w:rPr>
          <w:i/>
          <w:color w:val="000000"/>
          <w:sz w:val="22"/>
          <w:szCs w:val="22"/>
          <w:shd w:val="clear" w:color="auto" w:fill="FFFFFF"/>
        </w:rPr>
        <w:t xml:space="preserve"> </w:t>
      </w:r>
      <w:r w:rsidR="00A61EA5" w:rsidRPr="00461C16">
        <w:rPr>
          <w:i/>
          <w:color w:val="000000"/>
          <w:sz w:val="22"/>
          <w:szCs w:val="22"/>
          <w:shd w:val="clear" w:color="auto" w:fill="FFFFFF"/>
        </w:rPr>
        <w:t>dálkové pohledy a chrání tak tyto dominanty i v případě realizace vymezených záměrů.</w:t>
      </w:r>
    </w:p>
    <w:p w14:paraId="1D29D6A9"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Řešit urbanistické závady.</w:t>
      </w:r>
    </w:p>
    <w:p w14:paraId="691CDC19" w14:textId="77777777" w:rsidR="00233B2C" w:rsidRPr="00461C16" w:rsidRDefault="00A61EA5" w:rsidP="00233B2C">
      <w:pPr>
        <w:autoSpaceDE w:val="0"/>
        <w:autoSpaceDN w:val="0"/>
        <w:adjustRightInd w:val="0"/>
        <w:spacing w:before="120" w:line="240" w:lineRule="auto"/>
        <w:rPr>
          <w:i/>
          <w:lang w:eastAsia="cs-CZ"/>
        </w:rPr>
      </w:pPr>
      <w:r w:rsidRPr="00461C16">
        <w:rPr>
          <w:i/>
          <w:lang w:eastAsia="cs-CZ"/>
        </w:rPr>
        <w:t>Zjištěné urbanistické závady jsou řešeny v měřítku příslušejícímu ÚP.</w:t>
      </w:r>
    </w:p>
    <w:p w14:paraId="13348898" w14:textId="77777777" w:rsidR="003438A4" w:rsidRPr="00461C16" w:rsidRDefault="003438A4" w:rsidP="00233B2C">
      <w:pPr>
        <w:autoSpaceDE w:val="0"/>
        <w:autoSpaceDN w:val="0"/>
        <w:adjustRightInd w:val="0"/>
        <w:spacing w:before="120" w:line="240" w:lineRule="auto"/>
        <w:rPr>
          <w:u w:val="single"/>
          <w:lang w:eastAsia="cs-CZ"/>
        </w:rPr>
      </w:pPr>
      <w:r w:rsidRPr="00461C16">
        <w:rPr>
          <w:u w:val="single"/>
          <w:lang w:eastAsia="cs-CZ"/>
        </w:rPr>
        <w:t xml:space="preserve">Přírodní hodnoty </w:t>
      </w:r>
    </w:p>
    <w:p w14:paraId="6168FD11" w14:textId="77777777" w:rsidR="003438A4" w:rsidRPr="00461C16" w:rsidRDefault="00A521C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Zachovat jedinečnosti a vý</w:t>
      </w:r>
      <w:r w:rsidR="00617813" w:rsidRPr="00461C16">
        <w:rPr>
          <w:lang w:eastAsia="cs-CZ"/>
        </w:rPr>
        <w:t>j</w:t>
      </w:r>
      <w:r w:rsidRPr="00461C16">
        <w:rPr>
          <w:lang w:eastAsia="cs-CZ"/>
        </w:rPr>
        <w:t>i</w:t>
      </w:r>
      <w:r w:rsidR="003438A4" w:rsidRPr="00461C16">
        <w:rPr>
          <w:lang w:eastAsia="cs-CZ"/>
        </w:rPr>
        <w:t xml:space="preserve">mečnosti z hlediska ochrany přírody a krajiny. </w:t>
      </w:r>
    </w:p>
    <w:p w14:paraId="13C16AD1" w14:textId="77777777" w:rsidR="00617813" w:rsidRPr="00461C16" w:rsidRDefault="005B7011" w:rsidP="00617813">
      <w:pPr>
        <w:pStyle w:val="BodyText"/>
        <w:spacing w:before="120" w:after="120"/>
        <w:rPr>
          <w:i/>
          <w:sz w:val="22"/>
          <w:szCs w:val="22"/>
        </w:rPr>
      </w:pPr>
      <w:r w:rsidRPr="00461C16">
        <w:rPr>
          <w:i/>
          <w:sz w:val="22"/>
          <w:szCs w:val="22"/>
        </w:rPr>
        <w:t>Plochy jedinečné a výjimečné z hlediska ochrany přírody a krajiny a přírodních zdrojů jsou vymezeny jako přírodní hodnoty. Jsou staveny podmínky pro jejich respektování a ochranu.</w:t>
      </w:r>
    </w:p>
    <w:p w14:paraId="7E2B8E24"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Zachovat ochranu přírodních hodnot nezměněných a nedotčených stavební činností. </w:t>
      </w:r>
    </w:p>
    <w:p w14:paraId="67F90073" w14:textId="77777777" w:rsidR="00617813" w:rsidRPr="00461C16" w:rsidRDefault="005B7011" w:rsidP="00617813">
      <w:pPr>
        <w:pStyle w:val="BodyText"/>
        <w:spacing w:before="120" w:after="120"/>
        <w:rPr>
          <w:i/>
          <w:sz w:val="22"/>
          <w:szCs w:val="22"/>
        </w:rPr>
      </w:pPr>
      <w:r w:rsidRPr="00461C16">
        <w:rPr>
          <w:i/>
          <w:sz w:val="22"/>
          <w:szCs w:val="22"/>
        </w:rPr>
        <w:t>Viz vyhodnocení k požadavku č. 430.</w:t>
      </w:r>
    </w:p>
    <w:p w14:paraId="569321E7"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Zachovat ochranu chráněných území.</w:t>
      </w:r>
    </w:p>
    <w:p w14:paraId="65888ADC" w14:textId="77777777" w:rsidR="005B7011" w:rsidRPr="00461C16" w:rsidRDefault="005B7011" w:rsidP="005B7011">
      <w:pPr>
        <w:pStyle w:val="BodyText"/>
        <w:spacing w:before="120" w:after="120"/>
        <w:rPr>
          <w:i/>
          <w:sz w:val="22"/>
          <w:szCs w:val="22"/>
        </w:rPr>
      </w:pPr>
      <w:r w:rsidRPr="00461C16">
        <w:rPr>
          <w:i/>
          <w:sz w:val="22"/>
          <w:szCs w:val="22"/>
        </w:rPr>
        <w:t>Viz vyhodnocení k požadavku č. 430.</w:t>
      </w:r>
    </w:p>
    <w:p w14:paraId="424401FF"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 xml:space="preserve">Zachovat stávající vysoké zeleně v jednotlivých částech zastavěného území obce. </w:t>
      </w:r>
    </w:p>
    <w:p w14:paraId="460D78F1" w14:textId="77777777" w:rsidR="00617813" w:rsidRPr="00461C16" w:rsidRDefault="005B7011" w:rsidP="00617813">
      <w:pPr>
        <w:pStyle w:val="BodyText"/>
        <w:spacing w:before="120" w:after="120"/>
        <w:rPr>
          <w:i/>
          <w:sz w:val="22"/>
          <w:szCs w:val="22"/>
        </w:rPr>
      </w:pPr>
      <w:r w:rsidRPr="00461C16">
        <w:rPr>
          <w:i/>
          <w:sz w:val="22"/>
          <w:szCs w:val="22"/>
        </w:rPr>
        <w:t xml:space="preserve">V ÚP jsou vymezeny jako plochy se způsobem využití ZV souvislé jednoznačné plochy zeleně bez ohledu na charakter porostů. </w:t>
      </w:r>
      <w:r w:rsidR="00842CF6" w:rsidRPr="00461C16">
        <w:rPr>
          <w:i/>
          <w:sz w:val="22"/>
          <w:szCs w:val="22"/>
        </w:rPr>
        <w:t xml:space="preserve">Ostatní plochy zeleně jako zahrady, ochranná a izolační zeleň, doprovodná zeleň jsou v souladu s metodickými principy vymezování ploch s rozdílným způsobem využití zahrnuty do těchto ploch. </w:t>
      </w:r>
    </w:p>
    <w:p w14:paraId="0DE57F35"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ÚP Hrádek nad Nisou bude zpracován v souladu s ustanovením § 14 odst.</w:t>
      </w:r>
      <w:r w:rsidR="00842CF6" w:rsidRPr="00461C16">
        <w:rPr>
          <w:lang w:eastAsia="cs-CZ"/>
        </w:rPr>
        <w:t xml:space="preserve"> </w:t>
      </w:r>
      <w:r w:rsidRPr="00461C16">
        <w:rPr>
          <w:lang w:eastAsia="cs-CZ"/>
        </w:rPr>
        <w:t xml:space="preserve">1 zákona </w:t>
      </w:r>
      <w:r w:rsidRPr="00461C16">
        <w:rPr>
          <w:rFonts w:cs="TimesNewRoman"/>
          <w:lang w:eastAsia="cs-CZ"/>
        </w:rPr>
        <w:t>č</w:t>
      </w:r>
      <w:r w:rsidRPr="00461C16">
        <w:rPr>
          <w:lang w:eastAsia="cs-CZ"/>
        </w:rPr>
        <w:t>.289/1995 Sb., o lesích ve zn</w:t>
      </w:r>
      <w:r w:rsidRPr="00461C16">
        <w:rPr>
          <w:rFonts w:cs="TimesNewRoman"/>
          <w:lang w:eastAsia="cs-CZ"/>
        </w:rPr>
        <w:t>ě</w:t>
      </w:r>
      <w:r w:rsidRPr="00461C16">
        <w:rPr>
          <w:lang w:eastAsia="cs-CZ"/>
        </w:rPr>
        <w:t>ní pozd</w:t>
      </w:r>
      <w:r w:rsidRPr="00461C16">
        <w:rPr>
          <w:rFonts w:cs="TimesNewRoman"/>
          <w:lang w:eastAsia="cs-CZ"/>
        </w:rPr>
        <w:t>ě</w:t>
      </w:r>
      <w:r w:rsidRPr="00461C16">
        <w:rPr>
          <w:lang w:eastAsia="cs-CZ"/>
        </w:rPr>
        <w:t>jších p</w:t>
      </w:r>
      <w:r w:rsidRPr="00461C16">
        <w:rPr>
          <w:rFonts w:cs="TimesNewRoman"/>
          <w:lang w:eastAsia="cs-CZ"/>
        </w:rPr>
        <w:t>ř</w:t>
      </w:r>
      <w:r w:rsidRPr="00461C16">
        <w:rPr>
          <w:lang w:eastAsia="cs-CZ"/>
        </w:rPr>
        <w:t>edpis</w:t>
      </w:r>
      <w:r w:rsidRPr="00461C16">
        <w:rPr>
          <w:rFonts w:cs="TimesNewRoman"/>
          <w:lang w:eastAsia="cs-CZ"/>
        </w:rPr>
        <w:t>ů</w:t>
      </w:r>
      <w:r w:rsidRPr="00461C16">
        <w:rPr>
          <w:lang w:eastAsia="cs-CZ"/>
        </w:rPr>
        <w:t>.</w:t>
      </w:r>
    </w:p>
    <w:p w14:paraId="384DDCEF" w14:textId="77777777" w:rsidR="00617813" w:rsidRPr="00461C16" w:rsidRDefault="00842CF6" w:rsidP="00617813">
      <w:pPr>
        <w:pStyle w:val="BodyText"/>
        <w:spacing w:before="120" w:after="120"/>
        <w:rPr>
          <w:i/>
          <w:sz w:val="22"/>
          <w:szCs w:val="22"/>
        </w:rPr>
      </w:pPr>
      <w:r w:rsidRPr="00461C16">
        <w:rPr>
          <w:i/>
          <w:sz w:val="22"/>
          <w:szCs w:val="22"/>
        </w:rPr>
        <w:t>V ÚP jsou v maximální míře respektovány PUPFL v intenzích uvedeného ustanovení zákona o lesích.</w:t>
      </w:r>
    </w:p>
    <w:p w14:paraId="1E219E02"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ÚP Hrádek nad Nisou bude zpracován územní systém ekologické stability </w:t>
      </w:r>
      <w:r w:rsidRPr="00461C16">
        <w:rPr>
          <w:rFonts w:cs="TimesNewRoman"/>
          <w:lang w:eastAsia="cs-CZ"/>
        </w:rPr>
        <w:t>ř</w:t>
      </w:r>
      <w:r w:rsidRPr="00461C16">
        <w:rPr>
          <w:lang w:eastAsia="cs-CZ"/>
        </w:rPr>
        <w:t>ešeného území.</w:t>
      </w:r>
    </w:p>
    <w:p w14:paraId="0AB77CC2" w14:textId="77777777" w:rsidR="00617813" w:rsidRPr="00456021" w:rsidRDefault="00842CF6" w:rsidP="00617813">
      <w:pPr>
        <w:pStyle w:val="BodyText"/>
        <w:spacing w:before="120" w:after="120"/>
        <w:rPr>
          <w:i/>
          <w:sz w:val="22"/>
          <w:szCs w:val="22"/>
        </w:rPr>
      </w:pPr>
      <w:r w:rsidRPr="00456021">
        <w:rPr>
          <w:i/>
          <w:sz w:val="22"/>
          <w:szCs w:val="22"/>
        </w:rPr>
        <w:t xml:space="preserve">V ÚP jsou upřesněny skladebné části ÚSES na nadregionální a regionální úrovni a vymezeny skladebné části na úrovni lokální. </w:t>
      </w:r>
    </w:p>
    <w:p w14:paraId="3C39E3A3" w14:textId="77777777" w:rsidR="003438A4" w:rsidRPr="00456021"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56021">
        <w:rPr>
          <w:lang w:eastAsia="cs-CZ"/>
        </w:rPr>
        <w:t>V ÚP Hrádek nad Nisou budou vyzna</w:t>
      </w:r>
      <w:r w:rsidRPr="00456021">
        <w:rPr>
          <w:rFonts w:cs="TimesNewRoman"/>
          <w:lang w:eastAsia="cs-CZ"/>
        </w:rPr>
        <w:t>č</w:t>
      </w:r>
      <w:r w:rsidRPr="00456021">
        <w:rPr>
          <w:lang w:eastAsia="cs-CZ"/>
        </w:rPr>
        <w:t>eny lokality výskytu zvlášt</w:t>
      </w:r>
      <w:r w:rsidRPr="00456021">
        <w:rPr>
          <w:rFonts w:cs="TimesNewRoman"/>
          <w:lang w:eastAsia="cs-CZ"/>
        </w:rPr>
        <w:t xml:space="preserve">ě </w:t>
      </w:r>
      <w:r w:rsidRPr="00456021">
        <w:rPr>
          <w:lang w:eastAsia="cs-CZ"/>
        </w:rPr>
        <w:t>chrán</w:t>
      </w:r>
      <w:r w:rsidRPr="00456021">
        <w:rPr>
          <w:rFonts w:cs="TimesNewRoman"/>
          <w:lang w:eastAsia="cs-CZ"/>
        </w:rPr>
        <w:t>ě</w:t>
      </w:r>
      <w:r w:rsidRPr="00456021">
        <w:rPr>
          <w:lang w:eastAsia="cs-CZ"/>
        </w:rPr>
        <w:t>ných druh</w:t>
      </w:r>
      <w:r w:rsidRPr="00456021">
        <w:rPr>
          <w:rFonts w:cs="TimesNewRoman"/>
          <w:lang w:eastAsia="cs-CZ"/>
        </w:rPr>
        <w:t xml:space="preserve">ů </w:t>
      </w:r>
      <w:r w:rsidRPr="00456021">
        <w:rPr>
          <w:lang w:eastAsia="cs-CZ"/>
        </w:rPr>
        <w:t>chrán</w:t>
      </w:r>
      <w:r w:rsidRPr="00456021">
        <w:rPr>
          <w:rFonts w:cs="TimesNewRoman"/>
          <w:lang w:eastAsia="cs-CZ"/>
        </w:rPr>
        <w:t>ě</w:t>
      </w:r>
      <w:r w:rsidRPr="00456021">
        <w:rPr>
          <w:lang w:eastAsia="cs-CZ"/>
        </w:rPr>
        <w:t xml:space="preserve">ných dle zákona </w:t>
      </w:r>
      <w:r w:rsidRPr="00456021">
        <w:rPr>
          <w:rFonts w:cs="TimesNewRoman"/>
          <w:lang w:eastAsia="cs-CZ"/>
        </w:rPr>
        <w:t>č</w:t>
      </w:r>
      <w:r w:rsidRPr="00456021">
        <w:rPr>
          <w:lang w:eastAsia="cs-CZ"/>
        </w:rPr>
        <w:t>.114/1992 Sb., o ochran</w:t>
      </w:r>
      <w:r w:rsidRPr="00456021">
        <w:rPr>
          <w:rFonts w:cs="TimesNewRoman"/>
          <w:lang w:eastAsia="cs-CZ"/>
        </w:rPr>
        <w:t xml:space="preserve">ě </w:t>
      </w:r>
      <w:r w:rsidRPr="00456021">
        <w:rPr>
          <w:lang w:eastAsia="cs-CZ"/>
        </w:rPr>
        <w:t>p</w:t>
      </w:r>
      <w:r w:rsidRPr="00456021">
        <w:rPr>
          <w:rFonts w:cs="TimesNewRoman"/>
          <w:lang w:eastAsia="cs-CZ"/>
        </w:rPr>
        <w:t>ř</w:t>
      </w:r>
      <w:r w:rsidRPr="00456021">
        <w:rPr>
          <w:lang w:eastAsia="cs-CZ"/>
        </w:rPr>
        <w:t>írody a krajiny</w:t>
      </w:r>
      <w:r w:rsidR="00A53768" w:rsidRPr="00456021">
        <w:rPr>
          <w:lang w:eastAsia="cs-CZ"/>
        </w:rPr>
        <w:t>, v platném znění</w:t>
      </w:r>
      <w:r w:rsidRPr="00456021">
        <w:rPr>
          <w:lang w:eastAsia="cs-CZ"/>
        </w:rPr>
        <w:t>.</w:t>
      </w:r>
    </w:p>
    <w:p w14:paraId="13DEB0CB" w14:textId="77777777" w:rsidR="00617813" w:rsidRPr="00456021" w:rsidRDefault="00842CF6" w:rsidP="00617813">
      <w:pPr>
        <w:pStyle w:val="BodyText"/>
        <w:spacing w:before="120" w:after="120"/>
        <w:rPr>
          <w:i/>
          <w:sz w:val="22"/>
          <w:szCs w:val="22"/>
        </w:rPr>
      </w:pPr>
      <w:r w:rsidRPr="00456021">
        <w:rPr>
          <w:i/>
          <w:sz w:val="22"/>
          <w:szCs w:val="22"/>
        </w:rPr>
        <w:t>Lokality výskytu zvláště chrán</w:t>
      </w:r>
      <w:r w:rsidRPr="00456021">
        <w:rPr>
          <w:rFonts w:cs="TimesNewRoman"/>
          <w:i/>
          <w:sz w:val="22"/>
          <w:szCs w:val="22"/>
        </w:rPr>
        <w:t>ě</w:t>
      </w:r>
      <w:r w:rsidRPr="00456021">
        <w:rPr>
          <w:i/>
          <w:sz w:val="22"/>
          <w:szCs w:val="22"/>
        </w:rPr>
        <w:t>ných druh</w:t>
      </w:r>
      <w:r w:rsidRPr="00456021">
        <w:rPr>
          <w:rFonts w:cs="TimesNewRoman"/>
          <w:i/>
          <w:sz w:val="22"/>
          <w:szCs w:val="22"/>
        </w:rPr>
        <w:t xml:space="preserve">ů rostlin a živočichů jsou vyznačeny v koordinačním výkresu v souladu s požadavky na obsah ÚP danými stavebním zákonem a vyhláškou č. 500/2006 Sb. v platném znění. </w:t>
      </w:r>
    </w:p>
    <w:p w14:paraId="613127A6"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Zohlednit pozemky k plnění funkce lesa a jeho ochranného pásma. </w:t>
      </w:r>
    </w:p>
    <w:p w14:paraId="35CAE538" w14:textId="77777777" w:rsidR="00617813" w:rsidRPr="00461C16" w:rsidRDefault="00767BBB" w:rsidP="00617813">
      <w:pPr>
        <w:pStyle w:val="BodyText"/>
        <w:spacing w:before="120" w:after="120"/>
        <w:rPr>
          <w:i/>
          <w:sz w:val="22"/>
          <w:szCs w:val="22"/>
        </w:rPr>
      </w:pPr>
      <w:r w:rsidRPr="00461C16">
        <w:rPr>
          <w:i/>
          <w:sz w:val="22"/>
          <w:szCs w:val="22"/>
        </w:rPr>
        <w:t>Viz vyhodnocení k požadavku č. 434</w:t>
      </w:r>
    </w:p>
    <w:p w14:paraId="43C86DFC"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ochrany přírodních zdrojů podzemních a povrchových vod včetně jejich ochranných pásem. </w:t>
      </w:r>
    </w:p>
    <w:p w14:paraId="7B3031D0" w14:textId="27F6F035" w:rsidR="00617813" w:rsidRPr="00461C16" w:rsidRDefault="00767BBB" w:rsidP="00617813">
      <w:pPr>
        <w:pStyle w:val="BodyText"/>
        <w:spacing w:before="120" w:after="120"/>
        <w:rPr>
          <w:i/>
          <w:sz w:val="22"/>
          <w:szCs w:val="22"/>
        </w:rPr>
      </w:pPr>
      <w:r w:rsidRPr="00461C16">
        <w:rPr>
          <w:i/>
          <w:sz w:val="22"/>
          <w:szCs w:val="22"/>
        </w:rPr>
        <w:t>Vodní zdroje jsou v ÚP vymezeny jako přírodní hodnoty</w:t>
      </w:r>
      <w:r w:rsidR="000E7DF1">
        <w:rPr>
          <w:i/>
          <w:sz w:val="22"/>
          <w:szCs w:val="22"/>
        </w:rPr>
        <w:t xml:space="preserve"> a</w:t>
      </w:r>
      <w:r w:rsidRPr="00461C16">
        <w:rPr>
          <w:i/>
          <w:sz w:val="22"/>
          <w:szCs w:val="22"/>
        </w:rPr>
        <w:t xml:space="preserve"> jsou vytvořeny podmínky pro jejich ochranu. Konkrétní požadavky na ochranu zdrojů budou řešeny v rámci územního nebo stavebního řízení.</w:t>
      </w:r>
    </w:p>
    <w:p w14:paraId="02F3ED88"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Prověřit navržení ploch zemědělské půdy extrémních vlastností (svah, zamokření, kamenitost, apod.) navazující na lesní pozemky k zalesnění. </w:t>
      </w:r>
    </w:p>
    <w:p w14:paraId="62EC1C59" w14:textId="77777777" w:rsidR="00617813" w:rsidRPr="00461C16" w:rsidRDefault="00767BBB" w:rsidP="00617813">
      <w:pPr>
        <w:pStyle w:val="BodyText"/>
        <w:spacing w:before="120" w:after="120"/>
        <w:rPr>
          <w:i/>
          <w:sz w:val="22"/>
          <w:szCs w:val="22"/>
        </w:rPr>
      </w:pPr>
      <w:r w:rsidRPr="00461C16">
        <w:rPr>
          <w:i/>
          <w:sz w:val="22"/>
          <w:szCs w:val="22"/>
        </w:rPr>
        <w:t>Vymezení ploch k zalesnění nebylo shledáno jako potřebné. Půdy extrémních vlastností mohou být využity pro zatravnění či pěstování rychle</w:t>
      </w:r>
      <w:r w:rsidR="00E10151" w:rsidRPr="00461C16">
        <w:rPr>
          <w:i/>
          <w:sz w:val="22"/>
          <w:szCs w:val="22"/>
        </w:rPr>
        <w:t xml:space="preserve"> </w:t>
      </w:r>
      <w:r w:rsidRPr="00461C16">
        <w:rPr>
          <w:i/>
          <w:sz w:val="22"/>
          <w:szCs w:val="22"/>
        </w:rPr>
        <w:t xml:space="preserve">rostoucích dřevin v souladu s podmínkami využití ploch NS uvedenými v kap. F.1.31 ÚP. </w:t>
      </w:r>
    </w:p>
    <w:p w14:paraId="1708670A" w14:textId="77777777" w:rsidR="003438A4"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Prověřit vymezení rozsahu zemědělských pozemků, které jsou vhodné k zalesnění. </w:t>
      </w:r>
    </w:p>
    <w:p w14:paraId="3865B9E8" w14:textId="77777777" w:rsidR="00617813" w:rsidRPr="00461C16" w:rsidRDefault="00767BBB" w:rsidP="00617813">
      <w:pPr>
        <w:pStyle w:val="BodyText"/>
        <w:spacing w:before="120" w:after="120"/>
        <w:rPr>
          <w:i/>
          <w:sz w:val="22"/>
          <w:szCs w:val="22"/>
        </w:rPr>
      </w:pPr>
      <w:r w:rsidRPr="00461C16">
        <w:rPr>
          <w:i/>
          <w:sz w:val="22"/>
          <w:szCs w:val="22"/>
        </w:rPr>
        <w:t xml:space="preserve">Viz </w:t>
      </w:r>
      <w:r w:rsidR="00CB3C65" w:rsidRPr="00461C16">
        <w:rPr>
          <w:i/>
          <w:sz w:val="22"/>
          <w:szCs w:val="22"/>
        </w:rPr>
        <w:t>vyhodnocení</w:t>
      </w:r>
      <w:r w:rsidRPr="00461C16">
        <w:rPr>
          <w:i/>
          <w:sz w:val="22"/>
          <w:szCs w:val="22"/>
        </w:rPr>
        <w:t xml:space="preserve"> předchozího požadavku. </w:t>
      </w:r>
    </w:p>
    <w:p w14:paraId="3199D9DD" w14:textId="77777777" w:rsidR="00421959" w:rsidRPr="00461C16" w:rsidRDefault="003438A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 ÚP Hrádek nad Nisou minimalizovat zábory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lské p</w:t>
      </w:r>
      <w:r w:rsidRPr="00461C16">
        <w:rPr>
          <w:rFonts w:cs="TimesNewRoman"/>
          <w:lang w:eastAsia="cs-CZ"/>
        </w:rPr>
        <w:t>ů</w:t>
      </w:r>
      <w:r w:rsidRPr="00461C16">
        <w:rPr>
          <w:lang w:eastAsia="cs-CZ"/>
        </w:rPr>
        <w:t>dy, která byla podle p</w:t>
      </w:r>
      <w:r w:rsidRPr="00461C16">
        <w:rPr>
          <w:rFonts w:cs="TimesNewRoman"/>
          <w:lang w:eastAsia="cs-CZ"/>
        </w:rPr>
        <w:t>ř</w:t>
      </w:r>
      <w:r w:rsidRPr="00461C16">
        <w:rPr>
          <w:lang w:eastAsia="cs-CZ"/>
        </w:rPr>
        <w:t>ílohy Metodického pokynu Ministerstva životního prost</w:t>
      </w:r>
      <w:r w:rsidRPr="00461C16">
        <w:rPr>
          <w:rFonts w:cs="TimesNewRoman"/>
          <w:lang w:eastAsia="cs-CZ"/>
        </w:rPr>
        <w:t>ř</w:t>
      </w:r>
      <w:r w:rsidRPr="00461C16">
        <w:rPr>
          <w:lang w:eastAsia="cs-CZ"/>
        </w:rPr>
        <w:t xml:space="preserve">edí </w:t>
      </w:r>
      <w:r w:rsidRPr="00461C16">
        <w:rPr>
          <w:rFonts w:cs="TimesNewRoman"/>
          <w:lang w:eastAsia="cs-CZ"/>
        </w:rPr>
        <w:t>č</w:t>
      </w:r>
      <w:r w:rsidRPr="00461C16">
        <w:rPr>
          <w:lang w:eastAsia="cs-CZ"/>
        </w:rPr>
        <w:t>.j.OOLP/1067/96 za</w:t>
      </w:r>
      <w:r w:rsidRPr="00461C16">
        <w:rPr>
          <w:rFonts w:cs="TimesNewRoman"/>
          <w:lang w:eastAsia="cs-CZ"/>
        </w:rPr>
        <w:t>ř</w:t>
      </w:r>
      <w:r w:rsidRPr="00461C16">
        <w:rPr>
          <w:lang w:eastAsia="cs-CZ"/>
        </w:rPr>
        <w:t>azena do I. a II. t</w:t>
      </w:r>
      <w:r w:rsidRPr="00461C16">
        <w:rPr>
          <w:rFonts w:cs="TimesNewRoman"/>
          <w:lang w:eastAsia="cs-CZ"/>
        </w:rPr>
        <w:t>ř</w:t>
      </w:r>
      <w:r w:rsidRPr="00461C16">
        <w:rPr>
          <w:lang w:eastAsia="cs-CZ"/>
        </w:rPr>
        <w:t>ídy ochrany.</w:t>
      </w:r>
    </w:p>
    <w:p w14:paraId="7647D24B" w14:textId="77777777" w:rsidR="00617813" w:rsidRPr="00461C16" w:rsidRDefault="00CC4006" w:rsidP="00617813">
      <w:pPr>
        <w:pStyle w:val="BodyText"/>
        <w:spacing w:before="120" w:after="120"/>
        <w:rPr>
          <w:i/>
          <w:sz w:val="22"/>
          <w:szCs w:val="22"/>
        </w:rPr>
      </w:pPr>
      <w:r w:rsidRPr="00461C16">
        <w:rPr>
          <w:i/>
          <w:color w:val="000000"/>
          <w:sz w:val="22"/>
          <w:szCs w:val="22"/>
          <w:shd w:val="clear" w:color="auto" w:fill="FFFFFF"/>
        </w:rPr>
        <w:t xml:space="preserve">Lokalizace ploch zohledňuje pozemky ZPF a výskyt nejcennějších půd. </w:t>
      </w:r>
      <w:r w:rsidR="00767BBB" w:rsidRPr="00461C16">
        <w:rPr>
          <w:i/>
          <w:color w:val="000000"/>
          <w:sz w:val="22"/>
          <w:szCs w:val="22"/>
          <w:shd w:val="clear" w:color="auto" w:fill="FFFFFF"/>
        </w:rPr>
        <w:t xml:space="preserve">Bylo </w:t>
      </w:r>
      <w:r w:rsidRPr="00461C16">
        <w:rPr>
          <w:i/>
          <w:color w:val="000000"/>
          <w:sz w:val="22"/>
          <w:szCs w:val="22"/>
          <w:shd w:val="clear" w:color="auto" w:fill="FFFFFF"/>
        </w:rPr>
        <w:t xml:space="preserve">nicméně téměř nemožné jejich zábor zcela vyloučit, protože v rozloze zemědělských půd ve správním území města tvoří dominantní podíl. </w:t>
      </w:r>
    </w:p>
    <w:p w14:paraId="3C5B6D60" w14:textId="77777777" w:rsidR="00421959" w:rsidRPr="00461C16" w:rsidRDefault="0042195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Nové rozvojové lokality navrhnout v souladu se zásadami ochrany ZPF uvedenými v § 4 zákona </w:t>
      </w:r>
      <w:r w:rsidRPr="00461C16">
        <w:rPr>
          <w:rFonts w:cs="TimesNewRoman"/>
          <w:lang w:eastAsia="cs-CZ"/>
        </w:rPr>
        <w:t>č</w:t>
      </w:r>
      <w:r w:rsidRPr="00461C16">
        <w:rPr>
          <w:lang w:eastAsia="cs-CZ"/>
        </w:rPr>
        <w:t>.334/1992 Sb., o ochran</w:t>
      </w:r>
      <w:r w:rsidRPr="00461C16">
        <w:rPr>
          <w:rFonts w:cs="TimesNewRoman"/>
          <w:lang w:eastAsia="cs-CZ"/>
        </w:rPr>
        <w:t xml:space="preserve">ě </w:t>
      </w:r>
      <w:r w:rsidRPr="00461C16">
        <w:rPr>
          <w:lang w:eastAsia="cs-CZ"/>
        </w:rPr>
        <w:t>ZPF</w:t>
      </w:r>
      <w:r w:rsidR="00A53768" w:rsidRPr="00461C16">
        <w:rPr>
          <w:lang w:eastAsia="cs-CZ"/>
        </w:rPr>
        <w:t>, v platném znění</w:t>
      </w:r>
      <w:r w:rsidRPr="00461C16">
        <w:rPr>
          <w:lang w:eastAsia="cs-CZ"/>
        </w:rPr>
        <w:t>.</w:t>
      </w:r>
    </w:p>
    <w:p w14:paraId="1A7FC588" w14:textId="77777777" w:rsidR="00617813" w:rsidRPr="00461C16" w:rsidRDefault="00CC4006" w:rsidP="00617813">
      <w:pPr>
        <w:pStyle w:val="BodyText"/>
        <w:spacing w:before="120" w:after="120"/>
        <w:rPr>
          <w:i/>
          <w:sz w:val="22"/>
          <w:szCs w:val="22"/>
        </w:rPr>
      </w:pPr>
      <w:r w:rsidRPr="00461C16">
        <w:rPr>
          <w:i/>
          <w:color w:val="000000"/>
          <w:sz w:val="22"/>
          <w:szCs w:val="22"/>
          <w:shd w:val="clear" w:color="auto" w:fill="FFFFFF"/>
        </w:rPr>
        <w:t>Zákon č. 334/1992 Sb. a stanovené zásady jsou v maximální míře respektovány.</w:t>
      </w:r>
    </w:p>
    <w:p w14:paraId="32C9BB16" w14:textId="77777777" w:rsidR="00421959" w:rsidRPr="00461C16" w:rsidRDefault="0042195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Využít přednostně nezastavěné pozemky uvnitř zastavěného území, případně proluky. </w:t>
      </w:r>
    </w:p>
    <w:p w14:paraId="001B1C2E" w14:textId="77777777" w:rsidR="00617813" w:rsidRPr="00461C16" w:rsidRDefault="00CC4006" w:rsidP="00617813">
      <w:pPr>
        <w:pStyle w:val="BodyText"/>
        <w:spacing w:before="120" w:after="120"/>
        <w:rPr>
          <w:i/>
          <w:sz w:val="22"/>
          <w:szCs w:val="22"/>
        </w:rPr>
      </w:pPr>
      <w:r w:rsidRPr="00461C16">
        <w:rPr>
          <w:i/>
          <w:color w:val="000000"/>
          <w:sz w:val="22"/>
          <w:szCs w:val="22"/>
          <w:shd w:val="clear" w:color="auto" w:fill="FFFFFF"/>
        </w:rPr>
        <w:t>Pro další rozvoj jsou přednostně využity proluky v zastavěném území a nevyužívané či nevhodně využívané plochy (brownfields), teprve v další řadě pak pozemky v návaznosti na hranici zastavěného území.</w:t>
      </w:r>
    </w:p>
    <w:p w14:paraId="2B14B461" w14:textId="77777777" w:rsidR="00421959" w:rsidRPr="00461C16" w:rsidRDefault="0042195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ochrany zeleně rostoucí mimo les, registrovaných významných krajinných prvků i ostatních přírodních a krajinných hodnot v oblasti.</w:t>
      </w:r>
    </w:p>
    <w:p w14:paraId="5458B266" w14:textId="77777777" w:rsidR="00617813" w:rsidRPr="00461C16" w:rsidRDefault="00767BBB" w:rsidP="00617813">
      <w:pPr>
        <w:pStyle w:val="BodyText"/>
        <w:spacing w:before="120" w:after="120"/>
        <w:rPr>
          <w:i/>
          <w:sz w:val="22"/>
          <w:szCs w:val="22"/>
        </w:rPr>
      </w:pPr>
      <w:r w:rsidRPr="00461C16">
        <w:rPr>
          <w:i/>
          <w:sz w:val="22"/>
          <w:szCs w:val="22"/>
        </w:rPr>
        <w:t>VKP, krajinné hodnoty a drobné krajinné prvky jsou v ÚP vymezeny jako přírodní hodnoty. Jsou v návrhu vymezení ploch s rozdílným způsobem využití respektovány.</w:t>
      </w:r>
    </w:p>
    <w:p w14:paraId="69C0CE04" w14:textId="77777777" w:rsidR="00421959" w:rsidRPr="00461C16" w:rsidRDefault="0042195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Návrh ÚP Hrádek nad Nisou na funk</w:t>
      </w:r>
      <w:r w:rsidRPr="00461C16">
        <w:rPr>
          <w:rFonts w:cs="TimesNewRoman"/>
          <w:lang w:eastAsia="cs-CZ"/>
        </w:rPr>
        <w:t>č</w:t>
      </w:r>
      <w:r w:rsidRPr="00461C16">
        <w:rPr>
          <w:lang w:eastAsia="cs-CZ"/>
        </w:rPr>
        <w:t>ní využití jednotlivých pozemk</w:t>
      </w:r>
      <w:r w:rsidRPr="00461C16">
        <w:rPr>
          <w:rFonts w:cs="TimesNewRoman"/>
          <w:lang w:eastAsia="cs-CZ"/>
        </w:rPr>
        <w:t xml:space="preserve">ů </w:t>
      </w:r>
      <w:r w:rsidRPr="00461C16">
        <w:rPr>
          <w:lang w:eastAsia="cs-CZ"/>
        </w:rPr>
        <w:t xml:space="preserve">v </w:t>
      </w:r>
      <w:r w:rsidRPr="00461C16">
        <w:rPr>
          <w:rFonts w:cs="TimesNewRoman"/>
          <w:lang w:eastAsia="cs-CZ"/>
        </w:rPr>
        <w:t>ř</w:t>
      </w:r>
      <w:r w:rsidRPr="00461C16">
        <w:rPr>
          <w:lang w:eastAsia="cs-CZ"/>
        </w:rPr>
        <w:t>ešeném území bude respektovat p</w:t>
      </w:r>
      <w:r w:rsidRPr="00461C16">
        <w:rPr>
          <w:rFonts w:cs="TimesNewRoman"/>
          <w:lang w:eastAsia="cs-CZ"/>
        </w:rPr>
        <w:t>ř</w:t>
      </w:r>
      <w:r w:rsidRPr="00461C16">
        <w:rPr>
          <w:lang w:eastAsia="cs-CZ"/>
        </w:rPr>
        <w:t xml:space="preserve">íslušná ustanovení zákona </w:t>
      </w:r>
      <w:r w:rsidRPr="00461C16">
        <w:rPr>
          <w:rFonts w:cs="TimesNewRoman"/>
          <w:lang w:eastAsia="cs-CZ"/>
        </w:rPr>
        <w:t>č</w:t>
      </w:r>
      <w:r w:rsidRPr="00461C16">
        <w:rPr>
          <w:lang w:eastAsia="cs-CZ"/>
        </w:rPr>
        <w:t>. 139/2002 Sb., o pozemkových úpravách a pozemkových ú</w:t>
      </w:r>
      <w:r w:rsidRPr="00461C16">
        <w:rPr>
          <w:rFonts w:cs="TimesNewRoman"/>
          <w:lang w:eastAsia="cs-CZ"/>
        </w:rPr>
        <w:t>ř</w:t>
      </w:r>
      <w:r w:rsidRPr="00461C16">
        <w:rPr>
          <w:lang w:eastAsia="cs-CZ"/>
        </w:rPr>
        <w:t xml:space="preserve">adech a o </w:t>
      </w:r>
      <w:r w:rsidRPr="00461C16">
        <w:rPr>
          <w:lang w:eastAsia="cs-CZ"/>
        </w:rPr>
        <w:lastRenderedPageBreak/>
        <w:t>zm</w:t>
      </w:r>
      <w:r w:rsidRPr="00461C16">
        <w:rPr>
          <w:rFonts w:cs="TimesNewRoman"/>
          <w:lang w:eastAsia="cs-CZ"/>
        </w:rPr>
        <w:t>ě</w:t>
      </w:r>
      <w:r w:rsidRPr="00461C16">
        <w:rPr>
          <w:lang w:eastAsia="cs-CZ"/>
        </w:rPr>
        <w:t>n</w:t>
      </w:r>
      <w:r w:rsidRPr="00461C16">
        <w:rPr>
          <w:rFonts w:cs="TimesNewRoman"/>
          <w:lang w:eastAsia="cs-CZ"/>
        </w:rPr>
        <w:t xml:space="preserve">ě </w:t>
      </w:r>
      <w:r w:rsidRPr="00461C16">
        <w:rPr>
          <w:lang w:eastAsia="cs-CZ"/>
        </w:rPr>
        <w:t xml:space="preserve">zákona </w:t>
      </w:r>
      <w:r w:rsidRPr="00461C16">
        <w:rPr>
          <w:rFonts w:cs="TimesNewRoman"/>
          <w:lang w:eastAsia="cs-CZ"/>
        </w:rPr>
        <w:t>č</w:t>
      </w:r>
      <w:r w:rsidRPr="00461C16">
        <w:rPr>
          <w:lang w:eastAsia="cs-CZ"/>
        </w:rPr>
        <w:t>. 229/1991 Sb., o úprav</w:t>
      </w:r>
      <w:r w:rsidRPr="00461C16">
        <w:rPr>
          <w:rFonts w:cs="TimesNewRoman"/>
          <w:lang w:eastAsia="cs-CZ"/>
        </w:rPr>
        <w:t xml:space="preserve">ě </w:t>
      </w:r>
      <w:r w:rsidRPr="00461C16">
        <w:rPr>
          <w:lang w:eastAsia="cs-CZ"/>
        </w:rPr>
        <w:t>vlastnických vztah</w:t>
      </w:r>
      <w:r w:rsidRPr="00461C16">
        <w:rPr>
          <w:rFonts w:cs="TimesNewRoman"/>
          <w:lang w:eastAsia="cs-CZ"/>
        </w:rPr>
        <w:t xml:space="preserve">ů </w:t>
      </w:r>
      <w:r w:rsidRPr="00461C16">
        <w:rPr>
          <w:lang w:eastAsia="cs-CZ"/>
        </w:rPr>
        <w:t>k p</w:t>
      </w:r>
      <w:r w:rsidRPr="00461C16">
        <w:rPr>
          <w:rFonts w:cs="TimesNewRoman"/>
          <w:lang w:eastAsia="cs-CZ"/>
        </w:rPr>
        <w:t>ů</w:t>
      </w:r>
      <w:r w:rsidRPr="00461C16">
        <w:rPr>
          <w:lang w:eastAsia="cs-CZ"/>
        </w:rPr>
        <w:t>d</w:t>
      </w:r>
      <w:r w:rsidRPr="00461C16">
        <w:rPr>
          <w:rFonts w:cs="TimesNewRoman"/>
          <w:lang w:eastAsia="cs-CZ"/>
        </w:rPr>
        <w:t xml:space="preserve">ě </w:t>
      </w:r>
      <w:r w:rsidRPr="00461C16">
        <w:rPr>
          <w:lang w:eastAsia="cs-CZ"/>
        </w:rPr>
        <w:t>a jinému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lskému majetku</w:t>
      </w:r>
      <w:r w:rsidR="00A53768" w:rsidRPr="00461C16">
        <w:rPr>
          <w:lang w:eastAsia="cs-CZ"/>
        </w:rPr>
        <w:t>, v platném znění</w:t>
      </w:r>
      <w:r w:rsidRPr="00461C16">
        <w:rPr>
          <w:lang w:eastAsia="cs-CZ"/>
        </w:rPr>
        <w:t xml:space="preserve">, zákona </w:t>
      </w:r>
      <w:r w:rsidRPr="00461C16">
        <w:rPr>
          <w:rFonts w:cs="TimesNewRoman"/>
          <w:lang w:eastAsia="cs-CZ"/>
        </w:rPr>
        <w:t>č</w:t>
      </w:r>
      <w:r w:rsidRPr="00461C16">
        <w:rPr>
          <w:lang w:eastAsia="cs-CZ"/>
        </w:rPr>
        <w:t>. 114/1992 Sb., o ochran</w:t>
      </w:r>
      <w:r w:rsidRPr="00461C16">
        <w:rPr>
          <w:rFonts w:cs="TimesNewRoman"/>
          <w:lang w:eastAsia="cs-CZ"/>
        </w:rPr>
        <w:t xml:space="preserve">ě </w:t>
      </w:r>
      <w:r w:rsidRPr="00461C16">
        <w:rPr>
          <w:lang w:eastAsia="cs-CZ"/>
        </w:rPr>
        <w:t>p</w:t>
      </w:r>
      <w:r w:rsidRPr="00461C16">
        <w:rPr>
          <w:rFonts w:cs="TimesNewRoman"/>
          <w:lang w:eastAsia="cs-CZ"/>
        </w:rPr>
        <w:t>ř</w:t>
      </w:r>
      <w:r w:rsidRPr="00461C16">
        <w:rPr>
          <w:lang w:eastAsia="cs-CZ"/>
        </w:rPr>
        <w:t xml:space="preserve">írody a krajiny a vyhlášky </w:t>
      </w:r>
      <w:r w:rsidRPr="00461C16">
        <w:rPr>
          <w:rFonts w:cs="TimesNewRoman"/>
          <w:lang w:eastAsia="cs-CZ"/>
        </w:rPr>
        <w:t>č</w:t>
      </w:r>
      <w:r w:rsidRPr="00461C16">
        <w:rPr>
          <w:lang w:eastAsia="cs-CZ"/>
        </w:rPr>
        <w:t>. 359/1992 Sb. v platném zn</w:t>
      </w:r>
      <w:r w:rsidRPr="00461C16">
        <w:rPr>
          <w:rFonts w:cs="TimesNewRoman"/>
          <w:lang w:eastAsia="cs-CZ"/>
        </w:rPr>
        <w:t>ě</w:t>
      </w:r>
      <w:r w:rsidRPr="00461C16">
        <w:rPr>
          <w:lang w:eastAsia="cs-CZ"/>
        </w:rPr>
        <w:t xml:space="preserve">ní a zákona </w:t>
      </w:r>
      <w:r w:rsidRPr="00461C16">
        <w:rPr>
          <w:rFonts w:cs="TimesNewRoman"/>
          <w:lang w:eastAsia="cs-CZ"/>
        </w:rPr>
        <w:t>č</w:t>
      </w:r>
      <w:r w:rsidRPr="00461C16">
        <w:rPr>
          <w:lang w:eastAsia="cs-CZ"/>
        </w:rPr>
        <w:t>. 334/1992 Sb. o ochran</w:t>
      </w:r>
      <w:r w:rsidRPr="00461C16">
        <w:rPr>
          <w:rFonts w:cs="TimesNewRoman"/>
          <w:lang w:eastAsia="cs-CZ"/>
        </w:rPr>
        <w:t xml:space="preserve">ě </w:t>
      </w:r>
      <w:r w:rsidRPr="00461C16">
        <w:rPr>
          <w:lang w:eastAsia="cs-CZ"/>
        </w:rPr>
        <w:t>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lského p</w:t>
      </w:r>
      <w:r w:rsidRPr="00461C16">
        <w:rPr>
          <w:rFonts w:cs="TimesNewRoman"/>
          <w:lang w:eastAsia="cs-CZ"/>
        </w:rPr>
        <w:t>ů</w:t>
      </w:r>
      <w:r w:rsidRPr="00461C16">
        <w:rPr>
          <w:lang w:eastAsia="cs-CZ"/>
        </w:rPr>
        <w:t>dního fondu v platném zn</w:t>
      </w:r>
      <w:r w:rsidRPr="00461C16">
        <w:rPr>
          <w:rFonts w:cs="TimesNewRoman"/>
          <w:lang w:eastAsia="cs-CZ"/>
        </w:rPr>
        <w:t>ě</w:t>
      </w:r>
      <w:r w:rsidRPr="00461C16">
        <w:rPr>
          <w:lang w:eastAsia="cs-CZ"/>
        </w:rPr>
        <w:t>ní.</w:t>
      </w:r>
    </w:p>
    <w:p w14:paraId="24AC5CED" w14:textId="77777777" w:rsidR="00617813" w:rsidRPr="00461C16" w:rsidRDefault="00767BBB" w:rsidP="00617813">
      <w:pPr>
        <w:pStyle w:val="BodyText"/>
        <w:spacing w:before="120" w:after="120"/>
        <w:rPr>
          <w:i/>
          <w:sz w:val="22"/>
          <w:szCs w:val="22"/>
        </w:rPr>
      </w:pPr>
      <w:r w:rsidRPr="00461C16">
        <w:rPr>
          <w:i/>
          <w:sz w:val="22"/>
          <w:szCs w:val="22"/>
        </w:rPr>
        <w:t>Na území města nebyly zjištěny rozpracované pozemkové úpravy, které by bylo nutné s ÚP koordinovat.</w:t>
      </w:r>
    </w:p>
    <w:p w14:paraId="0375B20A" w14:textId="77777777" w:rsidR="00421959" w:rsidRPr="00461C16" w:rsidRDefault="00D653AD"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Povinnost</w:t>
      </w:r>
      <w:r w:rsidR="00421959" w:rsidRPr="00461C16">
        <w:rPr>
          <w:lang w:eastAsia="cs-CZ"/>
        </w:rPr>
        <w:t xml:space="preserve"> podle § 5 odst. 1 zákona o ochran</w:t>
      </w:r>
      <w:r w:rsidR="00421959" w:rsidRPr="00461C16">
        <w:rPr>
          <w:rFonts w:cs="TimesNewRoman"/>
          <w:lang w:eastAsia="cs-CZ"/>
        </w:rPr>
        <w:t xml:space="preserve">ě </w:t>
      </w:r>
      <w:r w:rsidRPr="00461C16">
        <w:rPr>
          <w:lang w:eastAsia="cs-CZ"/>
        </w:rPr>
        <w:t>ZPF řídit se nejen</w:t>
      </w:r>
      <w:r w:rsidR="00421959" w:rsidRPr="00461C16">
        <w:rPr>
          <w:lang w:eastAsia="cs-CZ"/>
        </w:rPr>
        <w:t xml:space="preserve"> uvedeným ustanovením § 4 zákona ochran</w:t>
      </w:r>
      <w:r w:rsidR="00421959" w:rsidRPr="00461C16">
        <w:rPr>
          <w:rFonts w:cs="TimesNewRoman"/>
          <w:lang w:eastAsia="cs-CZ"/>
        </w:rPr>
        <w:t xml:space="preserve">ě </w:t>
      </w:r>
      <w:r w:rsidR="00421959" w:rsidRPr="00461C16">
        <w:rPr>
          <w:lang w:eastAsia="cs-CZ"/>
        </w:rPr>
        <w:t xml:space="preserve">ZPF, ale i navrhnout a </w:t>
      </w:r>
      <w:r w:rsidR="00421959" w:rsidRPr="00461C16">
        <w:rPr>
          <w:b/>
          <w:bCs/>
          <w:lang w:eastAsia="cs-CZ"/>
        </w:rPr>
        <w:t>zd</w:t>
      </w:r>
      <w:r w:rsidR="00421959" w:rsidRPr="00461C16">
        <w:rPr>
          <w:rFonts w:cs="TimesNewRoman,Bold"/>
          <w:b/>
          <w:bCs/>
          <w:lang w:eastAsia="cs-CZ"/>
        </w:rPr>
        <w:t>ů</w:t>
      </w:r>
      <w:r w:rsidR="00421959" w:rsidRPr="00461C16">
        <w:rPr>
          <w:b/>
          <w:bCs/>
          <w:lang w:eastAsia="cs-CZ"/>
        </w:rPr>
        <w:t xml:space="preserve">vodnit </w:t>
      </w:r>
      <w:r w:rsidR="00421959" w:rsidRPr="00461C16">
        <w:rPr>
          <w:lang w:eastAsia="cs-CZ"/>
        </w:rPr>
        <w:t xml:space="preserve">takové </w:t>
      </w:r>
      <w:r w:rsidR="00421959" w:rsidRPr="00461C16">
        <w:rPr>
          <w:rFonts w:cs="TimesNewRoman"/>
          <w:lang w:eastAsia="cs-CZ"/>
        </w:rPr>
        <w:t>ř</w:t>
      </w:r>
      <w:r w:rsidR="00421959" w:rsidRPr="00461C16">
        <w:rPr>
          <w:lang w:eastAsia="cs-CZ"/>
        </w:rPr>
        <w:t>ešení, které je z hlediska zájm</w:t>
      </w:r>
      <w:r w:rsidR="00421959" w:rsidRPr="00461C16">
        <w:rPr>
          <w:rFonts w:cs="TimesNewRoman"/>
          <w:lang w:eastAsia="cs-CZ"/>
        </w:rPr>
        <w:t xml:space="preserve">ů </w:t>
      </w:r>
      <w:r w:rsidR="00421959" w:rsidRPr="00461C16">
        <w:rPr>
          <w:lang w:eastAsia="cs-CZ"/>
        </w:rPr>
        <w:t>ochrany ZPF a ostatních zákonem chrán</w:t>
      </w:r>
      <w:r w:rsidR="00421959" w:rsidRPr="00461C16">
        <w:rPr>
          <w:rFonts w:cs="TimesNewRoman"/>
          <w:lang w:eastAsia="cs-CZ"/>
        </w:rPr>
        <w:t>ě</w:t>
      </w:r>
      <w:r w:rsidR="00421959" w:rsidRPr="00461C16">
        <w:rPr>
          <w:lang w:eastAsia="cs-CZ"/>
        </w:rPr>
        <w:t>ných obecných zájm</w:t>
      </w:r>
      <w:r w:rsidR="00421959" w:rsidRPr="00461C16">
        <w:rPr>
          <w:rFonts w:cs="TimesNewRoman"/>
          <w:lang w:eastAsia="cs-CZ"/>
        </w:rPr>
        <w:t xml:space="preserve">ů </w:t>
      </w:r>
      <w:r w:rsidR="00421959" w:rsidRPr="00461C16">
        <w:rPr>
          <w:lang w:eastAsia="cs-CZ"/>
        </w:rPr>
        <w:t>nejvýhodn</w:t>
      </w:r>
      <w:r w:rsidR="00421959" w:rsidRPr="00461C16">
        <w:rPr>
          <w:rFonts w:cs="TimesNewRoman"/>
          <w:lang w:eastAsia="cs-CZ"/>
        </w:rPr>
        <w:t>ě</w:t>
      </w:r>
      <w:r w:rsidR="00421959" w:rsidRPr="00461C16">
        <w:rPr>
          <w:lang w:eastAsia="cs-CZ"/>
        </w:rPr>
        <w:t xml:space="preserve">jší. V textové </w:t>
      </w:r>
      <w:r w:rsidR="00421959" w:rsidRPr="00461C16">
        <w:rPr>
          <w:rFonts w:cs="TimesNewRoman"/>
          <w:lang w:eastAsia="cs-CZ"/>
        </w:rPr>
        <w:t>č</w:t>
      </w:r>
      <w:r w:rsidR="00421959" w:rsidRPr="00461C16">
        <w:rPr>
          <w:lang w:eastAsia="cs-CZ"/>
        </w:rPr>
        <w:t>ásti návrhu daného územního plánu orgán ochrany ZPF proto požaduje navrhované zm</w:t>
      </w:r>
      <w:r w:rsidR="00421959" w:rsidRPr="00461C16">
        <w:rPr>
          <w:rFonts w:cs="TimesNewRoman"/>
          <w:lang w:eastAsia="cs-CZ"/>
        </w:rPr>
        <w:t>ě</w:t>
      </w:r>
      <w:r w:rsidR="00421959" w:rsidRPr="00461C16">
        <w:rPr>
          <w:lang w:eastAsia="cs-CZ"/>
        </w:rPr>
        <w:t>ny funk</w:t>
      </w:r>
      <w:r w:rsidR="00421959" w:rsidRPr="00461C16">
        <w:rPr>
          <w:rFonts w:cs="TimesNewRoman"/>
          <w:lang w:eastAsia="cs-CZ"/>
        </w:rPr>
        <w:t>č</w:t>
      </w:r>
      <w:r w:rsidR="00421959" w:rsidRPr="00461C16">
        <w:rPr>
          <w:lang w:eastAsia="cs-CZ"/>
        </w:rPr>
        <w:t xml:space="preserve">ního využití ploch v </w:t>
      </w:r>
      <w:r w:rsidR="00421959" w:rsidRPr="00461C16">
        <w:rPr>
          <w:rFonts w:cs="TimesNewRoman"/>
          <w:lang w:eastAsia="cs-CZ"/>
        </w:rPr>
        <w:t>ř</w:t>
      </w:r>
      <w:r w:rsidR="00421959" w:rsidRPr="00461C16">
        <w:rPr>
          <w:lang w:eastAsia="cs-CZ"/>
        </w:rPr>
        <w:t xml:space="preserve">ešeném území </w:t>
      </w:r>
      <w:r w:rsidR="00421959" w:rsidRPr="00461C16">
        <w:rPr>
          <w:rFonts w:cs="TimesNewRoman"/>
          <w:lang w:eastAsia="cs-CZ"/>
        </w:rPr>
        <w:t>ř</w:t>
      </w:r>
      <w:r w:rsidR="00421959" w:rsidRPr="00461C16">
        <w:rPr>
          <w:lang w:eastAsia="cs-CZ"/>
        </w:rPr>
        <w:t>ádn</w:t>
      </w:r>
      <w:r w:rsidR="00421959" w:rsidRPr="00461C16">
        <w:rPr>
          <w:rFonts w:cs="TimesNewRoman"/>
          <w:lang w:eastAsia="cs-CZ"/>
        </w:rPr>
        <w:t xml:space="preserve">ě </w:t>
      </w:r>
      <w:r w:rsidR="00421959" w:rsidRPr="00461C16">
        <w:rPr>
          <w:lang w:eastAsia="cs-CZ"/>
        </w:rPr>
        <w:t>zd</w:t>
      </w:r>
      <w:r w:rsidR="00421959" w:rsidRPr="00461C16">
        <w:rPr>
          <w:rFonts w:cs="TimesNewRoman"/>
          <w:lang w:eastAsia="cs-CZ"/>
        </w:rPr>
        <w:t>ů</w:t>
      </w:r>
      <w:r w:rsidR="00421959" w:rsidRPr="00461C16">
        <w:rPr>
          <w:lang w:eastAsia="cs-CZ"/>
        </w:rPr>
        <w:t>vodnit.</w:t>
      </w:r>
    </w:p>
    <w:p w14:paraId="553BD71D" w14:textId="77777777" w:rsidR="00617813" w:rsidRPr="00461C16" w:rsidRDefault="00CC4006" w:rsidP="00617813">
      <w:pPr>
        <w:pStyle w:val="BodyText"/>
        <w:spacing w:before="120" w:after="120"/>
        <w:rPr>
          <w:i/>
          <w:sz w:val="22"/>
          <w:szCs w:val="22"/>
        </w:rPr>
      </w:pPr>
      <w:r w:rsidRPr="00461C16">
        <w:rPr>
          <w:i/>
          <w:color w:val="000000"/>
          <w:sz w:val="22"/>
          <w:szCs w:val="22"/>
          <w:shd w:val="clear" w:color="auto" w:fill="FFFFFF"/>
        </w:rPr>
        <w:t>Odůvodnění navrženého řešení a záboru ZPF je součástí kap. 8.1. Odůvodnění ÚP.</w:t>
      </w:r>
    </w:p>
    <w:p w14:paraId="73B85730" w14:textId="77777777" w:rsidR="00421959" w:rsidRPr="00461C16" w:rsidRDefault="0042195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zájmu ochrany ZPF v </w:t>
      </w:r>
      <w:r w:rsidRPr="00461C16">
        <w:rPr>
          <w:rFonts w:cs="TimesNewRoman"/>
          <w:lang w:eastAsia="cs-CZ"/>
        </w:rPr>
        <w:t>ř</w:t>
      </w:r>
      <w:r w:rsidRPr="00461C16">
        <w:rPr>
          <w:lang w:eastAsia="cs-CZ"/>
        </w:rPr>
        <w:t>ešeném území, zejména v zájmu ochrany p</w:t>
      </w:r>
      <w:r w:rsidRPr="00461C16">
        <w:rPr>
          <w:rFonts w:cs="TimesNewRoman"/>
          <w:lang w:eastAsia="cs-CZ"/>
        </w:rPr>
        <w:t>ů</w:t>
      </w:r>
      <w:r w:rsidRPr="00461C16">
        <w:rPr>
          <w:lang w:eastAsia="cs-CZ"/>
        </w:rPr>
        <w:t>d za</w:t>
      </w:r>
      <w:r w:rsidRPr="00461C16">
        <w:rPr>
          <w:rFonts w:cs="TimesNewRoman"/>
          <w:lang w:eastAsia="cs-CZ"/>
        </w:rPr>
        <w:t>ř</w:t>
      </w:r>
      <w:r w:rsidRPr="00461C16">
        <w:rPr>
          <w:lang w:eastAsia="cs-CZ"/>
        </w:rPr>
        <w:t>azených do I. a II. t</w:t>
      </w:r>
      <w:r w:rsidRPr="00461C16">
        <w:rPr>
          <w:rFonts w:cs="TimesNewRoman"/>
          <w:lang w:eastAsia="cs-CZ"/>
        </w:rPr>
        <w:t>ř</w:t>
      </w:r>
      <w:r w:rsidRPr="00461C16">
        <w:rPr>
          <w:lang w:eastAsia="cs-CZ"/>
        </w:rPr>
        <w:t>ídy ochrany, orgán ochrany ZPF požaduje, aby v nezastav</w:t>
      </w:r>
      <w:r w:rsidRPr="00461C16">
        <w:rPr>
          <w:rFonts w:cs="TimesNewRoman"/>
          <w:lang w:eastAsia="cs-CZ"/>
        </w:rPr>
        <w:t>ě</w:t>
      </w:r>
      <w:r w:rsidRPr="00461C16">
        <w:rPr>
          <w:lang w:eastAsia="cs-CZ"/>
        </w:rPr>
        <w:t>ném území byly vymezeny plochy ZPF, na kterých nebude p</w:t>
      </w:r>
      <w:r w:rsidRPr="00461C16">
        <w:rPr>
          <w:rFonts w:cs="TimesNewRoman"/>
          <w:lang w:eastAsia="cs-CZ"/>
        </w:rPr>
        <w:t>ř</w:t>
      </w:r>
      <w:r w:rsidRPr="00461C16">
        <w:rPr>
          <w:lang w:eastAsia="cs-CZ"/>
        </w:rPr>
        <w:t>ípustné použití ustanovení § 18 odst. 5 stavebního zákona.</w:t>
      </w:r>
    </w:p>
    <w:p w14:paraId="01F5BC9C" w14:textId="77777777" w:rsidR="00233B2C" w:rsidRPr="00461C16" w:rsidRDefault="00AF5BAD" w:rsidP="00233B2C">
      <w:pPr>
        <w:autoSpaceDE w:val="0"/>
        <w:autoSpaceDN w:val="0"/>
        <w:adjustRightInd w:val="0"/>
        <w:spacing w:before="120" w:line="240" w:lineRule="auto"/>
        <w:rPr>
          <w:i/>
          <w:lang w:eastAsia="cs-CZ"/>
        </w:rPr>
      </w:pPr>
      <w:r w:rsidRPr="00461C16">
        <w:rPr>
          <w:i/>
        </w:rPr>
        <w:t xml:space="preserve">Vymezení ploch s úplným vyloučením staveb dle § 18 odst. 5 stavebního zákona nebylo shledáno jako nezbytné. V kap. F.1.31 jsou v podmínkách pro využití ploch NS specifikovány možnosti umisťování těchto staveb vč, vyloučení některých z nich. </w:t>
      </w:r>
    </w:p>
    <w:p w14:paraId="4B515D00" w14:textId="77777777" w:rsidR="00BF0070" w:rsidRPr="00461C16" w:rsidRDefault="00BF0070" w:rsidP="00BF0070">
      <w:pPr>
        <w:pStyle w:val="Heading2"/>
        <w:spacing w:after="240"/>
        <w:rPr>
          <w:lang w:eastAsia="cs-CZ"/>
        </w:rPr>
      </w:pPr>
      <w:bookmarkStart w:id="67" w:name="_Toc36116266"/>
      <w:r w:rsidRPr="00461C16">
        <w:rPr>
          <w:lang w:eastAsia="cs-CZ"/>
        </w:rPr>
        <w:t>3.7</w:t>
      </w:r>
      <w:r w:rsidRPr="00461C16">
        <w:rPr>
          <w:lang w:eastAsia="cs-CZ"/>
        </w:rPr>
        <w:tab/>
        <w:t>Požadavky na veřejně prospěšné stavby, veřejně prospěšná opatření a asanace</w:t>
      </w:r>
      <w:bookmarkEnd w:id="67"/>
      <w:r w:rsidRPr="00461C16">
        <w:rPr>
          <w:lang w:eastAsia="cs-CZ"/>
        </w:rPr>
        <w:t xml:space="preserve"> </w:t>
      </w:r>
    </w:p>
    <w:p w14:paraId="0B69A8EA" w14:textId="77777777" w:rsidR="00BF0070" w:rsidRPr="00461C16" w:rsidRDefault="00BF0070" w:rsidP="00BF0070">
      <w:pPr>
        <w:autoSpaceDE w:val="0"/>
        <w:autoSpaceDN w:val="0"/>
        <w:adjustRightInd w:val="0"/>
        <w:spacing w:before="240" w:after="120" w:line="240" w:lineRule="auto"/>
        <w:rPr>
          <w:u w:val="single"/>
          <w:lang w:eastAsia="cs-CZ"/>
        </w:rPr>
      </w:pPr>
      <w:r w:rsidRPr="00461C16">
        <w:rPr>
          <w:u w:val="single"/>
          <w:lang w:eastAsia="cs-CZ"/>
        </w:rPr>
        <w:t>Silniční doprava</w:t>
      </w:r>
    </w:p>
    <w:p w14:paraId="6F81D04D" w14:textId="77777777" w:rsidR="00BF0070" w:rsidRPr="00461C16" w:rsidRDefault="00BF00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v návrhu územního plánu Hrádek nad Nisou silnici I/35 Liberec – Bílý Kostel nad Nisou – Hrádek nad Nisou – hranice ČR (Zittau) a ochranné pásmo této silnice v extravilánu a pro připojování nově navrhovaných lokalit na silnici I/35 využívat již stávající napojení místními komunikacemi. </w:t>
      </w:r>
    </w:p>
    <w:p w14:paraId="62211C1F" w14:textId="77777777" w:rsidR="00BF0070" w:rsidRPr="00461C16" w:rsidRDefault="00BF0070" w:rsidP="00BF0070">
      <w:pPr>
        <w:pStyle w:val="BodyText"/>
        <w:spacing w:before="120" w:after="120"/>
        <w:rPr>
          <w:i/>
          <w:sz w:val="22"/>
          <w:szCs w:val="22"/>
        </w:rPr>
      </w:pPr>
      <w:r w:rsidRPr="00461C16">
        <w:rPr>
          <w:i/>
          <w:color w:val="000000"/>
          <w:sz w:val="22"/>
          <w:szCs w:val="22"/>
          <w:shd w:val="clear" w:color="auto" w:fill="FFFFFF"/>
        </w:rPr>
        <w:t>ÚP respektuje silnici I/35 včetně jejího ochranného pásma.</w:t>
      </w:r>
    </w:p>
    <w:p w14:paraId="2B40BEBC" w14:textId="77777777" w:rsidR="00BF0070" w:rsidRPr="00461C16" w:rsidRDefault="00BF00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při návrhu nových zastavitelných ploch v blízkosti silnice I/35 podmínky stanovené v nařízení vlády č. 272/2011 Sb. o ochraně zdraví před nepříznivými účinky hluku a vibrací z provozu na silnici I/35 v chráněných venkovních a vnitřních prostorech. Navrhované funkční využití takovýchto ploch vést jako podmíněně přípustné s tím, že během případného stavebního řízení nařídit, že potřebná protihluková opatření budou realizována výhradně investory budoucí bytové výstavby.</w:t>
      </w:r>
    </w:p>
    <w:p w14:paraId="6DE1F43B" w14:textId="77777777" w:rsidR="00BF0070" w:rsidRPr="00461C16" w:rsidRDefault="00BF0070" w:rsidP="00BF0070">
      <w:pPr>
        <w:pStyle w:val="BodyText"/>
        <w:spacing w:before="120" w:after="120"/>
        <w:rPr>
          <w:i/>
          <w:color w:val="000000"/>
          <w:sz w:val="22"/>
          <w:szCs w:val="22"/>
          <w:shd w:val="clear" w:color="auto" w:fill="FFFFFF"/>
        </w:rPr>
      </w:pPr>
      <w:r w:rsidRPr="00461C16">
        <w:rPr>
          <w:i/>
          <w:color w:val="000000"/>
          <w:sz w:val="22"/>
          <w:szCs w:val="22"/>
          <w:shd w:val="clear" w:color="auto" w:fill="FFFFFF"/>
        </w:rPr>
        <w:t>Pro všechny stabilizované plochy, zastavitelné plochy a plochy přestavby se stanovuje obecná podmínka využití a uspořádání: při umísťování staveb pro bydlení prokázat nepřekročení maximální přípustné hladiny hluku v chráněných vnitřních i venkovních prostorech stavby ve vztahu k hlukové zátěži ze stávajících a budoucích stacionárních zdrojů hluku.</w:t>
      </w:r>
    </w:p>
    <w:p w14:paraId="106375A5" w14:textId="77777777" w:rsidR="00BF0070" w:rsidRPr="00461C16" w:rsidRDefault="00BF0070" w:rsidP="00BF0070">
      <w:pPr>
        <w:autoSpaceDE w:val="0"/>
        <w:autoSpaceDN w:val="0"/>
        <w:adjustRightInd w:val="0"/>
        <w:spacing w:before="120" w:after="120" w:line="240" w:lineRule="auto"/>
        <w:rPr>
          <w:u w:val="single"/>
          <w:lang w:eastAsia="cs-CZ"/>
        </w:rPr>
      </w:pPr>
      <w:r w:rsidRPr="00461C16">
        <w:rPr>
          <w:u w:val="single"/>
          <w:lang w:eastAsia="cs-CZ"/>
        </w:rPr>
        <w:t>Železniční doprava</w:t>
      </w:r>
    </w:p>
    <w:p w14:paraId="52A4F84F" w14:textId="77777777" w:rsidR="00BF0070" w:rsidRPr="00461C16" w:rsidRDefault="00BF00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Řešeným územím je vedena jednokolejná neelektrizovaná železniční trať č. 089 Liberec – Zittau, která je ve smyslu § 3 zákona č. 266/1994 Sb., o drahách, zařazena do kategorie dráhy celostátní. Respektovat ochranné pásmo dráhy dle výše uvedeného zákona o dráhách. </w:t>
      </w:r>
    </w:p>
    <w:p w14:paraId="1DD6BF79" w14:textId="77777777" w:rsidR="00BF0070" w:rsidRPr="00461C16" w:rsidRDefault="00BF0070" w:rsidP="00BF0070">
      <w:pPr>
        <w:pStyle w:val="BodyText"/>
        <w:spacing w:before="120" w:after="120"/>
        <w:rPr>
          <w:i/>
          <w:sz w:val="22"/>
          <w:szCs w:val="22"/>
        </w:rPr>
      </w:pPr>
      <w:r w:rsidRPr="00461C16">
        <w:rPr>
          <w:i/>
          <w:color w:val="000000"/>
          <w:sz w:val="22"/>
          <w:szCs w:val="22"/>
          <w:shd w:val="clear" w:color="auto" w:fill="FFFFFF"/>
        </w:rPr>
        <w:t>ÚP respektuje železniční trať č. 089 včetně jejího ochranného pásma.</w:t>
      </w:r>
    </w:p>
    <w:p w14:paraId="527C5774" w14:textId="77777777" w:rsidR="00BF0070" w:rsidRPr="00461C16" w:rsidRDefault="00BF00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 hlediska výhledových záměrů železniční infrastruktury je sledována optimalizace a elektrizace výše uvedené tratě. Tento záměr je územně chráněn v platných ZÚR Libereckého kraje a požadujeme ho zařadit mezi veřejně prospěšné stavby. </w:t>
      </w:r>
    </w:p>
    <w:p w14:paraId="0733D675" w14:textId="77777777" w:rsidR="00BF0070" w:rsidRPr="00461C16" w:rsidRDefault="00BF0070" w:rsidP="00BF0070">
      <w:pPr>
        <w:pStyle w:val="BodyText"/>
        <w:spacing w:before="120" w:after="120"/>
        <w:rPr>
          <w:i/>
          <w:color w:val="000000"/>
          <w:sz w:val="22"/>
          <w:szCs w:val="22"/>
          <w:shd w:val="clear" w:color="auto" w:fill="FFFFFF"/>
        </w:rPr>
      </w:pPr>
      <w:r w:rsidRPr="00461C16">
        <w:rPr>
          <w:i/>
          <w:color w:val="000000"/>
          <w:sz w:val="22"/>
          <w:szCs w:val="22"/>
          <w:shd w:val="clear" w:color="auto" w:fill="FFFFFF"/>
        </w:rPr>
        <w:t>ÚP v souladu se ZÚR Libereckého kraje zpřesňuje v rámci správního území města Hrádek nad Nisou koridor železniční dopravy (DZ.k) X01 pro optimalizaci a elektrizaci železniční trati č. 089.</w:t>
      </w:r>
    </w:p>
    <w:p w14:paraId="6AB70DC2" w14:textId="77777777" w:rsidR="00BF0070" w:rsidRPr="00461C16" w:rsidRDefault="00BF0070" w:rsidP="00BF0070">
      <w:pPr>
        <w:pStyle w:val="BodyText"/>
        <w:spacing w:before="120" w:after="120"/>
        <w:rPr>
          <w:i/>
          <w:sz w:val="22"/>
          <w:szCs w:val="22"/>
        </w:rPr>
      </w:pPr>
      <w:r w:rsidRPr="00461C16">
        <w:rPr>
          <w:i/>
          <w:color w:val="000000"/>
          <w:sz w:val="22"/>
          <w:szCs w:val="22"/>
          <w:shd w:val="clear" w:color="auto" w:fill="FFFFFF"/>
        </w:rPr>
        <w:t>Koridor je sledován jako veřejně prospěšná stavba.</w:t>
      </w:r>
    </w:p>
    <w:p w14:paraId="0B97C1B8" w14:textId="77777777" w:rsidR="00BF0070" w:rsidRPr="00461C16" w:rsidRDefault="00BF00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Zařadit v nově vymezených rozvojových či přestavbových lokalitách v ochranném pásmu dráhy objekty a zařízení, pro které jsou stanoveny hygienické hlukové limity, do funkčního využití podmínečně přípustného. Prokázat nepřekročení maximální přípustné hladiny hluku v chráněných vnitřních i venkovních prostorech staveb a venkovních prostorech.</w:t>
      </w:r>
    </w:p>
    <w:p w14:paraId="57EF5515" w14:textId="77777777" w:rsidR="00BF0070" w:rsidRPr="00461C16" w:rsidRDefault="00BF0070" w:rsidP="00BF0070">
      <w:pPr>
        <w:pStyle w:val="BodyText"/>
        <w:spacing w:before="120" w:after="120"/>
        <w:rPr>
          <w:i/>
          <w:sz w:val="22"/>
          <w:szCs w:val="22"/>
        </w:rPr>
      </w:pPr>
      <w:r w:rsidRPr="00461C16">
        <w:rPr>
          <w:i/>
          <w:color w:val="000000"/>
          <w:sz w:val="22"/>
          <w:szCs w:val="22"/>
          <w:shd w:val="clear" w:color="auto" w:fill="FFFFFF"/>
        </w:rPr>
        <w:t>Pro všechny stabilizované plochy, zastavitelné plochy a plochy přestavby se stanovuje obecná podmínka využití a uspořádání: při umísťování staveb pro bydlení prokázat nepřekročení maximální přípustné hladiny hluku v chráněných vnitřních i venkovních prostorech stavby ve vztahu k hlukové zátěži ze stávajících a budoucích stacionárních zdrojů hluku.</w:t>
      </w:r>
    </w:p>
    <w:p w14:paraId="139FEB09" w14:textId="77777777" w:rsidR="00BF0070" w:rsidRPr="00461C16" w:rsidRDefault="00BF00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Zohlednit na základě navržené koncepce řešení ÚP Hrádek nad Nisou případné zařazení nově navržené veřejné infrastruktury do seznamu veřejně prospěšných staveb, kde bude proveden výčet konkrétních pozemků a doplnit ji do příslušné výkresové dokumentace. </w:t>
      </w:r>
    </w:p>
    <w:p w14:paraId="79087B07" w14:textId="77777777" w:rsidR="00BF0070" w:rsidRPr="00461C16" w:rsidRDefault="00BF0070" w:rsidP="00BF0070">
      <w:pPr>
        <w:pStyle w:val="BodyText"/>
        <w:spacing w:before="120" w:after="120"/>
        <w:rPr>
          <w:i/>
          <w:color w:val="000000"/>
          <w:sz w:val="22"/>
          <w:szCs w:val="22"/>
          <w:shd w:val="clear" w:color="auto" w:fill="FFFFFF"/>
        </w:rPr>
      </w:pPr>
      <w:r w:rsidRPr="00461C16">
        <w:rPr>
          <w:i/>
          <w:color w:val="000000"/>
          <w:sz w:val="22"/>
          <w:szCs w:val="22"/>
          <w:shd w:val="clear" w:color="auto" w:fill="FFFFFF"/>
        </w:rPr>
        <w:t>Stavby veřejné infrastruktury v oblasti dopravní a technické infrastruktury jsou vymezeny jako veřejně prospěšné stavby. Jejich grafické znázornění je uvedeno ve výkrese I.3. Výkres veřejně prospěšných staveb, opatření a asanací.</w:t>
      </w:r>
    </w:p>
    <w:p w14:paraId="5564B5AD" w14:textId="77777777" w:rsidR="00BF0070" w:rsidRPr="00461C16" w:rsidRDefault="00BF0070" w:rsidP="00BF0070">
      <w:pPr>
        <w:pStyle w:val="BodyText"/>
        <w:spacing w:before="120" w:after="120"/>
        <w:rPr>
          <w:i/>
          <w:color w:val="000000"/>
          <w:sz w:val="22"/>
          <w:szCs w:val="22"/>
          <w:shd w:val="clear" w:color="auto" w:fill="FFFFFF"/>
        </w:rPr>
      </w:pPr>
      <w:r w:rsidRPr="00461C16">
        <w:rPr>
          <w:i/>
          <w:color w:val="000000"/>
          <w:sz w:val="22"/>
          <w:szCs w:val="22"/>
          <w:shd w:val="clear" w:color="auto" w:fill="FFFFFF"/>
        </w:rPr>
        <w:t>Stavby veřejné infrastruktury v oblasti veřejného občanského vybavení, pro které lze stanovit možnost uplatnění předkupního práva, nejsou vymezeny.</w:t>
      </w:r>
    </w:p>
    <w:p w14:paraId="139A8AB0" w14:textId="77777777" w:rsidR="00BF0070" w:rsidRPr="00461C16" w:rsidRDefault="00BF00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 p</w:t>
      </w:r>
      <w:r w:rsidRPr="00461C16">
        <w:rPr>
          <w:rFonts w:cs="TimesNewRoman"/>
          <w:lang w:eastAsia="cs-CZ"/>
        </w:rPr>
        <w:t>ř</w:t>
      </w:r>
      <w:r w:rsidRPr="00461C16">
        <w:rPr>
          <w:lang w:eastAsia="cs-CZ"/>
        </w:rPr>
        <w:t>ípad</w:t>
      </w:r>
      <w:r w:rsidRPr="00461C16">
        <w:rPr>
          <w:rFonts w:cs="TimesNewRoman"/>
          <w:lang w:eastAsia="cs-CZ"/>
        </w:rPr>
        <w:t xml:space="preserve">ě </w:t>
      </w:r>
      <w:r w:rsidRPr="00461C16">
        <w:rPr>
          <w:lang w:eastAsia="cs-CZ"/>
        </w:rPr>
        <w:t>pot</w:t>
      </w:r>
      <w:r w:rsidRPr="00461C16">
        <w:rPr>
          <w:rFonts w:cs="TimesNewRoman"/>
          <w:lang w:eastAsia="cs-CZ"/>
        </w:rPr>
        <w:t>ř</w:t>
      </w:r>
      <w:r w:rsidRPr="00461C16">
        <w:rPr>
          <w:lang w:eastAsia="cs-CZ"/>
        </w:rPr>
        <w:t>eby uplatn</w:t>
      </w:r>
      <w:r w:rsidRPr="00461C16">
        <w:rPr>
          <w:rFonts w:cs="TimesNewRoman"/>
          <w:lang w:eastAsia="cs-CZ"/>
        </w:rPr>
        <w:t>ě</w:t>
      </w:r>
      <w:r w:rsidRPr="00461C16">
        <w:rPr>
          <w:lang w:eastAsia="cs-CZ"/>
        </w:rPr>
        <w:t>ní institutu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šných opat</w:t>
      </w:r>
      <w:r w:rsidRPr="00461C16">
        <w:rPr>
          <w:rFonts w:cs="TimesNewRoman"/>
          <w:lang w:eastAsia="cs-CZ"/>
        </w:rPr>
        <w:t>ř</w:t>
      </w:r>
      <w:r w:rsidRPr="00461C16">
        <w:rPr>
          <w:lang w:eastAsia="cs-CZ"/>
        </w:rPr>
        <w:t>ení v rámci návrhu koncepce uspo</w:t>
      </w:r>
      <w:r w:rsidRPr="00461C16">
        <w:rPr>
          <w:rFonts w:cs="TimesNewRoman"/>
          <w:lang w:eastAsia="cs-CZ"/>
        </w:rPr>
        <w:t>ř</w:t>
      </w:r>
      <w:r w:rsidRPr="00461C16">
        <w:rPr>
          <w:lang w:eastAsia="cs-CZ"/>
        </w:rPr>
        <w:t>ádání krajiny, bude zpracováno obdobn</w:t>
      </w:r>
      <w:r w:rsidRPr="00461C16">
        <w:rPr>
          <w:rFonts w:cs="TimesNewRoman"/>
          <w:lang w:eastAsia="cs-CZ"/>
        </w:rPr>
        <w:t>ě</w:t>
      </w:r>
      <w:r w:rsidRPr="00461C16">
        <w:rPr>
          <w:lang w:eastAsia="cs-CZ"/>
        </w:rPr>
        <w:t>. Pokud dojde návrhem ÚP Hrádek nad Nisou k dot</w:t>
      </w:r>
      <w:r w:rsidRPr="00461C16">
        <w:rPr>
          <w:rFonts w:cs="TimesNewRoman"/>
          <w:lang w:eastAsia="cs-CZ"/>
        </w:rPr>
        <w:t>č</w:t>
      </w:r>
      <w:r w:rsidRPr="00461C16">
        <w:rPr>
          <w:lang w:eastAsia="cs-CZ"/>
        </w:rPr>
        <w:t>ení staveb, které budou chápány jako asanace z hlediska ve</w:t>
      </w:r>
      <w:r w:rsidRPr="00461C16">
        <w:rPr>
          <w:rFonts w:cs="TimesNewRoman"/>
          <w:lang w:eastAsia="cs-CZ"/>
        </w:rPr>
        <w:t>ř</w:t>
      </w:r>
      <w:r w:rsidRPr="00461C16">
        <w:rPr>
          <w:lang w:eastAsia="cs-CZ"/>
        </w:rPr>
        <w:t>ejných zájm</w:t>
      </w:r>
      <w:r w:rsidRPr="00461C16">
        <w:rPr>
          <w:rFonts w:cs="TimesNewRoman"/>
          <w:lang w:eastAsia="cs-CZ"/>
        </w:rPr>
        <w:t>ů</w:t>
      </w:r>
      <w:r w:rsidRPr="00461C16">
        <w:rPr>
          <w:lang w:eastAsia="cs-CZ"/>
        </w:rPr>
        <w:t>, musí být tato skute</w:t>
      </w:r>
      <w:r w:rsidRPr="00461C16">
        <w:rPr>
          <w:rFonts w:cs="TimesNewRoman"/>
          <w:lang w:eastAsia="cs-CZ"/>
        </w:rPr>
        <w:t>č</w:t>
      </w:r>
      <w:r w:rsidRPr="00461C16">
        <w:rPr>
          <w:lang w:eastAsia="cs-CZ"/>
        </w:rPr>
        <w:t>nost rovn</w:t>
      </w:r>
      <w:r w:rsidRPr="00461C16">
        <w:rPr>
          <w:rFonts w:cs="TimesNewRoman"/>
          <w:lang w:eastAsia="cs-CZ"/>
        </w:rPr>
        <w:t>ě</w:t>
      </w:r>
      <w:r w:rsidRPr="00461C16">
        <w:rPr>
          <w:lang w:eastAsia="cs-CZ"/>
        </w:rPr>
        <w:t>ž dokladována.</w:t>
      </w:r>
    </w:p>
    <w:p w14:paraId="2AC73770" w14:textId="77777777" w:rsidR="00BF0070" w:rsidRPr="00461C16" w:rsidRDefault="00AF5BAD" w:rsidP="00BF0070">
      <w:pPr>
        <w:pStyle w:val="BodyText"/>
        <w:spacing w:before="120" w:after="120"/>
        <w:rPr>
          <w:i/>
          <w:sz w:val="22"/>
          <w:szCs w:val="22"/>
        </w:rPr>
      </w:pPr>
      <w:r w:rsidRPr="00461C16">
        <w:rPr>
          <w:i/>
          <w:color w:val="000000"/>
          <w:sz w:val="22"/>
          <w:szCs w:val="22"/>
          <w:shd w:val="clear" w:color="auto" w:fill="FFFFFF"/>
        </w:rPr>
        <w:t xml:space="preserve">Veřejně prospěšná opatření nejsou v ÚP vymezena. </w:t>
      </w:r>
    </w:p>
    <w:p w14:paraId="37A691B0" w14:textId="77777777" w:rsidR="00BF0070" w:rsidRPr="00461C16" w:rsidRDefault="00BF0070"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Konzultovat rozsah vymezení veřejně prospěšných staveb, opatření a asanací v rozpracovanosti ÚP Hrádek nad Nisou s pořizovatelem a určeným zastupitelem města Hrádek nad Nisou, jimi bude upřesněn. Provést výčet konkrétních pozemků v souvislosti s předkupním právem podle aktuální mapy katastru nemovitostí ve fázi Návrhu ÚP Hrádek nad Nisou před společným jednáním, tak aby vlastník poznal, zda je dotčen vyvlastněním nebo předkupním právem, popřípadě obojím.</w:t>
      </w:r>
    </w:p>
    <w:p w14:paraId="0C2FEA27" w14:textId="77777777" w:rsidR="00BF0070" w:rsidRPr="00461C16" w:rsidRDefault="00BF0070" w:rsidP="00BF0070">
      <w:pPr>
        <w:autoSpaceDE w:val="0"/>
        <w:autoSpaceDN w:val="0"/>
        <w:adjustRightInd w:val="0"/>
        <w:spacing w:before="120" w:line="240" w:lineRule="auto"/>
        <w:rPr>
          <w:i/>
          <w:lang w:eastAsia="cs-CZ"/>
        </w:rPr>
      </w:pPr>
      <w:r w:rsidRPr="00461C16">
        <w:rPr>
          <w:i/>
          <w:lang w:eastAsia="cs-CZ"/>
        </w:rPr>
        <w:t xml:space="preserve">Vymezení veřejně prospěšných staveb a opatření bylo stanoveno v koordinaci s pořizovatelem. V případě předkupního práva jsou uvedena čísla pozemků, která jsou jím dotčena, a subjekt, pro které se možnost předkupního právo stanovuje. </w:t>
      </w:r>
    </w:p>
    <w:p w14:paraId="25368C26" w14:textId="77777777" w:rsidR="00E94392" w:rsidRPr="00461C16" w:rsidRDefault="00E94392" w:rsidP="00E94392">
      <w:pPr>
        <w:pStyle w:val="Heading2"/>
        <w:spacing w:after="240"/>
        <w:rPr>
          <w:lang w:eastAsia="cs-CZ"/>
        </w:rPr>
      </w:pPr>
      <w:bookmarkStart w:id="68" w:name="_Toc36116267"/>
      <w:r w:rsidRPr="00461C16">
        <w:rPr>
          <w:lang w:eastAsia="cs-CZ"/>
        </w:rPr>
        <w:t>3.8</w:t>
      </w:r>
      <w:r w:rsidRPr="00461C16">
        <w:rPr>
          <w:lang w:eastAsia="cs-CZ"/>
        </w:rPr>
        <w:tab/>
        <w:t>Požadavky vyplývající ze zvláštních právních předpisů</w:t>
      </w:r>
      <w:bookmarkEnd w:id="68"/>
      <w:r w:rsidRPr="00461C16">
        <w:rPr>
          <w:lang w:eastAsia="cs-CZ"/>
        </w:rPr>
        <w:t xml:space="preserve"> </w:t>
      </w:r>
    </w:p>
    <w:p w14:paraId="38AB4733" w14:textId="77777777" w:rsidR="001531EC" w:rsidRPr="00461C16" w:rsidRDefault="001531EC"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řešeném území nepřipustit umisťování zařízení a činností, které mohou narušit kvalitu životního prostředí jako celku. </w:t>
      </w:r>
    </w:p>
    <w:p w14:paraId="1DD74E9D" w14:textId="77777777" w:rsidR="00617813" w:rsidRPr="00461C16" w:rsidRDefault="00A70F15" w:rsidP="00617813">
      <w:pPr>
        <w:pStyle w:val="BodyText"/>
        <w:spacing w:before="120" w:after="120"/>
        <w:rPr>
          <w:i/>
          <w:sz w:val="22"/>
          <w:szCs w:val="22"/>
        </w:rPr>
      </w:pPr>
      <w:r w:rsidRPr="00461C16">
        <w:rPr>
          <w:i/>
          <w:sz w:val="22"/>
          <w:szCs w:val="22"/>
        </w:rPr>
        <w:t>Pro všechny stabilizované plochy, zastavitelné plochy a plochy přestavby se stanovuje obecná podmínka využití a uspořádání: při umísťování staveb pro bydlení prokázat nepřekročení maximální přípustné hladiny hluku v chráněných vnitřních i venkovních prostorech stavby ve vztahu k hlukové zátěži ze stávajících a budoucích stacionárních zdrojů hluku.</w:t>
      </w:r>
    </w:p>
    <w:p w14:paraId="67EFA3C4" w14:textId="77777777" w:rsidR="001531EC" w:rsidRPr="00461C16" w:rsidRDefault="001531EC"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Zastavitelné plochy pro bydlení umístit mimo území, u nichž bude předpoklad zasažení nadlimitními hladinami hluku, případně v těchto územích stanovit podmínečně přípustné využití těchto ploch.</w:t>
      </w:r>
    </w:p>
    <w:p w14:paraId="6F6A8206" w14:textId="77777777" w:rsidR="00617813" w:rsidRPr="00461C16" w:rsidRDefault="00A70F15" w:rsidP="00617813">
      <w:pPr>
        <w:pStyle w:val="BodyText"/>
        <w:spacing w:before="120" w:after="120"/>
        <w:rPr>
          <w:i/>
          <w:sz w:val="22"/>
          <w:szCs w:val="22"/>
        </w:rPr>
      </w:pPr>
      <w:r w:rsidRPr="00461C16">
        <w:rPr>
          <w:i/>
          <w:sz w:val="22"/>
          <w:szCs w:val="22"/>
        </w:rPr>
        <w:t>Pro všechny stabilizované plochy, zastavitelné plochy a plochy přestavby se stanovuje obecná podmínka využití a uspořádání: při umísťování staveb pro bydlení prokázat nepřekročení maximální přípustné hladiny hluku v chráněných vnitřních i venkovních prostorech stavby ve vztahu k hlukové zátěži ze stávajících a budoucích stacionárních zdrojů hluku.</w:t>
      </w:r>
    </w:p>
    <w:p w14:paraId="640B08A1" w14:textId="77777777" w:rsidR="001531EC" w:rsidRPr="00461C16" w:rsidRDefault="001531EC"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 hlediska prevence negativního ovlivnění zdravotního stavu obyvatelstva bude Návrh ÚP Hrádek nad Nisou obsahovat zhodnocení zdravotních rizik vyplývajících z jeho řešení. Konkrétně se jedná o posouzení vhodnosti umístění</w:t>
      </w:r>
      <w:r w:rsidR="00404161" w:rsidRPr="00461C16">
        <w:rPr>
          <w:lang w:eastAsia="cs-CZ"/>
        </w:rPr>
        <w:t xml:space="preserve"> nově navrhovaných ploch bydlení či ploch obdobných, ve kterých mohou vznikat stavby a plochy s nároky na zachování pohody bydlení a pobytu v kvalitním prostředí (například ploch rekreace, nebo některé stavby v plochách občanského vybavení) s ohledem na stávající nebo </w:t>
      </w:r>
      <w:r w:rsidR="00404161" w:rsidRPr="00461C16">
        <w:rPr>
          <w:lang w:eastAsia="cs-CZ"/>
        </w:rPr>
        <w:lastRenderedPageBreak/>
        <w:t>navrhované plochy, které mohou být zdrojem negativního ovlivnění zdraví obyvatel (zejména zdroje hluku a látek znečišťující ovzduší).</w:t>
      </w:r>
    </w:p>
    <w:p w14:paraId="1656EA6C" w14:textId="77777777" w:rsidR="00617813" w:rsidRPr="00461C16" w:rsidRDefault="00A70F15" w:rsidP="00617813">
      <w:pPr>
        <w:pStyle w:val="BodyText"/>
        <w:spacing w:before="120" w:after="120"/>
        <w:rPr>
          <w:i/>
          <w:sz w:val="22"/>
          <w:szCs w:val="22"/>
        </w:rPr>
      </w:pPr>
      <w:r w:rsidRPr="00461C16">
        <w:rPr>
          <w:i/>
          <w:sz w:val="22"/>
          <w:szCs w:val="22"/>
        </w:rPr>
        <w:t>Pro všechny stabilizované plochy, zastavitelné plochy a plochy přestavby se stanovuje obecná podmínka využití a uspořádání: při umísťování staveb pro bydlení prokázat nepřekročení maximální přípustné hladiny hluku v chráněných vnitřních i venkovních prostorech stavby ve vztahu k hlukové zátěži ze stávajících a budoucích stacionárních zdrojů hluku.</w:t>
      </w:r>
    </w:p>
    <w:p w14:paraId="1F6BF439" w14:textId="77777777" w:rsidR="00404161" w:rsidRPr="00461C16" w:rsidRDefault="004041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územním plánu Hrádek nad Nisou respektovat hygienické limity hluku a vibrací a vytvořit podmínky pro řešení hlučnosti z dopravy na pozemních komunikacích. Vytvořit základ urbanistického řešení hlučnosti v návrhových plochách pro bydlení hraničících s plochami průmyslových zón a s ostatními plochami pro výrobu. </w:t>
      </w:r>
    </w:p>
    <w:p w14:paraId="0B84F106" w14:textId="77777777" w:rsidR="00617813" w:rsidRPr="00461C16" w:rsidRDefault="00A70F15" w:rsidP="00617813">
      <w:pPr>
        <w:pStyle w:val="BodyText"/>
        <w:spacing w:before="120" w:after="120"/>
        <w:rPr>
          <w:i/>
          <w:sz w:val="22"/>
          <w:szCs w:val="22"/>
        </w:rPr>
      </w:pPr>
      <w:r w:rsidRPr="00461C16">
        <w:rPr>
          <w:i/>
          <w:sz w:val="22"/>
          <w:szCs w:val="22"/>
        </w:rPr>
        <w:t>Pro všechny stabilizované plochy, zastavitelné plochy a plochy přestavby se stanovuje obecná podmínka využití a uspořádání: při umísťování staveb pro bydlení prokázat nepřekročení maximální přípustné hladiny hluku v chráněných vnitřních i venkovních prostorech stavby ve vztahu k hlukové zátěži ze stávajících a budoucích stacionárních zdrojů hluku.</w:t>
      </w:r>
      <w:r w:rsidR="00C829B6" w:rsidRPr="00461C16">
        <w:rPr>
          <w:i/>
          <w:sz w:val="22"/>
          <w:szCs w:val="22"/>
        </w:rPr>
        <w:t xml:space="preserve"> </w:t>
      </w:r>
    </w:p>
    <w:p w14:paraId="061F1D25" w14:textId="77777777" w:rsidR="00404161" w:rsidRPr="00461C16" w:rsidRDefault="004041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Z hlediska ochrany obyvatelstva respektovat požadavky vyhlášky k přípravě a provádění úkolů ochrany obyvatelstva a požadavky dle platné vyhlášky o civilní ochraně. </w:t>
      </w:r>
    </w:p>
    <w:p w14:paraId="72ADBD20" w14:textId="77777777" w:rsidR="00617813" w:rsidRPr="00461C16" w:rsidRDefault="00CE58C0" w:rsidP="00617813">
      <w:pPr>
        <w:pStyle w:val="BodyText"/>
        <w:spacing w:before="120" w:after="120"/>
        <w:rPr>
          <w:i/>
          <w:sz w:val="22"/>
          <w:szCs w:val="22"/>
        </w:rPr>
      </w:pPr>
      <w:r w:rsidRPr="00461C16">
        <w:rPr>
          <w:i/>
          <w:color w:val="000000"/>
          <w:sz w:val="22"/>
          <w:szCs w:val="22"/>
          <w:shd w:val="clear" w:color="auto" w:fill="FFFFFF"/>
        </w:rPr>
        <w:t>Příslušné</w:t>
      </w:r>
      <w:r w:rsidR="00C060B4" w:rsidRPr="00461C16">
        <w:rPr>
          <w:i/>
          <w:color w:val="000000"/>
          <w:sz w:val="22"/>
          <w:szCs w:val="22"/>
          <w:shd w:val="clear" w:color="auto" w:fill="FFFFFF"/>
        </w:rPr>
        <w:t xml:space="preserve"> právní předpisy</w:t>
      </w:r>
      <w:r w:rsidRPr="00461C16">
        <w:rPr>
          <w:i/>
          <w:color w:val="000000"/>
          <w:sz w:val="22"/>
          <w:szCs w:val="22"/>
          <w:shd w:val="clear" w:color="auto" w:fill="FFFFFF"/>
        </w:rPr>
        <w:t xml:space="preserve"> jsou respektovány</w:t>
      </w:r>
      <w:r w:rsidR="00C060B4" w:rsidRPr="00461C16">
        <w:rPr>
          <w:i/>
          <w:color w:val="000000"/>
          <w:sz w:val="22"/>
          <w:szCs w:val="22"/>
          <w:shd w:val="clear" w:color="auto" w:fill="FFFFFF"/>
        </w:rPr>
        <w:t>.</w:t>
      </w:r>
    </w:p>
    <w:p w14:paraId="0E3D66AB" w14:textId="77777777" w:rsidR="00404161" w:rsidRPr="00461C16" w:rsidRDefault="004041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Problematiku zásobování „požární vody“ a dopravní dostupnosti území vozidly HZS řešit dle stávající koncepce.</w:t>
      </w:r>
    </w:p>
    <w:p w14:paraId="64987347" w14:textId="77777777" w:rsidR="00617813" w:rsidRPr="00461C16" w:rsidRDefault="00A70F15" w:rsidP="00617813">
      <w:pPr>
        <w:pStyle w:val="BodyText"/>
        <w:spacing w:before="120" w:after="120"/>
        <w:rPr>
          <w:i/>
          <w:sz w:val="22"/>
          <w:szCs w:val="22"/>
        </w:rPr>
      </w:pPr>
      <w:r w:rsidRPr="00461C16">
        <w:rPr>
          <w:i/>
          <w:sz w:val="22"/>
          <w:szCs w:val="22"/>
        </w:rPr>
        <w:t>Koncepce zásobování požární vodou na území města Hrádek nad Nisou se řídí Požárním řádem obce (OZV č. 04/2006 ze dne 26.6.2006).</w:t>
      </w:r>
    </w:p>
    <w:p w14:paraId="478B5DBC" w14:textId="77777777" w:rsidR="00404161" w:rsidRPr="00461C16" w:rsidRDefault="004041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Do textové a grafické </w:t>
      </w:r>
      <w:r w:rsidRPr="00461C16">
        <w:rPr>
          <w:rFonts w:cs="TimesNewRoman"/>
          <w:lang w:eastAsia="cs-CZ"/>
        </w:rPr>
        <w:t>č</w:t>
      </w:r>
      <w:r w:rsidRPr="00461C16">
        <w:rPr>
          <w:lang w:eastAsia="cs-CZ"/>
        </w:rPr>
        <w:t>ásti ÚP Hrádek nad Nisou bude zapracován dle požadavk</w:t>
      </w:r>
      <w:r w:rsidRPr="00461C16">
        <w:rPr>
          <w:rFonts w:cs="TimesNewRoman"/>
          <w:lang w:eastAsia="cs-CZ"/>
        </w:rPr>
        <w:t xml:space="preserve">ů </w:t>
      </w:r>
      <w:r w:rsidRPr="00461C16">
        <w:rPr>
          <w:lang w:eastAsia="cs-CZ"/>
        </w:rPr>
        <w:t xml:space="preserve">§ 20 vyhlášky </w:t>
      </w:r>
      <w:r w:rsidRPr="00461C16">
        <w:rPr>
          <w:rFonts w:cs="TimesNewRoman"/>
          <w:lang w:eastAsia="cs-CZ"/>
        </w:rPr>
        <w:t>č</w:t>
      </w:r>
      <w:r w:rsidRPr="00461C16">
        <w:rPr>
          <w:lang w:eastAsia="cs-CZ"/>
        </w:rPr>
        <w:t>. 380/2002 Sb., k p</w:t>
      </w:r>
      <w:r w:rsidRPr="00461C16">
        <w:rPr>
          <w:rFonts w:cs="TimesNewRoman"/>
          <w:lang w:eastAsia="cs-CZ"/>
        </w:rPr>
        <w:t>ř</w:t>
      </w:r>
      <w:r w:rsidRPr="00461C16">
        <w:rPr>
          <w:lang w:eastAsia="cs-CZ"/>
        </w:rPr>
        <w:t>íprav</w:t>
      </w:r>
      <w:r w:rsidRPr="00461C16">
        <w:rPr>
          <w:rFonts w:cs="TimesNewRoman"/>
          <w:lang w:eastAsia="cs-CZ"/>
        </w:rPr>
        <w:t xml:space="preserve">ě </w:t>
      </w:r>
      <w:r w:rsidRPr="00461C16">
        <w:rPr>
          <w:lang w:eastAsia="cs-CZ"/>
        </w:rPr>
        <w:t>a provád</w:t>
      </w:r>
      <w:r w:rsidRPr="00461C16">
        <w:rPr>
          <w:rFonts w:cs="TimesNewRoman"/>
          <w:lang w:eastAsia="cs-CZ"/>
        </w:rPr>
        <w:t>ě</w:t>
      </w:r>
      <w:r w:rsidRPr="00461C16">
        <w:rPr>
          <w:lang w:eastAsia="cs-CZ"/>
        </w:rPr>
        <w:t>ní úkol</w:t>
      </w:r>
      <w:r w:rsidRPr="00461C16">
        <w:rPr>
          <w:rFonts w:cs="TimesNewRoman"/>
          <w:lang w:eastAsia="cs-CZ"/>
        </w:rPr>
        <w:t xml:space="preserve">ů </w:t>
      </w:r>
      <w:r w:rsidRPr="00461C16">
        <w:rPr>
          <w:lang w:eastAsia="cs-CZ"/>
        </w:rPr>
        <w:t>ochrany obyvatelstva návrh ploch pro požadované pot</w:t>
      </w:r>
      <w:r w:rsidRPr="00461C16">
        <w:rPr>
          <w:rFonts w:cs="TimesNewRoman"/>
          <w:lang w:eastAsia="cs-CZ"/>
        </w:rPr>
        <w:t>ř</w:t>
      </w:r>
      <w:r w:rsidRPr="00461C16">
        <w:rPr>
          <w:lang w:eastAsia="cs-CZ"/>
        </w:rPr>
        <w:t>eby:</w:t>
      </w:r>
    </w:p>
    <w:p w14:paraId="4897C133"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 xml:space="preserve">ochrany území před průchodem povodňové vlny vzniklé zvláštní povodní </w:t>
      </w:r>
    </w:p>
    <w:p w14:paraId="00DB9B72"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 xml:space="preserve">zón havarijního plánování </w:t>
      </w:r>
    </w:p>
    <w:p w14:paraId="03E716B2"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ukrytí obyvatelstva v důsledku mimořádné události</w:t>
      </w:r>
    </w:p>
    <w:p w14:paraId="535E5992"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 xml:space="preserve">evakuace obyvatelstva a jeho ubytování </w:t>
      </w:r>
    </w:p>
    <w:p w14:paraId="659F1022"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 xml:space="preserve">skladování materiálu civilní ochrany a humanitární pomoci </w:t>
      </w:r>
    </w:p>
    <w:p w14:paraId="223ADDFE"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vyvezení a uskladnění nebezpečných látek mimo zastavěná území a zastavitelné plochy</w:t>
      </w:r>
    </w:p>
    <w:p w14:paraId="4763137E"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 xml:space="preserve">záchranných, likvidačních a obnovovacích prací pro odstranění nebo snížení škodlivých účinků kontaminace, vzniklých při mimořádné události </w:t>
      </w:r>
    </w:p>
    <w:p w14:paraId="3EEFA7C8"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 xml:space="preserve">ochrany před vlivy nebezpečných látek skladovaných v území </w:t>
      </w:r>
    </w:p>
    <w:p w14:paraId="0B0489C9" w14:textId="77777777" w:rsidR="00404161" w:rsidRPr="00461C16" w:rsidRDefault="00404161" w:rsidP="00427598">
      <w:pPr>
        <w:pStyle w:val="ListParagraph"/>
        <w:numPr>
          <w:ilvl w:val="0"/>
          <w:numId w:val="35"/>
        </w:numPr>
        <w:autoSpaceDE w:val="0"/>
        <w:autoSpaceDN w:val="0"/>
        <w:adjustRightInd w:val="0"/>
        <w:spacing w:line="240" w:lineRule="auto"/>
        <w:rPr>
          <w:lang w:eastAsia="cs-CZ"/>
        </w:rPr>
      </w:pPr>
      <w:r w:rsidRPr="00461C16">
        <w:rPr>
          <w:lang w:eastAsia="cs-CZ"/>
        </w:rPr>
        <w:t>nouzové zásobování obyvatelstva vodou a elektrickou energií</w:t>
      </w:r>
    </w:p>
    <w:p w14:paraId="4826AD99" w14:textId="77777777" w:rsidR="00C060B4" w:rsidRPr="00461C16" w:rsidRDefault="00C060B4" w:rsidP="00C060B4">
      <w:pPr>
        <w:spacing w:before="120" w:after="120"/>
        <w:rPr>
          <w:i/>
        </w:rPr>
      </w:pPr>
      <w:r w:rsidRPr="00461C16">
        <w:rPr>
          <w:i/>
        </w:rPr>
        <w:t xml:space="preserve">ÚP obsahuje </w:t>
      </w:r>
      <w:r w:rsidR="00F26D76">
        <w:rPr>
          <w:i/>
        </w:rPr>
        <w:t>pouze obecné</w:t>
      </w:r>
      <w:r w:rsidR="00F26D76" w:rsidRPr="00461C16">
        <w:rPr>
          <w:i/>
        </w:rPr>
        <w:t xml:space="preserve"> </w:t>
      </w:r>
      <w:r w:rsidRPr="00461C16">
        <w:rPr>
          <w:i/>
        </w:rPr>
        <w:t>požadavky na řešení civilní ochrany, protože způsob jejího zajištění vyplývá z jiných zpracovaných dokumentů. Havarijní a krizová připravenost města Hrádek nad Nisou je řešena v dokumentaci na úrovni kraje a ORP, případně též v havarijních plánech jednotlivých výrobních subjektů. Zóna havarijního plánování na území města není vymezena.</w:t>
      </w:r>
      <w:r w:rsidR="00CE58C0" w:rsidRPr="00461C16">
        <w:rPr>
          <w:i/>
        </w:rPr>
        <w:t xml:space="preserve"> Město má zpracován povodňový plán</w:t>
      </w:r>
      <w:r w:rsidR="00CE58C0" w:rsidRPr="00461C16">
        <w:rPr>
          <w:rStyle w:val="FootnoteReference"/>
          <w:i/>
        </w:rPr>
        <w:footnoteReference w:id="1"/>
      </w:r>
      <w:r w:rsidR="00CE58C0" w:rsidRPr="00461C16">
        <w:rPr>
          <w:i/>
        </w:rPr>
        <w:t>, který stanovuje konkrétní opatření pro případ povodně.</w:t>
      </w:r>
      <w:r w:rsidR="00B345B4" w:rsidRPr="00461C16">
        <w:rPr>
          <w:i/>
        </w:rPr>
        <w:t xml:space="preserve"> </w:t>
      </w:r>
      <w:r w:rsidR="00CE58C0" w:rsidRPr="00461C16">
        <w:rPr>
          <w:i/>
        </w:rPr>
        <w:t xml:space="preserve">Město není </w:t>
      </w:r>
      <w:r w:rsidRPr="00461C16">
        <w:rPr>
          <w:i/>
        </w:rPr>
        <w:t xml:space="preserve">ohroženo průlomovou vlnou vzniklé zvláštní povodní. </w:t>
      </w:r>
    </w:p>
    <w:p w14:paraId="0EDEAEA9" w14:textId="77777777" w:rsidR="00C060B4" w:rsidRPr="00461C16" w:rsidRDefault="00C060B4" w:rsidP="00C060B4">
      <w:pPr>
        <w:spacing w:before="120" w:after="120"/>
        <w:rPr>
          <w:i/>
        </w:rPr>
      </w:pPr>
      <w:r w:rsidRPr="00461C16">
        <w:rPr>
          <w:i/>
        </w:rPr>
        <w:t>Ukrytí obyvatelstva a skladování materiálu civilní ochrany a humanitární pomoci je možné v jakékoliv ploše s rozdílným způsobem využití bez nutnosti konkrétního určení v ÚP.</w:t>
      </w:r>
    </w:p>
    <w:p w14:paraId="0FDF4856" w14:textId="77777777" w:rsidR="00C060B4" w:rsidRPr="00461C16" w:rsidRDefault="00C060B4" w:rsidP="00C060B4">
      <w:pPr>
        <w:pStyle w:val="BodyText"/>
        <w:spacing w:before="120" w:after="120"/>
        <w:rPr>
          <w:i/>
          <w:sz w:val="22"/>
          <w:szCs w:val="22"/>
        </w:rPr>
      </w:pPr>
      <w:r w:rsidRPr="00461C16">
        <w:rPr>
          <w:i/>
          <w:sz w:val="22"/>
          <w:szCs w:val="22"/>
        </w:rPr>
        <w:t>Nouzové zásobování obyvatelstva vodou je řešeno v Plánu rozvoje vodovodů a kanalizací Libereckého kraje, nouzové zásobování obyvatelstva elektrickou energií zajišťuje příslušný provozovatel energetických zařízení.</w:t>
      </w:r>
    </w:p>
    <w:p w14:paraId="03E6D4E7" w14:textId="77777777" w:rsidR="00404161" w:rsidRPr="00461C16" w:rsidRDefault="00C2700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Navrhovat, provádět a užívat stavby v souladu s vyhláškou č.23/2008 Sb., o technických podmínkách požární ochrany staveb.</w:t>
      </w:r>
    </w:p>
    <w:p w14:paraId="4982443C" w14:textId="77777777" w:rsidR="00617813" w:rsidRPr="00461C16" w:rsidRDefault="00C060B4" w:rsidP="00617813">
      <w:pPr>
        <w:pStyle w:val="BodyText"/>
        <w:spacing w:before="120" w:after="120"/>
        <w:rPr>
          <w:i/>
          <w:sz w:val="22"/>
          <w:szCs w:val="22"/>
        </w:rPr>
      </w:pPr>
      <w:r w:rsidRPr="00461C16">
        <w:rPr>
          <w:i/>
          <w:color w:val="000000"/>
          <w:sz w:val="22"/>
          <w:szCs w:val="22"/>
          <w:shd w:val="clear" w:color="auto" w:fill="FFFFFF"/>
        </w:rPr>
        <w:t xml:space="preserve">Koncepce </w:t>
      </w:r>
      <w:r w:rsidR="00A70F15" w:rsidRPr="00461C16">
        <w:rPr>
          <w:i/>
          <w:sz w:val="22"/>
          <w:szCs w:val="22"/>
        </w:rPr>
        <w:t xml:space="preserve">ÚP neřeší podmínky konkrétní technické podmínky </w:t>
      </w:r>
      <w:r w:rsidR="00D2631E" w:rsidRPr="00461C16">
        <w:rPr>
          <w:i/>
          <w:sz w:val="22"/>
          <w:szCs w:val="22"/>
        </w:rPr>
        <w:t>navrhování, provádění a užívání staveb</w:t>
      </w:r>
      <w:r w:rsidR="00A70F15" w:rsidRPr="00461C16">
        <w:rPr>
          <w:i/>
          <w:sz w:val="22"/>
          <w:szCs w:val="22"/>
        </w:rPr>
        <w:t>.</w:t>
      </w:r>
    </w:p>
    <w:p w14:paraId="258092FB" w14:textId="77777777" w:rsidR="00C27004" w:rsidRPr="00461C16" w:rsidRDefault="00C2700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lastRenderedPageBreak/>
        <w:t>Respektovat objekty civilní ochrany</w:t>
      </w:r>
      <w:r w:rsidR="00C829B6" w:rsidRPr="00461C16">
        <w:rPr>
          <w:lang w:eastAsia="cs-CZ"/>
        </w:rPr>
        <w:t>.</w:t>
      </w:r>
    </w:p>
    <w:p w14:paraId="50937136" w14:textId="77777777" w:rsidR="00617813" w:rsidRPr="00461C16" w:rsidRDefault="00C060B4" w:rsidP="00617813">
      <w:pPr>
        <w:pStyle w:val="BodyText"/>
        <w:spacing w:before="120" w:after="120"/>
        <w:rPr>
          <w:i/>
          <w:sz w:val="22"/>
          <w:szCs w:val="22"/>
        </w:rPr>
      </w:pPr>
      <w:r w:rsidRPr="00461C16">
        <w:rPr>
          <w:i/>
          <w:color w:val="000000"/>
          <w:sz w:val="22"/>
          <w:szCs w:val="22"/>
          <w:shd w:val="clear" w:color="auto" w:fill="FFFFFF"/>
        </w:rPr>
        <w:t xml:space="preserve">Koncepce </w:t>
      </w:r>
      <w:r w:rsidR="00A70F15" w:rsidRPr="00461C16">
        <w:rPr>
          <w:i/>
          <w:color w:val="000000"/>
          <w:sz w:val="22"/>
          <w:szCs w:val="22"/>
          <w:shd w:val="clear" w:color="auto" w:fill="FFFFFF"/>
        </w:rPr>
        <w:t>ÚP respektuje objekty civilní ochrany.</w:t>
      </w:r>
    </w:p>
    <w:p w14:paraId="436B1024" w14:textId="77777777" w:rsidR="00C27004" w:rsidRPr="00461C16" w:rsidRDefault="00C2700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Návrhem ÚP Hrádek nad Nisou respektovat případné nemovitosti ve vlastnictví Ministerstva obrany České republiky. </w:t>
      </w:r>
    </w:p>
    <w:p w14:paraId="7D5701A7" w14:textId="77777777" w:rsidR="00617813" w:rsidRPr="00461C16" w:rsidRDefault="00C060B4" w:rsidP="00617813">
      <w:pPr>
        <w:pStyle w:val="BodyText"/>
        <w:spacing w:before="120" w:after="120"/>
        <w:rPr>
          <w:i/>
          <w:sz w:val="22"/>
          <w:szCs w:val="22"/>
        </w:rPr>
      </w:pPr>
      <w:r w:rsidRPr="00461C16">
        <w:rPr>
          <w:i/>
          <w:color w:val="000000"/>
          <w:sz w:val="22"/>
          <w:szCs w:val="22"/>
          <w:shd w:val="clear" w:color="auto" w:fill="FFFFFF"/>
        </w:rPr>
        <w:t>Koncepce ÚP zohledňuje požadavky na využití staveb a zařízení Ministerstva obrany ČR.</w:t>
      </w:r>
    </w:p>
    <w:p w14:paraId="0DE755F0" w14:textId="77777777" w:rsidR="00C27004" w:rsidRPr="00461C16" w:rsidRDefault="00C2700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požadavky na ochranu vyznačení státních hranic podle zákona č. 312/2001 Sb., o státních hranicích a o změně zákona č. 200/1990 Sb., o přestupcích</w:t>
      </w:r>
      <w:r w:rsidR="00A53768" w:rsidRPr="00461C16">
        <w:rPr>
          <w:lang w:eastAsia="cs-CZ"/>
        </w:rPr>
        <w:t>, v platném znění</w:t>
      </w:r>
      <w:r w:rsidRPr="00461C16">
        <w:rPr>
          <w:lang w:eastAsia="cs-CZ"/>
        </w:rPr>
        <w:t xml:space="preserve"> (zákon o státních hranicích). </w:t>
      </w:r>
    </w:p>
    <w:p w14:paraId="7ED88BCF" w14:textId="77777777" w:rsidR="00617813" w:rsidRPr="00461C16" w:rsidRDefault="00C060B4" w:rsidP="00617813">
      <w:pPr>
        <w:pStyle w:val="BodyText"/>
        <w:spacing w:before="120" w:after="120"/>
        <w:rPr>
          <w:i/>
          <w:sz w:val="22"/>
          <w:szCs w:val="22"/>
        </w:rPr>
      </w:pPr>
      <w:r w:rsidRPr="00461C16">
        <w:rPr>
          <w:i/>
          <w:color w:val="000000"/>
          <w:sz w:val="22"/>
          <w:szCs w:val="22"/>
          <w:shd w:val="clear" w:color="auto" w:fill="FFFFFF"/>
        </w:rPr>
        <w:t>Jsou respektovány státní hranice ČR. Ostatní požadavky uvedených právních předpisů se nevztahují k ÚP.</w:t>
      </w:r>
    </w:p>
    <w:p w14:paraId="54788A2C" w14:textId="77777777" w:rsidR="00C27004" w:rsidRPr="00461C16" w:rsidRDefault="00C27004"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 průběhu stavebních prací přijmout opatření nezbytná k tomu, aby nedošlo k zásahu do vyznačení průběhu státních hranic hraničními znaky. Podél státních hranic ponechat v úsecích přímého vyznačení průběhu státních hranic volný hraniční pruh o šíři 1 m a v úsecích nepřímého vyznačení průběhu státních hranic ponechat</w:t>
      </w:r>
      <w:r w:rsidR="00007A61" w:rsidRPr="00461C16">
        <w:rPr>
          <w:lang w:eastAsia="cs-CZ"/>
        </w:rPr>
        <w:t xml:space="preserve"> volnou kruhovou plochu o poloměru 1 m kolem každého hraničního znaku. </w:t>
      </w:r>
    </w:p>
    <w:p w14:paraId="2F598B22" w14:textId="77777777" w:rsidR="00617813" w:rsidRPr="00461C16" w:rsidRDefault="00C060B4" w:rsidP="00617813">
      <w:pPr>
        <w:pStyle w:val="BodyText"/>
        <w:spacing w:before="120" w:after="120"/>
        <w:rPr>
          <w:i/>
          <w:sz w:val="22"/>
          <w:szCs w:val="22"/>
        </w:rPr>
      </w:pPr>
      <w:r w:rsidRPr="00461C16">
        <w:rPr>
          <w:i/>
          <w:color w:val="000000"/>
          <w:sz w:val="22"/>
          <w:szCs w:val="22"/>
          <w:shd w:val="clear" w:color="auto" w:fill="FFFFFF"/>
        </w:rPr>
        <w:t>Není řešitelné v ÚP.</w:t>
      </w:r>
    </w:p>
    <w:p w14:paraId="193B6654" w14:textId="77777777" w:rsidR="00007A61" w:rsidRPr="00461C16" w:rsidRDefault="00007A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Ochranné pásmo nadzemního komunikačního vedení zahrnout do jevu 82 komunikační vedení včetně ochranného pásma viz pasport č. 3/2012. Za vymezené území se v tomto případě považuje zakreslené území – viz příloha pasportního listu Ministerstva obrany. Vydání závazného stanoviska podléhá výstavba vyjmenovaná v části – Vymezená území – celé správní území. </w:t>
      </w:r>
    </w:p>
    <w:p w14:paraId="16D1693A" w14:textId="77777777" w:rsidR="00617813" w:rsidRPr="00461C16" w:rsidRDefault="00BC3FDA" w:rsidP="00617813">
      <w:pPr>
        <w:pStyle w:val="BodyText"/>
        <w:spacing w:before="120" w:after="120"/>
        <w:rPr>
          <w:i/>
          <w:sz w:val="22"/>
          <w:szCs w:val="22"/>
        </w:rPr>
      </w:pPr>
      <w:r w:rsidRPr="00461C16">
        <w:rPr>
          <w:i/>
          <w:color w:val="000000"/>
          <w:sz w:val="22"/>
          <w:szCs w:val="22"/>
          <w:shd w:val="clear" w:color="auto" w:fill="FFFFFF"/>
        </w:rPr>
        <w:t>ÚP respektuje všechny limity využití území na území města Hrádek nad Nisou.</w:t>
      </w:r>
    </w:p>
    <w:p w14:paraId="7ABE9F32" w14:textId="77777777" w:rsidR="00007A61" w:rsidRPr="00461C16" w:rsidRDefault="00007A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Vymezeným územím MO ve smyslu § 175 zák.</w:t>
      </w:r>
      <w:r w:rsidRPr="00461C16">
        <w:rPr>
          <w:rFonts w:cs="TimesNewRoman"/>
          <w:lang w:eastAsia="cs-CZ"/>
        </w:rPr>
        <w:t>č</w:t>
      </w:r>
      <w:r w:rsidRPr="00461C16">
        <w:rPr>
          <w:lang w:eastAsia="cs-CZ"/>
        </w:rPr>
        <w:t>.183/06 Sb., v n</w:t>
      </w:r>
      <w:r w:rsidRPr="00461C16">
        <w:rPr>
          <w:rFonts w:cs="TimesNewRoman"/>
          <w:lang w:eastAsia="cs-CZ"/>
        </w:rPr>
        <w:t>ě</w:t>
      </w:r>
      <w:r w:rsidRPr="00461C16">
        <w:rPr>
          <w:lang w:eastAsia="cs-CZ"/>
        </w:rPr>
        <w:t>mž lze vydat územní rozhodnutí a povolit stavbu jen na základ</w:t>
      </w:r>
      <w:r w:rsidRPr="00461C16">
        <w:rPr>
          <w:rFonts w:cs="TimesNewRoman"/>
          <w:lang w:eastAsia="cs-CZ"/>
        </w:rPr>
        <w:t xml:space="preserve">ě </w:t>
      </w:r>
      <w:r w:rsidRPr="00461C16">
        <w:rPr>
          <w:lang w:eastAsia="cs-CZ"/>
        </w:rPr>
        <w:t>závazného stanoviska Ministerstva obrany, je celé území :</w:t>
      </w:r>
    </w:p>
    <w:p w14:paraId="7DEE4C27"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stavby vyšší než 15 m nad terénem pokud není výše uvedeno jinak;</w:t>
      </w:r>
    </w:p>
    <w:p w14:paraId="39EC7246"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výstavba nebytových objekt</w:t>
      </w:r>
      <w:r w:rsidRPr="00461C16">
        <w:rPr>
          <w:rFonts w:cs="TimesNewRoman"/>
          <w:lang w:eastAsia="cs-CZ"/>
        </w:rPr>
        <w:t xml:space="preserve">ů </w:t>
      </w:r>
      <w:r w:rsidRPr="00461C16">
        <w:rPr>
          <w:lang w:eastAsia="cs-CZ"/>
        </w:rPr>
        <w:t>(továrny, haly, skladové a obchodní komplexy, rozsáhlé stavby s kovovou konstrukcí apod.);</w:t>
      </w:r>
    </w:p>
    <w:p w14:paraId="3EE8B5E1"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stavby vyza</w:t>
      </w:r>
      <w:r w:rsidRPr="00461C16">
        <w:rPr>
          <w:rFonts w:cs="TimesNewRoman"/>
          <w:lang w:eastAsia="cs-CZ"/>
        </w:rPr>
        <w:t>ř</w:t>
      </w:r>
      <w:r w:rsidRPr="00461C16">
        <w:rPr>
          <w:lang w:eastAsia="cs-CZ"/>
        </w:rPr>
        <w:t>ující elektromagnetickou energii (ZS radiooperátor</w:t>
      </w:r>
      <w:r w:rsidRPr="00461C16">
        <w:rPr>
          <w:rFonts w:cs="TimesNewRoman"/>
          <w:lang w:eastAsia="cs-CZ"/>
        </w:rPr>
        <w:t>ů</w:t>
      </w:r>
      <w:r w:rsidRPr="00461C16">
        <w:rPr>
          <w:lang w:eastAsia="cs-CZ"/>
        </w:rPr>
        <w:t>, mobilních telefon</w:t>
      </w:r>
      <w:r w:rsidRPr="00461C16">
        <w:rPr>
          <w:rFonts w:cs="TimesNewRoman"/>
          <w:lang w:eastAsia="cs-CZ"/>
        </w:rPr>
        <w:t>ů</w:t>
      </w:r>
      <w:r w:rsidRPr="00461C16">
        <w:rPr>
          <w:lang w:eastAsia="cs-CZ"/>
        </w:rPr>
        <w:t>, v</w:t>
      </w:r>
      <w:r w:rsidRPr="00461C16">
        <w:rPr>
          <w:rFonts w:cs="TimesNewRoman"/>
          <w:lang w:eastAsia="cs-CZ"/>
        </w:rPr>
        <w:t>ě</w:t>
      </w:r>
      <w:r w:rsidRPr="00461C16">
        <w:rPr>
          <w:lang w:eastAsia="cs-CZ"/>
        </w:rPr>
        <w:t>trných elektráren apod.);</w:t>
      </w:r>
    </w:p>
    <w:p w14:paraId="00965966"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stavby a rekonstrukce dálkových kabelových vedení VN a VVN; zm</w:t>
      </w:r>
      <w:r w:rsidRPr="00461C16">
        <w:rPr>
          <w:rFonts w:cs="TimesNewRoman"/>
          <w:lang w:eastAsia="cs-CZ"/>
        </w:rPr>
        <w:t>ě</w:t>
      </w:r>
      <w:r w:rsidRPr="00461C16">
        <w:rPr>
          <w:lang w:eastAsia="cs-CZ"/>
        </w:rPr>
        <w:t>ny využití území;</w:t>
      </w:r>
    </w:p>
    <w:p w14:paraId="22F05DAC"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nové trasy pozemních komunikací, jejich p</w:t>
      </w:r>
      <w:r w:rsidRPr="00461C16">
        <w:rPr>
          <w:rFonts w:cs="TimesNewRoman"/>
          <w:lang w:eastAsia="cs-CZ"/>
        </w:rPr>
        <w:t>ř</w:t>
      </w:r>
      <w:r w:rsidRPr="00461C16">
        <w:rPr>
          <w:lang w:eastAsia="cs-CZ"/>
        </w:rPr>
        <w:t>eložky, rekonstrukce, výstavba, rekonstrukce a rušení objekt</w:t>
      </w:r>
      <w:r w:rsidRPr="00461C16">
        <w:rPr>
          <w:rFonts w:cs="TimesNewRoman"/>
          <w:lang w:eastAsia="cs-CZ"/>
        </w:rPr>
        <w:t xml:space="preserve">ů </w:t>
      </w:r>
      <w:r w:rsidRPr="00461C16">
        <w:rPr>
          <w:lang w:eastAsia="cs-CZ"/>
        </w:rPr>
        <w:t>na nich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silni</w:t>
      </w:r>
      <w:r w:rsidRPr="00461C16">
        <w:rPr>
          <w:rFonts w:cs="TimesNewRoman"/>
          <w:lang w:eastAsia="cs-CZ"/>
        </w:rPr>
        <w:t>č</w:t>
      </w:r>
      <w:r w:rsidRPr="00461C16">
        <w:rPr>
          <w:lang w:eastAsia="cs-CZ"/>
        </w:rPr>
        <w:t>ních most</w:t>
      </w:r>
      <w:r w:rsidRPr="00461C16">
        <w:rPr>
          <w:rFonts w:cs="TimesNewRoman"/>
          <w:lang w:eastAsia="cs-CZ"/>
        </w:rPr>
        <w:t>ů</w:t>
      </w:r>
      <w:r w:rsidRPr="00461C16">
        <w:rPr>
          <w:lang w:eastAsia="cs-CZ"/>
        </w:rPr>
        <w:t xml:space="preserve">, </w:t>
      </w:r>
      <w:r w:rsidRPr="00461C16">
        <w:rPr>
          <w:rFonts w:cs="TimesNewRoman"/>
          <w:lang w:eastAsia="cs-CZ"/>
        </w:rPr>
        <w:t>č</w:t>
      </w:r>
      <w:r w:rsidRPr="00461C16">
        <w:rPr>
          <w:lang w:eastAsia="cs-CZ"/>
        </w:rPr>
        <w:t>erpací stanice PHM;</w:t>
      </w:r>
    </w:p>
    <w:p w14:paraId="7A464B20"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nové dobývací prostory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rozší</w:t>
      </w:r>
      <w:r w:rsidRPr="00461C16">
        <w:rPr>
          <w:rFonts w:cs="TimesNewRoman"/>
          <w:lang w:eastAsia="cs-CZ"/>
        </w:rPr>
        <w:t>ř</w:t>
      </w:r>
      <w:r w:rsidRPr="00461C16">
        <w:rPr>
          <w:lang w:eastAsia="cs-CZ"/>
        </w:rPr>
        <w:t>ení p</w:t>
      </w:r>
      <w:r w:rsidRPr="00461C16">
        <w:rPr>
          <w:rFonts w:cs="TimesNewRoman"/>
          <w:lang w:eastAsia="cs-CZ"/>
        </w:rPr>
        <w:t>ů</w:t>
      </w:r>
      <w:r w:rsidRPr="00461C16">
        <w:rPr>
          <w:lang w:eastAsia="cs-CZ"/>
        </w:rPr>
        <w:t>vodních;</w:t>
      </w:r>
    </w:p>
    <w:p w14:paraId="75BD0671"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výstavba nových letiš</w:t>
      </w:r>
      <w:r w:rsidRPr="00461C16">
        <w:rPr>
          <w:rFonts w:cs="TimesNewRoman"/>
          <w:lang w:eastAsia="cs-CZ"/>
        </w:rPr>
        <w:t>ť</w:t>
      </w:r>
      <w:r w:rsidRPr="00461C16">
        <w:rPr>
          <w:lang w:eastAsia="cs-CZ"/>
        </w:rPr>
        <w:t>, rekonstrukce ploch a letištních objekt</w:t>
      </w:r>
      <w:r w:rsidRPr="00461C16">
        <w:rPr>
          <w:rFonts w:cs="TimesNewRoman"/>
          <w:lang w:eastAsia="cs-CZ"/>
        </w:rPr>
        <w:t>ů</w:t>
      </w:r>
      <w:r w:rsidRPr="00461C16">
        <w:rPr>
          <w:lang w:eastAsia="cs-CZ"/>
        </w:rPr>
        <w:t>, zm</w:t>
      </w:r>
      <w:r w:rsidRPr="00461C16">
        <w:rPr>
          <w:rFonts w:cs="TimesNewRoman"/>
          <w:lang w:eastAsia="cs-CZ"/>
        </w:rPr>
        <w:t>ě</w:t>
      </w:r>
      <w:r w:rsidRPr="00461C16">
        <w:rPr>
          <w:lang w:eastAsia="cs-CZ"/>
        </w:rPr>
        <w:t>na jejich kapacity;</w:t>
      </w:r>
    </w:p>
    <w:p w14:paraId="6FAD105D"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z</w:t>
      </w:r>
      <w:r w:rsidRPr="00461C16">
        <w:rPr>
          <w:rFonts w:cs="TimesNewRoman"/>
          <w:lang w:eastAsia="cs-CZ"/>
        </w:rPr>
        <w:t>ř</w:t>
      </w:r>
      <w:r w:rsidRPr="00461C16">
        <w:rPr>
          <w:lang w:eastAsia="cs-CZ"/>
        </w:rPr>
        <w:t>izování vodních d</w:t>
      </w:r>
      <w:r w:rsidRPr="00461C16">
        <w:rPr>
          <w:rFonts w:cs="TimesNewRoman"/>
          <w:lang w:eastAsia="cs-CZ"/>
        </w:rPr>
        <w:t>ě</w:t>
      </w:r>
      <w:r w:rsidRPr="00461C16">
        <w:rPr>
          <w:lang w:eastAsia="cs-CZ"/>
        </w:rPr>
        <w:t>l (p</w:t>
      </w:r>
      <w:r w:rsidRPr="00461C16">
        <w:rPr>
          <w:rFonts w:cs="TimesNewRoman"/>
          <w:lang w:eastAsia="cs-CZ"/>
        </w:rPr>
        <w:t>ř</w:t>
      </w:r>
      <w:r w:rsidRPr="00461C16">
        <w:rPr>
          <w:lang w:eastAsia="cs-CZ"/>
        </w:rPr>
        <w:t>ehrady, rybníky);</w:t>
      </w:r>
    </w:p>
    <w:p w14:paraId="5D59AE9A"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vodní toky – výstavba a rekonstrukce objekt</w:t>
      </w:r>
      <w:r w:rsidRPr="00461C16">
        <w:rPr>
          <w:rFonts w:cs="TimesNewRoman"/>
          <w:lang w:eastAsia="cs-CZ"/>
        </w:rPr>
        <w:t xml:space="preserve">ů </w:t>
      </w:r>
      <w:r w:rsidRPr="00461C16">
        <w:rPr>
          <w:lang w:eastAsia="cs-CZ"/>
        </w:rPr>
        <w:t>na nich, regulace vodního toku a ostatní stavby, jejichž výstavbou dojde ke zm</w:t>
      </w:r>
      <w:r w:rsidRPr="00461C16">
        <w:rPr>
          <w:rFonts w:cs="TimesNewRoman"/>
          <w:lang w:eastAsia="cs-CZ"/>
        </w:rPr>
        <w:t>ě</w:t>
      </w:r>
      <w:r w:rsidRPr="00461C16">
        <w:rPr>
          <w:lang w:eastAsia="cs-CZ"/>
        </w:rPr>
        <w:t>nám pom</w:t>
      </w:r>
      <w:r w:rsidRPr="00461C16">
        <w:rPr>
          <w:rFonts w:cs="TimesNewRoman"/>
          <w:lang w:eastAsia="cs-CZ"/>
        </w:rPr>
        <w:t>ě</w:t>
      </w:r>
      <w:r w:rsidRPr="00461C16">
        <w:rPr>
          <w:lang w:eastAsia="cs-CZ"/>
        </w:rPr>
        <w:t>r</w:t>
      </w:r>
      <w:r w:rsidRPr="00461C16">
        <w:rPr>
          <w:rFonts w:cs="TimesNewRoman"/>
          <w:lang w:eastAsia="cs-CZ"/>
        </w:rPr>
        <w:t xml:space="preserve">ů </w:t>
      </w:r>
      <w:r w:rsidRPr="00461C16">
        <w:rPr>
          <w:lang w:eastAsia="cs-CZ"/>
        </w:rPr>
        <w:t>vodní hladiny;</w:t>
      </w:r>
    </w:p>
    <w:p w14:paraId="548C3CA9"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rFonts w:cs="TimesNewRoman"/>
          <w:lang w:eastAsia="cs-CZ"/>
        </w:rPr>
        <w:t>ř</w:t>
      </w:r>
      <w:r w:rsidRPr="00461C16">
        <w:rPr>
          <w:lang w:eastAsia="cs-CZ"/>
        </w:rPr>
        <w:t>í</w:t>
      </w:r>
      <w:r w:rsidRPr="00461C16">
        <w:rPr>
          <w:rFonts w:cs="TimesNewRoman"/>
          <w:lang w:eastAsia="cs-CZ"/>
        </w:rPr>
        <w:t>č</w:t>
      </w:r>
      <w:r w:rsidRPr="00461C16">
        <w:rPr>
          <w:lang w:eastAsia="cs-CZ"/>
        </w:rPr>
        <w:t>ní p</w:t>
      </w:r>
      <w:r w:rsidRPr="00461C16">
        <w:rPr>
          <w:rFonts w:cs="TimesNewRoman"/>
          <w:lang w:eastAsia="cs-CZ"/>
        </w:rPr>
        <w:t>ř</w:t>
      </w:r>
      <w:r w:rsidRPr="00461C16">
        <w:rPr>
          <w:lang w:eastAsia="cs-CZ"/>
        </w:rPr>
        <w:t>ístavy – výstavba a rekonstrukce kotvících mol, manipula</w:t>
      </w:r>
      <w:r w:rsidRPr="00461C16">
        <w:rPr>
          <w:rFonts w:cs="TimesNewRoman"/>
          <w:lang w:eastAsia="cs-CZ"/>
        </w:rPr>
        <w:t>č</w:t>
      </w:r>
      <w:r w:rsidRPr="00461C16">
        <w:rPr>
          <w:lang w:eastAsia="cs-CZ"/>
        </w:rPr>
        <w:t>ních ploch nebo jejich rušení;</w:t>
      </w:r>
    </w:p>
    <w:p w14:paraId="22FFFCC2"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železni</w:t>
      </w:r>
      <w:r w:rsidRPr="00461C16">
        <w:rPr>
          <w:rFonts w:cs="TimesNewRoman"/>
          <w:lang w:eastAsia="cs-CZ"/>
        </w:rPr>
        <w:t>č</w:t>
      </w:r>
      <w:r w:rsidRPr="00461C16">
        <w:rPr>
          <w:lang w:eastAsia="cs-CZ"/>
        </w:rPr>
        <w:t>ní trat</w:t>
      </w:r>
      <w:r w:rsidRPr="00461C16">
        <w:rPr>
          <w:rFonts w:cs="TimesNewRoman"/>
          <w:lang w:eastAsia="cs-CZ"/>
        </w:rPr>
        <w:t>ě</w:t>
      </w:r>
      <w:r w:rsidRPr="00461C16">
        <w:rPr>
          <w:lang w:eastAsia="cs-CZ"/>
        </w:rPr>
        <w:t>, jejich rušení a výstavba nových, opravy a rekonstrukce objekt</w:t>
      </w:r>
      <w:r w:rsidRPr="00461C16">
        <w:rPr>
          <w:rFonts w:cs="TimesNewRoman"/>
          <w:lang w:eastAsia="cs-CZ"/>
        </w:rPr>
        <w:t xml:space="preserve">ů </w:t>
      </w:r>
      <w:r w:rsidRPr="00461C16">
        <w:rPr>
          <w:lang w:eastAsia="cs-CZ"/>
        </w:rPr>
        <w:t>na nich;</w:t>
      </w:r>
    </w:p>
    <w:p w14:paraId="51905E64"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železni</w:t>
      </w:r>
      <w:r w:rsidRPr="00461C16">
        <w:rPr>
          <w:rFonts w:cs="TimesNewRoman"/>
          <w:lang w:eastAsia="cs-CZ"/>
        </w:rPr>
        <w:t>č</w:t>
      </w:r>
      <w:r w:rsidRPr="00461C16">
        <w:rPr>
          <w:lang w:eastAsia="cs-CZ"/>
        </w:rPr>
        <w:t>ní stanice, jejich výstavba a rekonstrukce, elektrifikace, zm</w:t>
      </w:r>
      <w:r w:rsidRPr="00461C16">
        <w:rPr>
          <w:rFonts w:cs="TimesNewRoman"/>
          <w:lang w:eastAsia="cs-CZ"/>
        </w:rPr>
        <w:t>ě</w:t>
      </w:r>
      <w:r w:rsidRPr="00461C16">
        <w:rPr>
          <w:lang w:eastAsia="cs-CZ"/>
        </w:rPr>
        <w:t>na za</w:t>
      </w:r>
      <w:r w:rsidRPr="00461C16">
        <w:rPr>
          <w:rFonts w:cs="TimesNewRoman"/>
          <w:lang w:eastAsia="cs-CZ"/>
        </w:rPr>
        <w:t>ř</w:t>
      </w:r>
      <w:r w:rsidRPr="00461C16">
        <w:rPr>
          <w:lang w:eastAsia="cs-CZ"/>
        </w:rPr>
        <w:t>azení apod.;</w:t>
      </w:r>
    </w:p>
    <w:p w14:paraId="2A81F9D9" w14:textId="77777777" w:rsidR="00007A61" w:rsidRPr="00461C16" w:rsidRDefault="00007A61" w:rsidP="00D31498">
      <w:pPr>
        <w:pStyle w:val="ListParagraph"/>
        <w:numPr>
          <w:ilvl w:val="0"/>
          <w:numId w:val="36"/>
        </w:numPr>
        <w:autoSpaceDE w:val="0"/>
        <w:autoSpaceDN w:val="0"/>
        <w:adjustRightInd w:val="0"/>
        <w:spacing w:before="60" w:line="240" w:lineRule="auto"/>
        <w:rPr>
          <w:lang w:eastAsia="cs-CZ"/>
        </w:rPr>
      </w:pPr>
      <w:r w:rsidRPr="00461C16">
        <w:rPr>
          <w:lang w:eastAsia="cs-CZ"/>
        </w:rPr>
        <w:t>veškerá výstavba dotýkající se pozemk</w:t>
      </w:r>
      <w:r w:rsidRPr="00461C16">
        <w:rPr>
          <w:rFonts w:cs="TimesNewRoman"/>
          <w:lang w:eastAsia="cs-CZ"/>
        </w:rPr>
        <w:t xml:space="preserve">ů, </w:t>
      </w:r>
      <w:r w:rsidRPr="00461C16">
        <w:rPr>
          <w:lang w:eastAsia="cs-CZ"/>
        </w:rPr>
        <w:t>s nimiž p</w:t>
      </w:r>
      <w:r w:rsidRPr="00461C16">
        <w:rPr>
          <w:rFonts w:cs="TimesNewRoman"/>
          <w:lang w:eastAsia="cs-CZ"/>
        </w:rPr>
        <w:t>ř</w:t>
      </w:r>
      <w:r w:rsidRPr="00461C16">
        <w:rPr>
          <w:lang w:eastAsia="cs-CZ"/>
        </w:rPr>
        <w:t>ísluší hospoda</w:t>
      </w:r>
      <w:r w:rsidRPr="00461C16">
        <w:rPr>
          <w:rFonts w:cs="TimesNewRoman"/>
          <w:lang w:eastAsia="cs-CZ"/>
        </w:rPr>
        <w:t>ř</w:t>
      </w:r>
      <w:r w:rsidRPr="00461C16">
        <w:rPr>
          <w:lang w:eastAsia="cs-CZ"/>
        </w:rPr>
        <w:t>it MO</w:t>
      </w:r>
    </w:p>
    <w:p w14:paraId="575AB34D" w14:textId="77777777" w:rsidR="00617813" w:rsidRPr="00461C16" w:rsidRDefault="00BC3FDA" w:rsidP="00617813">
      <w:pPr>
        <w:pStyle w:val="BodyText"/>
        <w:spacing w:before="120" w:after="120"/>
        <w:rPr>
          <w:i/>
          <w:sz w:val="22"/>
          <w:szCs w:val="22"/>
        </w:rPr>
      </w:pPr>
      <w:r w:rsidRPr="00461C16">
        <w:rPr>
          <w:i/>
          <w:color w:val="000000"/>
          <w:sz w:val="22"/>
          <w:szCs w:val="22"/>
          <w:shd w:val="clear" w:color="auto" w:fill="FFFFFF"/>
        </w:rPr>
        <w:t>Řešit mimo ÚP.</w:t>
      </w:r>
    </w:p>
    <w:p w14:paraId="4D9D7706" w14:textId="77777777" w:rsidR="00007A61" w:rsidRPr="00461C16" w:rsidRDefault="00007A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Prověřit aktuálnost chráněných ložiskových území, maximálně je respektovat a zohlednit chráněné ložiskové území nacházející se v řešeném území. </w:t>
      </w:r>
    </w:p>
    <w:p w14:paraId="2CEC0A28" w14:textId="77777777" w:rsidR="00617813" w:rsidRPr="00461C16" w:rsidRDefault="00AF5BAD" w:rsidP="00617813">
      <w:pPr>
        <w:pStyle w:val="BodyText"/>
        <w:spacing w:before="120" w:after="120"/>
        <w:rPr>
          <w:i/>
          <w:sz w:val="22"/>
          <w:szCs w:val="22"/>
        </w:rPr>
      </w:pPr>
      <w:r w:rsidRPr="00461C16">
        <w:rPr>
          <w:i/>
          <w:sz w:val="22"/>
          <w:szCs w:val="22"/>
        </w:rPr>
        <w:t>Chráněná ložisková území j</w:t>
      </w:r>
      <w:r w:rsidR="00C572F8">
        <w:rPr>
          <w:i/>
          <w:sz w:val="22"/>
          <w:szCs w:val="22"/>
        </w:rPr>
        <w:t>sou</w:t>
      </w:r>
      <w:r w:rsidRPr="00461C16">
        <w:rPr>
          <w:i/>
          <w:sz w:val="22"/>
          <w:szCs w:val="22"/>
        </w:rPr>
        <w:t xml:space="preserve"> v ÚP </w:t>
      </w:r>
      <w:r w:rsidR="00C572F8">
        <w:rPr>
          <w:i/>
          <w:sz w:val="22"/>
          <w:szCs w:val="22"/>
        </w:rPr>
        <w:t xml:space="preserve">plně </w:t>
      </w:r>
      <w:r w:rsidRPr="00461C16">
        <w:rPr>
          <w:i/>
          <w:sz w:val="22"/>
          <w:szCs w:val="22"/>
        </w:rPr>
        <w:t>respektován</w:t>
      </w:r>
      <w:r w:rsidR="00C572F8">
        <w:rPr>
          <w:i/>
          <w:sz w:val="22"/>
          <w:szCs w:val="22"/>
        </w:rPr>
        <w:t>a</w:t>
      </w:r>
      <w:r w:rsidRPr="00461C16">
        <w:rPr>
          <w:i/>
          <w:sz w:val="22"/>
          <w:szCs w:val="22"/>
        </w:rPr>
        <w:t xml:space="preserve"> jako </w:t>
      </w:r>
      <w:r w:rsidR="00C572F8" w:rsidRPr="00461C16">
        <w:rPr>
          <w:i/>
          <w:sz w:val="22"/>
          <w:szCs w:val="22"/>
        </w:rPr>
        <w:t>nezastaviteln</w:t>
      </w:r>
      <w:r w:rsidR="00C572F8">
        <w:rPr>
          <w:i/>
          <w:sz w:val="22"/>
          <w:szCs w:val="22"/>
        </w:rPr>
        <w:t xml:space="preserve">á. </w:t>
      </w:r>
    </w:p>
    <w:p w14:paraId="764E665D" w14:textId="77777777" w:rsidR="00007A61" w:rsidRPr="00461C16" w:rsidRDefault="00007A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Maximáln</w:t>
      </w:r>
      <w:r w:rsidRPr="00461C16">
        <w:rPr>
          <w:rFonts w:cs="TimesNewRoman"/>
          <w:lang w:eastAsia="cs-CZ"/>
        </w:rPr>
        <w:t xml:space="preserve">ě </w:t>
      </w:r>
      <w:r w:rsidRPr="00461C16">
        <w:rPr>
          <w:lang w:eastAsia="cs-CZ"/>
        </w:rPr>
        <w:t>respektovat a zohlednit výhradní ložisko nerostných surovin nacházející se v </w:t>
      </w:r>
      <w:r w:rsidRPr="00461C16">
        <w:rPr>
          <w:rFonts w:cs="TimesNewRoman"/>
          <w:lang w:eastAsia="cs-CZ"/>
        </w:rPr>
        <w:t>ř</w:t>
      </w:r>
      <w:r w:rsidRPr="00461C16">
        <w:rPr>
          <w:lang w:eastAsia="cs-CZ"/>
        </w:rPr>
        <w:t>ešeném území.</w:t>
      </w:r>
    </w:p>
    <w:p w14:paraId="38B9E2B7" w14:textId="77777777" w:rsidR="00617813" w:rsidRPr="00461C16" w:rsidRDefault="00AF5BAD" w:rsidP="00617813">
      <w:pPr>
        <w:pStyle w:val="BodyText"/>
        <w:spacing w:before="120" w:after="120"/>
        <w:rPr>
          <w:i/>
          <w:sz w:val="22"/>
          <w:szCs w:val="22"/>
        </w:rPr>
      </w:pPr>
      <w:r w:rsidRPr="00461C16">
        <w:rPr>
          <w:i/>
          <w:sz w:val="22"/>
          <w:szCs w:val="22"/>
        </w:rPr>
        <w:lastRenderedPageBreak/>
        <w:t>Ložisk</w:t>
      </w:r>
      <w:r w:rsidR="00E10151" w:rsidRPr="00461C16">
        <w:rPr>
          <w:i/>
          <w:sz w:val="22"/>
          <w:szCs w:val="22"/>
        </w:rPr>
        <w:t>a</w:t>
      </w:r>
      <w:r w:rsidRPr="00461C16">
        <w:rPr>
          <w:i/>
          <w:sz w:val="22"/>
          <w:szCs w:val="22"/>
        </w:rPr>
        <w:t xml:space="preserve"> nerostných surovin j</w:t>
      </w:r>
      <w:r w:rsidR="00C572F8">
        <w:rPr>
          <w:i/>
          <w:sz w:val="22"/>
          <w:szCs w:val="22"/>
        </w:rPr>
        <w:t>sou</w:t>
      </w:r>
      <w:r w:rsidRPr="00461C16">
        <w:rPr>
          <w:i/>
          <w:sz w:val="22"/>
          <w:szCs w:val="22"/>
        </w:rPr>
        <w:t xml:space="preserve"> v ÚP </w:t>
      </w:r>
      <w:r w:rsidR="00C572F8">
        <w:rPr>
          <w:i/>
          <w:sz w:val="22"/>
          <w:szCs w:val="22"/>
        </w:rPr>
        <w:t xml:space="preserve">plně </w:t>
      </w:r>
      <w:r w:rsidRPr="00461C16">
        <w:rPr>
          <w:i/>
          <w:sz w:val="22"/>
          <w:szCs w:val="22"/>
        </w:rPr>
        <w:t>respektován</w:t>
      </w:r>
      <w:r w:rsidR="00E10151" w:rsidRPr="00461C16">
        <w:rPr>
          <w:i/>
          <w:sz w:val="22"/>
          <w:szCs w:val="22"/>
        </w:rPr>
        <w:t>a</w:t>
      </w:r>
      <w:r w:rsidRPr="00461C16">
        <w:rPr>
          <w:i/>
          <w:sz w:val="22"/>
          <w:szCs w:val="22"/>
        </w:rPr>
        <w:t xml:space="preserve"> jako nezastaviteln</w:t>
      </w:r>
      <w:r w:rsidR="00E10151" w:rsidRPr="00461C16">
        <w:rPr>
          <w:i/>
          <w:sz w:val="22"/>
          <w:szCs w:val="22"/>
        </w:rPr>
        <w:t>á</w:t>
      </w:r>
      <w:r w:rsidR="00C572F8">
        <w:rPr>
          <w:i/>
          <w:sz w:val="22"/>
          <w:szCs w:val="22"/>
        </w:rPr>
        <w:t xml:space="preserve">. </w:t>
      </w:r>
    </w:p>
    <w:p w14:paraId="4E3B53BB" w14:textId="77777777" w:rsidR="00007A61" w:rsidRPr="00461C16" w:rsidRDefault="00007A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Maximálně respektovat a zohlednit geologickou stavbu v území. </w:t>
      </w:r>
    </w:p>
    <w:p w14:paraId="55081130" w14:textId="77777777" w:rsidR="00617813" w:rsidRPr="00461C16" w:rsidRDefault="00F64CDB" w:rsidP="00617813">
      <w:pPr>
        <w:pStyle w:val="BodyText"/>
        <w:spacing w:before="120" w:after="120"/>
        <w:rPr>
          <w:i/>
          <w:sz w:val="22"/>
          <w:szCs w:val="22"/>
        </w:rPr>
      </w:pPr>
      <w:r w:rsidRPr="00461C16">
        <w:rPr>
          <w:i/>
          <w:sz w:val="22"/>
          <w:szCs w:val="22"/>
        </w:rPr>
        <w:t>Geologická stavba území je v ÚP zohledněna. Na území města nejsou žádné specifické geologické jevy, které by omezovaly využití území s výjimkou ochrany NS.</w:t>
      </w:r>
    </w:p>
    <w:p w14:paraId="318839A0" w14:textId="77777777" w:rsidR="00007A61" w:rsidRPr="00461C16" w:rsidRDefault="00007A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Respektovat a zohlednit sesuvných území a území jiných geologických rizik registrovaných Českou geologickou službou.</w:t>
      </w:r>
    </w:p>
    <w:p w14:paraId="52178B23" w14:textId="77777777" w:rsidR="00617813" w:rsidRPr="00461C16" w:rsidRDefault="00F64CDB" w:rsidP="00617813">
      <w:pPr>
        <w:pStyle w:val="BodyText"/>
        <w:spacing w:before="120" w:after="120"/>
        <w:rPr>
          <w:i/>
          <w:sz w:val="22"/>
          <w:szCs w:val="22"/>
        </w:rPr>
      </w:pPr>
      <w:r w:rsidRPr="00461C16">
        <w:rPr>
          <w:i/>
          <w:sz w:val="22"/>
          <w:szCs w:val="22"/>
        </w:rPr>
        <w:t>Sesuvná území nejsou na území Hrádku na Nisou. Poddolovaná území jsou převážně mimo zastavěné území, nejsou v nich vymezeny zastavitelné plochy s výjimkou ploch</w:t>
      </w:r>
      <w:r w:rsidR="00C40AF8">
        <w:rPr>
          <w:i/>
          <w:sz w:val="22"/>
          <w:szCs w:val="22"/>
        </w:rPr>
        <w:t>y</w:t>
      </w:r>
      <w:r w:rsidRPr="00461C16">
        <w:rPr>
          <w:i/>
          <w:sz w:val="22"/>
          <w:szCs w:val="22"/>
        </w:rPr>
        <w:t xml:space="preserve"> Z32, </w:t>
      </w:r>
      <w:r w:rsidR="00C40AF8" w:rsidRPr="00461C16">
        <w:rPr>
          <w:i/>
          <w:sz w:val="22"/>
          <w:szCs w:val="22"/>
        </w:rPr>
        <w:t>kter</w:t>
      </w:r>
      <w:r w:rsidR="00C40AF8">
        <w:rPr>
          <w:i/>
          <w:sz w:val="22"/>
          <w:szCs w:val="22"/>
        </w:rPr>
        <w:t>á</w:t>
      </w:r>
      <w:r w:rsidR="00C40AF8" w:rsidRPr="00461C16">
        <w:rPr>
          <w:i/>
          <w:sz w:val="22"/>
          <w:szCs w:val="22"/>
        </w:rPr>
        <w:t xml:space="preserve"> j</w:t>
      </w:r>
      <w:r w:rsidR="00C40AF8">
        <w:rPr>
          <w:i/>
          <w:sz w:val="22"/>
          <w:szCs w:val="22"/>
        </w:rPr>
        <w:t>e</w:t>
      </w:r>
      <w:r w:rsidR="00C40AF8" w:rsidRPr="00461C16">
        <w:rPr>
          <w:i/>
          <w:sz w:val="22"/>
          <w:szCs w:val="22"/>
        </w:rPr>
        <w:t xml:space="preserve"> určen</w:t>
      </w:r>
      <w:r w:rsidR="00C40AF8">
        <w:rPr>
          <w:i/>
          <w:sz w:val="22"/>
          <w:szCs w:val="22"/>
        </w:rPr>
        <w:t>a</w:t>
      </w:r>
      <w:r w:rsidR="00C40AF8" w:rsidRPr="00461C16">
        <w:rPr>
          <w:i/>
          <w:sz w:val="22"/>
          <w:szCs w:val="22"/>
        </w:rPr>
        <w:t xml:space="preserve"> </w:t>
      </w:r>
      <w:r w:rsidRPr="00461C16">
        <w:rPr>
          <w:i/>
          <w:sz w:val="22"/>
          <w:szCs w:val="22"/>
        </w:rPr>
        <w:t xml:space="preserve">pro rekreační aktivity v oblasti dolu Kristýna. </w:t>
      </w:r>
    </w:p>
    <w:p w14:paraId="6C4199A6" w14:textId="77777777" w:rsidR="00B119B9" w:rsidRPr="00461C16" w:rsidRDefault="00007A6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w:t>
      </w:r>
      <w:r w:rsidR="00B119B9" w:rsidRPr="00461C16">
        <w:rPr>
          <w:lang w:eastAsia="cs-CZ"/>
        </w:rPr>
        <w:t>území, které se nachází v chráněné oblasti přirozené akumulace vod (CHOPAV).</w:t>
      </w:r>
    </w:p>
    <w:p w14:paraId="2BB070A3" w14:textId="77777777" w:rsidR="00617813" w:rsidRPr="00461C16" w:rsidRDefault="00F64CDB" w:rsidP="00617813">
      <w:pPr>
        <w:pStyle w:val="BodyText"/>
        <w:spacing w:before="120" w:after="120"/>
        <w:rPr>
          <w:i/>
          <w:sz w:val="22"/>
          <w:szCs w:val="22"/>
        </w:rPr>
      </w:pPr>
      <w:r w:rsidRPr="00461C16">
        <w:rPr>
          <w:i/>
          <w:sz w:val="22"/>
          <w:szCs w:val="22"/>
        </w:rPr>
        <w:t xml:space="preserve">Území CHOPAV je respektováno, v ÚP nejsou navrženy záměry ohrožující zdroje vod chráněné formou CHOPAV. </w:t>
      </w:r>
    </w:p>
    <w:p w14:paraId="2ADDF675"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Stanovit záplavové území vodního toku Lužická Nisa, které bylo stanoveno Okresním ú</w:t>
      </w:r>
      <w:r w:rsidRPr="00461C16">
        <w:rPr>
          <w:rFonts w:cs="TimesNewRoman"/>
          <w:lang w:eastAsia="cs-CZ"/>
        </w:rPr>
        <w:t>ř</w:t>
      </w:r>
      <w:r w:rsidRPr="00461C16">
        <w:rPr>
          <w:lang w:eastAsia="cs-CZ"/>
        </w:rPr>
        <w:t>adem Liberec, referátem životního prost</w:t>
      </w:r>
      <w:r w:rsidRPr="00461C16">
        <w:rPr>
          <w:rFonts w:cs="TimesNewRoman"/>
          <w:lang w:eastAsia="cs-CZ"/>
        </w:rPr>
        <w:t>ř</w:t>
      </w:r>
      <w:r w:rsidRPr="00461C16">
        <w:rPr>
          <w:lang w:eastAsia="cs-CZ"/>
        </w:rPr>
        <w:t xml:space="preserve">edí dne 8.dubna 1999, </w:t>
      </w:r>
      <w:r w:rsidRPr="00461C16">
        <w:rPr>
          <w:rFonts w:cs="TimesNewRoman"/>
          <w:lang w:eastAsia="cs-CZ"/>
        </w:rPr>
        <w:t>č</w:t>
      </w:r>
      <w:r w:rsidRPr="00461C16">
        <w:rPr>
          <w:lang w:eastAsia="cs-CZ"/>
        </w:rPr>
        <w:t xml:space="preserve">.j.:RŽP/2/193-C/99-231.9/GFT. Výše uvedené záplavové území zapracovat do grafické i textové </w:t>
      </w:r>
      <w:r w:rsidRPr="00461C16">
        <w:rPr>
          <w:rFonts w:cs="TimesNewRoman"/>
          <w:lang w:eastAsia="cs-CZ"/>
        </w:rPr>
        <w:t>č</w:t>
      </w:r>
      <w:r w:rsidRPr="00461C16">
        <w:rPr>
          <w:lang w:eastAsia="cs-CZ"/>
        </w:rPr>
        <w:t>ásti Návrhu ÚP Hrádek nad Nisou.</w:t>
      </w:r>
    </w:p>
    <w:p w14:paraId="2044A6CB" w14:textId="77777777" w:rsidR="00617813" w:rsidRPr="00461C16" w:rsidRDefault="00BC3FDA" w:rsidP="00617813">
      <w:pPr>
        <w:pStyle w:val="BodyText"/>
        <w:spacing w:before="120" w:after="120"/>
        <w:rPr>
          <w:i/>
          <w:sz w:val="22"/>
          <w:szCs w:val="22"/>
        </w:rPr>
      </w:pPr>
      <w:r w:rsidRPr="00461C16">
        <w:rPr>
          <w:bCs/>
          <w:i/>
          <w:sz w:val="22"/>
          <w:szCs w:val="22"/>
        </w:rPr>
        <w:t xml:space="preserve">Na území Hrádku nad Nisou je stanoveno záplavové území </w:t>
      </w:r>
      <w:r w:rsidR="00F64CDB" w:rsidRPr="00461C16">
        <w:rPr>
          <w:bCs/>
          <w:i/>
          <w:sz w:val="22"/>
          <w:szCs w:val="22"/>
        </w:rPr>
        <w:t xml:space="preserve">a aktivní zóna </w:t>
      </w:r>
      <w:r w:rsidRPr="00461C16">
        <w:rPr>
          <w:bCs/>
          <w:i/>
          <w:sz w:val="22"/>
          <w:szCs w:val="22"/>
        </w:rPr>
        <w:t xml:space="preserve">Lužické Nisy. </w:t>
      </w:r>
      <w:r w:rsidR="00F64CDB" w:rsidRPr="00461C16">
        <w:rPr>
          <w:bCs/>
          <w:i/>
          <w:sz w:val="22"/>
          <w:szCs w:val="22"/>
        </w:rPr>
        <w:t>B</w:t>
      </w:r>
      <w:r w:rsidRPr="00461C16">
        <w:rPr>
          <w:bCs/>
          <w:i/>
          <w:sz w:val="22"/>
          <w:szCs w:val="22"/>
        </w:rPr>
        <w:t xml:space="preserve">yly stanoveny Krajským úřadem Libereckého kraje – odborem životního prostředí </w:t>
      </w:r>
      <w:r w:rsidR="00810644" w:rsidRPr="00461C16">
        <w:rPr>
          <w:bCs/>
          <w:i/>
          <w:sz w:val="22"/>
          <w:szCs w:val="22"/>
        </w:rPr>
        <w:t>formou</w:t>
      </w:r>
      <w:r w:rsidR="00F64CDB" w:rsidRPr="00461C16">
        <w:rPr>
          <w:bCs/>
          <w:i/>
          <w:sz w:val="22"/>
          <w:szCs w:val="22"/>
        </w:rPr>
        <w:t xml:space="preserve"> </w:t>
      </w:r>
      <w:r w:rsidRPr="00461C16">
        <w:rPr>
          <w:bCs/>
          <w:i/>
          <w:sz w:val="22"/>
          <w:szCs w:val="22"/>
        </w:rPr>
        <w:t>opatření obecné povahy ze dne 4. 2. 2016. Oba limity využití území jsou graficky znázorněny ve výkrese II.1 Koordinační výkres.</w:t>
      </w:r>
      <w:r w:rsidR="00C829B6" w:rsidRPr="00461C16">
        <w:rPr>
          <w:i/>
          <w:sz w:val="22"/>
          <w:szCs w:val="22"/>
        </w:rPr>
        <w:t xml:space="preserve"> </w:t>
      </w:r>
      <w:r w:rsidR="00F64CDB" w:rsidRPr="00461C16">
        <w:rPr>
          <w:b/>
          <w:i/>
          <w:sz w:val="22"/>
          <w:szCs w:val="22"/>
        </w:rPr>
        <w:t>Územním plánem nelze stanovit záplavové území.</w:t>
      </w:r>
    </w:p>
    <w:p w14:paraId="04BF8DBF"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rFonts w:cs="TimesNewRoman"/>
          <w:lang w:eastAsia="cs-CZ"/>
        </w:rPr>
        <w:t>Ř</w:t>
      </w:r>
      <w:r w:rsidRPr="00461C16">
        <w:rPr>
          <w:lang w:eastAsia="cs-CZ"/>
        </w:rPr>
        <w:t>ešit protipovod</w:t>
      </w:r>
      <w:r w:rsidRPr="00461C16">
        <w:rPr>
          <w:rFonts w:cs="TimesNewRoman"/>
          <w:lang w:eastAsia="cs-CZ"/>
        </w:rPr>
        <w:t>ň</w:t>
      </w:r>
      <w:r w:rsidRPr="00461C16">
        <w:rPr>
          <w:lang w:eastAsia="cs-CZ"/>
        </w:rPr>
        <w:t>ovou ochranu zejména v nejkriti</w:t>
      </w:r>
      <w:r w:rsidRPr="00461C16">
        <w:rPr>
          <w:rFonts w:cs="TimesNewRoman"/>
          <w:lang w:eastAsia="cs-CZ"/>
        </w:rPr>
        <w:t>č</w:t>
      </w:r>
      <w:r w:rsidRPr="00461C16">
        <w:rPr>
          <w:lang w:eastAsia="cs-CZ"/>
        </w:rPr>
        <w:t>t</w:t>
      </w:r>
      <w:r w:rsidRPr="00461C16">
        <w:rPr>
          <w:rFonts w:cs="TimesNewRoman"/>
          <w:lang w:eastAsia="cs-CZ"/>
        </w:rPr>
        <w:t>ě</w:t>
      </w:r>
      <w:r w:rsidRPr="00461C16">
        <w:rPr>
          <w:lang w:eastAsia="cs-CZ"/>
        </w:rPr>
        <w:t xml:space="preserve">jších </w:t>
      </w:r>
      <w:r w:rsidRPr="00461C16">
        <w:rPr>
          <w:rFonts w:cs="TimesNewRoman"/>
          <w:lang w:eastAsia="cs-CZ"/>
        </w:rPr>
        <w:t>č</w:t>
      </w:r>
      <w:r w:rsidRPr="00461C16">
        <w:rPr>
          <w:lang w:eastAsia="cs-CZ"/>
        </w:rPr>
        <w:t>ástech inundací i u vodních tok</w:t>
      </w:r>
      <w:r w:rsidRPr="00461C16">
        <w:rPr>
          <w:rFonts w:cs="TimesNewRoman"/>
          <w:lang w:eastAsia="cs-CZ"/>
        </w:rPr>
        <w:t>ů</w:t>
      </w:r>
      <w:r w:rsidRPr="00461C16">
        <w:rPr>
          <w:lang w:eastAsia="cs-CZ"/>
        </w:rPr>
        <w:t>: Václavický a Donínský potok.</w:t>
      </w:r>
    </w:p>
    <w:p w14:paraId="43AD7D40" w14:textId="77777777" w:rsidR="00617813" w:rsidRPr="00461C16" w:rsidRDefault="00BC3FDA" w:rsidP="00617813">
      <w:pPr>
        <w:pStyle w:val="BodyText"/>
        <w:spacing w:before="120" w:after="120"/>
        <w:rPr>
          <w:i/>
          <w:sz w:val="22"/>
          <w:szCs w:val="22"/>
        </w:rPr>
      </w:pPr>
      <w:r w:rsidRPr="00461C16">
        <w:rPr>
          <w:i/>
          <w:sz w:val="22"/>
          <w:szCs w:val="22"/>
        </w:rPr>
        <w:t xml:space="preserve">ÚP nenavrhuje konkrétní protipovodňová na Václavickém a Donínském potoce. U těchto toků je upřednostňován přirozený rozliv v zemědělských a přírodních plochách. V případě potřeby lze konkrétní technická protipovodňová opatření řešit bez nutnosti změny ÚP. </w:t>
      </w:r>
    </w:p>
    <w:p w14:paraId="71AAE82C"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Respektovat ochranná pásma vodních zdrojů a vodojemů. </w:t>
      </w:r>
    </w:p>
    <w:p w14:paraId="4499DDB7" w14:textId="77777777" w:rsidR="00617813" w:rsidRPr="00461C16" w:rsidRDefault="00BC3FDA" w:rsidP="00617813">
      <w:pPr>
        <w:pStyle w:val="BodyText"/>
        <w:spacing w:before="120" w:after="120"/>
        <w:rPr>
          <w:i/>
          <w:sz w:val="22"/>
          <w:szCs w:val="22"/>
        </w:rPr>
      </w:pPr>
      <w:r w:rsidRPr="00461C16">
        <w:rPr>
          <w:i/>
          <w:sz w:val="22"/>
          <w:szCs w:val="22"/>
        </w:rPr>
        <w:t>ÚP respektuje ochranná pásma vodních zdrojů a vodojemů.</w:t>
      </w:r>
    </w:p>
    <w:p w14:paraId="5DDB8787"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Zohlednit všechny vodní toky a respektovat vzdálenosti od břehové čáry pro užívání pozemků podél koryta vodních toků.</w:t>
      </w:r>
    </w:p>
    <w:p w14:paraId="49EB1BE9" w14:textId="77777777" w:rsidR="00617813" w:rsidRPr="00461C16" w:rsidRDefault="00F64CDB" w:rsidP="00617813">
      <w:pPr>
        <w:pStyle w:val="BodyText"/>
        <w:spacing w:before="120" w:after="120"/>
        <w:rPr>
          <w:i/>
          <w:sz w:val="22"/>
          <w:szCs w:val="22"/>
        </w:rPr>
      </w:pPr>
      <w:r w:rsidRPr="00461C16">
        <w:rPr>
          <w:i/>
          <w:sz w:val="22"/>
          <w:szCs w:val="22"/>
        </w:rPr>
        <w:t>Vodní toky jsou zakresleny v ÚP jako plochy se způsobem využití W ev. jako součást ploch se způsobem využití NL a NK.</w:t>
      </w:r>
      <w:r w:rsidR="003C40DB" w:rsidRPr="00461C16">
        <w:rPr>
          <w:i/>
          <w:sz w:val="22"/>
          <w:szCs w:val="22"/>
        </w:rPr>
        <w:t xml:space="preserve"> </w:t>
      </w:r>
      <w:r w:rsidRPr="00461C16">
        <w:rPr>
          <w:i/>
          <w:sz w:val="22"/>
          <w:szCs w:val="22"/>
        </w:rPr>
        <w:t>P</w:t>
      </w:r>
      <w:r w:rsidR="003C40DB" w:rsidRPr="00461C16">
        <w:rPr>
          <w:i/>
          <w:sz w:val="22"/>
          <w:szCs w:val="22"/>
        </w:rPr>
        <w:t>o</w:t>
      </w:r>
      <w:r w:rsidRPr="00461C16">
        <w:rPr>
          <w:i/>
          <w:sz w:val="22"/>
          <w:szCs w:val="22"/>
        </w:rPr>
        <w:t xml:space="preserve">žadavek na </w:t>
      </w:r>
      <w:r w:rsidR="003C40DB" w:rsidRPr="00461C16">
        <w:rPr>
          <w:i/>
          <w:sz w:val="22"/>
          <w:szCs w:val="22"/>
        </w:rPr>
        <w:t>ochranu pozemků podél toků pro jejich obsluhu je uveden v kap. F.1.28 ÚP.</w:t>
      </w:r>
    </w:p>
    <w:p w14:paraId="5B9A99A0"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Zohledňovat vydaná pravomocná územní rozhodnutí nebo souhlasy a stavební povolení.</w:t>
      </w:r>
    </w:p>
    <w:p w14:paraId="5504831D" w14:textId="77777777" w:rsidR="00233B2C" w:rsidRPr="00461C16" w:rsidRDefault="000D1763" w:rsidP="00233B2C">
      <w:pPr>
        <w:autoSpaceDE w:val="0"/>
        <w:autoSpaceDN w:val="0"/>
        <w:adjustRightInd w:val="0"/>
        <w:spacing w:before="120" w:line="240" w:lineRule="auto"/>
        <w:rPr>
          <w:i/>
          <w:lang w:eastAsia="cs-CZ"/>
        </w:rPr>
      </w:pPr>
      <w:r w:rsidRPr="00461C16">
        <w:rPr>
          <w:i/>
          <w:lang w:eastAsia="cs-CZ"/>
        </w:rPr>
        <w:t>Platná správní rozhodnutí byla zohledněna.</w:t>
      </w:r>
    </w:p>
    <w:p w14:paraId="2926D045" w14:textId="77777777" w:rsidR="00E94392" w:rsidRPr="00461C16" w:rsidRDefault="00E94392" w:rsidP="00E94392">
      <w:pPr>
        <w:pStyle w:val="Heading2"/>
        <w:spacing w:after="240"/>
        <w:rPr>
          <w:lang w:eastAsia="cs-CZ"/>
        </w:rPr>
      </w:pPr>
      <w:bookmarkStart w:id="69" w:name="_Toc36116268"/>
      <w:r w:rsidRPr="00461C16">
        <w:rPr>
          <w:lang w:eastAsia="cs-CZ"/>
        </w:rPr>
        <w:t>3.9</w:t>
      </w:r>
      <w:r w:rsidRPr="00461C16">
        <w:rPr>
          <w:lang w:eastAsia="cs-CZ"/>
        </w:rPr>
        <w:tab/>
        <w:t>Požadavky a pokyny pro řešení hlavních střetů zájmů a problémů v území</w:t>
      </w:r>
      <w:bookmarkEnd w:id="69"/>
      <w:r w:rsidRPr="00461C16">
        <w:rPr>
          <w:lang w:eastAsia="cs-CZ"/>
        </w:rPr>
        <w:t xml:space="preserve"> </w:t>
      </w:r>
    </w:p>
    <w:p w14:paraId="5110ADA6"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Řešit v ÚP Hrádek nad Nisou střety a problémy v území a vytvořit územní podmínky k řešení urbanistických, dopravních a hygienických závad v území.</w:t>
      </w:r>
    </w:p>
    <w:p w14:paraId="07E29732" w14:textId="77777777" w:rsidR="00617813" w:rsidRPr="00461C16" w:rsidRDefault="00214754" w:rsidP="00617813">
      <w:pPr>
        <w:pStyle w:val="BodyText"/>
        <w:spacing w:before="120" w:after="120"/>
        <w:rPr>
          <w:i/>
          <w:sz w:val="22"/>
          <w:szCs w:val="22"/>
        </w:rPr>
      </w:pPr>
      <w:r w:rsidRPr="00461C16">
        <w:rPr>
          <w:i/>
          <w:color w:val="000000"/>
          <w:sz w:val="22"/>
          <w:szCs w:val="22"/>
          <w:shd w:val="clear" w:color="auto" w:fill="FFFFFF"/>
        </w:rPr>
        <w:t xml:space="preserve">Evidované problémy a závady byly prověřeny a v míře, kterou umožňuje územní plán, byly vytvořeny podmínky pro jejich odstranění. </w:t>
      </w:r>
    </w:p>
    <w:p w14:paraId="1ACEFD22"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V územním plánu </w:t>
      </w:r>
      <w:r w:rsidRPr="00461C16">
        <w:rPr>
          <w:rFonts w:cs="TimesNewRoman"/>
          <w:lang w:eastAsia="cs-CZ"/>
        </w:rPr>
        <w:t>ř</w:t>
      </w:r>
      <w:r w:rsidRPr="00461C16">
        <w:rPr>
          <w:lang w:eastAsia="cs-CZ"/>
        </w:rPr>
        <w:t>ešit st</w:t>
      </w:r>
      <w:r w:rsidRPr="00461C16">
        <w:rPr>
          <w:rFonts w:cs="TimesNewRoman"/>
          <w:lang w:eastAsia="cs-CZ"/>
        </w:rPr>
        <w:t>ř</w:t>
      </w:r>
      <w:r w:rsidRPr="00461C16">
        <w:rPr>
          <w:lang w:eastAsia="cs-CZ"/>
        </w:rPr>
        <w:t>ety zám</w:t>
      </w:r>
      <w:r w:rsidRPr="00461C16">
        <w:rPr>
          <w:rFonts w:cs="TimesNewRoman"/>
          <w:lang w:eastAsia="cs-CZ"/>
        </w:rPr>
        <w:t>ě</w:t>
      </w:r>
      <w:r w:rsidRPr="00461C16">
        <w:rPr>
          <w:lang w:eastAsia="cs-CZ"/>
        </w:rPr>
        <w:t>r</w:t>
      </w:r>
      <w:r w:rsidRPr="00461C16">
        <w:rPr>
          <w:rFonts w:cs="TimesNewRoman"/>
          <w:lang w:eastAsia="cs-CZ"/>
        </w:rPr>
        <w:t xml:space="preserve">ů </w:t>
      </w:r>
      <w:r w:rsidRPr="00461C16">
        <w:rPr>
          <w:lang w:eastAsia="cs-CZ"/>
        </w:rPr>
        <w:t>a návrhových ploch s limity využití území.</w:t>
      </w:r>
    </w:p>
    <w:p w14:paraId="11D1BC06" w14:textId="77777777" w:rsidR="00617813" w:rsidRPr="00461C16" w:rsidRDefault="00EF3CB3" w:rsidP="00617813">
      <w:pPr>
        <w:pStyle w:val="BodyText"/>
        <w:spacing w:before="120" w:after="120"/>
        <w:rPr>
          <w:i/>
          <w:sz w:val="22"/>
          <w:szCs w:val="22"/>
        </w:rPr>
      </w:pPr>
      <w:r w:rsidRPr="00461C16">
        <w:rPr>
          <w:i/>
          <w:color w:val="000000"/>
          <w:sz w:val="22"/>
          <w:szCs w:val="22"/>
          <w:shd w:val="clear" w:color="auto" w:fill="FFFFFF"/>
        </w:rPr>
        <w:t>Byly prověřeny všechny známé záměry s ohledem na případný střet s limity využití území, zjištění zásadního střetu (např. aktivní zóna záplavového území, ochranné pásmo VTL plynovodu, apod.) bylo důvodem pro vyloučení tohoto záměru.</w:t>
      </w:r>
    </w:p>
    <w:p w14:paraId="3626EE46"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 územním plánu je nutno zkoordinovat prvky navazujících systém</w:t>
      </w:r>
      <w:r w:rsidRPr="00461C16">
        <w:rPr>
          <w:rFonts w:cs="TimesNewRoman"/>
          <w:lang w:eastAsia="cs-CZ"/>
        </w:rPr>
        <w:t xml:space="preserve">ů </w:t>
      </w:r>
      <w:r w:rsidRPr="00461C16">
        <w:rPr>
          <w:lang w:eastAsia="cs-CZ"/>
        </w:rPr>
        <w:t xml:space="preserve">ekologické stability krajiny. </w:t>
      </w:r>
    </w:p>
    <w:p w14:paraId="0E8FC0D5" w14:textId="77777777" w:rsidR="00617813" w:rsidRPr="00461C16" w:rsidRDefault="003C40DB" w:rsidP="00617813">
      <w:pPr>
        <w:pStyle w:val="BodyText"/>
        <w:spacing w:before="120" w:after="120"/>
        <w:rPr>
          <w:i/>
          <w:sz w:val="22"/>
          <w:szCs w:val="22"/>
        </w:rPr>
      </w:pPr>
      <w:r w:rsidRPr="00461C16">
        <w:rPr>
          <w:i/>
          <w:sz w:val="22"/>
          <w:szCs w:val="22"/>
        </w:rPr>
        <w:lastRenderedPageBreak/>
        <w:t>V</w:t>
      </w:r>
      <w:r w:rsidR="00B345B4" w:rsidRPr="00461C16">
        <w:rPr>
          <w:i/>
          <w:sz w:val="22"/>
          <w:szCs w:val="22"/>
        </w:rPr>
        <w:t xml:space="preserve"> </w:t>
      </w:r>
      <w:r w:rsidRPr="00461C16">
        <w:rPr>
          <w:i/>
          <w:sz w:val="22"/>
          <w:szCs w:val="22"/>
        </w:rPr>
        <w:t xml:space="preserve">ÚP je provedena koordinace skladebných částí ÚSES ve vztazích jednotlivých hierarchických úrovní a také z hlediska návaznosti na ÚP okolních obcí. </w:t>
      </w:r>
    </w:p>
    <w:p w14:paraId="3BE57735"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Je t</w:t>
      </w:r>
      <w:r w:rsidRPr="00461C16">
        <w:rPr>
          <w:rFonts w:cs="TimesNewRoman"/>
          <w:lang w:eastAsia="cs-CZ"/>
        </w:rPr>
        <w:t>ř</w:t>
      </w:r>
      <w:r w:rsidRPr="00461C16">
        <w:rPr>
          <w:lang w:eastAsia="cs-CZ"/>
        </w:rPr>
        <w:t>eba omezit na nezbytnou míru kolize zám</w:t>
      </w:r>
      <w:r w:rsidRPr="00461C16">
        <w:rPr>
          <w:rFonts w:cs="TimesNewRoman"/>
          <w:lang w:eastAsia="cs-CZ"/>
        </w:rPr>
        <w:t>ě</w:t>
      </w:r>
      <w:r w:rsidRPr="00461C16">
        <w:rPr>
          <w:lang w:eastAsia="cs-CZ"/>
        </w:rPr>
        <w:t>r</w:t>
      </w:r>
      <w:r w:rsidRPr="00461C16">
        <w:rPr>
          <w:rFonts w:cs="TimesNewRoman"/>
          <w:lang w:eastAsia="cs-CZ"/>
        </w:rPr>
        <w:t xml:space="preserve">ů </w:t>
      </w:r>
      <w:r w:rsidRPr="00461C16">
        <w:rPr>
          <w:lang w:eastAsia="cs-CZ"/>
        </w:rPr>
        <w:t>umíst</w:t>
      </w:r>
      <w:r w:rsidRPr="00461C16">
        <w:rPr>
          <w:rFonts w:cs="TimesNewRoman"/>
          <w:lang w:eastAsia="cs-CZ"/>
        </w:rPr>
        <w:t>ě</w:t>
      </w:r>
      <w:r w:rsidRPr="00461C16">
        <w:rPr>
          <w:lang w:eastAsia="cs-CZ"/>
        </w:rPr>
        <w:t>ní rozvojových ploch s kvalitními p</w:t>
      </w:r>
      <w:r w:rsidRPr="00461C16">
        <w:rPr>
          <w:rFonts w:cs="TimesNewRoman"/>
          <w:lang w:eastAsia="cs-CZ"/>
        </w:rPr>
        <w:t>ů</w:t>
      </w:r>
      <w:r w:rsidRPr="00461C16">
        <w:rPr>
          <w:lang w:eastAsia="cs-CZ"/>
        </w:rPr>
        <w:t xml:space="preserve">dami, najít takové </w:t>
      </w:r>
      <w:r w:rsidRPr="00461C16">
        <w:rPr>
          <w:rFonts w:cs="TimesNewRoman"/>
          <w:lang w:eastAsia="cs-CZ"/>
        </w:rPr>
        <w:t>ř</w:t>
      </w:r>
      <w:r w:rsidRPr="00461C16">
        <w:rPr>
          <w:lang w:eastAsia="cs-CZ"/>
        </w:rPr>
        <w:t>ešení ve prosp</w:t>
      </w:r>
      <w:r w:rsidRPr="00461C16">
        <w:rPr>
          <w:rFonts w:cs="TimesNewRoman"/>
          <w:lang w:eastAsia="cs-CZ"/>
        </w:rPr>
        <w:t>ě</w:t>
      </w:r>
      <w:r w:rsidRPr="00461C16">
        <w:rPr>
          <w:lang w:eastAsia="cs-CZ"/>
        </w:rPr>
        <w:t>ch t</w:t>
      </w:r>
      <w:r w:rsidRPr="00461C16">
        <w:rPr>
          <w:rFonts w:cs="TimesNewRoman"/>
          <w:lang w:eastAsia="cs-CZ"/>
        </w:rPr>
        <w:t>ě</w:t>
      </w:r>
      <w:r w:rsidRPr="00461C16">
        <w:rPr>
          <w:lang w:eastAsia="cs-CZ"/>
        </w:rPr>
        <w:t>chto rozvojových ploch, aby došlo ke schválení p</w:t>
      </w:r>
      <w:r w:rsidRPr="00461C16">
        <w:rPr>
          <w:rFonts w:cs="TimesNewRoman"/>
          <w:lang w:eastAsia="cs-CZ"/>
        </w:rPr>
        <w:t>ř</w:t>
      </w:r>
      <w:r w:rsidRPr="00461C16">
        <w:rPr>
          <w:lang w:eastAsia="cs-CZ"/>
        </w:rPr>
        <w:t>íslušnými dot</w:t>
      </w:r>
      <w:r w:rsidRPr="00461C16">
        <w:rPr>
          <w:rFonts w:cs="TimesNewRoman"/>
          <w:lang w:eastAsia="cs-CZ"/>
        </w:rPr>
        <w:t>č</w:t>
      </w:r>
      <w:r w:rsidRPr="00461C16">
        <w:rPr>
          <w:lang w:eastAsia="cs-CZ"/>
        </w:rPr>
        <w:t>enými orgány.</w:t>
      </w:r>
    </w:p>
    <w:p w14:paraId="6D1AFF32" w14:textId="77777777" w:rsidR="00944655" w:rsidRPr="00461C16" w:rsidRDefault="00EF3CB3" w:rsidP="00944655">
      <w:pPr>
        <w:pStyle w:val="BodyText"/>
        <w:spacing w:before="120" w:after="120"/>
        <w:rPr>
          <w:i/>
          <w:sz w:val="22"/>
          <w:szCs w:val="22"/>
        </w:rPr>
      </w:pPr>
      <w:r w:rsidRPr="00461C16">
        <w:rPr>
          <w:i/>
          <w:color w:val="000000"/>
          <w:sz w:val="22"/>
          <w:szCs w:val="22"/>
          <w:shd w:val="clear" w:color="auto" w:fill="FFFFFF"/>
        </w:rPr>
        <w:t>Vymezení ploch změn zohledňuje výskyt ZPF a třídu ochrany půdy, jako jednu z přírodních hodnot území.</w:t>
      </w:r>
    </w:p>
    <w:p w14:paraId="3FBD244A"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Řešit plochy obnovy (brownfields) a navrhnout nové využití s ohledem na funkční využití okolních ploch. </w:t>
      </w:r>
    </w:p>
    <w:p w14:paraId="5625FFED" w14:textId="77777777" w:rsidR="00944655" w:rsidRPr="00461C16" w:rsidRDefault="00EF3CB3" w:rsidP="00944655">
      <w:pPr>
        <w:pStyle w:val="BodyText"/>
        <w:spacing w:before="120" w:after="120"/>
        <w:rPr>
          <w:i/>
          <w:sz w:val="22"/>
          <w:szCs w:val="22"/>
        </w:rPr>
      </w:pPr>
      <w:r w:rsidRPr="00461C16">
        <w:rPr>
          <w:i/>
          <w:color w:val="000000"/>
          <w:sz w:val="22"/>
          <w:szCs w:val="22"/>
          <w:shd w:val="clear" w:color="auto" w:fill="FFFFFF"/>
        </w:rPr>
        <w:t>Všechny evidované brownfields bez potenciálu pro další rozvoj původního způsobu využití jsou navrženy k transformaci, z hlediska struktury či funkce (Bekon, Kolora, cihelna).</w:t>
      </w:r>
    </w:p>
    <w:p w14:paraId="0AD80729"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Prov</w:t>
      </w:r>
      <w:r w:rsidRPr="00461C16">
        <w:rPr>
          <w:rFonts w:cs="TimesNewRoman"/>
          <w:lang w:eastAsia="cs-CZ"/>
        </w:rPr>
        <w:t>ěř</w:t>
      </w:r>
      <w:r w:rsidRPr="00461C16">
        <w:rPr>
          <w:lang w:eastAsia="cs-CZ"/>
        </w:rPr>
        <w:t>it dopravní obslužnost území (</w:t>
      </w:r>
      <w:r w:rsidRPr="00461C16">
        <w:rPr>
          <w:rFonts w:cs="TimesNewRoman"/>
          <w:lang w:eastAsia="cs-CZ"/>
        </w:rPr>
        <w:t>ř</w:t>
      </w:r>
      <w:r w:rsidRPr="00461C16">
        <w:rPr>
          <w:lang w:eastAsia="cs-CZ"/>
        </w:rPr>
        <w:t>ešit p</w:t>
      </w:r>
      <w:r w:rsidRPr="00461C16">
        <w:rPr>
          <w:rFonts w:cs="TimesNewRoman"/>
          <w:lang w:eastAsia="cs-CZ"/>
        </w:rPr>
        <w:t>ě</w:t>
      </w:r>
      <w:r w:rsidRPr="00461C16">
        <w:rPr>
          <w:lang w:eastAsia="cs-CZ"/>
        </w:rPr>
        <w:t>ší, cyklistickou i automobilovou obsluhu území ve vazb</w:t>
      </w:r>
      <w:r w:rsidRPr="00461C16">
        <w:rPr>
          <w:rFonts w:cs="TimesNewRoman"/>
          <w:lang w:eastAsia="cs-CZ"/>
        </w:rPr>
        <w:t xml:space="preserve">ě </w:t>
      </w:r>
      <w:r w:rsidRPr="00461C16">
        <w:rPr>
          <w:lang w:eastAsia="cs-CZ"/>
        </w:rPr>
        <w:t>na stávající dopravní systém a plochy vymezené pro novou výstavbu).</w:t>
      </w:r>
    </w:p>
    <w:p w14:paraId="1C975E21" w14:textId="77777777" w:rsidR="00944655" w:rsidRPr="00461C16" w:rsidRDefault="002F66C0" w:rsidP="00944655">
      <w:pPr>
        <w:pStyle w:val="BodyText"/>
        <w:spacing w:before="120" w:after="120"/>
        <w:rPr>
          <w:i/>
          <w:sz w:val="22"/>
          <w:szCs w:val="22"/>
        </w:rPr>
      </w:pPr>
      <w:r w:rsidRPr="00461C16">
        <w:rPr>
          <w:i/>
          <w:sz w:val="22"/>
          <w:szCs w:val="22"/>
        </w:rPr>
        <w:t>ÚP stabilizuje stávající systém dopravní infrastruktury na území města Hrádek nad Nisou a vymezením nových ploch pro další komunikace tento systém dle konkrétních potřeb doplňuje.</w:t>
      </w:r>
    </w:p>
    <w:p w14:paraId="7602CE3C"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w:t>
      </w:r>
      <w:r w:rsidRPr="00461C16">
        <w:rPr>
          <w:rFonts w:cs="TimesNewRoman"/>
          <w:lang w:eastAsia="cs-CZ"/>
        </w:rPr>
        <w:t>ř</w:t>
      </w:r>
      <w:r w:rsidRPr="00461C16">
        <w:rPr>
          <w:lang w:eastAsia="cs-CZ"/>
        </w:rPr>
        <w:t>i navrhování nových rozvojových lokalit respektovat záplavové území.</w:t>
      </w:r>
    </w:p>
    <w:p w14:paraId="64AEC11E" w14:textId="77777777" w:rsidR="00944655" w:rsidRPr="00461C16" w:rsidRDefault="00EF3CB3" w:rsidP="00944655">
      <w:pPr>
        <w:pStyle w:val="BodyText"/>
        <w:spacing w:before="120" w:after="120"/>
        <w:rPr>
          <w:i/>
          <w:sz w:val="22"/>
          <w:szCs w:val="22"/>
        </w:rPr>
      </w:pPr>
      <w:r w:rsidRPr="00461C16">
        <w:rPr>
          <w:i/>
          <w:color w:val="000000"/>
          <w:sz w:val="22"/>
          <w:szCs w:val="22"/>
          <w:shd w:val="clear" w:color="auto" w:fill="FFFFFF"/>
        </w:rPr>
        <w:t>Záplavové území a zejména aktivní zóna záplavového území jsou respektovány jako významné limity využití území.</w:t>
      </w:r>
    </w:p>
    <w:p w14:paraId="1F337657"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Řešit ohrožení území povodněmi. </w:t>
      </w:r>
    </w:p>
    <w:p w14:paraId="144FA44D" w14:textId="77777777" w:rsidR="002F66C0" w:rsidRPr="00461C16" w:rsidRDefault="002F66C0" w:rsidP="002F66C0">
      <w:pPr>
        <w:pStyle w:val="BodyText"/>
        <w:spacing w:before="120" w:after="120"/>
        <w:rPr>
          <w:i/>
          <w:sz w:val="22"/>
          <w:szCs w:val="22"/>
        </w:rPr>
      </w:pPr>
      <w:r w:rsidRPr="00461C16">
        <w:rPr>
          <w:i/>
          <w:sz w:val="22"/>
          <w:szCs w:val="22"/>
        </w:rPr>
        <w:t>ÚP vymezuje v souladu se ZÚR Libereckého kraje koridor protipovodňových opatření X</w:t>
      </w:r>
      <w:r w:rsidR="008067F6" w:rsidRPr="00461C16">
        <w:rPr>
          <w:i/>
          <w:sz w:val="22"/>
          <w:szCs w:val="22"/>
        </w:rPr>
        <w:t>02</w:t>
      </w:r>
      <w:r w:rsidRPr="00461C16">
        <w:rPr>
          <w:i/>
          <w:sz w:val="22"/>
          <w:szCs w:val="22"/>
        </w:rPr>
        <w:t xml:space="preserve"> na Lužické Nise .</w:t>
      </w:r>
      <w:r w:rsidR="0052597B">
        <w:rPr>
          <w:i/>
          <w:sz w:val="22"/>
          <w:szCs w:val="22"/>
        </w:rPr>
        <w:t xml:space="preserve"> </w:t>
      </w:r>
      <w:r w:rsidR="0052597B" w:rsidRPr="0052597B">
        <w:rPr>
          <w:i/>
          <w:sz w:val="22"/>
          <w:szCs w:val="22"/>
        </w:rPr>
        <w:t>Na Oldřichovském potoce byla v roce 2014 dokončena realizace zvodnělého poldru, který zajišťuje protipovodňovou ochranu sídla Oldřichov na Hranicích, v ÚP je poldr respektován.</w:t>
      </w:r>
    </w:p>
    <w:p w14:paraId="4E5ED665" w14:textId="77777777" w:rsidR="00944655" w:rsidRPr="00461C16" w:rsidRDefault="002F66C0" w:rsidP="002F66C0">
      <w:pPr>
        <w:pStyle w:val="BodyText"/>
        <w:spacing w:before="120" w:after="120"/>
        <w:rPr>
          <w:i/>
          <w:sz w:val="22"/>
          <w:szCs w:val="22"/>
        </w:rPr>
      </w:pPr>
      <w:r w:rsidRPr="00461C16">
        <w:rPr>
          <w:i/>
          <w:sz w:val="22"/>
          <w:szCs w:val="22"/>
        </w:rPr>
        <w:t>V ÚP jsou stanoveny specifické podmínky pro plochy v krajině, které obecně sledují zvýšení ekologické stability krajiny a její biodiverzity, zvýšení retenční schopnosti a snížení erozního ohrožení, což patří mezi základní priority územní plánování definované Politikou územního rozvoje a ZÚR</w:t>
      </w:r>
      <w:r w:rsidR="003B07D8">
        <w:rPr>
          <w:i/>
          <w:sz w:val="22"/>
          <w:szCs w:val="22"/>
        </w:rPr>
        <w:t xml:space="preserve"> LK</w:t>
      </w:r>
      <w:r w:rsidRPr="00461C16">
        <w:rPr>
          <w:i/>
          <w:sz w:val="22"/>
          <w:szCs w:val="22"/>
        </w:rPr>
        <w:t>. Pro zvýšení retenční schopnosti krajiny a zároveň pro eliminaci rizika sesuvů půdy a vodní eroze vymezuje ÚP také územní systém ekologické stability.</w:t>
      </w:r>
    </w:p>
    <w:p w14:paraId="2753B1EA"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Je t</w:t>
      </w:r>
      <w:r w:rsidRPr="00461C16">
        <w:rPr>
          <w:rFonts w:cs="TimesNewRoman"/>
          <w:lang w:eastAsia="cs-CZ"/>
        </w:rPr>
        <w:t>ř</w:t>
      </w:r>
      <w:r w:rsidRPr="00461C16">
        <w:rPr>
          <w:lang w:eastAsia="cs-CZ"/>
        </w:rPr>
        <w:t>eba pe</w:t>
      </w:r>
      <w:r w:rsidRPr="00461C16">
        <w:rPr>
          <w:rFonts w:cs="TimesNewRoman"/>
          <w:lang w:eastAsia="cs-CZ"/>
        </w:rPr>
        <w:t>č</w:t>
      </w:r>
      <w:r w:rsidRPr="00461C16">
        <w:rPr>
          <w:lang w:eastAsia="cs-CZ"/>
        </w:rPr>
        <w:t>liv</w:t>
      </w:r>
      <w:r w:rsidRPr="00461C16">
        <w:rPr>
          <w:rFonts w:cs="TimesNewRoman"/>
          <w:lang w:eastAsia="cs-CZ"/>
        </w:rPr>
        <w:t xml:space="preserve">ě </w:t>
      </w:r>
      <w:r w:rsidRPr="00461C16">
        <w:rPr>
          <w:lang w:eastAsia="cs-CZ"/>
        </w:rPr>
        <w:t>zkoumat</w:t>
      </w:r>
      <w:r w:rsidR="00FE7E90" w:rsidRPr="00461C16">
        <w:rPr>
          <w:lang w:eastAsia="cs-CZ"/>
        </w:rPr>
        <w:t>,</w:t>
      </w:r>
      <w:r w:rsidRPr="00461C16">
        <w:rPr>
          <w:lang w:eastAsia="cs-CZ"/>
        </w:rPr>
        <w:t xml:space="preserve"> zda plochy lesa vedené v katastru nemovitostí odpovídají reálnému stavu, v této souvislosti je pot</w:t>
      </w:r>
      <w:r w:rsidRPr="00461C16">
        <w:rPr>
          <w:rFonts w:cs="TimesNewRoman"/>
          <w:lang w:eastAsia="cs-CZ"/>
        </w:rPr>
        <w:t>ř</w:t>
      </w:r>
      <w:r w:rsidRPr="00461C16">
        <w:rPr>
          <w:lang w:eastAsia="cs-CZ"/>
        </w:rPr>
        <w:t>eba provést porovnání ploch s ortofotomapou, dbát na odstran</w:t>
      </w:r>
      <w:r w:rsidRPr="00461C16">
        <w:rPr>
          <w:rFonts w:cs="TimesNewRoman"/>
          <w:lang w:eastAsia="cs-CZ"/>
        </w:rPr>
        <w:t>ě</w:t>
      </w:r>
      <w:r w:rsidRPr="00461C16">
        <w:rPr>
          <w:lang w:eastAsia="cs-CZ"/>
        </w:rPr>
        <w:t>ní nedostatk</w:t>
      </w:r>
      <w:r w:rsidRPr="00461C16">
        <w:rPr>
          <w:rFonts w:cs="TimesNewRoman"/>
          <w:lang w:eastAsia="cs-CZ"/>
        </w:rPr>
        <w:t xml:space="preserve">ů </w:t>
      </w:r>
      <w:r w:rsidRPr="00461C16">
        <w:rPr>
          <w:lang w:eastAsia="cs-CZ"/>
        </w:rPr>
        <w:t>v evidenci nemovitostí.</w:t>
      </w:r>
    </w:p>
    <w:p w14:paraId="50DD33F3" w14:textId="77777777" w:rsidR="00944655" w:rsidRPr="00461C16" w:rsidRDefault="003C40DB" w:rsidP="00944655">
      <w:pPr>
        <w:pStyle w:val="BodyText"/>
        <w:spacing w:before="120" w:after="120"/>
        <w:rPr>
          <w:i/>
          <w:sz w:val="22"/>
          <w:szCs w:val="22"/>
        </w:rPr>
      </w:pPr>
      <w:r w:rsidRPr="00461C16">
        <w:rPr>
          <w:i/>
          <w:sz w:val="22"/>
          <w:szCs w:val="22"/>
        </w:rPr>
        <w:t xml:space="preserve">Předmětem územního plánu není napravovat chyby v evidenci nemovitostí. Součástí plochy NL může být i bezlesí. </w:t>
      </w:r>
    </w:p>
    <w:p w14:paraId="511ED83A"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 xml:space="preserve">Je vhodné </w:t>
      </w:r>
      <w:r w:rsidRPr="00461C16">
        <w:rPr>
          <w:rFonts w:cs="TimesNewRoman"/>
          <w:lang w:eastAsia="cs-CZ"/>
        </w:rPr>
        <w:t>ř</w:t>
      </w:r>
      <w:r w:rsidRPr="00461C16">
        <w:rPr>
          <w:lang w:eastAsia="cs-CZ"/>
        </w:rPr>
        <w:t>ešit nesoulady a dosavadní neoprávn</w:t>
      </w:r>
      <w:r w:rsidRPr="00461C16">
        <w:rPr>
          <w:rFonts w:cs="TimesNewRoman"/>
          <w:lang w:eastAsia="cs-CZ"/>
        </w:rPr>
        <w:t>ě</w:t>
      </w:r>
      <w:r w:rsidRPr="00461C16">
        <w:rPr>
          <w:lang w:eastAsia="cs-CZ"/>
        </w:rPr>
        <w:t>né zábory, pokud se v zájmovém území vyskytují a vymezit rozsah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lských pozemk</w:t>
      </w:r>
      <w:r w:rsidRPr="00461C16">
        <w:rPr>
          <w:rFonts w:cs="TimesNewRoman"/>
          <w:lang w:eastAsia="cs-CZ"/>
        </w:rPr>
        <w:t>ů</w:t>
      </w:r>
      <w:r w:rsidRPr="00461C16">
        <w:rPr>
          <w:lang w:eastAsia="cs-CZ"/>
        </w:rPr>
        <w:t>, které jsou vhodné k zalesn</w:t>
      </w:r>
      <w:r w:rsidRPr="00461C16">
        <w:rPr>
          <w:rFonts w:cs="TimesNewRoman"/>
          <w:lang w:eastAsia="cs-CZ"/>
        </w:rPr>
        <w:t>ě</w:t>
      </w:r>
      <w:r w:rsidRPr="00461C16">
        <w:rPr>
          <w:lang w:eastAsia="cs-CZ"/>
        </w:rPr>
        <w:t>ní a naopak, kde zalesn</w:t>
      </w:r>
      <w:r w:rsidRPr="00461C16">
        <w:rPr>
          <w:rFonts w:cs="TimesNewRoman"/>
          <w:lang w:eastAsia="cs-CZ"/>
        </w:rPr>
        <w:t>ě</w:t>
      </w:r>
      <w:r w:rsidRPr="00461C16">
        <w:rPr>
          <w:lang w:eastAsia="cs-CZ"/>
        </w:rPr>
        <w:t>ní není možné.</w:t>
      </w:r>
    </w:p>
    <w:p w14:paraId="275A18F1" w14:textId="77777777" w:rsidR="00944655" w:rsidRPr="00461C16" w:rsidRDefault="003C40DB" w:rsidP="00944655">
      <w:pPr>
        <w:pStyle w:val="BodyText"/>
        <w:spacing w:before="120" w:after="120"/>
        <w:rPr>
          <w:i/>
          <w:sz w:val="22"/>
          <w:szCs w:val="22"/>
        </w:rPr>
      </w:pPr>
      <w:r w:rsidRPr="00461C16">
        <w:rPr>
          <w:i/>
          <w:sz w:val="22"/>
          <w:szCs w:val="22"/>
        </w:rPr>
        <w:t>Vymezení ploch s rozdílným způsobem využití zohledňuje především reálný stav využití pozemků v porovnání se stavem dle KN. Zalesnění nebylo shledáno jako potřebné (/viz vyhodnocení k bodu 439).</w:t>
      </w:r>
    </w:p>
    <w:p w14:paraId="467B904B" w14:textId="77777777" w:rsidR="00B119B9"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w:t>
      </w:r>
      <w:r w:rsidRPr="00461C16">
        <w:rPr>
          <w:rFonts w:cs="TimesNewRoman"/>
          <w:lang w:eastAsia="cs-CZ"/>
        </w:rPr>
        <w:t>ř</w:t>
      </w:r>
      <w:r w:rsidRPr="00461C16">
        <w:rPr>
          <w:lang w:eastAsia="cs-CZ"/>
        </w:rPr>
        <w:t>i navrhování rozvojových lokalit neohrozit prostupnost krajiny.</w:t>
      </w:r>
    </w:p>
    <w:p w14:paraId="0D5B76AC" w14:textId="77777777" w:rsidR="00DB7576" w:rsidRPr="00461C16" w:rsidRDefault="00B119B9"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Požadavek na vymezení ploch bydlení, rekreace a ploch smíšených tak, aby nedocházelo k negativnímu ovlivn</w:t>
      </w:r>
      <w:r w:rsidRPr="00461C16">
        <w:rPr>
          <w:rFonts w:cs="TimesNewRoman"/>
          <w:lang w:eastAsia="cs-CZ"/>
        </w:rPr>
        <w:t>ě</w:t>
      </w:r>
      <w:r w:rsidRPr="00461C16">
        <w:rPr>
          <w:lang w:eastAsia="cs-CZ"/>
        </w:rPr>
        <w:t>ní objekt</w:t>
      </w:r>
      <w:r w:rsidRPr="00461C16">
        <w:rPr>
          <w:rFonts w:cs="TimesNewRoman"/>
          <w:lang w:eastAsia="cs-CZ"/>
        </w:rPr>
        <w:t xml:space="preserve">ů </w:t>
      </w:r>
      <w:r w:rsidRPr="00461C16">
        <w:rPr>
          <w:lang w:eastAsia="cs-CZ"/>
        </w:rPr>
        <w:t>bydlení vlivem provoz</w:t>
      </w:r>
      <w:r w:rsidRPr="00461C16">
        <w:rPr>
          <w:rFonts w:cs="TimesNewRoman"/>
          <w:lang w:eastAsia="cs-CZ"/>
        </w:rPr>
        <w:t>ů</w:t>
      </w:r>
      <w:r w:rsidRPr="00461C16">
        <w:rPr>
          <w:lang w:eastAsia="cs-CZ"/>
        </w:rPr>
        <w:t>.</w:t>
      </w:r>
    </w:p>
    <w:p w14:paraId="08E46DC5" w14:textId="77777777" w:rsidR="00944655" w:rsidRPr="00461C16" w:rsidRDefault="00EF3CB3" w:rsidP="00944655">
      <w:pPr>
        <w:pStyle w:val="BodyText"/>
        <w:spacing w:before="120" w:after="120"/>
        <w:rPr>
          <w:i/>
          <w:sz w:val="22"/>
          <w:szCs w:val="22"/>
        </w:rPr>
      </w:pPr>
      <w:r w:rsidRPr="00461C16">
        <w:rPr>
          <w:i/>
          <w:color w:val="000000"/>
          <w:sz w:val="22"/>
          <w:szCs w:val="22"/>
          <w:shd w:val="clear" w:color="auto" w:fill="FFFFFF"/>
        </w:rPr>
        <w:t>Plochy s podílem bydlení (trvalého i rekreačního) jsou vymezeny přednostně v polohách, kde je vyloučen či minimalizován negativní vliv z výroby či dopravy, případně jsou navržena opatření pro ochranu pohody bydlení, zejména formou zelených pásů.</w:t>
      </w:r>
    </w:p>
    <w:p w14:paraId="3E53C468" w14:textId="77777777" w:rsidR="00DB7576" w:rsidRPr="00461C16" w:rsidRDefault="00DB757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bCs/>
          <w:lang w:eastAsia="cs-CZ"/>
        </w:rPr>
        <w:t>St</w:t>
      </w:r>
      <w:r w:rsidRPr="00461C16">
        <w:rPr>
          <w:rFonts w:cs="TimesNewRoman,Bold"/>
          <w:bCs/>
          <w:lang w:eastAsia="cs-CZ"/>
        </w:rPr>
        <w:t>ř</w:t>
      </w:r>
      <w:r w:rsidRPr="00461C16">
        <w:rPr>
          <w:bCs/>
          <w:lang w:eastAsia="cs-CZ"/>
        </w:rPr>
        <w:t>ety zám</w:t>
      </w:r>
      <w:r w:rsidRPr="00461C16">
        <w:rPr>
          <w:rFonts w:cs="TimesNewRoman,Bold"/>
          <w:bCs/>
          <w:lang w:eastAsia="cs-CZ"/>
        </w:rPr>
        <w:t>ě</w:t>
      </w:r>
      <w:r w:rsidRPr="00461C16">
        <w:rPr>
          <w:bCs/>
          <w:lang w:eastAsia="cs-CZ"/>
        </w:rPr>
        <w:t>r</w:t>
      </w:r>
      <w:r w:rsidRPr="00461C16">
        <w:rPr>
          <w:rFonts w:cs="TimesNewRoman,Bold"/>
          <w:bCs/>
          <w:lang w:eastAsia="cs-CZ"/>
        </w:rPr>
        <w:t xml:space="preserve">ů </w:t>
      </w:r>
      <w:r w:rsidRPr="00461C16">
        <w:rPr>
          <w:bCs/>
          <w:lang w:eastAsia="cs-CZ"/>
        </w:rPr>
        <w:t>dle Územn</w:t>
      </w:r>
      <w:r w:rsidRPr="00461C16">
        <w:rPr>
          <w:rFonts w:cs="TimesNewRoman,Bold"/>
          <w:bCs/>
          <w:lang w:eastAsia="cs-CZ"/>
        </w:rPr>
        <w:t xml:space="preserve">ě </w:t>
      </w:r>
      <w:r w:rsidRPr="00461C16">
        <w:rPr>
          <w:bCs/>
          <w:lang w:eastAsia="cs-CZ"/>
        </w:rPr>
        <w:t>analytických podklad</w:t>
      </w:r>
      <w:r w:rsidRPr="00461C16">
        <w:rPr>
          <w:rFonts w:cs="TimesNewRoman,Bold"/>
          <w:bCs/>
          <w:lang w:eastAsia="cs-CZ"/>
        </w:rPr>
        <w:t xml:space="preserve">ů </w:t>
      </w:r>
      <w:r w:rsidRPr="00461C16">
        <w:rPr>
          <w:bCs/>
          <w:lang w:eastAsia="cs-CZ"/>
        </w:rPr>
        <w:t>Libereckého kraje:</w:t>
      </w:r>
    </w:p>
    <w:p w14:paraId="2EA29935" w14:textId="77777777" w:rsidR="00DB7576" w:rsidRPr="00461C16" w:rsidRDefault="00DB7576" w:rsidP="00CF1D28">
      <w:pPr>
        <w:pStyle w:val="ListParagraph"/>
        <w:numPr>
          <w:ilvl w:val="0"/>
          <w:numId w:val="37"/>
        </w:numPr>
        <w:autoSpaceDE w:val="0"/>
        <w:autoSpaceDN w:val="0"/>
        <w:adjustRightInd w:val="0"/>
        <w:spacing w:before="60" w:line="240" w:lineRule="auto"/>
        <w:rPr>
          <w:lang w:eastAsia="cs-CZ"/>
        </w:rPr>
      </w:pPr>
      <w:r w:rsidRPr="00461C16">
        <w:rPr>
          <w:lang w:eastAsia="cs-CZ"/>
        </w:rPr>
        <w:t>st</w:t>
      </w:r>
      <w:r w:rsidRPr="00461C16">
        <w:rPr>
          <w:rFonts w:cs="TimesNewRoman"/>
          <w:lang w:eastAsia="cs-CZ"/>
        </w:rPr>
        <w:t>ř</w:t>
      </w:r>
      <w:r w:rsidRPr="00461C16">
        <w:rPr>
          <w:lang w:eastAsia="cs-CZ"/>
        </w:rPr>
        <w:t>et PZ7 – plocha pro podnikatelské aktivity s</w:t>
      </w:r>
      <w:r w:rsidR="00FE7E90" w:rsidRPr="00461C16">
        <w:rPr>
          <w:lang w:eastAsia="cs-CZ"/>
        </w:rPr>
        <w:t>e</w:t>
      </w:r>
      <w:r w:rsidRPr="00461C16">
        <w:rPr>
          <w:lang w:eastAsia="cs-CZ"/>
        </w:rPr>
        <w:t xml:space="preserve"> zásobami nerostných surovin</w:t>
      </w:r>
    </w:p>
    <w:p w14:paraId="2EDC4E69" w14:textId="77777777" w:rsidR="00DB7576" w:rsidRPr="00461C16" w:rsidRDefault="00DB7576" w:rsidP="00CF1D28">
      <w:pPr>
        <w:pStyle w:val="ListParagraph"/>
        <w:numPr>
          <w:ilvl w:val="0"/>
          <w:numId w:val="37"/>
        </w:numPr>
        <w:autoSpaceDE w:val="0"/>
        <w:autoSpaceDN w:val="0"/>
        <w:adjustRightInd w:val="0"/>
        <w:spacing w:before="60" w:line="240" w:lineRule="auto"/>
        <w:rPr>
          <w:lang w:eastAsia="cs-CZ"/>
        </w:rPr>
      </w:pPr>
      <w:r w:rsidRPr="00461C16">
        <w:rPr>
          <w:lang w:eastAsia="cs-CZ"/>
        </w:rPr>
        <w:t>st</w:t>
      </w:r>
      <w:r w:rsidRPr="00461C16">
        <w:rPr>
          <w:rFonts w:cs="TimesNewRoman"/>
          <w:lang w:eastAsia="cs-CZ"/>
        </w:rPr>
        <w:t>ř</w:t>
      </w:r>
      <w:r w:rsidRPr="00461C16">
        <w:rPr>
          <w:lang w:eastAsia="cs-CZ"/>
        </w:rPr>
        <w:t>et D02 - silnice I/35 – novostavba se zásobami nerostných surovin</w:t>
      </w:r>
    </w:p>
    <w:p w14:paraId="54B8E8E9" w14:textId="77777777" w:rsidR="00DB7576" w:rsidRPr="00461C16" w:rsidRDefault="00DB7576" w:rsidP="00CF1D28">
      <w:pPr>
        <w:pStyle w:val="ListParagraph"/>
        <w:numPr>
          <w:ilvl w:val="0"/>
          <w:numId w:val="37"/>
        </w:numPr>
        <w:autoSpaceDE w:val="0"/>
        <w:autoSpaceDN w:val="0"/>
        <w:adjustRightInd w:val="0"/>
        <w:spacing w:before="60" w:line="240" w:lineRule="auto"/>
        <w:rPr>
          <w:lang w:eastAsia="cs-CZ"/>
        </w:rPr>
      </w:pPr>
      <w:r w:rsidRPr="00461C16">
        <w:rPr>
          <w:lang w:eastAsia="cs-CZ"/>
        </w:rPr>
        <w:t>st</w:t>
      </w:r>
      <w:r w:rsidRPr="00461C16">
        <w:rPr>
          <w:rFonts w:cs="TimesNewRoman"/>
          <w:lang w:eastAsia="cs-CZ"/>
        </w:rPr>
        <w:t>ř</w:t>
      </w:r>
      <w:r w:rsidRPr="00461C16">
        <w:rPr>
          <w:lang w:eastAsia="cs-CZ"/>
        </w:rPr>
        <w:t>et D33A - železni</w:t>
      </w:r>
      <w:r w:rsidRPr="00461C16">
        <w:rPr>
          <w:rFonts w:cs="TimesNewRoman"/>
          <w:lang w:eastAsia="cs-CZ"/>
        </w:rPr>
        <w:t>č</w:t>
      </w:r>
      <w:r w:rsidRPr="00461C16">
        <w:rPr>
          <w:lang w:eastAsia="cs-CZ"/>
        </w:rPr>
        <w:t>ní doprava D</w:t>
      </w:r>
      <w:r w:rsidRPr="00461C16">
        <w:rPr>
          <w:rFonts w:cs="TimesNewRoman"/>
          <w:lang w:eastAsia="cs-CZ"/>
        </w:rPr>
        <w:t>ěč</w:t>
      </w:r>
      <w:r w:rsidRPr="00461C16">
        <w:rPr>
          <w:lang w:eastAsia="cs-CZ"/>
        </w:rPr>
        <w:t xml:space="preserve">ín - </w:t>
      </w:r>
      <w:r w:rsidRPr="00461C16">
        <w:rPr>
          <w:rFonts w:cs="TimesNewRoman"/>
          <w:lang w:eastAsia="cs-CZ"/>
        </w:rPr>
        <w:t>Č</w:t>
      </w:r>
      <w:r w:rsidRPr="00461C16">
        <w:rPr>
          <w:lang w:eastAsia="cs-CZ"/>
        </w:rPr>
        <w:t>eská Lípa – Liberec s CHKO</w:t>
      </w:r>
    </w:p>
    <w:p w14:paraId="54CC1985" w14:textId="77777777" w:rsidR="00DB7576" w:rsidRPr="00461C16" w:rsidRDefault="00DB7576" w:rsidP="00CF1D28">
      <w:pPr>
        <w:pStyle w:val="ListParagraph"/>
        <w:numPr>
          <w:ilvl w:val="0"/>
          <w:numId w:val="37"/>
        </w:numPr>
        <w:autoSpaceDE w:val="0"/>
        <w:autoSpaceDN w:val="0"/>
        <w:adjustRightInd w:val="0"/>
        <w:spacing w:before="60" w:line="240" w:lineRule="auto"/>
        <w:rPr>
          <w:lang w:eastAsia="cs-CZ"/>
        </w:rPr>
      </w:pPr>
      <w:r w:rsidRPr="00461C16">
        <w:rPr>
          <w:lang w:eastAsia="cs-CZ"/>
        </w:rPr>
        <w:lastRenderedPageBreak/>
        <w:t>st</w:t>
      </w:r>
      <w:r w:rsidRPr="00461C16">
        <w:rPr>
          <w:rFonts w:cs="TimesNewRoman"/>
          <w:lang w:eastAsia="cs-CZ"/>
        </w:rPr>
        <w:t>ř</w:t>
      </w:r>
      <w:r w:rsidRPr="00461C16">
        <w:rPr>
          <w:lang w:eastAsia="cs-CZ"/>
        </w:rPr>
        <w:t>et D42 - multifunk</w:t>
      </w:r>
      <w:r w:rsidRPr="00461C16">
        <w:rPr>
          <w:rFonts w:cs="TimesNewRoman"/>
          <w:lang w:eastAsia="cs-CZ"/>
        </w:rPr>
        <w:t>č</w:t>
      </w:r>
      <w:r w:rsidRPr="00461C16">
        <w:rPr>
          <w:lang w:eastAsia="cs-CZ"/>
        </w:rPr>
        <w:t>ní turistický koridor s</w:t>
      </w:r>
      <w:r w:rsidR="00944655" w:rsidRPr="00461C16">
        <w:rPr>
          <w:lang w:eastAsia="cs-CZ"/>
        </w:rPr>
        <w:t> </w:t>
      </w:r>
      <w:r w:rsidRPr="00461C16">
        <w:rPr>
          <w:lang w:eastAsia="cs-CZ"/>
        </w:rPr>
        <w:t>CHKO</w:t>
      </w:r>
    </w:p>
    <w:p w14:paraId="34FBEC38" w14:textId="77777777" w:rsidR="00944655" w:rsidRPr="00461C16" w:rsidRDefault="00EF3CB3" w:rsidP="00944655">
      <w:pPr>
        <w:pStyle w:val="BodyText"/>
        <w:spacing w:before="120" w:after="120"/>
        <w:rPr>
          <w:i/>
          <w:sz w:val="22"/>
          <w:szCs w:val="22"/>
        </w:rPr>
      </w:pPr>
      <w:r w:rsidRPr="00461C16">
        <w:rPr>
          <w:i/>
          <w:color w:val="000000"/>
          <w:sz w:val="22"/>
          <w:szCs w:val="22"/>
          <w:shd w:val="clear" w:color="auto" w:fill="FFFFFF"/>
        </w:rPr>
        <w:t>Jednotlivé střety záměrů byly prověřeny</w:t>
      </w:r>
      <w:r w:rsidR="0081116F" w:rsidRPr="00461C16">
        <w:rPr>
          <w:i/>
          <w:color w:val="000000"/>
          <w:sz w:val="22"/>
          <w:szCs w:val="22"/>
          <w:shd w:val="clear" w:color="auto" w:fill="FFFFFF"/>
        </w:rPr>
        <w:t xml:space="preserve"> s ohledem na měřítko ÚAP kraje</w:t>
      </w:r>
      <w:r w:rsidRPr="00461C16">
        <w:rPr>
          <w:i/>
          <w:color w:val="000000"/>
          <w:sz w:val="22"/>
          <w:szCs w:val="22"/>
          <w:shd w:val="clear" w:color="auto" w:fill="FFFFFF"/>
        </w:rPr>
        <w:t xml:space="preserve"> a</w:t>
      </w:r>
      <w:r w:rsidR="0081116F" w:rsidRPr="00461C16">
        <w:rPr>
          <w:i/>
          <w:color w:val="000000"/>
          <w:sz w:val="22"/>
          <w:szCs w:val="22"/>
          <w:shd w:val="clear" w:color="auto" w:fill="FFFFFF"/>
        </w:rPr>
        <w:t xml:space="preserve"> v možné míře</w:t>
      </w:r>
      <w:r w:rsidRPr="00461C16">
        <w:rPr>
          <w:i/>
          <w:color w:val="000000"/>
          <w:sz w:val="22"/>
          <w:szCs w:val="22"/>
          <w:shd w:val="clear" w:color="auto" w:fill="FFFFFF"/>
        </w:rPr>
        <w:t xml:space="preserve"> zohledněny</w:t>
      </w:r>
      <w:r w:rsidR="0081116F" w:rsidRPr="00461C16">
        <w:rPr>
          <w:i/>
          <w:color w:val="000000"/>
          <w:sz w:val="22"/>
          <w:szCs w:val="22"/>
          <w:shd w:val="clear" w:color="auto" w:fill="FFFFFF"/>
        </w:rPr>
        <w:t>.</w:t>
      </w:r>
    </w:p>
    <w:p w14:paraId="3FA1DF35" w14:textId="77777777" w:rsidR="00DB7576" w:rsidRPr="00461C16" w:rsidRDefault="00DB757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Střety záměrů a problémy v území dle Územně analytických podkladů ORP Liberec:</w:t>
      </w:r>
    </w:p>
    <w:p w14:paraId="3FFCDD4E" w14:textId="77777777" w:rsidR="00DB7576" w:rsidRPr="00461C16" w:rsidRDefault="00DB7576" w:rsidP="00CF1D28">
      <w:pPr>
        <w:pStyle w:val="ListParagraph"/>
        <w:numPr>
          <w:ilvl w:val="0"/>
          <w:numId w:val="38"/>
        </w:numPr>
        <w:autoSpaceDE w:val="0"/>
        <w:autoSpaceDN w:val="0"/>
        <w:adjustRightInd w:val="0"/>
        <w:spacing w:before="60" w:line="240" w:lineRule="auto"/>
        <w:rPr>
          <w:lang w:eastAsia="cs-CZ"/>
        </w:rPr>
      </w:pPr>
      <w:r w:rsidRPr="00461C16">
        <w:rPr>
          <w:lang w:eastAsia="cs-CZ"/>
        </w:rPr>
        <w:t>st</w:t>
      </w:r>
      <w:r w:rsidRPr="00461C16">
        <w:rPr>
          <w:rFonts w:cs="TimesNewRoman"/>
          <w:lang w:eastAsia="cs-CZ"/>
        </w:rPr>
        <w:t>ř</w:t>
      </w:r>
      <w:r w:rsidRPr="00461C16">
        <w:rPr>
          <w:lang w:eastAsia="cs-CZ"/>
        </w:rPr>
        <w:t>ety návrhových ploch dle stáv. ÚPD se starými ekologickými zát</w:t>
      </w:r>
      <w:r w:rsidRPr="00461C16">
        <w:rPr>
          <w:rFonts w:cs="TimesNewRoman"/>
          <w:lang w:eastAsia="cs-CZ"/>
        </w:rPr>
        <w:t>ě</w:t>
      </w:r>
      <w:r w:rsidRPr="00461C16">
        <w:rPr>
          <w:lang w:eastAsia="cs-CZ"/>
        </w:rPr>
        <w:t>žemi, záplavovým územím, hygienickými ochrannými pásmy, horninovým prost</w:t>
      </w:r>
      <w:r w:rsidRPr="00461C16">
        <w:rPr>
          <w:rFonts w:cs="TimesNewRoman"/>
          <w:lang w:eastAsia="cs-CZ"/>
        </w:rPr>
        <w:t>ř</w:t>
      </w:r>
      <w:r w:rsidRPr="00461C16">
        <w:rPr>
          <w:lang w:eastAsia="cs-CZ"/>
        </w:rPr>
        <w:t>edím, ochrannými pásmy dopravní infrastruktury, ÚSES, zvlášt</w:t>
      </w:r>
      <w:r w:rsidRPr="00461C16">
        <w:rPr>
          <w:rFonts w:cs="TimesNewRoman"/>
          <w:lang w:eastAsia="cs-CZ"/>
        </w:rPr>
        <w:t xml:space="preserve">ě </w:t>
      </w:r>
      <w:r w:rsidRPr="00461C16">
        <w:rPr>
          <w:lang w:eastAsia="cs-CZ"/>
        </w:rPr>
        <w:t>chrán</w:t>
      </w:r>
      <w:r w:rsidRPr="00461C16">
        <w:rPr>
          <w:rFonts w:cs="TimesNewRoman"/>
          <w:lang w:eastAsia="cs-CZ"/>
        </w:rPr>
        <w:t>ě</w:t>
      </w:r>
      <w:r w:rsidRPr="00461C16">
        <w:rPr>
          <w:lang w:eastAsia="cs-CZ"/>
        </w:rPr>
        <w:t>nými územími p</w:t>
      </w:r>
      <w:r w:rsidRPr="00461C16">
        <w:rPr>
          <w:rFonts w:cs="TimesNewRoman"/>
          <w:lang w:eastAsia="cs-CZ"/>
        </w:rPr>
        <w:t>ř</w:t>
      </w:r>
      <w:r w:rsidRPr="00461C16">
        <w:rPr>
          <w:lang w:eastAsia="cs-CZ"/>
        </w:rPr>
        <w:t>írody</w:t>
      </w:r>
    </w:p>
    <w:p w14:paraId="62C2C623" w14:textId="77777777" w:rsidR="00DB7576" w:rsidRPr="00461C16" w:rsidRDefault="00DB7576" w:rsidP="00CF1D28">
      <w:pPr>
        <w:pStyle w:val="ListParagraph"/>
        <w:numPr>
          <w:ilvl w:val="0"/>
          <w:numId w:val="38"/>
        </w:numPr>
        <w:autoSpaceDE w:val="0"/>
        <w:autoSpaceDN w:val="0"/>
        <w:adjustRightInd w:val="0"/>
        <w:spacing w:before="60" w:line="240" w:lineRule="auto"/>
        <w:rPr>
          <w:lang w:eastAsia="cs-CZ"/>
        </w:rPr>
      </w:pPr>
      <w:r w:rsidRPr="00461C16">
        <w:rPr>
          <w:lang w:eastAsia="cs-CZ"/>
        </w:rPr>
        <w:t>st</w:t>
      </w:r>
      <w:r w:rsidRPr="00461C16">
        <w:rPr>
          <w:rFonts w:cs="TimesNewRoman"/>
          <w:lang w:eastAsia="cs-CZ"/>
        </w:rPr>
        <w:t>ř</w:t>
      </w:r>
      <w:r w:rsidRPr="00461C16">
        <w:rPr>
          <w:lang w:eastAsia="cs-CZ"/>
        </w:rPr>
        <w:t>ety nadmístních zám</w:t>
      </w:r>
      <w:r w:rsidRPr="00461C16">
        <w:rPr>
          <w:rFonts w:cs="TimesNewRoman"/>
          <w:lang w:eastAsia="cs-CZ"/>
        </w:rPr>
        <w:t>ě</w:t>
      </w:r>
      <w:r w:rsidRPr="00461C16">
        <w:rPr>
          <w:lang w:eastAsia="cs-CZ"/>
        </w:rPr>
        <w:t>r</w:t>
      </w:r>
      <w:r w:rsidRPr="00461C16">
        <w:rPr>
          <w:rFonts w:cs="TimesNewRoman"/>
          <w:lang w:eastAsia="cs-CZ"/>
        </w:rPr>
        <w:t>ů</w:t>
      </w:r>
      <w:r w:rsidRPr="00461C16">
        <w:rPr>
          <w:lang w:eastAsia="cs-CZ"/>
        </w:rPr>
        <w:t>: silnice I. t</w:t>
      </w:r>
      <w:r w:rsidRPr="00461C16">
        <w:rPr>
          <w:rFonts w:cs="TimesNewRoman"/>
          <w:lang w:eastAsia="cs-CZ"/>
        </w:rPr>
        <w:t>ř</w:t>
      </w:r>
      <w:r w:rsidRPr="00461C16">
        <w:rPr>
          <w:lang w:eastAsia="cs-CZ"/>
        </w:rPr>
        <w:t>ídy s ÚSES a ochrannými pásmy vodních zdroj</w:t>
      </w:r>
      <w:r w:rsidRPr="00461C16">
        <w:rPr>
          <w:rFonts w:cs="TimesNewRoman"/>
          <w:lang w:eastAsia="cs-CZ"/>
        </w:rPr>
        <w:t>ů</w:t>
      </w:r>
      <w:r w:rsidRPr="00461C16">
        <w:rPr>
          <w:lang w:eastAsia="cs-CZ"/>
        </w:rPr>
        <w:t>, dobývacího prostoru s ochrannými pásmy technické infrastruktury</w:t>
      </w:r>
    </w:p>
    <w:p w14:paraId="65380D85" w14:textId="77777777" w:rsidR="00DB7576" w:rsidRPr="00461C16" w:rsidRDefault="00DB7576" w:rsidP="00CF1D28">
      <w:pPr>
        <w:pStyle w:val="ListParagraph"/>
        <w:numPr>
          <w:ilvl w:val="0"/>
          <w:numId w:val="38"/>
        </w:numPr>
        <w:autoSpaceDE w:val="0"/>
        <w:autoSpaceDN w:val="0"/>
        <w:adjustRightInd w:val="0"/>
        <w:spacing w:before="60" w:line="240" w:lineRule="auto"/>
        <w:rPr>
          <w:lang w:eastAsia="cs-CZ"/>
        </w:rPr>
      </w:pPr>
      <w:r w:rsidRPr="00461C16">
        <w:rPr>
          <w:lang w:eastAsia="cs-CZ"/>
        </w:rPr>
        <w:t>nedostate</w:t>
      </w:r>
      <w:r w:rsidRPr="00461C16">
        <w:rPr>
          <w:rFonts w:cs="TimesNewRoman"/>
          <w:lang w:eastAsia="cs-CZ"/>
        </w:rPr>
        <w:t>č</w:t>
      </w:r>
      <w:r w:rsidRPr="00461C16">
        <w:rPr>
          <w:lang w:eastAsia="cs-CZ"/>
        </w:rPr>
        <w:t xml:space="preserve">né </w:t>
      </w:r>
      <w:r w:rsidRPr="00461C16">
        <w:rPr>
          <w:rFonts w:cs="TimesNewRoman"/>
          <w:lang w:eastAsia="cs-CZ"/>
        </w:rPr>
        <w:t>č</w:t>
      </w:r>
      <w:r w:rsidRPr="00461C16">
        <w:rPr>
          <w:lang w:eastAsia="cs-CZ"/>
        </w:rPr>
        <w:t>išt</w:t>
      </w:r>
      <w:r w:rsidRPr="00461C16">
        <w:rPr>
          <w:rFonts w:cs="TimesNewRoman"/>
          <w:lang w:eastAsia="cs-CZ"/>
        </w:rPr>
        <w:t>ě</w:t>
      </w:r>
      <w:r w:rsidRPr="00461C16">
        <w:rPr>
          <w:lang w:eastAsia="cs-CZ"/>
        </w:rPr>
        <w:t>ní odpadních vod sídel v okolí m</w:t>
      </w:r>
      <w:r w:rsidRPr="00461C16">
        <w:rPr>
          <w:rFonts w:cs="TimesNewRoman"/>
          <w:lang w:eastAsia="cs-CZ"/>
        </w:rPr>
        <w:t>ě</w:t>
      </w:r>
      <w:r w:rsidRPr="00461C16">
        <w:rPr>
          <w:lang w:eastAsia="cs-CZ"/>
        </w:rPr>
        <w:t>sta</w:t>
      </w:r>
    </w:p>
    <w:p w14:paraId="326B9B3B" w14:textId="77777777" w:rsidR="00DB7576" w:rsidRPr="00461C16" w:rsidRDefault="00DB7576" w:rsidP="00CF1D28">
      <w:pPr>
        <w:pStyle w:val="ListParagraph"/>
        <w:numPr>
          <w:ilvl w:val="0"/>
          <w:numId w:val="38"/>
        </w:numPr>
        <w:autoSpaceDE w:val="0"/>
        <w:autoSpaceDN w:val="0"/>
        <w:adjustRightInd w:val="0"/>
        <w:spacing w:before="60" w:line="240" w:lineRule="auto"/>
        <w:rPr>
          <w:lang w:eastAsia="cs-CZ"/>
        </w:rPr>
      </w:pPr>
      <w:r w:rsidRPr="00461C16">
        <w:rPr>
          <w:lang w:eastAsia="cs-CZ"/>
        </w:rPr>
        <w:t>nevyužívané výrobní areály – brownfields (bývalá Praga, Kolora, Bekon a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lské stavby)</w:t>
      </w:r>
    </w:p>
    <w:p w14:paraId="652F0032" w14:textId="77777777" w:rsidR="00DB7576" w:rsidRPr="00461C16" w:rsidRDefault="00DB7576" w:rsidP="00CF1D28">
      <w:pPr>
        <w:pStyle w:val="ListParagraph"/>
        <w:numPr>
          <w:ilvl w:val="0"/>
          <w:numId w:val="38"/>
        </w:numPr>
        <w:autoSpaceDE w:val="0"/>
        <w:autoSpaceDN w:val="0"/>
        <w:adjustRightInd w:val="0"/>
        <w:spacing w:before="60" w:line="240" w:lineRule="auto"/>
        <w:rPr>
          <w:lang w:eastAsia="cs-CZ"/>
        </w:rPr>
      </w:pPr>
      <w:r w:rsidRPr="00461C16">
        <w:rPr>
          <w:lang w:eastAsia="cs-CZ"/>
        </w:rPr>
        <w:t>komplikovaná doprava sm</w:t>
      </w:r>
      <w:r w:rsidRPr="00461C16">
        <w:rPr>
          <w:rFonts w:cs="TimesNewRoman"/>
          <w:lang w:eastAsia="cs-CZ"/>
        </w:rPr>
        <w:t>ě</w:t>
      </w:r>
      <w:r w:rsidRPr="00461C16">
        <w:rPr>
          <w:lang w:eastAsia="cs-CZ"/>
        </w:rPr>
        <w:t xml:space="preserve">rem na jih (Rynoltice, </w:t>
      </w:r>
      <w:r w:rsidRPr="00461C16">
        <w:rPr>
          <w:rFonts w:cs="TimesNewRoman"/>
          <w:lang w:eastAsia="cs-CZ"/>
        </w:rPr>
        <w:t>Č</w:t>
      </w:r>
      <w:r w:rsidRPr="00461C16">
        <w:rPr>
          <w:lang w:eastAsia="cs-CZ"/>
        </w:rPr>
        <w:t>eská Lípa)</w:t>
      </w:r>
    </w:p>
    <w:p w14:paraId="57276F3B" w14:textId="77777777" w:rsidR="00DB7576" w:rsidRPr="00461C16" w:rsidRDefault="00DB7576" w:rsidP="00CF1D28">
      <w:pPr>
        <w:pStyle w:val="ListParagraph"/>
        <w:numPr>
          <w:ilvl w:val="0"/>
          <w:numId w:val="38"/>
        </w:numPr>
        <w:autoSpaceDE w:val="0"/>
        <w:autoSpaceDN w:val="0"/>
        <w:adjustRightInd w:val="0"/>
        <w:spacing w:before="60" w:line="240" w:lineRule="auto"/>
        <w:rPr>
          <w:lang w:eastAsia="cs-CZ"/>
        </w:rPr>
      </w:pPr>
      <w:r w:rsidRPr="00461C16">
        <w:rPr>
          <w:rFonts w:cs="TimesNewRoman"/>
          <w:lang w:eastAsia="cs-CZ"/>
        </w:rPr>
        <w:t>č</w:t>
      </w:r>
      <w:r w:rsidRPr="00461C16">
        <w:rPr>
          <w:lang w:eastAsia="cs-CZ"/>
        </w:rPr>
        <w:t>ást zástavby v záplavovém území q100, riziko povodní</w:t>
      </w:r>
    </w:p>
    <w:p w14:paraId="1EE307F2" w14:textId="77777777" w:rsidR="00DB7576" w:rsidRPr="00461C16" w:rsidRDefault="00DB7576" w:rsidP="00CF1D28">
      <w:pPr>
        <w:pStyle w:val="ListParagraph"/>
        <w:numPr>
          <w:ilvl w:val="0"/>
          <w:numId w:val="38"/>
        </w:numPr>
        <w:autoSpaceDE w:val="0"/>
        <w:autoSpaceDN w:val="0"/>
        <w:adjustRightInd w:val="0"/>
        <w:spacing w:before="60" w:line="240" w:lineRule="auto"/>
        <w:rPr>
          <w:lang w:eastAsia="cs-CZ"/>
        </w:rPr>
      </w:pPr>
      <w:r w:rsidRPr="00461C16">
        <w:rPr>
          <w:lang w:eastAsia="cs-CZ"/>
        </w:rPr>
        <w:t>nedostate</w:t>
      </w:r>
      <w:r w:rsidRPr="00461C16">
        <w:rPr>
          <w:rFonts w:cs="TimesNewRoman"/>
          <w:lang w:eastAsia="cs-CZ"/>
        </w:rPr>
        <w:t>č</w:t>
      </w:r>
      <w:r w:rsidRPr="00461C16">
        <w:rPr>
          <w:lang w:eastAsia="cs-CZ"/>
        </w:rPr>
        <w:t>né místní zdroje pitné vody (Uhelná) závislé na poklesu spodní vody vlivem t</w:t>
      </w:r>
      <w:r w:rsidRPr="00461C16">
        <w:rPr>
          <w:rFonts w:cs="TimesNewRoman"/>
          <w:lang w:eastAsia="cs-CZ"/>
        </w:rPr>
        <w:t>ě</w:t>
      </w:r>
      <w:r w:rsidRPr="00461C16">
        <w:rPr>
          <w:lang w:eastAsia="cs-CZ"/>
        </w:rPr>
        <w:t>žby v Polsku</w:t>
      </w:r>
    </w:p>
    <w:p w14:paraId="06B49CC5" w14:textId="77777777" w:rsidR="00DB7576" w:rsidRPr="00461C16" w:rsidRDefault="00DB7576" w:rsidP="00CF1D28">
      <w:pPr>
        <w:pStyle w:val="ListParagraph"/>
        <w:numPr>
          <w:ilvl w:val="0"/>
          <w:numId w:val="38"/>
        </w:numPr>
        <w:autoSpaceDE w:val="0"/>
        <w:autoSpaceDN w:val="0"/>
        <w:adjustRightInd w:val="0"/>
        <w:spacing w:before="60" w:line="240" w:lineRule="auto"/>
        <w:rPr>
          <w:lang w:eastAsia="cs-CZ"/>
        </w:rPr>
      </w:pPr>
      <w:r w:rsidRPr="00461C16">
        <w:rPr>
          <w:lang w:eastAsia="cs-CZ"/>
        </w:rPr>
        <w:t>staré ekologické zát</w:t>
      </w:r>
      <w:r w:rsidRPr="00461C16">
        <w:rPr>
          <w:rFonts w:cs="TimesNewRoman"/>
          <w:lang w:eastAsia="cs-CZ"/>
        </w:rPr>
        <w:t>ě</w:t>
      </w:r>
      <w:r w:rsidRPr="00461C16">
        <w:rPr>
          <w:lang w:eastAsia="cs-CZ"/>
        </w:rPr>
        <w:t xml:space="preserve">že a </w:t>
      </w:r>
      <w:r w:rsidRPr="00461C16">
        <w:rPr>
          <w:rFonts w:cs="TimesNewRoman"/>
          <w:lang w:eastAsia="cs-CZ"/>
        </w:rPr>
        <w:t>č</w:t>
      </w:r>
      <w:r w:rsidRPr="00461C16">
        <w:rPr>
          <w:lang w:eastAsia="cs-CZ"/>
        </w:rPr>
        <w:t>erné skládky</w:t>
      </w:r>
    </w:p>
    <w:p w14:paraId="59EEDA7A" w14:textId="77777777" w:rsidR="00944655" w:rsidRPr="00461C16" w:rsidRDefault="0081116F" w:rsidP="00944655">
      <w:pPr>
        <w:pStyle w:val="BodyText"/>
        <w:spacing w:before="120" w:after="120"/>
        <w:rPr>
          <w:i/>
          <w:sz w:val="22"/>
          <w:szCs w:val="22"/>
        </w:rPr>
      </w:pPr>
      <w:r w:rsidRPr="00461C16">
        <w:rPr>
          <w:i/>
          <w:color w:val="000000"/>
          <w:sz w:val="22"/>
          <w:szCs w:val="22"/>
          <w:shd w:val="clear" w:color="auto" w:fill="FFFFFF"/>
        </w:rPr>
        <w:t>Jednotlivé střety záměrů byly prověřeny. V případě zjištění zásadního střetu s limity využití území byl záměr přehodnocen, v ostatních případech lze střet řešit vhodným uspořádání zástavby ve vymezené ploše, v rámci podrobnější dokumentace.</w:t>
      </w:r>
    </w:p>
    <w:p w14:paraId="3B405AE7" w14:textId="77777777" w:rsidR="00DB7576" w:rsidRPr="00461C16" w:rsidRDefault="00F363EE"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bCs/>
          <w:lang w:eastAsia="cs-CZ"/>
        </w:rPr>
        <w:t>Závady v území dle Dopl</w:t>
      </w:r>
      <w:r w:rsidRPr="00461C16">
        <w:rPr>
          <w:rFonts w:cs="TimesNewRoman,Bold"/>
          <w:bCs/>
          <w:lang w:eastAsia="cs-CZ"/>
        </w:rPr>
        <w:t>ň</w:t>
      </w:r>
      <w:r w:rsidRPr="00461C16">
        <w:rPr>
          <w:bCs/>
          <w:lang w:eastAsia="cs-CZ"/>
        </w:rPr>
        <w:t>ujících pr</w:t>
      </w:r>
      <w:r w:rsidRPr="00461C16">
        <w:rPr>
          <w:rFonts w:cs="TimesNewRoman,Bold"/>
          <w:bCs/>
          <w:lang w:eastAsia="cs-CZ"/>
        </w:rPr>
        <w:t>ů</w:t>
      </w:r>
      <w:r w:rsidRPr="00461C16">
        <w:rPr>
          <w:bCs/>
          <w:lang w:eastAsia="cs-CZ"/>
        </w:rPr>
        <w:t>zkum</w:t>
      </w:r>
      <w:r w:rsidRPr="00461C16">
        <w:rPr>
          <w:rFonts w:cs="TimesNewRoman,Bold"/>
          <w:bCs/>
          <w:lang w:eastAsia="cs-CZ"/>
        </w:rPr>
        <w:t xml:space="preserve">ů </w:t>
      </w:r>
      <w:r w:rsidRPr="00461C16">
        <w:rPr>
          <w:bCs/>
          <w:lang w:eastAsia="cs-CZ"/>
        </w:rPr>
        <w:t>a rozbor</w:t>
      </w:r>
      <w:r w:rsidRPr="00461C16">
        <w:rPr>
          <w:rFonts w:cs="TimesNewRoman,Bold"/>
          <w:bCs/>
          <w:lang w:eastAsia="cs-CZ"/>
        </w:rPr>
        <w:t xml:space="preserve">ů </w:t>
      </w:r>
      <w:r w:rsidRPr="00461C16">
        <w:rPr>
          <w:bCs/>
          <w:lang w:eastAsia="cs-CZ"/>
        </w:rPr>
        <w:t>Hrádek nad Nisou</w:t>
      </w:r>
    </w:p>
    <w:p w14:paraId="2EEC2EEE" w14:textId="77777777" w:rsidR="00F363EE" w:rsidRPr="00461C16" w:rsidRDefault="00F363EE" w:rsidP="00586A56">
      <w:pPr>
        <w:pStyle w:val="ListParagraph"/>
        <w:autoSpaceDE w:val="0"/>
        <w:autoSpaceDN w:val="0"/>
        <w:adjustRightInd w:val="0"/>
        <w:spacing w:line="240" w:lineRule="auto"/>
        <w:ind w:left="851"/>
        <w:rPr>
          <w:bCs/>
          <w:u w:val="single"/>
          <w:lang w:eastAsia="cs-CZ"/>
        </w:rPr>
      </w:pPr>
      <w:r w:rsidRPr="00461C16">
        <w:rPr>
          <w:bCs/>
          <w:u w:val="single"/>
          <w:lang w:eastAsia="cs-CZ"/>
        </w:rPr>
        <w:t>Urbanistické:</w:t>
      </w:r>
    </w:p>
    <w:p w14:paraId="35D1203A"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 nedostate</w:t>
      </w:r>
      <w:r w:rsidRPr="00461C16">
        <w:rPr>
          <w:rFonts w:cs="TimesNewRoman"/>
          <w:lang w:eastAsia="cs-CZ"/>
        </w:rPr>
        <w:t>č</w:t>
      </w:r>
      <w:r w:rsidRPr="00461C16">
        <w:rPr>
          <w:lang w:eastAsia="cs-CZ"/>
        </w:rPr>
        <w:t xml:space="preserve">né urbanistické </w:t>
      </w:r>
      <w:r w:rsidRPr="00461C16">
        <w:rPr>
          <w:rFonts w:cs="TimesNewRoman"/>
          <w:lang w:eastAsia="cs-CZ"/>
        </w:rPr>
        <w:t>ř</w:t>
      </w:r>
      <w:r w:rsidRPr="00461C16">
        <w:rPr>
          <w:lang w:eastAsia="cs-CZ"/>
        </w:rPr>
        <w:t>ešení rezervních ploch</w:t>
      </w:r>
    </w:p>
    <w:p w14:paraId="32CE1AA7"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PU2 areál bývalého nákladního nádraží</w:t>
      </w:r>
    </w:p>
    <w:p w14:paraId="27E13A62"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PU3 areál bývalé cihelny</w:t>
      </w:r>
    </w:p>
    <w:p w14:paraId="0689808C"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PU4 areál bývalé textilní továrny Kolora</w:t>
      </w:r>
    </w:p>
    <w:p w14:paraId="64151E26"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 xml:space="preserve">PU5 areál </w:t>
      </w:r>
      <w:r w:rsidRPr="00461C16">
        <w:rPr>
          <w:rFonts w:cs="TimesNewRoman"/>
          <w:lang w:eastAsia="cs-CZ"/>
        </w:rPr>
        <w:t>Č</w:t>
      </w:r>
      <w:r w:rsidRPr="00461C16">
        <w:rPr>
          <w:lang w:eastAsia="cs-CZ"/>
        </w:rPr>
        <w:t>SAD (ulice U Nisy)</w:t>
      </w:r>
    </w:p>
    <w:p w14:paraId="193286DA"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PU6 areál továrny Bekon</w:t>
      </w:r>
    </w:p>
    <w:p w14:paraId="426C1404"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PU7 areál továrny Praga</w:t>
      </w:r>
    </w:p>
    <w:p w14:paraId="4748A77B"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PU8 areál prodejny COOP (Horní nám</w:t>
      </w:r>
      <w:r w:rsidRPr="00461C16">
        <w:rPr>
          <w:rFonts w:cs="TimesNewRoman"/>
          <w:lang w:eastAsia="cs-CZ"/>
        </w:rPr>
        <w:t>ě</w:t>
      </w:r>
      <w:r w:rsidRPr="00461C16">
        <w:rPr>
          <w:lang w:eastAsia="cs-CZ"/>
        </w:rPr>
        <w:t>stí) – nevhodné využití plochy</w:t>
      </w:r>
    </w:p>
    <w:p w14:paraId="494E0535"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PU9 rozsáhlá proluka na rohu ulic Ji</w:t>
      </w:r>
      <w:r w:rsidRPr="00461C16">
        <w:rPr>
          <w:rFonts w:cs="TimesNewRoman"/>
          <w:lang w:eastAsia="cs-CZ"/>
        </w:rPr>
        <w:t>ř</w:t>
      </w:r>
      <w:r w:rsidRPr="00461C16">
        <w:rPr>
          <w:lang w:eastAsia="cs-CZ"/>
        </w:rPr>
        <w:t>ího z Pod</w:t>
      </w:r>
      <w:r w:rsidRPr="00461C16">
        <w:rPr>
          <w:rFonts w:cs="TimesNewRoman"/>
          <w:lang w:eastAsia="cs-CZ"/>
        </w:rPr>
        <w:t>ě</w:t>
      </w:r>
      <w:r w:rsidRPr="00461C16">
        <w:rPr>
          <w:lang w:eastAsia="cs-CZ"/>
        </w:rPr>
        <w:t>brad a Krátké ulice v blízkosti Dolního nám</w:t>
      </w:r>
      <w:r w:rsidRPr="00461C16">
        <w:rPr>
          <w:rFonts w:cs="TimesNewRoman"/>
          <w:lang w:eastAsia="cs-CZ"/>
        </w:rPr>
        <w:t>ě</w:t>
      </w:r>
      <w:r w:rsidRPr="00461C16">
        <w:rPr>
          <w:lang w:eastAsia="cs-CZ"/>
        </w:rPr>
        <w:t>stí</w:t>
      </w:r>
    </w:p>
    <w:p w14:paraId="512A8ED4"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PU10 rozt</w:t>
      </w:r>
      <w:r w:rsidRPr="00461C16">
        <w:rPr>
          <w:rFonts w:cs="TimesNewRoman"/>
          <w:lang w:eastAsia="cs-CZ"/>
        </w:rPr>
        <w:t>ř</w:t>
      </w:r>
      <w:r w:rsidRPr="00461C16">
        <w:rPr>
          <w:lang w:eastAsia="cs-CZ"/>
        </w:rPr>
        <w:t>íšt</w:t>
      </w:r>
      <w:r w:rsidRPr="00461C16">
        <w:rPr>
          <w:rFonts w:cs="TimesNewRoman"/>
          <w:lang w:eastAsia="cs-CZ"/>
        </w:rPr>
        <w:t>ě</w:t>
      </w:r>
      <w:r w:rsidRPr="00461C16">
        <w:rPr>
          <w:lang w:eastAsia="cs-CZ"/>
        </w:rPr>
        <w:t>nost zástavby v blízkosti D</w:t>
      </w:r>
      <w:r w:rsidRPr="00461C16">
        <w:rPr>
          <w:rFonts w:cs="TimesNewRoman"/>
          <w:lang w:eastAsia="cs-CZ"/>
        </w:rPr>
        <w:t>ě</w:t>
      </w:r>
      <w:r w:rsidRPr="00461C16">
        <w:rPr>
          <w:lang w:eastAsia="cs-CZ"/>
        </w:rPr>
        <w:t>lnického domu a mostu spojující Hrádek s Lou</w:t>
      </w:r>
      <w:r w:rsidRPr="00461C16">
        <w:rPr>
          <w:rFonts w:cs="TimesNewRoman"/>
          <w:lang w:eastAsia="cs-CZ"/>
        </w:rPr>
        <w:t>č</w:t>
      </w:r>
      <w:r w:rsidRPr="00461C16">
        <w:rPr>
          <w:lang w:eastAsia="cs-CZ"/>
        </w:rPr>
        <w:t>nou a Dominem</w:t>
      </w:r>
    </w:p>
    <w:p w14:paraId="68B64D47"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PU11 chyb</w:t>
      </w:r>
      <w:r w:rsidRPr="00461C16">
        <w:rPr>
          <w:rFonts w:cs="TimesNewRoman"/>
          <w:lang w:eastAsia="cs-CZ"/>
        </w:rPr>
        <w:t>ě</w:t>
      </w:r>
      <w:r w:rsidRPr="00461C16">
        <w:rPr>
          <w:lang w:eastAsia="cs-CZ"/>
        </w:rPr>
        <w:t>jící vazba a náhlá ztráta uli</w:t>
      </w:r>
      <w:r w:rsidRPr="00461C16">
        <w:rPr>
          <w:rFonts w:cs="TimesNewRoman"/>
          <w:lang w:eastAsia="cs-CZ"/>
        </w:rPr>
        <w:t>č</w:t>
      </w:r>
      <w:r w:rsidRPr="00461C16">
        <w:rPr>
          <w:lang w:eastAsia="cs-CZ"/>
        </w:rPr>
        <w:t>ního charakteru ulice Anglická</w:t>
      </w:r>
    </w:p>
    <w:p w14:paraId="34BF9D12"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PU12 nevhodný druh zástavby v historickém centru m</w:t>
      </w:r>
      <w:r w:rsidRPr="00461C16">
        <w:rPr>
          <w:rFonts w:cs="TimesNewRoman"/>
          <w:lang w:eastAsia="cs-CZ"/>
        </w:rPr>
        <w:t>ě</w:t>
      </w:r>
      <w:r w:rsidRPr="00461C16">
        <w:rPr>
          <w:lang w:eastAsia="cs-CZ"/>
        </w:rPr>
        <w:t>sta</w:t>
      </w:r>
    </w:p>
    <w:p w14:paraId="35F9942E"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PU13 výrazné proluky v ulici Nádražní – chyb</w:t>
      </w:r>
      <w:r w:rsidRPr="00461C16">
        <w:rPr>
          <w:rFonts w:cs="TimesNewRoman"/>
          <w:lang w:eastAsia="cs-CZ"/>
        </w:rPr>
        <w:t>ě</w:t>
      </w:r>
      <w:r w:rsidRPr="00461C16">
        <w:rPr>
          <w:lang w:eastAsia="cs-CZ"/>
        </w:rPr>
        <w:t>jící uli</w:t>
      </w:r>
      <w:r w:rsidRPr="00461C16">
        <w:rPr>
          <w:rFonts w:cs="TimesNewRoman"/>
          <w:lang w:eastAsia="cs-CZ"/>
        </w:rPr>
        <w:t>č</w:t>
      </w:r>
      <w:r w:rsidRPr="00461C16">
        <w:rPr>
          <w:lang w:eastAsia="cs-CZ"/>
        </w:rPr>
        <w:t>ní charakter</w:t>
      </w:r>
    </w:p>
    <w:p w14:paraId="42B67DFB"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PU14 neexistující urbanistické ukon</w:t>
      </w:r>
      <w:r w:rsidRPr="00461C16">
        <w:rPr>
          <w:rFonts w:cs="TimesNewRoman"/>
          <w:lang w:eastAsia="cs-CZ"/>
        </w:rPr>
        <w:t>č</w:t>
      </w:r>
      <w:r w:rsidRPr="00461C16">
        <w:rPr>
          <w:lang w:eastAsia="cs-CZ"/>
        </w:rPr>
        <w:t>ení m</w:t>
      </w:r>
      <w:r w:rsidRPr="00461C16">
        <w:rPr>
          <w:rFonts w:cs="TimesNewRoman"/>
          <w:lang w:eastAsia="cs-CZ"/>
        </w:rPr>
        <w:t>ě</w:t>
      </w:r>
      <w:r w:rsidRPr="00461C16">
        <w:rPr>
          <w:lang w:eastAsia="cs-CZ"/>
        </w:rPr>
        <w:t xml:space="preserve">stské </w:t>
      </w:r>
      <w:r w:rsidRPr="00461C16">
        <w:rPr>
          <w:rFonts w:cs="TimesNewRoman"/>
          <w:lang w:eastAsia="cs-CZ"/>
        </w:rPr>
        <w:t>č</w:t>
      </w:r>
      <w:r w:rsidRPr="00461C16">
        <w:rPr>
          <w:lang w:eastAsia="cs-CZ"/>
        </w:rPr>
        <w:t>ásti</w:t>
      </w:r>
    </w:p>
    <w:p w14:paraId="6E0BD4C8"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PU15 obytná zástavba v záplavové zón</w:t>
      </w:r>
      <w:r w:rsidRPr="00461C16">
        <w:rPr>
          <w:rFonts w:cs="TimesNewRoman"/>
          <w:lang w:eastAsia="cs-CZ"/>
        </w:rPr>
        <w:t>ě</w:t>
      </w:r>
    </w:p>
    <w:p w14:paraId="56EEEB40"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PU16 v rámci sou</w:t>
      </w:r>
      <w:r w:rsidRPr="00461C16">
        <w:rPr>
          <w:rFonts w:cs="TimesNewRoman"/>
          <w:lang w:eastAsia="cs-CZ"/>
        </w:rPr>
        <w:t>č</w:t>
      </w:r>
      <w:r w:rsidRPr="00461C16">
        <w:rPr>
          <w:lang w:eastAsia="cs-CZ"/>
        </w:rPr>
        <w:t>asného sm</w:t>
      </w:r>
      <w:r w:rsidRPr="00461C16">
        <w:rPr>
          <w:rFonts w:cs="TimesNewRoman"/>
          <w:lang w:eastAsia="cs-CZ"/>
        </w:rPr>
        <w:t>ě</w:t>
      </w:r>
      <w:r w:rsidRPr="00461C16">
        <w:rPr>
          <w:lang w:eastAsia="cs-CZ"/>
        </w:rPr>
        <w:t>ru rozvoje m</w:t>
      </w:r>
      <w:r w:rsidRPr="00461C16">
        <w:rPr>
          <w:rFonts w:cs="TimesNewRoman"/>
          <w:lang w:eastAsia="cs-CZ"/>
        </w:rPr>
        <w:t>ě</w:t>
      </w:r>
      <w:r w:rsidRPr="00461C16">
        <w:rPr>
          <w:lang w:eastAsia="cs-CZ"/>
        </w:rPr>
        <w:t>sta špatn</w:t>
      </w:r>
      <w:r w:rsidRPr="00461C16">
        <w:rPr>
          <w:rFonts w:cs="TimesNewRoman"/>
          <w:lang w:eastAsia="cs-CZ"/>
        </w:rPr>
        <w:t xml:space="preserve">ě </w:t>
      </w:r>
      <w:r w:rsidRPr="00461C16">
        <w:rPr>
          <w:lang w:eastAsia="cs-CZ"/>
        </w:rPr>
        <w:t>situované zahrádká</w:t>
      </w:r>
      <w:r w:rsidRPr="00461C16">
        <w:rPr>
          <w:rFonts w:cs="TimesNewRoman"/>
          <w:lang w:eastAsia="cs-CZ"/>
        </w:rPr>
        <w:t>ř</w:t>
      </w:r>
      <w:r w:rsidRPr="00461C16">
        <w:rPr>
          <w:lang w:eastAsia="cs-CZ"/>
        </w:rPr>
        <w:t>ské kolonie</w:t>
      </w:r>
    </w:p>
    <w:p w14:paraId="26C3D3FD"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PU17 panelová zástavba v centru m</w:t>
      </w:r>
      <w:r w:rsidRPr="00461C16">
        <w:rPr>
          <w:rFonts w:cs="TimesNewRoman"/>
          <w:lang w:eastAsia="cs-CZ"/>
        </w:rPr>
        <w:t>ě</w:t>
      </w:r>
      <w:r w:rsidRPr="00461C16">
        <w:rPr>
          <w:lang w:eastAsia="cs-CZ"/>
        </w:rPr>
        <w:t>sta ulice Žitavská</w:t>
      </w:r>
    </w:p>
    <w:p w14:paraId="41A84D4D"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PU18 obytná zástavba sousedící s pr</w:t>
      </w:r>
      <w:r w:rsidRPr="00461C16">
        <w:rPr>
          <w:rFonts w:cs="TimesNewRoman"/>
          <w:lang w:eastAsia="cs-CZ"/>
        </w:rPr>
        <w:t>ů</w:t>
      </w:r>
      <w:r w:rsidRPr="00461C16">
        <w:rPr>
          <w:lang w:eastAsia="cs-CZ"/>
        </w:rPr>
        <w:t>myslovou zónou ulice Old</w:t>
      </w:r>
      <w:r w:rsidRPr="00461C16">
        <w:rPr>
          <w:rFonts w:cs="TimesNewRoman"/>
          <w:lang w:eastAsia="cs-CZ"/>
        </w:rPr>
        <w:t>ř</w:t>
      </w:r>
      <w:r w:rsidRPr="00461C16">
        <w:rPr>
          <w:lang w:eastAsia="cs-CZ"/>
        </w:rPr>
        <w:t>ichovská a U Gumovky</w:t>
      </w:r>
    </w:p>
    <w:p w14:paraId="70AA6C3F"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 19 nevhodn</w:t>
      </w:r>
      <w:r w:rsidRPr="00461C16">
        <w:rPr>
          <w:rFonts w:cs="TimesNewRoman"/>
          <w:lang w:eastAsia="cs-CZ"/>
        </w:rPr>
        <w:t>ě ř</w:t>
      </w:r>
      <w:r w:rsidRPr="00461C16">
        <w:rPr>
          <w:lang w:eastAsia="cs-CZ"/>
        </w:rPr>
        <w:t>ešená revitalizace bývalého Starého Dvora</w:t>
      </w:r>
    </w:p>
    <w:p w14:paraId="55078E98"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PU20 nevhodné umíst</w:t>
      </w:r>
      <w:r w:rsidRPr="00461C16">
        <w:rPr>
          <w:rFonts w:cs="TimesNewRoman"/>
          <w:lang w:eastAsia="cs-CZ"/>
        </w:rPr>
        <w:t>ě</w:t>
      </w:r>
      <w:r w:rsidRPr="00461C16">
        <w:rPr>
          <w:lang w:eastAsia="cs-CZ"/>
        </w:rPr>
        <w:t>ní garáží pat</w:t>
      </w:r>
      <w:r w:rsidRPr="00461C16">
        <w:rPr>
          <w:rFonts w:cs="TimesNewRoman"/>
          <w:lang w:eastAsia="cs-CZ"/>
        </w:rPr>
        <w:t>ř</w:t>
      </w:r>
      <w:r w:rsidRPr="00461C16">
        <w:rPr>
          <w:lang w:eastAsia="cs-CZ"/>
        </w:rPr>
        <w:t>ící k obytnému prostoru Starý dv</w:t>
      </w:r>
      <w:r w:rsidRPr="00461C16">
        <w:rPr>
          <w:rFonts w:cs="TimesNewRoman"/>
          <w:lang w:eastAsia="cs-CZ"/>
        </w:rPr>
        <w:t>ů</w:t>
      </w:r>
      <w:r w:rsidRPr="00461C16">
        <w:rPr>
          <w:lang w:eastAsia="cs-CZ"/>
        </w:rPr>
        <w:t>r (ulice Lu</w:t>
      </w:r>
      <w:r w:rsidRPr="00461C16">
        <w:rPr>
          <w:rFonts w:cs="TimesNewRoman"/>
          <w:lang w:eastAsia="cs-CZ"/>
        </w:rPr>
        <w:t>č</w:t>
      </w:r>
      <w:r w:rsidRPr="00461C16">
        <w:rPr>
          <w:lang w:eastAsia="cs-CZ"/>
        </w:rPr>
        <w:t>ní)</w:t>
      </w:r>
    </w:p>
    <w:p w14:paraId="1DF631AA"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PU21 nedodržení uli</w:t>
      </w:r>
      <w:r w:rsidRPr="00461C16">
        <w:rPr>
          <w:rFonts w:cs="TimesNewRoman"/>
          <w:lang w:eastAsia="cs-CZ"/>
        </w:rPr>
        <w:t>č</w:t>
      </w:r>
      <w:r w:rsidRPr="00461C16">
        <w:rPr>
          <w:lang w:eastAsia="cs-CZ"/>
        </w:rPr>
        <w:t xml:space="preserve">ní </w:t>
      </w:r>
      <w:r w:rsidRPr="00461C16">
        <w:rPr>
          <w:rFonts w:cs="TimesNewRoman"/>
          <w:lang w:eastAsia="cs-CZ"/>
        </w:rPr>
        <w:t>č</w:t>
      </w:r>
      <w:r w:rsidRPr="00461C16">
        <w:rPr>
          <w:lang w:eastAsia="cs-CZ"/>
        </w:rPr>
        <w:t>áry v ulici Generála Svobody</w:t>
      </w:r>
    </w:p>
    <w:p w14:paraId="08DC1570" w14:textId="77777777" w:rsidR="00F363EE" w:rsidRPr="00461C16" w:rsidRDefault="00F363EE" w:rsidP="00427598">
      <w:pPr>
        <w:pStyle w:val="ListParagraph"/>
        <w:numPr>
          <w:ilvl w:val="0"/>
          <w:numId w:val="39"/>
        </w:numPr>
        <w:autoSpaceDE w:val="0"/>
        <w:autoSpaceDN w:val="0"/>
        <w:adjustRightInd w:val="0"/>
        <w:spacing w:before="60" w:line="240" w:lineRule="auto"/>
        <w:rPr>
          <w:lang w:eastAsia="cs-CZ"/>
        </w:rPr>
      </w:pPr>
      <w:r w:rsidRPr="00461C16">
        <w:rPr>
          <w:lang w:eastAsia="cs-CZ"/>
        </w:rPr>
        <w:t>PU22 bývalý pr</w:t>
      </w:r>
      <w:r w:rsidRPr="00461C16">
        <w:rPr>
          <w:rFonts w:cs="TimesNewRoman"/>
          <w:lang w:eastAsia="cs-CZ"/>
        </w:rPr>
        <w:t>ů</w:t>
      </w:r>
      <w:r w:rsidRPr="00461C16">
        <w:rPr>
          <w:lang w:eastAsia="cs-CZ"/>
        </w:rPr>
        <w:t>myslový areál chemické výroby Tanex-Kortan</w:t>
      </w:r>
    </w:p>
    <w:p w14:paraId="7E2F1285" w14:textId="77777777" w:rsidR="00F363EE" w:rsidRPr="00461C16" w:rsidRDefault="00F363EE" w:rsidP="00DD7DD7">
      <w:pPr>
        <w:autoSpaceDE w:val="0"/>
        <w:autoSpaceDN w:val="0"/>
        <w:adjustRightInd w:val="0"/>
        <w:spacing w:before="120" w:line="240" w:lineRule="auto"/>
        <w:ind w:left="720"/>
        <w:rPr>
          <w:u w:val="single"/>
          <w:lang w:eastAsia="cs-CZ"/>
        </w:rPr>
      </w:pPr>
      <w:r w:rsidRPr="00461C16">
        <w:rPr>
          <w:u w:val="single"/>
          <w:lang w:eastAsia="cs-CZ"/>
        </w:rPr>
        <w:lastRenderedPageBreak/>
        <w:t>Dopravní:</w:t>
      </w:r>
    </w:p>
    <w:p w14:paraId="6EE6784B" w14:textId="77777777" w:rsidR="00F363EE" w:rsidRPr="00461C16" w:rsidRDefault="00F363EE" w:rsidP="00427598">
      <w:pPr>
        <w:pStyle w:val="ListParagraph"/>
        <w:numPr>
          <w:ilvl w:val="0"/>
          <w:numId w:val="40"/>
        </w:numPr>
        <w:autoSpaceDE w:val="0"/>
        <w:autoSpaceDN w:val="0"/>
        <w:adjustRightInd w:val="0"/>
        <w:spacing w:before="60" w:line="240" w:lineRule="auto"/>
        <w:rPr>
          <w:lang w:eastAsia="cs-CZ"/>
        </w:rPr>
      </w:pPr>
      <w:r w:rsidRPr="00461C16">
        <w:rPr>
          <w:lang w:eastAsia="cs-CZ"/>
        </w:rPr>
        <w:t>PD1 nedokon</w:t>
      </w:r>
      <w:r w:rsidRPr="00461C16">
        <w:rPr>
          <w:rFonts w:cs="TimesNewRoman"/>
          <w:lang w:eastAsia="cs-CZ"/>
        </w:rPr>
        <w:t>č</w:t>
      </w:r>
      <w:r w:rsidRPr="00461C16">
        <w:rPr>
          <w:lang w:eastAsia="cs-CZ"/>
        </w:rPr>
        <w:t>ení m</w:t>
      </w:r>
      <w:r w:rsidRPr="00461C16">
        <w:rPr>
          <w:rFonts w:cs="TimesNewRoman"/>
          <w:lang w:eastAsia="cs-CZ"/>
        </w:rPr>
        <w:t>ě</w:t>
      </w:r>
      <w:r w:rsidRPr="00461C16">
        <w:rPr>
          <w:lang w:eastAsia="cs-CZ"/>
        </w:rPr>
        <w:t>stského okruhu</w:t>
      </w:r>
    </w:p>
    <w:p w14:paraId="1AA1B861" w14:textId="77777777" w:rsidR="00F363EE" w:rsidRPr="00461C16" w:rsidRDefault="00F363EE" w:rsidP="00427598">
      <w:pPr>
        <w:pStyle w:val="ListParagraph"/>
        <w:numPr>
          <w:ilvl w:val="0"/>
          <w:numId w:val="40"/>
        </w:numPr>
        <w:autoSpaceDE w:val="0"/>
        <w:autoSpaceDN w:val="0"/>
        <w:adjustRightInd w:val="0"/>
        <w:spacing w:before="60" w:line="240" w:lineRule="auto"/>
        <w:rPr>
          <w:lang w:eastAsia="cs-CZ"/>
        </w:rPr>
      </w:pPr>
      <w:r w:rsidRPr="00461C16">
        <w:rPr>
          <w:lang w:eastAsia="cs-CZ"/>
        </w:rPr>
        <w:t>PD2 železni</w:t>
      </w:r>
      <w:r w:rsidRPr="00461C16">
        <w:rPr>
          <w:rFonts w:cs="TimesNewRoman"/>
          <w:lang w:eastAsia="cs-CZ"/>
        </w:rPr>
        <w:t>č</w:t>
      </w:r>
      <w:r w:rsidRPr="00461C16">
        <w:rPr>
          <w:lang w:eastAsia="cs-CZ"/>
        </w:rPr>
        <w:t>ní p</w:t>
      </w:r>
      <w:r w:rsidRPr="00461C16">
        <w:rPr>
          <w:rFonts w:cs="TimesNewRoman"/>
          <w:lang w:eastAsia="cs-CZ"/>
        </w:rPr>
        <w:t>ř</w:t>
      </w:r>
      <w:r w:rsidRPr="00461C16">
        <w:rPr>
          <w:lang w:eastAsia="cs-CZ"/>
        </w:rPr>
        <w:t>ejezd ulice Liberecká (rozd</w:t>
      </w:r>
      <w:r w:rsidRPr="00461C16">
        <w:rPr>
          <w:rFonts w:cs="TimesNewRoman"/>
          <w:lang w:eastAsia="cs-CZ"/>
        </w:rPr>
        <w:t>ě</w:t>
      </w:r>
      <w:r w:rsidRPr="00461C16">
        <w:rPr>
          <w:lang w:eastAsia="cs-CZ"/>
        </w:rPr>
        <w:t>lující hlavní p</w:t>
      </w:r>
      <w:r w:rsidRPr="00461C16">
        <w:rPr>
          <w:rFonts w:cs="TimesNewRoman"/>
          <w:lang w:eastAsia="cs-CZ"/>
        </w:rPr>
        <w:t>ř</w:t>
      </w:r>
      <w:r w:rsidRPr="00461C16">
        <w:rPr>
          <w:lang w:eastAsia="cs-CZ"/>
        </w:rPr>
        <w:t>ístupovou komunikaci)</w:t>
      </w:r>
    </w:p>
    <w:p w14:paraId="492B20B4" w14:textId="77777777" w:rsidR="00F363EE" w:rsidRPr="00461C16" w:rsidRDefault="00F363EE" w:rsidP="00427598">
      <w:pPr>
        <w:pStyle w:val="ListParagraph"/>
        <w:numPr>
          <w:ilvl w:val="0"/>
          <w:numId w:val="40"/>
        </w:numPr>
        <w:autoSpaceDE w:val="0"/>
        <w:autoSpaceDN w:val="0"/>
        <w:adjustRightInd w:val="0"/>
        <w:spacing w:before="60" w:line="240" w:lineRule="auto"/>
        <w:rPr>
          <w:lang w:eastAsia="cs-CZ"/>
        </w:rPr>
      </w:pPr>
      <w:r w:rsidRPr="00461C16">
        <w:rPr>
          <w:lang w:eastAsia="cs-CZ"/>
        </w:rPr>
        <w:t>PD3 nutné dopravní posílení ulice Lu</w:t>
      </w:r>
      <w:r w:rsidRPr="00461C16">
        <w:rPr>
          <w:rFonts w:cs="TimesNewRoman"/>
          <w:lang w:eastAsia="cs-CZ"/>
        </w:rPr>
        <w:t>č</w:t>
      </w:r>
      <w:r w:rsidRPr="00461C16">
        <w:rPr>
          <w:lang w:eastAsia="cs-CZ"/>
        </w:rPr>
        <w:t>ní</w:t>
      </w:r>
    </w:p>
    <w:p w14:paraId="16926D77" w14:textId="77777777" w:rsidR="00F363EE" w:rsidRPr="00461C16" w:rsidRDefault="00F363EE" w:rsidP="00427598">
      <w:pPr>
        <w:pStyle w:val="ListParagraph"/>
        <w:numPr>
          <w:ilvl w:val="0"/>
          <w:numId w:val="40"/>
        </w:numPr>
        <w:autoSpaceDE w:val="0"/>
        <w:autoSpaceDN w:val="0"/>
        <w:adjustRightInd w:val="0"/>
        <w:spacing w:before="60" w:line="240" w:lineRule="auto"/>
        <w:rPr>
          <w:lang w:eastAsia="cs-CZ"/>
        </w:rPr>
      </w:pPr>
      <w:r w:rsidRPr="00461C16">
        <w:rPr>
          <w:lang w:eastAsia="cs-CZ"/>
        </w:rPr>
        <w:t>PD4 komunikace na Hartlu – doposud pouze p</w:t>
      </w:r>
      <w:r w:rsidRPr="00461C16">
        <w:rPr>
          <w:rFonts w:cs="TimesNewRoman"/>
          <w:lang w:eastAsia="cs-CZ"/>
        </w:rPr>
        <w:t>ě</w:t>
      </w:r>
      <w:r w:rsidRPr="00461C16">
        <w:rPr>
          <w:lang w:eastAsia="cs-CZ"/>
        </w:rPr>
        <w:t>ší komunikace</w:t>
      </w:r>
    </w:p>
    <w:p w14:paraId="0A7E1A11" w14:textId="77777777" w:rsidR="00F363EE" w:rsidRPr="00461C16" w:rsidRDefault="00F363EE" w:rsidP="00427598">
      <w:pPr>
        <w:pStyle w:val="ListParagraph"/>
        <w:numPr>
          <w:ilvl w:val="0"/>
          <w:numId w:val="40"/>
        </w:numPr>
        <w:autoSpaceDE w:val="0"/>
        <w:autoSpaceDN w:val="0"/>
        <w:adjustRightInd w:val="0"/>
        <w:spacing w:before="60" w:line="240" w:lineRule="auto"/>
        <w:rPr>
          <w:lang w:eastAsia="cs-CZ"/>
        </w:rPr>
      </w:pPr>
      <w:r w:rsidRPr="00461C16">
        <w:rPr>
          <w:lang w:eastAsia="cs-CZ"/>
        </w:rPr>
        <w:t>PD5 most p</w:t>
      </w:r>
      <w:r w:rsidRPr="00461C16">
        <w:rPr>
          <w:rFonts w:cs="TimesNewRoman"/>
          <w:lang w:eastAsia="cs-CZ"/>
        </w:rPr>
        <w:t>ř</w:t>
      </w:r>
      <w:r w:rsidRPr="00461C16">
        <w:rPr>
          <w:lang w:eastAsia="cs-CZ"/>
        </w:rPr>
        <w:t>es Lužickou Nisu – nutnost otev</w:t>
      </w:r>
      <w:r w:rsidRPr="00461C16">
        <w:rPr>
          <w:rFonts w:cs="TimesNewRoman"/>
          <w:lang w:eastAsia="cs-CZ"/>
        </w:rPr>
        <w:t>ř</w:t>
      </w:r>
      <w:r w:rsidRPr="00461C16">
        <w:rPr>
          <w:lang w:eastAsia="cs-CZ"/>
        </w:rPr>
        <w:t>ení i pro automobilovou dopravu</w:t>
      </w:r>
    </w:p>
    <w:p w14:paraId="22BABB9E" w14:textId="77777777" w:rsidR="00F363EE" w:rsidRPr="00461C16" w:rsidRDefault="00F363EE" w:rsidP="00427598">
      <w:pPr>
        <w:pStyle w:val="ListParagraph"/>
        <w:numPr>
          <w:ilvl w:val="0"/>
          <w:numId w:val="40"/>
        </w:numPr>
        <w:autoSpaceDE w:val="0"/>
        <w:autoSpaceDN w:val="0"/>
        <w:adjustRightInd w:val="0"/>
        <w:spacing w:before="60" w:line="240" w:lineRule="auto"/>
        <w:rPr>
          <w:lang w:eastAsia="cs-CZ"/>
        </w:rPr>
      </w:pPr>
      <w:r w:rsidRPr="00461C16">
        <w:rPr>
          <w:lang w:eastAsia="cs-CZ"/>
        </w:rPr>
        <w:t>PD6 chyb</w:t>
      </w:r>
      <w:r w:rsidRPr="00461C16">
        <w:rPr>
          <w:rFonts w:cs="TimesNewRoman"/>
          <w:lang w:eastAsia="cs-CZ"/>
        </w:rPr>
        <w:t>ě</w:t>
      </w:r>
      <w:r w:rsidRPr="00461C16">
        <w:rPr>
          <w:lang w:eastAsia="cs-CZ"/>
        </w:rPr>
        <w:t>jící spojení ulice Hartavská s vnit</w:t>
      </w:r>
      <w:r w:rsidRPr="00461C16">
        <w:rPr>
          <w:rFonts w:cs="TimesNewRoman"/>
          <w:lang w:eastAsia="cs-CZ"/>
        </w:rPr>
        <w:t>ř</w:t>
      </w:r>
      <w:r w:rsidRPr="00461C16">
        <w:rPr>
          <w:lang w:eastAsia="cs-CZ"/>
        </w:rPr>
        <w:t>ním m</w:t>
      </w:r>
      <w:r w:rsidRPr="00461C16">
        <w:rPr>
          <w:rFonts w:cs="TimesNewRoman"/>
          <w:lang w:eastAsia="cs-CZ"/>
        </w:rPr>
        <w:t>ě</w:t>
      </w:r>
      <w:r w:rsidRPr="00461C16">
        <w:rPr>
          <w:lang w:eastAsia="cs-CZ"/>
        </w:rPr>
        <w:t>stským okruhem (p</w:t>
      </w:r>
      <w:r w:rsidRPr="00461C16">
        <w:rPr>
          <w:rFonts w:cs="TimesNewRoman"/>
          <w:lang w:eastAsia="cs-CZ"/>
        </w:rPr>
        <w:t>ř</w:t>
      </w:r>
      <w:r w:rsidRPr="00461C16">
        <w:rPr>
          <w:lang w:eastAsia="cs-CZ"/>
        </w:rPr>
        <w:t>etížení ul. Hartavská – obytná zóna)</w:t>
      </w:r>
    </w:p>
    <w:p w14:paraId="70BC7423" w14:textId="77777777" w:rsidR="00F363EE" w:rsidRPr="00461C16" w:rsidRDefault="00F363EE" w:rsidP="00DD7DD7">
      <w:pPr>
        <w:autoSpaceDE w:val="0"/>
        <w:autoSpaceDN w:val="0"/>
        <w:adjustRightInd w:val="0"/>
        <w:spacing w:before="120" w:line="240" w:lineRule="auto"/>
        <w:ind w:firstLine="720"/>
        <w:rPr>
          <w:u w:val="single"/>
          <w:lang w:eastAsia="cs-CZ"/>
        </w:rPr>
      </w:pPr>
      <w:r w:rsidRPr="00461C16">
        <w:rPr>
          <w:u w:val="single"/>
          <w:lang w:eastAsia="cs-CZ"/>
        </w:rPr>
        <w:t>Hygienické:</w:t>
      </w:r>
    </w:p>
    <w:p w14:paraId="08C05775" w14:textId="77777777" w:rsidR="00F363EE" w:rsidRPr="00461C16" w:rsidRDefault="00F363EE" w:rsidP="00427598">
      <w:pPr>
        <w:pStyle w:val="ListParagraph"/>
        <w:numPr>
          <w:ilvl w:val="0"/>
          <w:numId w:val="41"/>
        </w:numPr>
        <w:autoSpaceDE w:val="0"/>
        <w:autoSpaceDN w:val="0"/>
        <w:adjustRightInd w:val="0"/>
        <w:spacing w:before="60" w:line="240" w:lineRule="auto"/>
        <w:rPr>
          <w:lang w:eastAsia="cs-CZ"/>
        </w:rPr>
      </w:pPr>
      <w:r w:rsidRPr="00461C16">
        <w:rPr>
          <w:lang w:eastAsia="cs-CZ"/>
        </w:rPr>
        <w:t>PH1 bývalý pr</w:t>
      </w:r>
      <w:r w:rsidRPr="00461C16">
        <w:rPr>
          <w:rFonts w:cs="TimesNewRoman"/>
          <w:lang w:eastAsia="cs-CZ"/>
        </w:rPr>
        <w:t>ů</w:t>
      </w:r>
      <w:r w:rsidRPr="00461C16">
        <w:rPr>
          <w:lang w:eastAsia="cs-CZ"/>
        </w:rPr>
        <w:t>myslový areál chemické výroby Tanex – Kortan</w:t>
      </w:r>
    </w:p>
    <w:p w14:paraId="55E7D6FB" w14:textId="77777777" w:rsidR="00F363EE" w:rsidRPr="00461C16" w:rsidRDefault="00F363EE" w:rsidP="00427598">
      <w:pPr>
        <w:pStyle w:val="ListParagraph"/>
        <w:numPr>
          <w:ilvl w:val="0"/>
          <w:numId w:val="41"/>
        </w:numPr>
        <w:autoSpaceDE w:val="0"/>
        <w:autoSpaceDN w:val="0"/>
        <w:adjustRightInd w:val="0"/>
        <w:spacing w:before="60" w:line="240" w:lineRule="auto"/>
        <w:rPr>
          <w:lang w:eastAsia="cs-CZ"/>
        </w:rPr>
      </w:pPr>
      <w:r w:rsidRPr="00461C16">
        <w:rPr>
          <w:lang w:eastAsia="cs-CZ"/>
        </w:rPr>
        <w:t>PH2 st</w:t>
      </w:r>
      <w:r w:rsidRPr="00461C16">
        <w:rPr>
          <w:rFonts w:cs="TimesNewRoman"/>
          <w:lang w:eastAsia="cs-CZ"/>
        </w:rPr>
        <w:t>ř</w:t>
      </w:r>
      <w:r w:rsidRPr="00461C16">
        <w:rPr>
          <w:lang w:eastAsia="cs-CZ"/>
        </w:rPr>
        <w:t>et pr</w:t>
      </w:r>
      <w:r w:rsidRPr="00461C16">
        <w:rPr>
          <w:rFonts w:cs="TimesNewRoman"/>
          <w:lang w:eastAsia="cs-CZ"/>
        </w:rPr>
        <w:t>ů</w:t>
      </w:r>
      <w:r w:rsidRPr="00461C16">
        <w:rPr>
          <w:lang w:eastAsia="cs-CZ"/>
        </w:rPr>
        <w:t>myslové zóny s obytnou zástavbou ulice Old</w:t>
      </w:r>
      <w:r w:rsidRPr="00461C16">
        <w:rPr>
          <w:rFonts w:cs="TimesNewRoman"/>
          <w:lang w:eastAsia="cs-CZ"/>
        </w:rPr>
        <w:t>ř</w:t>
      </w:r>
      <w:r w:rsidRPr="00461C16">
        <w:rPr>
          <w:lang w:eastAsia="cs-CZ"/>
        </w:rPr>
        <w:t>ichovská a U Gumovky</w:t>
      </w:r>
    </w:p>
    <w:p w14:paraId="3A2F2CDB" w14:textId="77777777" w:rsidR="00F363EE" w:rsidRPr="00461C16" w:rsidRDefault="00F363EE" w:rsidP="00427598">
      <w:pPr>
        <w:pStyle w:val="ListParagraph"/>
        <w:numPr>
          <w:ilvl w:val="0"/>
          <w:numId w:val="41"/>
        </w:numPr>
        <w:autoSpaceDE w:val="0"/>
        <w:autoSpaceDN w:val="0"/>
        <w:adjustRightInd w:val="0"/>
        <w:spacing w:before="60" w:line="240" w:lineRule="auto"/>
        <w:rPr>
          <w:lang w:eastAsia="cs-CZ"/>
        </w:rPr>
      </w:pPr>
      <w:r w:rsidRPr="00461C16">
        <w:rPr>
          <w:lang w:eastAsia="cs-CZ"/>
        </w:rPr>
        <w:t>PH3 bývalý areál vlakového nádraží</w:t>
      </w:r>
    </w:p>
    <w:p w14:paraId="3ED8A6F3" w14:textId="77777777" w:rsidR="00F363EE" w:rsidRPr="00461C16" w:rsidRDefault="00F363EE" w:rsidP="00427598">
      <w:pPr>
        <w:pStyle w:val="ListParagraph"/>
        <w:numPr>
          <w:ilvl w:val="0"/>
          <w:numId w:val="41"/>
        </w:numPr>
        <w:autoSpaceDE w:val="0"/>
        <w:autoSpaceDN w:val="0"/>
        <w:adjustRightInd w:val="0"/>
        <w:spacing w:before="60" w:line="240" w:lineRule="auto"/>
        <w:rPr>
          <w:lang w:eastAsia="cs-CZ"/>
        </w:rPr>
      </w:pPr>
      <w:r w:rsidRPr="00461C16">
        <w:rPr>
          <w:lang w:eastAsia="cs-CZ"/>
        </w:rPr>
        <w:t xml:space="preserve">PH4 areál </w:t>
      </w:r>
      <w:r w:rsidRPr="00461C16">
        <w:rPr>
          <w:rFonts w:cs="TimesNewRoman"/>
          <w:lang w:eastAsia="cs-CZ"/>
        </w:rPr>
        <w:t>Č</w:t>
      </w:r>
      <w:r w:rsidRPr="00461C16">
        <w:rPr>
          <w:lang w:eastAsia="cs-CZ"/>
        </w:rPr>
        <w:t>SAD ulice U Nisy</w:t>
      </w:r>
    </w:p>
    <w:p w14:paraId="18898681" w14:textId="77777777" w:rsidR="00F363EE" w:rsidRPr="00461C16" w:rsidRDefault="00F363EE" w:rsidP="00427598">
      <w:pPr>
        <w:pStyle w:val="ListParagraph"/>
        <w:numPr>
          <w:ilvl w:val="0"/>
          <w:numId w:val="41"/>
        </w:numPr>
        <w:autoSpaceDE w:val="0"/>
        <w:autoSpaceDN w:val="0"/>
        <w:adjustRightInd w:val="0"/>
        <w:spacing w:before="60" w:line="240" w:lineRule="auto"/>
        <w:rPr>
          <w:lang w:eastAsia="cs-CZ"/>
        </w:rPr>
      </w:pPr>
      <w:r w:rsidRPr="00461C16">
        <w:rPr>
          <w:lang w:eastAsia="cs-CZ"/>
        </w:rPr>
        <w:t xml:space="preserve">PH5 </w:t>
      </w:r>
      <w:r w:rsidRPr="00461C16">
        <w:rPr>
          <w:rFonts w:cs="TimesNewRoman"/>
          <w:lang w:eastAsia="cs-CZ"/>
        </w:rPr>
        <w:t>Č</w:t>
      </w:r>
      <w:r w:rsidRPr="00461C16">
        <w:rPr>
          <w:lang w:eastAsia="cs-CZ"/>
        </w:rPr>
        <w:t>OV v záplavové oblasti</w:t>
      </w:r>
    </w:p>
    <w:p w14:paraId="6EF9CE9D" w14:textId="77777777" w:rsidR="00944655" w:rsidRPr="00461C16" w:rsidRDefault="0081116F" w:rsidP="00944655">
      <w:pPr>
        <w:pStyle w:val="BodyText"/>
        <w:spacing w:before="120" w:after="120"/>
        <w:rPr>
          <w:i/>
          <w:sz w:val="22"/>
          <w:szCs w:val="22"/>
        </w:rPr>
      </w:pPr>
      <w:r w:rsidRPr="00461C16">
        <w:rPr>
          <w:i/>
          <w:color w:val="000000"/>
          <w:sz w:val="22"/>
          <w:szCs w:val="22"/>
          <w:shd w:val="clear" w:color="auto" w:fill="FFFFFF"/>
        </w:rPr>
        <w:t>Jednotlivé závady byly prověřeny a v možné míře byla navržena opatření pro jejich odstranění. Některé závady nelze v ÚP řešit.</w:t>
      </w:r>
    </w:p>
    <w:p w14:paraId="00784F61" w14:textId="77777777" w:rsidR="00F363EE" w:rsidRPr="00461C16" w:rsidRDefault="00F363EE"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Střety v území dle Doplňujících průzkumů a rozborů Hrádek nad Nisou</w:t>
      </w:r>
    </w:p>
    <w:p w14:paraId="2289F6E9" w14:textId="77777777" w:rsidR="00F363EE" w:rsidRPr="00461C16" w:rsidRDefault="00F363EE" w:rsidP="00427598">
      <w:pPr>
        <w:pStyle w:val="ListParagraph"/>
        <w:numPr>
          <w:ilvl w:val="0"/>
          <w:numId w:val="42"/>
        </w:numPr>
        <w:autoSpaceDE w:val="0"/>
        <w:autoSpaceDN w:val="0"/>
        <w:adjustRightInd w:val="0"/>
        <w:spacing w:before="60" w:line="240" w:lineRule="auto"/>
        <w:rPr>
          <w:lang w:eastAsia="cs-CZ"/>
        </w:rPr>
      </w:pPr>
      <w:r w:rsidRPr="00461C16">
        <w:rPr>
          <w:lang w:eastAsia="cs-CZ"/>
        </w:rPr>
        <w:t>PZ1 plánování obytné zástavby do záplavové zóny</w:t>
      </w:r>
    </w:p>
    <w:p w14:paraId="21D204BE" w14:textId="77777777" w:rsidR="00F363EE" w:rsidRPr="00461C16" w:rsidRDefault="00F363EE" w:rsidP="00427598">
      <w:pPr>
        <w:pStyle w:val="ListParagraph"/>
        <w:numPr>
          <w:ilvl w:val="0"/>
          <w:numId w:val="42"/>
        </w:numPr>
        <w:autoSpaceDE w:val="0"/>
        <w:autoSpaceDN w:val="0"/>
        <w:adjustRightInd w:val="0"/>
        <w:spacing w:before="60" w:line="240" w:lineRule="auto"/>
        <w:rPr>
          <w:lang w:eastAsia="cs-CZ"/>
        </w:rPr>
      </w:pPr>
      <w:r w:rsidRPr="00461C16">
        <w:rPr>
          <w:lang w:eastAsia="cs-CZ"/>
        </w:rPr>
        <w:t xml:space="preserve">PZ2 plánování obytné zástavby do okrajových </w:t>
      </w:r>
      <w:r w:rsidRPr="00461C16">
        <w:rPr>
          <w:rFonts w:cs="TimesNewRoman"/>
          <w:lang w:eastAsia="cs-CZ"/>
        </w:rPr>
        <w:t>č</w:t>
      </w:r>
      <w:r w:rsidRPr="00461C16">
        <w:rPr>
          <w:lang w:eastAsia="cs-CZ"/>
        </w:rPr>
        <w:t>ástí, rozší</w:t>
      </w:r>
      <w:r w:rsidRPr="00461C16">
        <w:rPr>
          <w:rFonts w:cs="TimesNewRoman"/>
          <w:lang w:eastAsia="cs-CZ"/>
        </w:rPr>
        <w:t>ř</w:t>
      </w:r>
      <w:r w:rsidRPr="00461C16">
        <w:rPr>
          <w:lang w:eastAsia="cs-CZ"/>
        </w:rPr>
        <w:t>ení zastav</w:t>
      </w:r>
      <w:r w:rsidRPr="00461C16">
        <w:rPr>
          <w:rFonts w:cs="TimesNewRoman"/>
          <w:lang w:eastAsia="cs-CZ"/>
        </w:rPr>
        <w:t>ě</w:t>
      </w:r>
      <w:r w:rsidRPr="00461C16">
        <w:rPr>
          <w:lang w:eastAsia="cs-CZ"/>
        </w:rPr>
        <w:t>ného území, p</w:t>
      </w:r>
      <w:r w:rsidRPr="00461C16">
        <w:rPr>
          <w:rFonts w:cs="TimesNewRoman"/>
          <w:lang w:eastAsia="cs-CZ"/>
        </w:rPr>
        <w:t>ř</w:t>
      </w:r>
      <w:r w:rsidRPr="00461C16">
        <w:rPr>
          <w:lang w:eastAsia="cs-CZ"/>
        </w:rPr>
        <w:t>itom v centru proluky a chátrající objekty</w:t>
      </w:r>
    </w:p>
    <w:p w14:paraId="110C9F91" w14:textId="77777777" w:rsidR="00944655" w:rsidRPr="00461C16" w:rsidRDefault="0081116F" w:rsidP="00944655">
      <w:pPr>
        <w:pStyle w:val="BodyText"/>
        <w:spacing w:before="120" w:after="120"/>
        <w:rPr>
          <w:i/>
          <w:color w:val="000000"/>
          <w:sz w:val="22"/>
          <w:szCs w:val="22"/>
          <w:shd w:val="clear" w:color="auto" w:fill="FFFFFF"/>
        </w:rPr>
      </w:pPr>
      <w:r w:rsidRPr="00461C16">
        <w:rPr>
          <w:i/>
          <w:color w:val="000000"/>
          <w:sz w:val="22"/>
          <w:szCs w:val="22"/>
          <w:shd w:val="clear" w:color="auto" w:fill="FFFFFF"/>
        </w:rPr>
        <w:t xml:space="preserve">Jednotlivé střety byly prověřeny. Záplavové území a zejména aktivní zóna záplavového území jsou respektovány jako zásadní limity pro rozvoj území. Ten je podmíněn výhradně realizací protipovodňových opatření. </w:t>
      </w:r>
    </w:p>
    <w:p w14:paraId="2C5231CA" w14:textId="77777777" w:rsidR="0081116F" w:rsidRPr="00461C16" w:rsidRDefault="0081116F" w:rsidP="00944655">
      <w:pPr>
        <w:pStyle w:val="BodyText"/>
        <w:spacing w:before="120" w:after="120"/>
        <w:rPr>
          <w:i/>
          <w:sz w:val="22"/>
          <w:szCs w:val="22"/>
        </w:rPr>
      </w:pPr>
      <w:r w:rsidRPr="00461C16">
        <w:rPr>
          <w:i/>
          <w:color w:val="000000"/>
          <w:sz w:val="22"/>
          <w:szCs w:val="22"/>
          <w:shd w:val="clear" w:color="auto" w:fill="FFFFFF"/>
        </w:rPr>
        <w:t xml:space="preserve">Přednostní využití prostorových rezerv v zastavěném území je základním principem koncepce ÚP. ÚP vytváří podmínky pro posílení kompaktnosti vnitřního města, nástroji ÚP však již nelze zajistit péči o jednotlivé objekty či vymáhat následnou realizaci dostaveb či přestaveb. </w:t>
      </w:r>
    </w:p>
    <w:p w14:paraId="684CE5BD" w14:textId="77777777" w:rsidR="00F363EE" w:rsidRPr="00461C16" w:rsidRDefault="00F363EE"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Ohrožení v území dle Doplňujících průzkumů a rozborů Hrádek nad Nisou</w:t>
      </w:r>
    </w:p>
    <w:p w14:paraId="69167390" w14:textId="77777777" w:rsidR="00F363EE" w:rsidRPr="00461C16" w:rsidRDefault="00F363EE" w:rsidP="00427598">
      <w:pPr>
        <w:pStyle w:val="ListParagraph"/>
        <w:numPr>
          <w:ilvl w:val="0"/>
          <w:numId w:val="43"/>
        </w:numPr>
        <w:autoSpaceDE w:val="0"/>
        <w:autoSpaceDN w:val="0"/>
        <w:adjustRightInd w:val="0"/>
        <w:spacing w:before="60" w:line="240" w:lineRule="auto"/>
        <w:rPr>
          <w:lang w:eastAsia="cs-CZ"/>
        </w:rPr>
      </w:pPr>
      <w:r w:rsidRPr="00461C16">
        <w:rPr>
          <w:lang w:eastAsia="cs-CZ"/>
        </w:rPr>
        <w:t>PO1 záplavy</w:t>
      </w:r>
    </w:p>
    <w:p w14:paraId="1D5C530D" w14:textId="77777777" w:rsidR="00F363EE" w:rsidRPr="00461C16" w:rsidRDefault="00F363EE" w:rsidP="00427598">
      <w:pPr>
        <w:pStyle w:val="ListParagraph"/>
        <w:numPr>
          <w:ilvl w:val="0"/>
          <w:numId w:val="43"/>
        </w:numPr>
        <w:autoSpaceDE w:val="0"/>
        <w:autoSpaceDN w:val="0"/>
        <w:adjustRightInd w:val="0"/>
        <w:spacing w:before="60" w:line="240" w:lineRule="auto"/>
        <w:rPr>
          <w:lang w:eastAsia="cs-CZ"/>
        </w:rPr>
      </w:pPr>
      <w:r w:rsidRPr="00461C16">
        <w:rPr>
          <w:lang w:eastAsia="cs-CZ"/>
        </w:rPr>
        <w:t>PO2 skládky</w:t>
      </w:r>
    </w:p>
    <w:p w14:paraId="79EAD73C" w14:textId="77777777" w:rsidR="00F363EE" w:rsidRPr="00461C16" w:rsidRDefault="00F363EE" w:rsidP="00427598">
      <w:pPr>
        <w:pStyle w:val="ListParagraph"/>
        <w:numPr>
          <w:ilvl w:val="0"/>
          <w:numId w:val="43"/>
        </w:numPr>
        <w:autoSpaceDE w:val="0"/>
        <w:autoSpaceDN w:val="0"/>
        <w:adjustRightInd w:val="0"/>
        <w:spacing w:before="60" w:line="240" w:lineRule="auto"/>
        <w:rPr>
          <w:lang w:eastAsia="cs-CZ"/>
        </w:rPr>
      </w:pPr>
      <w:r w:rsidRPr="00461C16">
        <w:rPr>
          <w:lang w:eastAsia="cs-CZ"/>
        </w:rPr>
        <w:t>PO3 vyt</w:t>
      </w:r>
      <w:r w:rsidRPr="00461C16">
        <w:rPr>
          <w:rFonts w:cs="TimesNewRoman"/>
          <w:lang w:eastAsia="cs-CZ"/>
        </w:rPr>
        <w:t>ě</w:t>
      </w:r>
      <w:r w:rsidRPr="00461C16">
        <w:rPr>
          <w:lang w:eastAsia="cs-CZ"/>
        </w:rPr>
        <w:t>žené území</w:t>
      </w:r>
    </w:p>
    <w:p w14:paraId="41501DDF" w14:textId="4769F519" w:rsidR="00944655" w:rsidRPr="00461C16" w:rsidRDefault="0081116F" w:rsidP="00944655">
      <w:pPr>
        <w:pStyle w:val="BodyText"/>
        <w:spacing w:before="120" w:after="120"/>
        <w:rPr>
          <w:i/>
          <w:sz w:val="22"/>
          <w:szCs w:val="22"/>
        </w:rPr>
      </w:pPr>
      <w:r w:rsidRPr="00461C16">
        <w:rPr>
          <w:i/>
          <w:color w:val="000000"/>
          <w:sz w:val="22"/>
          <w:szCs w:val="22"/>
          <w:shd w:val="clear" w:color="auto" w:fill="FFFFFF"/>
        </w:rPr>
        <w:t>Pro ochranu území jsou navržena protipovodňová opatření, dle platných ZÚR Libereckého kraje. Využití území s evidovanými skládkami či ekologickou zátěží je podmíněno dekontaminací, její rozsah je nutno určit na základě podrobnější analýzy míry znečištění, mimo ÚP. Riziko geologické nestabil</w:t>
      </w:r>
      <w:r w:rsidR="005E1CEB" w:rsidRPr="00461C16">
        <w:rPr>
          <w:i/>
          <w:color w:val="000000"/>
          <w:sz w:val="22"/>
          <w:szCs w:val="22"/>
          <w:shd w:val="clear" w:color="auto" w:fill="FFFFFF"/>
        </w:rPr>
        <w:t>ity v případě výstavby na vytěže</w:t>
      </w:r>
      <w:r w:rsidRPr="00461C16">
        <w:rPr>
          <w:i/>
          <w:color w:val="000000"/>
          <w:sz w:val="22"/>
          <w:szCs w:val="22"/>
          <w:shd w:val="clear" w:color="auto" w:fill="FFFFFF"/>
        </w:rPr>
        <w:t>ném území je nutno posoudit v rámci podrobnější dokumentace (např. DÚR).</w:t>
      </w:r>
      <w:r w:rsidR="005E1CEB" w:rsidRPr="00461C16">
        <w:rPr>
          <w:i/>
          <w:color w:val="000000"/>
          <w:sz w:val="22"/>
          <w:szCs w:val="22"/>
          <w:shd w:val="clear" w:color="auto" w:fill="FFFFFF"/>
        </w:rPr>
        <w:t xml:space="preserve"> Obecně však ÚP nepřipouští výstavbu ve volné krajině.</w:t>
      </w:r>
    </w:p>
    <w:p w14:paraId="3996BE44" w14:textId="77777777" w:rsidR="00F363EE" w:rsidRPr="00461C16" w:rsidRDefault="00F363EE"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Problémy v území dle Doplňujících průzkumů a rozborů Hrádek nad Nisou</w:t>
      </w:r>
    </w:p>
    <w:p w14:paraId="670E10C4" w14:textId="77777777" w:rsidR="00F363EE" w:rsidRPr="00461C16" w:rsidRDefault="00F363EE" w:rsidP="00427598">
      <w:pPr>
        <w:pStyle w:val="ListParagraph"/>
        <w:numPr>
          <w:ilvl w:val="0"/>
          <w:numId w:val="44"/>
        </w:numPr>
        <w:autoSpaceDE w:val="0"/>
        <w:autoSpaceDN w:val="0"/>
        <w:adjustRightInd w:val="0"/>
        <w:spacing w:before="60" w:line="240" w:lineRule="auto"/>
        <w:rPr>
          <w:lang w:eastAsia="cs-CZ"/>
        </w:rPr>
      </w:pPr>
      <w:r w:rsidRPr="00461C16">
        <w:rPr>
          <w:rFonts w:cs="TimesNewRoman"/>
          <w:lang w:eastAsia="cs-CZ"/>
        </w:rPr>
        <w:t>ř</w:t>
      </w:r>
      <w:r w:rsidRPr="00461C16">
        <w:rPr>
          <w:lang w:eastAsia="cs-CZ"/>
        </w:rPr>
        <w:t>ešit rozvojové plochy pro bydlení</w:t>
      </w:r>
    </w:p>
    <w:p w14:paraId="21A615C8" w14:textId="77777777" w:rsidR="00F363EE" w:rsidRPr="00461C16" w:rsidRDefault="00F363EE" w:rsidP="00427598">
      <w:pPr>
        <w:pStyle w:val="ListParagraph"/>
        <w:numPr>
          <w:ilvl w:val="0"/>
          <w:numId w:val="44"/>
        </w:numPr>
        <w:autoSpaceDE w:val="0"/>
        <w:autoSpaceDN w:val="0"/>
        <w:adjustRightInd w:val="0"/>
        <w:spacing w:before="60" w:line="240" w:lineRule="auto"/>
        <w:rPr>
          <w:lang w:eastAsia="cs-CZ"/>
        </w:rPr>
      </w:pPr>
      <w:r w:rsidRPr="00461C16">
        <w:rPr>
          <w:rFonts w:cs="TimesNewRoman"/>
          <w:lang w:eastAsia="cs-CZ"/>
        </w:rPr>
        <w:t>ř</w:t>
      </w:r>
      <w:r w:rsidRPr="00461C16">
        <w:rPr>
          <w:lang w:eastAsia="cs-CZ"/>
        </w:rPr>
        <w:t>ešit rozvojové plochy pro podnikání a drobnou výrobu</w:t>
      </w:r>
    </w:p>
    <w:p w14:paraId="7B9E66AE" w14:textId="77777777" w:rsidR="00F363EE" w:rsidRPr="00461C16" w:rsidRDefault="00F363EE" w:rsidP="00427598">
      <w:pPr>
        <w:pStyle w:val="ListParagraph"/>
        <w:numPr>
          <w:ilvl w:val="0"/>
          <w:numId w:val="44"/>
        </w:numPr>
        <w:autoSpaceDE w:val="0"/>
        <w:autoSpaceDN w:val="0"/>
        <w:adjustRightInd w:val="0"/>
        <w:spacing w:before="60" w:line="240" w:lineRule="auto"/>
        <w:rPr>
          <w:lang w:eastAsia="cs-CZ"/>
        </w:rPr>
      </w:pPr>
      <w:r w:rsidRPr="00461C16">
        <w:rPr>
          <w:rFonts w:cs="TimesNewRoman"/>
          <w:lang w:eastAsia="cs-CZ"/>
        </w:rPr>
        <w:t>ř</w:t>
      </w:r>
      <w:r w:rsidRPr="00461C16">
        <w:rPr>
          <w:lang w:eastAsia="cs-CZ"/>
        </w:rPr>
        <w:t>ešit rozvojové plochy pro sport a rekreaci</w:t>
      </w:r>
    </w:p>
    <w:p w14:paraId="06D616ED" w14:textId="77777777" w:rsidR="00F363EE" w:rsidRPr="00461C16" w:rsidRDefault="00F363EE" w:rsidP="00427598">
      <w:pPr>
        <w:pStyle w:val="ListParagraph"/>
        <w:numPr>
          <w:ilvl w:val="0"/>
          <w:numId w:val="44"/>
        </w:numPr>
        <w:autoSpaceDE w:val="0"/>
        <w:autoSpaceDN w:val="0"/>
        <w:adjustRightInd w:val="0"/>
        <w:spacing w:before="60" w:line="240" w:lineRule="auto"/>
        <w:rPr>
          <w:lang w:eastAsia="cs-CZ"/>
        </w:rPr>
      </w:pPr>
      <w:r w:rsidRPr="00461C16">
        <w:rPr>
          <w:lang w:eastAsia="cs-CZ"/>
        </w:rPr>
        <w:t>zajistit podmínky pro využití alternativních zdroj</w:t>
      </w:r>
      <w:r w:rsidRPr="00461C16">
        <w:rPr>
          <w:rFonts w:cs="TimesNewRoman"/>
          <w:lang w:eastAsia="cs-CZ"/>
        </w:rPr>
        <w:t xml:space="preserve">ů </w:t>
      </w:r>
      <w:r w:rsidRPr="00461C16">
        <w:rPr>
          <w:lang w:eastAsia="cs-CZ"/>
        </w:rPr>
        <w:t>energie a vytáp</w:t>
      </w:r>
      <w:r w:rsidRPr="00461C16">
        <w:rPr>
          <w:rFonts w:cs="TimesNewRoman"/>
          <w:lang w:eastAsia="cs-CZ"/>
        </w:rPr>
        <w:t>ě</w:t>
      </w:r>
      <w:r w:rsidRPr="00461C16">
        <w:rPr>
          <w:lang w:eastAsia="cs-CZ"/>
        </w:rPr>
        <w:t>ní</w:t>
      </w:r>
    </w:p>
    <w:p w14:paraId="5E3A435C" w14:textId="77777777" w:rsidR="00F363EE" w:rsidRPr="00461C16" w:rsidRDefault="00F363EE" w:rsidP="00427598">
      <w:pPr>
        <w:pStyle w:val="ListParagraph"/>
        <w:numPr>
          <w:ilvl w:val="0"/>
          <w:numId w:val="44"/>
        </w:numPr>
        <w:autoSpaceDE w:val="0"/>
        <w:autoSpaceDN w:val="0"/>
        <w:adjustRightInd w:val="0"/>
        <w:spacing w:before="60" w:line="240" w:lineRule="auto"/>
        <w:rPr>
          <w:lang w:eastAsia="cs-CZ"/>
        </w:rPr>
      </w:pPr>
      <w:r w:rsidRPr="00461C16">
        <w:rPr>
          <w:lang w:eastAsia="cs-CZ"/>
        </w:rPr>
        <w:t>zajistit ochranu urbanistických hodnot území</w:t>
      </w:r>
    </w:p>
    <w:p w14:paraId="7C370246" w14:textId="77777777" w:rsidR="00F363EE" w:rsidRPr="00461C16" w:rsidRDefault="00F363EE" w:rsidP="00427598">
      <w:pPr>
        <w:pStyle w:val="ListParagraph"/>
        <w:numPr>
          <w:ilvl w:val="0"/>
          <w:numId w:val="44"/>
        </w:numPr>
        <w:autoSpaceDE w:val="0"/>
        <w:autoSpaceDN w:val="0"/>
        <w:adjustRightInd w:val="0"/>
        <w:spacing w:before="60" w:line="240" w:lineRule="auto"/>
        <w:rPr>
          <w:lang w:eastAsia="cs-CZ"/>
        </w:rPr>
      </w:pPr>
      <w:r w:rsidRPr="00461C16">
        <w:rPr>
          <w:lang w:eastAsia="cs-CZ"/>
        </w:rPr>
        <w:t>zajistit ochranu historických hodnot území</w:t>
      </w:r>
    </w:p>
    <w:p w14:paraId="655F402C" w14:textId="77777777" w:rsidR="00F363EE" w:rsidRPr="00461C16" w:rsidRDefault="00F363EE" w:rsidP="00427598">
      <w:pPr>
        <w:pStyle w:val="ListParagraph"/>
        <w:numPr>
          <w:ilvl w:val="0"/>
          <w:numId w:val="44"/>
        </w:numPr>
        <w:autoSpaceDE w:val="0"/>
        <w:autoSpaceDN w:val="0"/>
        <w:adjustRightInd w:val="0"/>
        <w:spacing w:before="60" w:line="240" w:lineRule="auto"/>
        <w:rPr>
          <w:lang w:eastAsia="cs-CZ"/>
        </w:rPr>
      </w:pPr>
      <w:r w:rsidRPr="00461C16">
        <w:rPr>
          <w:lang w:eastAsia="cs-CZ"/>
        </w:rPr>
        <w:t>zajistit zvýšení retence a prostupnost krajiny</w:t>
      </w:r>
    </w:p>
    <w:p w14:paraId="122DC4DC" w14:textId="77777777" w:rsidR="00944655" w:rsidRPr="00461C16" w:rsidRDefault="00F7320D" w:rsidP="00944655">
      <w:pPr>
        <w:pStyle w:val="BodyText"/>
        <w:spacing w:before="120" w:after="120"/>
        <w:rPr>
          <w:i/>
          <w:sz w:val="22"/>
          <w:szCs w:val="22"/>
        </w:rPr>
      </w:pPr>
      <w:r w:rsidRPr="00461C16">
        <w:rPr>
          <w:i/>
          <w:color w:val="000000"/>
          <w:sz w:val="22"/>
          <w:szCs w:val="22"/>
          <w:shd w:val="clear" w:color="auto" w:fill="FFFFFF"/>
        </w:rPr>
        <w:t xml:space="preserve">Koncepce ÚP řeší všechny uvedené problémy. </w:t>
      </w:r>
      <w:r w:rsidR="004211DF" w:rsidRPr="00461C16">
        <w:rPr>
          <w:i/>
          <w:color w:val="000000"/>
          <w:sz w:val="22"/>
          <w:szCs w:val="22"/>
          <w:shd w:val="clear" w:color="auto" w:fill="FFFFFF"/>
        </w:rPr>
        <w:t xml:space="preserve">Je navržen rozvoj všech uvedených způsobů využití – viz kap. C Územního plánu – Urbanistická koncepce. Jsou stanoveny podmínky pro využití alternativních ekologických paliv </w:t>
      </w:r>
      <w:r w:rsidR="004211DF" w:rsidRPr="00461C16">
        <w:rPr>
          <w:i/>
          <w:color w:val="000000"/>
          <w:sz w:val="22"/>
          <w:szCs w:val="22"/>
          <w:shd w:val="clear" w:color="auto" w:fill="FFFFFF"/>
        </w:rPr>
        <w:lastRenderedPageBreak/>
        <w:t>– viz kap. D.2.3 Územního plánu – Zásobování elektrickou energií. Koncepcí ÚP jsou chráněny všechny hodnoty území</w:t>
      </w:r>
      <w:r w:rsidRPr="00461C16">
        <w:rPr>
          <w:i/>
          <w:color w:val="000000"/>
          <w:sz w:val="22"/>
          <w:szCs w:val="22"/>
          <w:shd w:val="clear" w:color="auto" w:fill="FFFFFF"/>
        </w:rPr>
        <w:t xml:space="preserve"> – viz kap. B.2 – B.4 Územního plánu. Zásady pro řešení krajiny jsou stanoveny v kap. E Územního plánu – Koncepce uspořádání krajiny.</w:t>
      </w:r>
    </w:p>
    <w:p w14:paraId="00E5DC7B" w14:textId="77777777" w:rsidR="00F363EE" w:rsidRPr="00461C16" w:rsidRDefault="00F363EE"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Případné další problémy zjištěné v průběhu zpracovávání ÚP Hrádek nad Nisou prověřit a řešit.</w:t>
      </w:r>
    </w:p>
    <w:p w14:paraId="0D4802C6" w14:textId="77777777" w:rsidR="00233B2C" w:rsidRPr="00461C16" w:rsidRDefault="00F7320D" w:rsidP="00233B2C">
      <w:pPr>
        <w:autoSpaceDE w:val="0"/>
        <w:autoSpaceDN w:val="0"/>
        <w:adjustRightInd w:val="0"/>
        <w:spacing w:before="120" w:line="240" w:lineRule="auto"/>
        <w:rPr>
          <w:i/>
          <w:lang w:eastAsia="cs-CZ"/>
        </w:rPr>
      </w:pPr>
      <w:r w:rsidRPr="00461C16">
        <w:rPr>
          <w:i/>
          <w:lang w:eastAsia="cs-CZ"/>
        </w:rPr>
        <w:t>Předmětem koncepce ÚP je i řešení dalších zjištěných problémů.</w:t>
      </w:r>
    </w:p>
    <w:p w14:paraId="1E9F203A" w14:textId="77777777" w:rsidR="00E94392" w:rsidRPr="00461C16" w:rsidRDefault="00E94392" w:rsidP="00E94392">
      <w:pPr>
        <w:pStyle w:val="Heading2"/>
        <w:spacing w:after="240"/>
        <w:rPr>
          <w:lang w:eastAsia="cs-CZ"/>
        </w:rPr>
      </w:pPr>
      <w:bookmarkStart w:id="70" w:name="_Toc36116269"/>
      <w:r w:rsidRPr="00461C16">
        <w:rPr>
          <w:lang w:eastAsia="cs-CZ"/>
        </w:rPr>
        <w:t>3.10</w:t>
      </w:r>
      <w:r w:rsidRPr="00461C16">
        <w:rPr>
          <w:lang w:eastAsia="cs-CZ"/>
        </w:rPr>
        <w:tab/>
        <w:t>Požadavky na vymezení zastavitelných ploch a ploch přestavby s ohledem na obnovu a rozvoj sídelní struktury a polohu obce v rozvojové oblasti nebo rozvojové ose</w:t>
      </w:r>
      <w:bookmarkEnd w:id="70"/>
      <w:r w:rsidRPr="00461C16">
        <w:rPr>
          <w:lang w:eastAsia="cs-CZ"/>
        </w:rPr>
        <w:t xml:space="preserve"> </w:t>
      </w:r>
    </w:p>
    <w:p w14:paraId="59A41C2F" w14:textId="77777777" w:rsidR="00AF7178" w:rsidRPr="00461C16" w:rsidRDefault="00AF7178" w:rsidP="000A5DB6">
      <w:pPr>
        <w:autoSpaceDE w:val="0"/>
        <w:autoSpaceDN w:val="0"/>
        <w:adjustRightInd w:val="0"/>
        <w:spacing w:before="120" w:after="120" w:line="240" w:lineRule="auto"/>
        <w:rPr>
          <w:u w:val="single"/>
          <w:lang w:eastAsia="cs-CZ"/>
        </w:rPr>
      </w:pPr>
      <w:r w:rsidRPr="00461C16">
        <w:rPr>
          <w:bCs/>
          <w:u w:val="single"/>
          <w:lang w:eastAsia="cs-CZ"/>
        </w:rPr>
        <w:t xml:space="preserve">Rozvojová osa OS3 Praha – Liberec – hranice </w:t>
      </w:r>
      <w:r w:rsidRPr="00461C16">
        <w:rPr>
          <w:rFonts w:cs="TimesNewRoman,Bold"/>
          <w:bCs/>
          <w:u w:val="single"/>
          <w:lang w:eastAsia="cs-CZ"/>
        </w:rPr>
        <w:t>Č</w:t>
      </w:r>
      <w:r w:rsidRPr="00461C16">
        <w:rPr>
          <w:bCs/>
          <w:u w:val="single"/>
          <w:lang w:eastAsia="cs-CZ"/>
        </w:rPr>
        <w:t>R/N</w:t>
      </w:r>
      <w:r w:rsidRPr="00461C16">
        <w:rPr>
          <w:rFonts w:cs="TimesNewRoman,Bold"/>
          <w:bCs/>
          <w:u w:val="single"/>
          <w:lang w:eastAsia="cs-CZ"/>
        </w:rPr>
        <w:t>ě</w:t>
      </w:r>
      <w:r w:rsidRPr="00461C16">
        <w:rPr>
          <w:bCs/>
          <w:u w:val="single"/>
          <w:lang w:eastAsia="cs-CZ"/>
        </w:rPr>
        <w:t>mecko, Polsko (–Görlitz/Zgorzelec).</w:t>
      </w:r>
    </w:p>
    <w:p w14:paraId="07DA27BC" w14:textId="77777777" w:rsidR="00F363EE" w:rsidRPr="00461C16" w:rsidRDefault="00AF7178"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Při rozhodování a posuzování záměru na změny v území ve všech rozvojových oblastech a rozvojových osách je nutno sledovat zejména:</w:t>
      </w:r>
    </w:p>
    <w:p w14:paraId="5732FB43" w14:textId="77777777" w:rsidR="00AF7178" w:rsidRPr="00461C16" w:rsidRDefault="00AF7178" w:rsidP="00427598">
      <w:pPr>
        <w:pStyle w:val="ListParagraph"/>
        <w:numPr>
          <w:ilvl w:val="0"/>
          <w:numId w:val="45"/>
        </w:numPr>
        <w:autoSpaceDE w:val="0"/>
        <w:autoSpaceDN w:val="0"/>
        <w:adjustRightInd w:val="0"/>
        <w:spacing w:before="60" w:line="240" w:lineRule="auto"/>
        <w:rPr>
          <w:lang w:eastAsia="cs-CZ"/>
        </w:rPr>
      </w:pPr>
      <w:r w:rsidRPr="00461C16">
        <w:rPr>
          <w:lang w:eastAsia="cs-CZ"/>
        </w:rPr>
        <w:t>rozvoj ve</w:t>
      </w:r>
      <w:r w:rsidRPr="00461C16">
        <w:rPr>
          <w:rFonts w:cs="TimesNewRoman"/>
          <w:lang w:eastAsia="cs-CZ"/>
        </w:rPr>
        <w:t>ř</w:t>
      </w:r>
      <w:r w:rsidRPr="00461C16">
        <w:rPr>
          <w:lang w:eastAsia="cs-CZ"/>
        </w:rPr>
        <w:t>ejné infrastruktury mezinárodního a republikového významu p</w:t>
      </w:r>
      <w:r w:rsidRPr="00461C16">
        <w:rPr>
          <w:rFonts w:cs="TimesNewRoman"/>
          <w:lang w:eastAsia="cs-CZ"/>
        </w:rPr>
        <w:t>ř</w:t>
      </w:r>
      <w:r w:rsidRPr="00461C16">
        <w:rPr>
          <w:lang w:eastAsia="cs-CZ"/>
        </w:rPr>
        <w:t>i sou</w:t>
      </w:r>
      <w:r w:rsidRPr="00461C16">
        <w:rPr>
          <w:rFonts w:cs="TimesNewRoman"/>
          <w:lang w:eastAsia="cs-CZ"/>
        </w:rPr>
        <w:t>č</w:t>
      </w:r>
      <w:r w:rsidRPr="00461C16">
        <w:rPr>
          <w:lang w:eastAsia="cs-CZ"/>
        </w:rPr>
        <w:t>asném zachování respektování hodnot území,</w:t>
      </w:r>
    </w:p>
    <w:p w14:paraId="59DE1A5F" w14:textId="77777777" w:rsidR="00AF7178" w:rsidRPr="00461C16" w:rsidRDefault="00AF7178" w:rsidP="00427598">
      <w:pPr>
        <w:pStyle w:val="ListParagraph"/>
        <w:numPr>
          <w:ilvl w:val="0"/>
          <w:numId w:val="45"/>
        </w:numPr>
        <w:autoSpaceDE w:val="0"/>
        <w:autoSpaceDN w:val="0"/>
        <w:adjustRightInd w:val="0"/>
        <w:spacing w:before="60" w:line="240" w:lineRule="auto"/>
        <w:rPr>
          <w:lang w:eastAsia="cs-CZ"/>
        </w:rPr>
      </w:pPr>
      <w:r w:rsidRPr="00461C16">
        <w:rPr>
          <w:lang w:eastAsia="cs-CZ"/>
        </w:rPr>
        <w:t>rozvoj bydlení p</w:t>
      </w:r>
      <w:r w:rsidRPr="00461C16">
        <w:rPr>
          <w:rFonts w:cs="TimesNewRoman"/>
          <w:lang w:eastAsia="cs-CZ"/>
        </w:rPr>
        <w:t>ř</w:t>
      </w:r>
      <w:r w:rsidRPr="00461C16">
        <w:rPr>
          <w:lang w:eastAsia="cs-CZ"/>
        </w:rPr>
        <w:t>i up</w:t>
      </w:r>
      <w:r w:rsidRPr="00461C16">
        <w:rPr>
          <w:rFonts w:cs="TimesNewRoman"/>
          <w:lang w:eastAsia="cs-CZ"/>
        </w:rPr>
        <w:t>ř</w:t>
      </w:r>
      <w:r w:rsidRPr="00461C16">
        <w:rPr>
          <w:lang w:eastAsia="cs-CZ"/>
        </w:rPr>
        <w:t>ednostn</w:t>
      </w:r>
      <w:r w:rsidRPr="00461C16">
        <w:rPr>
          <w:rFonts w:cs="TimesNewRoman"/>
          <w:lang w:eastAsia="cs-CZ"/>
        </w:rPr>
        <w:t>ě</w:t>
      </w:r>
      <w:r w:rsidRPr="00461C16">
        <w:rPr>
          <w:lang w:eastAsia="cs-CZ"/>
        </w:rPr>
        <w:t>ní rozvoje uvnit</w:t>
      </w:r>
      <w:r w:rsidRPr="00461C16">
        <w:rPr>
          <w:rFonts w:cs="TimesNewRoman"/>
          <w:lang w:eastAsia="cs-CZ"/>
        </w:rPr>
        <w:t xml:space="preserve">ř </w:t>
      </w:r>
      <w:r w:rsidRPr="00461C16">
        <w:rPr>
          <w:lang w:eastAsia="cs-CZ"/>
        </w:rPr>
        <w:t>zastav</w:t>
      </w:r>
      <w:r w:rsidRPr="00461C16">
        <w:rPr>
          <w:rFonts w:cs="TimesNewRoman"/>
          <w:lang w:eastAsia="cs-CZ"/>
        </w:rPr>
        <w:t>ě</w:t>
      </w:r>
      <w:r w:rsidRPr="00461C16">
        <w:rPr>
          <w:lang w:eastAsia="cs-CZ"/>
        </w:rPr>
        <w:t>ného území a p</w:t>
      </w:r>
      <w:r w:rsidRPr="00461C16">
        <w:rPr>
          <w:rFonts w:cs="TimesNewRoman"/>
          <w:lang w:eastAsia="cs-CZ"/>
        </w:rPr>
        <w:t>ř</w:t>
      </w:r>
      <w:r w:rsidRPr="00461C16">
        <w:rPr>
          <w:lang w:eastAsia="cs-CZ"/>
        </w:rPr>
        <w:t>edcházení prostorov</w:t>
      </w:r>
      <w:r w:rsidRPr="00461C16">
        <w:rPr>
          <w:rFonts w:cs="TimesNewRoman"/>
          <w:lang w:eastAsia="cs-CZ"/>
        </w:rPr>
        <w:t xml:space="preserve">ě </w:t>
      </w:r>
      <w:r w:rsidRPr="00461C16">
        <w:rPr>
          <w:lang w:eastAsia="cs-CZ"/>
        </w:rPr>
        <w:t>sociální segregaci, fragmentaci a zábor</w:t>
      </w:r>
      <w:r w:rsidRPr="00461C16">
        <w:rPr>
          <w:rFonts w:cs="TimesNewRoman"/>
          <w:lang w:eastAsia="cs-CZ"/>
        </w:rPr>
        <w:t>ů</w:t>
      </w:r>
      <w:r w:rsidRPr="00461C16">
        <w:rPr>
          <w:lang w:eastAsia="cs-CZ"/>
        </w:rPr>
        <w:t>m ploch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w:t>
      </w:r>
      <w:r w:rsidRPr="00461C16">
        <w:rPr>
          <w:rFonts w:cs="TimesNewRoman"/>
          <w:lang w:eastAsia="cs-CZ"/>
        </w:rPr>
        <w:t>ř</w:t>
      </w:r>
      <w:r w:rsidRPr="00461C16">
        <w:rPr>
          <w:lang w:eastAsia="cs-CZ"/>
        </w:rPr>
        <w:t>ístupné zelen</w:t>
      </w:r>
      <w:r w:rsidRPr="00461C16">
        <w:rPr>
          <w:rFonts w:cs="TimesNewRoman"/>
          <w:lang w:eastAsia="cs-CZ"/>
        </w:rPr>
        <w:t>ě</w:t>
      </w:r>
      <w:r w:rsidRPr="00461C16">
        <w:rPr>
          <w:lang w:eastAsia="cs-CZ"/>
        </w:rPr>
        <w:t>,</w:t>
      </w:r>
    </w:p>
    <w:p w14:paraId="38A690F8" w14:textId="77777777" w:rsidR="00AF7178" w:rsidRPr="00461C16" w:rsidRDefault="00AF7178" w:rsidP="00427598">
      <w:pPr>
        <w:pStyle w:val="ListParagraph"/>
        <w:numPr>
          <w:ilvl w:val="0"/>
          <w:numId w:val="45"/>
        </w:numPr>
        <w:autoSpaceDE w:val="0"/>
        <w:autoSpaceDN w:val="0"/>
        <w:adjustRightInd w:val="0"/>
        <w:spacing w:before="60" w:line="240" w:lineRule="auto"/>
        <w:rPr>
          <w:lang w:eastAsia="cs-CZ"/>
        </w:rPr>
      </w:pPr>
      <w:r w:rsidRPr="00461C16">
        <w:rPr>
          <w:lang w:eastAsia="cs-CZ"/>
        </w:rPr>
        <w:t>nové využití nevyužívaných pr</w:t>
      </w:r>
      <w:r w:rsidRPr="00461C16">
        <w:rPr>
          <w:rFonts w:cs="TimesNewRoman"/>
          <w:lang w:eastAsia="cs-CZ"/>
        </w:rPr>
        <w:t>ů</w:t>
      </w:r>
      <w:r w:rsidRPr="00461C16">
        <w:rPr>
          <w:lang w:eastAsia="cs-CZ"/>
        </w:rPr>
        <w:t>myslových, skladových, dopravních a jiných ploch,</w:t>
      </w:r>
    </w:p>
    <w:p w14:paraId="6914477E" w14:textId="77777777" w:rsidR="00AF7178" w:rsidRPr="00461C16" w:rsidRDefault="00AF7178" w:rsidP="00427598">
      <w:pPr>
        <w:pStyle w:val="ListParagraph"/>
        <w:numPr>
          <w:ilvl w:val="0"/>
          <w:numId w:val="45"/>
        </w:numPr>
        <w:autoSpaceDE w:val="0"/>
        <w:autoSpaceDN w:val="0"/>
        <w:adjustRightInd w:val="0"/>
        <w:spacing w:before="60" w:line="240" w:lineRule="auto"/>
        <w:rPr>
          <w:lang w:eastAsia="cs-CZ"/>
        </w:rPr>
      </w:pPr>
      <w:r w:rsidRPr="00461C16">
        <w:rPr>
          <w:rFonts w:cs="TimesNewRoman"/>
          <w:lang w:eastAsia="cs-CZ"/>
        </w:rPr>
        <w:t>ř</w:t>
      </w:r>
      <w:r w:rsidRPr="00461C16">
        <w:rPr>
          <w:lang w:eastAsia="cs-CZ"/>
        </w:rPr>
        <w:t>ešení rekultivace a revitalizace opušt</w:t>
      </w:r>
      <w:r w:rsidRPr="00461C16">
        <w:rPr>
          <w:rFonts w:cs="TimesNewRoman"/>
          <w:lang w:eastAsia="cs-CZ"/>
        </w:rPr>
        <w:t>ě</w:t>
      </w:r>
      <w:r w:rsidRPr="00461C16">
        <w:rPr>
          <w:lang w:eastAsia="cs-CZ"/>
        </w:rPr>
        <w:t>ných areál</w:t>
      </w:r>
      <w:r w:rsidRPr="00461C16">
        <w:rPr>
          <w:rFonts w:cs="TimesNewRoman"/>
          <w:lang w:eastAsia="cs-CZ"/>
        </w:rPr>
        <w:t xml:space="preserve">ů </w:t>
      </w:r>
      <w:r w:rsidRPr="00461C16">
        <w:rPr>
          <w:lang w:eastAsia="cs-CZ"/>
        </w:rPr>
        <w:t>a ploch (nap</w:t>
      </w:r>
      <w:r w:rsidRPr="00461C16">
        <w:rPr>
          <w:rFonts w:cs="TimesNewRoman"/>
          <w:lang w:eastAsia="cs-CZ"/>
        </w:rPr>
        <w:t>ř</w:t>
      </w:r>
      <w:r w:rsidRPr="00461C16">
        <w:rPr>
          <w:lang w:eastAsia="cs-CZ"/>
        </w:rPr>
        <w:t>. p</w:t>
      </w:r>
      <w:r w:rsidRPr="00461C16">
        <w:rPr>
          <w:rFonts w:cs="TimesNewRoman"/>
          <w:lang w:eastAsia="cs-CZ"/>
        </w:rPr>
        <w:t>ř</w:t>
      </w:r>
      <w:r w:rsidRPr="00461C16">
        <w:rPr>
          <w:lang w:eastAsia="cs-CZ"/>
        </w:rPr>
        <w:t>edcházející t</w:t>
      </w:r>
      <w:r w:rsidRPr="00461C16">
        <w:rPr>
          <w:rFonts w:cs="TimesNewRoman"/>
          <w:lang w:eastAsia="cs-CZ"/>
        </w:rPr>
        <w:t>ě</w:t>
      </w:r>
      <w:r w:rsidRPr="00461C16">
        <w:rPr>
          <w:lang w:eastAsia="cs-CZ"/>
        </w:rPr>
        <w:t>žbou, pr</w:t>
      </w:r>
      <w:r w:rsidRPr="00461C16">
        <w:rPr>
          <w:rFonts w:cs="TimesNewRoman"/>
          <w:lang w:eastAsia="cs-CZ"/>
        </w:rPr>
        <w:t>ů</w:t>
      </w:r>
      <w:r w:rsidRPr="00461C16">
        <w:rPr>
          <w:lang w:eastAsia="cs-CZ"/>
        </w:rPr>
        <w:t>myslovým využitím, armádou apod.), ú</w:t>
      </w:r>
      <w:r w:rsidRPr="00461C16">
        <w:rPr>
          <w:rFonts w:cs="TimesNewRoman"/>
          <w:lang w:eastAsia="cs-CZ"/>
        </w:rPr>
        <w:t>č</w:t>
      </w:r>
      <w:r w:rsidRPr="00461C16">
        <w:rPr>
          <w:lang w:eastAsia="cs-CZ"/>
        </w:rPr>
        <w:t>elnou organizaci materiálových tok</w:t>
      </w:r>
      <w:r w:rsidRPr="00461C16">
        <w:rPr>
          <w:rFonts w:cs="TimesNewRoman"/>
          <w:lang w:eastAsia="cs-CZ"/>
        </w:rPr>
        <w:t xml:space="preserve">ů </w:t>
      </w:r>
      <w:r w:rsidRPr="00461C16">
        <w:rPr>
          <w:lang w:eastAsia="cs-CZ"/>
        </w:rPr>
        <w:t>a nakládání s odpady</w:t>
      </w:r>
    </w:p>
    <w:p w14:paraId="4A079EF7" w14:textId="77777777" w:rsidR="00AF7178" w:rsidRPr="00461C16" w:rsidRDefault="00AF7178" w:rsidP="00427598">
      <w:pPr>
        <w:pStyle w:val="ListParagraph"/>
        <w:numPr>
          <w:ilvl w:val="0"/>
          <w:numId w:val="45"/>
        </w:numPr>
        <w:autoSpaceDE w:val="0"/>
        <w:autoSpaceDN w:val="0"/>
        <w:adjustRightInd w:val="0"/>
        <w:spacing w:before="60" w:line="240" w:lineRule="auto"/>
        <w:rPr>
          <w:lang w:eastAsia="cs-CZ"/>
        </w:rPr>
      </w:pPr>
      <w:r w:rsidRPr="00461C16">
        <w:rPr>
          <w:lang w:eastAsia="cs-CZ"/>
        </w:rPr>
        <w:t>zachování a rozvoj spole</w:t>
      </w:r>
      <w:r w:rsidRPr="00461C16">
        <w:rPr>
          <w:rFonts w:cs="TimesNewRoman"/>
          <w:lang w:eastAsia="cs-CZ"/>
        </w:rPr>
        <w:t>č</w:t>
      </w:r>
      <w:r w:rsidRPr="00461C16">
        <w:rPr>
          <w:lang w:eastAsia="cs-CZ"/>
        </w:rPr>
        <w:t>enské funkce tradi</w:t>
      </w:r>
      <w:r w:rsidRPr="00461C16">
        <w:rPr>
          <w:rFonts w:cs="TimesNewRoman"/>
          <w:lang w:eastAsia="cs-CZ"/>
        </w:rPr>
        <w:t>č</w:t>
      </w:r>
      <w:r w:rsidRPr="00461C16">
        <w:rPr>
          <w:lang w:eastAsia="cs-CZ"/>
        </w:rPr>
        <w:t>ních m</w:t>
      </w:r>
      <w:r w:rsidRPr="00461C16">
        <w:rPr>
          <w:rFonts w:cs="TimesNewRoman"/>
          <w:lang w:eastAsia="cs-CZ"/>
        </w:rPr>
        <w:t>ě</w:t>
      </w:r>
      <w:r w:rsidRPr="00461C16">
        <w:rPr>
          <w:lang w:eastAsia="cs-CZ"/>
        </w:rPr>
        <w:t>stských center,</w:t>
      </w:r>
    </w:p>
    <w:p w14:paraId="216A3CAE" w14:textId="77777777" w:rsidR="00AF7178" w:rsidRPr="00461C16" w:rsidRDefault="00AF7178" w:rsidP="00427598">
      <w:pPr>
        <w:pStyle w:val="ListParagraph"/>
        <w:numPr>
          <w:ilvl w:val="0"/>
          <w:numId w:val="45"/>
        </w:numPr>
        <w:autoSpaceDE w:val="0"/>
        <w:autoSpaceDN w:val="0"/>
        <w:adjustRightInd w:val="0"/>
        <w:spacing w:before="60" w:line="240" w:lineRule="auto"/>
        <w:rPr>
          <w:lang w:eastAsia="cs-CZ"/>
        </w:rPr>
      </w:pPr>
      <w:r w:rsidRPr="00461C16">
        <w:rPr>
          <w:lang w:eastAsia="cs-CZ"/>
        </w:rPr>
        <w:t>ochrana a využití rekrea</w:t>
      </w:r>
      <w:r w:rsidRPr="00461C16">
        <w:rPr>
          <w:rFonts w:cs="TimesNewRoman"/>
          <w:lang w:eastAsia="cs-CZ"/>
        </w:rPr>
        <w:t>č</w:t>
      </w:r>
      <w:r w:rsidRPr="00461C16">
        <w:rPr>
          <w:lang w:eastAsia="cs-CZ"/>
        </w:rPr>
        <w:t>ního potenciálu krajiny.</w:t>
      </w:r>
    </w:p>
    <w:p w14:paraId="03A6959D" w14:textId="77777777" w:rsidR="001B2A7D" w:rsidRPr="00461C16" w:rsidRDefault="00C82801" w:rsidP="001B2A7D">
      <w:pPr>
        <w:pStyle w:val="BodyText"/>
        <w:spacing w:before="120" w:after="120"/>
        <w:rPr>
          <w:i/>
          <w:sz w:val="22"/>
          <w:szCs w:val="22"/>
        </w:rPr>
      </w:pPr>
      <w:r w:rsidRPr="00461C16">
        <w:rPr>
          <w:i/>
          <w:color w:val="000000"/>
          <w:sz w:val="22"/>
          <w:szCs w:val="22"/>
          <w:shd w:val="clear" w:color="auto" w:fill="FFFFFF"/>
        </w:rPr>
        <w:t>viz kap. 1.1.2</w:t>
      </w:r>
      <w:r w:rsidR="001B2A7D" w:rsidRPr="00461C16">
        <w:rPr>
          <w:i/>
          <w:color w:val="000000"/>
          <w:sz w:val="22"/>
          <w:szCs w:val="22"/>
          <w:shd w:val="clear" w:color="auto" w:fill="FFFFFF"/>
        </w:rPr>
        <w:t xml:space="preserve"> Rozvojové oblasti a rozvojové osy – vyhodnocení kritérií a podmínek pro rozhodování o změnách v území</w:t>
      </w:r>
    </w:p>
    <w:p w14:paraId="28C65691" w14:textId="77777777" w:rsidR="00AF7178" w:rsidRPr="00461C16" w:rsidRDefault="00AF7178"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Respektovat republikové priority územního plánování a umož</w:t>
      </w:r>
      <w:r w:rsidRPr="00461C16">
        <w:rPr>
          <w:rFonts w:cs="TimesNewRoman"/>
          <w:lang w:eastAsia="cs-CZ"/>
        </w:rPr>
        <w:t>ň</w:t>
      </w:r>
      <w:r w:rsidRPr="00461C16">
        <w:rPr>
          <w:lang w:eastAsia="cs-CZ"/>
        </w:rPr>
        <w:t>ovat v rozvojových oblastech a rozvojových osách intenzivní využívání území v souvislosti s rozvojem ve</w:t>
      </w:r>
      <w:r w:rsidRPr="00461C16">
        <w:rPr>
          <w:rFonts w:cs="TimesNewRoman"/>
          <w:lang w:eastAsia="cs-CZ"/>
        </w:rPr>
        <w:t>ř</w:t>
      </w:r>
      <w:r w:rsidRPr="00461C16">
        <w:rPr>
          <w:lang w:eastAsia="cs-CZ"/>
        </w:rPr>
        <w:t>ejné infrastruktury. Z tohoto d</w:t>
      </w:r>
      <w:r w:rsidRPr="00461C16">
        <w:rPr>
          <w:rFonts w:cs="TimesNewRoman"/>
          <w:lang w:eastAsia="cs-CZ"/>
        </w:rPr>
        <w:t>ů</w:t>
      </w:r>
      <w:r w:rsidRPr="00461C16">
        <w:rPr>
          <w:lang w:eastAsia="cs-CZ"/>
        </w:rPr>
        <w:t>vodu v rozvojových oblastech a v rozvojových osách vytvá</w:t>
      </w:r>
      <w:r w:rsidRPr="00461C16">
        <w:rPr>
          <w:rFonts w:cs="TimesNewRoman"/>
          <w:lang w:eastAsia="cs-CZ"/>
        </w:rPr>
        <w:t>ř</w:t>
      </w:r>
      <w:r w:rsidRPr="00461C16">
        <w:rPr>
          <w:lang w:eastAsia="cs-CZ"/>
        </w:rPr>
        <w:t>et podmínky pro umíst</w:t>
      </w:r>
      <w:r w:rsidRPr="00461C16">
        <w:rPr>
          <w:rFonts w:cs="TimesNewRoman"/>
          <w:lang w:eastAsia="cs-CZ"/>
        </w:rPr>
        <w:t>ě</w:t>
      </w:r>
      <w:r w:rsidRPr="00461C16">
        <w:rPr>
          <w:lang w:eastAsia="cs-CZ"/>
        </w:rPr>
        <w:t>ní aktivit mezinárodního a republikového významu s požadavky na zm</w:t>
      </w:r>
      <w:r w:rsidRPr="00461C16">
        <w:rPr>
          <w:rFonts w:cs="TimesNewRoman"/>
          <w:lang w:eastAsia="cs-CZ"/>
        </w:rPr>
        <w:t>ě</w:t>
      </w:r>
      <w:r w:rsidRPr="00461C16">
        <w:rPr>
          <w:lang w:eastAsia="cs-CZ"/>
        </w:rPr>
        <w:t>ny v území a tím p</w:t>
      </w:r>
      <w:r w:rsidRPr="00461C16">
        <w:rPr>
          <w:rFonts w:cs="TimesNewRoman"/>
          <w:lang w:eastAsia="cs-CZ"/>
        </w:rPr>
        <w:t>ř</w:t>
      </w:r>
      <w:r w:rsidRPr="00461C16">
        <w:rPr>
          <w:lang w:eastAsia="cs-CZ"/>
        </w:rPr>
        <w:t>ispívat k zachování charakteru území mimo rozvojové oblasti a rozvojové osy.</w:t>
      </w:r>
    </w:p>
    <w:p w14:paraId="5BF3CACC" w14:textId="77777777" w:rsidR="00944655" w:rsidRPr="00461C16" w:rsidRDefault="00C82801" w:rsidP="00944655">
      <w:pPr>
        <w:pStyle w:val="BodyText"/>
        <w:spacing w:before="120" w:after="120"/>
        <w:rPr>
          <w:i/>
          <w:sz w:val="22"/>
          <w:szCs w:val="22"/>
        </w:rPr>
      </w:pPr>
      <w:r w:rsidRPr="00461C16">
        <w:rPr>
          <w:i/>
          <w:color w:val="000000"/>
          <w:sz w:val="22"/>
          <w:szCs w:val="22"/>
          <w:shd w:val="clear" w:color="auto" w:fill="FFFFFF"/>
        </w:rPr>
        <w:t>viz kap. 1.1.2</w:t>
      </w:r>
      <w:r w:rsidR="00B4194F" w:rsidRPr="00461C16">
        <w:rPr>
          <w:i/>
          <w:color w:val="000000"/>
          <w:sz w:val="22"/>
          <w:szCs w:val="22"/>
          <w:shd w:val="clear" w:color="auto" w:fill="FFFFFF"/>
        </w:rPr>
        <w:t xml:space="preserve"> Rozvojové oblasti a rozvojové osy – vyhodnocení úkolů pro územní plánování, bod a) </w:t>
      </w:r>
    </w:p>
    <w:p w14:paraId="32B7D0F2" w14:textId="77777777" w:rsidR="00AF7178" w:rsidRPr="00461C16" w:rsidRDefault="00AF7178"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Úkoly, stanovené pro jednotlivé rozvojové oblasti a rozvojové osy, musí být p</w:t>
      </w:r>
      <w:r w:rsidRPr="00461C16">
        <w:rPr>
          <w:rFonts w:cs="TimesNewRoman"/>
          <w:lang w:eastAsia="cs-CZ"/>
        </w:rPr>
        <w:t>ř</w:t>
      </w:r>
      <w:r w:rsidRPr="00461C16">
        <w:rPr>
          <w:lang w:eastAsia="cs-CZ"/>
        </w:rPr>
        <w:t>evzaty do územn</w:t>
      </w:r>
      <w:r w:rsidRPr="00461C16">
        <w:rPr>
          <w:rFonts w:cs="TimesNewRoman"/>
          <w:lang w:eastAsia="cs-CZ"/>
        </w:rPr>
        <w:t xml:space="preserve">ě </w:t>
      </w:r>
      <w:r w:rsidRPr="00461C16">
        <w:rPr>
          <w:lang w:eastAsia="cs-CZ"/>
        </w:rPr>
        <w:t>plánovací dokumentace kraj</w:t>
      </w:r>
      <w:r w:rsidRPr="00461C16">
        <w:rPr>
          <w:rFonts w:cs="TimesNewRoman"/>
          <w:lang w:eastAsia="cs-CZ"/>
        </w:rPr>
        <w:t xml:space="preserve">ů </w:t>
      </w:r>
      <w:r w:rsidRPr="00461C16">
        <w:rPr>
          <w:lang w:eastAsia="cs-CZ"/>
        </w:rPr>
        <w:t>a obcí.</w:t>
      </w:r>
    </w:p>
    <w:p w14:paraId="50D7AFC7" w14:textId="77777777" w:rsidR="00944655" w:rsidRPr="00461C16" w:rsidRDefault="00C82801" w:rsidP="00944655">
      <w:pPr>
        <w:pStyle w:val="BodyText"/>
        <w:spacing w:before="120" w:after="120"/>
        <w:rPr>
          <w:i/>
          <w:sz w:val="22"/>
          <w:szCs w:val="22"/>
        </w:rPr>
      </w:pPr>
      <w:r w:rsidRPr="00461C16">
        <w:rPr>
          <w:i/>
          <w:color w:val="000000"/>
          <w:sz w:val="22"/>
          <w:szCs w:val="22"/>
          <w:shd w:val="clear" w:color="auto" w:fill="FFFFFF"/>
        </w:rPr>
        <w:t>viz kap. 1.1.2</w:t>
      </w:r>
      <w:r w:rsidR="00532F83" w:rsidRPr="00461C16">
        <w:rPr>
          <w:i/>
          <w:color w:val="000000"/>
          <w:sz w:val="22"/>
          <w:szCs w:val="22"/>
          <w:shd w:val="clear" w:color="auto" w:fill="FFFFFF"/>
        </w:rPr>
        <w:t xml:space="preserve"> Rozvojové oblasti a rozvojové osy – vyhodnocení úkolů pro územní plánování, bod b) </w:t>
      </w:r>
    </w:p>
    <w:p w14:paraId="7D7F334A" w14:textId="77777777" w:rsidR="00AF7178" w:rsidRPr="00461C16" w:rsidRDefault="00AF7178"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Kraje v zásadách územního rozvoje dle pot</w:t>
      </w:r>
      <w:r w:rsidRPr="00461C16">
        <w:rPr>
          <w:rFonts w:cs="TimesNewRoman"/>
          <w:lang w:eastAsia="cs-CZ"/>
        </w:rPr>
        <w:t>ř</w:t>
      </w:r>
      <w:r w:rsidRPr="00461C16">
        <w:rPr>
          <w:lang w:eastAsia="cs-CZ"/>
        </w:rPr>
        <w:t>eby up</w:t>
      </w:r>
      <w:r w:rsidRPr="00461C16">
        <w:rPr>
          <w:rFonts w:cs="TimesNewRoman"/>
          <w:lang w:eastAsia="cs-CZ"/>
        </w:rPr>
        <w:t>ř</w:t>
      </w:r>
      <w:r w:rsidRPr="00461C16">
        <w:rPr>
          <w:lang w:eastAsia="cs-CZ"/>
        </w:rPr>
        <w:t>esní vymezení rozvojových oblastí a rozvojových os v rozlišení podle území jednotlivých obcí, p</w:t>
      </w:r>
      <w:r w:rsidRPr="00461C16">
        <w:rPr>
          <w:rFonts w:cs="TimesNewRoman"/>
          <w:lang w:eastAsia="cs-CZ"/>
        </w:rPr>
        <w:t>ř</w:t>
      </w:r>
      <w:r w:rsidRPr="00461C16">
        <w:rPr>
          <w:lang w:eastAsia="cs-CZ"/>
        </w:rPr>
        <w:t>i respektování d</w:t>
      </w:r>
      <w:r w:rsidRPr="00461C16">
        <w:rPr>
          <w:rFonts w:cs="TimesNewRoman"/>
          <w:lang w:eastAsia="cs-CZ"/>
        </w:rPr>
        <w:t>ů</w:t>
      </w:r>
      <w:r w:rsidRPr="00461C16">
        <w:rPr>
          <w:lang w:eastAsia="cs-CZ"/>
        </w:rPr>
        <w:t>vod</w:t>
      </w:r>
      <w:r w:rsidRPr="00461C16">
        <w:rPr>
          <w:rFonts w:cs="TimesNewRoman"/>
          <w:lang w:eastAsia="cs-CZ"/>
        </w:rPr>
        <w:t xml:space="preserve">ů </w:t>
      </w:r>
      <w:r w:rsidRPr="00461C16">
        <w:rPr>
          <w:lang w:eastAsia="cs-CZ"/>
        </w:rPr>
        <w:t>vymezení jednotlivých rozvojových oblastí a rozvojových os.</w:t>
      </w:r>
    </w:p>
    <w:p w14:paraId="13DFA176" w14:textId="77777777" w:rsidR="00233B2C" w:rsidRPr="00461C16" w:rsidRDefault="00532F83" w:rsidP="00233B2C">
      <w:pPr>
        <w:autoSpaceDE w:val="0"/>
        <w:autoSpaceDN w:val="0"/>
        <w:adjustRightInd w:val="0"/>
        <w:spacing w:before="120" w:line="240" w:lineRule="auto"/>
        <w:rPr>
          <w:i/>
          <w:lang w:eastAsia="cs-CZ"/>
        </w:rPr>
      </w:pPr>
      <w:r w:rsidRPr="00461C16">
        <w:rPr>
          <w:i/>
        </w:rPr>
        <w:t>Požadavek se týká Zásad územního rozvoje Libereckého kraje, nikoliv ÚP Hrádek nad Nisou.</w:t>
      </w:r>
    </w:p>
    <w:p w14:paraId="0541DDD9" w14:textId="77777777" w:rsidR="00AF7178" w:rsidRPr="00461C16" w:rsidRDefault="00AF7178" w:rsidP="000A5DB6">
      <w:pPr>
        <w:autoSpaceDE w:val="0"/>
        <w:autoSpaceDN w:val="0"/>
        <w:adjustRightInd w:val="0"/>
        <w:spacing w:before="120" w:after="120" w:line="240" w:lineRule="auto"/>
        <w:rPr>
          <w:u w:val="single"/>
          <w:lang w:eastAsia="cs-CZ"/>
        </w:rPr>
      </w:pPr>
      <w:r w:rsidRPr="00461C16">
        <w:rPr>
          <w:bCs/>
          <w:u w:val="single"/>
          <w:lang w:eastAsia="cs-CZ"/>
        </w:rPr>
        <w:t>ROB1 Rozvojová oblast republikového významu Liberec</w:t>
      </w:r>
    </w:p>
    <w:p w14:paraId="4AE8873A" w14:textId="77777777" w:rsidR="00AF7178" w:rsidRPr="00461C16" w:rsidRDefault="00AF7178"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Zlepšovat nadregionální a regionální vazby s ostatními rozvojovými oblastmi v rámci kraje, s Prahou a sousedními kraji (zejména NUTS2) a se sousedními oblastmi v N</w:t>
      </w:r>
      <w:r w:rsidRPr="00461C16">
        <w:rPr>
          <w:rFonts w:cs="TimesNewRoman"/>
          <w:lang w:eastAsia="cs-CZ"/>
        </w:rPr>
        <w:t>ě</w:t>
      </w:r>
      <w:r w:rsidRPr="00461C16">
        <w:rPr>
          <w:lang w:eastAsia="cs-CZ"/>
        </w:rPr>
        <w:t>mecku a Polsku. Do rozvojových p</w:t>
      </w:r>
      <w:r w:rsidRPr="00461C16">
        <w:rPr>
          <w:rFonts w:cs="TimesNewRoman"/>
          <w:lang w:eastAsia="cs-CZ"/>
        </w:rPr>
        <w:t>ř</w:t>
      </w:r>
      <w:r w:rsidRPr="00461C16">
        <w:rPr>
          <w:lang w:eastAsia="cs-CZ"/>
        </w:rPr>
        <w:t>edpoklad</w:t>
      </w:r>
      <w:r w:rsidRPr="00461C16">
        <w:rPr>
          <w:rFonts w:cs="TimesNewRoman"/>
          <w:lang w:eastAsia="cs-CZ"/>
        </w:rPr>
        <w:t xml:space="preserve">ů </w:t>
      </w:r>
      <w:r w:rsidRPr="00461C16">
        <w:rPr>
          <w:lang w:eastAsia="cs-CZ"/>
        </w:rPr>
        <w:t>oblasti zahrnovat p</w:t>
      </w:r>
      <w:r w:rsidRPr="00461C16">
        <w:rPr>
          <w:rFonts w:cs="TimesNewRoman"/>
          <w:lang w:eastAsia="cs-CZ"/>
        </w:rPr>
        <w:t>ř</w:t>
      </w:r>
      <w:r w:rsidRPr="00461C16">
        <w:rPr>
          <w:lang w:eastAsia="cs-CZ"/>
        </w:rPr>
        <w:t>eshrani</w:t>
      </w:r>
      <w:r w:rsidRPr="00461C16">
        <w:rPr>
          <w:rFonts w:cs="TimesNewRoman"/>
          <w:lang w:eastAsia="cs-CZ"/>
        </w:rPr>
        <w:t>č</w:t>
      </w:r>
      <w:r w:rsidRPr="00461C16">
        <w:rPr>
          <w:lang w:eastAsia="cs-CZ"/>
        </w:rPr>
        <w:t>ní souvislosti rozvojových os ROS 1, ROS 4 a ROS 8 ve specifických podmínkách okrajových území N</w:t>
      </w:r>
      <w:r w:rsidRPr="00461C16">
        <w:rPr>
          <w:rFonts w:cs="TimesNewRoman"/>
          <w:lang w:eastAsia="cs-CZ"/>
        </w:rPr>
        <w:t>ě</w:t>
      </w:r>
      <w:r w:rsidRPr="00461C16">
        <w:rPr>
          <w:lang w:eastAsia="cs-CZ"/>
        </w:rPr>
        <w:t>mecka / Sasko a Polska / Dolní Slezsko.</w:t>
      </w:r>
    </w:p>
    <w:p w14:paraId="55989B27" w14:textId="77777777" w:rsidR="00AF7178" w:rsidRPr="00461C16" w:rsidRDefault="00AF7178" w:rsidP="00F22794">
      <w:pPr>
        <w:pStyle w:val="ListParagraph"/>
        <w:autoSpaceDE w:val="0"/>
        <w:autoSpaceDN w:val="0"/>
        <w:adjustRightInd w:val="0"/>
        <w:spacing w:before="120" w:after="120" w:line="240" w:lineRule="auto"/>
        <w:ind w:left="567"/>
        <w:rPr>
          <w:lang w:eastAsia="cs-CZ"/>
        </w:rPr>
      </w:pPr>
      <w:r w:rsidRPr="00461C16">
        <w:rPr>
          <w:lang w:eastAsia="cs-CZ"/>
        </w:rPr>
        <w:lastRenderedPageBreak/>
        <w:t>Rozvíjet funk</w:t>
      </w:r>
      <w:r w:rsidRPr="00461C16">
        <w:rPr>
          <w:rFonts w:cs="TimesNewRoman"/>
          <w:lang w:eastAsia="cs-CZ"/>
        </w:rPr>
        <w:t>č</w:t>
      </w:r>
      <w:r w:rsidRPr="00461C16">
        <w:rPr>
          <w:lang w:eastAsia="cs-CZ"/>
        </w:rPr>
        <w:t>ní kooperace mezi centry osídlení: Liberec – Jablonec nad Nisou, Jablonec nad Nisou – Smržovka – Tanvald – Desná, Liberec – Chrastava – Hrádek nad Nisou a dále Zittau (N</w:t>
      </w:r>
      <w:r w:rsidRPr="00461C16">
        <w:rPr>
          <w:rFonts w:cs="TimesNewRoman"/>
          <w:lang w:eastAsia="cs-CZ"/>
        </w:rPr>
        <w:t>ě</w:t>
      </w:r>
      <w:r w:rsidRPr="00461C16">
        <w:rPr>
          <w:lang w:eastAsia="cs-CZ"/>
        </w:rPr>
        <w:t>mecko) a Bogatynia (Polsko), Jablonec nad Nisou – Rychnov u Jablonce n</w:t>
      </w:r>
      <w:r w:rsidR="00944655" w:rsidRPr="00461C16">
        <w:rPr>
          <w:lang w:eastAsia="cs-CZ"/>
        </w:rPr>
        <w:t>ad Nisou, Tanvald – Velké Hamry.</w:t>
      </w:r>
    </w:p>
    <w:p w14:paraId="5A851443"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AB744E" w:rsidRPr="00461C16">
        <w:rPr>
          <w:i/>
          <w:color w:val="000000"/>
          <w:sz w:val="22"/>
          <w:szCs w:val="22"/>
          <w:shd w:val="clear" w:color="auto" w:fill="FFFFFF"/>
        </w:rPr>
        <w:t>Rozvojové oblasti a osy republikového významu – vyhodnocení požadavku č. 32</w:t>
      </w:r>
    </w:p>
    <w:p w14:paraId="3E673A29" w14:textId="77777777" w:rsidR="00944655" w:rsidRPr="00461C16" w:rsidRDefault="00AF7178"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Zlepšovat nadregionální a regionální vazby kapacitními dopravními napojeními na významné vnitrostátní i mezistátní silni</w:t>
      </w:r>
      <w:r w:rsidRPr="00461C16">
        <w:rPr>
          <w:rFonts w:cs="TimesNewRoman"/>
          <w:lang w:eastAsia="cs-CZ"/>
        </w:rPr>
        <w:t>č</w:t>
      </w:r>
      <w:r w:rsidRPr="00461C16">
        <w:rPr>
          <w:lang w:eastAsia="cs-CZ"/>
        </w:rPr>
        <w:t>ní a železni</w:t>
      </w:r>
      <w:r w:rsidRPr="00461C16">
        <w:rPr>
          <w:rFonts w:cs="TimesNewRoman"/>
          <w:lang w:eastAsia="cs-CZ"/>
        </w:rPr>
        <w:t>č</w:t>
      </w:r>
      <w:r w:rsidRPr="00461C16">
        <w:rPr>
          <w:lang w:eastAsia="cs-CZ"/>
        </w:rPr>
        <w:t>ní koridory v N</w:t>
      </w:r>
      <w:r w:rsidRPr="00461C16">
        <w:rPr>
          <w:rFonts w:cs="TimesNewRoman"/>
          <w:lang w:eastAsia="cs-CZ"/>
        </w:rPr>
        <w:t>ě</w:t>
      </w:r>
      <w:r w:rsidRPr="00461C16">
        <w:rPr>
          <w:lang w:eastAsia="cs-CZ"/>
        </w:rPr>
        <w:t>mecku a Polsku.</w:t>
      </w:r>
    </w:p>
    <w:p w14:paraId="192F1F59" w14:textId="77777777" w:rsidR="00456145" w:rsidRPr="00461C16" w:rsidRDefault="00456145" w:rsidP="00456145">
      <w:pPr>
        <w:autoSpaceDE w:val="0"/>
        <w:autoSpaceDN w:val="0"/>
        <w:adjustRightInd w:val="0"/>
        <w:spacing w:before="120" w:after="120" w:line="240" w:lineRule="auto"/>
        <w:rPr>
          <w:i/>
          <w:color w:val="000000"/>
          <w:shd w:val="clear" w:color="auto" w:fill="FFFFFF"/>
        </w:rPr>
      </w:pPr>
      <w:r w:rsidRPr="00461C16">
        <w:rPr>
          <w:i/>
          <w:color w:val="000000"/>
          <w:shd w:val="clear" w:color="auto" w:fill="FFFFFF"/>
        </w:rPr>
        <w:t>Z hlediska silničních vazeb představuje nevýznamnější dopravní tah, který zajišťuje nadregionální a regionální vazby na významné vnitrostátní a mezistátní silniční koridory v Německu a Polsku, silnice I/35 (resp. I/35L), kterou ÚP stabilizuje a chrání jako významnou civilizační hodnotu území.</w:t>
      </w:r>
      <w:r w:rsidR="00B40DF6">
        <w:rPr>
          <w:i/>
          <w:color w:val="000000"/>
          <w:shd w:val="clear" w:color="auto" w:fill="FFFFFF"/>
        </w:rPr>
        <w:t xml:space="preserve"> </w:t>
      </w:r>
      <w:r w:rsidR="00B40DF6">
        <w:rPr>
          <w:i/>
          <w:szCs w:val="18"/>
        </w:rPr>
        <w:t>Pro budoucí rozšíření silnice I/35 na čtyřpruhové uspořádání je vymezena plocha územní rezervy R16.</w:t>
      </w:r>
    </w:p>
    <w:p w14:paraId="3FD254C0" w14:textId="77777777" w:rsidR="00944655" w:rsidRPr="00461C16" w:rsidRDefault="00456145" w:rsidP="00456145">
      <w:pPr>
        <w:autoSpaceDE w:val="0"/>
        <w:autoSpaceDN w:val="0"/>
        <w:adjustRightInd w:val="0"/>
        <w:spacing w:before="120" w:after="120" w:line="240" w:lineRule="auto"/>
        <w:rPr>
          <w:lang w:eastAsia="cs-CZ"/>
        </w:rPr>
      </w:pPr>
      <w:r w:rsidRPr="00461C16">
        <w:rPr>
          <w:i/>
          <w:color w:val="000000"/>
          <w:shd w:val="clear" w:color="auto" w:fill="FFFFFF"/>
        </w:rPr>
        <w:t>S cílem vytvoření podmínek pro zlepšení dostupnosti Hrádku nad Nisou po železnici a zlepšení přeshraničních dopravních vazeb vymezuje ÚP koridor drážní dopravy X01 pro optimalizaci a elektrizaci železniční trati č. 089.</w:t>
      </w:r>
    </w:p>
    <w:p w14:paraId="030A252B" w14:textId="77777777" w:rsidR="00AF7178" w:rsidRPr="00461C16" w:rsidRDefault="00AF7178"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Zajiš</w:t>
      </w:r>
      <w:r w:rsidRPr="00461C16">
        <w:rPr>
          <w:rFonts w:cs="TimesNewRoman"/>
          <w:lang w:eastAsia="cs-CZ"/>
        </w:rPr>
        <w:t>ť</w:t>
      </w:r>
      <w:r w:rsidRPr="00461C16">
        <w:rPr>
          <w:lang w:eastAsia="cs-CZ"/>
        </w:rPr>
        <w:t>ovat služby metropole - krajského m</w:t>
      </w:r>
      <w:r w:rsidRPr="00461C16">
        <w:rPr>
          <w:rFonts w:cs="TimesNewRoman"/>
          <w:lang w:eastAsia="cs-CZ"/>
        </w:rPr>
        <w:t>ě</w:t>
      </w:r>
      <w:r w:rsidRPr="00461C16">
        <w:rPr>
          <w:lang w:eastAsia="cs-CZ"/>
        </w:rPr>
        <w:t>sta Liberec a jejich dostupnost pro spádový obvod kraje.</w:t>
      </w:r>
    </w:p>
    <w:p w14:paraId="374086D0" w14:textId="77777777" w:rsidR="00944655" w:rsidRPr="00461C16" w:rsidRDefault="004B7666" w:rsidP="00944655">
      <w:pPr>
        <w:pStyle w:val="BodyText"/>
        <w:spacing w:before="120" w:after="120"/>
        <w:rPr>
          <w:i/>
          <w:sz w:val="22"/>
          <w:szCs w:val="22"/>
        </w:rPr>
      </w:pPr>
      <w:r w:rsidRPr="00461C16">
        <w:rPr>
          <w:i/>
          <w:color w:val="000000"/>
          <w:sz w:val="22"/>
          <w:szCs w:val="22"/>
          <w:shd w:val="clear" w:color="auto" w:fill="FFFFFF"/>
        </w:rPr>
        <w:t>Dostupnost služeb v krajském městě Liberec je zajištěna stabilizací dopravní sítě, zejména obchvatem města na silnici I/35, a návrhem na její doplnění a na optimalizaci železniční trati.</w:t>
      </w:r>
    </w:p>
    <w:p w14:paraId="4180A924" w14:textId="77777777" w:rsidR="00AF7178" w:rsidRPr="00461C16" w:rsidRDefault="00AF7178"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Zohlednit polohu souvislého historického pásu osídlení s nejvyšší koncentrací obytných, hospodá</w:t>
      </w:r>
      <w:r w:rsidRPr="00461C16">
        <w:rPr>
          <w:rFonts w:cs="TimesNewRoman"/>
          <w:lang w:eastAsia="cs-CZ"/>
        </w:rPr>
        <w:t>ř</w:t>
      </w:r>
      <w:r w:rsidRPr="00461C16">
        <w:rPr>
          <w:lang w:eastAsia="cs-CZ"/>
        </w:rPr>
        <w:t>ských a rekrea</w:t>
      </w:r>
      <w:r w:rsidRPr="00461C16">
        <w:rPr>
          <w:rFonts w:cs="TimesNewRoman"/>
          <w:lang w:eastAsia="cs-CZ"/>
        </w:rPr>
        <w:t>č</w:t>
      </w:r>
      <w:r w:rsidRPr="00461C16">
        <w:rPr>
          <w:lang w:eastAsia="cs-CZ"/>
        </w:rPr>
        <w:t>ních funkcí v komplikovaných geomorfologických podmínkách a v prostorové a funk</w:t>
      </w:r>
      <w:r w:rsidRPr="00461C16">
        <w:rPr>
          <w:rFonts w:cs="TimesNewRoman"/>
          <w:lang w:eastAsia="cs-CZ"/>
        </w:rPr>
        <w:t>č</w:t>
      </w:r>
      <w:r w:rsidRPr="00461C16">
        <w:rPr>
          <w:lang w:eastAsia="cs-CZ"/>
        </w:rPr>
        <w:t>ní souvislosti s p</w:t>
      </w:r>
      <w:r w:rsidRPr="00461C16">
        <w:rPr>
          <w:rFonts w:cs="TimesNewRoman"/>
          <w:lang w:eastAsia="cs-CZ"/>
        </w:rPr>
        <w:t>ř</w:t>
      </w:r>
      <w:r w:rsidRPr="00461C16">
        <w:rPr>
          <w:lang w:eastAsia="cs-CZ"/>
        </w:rPr>
        <w:t xml:space="preserve">ilehlými specifickými oblastmi SOB5 Jizerské hory, SOB6 Západní Krkonoše, SOB8 </w:t>
      </w:r>
      <w:r w:rsidRPr="00461C16">
        <w:rPr>
          <w:rFonts w:cs="TimesNewRoman"/>
          <w:lang w:eastAsia="cs-CZ"/>
        </w:rPr>
        <w:t>Č</w:t>
      </w:r>
      <w:r w:rsidRPr="00461C16">
        <w:rPr>
          <w:lang w:eastAsia="cs-CZ"/>
        </w:rPr>
        <w:t>eský ráj sever, SOB2 Lužické hory a v nich uplat</w:t>
      </w:r>
      <w:r w:rsidRPr="00461C16">
        <w:rPr>
          <w:rFonts w:cs="TimesNewRoman"/>
          <w:lang w:eastAsia="cs-CZ"/>
        </w:rPr>
        <w:t>ň</w:t>
      </w:r>
      <w:r w:rsidRPr="00461C16">
        <w:rPr>
          <w:lang w:eastAsia="cs-CZ"/>
        </w:rPr>
        <w:t>ovanými podmínkami zvláštní ochrany p</w:t>
      </w:r>
      <w:r w:rsidRPr="00461C16">
        <w:rPr>
          <w:rFonts w:cs="TimesNewRoman"/>
          <w:lang w:eastAsia="cs-CZ"/>
        </w:rPr>
        <w:t>ř</w:t>
      </w:r>
      <w:r w:rsidRPr="00461C16">
        <w:rPr>
          <w:lang w:eastAsia="cs-CZ"/>
        </w:rPr>
        <w:t xml:space="preserve">írody (KRNAP, CHKO Jizerské hory, CHKO </w:t>
      </w:r>
      <w:r w:rsidRPr="00461C16">
        <w:rPr>
          <w:rFonts w:cs="TimesNewRoman"/>
          <w:lang w:eastAsia="cs-CZ"/>
        </w:rPr>
        <w:t>Č</w:t>
      </w:r>
      <w:r w:rsidRPr="00461C16">
        <w:rPr>
          <w:lang w:eastAsia="cs-CZ"/>
        </w:rPr>
        <w:t>eský ráj, CHKO Lužické hory).</w:t>
      </w:r>
    </w:p>
    <w:p w14:paraId="7FE590CF"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AB744E" w:rsidRPr="00461C16">
        <w:rPr>
          <w:i/>
          <w:color w:val="000000"/>
          <w:sz w:val="22"/>
          <w:szCs w:val="22"/>
          <w:shd w:val="clear" w:color="auto" w:fill="FFFFFF"/>
        </w:rPr>
        <w:t>Rozvojové oblasti a osy republikového významu – vyhodnocení požadavku č. 35</w:t>
      </w:r>
    </w:p>
    <w:p w14:paraId="24F14106" w14:textId="77777777" w:rsidR="00AF7178" w:rsidRPr="00461C16" w:rsidRDefault="00AF7178"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w:t>
      </w:r>
      <w:r w:rsidRPr="00461C16">
        <w:rPr>
          <w:rFonts w:cs="TimesNewRoman"/>
          <w:lang w:eastAsia="cs-CZ"/>
        </w:rPr>
        <w:t>ř</w:t>
      </w:r>
      <w:r w:rsidRPr="00461C16">
        <w:rPr>
          <w:lang w:eastAsia="cs-CZ"/>
        </w:rPr>
        <w:t>i rozhodování o zm</w:t>
      </w:r>
      <w:r w:rsidRPr="00461C16">
        <w:rPr>
          <w:rFonts w:cs="TimesNewRoman"/>
          <w:lang w:eastAsia="cs-CZ"/>
        </w:rPr>
        <w:t>ě</w:t>
      </w:r>
      <w:r w:rsidRPr="00461C16">
        <w:rPr>
          <w:lang w:eastAsia="cs-CZ"/>
        </w:rPr>
        <w:t>nách v území posuzovat skute</w:t>
      </w:r>
      <w:r w:rsidRPr="00461C16">
        <w:rPr>
          <w:rFonts w:cs="TimesNewRoman"/>
          <w:lang w:eastAsia="cs-CZ"/>
        </w:rPr>
        <w:t>č</w:t>
      </w:r>
      <w:r w:rsidRPr="00461C16">
        <w:rPr>
          <w:lang w:eastAsia="cs-CZ"/>
        </w:rPr>
        <w:t>né zát</w:t>
      </w:r>
      <w:r w:rsidRPr="00461C16">
        <w:rPr>
          <w:rFonts w:cs="TimesNewRoman"/>
          <w:lang w:eastAsia="cs-CZ"/>
        </w:rPr>
        <w:t>ě</w:t>
      </w:r>
      <w:r w:rsidRPr="00461C16">
        <w:rPr>
          <w:lang w:eastAsia="cs-CZ"/>
        </w:rPr>
        <w:t>že po</w:t>
      </w:r>
      <w:r w:rsidRPr="00461C16">
        <w:rPr>
          <w:rFonts w:cs="TimesNewRoman"/>
          <w:lang w:eastAsia="cs-CZ"/>
        </w:rPr>
        <w:t>č</w:t>
      </w:r>
      <w:r w:rsidRPr="00461C16">
        <w:rPr>
          <w:lang w:eastAsia="cs-CZ"/>
        </w:rPr>
        <w:t>tem a hustotou všech potenciálních uživatel</w:t>
      </w:r>
      <w:r w:rsidRPr="00461C16">
        <w:rPr>
          <w:rFonts w:cs="TimesNewRoman"/>
          <w:lang w:eastAsia="cs-CZ"/>
        </w:rPr>
        <w:t xml:space="preserve">ů </w:t>
      </w:r>
      <w:r w:rsidRPr="00461C16">
        <w:rPr>
          <w:lang w:eastAsia="cs-CZ"/>
        </w:rPr>
        <w:t>území - pokud je toto navyšování zát</w:t>
      </w:r>
      <w:r w:rsidRPr="00461C16">
        <w:rPr>
          <w:rFonts w:cs="TimesNewRoman"/>
          <w:lang w:eastAsia="cs-CZ"/>
        </w:rPr>
        <w:t>ě</w:t>
      </w:r>
      <w:r w:rsidRPr="00461C16">
        <w:rPr>
          <w:lang w:eastAsia="cs-CZ"/>
        </w:rPr>
        <w:t>že území únosné nebo žádoucí, odvozovat z t</w:t>
      </w:r>
      <w:r w:rsidRPr="00461C16">
        <w:rPr>
          <w:rFonts w:cs="TimesNewRoman"/>
          <w:lang w:eastAsia="cs-CZ"/>
        </w:rPr>
        <w:t>ě</w:t>
      </w:r>
      <w:r w:rsidRPr="00461C16">
        <w:rPr>
          <w:lang w:eastAsia="cs-CZ"/>
        </w:rPr>
        <w:t>chto údaj</w:t>
      </w:r>
      <w:r w:rsidRPr="00461C16">
        <w:rPr>
          <w:rFonts w:cs="TimesNewRoman"/>
          <w:lang w:eastAsia="cs-CZ"/>
        </w:rPr>
        <w:t xml:space="preserve">ů </w:t>
      </w:r>
      <w:r w:rsidRPr="00461C16">
        <w:rPr>
          <w:lang w:eastAsia="cs-CZ"/>
        </w:rPr>
        <w:t>dimenze ve</w:t>
      </w:r>
      <w:r w:rsidRPr="00461C16">
        <w:rPr>
          <w:rFonts w:cs="TimesNewRoman"/>
          <w:lang w:eastAsia="cs-CZ"/>
        </w:rPr>
        <w:t>ř</w:t>
      </w:r>
      <w:r w:rsidRPr="00461C16">
        <w:rPr>
          <w:lang w:eastAsia="cs-CZ"/>
        </w:rPr>
        <w:t>ejné infrastruktury.</w:t>
      </w:r>
    </w:p>
    <w:p w14:paraId="56584557" w14:textId="77777777" w:rsidR="00944655" w:rsidRPr="00461C16" w:rsidRDefault="00DE41ED" w:rsidP="00944655">
      <w:pPr>
        <w:pStyle w:val="BodyText"/>
        <w:spacing w:before="120" w:after="120"/>
        <w:rPr>
          <w:i/>
          <w:color w:val="000000"/>
          <w:sz w:val="22"/>
          <w:szCs w:val="22"/>
          <w:shd w:val="clear" w:color="auto" w:fill="FFFFFF"/>
        </w:rPr>
      </w:pPr>
      <w:r w:rsidRPr="00461C16">
        <w:rPr>
          <w:i/>
          <w:color w:val="000000"/>
          <w:sz w:val="22"/>
          <w:szCs w:val="22"/>
          <w:shd w:val="clear" w:color="auto" w:fill="FFFFFF"/>
        </w:rPr>
        <w:t>Požadavek bude řešen v podrobnějším stupni (např. v rámci územní studie, regulačního plánu) v závislosti na navrženém prostorovém uspořádání a navrženém nárůstu počtu obyvatel.</w:t>
      </w:r>
    </w:p>
    <w:p w14:paraId="1369035C" w14:textId="77777777" w:rsidR="00AF7178" w:rsidRPr="00461C16" w:rsidRDefault="00AF7178"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Ve smyslu princip</w:t>
      </w:r>
      <w:r w:rsidRPr="00461C16">
        <w:rPr>
          <w:rFonts w:cs="TimesNewRoman"/>
          <w:lang w:eastAsia="cs-CZ"/>
        </w:rPr>
        <w:t xml:space="preserve">ů </w:t>
      </w:r>
      <w:r w:rsidRPr="00461C16">
        <w:rPr>
          <w:lang w:eastAsia="cs-CZ"/>
        </w:rPr>
        <w:t>udržitelného rozvoje zp</w:t>
      </w:r>
      <w:r w:rsidRPr="00461C16">
        <w:rPr>
          <w:rFonts w:cs="TimesNewRoman"/>
          <w:lang w:eastAsia="cs-CZ"/>
        </w:rPr>
        <w:t>ř</w:t>
      </w:r>
      <w:r w:rsidRPr="00461C16">
        <w:rPr>
          <w:lang w:eastAsia="cs-CZ"/>
        </w:rPr>
        <w:t xml:space="preserve">esnit zónování rozvojové oblasti na úrovni ÚPD jednotlivých zahrnutých obcí na územní </w:t>
      </w:r>
      <w:r w:rsidRPr="00461C16">
        <w:rPr>
          <w:rFonts w:cs="TimesNewRoman"/>
          <w:lang w:eastAsia="cs-CZ"/>
        </w:rPr>
        <w:t>č</w:t>
      </w:r>
      <w:r w:rsidRPr="00461C16">
        <w:rPr>
          <w:lang w:eastAsia="cs-CZ"/>
        </w:rPr>
        <w:t>ásti pro p</w:t>
      </w:r>
      <w:r w:rsidRPr="00461C16">
        <w:rPr>
          <w:rFonts w:cs="TimesNewRoman"/>
          <w:lang w:eastAsia="cs-CZ"/>
        </w:rPr>
        <w:t>ř</w:t>
      </w:r>
      <w:r w:rsidRPr="00461C16">
        <w:rPr>
          <w:lang w:eastAsia="cs-CZ"/>
        </w:rPr>
        <w:t>ednostní umis</w:t>
      </w:r>
      <w:r w:rsidRPr="00461C16">
        <w:rPr>
          <w:rFonts w:cs="TimesNewRoman"/>
          <w:lang w:eastAsia="cs-CZ"/>
        </w:rPr>
        <w:t>ť</w:t>
      </w:r>
      <w:r w:rsidRPr="00461C16">
        <w:rPr>
          <w:lang w:eastAsia="cs-CZ"/>
        </w:rPr>
        <w:t xml:space="preserve">ování ekonomických aktivit a na územní </w:t>
      </w:r>
      <w:r w:rsidRPr="00461C16">
        <w:rPr>
          <w:rFonts w:cs="TimesNewRoman"/>
          <w:lang w:eastAsia="cs-CZ"/>
        </w:rPr>
        <w:t>č</w:t>
      </w:r>
      <w:r w:rsidRPr="00461C16">
        <w:rPr>
          <w:lang w:eastAsia="cs-CZ"/>
        </w:rPr>
        <w:t>ásti pro p</w:t>
      </w:r>
      <w:r w:rsidRPr="00461C16">
        <w:rPr>
          <w:rFonts w:cs="TimesNewRoman"/>
          <w:lang w:eastAsia="cs-CZ"/>
        </w:rPr>
        <w:t>ř</w:t>
      </w:r>
      <w:r w:rsidRPr="00461C16">
        <w:rPr>
          <w:lang w:eastAsia="cs-CZ"/>
        </w:rPr>
        <w:t>ednostní umis</w:t>
      </w:r>
      <w:r w:rsidRPr="00461C16">
        <w:rPr>
          <w:rFonts w:cs="TimesNewRoman"/>
          <w:lang w:eastAsia="cs-CZ"/>
        </w:rPr>
        <w:t>ť</w:t>
      </w:r>
      <w:r w:rsidRPr="00461C16">
        <w:rPr>
          <w:lang w:eastAsia="cs-CZ"/>
        </w:rPr>
        <w:t>ování bydlení a p</w:t>
      </w:r>
      <w:r w:rsidRPr="00461C16">
        <w:rPr>
          <w:rFonts w:cs="TimesNewRoman"/>
          <w:lang w:eastAsia="cs-CZ"/>
        </w:rPr>
        <w:t>ř</w:t>
      </w:r>
      <w:r w:rsidRPr="00461C16">
        <w:rPr>
          <w:lang w:eastAsia="cs-CZ"/>
        </w:rPr>
        <w:t>ím</w:t>
      </w:r>
      <w:r w:rsidRPr="00461C16">
        <w:rPr>
          <w:rFonts w:cs="TimesNewRoman"/>
          <w:lang w:eastAsia="cs-CZ"/>
        </w:rPr>
        <w:t>ě</w:t>
      </w:r>
      <w:r w:rsidRPr="00461C16">
        <w:rPr>
          <w:lang w:eastAsia="cs-CZ"/>
        </w:rPr>
        <w:t>stské rekreace a tím zajistit podmínky pro snížení zatížení navazujících zvlášt</w:t>
      </w:r>
      <w:r w:rsidRPr="00461C16">
        <w:rPr>
          <w:rFonts w:cs="TimesNewRoman"/>
          <w:lang w:eastAsia="cs-CZ"/>
        </w:rPr>
        <w:t xml:space="preserve">ě </w:t>
      </w:r>
      <w:r w:rsidRPr="00461C16">
        <w:rPr>
          <w:lang w:eastAsia="cs-CZ"/>
        </w:rPr>
        <w:t>chrán</w:t>
      </w:r>
      <w:r w:rsidRPr="00461C16">
        <w:rPr>
          <w:rFonts w:cs="TimesNewRoman"/>
          <w:lang w:eastAsia="cs-CZ"/>
        </w:rPr>
        <w:t>ě</w:t>
      </w:r>
      <w:r w:rsidRPr="00461C16">
        <w:rPr>
          <w:lang w:eastAsia="cs-CZ"/>
        </w:rPr>
        <w:t>ných území, zejména specifické oblasti Jizerské hory.</w:t>
      </w:r>
    </w:p>
    <w:p w14:paraId="3EB2915A"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DD64C0" w:rsidRPr="00461C16">
        <w:rPr>
          <w:i/>
          <w:color w:val="000000"/>
          <w:sz w:val="22"/>
          <w:szCs w:val="22"/>
          <w:shd w:val="clear" w:color="auto" w:fill="FFFFFF"/>
        </w:rPr>
        <w:t>Rozvojové oblasti a osy republikového významu – vyhodnocení požadavku č. 37</w:t>
      </w:r>
    </w:p>
    <w:p w14:paraId="637EF49F" w14:textId="77777777" w:rsidR="00AF7178" w:rsidRPr="00461C16" w:rsidRDefault="00AF7178"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Zp</w:t>
      </w:r>
      <w:r w:rsidRPr="00461C16">
        <w:rPr>
          <w:rFonts w:cs="TimesNewRoman"/>
          <w:lang w:eastAsia="cs-CZ"/>
        </w:rPr>
        <w:t>ř</w:t>
      </w:r>
      <w:r w:rsidRPr="00461C16">
        <w:rPr>
          <w:lang w:eastAsia="cs-CZ"/>
        </w:rPr>
        <w:t>esnit a chránit koridory silni</w:t>
      </w:r>
      <w:r w:rsidRPr="00461C16">
        <w:rPr>
          <w:rFonts w:cs="TimesNewRoman"/>
          <w:lang w:eastAsia="cs-CZ"/>
        </w:rPr>
        <w:t>č</w:t>
      </w:r>
      <w:r w:rsidRPr="00461C16">
        <w:rPr>
          <w:lang w:eastAsia="cs-CZ"/>
        </w:rPr>
        <w:t>ní dopravy vymezené v ZÚR na území dot</w:t>
      </w:r>
      <w:r w:rsidRPr="00461C16">
        <w:rPr>
          <w:rFonts w:cs="TimesNewRoman"/>
          <w:lang w:eastAsia="cs-CZ"/>
        </w:rPr>
        <w:t>č</w:t>
      </w:r>
      <w:r w:rsidRPr="00461C16">
        <w:rPr>
          <w:lang w:eastAsia="cs-CZ"/>
        </w:rPr>
        <w:t>ených obcí. Zp</w:t>
      </w:r>
      <w:r w:rsidRPr="00461C16">
        <w:rPr>
          <w:rFonts w:cs="TimesNewRoman"/>
          <w:lang w:eastAsia="cs-CZ"/>
        </w:rPr>
        <w:t>ř</w:t>
      </w:r>
      <w:r w:rsidRPr="00461C16">
        <w:rPr>
          <w:lang w:eastAsia="cs-CZ"/>
        </w:rPr>
        <w:t>esnit a chránit koridory železni</w:t>
      </w:r>
      <w:r w:rsidRPr="00461C16">
        <w:rPr>
          <w:rFonts w:cs="TimesNewRoman"/>
          <w:lang w:eastAsia="cs-CZ"/>
        </w:rPr>
        <w:t>č</w:t>
      </w:r>
      <w:r w:rsidRPr="00461C16">
        <w:rPr>
          <w:lang w:eastAsia="cs-CZ"/>
        </w:rPr>
        <w:t xml:space="preserve">ní dopravy - </w:t>
      </w:r>
      <w:r w:rsidRPr="00461C16">
        <w:rPr>
          <w:rFonts w:cs="TimesNewRoman"/>
          <w:lang w:eastAsia="cs-CZ"/>
        </w:rPr>
        <w:t>ř</w:t>
      </w:r>
      <w:r w:rsidRPr="00461C16">
        <w:rPr>
          <w:lang w:eastAsia="cs-CZ"/>
        </w:rPr>
        <w:t>ešit územní souvislosti napojení oblasti na modernizované železni</w:t>
      </w:r>
      <w:r w:rsidRPr="00461C16">
        <w:rPr>
          <w:rFonts w:cs="TimesNewRoman"/>
          <w:lang w:eastAsia="cs-CZ"/>
        </w:rPr>
        <w:t>č</w:t>
      </w:r>
      <w:r w:rsidRPr="00461C16">
        <w:rPr>
          <w:lang w:eastAsia="cs-CZ"/>
        </w:rPr>
        <w:t>ní trat</w:t>
      </w:r>
      <w:r w:rsidRPr="00461C16">
        <w:rPr>
          <w:rFonts w:cs="TimesNewRoman"/>
          <w:lang w:eastAsia="cs-CZ"/>
        </w:rPr>
        <w:t xml:space="preserve">ě </w:t>
      </w:r>
      <w:r w:rsidRPr="00461C16">
        <w:rPr>
          <w:lang w:eastAsia="cs-CZ"/>
        </w:rPr>
        <w:t>ve sm</w:t>
      </w:r>
      <w:r w:rsidRPr="00461C16">
        <w:rPr>
          <w:rFonts w:cs="TimesNewRoman"/>
          <w:lang w:eastAsia="cs-CZ"/>
        </w:rPr>
        <w:t>ě</w:t>
      </w:r>
      <w:r w:rsidRPr="00461C16">
        <w:rPr>
          <w:lang w:eastAsia="cs-CZ"/>
        </w:rPr>
        <w:t>rech na Prahu a Hradec Králové:</w:t>
      </w:r>
    </w:p>
    <w:p w14:paraId="187B6A2E" w14:textId="77777777" w:rsidR="00AF7178" w:rsidRPr="00461C16" w:rsidRDefault="00AF7178" w:rsidP="00903F77">
      <w:pPr>
        <w:pStyle w:val="ListParagraph"/>
        <w:numPr>
          <w:ilvl w:val="0"/>
          <w:numId w:val="46"/>
        </w:numPr>
        <w:autoSpaceDE w:val="0"/>
        <w:autoSpaceDN w:val="0"/>
        <w:adjustRightInd w:val="0"/>
        <w:spacing w:before="60" w:line="240" w:lineRule="auto"/>
        <w:rPr>
          <w:lang w:eastAsia="cs-CZ"/>
        </w:rPr>
      </w:pPr>
      <w:r w:rsidRPr="00461C16">
        <w:rPr>
          <w:lang w:eastAsia="cs-CZ"/>
        </w:rPr>
        <w:t>Zp</w:t>
      </w:r>
      <w:r w:rsidRPr="00461C16">
        <w:rPr>
          <w:rFonts w:cs="TimesNewRoman"/>
          <w:lang w:eastAsia="cs-CZ"/>
        </w:rPr>
        <w:t>ř</w:t>
      </w:r>
      <w:r w:rsidRPr="00461C16">
        <w:rPr>
          <w:lang w:eastAsia="cs-CZ"/>
        </w:rPr>
        <w:t>esnit koridor železni</w:t>
      </w:r>
      <w:r w:rsidRPr="00461C16">
        <w:rPr>
          <w:rFonts w:cs="TimesNewRoman"/>
          <w:lang w:eastAsia="cs-CZ"/>
        </w:rPr>
        <w:t>č</w:t>
      </w:r>
      <w:r w:rsidRPr="00461C16">
        <w:rPr>
          <w:lang w:eastAsia="cs-CZ"/>
        </w:rPr>
        <w:t>ní trati Praha - Turnov - Liberec - Frýdlant – Polsko / Zawidów (koridor kombinované dopravy) na území dot</w:t>
      </w:r>
      <w:r w:rsidRPr="00461C16">
        <w:rPr>
          <w:rFonts w:cs="TimesNewRoman"/>
          <w:lang w:eastAsia="cs-CZ"/>
        </w:rPr>
        <w:t>č</w:t>
      </w:r>
      <w:r w:rsidRPr="00461C16">
        <w:rPr>
          <w:lang w:eastAsia="cs-CZ"/>
        </w:rPr>
        <w:t>ených obcí.</w:t>
      </w:r>
    </w:p>
    <w:p w14:paraId="51A52833" w14:textId="77777777" w:rsidR="00AF7178" w:rsidRPr="00461C16" w:rsidRDefault="00AF7178" w:rsidP="00903F77">
      <w:pPr>
        <w:pStyle w:val="ListParagraph"/>
        <w:numPr>
          <w:ilvl w:val="0"/>
          <w:numId w:val="46"/>
        </w:numPr>
        <w:autoSpaceDE w:val="0"/>
        <w:autoSpaceDN w:val="0"/>
        <w:adjustRightInd w:val="0"/>
        <w:spacing w:before="60" w:line="240" w:lineRule="auto"/>
        <w:rPr>
          <w:lang w:eastAsia="cs-CZ"/>
        </w:rPr>
      </w:pPr>
      <w:r w:rsidRPr="00461C16">
        <w:rPr>
          <w:lang w:eastAsia="cs-CZ"/>
        </w:rPr>
        <w:t>Prov</w:t>
      </w:r>
      <w:r w:rsidRPr="00461C16">
        <w:rPr>
          <w:rFonts w:cs="TimesNewRoman"/>
          <w:lang w:eastAsia="cs-CZ"/>
        </w:rPr>
        <w:t>ěř</w:t>
      </w:r>
      <w:r w:rsidRPr="00461C16">
        <w:rPr>
          <w:lang w:eastAsia="cs-CZ"/>
        </w:rPr>
        <w:t>it podmínky pro potenciální využití koridoru železni</w:t>
      </w:r>
      <w:r w:rsidRPr="00461C16">
        <w:rPr>
          <w:rFonts w:cs="TimesNewRoman"/>
          <w:lang w:eastAsia="cs-CZ"/>
        </w:rPr>
        <w:t>č</w:t>
      </w:r>
      <w:r w:rsidRPr="00461C16">
        <w:rPr>
          <w:lang w:eastAsia="cs-CZ"/>
        </w:rPr>
        <w:t>ní trati Liberec – Hrádek nad Nisou pro kombinovanou dopravu s napojením na modernizovanou železni</w:t>
      </w:r>
      <w:r w:rsidRPr="00461C16">
        <w:rPr>
          <w:rFonts w:cs="TimesNewRoman"/>
          <w:lang w:eastAsia="cs-CZ"/>
        </w:rPr>
        <w:t>č</w:t>
      </w:r>
      <w:r w:rsidRPr="00461C16">
        <w:rPr>
          <w:lang w:eastAsia="cs-CZ"/>
        </w:rPr>
        <w:t>ní tra</w:t>
      </w:r>
      <w:r w:rsidRPr="00461C16">
        <w:rPr>
          <w:rFonts w:cs="TimesNewRoman"/>
          <w:lang w:eastAsia="cs-CZ"/>
        </w:rPr>
        <w:t xml:space="preserve">ť </w:t>
      </w:r>
      <w:r w:rsidRPr="00461C16">
        <w:rPr>
          <w:lang w:eastAsia="cs-CZ"/>
        </w:rPr>
        <w:t>v Zittau (N</w:t>
      </w:r>
      <w:r w:rsidRPr="00461C16">
        <w:rPr>
          <w:rFonts w:cs="TimesNewRoman"/>
          <w:lang w:eastAsia="cs-CZ"/>
        </w:rPr>
        <w:t>ě</w:t>
      </w:r>
      <w:r w:rsidRPr="00461C16">
        <w:rPr>
          <w:lang w:eastAsia="cs-CZ"/>
        </w:rPr>
        <w:t>mecko).</w:t>
      </w:r>
    </w:p>
    <w:p w14:paraId="4803FCED" w14:textId="77777777" w:rsidR="00AF7178" w:rsidRPr="00461C16" w:rsidRDefault="00AF7178" w:rsidP="00903F77">
      <w:pPr>
        <w:pStyle w:val="ListParagraph"/>
        <w:numPr>
          <w:ilvl w:val="0"/>
          <w:numId w:val="46"/>
        </w:numPr>
        <w:autoSpaceDE w:val="0"/>
        <w:autoSpaceDN w:val="0"/>
        <w:adjustRightInd w:val="0"/>
        <w:spacing w:before="60" w:line="240" w:lineRule="auto"/>
        <w:rPr>
          <w:lang w:eastAsia="cs-CZ"/>
        </w:rPr>
      </w:pPr>
      <w:r w:rsidRPr="00461C16">
        <w:rPr>
          <w:lang w:eastAsia="cs-CZ"/>
        </w:rPr>
        <w:t>Chránit území pro výb</w:t>
      </w:r>
      <w:r w:rsidRPr="00461C16">
        <w:rPr>
          <w:rFonts w:cs="TimesNewRoman"/>
          <w:lang w:eastAsia="cs-CZ"/>
        </w:rPr>
        <w:t>ě</w:t>
      </w:r>
      <w:r w:rsidRPr="00461C16">
        <w:rPr>
          <w:lang w:eastAsia="cs-CZ"/>
        </w:rPr>
        <w:t>r varianty koridoru železni</w:t>
      </w:r>
      <w:r w:rsidRPr="00461C16">
        <w:rPr>
          <w:rFonts w:cs="TimesNewRoman"/>
          <w:lang w:eastAsia="cs-CZ"/>
        </w:rPr>
        <w:t>č</w:t>
      </w:r>
      <w:r w:rsidRPr="00461C16">
        <w:rPr>
          <w:lang w:eastAsia="cs-CZ"/>
        </w:rPr>
        <w:t xml:space="preserve">ní trati Liberec - </w:t>
      </w:r>
      <w:r w:rsidRPr="00461C16">
        <w:rPr>
          <w:rFonts w:cs="TimesNewRoman"/>
          <w:lang w:eastAsia="cs-CZ"/>
        </w:rPr>
        <w:t>Č</w:t>
      </w:r>
      <w:r w:rsidRPr="00461C16">
        <w:rPr>
          <w:lang w:eastAsia="cs-CZ"/>
        </w:rPr>
        <w:t>eská Lípa v úseku Bílý Kostel nad Nisou – Rynoltice, zpřesnit vedení trasy na území dotčených obcí.</w:t>
      </w:r>
    </w:p>
    <w:p w14:paraId="5C0AE61D" w14:textId="77777777" w:rsidR="000D1763" w:rsidRPr="00461C16" w:rsidRDefault="006D329E" w:rsidP="000D1763">
      <w:pPr>
        <w:pStyle w:val="BodyText"/>
        <w:spacing w:before="120" w:after="120"/>
        <w:rPr>
          <w:i/>
          <w:sz w:val="22"/>
          <w:szCs w:val="22"/>
          <w:lang w:eastAsia="en-US"/>
        </w:rPr>
      </w:pPr>
      <w:r w:rsidRPr="00461C16">
        <w:rPr>
          <w:i/>
          <w:sz w:val="22"/>
          <w:szCs w:val="22"/>
          <w:lang w:eastAsia="en-US"/>
        </w:rPr>
        <w:t>S cílem vytvoření podmínek pro zlepšení dostupnosti Hrádku nad Nisou po železnici a zlepšení přeshraničních dopravních vazeb vymezuje ÚP koridor drážní dopravy X01 pro optimalizaci a elektrizaci železniční trati č. 089.</w:t>
      </w:r>
    </w:p>
    <w:p w14:paraId="292AD475" w14:textId="77777777" w:rsidR="006D329E" w:rsidRPr="00461C16" w:rsidRDefault="006D329E" w:rsidP="000D1763">
      <w:pPr>
        <w:pStyle w:val="BodyText"/>
        <w:spacing w:before="120" w:after="120"/>
        <w:rPr>
          <w:i/>
          <w:sz w:val="22"/>
          <w:szCs w:val="22"/>
        </w:rPr>
      </w:pPr>
      <w:r w:rsidRPr="00F02309">
        <w:rPr>
          <w:i/>
          <w:sz w:val="22"/>
          <w:szCs w:val="22"/>
          <w:lang w:eastAsia="en-US"/>
        </w:rPr>
        <w:t xml:space="preserve">ÚP vymezuje v rámci správního území města Hrádek nad Nisou koridor územní rezervy </w:t>
      </w:r>
      <w:r w:rsidR="00F02309" w:rsidRPr="00F02309">
        <w:rPr>
          <w:i/>
          <w:sz w:val="22"/>
          <w:szCs w:val="22"/>
          <w:lang w:eastAsia="en-US"/>
        </w:rPr>
        <w:t>R</w:t>
      </w:r>
      <w:r w:rsidR="00F02309">
        <w:rPr>
          <w:i/>
          <w:sz w:val="22"/>
          <w:szCs w:val="22"/>
          <w:lang w:eastAsia="en-US"/>
        </w:rPr>
        <w:t>13</w:t>
      </w:r>
      <w:r w:rsidR="00F02309" w:rsidRPr="00F02309">
        <w:rPr>
          <w:i/>
          <w:sz w:val="22"/>
          <w:szCs w:val="22"/>
          <w:lang w:eastAsia="en-US"/>
        </w:rPr>
        <w:t xml:space="preserve"> </w:t>
      </w:r>
      <w:r w:rsidRPr="00F02309">
        <w:rPr>
          <w:i/>
          <w:sz w:val="22"/>
          <w:szCs w:val="22"/>
          <w:lang w:eastAsia="en-US"/>
        </w:rPr>
        <w:t xml:space="preserve">železniční dopravy pro budoucí prověření železničního spojení Liberec – Česká Lípa, úsek Bílý Kostel nad Nisou – Rynoltice (koridor </w:t>
      </w:r>
      <w:r w:rsidRPr="00F02309">
        <w:rPr>
          <w:i/>
          <w:sz w:val="22"/>
          <w:szCs w:val="22"/>
          <w:lang w:eastAsia="en-US"/>
        </w:rPr>
        <w:lastRenderedPageBreak/>
        <w:t>D33A dle ZÚR Libereckého kraje). Výběr finální varianty bude prověřen v rámci aktualizace ZÚR Libereckého kraje.</w:t>
      </w:r>
    </w:p>
    <w:p w14:paraId="6B2551E3" w14:textId="77777777" w:rsidR="001531EC"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w:t>
      </w:r>
      <w:r w:rsidRPr="00461C16">
        <w:rPr>
          <w:rFonts w:cs="TimesNewRoman"/>
          <w:lang w:eastAsia="cs-CZ"/>
        </w:rPr>
        <w:t>ř</w:t>
      </w:r>
      <w:r w:rsidRPr="00461C16">
        <w:rPr>
          <w:lang w:eastAsia="cs-CZ"/>
        </w:rPr>
        <w:t>et územní podmínky pro zlepšování vnitrokrajské dopravní sít</w:t>
      </w:r>
      <w:r w:rsidRPr="00461C16">
        <w:rPr>
          <w:rFonts w:cs="TimesNewRoman"/>
          <w:lang w:eastAsia="cs-CZ"/>
        </w:rPr>
        <w:t xml:space="preserve">ě </w:t>
      </w:r>
      <w:r w:rsidRPr="00461C16">
        <w:rPr>
          <w:lang w:eastAsia="cs-CZ"/>
        </w:rPr>
        <w:t>zejména ve smyslu provozních a prostorových propojení s ostatními rozvojovými oblastmi a pro dosažení relativn</w:t>
      </w:r>
      <w:r w:rsidRPr="00461C16">
        <w:rPr>
          <w:rFonts w:cs="TimesNewRoman"/>
          <w:lang w:eastAsia="cs-CZ"/>
        </w:rPr>
        <w:t xml:space="preserve">ě </w:t>
      </w:r>
      <w:r w:rsidRPr="00461C16">
        <w:rPr>
          <w:lang w:eastAsia="cs-CZ"/>
        </w:rPr>
        <w:t>rovnocenné p</w:t>
      </w:r>
      <w:r w:rsidRPr="00461C16">
        <w:rPr>
          <w:rFonts w:cs="TimesNewRoman"/>
          <w:lang w:eastAsia="cs-CZ"/>
        </w:rPr>
        <w:t>ř</w:t>
      </w:r>
      <w:r w:rsidRPr="00461C16">
        <w:rPr>
          <w:lang w:eastAsia="cs-CZ"/>
        </w:rPr>
        <w:t>ístupnosti jednotlivých obcí uvnit</w:t>
      </w:r>
      <w:r w:rsidRPr="00461C16">
        <w:rPr>
          <w:rFonts w:cs="TimesNewRoman"/>
          <w:lang w:eastAsia="cs-CZ"/>
        </w:rPr>
        <w:t xml:space="preserve">ř </w:t>
      </w:r>
      <w:r w:rsidRPr="00461C16">
        <w:rPr>
          <w:lang w:eastAsia="cs-CZ"/>
        </w:rPr>
        <w:t>oblasti. Prověřit možnosti využitelnosti vazby dopravních koridorů na strategické rozvojové plochy na území významných center osídlení.</w:t>
      </w:r>
    </w:p>
    <w:p w14:paraId="11C352F3" w14:textId="77777777" w:rsidR="00795A91" w:rsidRPr="00461C16" w:rsidRDefault="00795A91" w:rsidP="00F22794">
      <w:pPr>
        <w:pStyle w:val="ListParagraph"/>
        <w:autoSpaceDE w:val="0"/>
        <w:autoSpaceDN w:val="0"/>
        <w:adjustRightInd w:val="0"/>
        <w:spacing w:before="120" w:after="120" w:line="240" w:lineRule="auto"/>
        <w:ind w:left="567"/>
        <w:rPr>
          <w:lang w:eastAsia="cs-CZ"/>
        </w:rPr>
      </w:pPr>
      <w:r w:rsidRPr="00461C16">
        <w:rPr>
          <w:lang w:eastAsia="cs-CZ"/>
        </w:rPr>
        <w:t>Podporovat aktivity sm</w:t>
      </w:r>
      <w:r w:rsidRPr="00461C16">
        <w:rPr>
          <w:rFonts w:cs="TimesNewRoman"/>
          <w:lang w:eastAsia="cs-CZ"/>
        </w:rPr>
        <w:t>ěř</w:t>
      </w:r>
      <w:r w:rsidRPr="00461C16">
        <w:rPr>
          <w:lang w:eastAsia="cs-CZ"/>
        </w:rPr>
        <w:t>ující k posílení významu ve</w:t>
      </w:r>
      <w:r w:rsidRPr="00461C16">
        <w:rPr>
          <w:rFonts w:cs="TimesNewRoman"/>
          <w:lang w:eastAsia="cs-CZ"/>
        </w:rPr>
        <w:t>ř</w:t>
      </w:r>
      <w:r w:rsidRPr="00461C16">
        <w:rPr>
          <w:lang w:eastAsia="cs-CZ"/>
        </w:rPr>
        <w:t>ejné dopravy, významného aspektu integrity oblasti i Libereckého kraje. Optimalizovat rozmíst</w:t>
      </w:r>
      <w:r w:rsidRPr="00461C16">
        <w:rPr>
          <w:rFonts w:cs="TimesNewRoman"/>
          <w:lang w:eastAsia="cs-CZ"/>
        </w:rPr>
        <w:t>ě</w:t>
      </w:r>
      <w:r w:rsidRPr="00461C16">
        <w:rPr>
          <w:lang w:eastAsia="cs-CZ"/>
        </w:rPr>
        <w:t>ní železni</w:t>
      </w:r>
      <w:r w:rsidRPr="00461C16">
        <w:rPr>
          <w:rFonts w:cs="TimesNewRoman"/>
          <w:lang w:eastAsia="cs-CZ"/>
        </w:rPr>
        <w:t>č</w:t>
      </w:r>
      <w:r w:rsidRPr="00461C16">
        <w:rPr>
          <w:lang w:eastAsia="cs-CZ"/>
        </w:rPr>
        <w:t>ních zastávek na regionálních tratích.</w:t>
      </w:r>
    </w:p>
    <w:p w14:paraId="0D51F3E5" w14:textId="77777777" w:rsidR="00795A91" w:rsidRPr="00461C16" w:rsidRDefault="00795A91" w:rsidP="00F22794">
      <w:pPr>
        <w:pStyle w:val="ListParagraph"/>
        <w:autoSpaceDE w:val="0"/>
        <w:autoSpaceDN w:val="0"/>
        <w:adjustRightInd w:val="0"/>
        <w:spacing w:before="120" w:after="120" w:line="240" w:lineRule="auto"/>
        <w:ind w:left="567"/>
        <w:rPr>
          <w:lang w:eastAsia="cs-CZ"/>
        </w:rPr>
      </w:pPr>
      <w:r w:rsidRPr="00461C16">
        <w:rPr>
          <w:lang w:eastAsia="cs-CZ"/>
        </w:rPr>
        <w:t>Up</w:t>
      </w:r>
      <w:r w:rsidRPr="00461C16">
        <w:rPr>
          <w:rFonts w:cs="TimesNewRoman"/>
          <w:lang w:eastAsia="cs-CZ"/>
        </w:rPr>
        <w:t>ř</w:t>
      </w:r>
      <w:r w:rsidRPr="00461C16">
        <w:rPr>
          <w:lang w:eastAsia="cs-CZ"/>
        </w:rPr>
        <w:t>es</w:t>
      </w:r>
      <w:r w:rsidRPr="00461C16">
        <w:rPr>
          <w:rFonts w:cs="TimesNewRoman"/>
          <w:lang w:eastAsia="cs-CZ"/>
        </w:rPr>
        <w:t>ň</w:t>
      </w:r>
      <w:r w:rsidRPr="00461C16">
        <w:rPr>
          <w:lang w:eastAsia="cs-CZ"/>
        </w:rPr>
        <w:t>ování koridor</w:t>
      </w:r>
      <w:r w:rsidRPr="00461C16">
        <w:rPr>
          <w:rFonts w:cs="TimesNewRoman"/>
          <w:lang w:eastAsia="cs-CZ"/>
        </w:rPr>
        <w:t xml:space="preserve">ů </w:t>
      </w:r>
      <w:r w:rsidRPr="00461C16">
        <w:rPr>
          <w:lang w:eastAsia="cs-CZ"/>
        </w:rPr>
        <w:t xml:space="preserve">dopravní a technické vybavenosti vždy </w:t>
      </w:r>
      <w:r w:rsidRPr="00461C16">
        <w:rPr>
          <w:rFonts w:cs="TimesNewRoman"/>
          <w:lang w:eastAsia="cs-CZ"/>
        </w:rPr>
        <w:t>ř</w:t>
      </w:r>
      <w:r w:rsidRPr="00461C16">
        <w:rPr>
          <w:lang w:eastAsia="cs-CZ"/>
        </w:rPr>
        <w:t>ešit p</w:t>
      </w:r>
      <w:r w:rsidRPr="00461C16">
        <w:rPr>
          <w:rFonts w:cs="TimesNewRoman"/>
          <w:lang w:eastAsia="cs-CZ"/>
        </w:rPr>
        <w:t>ř</w:t>
      </w:r>
      <w:r w:rsidRPr="00461C16">
        <w:rPr>
          <w:lang w:eastAsia="cs-CZ"/>
        </w:rPr>
        <w:t>i respektování evropsky významných lokalit a pta</w:t>
      </w:r>
      <w:r w:rsidRPr="00461C16">
        <w:rPr>
          <w:rFonts w:cs="TimesNewRoman"/>
          <w:lang w:eastAsia="cs-CZ"/>
        </w:rPr>
        <w:t>č</w:t>
      </w:r>
      <w:r w:rsidRPr="00461C16">
        <w:rPr>
          <w:lang w:eastAsia="cs-CZ"/>
        </w:rPr>
        <w:t>ích oblastí a v souladu s principy zabezpe</w:t>
      </w:r>
      <w:r w:rsidRPr="00461C16">
        <w:rPr>
          <w:rFonts w:cs="TimesNewRoman"/>
          <w:lang w:eastAsia="cs-CZ"/>
        </w:rPr>
        <w:t>č</w:t>
      </w:r>
      <w:r w:rsidRPr="00461C16">
        <w:rPr>
          <w:lang w:eastAsia="cs-CZ"/>
        </w:rPr>
        <w:t>ení dostate</w:t>
      </w:r>
      <w:r w:rsidRPr="00461C16">
        <w:rPr>
          <w:rFonts w:cs="TimesNewRoman"/>
          <w:lang w:eastAsia="cs-CZ"/>
        </w:rPr>
        <w:t>č</w:t>
      </w:r>
      <w:r w:rsidRPr="00461C16">
        <w:rPr>
          <w:lang w:eastAsia="cs-CZ"/>
        </w:rPr>
        <w:t>né prostupnosti krajiny a nenarušení územního systému ekologické stability a krajinných horizont</w:t>
      </w:r>
      <w:r w:rsidRPr="00461C16">
        <w:rPr>
          <w:rFonts w:cs="TimesNewRoman"/>
          <w:lang w:eastAsia="cs-CZ"/>
        </w:rPr>
        <w:t>ů</w:t>
      </w:r>
      <w:r w:rsidRPr="00461C16">
        <w:rPr>
          <w:lang w:eastAsia="cs-CZ"/>
        </w:rPr>
        <w:t>.</w:t>
      </w:r>
    </w:p>
    <w:p w14:paraId="1C0653D6" w14:textId="77777777" w:rsidR="00456145" w:rsidRPr="00461C16" w:rsidRDefault="00456145" w:rsidP="00456145">
      <w:pPr>
        <w:pStyle w:val="BodyText"/>
        <w:rPr>
          <w:i/>
          <w:color w:val="000000"/>
          <w:sz w:val="22"/>
          <w:szCs w:val="22"/>
          <w:shd w:val="clear" w:color="auto" w:fill="FFFFFF"/>
        </w:rPr>
      </w:pPr>
      <w:r w:rsidRPr="00461C16">
        <w:rPr>
          <w:i/>
          <w:color w:val="000000"/>
          <w:sz w:val="22"/>
          <w:szCs w:val="22"/>
          <w:shd w:val="clear" w:color="auto" w:fill="FFFFFF"/>
        </w:rPr>
        <w:t>ÚP nenavrhuje záměry, které by měly dopad na evropsky významné lokality a ptačí oblasti.</w:t>
      </w:r>
    </w:p>
    <w:p w14:paraId="39CB02B2" w14:textId="77777777" w:rsidR="00944655" w:rsidRPr="00461C16" w:rsidRDefault="00456145" w:rsidP="00456145">
      <w:pPr>
        <w:pStyle w:val="BodyText"/>
        <w:spacing w:before="120" w:after="120"/>
        <w:rPr>
          <w:i/>
          <w:sz w:val="22"/>
          <w:szCs w:val="22"/>
        </w:rPr>
      </w:pPr>
      <w:r w:rsidRPr="00461C16">
        <w:rPr>
          <w:i/>
          <w:color w:val="000000"/>
          <w:sz w:val="22"/>
          <w:szCs w:val="22"/>
          <w:shd w:val="clear" w:color="auto" w:fill="FFFFFF"/>
        </w:rPr>
        <w:t>Více viz vyhodnocení předcházejícího bodu.</w:t>
      </w:r>
    </w:p>
    <w:p w14:paraId="3C334B38"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w:t>
      </w:r>
      <w:r w:rsidRPr="00461C16">
        <w:rPr>
          <w:rFonts w:cs="TimesNewRoman"/>
          <w:lang w:eastAsia="cs-CZ"/>
        </w:rPr>
        <w:t>ř</w:t>
      </w:r>
      <w:r w:rsidRPr="00461C16">
        <w:rPr>
          <w:lang w:eastAsia="cs-CZ"/>
        </w:rPr>
        <w:t>et územní podmínky pro vstup strategických investor</w:t>
      </w:r>
      <w:r w:rsidRPr="00461C16">
        <w:rPr>
          <w:rFonts w:cs="TimesNewRoman"/>
          <w:lang w:eastAsia="cs-CZ"/>
        </w:rPr>
        <w:t xml:space="preserve">ů </w:t>
      </w:r>
      <w:r w:rsidRPr="00461C16">
        <w:rPr>
          <w:lang w:eastAsia="cs-CZ"/>
        </w:rPr>
        <w:t>a rozvoj nových ekonomických aktivit v rámci restrukturalizace výrobního potenciálu po zániku tradi</w:t>
      </w:r>
      <w:r w:rsidRPr="00461C16">
        <w:rPr>
          <w:rFonts w:cs="TimesNewRoman"/>
          <w:lang w:eastAsia="cs-CZ"/>
        </w:rPr>
        <w:t>č</w:t>
      </w:r>
      <w:r w:rsidRPr="00461C16">
        <w:rPr>
          <w:lang w:eastAsia="cs-CZ"/>
        </w:rPr>
        <w:t>ních odv</w:t>
      </w:r>
      <w:r w:rsidRPr="00461C16">
        <w:rPr>
          <w:rFonts w:cs="TimesNewRoman"/>
          <w:lang w:eastAsia="cs-CZ"/>
        </w:rPr>
        <w:t>ě</w:t>
      </w:r>
      <w:r w:rsidRPr="00461C16">
        <w:rPr>
          <w:lang w:eastAsia="cs-CZ"/>
        </w:rPr>
        <w:t>tví, up</w:t>
      </w:r>
      <w:r w:rsidRPr="00461C16">
        <w:rPr>
          <w:rFonts w:cs="TimesNewRoman"/>
          <w:lang w:eastAsia="cs-CZ"/>
        </w:rPr>
        <w:t>ř</w:t>
      </w:r>
      <w:r w:rsidRPr="00461C16">
        <w:rPr>
          <w:lang w:eastAsia="cs-CZ"/>
        </w:rPr>
        <w:t>ednost</w:t>
      </w:r>
      <w:r w:rsidRPr="00461C16">
        <w:rPr>
          <w:rFonts w:cs="TimesNewRoman"/>
          <w:lang w:eastAsia="cs-CZ"/>
        </w:rPr>
        <w:t>ň</w:t>
      </w:r>
      <w:r w:rsidRPr="00461C16">
        <w:rPr>
          <w:lang w:eastAsia="cs-CZ"/>
        </w:rPr>
        <w:t>ovat využití zainvestovaných a p</w:t>
      </w:r>
      <w:r w:rsidRPr="00461C16">
        <w:rPr>
          <w:rFonts w:cs="TimesNewRoman"/>
          <w:lang w:eastAsia="cs-CZ"/>
        </w:rPr>
        <w:t>ř</w:t>
      </w:r>
      <w:r w:rsidRPr="00461C16">
        <w:rPr>
          <w:lang w:eastAsia="cs-CZ"/>
        </w:rPr>
        <w:t>ipravených lokalit.</w:t>
      </w:r>
    </w:p>
    <w:p w14:paraId="16D9740B"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DD64C0" w:rsidRPr="00461C16">
        <w:rPr>
          <w:i/>
          <w:color w:val="000000"/>
          <w:sz w:val="22"/>
          <w:szCs w:val="22"/>
          <w:shd w:val="clear" w:color="auto" w:fill="FFFFFF"/>
        </w:rPr>
        <w:t>Rozvojové oblasti a osy republikového významu – vyhodnocení požadavku č. 40</w:t>
      </w:r>
    </w:p>
    <w:p w14:paraId="2F459586"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Rozvoj nových ekonomických aktivit zajistit odpovídajícími obytnými kapacitami. Návrhy nových ploch pro bydlení odvozovat ze sociodemografických prognóz v souladu s koncepcemi rozvoje obcí v širších územních souvislostech a vždy je zajistit odpovídajícími kapacitami ve</w:t>
      </w:r>
      <w:r w:rsidRPr="00461C16">
        <w:rPr>
          <w:rFonts w:cs="TimesNewRoman"/>
          <w:lang w:eastAsia="cs-CZ"/>
        </w:rPr>
        <w:t>ř</w:t>
      </w:r>
      <w:r w:rsidRPr="00461C16">
        <w:rPr>
          <w:lang w:eastAsia="cs-CZ"/>
        </w:rPr>
        <w:t>ejné infrastruktury a ve</w:t>
      </w:r>
      <w:r w:rsidRPr="00461C16">
        <w:rPr>
          <w:rFonts w:cs="TimesNewRoman"/>
          <w:lang w:eastAsia="cs-CZ"/>
        </w:rPr>
        <w:t>ř</w:t>
      </w:r>
      <w:r w:rsidRPr="00461C16">
        <w:rPr>
          <w:lang w:eastAsia="cs-CZ"/>
        </w:rPr>
        <w:t>ejných prostranství.</w:t>
      </w:r>
    </w:p>
    <w:p w14:paraId="1B86131E"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DD64C0" w:rsidRPr="00461C16">
        <w:rPr>
          <w:i/>
          <w:color w:val="000000"/>
          <w:sz w:val="22"/>
          <w:szCs w:val="22"/>
          <w:shd w:val="clear" w:color="auto" w:fill="FFFFFF"/>
        </w:rPr>
        <w:t>Rozvojové oblasti a osy republikového významu – vyhodnocení požadavku č. 41</w:t>
      </w:r>
    </w:p>
    <w:p w14:paraId="01982CC9"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Regula</w:t>
      </w:r>
      <w:r w:rsidRPr="00461C16">
        <w:rPr>
          <w:rFonts w:cs="TimesNewRoman"/>
          <w:lang w:eastAsia="cs-CZ"/>
        </w:rPr>
        <w:t>č</w:t>
      </w:r>
      <w:r w:rsidRPr="00461C16">
        <w:rPr>
          <w:lang w:eastAsia="cs-CZ"/>
        </w:rPr>
        <w:t>ními nástroji územního plánování zajistit koncep</w:t>
      </w:r>
      <w:r w:rsidRPr="00461C16">
        <w:rPr>
          <w:rFonts w:cs="TimesNewRoman"/>
          <w:lang w:eastAsia="cs-CZ"/>
        </w:rPr>
        <w:t>č</w:t>
      </w:r>
      <w:r w:rsidRPr="00461C16">
        <w:rPr>
          <w:lang w:eastAsia="cs-CZ"/>
        </w:rPr>
        <w:t>ní a koordinovaný rozvoj obcí v sídelní struktu</w:t>
      </w:r>
      <w:r w:rsidRPr="00461C16">
        <w:rPr>
          <w:rFonts w:cs="TimesNewRoman"/>
          <w:lang w:eastAsia="cs-CZ"/>
        </w:rPr>
        <w:t>ř</w:t>
      </w:r>
      <w:r w:rsidRPr="00461C16">
        <w:rPr>
          <w:lang w:eastAsia="cs-CZ"/>
        </w:rPr>
        <w:t>e.</w:t>
      </w:r>
    </w:p>
    <w:p w14:paraId="45FAC80D" w14:textId="77777777" w:rsidR="00795A91" w:rsidRPr="00461C16" w:rsidRDefault="00795A91" w:rsidP="00F22794">
      <w:pPr>
        <w:autoSpaceDE w:val="0"/>
        <w:autoSpaceDN w:val="0"/>
        <w:adjustRightInd w:val="0"/>
        <w:spacing w:before="120" w:after="120" w:line="240" w:lineRule="auto"/>
        <w:ind w:left="567"/>
        <w:rPr>
          <w:lang w:eastAsia="cs-CZ"/>
        </w:rPr>
      </w:pPr>
      <w:r w:rsidRPr="00461C16">
        <w:rPr>
          <w:lang w:eastAsia="cs-CZ"/>
        </w:rPr>
        <w:t>Up</w:t>
      </w:r>
      <w:r w:rsidRPr="00461C16">
        <w:rPr>
          <w:rFonts w:cs="TimesNewRoman"/>
          <w:lang w:eastAsia="cs-CZ"/>
        </w:rPr>
        <w:t>ř</w:t>
      </w:r>
      <w:r w:rsidRPr="00461C16">
        <w:rPr>
          <w:lang w:eastAsia="cs-CZ"/>
        </w:rPr>
        <w:t>ednost</w:t>
      </w:r>
      <w:r w:rsidRPr="00461C16">
        <w:rPr>
          <w:rFonts w:cs="TimesNewRoman"/>
          <w:lang w:eastAsia="cs-CZ"/>
        </w:rPr>
        <w:t>ň</w:t>
      </w:r>
      <w:r w:rsidRPr="00461C16">
        <w:rPr>
          <w:lang w:eastAsia="cs-CZ"/>
        </w:rPr>
        <w:t>ovat intenzifikaci využití zastav</w:t>
      </w:r>
      <w:r w:rsidRPr="00461C16">
        <w:rPr>
          <w:rFonts w:cs="TimesNewRoman"/>
          <w:lang w:eastAsia="cs-CZ"/>
        </w:rPr>
        <w:t>ě</w:t>
      </w:r>
      <w:r w:rsidRPr="00461C16">
        <w:rPr>
          <w:lang w:eastAsia="cs-CZ"/>
        </w:rPr>
        <w:t>ných území p</w:t>
      </w:r>
      <w:r w:rsidRPr="00461C16">
        <w:rPr>
          <w:rFonts w:cs="TimesNewRoman"/>
          <w:lang w:eastAsia="cs-CZ"/>
        </w:rPr>
        <w:t>ř</w:t>
      </w:r>
      <w:r w:rsidRPr="00461C16">
        <w:rPr>
          <w:lang w:eastAsia="cs-CZ"/>
        </w:rPr>
        <w:t>ed zástavbou volných ploch a tak minimalizovat nároky na rozsah nových zastavitelných ploch na úrove</w:t>
      </w:r>
      <w:r w:rsidRPr="00461C16">
        <w:rPr>
          <w:rFonts w:cs="TimesNewRoman"/>
          <w:lang w:eastAsia="cs-CZ"/>
        </w:rPr>
        <w:t xml:space="preserve">ň </w:t>
      </w:r>
      <w:r w:rsidRPr="00461C16">
        <w:rPr>
          <w:lang w:eastAsia="cs-CZ"/>
        </w:rPr>
        <w:t>nezbytných pot</w:t>
      </w:r>
      <w:r w:rsidRPr="00461C16">
        <w:rPr>
          <w:rFonts w:cs="TimesNewRoman"/>
          <w:lang w:eastAsia="cs-CZ"/>
        </w:rPr>
        <w:t>ř</w:t>
      </w:r>
      <w:r w:rsidRPr="00461C16">
        <w:rPr>
          <w:lang w:eastAsia="cs-CZ"/>
        </w:rPr>
        <w:t>eb.</w:t>
      </w:r>
    </w:p>
    <w:p w14:paraId="40D97AEF" w14:textId="77777777" w:rsidR="00795A91" w:rsidRPr="00461C16" w:rsidRDefault="00795A91" w:rsidP="00F22794">
      <w:pPr>
        <w:autoSpaceDE w:val="0"/>
        <w:autoSpaceDN w:val="0"/>
        <w:adjustRightInd w:val="0"/>
        <w:spacing w:before="120" w:after="120" w:line="240" w:lineRule="auto"/>
        <w:ind w:left="567"/>
        <w:rPr>
          <w:lang w:eastAsia="cs-CZ"/>
        </w:rPr>
      </w:pPr>
      <w:r w:rsidRPr="00461C16">
        <w:rPr>
          <w:lang w:eastAsia="cs-CZ"/>
        </w:rPr>
        <w:t>Nep</w:t>
      </w:r>
      <w:r w:rsidRPr="00461C16">
        <w:rPr>
          <w:rFonts w:cs="TimesNewRoman"/>
          <w:lang w:eastAsia="cs-CZ"/>
        </w:rPr>
        <w:t>ř</w:t>
      </w:r>
      <w:r w:rsidRPr="00461C16">
        <w:rPr>
          <w:lang w:eastAsia="cs-CZ"/>
        </w:rPr>
        <w:t>ipoušt</w:t>
      </w:r>
      <w:r w:rsidRPr="00461C16">
        <w:rPr>
          <w:rFonts w:cs="TimesNewRoman"/>
          <w:lang w:eastAsia="cs-CZ"/>
        </w:rPr>
        <w:t>ě</w:t>
      </w:r>
      <w:r w:rsidRPr="00461C16">
        <w:rPr>
          <w:lang w:eastAsia="cs-CZ"/>
        </w:rPr>
        <w:t>t spontánní p</w:t>
      </w:r>
      <w:r w:rsidRPr="00461C16">
        <w:rPr>
          <w:rFonts w:cs="TimesNewRoman"/>
          <w:lang w:eastAsia="cs-CZ"/>
        </w:rPr>
        <w:t>ř</w:t>
      </w:r>
      <w:r w:rsidRPr="00461C16">
        <w:rPr>
          <w:lang w:eastAsia="cs-CZ"/>
        </w:rPr>
        <w:t>ístupy k urbanizaci území, regulovat umíst</w:t>
      </w:r>
      <w:r w:rsidRPr="00461C16">
        <w:rPr>
          <w:rFonts w:cs="TimesNewRoman"/>
          <w:lang w:eastAsia="cs-CZ"/>
        </w:rPr>
        <w:t>ě</w:t>
      </w:r>
      <w:r w:rsidRPr="00461C16">
        <w:rPr>
          <w:lang w:eastAsia="cs-CZ"/>
        </w:rPr>
        <w:t>ní a koncentraci obslužných a zábavních za</w:t>
      </w:r>
      <w:r w:rsidRPr="00461C16">
        <w:rPr>
          <w:rFonts w:cs="TimesNewRoman"/>
          <w:lang w:eastAsia="cs-CZ"/>
        </w:rPr>
        <w:t>ř</w:t>
      </w:r>
      <w:r w:rsidRPr="00461C16">
        <w:rPr>
          <w:lang w:eastAsia="cs-CZ"/>
        </w:rPr>
        <w:t>ízení podél komunika</w:t>
      </w:r>
      <w:r w:rsidRPr="00461C16">
        <w:rPr>
          <w:rFonts w:cs="TimesNewRoman"/>
          <w:lang w:eastAsia="cs-CZ"/>
        </w:rPr>
        <w:t>č</w:t>
      </w:r>
      <w:r w:rsidRPr="00461C16">
        <w:rPr>
          <w:lang w:eastAsia="cs-CZ"/>
        </w:rPr>
        <w:t>ní sít</w:t>
      </w:r>
      <w:r w:rsidRPr="00461C16">
        <w:rPr>
          <w:rFonts w:cs="TimesNewRoman"/>
          <w:lang w:eastAsia="cs-CZ"/>
        </w:rPr>
        <w:t>ě</w:t>
      </w:r>
      <w:r w:rsidRPr="00461C16">
        <w:rPr>
          <w:lang w:eastAsia="cs-CZ"/>
        </w:rPr>
        <w:t>.</w:t>
      </w:r>
    </w:p>
    <w:p w14:paraId="724DEA74" w14:textId="77777777" w:rsidR="00795A91" w:rsidRPr="00461C16" w:rsidRDefault="00795A91" w:rsidP="00F22794">
      <w:pPr>
        <w:autoSpaceDE w:val="0"/>
        <w:autoSpaceDN w:val="0"/>
        <w:adjustRightInd w:val="0"/>
        <w:spacing w:before="120" w:after="120" w:line="240" w:lineRule="auto"/>
        <w:ind w:left="567"/>
        <w:rPr>
          <w:lang w:eastAsia="cs-CZ"/>
        </w:rPr>
      </w:pPr>
      <w:r w:rsidRPr="00461C16">
        <w:rPr>
          <w:lang w:eastAsia="cs-CZ"/>
        </w:rPr>
        <w:t>Chránit p</w:t>
      </w:r>
      <w:r w:rsidRPr="00461C16">
        <w:rPr>
          <w:rFonts w:cs="TimesNewRoman"/>
          <w:lang w:eastAsia="cs-CZ"/>
        </w:rPr>
        <w:t>ř</w:t>
      </w:r>
      <w:r w:rsidRPr="00461C16">
        <w:rPr>
          <w:lang w:eastAsia="cs-CZ"/>
        </w:rPr>
        <w:t>írodní vodní plochy a p</w:t>
      </w:r>
      <w:r w:rsidRPr="00461C16">
        <w:rPr>
          <w:rFonts w:cs="TimesNewRoman"/>
          <w:lang w:eastAsia="cs-CZ"/>
        </w:rPr>
        <w:t>ř</w:t>
      </w:r>
      <w:r w:rsidRPr="00461C16">
        <w:rPr>
          <w:lang w:eastAsia="cs-CZ"/>
        </w:rPr>
        <w:t>irozené pr</w:t>
      </w:r>
      <w:r w:rsidRPr="00461C16">
        <w:rPr>
          <w:rFonts w:cs="TimesNewRoman"/>
          <w:lang w:eastAsia="cs-CZ"/>
        </w:rPr>
        <w:t>ů</w:t>
      </w:r>
      <w:r w:rsidRPr="00461C16">
        <w:rPr>
          <w:lang w:eastAsia="cs-CZ"/>
        </w:rPr>
        <w:t>b</w:t>
      </w:r>
      <w:r w:rsidRPr="00461C16">
        <w:rPr>
          <w:rFonts w:cs="TimesNewRoman"/>
          <w:lang w:eastAsia="cs-CZ"/>
        </w:rPr>
        <w:t>ě</w:t>
      </w:r>
      <w:r w:rsidRPr="00461C16">
        <w:rPr>
          <w:lang w:eastAsia="cs-CZ"/>
        </w:rPr>
        <w:t>hy vodních tok</w:t>
      </w:r>
      <w:r w:rsidRPr="00461C16">
        <w:rPr>
          <w:rFonts w:cs="TimesNewRoman"/>
          <w:lang w:eastAsia="cs-CZ"/>
        </w:rPr>
        <w:t>ů</w:t>
      </w:r>
      <w:r w:rsidRPr="00461C16">
        <w:rPr>
          <w:lang w:eastAsia="cs-CZ"/>
        </w:rPr>
        <w:t>, údolních niv p</w:t>
      </w:r>
      <w:r w:rsidRPr="00461C16">
        <w:rPr>
          <w:rFonts w:cs="TimesNewRoman"/>
          <w:lang w:eastAsia="cs-CZ"/>
        </w:rPr>
        <w:t>ř</w:t>
      </w:r>
      <w:r w:rsidRPr="00461C16">
        <w:rPr>
          <w:lang w:eastAsia="cs-CZ"/>
        </w:rPr>
        <w:t>ed nevratnými urbanizačními zásahy.</w:t>
      </w:r>
    </w:p>
    <w:p w14:paraId="322856DB"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DD64C0" w:rsidRPr="00461C16">
        <w:rPr>
          <w:i/>
          <w:color w:val="000000"/>
          <w:sz w:val="22"/>
          <w:szCs w:val="22"/>
          <w:shd w:val="clear" w:color="auto" w:fill="FFFFFF"/>
        </w:rPr>
        <w:t>Rozvojové oblasti a osy republikového významu – vyhodnocení požadavku č. 42</w:t>
      </w:r>
    </w:p>
    <w:p w14:paraId="5098ECFE"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rFonts w:cs="TimesNewRoman"/>
          <w:lang w:eastAsia="cs-CZ"/>
        </w:rPr>
        <w:t>Ř</w:t>
      </w:r>
      <w:r w:rsidRPr="00461C16">
        <w:rPr>
          <w:lang w:eastAsia="cs-CZ"/>
        </w:rPr>
        <w:t>ešit nové využití nebo odstran</w:t>
      </w:r>
      <w:r w:rsidRPr="00461C16">
        <w:rPr>
          <w:rFonts w:cs="TimesNewRoman"/>
          <w:lang w:eastAsia="cs-CZ"/>
        </w:rPr>
        <w:t>ě</w:t>
      </w:r>
      <w:r w:rsidRPr="00461C16">
        <w:rPr>
          <w:lang w:eastAsia="cs-CZ"/>
        </w:rPr>
        <w:t>ní tzv. brownfields. Zajistit ochranu a optimální využití technických památek, industriální architektury a lidové architektury.</w:t>
      </w:r>
    </w:p>
    <w:p w14:paraId="15C8B986" w14:textId="77777777" w:rsidR="00944655" w:rsidRPr="00461C16" w:rsidRDefault="004B7666" w:rsidP="00944655">
      <w:pPr>
        <w:pStyle w:val="BodyText"/>
        <w:spacing w:before="120" w:after="120"/>
        <w:rPr>
          <w:i/>
          <w:sz w:val="22"/>
          <w:szCs w:val="22"/>
        </w:rPr>
      </w:pPr>
      <w:r w:rsidRPr="00461C16">
        <w:rPr>
          <w:i/>
          <w:color w:val="000000"/>
          <w:sz w:val="22"/>
          <w:szCs w:val="22"/>
          <w:shd w:val="clear" w:color="auto" w:fill="FFFFFF"/>
        </w:rPr>
        <w:t xml:space="preserve">Pro další rozvoj využívá ÚP přednostně plochy brownfields, jako prostorové rezervy v zastavěném území. V žádoucích případech je navrženo jejich nové využití a funkční i prostorové integrace do okolní zástavby. </w:t>
      </w:r>
      <w:r w:rsidR="00E45E2A" w:rsidRPr="00461C16">
        <w:rPr>
          <w:i/>
          <w:color w:val="000000"/>
          <w:sz w:val="22"/>
          <w:szCs w:val="22"/>
          <w:shd w:val="clear" w:color="auto" w:fill="FFFFFF"/>
        </w:rPr>
        <w:t>To se týká především areálů bývalého Benaru, výrobního areálu v Tovární ul.</w:t>
      </w:r>
      <w:r w:rsidR="00EF3CB3" w:rsidRPr="00461C16">
        <w:rPr>
          <w:i/>
          <w:color w:val="000000"/>
          <w:sz w:val="22"/>
          <w:szCs w:val="22"/>
          <w:shd w:val="clear" w:color="auto" w:fill="FFFFFF"/>
        </w:rPr>
        <w:t>, areálu bývalé cihelny (dnes skatepark)</w:t>
      </w:r>
      <w:r w:rsidR="00E45E2A" w:rsidRPr="00461C16">
        <w:rPr>
          <w:i/>
          <w:color w:val="000000"/>
          <w:sz w:val="22"/>
          <w:szCs w:val="22"/>
          <w:shd w:val="clear" w:color="auto" w:fill="FFFFFF"/>
        </w:rPr>
        <w:t xml:space="preserve"> a výhledově též areálu společnosti Kortan.</w:t>
      </w:r>
    </w:p>
    <w:p w14:paraId="5081F6B6"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Cílev</w:t>
      </w:r>
      <w:r w:rsidRPr="00461C16">
        <w:rPr>
          <w:rFonts w:cs="TimesNewRoman"/>
          <w:lang w:eastAsia="cs-CZ"/>
        </w:rPr>
        <w:t>ě</w:t>
      </w:r>
      <w:r w:rsidRPr="00461C16">
        <w:rPr>
          <w:lang w:eastAsia="cs-CZ"/>
        </w:rPr>
        <w:t>domým rozvojem sportovn</w:t>
      </w:r>
      <w:r w:rsidRPr="00461C16">
        <w:rPr>
          <w:rFonts w:cs="TimesNewRoman"/>
          <w:lang w:eastAsia="cs-CZ"/>
        </w:rPr>
        <w:t xml:space="preserve">ě </w:t>
      </w:r>
      <w:r w:rsidRPr="00461C16">
        <w:rPr>
          <w:lang w:eastAsia="cs-CZ"/>
        </w:rPr>
        <w:t>rekrea</w:t>
      </w:r>
      <w:r w:rsidRPr="00461C16">
        <w:rPr>
          <w:rFonts w:cs="TimesNewRoman"/>
          <w:lang w:eastAsia="cs-CZ"/>
        </w:rPr>
        <w:t>č</w:t>
      </w:r>
      <w:r w:rsidRPr="00461C16">
        <w:rPr>
          <w:lang w:eastAsia="cs-CZ"/>
        </w:rPr>
        <w:t>ní vybavenosti posilovat význam:</w:t>
      </w:r>
    </w:p>
    <w:p w14:paraId="24E28454" w14:textId="77777777" w:rsidR="00795A91" w:rsidRPr="00461C16" w:rsidRDefault="00795A91" w:rsidP="00903F77">
      <w:pPr>
        <w:pStyle w:val="ListParagraph"/>
        <w:numPr>
          <w:ilvl w:val="0"/>
          <w:numId w:val="47"/>
        </w:numPr>
        <w:autoSpaceDE w:val="0"/>
        <w:autoSpaceDN w:val="0"/>
        <w:adjustRightInd w:val="0"/>
        <w:spacing w:before="60" w:line="240" w:lineRule="auto"/>
        <w:rPr>
          <w:lang w:eastAsia="cs-CZ"/>
        </w:rPr>
      </w:pPr>
      <w:r w:rsidRPr="00461C16">
        <w:rPr>
          <w:lang w:eastAsia="cs-CZ"/>
        </w:rPr>
        <w:t>denní rekreace obyvatel pro reprodukci pracovní síly,</w:t>
      </w:r>
    </w:p>
    <w:p w14:paraId="20FB46AF" w14:textId="77777777" w:rsidR="00795A91" w:rsidRPr="00461C16" w:rsidRDefault="00795A91" w:rsidP="00903F77">
      <w:pPr>
        <w:pStyle w:val="ListParagraph"/>
        <w:numPr>
          <w:ilvl w:val="0"/>
          <w:numId w:val="47"/>
        </w:numPr>
        <w:autoSpaceDE w:val="0"/>
        <w:autoSpaceDN w:val="0"/>
        <w:adjustRightInd w:val="0"/>
        <w:spacing w:before="60" w:line="240" w:lineRule="auto"/>
        <w:rPr>
          <w:lang w:eastAsia="cs-CZ"/>
        </w:rPr>
      </w:pPr>
      <w:r w:rsidRPr="00461C16">
        <w:rPr>
          <w:lang w:eastAsia="cs-CZ"/>
        </w:rPr>
        <w:t>sportovního vyžití na úrovni místního i nadmístního významu,</w:t>
      </w:r>
    </w:p>
    <w:p w14:paraId="62D37BF1" w14:textId="77777777" w:rsidR="00795A91" w:rsidRPr="00461C16" w:rsidRDefault="00795A91" w:rsidP="00903F77">
      <w:pPr>
        <w:pStyle w:val="ListParagraph"/>
        <w:numPr>
          <w:ilvl w:val="0"/>
          <w:numId w:val="47"/>
        </w:numPr>
        <w:autoSpaceDE w:val="0"/>
        <w:autoSpaceDN w:val="0"/>
        <w:adjustRightInd w:val="0"/>
        <w:spacing w:before="60" w:line="240" w:lineRule="auto"/>
        <w:rPr>
          <w:lang w:eastAsia="cs-CZ"/>
        </w:rPr>
      </w:pPr>
      <w:r w:rsidRPr="00461C16">
        <w:rPr>
          <w:lang w:eastAsia="cs-CZ"/>
        </w:rPr>
        <w:t>nástupních center cestovního ruchu a vazeb na blízká st</w:t>
      </w:r>
      <w:r w:rsidRPr="00461C16">
        <w:rPr>
          <w:rFonts w:cs="TimesNewRoman"/>
          <w:lang w:eastAsia="cs-CZ"/>
        </w:rPr>
        <w:t>ř</w:t>
      </w:r>
      <w:r w:rsidRPr="00461C16">
        <w:rPr>
          <w:lang w:eastAsia="cs-CZ"/>
        </w:rPr>
        <w:t>ediska cestovního ruchu.</w:t>
      </w:r>
    </w:p>
    <w:p w14:paraId="6646BA9E"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3F3D74" w:rsidRPr="00461C16">
        <w:rPr>
          <w:i/>
          <w:color w:val="000000"/>
          <w:sz w:val="22"/>
          <w:szCs w:val="22"/>
          <w:shd w:val="clear" w:color="auto" w:fill="FFFFFF"/>
        </w:rPr>
        <w:t xml:space="preserve">Rozvojové oblasti a osy republikového významu – vyhodnocení požadavku č. </w:t>
      </w:r>
      <w:r w:rsidR="0046414D" w:rsidRPr="00461C16">
        <w:rPr>
          <w:i/>
          <w:color w:val="000000"/>
          <w:sz w:val="22"/>
          <w:szCs w:val="22"/>
          <w:shd w:val="clear" w:color="auto" w:fill="FFFFFF"/>
        </w:rPr>
        <w:t>44</w:t>
      </w:r>
    </w:p>
    <w:p w14:paraId="42723915" w14:textId="77777777" w:rsidR="00944655" w:rsidRPr="00461C16" w:rsidRDefault="00795A91"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P</w:t>
      </w:r>
      <w:r w:rsidRPr="00461C16">
        <w:rPr>
          <w:rFonts w:cs="TimesNewRoman"/>
          <w:lang w:eastAsia="cs-CZ"/>
        </w:rPr>
        <w:t>ř</w:t>
      </w:r>
      <w:r w:rsidRPr="00461C16">
        <w:rPr>
          <w:lang w:eastAsia="cs-CZ"/>
        </w:rPr>
        <w:t>ipravovat územní podmínky pro realizaci efektivní protipovod</w:t>
      </w:r>
      <w:r w:rsidRPr="00461C16">
        <w:rPr>
          <w:rFonts w:cs="TimesNewRoman"/>
          <w:lang w:eastAsia="cs-CZ"/>
        </w:rPr>
        <w:t>ň</w:t>
      </w:r>
      <w:r w:rsidRPr="00461C16">
        <w:rPr>
          <w:lang w:eastAsia="cs-CZ"/>
        </w:rPr>
        <w:t>ové ochrany, podporovat rozliv a zadržování vody ve volné krajin</w:t>
      </w:r>
      <w:r w:rsidRPr="00461C16">
        <w:rPr>
          <w:rFonts w:cs="TimesNewRoman"/>
          <w:lang w:eastAsia="cs-CZ"/>
        </w:rPr>
        <w:t xml:space="preserve">ě </w:t>
      </w:r>
      <w:r w:rsidRPr="00461C16">
        <w:rPr>
          <w:lang w:eastAsia="cs-CZ"/>
        </w:rPr>
        <w:t>a zabra</w:t>
      </w:r>
      <w:r w:rsidRPr="00461C16">
        <w:rPr>
          <w:rFonts w:cs="TimesNewRoman"/>
          <w:lang w:eastAsia="cs-CZ"/>
        </w:rPr>
        <w:t>ň</w:t>
      </w:r>
      <w:r w:rsidRPr="00461C16">
        <w:rPr>
          <w:lang w:eastAsia="cs-CZ"/>
        </w:rPr>
        <w:t>ovat zvyšování povrchového odtoku. P</w:t>
      </w:r>
      <w:r w:rsidRPr="00461C16">
        <w:rPr>
          <w:rFonts w:cs="TimesNewRoman"/>
          <w:lang w:eastAsia="cs-CZ"/>
        </w:rPr>
        <w:t>ř</w:t>
      </w:r>
      <w:r w:rsidRPr="00461C16">
        <w:rPr>
          <w:lang w:eastAsia="cs-CZ"/>
        </w:rPr>
        <w:t>istupovat citliv</w:t>
      </w:r>
      <w:r w:rsidRPr="00461C16">
        <w:rPr>
          <w:rFonts w:cs="TimesNewRoman"/>
          <w:lang w:eastAsia="cs-CZ"/>
        </w:rPr>
        <w:t xml:space="preserve">ě </w:t>
      </w:r>
      <w:r w:rsidRPr="00461C16">
        <w:rPr>
          <w:lang w:eastAsia="cs-CZ"/>
        </w:rPr>
        <w:t xml:space="preserve">k </w:t>
      </w:r>
      <w:r w:rsidRPr="00461C16">
        <w:rPr>
          <w:lang w:eastAsia="cs-CZ"/>
        </w:rPr>
        <w:lastRenderedPageBreak/>
        <w:t>regulaci na Lužické Nise a jejích p</w:t>
      </w:r>
      <w:r w:rsidRPr="00461C16">
        <w:rPr>
          <w:rFonts w:cs="TimesNewRoman"/>
          <w:lang w:eastAsia="cs-CZ"/>
        </w:rPr>
        <w:t>ř</w:t>
      </w:r>
      <w:r w:rsidRPr="00461C16">
        <w:rPr>
          <w:lang w:eastAsia="cs-CZ"/>
        </w:rPr>
        <w:t>ítocích návrhem k p</w:t>
      </w:r>
      <w:r w:rsidRPr="00461C16">
        <w:rPr>
          <w:rFonts w:cs="TimesNewRoman"/>
          <w:lang w:eastAsia="cs-CZ"/>
        </w:rPr>
        <w:t>ř</w:t>
      </w:r>
      <w:r w:rsidRPr="00461C16">
        <w:rPr>
          <w:lang w:eastAsia="cs-CZ"/>
        </w:rPr>
        <w:t>írod</w:t>
      </w:r>
      <w:r w:rsidRPr="00461C16">
        <w:rPr>
          <w:rFonts w:cs="TimesNewRoman"/>
          <w:lang w:eastAsia="cs-CZ"/>
        </w:rPr>
        <w:t xml:space="preserve">ě </w:t>
      </w:r>
      <w:r w:rsidRPr="00461C16">
        <w:rPr>
          <w:lang w:eastAsia="cs-CZ"/>
        </w:rPr>
        <w:t>šetrných forem protipovod</w:t>
      </w:r>
      <w:r w:rsidRPr="00461C16">
        <w:rPr>
          <w:rFonts w:cs="TimesNewRoman"/>
          <w:lang w:eastAsia="cs-CZ"/>
        </w:rPr>
        <w:t>ň</w:t>
      </w:r>
      <w:r w:rsidRPr="00461C16">
        <w:rPr>
          <w:lang w:eastAsia="cs-CZ"/>
        </w:rPr>
        <w:t>ové ochrany zejména na území CHKO Jizerské hory a s ohledem na p</w:t>
      </w:r>
      <w:r w:rsidRPr="00461C16">
        <w:rPr>
          <w:rFonts w:cs="TimesNewRoman"/>
          <w:lang w:eastAsia="cs-CZ"/>
        </w:rPr>
        <w:t>ř</w:t>
      </w:r>
      <w:r w:rsidRPr="00461C16">
        <w:rPr>
          <w:lang w:eastAsia="cs-CZ"/>
        </w:rPr>
        <w:t>edm</w:t>
      </w:r>
      <w:r w:rsidRPr="00461C16">
        <w:rPr>
          <w:rFonts w:cs="TimesNewRoman"/>
          <w:lang w:eastAsia="cs-CZ"/>
        </w:rPr>
        <w:t>ě</w:t>
      </w:r>
      <w:r w:rsidRPr="00461C16">
        <w:rPr>
          <w:lang w:eastAsia="cs-CZ"/>
        </w:rPr>
        <w:t>ty ochrany vymezených EVL.</w:t>
      </w:r>
    </w:p>
    <w:p w14:paraId="3304B3DF" w14:textId="77777777" w:rsidR="004A16CA" w:rsidRPr="00461C16" w:rsidRDefault="004A16CA" w:rsidP="00944655">
      <w:pPr>
        <w:pStyle w:val="BodyText"/>
        <w:spacing w:before="120" w:after="120"/>
        <w:rPr>
          <w:i/>
          <w:color w:val="000000"/>
          <w:sz w:val="22"/>
          <w:szCs w:val="22"/>
          <w:shd w:val="clear" w:color="auto" w:fill="FFFFFF"/>
        </w:rPr>
      </w:pPr>
      <w:r w:rsidRPr="00461C16">
        <w:rPr>
          <w:i/>
          <w:color w:val="000000"/>
          <w:sz w:val="22"/>
          <w:szCs w:val="22"/>
          <w:shd w:val="clear" w:color="auto" w:fill="FFFFFF"/>
        </w:rPr>
        <w:t>ÚP vymezuje v souladu se ZÚR Libereckého kraje koridor protipovodňových opatření X</w:t>
      </w:r>
      <w:r w:rsidR="008067F6" w:rsidRPr="00461C16">
        <w:rPr>
          <w:i/>
          <w:color w:val="000000"/>
          <w:sz w:val="22"/>
          <w:szCs w:val="22"/>
          <w:shd w:val="clear" w:color="auto" w:fill="FFFFFF"/>
        </w:rPr>
        <w:t>02</w:t>
      </w:r>
      <w:r w:rsidRPr="00461C16">
        <w:rPr>
          <w:i/>
          <w:color w:val="000000"/>
          <w:sz w:val="22"/>
          <w:szCs w:val="22"/>
          <w:shd w:val="clear" w:color="auto" w:fill="FFFFFF"/>
        </w:rPr>
        <w:t xml:space="preserve"> na Lužické Nise.</w:t>
      </w:r>
      <w:r w:rsidR="0052597B">
        <w:rPr>
          <w:i/>
          <w:color w:val="000000"/>
          <w:sz w:val="22"/>
          <w:szCs w:val="22"/>
          <w:shd w:val="clear" w:color="auto" w:fill="FFFFFF"/>
        </w:rPr>
        <w:t xml:space="preserve"> </w:t>
      </w:r>
      <w:r w:rsidR="0052597B" w:rsidRPr="0052597B">
        <w:rPr>
          <w:i/>
          <w:sz w:val="22"/>
          <w:szCs w:val="22"/>
        </w:rPr>
        <w:t>Na Oldřichovském potoce byla v roce 2014 dokončena realizace zvodnělého poldru, který zajišťuje protipovodňovou ochranu sídla Oldřichov na Hranicích, v ÚP je poldr respektován.</w:t>
      </w:r>
    </w:p>
    <w:p w14:paraId="5675324D" w14:textId="77777777" w:rsidR="004A16CA" w:rsidRPr="00461C16" w:rsidRDefault="004A16CA" w:rsidP="00944655">
      <w:pPr>
        <w:pStyle w:val="BodyText"/>
        <w:spacing w:before="120" w:after="120"/>
        <w:rPr>
          <w:i/>
          <w:color w:val="000000"/>
          <w:sz w:val="22"/>
          <w:szCs w:val="22"/>
          <w:shd w:val="clear" w:color="auto" w:fill="FFFFFF"/>
        </w:rPr>
      </w:pPr>
      <w:r w:rsidRPr="00461C16">
        <w:rPr>
          <w:i/>
          <w:color w:val="000000"/>
          <w:sz w:val="22"/>
          <w:szCs w:val="22"/>
          <w:shd w:val="clear" w:color="auto" w:fill="FFFFFF"/>
        </w:rPr>
        <w:t>V ÚP jsou stanoveny specifické podmínky pro plochy v krajině, které obecně sledují zvýšení ekologické stability krajiny a její biodiverzity, zvýšení retenční schopnosti a snížení erozního ohrožení, což patří mezi základní priority územní plánování definované Politikou územního rozvoje a ZÚR</w:t>
      </w:r>
      <w:r w:rsidR="003B07D8">
        <w:rPr>
          <w:i/>
          <w:color w:val="000000"/>
          <w:sz w:val="22"/>
          <w:szCs w:val="22"/>
          <w:shd w:val="clear" w:color="auto" w:fill="FFFFFF"/>
        </w:rPr>
        <w:t xml:space="preserve"> LK</w:t>
      </w:r>
      <w:r w:rsidRPr="00461C16">
        <w:rPr>
          <w:i/>
          <w:color w:val="000000"/>
          <w:sz w:val="22"/>
          <w:szCs w:val="22"/>
          <w:shd w:val="clear" w:color="auto" w:fill="FFFFFF"/>
        </w:rPr>
        <w:t>. Pro zvýšení retenční schopnosti krajiny a zároveň pro eliminaci rizika sesuvů půdy a vodní eroze vymezuje ÚP také územní systém ekologické stability.</w:t>
      </w:r>
    </w:p>
    <w:p w14:paraId="691787F7" w14:textId="77777777" w:rsidR="00795A91" w:rsidRPr="00461C16" w:rsidRDefault="00795A91"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Koordinovat plánovací a rozvojové aktivity ORP Liberec, ORP Jablonec nad Nisou a ORP Tanvald s Královéhradeckým, St</w:t>
      </w:r>
      <w:r w:rsidRPr="00461C16">
        <w:rPr>
          <w:rFonts w:cs="TimesNewRoman"/>
          <w:lang w:eastAsia="cs-CZ"/>
        </w:rPr>
        <w:t>ř</w:t>
      </w:r>
      <w:r w:rsidRPr="00461C16">
        <w:rPr>
          <w:lang w:eastAsia="cs-CZ"/>
        </w:rPr>
        <w:t>edo</w:t>
      </w:r>
      <w:r w:rsidRPr="00461C16">
        <w:rPr>
          <w:rFonts w:cs="TimesNewRoman"/>
          <w:lang w:eastAsia="cs-CZ"/>
        </w:rPr>
        <w:t>č</w:t>
      </w:r>
      <w:r w:rsidRPr="00461C16">
        <w:rPr>
          <w:lang w:eastAsia="cs-CZ"/>
        </w:rPr>
        <w:t>eským a Ústeckým krajem a se zám</w:t>
      </w:r>
      <w:r w:rsidRPr="00461C16">
        <w:rPr>
          <w:rFonts w:cs="TimesNewRoman"/>
          <w:lang w:eastAsia="cs-CZ"/>
        </w:rPr>
        <w:t>ě</w:t>
      </w:r>
      <w:r w:rsidRPr="00461C16">
        <w:rPr>
          <w:lang w:eastAsia="cs-CZ"/>
        </w:rPr>
        <w:t>ry sousedních region</w:t>
      </w:r>
      <w:r w:rsidRPr="00461C16">
        <w:rPr>
          <w:rFonts w:cs="TimesNewRoman"/>
          <w:lang w:eastAsia="cs-CZ"/>
        </w:rPr>
        <w:t xml:space="preserve">ů </w:t>
      </w:r>
      <w:r w:rsidRPr="00461C16">
        <w:rPr>
          <w:lang w:eastAsia="cs-CZ"/>
        </w:rPr>
        <w:t>Sasko v N</w:t>
      </w:r>
      <w:r w:rsidRPr="00461C16">
        <w:rPr>
          <w:rFonts w:cs="TimesNewRoman"/>
          <w:lang w:eastAsia="cs-CZ"/>
        </w:rPr>
        <w:t>ě</w:t>
      </w:r>
      <w:r w:rsidRPr="00461C16">
        <w:rPr>
          <w:lang w:eastAsia="cs-CZ"/>
        </w:rPr>
        <w:t>mecku a Dolní Slezsko v Polsko.</w:t>
      </w:r>
    </w:p>
    <w:p w14:paraId="46C80052" w14:textId="77777777" w:rsidR="00233B2C" w:rsidRPr="00461C16" w:rsidRDefault="00E45E2A" w:rsidP="00233B2C">
      <w:pPr>
        <w:autoSpaceDE w:val="0"/>
        <w:autoSpaceDN w:val="0"/>
        <w:adjustRightInd w:val="0"/>
        <w:spacing w:before="120" w:line="240" w:lineRule="auto"/>
        <w:rPr>
          <w:i/>
          <w:lang w:eastAsia="cs-CZ"/>
        </w:rPr>
      </w:pPr>
      <w:r w:rsidRPr="00461C16">
        <w:rPr>
          <w:i/>
          <w:lang w:eastAsia="cs-CZ"/>
        </w:rPr>
        <w:t>Koncepce ÚP je zpracována v koordinaci s nadmístními záměry (zahrnuty do ZÚR Libereckého kraje) i záměry sousedních obcí – vyhodnocení je součástí kap. 4</w:t>
      </w:r>
      <w:r w:rsidR="00AE6CE5" w:rsidRPr="00461C16">
        <w:rPr>
          <w:i/>
          <w:lang w:eastAsia="cs-CZ"/>
        </w:rPr>
        <w:t xml:space="preserve"> Odůvodnění ÚP „Vyhodnocení koordinace využívání území z hlediska širších vztahů“.</w:t>
      </w:r>
    </w:p>
    <w:p w14:paraId="01C131B8" w14:textId="77777777" w:rsidR="00795A91" w:rsidRPr="00461C16" w:rsidRDefault="00795A91" w:rsidP="000A5DB6">
      <w:pPr>
        <w:autoSpaceDE w:val="0"/>
        <w:autoSpaceDN w:val="0"/>
        <w:adjustRightInd w:val="0"/>
        <w:spacing w:before="120" w:after="120" w:line="240" w:lineRule="auto"/>
        <w:rPr>
          <w:bCs/>
          <w:u w:val="single"/>
          <w:lang w:eastAsia="cs-CZ"/>
        </w:rPr>
      </w:pPr>
      <w:r w:rsidRPr="00461C16">
        <w:rPr>
          <w:bCs/>
          <w:u w:val="single"/>
          <w:lang w:eastAsia="cs-CZ"/>
        </w:rPr>
        <w:t xml:space="preserve">ROS1 Rozvojová osa I. </w:t>
      </w:r>
      <w:r w:rsidRPr="00461C16">
        <w:rPr>
          <w:rFonts w:cs="TimesNewRoman,Bold"/>
          <w:bCs/>
          <w:u w:val="single"/>
          <w:lang w:eastAsia="cs-CZ"/>
        </w:rPr>
        <w:t>ř</w:t>
      </w:r>
      <w:r w:rsidRPr="00461C16">
        <w:rPr>
          <w:bCs/>
          <w:u w:val="single"/>
          <w:lang w:eastAsia="cs-CZ"/>
        </w:rPr>
        <w:t xml:space="preserve">ádu – republikového významu - Praha - hranice kraje - Turnov -Liberec - Bílý Kostel nad Nisou - Hrádek nad Nisou - hranice </w:t>
      </w:r>
      <w:r w:rsidRPr="00461C16">
        <w:rPr>
          <w:rFonts w:cs="TimesNewRoman,Bold"/>
          <w:bCs/>
          <w:u w:val="single"/>
          <w:lang w:eastAsia="cs-CZ"/>
        </w:rPr>
        <w:t>Č</w:t>
      </w:r>
      <w:r w:rsidRPr="00461C16">
        <w:rPr>
          <w:bCs/>
          <w:u w:val="single"/>
          <w:lang w:eastAsia="cs-CZ"/>
        </w:rPr>
        <w:t>R / N</w:t>
      </w:r>
      <w:r w:rsidRPr="00461C16">
        <w:rPr>
          <w:rFonts w:cs="TimesNewRoman,Bold"/>
          <w:bCs/>
          <w:u w:val="single"/>
          <w:lang w:eastAsia="cs-CZ"/>
        </w:rPr>
        <w:t>ě</w:t>
      </w:r>
      <w:r w:rsidRPr="00461C16">
        <w:rPr>
          <w:bCs/>
          <w:u w:val="single"/>
          <w:lang w:eastAsia="cs-CZ"/>
        </w:rPr>
        <w:t>mecko, Polsko</w:t>
      </w:r>
      <w:r w:rsidRPr="00461C16">
        <w:rPr>
          <w:u w:val="single"/>
          <w:lang w:eastAsia="cs-CZ"/>
        </w:rPr>
        <w:t xml:space="preserve"> </w:t>
      </w:r>
    </w:p>
    <w:p w14:paraId="6B9D10D8"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Do rozvojových p</w:t>
      </w:r>
      <w:r w:rsidRPr="00461C16">
        <w:rPr>
          <w:rFonts w:cs="TimesNewRoman"/>
          <w:lang w:eastAsia="cs-CZ"/>
        </w:rPr>
        <w:t>ř</w:t>
      </w:r>
      <w:r w:rsidRPr="00461C16">
        <w:rPr>
          <w:lang w:eastAsia="cs-CZ"/>
        </w:rPr>
        <w:t>edpoklad</w:t>
      </w:r>
      <w:r w:rsidRPr="00461C16">
        <w:rPr>
          <w:rFonts w:cs="TimesNewRoman"/>
          <w:lang w:eastAsia="cs-CZ"/>
        </w:rPr>
        <w:t xml:space="preserve">ů </w:t>
      </w:r>
      <w:r w:rsidRPr="00461C16">
        <w:rPr>
          <w:lang w:eastAsia="cs-CZ"/>
        </w:rPr>
        <w:t>dot</w:t>
      </w:r>
      <w:r w:rsidRPr="00461C16">
        <w:rPr>
          <w:rFonts w:cs="TimesNewRoman"/>
          <w:lang w:eastAsia="cs-CZ"/>
        </w:rPr>
        <w:t>č</w:t>
      </w:r>
      <w:r w:rsidRPr="00461C16">
        <w:rPr>
          <w:lang w:eastAsia="cs-CZ"/>
        </w:rPr>
        <w:t>ených obcí zahrnovat p</w:t>
      </w:r>
      <w:r w:rsidRPr="00461C16">
        <w:rPr>
          <w:rFonts w:cs="TimesNewRoman"/>
          <w:lang w:eastAsia="cs-CZ"/>
        </w:rPr>
        <w:t>ř</w:t>
      </w:r>
      <w:r w:rsidRPr="00461C16">
        <w:rPr>
          <w:lang w:eastAsia="cs-CZ"/>
        </w:rPr>
        <w:t>eshrani</w:t>
      </w:r>
      <w:r w:rsidRPr="00461C16">
        <w:rPr>
          <w:rFonts w:cs="TimesNewRoman"/>
          <w:lang w:eastAsia="cs-CZ"/>
        </w:rPr>
        <w:t>č</w:t>
      </w:r>
      <w:r w:rsidRPr="00461C16">
        <w:rPr>
          <w:lang w:eastAsia="cs-CZ"/>
        </w:rPr>
        <w:t>ní souvislosti rozvojové osy ve specifických podmínkách okrajových území N</w:t>
      </w:r>
      <w:r w:rsidRPr="00461C16">
        <w:rPr>
          <w:rFonts w:cs="TimesNewRoman"/>
          <w:lang w:eastAsia="cs-CZ"/>
        </w:rPr>
        <w:t>ě</w:t>
      </w:r>
      <w:r w:rsidRPr="00461C16">
        <w:rPr>
          <w:lang w:eastAsia="cs-CZ"/>
        </w:rPr>
        <w:t>mecka/Sasko a Polska/Dolní Slezsko.</w:t>
      </w:r>
    </w:p>
    <w:p w14:paraId="039C26BC"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DD64C0" w:rsidRPr="00461C16">
        <w:rPr>
          <w:i/>
          <w:color w:val="000000"/>
          <w:sz w:val="22"/>
          <w:szCs w:val="22"/>
          <w:shd w:val="clear" w:color="auto" w:fill="FFFFFF"/>
        </w:rPr>
        <w:t>Rozvojové oblasti a osy republikového významu – vyhodnocení požadavku č. 47</w:t>
      </w:r>
    </w:p>
    <w:p w14:paraId="1886B2DF"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Zkvalitnit p</w:t>
      </w:r>
      <w:r w:rsidRPr="00461C16">
        <w:rPr>
          <w:rFonts w:cs="TimesNewRoman"/>
          <w:lang w:eastAsia="cs-CZ"/>
        </w:rPr>
        <w:t>ř</w:t>
      </w:r>
      <w:r w:rsidRPr="00461C16">
        <w:rPr>
          <w:lang w:eastAsia="cs-CZ"/>
        </w:rPr>
        <w:t>eshrani</w:t>
      </w:r>
      <w:r w:rsidRPr="00461C16">
        <w:rPr>
          <w:rFonts w:cs="TimesNewRoman"/>
          <w:lang w:eastAsia="cs-CZ"/>
        </w:rPr>
        <w:t>č</w:t>
      </w:r>
      <w:r w:rsidRPr="00461C16">
        <w:rPr>
          <w:lang w:eastAsia="cs-CZ"/>
        </w:rPr>
        <w:t>ní silni</w:t>
      </w:r>
      <w:r w:rsidRPr="00461C16">
        <w:rPr>
          <w:rFonts w:cs="TimesNewRoman"/>
          <w:lang w:eastAsia="cs-CZ"/>
        </w:rPr>
        <w:t>č</w:t>
      </w:r>
      <w:r w:rsidRPr="00461C16">
        <w:rPr>
          <w:lang w:eastAsia="cs-CZ"/>
        </w:rPr>
        <w:t>ní a železni</w:t>
      </w:r>
      <w:r w:rsidRPr="00461C16">
        <w:rPr>
          <w:rFonts w:cs="TimesNewRoman"/>
          <w:lang w:eastAsia="cs-CZ"/>
        </w:rPr>
        <w:t>č</w:t>
      </w:r>
      <w:r w:rsidRPr="00461C16">
        <w:rPr>
          <w:lang w:eastAsia="cs-CZ"/>
        </w:rPr>
        <w:t>ní spojení pro všechny druhy dopravy do N</w:t>
      </w:r>
      <w:r w:rsidRPr="00461C16">
        <w:rPr>
          <w:rFonts w:cs="TimesNewRoman"/>
          <w:lang w:eastAsia="cs-CZ"/>
        </w:rPr>
        <w:t>ě</w:t>
      </w:r>
      <w:r w:rsidRPr="00461C16">
        <w:rPr>
          <w:lang w:eastAsia="cs-CZ"/>
        </w:rPr>
        <w:t>mecka a Polska.</w:t>
      </w:r>
    </w:p>
    <w:p w14:paraId="0288CDD0" w14:textId="77777777" w:rsidR="00944655" w:rsidRPr="00461C16" w:rsidRDefault="004A16CA" w:rsidP="00944655">
      <w:pPr>
        <w:pStyle w:val="BodyText"/>
        <w:spacing w:before="120" w:after="120"/>
        <w:rPr>
          <w:i/>
          <w:sz w:val="22"/>
          <w:szCs w:val="22"/>
        </w:rPr>
      </w:pPr>
      <w:r w:rsidRPr="00461C16">
        <w:rPr>
          <w:i/>
          <w:color w:val="000000"/>
          <w:sz w:val="22"/>
          <w:szCs w:val="22"/>
          <w:shd w:val="clear" w:color="auto" w:fill="FFFFFF"/>
        </w:rPr>
        <w:t xml:space="preserve">S cílem vytvoření podmínek pro zlepšení dostupnosti Hrádku nad Nisou po železnici a zlepšení přeshraničních dopravních vazeb vymezuje ÚP koridor </w:t>
      </w:r>
      <w:r w:rsidR="00680440" w:rsidRPr="00461C16">
        <w:rPr>
          <w:i/>
          <w:color w:val="000000"/>
          <w:sz w:val="22"/>
          <w:szCs w:val="22"/>
          <w:shd w:val="clear" w:color="auto" w:fill="FFFFFF"/>
        </w:rPr>
        <w:t>drážní</w:t>
      </w:r>
      <w:r w:rsidRPr="00461C16">
        <w:rPr>
          <w:i/>
          <w:color w:val="000000"/>
          <w:sz w:val="22"/>
          <w:szCs w:val="22"/>
          <w:shd w:val="clear" w:color="auto" w:fill="FFFFFF"/>
        </w:rPr>
        <w:t xml:space="preserve"> dopravy X01 pro optimalizaci a elektrizaci železniční trati č. 089. Dopravní spojení silniční je na dobré úrovni bez nutnosti zásadních změn.</w:t>
      </w:r>
    </w:p>
    <w:p w14:paraId="554C4BE6"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Up</w:t>
      </w:r>
      <w:r w:rsidRPr="00461C16">
        <w:rPr>
          <w:rFonts w:cs="TimesNewRoman"/>
          <w:lang w:eastAsia="cs-CZ"/>
        </w:rPr>
        <w:t>ř</w:t>
      </w:r>
      <w:r w:rsidRPr="00461C16">
        <w:rPr>
          <w:lang w:eastAsia="cs-CZ"/>
        </w:rPr>
        <w:t>esnit koridory pro kapacitní dopravní tahy napojující území Libereckého kraje na významné dopravní cesty v N</w:t>
      </w:r>
      <w:r w:rsidRPr="00461C16">
        <w:rPr>
          <w:rFonts w:cs="TimesNewRoman"/>
          <w:lang w:eastAsia="cs-CZ"/>
        </w:rPr>
        <w:t>ě</w:t>
      </w:r>
      <w:r w:rsidRPr="00461C16">
        <w:rPr>
          <w:lang w:eastAsia="cs-CZ"/>
        </w:rPr>
        <w:t>mecku, vymezené v ZÚR:</w:t>
      </w:r>
    </w:p>
    <w:p w14:paraId="6B089E41" w14:textId="77777777" w:rsidR="00795A91" w:rsidRPr="00461C16" w:rsidRDefault="00795A91" w:rsidP="00427598">
      <w:pPr>
        <w:pStyle w:val="ListParagraph"/>
        <w:numPr>
          <w:ilvl w:val="0"/>
          <w:numId w:val="48"/>
        </w:numPr>
        <w:autoSpaceDE w:val="0"/>
        <w:autoSpaceDN w:val="0"/>
        <w:adjustRightInd w:val="0"/>
        <w:spacing w:before="60" w:line="240" w:lineRule="auto"/>
        <w:rPr>
          <w:lang w:eastAsia="cs-CZ"/>
        </w:rPr>
      </w:pPr>
      <w:r w:rsidRPr="00461C16">
        <w:rPr>
          <w:lang w:eastAsia="cs-CZ"/>
        </w:rPr>
        <w:t xml:space="preserve">silnice I/35 - Liberec - Bílý Kostel nad Nisou - Hrádek nad Nisou - hranice </w:t>
      </w:r>
      <w:r w:rsidRPr="00461C16">
        <w:rPr>
          <w:rFonts w:cs="TimesNewRoman"/>
          <w:lang w:eastAsia="cs-CZ"/>
        </w:rPr>
        <w:t>Č</w:t>
      </w:r>
      <w:r w:rsidRPr="00461C16">
        <w:rPr>
          <w:lang w:eastAsia="cs-CZ"/>
        </w:rPr>
        <w:t>R (Zittau),</w:t>
      </w:r>
    </w:p>
    <w:p w14:paraId="44AC2371" w14:textId="77777777" w:rsidR="00795A91" w:rsidRPr="00461C16" w:rsidRDefault="00795A91" w:rsidP="00427598">
      <w:pPr>
        <w:pStyle w:val="ListParagraph"/>
        <w:numPr>
          <w:ilvl w:val="0"/>
          <w:numId w:val="48"/>
        </w:numPr>
        <w:autoSpaceDE w:val="0"/>
        <w:autoSpaceDN w:val="0"/>
        <w:adjustRightInd w:val="0"/>
        <w:spacing w:before="60" w:line="240" w:lineRule="auto"/>
        <w:rPr>
          <w:lang w:eastAsia="cs-CZ"/>
        </w:rPr>
      </w:pPr>
      <w:r w:rsidRPr="00461C16">
        <w:rPr>
          <w:lang w:eastAsia="cs-CZ"/>
        </w:rPr>
        <w:t>železni</w:t>
      </w:r>
      <w:r w:rsidRPr="00461C16">
        <w:rPr>
          <w:rFonts w:cs="TimesNewRoman"/>
          <w:lang w:eastAsia="cs-CZ"/>
        </w:rPr>
        <w:t>č</w:t>
      </w:r>
      <w:r w:rsidRPr="00461C16">
        <w:rPr>
          <w:lang w:eastAsia="cs-CZ"/>
        </w:rPr>
        <w:t>ní tra</w:t>
      </w:r>
      <w:r w:rsidRPr="00461C16">
        <w:rPr>
          <w:rFonts w:cs="TimesNewRoman"/>
          <w:lang w:eastAsia="cs-CZ"/>
        </w:rPr>
        <w:t xml:space="preserve">ť </w:t>
      </w:r>
      <w:r w:rsidRPr="00461C16">
        <w:rPr>
          <w:lang w:eastAsia="cs-CZ"/>
        </w:rPr>
        <w:t xml:space="preserve">Liberec - Chrastava - Hrádek nad Nisou - hranice </w:t>
      </w:r>
      <w:r w:rsidRPr="00461C16">
        <w:rPr>
          <w:rFonts w:cs="TimesNewRoman"/>
          <w:lang w:eastAsia="cs-CZ"/>
        </w:rPr>
        <w:t>Č</w:t>
      </w:r>
      <w:r w:rsidRPr="00461C16">
        <w:rPr>
          <w:lang w:eastAsia="cs-CZ"/>
        </w:rPr>
        <w:t>R (Zittau).</w:t>
      </w:r>
    </w:p>
    <w:p w14:paraId="1AD87B66" w14:textId="77777777" w:rsidR="008A2736" w:rsidRPr="00461C16" w:rsidRDefault="008A2736" w:rsidP="008A2736">
      <w:pPr>
        <w:pStyle w:val="BodyText"/>
        <w:spacing w:before="120" w:after="120"/>
        <w:rPr>
          <w:i/>
          <w:color w:val="000000"/>
          <w:sz w:val="22"/>
          <w:szCs w:val="22"/>
          <w:shd w:val="clear" w:color="auto" w:fill="FFFFFF"/>
        </w:rPr>
      </w:pPr>
      <w:r w:rsidRPr="00461C16">
        <w:rPr>
          <w:i/>
          <w:color w:val="000000"/>
          <w:sz w:val="22"/>
          <w:szCs w:val="22"/>
          <w:shd w:val="clear" w:color="auto" w:fill="FFFFFF"/>
        </w:rPr>
        <w:t>Přeložka silnice I/35 byla realizována.</w:t>
      </w:r>
    </w:p>
    <w:p w14:paraId="7E02A742" w14:textId="77777777" w:rsidR="00944655" w:rsidRPr="00461C16" w:rsidRDefault="008A2736" w:rsidP="008A2736">
      <w:pPr>
        <w:pStyle w:val="BodyText"/>
        <w:spacing w:before="120" w:after="120"/>
        <w:rPr>
          <w:i/>
          <w:sz w:val="22"/>
          <w:szCs w:val="22"/>
        </w:rPr>
      </w:pPr>
      <w:r w:rsidRPr="00461C16">
        <w:rPr>
          <w:i/>
          <w:color w:val="000000"/>
          <w:sz w:val="22"/>
          <w:szCs w:val="22"/>
          <w:shd w:val="clear" w:color="auto" w:fill="FFFFFF"/>
        </w:rPr>
        <w:t>ÚP v souladu se ZÚR Libereckého kraje zpřesňuje v rámci správního území města Hrádek nad Nisou koridor železniční dopravy (DZ.k) X01 pro optimalizaci a elektrizaci železniční trati č. 089.</w:t>
      </w:r>
    </w:p>
    <w:p w14:paraId="46D77973" w14:textId="77777777" w:rsidR="00795A91"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Up</w:t>
      </w:r>
      <w:r w:rsidRPr="00461C16">
        <w:rPr>
          <w:rFonts w:cs="TimesNewRoman"/>
          <w:lang w:eastAsia="cs-CZ"/>
        </w:rPr>
        <w:t>ř</w:t>
      </w:r>
      <w:r w:rsidRPr="00461C16">
        <w:rPr>
          <w:lang w:eastAsia="cs-CZ"/>
        </w:rPr>
        <w:t>esnit vedení koridoru železni</w:t>
      </w:r>
      <w:r w:rsidRPr="00461C16">
        <w:rPr>
          <w:rFonts w:cs="TimesNewRoman"/>
          <w:lang w:eastAsia="cs-CZ"/>
        </w:rPr>
        <w:t>č</w:t>
      </w:r>
      <w:r w:rsidRPr="00461C16">
        <w:rPr>
          <w:lang w:eastAsia="cs-CZ"/>
        </w:rPr>
        <w:t>ní trat</w:t>
      </w:r>
      <w:r w:rsidRPr="00461C16">
        <w:rPr>
          <w:rFonts w:cs="TimesNewRoman"/>
          <w:lang w:eastAsia="cs-CZ"/>
        </w:rPr>
        <w:t xml:space="preserve">ě </w:t>
      </w:r>
      <w:r w:rsidRPr="00461C16">
        <w:rPr>
          <w:lang w:eastAsia="cs-CZ"/>
        </w:rPr>
        <w:t xml:space="preserve">Praha - Turnov - Liberec - Frýdlant – hranice </w:t>
      </w:r>
      <w:r w:rsidRPr="00461C16">
        <w:rPr>
          <w:rFonts w:cs="TimesNewRoman"/>
          <w:lang w:eastAsia="cs-CZ"/>
        </w:rPr>
        <w:t>Č</w:t>
      </w:r>
      <w:r w:rsidRPr="00461C16">
        <w:rPr>
          <w:lang w:eastAsia="cs-CZ"/>
        </w:rPr>
        <w:t>R (Zawidów) pro kombinovanou dopravu mezinárodního významu.</w:t>
      </w:r>
    </w:p>
    <w:p w14:paraId="535B0EF6" w14:textId="77777777" w:rsidR="00944655" w:rsidRPr="00461C16" w:rsidRDefault="003F029D" w:rsidP="00944655">
      <w:pPr>
        <w:pStyle w:val="BodyText"/>
        <w:spacing w:before="120" w:after="120"/>
        <w:rPr>
          <w:i/>
          <w:sz w:val="22"/>
          <w:szCs w:val="22"/>
        </w:rPr>
      </w:pPr>
      <w:r w:rsidRPr="00461C16">
        <w:rPr>
          <w:i/>
          <w:color w:val="000000"/>
          <w:sz w:val="22"/>
          <w:szCs w:val="22"/>
          <w:shd w:val="clear" w:color="auto" w:fill="FFFFFF"/>
        </w:rPr>
        <w:t>Mimo řešené území města Hrádek nad Nisou.</w:t>
      </w:r>
    </w:p>
    <w:p w14:paraId="6759D991" w14:textId="77777777" w:rsidR="00586A56" w:rsidRPr="00461C16" w:rsidRDefault="00795A91"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rFonts w:cs="TimesNewRoman"/>
          <w:lang w:eastAsia="cs-CZ"/>
        </w:rPr>
        <w:t>Ř</w:t>
      </w:r>
      <w:r w:rsidRPr="00461C16">
        <w:rPr>
          <w:lang w:eastAsia="cs-CZ"/>
        </w:rPr>
        <w:t>ešit územní souvislosti návaznosti koridoru modernizované železni</w:t>
      </w:r>
      <w:r w:rsidRPr="00461C16">
        <w:rPr>
          <w:rFonts w:cs="TimesNewRoman"/>
          <w:lang w:eastAsia="cs-CZ"/>
        </w:rPr>
        <w:t>č</w:t>
      </w:r>
      <w:r w:rsidRPr="00461C16">
        <w:rPr>
          <w:lang w:eastAsia="cs-CZ"/>
        </w:rPr>
        <w:t>ní trat</w:t>
      </w:r>
      <w:r w:rsidRPr="00461C16">
        <w:rPr>
          <w:rFonts w:cs="TimesNewRoman"/>
          <w:lang w:eastAsia="cs-CZ"/>
        </w:rPr>
        <w:t xml:space="preserve">ě </w:t>
      </w:r>
      <w:r w:rsidRPr="00461C16">
        <w:rPr>
          <w:lang w:eastAsia="cs-CZ"/>
        </w:rPr>
        <w:t>Turnov - Ji</w:t>
      </w:r>
      <w:r w:rsidRPr="00461C16">
        <w:rPr>
          <w:rFonts w:cs="TimesNewRoman"/>
          <w:lang w:eastAsia="cs-CZ"/>
        </w:rPr>
        <w:t>č</w:t>
      </w:r>
      <w:r w:rsidRPr="00461C16">
        <w:rPr>
          <w:lang w:eastAsia="cs-CZ"/>
        </w:rPr>
        <w:t>ín- Hradec Králové.</w:t>
      </w:r>
    </w:p>
    <w:p w14:paraId="7CFC8695" w14:textId="77777777" w:rsidR="00944655" w:rsidRPr="00461C16" w:rsidRDefault="003F029D" w:rsidP="00944655">
      <w:pPr>
        <w:pStyle w:val="BodyText"/>
        <w:spacing w:before="120" w:after="120"/>
        <w:rPr>
          <w:i/>
          <w:sz w:val="22"/>
          <w:szCs w:val="22"/>
        </w:rPr>
      </w:pPr>
      <w:r w:rsidRPr="00461C16">
        <w:rPr>
          <w:i/>
          <w:color w:val="000000"/>
          <w:sz w:val="22"/>
          <w:szCs w:val="22"/>
          <w:shd w:val="clear" w:color="auto" w:fill="FFFFFF"/>
        </w:rPr>
        <w:t xml:space="preserve">S cílem vytvoření podmínek pro zlepšení dostupnosti Hrádku nad Nisou po železnici a zlepšení přeshraničních dopravních vazeb vymezuje ÚP koridor </w:t>
      </w:r>
      <w:r w:rsidR="00680440" w:rsidRPr="00461C16">
        <w:rPr>
          <w:i/>
          <w:color w:val="000000"/>
          <w:sz w:val="22"/>
          <w:szCs w:val="22"/>
          <w:shd w:val="clear" w:color="auto" w:fill="FFFFFF"/>
        </w:rPr>
        <w:t>drážní</w:t>
      </w:r>
      <w:r w:rsidRPr="00461C16">
        <w:rPr>
          <w:i/>
          <w:color w:val="000000"/>
          <w:sz w:val="22"/>
          <w:szCs w:val="22"/>
          <w:shd w:val="clear" w:color="auto" w:fill="FFFFFF"/>
        </w:rPr>
        <w:t xml:space="preserve"> dopravy X01 pro optimalizaci a elektrizaci železniční trati č. 089.</w:t>
      </w:r>
    </w:p>
    <w:p w14:paraId="7EC40C71" w14:textId="77777777" w:rsidR="00586A56" w:rsidRPr="00461C16" w:rsidRDefault="00586A5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Vytvá</w:t>
      </w:r>
      <w:r w:rsidRPr="00461C16">
        <w:rPr>
          <w:rFonts w:cs="TimesNewRoman"/>
          <w:lang w:eastAsia="cs-CZ"/>
        </w:rPr>
        <w:t>ř</w:t>
      </w:r>
      <w:r w:rsidRPr="00461C16">
        <w:rPr>
          <w:lang w:eastAsia="cs-CZ"/>
        </w:rPr>
        <w:t>et územní podmínky pro vznik ve</w:t>
      </w:r>
      <w:r w:rsidRPr="00461C16">
        <w:rPr>
          <w:rFonts w:cs="TimesNewRoman"/>
          <w:lang w:eastAsia="cs-CZ"/>
        </w:rPr>
        <w:t>ř</w:t>
      </w:r>
      <w:r w:rsidRPr="00461C16">
        <w:rPr>
          <w:lang w:eastAsia="cs-CZ"/>
        </w:rPr>
        <w:t>ejného logistického centra (VLC) napojeného na železni</w:t>
      </w:r>
      <w:r w:rsidRPr="00461C16">
        <w:rPr>
          <w:rFonts w:cs="TimesNewRoman"/>
          <w:lang w:eastAsia="cs-CZ"/>
        </w:rPr>
        <w:t>č</w:t>
      </w:r>
      <w:r w:rsidRPr="00461C16">
        <w:rPr>
          <w:lang w:eastAsia="cs-CZ"/>
        </w:rPr>
        <w:t>ní, silni</w:t>
      </w:r>
      <w:r w:rsidRPr="00461C16">
        <w:rPr>
          <w:rFonts w:cs="TimesNewRoman"/>
          <w:lang w:eastAsia="cs-CZ"/>
        </w:rPr>
        <w:t>č</w:t>
      </w:r>
      <w:r w:rsidRPr="00461C16">
        <w:rPr>
          <w:lang w:eastAsia="cs-CZ"/>
        </w:rPr>
        <w:t>ní a p</w:t>
      </w:r>
      <w:r w:rsidRPr="00461C16">
        <w:rPr>
          <w:rFonts w:cs="TimesNewRoman"/>
          <w:lang w:eastAsia="cs-CZ"/>
        </w:rPr>
        <w:t>ř</w:t>
      </w:r>
      <w:r w:rsidRPr="00461C16">
        <w:rPr>
          <w:lang w:eastAsia="cs-CZ"/>
        </w:rPr>
        <w:t>ípadn</w:t>
      </w:r>
      <w:r w:rsidRPr="00461C16">
        <w:rPr>
          <w:rFonts w:cs="TimesNewRoman"/>
          <w:lang w:eastAsia="cs-CZ"/>
        </w:rPr>
        <w:t xml:space="preserve">ě </w:t>
      </w:r>
      <w:r w:rsidRPr="00461C16">
        <w:rPr>
          <w:lang w:eastAsia="cs-CZ"/>
        </w:rPr>
        <w:t>i leteckou dopravu za ú</w:t>
      </w:r>
      <w:r w:rsidRPr="00461C16">
        <w:rPr>
          <w:rFonts w:cs="TimesNewRoman"/>
          <w:lang w:eastAsia="cs-CZ"/>
        </w:rPr>
        <w:t>č</w:t>
      </w:r>
      <w:r w:rsidRPr="00461C16">
        <w:rPr>
          <w:lang w:eastAsia="cs-CZ"/>
        </w:rPr>
        <w:t>elem poskytování širokého spektra logistických služeb v rámci zapojení do evropské sít</w:t>
      </w:r>
      <w:r w:rsidRPr="00461C16">
        <w:rPr>
          <w:rFonts w:cs="TimesNewRoman"/>
          <w:lang w:eastAsia="cs-CZ"/>
        </w:rPr>
        <w:t xml:space="preserve">ě </w:t>
      </w:r>
      <w:r w:rsidRPr="00461C16">
        <w:rPr>
          <w:lang w:eastAsia="cs-CZ"/>
        </w:rPr>
        <w:t>VLC.</w:t>
      </w:r>
    </w:p>
    <w:p w14:paraId="421E573E" w14:textId="77777777" w:rsidR="00944655" w:rsidRPr="00461C16" w:rsidRDefault="00DD64C0" w:rsidP="00944655">
      <w:pPr>
        <w:pStyle w:val="BodyText"/>
        <w:spacing w:before="120" w:after="120"/>
        <w:rPr>
          <w:i/>
          <w:sz w:val="22"/>
          <w:szCs w:val="22"/>
        </w:rPr>
      </w:pPr>
      <w:r w:rsidRPr="00461C16">
        <w:rPr>
          <w:i/>
          <w:sz w:val="22"/>
          <w:szCs w:val="22"/>
        </w:rPr>
        <w:t>Mimo řešené území.</w:t>
      </w:r>
    </w:p>
    <w:p w14:paraId="2105B9AC" w14:textId="77777777" w:rsidR="00586A56" w:rsidRPr="00461C16" w:rsidRDefault="00586A5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Zkvalit</w:t>
      </w:r>
      <w:r w:rsidRPr="00461C16">
        <w:rPr>
          <w:rFonts w:cs="TimesNewRoman"/>
          <w:lang w:eastAsia="cs-CZ"/>
        </w:rPr>
        <w:t>ň</w:t>
      </w:r>
      <w:r w:rsidRPr="00461C16">
        <w:rPr>
          <w:lang w:eastAsia="cs-CZ"/>
        </w:rPr>
        <w:t>ovat systémy ve</w:t>
      </w:r>
      <w:r w:rsidRPr="00461C16">
        <w:rPr>
          <w:rFonts w:cs="TimesNewRoman"/>
          <w:lang w:eastAsia="cs-CZ"/>
        </w:rPr>
        <w:t>ř</w:t>
      </w:r>
      <w:r w:rsidRPr="00461C16">
        <w:rPr>
          <w:lang w:eastAsia="cs-CZ"/>
        </w:rPr>
        <w:t>ejné dopravy, zohlednit Projekt spole</w:t>
      </w:r>
      <w:r w:rsidRPr="00461C16">
        <w:rPr>
          <w:rFonts w:cs="TimesNewRoman"/>
          <w:lang w:eastAsia="cs-CZ"/>
        </w:rPr>
        <w:t>č</w:t>
      </w:r>
      <w:r w:rsidRPr="00461C16">
        <w:rPr>
          <w:lang w:eastAsia="cs-CZ"/>
        </w:rPr>
        <w:t>ného využití železni</w:t>
      </w:r>
      <w:r w:rsidRPr="00461C16">
        <w:rPr>
          <w:rFonts w:cs="TimesNewRoman"/>
          <w:lang w:eastAsia="cs-CZ"/>
        </w:rPr>
        <w:t>č</w:t>
      </w:r>
      <w:r w:rsidRPr="00461C16">
        <w:rPr>
          <w:lang w:eastAsia="cs-CZ"/>
        </w:rPr>
        <w:t>ních a tramvajových tratí.</w:t>
      </w:r>
    </w:p>
    <w:p w14:paraId="73B0AE48" w14:textId="77777777" w:rsidR="00944655" w:rsidRPr="00461C16" w:rsidRDefault="003F029D" w:rsidP="00944655">
      <w:pPr>
        <w:pStyle w:val="BodyText"/>
        <w:spacing w:before="120" w:after="120"/>
        <w:rPr>
          <w:i/>
          <w:sz w:val="22"/>
          <w:szCs w:val="22"/>
        </w:rPr>
      </w:pPr>
      <w:r w:rsidRPr="00461C16">
        <w:rPr>
          <w:i/>
          <w:color w:val="000000"/>
          <w:sz w:val="22"/>
          <w:szCs w:val="22"/>
          <w:shd w:val="clear" w:color="auto" w:fill="FFFFFF"/>
        </w:rPr>
        <w:lastRenderedPageBreak/>
        <w:t xml:space="preserve">S cílem vytvoření podmínek pro zlepšení dostupnosti Hrádku nad Nisou po železnici a zlepšení přeshraničních dopravních vazeb vymezuje ÚP koridor </w:t>
      </w:r>
      <w:r w:rsidR="00680440" w:rsidRPr="00461C16">
        <w:rPr>
          <w:i/>
          <w:color w:val="000000"/>
          <w:sz w:val="22"/>
          <w:szCs w:val="22"/>
          <w:shd w:val="clear" w:color="auto" w:fill="FFFFFF"/>
        </w:rPr>
        <w:t>drážní</w:t>
      </w:r>
      <w:r w:rsidRPr="00461C16">
        <w:rPr>
          <w:i/>
          <w:color w:val="000000"/>
          <w:sz w:val="22"/>
          <w:szCs w:val="22"/>
          <w:shd w:val="clear" w:color="auto" w:fill="FFFFFF"/>
        </w:rPr>
        <w:t xml:space="preserve"> dopravy X01 pro optimalizaci a elektrizaci železniční trati č. 089.</w:t>
      </w:r>
    </w:p>
    <w:p w14:paraId="5C1B0634" w14:textId="77777777" w:rsidR="00586A56" w:rsidRPr="00461C16" w:rsidRDefault="00586A5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 rámci rozvojové osy vytvá</w:t>
      </w:r>
      <w:r w:rsidRPr="00461C16">
        <w:rPr>
          <w:rFonts w:cs="TimesNewRoman"/>
          <w:lang w:eastAsia="cs-CZ"/>
        </w:rPr>
        <w:t>ř</w:t>
      </w:r>
      <w:r w:rsidRPr="00461C16">
        <w:rPr>
          <w:lang w:eastAsia="cs-CZ"/>
        </w:rPr>
        <w:t>et územní podmínky pro rozvoj cyklodopravy.</w:t>
      </w:r>
    </w:p>
    <w:p w14:paraId="13C9D116" w14:textId="77777777" w:rsidR="00944655" w:rsidRPr="00461C16" w:rsidRDefault="002E37ED" w:rsidP="003F029D">
      <w:pPr>
        <w:pStyle w:val="BodyText"/>
        <w:spacing w:before="120" w:after="120"/>
        <w:rPr>
          <w:i/>
          <w:sz w:val="22"/>
          <w:szCs w:val="22"/>
        </w:rPr>
      </w:pPr>
      <w:r w:rsidRPr="00461C16">
        <w:rPr>
          <w:i/>
          <w:color w:val="000000"/>
          <w:sz w:val="22"/>
          <w:szCs w:val="22"/>
          <w:shd w:val="clear" w:color="auto" w:fill="FFFFFF"/>
        </w:rPr>
        <w:t xml:space="preserve">Koncepce ÚP vytváří předpoklady pro podporu cykloturistiky zejména stanovením zásad rozvoje pěší a cyklistické dopravy na území města </w:t>
      </w:r>
      <w:r w:rsidRPr="005F2F04">
        <w:rPr>
          <w:i/>
          <w:color w:val="000000"/>
          <w:sz w:val="22"/>
          <w:szCs w:val="22"/>
          <w:shd w:val="clear" w:color="auto" w:fill="FFFFFF"/>
        </w:rPr>
        <w:t>Hrádek nad Nisou, stabilizováním stávajících cyklostezek a značených cyklotras a vymezením cyklotrasy Odra-Nisa.</w:t>
      </w:r>
    </w:p>
    <w:p w14:paraId="4066E473" w14:textId="77777777" w:rsidR="00586A56" w:rsidRPr="00461C16" w:rsidRDefault="00586A5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Koordinovat plánovací a rozvojové aktivity se sousedním St</w:t>
      </w:r>
      <w:r w:rsidRPr="00461C16">
        <w:rPr>
          <w:rFonts w:cs="TimesNewRoman"/>
          <w:lang w:eastAsia="cs-CZ"/>
        </w:rPr>
        <w:t>ř</w:t>
      </w:r>
      <w:r w:rsidRPr="00461C16">
        <w:rPr>
          <w:lang w:eastAsia="cs-CZ"/>
        </w:rPr>
        <w:t>edo</w:t>
      </w:r>
      <w:r w:rsidRPr="00461C16">
        <w:rPr>
          <w:rFonts w:cs="TimesNewRoman"/>
          <w:lang w:eastAsia="cs-CZ"/>
        </w:rPr>
        <w:t>č</w:t>
      </w:r>
      <w:r w:rsidRPr="00461C16">
        <w:rPr>
          <w:lang w:eastAsia="cs-CZ"/>
        </w:rPr>
        <w:t>eským krajem a sousedními regiony N</w:t>
      </w:r>
      <w:r w:rsidRPr="00461C16">
        <w:rPr>
          <w:rFonts w:cs="TimesNewRoman"/>
          <w:lang w:eastAsia="cs-CZ"/>
        </w:rPr>
        <w:t>ě</w:t>
      </w:r>
      <w:r w:rsidRPr="00461C16">
        <w:rPr>
          <w:lang w:eastAsia="cs-CZ"/>
        </w:rPr>
        <w:t>mecko - Sasko a Polsko - Dolní Slezsko.</w:t>
      </w:r>
    </w:p>
    <w:p w14:paraId="4656F71A" w14:textId="77777777" w:rsidR="00944655" w:rsidRPr="00461C16" w:rsidRDefault="00A73B40" w:rsidP="00944655">
      <w:pPr>
        <w:pStyle w:val="BodyText"/>
        <w:spacing w:before="120" w:after="120"/>
        <w:rPr>
          <w:i/>
          <w:sz w:val="22"/>
          <w:szCs w:val="22"/>
        </w:rPr>
      </w:pPr>
      <w:r w:rsidRPr="00461C16">
        <w:rPr>
          <w:i/>
          <w:color w:val="000000"/>
          <w:sz w:val="22"/>
          <w:szCs w:val="22"/>
          <w:shd w:val="clear" w:color="auto" w:fill="FFFFFF"/>
        </w:rPr>
        <w:t xml:space="preserve">viz kap. 1.2.2 </w:t>
      </w:r>
      <w:r w:rsidR="00DD64C0" w:rsidRPr="00461C16">
        <w:rPr>
          <w:i/>
          <w:color w:val="000000"/>
          <w:sz w:val="22"/>
          <w:szCs w:val="22"/>
          <w:shd w:val="clear" w:color="auto" w:fill="FFFFFF"/>
        </w:rPr>
        <w:t>Rozvojové oblasti a osy republikového významu – vyhodnocení požadavku č. 55</w:t>
      </w:r>
    </w:p>
    <w:p w14:paraId="11528CCB" w14:textId="77777777" w:rsidR="00586A56" w:rsidRPr="00461C16" w:rsidRDefault="00586A5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Vymezit nové zastavitelné plochy v ÚP Hrádek nad Nisou tak, aby harmonicky navazovaly na stávající urbanistickou strukturu obce a nenarušily stávající urbanistickou kompozici obce. Respektovat v ÚP Hrádek nad Nisou</w:t>
      </w:r>
      <w:r w:rsidR="00B345B4" w:rsidRPr="00461C16">
        <w:rPr>
          <w:lang w:eastAsia="cs-CZ"/>
        </w:rPr>
        <w:t xml:space="preserve"> </w:t>
      </w:r>
      <w:r w:rsidRPr="00461C16">
        <w:rPr>
          <w:lang w:eastAsia="cs-CZ"/>
        </w:rPr>
        <w:t>stávající urbanistickou koncepci, dopravní, ob</w:t>
      </w:r>
      <w:r w:rsidRPr="00461C16">
        <w:rPr>
          <w:rFonts w:cs="TimesNewRoman"/>
          <w:lang w:eastAsia="cs-CZ"/>
        </w:rPr>
        <w:t>č</w:t>
      </w:r>
      <w:r w:rsidRPr="00461C16">
        <w:rPr>
          <w:lang w:eastAsia="cs-CZ"/>
        </w:rPr>
        <w:t xml:space="preserve">anské a technické vybavení </w:t>
      </w:r>
      <w:r w:rsidRPr="00461C16">
        <w:rPr>
          <w:rFonts w:cs="TimesNewRoman"/>
          <w:lang w:eastAsia="cs-CZ"/>
        </w:rPr>
        <w:t>ř</w:t>
      </w:r>
      <w:r w:rsidRPr="00461C16">
        <w:rPr>
          <w:lang w:eastAsia="cs-CZ"/>
        </w:rPr>
        <w:t>ešeného území.</w:t>
      </w:r>
    </w:p>
    <w:p w14:paraId="26F01440" w14:textId="77777777" w:rsidR="00944655" w:rsidRPr="00461C16" w:rsidRDefault="00586A56" w:rsidP="00F22794">
      <w:pPr>
        <w:pStyle w:val="ListParagraph"/>
        <w:autoSpaceDE w:val="0"/>
        <w:autoSpaceDN w:val="0"/>
        <w:adjustRightInd w:val="0"/>
        <w:spacing w:before="120" w:after="120" w:line="240" w:lineRule="auto"/>
        <w:ind w:left="567"/>
        <w:rPr>
          <w:lang w:eastAsia="cs-CZ"/>
        </w:rPr>
      </w:pPr>
      <w:r w:rsidRPr="00461C16">
        <w:rPr>
          <w:lang w:eastAsia="cs-CZ"/>
        </w:rPr>
        <w:t xml:space="preserve">S ohledem na obnovu a rozvoj sídelní struktury </w:t>
      </w:r>
      <w:r w:rsidR="00D653AD" w:rsidRPr="00461C16">
        <w:rPr>
          <w:lang w:eastAsia="cs-CZ"/>
        </w:rPr>
        <w:t>vymezit zastavitelné plochy</w:t>
      </w:r>
      <w:r w:rsidRPr="00461C16">
        <w:rPr>
          <w:lang w:eastAsia="cs-CZ"/>
        </w:rPr>
        <w:t xml:space="preserve"> (blíže specifikovaných v kap. c) a e) zadání) zejména pro bydlení, ob</w:t>
      </w:r>
      <w:r w:rsidRPr="00461C16">
        <w:rPr>
          <w:rFonts w:cs="TimesNewRoman"/>
          <w:lang w:eastAsia="cs-CZ"/>
        </w:rPr>
        <w:t>č</w:t>
      </w:r>
      <w:r w:rsidRPr="00461C16">
        <w:rPr>
          <w:lang w:eastAsia="cs-CZ"/>
        </w:rPr>
        <w:t>anské vybavení, sportu a rekreace, výrobu, dopravní infrastrukturu, plošnou technickou infrastrukturu, rekreaci a dle potřeby ploch přestavby.</w:t>
      </w:r>
    </w:p>
    <w:p w14:paraId="6345A02F" w14:textId="77777777" w:rsidR="00944655" w:rsidRPr="00461C16" w:rsidRDefault="00DD64C0" w:rsidP="00944655">
      <w:pPr>
        <w:pStyle w:val="BodyText"/>
        <w:spacing w:before="120" w:after="120"/>
        <w:rPr>
          <w:i/>
          <w:sz w:val="22"/>
          <w:szCs w:val="22"/>
        </w:rPr>
      </w:pPr>
      <w:r w:rsidRPr="00461C16">
        <w:rPr>
          <w:i/>
          <w:color w:val="000000"/>
          <w:sz w:val="22"/>
          <w:szCs w:val="22"/>
          <w:shd w:val="clear" w:color="auto" w:fill="FFFFFF"/>
        </w:rPr>
        <w:t xml:space="preserve">Koncepce ÚP respektuje urbanistickou strukturu území a jeho hodnoty. Nové plochy využívají prostorové rezervy v zastavěném území nebo jsou vymezeny v návaznosti na jeho hranici. Pro novou výstavbu i přestavby či dostavby jsou stanoveny podmínky respektování objemového a materiálového řešení okolní zástavby (kap. B.3 ÚP), další ochranu zajišťují podmínky prostorového uspořádání – struktura a výška zástavby (kap. F.2 ÚP). </w:t>
      </w:r>
    </w:p>
    <w:p w14:paraId="011F091D" w14:textId="77777777" w:rsidR="00586A56" w:rsidRPr="00461C16" w:rsidRDefault="00586A5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Stanovit základní regulativy zástavby pro jednotlivé lokality (např. minimální výměra pozemku, výškové regulace zástavby, koeficient zastavění pozemku, minimální koeficient zeleně apod.) a to především s ohledem na stávající zástavbu, stávající urbanistickou strukturu jednotlivých částí obce, umístění nemovitých kulturních památek, architektonicky cenných staveb a na ochranu přírodních hodnot.</w:t>
      </w:r>
    </w:p>
    <w:p w14:paraId="1EAD4F71" w14:textId="77777777" w:rsidR="00944655" w:rsidRPr="00461C16" w:rsidRDefault="00DD64C0" w:rsidP="00944655">
      <w:pPr>
        <w:pStyle w:val="BodyText"/>
        <w:spacing w:before="120" w:after="120"/>
        <w:rPr>
          <w:i/>
          <w:color w:val="000000"/>
          <w:sz w:val="22"/>
          <w:szCs w:val="22"/>
          <w:shd w:val="clear" w:color="auto" w:fill="FFFFFF"/>
        </w:rPr>
      </w:pPr>
      <w:r w:rsidRPr="00461C16">
        <w:rPr>
          <w:i/>
          <w:color w:val="000000"/>
          <w:sz w:val="22"/>
          <w:szCs w:val="22"/>
          <w:shd w:val="clear" w:color="auto" w:fill="FFFFFF"/>
        </w:rPr>
        <w:t>Jsou stanoveny podrobnější podmínky prostorového uspořádání (kap. F.2 ÚP) v rozsahu struktury zástavby</w:t>
      </w:r>
      <w:r w:rsidR="00287E1E">
        <w:rPr>
          <w:i/>
          <w:color w:val="000000"/>
          <w:sz w:val="22"/>
          <w:szCs w:val="22"/>
          <w:shd w:val="clear" w:color="auto" w:fill="FFFFFF"/>
        </w:rPr>
        <w:t>,</w:t>
      </w:r>
      <w:r w:rsidRPr="00461C16">
        <w:rPr>
          <w:i/>
          <w:color w:val="000000"/>
          <w:sz w:val="22"/>
          <w:szCs w:val="22"/>
          <w:shd w:val="clear" w:color="auto" w:fill="FFFFFF"/>
        </w:rPr>
        <w:t xml:space="preserve">  maximální výšky</w:t>
      </w:r>
      <w:r w:rsidR="00287E1E">
        <w:rPr>
          <w:i/>
          <w:color w:val="000000"/>
          <w:sz w:val="22"/>
          <w:szCs w:val="22"/>
          <w:shd w:val="clear" w:color="auto" w:fill="FFFFFF"/>
        </w:rPr>
        <w:t xml:space="preserve"> a koeficientu zeleně</w:t>
      </w:r>
      <w:r w:rsidRPr="00461C16">
        <w:rPr>
          <w:i/>
          <w:color w:val="000000"/>
          <w:sz w:val="22"/>
          <w:szCs w:val="22"/>
          <w:shd w:val="clear" w:color="auto" w:fill="FFFFFF"/>
        </w:rPr>
        <w:t>. Tyto podmínky zohledňují stávající charakter navazující zástavby, stejně jako stávající a uvažovaný způsob využití území.</w:t>
      </w:r>
    </w:p>
    <w:p w14:paraId="79CD547A" w14:textId="77777777" w:rsidR="00DD64C0" w:rsidRPr="00461C16" w:rsidRDefault="00DD64C0" w:rsidP="00944655">
      <w:pPr>
        <w:pStyle w:val="BodyText"/>
        <w:spacing w:before="120" w:after="120"/>
        <w:rPr>
          <w:i/>
          <w:sz w:val="22"/>
          <w:szCs w:val="22"/>
        </w:rPr>
      </w:pPr>
      <w:r w:rsidRPr="00461C16">
        <w:rPr>
          <w:i/>
          <w:color w:val="000000"/>
          <w:sz w:val="22"/>
          <w:szCs w:val="22"/>
          <w:shd w:val="clear" w:color="auto" w:fill="FFFFFF"/>
        </w:rPr>
        <w:t>Koncepce ÚP zohledňuje veškeré hodnoty území (přírodní, kulturní, civilizační) a stanovuje obecné podmínky pro jejich ochranu – viz kap. B.2 – B.4 ÚP.</w:t>
      </w:r>
    </w:p>
    <w:p w14:paraId="552EBB07" w14:textId="77777777" w:rsidR="00586A56" w:rsidRPr="00461C16" w:rsidRDefault="00586A56"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P</w:t>
      </w:r>
      <w:r w:rsidRPr="00461C16">
        <w:rPr>
          <w:rFonts w:cs="TimesNewRoman"/>
          <w:lang w:eastAsia="cs-CZ"/>
        </w:rPr>
        <w:t>ř</w:t>
      </w:r>
      <w:r w:rsidRPr="00461C16">
        <w:rPr>
          <w:lang w:eastAsia="cs-CZ"/>
        </w:rPr>
        <w:t>ípadné plochy p</w:t>
      </w:r>
      <w:r w:rsidRPr="00461C16">
        <w:rPr>
          <w:rFonts w:cs="TimesNewRoman"/>
          <w:lang w:eastAsia="cs-CZ"/>
        </w:rPr>
        <w:t>ř</w:t>
      </w:r>
      <w:r w:rsidRPr="00461C16">
        <w:rPr>
          <w:lang w:eastAsia="cs-CZ"/>
        </w:rPr>
        <w:t xml:space="preserve">estavby navrhovat s ohledem na obnovu a rozvoj sídelní struktury nebo rozvojové osy tak, aby nedošlo k narušení stávající urbanistické struktury a urbanistické kompozice jednotlivých </w:t>
      </w:r>
      <w:r w:rsidRPr="00461C16">
        <w:rPr>
          <w:rFonts w:cs="TimesNewRoman"/>
          <w:lang w:eastAsia="cs-CZ"/>
        </w:rPr>
        <w:t>č</w:t>
      </w:r>
      <w:r w:rsidRPr="00461C16">
        <w:rPr>
          <w:lang w:eastAsia="cs-CZ"/>
        </w:rPr>
        <w:t>ástí obce.</w:t>
      </w:r>
    </w:p>
    <w:p w14:paraId="7CC9D095" w14:textId="77777777" w:rsidR="00233B2C" w:rsidRPr="00461C16" w:rsidRDefault="00DD64C0" w:rsidP="00233B2C">
      <w:pPr>
        <w:autoSpaceDE w:val="0"/>
        <w:autoSpaceDN w:val="0"/>
        <w:adjustRightInd w:val="0"/>
        <w:spacing w:before="120" w:line="240" w:lineRule="auto"/>
        <w:rPr>
          <w:i/>
          <w:lang w:eastAsia="cs-CZ"/>
        </w:rPr>
      </w:pPr>
      <w:r w:rsidRPr="00461C16">
        <w:rPr>
          <w:i/>
          <w:lang w:eastAsia="cs-CZ"/>
        </w:rPr>
        <w:t>viz vyhodnocení požadavku č. 312</w:t>
      </w:r>
    </w:p>
    <w:p w14:paraId="6553EA8C" w14:textId="77777777" w:rsidR="00651FA3" w:rsidRPr="00461C16" w:rsidRDefault="00651FA3" w:rsidP="00651FA3">
      <w:pPr>
        <w:pStyle w:val="Heading2"/>
        <w:rPr>
          <w:lang w:eastAsia="cs-CZ"/>
        </w:rPr>
      </w:pPr>
      <w:bookmarkStart w:id="71" w:name="_Toc36116270"/>
      <w:r w:rsidRPr="00461C16">
        <w:rPr>
          <w:lang w:eastAsia="cs-CZ"/>
        </w:rPr>
        <w:t>3.</w:t>
      </w:r>
      <w:r w:rsidR="00DB69F2" w:rsidRPr="00461C16">
        <w:rPr>
          <w:lang w:eastAsia="cs-CZ"/>
        </w:rPr>
        <w:t>11</w:t>
      </w:r>
      <w:r w:rsidRPr="00461C16">
        <w:rPr>
          <w:lang w:eastAsia="cs-CZ"/>
        </w:rPr>
        <w:t xml:space="preserve"> Požadavky na vymezení ploch a koridorů</w:t>
      </w:r>
      <w:r w:rsidR="00D418B7" w:rsidRPr="00461C16">
        <w:rPr>
          <w:lang w:eastAsia="cs-CZ"/>
        </w:rPr>
        <w:t>, ve kterých bude uloženo prověření změn jejich využití územní studií</w:t>
      </w:r>
      <w:bookmarkEnd w:id="71"/>
    </w:p>
    <w:p w14:paraId="5F59F7F7" w14:textId="77777777" w:rsidR="00B61A02" w:rsidRPr="00461C16" w:rsidRDefault="00B61A02" w:rsidP="00A06EB9">
      <w:pPr>
        <w:pStyle w:val="ListParagraph"/>
        <w:numPr>
          <w:ilvl w:val="0"/>
          <w:numId w:val="97"/>
        </w:numPr>
        <w:autoSpaceDE w:val="0"/>
        <w:autoSpaceDN w:val="0"/>
        <w:adjustRightInd w:val="0"/>
        <w:spacing w:before="240" w:line="240" w:lineRule="auto"/>
        <w:ind w:left="567" w:hanging="567"/>
        <w:rPr>
          <w:lang w:eastAsia="cs-CZ"/>
        </w:rPr>
      </w:pPr>
      <w:r w:rsidRPr="00461C16">
        <w:rPr>
          <w:lang w:eastAsia="cs-CZ"/>
        </w:rPr>
        <w:t>U zastavitelných ploch bydlení, rekreace, ob</w:t>
      </w:r>
      <w:r w:rsidRPr="00461C16">
        <w:rPr>
          <w:rFonts w:cs="TimesNewRoman"/>
          <w:lang w:eastAsia="cs-CZ"/>
        </w:rPr>
        <w:t>č</w:t>
      </w:r>
      <w:r w:rsidRPr="00461C16">
        <w:rPr>
          <w:lang w:eastAsia="cs-CZ"/>
        </w:rPr>
        <w:t>anského vybavení anebo smíšených obytných o vým</w:t>
      </w:r>
      <w:r w:rsidRPr="00461C16">
        <w:rPr>
          <w:rFonts w:cs="TimesNewRoman"/>
          <w:lang w:eastAsia="cs-CZ"/>
        </w:rPr>
        <w:t>ěř</w:t>
      </w:r>
      <w:r w:rsidRPr="00461C16">
        <w:rPr>
          <w:lang w:eastAsia="cs-CZ"/>
        </w:rPr>
        <w:t>e nad 2 ha stanovit požadavek na prov</w:t>
      </w:r>
      <w:r w:rsidRPr="00461C16">
        <w:rPr>
          <w:rFonts w:cs="TimesNewRoman"/>
          <w:lang w:eastAsia="cs-CZ"/>
        </w:rPr>
        <w:t>ěř</w:t>
      </w:r>
      <w:r w:rsidRPr="00461C16">
        <w:rPr>
          <w:lang w:eastAsia="cs-CZ"/>
        </w:rPr>
        <w:t>ení zm</w:t>
      </w:r>
      <w:r w:rsidRPr="00461C16">
        <w:rPr>
          <w:rFonts w:cs="TimesNewRoman"/>
          <w:lang w:eastAsia="cs-CZ"/>
        </w:rPr>
        <w:t>ě</w:t>
      </w:r>
      <w:r w:rsidRPr="00461C16">
        <w:rPr>
          <w:lang w:eastAsia="cs-CZ"/>
        </w:rPr>
        <w:t>n jejich využití územní studií. Pro další zastavitelné plochy prověřit ÚP Hrádek nad Nisou podmín</w:t>
      </w:r>
      <w:r w:rsidRPr="00461C16">
        <w:rPr>
          <w:rFonts w:cs="TimesNewRoman"/>
          <w:lang w:eastAsia="cs-CZ"/>
        </w:rPr>
        <w:t>ě</w:t>
      </w:r>
      <w:r w:rsidRPr="00461C16">
        <w:rPr>
          <w:lang w:eastAsia="cs-CZ"/>
        </w:rPr>
        <w:t>ní zm</w:t>
      </w:r>
      <w:r w:rsidRPr="00461C16">
        <w:rPr>
          <w:rFonts w:cs="TimesNewRoman"/>
          <w:lang w:eastAsia="cs-CZ"/>
        </w:rPr>
        <w:t>ě</w:t>
      </w:r>
      <w:r w:rsidRPr="00461C16">
        <w:rPr>
          <w:lang w:eastAsia="cs-CZ"/>
        </w:rPr>
        <w:t>n využití t</w:t>
      </w:r>
      <w:r w:rsidRPr="00461C16">
        <w:rPr>
          <w:rFonts w:cs="TimesNewRoman"/>
          <w:lang w:eastAsia="cs-CZ"/>
        </w:rPr>
        <w:t>ě</w:t>
      </w:r>
      <w:r w:rsidRPr="00461C16">
        <w:rPr>
          <w:lang w:eastAsia="cs-CZ"/>
        </w:rPr>
        <w:t>chto ploch zpracováním územních studií.</w:t>
      </w:r>
    </w:p>
    <w:p w14:paraId="198AA948" w14:textId="77777777" w:rsidR="00944655" w:rsidRPr="00461C16" w:rsidRDefault="001E4EE9" w:rsidP="00944655">
      <w:pPr>
        <w:pStyle w:val="BodyText"/>
        <w:spacing w:before="120" w:after="120"/>
        <w:rPr>
          <w:i/>
          <w:sz w:val="22"/>
          <w:szCs w:val="22"/>
        </w:rPr>
      </w:pPr>
      <w:r w:rsidRPr="00461C16">
        <w:rPr>
          <w:i/>
          <w:color w:val="000000"/>
          <w:sz w:val="22"/>
          <w:szCs w:val="22"/>
          <w:shd w:val="clear" w:color="auto" w:fill="FFFFFF"/>
        </w:rPr>
        <w:t xml:space="preserve">ÚP vymezuje celkem </w:t>
      </w:r>
      <w:r w:rsidR="00D02090" w:rsidRPr="00461C16">
        <w:rPr>
          <w:i/>
          <w:color w:val="000000"/>
          <w:sz w:val="22"/>
          <w:szCs w:val="22"/>
          <w:shd w:val="clear" w:color="auto" w:fill="FFFFFF"/>
        </w:rPr>
        <w:t>11</w:t>
      </w:r>
      <w:r w:rsidRPr="00461C16">
        <w:rPr>
          <w:i/>
          <w:color w:val="000000"/>
          <w:sz w:val="22"/>
          <w:szCs w:val="22"/>
          <w:shd w:val="clear" w:color="auto" w:fill="FFFFFF"/>
        </w:rPr>
        <w:t xml:space="preserve"> ploch, ve kterých je stanovena podmínka pro jejich využití pořízením územní studie. Výčet těchto ploch a požadavky na řešení ÚP je součástí kap. L Územního plánu. Graficky jsou </w:t>
      </w:r>
      <w:r w:rsidR="00FD7A56" w:rsidRPr="00461C16">
        <w:rPr>
          <w:i/>
          <w:color w:val="000000"/>
          <w:sz w:val="22"/>
          <w:szCs w:val="22"/>
          <w:shd w:val="clear" w:color="auto" w:fill="FFFFFF"/>
        </w:rPr>
        <w:t xml:space="preserve">tyto plochy </w:t>
      </w:r>
      <w:r w:rsidRPr="00461C16">
        <w:rPr>
          <w:i/>
          <w:color w:val="000000"/>
          <w:sz w:val="22"/>
          <w:szCs w:val="22"/>
          <w:shd w:val="clear" w:color="auto" w:fill="FFFFFF"/>
        </w:rPr>
        <w:t xml:space="preserve">vymezeny ve výkresu I.1 – Výkres základního členění území. </w:t>
      </w:r>
    </w:p>
    <w:p w14:paraId="778CEDDE" w14:textId="77777777" w:rsidR="00B61A02" w:rsidRPr="00461C16" w:rsidRDefault="00B61A02"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Pokud bude ÚP Hrádek nad Nisou vymezovat plochy, které budou podmín</w:t>
      </w:r>
      <w:r w:rsidRPr="00461C16">
        <w:rPr>
          <w:rFonts w:cs="TimesNewRoman"/>
          <w:lang w:eastAsia="cs-CZ"/>
        </w:rPr>
        <w:t>ě</w:t>
      </w:r>
      <w:r w:rsidRPr="00461C16">
        <w:rPr>
          <w:lang w:eastAsia="cs-CZ"/>
        </w:rPr>
        <w:t>ny po</w:t>
      </w:r>
      <w:r w:rsidRPr="00461C16">
        <w:rPr>
          <w:rFonts w:cs="TimesNewRoman"/>
          <w:lang w:eastAsia="cs-CZ"/>
        </w:rPr>
        <w:t>ř</w:t>
      </w:r>
      <w:r w:rsidRPr="00461C16">
        <w:rPr>
          <w:lang w:eastAsia="cs-CZ"/>
        </w:rPr>
        <w:t>ízením územní studie, bude ÚP Hrádek nad Nisou obsahovat lh</w:t>
      </w:r>
      <w:r w:rsidRPr="00461C16">
        <w:rPr>
          <w:rFonts w:cs="TimesNewRoman"/>
          <w:lang w:eastAsia="cs-CZ"/>
        </w:rPr>
        <w:t>ů</w:t>
      </w:r>
      <w:r w:rsidRPr="00461C16">
        <w:rPr>
          <w:lang w:eastAsia="cs-CZ"/>
        </w:rPr>
        <w:t>tu pro po</w:t>
      </w:r>
      <w:r w:rsidRPr="00461C16">
        <w:rPr>
          <w:rFonts w:cs="TimesNewRoman"/>
          <w:lang w:eastAsia="cs-CZ"/>
        </w:rPr>
        <w:t>ř</w:t>
      </w:r>
      <w:r w:rsidRPr="00461C16">
        <w:rPr>
          <w:lang w:eastAsia="cs-CZ"/>
        </w:rPr>
        <w:t>ízení územní studie, její schválení po</w:t>
      </w:r>
      <w:r w:rsidRPr="00461C16">
        <w:rPr>
          <w:rFonts w:cs="TimesNewRoman"/>
          <w:lang w:eastAsia="cs-CZ"/>
        </w:rPr>
        <w:t>ř</w:t>
      </w:r>
      <w:r w:rsidRPr="00461C16">
        <w:rPr>
          <w:lang w:eastAsia="cs-CZ"/>
        </w:rPr>
        <w:t>izovatelem a vložení dat o studii do evidence územn</w:t>
      </w:r>
      <w:r w:rsidRPr="00461C16">
        <w:rPr>
          <w:rFonts w:cs="TimesNewRoman"/>
          <w:lang w:eastAsia="cs-CZ"/>
        </w:rPr>
        <w:t xml:space="preserve">ě </w:t>
      </w:r>
      <w:r w:rsidRPr="00461C16">
        <w:rPr>
          <w:lang w:eastAsia="cs-CZ"/>
        </w:rPr>
        <w:t xml:space="preserve">plánovací </w:t>
      </w:r>
      <w:r w:rsidRPr="00461C16">
        <w:rPr>
          <w:rFonts w:cs="TimesNewRoman"/>
          <w:lang w:eastAsia="cs-CZ"/>
        </w:rPr>
        <w:t>č</w:t>
      </w:r>
      <w:r w:rsidRPr="00461C16">
        <w:rPr>
          <w:lang w:eastAsia="cs-CZ"/>
        </w:rPr>
        <w:t>innosti.</w:t>
      </w:r>
    </w:p>
    <w:p w14:paraId="748E5F1F" w14:textId="77777777" w:rsidR="00233B2C" w:rsidRPr="00461C16" w:rsidRDefault="001E4EE9" w:rsidP="00233B2C">
      <w:pPr>
        <w:autoSpaceDE w:val="0"/>
        <w:autoSpaceDN w:val="0"/>
        <w:adjustRightInd w:val="0"/>
        <w:spacing w:before="120" w:line="240" w:lineRule="auto"/>
        <w:rPr>
          <w:i/>
          <w:lang w:eastAsia="cs-CZ"/>
        </w:rPr>
      </w:pPr>
      <w:r w:rsidRPr="00461C16">
        <w:rPr>
          <w:i/>
          <w:lang w:eastAsia="cs-CZ"/>
        </w:rPr>
        <w:lastRenderedPageBreak/>
        <w:t xml:space="preserve">Požadavek je respektován. Součástí kap. L Územního plánu je rovněž stanovení lhůty pro její pořízení, schválení a vložení dat do evidence územně plánovací činnosti. </w:t>
      </w:r>
    </w:p>
    <w:p w14:paraId="14E423AC" w14:textId="77777777" w:rsidR="005A465D" w:rsidRPr="00461C16" w:rsidRDefault="005A465D" w:rsidP="005A465D">
      <w:pPr>
        <w:pStyle w:val="Heading2"/>
        <w:rPr>
          <w:lang w:eastAsia="cs-CZ"/>
        </w:rPr>
      </w:pPr>
      <w:bookmarkStart w:id="72" w:name="_Toc36116271"/>
      <w:r w:rsidRPr="00461C16">
        <w:rPr>
          <w:lang w:eastAsia="cs-CZ"/>
        </w:rPr>
        <w:t>3.</w:t>
      </w:r>
      <w:r w:rsidR="00DB69F2" w:rsidRPr="00461C16">
        <w:rPr>
          <w:lang w:eastAsia="cs-CZ"/>
        </w:rPr>
        <w:t>12</w:t>
      </w:r>
      <w:r w:rsidRPr="00461C16">
        <w:rPr>
          <w:lang w:eastAsia="cs-CZ"/>
        </w:rPr>
        <w:tab/>
        <w:t>Požadavky na vymezení ploch a koridorů, pro které budou podmínky pro rozhodování o změnách jejich využití stanoveny regulačním plánem</w:t>
      </w:r>
      <w:bookmarkEnd w:id="72"/>
    </w:p>
    <w:p w14:paraId="0F393742" w14:textId="77777777" w:rsidR="005A465D" w:rsidRPr="00461C16" w:rsidRDefault="005A465D" w:rsidP="00A06EB9">
      <w:pPr>
        <w:pStyle w:val="ListParagraph"/>
        <w:numPr>
          <w:ilvl w:val="0"/>
          <w:numId w:val="97"/>
        </w:numPr>
        <w:autoSpaceDE w:val="0"/>
        <w:autoSpaceDN w:val="0"/>
        <w:adjustRightInd w:val="0"/>
        <w:spacing w:before="240" w:line="240" w:lineRule="auto"/>
        <w:ind w:left="567" w:hanging="567"/>
        <w:rPr>
          <w:lang w:eastAsia="cs-CZ"/>
        </w:rPr>
      </w:pPr>
      <w:r w:rsidRPr="00461C16">
        <w:rPr>
          <w:lang w:eastAsia="cs-CZ"/>
        </w:rPr>
        <w:t>Vymezit lokality „Severní m</w:t>
      </w:r>
      <w:r w:rsidRPr="00461C16">
        <w:rPr>
          <w:rFonts w:cs="TimesNewRoman"/>
          <w:lang w:eastAsia="cs-CZ"/>
        </w:rPr>
        <w:t>ě</w:t>
      </w:r>
      <w:r w:rsidRPr="00461C16">
        <w:rPr>
          <w:lang w:eastAsia="cs-CZ"/>
        </w:rPr>
        <w:t>sto“ jako plochy, pro které budou podmínky pro rozhodování o zm</w:t>
      </w:r>
      <w:r w:rsidRPr="00461C16">
        <w:rPr>
          <w:rFonts w:cs="TimesNewRoman"/>
          <w:lang w:eastAsia="cs-CZ"/>
        </w:rPr>
        <w:t>ě</w:t>
      </w:r>
      <w:r w:rsidRPr="00461C16">
        <w:rPr>
          <w:lang w:eastAsia="cs-CZ"/>
        </w:rPr>
        <w:t>nách jejich využití stanoveny regula</w:t>
      </w:r>
      <w:r w:rsidRPr="00461C16">
        <w:rPr>
          <w:rFonts w:cs="TimesNewRoman"/>
          <w:lang w:eastAsia="cs-CZ"/>
        </w:rPr>
        <w:t>č</w:t>
      </w:r>
      <w:r w:rsidRPr="00461C16">
        <w:rPr>
          <w:lang w:eastAsia="cs-CZ"/>
        </w:rPr>
        <w:t>ním plánem (rozsah plochy je znázorn</w:t>
      </w:r>
      <w:r w:rsidRPr="00461C16">
        <w:rPr>
          <w:rFonts w:cs="TimesNewRoman"/>
          <w:lang w:eastAsia="cs-CZ"/>
        </w:rPr>
        <w:t>ě</w:t>
      </w:r>
      <w:r w:rsidRPr="00461C16">
        <w:rPr>
          <w:lang w:eastAsia="cs-CZ"/>
        </w:rPr>
        <w:t xml:space="preserve">n v bodu </w:t>
      </w:r>
      <w:r w:rsidRPr="00461C16">
        <w:rPr>
          <w:rFonts w:cs="TimesNewRoman"/>
          <w:lang w:eastAsia="cs-CZ"/>
        </w:rPr>
        <w:t>č</w:t>
      </w:r>
      <w:r w:rsidRPr="00461C16">
        <w:rPr>
          <w:lang w:eastAsia="cs-CZ"/>
        </w:rPr>
        <w:t>. 2) v p</w:t>
      </w:r>
      <w:r w:rsidRPr="00461C16">
        <w:rPr>
          <w:rFonts w:cs="TimesNewRoman"/>
          <w:lang w:eastAsia="cs-CZ"/>
        </w:rPr>
        <w:t>ř</w:t>
      </w:r>
      <w:r w:rsidRPr="00461C16">
        <w:rPr>
          <w:lang w:eastAsia="cs-CZ"/>
        </w:rPr>
        <w:t xml:space="preserve">íloze </w:t>
      </w:r>
      <w:r w:rsidRPr="00461C16">
        <w:rPr>
          <w:rFonts w:cs="TimesNewRoman"/>
          <w:lang w:eastAsia="cs-CZ"/>
        </w:rPr>
        <w:t>č</w:t>
      </w:r>
      <w:r w:rsidRPr="00461C16">
        <w:rPr>
          <w:lang w:eastAsia="cs-CZ"/>
        </w:rPr>
        <w:t>. 1 Návrhu Zadání Územního plánu Hrádek nad Nisou).</w:t>
      </w:r>
    </w:p>
    <w:p w14:paraId="2109942E" w14:textId="77777777" w:rsidR="00233B2C" w:rsidRPr="00461C16" w:rsidRDefault="00903F77" w:rsidP="00233B2C">
      <w:pPr>
        <w:autoSpaceDE w:val="0"/>
        <w:autoSpaceDN w:val="0"/>
        <w:adjustRightInd w:val="0"/>
        <w:spacing w:before="120" w:line="240" w:lineRule="auto"/>
        <w:rPr>
          <w:i/>
          <w:lang w:eastAsia="cs-CZ"/>
        </w:rPr>
      </w:pPr>
      <w:r>
        <w:rPr>
          <w:i/>
          <w:lang w:eastAsia="cs-CZ"/>
        </w:rPr>
        <w:t xml:space="preserve">V souladu s dodatečným požadavkem zadavatele po společném jednání o návrhu ÚP Hrádek nad Nisou byly plochy v lokalitě Severní město vymezeny jako plochy s podmínkou pořízení územní studie. </w:t>
      </w:r>
      <w:r w:rsidR="003C0765" w:rsidRPr="00461C16">
        <w:rPr>
          <w:i/>
          <w:lang w:eastAsia="cs-CZ"/>
        </w:rPr>
        <w:t xml:space="preserve">Graficky je rozsah </w:t>
      </w:r>
      <w:r w:rsidRPr="00461C16">
        <w:rPr>
          <w:i/>
          <w:lang w:eastAsia="cs-CZ"/>
        </w:rPr>
        <w:t>t</w:t>
      </w:r>
      <w:r>
        <w:rPr>
          <w:i/>
          <w:lang w:eastAsia="cs-CZ"/>
        </w:rPr>
        <w:t>ěchto</w:t>
      </w:r>
      <w:r w:rsidRPr="00461C16">
        <w:rPr>
          <w:i/>
          <w:lang w:eastAsia="cs-CZ"/>
        </w:rPr>
        <w:t xml:space="preserve"> </w:t>
      </w:r>
      <w:r>
        <w:rPr>
          <w:i/>
          <w:lang w:eastAsia="cs-CZ"/>
        </w:rPr>
        <w:t>ploch</w:t>
      </w:r>
      <w:r w:rsidRPr="00461C16">
        <w:rPr>
          <w:i/>
          <w:lang w:eastAsia="cs-CZ"/>
        </w:rPr>
        <w:t xml:space="preserve"> </w:t>
      </w:r>
      <w:r w:rsidR="003C0765" w:rsidRPr="00461C16">
        <w:rPr>
          <w:i/>
          <w:lang w:eastAsia="cs-CZ"/>
        </w:rPr>
        <w:t>vymezen ve výkrese I.1. – Výkres základního členění území.</w:t>
      </w:r>
    </w:p>
    <w:p w14:paraId="07865AD7" w14:textId="77777777" w:rsidR="00DB69F2" w:rsidRPr="00461C16" w:rsidRDefault="00DB69F2" w:rsidP="00DB69F2">
      <w:pPr>
        <w:pStyle w:val="Heading2"/>
        <w:rPr>
          <w:lang w:eastAsia="cs-CZ"/>
        </w:rPr>
      </w:pPr>
      <w:bookmarkStart w:id="73" w:name="_Toc36116272"/>
      <w:r w:rsidRPr="00461C16">
        <w:rPr>
          <w:lang w:eastAsia="cs-CZ"/>
        </w:rPr>
        <w:t>3.13</w:t>
      </w:r>
      <w:r w:rsidRPr="00461C16">
        <w:rPr>
          <w:lang w:eastAsia="cs-CZ"/>
        </w:rPr>
        <w:tab/>
        <w:t>Požadavky na vyhodnocení vlivů územního plánu na udržitelný rozvoj území, pokud dotčený orgán ve svém stanovisku k návrhu zadání uplatil požadavek na zpracování vyhodnocení z hlediska vlivů na životní prostředí nebo pokud nevyloučil významný vliv na evropsky významnou lokalitu či ptačí oblast</w:t>
      </w:r>
      <w:bookmarkEnd w:id="73"/>
    </w:p>
    <w:p w14:paraId="4857B170" w14:textId="77777777" w:rsidR="00DB69F2" w:rsidRPr="00461C16" w:rsidRDefault="00DB69F2" w:rsidP="00A06EB9">
      <w:pPr>
        <w:pStyle w:val="ListParagraph"/>
        <w:numPr>
          <w:ilvl w:val="0"/>
          <w:numId w:val="97"/>
        </w:numPr>
        <w:autoSpaceDE w:val="0"/>
        <w:autoSpaceDN w:val="0"/>
        <w:adjustRightInd w:val="0"/>
        <w:spacing w:before="240" w:line="240" w:lineRule="auto"/>
        <w:ind w:left="567" w:hanging="567"/>
        <w:rPr>
          <w:lang w:eastAsia="cs-CZ"/>
        </w:rPr>
      </w:pPr>
      <w:r w:rsidRPr="00461C16">
        <w:rPr>
          <w:lang w:eastAsia="cs-CZ"/>
        </w:rPr>
        <w:t>KÚ LK, odbor životního prost</w:t>
      </w:r>
      <w:r w:rsidRPr="00461C16">
        <w:rPr>
          <w:rFonts w:cs="TimesNewRoman"/>
          <w:lang w:eastAsia="cs-CZ"/>
        </w:rPr>
        <w:t>ř</w:t>
      </w:r>
      <w:r w:rsidRPr="00461C16">
        <w:rPr>
          <w:lang w:eastAsia="cs-CZ"/>
        </w:rPr>
        <w:t>edí a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lství, jako orgán ochrany p</w:t>
      </w:r>
      <w:r w:rsidRPr="00461C16">
        <w:rPr>
          <w:rFonts w:cs="TimesNewRoman"/>
          <w:lang w:eastAsia="cs-CZ"/>
        </w:rPr>
        <w:t>ř</w:t>
      </w:r>
      <w:r w:rsidRPr="00461C16">
        <w:rPr>
          <w:lang w:eastAsia="cs-CZ"/>
        </w:rPr>
        <w:t>írody (dále jen krajský ú</w:t>
      </w:r>
      <w:r w:rsidRPr="00461C16">
        <w:rPr>
          <w:rFonts w:cs="TimesNewRoman"/>
          <w:lang w:eastAsia="cs-CZ"/>
        </w:rPr>
        <w:t>ř</w:t>
      </w:r>
      <w:r w:rsidRPr="00461C16">
        <w:rPr>
          <w:lang w:eastAsia="cs-CZ"/>
        </w:rPr>
        <w:t>ad) p</w:t>
      </w:r>
      <w:r w:rsidRPr="00461C16">
        <w:rPr>
          <w:rFonts w:cs="TimesNewRoman"/>
          <w:lang w:eastAsia="cs-CZ"/>
        </w:rPr>
        <w:t>ř</w:t>
      </w:r>
      <w:r w:rsidRPr="00461C16">
        <w:rPr>
          <w:lang w:eastAsia="cs-CZ"/>
        </w:rPr>
        <w:t xml:space="preserve">íslušný podle § 77a odst. 4 písm. n) zák. </w:t>
      </w:r>
      <w:r w:rsidRPr="00461C16">
        <w:rPr>
          <w:rFonts w:cs="TimesNewRoman"/>
          <w:lang w:eastAsia="cs-CZ"/>
        </w:rPr>
        <w:t>č</w:t>
      </w:r>
      <w:r w:rsidRPr="00461C16">
        <w:rPr>
          <w:lang w:eastAsia="cs-CZ"/>
        </w:rPr>
        <w:t>. 114/1992 Sb., o ochran</w:t>
      </w:r>
      <w:r w:rsidRPr="00461C16">
        <w:rPr>
          <w:rFonts w:cs="TimesNewRoman"/>
          <w:lang w:eastAsia="cs-CZ"/>
        </w:rPr>
        <w:t xml:space="preserve">ě </w:t>
      </w:r>
      <w:r w:rsidRPr="00461C16">
        <w:rPr>
          <w:lang w:eastAsia="cs-CZ"/>
        </w:rPr>
        <w:t>p</w:t>
      </w:r>
      <w:r w:rsidRPr="00461C16">
        <w:rPr>
          <w:rFonts w:cs="TimesNewRoman"/>
          <w:lang w:eastAsia="cs-CZ"/>
        </w:rPr>
        <w:t>ř</w:t>
      </w:r>
      <w:r w:rsidRPr="00461C16">
        <w:rPr>
          <w:lang w:eastAsia="cs-CZ"/>
        </w:rPr>
        <w:t>írody a krajiny</w:t>
      </w:r>
      <w:r w:rsidR="00A53768" w:rsidRPr="00461C16">
        <w:rPr>
          <w:lang w:eastAsia="cs-CZ"/>
        </w:rPr>
        <w:t>, v platném znění</w:t>
      </w:r>
      <w:r w:rsidRPr="00461C16">
        <w:rPr>
          <w:rFonts w:cs="TimesNewRoman"/>
          <w:lang w:eastAsia="cs-CZ"/>
        </w:rPr>
        <w:t xml:space="preserve"> </w:t>
      </w:r>
      <w:r w:rsidRPr="00461C16">
        <w:rPr>
          <w:lang w:eastAsia="cs-CZ"/>
        </w:rPr>
        <w:t>(dále jen zákon), vydává podle § 45i odst. 1 zákona toto stanovisko:</w:t>
      </w:r>
    </w:p>
    <w:p w14:paraId="673EEC87" w14:textId="77777777" w:rsidR="00DB69F2" w:rsidRPr="00461C16" w:rsidRDefault="00DB69F2" w:rsidP="00F22794">
      <w:pPr>
        <w:pStyle w:val="ListParagraph"/>
        <w:autoSpaceDE w:val="0"/>
        <w:autoSpaceDN w:val="0"/>
        <w:adjustRightInd w:val="0"/>
        <w:spacing w:before="120" w:line="240" w:lineRule="auto"/>
        <w:ind w:left="567"/>
        <w:rPr>
          <w:lang w:eastAsia="cs-CZ"/>
        </w:rPr>
      </w:pPr>
      <w:r w:rsidRPr="00461C16">
        <w:rPr>
          <w:bCs/>
          <w:lang w:eastAsia="cs-CZ"/>
        </w:rPr>
        <w:t>Návrh Zadání ÚP Hrádek nad Nisou nem</w:t>
      </w:r>
      <w:r w:rsidRPr="00461C16">
        <w:rPr>
          <w:rFonts w:cs="TimesNewRoman,Bold"/>
          <w:bCs/>
          <w:lang w:eastAsia="cs-CZ"/>
        </w:rPr>
        <w:t>ů</w:t>
      </w:r>
      <w:r w:rsidRPr="00461C16">
        <w:rPr>
          <w:bCs/>
          <w:lang w:eastAsia="cs-CZ"/>
        </w:rPr>
        <w:t>že mít samostatn</w:t>
      </w:r>
      <w:r w:rsidRPr="00461C16">
        <w:rPr>
          <w:rFonts w:cs="TimesNewRoman,Bold"/>
          <w:bCs/>
          <w:lang w:eastAsia="cs-CZ"/>
        </w:rPr>
        <w:t>ě</w:t>
      </w:r>
      <w:r w:rsidRPr="00461C16">
        <w:rPr>
          <w:bCs/>
          <w:lang w:eastAsia="cs-CZ"/>
        </w:rPr>
        <w:t>, ani ve spojení s jinými zám</w:t>
      </w:r>
      <w:r w:rsidRPr="00461C16">
        <w:rPr>
          <w:rFonts w:cs="TimesNewRoman,Bold"/>
          <w:bCs/>
          <w:lang w:eastAsia="cs-CZ"/>
        </w:rPr>
        <w:t>ě</w:t>
      </w:r>
      <w:r w:rsidRPr="00461C16">
        <w:rPr>
          <w:bCs/>
          <w:lang w:eastAsia="cs-CZ"/>
        </w:rPr>
        <w:t>ry, významný vliv na evropsky významné lokality, ani pta</w:t>
      </w:r>
      <w:r w:rsidRPr="00461C16">
        <w:rPr>
          <w:rFonts w:cs="TimesNewRoman,Bold"/>
          <w:bCs/>
          <w:lang w:eastAsia="cs-CZ"/>
        </w:rPr>
        <w:t>č</w:t>
      </w:r>
      <w:r w:rsidRPr="00461C16">
        <w:rPr>
          <w:bCs/>
          <w:lang w:eastAsia="cs-CZ"/>
        </w:rPr>
        <w:t xml:space="preserve">í oblasti. </w:t>
      </w:r>
      <w:r w:rsidRPr="00461C16">
        <w:rPr>
          <w:lang w:eastAsia="cs-CZ"/>
        </w:rPr>
        <w:t>Stanovisko se vztahuje na území mimo CHKO Lužické hory. Na řešeném území se nenachází Evropsky významná lokalita ani ptačí oblast.</w:t>
      </w:r>
    </w:p>
    <w:p w14:paraId="7404E4E3" w14:textId="77777777" w:rsidR="00DB69F2" w:rsidRPr="00461C16" w:rsidRDefault="00DB69F2" w:rsidP="00DB69F2">
      <w:pPr>
        <w:pStyle w:val="BodyText"/>
        <w:spacing w:before="120" w:after="120"/>
        <w:rPr>
          <w:i/>
          <w:sz w:val="22"/>
          <w:szCs w:val="22"/>
        </w:rPr>
      </w:pPr>
      <w:r w:rsidRPr="00461C16">
        <w:rPr>
          <w:i/>
          <w:color w:val="000000"/>
          <w:sz w:val="22"/>
          <w:szCs w:val="22"/>
          <w:shd w:val="clear" w:color="auto" w:fill="FFFFFF"/>
        </w:rPr>
        <w:t xml:space="preserve">V souladu s výsledkem projednání Návrhu Zadání ÚP Hrádek nad Nisou nebylo zpracováno vyhodnocení vlivů na lokality soustavy Natura 2000, tedy ani vyhodnocení vlivů na udržitelný rozvoj území. </w:t>
      </w:r>
    </w:p>
    <w:p w14:paraId="7ACDBD3D" w14:textId="77777777" w:rsidR="00DB69F2" w:rsidRPr="00461C16" w:rsidRDefault="00DB69F2" w:rsidP="00A06EB9">
      <w:pPr>
        <w:pStyle w:val="ListParagraph"/>
        <w:numPr>
          <w:ilvl w:val="0"/>
          <w:numId w:val="97"/>
        </w:numPr>
        <w:autoSpaceDE w:val="0"/>
        <w:autoSpaceDN w:val="0"/>
        <w:adjustRightInd w:val="0"/>
        <w:spacing w:before="120" w:line="240" w:lineRule="auto"/>
        <w:ind w:left="567" w:hanging="567"/>
        <w:rPr>
          <w:lang w:eastAsia="cs-CZ"/>
        </w:rPr>
      </w:pPr>
      <w:r w:rsidRPr="00461C16">
        <w:rPr>
          <w:lang w:eastAsia="cs-CZ"/>
        </w:rPr>
        <w:t>KÚ LK, odbor životního prost</w:t>
      </w:r>
      <w:r w:rsidRPr="00461C16">
        <w:rPr>
          <w:rFonts w:cs="TimesNewRoman"/>
          <w:lang w:eastAsia="cs-CZ"/>
        </w:rPr>
        <w:t>ř</w:t>
      </w:r>
      <w:r w:rsidRPr="00461C16">
        <w:rPr>
          <w:lang w:eastAsia="cs-CZ"/>
        </w:rPr>
        <w:t>edí a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lství p</w:t>
      </w:r>
      <w:r w:rsidRPr="00461C16">
        <w:rPr>
          <w:rFonts w:cs="TimesNewRoman"/>
          <w:lang w:eastAsia="cs-CZ"/>
        </w:rPr>
        <w:t>ř</w:t>
      </w:r>
      <w:r w:rsidRPr="00461C16">
        <w:rPr>
          <w:lang w:eastAsia="cs-CZ"/>
        </w:rPr>
        <w:t xml:space="preserve">íslušný podle § 22 odst. b) zákona </w:t>
      </w:r>
      <w:r w:rsidRPr="00461C16">
        <w:rPr>
          <w:rFonts w:cs="TimesNewRoman"/>
          <w:lang w:eastAsia="cs-CZ"/>
        </w:rPr>
        <w:t>č</w:t>
      </w:r>
      <w:r w:rsidRPr="00461C16">
        <w:rPr>
          <w:lang w:eastAsia="cs-CZ"/>
        </w:rPr>
        <w:t>. 100/2001 Sb., o posuzování vliv</w:t>
      </w:r>
      <w:r w:rsidRPr="00461C16">
        <w:rPr>
          <w:rFonts w:cs="TimesNewRoman"/>
          <w:lang w:eastAsia="cs-CZ"/>
        </w:rPr>
        <w:t xml:space="preserve">ů </w:t>
      </w:r>
      <w:r w:rsidRPr="00461C16">
        <w:rPr>
          <w:lang w:eastAsia="cs-CZ"/>
        </w:rPr>
        <w:t>na životní prost</w:t>
      </w:r>
      <w:r w:rsidRPr="00461C16">
        <w:rPr>
          <w:rFonts w:cs="TimesNewRoman"/>
          <w:lang w:eastAsia="cs-CZ"/>
        </w:rPr>
        <w:t>ř</w:t>
      </w:r>
      <w:r w:rsidRPr="00461C16">
        <w:rPr>
          <w:lang w:eastAsia="cs-CZ"/>
        </w:rPr>
        <w:t>edí</w:t>
      </w:r>
      <w:r w:rsidR="00A53768" w:rsidRPr="00461C16">
        <w:rPr>
          <w:lang w:eastAsia="cs-CZ"/>
        </w:rPr>
        <w:t>, v platném znění</w:t>
      </w:r>
      <w:r w:rsidRPr="00461C16">
        <w:rPr>
          <w:rFonts w:cs="TimesNewRoman"/>
          <w:lang w:eastAsia="cs-CZ"/>
        </w:rPr>
        <w:t xml:space="preserve"> </w:t>
      </w:r>
      <w:r w:rsidRPr="00461C16">
        <w:rPr>
          <w:lang w:eastAsia="cs-CZ"/>
        </w:rPr>
        <w:t>(dále jen „zákon“) v souladu s ustanovením § 10i odst. 3) zákona uplat</w:t>
      </w:r>
      <w:r w:rsidRPr="00461C16">
        <w:rPr>
          <w:rFonts w:cs="TimesNewRoman"/>
          <w:lang w:eastAsia="cs-CZ"/>
        </w:rPr>
        <w:t>ň</w:t>
      </w:r>
      <w:r w:rsidRPr="00461C16">
        <w:rPr>
          <w:lang w:eastAsia="cs-CZ"/>
        </w:rPr>
        <w:t>uje toto vyjád</w:t>
      </w:r>
      <w:r w:rsidRPr="00461C16">
        <w:rPr>
          <w:rFonts w:cs="TimesNewRoman"/>
          <w:lang w:eastAsia="cs-CZ"/>
        </w:rPr>
        <w:t>ř</w:t>
      </w:r>
      <w:r w:rsidRPr="00461C16">
        <w:rPr>
          <w:lang w:eastAsia="cs-CZ"/>
        </w:rPr>
        <w:t>ení: Krajský ú</w:t>
      </w:r>
      <w:r w:rsidRPr="00461C16">
        <w:rPr>
          <w:rFonts w:cs="TimesNewRoman"/>
          <w:lang w:eastAsia="cs-CZ"/>
        </w:rPr>
        <w:t>ř</w:t>
      </w:r>
      <w:r w:rsidRPr="00461C16">
        <w:rPr>
          <w:lang w:eastAsia="cs-CZ"/>
        </w:rPr>
        <w:t>ad k návrhu Zadání ÚP Hrádek nad Nisou jeho obsahu a na základ</w:t>
      </w:r>
      <w:r w:rsidRPr="00461C16">
        <w:rPr>
          <w:rFonts w:cs="TimesNewRoman"/>
          <w:lang w:eastAsia="cs-CZ"/>
        </w:rPr>
        <w:t xml:space="preserve">ě </w:t>
      </w:r>
      <w:r w:rsidRPr="00461C16">
        <w:rPr>
          <w:lang w:eastAsia="cs-CZ"/>
        </w:rPr>
        <w:t>kritérií uvedených v p</w:t>
      </w:r>
      <w:r w:rsidRPr="00461C16">
        <w:rPr>
          <w:rFonts w:cs="TimesNewRoman"/>
          <w:lang w:eastAsia="cs-CZ"/>
        </w:rPr>
        <w:t>ř</w:t>
      </w:r>
      <w:r w:rsidRPr="00461C16">
        <w:rPr>
          <w:lang w:eastAsia="cs-CZ"/>
        </w:rPr>
        <w:t xml:space="preserve">íloze </w:t>
      </w:r>
      <w:r w:rsidRPr="00461C16">
        <w:rPr>
          <w:rFonts w:cs="TimesNewRoman"/>
          <w:lang w:eastAsia="cs-CZ"/>
        </w:rPr>
        <w:t>č</w:t>
      </w:r>
      <w:r w:rsidRPr="00461C16">
        <w:rPr>
          <w:lang w:eastAsia="cs-CZ"/>
        </w:rPr>
        <w:t xml:space="preserve">. 8 zákona, </w:t>
      </w:r>
      <w:r w:rsidRPr="00461C16">
        <w:rPr>
          <w:bCs/>
          <w:lang w:eastAsia="cs-CZ"/>
        </w:rPr>
        <w:t>neuplat</w:t>
      </w:r>
      <w:r w:rsidRPr="00461C16">
        <w:rPr>
          <w:rFonts w:cs="TimesNewRoman,Bold"/>
          <w:bCs/>
          <w:lang w:eastAsia="cs-CZ"/>
        </w:rPr>
        <w:t>ň</w:t>
      </w:r>
      <w:r w:rsidRPr="00461C16">
        <w:rPr>
          <w:bCs/>
          <w:lang w:eastAsia="cs-CZ"/>
        </w:rPr>
        <w:t>uje požadavek na zpracování vyhodnocení vliv</w:t>
      </w:r>
      <w:r w:rsidRPr="00461C16">
        <w:rPr>
          <w:rFonts w:cs="TimesNewRoman,Bold"/>
          <w:bCs/>
          <w:lang w:eastAsia="cs-CZ"/>
        </w:rPr>
        <w:t xml:space="preserve">ů </w:t>
      </w:r>
      <w:r w:rsidRPr="00461C16">
        <w:rPr>
          <w:bCs/>
          <w:lang w:eastAsia="cs-CZ"/>
        </w:rPr>
        <w:t>na životní prost</w:t>
      </w:r>
      <w:r w:rsidRPr="00461C16">
        <w:rPr>
          <w:rFonts w:cs="TimesNewRoman,Bold"/>
          <w:bCs/>
          <w:lang w:eastAsia="cs-CZ"/>
        </w:rPr>
        <w:t>ř</w:t>
      </w:r>
      <w:r w:rsidRPr="00461C16">
        <w:rPr>
          <w:bCs/>
          <w:lang w:eastAsia="cs-CZ"/>
        </w:rPr>
        <w:t>edí.</w:t>
      </w:r>
    </w:p>
    <w:p w14:paraId="41E1D934" w14:textId="77777777" w:rsidR="00DB69F2" w:rsidRPr="00461C16" w:rsidRDefault="00DB69F2" w:rsidP="00DB69F2">
      <w:pPr>
        <w:autoSpaceDE w:val="0"/>
        <w:autoSpaceDN w:val="0"/>
        <w:adjustRightInd w:val="0"/>
        <w:spacing w:before="120" w:line="240" w:lineRule="auto"/>
        <w:rPr>
          <w:i/>
          <w:lang w:eastAsia="cs-CZ"/>
        </w:rPr>
      </w:pPr>
      <w:r w:rsidRPr="00461C16">
        <w:rPr>
          <w:i/>
          <w:color w:val="000000"/>
          <w:shd w:val="clear" w:color="auto" w:fill="FFFFFF"/>
        </w:rPr>
        <w:t>V souladu s výsledkem projednání Návrhu Zadání ÚP Hrádek nad Nisou nebylo zpracováno vyhodnocení vlivů na životní prostředí, tedy ani vyhodnocení vlivů na udržitelný rozvoj území.</w:t>
      </w:r>
    </w:p>
    <w:p w14:paraId="1056661A" w14:textId="77777777" w:rsidR="00DB69F2" w:rsidRPr="00461C16" w:rsidRDefault="00DB69F2" w:rsidP="00DB69F2">
      <w:pPr>
        <w:pStyle w:val="Heading2"/>
        <w:rPr>
          <w:lang w:eastAsia="cs-CZ"/>
        </w:rPr>
      </w:pPr>
      <w:bookmarkStart w:id="74" w:name="_Toc36116273"/>
      <w:r w:rsidRPr="00461C16">
        <w:rPr>
          <w:lang w:eastAsia="cs-CZ"/>
        </w:rPr>
        <w:t>3.14</w:t>
      </w:r>
      <w:r w:rsidRPr="00461C16">
        <w:rPr>
          <w:lang w:eastAsia="cs-CZ"/>
        </w:rPr>
        <w:tab/>
        <w:t>Požadavek na zpracování konceptu</w:t>
      </w:r>
      <w:bookmarkEnd w:id="74"/>
      <w:r w:rsidRPr="00461C16">
        <w:rPr>
          <w:lang w:eastAsia="cs-CZ"/>
        </w:rPr>
        <w:t xml:space="preserve"> </w:t>
      </w:r>
    </w:p>
    <w:p w14:paraId="5D97AE7D" w14:textId="77777777" w:rsidR="00DB69F2" w:rsidRPr="00461C16" w:rsidRDefault="00DB69F2" w:rsidP="00A06EB9">
      <w:pPr>
        <w:pStyle w:val="ListParagraph"/>
        <w:numPr>
          <w:ilvl w:val="0"/>
          <w:numId w:val="97"/>
        </w:numPr>
        <w:autoSpaceDE w:val="0"/>
        <w:autoSpaceDN w:val="0"/>
        <w:adjustRightInd w:val="0"/>
        <w:spacing w:before="240" w:after="120" w:line="240" w:lineRule="auto"/>
        <w:ind w:left="567" w:hanging="567"/>
        <w:rPr>
          <w:lang w:eastAsia="cs-CZ"/>
        </w:rPr>
      </w:pPr>
      <w:r w:rsidRPr="00461C16">
        <w:rPr>
          <w:lang w:eastAsia="cs-CZ"/>
        </w:rPr>
        <w:t>Variantní řešení se při zpracování ÚP Hrádek nad Nisou nepředpokládá. Město Hrádek nad Nisou nemá požadavek na zpracování konceptu.</w:t>
      </w:r>
    </w:p>
    <w:p w14:paraId="1F0DD059" w14:textId="77777777" w:rsidR="00DB69F2" w:rsidRPr="00461C16" w:rsidRDefault="00DB69F2" w:rsidP="00DB69F2">
      <w:pPr>
        <w:pStyle w:val="BodyText"/>
        <w:spacing w:before="120" w:after="120"/>
        <w:rPr>
          <w:i/>
          <w:sz w:val="22"/>
          <w:szCs w:val="22"/>
        </w:rPr>
      </w:pPr>
      <w:r w:rsidRPr="00461C16">
        <w:rPr>
          <w:i/>
          <w:color w:val="000000"/>
          <w:sz w:val="22"/>
          <w:szCs w:val="22"/>
          <w:shd w:val="clear" w:color="auto" w:fill="FFFFFF"/>
        </w:rPr>
        <w:t xml:space="preserve">ÚP je zpracován invariantně, vzhledem k platnému znění stavebního zákona bez etapy koncept ÚP. </w:t>
      </w:r>
    </w:p>
    <w:p w14:paraId="6FFE9F20" w14:textId="77777777" w:rsidR="00D418B7" w:rsidRPr="00461C16" w:rsidRDefault="00D418B7" w:rsidP="00D418B7">
      <w:pPr>
        <w:pStyle w:val="Heading2"/>
        <w:rPr>
          <w:lang w:eastAsia="cs-CZ"/>
        </w:rPr>
      </w:pPr>
      <w:bookmarkStart w:id="75" w:name="_Toc36116274"/>
      <w:r w:rsidRPr="00461C16">
        <w:rPr>
          <w:lang w:eastAsia="cs-CZ"/>
        </w:rPr>
        <w:t>3.</w:t>
      </w:r>
      <w:r w:rsidR="00DB69F2" w:rsidRPr="00461C16">
        <w:rPr>
          <w:lang w:eastAsia="cs-CZ"/>
        </w:rPr>
        <w:t>15</w:t>
      </w:r>
      <w:r w:rsidRPr="00461C16">
        <w:rPr>
          <w:lang w:eastAsia="cs-CZ"/>
        </w:rPr>
        <w:tab/>
        <w:t>Požadavky na uspořádání obsahu návrhu územního plánu a na uspořádání obsahu jeho odůvodnění s ohledem na charakter území a problémy k řešení včetně měřítek výkresů a počtu vyhotovení</w:t>
      </w:r>
      <w:bookmarkEnd w:id="75"/>
    </w:p>
    <w:p w14:paraId="162B82B1" w14:textId="77777777" w:rsidR="00D418B7" w:rsidRPr="00461C16" w:rsidRDefault="00D418B7" w:rsidP="00A06EB9">
      <w:pPr>
        <w:pStyle w:val="ListParagraph"/>
        <w:numPr>
          <w:ilvl w:val="0"/>
          <w:numId w:val="97"/>
        </w:numPr>
        <w:autoSpaceDE w:val="0"/>
        <w:autoSpaceDN w:val="0"/>
        <w:adjustRightInd w:val="0"/>
        <w:spacing w:before="240" w:after="120" w:line="240" w:lineRule="auto"/>
        <w:ind w:left="567" w:hanging="567"/>
        <w:rPr>
          <w:lang w:eastAsia="cs-CZ"/>
        </w:rPr>
      </w:pPr>
      <w:r w:rsidRPr="00461C16">
        <w:rPr>
          <w:lang w:eastAsia="cs-CZ"/>
        </w:rPr>
        <w:t>ÚP Hrádek nad Nisou bude pro ú</w:t>
      </w:r>
      <w:r w:rsidRPr="00461C16">
        <w:rPr>
          <w:rFonts w:cs="TimesNewRoman"/>
          <w:lang w:eastAsia="cs-CZ"/>
        </w:rPr>
        <w:t>č</w:t>
      </w:r>
      <w:r w:rsidRPr="00461C16">
        <w:rPr>
          <w:lang w:eastAsia="cs-CZ"/>
        </w:rPr>
        <w:t>ely spole</w:t>
      </w:r>
      <w:r w:rsidRPr="00461C16">
        <w:rPr>
          <w:rFonts w:cs="TimesNewRoman"/>
          <w:lang w:eastAsia="cs-CZ"/>
        </w:rPr>
        <w:t>č</w:t>
      </w:r>
      <w:r w:rsidRPr="00461C16">
        <w:rPr>
          <w:lang w:eastAsia="cs-CZ"/>
        </w:rPr>
        <w:t>ného jednání, p</w:t>
      </w:r>
      <w:r w:rsidRPr="00461C16">
        <w:rPr>
          <w:rFonts w:cs="TimesNewRoman"/>
          <w:lang w:eastAsia="cs-CZ"/>
        </w:rPr>
        <w:t>ř</w:t>
      </w:r>
      <w:r w:rsidRPr="00461C16">
        <w:rPr>
          <w:lang w:eastAsia="cs-CZ"/>
        </w:rPr>
        <w:t>ípadn</w:t>
      </w:r>
      <w:r w:rsidRPr="00461C16">
        <w:rPr>
          <w:rFonts w:cs="TimesNewRoman"/>
          <w:lang w:eastAsia="cs-CZ"/>
        </w:rPr>
        <w:t xml:space="preserve">ě </w:t>
      </w:r>
      <w:r w:rsidRPr="00461C16">
        <w:rPr>
          <w:lang w:eastAsia="cs-CZ"/>
        </w:rPr>
        <w:t>upravený návrh pro ú</w:t>
      </w:r>
      <w:r w:rsidRPr="00461C16">
        <w:rPr>
          <w:rFonts w:cs="TimesNewRoman"/>
          <w:lang w:eastAsia="cs-CZ"/>
        </w:rPr>
        <w:t>č</w:t>
      </w:r>
      <w:r w:rsidRPr="00461C16">
        <w:rPr>
          <w:lang w:eastAsia="cs-CZ"/>
        </w:rPr>
        <w:t>ely ve</w:t>
      </w:r>
      <w:r w:rsidRPr="00461C16">
        <w:rPr>
          <w:rFonts w:cs="TimesNewRoman"/>
          <w:lang w:eastAsia="cs-CZ"/>
        </w:rPr>
        <w:t>ř</w:t>
      </w:r>
      <w:r w:rsidRPr="00461C16">
        <w:rPr>
          <w:lang w:eastAsia="cs-CZ"/>
        </w:rPr>
        <w:t>ejného projednání vyhotoven nejmén</w:t>
      </w:r>
      <w:r w:rsidRPr="00461C16">
        <w:rPr>
          <w:rFonts w:cs="TimesNewRoman"/>
          <w:lang w:eastAsia="cs-CZ"/>
        </w:rPr>
        <w:t xml:space="preserve">ě </w:t>
      </w:r>
      <w:r w:rsidRPr="00461C16">
        <w:rPr>
          <w:lang w:eastAsia="cs-CZ"/>
        </w:rPr>
        <w:t>ve dvou tišt</w:t>
      </w:r>
      <w:r w:rsidRPr="00461C16">
        <w:rPr>
          <w:rFonts w:cs="TimesNewRoman"/>
          <w:lang w:eastAsia="cs-CZ"/>
        </w:rPr>
        <w:t>ě</w:t>
      </w:r>
      <w:r w:rsidRPr="00461C16">
        <w:rPr>
          <w:lang w:eastAsia="cs-CZ"/>
        </w:rPr>
        <w:t>ných vyhotoveních (dv</w:t>
      </w:r>
      <w:r w:rsidRPr="00461C16">
        <w:rPr>
          <w:rFonts w:cs="TimesNewRoman"/>
          <w:lang w:eastAsia="cs-CZ"/>
        </w:rPr>
        <w:t xml:space="preserve">ě </w:t>
      </w:r>
      <w:r w:rsidRPr="00461C16">
        <w:rPr>
          <w:lang w:eastAsia="cs-CZ"/>
        </w:rPr>
        <w:t>paré) a v digitální podob</w:t>
      </w:r>
      <w:r w:rsidRPr="00461C16">
        <w:rPr>
          <w:rFonts w:cs="TimesNewRoman"/>
          <w:lang w:eastAsia="cs-CZ"/>
        </w:rPr>
        <w:t>ě</w:t>
      </w:r>
      <w:r w:rsidRPr="00461C16">
        <w:rPr>
          <w:lang w:eastAsia="cs-CZ"/>
        </w:rPr>
        <w:t>, p</w:t>
      </w:r>
      <w:r w:rsidRPr="00461C16">
        <w:rPr>
          <w:rFonts w:cs="TimesNewRoman"/>
          <w:lang w:eastAsia="cs-CZ"/>
        </w:rPr>
        <w:t>ř</w:t>
      </w:r>
      <w:r w:rsidRPr="00461C16">
        <w:rPr>
          <w:lang w:eastAsia="cs-CZ"/>
        </w:rPr>
        <w:t>ípadn</w:t>
      </w:r>
      <w:r w:rsidRPr="00461C16">
        <w:rPr>
          <w:rFonts w:cs="TimesNewRoman"/>
          <w:lang w:eastAsia="cs-CZ"/>
        </w:rPr>
        <w:t xml:space="preserve">ě </w:t>
      </w:r>
      <w:r w:rsidRPr="00461C16">
        <w:rPr>
          <w:lang w:eastAsia="cs-CZ"/>
        </w:rPr>
        <w:t>upravený návrh po projednání (</w:t>
      </w:r>
      <w:r w:rsidRPr="00461C16">
        <w:rPr>
          <w:rFonts w:cs="TimesNewRoman"/>
          <w:lang w:eastAsia="cs-CZ"/>
        </w:rPr>
        <w:t>č</w:t>
      </w:r>
      <w:r w:rsidRPr="00461C16">
        <w:rPr>
          <w:lang w:eastAsia="cs-CZ"/>
        </w:rPr>
        <w:t>istopis) bude vyhotoven a p</w:t>
      </w:r>
      <w:r w:rsidRPr="00461C16">
        <w:rPr>
          <w:rFonts w:cs="TimesNewRoman"/>
          <w:lang w:eastAsia="cs-CZ"/>
        </w:rPr>
        <w:t>ř</w:t>
      </w:r>
      <w:r w:rsidRPr="00461C16">
        <w:rPr>
          <w:lang w:eastAsia="cs-CZ"/>
        </w:rPr>
        <w:t>edán po</w:t>
      </w:r>
      <w:r w:rsidRPr="00461C16">
        <w:rPr>
          <w:rFonts w:cs="TimesNewRoman"/>
          <w:lang w:eastAsia="cs-CZ"/>
        </w:rPr>
        <w:t>ř</w:t>
      </w:r>
      <w:r w:rsidRPr="00461C16">
        <w:rPr>
          <w:lang w:eastAsia="cs-CZ"/>
        </w:rPr>
        <w:t>izovateli nejmén</w:t>
      </w:r>
      <w:r w:rsidRPr="00461C16">
        <w:rPr>
          <w:rFonts w:cs="TimesNewRoman"/>
          <w:lang w:eastAsia="cs-CZ"/>
        </w:rPr>
        <w:t xml:space="preserve">ě </w:t>
      </w:r>
      <w:r w:rsidRPr="00461C16">
        <w:rPr>
          <w:lang w:eastAsia="cs-CZ"/>
        </w:rPr>
        <w:t xml:space="preserve">ve </w:t>
      </w:r>
      <w:r w:rsidRPr="00461C16">
        <w:rPr>
          <w:rFonts w:cs="TimesNewRoman"/>
          <w:lang w:eastAsia="cs-CZ"/>
        </w:rPr>
        <w:t>č</w:t>
      </w:r>
      <w:r w:rsidRPr="00461C16">
        <w:rPr>
          <w:lang w:eastAsia="cs-CZ"/>
        </w:rPr>
        <w:t>ty</w:t>
      </w:r>
      <w:r w:rsidRPr="00461C16">
        <w:rPr>
          <w:rFonts w:cs="TimesNewRoman"/>
          <w:lang w:eastAsia="cs-CZ"/>
        </w:rPr>
        <w:t>ř</w:t>
      </w:r>
      <w:r w:rsidRPr="00461C16">
        <w:rPr>
          <w:lang w:eastAsia="cs-CZ"/>
        </w:rPr>
        <w:t>ech tišt</w:t>
      </w:r>
      <w:r w:rsidRPr="00461C16">
        <w:rPr>
          <w:rFonts w:cs="TimesNewRoman"/>
          <w:lang w:eastAsia="cs-CZ"/>
        </w:rPr>
        <w:t>ě</w:t>
      </w:r>
      <w:r w:rsidRPr="00461C16">
        <w:rPr>
          <w:lang w:eastAsia="cs-CZ"/>
        </w:rPr>
        <w:t>ných vyhotoveních a v digitální podob</w:t>
      </w:r>
      <w:r w:rsidRPr="00461C16">
        <w:rPr>
          <w:rFonts w:cs="TimesNewRoman"/>
          <w:lang w:eastAsia="cs-CZ"/>
        </w:rPr>
        <w:t xml:space="preserve">ě </w:t>
      </w:r>
      <w:r w:rsidRPr="00461C16">
        <w:rPr>
          <w:lang w:eastAsia="cs-CZ"/>
        </w:rPr>
        <w:t>(formát. pdf).</w:t>
      </w:r>
    </w:p>
    <w:p w14:paraId="1E4181B7" w14:textId="77777777" w:rsidR="00944655" w:rsidRPr="00461C16" w:rsidRDefault="00DE0D05" w:rsidP="00944655">
      <w:pPr>
        <w:pStyle w:val="BodyText"/>
        <w:spacing w:before="120" w:after="120"/>
        <w:rPr>
          <w:i/>
          <w:sz w:val="22"/>
          <w:szCs w:val="22"/>
        </w:rPr>
      </w:pPr>
      <w:r w:rsidRPr="00461C16">
        <w:rPr>
          <w:i/>
          <w:color w:val="000000"/>
          <w:sz w:val="22"/>
          <w:szCs w:val="22"/>
          <w:shd w:val="clear" w:color="auto" w:fill="FFFFFF"/>
        </w:rPr>
        <w:lastRenderedPageBreak/>
        <w:t xml:space="preserve">Požadavek na formu počet paré dokumentace ÚP je respektován. </w:t>
      </w:r>
    </w:p>
    <w:p w14:paraId="521A12E9" w14:textId="77777777" w:rsidR="00D418B7" w:rsidRPr="00461C16" w:rsidRDefault="00D418B7"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ÚP Hrádek nad Nisou a jeho od</w:t>
      </w:r>
      <w:r w:rsidRPr="00461C16">
        <w:rPr>
          <w:rFonts w:cs="TimesNewRoman"/>
          <w:lang w:eastAsia="cs-CZ"/>
        </w:rPr>
        <w:t>ů</w:t>
      </w:r>
      <w:r w:rsidRPr="00461C16">
        <w:rPr>
          <w:lang w:eastAsia="cs-CZ"/>
        </w:rPr>
        <w:t>vodn</w:t>
      </w:r>
      <w:r w:rsidRPr="00461C16">
        <w:rPr>
          <w:rFonts w:cs="TimesNewRoman"/>
          <w:lang w:eastAsia="cs-CZ"/>
        </w:rPr>
        <w:t>ě</w:t>
      </w:r>
      <w:r w:rsidRPr="00461C16">
        <w:rPr>
          <w:lang w:eastAsia="cs-CZ"/>
        </w:rPr>
        <w:t>ní bude zpracován v souladu s p</w:t>
      </w:r>
      <w:r w:rsidRPr="00461C16">
        <w:rPr>
          <w:rFonts w:cs="TimesNewRoman"/>
          <w:lang w:eastAsia="cs-CZ"/>
        </w:rPr>
        <w:t>ř</w:t>
      </w:r>
      <w:r w:rsidRPr="00461C16">
        <w:rPr>
          <w:lang w:eastAsia="cs-CZ"/>
        </w:rPr>
        <w:t xml:space="preserve">ílohou </w:t>
      </w:r>
      <w:r w:rsidRPr="00461C16">
        <w:rPr>
          <w:rFonts w:cs="TimesNewRoman"/>
          <w:lang w:eastAsia="cs-CZ"/>
        </w:rPr>
        <w:t>č</w:t>
      </w:r>
      <w:r w:rsidRPr="00461C16">
        <w:rPr>
          <w:lang w:eastAsia="cs-CZ"/>
        </w:rPr>
        <w:t>. 7 k vyhlášce v tomto rozsahu:</w:t>
      </w:r>
    </w:p>
    <w:p w14:paraId="4D544EC8" w14:textId="77777777" w:rsidR="00D418B7" w:rsidRPr="00461C16" w:rsidRDefault="00D418B7" w:rsidP="00F22794">
      <w:pPr>
        <w:pStyle w:val="ListParagraph"/>
        <w:autoSpaceDE w:val="0"/>
        <w:autoSpaceDN w:val="0"/>
        <w:adjustRightInd w:val="0"/>
        <w:spacing w:line="240" w:lineRule="auto"/>
        <w:ind w:left="567" w:hanging="65"/>
        <w:rPr>
          <w:b/>
          <w:bCs/>
          <w:lang w:eastAsia="cs-CZ"/>
        </w:rPr>
      </w:pPr>
      <w:r w:rsidRPr="00461C16">
        <w:rPr>
          <w:b/>
          <w:bCs/>
          <w:lang w:eastAsia="cs-CZ"/>
        </w:rPr>
        <w:t>I. Obsah územního plánu</w:t>
      </w:r>
    </w:p>
    <w:p w14:paraId="365F3C34" w14:textId="77777777" w:rsidR="00D418B7" w:rsidRPr="00461C16" w:rsidRDefault="00D418B7" w:rsidP="00C70806">
      <w:pPr>
        <w:pStyle w:val="ListParagraph"/>
        <w:autoSpaceDE w:val="0"/>
        <w:autoSpaceDN w:val="0"/>
        <w:adjustRightInd w:val="0"/>
        <w:spacing w:before="60" w:line="240" w:lineRule="auto"/>
        <w:ind w:left="851" w:firstLine="54"/>
        <w:rPr>
          <w:b/>
          <w:bCs/>
          <w:lang w:eastAsia="cs-CZ"/>
        </w:rPr>
      </w:pPr>
      <w:r w:rsidRPr="00461C16">
        <w:rPr>
          <w:b/>
          <w:bCs/>
          <w:lang w:eastAsia="cs-CZ"/>
        </w:rPr>
        <w:t xml:space="preserve">1) Textová </w:t>
      </w:r>
      <w:r w:rsidRPr="00461C16">
        <w:rPr>
          <w:rFonts w:cs="TimesNewRoman,Bold"/>
          <w:b/>
          <w:bCs/>
          <w:lang w:eastAsia="cs-CZ"/>
        </w:rPr>
        <w:t>č</w:t>
      </w:r>
      <w:r w:rsidRPr="00461C16">
        <w:rPr>
          <w:b/>
          <w:bCs/>
          <w:lang w:eastAsia="cs-CZ"/>
        </w:rPr>
        <w:t>ást ÚP Hrádek nad Nisou bude obsahovat</w:t>
      </w:r>
    </w:p>
    <w:p w14:paraId="7E955FCB"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a) </w:t>
      </w:r>
      <w:r w:rsidR="000A5DB6" w:rsidRPr="00461C16">
        <w:rPr>
          <w:lang w:eastAsia="cs-CZ"/>
        </w:rPr>
        <w:tab/>
      </w:r>
      <w:r w:rsidRPr="00461C16">
        <w:rPr>
          <w:lang w:eastAsia="cs-CZ"/>
        </w:rPr>
        <w:t>vymezení zastav</w:t>
      </w:r>
      <w:r w:rsidRPr="00461C16">
        <w:rPr>
          <w:rFonts w:cs="TimesNewRoman"/>
          <w:lang w:eastAsia="cs-CZ"/>
        </w:rPr>
        <w:t>ě</w:t>
      </w:r>
      <w:r w:rsidRPr="00461C16">
        <w:rPr>
          <w:lang w:eastAsia="cs-CZ"/>
        </w:rPr>
        <w:t>ného území,</w:t>
      </w:r>
    </w:p>
    <w:p w14:paraId="4388E4D5"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b) </w:t>
      </w:r>
      <w:r w:rsidR="000A5DB6" w:rsidRPr="00461C16">
        <w:rPr>
          <w:lang w:eastAsia="cs-CZ"/>
        </w:rPr>
        <w:tab/>
      </w:r>
      <w:r w:rsidRPr="00461C16">
        <w:rPr>
          <w:lang w:eastAsia="cs-CZ"/>
        </w:rPr>
        <w:t>koncepci rozvoje území obce, ochrany a rozvoje jeho hodnot,</w:t>
      </w:r>
    </w:p>
    <w:p w14:paraId="75BFA368"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c) urbanistickou koncepci,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vymezení zastavitelných ploch, ploch p</w:t>
      </w:r>
      <w:r w:rsidRPr="00461C16">
        <w:rPr>
          <w:rFonts w:cs="TimesNewRoman"/>
          <w:lang w:eastAsia="cs-CZ"/>
        </w:rPr>
        <w:t>ř</w:t>
      </w:r>
      <w:r w:rsidRPr="00461C16">
        <w:rPr>
          <w:lang w:eastAsia="cs-CZ"/>
        </w:rPr>
        <w:t>estavby a systému sídelní zelen</w:t>
      </w:r>
      <w:r w:rsidRPr="00461C16">
        <w:rPr>
          <w:rFonts w:cs="TimesNewRoman"/>
          <w:lang w:eastAsia="cs-CZ"/>
        </w:rPr>
        <w:t>ě</w:t>
      </w:r>
      <w:r w:rsidRPr="00461C16">
        <w:rPr>
          <w:lang w:eastAsia="cs-CZ"/>
        </w:rPr>
        <w:t>,</w:t>
      </w:r>
    </w:p>
    <w:p w14:paraId="53ECB96D"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d) </w:t>
      </w:r>
      <w:r w:rsidR="000A5DB6" w:rsidRPr="00461C16">
        <w:rPr>
          <w:lang w:eastAsia="cs-CZ"/>
        </w:rPr>
        <w:tab/>
      </w:r>
      <w:r w:rsidRPr="00461C16">
        <w:rPr>
          <w:lang w:eastAsia="cs-CZ"/>
        </w:rPr>
        <w:t>koncepci ve</w:t>
      </w:r>
      <w:r w:rsidRPr="00461C16">
        <w:rPr>
          <w:rFonts w:cs="TimesNewRoman"/>
          <w:lang w:eastAsia="cs-CZ"/>
        </w:rPr>
        <w:t>ř</w:t>
      </w:r>
      <w:r w:rsidRPr="00461C16">
        <w:rPr>
          <w:lang w:eastAsia="cs-CZ"/>
        </w:rPr>
        <w:t>ejné infrastruktury,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podmínek pro její umís</w:t>
      </w:r>
      <w:r w:rsidRPr="00461C16">
        <w:rPr>
          <w:rFonts w:cs="TimesNewRoman"/>
          <w:lang w:eastAsia="cs-CZ"/>
        </w:rPr>
        <w:t>ť</w:t>
      </w:r>
      <w:r w:rsidRPr="00461C16">
        <w:rPr>
          <w:lang w:eastAsia="cs-CZ"/>
        </w:rPr>
        <w:t>ování,</w:t>
      </w:r>
    </w:p>
    <w:p w14:paraId="3B927320"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e) </w:t>
      </w:r>
      <w:r w:rsidR="000A5DB6" w:rsidRPr="00461C16">
        <w:rPr>
          <w:lang w:eastAsia="cs-CZ"/>
        </w:rPr>
        <w:tab/>
      </w:r>
      <w:r w:rsidRPr="00461C16">
        <w:rPr>
          <w:lang w:eastAsia="cs-CZ"/>
        </w:rPr>
        <w:t>koncepci uspo</w:t>
      </w:r>
      <w:r w:rsidRPr="00461C16">
        <w:rPr>
          <w:rFonts w:cs="TimesNewRoman"/>
          <w:lang w:eastAsia="cs-CZ"/>
        </w:rPr>
        <w:t>ř</w:t>
      </w:r>
      <w:r w:rsidRPr="00461C16">
        <w:rPr>
          <w:lang w:eastAsia="cs-CZ"/>
        </w:rPr>
        <w:t>ádání krajiny,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vymezení ploch a stanovení podmínek pro zm</w:t>
      </w:r>
      <w:r w:rsidRPr="00461C16">
        <w:rPr>
          <w:rFonts w:cs="TimesNewRoman"/>
          <w:lang w:eastAsia="cs-CZ"/>
        </w:rPr>
        <w:t>ě</w:t>
      </w:r>
      <w:r w:rsidRPr="00461C16">
        <w:rPr>
          <w:lang w:eastAsia="cs-CZ"/>
        </w:rPr>
        <w:t>ny v jejich využití, územní systém ekologické stability, prostupnost krajiny, protierozní opat</w:t>
      </w:r>
      <w:r w:rsidRPr="00461C16">
        <w:rPr>
          <w:rFonts w:cs="TimesNewRoman"/>
          <w:lang w:eastAsia="cs-CZ"/>
        </w:rPr>
        <w:t>ř</w:t>
      </w:r>
      <w:r w:rsidRPr="00461C16">
        <w:rPr>
          <w:lang w:eastAsia="cs-CZ"/>
        </w:rPr>
        <w:t>ení, ochranu p</w:t>
      </w:r>
      <w:r w:rsidRPr="00461C16">
        <w:rPr>
          <w:rFonts w:cs="TimesNewRoman"/>
          <w:lang w:eastAsia="cs-CZ"/>
        </w:rPr>
        <w:t>ř</w:t>
      </w:r>
      <w:r w:rsidRPr="00461C16">
        <w:rPr>
          <w:lang w:eastAsia="cs-CZ"/>
        </w:rPr>
        <w:t>ed povodn</w:t>
      </w:r>
      <w:r w:rsidRPr="00461C16">
        <w:rPr>
          <w:rFonts w:cs="TimesNewRoman"/>
          <w:lang w:eastAsia="cs-CZ"/>
        </w:rPr>
        <w:t>ě</w:t>
      </w:r>
      <w:r w:rsidRPr="00461C16">
        <w:rPr>
          <w:lang w:eastAsia="cs-CZ"/>
        </w:rPr>
        <w:t>mi, rekreaci, dobývání nerost</w:t>
      </w:r>
      <w:r w:rsidRPr="00461C16">
        <w:rPr>
          <w:rFonts w:cs="TimesNewRoman"/>
          <w:lang w:eastAsia="cs-CZ"/>
        </w:rPr>
        <w:t xml:space="preserve">ů </w:t>
      </w:r>
      <w:r w:rsidRPr="00461C16">
        <w:rPr>
          <w:lang w:eastAsia="cs-CZ"/>
        </w:rPr>
        <w:t>a podobn</w:t>
      </w:r>
      <w:r w:rsidRPr="00461C16">
        <w:rPr>
          <w:rFonts w:cs="TimesNewRoman"/>
          <w:lang w:eastAsia="cs-CZ"/>
        </w:rPr>
        <w:t>ě</w:t>
      </w:r>
      <w:r w:rsidRPr="00461C16">
        <w:rPr>
          <w:lang w:eastAsia="cs-CZ"/>
        </w:rPr>
        <w:t>,</w:t>
      </w:r>
    </w:p>
    <w:p w14:paraId="7C575502"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f) </w:t>
      </w:r>
      <w:r w:rsidR="000A5DB6" w:rsidRPr="00461C16">
        <w:rPr>
          <w:lang w:eastAsia="cs-CZ"/>
        </w:rPr>
        <w:tab/>
      </w:r>
      <w:r w:rsidRPr="00461C16">
        <w:rPr>
          <w:lang w:eastAsia="cs-CZ"/>
        </w:rPr>
        <w:t>stanovení podmínek pro využití ploch s rozdílným zp</w:t>
      </w:r>
      <w:r w:rsidRPr="00461C16">
        <w:rPr>
          <w:rFonts w:cs="TimesNewRoman"/>
          <w:lang w:eastAsia="cs-CZ"/>
        </w:rPr>
        <w:t>ů</w:t>
      </w:r>
      <w:r w:rsidRPr="00461C16">
        <w:rPr>
          <w:lang w:eastAsia="cs-CZ"/>
        </w:rPr>
        <w:t>sobem využití s ur</w:t>
      </w:r>
      <w:r w:rsidRPr="00461C16">
        <w:rPr>
          <w:rFonts w:cs="TimesNewRoman"/>
          <w:lang w:eastAsia="cs-CZ"/>
        </w:rPr>
        <w:t>č</w:t>
      </w:r>
      <w:r w:rsidRPr="00461C16">
        <w:rPr>
          <w:lang w:eastAsia="cs-CZ"/>
        </w:rPr>
        <w:t>ením p</w:t>
      </w:r>
      <w:r w:rsidRPr="00461C16">
        <w:rPr>
          <w:rFonts w:cs="TimesNewRoman"/>
          <w:lang w:eastAsia="cs-CZ"/>
        </w:rPr>
        <w:t>ř</w:t>
      </w:r>
      <w:r w:rsidRPr="00461C16">
        <w:rPr>
          <w:lang w:eastAsia="cs-CZ"/>
        </w:rPr>
        <w:t>evažujícího ú</w:t>
      </w:r>
      <w:r w:rsidRPr="00461C16">
        <w:rPr>
          <w:rFonts w:cs="TimesNewRoman"/>
          <w:lang w:eastAsia="cs-CZ"/>
        </w:rPr>
        <w:t>č</w:t>
      </w:r>
      <w:r w:rsidRPr="00461C16">
        <w:rPr>
          <w:lang w:eastAsia="cs-CZ"/>
        </w:rPr>
        <w:t>elu využití (hlavní využití), pokud je možné jej stanovit, p</w:t>
      </w:r>
      <w:r w:rsidRPr="00461C16">
        <w:rPr>
          <w:rFonts w:cs="TimesNewRoman"/>
          <w:lang w:eastAsia="cs-CZ"/>
        </w:rPr>
        <w:t>ř</w:t>
      </w:r>
      <w:r w:rsidRPr="00461C16">
        <w:rPr>
          <w:lang w:eastAsia="cs-CZ"/>
        </w:rPr>
        <w:t>ípustného využití, nep</w:t>
      </w:r>
      <w:r w:rsidRPr="00461C16">
        <w:rPr>
          <w:rFonts w:cs="TimesNewRoman"/>
          <w:lang w:eastAsia="cs-CZ"/>
        </w:rPr>
        <w:t>ř</w:t>
      </w:r>
      <w:r w:rsidRPr="00461C16">
        <w:rPr>
          <w:lang w:eastAsia="cs-CZ"/>
        </w:rPr>
        <w:t>ístupného využití, pop</w:t>
      </w:r>
      <w:r w:rsidRPr="00461C16">
        <w:rPr>
          <w:rFonts w:cs="TimesNewRoman"/>
          <w:lang w:eastAsia="cs-CZ"/>
        </w:rPr>
        <w:t>ř</w:t>
      </w:r>
      <w:r w:rsidRPr="00461C16">
        <w:rPr>
          <w:lang w:eastAsia="cs-CZ"/>
        </w:rPr>
        <w:t>ípad</w:t>
      </w:r>
      <w:r w:rsidRPr="00461C16">
        <w:rPr>
          <w:rFonts w:cs="TimesNewRoman"/>
          <w:lang w:eastAsia="cs-CZ"/>
        </w:rPr>
        <w:t xml:space="preserve">ě </w:t>
      </w:r>
      <w:r w:rsidRPr="00461C16">
        <w:rPr>
          <w:lang w:eastAsia="cs-CZ"/>
        </w:rPr>
        <w:t>podmín</w:t>
      </w:r>
      <w:r w:rsidRPr="00461C16">
        <w:rPr>
          <w:rFonts w:cs="TimesNewRoman"/>
          <w:lang w:eastAsia="cs-CZ"/>
        </w:rPr>
        <w:t>ě</w:t>
      </w:r>
      <w:r w:rsidRPr="00461C16">
        <w:rPr>
          <w:lang w:eastAsia="cs-CZ"/>
        </w:rPr>
        <w:t>n</w:t>
      </w:r>
      <w:r w:rsidRPr="00461C16">
        <w:rPr>
          <w:rFonts w:cs="TimesNewRoman"/>
          <w:lang w:eastAsia="cs-CZ"/>
        </w:rPr>
        <w:t>ě</w:t>
      </w:r>
      <w:r w:rsidRPr="00461C16">
        <w:rPr>
          <w:lang w:eastAsia="cs-CZ"/>
        </w:rPr>
        <w:t xml:space="preserve"> p</w:t>
      </w:r>
      <w:r w:rsidRPr="00461C16">
        <w:rPr>
          <w:rFonts w:cs="TimesNewRoman"/>
          <w:lang w:eastAsia="cs-CZ"/>
        </w:rPr>
        <w:t>ř</w:t>
      </w:r>
      <w:r w:rsidRPr="00461C16">
        <w:rPr>
          <w:lang w:eastAsia="cs-CZ"/>
        </w:rPr>
        <w:t>ístupného využití t</w:t>
      </w:r>
      <w:r w:rsidRPr="00461C16">
        <w:rPr>
          <w:rFonts w:cs="TimesNewRoman"/>
          <w:lang w:eastAsia="cs-CZ"/>
        </w:rPr>
        <w:t>ě</w:t>
      </w:r>
      <w:r w:rsidRPr="00461C16">
        <w:rPr>
          <w:lang w:eastAsia="cs-CZ"/>
        </w:rPr>
        <w:t>chto ploch a stanovení podmínek prostorového uspo</w:t>
      </w:r>
      <w:r w:rsidRPr="00461C16">
        <w:rPr>
          <w:rFonts w:cs="TimesNewRoman"/>
          <w:lang w:eastAsia="cs-CZ"/>
        </w:rPr>
        <w:t>ř</w:t>
      </w:r>
      <w:r w:rsidRPr="00461C16">
        <w:rPr>
          <w:lang w:eastAsia="cs-CZ"/>
        </w:rPr>
        <w:t>ádání,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základních podmínek ochrany krajinného rázu (nap</w:t>
      </w:r>
      <w:r w:rsidRPr="00461C16">
        <w:rPr>
          <w:rFonts w:cs="TimesNewRoman"/>
          <w:lang w:eastAsia="cs-CZ"/>
        </w:rPr>
        <w:t>ř</w:t>
      </w:r>
      <w:r w:rsidRPr="00461C16">
        <w:rPr>
          <w:lang w:eastAsia="cs-CZ"/>
        </w:rPr>
        <w:t>íklad výškové regulace zástavby, intenzity využití pozemk</w:t>
      </w:r>
      <w:r w:rsidRPr="00461C16">
        <w:rPr>
          <w:rFonts w:cs="TimesNewRoman"/>
          <w:lang w:eastAsia="cs-CZ"/>
        </w:rPr>
        <w:t xml:space="preserve">ů </w:t>
      </w:r>
      <w:r w:rsidRPr="00461C16">
        <w:rPr>
          <w:lang w:eastAsia="cs-CZ"/>
        </w:rPr>
        <w:t>v plochách),</w:t>
      </w:r>
    </w:p>
    <w:p w14:paraId="3D652B62"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g) </w:t>
      </w:r>
      <w:r w:rsidR="000A5DB6" w:rsidRPr="00461C16">
        <w:rPr>
          <w:lang w:eastAsia="cs-CZ"/>
        </w:rPr>
        <w:tab/>
      </w:r>
      <w:r w:rsidRPr="00461C16">
        <w:rPr>
          <w:lang w:eastAsia="cs-CZ"/>
        </w:rPr>
        <w:t>vymezení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šných staveb,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šných opat</w:t>
      </w:r>
      <w:r w:rsidRPr="00461C16">
        <w:rPr>
          <w:rFonts w:cs="TimesNewRoman"/>
          <w:lang w:eastAsia="cs-CZ"/>
        </w:rPr>
        <w:t>ř</w:t>
      </w:r>
      <w:r w:rsidRPr="00461C16">
        <w:rPr>
          <w:lang w:eastAsia="cs-CZ"/>
        </w:rPr>
        <w:t>ení, staveb a opat</w:t>
      </w:r>
      <w:r w:rsidRPr="00461C16">
        <w:rPr>
          <w:rFonts w:cs="TimesNewRoman"/>
          <w:lang w:eastAsia="cs-CZ"/>
        </w:rPr>
        <w:t>ř</w:t>
      </w:r>
      <w:r w:rsidRPr="00461C16">
        <w:rPr>
          <w:lang w:eastAsia="cs-CZ"/>
        </w:rPr>
        <w:t>ení k zajiš</w:t>
      </w:r>
      <w:r w:rsidRPr="00461C16">
        <w:rPr>
          <w:rFonts w:cs="TimesNewRoman"/>
          <w:lang w:eastAsia="cs-CZ"/>
        </w:rPr>
        <w:t>ť</w:t>
      </w:r>
      <w:r w:rsidRPr="00461C16">
        <w:rPr>
          <w:lang w:eastAsia="cs-CZ"/>
        </w:rPr>
        <w:t>ování obrany a bezpe</w:t>
      </w:r>
      <w:r w:rsidRPr="00461C16">
        <w:rPr>
          <w:rFonts w:cs="TimesNewRoman"/>
          <w:lang w:eastAsia="cs-CZ"/>
        </w:rPr>
        <w:t>č</w:t>
      </w:r>
      <w:r w:rsidRPr="00461C16">
        <w:rPr>
          <w:lang w:eastAsia="cs-CZ"/>
        </w:rPr>
        <w:t>nosti státu a ploch pro asanaci, pro které lze práva k pozemk</w:t>
      </w:r>
      <w:r w:rsidRPr="00461C16">
        <w:rPr>
          <w:rFonts w:cs="TimesNewRoman"/>
          <w:lang w:eastAsia="cs-CZ"/>
        </w:rPr>
        <w:t>ů</w:t>
      </w:r>
      <w:r w:rsidRPr="00461C16">
        <w:rPr>
          <w:lang w:eastAsia="cs-CZ"/>
        </w:rPr>
        <w:t>m a stavbám vyvlastnit,</w:t>
      </w:r>
    </w:p>
    <w:p w14:paraId="6D3E199A"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h) </w:t>
      </w:r>
      <w:r w:rsidR="000A5DB6" w:rsidRPr="00461C16">
        <w:rPr>
          <w:lang w:eastAsia="cs-CZ"/>
        </w:rPr>
        <w:tab/>
      </w:r>
      <w:r w:rsidRPr="00461C16">
        <w:rPr>
          <w:lang w:eastAsia="cs-CZ"/>
        </w:rPr>
        <w:t>vymezení dalších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šných staveb a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šných opat</w:t>
      </w:r>
      <w:r w:rsidRPr="00461C16">
        <w:rPr>
          <w:rFonts w:cs="TimesNewRoman"/>
          <w:lang w:eastAsia="cs-CZ"/>
        </w:rPr>
        <w:t>ř</w:t>
      </w:r>
      <w:r w:rsidRPr="00461C16">
        <w:rPr>
          <w:lang w:eastAsia="cs-CZ"/>
        </w:rPr>
        <w:t>ení, pro které lze uplatnit p</w:t>
      </w:r>
      <w:r w:rsidRPr="00461C16">
        <w:rPr>
          <w:rFonts w:cs="TimesNewRoman"/>
          <w:lang w:eastAsia="cs-CZ"/>
        </w:rPr>
        <w:t>ř</w:t>
      </w:r>
      <w:r w:rsidRPr="00461C16">
        <w:rPr>
          <w:lang w:eastAsia="cs-CZ"/>
        </w:rPr>
        <w:t>edkupní právo,</w:t>
      </w:r>
    </w:p>
    <w:p w14:paraId="02692255"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i) </w:t>
      </w:r>
      <w:r w:rsidR="000A5DB6" w:rsidRPr="00461C16">
        <w:rPr>
          <w:lang w:eastAsia="cs-CZ"/>
        </w:rPr>
        <w:tab/>
      </w:r>
      <w:r w:rsidRPr="00461C16">
        <w:rPr>
          <w:lang w:eastAsia="cs-CZ"/>
        </w:rPr>
        <w:t>údaje o po</w:t>
      </w:r>
      <w:r w:rsidRPr="00461C16">
        <w:rPr>
          <w:rFonts w:cs="TimesNewRoman"/>
          <w:lang w:eastAsia="cs-CZ"/>
        </w:rPr>
        <w:t>č</w:t>
      </w:r>
      <w:r w:rsidRPr="00461C16">
        <w:rPr>
          <w:lang w:eastAsia="cs-CZ"/>
        </w:rPr>
        <w:t>tu list</w:t>
      </w:r>
      <w:r w:rsidRPr="00461C16">
        <w:rPr>
          <w:rFonts w:cs="TimesNewRoman"/>
          <w:lang w:eastAsia="cs-CZ"/>
        </w:rPr>
        <w:t xml:space="preserve">ů </w:t>
      </w:r>
      <w:r w:rsidRPr="00461C16">
        <w:rPr>
          <w:lang w:eastAsia="cs-CZ"/>
        </w:rPr>
        <w:t>územního plánu a po</w:t>
      </w:r>
      <w:r w:rsidRPr="00461C16">
        <w:rPr>
          <w:rFonts w:cs="TimesNewRoman"/>
          <w:lang w:eastAsia="cs-CZ"/>
        </w:rPr>
        <w:t>č</w:t>
      </w:r>
      <w:r w:rsidRPr="00461C16">
        <w:rPr>
          <w:lang w:eastAsia="cs-CZ"/>
        </w:rPr>
        <w:t>tu výkres</w:t>
      </w:r>
      <w:r w:rsidRPr="00461C16">
        <w:rPr>
          <w:rFonts w:cs="TimesNewRoman"/>
          <w:lang w:eastAsia="cs-CZ"/>
        </w:rPr>
        <w:t xml:space="preserve">ů </w:t>
      </w:r>
      <w:r w:rsidRPr="00461C16">
        <w:rPr>
          <w:lang w:eastAsia="cs-CZ"/>
        </w:rPr>
        <w:t>k n</w:t>
      </w:r>
      <w:r w:rsidRPr="00461C16">
        <w:rPr>
          <w:rFonts w:cs="TimesNewRoman"/>
          <w:lang w:eastAsia="cs-CZ"/>
        </w:rPr>
        <w:t>ě</w:t>
      </w:r>
      <w:r w:rsidRPr="00461C16">
        <w:rPr>
          <w:lang w:eastAsia="cs-CZ"/>
        </w:rPr>
        <w:t>mu p</w:t>
      </w:r>
      <w:r w:rsidRPr="00461C16">
        <w:rPr>
          <w:rFonts w:cs="TimesNewRoman"/>
          <w:lang w:eastAsia="cs-CZ"/>
        </w:rPr>
        <w:t>ř</w:t>
      </w:r>
      <w:r w:rsidRPr="00461C16">
        <w:rPr>
          <w:lang w:eastAsia="cs-CZ"/>
        </w:rPr>
        <w:t xml:space="preserve">ipojené grafické </w:t>
      </w:r>
      <w:r w:rsidRPr="00461C16">
        <w:rPr>
          <w:rFonts w:cs="TimesNewRoman"/>
          <w:lang w:eastAsia="cs-CZ"/>
        </w:rPr>
        <w:t>č</w:t>
      </w:r>
      <w:r w:rsidRPr="00461C16">
        <w:rPr>
          <w:lang w:eastAsia="cs-CZ"/>
        </w:rPr>
        <w:t>ásti,</w:t>
      </w:r>
    </w:p>
    <w:p w14:paraId="1656D440" w14:textId="77777777" w:rsidR="00CF7AA9" w:rsidRPr="00461C16" w:rsidRDefault="00CF7AA9" w:rsidP="00E47804">
      <w:pPr>
        <w:autoSpaceDE w:val="0"/>
        <w:autoSpaceDN w:val="0"/>
        <w:adjustRightInd w:val="0"/>
        <w:spacing w:line="240" w:lineRule="auto"/>
        <w:ind w:left="2160"/>
        <w:rPr>
          <w:lang w:eastAsia="cs-CZ"/>
        </w:rPr>
      </w:pPr>
    </w:p>
    <w:p w14:paraId="1C1945AA" w14:textId="77777777" w:rsidR="00D418B7" w:rsidRPr="00461C16" w:rsidRDefault="00D418B7" w:rsidP="00C70806">
      <w:pPr>
        <w:autoSpaceDE w:val="0"/>
        <w:autoSpaceDN w:val="0"/>
        <w:adjustRightInd w:val="0"/>
        <w:spacing w:before="120" w:line="240" w:lineRule="auto"/>
        <w:ind w:left="851"/>
        <w:rPr>
          <w:b/>
          <w:bCs/>
          <w:lang w:eastAsia="cs-CZ"/>
        </w:rPr>
      </w:pPr>
      <w:r w:rsidRPr="00461C16">
        <w:rPr>
          <w:b/>
          <w:bCs/>
          <w:lang w:eastAsia="cs-CZ"/>
        </w:rPr>
        <w:t>2) Pokud je to ú</w:t>
      </w:r>
      <w:r w:rsidRPr="00461C16">
        <w:rPr>
          <w:rFonts w:cs="TimesNewRoman,Bold"/>
          <w:b/>
          <w:bCs/>
          <w:lang w:eastAsia="cs-CZ"/>
        </w:rPr>
        <w:t>č</w:t>
      </w:r>
      <w:r w:rsidRPr="00461C16">
        <w:rPr>
          <w:b/>
          <w:bCs/>
          <w:lang w:eastAsia="cs-CZ"/>
        </w:rPr>
        <w:t xml:space="preserve">elné, textová </w:t>
      </w:r>
      <w:r w:rsidRPr="00461C16">
        <w:rPr>
          <w:rFonts w:cs="TimesNewRoman,Bold"/>
          <w:b/>
          <w:bCs/>
          <w:lang w:eastAsia="cs-CZ"/>
        </w:rPr>
        <w:t>č</w:t>
      </w:r>
      <w:r w:rsidRPr="00461C16">
        <w:rPr>
          <w:b/>
          <w:bCs/>
          <w:lang w:eastAsia="cs-CZ"/>
        </w:rPr>
        <w:t>ást územního plánu bude dále obsahovat</w:t>
      </w:r>
    </w:p>
    <w:p w14:paraId="10924DE6"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a) </w:t>
      </w:r>
      <w:r w:rsidR="000A5DB6" w:rsidRPr="00461C16">
        <w:rPr>
          <w:lang w:eastAsia="cs-CZ"/>
        </w:rPr>
        <w:tab/>
      </w:r>
      <w:r w:rsidRPr="00461C16">
        <w:rPr>
          <w:lang w:eastAsia="cs-CZ"/>
        </w:rPr>
        <w:t>vymezení ploch a koridor</w:t>
      </w:r>
      <w:r w:rsidRPr="00461C16">
        <w:rPr>
          <w:rFonts w:cs="TimesNewRoman"/>
          <w:lang w:eastAsia="cs-CZ"/>
        </w:rPr>
        <w:t xml:space="preserve">ů </w:t>
      </w:r>
      <w:r w:rsidRPr="00461C16">
        <w:rPr>
          <w:lang w:eastAsia="cs-CZ"/>
        </w:rPr>
        <w:t>územních rezerv a stanovení možného budoucího využití,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podmínek pro jeho prov</w:t>
      </w:r>
      <w:r w:rsidRPr="00461C16">
        <w:rPr>
          <w:rFonts w:cs="TimesNewRoman"/>
          <w:lang w:eastAsia="cs-CZ"/>
        </w:rPr>
        <w:t>ěř</w:t>
      </w:r>
      <w:r w:rsidRPr="00461C16">
        <w:rPr>
          <w:lang w:eastAsia="cs-CZ"/>
        </w:rPr>
        <w:t>ení,</w:t>
      </w:r>
    </w:p>
    <w:p w14:paraId="57C31A70"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b) </w:t>
      </w:r>
      <w:r w:rsidR="000A5DB6" w:rsidRPr="00461C16">
        <w:rPr>
          <w:lang w:eastAsia="cs-CZ"/>
        </w:rPr>
        <w:tab/>
      </w:r>
      <w:r w:rsidRPr="00461C16">
        <w:rPr>
          <w:lang w:eastAsia="cs-CZ"/>
        </w:rPr>
        <w:t>vymezení ploch a koridor</w:t>
      </w:r>
      <w:r w:rsidRPr="00461C16">
        <w:rPr>
          <w:rFonts w:cs="TimesNewRoman"/>
          <w:lang w:eastAsia="cs-CZ"/>
        </w:rPr>
        <w:t>ů</w:t>
      </w:r>
      <w:r w:rsidRPr="00461C16">
        <w:rPr>
          <w:lang w:eastAsia="cs-CZ"/>
        </w:rPr>
        <w:t>, ve kterých je prov</w:t>
      </w:r>
      <w:r w:rsidRPr="00461C16">
        <w:rPr>
          <w:rFonts w:cs="TimesNewRoman"/>
          <w:lang w:eastAsia="cs-CZ"/>
        </w:rPr>
        <w:t>ěř</w:t>
      </w:r>
      <w:r w:rsidRPr="00461C16">
        <w:rPr>
          <w:lang w:eastAsia="cs-CZ"/>
        </w:rPr>
        <w:t>ení zm</w:t>
      </w:r>
      <w:r w:rsidRPr="00461C16">
        <w:rPr>
          <w:rFonts w:cs="TimesNewRoman"/>
          <w:lang w:eastAsia="cs-CZ"/>
        </w:rPr>
        <w:t>ě</w:t>
      </w:r>
      <w:r w:rsidRPr="00461C16">
        <w:rPr>
          <w:lang w:eastAsia="cs-CZ"/>
        </w:rPr>
        <w:t>n jejich využití územní studií podmínkou pro rozhodování, a dále stanovení lh</w:t>
      </w:r>
      <w:r w:rsidRPr="00461C16">
        <w:rPr>
          <w:rFonts w:cs="TimesNewRoman"/>
          <w:lang w:eastAsia="cs-CZ"/>
        </w:rPr>
        <w:t>ů</w:t>
      </w:r>
      <w:r w:rsidRPr="00461C16">
        <w:rPr>
          <w:lang w:eastAsia="cs-CZ"/>
        </w:rPr>
        <w:t>ty pro po</w:t>
      </w:r>
      <w:r w:rsidRPr="00461C16">
        <w:rPr>
          <w:rFonts w:cs="TimesNewRoman"/>
          <w:lang w:eastAsia="cs-CZ"/>
        </w:rPr>
        <w:t>ř</w:t>
      </w:r>
      <w:r w:rsidRPr="00461C16">
        <w:rPr>
          <w:lang w:eastAsia="cs-CZ"/>
        </w:rPr>
        <w:t>ízení územní studie, její schválení po</w:t>
      </w:r>
      <w:r w:rsidRPr="00461C16">
        <w:rPr>
          <w:rFonts w:cs="TimesNewRoman"/>
          <w:lang w:eastAsia="cs-CZ"/>
        </w:rPr>
        <w:t>ř</w:t>
      </w:r>
      <w:r w:rsidRPr="00461C16">
        <w:rPr>
          <w:lang w:eastAsia="cs-CZ"/>
        </w:rPr>
        <w:t>izovatelem a vložení dat o této studii do evidence územn</w:t>
      </w:r>
      <w:r w:rsidRPr="00461C16">
        <w:rPr>
          <w:rFonts w:cs="TimesNewRoman"/>
          <w:lang w:eastAsia="cs-CZ"/>
        </w:rPr>
        <w:t xml:space="preserve">ě </w:t>
      </w:r>
      <w:r w:rsidRPr="00461C16">
        <w:rPr>
          <w:lang w:eastAsia="cs-CZ"/>
        </w:rPr>
        <w:t xml:space="preserve">plánovací </w:t>
      </w:r>
      <w:r w:rsidRPr="00461C16">
        <w:rPr>
          <w:rFonts w:cs="TimesNewRoman"/>
          <w:lang w:eastAsia="cs-CZ"/>
        </w:rPr>
        <w:t>č</w:t>
      </w:r>
      <w:r w:rsidRPr="00461C16">
        <w:rPr>
          <w:lang w:eastAsia="cs-CZ"/>
        </w:rPr>
        <w:t>innosti,</w:t>
      </w:r>
    </w:p>
    <w:p w14:paraId="72DA2921"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c) </w:t>
      </w:r>
      <w:r w:rsidR="000A5DB6" w:rsidRPr="00461C16">
        <w:rPr>
          <w:lang w:eastAsia="cs-CZ"/>
        </w:rPr>
        <w:tab/>
      </w:r>
      <w:r w:rsidRPr="00461C16">
        <w:rPr>
          <w:lang w:eastAsia="cs-CZ"/>
        </w:rPr>
        <w:t>vymezení ploch a koridor</w:t>
      </w:r>
      <w:r w:rsidRPr="00461C16">
        <w:rPr>
          <w:rFonts w:cs="TimesNewRoman"/>
          <w:lang w:eastAsia="cs-CZ"/>
        </w:rPr>
        <w:t>ů</w:t>
      </w:r>
      <w:r w:rsidRPr="00461C16">
        <w:rPr>
          <w:lang w:eastAsia="cs-CZ"/>
        </w:rPr>
        <w:t>, ve kterých je po</w:t>
      </w:r>
      <w:r w:rsidRPr="00461C16">
        <w:rPr>
          <w:rFonts w:cs="TimesNewRoman"/>
          <w:lang w:eastAsia="cs-CZ"/>
        </w:rPr>
        <w:t>ř</w:t>
      </w:r>
      <w:r w:rsidRPr="00461C16">
        <w:rPr>
          <w:lang w:eastAsia="cs-CZ"/>
        </w:rPr>
        <w:t>ízení a vydání regula</w:t>
      </w:r>
      <w:r w:rsidRPr="00461C16">
        <w:rPr>
          <w:rFonts w:cs="TimesNewRoman"/>
          <w:lang w:eastAsia="cs-CZ"/>
        </w:rPr>
        <w:t>č</w:t>
      </w:r>
      <w:r w:rsidRPr="00461C16">
        <w:rPr>
          <w:lang w:eastAsia="cs-CZ"/>
        </w:rPr>
        <w:t>ního plánu podmínkou pro rozhodování o zm</w:t>
      </w:r>
      <w:r w:rsidRPr="00461C16">
        <w:rPr>
          <w:rFonts w:cs="TimesNewRoman"/>
          <w:lang w:eastAsia="cs-CZ"/>
        </w:rPr>
        <w:t>ě</w:t>
      </w:r>
      <w:r w:rsidRPr="00461C16">
        <w:rPr>
          <w:lang w:eastAsia="cs-CZ"/>
        </w:rPr>
        <w:t>nách jejich využití a zadaní regula</w:t>
      </w:r>
      <w:r w:rsidRPr="00461C16">
        <w:rPr>
          <w:rFonts w:cs="TimesNewRoman"/>
          <w:lang w:eastAsia="cs-CZ"/>
        </w:rPr>
        <w:t>č</w:t>
      </w:r>
      <w:r w:rsidRPr="00461C16">
        <w:rPr>
          <w:lang w:eastAsia="cs-CZ"/>
        </w:rPr>
        <w:t>ního plánu v rozsahu dle p</w:t>
      </w:r>
      <w:r w:rsidRPr="00461C16">
        <w:rPr>
          <w:rFonts w:cs="TimesNewRoman"/>
          <w:lang w:eastAsia="cs-CZ"/>
        </w:rPr>
        <w:t>ř</w:t>
      </w:r>
      <w:r w:rsidRPr="00461C16">
        <w:rPr>
          <w:lang w:eastAsia="cs-CZ"/>
        </w:rPr>
        <w:t xml:space="preserve">ílohy </w:t>
      </w:r>
      <w:r w:rsidRPr="00461C16">
        <w:rPr>
          <w:rFonts w:cs="TimesNewRoman"/>
          <w:lang w:eastAsia="cs-CZ"/>
        </w:rPr>
        <w:t>č</w:t>
      </w:r>
      <w:r w:rsidRPr="00461C16">
        <w:rPr>
          <w:lang w:eastAsia="cs-CZ"/>
        </w:rPr>
        <w:t>. 9,</w:t>
      </w:r>
    </w:p>
    <w:p w14:paraId="3668CD27"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d) </w:t>
      </w:r>
      <w:r w:rsidR="000A5DB6" w:rsidRPr="00461C16">
        <w:rPr>
          <w:lang w:eastAsia="cs-CZ"/>
        </w:rPr>
        <w:tab/>
      </w:r>
      <w:r w:rsidRPr="00461C16">
        <w:rPr>
          <w:lang w:eastAsia="cs-CZ"/>
        </w:rPr>
        <w:t>stanovení po</w:t>
      </w:r>
      <w:r w:rsidRPr="00461C16">
        <w:rPr>
          <w:rFonts w:cs="TimesNewRoman"/>
          <w:lang w:eastAsia="cs-CZ"/>
        </w:rPr>
        <w:t>ř</w:t>
      </w:r>
      <w:r w:rsidRPr="00461C16">
        <w:rPr>
          <w:lang w:eastAsia="cs-CZ"/>
        </w:rPr>
        <w:t>adí zm</w:t>
      </w:r>
      <w:r w:rsidRPr="00461C16">
        <w:rPr>
          <w:rFonts w:cs="TimesNewRoman"/>
          <w:lang w:eastAsia="cs-CZ"/>
        </w:rPr>
        <w:t>ě</w:t>
      </w:r>
      <w:r w:rsidRPr="00461C16">
        <w:rPr>
          <w:lang w:eastAsia="cs-CZ"/>
        </w:rPr>
        <w:t>n v území (etapizaci),</w:t>
      </w:r>
    </w:p>
    <w:p w14:paraId="6D9315E0"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e) vymezení architektonicky nebo urbanisticky významných staveb, pro které m</w:t>
      </w:r>
      <w:r w:rsidRPr="00461C16">
        <w:rPr>
          <w:rFonts w:cs="TimesNewRoman"/>
          <w:lang w:eastAsia="cs-CZ"/>
        </w:rPr>
        <w:t>ů</w:t>
      </w:r>
      <w:r w:rsidRPr="00461C16">
        <w:rPr>
          <w:lang w:eastAsia="cs-CZ"/>
        </w:rPr>
        <w:t xml:space="preserve">že vypracovávat architektonickou </w:t>
      </w:r>
      <w:r w:rsidRPr="00461C16">
        <w:rPr>
          <w:rFonts w:cs="TimesNewRoman"/>
          <w:lang w:eastAsia="cs-CZ"/>
        </w:rPr>
        <w:t>č</w:t>
      </w:r>
      <w:r w:rsidRPr="00461C16">
        <w:rPr>
          <w:lang w:eastAsia="cs-CZ"/>
        </w:rPr>
        <w:t xml:space="preserve">ást projektové dokumentace jen autorizovaný architekt dle zákona </w:t>
      </w:r>
      <w:r w:rsidRPr="00461C16">
        <w:rPr>
          <w:rFonts w:cs="TimesNewRoman"/>
          <w:lang w:eastAsia="cs-CZ"/>
        </w:rPr>
        <w:t>č</w:t>
      </w:r>
      <w:r w:rsidRPr="00461C16">
        <w:rPr>
          <w:lang w:eastAsia="cs-CZ"/>
        </w:rPr>
        <w:t>. 360/1992 Sb., o výkonu povolání autorizovaných architekt</w:t>
      </w:r>
      <w:r w:rsidRPr="00461C16">
        <w:rPr>
          <w:rFonts w:cs="TimesNewRoman"/>
          <w:lang w:eastAsia="cs-CZ"/>
        </w:rPr>
        <w:t xml:space="preserve">ů </w:t>
      </w:r>
      <w:r w:rsidRPr="00461C16">
        <w:rPr>
          <w:lang w:eastAsia="cs-CZ"/>
        </w:rPr>
        <w:t>a o výkonu autorizovaných inženýr</w:t>
      </w:r>
      <w:r w:rsidRPr="00461C16">
        <w:rPr>
          <w:rFonts w:cs="TimesNewRoman"/>
          <w:lang w:eastAsia="cs-CZ"/>
        </w:rPr>
        <w:t xml:space="preserve">ů </w:t>
      </w:r>
      <w:r w:rsidRPr="00461C16">
        <w:rPr>
          <w:lang w:eastAsia="cs-CZ"/>
        </w:rPr>
        <w:t>technik</w:t>
      </w:r>
      <w:r w:rsidRPr="00461C16">
        <w:rPr>
          <w:rFonts w:cs="TimesNewRoman"/>
          <w:lang w:eastAsia="cs-CZ"/>
        </w:rPr>
        <w:t>ů</w:t>
      </w:r>
      <w:r w:rsidRPr="00461C16">
        <w:rPr>
          <w:lang w:eastAsia="cs-CZ"/>
        </w:rPr>
        <w:t xml:space="preserve"> </w:t>
      </w:r>
      <w:r w:rsidRPr="00461C16">
        <w:rPr>
          <w:rFonts w:cs="TimesNewRoman"/>
          <w:lang w:eastAsia="cs-CZ"/>
        </w:rPr>
        <w:t>č</w:t>
      </w:r>
      <w:r w:rsidRPr="00461C16">
        <w:rPr>
          <w:lang w:eastAsia="cs-CZ"/>
        </w:rPr>
        <w:t>inných ve výstavb</w:t>
      </w:r>
      <w:r w:rsidRPr="00461C16">
        <w:rPr>
          <w:rFonts w:cs="TimesNewRoman"/>
          <w:lang w:eastAsia="cs-CZ"/>
        </w:rPr>
        <w:t>ě</w:t>
      </w:r>
      <w:r w:rsidRPr="00461C16">
        <w:rPr>
          <w:lang w:eastAsia="cs-CZ"/>
        </w:rPr>
        <w:t>,</w:t>
      </w:r>
    </w:p>
    <w:p w14:paraId="3EBB21DE" w14:textId="77777777" w:rsidR="00D418B7" w:rsidRPr="00461C16" w:rsidRDefault="00D418B7" w:rsidP="00C70806">
      <w:pPr>
        <w:autoSpaceDE w:val="0"/>
        <w:autoSpaceDN w:val="0"/>
        <w:adjustRightInd w:val="0"/>
        <w:spacing w:before="60" w:line="240" w:lineRule="auto"/>
        <w:ind w:left="1134"/>
        <w:rPr>
          <w:lang w:eastAsia="cs-CZ"/>
        </w:rPr>
      </w:pPr>
      <w:r w:rsidRPr="00461C16">
        <w:rPr>
          <w:lang w:eastAsia="cs-CZ"/>
        </w:rPr>
        <w:t xml:space="preserve">f) </w:t>
      </w:r>
      <w:r w:rsidR="000A5DB6" w:rsidRPr="00461C16">
        <w:rPr>
          <w:lang w:eastAsia="cs-CZ"/>
        </w:rPr>
        <w:tab/>
      </w:r>
      <w:r w:rsidRPr="00461C16">
        <w:rPr>
          <w:lang w:eastAsia="cs-CZ"/>
        </w:rPr>
        <w:t>vymezení staveb nezp</w:t>
      </w:r>
      <w:r w:rsidRPr="00461C16">
        <w:rPr>
          <w:rFonts w:cs="TimesNewRoman"/>
          <w:lang w:eastAsia="cs-CZ"/>
        </w:rPr>
        <w:t>ů</w:t>
      </w:r>
      <w:r w:rsidRPr="00461C16">
        <w:rPr>
          <w:lang w:eastAsia="cs-CZ"/>
        </w:rPr>
        <w:t xml:space="preserve">sobilých pro zkrácené stavební </w:t>
      </w:r>
      <w:r w:rsidRPr="00461C16">
        <w:rPr>
          <w:rFonts w:cs="TimesNewRoman"/>
          <w:lang w:eastAsia="cs-CZ"/>
        </w:rPr>
        <w:t>ř</w:t>
      </w:r>
      <w:r w:rsidRPr="00461C16">
        <w:rPr>
          <w:lang w:eastAsia="cs-CZ"/>
        </w:rPr>
        <w:t>ízení podle § 117 odst. 1 stavebního zákona.</w:t>
      </w:r>
    </w:p>
    <w:p w14:paraId="2C0F2647" w14:textId="77777777" w:rsidR="00CF7AA9" w:rsidRPr="00461C16" w:rsidRDefault="00CF7AA9" w:rsidP="00E47804">
      <w:pPr>
        <w:autoSpaceDE w:val="0"/>
        <w:autoSpaceDN w:val="0"/>
        <w:adjustRightInd w:val="0"/>
        <w:spacing w:line="240" w:lineRule="auto"/>
        <w:ind w:left="2160"/>
        <w:rPr>
          <w:lang w:eastAsia="cs-CZ"/>
        </w:rPr>
      </w:pPr>
    </w:p>
    <w:p w14:paraId="5C3C4975" w14:textId="77777777" w:rsidR="00E47804" w:rsidRPr="00461C16" w:rsidRDefault="00E47804" w:rsidP="00C70806">
      <w:pPr>
        <w:autoSpaceDE w:val="0"/>
        <w:autoSpaceDN w:val="0"/>
        <w:adjustRightInd w:val="0"/>
        <w:spacing w:line="240" w:lineRule="auto"/>
        <w:ind w:left="851"/>
        <w:rPr>
          <w:b/>
          <w:bCs/>
          <w:lang w:eastAsia="cs-CZ"/>
        </w:rPr>
      </w:pPr>
      <w:r w:rsidRPr="00461C16">
        <w:rPr>
          <w:b/>
          <w:bCs/>
          <w:lang w:eastAsia="cs-CZ"/>
        </w:rPr>
        <w:t xml:space="preserve">3) Grafická </w:t>
      </w:r>
      <w:r w:rsidRPr="00461C16">
        <w:rPr>
          <w:rFonts w:cs="TimesNewRoman,Bold"/>
          <w:b/>
          <w:bCs/>
          <w:lang w:eastAsia="cs-CZ"/>
        </w:rPr>
        <w:t>č</w:t>
      </w:r>
      <w:r w:rsidRPr="00461C16">
        <w:rPr>
          <w:b/>
          <w:bCs/>
          <w:lang w:eastAsia="cs-CZ"/>
        </w:rPr>
        <w:t>ást ÚP</w:t>
      </w:r>
      <w:r w:rsidR="00CF7AA9" w:rsidRPr="00461C16">
        <w:rPr>
          <w:b/>
          <w:bCs/>
          <w:lang w:eastAsia="cs-CZ"/>
        </w:rPr>
        <w:t xml:space="preserve"> Hrádek nad Nisou bude obsahovat</w:t>
      </w:r>
    </w:p>
    <w:p w14:paraId="0FDAFB47" w14:textId="77777777" w:rsidR="00E47804" w:rsidRPr="00461C16" w:rsidRDefault="00E47804" w:rsidP="00C70806">
      <w:pPr>
        <w:autoSpaceDE w:val="0"/>
        <w:autoSpaceDN w:val="0"/>
        <w:adjustRightInd w:val="0"/>
        <w:spacing w:before="60" w:line="240" w:lineRule="auto"/>
        <w:ind w:left="1134"/>
        <w:rPr>
          <w:lang w:eastAsia="cs-CZ"/>
        </w:rPr>
      </w:pPr>
      <w:r w:rsidRPr="00461C16">
        <w:rPr>
          <w:lang w:eastAsia="cs-CZ"/>
        </w:rPr>
        <w:t xml:space="preserve">a) výkres základního </w:t>
      </w:r>
      <w:r w:rsidRPr="00461C16">
        <w:rPr>
          <w:rFonts w:cs="TimesNewRoman"/>
          <w:lang w:eastAsia="cs-CZ"/>
        </w:rPr>
        <w:t>č</w:t>
      </w:r>
      <w:r w:rsidRPr="00461C16">
        <w:rPr>
          <w:lang w:eastAsia="cs-CZ"/>
        </w:rPr>
        <w:t>len</w:t>
      </w:r>
      <w:r w:rsidRPr="00461C16">
        <w:rPr>
          <w:rFonts w:cs="TimesNewRoman"/>
          <w:lang w:eastAsia="cs-CZ"/>
        </w:rPr>
        <w:t>ě</w:t>
      </w:r>
      <w:r w:rsidRPr="00461C16">
        <w:rPr>
          <w:lang w:eastAsia="cs-CZ"/>
        </w:rPr>
        <w:t>ní území obsahující vyzna</w:t>
      </w:r>
      <w:r w:rsidRPr="00461C16">
        <w:rPr>
          <w:rFonts w:cs="TimesNewRoman"/>
          <w:lang w:eastAsia="cs-CZ"/>
        </w:rPr>
        <w:t>č</w:t>
      </w:r>
      <w:r w:rsidRPr="00461C16">
        <w:rPr>
          <w:lang w:eastAsia="cs-CZ"/>
        </w:rPr>
        <w:t xml:space="preserve">ení hranic </w:t>
      </w:r>
      <w:r w:rsidRPr="00461C16">
        <w:rPr>
          <w:rFonts w:cs="TimesNewRoman"/>
          <w:lang w:eastAsia="cs-CZ"/>
        </w:rPr>
        <w:t>ř</w:t>
      </w:r>
      <w:r w:rsidRPr="00461C16">
        <w:rPr>
          <w:lang w:eastAsia="cs-CZ"/>
        </w:rPr>
        <w:t>ešeného území, zastav</w:t>
      </w:r>
      <w:r w:rsidRPr="00461C16">
        <w:rPr>
          <w:rFonts w:cs="TimesNewRoman"/>
          <w:lang w:eastAsia="cs-CZ"/>
        </w:rPr>
        <w:t>ě</w:t>
      </w:r>
      <w:r w:rsidRPr="00461C16">
        <w:rPr>
          <w:lang w:eastAsia="cs-CZ"/>
        </w:rPr>
        <w:t>ného území, zastavitelných ploch, ploch p</w:t>
      </w:r>
      <w:r w:rsidRPr="00461C16">
        <w:rPr>
          <w:rFonts w:cs="TimesNewRoman"/>
          <w:lang w:eastAsia="cs-CZ"/>
        </w:rPr>
        <w:t>ř</w:t>
      </w:r>
      <w:r w:rsidRPr="00461C16">
        <w:rPr>
          <w:lang w:eastAsia="cs-CZ"/>
        </w:rPr>
        <w:t>estavby, ploch a koridor</w:t>
      </w:r>
      <w:r w:rsidRPr="00461C16">
        <w:rPr>
          <w:rFonts w:cs="TimesNewRoman"/>
          <w:lang w:eastAsia="cs-CZ"/>
        </w:rPr>
        <w:t xml:space="preserve">ů </w:t>
      </w:r>
      <w:r w:rsidRPr="00461C16">
        <w:rPr>
          <w:lang w:eastAsia="cs-CZ"/>
        </w:rPr>
        <w:t>územních rezerv a ploch a koridor</w:t>
      </w:r>
      <w:r w:rsidRPr="00461C16">
        <w:rPr>
          <w:rFonts w:cs="TimesNewRoman"/>
          <w:lang w:eastAsia="cs-CZ"/>
        </w:rPr>
        <w:t>ů</w:t>
      </w:r>
      <w:r w:rsidRPr="00461C16">
        <w:rPr>
          <w:lang w:eastAsia="cs-CZ"/>
        </w:rPr>
        <w:t>, ve kterých bude uloženo prov</w:t>
      </w:r>
      <w:r w:rsidRPr="00461C16">
        <w:rPr>
          <w:rFonts w:cs="TimesNewRoman"/>
          <w:lang w:eastAsia="cs-CZ"/>
        </w:rPr>
        <w:t>ěř</w:t>
      </w:r>
      <w:r w:rsidRPr="00461C16">
        <w:rPr>
          <w:lang w:eastAsia="cs-CZ"/>
        </w:rPr>
        <w:t>ení zm</w:t>
      </w:r>
      <w:r w:rsidRPr="00461C16">
        <w:rPr>
          <w:rFonts w:cs="TimesNewRoman"/>
          <w:lang w:eastAsia="cs-CZ"/>
        </w:rPr>
        <w:t>ě</w:t>
      </w:r>
      <w:r w:rsidRPr="00461C16">
        <w:rPr>
          <w:lang w:eastAsia="cs-CZ"/>
        </w:rPr>
        <w:t>n jejich využití územní studií nebo ve kterých budou podmínky pro jejich využití stanoveny regula</w:t>
      </w:r>
      <w:r w:rsidRPr="00461C16">
        <w:rPr>
          <w:rFonts w:cs="TimesNewRoman"/>
          <w:lang w:eastAsia="cs-CZ"/>
        </w:rPr>
        <w:t>č</w:t>
      </w:r>
      <w:r w:rsidRPr="00461C16">
        <w:rPr>
          <w:lang w:eastAsia="cs-CZ"/>
        </w:rPr>
        <w:t>ním plánem,</w:t>
      </w:r>
    </w:p>
    <w:p w14:paraId="5EE68A3D" w14:textId="77777777" w:rsidR="00E47804" w:rsidRPr="00461C16" w:rsidRDefault="00E47804" w:rsidP="00C70806">
      <w:pPr>
        <w:autoSpaceDE w:val="0"/>
        <w:autoSpaceDN w:val="0"/>
        <w:adjustRightInd w:val="0"/>
        <w:spacing w:before="60" w:line="240" w:lineRule="auto"/>
        <w:ind w:left="1134"/>
        <w:rPr>
          <w:lang w:eastAsia="cs-CZ"/>
        </w:rPr>
      </w:pPr>
      <w:r w:rsidRPr="00461C16">
        <w:rPr>
          <w:lang w:eastAsia="cs-CZ"/>
        </w:rPr>
        <w:t xml:space="preserve">b) </w:t>
      </w:r>
      <w:r w:rsidR="000A5DB6" w:rsidRPr="00461C16">
        <w:rPr>
          <w:lang w:eastAsia="cs-CZ"/>
        </w:rPr>
        <w:tab/>
      </w:r>
      <w:r w:rsidRPr="00461C16">
        <w:rPr>
          <w:lang w:eastAsia="cs-CZ"/>
        </w:rPr>
        <w:t>hlavní výkres obsahující urbanistickou koncepci, zejména vymezení ploch s rozdílným využití, koncepci ve</w:t>
      </w:r>
      <w:r w:rsidRPr="00461C16">
        <w:rPr>
          <w:rFonts w:cs="TimesNewRoman"/>
          <w:lang w:eastAsia="cs-CZ"/>
        </w:rPr>
        <w:t>ř</w:t>
      </w:r>
      <w:r w:rsidRPr="00461C16">
        <w:rPr>
          <w:lang w:eastAsia="cs-CZ"/>
        </w:rPr>
        <w:t>ejné infrastruktury,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vymezení ploch a koridor</w:t>
      </w:r>
      <w:r w:rsidRPr="00461C16">
        <w:rPr>
          <w:rFonts w:cs="TimesNewRoman"/>
          <w:lang w:eastAsia="cs-CZ"/>
        </w:rPr>
        <w:t xml:space="preserve">ů </w:t>
      </w:r>
      <w:r w:rsidRPr="00461C16">
        <w:rPr>
          <w:lang w:eastAsia="cs-CZ"/>
        </w:rPr>
        <w:t xml:space="preserve">pro dopravní a technickou </w:t>
      </w:r>
      <w:r w:rsidRPr="00461C16">
        <w:rPr>
          <w:lang w:eastAsia="cs-CZ"/>
        </w:rPr>
        <w:lastRenderedPageBreak/>
        <w:t>infrastrukturu, vymezení zastav</w:t>
      </w:r>
      <w:r w:rsidRPr="00461C16">
        <w:rPr>
          <w:rFonts w:cs="TimesNewRoman"/>
          <w:lang w:eastAsia="cs-CZ"/>
        </w:rPr>
        <w:t>ě</w:t>
      </w:r>
      <w:r w:rsidRPr="00461C16">
        <w:rPr>
          <w:lang w:eastAsia="cs-CZ"/>
        </w:rPr>
        <w:t>ného území, zastavitelných ploch a ploch p</w:t>
      </w:r>
      <w:r w:rsidRPr="00461C16">
        <w:rPr>
          <w:rFonts w:cs="TimesNewRoman"/>
          <w:lang w:eastAsia="cs-CZ"/>
        </w:rPr>
        <w:t>ř</w:t>
      </w:r>
      <w:r w:rsidRPr="00461C16">
        <w:rPr>
          <w:lang w:eastAsia="cs-CZ"/>
        </w:rPr>
        <w:t>estavby, ploch a koridor</w:t>
      </w:r>
      <w:r w:rsidRPr="00461C16">
        <w:rPr>
          <w:rFonts w:cs="TimesNewRoman"/>
          <w:lang w:eastAsia="cs-CZ"/>
        </w:rPr>
        <w:t xml:space="preserve">ů </w:t>
      </w:r>
      <w:r w:rsidRPr="00461C16">
        <w:rPr>
          <w:lang w:eastAsia="cs-CZ"/>
        </w:rPr>
        <w:t>pro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šné stavby, pro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šná opat</w:t>
      </w:r>
      <w:r w:rsidRPr="00461C16">
        <w:rPr>
          <w:rFonts w:cs="TimesNewRoman"/>
          <w:lang w:eastAsia="cs-CZ"/>
        </w:rPr>
        <w:t>ř</w:t>
      </w:r>
      <w:r w:rsidRPr="00461C16">
        <w:rPr>
          <w:lang w:eastAsia="cs-CZ"/>
        </w:rPr>
        <w:t>ení a pro územní rezervy; v p</w:t>
      </w:r>
      <w:r w:rsidRPr="00461C16">
        <w:rPr>
          <w:rFonts w:cs="TimesNewRoman"/>
          <w:lang w:eastAsia="cs-CZ"/>
        </w:rPr>
        <w:t>ř</w:t>
      </w:r>
      <w:r w:rsidRPr="00461C16">
        <w:rPr>
          <w:lang w:eastAsia="cs-CZ"/>
        </w:rPr>
        <w:t>ípad</w:t>
      </w:r>
      <w:r w:rsidRPr="00461C16">
        <w:rPr>
          <w:rFonts w:cs="TimesNewRoman"/>
          <w:lang w:eastAsia="cs-CZ"/>
        </w:rPr>
        <w:t xml:space="preserve">ě </w:t>
      </w:r>
      <w:r w:rsidRPr="00461C16">
        <w:rPr>
          <w:lang w:eastAsia="cs-CZ"/>
        </w:rPr>
        <w:t>pot</w:t>
      </w:r>
      <w:r w:rsidRPr="00461C16">
        <w:rPr>
          <w:rFonts w:cs="TimesNewRoman"/>
          <w:lang w:eastAsia="cs-CZ"/>
        </w:rPr>
        <w:t>ř</w:t>
      </w:r>
      <w:r w:rsidRPr="00461C16">
        <w:rPr>
          <w:lang w:eastAsia="cs-CZ"/>
        </w:rPr>
        <w:t>eby lze urbanistickou koncepci, koncepci uspo</w:t>
      </w:r>
      <w:r w:rsidRPr="00461C16">
        <w:rPr>
          <w:rFonts w:cs="TimesNewRoman"/>
          <w:lang w:eastAsia="cs-CZ"/>
        </w:rPr>
        <w:t>ř</w:t>
      </w:r>
      <w:r w:rsidRPr="00461C16">
        <w:rPr>
          <w:lang w:eastAsia="cs-CZ"/>
        </w:rPr>
        <w:t>ádání krajiny a koncepci ve</w:t>
      </w:r>
      <w:r w:rsidRPr="00461C16">
        <w:rPr>
          <w:rFonts w:cs="TimesNewRoman"/>
          <w:lang w:eastAsia="cs-CZ"/>
        </w:rPr>
        <w:t>ř</w:t>
      </w:r>
      <w:r w:rsidRPr="00461C16">
        <w:rPr>
          <w:lang w:eastAsia="cs-CZ"/>
        </w:rPr>
        <w:t>ejné infrastruktury zpracovat v samostatných výkresech,</w:t>
      </w:r>
    </w:p>
    <w:p w14:paraId="4D522FE2" w14:textId="77777777" w:rsidR="00E47804" w:rsidRPr="00461C16" w:rsidRDefault="00E47804" w:rsidP="00C70806">
      <w:pPr>
        <w:autoSpaceDE w:val="0"/>
        <w:autoSpaceDN w:val="0"/>
        <w:adjustRightInd w:val="0"/>
        <w:spacing w:before="60" w:line="240" w:lineRule="auto"/>
        <w:ind w:left="1134"/>
        <w:rPr>
          <w:lang w:eastAsia="cs-CZ"/>
        </w:rPr>
      </w:pPr>
      <w:r w:rsidRPr="00461C16">
        <w:rPr>
          <w:lang w:eastAsia="cs-CZ"/>
        </w:rPr>
        <w:t xml:space="preserve">c) </w:t>
      </w:r>
      <w:r w:rsidR="000A5DB6" w:rsidRPr="00461C16">
        <w:rPr>
          <w:lang w:eastAsia="cs-CZ"/>
        </w:rPr>
        <w:tab/>
      </w:r>
      <w:r w:rsidRPr="00461C16">
        <w:rPr>
          <w:lang w:eastAsia="cs-CZ"/>
        </w:rPr>
        <w:t>výkres ve</w:t>
      </w:r>
      <w:r w:rsidRPr="00461C16">
        <w:rPr>
          <w:rFonts w:cs="TimesNewRoman"/>
          <w:lang w:eastAsia="cs-CZ"/>
        </w:rPr>
        <w:t>ř</w:t>
      </w:r>
      <w:r w:rsidRPr="00461C16">
        <w:rPr>
          <w:lang w:eastAsia="cs-CZ"/>
        </w:rPr>
        <w:t>ejn</w:t>
      </w:r>
      <w:r w:rsidRPr="00461C16">
        <w:rPr>
          <w:rFonts w:cs="TimesNewRoman"/>
          <w:lang w:eastAsia="cs-CZ"/>
        </w:rPr>
        <w:t xml:space="preserve">ě </w:t>
      </w:r>
      <w:r w:rsidRPr="00461C16">
        <w:rPr>
          <w:lang w:eastAsia="cs-CZ"/>
        </w:rPr>
        <w:t>prosp</w:t>
      </w:r>
      <w:r w:rsidRPr="00461C16">
        <w:rPr>
          <w:rFonts w:cs="TimesNewRoman"/>
          <w:lang w:eastAsia="cs-CZ"/>
        </w:rPr>
        <w:t>ě</w:t>
      </w:r>
      <w:r w:rsidRPr="00461C16">
        <w:rPr>
          <w:lang w:eastAsia="cs-CZ"/>
        </w:rPr>
        <w:t>šných staveb, opat</w:t>
      </w:r>
      <w:r w:rsidRPr="00461C16">
        <w:rPr>
          <w:rFonts w:cs="TimesNewRoman"/>
          <w:lang w:eastAsia="cs-CZ"/>
        </w:rPr>
        <w:t>ř</w:t>
      </w:r>
      <w:r w:rsidRPr="00461C16">
        <w:rPr>
          <w:lang w:eastAsia="cs-CZ"/>
        </w:rPr>
        <w:t>ení a asanací,</w:t>
      </w:r>
    </w:p>
    <w:p w14:paraId="6503D641" w14:textId="77777777" w:rsidR="00E47804" w:rsidRPr="00461C16" w:rsidRDefault="00E47804" w:rsidP="00C70806">
      <w:pPr>
        <w:autoSpaceDE w:val="0"/>
        <w:autoSpaceDN w:val="0"/>
        <w:adjustRightInd w:val="0"/>
        <w:spacing w:before="60" w:line="240" w:lineRule="auto"/>
        <w:ind w:left="1134"/>
        <w:rPr>
          <w:lang w:eastAsia="cs-CZ"/>
        </w:rPr>
      </w:pPr>
      <w:r w:rsidRPr="00461C16">
        <w:rPr>
          <w:lang w:eastAsia="cs-CZ"/>
        </w:rPr>
        <w:t xml:space="preserve">d) </w:t>
      </w:r>
      <w:r w:rsidR="000A5DB6" w:rsidRPr="00461C16">
        <w:rPr>
          <w:lang w:eastAsia="cs-CZ"/>
        </w:rPr>
        <w:tab/>
      </w:r>
      <w:r w:rsidRPr="00461C16">
        <w:rPr>
          <w:lang w:eastAsia="cs-CZ"/>
        </w:rPr>
        <w:t>dle pot</w:t>
      </w:r>
      <w:r w:rsidRPr="00461C16">
        <w:rPr>
          <w:rFonts w:cs="TimesNewRoman"/>
          <w:lang w:eastAsia="cs-CZ"/>
        </w:rPr>
        <w:t>ř</w:t>
      </w:r>
      <w:r w:rsidRPr="00461C16">
        <w:rPr>
          <w:lang w:eastAsia="cs-CZ"/>
        </w:rPr>
        <w:t>eby výkres po</w:t>
      </w:r>
      <w:r w:rsidRPr="00461C16">
        <w:rPr>
          <w:rFonts w:cs="TimesNewRoman"/>
          <w:lang w:eastAsia="cs-CZ"/>
        </w:rPr>
        <w:t>ř</w:t>
      </w:r>
      <w:r w:rsidRPr="00461C16">
        <w:rPr>
          <w:lang w:eastAsia="cs-CZ"/>
        </w:rPr>
        <w:t>adí zm</w:t>
      </w:r>
      <w:r w:rsidRPr="00461C16">
        <w:rPr>
          <w:rFonts w:cs="TimesNewRoman"/>
          <w:lang w:eastAsia="cs-CZ"/>
        </w:rPr>
        <w:t>ě</w:t>
      </w:r>
      <w:r w:rsidRPr="00461C16">
        <w:rPr>
          <w:lang w:eastAsia="cs-CZ"/>
        </w:rPr>
        <w:t>n v území (etapizace).</w:t>
      </w:r>
    </w:p>
    <w:p w14:paraId="5F3F5DB1" w14:textId="77777777" w:rsidR="00E47804" w:rsidRPr="00461C16" w:rsidRDefault="00E47804" w:rsidP="00C70806">
      <w:pPr>
        <w:autoSpaceDE w:val="0"/>
        <w:autoSpaceDN w:val="0"/>
        <w:adjustRightInd w:val="0"/>
        <w:spacing w:before="60" w:line="240" w:lineRule="auto"/>
        <w:ind w:left="720" w:firstLine="414"/>
        <w:rPr>
          <w:lang w:eastAsia="cs-CZ"/>
        </w:rPr>
      </w:pPr>
      <w:r w:rsidRPr="00461C16">
        <w:rPr>
          <w:lang w:eastAsia="cs-CZ"/>
        </w:rPr>
        <w:t xml:space="preserve">Grafická </w:t>
      </w:r>
      <w:r w:rsidRPr="00461C16">
        <w:rPr>
          <w:rFonts w:cs="TimesNewRoman"/>
          <w:lang w:eastAsia="cs-CZ"/>
        </w:rPr>
        <w:t>č</w:t>
      </w:r>
      <w:r w:rsidRPr="00461C16">
        <w:rPr>
          <w:lang w:eastAsia="cs-CZ"/>
        </w:rPr>
        <w:t>ást m</w:t>
      </w:r>
      <w:r w:rsidRPr="00461C16">
        <w:rPr>
          <w:rFonts w:cs="TimesNewRoman"/>
          <w:lang w:eastAsia="cs-CZ"/>
        </w:rPr>
        <w:t>ů</w:t>
      </w:r>
      <w:r w:rsidRPr="00461C16">
        <w:rPr>
          <w:lang w:eastAsia="cs-CZ"/>
        </w:rPr>
        <w:t>že být dopln</w:t>
      </w:r>
      <w:r w:rsidRPr="00461C16">
        <w:rPr>
          <w:rFonts w:cs="TimesNewRoman"/>
          <w:lang w:eastAsia="cs-CZ"/>
        </w:rPr>
        <w:t>ě</w:t>
      </w:r>
      <w:r w:rsidRPr="00461C16">
        <w:rPr>
          <w:lang w:eastAsia="cs-CZ"/>
        </w:rPr>
        <w:t>na schématy.</w:t>
      </w:r>
    </w:p>
    <w:p w14:paraId="1CFA4697" w14:textId="77777777" w:rsidR="00C8507F" w:rsidRPr="00461C16" w:rsidRDefault="00C8507F" w:rsidP="00C70806">
      <w:pPr>
        <w:autoSpaceDE w:val="0"/>
        <w:autoSpaceDN w:val="0"/>
        <w:adjustRightInd w:val="0"/>
        <w:spacing w:before="120" w:after="120" w:line="240" w:lineRule="auto"/>
        <w:ind w:firstLine="284"/>
        <w:jc w:val="left"/>
        <w:rPr>
          <w:b/>
          <w:bCs/>
          <w:lang w:eastAsia="cs-CZ"/>
        </w:rPr>
      </w:pPr>
      <w:r w:rsidRPr="00461C16">
        <w:rPr>
          <w:b/>
          <w:bCs/>
          <w:lang w:eastAsia="cs-CZ"/>
        </w:rPr>
        <w:t>II. Obsah od</w:t>
      </w:r>
      <w:r w:rsidRPr="00461C16">
        <w:rPr>
          <w:rFonts w:cs="TimesNewRoman,Bold"/>
          <w:b/>
          <w:bCs/>
          <w:lang w:eastAsia="cs-CZ"/>
        </w:rPr>
        <w:t>ů</w:t>
      </w:r>
      <w:r w:rsidRPr="00461C16">
        <w:rPr>
          <w:b/>
          <w:bCs/>
          <w:lang w:eastAsia="cs-CZ"/>
        </w:rPr>
        <w:t>vodn</w:t>
      </w:r>
      <w:r w:rsidRPr="00461C16">
        <w:rPr>
          <w:rFonts w:cs="TimesNewRoman,Bold"/>
          <w:b/>
          <w:bCs/>
          <w:lang w:eastAsia="cs-CZ"/>
        </w:rPr>
        <w:t>ě</w:t>
      </w:r>
      <w:r w:rsidRPr="00461C16">
        <w:rPr>
          <w:b/>
          <w:bCs/>
          <w:lang w:eastAsia="cs-CZ"/>
        </w:rPr>
        <w:t>ní územního plánu</w:t>
      </w:r>
    </w:p>
    <w:p w14:paraId="4872C8ED" w14:textId="77777777" w:rsidR="00C8507F" w:rsidRPr="00461C16" w:rsidRDefault="00C8507F" w:rsidP="00C70806">
      <w:pPr>
        <w:autoSpaceDE w:val="0"/>
        <w:autoSpaceDN w:val="0"/>
        <w:adjustRightInd w:val="0"/>
        <w:spacing w:before="120" w:after="120" w:line="240" w:lineRule="auto"/>
        <w:ind w:left="851"/>
        <w:jc w:val="left"/>
        <w:rPr>
          <w:b/>
          <w:bCs/>
          <w:lang w:eastAsia="cs-CZ"/>
        </w:rPr>
      </w:pPr>
      <w:r w:rsidRPr="00461C16">
        <w:rPr>
          <w:b/>
          <w:bCs/>
          <w:lang w:eastAsia="cs-CZ"/>
        </w:rPr>
        <w:t xml:space="preserve">4) Textová </w:t>
      </w:r>
      <w:r w:rsidRPr="00461C16">
        <w:rPr>
          <w:rFonts w:cs="TimesNewRoman,Bold"/>
          <w:b/>
          <w:bCs/>
          <w:lang w:eastAsia="cs-CZ"/>
        </w:rPr>
        <w:t>č</w:t>
      </w:r>
      <w:r w:rsidRPr="00461C16">
        <w:rPr>
          <w:b/>
          <w:bCs/>
          <w:lang w:eastAsia="cs-CZ"/>
        </w:rPr>
        <w:t>ást od</w:t>
      </w:r>
      <w:r w:rsidRPr="00461C16">
        <w:rPr>
          <w:rFonts w:cs="TimesNewRoman,Bold"/>
          <w:b/>
          <w:bCs/>
          <w:lang w:eastAsia="cs-CZ"/>
        </w:rPr>
        <w:t>ů</w:t>
      </w:r>
      <w:r w:rsidRPr="00461C16">
        <w:rPr>
          <w:b/>
          <w:bCs/>
          <w:lang w:eastAsia="cs-CZ"/>
        </w:rPr>
        <w:t>vodn</w:t>
      </w:r>
      <w:r w:rsidRPr="00461C16">
        <w:rPr>
          <w:rFonts w:cs="TimesNewRoman,Bold"/>
          <w:b/>
          <w:bCs/>
          <w:lang w:eastAsia="cs-CZ"/>
        </w:rPr>
        <w:t>ě</w:t>
      </w:r>
      <w:r w:rsidRPr="00461C16">
        <w:rPr>
          <w:b/>
          <w:bCs/>
          <w:lang w:eastAsia="cs-CZ"/>
        </w:rPr>
        <w:t xml:space="preserve">ní ÚP Hrádek nad Nisou bude obsahovat </w:t>
      </w:r>
    </w:p>
    <w:p w14:paraId="7692FD2B" w14:textId="77777777" w:rsidR="00C8507F" w:rsidRPr="00461C16" w:rsidRDefault="00C8507F" w:rsidP="00C70806">
      <w:pPr>
        <w:autoSpaceDE w:val="0"/>
        <w:autoSpaceDN w:val="0"/>
        <w:adjustRightInd w:val="0"/>
        <w:spacing w:before="120" w:after="120" w:line="240" w:lineRule="auto"/>
        <w:ind w:left="1134"/>
        <w:jc w:val="left"/>
        <w:rPr>
          <w:b/>
          <w:bCs/>
          <w:lang w:eastAsia="cs-CZ"/>
        </w:rPr>
      </w:pPr>
      <w:r w:rsidRPr="00461C16">
        <w:rPr>
          <w:lang w:eastAsia="cs-CZ"/>
        </w:rPr>
        <w:t>Krom</w:t>
      </w:r>
      <w:r w:rsidRPr="00461C16">
        <w:rPr>
          <w:rFonts w:cs="TimesNewRoman"/>
          <w:lang w:eastAsia="cs-CZ"/>
        </w:rPr>
        <w:t xml:space="preserve">ě </w:t>
      </w:r>
      <w:r w:rsidRPr="00461C16">
        <w:rPr>
          <w:lang w:eastAsia="cs-CZ"/>
        </w:rPr>
        <w:t xml:space="preserve">náležitostí vyplývajících ze správního </w:t>
      </w:r>
      <w:r w:rsidRPr="00461C16">
        <w:rPr>
          <w:rFonts w:cs="TimesNewRoman"/>
          <w:lang w:eastAsia="cs-CZ"/>
        </w:rPr>
        <w:t>ř</w:t>
      </w:r>
      <w:r w:rsidRPr="00461C16">
        <w:rPr>
          <w:lang w:eastAsia="cs-CZ"/>
        </w:rPr>
        <w:t>ádu a náležitostí uvedených v § 53 odst.</w:t>
      </w:r>
      <w:r w:rsidRPr="00461C16">
        <w:rPr>
          <w:b/>
          <w:bCs/>
          <w:lang w:eastAsia="cs-CZ"/>
        </w:rPr>
        <w:t xml:space="preserve"> </w:t>
      </w:r>
      <w:r w:rsidRPr="00461C16">
        <w:rPr>
          <w:lang w:eastAsia="cs-CZ"/>
        </w:rPr>
        <w:t>4 a 5 stavebního zákona, zejména:</w:t>
      </w:r>
    </w:p>
    <w:p w14:paraId="000748FF" w14:textId="77777777" w:rsidR="00C8507F" w:rsidRPr="00461C16" w:rsidRDefault="00C8507F" w:rsidP="00C70806">
      <w:pPr>
        <w:autoSpaceDE w:val="0"/>
        <w:autoSpaceDN w:val="0"/>
        <w:adjustRightInd w:val="0"/>
        <w:spacing w:before="60" w:line="240" w:lineRule="auto"/>
        <w:ind w:left="1418" w:hanging="284"/>
        <w:jc w:val="left"/>
        <w:rPr>
          <w:lang w:eastAsia="cs-CZ"/>
        </w:rPr>
      </w:pPr>
      <w:r w:rsidRPr="00461C16">
        <w:rPr>
          <w:lang w:eastAsia="cs-CZ"/>
        </w:rPr>
        <w:t xml:space="preserve">a) </w:t>
      </w:r>
      <w:r w:rsidR="000A5DB6" w:rsidRPr="00461C16">
        <w:rPr>
          <w:lang w:eastAsia="cs-CZ"/>
        </w:rPr>
        <w:tab/>
      </w:r>
      <w:r w:rsidRPr="00461C16">
        <w:rPr>
          <w:lang w:eastAsia="cs-CZ"/>
        </w:rPr>
        <w:t>vyhodnocení koordinace využívání území z hlediska širších vztah</w:t>
      </w:r>
      <w:r w:rsidRPr="00461C16">
        <w:rPr>
          <w:rFonts w:cs="TimesNewRoman"/>
          <w:lang w:eastAsia="cs-CZ"/>
        </w:rPr>
        <w:t>ů</w:t>
      </w:r>
      <w:r w:rsidR="000A5DB6" w:rsidRPr="00461C16">
        <w:rPr>
          <w:rFonts w:cs="TimesNewRoman"/>
          <w:lang w:eastAsia="cs-CZ"/>
        </w:rPr>
        <w:t xml:space="preserve"> </w:t>
      </w:r>
      <w:r w:rsidRPr="00461C16">
        <w:rPr>
          <w:lang w:eastAsia="cs-CZ"/>
        </w:rPr>
        <w:t>v území, v</w:t>
      </w:r>
      <w:r w:rsidRPr="00461C16">
        <w:rPr>
          <w:rFonts w:cs="TimesNewRoman"/>
          <w:lang w:eastAsia="cs-CZ"/>
        </w:rPr>
        <w:t>č</w:t>
      </w:r>
      <w:r w:rsidRPr="00461C16">
        <w:rPr>
          <w:lang w:eastAsia="cs-CZ"/>
        </w:rPr>
        <w:t>etn</w:t>
      </w:r>
      <w:r w:rsidRPr="00461C16">
        <w:rPr>
          <w:rFonts w:cs="TimesNewRoman"/>
          <w:lang w:eastAsia="cs-CZ"/>
        </w:rPr>
        <w:t xml:space="preserve">ě </w:t>
      </w:r>
      <w:r w:rsidRPr="00461C16">
        <w:rPr>
          <w:lang w:eastAsia="cs-CZ"/>
        </w:rPr>
        <w:t>souladu s územn</w:t>
      </w:r>
      <w:r w:rsidRPr="00461C16">
        <w:rPr>
          <w:rFonts w:cs="TimesNewRoman"/>
          <w:lang w:eastAsia="cs-CZ"/>
        </w:rPr>
        <w:t xml:space="preserve">ě </w:t>
      </w:r>
      <w:r w:rsidRPr="00461C16">
        <w:rPr>
          <w:lang w:eastAsia="cs-CZ"/>
        </w:rPr>
        <w:t>plánovací dokumentací vydanou krajem,</w:t>
      </w:r>
    </w:p>
    <w:p w14:paraId="3288012E" w14:textId="77777777" w:rsidR="00C8507F" w:rsidRPr="00461C16" w:rsidRDefault="00C8507F" w:rsidP="00C70806">
      <w:pPr>
        <w:autoSpaceDE w:val="0"/>
        <w:autoSpaceDN w:val="0"/>
        <w:adjustRightInd w:val="0"/>
        <w:spacing w:before="60" w:line="240" w:lineRule="auto"/>
        <w:ind w:left="1418" w:hanging="284"/>
        <w:jc w:val="left"/>
        <w:rPr>
          <w:lang w:eastAsia="cs-CZ"/>
        </w:rPr>
      </w:pPr>
      <w:r w:rsidRPr="00461C16">
        <w:rPr>
          <w:lang w:eastAsia="cs-CZ"/>
        </w:rPr>
        <w:t xml:space="preserve">b) </w:t>
      </w:r>
      <w:r w:rsidR="000A5DB6" w:rsidRPr="00461C16">
        <w:rPr>
          <w:lang w:eastAsia="cs-CZ"/>
        </w:rPr>
        <w:tab/>
      </w:r>
      <w:r w:rsidRPr="00461C16">
        <w:rPr>
          <w:lang w:eastAsia="cs-CZ"/>
        </w:rPr>
        <w:t>údaje o spln</w:t>
      </w:r>
      <w:r w:rsidRPr="00461C16">
        <w:rPr>
          <w:rFonts w:cs="TimesNewRoman"/>
          <w:lang w:eastAsia="cs-CZ"/>
        </w:rPr>
        <w:t>ě</w:t>
      </w:r>
      <w:r w:rsidRPr="00461C16">
        <w:rPr>
          <w:lang w:eastAsia="cs-CZ"/>
        </w:rPr>
        <w:t>ní zadání, v p</w:t>
      </w:r>
      <w:r w:rsidRPr="00461C16">
        <w:rPr>
          <w:rFonts w:cs="TimesNewRoman"/>
          <w:lang w:eastAsia="cs-CZ"/>
        </w:rPr>
        <w:t>ř</w:t>
      </w:r>
      <w:r w:rsidRPr="00461C16">
        <w:rPr>
          <w:lang w:eastAsia="cs-CZ"/>
        </w:rPr>
        <w:t>ípad</w:t>
      </w:r>
      <w:r w:rsidRPr="00461C16">
        <w:rPr>
          <w:rFonts w:cs="TimesNewRoman"/>
          <w:lang w:eastAsia="cs-CZ"/>
        </w:rPr>
        <w:t xml:space="preserve">ě </w:t>
      </w:r>
      <w:r w:rsidRPr="00461C16">
        <w:rPr>
          <w:lang w:eastAsia="cs-CZ"/>
        </w:rPr>
        <w:t>zpracování konceptu též údaje o spln</w:t>
      </w:r>
      <w:r w:rsidRPr="00461C16">
        <w:rPr>
          <w:rFonts w:cs="TimesNewRoman"/>
          <w:lang w:eastAsia="cs-CZ"/>
        </w:rPr>
        <w:t>ě</w:t>
      </w:r>
      <w:r w:rsidRPr="00461C16">
        <w:rPr>
          <w:lang w:eastAsia="cs-CZ"/>
        </w:rPr>
        <w:t>ní pokyn</w:t>
      </w:r>
      <w:r w:rsidRPr="00461C16">
        <w:rPr>
          <w:rFonts w:cs="TimesNewRoman"/>
          <w:lang w:eastAsia="cs-CZ"/>
        </w:rPr>
        <w:t xml:space="preserve">ů </w:t>
      </w:r>
      <w:r w:rsidRPr="00461C16">
        <w:rPr>
          <w:lang w:eastAsia="cs-CZ"/>
        </w:rPr>
        <w:t>pro zpracování návrhu,</w:t>
      </w:r>
    </w:p>
    <w:p w14:paraId="26A21170" w14:textId="77777777" w:rsidR="00C8507F" w:rsidRPr="00461C16" w:rsidRDefault="00C8507F" w:rsidP="00C70806">
      <w:pPr>
        <w:autoSpaceDE w:val="0"/>
        <w:autoSpaceDN w:val="0"/>
        <w:adjustRightInd w:val="0"/>
        <w:spacing w:before="60" w:line="240" w:lineRule="auto"/>
        <w:ind w:left="1418" w:hanging="284"/>
        <w:jc w:val="left"/>
        <w:rPr>
          <w:lang w:eastAsia="cs-CZ"/>
        </w:rPr>
      </w:pPr>
      <w:r w:rsidRPr="00461C16">
        <w:rPr>
          <w:lang w:eastAsia="cs-CZ"/>
        </w:rPr>
        <w:t xml:space="preserve">c) </w:t>
      </w:r>
      <w:r w:rsidR="000A5DB6" w:rsidRPr="00461C16">
        <w:rPr>
          <w:lang w:eastAsia="cs-CZ"/>
        </w:rPr>
        <w:tab/>
      </w:r>
      <w:r w:rsidRPr="00461C16">
        <w:rPr>
          <w:lang w:eastAsia="cs-CZ"/>
        </w:rPr>
        <w:t>komplexní zd</w:t>
      </w:r>
      <w:r w:rsidRPr="00461C16">
        <w:rPr>
          <w:rFonts w:cs="TimesNewRoman"/>
          <w:lang w:eastAsia="cs-CZ"/>
        </w:rPr>
        <w:t>ů</w:t>
      </w:r>
      <w:r w:rsidRPr="00461C16">
        <w:rPr>
          <w:lang w:eastAsia="cs-CZ"/>
        </w:rPr>
        <w:t>vodn</w:t>
      </w:r>
      <w:r w:rsidRPr="00461C16">
        <w:rPr>
          <w:rFonts w:cs="TimesNewRoman"/>
          <w:lang w:eastAsia="cs-CZ"/>
        </w:rPr>
        <w:t>ě</w:t>
      </w:r>
      <w:r w:rsidRPr="00461C16">
        <w:rPr>
          <w:lang w:eastAsia="cs-CZ"/>
        </w:rPr>
        <w:t>ní p</w:t>
      </w:r>
      <w:r w:rsidRPr="00461C16">
        <w:rPr>
          <w:rFonts w:cs="TimesNewRoman"/>
          <w:lang w:eastAsia="cs-CZ"/>
        </w:rPr>
        <w:t>ř</w:t>
      </w:r>
      <w:r w:rsidRPr="00461C16">
        <w:rPr>
          <w:lang w:eastAsia="cs-CZ"/>
        </w:rPr>
        <w:t xml:space="preserve">ijatého </w:t>
      </w:r>
      <w:r w:rsidRPr="00461C16">
        <w:rPr>
          <w:rFonts w:cs="TimesNewRoman"/>
          <w:lang w:eastAsia="cs-CZ"/>
        </w:rPr>
        <w:t>ř</w:t>
      </w:r>
      <w:r w:rsidRPr="00461C16">
        <w:rPr>
          <w:lang w:eastAsia="cs-CZ"/>
        </w:rPr>
        <w:t>ešení a vybrané varianty, v</w:t>
      </w:r>
      <w:r w:rsidRPr="00461C16">
        <w:rPr>
          <w:rFonts w:cs="TimesNewRoman"/>
          <w:lang w:eastAsia="cs-CZ"/>
        </w:rPr>
        <w:t>č</w:t>
      </w:r>
      <w:r w:rsidRPr="00461C16">
        <w:rPr>
          <w:lang w:eastAsia="cs-CZ"/>
        </w:rPr>
        <w:t>etn</w:t>
      </w:r>
      <w:r w:rsidRPr="00461C16">
        <w:rPr>
          <w:rFonts w:cs="TimesNewRoman"/>
          <w:lang w:eastAsia="cs-CZ"/>
        </w:rPr>
        <w:t>ě</w:t>
      </w:r>
      <w:r w:rsidRPr="00461C16">
        <w:rPr>
          <w:lang w:eastAsia="cs-CZ"/>
        </w:rPr>
        <w:t xml:space="preserve"> vyhodnocení p</w:t>
      </w:r>
      <w:r w:rsidRPr="00461C16">
        <w:rPr>
          <w:rFonts w:cs="TimesNewRoman"/>
          <w:lang w:eastAsia="cs-CZ"/>
        </w:rPr>
        <w:t>ř</w:t>
      </w:r>
      <w:r w:rsidRPr="00461C16">
        <w:rPr>
          <w:lang w:eastAsia="cs-CZ"/>
        </w:rPr>
        <w:t>edpokládaných d</w:t>
      </w:r>
      <w:r w:rsidRPr="00461C16">
        <w:rPr>
          <w:rFonts w:cs="TimesNewRoman"/>
          <w:lang w:eastAsia="cs-CZ"/>
        </w:rPr>
        <w:t>ů</w:t>
      </w:r>
      <w:r w:rsidRPr="00461C16">
        <w:rPr>
          <w:lang w:eastAsia="cs-CZ"/>
        </w:rPr>
        <w:t>sledk</w:t>
      </w:r>
      <w:r w:rsidRPr="00461C16">
        <w:rPr>
          <w:rFonts w:cs="TimesNewRoman"/>
          <w:lang w:eastAsia="cs-CZ"/>
        </w:rPr>
        <w:t xml:space="preserve">ů </w:t>
      </w:r>
      <w:r w:rsidRPr="00461C16">
        <w:rPr>
          <w:lang w:eastAsia="cs-CZ"/>
        </w:rPr>
        <w:t xml:space="preserve">tohoto </w:t>
      </w:r>
      <w:r w:rsidRPr="00461C16">
        <w:rPr>
          <w:rFonts w:cs="TimesNewRoman"/>
          <w:lang w:eastAsia="cs-CZ"/>
        </w:rPr>
        <w:t>ř</w:t>
      </w:r>
      <w:r w:rsidRPr="00461C16">
        <w:rPr>
          <w:lang w:eastAsia="cs-CZ"/>
        </w:rPr>
        <w:t>ešení, zejména ve vztahu k rozboru udržitelného rozvoje území,</w:t>
      </w:r>
    </w:p>
    <w:p w14:paraId="3283C0FE" w14:textId="77777777" w:rsidR="00C8507F" w:rsidRPr="00461C16" w:rsidRDefault="00C8507F" w:rsidP="00C70806">
      <w:pPr>
        <w:autoSpaceDE w:val="0"/>
        <w:autoSpaceDN w:val="0"/>
        <w:adjustRightInd w:val="0"/>
        <w:spacing w:before="60" w:line="240" w:lineRule="auto"/>
        <w:ind w:left="1418" w:hanging="284"/>
        <w:jc w:val="left"/>
        <w:rPr>
          <w:lang w:eastAsia="cs-CZ"/>
        </w:rPr>
      </w:pPr>
      <w:r w:rsidRPr="00461C16">
        <w:rPr>
          <w:lang w:eastAsia="cs-CZ"/>
        </w:rPr>
        <w:t xml:space="preserve">d) </w:t>
      </w:r>
      <w:r w:rsidR="000A5DB6" w:rsidRPr="00461C16">
        <w:rPr>
          <w:lang w:eastAsia="cs-CZ"/>
        </w:rPr>
        <w:tab/>
      </w:r>
      <w:r w:rsidRPr="00461C16">
        <w:rPr>
          <w:lang w:eastAsia="cs-CZ"/>
        </w:rPr>
        <w:t>informaci o výsledcích vyhodnocení vliv</w:t>
      </w:r>
      <w:r w:rsidRPr="00461C16">
        <w:rPr>
          <w:rFonts w:cs="TimesNewRoman"/>
          <w:lang w:eastAsia="cs-CZ"/>
        </w:rPr>
        <w:t xml:space="preserve">ů </w:t>
      </w:r>
      <w:r w:rsidRPr="00461C16">
        <w:rPr>
          <w:lang w:eastAsia="cs-CZ"/>
        </w:rPr>
        <w:t>na udržitelný rozvoj území spolu s informací, zda a jak bylo respektováno stanovisko k vyhodnocení vliv</w:t>
      </w:r>
      <w:r w:rsidRPr="00461C16">
        <w:rPr>
          <w:rFonts w:cs="TimesNewRoman"/>
          <w:lang w:eastAsia="cs-CZ"/>
        </w:rPr>
        <w:t xml:space="preserve">ů </w:t>
      </w:r>
      <w:r w:rsidRPr="00461C16">
        <w:rPr>
          <w:lang w:eastAsia="cs-CZ"/>
        </w:rPr>
        <w:t>na životní prost</w:t>
      </w:r>
      <w:r w:rsidRPr="00461C16">
        <w:rPr>
          <w:rFonts w:cs="TimesNewRoman"/>
          <w:lang w:eastAsia="cs-CZ"/>
        </w:rPr>
        <w:t>ř</w:t>
      </w:r>
      <w:r w:rsidRPr="00461C16">
        <w:rPr>
          <w:lang w:eastAsia="cs-CZ"/>
        </w:rPr>
        <w:t>edí, pop</w:t>
      </w:r>
      <w:r w:rsidRPr="00461C16">
        <w:rPr>
          <w:rFonts w:cs="TimesNewRoman"/>
          <w:lang w:eastAsia="cs-CZ"/>
        </w:rPr>
        <w:t>ř</w:t>
      </w:r>
      <w:r w:rsidRPr="00461C16">
        <w:rPr>
          <w:lang w:eastAsia="cs-CZ"/>
        </w:rPr>
        <w:t>ípad</w:t>
      </w:r>
      <w:r w:rsidRPr="00461C16">
        <w:rPr>
          <w:rFonts w:cs="TimesNewRoman"/>
          <w:lang w:eastAsia="cs-CZ"/>
        </w:rPr>
        <w:t xml:space="preserve">ě </w:t>
      </w:r>
      <w:r w:rsidRPr="00461C16">
        <w:rPr>
          <w:lang w:eastAsia="cs-CZ"/>
        </w:rPr>
        <w:t>zd</w:t>
      </w:r>
      <w:r w:rsidRPr="00461C16">
        <w:rPr>
          <w:rFonts w:cs="TimesNewRoman"/>
          <w:lang w:eastAsia="cs-CZ"/>
        </w:rPr>
        <w:t>ů</w:t>
      </w:r>
      <w:r w:rsidRPr="00461C16">
        <w:rPr>
          <w:lang w:eastAsia="cs-CZ"/>
        </w:rPr>
        <w:t>vodn</w:t>
      </w:r>
      <w:r w:rsidRPr="00461C16">
        <w:rPr>
          <w:rFonts w:cs="TimesNewRoman"/>
          <w:lang w:eastAsia="cs-CZ"/>
        </w:rPr>
        <w:t>ě</w:t>
      </w:r>
      <w:r w:rsidRPr="00461C16">
        <w:rPr>
          <w:lang w:eastAsia="cs-CZ"/>
        </w:rPr>
        <w:t>ní, pro</w:t>
      </w:r>
      <w:r w:rsidRPr="00461C16">
        <w:rPr>
          <w:rFonts w:cs="TimesNewRoman"/>
          <w:lang w:eastAsia="cs-CZ"/>
        </w:rPr>
        <w:t xml:space="preserve">č </w:t>
      </w:r>
      <w:r w:rsidRPr="00461C16">
        <w:rPr>
          <w:lang w:eastAsia="cs-CZ"/>
        </w:rPr>
        <w:t xml:space="preserve">toto stanovisko nebo jeho </w:t>
      </w:r>
      <w:r w:rsidRPr="00461C16">
        <w:rPr>
          <w:rFonts w:cs="TimesNewRoman"/>
          <w:lang w:eastAsia="cs-CZ"/>
        </w:rPr>
        <w:t>č</w:t>
      </w:r>
      <w:r w:rsidRPr="00461C16">
        <w:rPr>
          <w:lang w:eastAsia="cs-CZ"/>
        </w:rPr>
        <w:t>ást nebylo respektováno,</w:t>
      </w:r>
    </w:p>
    <w:p w14:paraId="038F98CF" w14:textId="77777777" w:rsidR="00C8507F" w:rsidRPr="00461C16" w:rsidRDefault="00C8507F" w:rsidP="00C70806">
      <w:pPr>
        <w:autoSpaceDE w:val="0"/>
        <w:autoSpaceDN w:val="0"/>
        <w:adjustRightInd w:val="0"/>
        <w:spacing w:before="60" w:line="240" w:lineRule="auto"/>
        <w:ind w:left="1418" w:hanging="284"/>
        <w:jc w:val="left"/>
        <w:rPr>
          <w:lang w:eastAsia="cs-CZ"/>
        </w:rPr>
      </w:pPr>
      <w:r w:rsidRPr="00461C16">
        <w:rPr>
          <w:lang w:eastAsia="cs-CZ"/>
        </w:rPr>
        <w:t xml:space="preserve">e) </w:t>
      </w:r>
      <w:r w:rsidR="000A5DB6" w:rsidRPr="00461C16">
        <w:rPr>
          <w:lang w:eastAsia="cs-CZ"/>
        </w:rPr>
        <w:tab/>
      </w:r>
      <w:r w:rsidRPr="00461C16">
        <w:rPr>
          <w:lang w:eastAsia="cs-CZ"/>
        </w:rPr>
        <w:t>vyhodnocení p</w:t>
      </w:r>
      <w:r w:rsidRPr="00461C16">
        <w:rPr>
          <w:rFonts w:cs="TimesNewRoman"/>
          <w:lang w:eastAsia="cs-CZ"/>
        </w:rPr>
        <w:t>ř</w:t>
      </w:r>
      <w:r w:rsidRPr="00461C16">
        <w:rPr>
          <w:lang w:eastAsia="cs-CZ"/>
        </w:rPr>
        <w:t>edpokládaných d</w:t>
      </w:r>
      <w:r w:rsidRPr="00461C16">
        <w:rPr>
          <w:rFonts w:cs="TimesNewRoman"/>
          <w:lang w:eastAsia="cs-CZ"/>
        </w:rPr>
        <w:t>ů</w:t>
      </w:r>
      <w:r w:rsidRPr="00461C16">
        <w:rPr>
          <w:lang w:eastAsia="cs-CZ"/>
        </w:rPr>
        <w:t>sledk</w:t>
      </w:r>
      <w:r w:rsidRPr="00461C16">
        <w:rPr>
          <w:rFonts w:cs="TimesNewRoman"/>
          <w:lang w:eastAsia="cs-CZ"/>
        </w:rPr>
        <w:t xml:space="preserve">ů </w:t>
      </w:r>
      <w:r w:rsidRPr="00461C16">
        <w:rPr>
          <w:lang w:eastAsia="cs-CZ"/>
        </w:rPr>
        <w:t xml:space="preserve">navrhovaného </w:t>
      </w:r>
      <w:r w:rsidRPr="00461C16">
        <w:rPr>
          <w:rFonts w:cs="TimesNewRoman"/>
          <w:lang w:eastAsia="cs-CZ"/>
        </w:rPr>
        <w:t>ř</w:t>
      </w:r>
      <w:r w:rsidRPr="00461C16">
        <w:rPr>
          <w:lang w:eastAsia="cs-CZ"/>
        </w:rPr>
        <w:t>ešení na 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lský p</w:t>
      </w:r>
      <w:r w:rsidRPr="00461C16">
        <w:rPr>
          <w:rFonts w:cs="TimesNewRoman"/>
          <w:lang w:eastAsia="cs-CZ"/>
        </w:rPr>
        <w:t>ů</w:t>
      </w:r>
      <w:r w:rsidRPr="00461C16">
        <w:rPr>
          <w:lang w:eastAsia="cs-CZ"/>
        </w:rPr>
        <w:t>dní fond a pozemky ur</w:t>
      </w:r>
      <w:r w:rsidRPr="00461C16">
        <w:rPr>
          <w:rFonts w:cs="TimesNewRoman"/>
          <w:lang w:eastAsia="cs-CZ"/>
        </w:rPr>
        <w:t>č</w:t>
      </w:r>
      <w:r w:rsidRPr="00461C16">
        <w:rPr>
          <w:lang w:eastAsia="cs-CZ"/>
        </w:rPr>
        <w:t>ené k pln</w:t>
      </w:r>
      <w:r w:rsidRPr="00461C16">
        <w:rPr>
          <w:rFonts w:cs="TimesNewRoman"/>
          <w:lang w:eastAsia="cs-CZ"/>
        </w:rPr>
        <w:t>ě</w:t>
      </w:r>
      <w:r w:rsidRPr="00461C16">
        <w:rPr>
          <w:lang w:eastAsia="cs-CZ"/>
        </w:rPr>
        <w:t>ní funkce lesa.</w:t>
      </w:r>
    </w:p>
    <w:p w14:paraId="36E5EA15" w14:textId="77777777" w:rsidR="00C8507F" w:rsidRPr="00461C16" w:rsidRDefault="00C8507F" w:rsidP="00C70806">
      <w:pPr>
        <w:autoSpaceDE w:val="0"/>
        <w:autoSpaceDN w:val="0"/>
        <w:adjustRightInd w:val="0"/>
        <w:spacing w:before="120" w:after="120" w:line="240" w:lineRule="auto"/>
        <w:ind w:left="851"/>
        <w:jc w:val="left"/>
        <w:rPr>
          <w:b/>
          <w:bCs/>
          <w:lang w:eastAsia="cs-CZ"/>
        </w:rPr>
      </w:pPr>
      <w:r w:rsidRPr="00461C16">
        <w:rPr>
          <w:b/>
          <w:bCs/>
          <w:lang w:eastAsia="cs-CZ"/>
        </w:rPr>
        <w:t xml:space="preserve">5) Grafická </w:t>
      </w:r>
      <w:r w:rsidRPr="00461C16">
        <w:rPr>
          <w:rFonts w:cs="TimesNewRoman,Bold"/>
          <w:b/>
          <w:bCs/>
          <w:lang w:eastAsia="cs-CZ"/>
        </w:rPr>
        <w:t>č</w:t>
      </w:r>
      <w:r w:rsidRPr="00461C16">
        <w:rPr>
          <w:b/>
          <w:bCs/>
          <w:lang w:eastAsia="cs-CZ"/>
        </w:rPr>
        <w:t>ást od</w:t>
      </w:r>
      <w:r w:rsidRPr="00461C16">
        <w:rPr>
          <w:rFonts w:cs="TimesNewRoman,Bold"/>
          <w:b/>
          <w:bCs/>
          <w:lang w:eastAsia="cs-CZ"/>
        </w:rPr>
        <w:t>ů</w:t>
      </w:r>
      <w:r w:rsidRPr="00461C16">
        <w:rPr>
          <w:b/>
          <w:bCs/>
          <w:lang w:eastAsia="cs-CZ"/>
        </w:rPr>
        <w:t>vodn</w:t>
      </w:r>
      <w:r w:rsidRPr="00461C16">
        <w:rPr>
          <w:rFonts w:cs="TimesNewRoman,Bold"/>
          <w:b/>
          <w:bCs/>
          <w:lang w:eastAsia="cs-CZ"/>
        </w:rPr>
        <w:t>ě</w:t>
      </w:r>
      <w:r w:rsidRPr="00461C16">
        <w:rPr>
          <w:b/>
          <w:bCs/>
          <w:lang w:eastAsia="cs-CZ"/>
        </w:rPr>
        <w:t>ní ÚP Hrádek nad Nisou bude obsahovat zejména</w:t>
      </w:r>
    </w:p>
    <w:p w14:paraId="2D51F9E7" w14:textId="77777777" w:rsidR="00C8507F" w:rsidRPr="00461C16" w:rsidRDefault="00C8507F" w:rsidP="00C70806">
      <w:pPr>
        <w:autoSpaceDE w:val="0"/>
        <w:autoSpaceDN w:val="0"/>
        <w:adjustRightInd w:val="0"/>
        <w:spacing w:before="60" w:line="240" w:lineRule="auto"/>
        <w:ind w:left="1418" w:hanging="284"/>
        <w:jc w:val="left"/>
        <w:rPr>
          <w:lang w:eastAsia="cs-CZ"/>
        </w:rPr>
      </w:pPr>
      <w:r w:rsidRPr="00461C16">
        <w:rPr>
          <w:lang w:eastAsia="cs-CZ"/>
        </w:rPr>
        <w:t xml:space="preserve">a) </w:t>
      </w:r>
      <w:r w:rsidR="000A5DB6" w:rsidRPr="00461C16">
        <w:rPr>
          <w:lang w:eastAsia="cs-CZ"/>
        </w:rPr>
        <w:tab/>
      </w:r>
      <w:r w:rsidRPr="00461C16">
        <w:rPr>
          <w:lang w:eastAsia="cs-CZ"/>
        </w:rPr>
        <w:t>koordina</w:t>
      </w:r>
      <w:r w:rsidRPr="00461C16">
        <w:rPr>
          <w:rFonts w:cs="TimesNewRoman"/>
          <w:lang w:eastAsia="cs-CZ"/>
        </w:rPr>
        <w:t>č</w:t>
      </w:r>
      <w:r w:rsidRPr="00461C16">
        <w:rPr>
          <w:lang w:eastAsia="cs-CZ"/>
        </w:rPr>
        <w:t>ní výkres (bude mimo jiné obsahovat vymezení prvk</w:t>
      </w:r>
      <w:r w:rsidRPr="00461C16">
        <w:rPr>
          <w:rFonts w:cs="TimesNewRoman"/>
          <w:lang w:eastAsia="cs-CZ"/>
        </w:rPr>
        <w:t xml:space="preserve">ů </w:t>
      </w:r>
      <w:r w:rsidRPr="00461C16">
        <w:rPr>
          <w:lang w:eastAsia="cs-CZ"/>
        </w:rPr>
        <w:t>ÚSES, zákres zvlášt</w:t>
      </w:r>
      <w:r w:rsidRPr="00461C16">
        <w:rPr>
          <w:rFonts w:cs="TimesNewRoman"/>
          <w:lang w:eastAsia="cs-CZ"/>
        </w:rPr>
        <w:t xml:space="preserve">ě </w:t>
      </w:r>
      <w:r w:rsidRPr="00461C16">
        <w:rPr>
          <w:lang w:eastAsia="cs-CZ"/>
        </w:rPr>
        <w:t>chrán</w:t>
      </w:r>
      <w:r w:rsidRPr="00461C16">
        <w:rPr>
          <w:rFonts w:cs="TimesNewRoman"/>
          <w:lang w:eastAsia="cs-CZ"/>
        </w:rPr>
        <w:t>ě</w:t>
      </w:r>
      <w:r w:rsidRPr="00461C16">
        <w:rPr>
          <w:lang w:eastAsia="cs-CZ"/>
        </w:rPr>
        <w:t>ných území a evropsky významné lokality, p</w:t>
      </w:r>
      <w:r w:rsidRPr="00461C16">
        <w:rPr>
          <w:rFonts w:cs="TimesNewRoman"/>
          <w:lang w:eastAsia="cs-CZ"/>
        </w:rPr>
        <w:t>ř</w:t>
      </w:r>
      <w:r w:rsidRPr="00461C16">
        <w:rPr>
          <w:lang w:eastAsia="cs-CZ"/>
        </w:rPr>
        <w:t>ípadn</w:t>
      </w:r>
      <w:r w:rsidRPr="00461C16">
        <w:rPr>
          <w:rFonts w:cs="TimesNewRoman"/>
          <w:lang w:eastAsia="cs-CZ"/>
        </w:rPr>
        <w:t>ě</w:t>
      </w:r>
      <w:r w:rsidRPr="00461C16">
        <w:rPr>
          <w:lang w:eastAsia="cs-CZ"/>
        </w:rPr>
        <w:t xml:space="preserve"> dalších ploch s chrán</w:t>
      </w:r>
      <w:r w:rsidRPr="00461C16">
        <w:rPr>
          <w:rFonts w:cs="TimesNewRoman"/>
          <w:lang w:eastAsia="cs-CZ"/>
        </w:rPr>
        <w:t>ě</w:t>
      </w:r>
      <w:r w:rsidRPr="00461C16">
        <w:rPr>
          <w:lang w:eastAsia="cs-CZ"/>
        </w:rPr>
        <w:t>nými p</w:t>
      </w:r>
      <w:r w:rsidRPr="00461C16">
        <w:rPr>
          <w:rFonts w:cs="TimesNewRoman"/>
          <w:lang w:eastAsia="cs-CZ"/>
        </w:rPr>
        <w:t>ř</w:t>
      </w:r>
      <w:r w:rsidRPr="00461C16">
        <w:rPr>
          <w:lang w:eastAsia="cs-CZ"/>
        </w:rPr>
        <w:t>írodními hodnotami)</w:t>
      </w:r>
    </w:p>
    <w:p w14:paraId="3CECD754" w14:textId="77777777" w:rsidR="00C8507F" w:rsidRPr="00461C16" w:rsidRDefault="00C8507F" w:rsidP="00C70806">
      <w:pPr>
        <w:autoSpaceDE w:val="0"/>
        <w:autoSpaceDN w:val="0"/>
        <w:adjustRightInd w:val="0"/>
        <w:spacing w:before="60" w:line="240" w:lineRule="auto"/>
        <w:ind w:left="1418" w:hanging="284"/>
        <w:jc w:val="left"/>
        <w:rPr>
          <w:lang w:eastAsia="cs-CZ"/>
        </w:rPr>
      </w:pPr>
      <w:r w:rsidRPr="00461C16">
        <w:rPr>
          <w:lang w:eastAsia="cs-CZ"/>
        </w:rPr>
        <w:t xml:space="preserve">b) </w:t>
      </w:r>
      <w:r w:rsidR="000A5DB6" w:rsidRPr="00461C16">
        <w:rPr>
          <w:lang w:eastAsia="cs-CZ"/>
        </w:rPr>
        <w:tab/>
      </w:r>
      <w:r w:rsidRPr="00461C16">
        <w:rPr>
          <w:lang w:eastAsia="cs-CZ"/>
        </w:rPr>
        <w:t>výkres širších vztah</w:t>
      </w:r>
      <w:r w:rsidRPr="00461C16">
        <w:rPr>
          <w:rFonts w:cs="TimesNewRoman"/>
          <w:lang w:eastAsia="cs-CZ"/>
        </w:rPr>
        <w:t>ů</w:t>
      </w:r>
      <w:r w:rsidRPr="00461C16">
        <w:rPr>
          <w:lang w:eastAsia="cs-CZ"/>
        </w:rPr>
        <w:t>, dokumentují vazby na území sousedních obcí, pop</w:t>
      </w:r>
      <w:r w:rsidRPr="00461C16">
        <w:rPr>
          <w:rFonts w:cs="TimesNewRoman"/>
          <w:lang w:eastAsia="cs-CZ"/>
        </w:rPr>
        <w:t>ř</w:t>
      </w:r>
      <w:r w:rsidRPr="00461C16">
        <w:rPr>
          <w:lang w:eastAsia="cs-CZ"/>
        </w:rPr>
        <w:t>ípad</w:t>
      </w:r>
      <w:r w:rsidRPr="00461C16">
        <w:rPr>
          <w:rFonts w:cs="TimesNewRoman"/>
          <w:lang w:eastAsia="cs-CZ"/>
        </w:rPr>
        <w:t xml:space="preserve">ě </w:t>
      </w:r>
      <w:r w:rsidRPr="00461C16">
        <w:rPr>
          <w:lang w:eastAsia="cs-CZ"/>
        </w:rPr>
        <w:t>kraj</w:t>
      </w:r>
      <w:r w:rsidRPr="00461C16">
        <w:rPr>
          <w:rFonts w:cs="TimesNewRoman"/>
          <w:lang w:eastAsia="cs-CZ"/>
        </w:rPr>
        <w:t xml:space="preserve">ů </w:t>
      </w:r>
      <w:r w:rsidRPr="00461C16">
        <w:rPr>
          <w:lang w:eastAsia="cs-CZ"/>
        </w:rPr>
        <w:t>a stát</w:t>
      </w:r>
      <w:r w:rsidRPr="00461C16">
        <w:rPr>
          <w:rFonts w:cs="TimesNewRoman"/>
          <w:lang w:eastAsia="cs-CZ"/>
        </w:rPr>
        <w:t>ů</w:t>
      </w:r>
      <w:r w:rsidRPr="00461C16">
        <w:rPr>
          <w:lang w:eastAsia="cs-CZ"/>
        </w:rPr>
        <w:t>,</w:t>
      </w:r>
    </w:p>
    <w:p w14:paraId="650D8522" w14:textId="77777777" w:rsidR="00C8507F" w:rsidRPr="00461C16" w:rsidRDefault="00C8507F" w:rsidP="00C70806">
      <w:pPr>
        <w:autoSpaceDE w:val="0"/>
        <w:autoSpaceDN w:val="0"/>
        <w:adjustRightInd w:val="0"/>
        <w:spacing w:before="60" w:line="240" w:lineRule="auto"/>
        <w:ind w:left="1418" w:hanging="284"/>
        <w:jc w:val="left"/>
        <w:rPr>
          <w:lang w:eastAsia="cs-CZ"/>
        </w:rPr>
      </w:pPr>
      <w:r w:rsidRPr="00461C16">
        <w:rPr>
          <w:lang w:eastAsia="cs-CZ"/>
        </w:rPr>
        <w:t xml:space="preserve">c) </w:t>
      </w:r>
      <w:r w:rsidR="000A5DB6" w:rsidRPr="00461C16">
        <w:rPr>
          <w:lang w:eastAsia="cs-CZ"/>
        </w:rPr>
        <w:tab/>
      </w:r>
      <w:r w:rsidRPr="00461C16">
        <w:rPr>
          <w:lang w:eastAsia="cs-CZ"/>
        </w:rPr>
        <w:t>výkres p</w:t>
      </w:r>
      <w:r w:rsidRPr="00461C16">
        <w:rPr>
          <w:rFonts w:cs="TimesNewRoman"/>
          <w:lang w:eastAsia="cs-CZ"/>
        </w:rPr>
        <w:t>ř</w:t>
      </w:r>
      <w:r w:rsidRPr="00461C16">
        <w:rPr>
          <w:lang w:eastAsia="cs-CZ"/>
        </w:rPr>
        <w:t>edpokládaných zábor</w:t>
      </w:r>
      <w:r w:rsidRPr="00461C16">
        <w:rPr>
          <w:rFonts w:cs="TimesNewRoman"/>
          <w:lang w:eastAsia="cs-CZ"/>
        </w:rPr>
        <w:t xml:space="preserve">ů </w:t>
      </w:r>
      <w:r w:rsidRPr="00461C16">
        <w:rPr>
          <w:lang w:eastAsia="cs-CZ"/>
        </w:rPr>
        <w:t>zem</w:t>
      </w:r>
      <w:r w:rsidRPr="00461C16">
        <w:rPr>
          <w:rFonts w:cs="TimesNewRoman"/>
          <w:lang w:eastAsia="cs-CZ"/>
        </w:rPr>
        <w:t>ě</w:t>
      </w:r>
      <w:r w:rsidRPr="00461C16">
        <w:rPr>
          <w:lang w:eastAsia="cs-CZ"/>
        </w:rPr>
        <w:t>d</w:t>
      </w:r>
      <w:r w:rsidRPr="00461C16">
        <w:rPr>
          <w:rFonts w:cs="TimesNewRoman"/>
          <w:lang w:eastAsia="cs-CZ"/>
        </w:rPr>
        <w:t>ě</w:t>
      </w:r>
      <w:r w:rsidRPr="00461C16">
        <w:rPr>
          <w:lang w:eastAsia="cs-CZ"/>
        </w:rPr>
        <w:t>lského p</w:t>
      </w:r>
      <w:r w:rsidRPr="00461C16">
        <w:rPr>
          <w:rFonts w:cs="TimesNewRoman"/>
          <w:lang w:eastAsia="cs-CZ"/>
        </w:rPr>
        <w:t>ů</w:t>
      </w:r>
      <w:r w:rsidRPr="00461C16">
        <w:rPr>
          <w:lang w:eastAsia="cs-CZ"/>
        </w:rPr>
        <w:t>dního fondu v</w:t>
      </w:r>
      <w:r w:rsidRPr="00461C16">
        <w:rPr>
          <w:rFonts w:cs="TimesNewRoman"/>
          <w:lang w:eastAsia="cs-CZ"/>
        </w:rPr>
        <w:t>č</w:t>
      </w:r>
      <w:r w:rsidRPr="00461C16">
        <w:rPr>
          <w:lang w:eastAsia="cs-CZ"/>
        </w:rPr>
        <w:t>etn</w:t>
      </w:r>
      <w:r w:rsidRPr="00461C16">
        <w:rPr>
          <w:rFonts w:cs="TimesNewRoman"/>
          <w:lang w:eastAsia="cs-CZ"/>
        </w:rPr>
        <w:t>ě</w:t>
      </w:r>
      <w:r w:rsidRPr="00461C16">
        <w:rPr>
          <w:lang w:eastAsia="cs-CZ"/>
        </w:rPr>
        <w:t xml:space="preserve"> vyzna</w:t>
      </w:r>
      <w:r w:rsidRPr="00461C16">
        <w:rPr>
          <w:rFonts w:cs="TimesNewRoman"/>
          <w:lang w:eastAsia="cs-CZ"/>
        </w:rPr>
        <w:t>č</w:t>
      </w:r>
      <w:r w:rsidRPr="00461C16">
        <w:rPr>
          <w:lang w:eastAsia="cs-CZ"/>
        </w:rPr>
        <w:t>ení BPEJ a jednotlivých t</w:t>
      </w:r>
      <w:r w:rsidRPr="00461C16">
        <w:rPr>
          <w:rFonts w:cs="TimesNewRoman"/>
          <w:lang w:eastAsia="cs-CZ"/>
        </w:rPr>
        <w:t>ř</w:t>
      </w:r>
      <w:r w:rsidRPr="00461C16">
        <w:rPr>
          <w:lang w:eastAsia="cs-CZ"/>
        </w:rPr>
        <w:t>íd ochrany a pozemk</w:t>
      </w:r>
      <w:r w:rsidRPr="00461C16">
        <w:rPr>
          <w:rFonts w:cs="TimesNewRoman"/>
          <w:lang w:eastAsia="cs-CZ"/>
        </w:rPr>
        <w:t xml:space="preserve">ů </w:t>
      </w:r>
      <w:r w:rsidRPr="00461C16">
        <w:rPr>
          <w:lang w:eastAsia="cs-CZ"/>
        </w:rPr>
        <w:t>ur</w:t>
      </w:r>
      <w:r w:rsidRPr="00461C16">
        <w:rPr>
          <w:rFonts w:cs="TimesNewRoman"/>
          <w:lang w:eastAsia="cs-CZ"/>
        </w:rPr>
        <w:t>č</w:t>
      </w:r>
      <w:r w:rsidRPr="00461C16">
        <w:rPr>
          <w:lang w:eastAsia="cs-CZ"/>
        </w:rPr>
        <w:t>ených k pln</w:t>
      </w:r>
      <w:r w:rsidRPr="00461C16">
        <w:rPr>
          <w:rFonts w:cs="TimesNewRoman"/>
          <w:lang w:eastAsia="cs-CZ"/>
        </w:rPr>
        <w:t>ě</w:t>
      </w:r>
      <w:r w:rsidRPr="00461C16">
        <w:rPr>
          <w:lang w:eastAsia="cs-CZ"/>
        </w:rPr>
        <w:t>ní funkci lesa.</w:t>
      </w:r>
    </w:p>
    <w:p w14:paraId="52B95E77" w14:textId="77777777" w:rsidR="00944655" w:rsidRPr="00461C16" w:rsidRDefault="00DE0D05" w:rsidP="00944655">
      <w:pPr>
        <w:pStyle w:val="BodyText"/>
        <w:spacing w:before="120" w:after="120"/>
        <w:rPr>
          <w:i/>
          <w:sz w:val="22"/>
          <w:szCs w:val="22"/>
        </w:rPr>
      </w:pPr>
      <w:r w:rsidRPr="00461C16">
        <w:rPr>
          <w:i/>
          <w:color w:val="000000"/>
          <w:sz w:val="22"/>
          <w:szCs w:val="22"/>
          <w:shd w:val="clear" w:color="auto" w:fill="FFFFFF"/>
        </w:rPr>
        <w:t>Požadavek na obsah a rozsah dokumentace ÚP je respektován. Územní plán je zpracován v souladu s přílohou č.. 7 vyhlášky č. 500/2006 Sb., o územně analytických podkladech, územně plánovací dokumentaci a způsobu evidence územně plánovací činnosti.</w:t>
      </w:r>
    </w:p>
    <w:p w14:paraId="2C69D166" w14:textId="77777777" w:rsidR="00C8507F" w:rsidRPr="00461C16" w:rsidRDefault="00C8507F"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lang w:eastAsia="cs-CZ"/>
        </w:rPr>
        <w:t>Výkresy budou zpracovány v m</w:t>
      </w:r>
      <w:r w:rsidRPr="00461C16">
        <w:rPr>
          <w:rFonts w:cs="TimesNewRoman"/>
          <w:lang w:eastAsia="cs-CZ"/>
        </w:rPr>
        <w:t>ěř</w:t>
      </w:r>
      <w:r w:rsidRPr="00461C16">
        <w:rPr>
          <w:lang w:eastAsia="cs-CZ"/>
        </w:rPr>
        <w:t>ítku 1 : 5000, pouze výkres širších vztah</w:t>
      </w:r>
      <w:r w:rsidRPr="00461C16">
        <w:rPr>
          <w:rFonts w:cs="TimesNewRoman"/>
          <w:lang w:eastAsia="cs-CZ"/>
        </w:rPr>
        <w:t xml:space="preserve">ů </w:t>
      </w:r>
      <w:r w:rsidRPr="00461C16">
        <w:rPr>
          <w:lang w:eastAsia="cs-CZ"/>
        </w:rPr>
        <w:t>bude zpracován v m</w:t>
      </w:r>
      <w:r w:rsidRPr="00461C16">
        <w:rPr>
          <w:rFonts w:cs="TimesNewRoman"/>
          <w:lang w:eastAsia="cs-CZ"/>
        </w:rPr>
        <w:t>ěř</w:t>
      </w:r>
      <w:r w:rsidRPr="00461C16">
        <w:rPr>
          <w:lang w:eastAsia="cs-CZ"/>
        </w:rPr>
        <w:t>ítku výkresu ploch a koridor</w:t>
      </w:r>
      <w:r w:rsidRPr="00461C16">
        <w:rPr>
          <w:rFonts w:cs="TimesNewRoman"/>
          <w:lang w:eastAsia="cs-CZ"/>
        </w:rPr>
        <w:t xml:space="preserve">ů </w:t>
      </w:r>
      <w:r w:rsidRPr="00461C16">
        <w:rPr>
          <w:lang w:eastAsia="cs-CZ"/>
        </w:rPr>
        <w:t>zásad územního rozvoje nebo v</w:t>
      </w:r>
      <w:r w:rsidRPr="00461C16">
        <w:rPr>
          <w:rFonts w:cs="TimesNewRoman"/>
          <w:lang w:eastAsia="cs-CZ"/>
        </w:rPr>
        <w:t>ě</w:t>
      </w:r>
      <w:r w:rsidRPr="00461C16">
        <w:rPr>
          <w:lang w:eastAsia="cs-CZ"/>
        </w:rPr>
        <w:t>tším.</w:t>
      </w:r>
    </w:p>
    <w:p w14:paraId="72930B8C" w14:textId="77777777" w:rsidR="00944655" w:rsidRPr="00461C16" w:rsidRDefault="00DE0D05" w:rsidP="00944655">
      <w:pPr>
        <w:pStyle w:val="BodyText"/>
        <w:spacing w:before="120" w:after="120"/>
        <w:rPr>
          <w:i/>
          <w:sz w:val="22"/>
          <w:szCs w:val="22"/>
        </w:rPr>
      </w:pPr>
      <w:r w:rsidRPr="00461C16">
        <w:rPr>
          <w:i/>
          <w:color w:val="000000"/>
          <w:sz w:val="22"/>
          <w:szCs w:val="22"/>
          <w:shd w:val="clear" w:color="auto" w:fill="FFFFFF"/>
        </w:rPr>
        <w:t>Dokumentace ÚP požadavek na stanovené měřítko respektuje. Výkres širších vztahů je zpracován v měřítku 1:50 000.</w:t>
      </w:r>
    </w:p>
    <w:p w14:paraId="0E2EDD5E" w14:textId="77777777" w:rsidR="00C8507F" w:rsidRPr="00461C16" w:rsidRDefault="00C8507F" w:rsidP="00A06EB9">
      <w:pPr>
        <w:pStyle w:val="ListParagraph"/>
        <w:numPr>
          <w:ilvl w:val="0"/>
          <w:numId w:val="97"/>
        </w:numPr>
        <w:autoSpaceDE w:val="0"/>
        <w:autoSpaceDN w:val="0"/>
        <w:adjustRightInd w:val="0"/>
        <w:spacing w:before="120" w:after="120" w:line="240" w:lineRule="auto"/>
        <w:ind w:left="567" w:hanging="567"/>
        <w:rPr>
          <w:lang w:eastAsia="cs-CZ"/>
        </w:rPr>
      </w:pPr>
      <w:r w:rsidRPr="00461C16">
        <w:rPr>
          <w:bCs/>
          <w:lang w:eastAsia="cs-CZ"/>
        </w:rPr>
        <w:t>Podklady Návrhu Zadání Územního plánu Hrádek nad Nisou:</w:t>
      </w:r>
    </w:p>
    <w:p w14:paraId="36EF1B04" w14:textId="77777777" w:rsidR="00C8507F" w:rsidRPr="00461C16" w:rsidRDefault="00C8507F" w:rsidP="00CF1D28">
      <w:pPr>
        <w:pStyle w:val="ListParagraph"/>
        <w:numPr>
          <w:ilvl w:val="0"/>
          <w:numId w:val="49"/>
        </w:numPr>
        <w:autoSpaceDE w:val="0"/>
        <w:autoSpaceDN w:val="0"/>
        <w:adjustRightInd w:val="0"/>
        <w:spacing w:before="60" w:line="240" w:lineRule="auto"/>
        <w:jc w:val="left"/>
        <w:rPr>
          <w:b/>
          <w:bCs/>
          <w:lang w:eastAsia="cs-CZ"/>
        </w:rPr>
      </w:pPr>
      <w:r w:rsidRPr="00461C16">
        <w:rPr>
          <w:lang w:eastAsia="cs-CZ"/>
        </w:rPr>
        <w:t xml:space="preserve">Politika územního rozvoje </w:t>
      </w:r>
      <w:r w:rsidRPr="00461C16">
        <w:rPr>
          <w:rFonts w:cs="TimesNewRoman"/>
          <w:lang w:eastAsia="cs-CZ"/>
        </w:rPr>
        <w:t>Č</w:t>
      </w:r>
      <w:r w:rsidRPr="00461C16">
        <w:rPr>
          <w:lang w:eastAsia="cs-CZ"/>
        </w:rPr>
        <w:t>R</w:t>
      </w:r>
    </w:p>
    <w:p w14:paraId="0DEC4751" w14:textId="77777777" w:rsidR="00C8507F" w:rsidRPr="00461C16" w:rsidRDefault="00C8507F" w:rsidP="00CF1D28">
      <w:pPr>
        <w:pStyle w:val="ListParagraph"/>
        <w:numPr>
          <w:ilvl w:val="0"/>
          <w:numId w:val="49"/>
        </w:numPr>
        <w:autoSpaceDE w:val="0"/>
        <w:autoSpaceDN w:val="0"/>
        <w:adjustRightInd w:val="0"/>
        <w:spacing w:before="60" w:line="240" w:lineRule="auto"/>
        <w:jc w:val="left"/>
        <w:rPr>
          <w:b/>
          <w:bCs/>
          <w:lang w:eastAsia="cs-CZ"/>
        </w:rPr>
      </w:pPr>
      <w:r w:rsidRPr="00461C16">
        <w:rPr>
          <w:lang w:eastAsia="cs-CZ"/>
        </w:rPr>
        <w:t>Zásady územního rozvoje Libereckého kraje</w:t>
      </w:r>
    </w:p>
    <w:p w14:paraId="3C78A041" w14:textId="77777777" w:rsidR="00C8507F" w:rsidRPr="00461C16" w:rsidRDefault="00C8507F" w:rsidP="00CF1D28">
      <w:pPr>
        <w:pStyle w:val="ListParagraph"/>
        <w:numPr>
          <w:ilvl w:val="0"/>
          <w:numId w:val="49"/>
        </w:numPr>
        <w:autoSpaceDE w:val="0"/>
        <w:autoSpaceDN w:val="0"/>
        <w:adjustRightInd w:val="0"/>
        <w:spacing w:before="60" w:line="240" w:lineRule="auto"/>
        <w:jc w:val="left"/>
        <w:rPr>
          <w:b/>
          <w:bCs/>
          <w:lang w:eastAsia="cs-CZ"/>
        </w:rPr>
      </w:pPr>
      <w:r w:rsidRPr="00461C16">
        <w:rPr>
          <w:lang w:eastAsia="cs-CZ"/>
        </w:rPr>
        <w:t>Územn</w:t>
      </w:r>
      <w:r w:rsidRPr="00461C16">
        <w:rPr>
          <w:rFonts w:cs="TimesNewRoman"/>
          <w:lang w:eastAsia="cs-CZ"/>
        </w:rPr>
        <w:t xml:space="preserve">ě </w:t>
      </w:r>
      <w:r w:rsidRPr="00461C16">
        <w:rPr>
          <w:lang w:eastAsia="cs-CZ"/>
        </w:rPr>
        <w:t>analytické podklady ORP Liberec</w:t>
      </w:r>
    </w:p>
    <w:p w14:paraId="7AA8AF6F" w14:textId="77777777" w:rsidR="00C8507F" w:rsidRPr="00461C16" w:rsidRDefault="00C8507F" w:rsidP="00CF1D28">
      <w:pPr>
        <w:pStyle w:val="ListParagraph"/>
        <w:numPr>
          <w:ilvl w:val="0"/>
          <w:numId w:val="49"/>
        </w:numPr>
        <w:autoSpaceDE w:val="0"/>
        <w:autoSpaceDN w:val="0"/>
        <w:adjustRightInd w:val="0"/>
        <w:spacing w:before="60" w:line="240" w:lineRule="auto"/>
        <w:jc w:val="left"/>
        <w:rPr>
          <w:b/>
          <w:bCs/>
          <w:lang w:eastAsia="cs-CZ"/>
        </w:rPr>
      </w:pPr>
      <w:r w:rsidRPr="00461C16">
        <w:rPr>
          <w:lang w:eastAsia="cs-CZ"/>
        </w:rPr>
        <w:t>Územn</w:t>
      </w:r>
      <w:r w:rsidRPr="00461C16">
        <w:rPr>
          <w:rFonts w:cs="TimesNewRoman"/>
          <w:lang w:eastAsia="cs-CZ"/>
        </w:rPr>
        <w:t xml:space="preserve">ě </w:t>
      </w:r>
      <w:r w:rsidRPr="00461C16">
        <w:rPr>
          <w:lang w:eastAsia="cs-CZ"/>
        </w:rPr>
        <w:t>analytické podklady Libereckého kraje</w:t>
      </w:r>
    </w:p>
    <w:p w14:paraId="345F1CA7" w14:textId="77777777" w:rsidR="00C8507F" w:rsidRPr="00461C16" w:rsidRDefault="00C8507F" w:rsidP="00CF1D28">
      <w:pPr>
        <w:pStyle w:val="ListParagraph"/>
        <w:numPr>
          <w:ilvl w:val="0"/>
          <w:numId w:val="49"/>
        </w:numPr>
        <w:autoSpaceDE w:val="0"/>
        <w:autoSpaceDN w:val="0"/>
        <w:adjustRightInd w:val="0"/>
        <w:spacing w:before="60" w:line="240" w:lineRule="auto"/>
        <w:jc w:val="left"/>
        <w:rPr>
          <w:b/>
          <w:bCs/>
          <w:lang w:eastAsia="cs-CZ"/>
        </w:rPr>
      </w:pPr>
      <w:r w:rsidRPr="00461C16">
        <w:rPr>
          <w:lang w:eastAsia="cs-CZ"/>
        </w:rPr>
        <w:t>Územní plán sídelního útvaru Hrádek nad Nisou a jeho zm</w:t>
      </w:r>
      <w:r w:rsidRPr="00461C16">
        <w:rPr>
          <w:rFonts w:cs="TimesNewRoman"/>
          <w:lang w:eastAsia="cs-CZ"/>
        </w:rPr>
        <w:t>ě</w:t>
      </w:r>
      <w:r w:rsidRPr="00461C16">
        <w:rPr>
          <w:lang w:eastAsia="cs-CZ"/>
        </w:rPr>
        <w:t>ny (jsou k nahlédnutí v listinné podob</w:t>
      </w:r>
      <w:r w:rsidRPr="00461C16">
        <w:rPr>
          <w:rFonts w:cs="TimesNewRoman"/>
          <w:lang w:eastAsia="cs-CZ"/>
        </w:rPr>
        <w:t xml:space="preserve">ě </w:t>
      </w:r>
      <w:r w:rsidRPr="00461C16">
        <w:rPr>
          <w:lang w:eastAsia="cs-CZ"/>
        </w:rPr>
        <w:t>na M</w:t>
      </w:r>
      <w:r w:rsidRPr="00461C16">
        <w:rPr>
          <w:rFonts w:cs="TimesNewRoman"/>
          <w:lang w:eastAsia="cs-CZ"/>
        </w:rPr>
        <w:t>ě</w:t>
      </w:r>
      <w:r w:rsidRPr="00461C16">
        <w:rPr>
          <w:lang w:eastAsia="cs-CZ"/>
        </w:rPr>
        <w:t>Ú Hrádek nad Nisou na stavebním ú</w:t>
      </w:r>
      <w:r w:rsidRPr="00461C16">
        <w:rPr>
          <w:rFonts w:cs="TimesNewRoman"/>
          <w:lang w:eastAsia="cs-CZ"/>
        </w:rPr>
        <w:t>ř</w:t>
      </w:r>
      <w:r w:rsidRPr="00461C16">
        <w:rPr>
          <w:lang w:eastAsia="cs-CZ"/>
        </w:rPr>
        <w:t>adu)</w:t>
      </w:r>
    </w:p>
    <w:p w14:paraId="3FDAF8BA" w14:textId="77777777" w:rsidR="00C8507F" w:rsidRPr="00461C16" w:rsidRDefault="00C8507F" w:rsidP="00CF1D28">
      <w:pPr>
        <w:pStyle w:val="ListParagraph"/>
        <w:numPr>
          <w:ilvl w:val="0"/>
          <w:numId w:val="49"/>
        </w:numPr>
        <w:autoSpaceDE w:val="0"/>
        <w:autoSpaceDN w:val="0"/>
        <w:adjustRightInd w:val="0"/>
        <w:spacing w:before="60" w:line="240" w:lineRule="auto"/>
        <w:jc w:val="left"/>
        <w:rPr>
          <w:b/>
          <w:bCs/>
          <w:lang w:eastAsia="cs-CZ"/>
        </w:rPr>
      </w:pPr>
      <w:r w:rsidRPr="00461C16">
        <w:rPr>
          <w:lang w:eastAsia="cs-CZ"/>
        </w:rPr>
        <w:lastRenderedPageBreak/>
        <w:t>Dopl</w:t>
      </w:r>
      <w:r w:rsidRPr="00461C16">
        <w:rPr>
          <w:rFonts w:cs="TimesNewRoman"/>
          <w:lang w:eastAsia="cs-CZ"/>
        </w:rPr>
        <w:t>ň</w:t>
      </w:r>
      <w:r w:rsidRPr="00461C16">
        <w:rPr>
          <w:lang w:eastAsia="cs-CZ"/>
        </w:rPr>
        <w:t>ující pr</w:t>
      </w:r>
      <w:r w:rsidRPr="00461C16">
        <w:rPr>
          <w:rFonts w:cs="TimesNewRoman"/>
          <w:lang w:eastAsia="cs-CZ"/>
        </w:rPr>
        <w:t>ů</w:t>
      </w:r>
      <w:r w:rsidRPr="00461C16">
        <w:rPr>
          <w:lang w:eastAsia="cs-CZ"/>
        </w:rPr>
        <w:t>zkumy a rozbory Hrádek nad Nisou (jsou k nahlédnutí v listinné podob</w:t>
      </w:r>
      <w:r w:rsidRPr="00461C16">
        <w:rPr>
          <w:rFonts w:cs="TimesNewRoman"/>
          <w:lang w:eastAsia="cs-CZ"/>
        </w:rPr>
        <w:t xml:space="preserve">ě </w:t>
      </w:r>
      <w:r w:rsidRPr="00461C16">
        <w:rPr>
          <w:lang w:eastAsia="cs-CZ"/>
        </w:rPr>
        <w:t>na M</w:t>
      </w:r>
      <w:r w:rsidRPr="00461C16">
        <w:rPr>
          <w:rFonts w:cs="TimesNewRoman"/>
          <w:lang w:eastAsia="cs-CZ"/>
        </w:rPr>
        <w:t>ě</w:t>
      </w:r>
      <w:r w:rsidRPr="00461C16">
        <w:rPr>
          <w:lang w:eastAsia="cs-CZ"/>
        </w:rPr>
        <w:t>Ú Hrádek nad Nisou na stavebním ú</w:t>
      </w:r>
      <w:r w:rsidRPr="00461C16">
        <w:rPr>
          <w:rFonts w:cs="TimesNewRoman"/>
          <w:lang w:eastAsia="cs-CZ"/>
        </w:rPr>
        <w:t>ř</w:t>
      </w:r>
      <w:r w:rsidRPr="00461C16">
        <w:rPr>
          <w:lang w:eastAsia="cs-CZ"/>
        </w:rPr>
        <w:t>adu a dále na www.hradek.eu )</w:t>
      </w:r>
    </w:p>
    <w:p w14:paraId="4E84CB0A" w14:textId="77777777" w:rsidR="00C8507F" w:rsidRPr="00461C16" w:rsidRDefault="00C8507F" w:rsidP="00CF1D28">
      <w:pPr>
        <w:pStyle w:val="ListParagraph"/>
        <w:numPr>
          <w:ilvl w:val="0"/>
          <w:numId w:val="49"/>
        </w:numPr>
        <w:autoSpaceDE w:val="0"/>
        <w:autoSpaceDN w:val="0"/>
        <w:adjustRightInd w:val="0"/>
        <w:spacing w:before="60" w:line="240" w:lineRule="auto"/>
        <w:jc w:val="left"/>
        <w:rPr>
          <w:b/>
          <w:bCs/>
          <w:lang w:eastAsia="cs-CZ"/>
        </w:rPr>
      </w:pPr>
      <w:r w:rsidRPr="00461C16">
        <w:rPr>
          <w:lang w:eastAsia="cs-CZ"/>
        </w:rPr>
        <w:t>Uplatn</w:t>
      </w:r>
      <w:r w:rsidRPr="00461C16">
        <w:rPr>
          <w:rFonts w:cs="TimesNewRoman"/>
          <w:lang w:eastAsia="cs-CZ"/>
        </w:rPr>
        <w:t>ě</w:t>
      </w:r>
      <w:r w:rsidRPr="00461C16">
        <w:rPr>
          <w:lang w:eastAsia="cs-CZ"/>
        </w:rPr>
        <w:t>né zám</w:t>
      </w:r>
      <w:r w:rsidRPr="00461C16">
        <w:rPr>
          <w:rFonts w:cs="TimesNewRoman"/>
          <w:lang w:eastAsia="cs-CZ"/>
        </w:rPr>
        <w:t>ě</w:t>
      </w:r>
      <w:r w:rsidRPr="00461C16">
        <w:rPr>
          <w:lang w:eastAsia="cs-CZ"/>
        </w:rPr>
        <w:t>ry m</w:t>
      </w:r>
      <w:r w:rsidRPr="00461C16">
        <w:rPr>
          <w:rFonts w:cs="TimesNewRoman"/>
          <w:lang w:eastAsia="cs-CZ"/>
        </w:rPr>
        <w:t>ě</w:t>
      </w:r>
      <w:r w:rsidRPr="00461C16">
        <w:rPr>
          <w:lang w:eastAsia="cs-CZ"/>
        </w:rPr>
        <w:t>sta Hrádek nad Nisou, ob</w:t>
      </w:r>
      <w:r w:rsidRPr="00461C16">
        <w:rPr>
          <w:rFonts w:cs="TimesNewRoman"/>
          <w:lang w:eastAsia="cs-CZ"/>
        </w:rPr>
        <w:t>č</w:t>
      </w:r>
      <w:r w:rsidRPr="00461C16">
        <w:rPr>
          <w:lang w:eastAsia="cs-CZ"/>
        </w:rPr>
        <w:t>an</w:t>
      </w:r>
      <w:r w:rsidRPr="00461C16">
        <w:rPr>
          <w:rFonts w:cs="TimesNewRoman"/>
          <w:lang w:eastAsia="cs-CZ"/>
        </w:rPr>
        <w:t>ů</w:t>
      </w:r>
      <w:r w:rsidRPr="00461C16">
        <w:rPr>
          <w:lang w:eastAsia="cs-CZ"/>
        </w:rPr>
        <w:t>, majitel</w:t>
      </w:r>
      <w:r w:rsidRPr="00461C16">
        <w:rPr>
          <w:rFonts w:cs="TimesNewRoman"/>
          <w:lang w:eastAsia="cs-CZ"/>
        </w:rPr>
        <w:t xml:space="preserve">ů </w:t>
      </w:r>
      <w:r w:rsidRPr="00461C16">
        <w:rPr>
          <w:lang w:eastAsia="cs-CZ"/>
        </w:rPr>
        <w:t>pozemk</w:t>
      </w:r>
      <w:r w:rsidRPr="00461C16">
        <w:rPr>
          <w:rFonts w:cs="TimesNewRoman"/>
          <w:lang w:eastAsia="cs-CZ"/>
        </w:rPr>
        <w:t xml:space="preserve">ů </w:t>
      </w:r>
      <w:r w:rsidRPr="00461C16">
        <w:rPr>
          <w:lang w:eastAsia="cs-CZ"/>
        </w:rPr>
        <w:t>a investor</w:t>
      </w:r>
      <w:r w:rsidRPr="00461C16">
        <w:rPr>
          <w:rFonts w:cs="TimesNewRoman"/>
          <w:lang w:eastAsia="cs-CZ"/>
        </w:rPr>
        <w:t>ů</w:t>
      </w:r>
      <w:r w:rsidRPr="00461C16">
        <w:rPr>
          <w:lang w:eastAsia="cs-CZ"/>
        </w:rPr>
        <w:t>, které byly shromážd</w:t>
      </w:r>
      <w:r w:rsidRPr="00461C16">
        <w:rPr>
          <w:rFonts w:cs="TimesNewRoman"/>
          <w:lang w:eastAsia="cs-CZ"/>
        </w:rPr>
        <w:t>ě</w:t>
      </w:r>
      <w:r w:rsidRPr="00461C16">
        <w:rPr>
          <w:lang w:eastAsia="cs-CZ"/>
        </w:rPr>
        <w:t>ny p</w:t>
      </w:r>
      <w:r w:rsidRPr="00461C16">
        <w:rPr>
          <w:rFonts w:cs="TimesNewRoman"/>
          <w:lang w:eastAsia="cs-CZ"/>
        </w:rPr>
        <w:t>ř</w:t>
      </w:r>
      <w:r w:rsidRPr="00461C16">
        <w:rPr>
          <w:lang w:eastAsia="cs-CZ"/>
        </w:rPr>
        <w:t>ed zpracováním Návrhu Zadání ÚP Hrádek nad Nisou (dle P</w:t>
      </w:r>
      <w:r w:rsidRPr="00461C16">
        <w:rPr>
          <w:rFonts w:cs="TimesNewRoman"/>
          <w:lang w:eastAsia="cs-CZ"/>
        </w:rPr>
        <w:t>ř</w:t>
      </w:r>
      <w:r w:rsidRPr="00461C16">
        <w:rPr>
          <w:lang w:eastAsia="cs-CZ"/>
        </w:rPr>
        <w:t xml:space="preserve">ílohy </w:t>
      </w:r>
      <w:r w:rsidRPr="00461C16">
        <w:rPr>
          <w:rFonts w:cs="TimesNewRoman"/>
          <w:lang w:eastAsia="cs-CZ"/>
        </w:rPr>
        <w:t>č</w:t>
      </w:r>
      <w:r w:rsidRPr="00461C16">
        <w:rPr>
          <w:lang w:eastAsia="cs-CZ"/>
        </w:rPr>
        <w:t>. 1, která je nedílnou sou</w:t>
      </w:r>
      <w:r w:rsidRPr="00461C16">
        <w:rPr>
          <w:rFonts w:cs="TimesNewRoman"/>
          <w:lang w:eastAsia="cs-CZ"/>
        </w:rPr>
        <w:t>č</w:t>
      </w:r>
      <w:r w:rsidRPr="00461C16">
        <w:rPr>
          <w:lang w:eastAsia="cs-CZ"/>
        </w:rPr>
        <w:t>ástí tohoto zadání)</w:t>
      </w:r>
    </w:p>
    <w:p w14:paraId="576E25CF" w14:textId="77777777" w:rsidR="00233B2C" w:rsidRPr="00461C16" w:rsidRDefault="00C8507F" w:rsidP="00CF1D28">
      <w:pPr>
        <w:pStyle w:val="ListParagraph"/>
        <w:numPr>
          <w:ilvl w:val="0"/>
          <w:numId w:val="49"/>
        </w:numPr>
        <w:autoSpaceDE w:val="0"/>
        <w:autoSpaceDN w:val="0"/>
        <w:adjustRightInd w:val="0"/>
        <w:spacing w:before="60" w:line="240" w:lineRule="auto"/>
        <w:jc w:val="left"/>
        <w:rPr>
          <w:b/>
          <w:bCs/>
          <w:lang w:eastAsia="cs-CZ"/>
        </w:rPr>
      </w:pPr>
      <w:r w:rsidRPr="00461C16">
        <w:rPr>
          <w:lang w:eastAsia="cs-CZ"/>
        </w:rPr>
        <w:t>A další podklady</w:t>
      </w:r>
    </w:p>
    <w:p w14:paraId="37AD549C" w14:textId="77777777" w:rsidR="00233B2C" w:rsidRPr="00461C16" w:rsidRDefault="00DE0D05" w:rsidP="00233B2C">
      <w:pPr>
        <w:autoSpaceDE w:val="0"/>
        <w:autoSpaceDN w:val="0"/>
        <w:adjustRightInd w:val="0"/>
        <w:spacing w:before="120" w:line="240" w:lineRule="auto"/>
        <w:rPr>
          <w:i/>
          <w:lang w:eastAsia="cs-CZ"/>
        </w:rPr>
      </w:pPr>
      <w:r w:rsidRPr="00461C16">
        <w:rPr>
          <w:i/>
          <w:lang w:eastAsia="cs-CZ"/>
        </w:rPr>
        <w:t xml:space="preserve">Všechny výše uvedené podklady byly využity pro zpracování Návrhu UP. </w:t>
      </w:r>
    </w:p>
    <w:p w14:paraId="0F93B96B" w14:textId="77777777" w:rsidR="00D418B7" w:rsidRPr="00461C16" w:rsidRDefault="00D418B7" w:rsidP="00F76705">
      <w:pPr>
        <w:pStyle w:val="BodyText"/>
        <w:spacing w:before="120"/>
        <w:rPr>
          <w:i/>
          <w:sz w:val="22"/>
          <w:szCs w:val="22"/>
        </w:rPr>
      </w:pPr>
    </w:p>
    <w:p w14:paraId="313D020F" w14:textId="77777777" w:rsidR="0019194E" w:rsidRPr="00F22794" w:rsidRDefault="00D23962" w:rsidP="00F22794">
      <w:pPr>
        <w:pStyle w:val="Heading1"/>
      </w:pPr>
      <w:bookmarkStart w:id="76" w:name="_Toc424191827"/>
      <w:r w:rsidRPr="00461C16">
        <w:br w:type="page"/>
      </w:r>
      <w:bookmarkStart w:id="77" w:name="_Toc36116275"/>
      <w:r w:rsidR="0019194E" w:rsidRPr="00461C16">
        <w:lastRenderedPageBreak/>
        <w:t>4.</w:t>
      </w:r>
      <w:r w:rsidR="0019194E" w:rsidRPr="00461C16">
        <w:tab/>
        <w:t>VYHODNOCENÍ KOORDINACE VYUŽÍVÁNÍ ÚZEMÍ Z HLEDISKA ŠIRŠÍCH VZTAHŮ</w:t>
      </w:r>
      <w:bookmarkEnd w:id="77"/>
    </w:p>
    <w:p w14:paraId="0C84B82B" w14:textId="77777777" w:rsidR="0019194E" w:rsidRPr="00461C16" w:rsidRDefault="00A25862" w:rsidP="0019194E">
      <w:r w:rsidRPr="00461C16">
        <w:t>Koncepce rozvoje města Hrádek nad Nisou</w:t>
      </w:r>
      <w:r w:rsidR="0019194E" w:rsidRPr="00461C16">
        <w:t xml:space="preserve"> respektuje pozici v sídelní struktuře správního obvodu obce s rozš</w:t>
      </w:r>
      <w:r w:rsidRPr="00461C16">
        <w:t>ířenou posobností (SO ORP) Liberec</w:t>
      </w:r>
      <w:r w:rsidR="0019194E" w:rsidRPr="00461C16">
        <w:t>. Koncepce rovněž zohledňuje rozvojové záměry sousedních obcí, kterými jsou v rámci jednotlivých správních obvodů obcí s rozšířenou působností (SO ORP):</w:t>
      </w:r>
    </w:p>
    <w:p w14:paraId="5A99FE5F" w14:textId="77777777" w:rsidR="0019194E" w:rsidRPr="00461C16" w:rsidRDefault="0019194E" w:rsidP="0019194E">
      <w:pPr>
        <w:pStyle w:val="1text"/>
        <w:spacing w:after="120"/>
      </w:pPr>
      <w:r w:rsidRPr="00461C16">
        <w:rPr>
          <w:b/>
        </w:rPr>
        <w:t xml:space="preserve">ORP </w:t>
      </w:r>
      <w:r w:rsidR="00FC290C" w:rsidRPr="00461C16">
        <w:rPr>
          <w:b/>
        </w:rPr>
        <w:t>Liberec</w:t>
      </w:r>
      <w:r w:rsidRPr="00461C16">
        <w:t xml:space="preserve"> (Liberecký kraj): </w:t>
      </w:r>
      <w:r w:rsidR="00FC290C" w:rsidRPr="00461C16">
        <w:t>Bílý Kostel nad Nisou, Chotyně, Chrastava, Jablonné v Podještědí a Rynoltice</w:t>
      </w:r>
    </w:p>
    <w:p w14:paraId="60C0578E" w14:textId="77777777" w:rsidR="005B2FAF" w:rsidRPr="00461C16" w:rsidRDefault="005B2FAF" w:rsidP="0019194E">
      <w:pPr>
        <w:pStyle w:val="1text"/>
        <w:spacing w:after="120"/>
      </w:pPr>
      <w:r w:rsidRPr="00461C16">
        <w:t>Na polské straně sousední Hádek nad Nisou s městem Bogatynia (česky „Bogatyně“) a na německé straně s městem Zittau (česky „Žitava“).</w:t>
      </w:r>
    </w:p>
    <w:p w14:paraId="4DEBC2A5" w14:textId="77777777" w:rsidR="0019194E" w:rsidRPr="00461C16" w:rsidRDefault="0019194E" w:rsidP="0019194E">
      <w:pPr>
        <w:pStyle w:val="1text"/>
        <w:spacing w:after="120"/>
      </w:pPr>
      <w:r w:rsidRPr="00461C16">
        <w:t>V uvedených obcích byla v rám</w:t>
      </w:r>
      <w:r w:rsidR="00A25862" w:rsidRPr="00461C16">
        <w:t>ci zpracování ÚP města Hrádek nad Nisou</w:t>
      </w:r>
      <w:r w:rsidRPr="00461C16">
        <w:t xml:space="preserve"> analyzována jejich ÚPD. Jejich stav je následující</w:t>
      </w:r>
      <w:r w:rsidRPr="00461C16">
        <w:rPr>
          <w:rStyle w:val="FootnoteReference"/>
          <w:rFonts w:cs="Arial"/>
        </w:rPr>
        <w:footnoteReference w:id="2"/>
      </w:r>
      <w:r w:rsidRPr="00461C16">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5"/>
        <w:gridCol w:w="3261"/>
        <w:gridCol w:w="3897"/>
      </w:tblGrid>
      <w:tr w:rsidR="0019194E" w:rsidRPr="00461C16" w14:paraId="38DED250" w14:textId="77777777" w:rsidTr="000C791F">
        <w:trPr>
          <w:tblHeader/>
        </w:trPr>
        <w:tc>
          <w:tcPr>
            <w:tcW w:w="2054" w:type="dxa"/>
            <w:shd w:val="clear" w:color="auto" w:fill="F2F2F2" w:themeFill="background1" w:themeFillShade="F2"/>
          </w:tcPr>
          <w:p w14:paraId="68970889" w14:textId="77777777" w:rsidR="0019194E" w:rsidRPr="00461C16" w:rsidRDefault="0019194E" w:rsidP="000C791F">
            <w:pPr>
              <w:pStyle w:val="1text"/>
              <w:spacing w:before="40" w:after="40"/>
              <w:rPr>
                <w:b/>
                <w:sz w:val="20"/>
                <w:szCs w:val="20"/>
              </w:rPr>
            </w:pPr>
            <w:r w:rsidRPr="00461C16">
              <w:rPr>
                <w:b/>
                <w:sz w:val="20"/>
                <w:szCs w:val="20"/>
              </w:rPr>
              <w:t>Obec</w:t>
            </w:r>
          </w:p>
        </w:tc>
        <w:tc>
          <w:tcPr>
            <w:tcW w:w="3261" w:type="dxa"/>
            <w:shd w:val="clear" w:color="auto" w:fill="F2F2F2" w:themeFill="background1" w:themeFillShade="F2"/>
          </w:tcPr>
          <w:p w14:paraId="052F4C63" w14:textId="77777777" w:rsidR="0019194E" w:rsidRPr="00461C16" w:rsidRDefault="0019194E" w:rsidP="000C791F">
            <w:pPr>
              <w:pStyle w:val="1text"/>
              <w:spacing w:before="40" w:after="40"/>
              <w:rPr>
                <w:b/>
                <w:sz w:val="20"/>
                <w:szCs w:val="20"/>
              </w:rPr>
            </w:pPr>
            <w:r w:rsidRPr="00461C16">
              <w:rPr>
                <w:b/>
                <w:sz w:val="20"/>
                <w:szCs w:val="20"/>
              </w:rPr>
              <w:t xml:space="preserve">ÚPD </w:t>
            </w:r>
          </w:p>
        </w:tc>
        <w:tc>
          <w:tcPr>
            <w:tcW w:w="3897" w:type="dxa"/>
            <w:shd w:val="clear" w:color="auto" w:fill="F2F2F2" w:themeFill="background1" w:themeFillShade="F2"/>
          </w:tcPr>
          <w:p w14:paraId="02921290" w14:textId="77777777" w:rsidR="0019194E" w:rsidRPr="00461C16" w:rsidRDefault="0019194E" w:rsidP="000C791F">
            <w:pPr>
              <w:pStyle w:val="1text"/>
              <w:spacing w:before="40" w:after="40"/>
              <w:jc w:val="left"/>
              <w:rPr>
                <w:b/>
                <w:sz w:val="20"/>
                <w:szCs w:val="20"/>
              </w:rPr>
            </w:pPr>
            <w:r w:rsidRPr="00461C16">
              <w:rPr>
                <w:b/>
                <w:sz w:val="20"/>
                <w:szCs w:val="20"/>
              </w:rPr>
              <w:t>Schv</w:t>
            </w:r>
            <w:r w:rsidR="00D61E44">
              <w:rPr>
                <w:b/>
                <w:sz w:val="20"/>
                <w:szCs w:val="20"/>
              </w:rPr>
              <w:t>álení / vydání (stav projednání</w:t>
            </w:r>
            <w:r w:rsidRPr="00461C16">
              <w:rPr>
                <w:b/>
                <w:sz w:val="20"/>
                <w:szCs w:val="20"/>
              </w:rPr>
              <w:t>)</w:t>
            </w:r>
          </w:p>
        </w:tc>
      </w:tr>
      <w:tr w:rsidR="0019194E" w:rsidRPr="00461C16" w14:paraId="794C62B6" w14:textId="77777777" w:rsidTr="000C791F">
        <w:tc>
          <w:tcPr>
            <w:tcW w:w="9212" w:type="dxa"/>
            <w:gridSpan w:val="3"/>
            <w:tcBorders>
              <w:bottom w:val="nil"/>
            </w:tcBorders>
          </w:tcPr>
          <w:p w14:paraId="57372327" w14:textId="77777777" w:rsidR="0019194E" w:rsidRPr="00461C16" w:rsidRDefault="0019194E" w:rsidP="000C791F">
            <w:pPr>
              <w:pStyle w:val="1text"/>
              <w:spacing w:before="40" w:after="40"/>
              <w:rPr>
                <w:sz w:val="20"/>
                <w:szCs w:val="20"/>
              </w:rPr>
            </w:pPr>
            <w:r w:rsidRPr="00461C16">
              <w:rPr>
                <w:b/>
                <w:sz w:val="20"/>
                <w:szCs w:val="20"/>
              </w:rPr>
              <w:t xml:space="preserve">SO ORP </w:t>
            </w:r>
            <w:r w:rsidR="005B2FAF" w:rsidRPr="00461C16">
              <w:rPr>
                <w:b/>
                <w:sz w:val="20"/>
                <w:szCs w:val="20"/>
              </w:rPr>
              <w:t>Liberec</w:t>
            </w:r>
          </w:p>
        </w:tc>
      </w:tr>
      <w:tr w:rsidR="005B2FAF" w:rsidRPr="00461C16" w14:paraId="66FC171E" w14:textId="77777777" w:rsidTr="006016F8">
        <w:tc>
          <w:tcPr>
            <w:tcW w:w="2054" w:type="dxa"/>
          </w:tcPr>
          <w:p w14:paraId="0273CE44" w14:textId="77777777" w:rsidR="005B2FAF" w:rsidRPr="00461C16" w:rsidRDefault="005B2FAF" w:rsidP="000C791F">
            <w:pPr>
              <w:pStyle w:val="1text"/>
              <w:spacing w:before="40" w:after="40"/>
              <w:rPr>
                <w:sz w:val="20"/>
                <w:szCs w:val="20"/>
              </w:rPr>
            </w:pPr>
            <w:r w:rsidRPr="00461C16">
              <w:rPr>
                <w:sz w:val="20"/>
                <w:szCs w:val="20"/>
              </w:rPr>
              <w:t>Bílý Kostel nad Nisou</w:t>
            </w:r>
          </w:p>
        </w:tc>
        <w:tc>
          <w:tcPr>
            <w:tcW w:w="3261" w:type="dxa"/>
            <w:vAlign w:val="center"/>
          </w:tcPr>
          <w:p w14:paraId="2FBCBAC8" w14:textId="77777777" w:rsidR="005B2FAF" w:rsidRPr="00461C16" w:rsidRDefault="005B2FAF" w:rsidP="006016F8">
            <w:pPr>
              <w:spacing w:line="240" w:lineRule="auto"/>
              <w:jc w:val="left"/>
              <w:rPr>
                <w:rFonts w:cs="Arial"/>
                <w:sz w:val="20"/>
                <w:lang w:eastAsia="cs-CZ"/>
              </w:rPr>
            </w:pPr>
            <w:r w:rsidRPr="00461C16">
              <w:rPr>
                <w:rFonts w:cs="Arial"/>
                <w:sz w:val="20"/>
                <w:lang w:eastAsia="cs-CZ"/>
              </w:rPr>
              <w:t>Územní plán Bílý Kostel nad Nisou</w:t>
            </w:r>
          </w:p>
        </w:tc>
        <w:tc>
          <w:tcPr>
            <w:tcW w:w="3897" w:type="dxa"/>
          </w:tcPr>
          <w:p w14:paraId="76564759" w14:textId="77777777" w:rsidR="005B2FAF" w:rsidRPr="00461C16" w:rsidRDefault="005B2FAF" w:rsidP="000C791F">
            <w:pPr>
              <w:pStyle w:val="1text"/>
              <w:spacing w:before="40" w:after="40"/>
              <w:rPr>
                <w:sz w:val="20"/>
                <w:szCs w:val="20"/>
              </w:rPr>
            </w:pPr>
            <w:r w:rsidRPr="00461C16">
              <w:rPr>
                <w:rFonts w:cs="Arial"/>
                <w:sz w:val="20"/>
                <w:lang w:eastAsia="cs-CZ"/>
              </w:rPr>
              <w:t>22. 9. 2014</w:t>
            </w:r>
          </w:p>
        </w:tc>
      </w:tr>
      <w:tr w:rsidR="005B2FAF" w:rsidRPr="00461C16" w14:paraId="59FA9DFF" w14:textId="77777777" w:rsidTr="006016F8">
        <w:tc>
          <w:tcPr>
            <w:tcW w:w="2054" w:type="dxa"/>
          </w:tcPr>
          <w:p w14:paraId="700FC86A" w14:textId="77777777" w:rsidR="005B2FAF" w:rsidRPr="00461C16" w:rsidRDefault="005B2FAF" w:rsidP="000C791F">
            <w:pPr>
              <w:pStyle w:val="1text"/>
              <w:spacing w:before="40" w:after="40"/>
              <w:rPr>
                <w:sz w:val="20"/>
                <w:szCs w:val="20"/>
              </w:rPr>
            </w:pPr>
            <w:r w:rsidRPr="00461C16">
              <w:rPr>
                <w:sz w:val="20"/>
                <w:szCs w:val="20"/>
              </w:rPr>
              <w:t>Chotyně</w:t>
            </w:r>
          </w:p>
        </w:tc>
        <w:tc>
          <w:tcPr>
            <w:tcW w:w="3261" w:type="dxa"/>
            <w:vAlign w:val="center"/>
          </w:tcPr>
          <w:p w14:paraId="288887A4" w14:textId="77777777" w:rsidR="005B2FAF" w:rsidRPr="00461C16" w:rsidRDefault="005B2FAF" w:rsidP="006016F8">
            <w:pPr>
              <w:rPr>
                <w:sz w:val="20"/>
              </w:rPr>
            </w:pPr>
            <w:r w:rsidRPr="00461C16">
              <w:rPr>
                <w:sz w:val="20"/>
              </w:rPr>
              <w:t>Územní plán Chotyně</w:t>
            </w:r>
          </w:p>
        </w:tc>
        <w:tc>
          <w:tcPr>
            <w:tcW w:w="3897" w:type="dxa"/>
            <w:vAlign w:val="center"/>
          </w:tcPr>
          <w:p w14:paraId="18C85F3E" w14:textId="77777777" w:rsidR="005B2FAF" w:rsidRPr="00461C16" w:rsidRDefault="005B2FAF" w:rsidP="006016F8">
            <w:pPr>
              <w:spacing w:line="240" w:lineRule="auto"/>
              <w:jc w:val="left"/>
              <w:rPr>
                <w:rFonts w:cs="Arial"/>
                <w:sz w:val="20"/>
                <w:lang w:eastAsia="cs-CZ"/>
              </w:rPr>
            </w:pPr>
            <w:r w:rsidRPr="00461C16">
              <w:rPr>
                <w:rFonts w:cs="Arial"/>
                <w:sz w:val="20"/>
                <w:lang w:eastAsia="cs-CZ"/>
              </w:rPr>
              <w:t>30. 6. 2009</w:t>
            </w:r>
          </w:p>
        </w:tc>
      </w:tr>
      <w:tr w:rsidR="005B2FAF" w:rsidRPr="00461C16" w14:paraId="04E43381" w14:textId="77777777" w:rsidTr="006016F8">
        <w:tc>
          <w:tcPr>
            <w:tcW w:w="2054" w:type="dxa"/>
          </w:tcPr>
          <w:p w14:paraId="7E8C1C9F" w14:textId="77777777" w:rsidR="005B2FAF" w:rsidRPr="00461C16" w:rsidRDefault="005B2FAF" w:rsidP="000C791F">
            <w:pPr>
              <w:pStyle w:val="1text"/>
              <w:spacing w:before="40" w:after="40"/>
              <w:rPr>
                <w:sz w:val="20"/>
                <w:szCs w:val="20"/>
              </w:rPr>
            </w:pPr>
          </w:p>
        </w:tc>
        <w:tc>
          <w:tcPr>
            <w:tcW w:w="3261" w:type="dxa"/>
            <w:vAlign w:val="center"/>
          </w:tcPr>
          <w:p w14:paraId="6032E98F" w14:textId="77777777" w:rsidR="005B2FAF" w:rsidRPr="00461C16" w:rsidRDefault="005B2FAF" w:rsidP="006016F8">
            <w:pPr>
              <w:rPr>
                <w:sz w:val="20"/>
              </w:rPr>
            </w:pPr>
            <w:r w:rsidRPr="00461C16">
              <w:rPr>
                <w:sz w:val="20"/>
              </w:rPr>
              <w:t>1. změna Územního plánu Chotyně</w:t>
            </w:r>
          </w:p>
        </w:tc>
        <w:tc>
          <w:tcPr>
            <w:tcW w:w="3897" w:type="dxa"/>
            <w:vAlign w:val="center"/>
          </w:tcPr>
          <w:p w14:paraId="1C36FF13" w14:textId="77777777" w:rsidR="005B2FAF" w:rsidRPr="00461C16" w:rsidRDefault="005B2FAF" w:rsidP="006016F8">
            <w:pPr>
              <w:pStyle w:val="Intabulka"/>
              <w:spacing w:before="0" w:after="0"/>
              <w:rPr>
                <w:rFonts w:ascii="Arial Narrow" w:hAnsi="Arial Narrow" w:cs="Arial"/>
                <w:lang w:val="cs-CZ" w:eastAsia="cs-CZ"/>
              </w:rPr>
            </w:pPr>
            <w:r w:rsidRPr="00461C16">
              <w:rPr>
                <w:rFonts w:ascii="Arial Narrow" w:hAnsi="Arial Narrow" w:cs="Arial"/>
                <w:lang w:eastAsia="cs-CZ"/>
              </w:rPr>
              <w:t>28. 6. 2016</w:t>
            </w:r>
          </w:p>
        </w:tc>
      </w:tr>
      <w:tr w:rsidR="005B2FAF" w:rsidRPr="00461C16" w14:paraId="0EDD4930" w14:textId="77777777" w:rsidTr="006016F8">
        <w:tc>
          <w:tcPr>
            <w:tcW w:w="2054" w:type="dxa"/>
          </w:tcPr>
          <w:p w14:paraId="419886CC" w14:textId="77777777" w:rsidR="005B2FAF" w:rsidRPr="00461C16" w:rsidRDefault="005B2FAF" w:rsidP="000C791F">
            <w:pPr>
              <w:pStyle w:val="1text"/>
              <w:spacing w:before="40" w:after="40"/>
              <w:rPr>
                <w:sz w:val="20"/>
                <w:szCs w:val="20"/>
              </w:rPr>
            </w:pPr>
            <w:r w:rsidRPr="00461C16">
              <w:rPr>
                <w:sz w:val="20"/>
                <w:szCs w:val="20"/>
              </w:rPr>
              <w:t>Chrastava</w:t>
            </w:r>
          </w:p>
        </w:tc>
        <w:tc>
          <w:tcPr>
            <w:tcW w:w="3261" w:type="dxa"/>
            <w:vAlign w:val="center"/>
          </w:tcPr>
          <w:p w14:paraId="13781D06" w14:textId="77777777" w:rsidR="005B2FAF" w:rsidRPr="00461C16" w:rsidRDefault="005B2FAF" w:rsidP="006016F8">
            <w:pPr>
              <w:rPr>
                <w:sz w:val="20"/>
              </w:rPr>
            </w:pPr>
            <w:r w:rsidRPr="00461C16">
              <w:rPr>
                <w:sz w:val="20"/>
              </w:rPr>
              <w:t xml:space="preserve">Územní plán Chrastava </w:t>
            </w:r>
          </w:p>
        </w:tc>
        <w:tc>
          <w:tcPr>
            <w:tcW w:w="3897" w:type="dxa"/>
          </w:tcPr>
          <w:p w14:paraId="01FE2BA7" w14:textId="77777777" w:rsidR="005B2FAF" w:rsidRPr="00461C16" w:rsidRDefault="005B2FAF" w:rsidP="000C791F">
            <w:pPr>
              <w:pStyle w:val="1text"/>
              <w:spacing w:before="40" w:after="40"/>
              <w:rPr>
                <w:sz w:val="20"/>
                <w:szCs w:val="20"/>
              </w:rPr>
            </w:pPr>
            <w:r w:rsidRPr="00461C16">
              <w:rPr>
                <w:rFonts w:cs="Arial"/>
                <w:sz w:val="20"/>
                <w:lang w:eastAsia="cs-CZ"/>
              </w:rPr>
              <w:t>6. 10. 2014</w:t>
            </w:r>
          </w:p>
        </w:tc>
      </w:tr>
      <w:tr w:rsidR="005B2FAF" w:rsidRPr="00461C16" w14:paraId="3BA5C3BE" w14:textId="77777777" w:rsidTr="006016F8">
        <w:tc>
          <w:tcPr>
            <w:tcW w:w="2054" w:type="dxa"/>
          </w:tcPr>
          <w:p w14:paraId="5A4D6DA9" w14:textId="77777777" w:rsidR="005B2FAF" w:rsidRPr="00461C16" w:rsidRDefault="005B2FAF" w:rsidP="000C791F">
            <w:pPr>
              <w:pStyle w:val="1text"/>
              <w:spacing w:before="40" w:after="40"/>
              <w:rPr>
                <w:sz w:val="20"/>
                <w:szCs w:val="20"/>
              </w:rPr>
            </w:pPr>
            <w:r w:rsidRPr="00461C16">
              <w:rPr>
                <w:sz w:val="20"/>
                <w:szCs w:val="20"/>
              </w:rPr>
              <w:t>Jablonné v Podještědí</w:t>
            </w:r>
          </w:p>
        </w:tc>
        <w:tc>
          <w:tcPr>
            <w:tcW w:w="3261" w:type="dxa"/>
            <w:vAlign w:val="center"/>
          </w:tcPr>
          <w:p w14:paraId="6774D837" w14:textId="77777777" w:rsidR="005B2FAF" w:rsidRPr="00461C16" w:rsidRDefault="005B2FAF" w:rsidP="006016F8">
            <w:pPr>
              <w:rPr>
                <w:sz w:val="20"/>
              </w:rPr>
            </w:pPr>
            <w:r w:rsidRPr="00461C16">
              <w:rPr>
                <w:sz w:val="20"/>
              </w:rPr>
              <w:t>Územní plán Jablonné v Podještědí</w:t>
            </w:r>
          </w:p>
        </w:tc>
        <w:tc>
          <w:tcPr>
            <w:tcW w:w="3897" w:type="dxa"/>
            <w:vAlign w:val="center"/>
          </w:tcPr>
          <w:p w14:paraId="08979E6F" w14:textId="77777777" w:rsidR="005B2FAF" w:rsidRPr="00461C16" w:rsidRDefault="005B2FAF" w:rsidP="006016F8">
            <w:pPr>
              <w:spacing w:line="240" w:lineRule="auto"/>
              <w:jc w:val="left"/>
              <w:rPr>
                <w:rFonts w:cs="Arial"/>
                <w:sz w:val="20"/>
                <w:lang w:eastAsia="cs-CZ"/>
              </w:rPr>
            </w:pPr>
            <w:r w:rsidRPr="00461C16">
              <w:rPr>
                <w:rFonts w:cs="Arial"/>
                <w:sz w:val="20"/>
                <w:lang w:eastAsia="cs-CZ"/>
              </w:rPr>
              <w:t>rozpracováno, návrh pro veřejné projednání 10/2015</w:t>
            </w:r>
          </w:p>
        </w:tc>
      </w:tr>
      <w:tr w:rsidR="005B2FAF" w:rsidRPr="00461C16" w14:paraId="57EB492C" w14:textId="77777777" w:rsidTr="006016F8">
        <w:tc>
          <w:tcPr>
            <w:tcW w:w="2054" w:type="dxa"/>
          </w:tcPr>
          <w:p w14:paraId="61532B6F" w14:textId="77777777" w:rsidR="005B2FAF" w:rsidRPr="00461C16" w:rsidRDefault="005B2FAF" w:rsidP="000C791F">
            <w:pPr>
              <w:pStyle w:val="1text"/>
              <w:spacing w:before="40" w:after="40"/>
              <w:rPr>
                <w:sz w:val="20"/>
                <w:szCs w:val="20"/>
              </w:rPr>
            </w:pPr>
          </w:p>
        </w:tc>
        <w:tc>
          <w:tcPr>
            <w:tcW w:w="3261" w:type="dxa"/>
            <w:vAlign w:val="center"/>
          </w:tcPr>
          <w:p w14:paraId="4EB6323E" w14:textId="77777777" w:rsidR="005B2FAF" w:rsidRPr="00461C16" w:rsidRDefault="005B2FAF" w:rsidP="006016F8">
            <w:pPr>
              <w:rPr>
                <w:sz w:val="20"/>
              </w:rPr>
            </w:pPr>
            <w:r w:rsidRPr="00461C16">
              <w:rPr>
                <w:sz w:val="20"/>
              </w:rPr>
              <w:t>Územní plán obce Jablonné v Podještědí</w:t>
            </w:r>
          </w:p>
        </w:tc>
        <w:tc>
          <w:tcPr>
            <w:tcW w:w="3897" w:type="dxa"/>
            <w:vAlign w:val="center"/>
          </w:tcPr>
          <w:p w14:paraId="3EB24419" w14:textId="77777777" w:rsidR="005B2FAF" w:rsidRPr="00461C16" w:rsidRDefault="005B2FAF" w:rsidP="006016F8">
            <w:pPr>
              <w:spacing w:before="40"/>
              <w:rPr>
                <w:sz w:val="20"/>
              </w:rPr>
            </w:pPr>
            <w:r w:rsidRPr="00461C16">
              <w:rPr>
                <w:sz w:val="20"/>
              </w:rPr>
              <w:t>29. 11. 2004 </w:t>
            </w:r>
          </w:p>
        </w:tc>
      </w:tr>
      <w:tr w:rsidR="005B2FAF" w:rsidRPr="00461C16" w14:paraId="7B79DECA" w14:textId="77777777" w:rsidTr="006016F8">
        <w:tc>
          <w:tcPr>
            <w:tcW w:w="2054" w:type="dxa"/>
          </w:tcPr>
          <w:p w14:paraId="786311DF" w14:textId="77777777" w:rsidR="005B2FAF" w:rsidRPr="00461C16" w:rsidRDefault="005B2FAF" w:rsidP="000C791F">
            <w:pPr>
              <w:pStyle w:val="1text"/>
              <w:spacing w:before="40" w:after="40"/>
              <w:rPr>
                <w:sz w:val="20"/>
                <w:szCs w:val="20"/>
              </w:rPr>
            </w:pPr>
          </w:p>
        </w:tc>
        <w:tc>
          <w:tcPr>
            <w:tcW w:w="3261" w:type="dxa"/>
            <w:vAlign w:val="center"/>
          </w:tcPr>
          <w:p w14:paraId="0BB17FA4" w14:textId="77777777" w:rsidR="005B2FAF" w:rsidRPr="00461C16" w:rsidRDefault="005B2FAF" w:rsidP="006016F8">
            <w:pPr>
              <w:rPr>
                <w:sz w:val="20"/>
              </w:rPr>
            </w:pPr>
            <w:r w:rsidRPr="00461C16">
              <w:rPr>
                <w:sz w:val="20"/>
              </w:rPr>
              <w:t>Územní plán obce Jablonné v Podještědí - 1a. změna ÚPO Jablonné v Podještědí</w:t>
            </w:r>
          </w:p>
        </w:tc>
        <w:tc>
          <w:tcPr>
            <w:tcW w:w="3897" w:type="dxa"/>
            <w:vAlign w:val="center"/>
          </w:tcPr>
          <w:p w14:paraId="337A7226" w14:textId="77777777" w:rsidR="005B2FAF" w:rsidRPr="00461C16" w:rsidRDefault="005B2FAF" w:rsidP="006016F8">
            <w:pPr>
              <w:spacing w:before="40"/>
              <w:rPr>
                <w:sz w:val="20"/>
              </w:rPr>
            </w:pPr>
            <w:r w:rsidRPr="00461C16">
              <w:rPr>
                <w:sz w:val="20"/>
              </w:rPr>
              <w:t>22. 11. 2006</w:t>
            </w:r>
          </w:p>
        </w:tc>
      </w:tr>
      <w:tr w:rsidR="005B2FAF" w:rsidRPr="00461C16" w14:paraId="08810FC1" w14:textId="77777777" w:rsidTr="006016F8">
        <w:tc>
          <w:tcPr>
            <w:tcW w:w="2054" w:type="dxa"/>
          </w:tcPr>
          <w:p w14:paraId="0D64D410" w14:textId="77777777" w:rsidR="005B2FAF" w:rsidRPr="00461C16" w:rsidRDefault="005B2FAF" w:rsidP="000C791F">
            <w:pPr>
              <w:pStyle w:val="1text"/>
              <w:spacing w:before="40" w:after="40"/>
              <w:rPr>
                <w:sz w:val="20"/>
                <w:szCs w:val="20"/>
              </w:rPr>
            </w:pPr>
          </w:p>
        </w:tc>
        <w:tc>
          <w:tcPr>
            <w:tcW w:w="3261" w:type="dxa"/>
            <w:vAlign w:val="center"/>
          </w:tcPr>
          <w:p w14:paraId="702813D8" w14:textId="77777777" w:rsidR="005B2FAF" w:rsidRPr="00461C16" w:rsidRDefault="005B2FAF" w:rsidP="006016F8">
            <w:pPr>
              <w:rPr>
                <w:sz w:val="20"/>
              </w:rPr>
            </w:pPr>
            <w:r w:rsidRPr="00461C16">
              <w:rPr>
                <w:sz w:val="20"/>
              </w:rPr>
              <w:t>Územní plán obce Jablonné v Podještědí - 1b. změna ÚPO Jablonné v Podještědí</w:t>
            </w:r>
          </w:p>
        </w:tc>
        <w:tc>
          <w:tcPr>
            <w:tcW w:w="3897" w:type="dxa"/>
            <w:vAlign w:val="center"/>
          </w:tcPr>
          <w:p w14:paraId="4C8E41D9" w14:textId="77777777" w:rsidR="005B2FAF" w:rsidRPr="00461C16" w:rsidRDefault="005B2FAF" w:rsidP="006016F8">
            <w:pPr>
              <w:spacing w:before="40"/>
              <w:rPr>
                <w:sz w:val="20"/>
              </w:rPr>
            </w:pPr>
            <w:r w:rsidRPr="00461C16">
              <w:rPr>
                <w:sz w:val="20"/>
              </w:rPr>
              <w:t>12. 5. 2008</w:t>
            </w:r>
          </w:p>
        </w:tc>
      </w:tr>
      <w:tr w:rsidR="005B2FAF" w:rsidRPr="00461C16" w14:paraId="52C57102" w14:textId="77777777" w:rsidTr="006016F8">
        <w:tc>
          <w:tcPr>
            <w:tcW w:w="2054" w:type="dxa"/>
          </w:tcPr>
          <w:p w14:paraId="5A46247F" w14:textId="77777777" w:rsidR="005B2FAF" w:rsidRPr="00461C16" w:rsidRDefault="005B2FAF" w:rsidP="000C791F">
            <w:pPr>
              <w:pStyle w:val="1text"/>
              <w:spacing w:before="40" w:after="40"/>
              <w:rPr>
                <w:sz w:val="20"/>
                <w:szCs w:val="20"/>
              </w:rPr>
            </w:pPr>
          </w:p>
        </w:tc>
        <w:tc>
          <w:tcPr>
            <w:tcW w:w="3261" w:type="dxa"/>
            <w:vAlign w:val="center"/>
          </w:tcPr>
          <w:p w14:paraId="4FF2FD9E" w14:textId="77777777" w:rsidR="005B2FAF" w:rsidRPr="00461C16" w:rsidRDefault="005B2FAF" w:rsidP="006016F8">
            <w:pPr>
              <w:rPr>
                <w:sz w:val="20"/>
              </w:rPr>
            </w:pPr>
            <w:r w:rsidRPr="00461C16">
              <w:rPr>
                <w:sz w:val="20"/>
              </w:rPr>
              <w:t>Územní plán obce Jablonné v Podještědí - 2a. změna ÚPO Jablonné v Podještědí</w:t>
            </w:r>
          </w:p>
        </w:tc>
        <w:tc>
          <w:tcPr>
            <w:tcW w:w="3897" w:type="dxa"/>
            <w:vAlign w:val="center"/>
          </w:tcPr>
          <w:p w14:paraId="37F87C4D" w14:textId="77777777" w:rsidR="005B2FAF" w:rsidRPr="00461C16" w:rsidRDefault="005B2FAF" w:rsidP="006016F8">
            <w:pPr>
              <w:spacing w:before="40"/>
              <w:rPr>
                <w:sz w:val="20"/>
              </w:rPr>
            </w:pPr>
            <w:r w:rsidRPr="00461C16">
              <w:rPr>
                <w:sz w:val="20"/>
              </w:rPr>
              <w:t>12. 5. 2008</w:t>
            </w:r>
          </w:p>
        </w:tc>
      </w:tr>
      <w:tr w:rsidR="005B2FAF" w:rsidRPr="00461C16" w14:paraId="6F919D5B" w14:textId="77777777" w:rsidTr="006016F8">
        <w:tc>
          <w:tcPr>
            <w:tcW w:w="2054" w:type="dxa"/>
          </w:tcPr>
          <w:p w14:paraId="7B8D4E29" w14:textId="77777777" w:rsidR="005B2FAF" w:rsidRPr="00461C16" w:rsidRDefault="005B2FAF" w:rsidP="000C791F">
            <w:pPr>
              <w:pStyle w:val="1text"/>
              <w:spacing w:before="40" w:after="40"/>
              <w:rPr>
                <w:sz w:val="20"/>
                <w:szCs w:val="20"/>
              </w:rPr>
            </w:pPr>
          </w:p>
        </w:tc>
        <w:tc>
          <w:tcPr>
            <w:tcW w:w="3261" w:type="dxa"/>
            <w:vAlign w:val="center"/>
          </w:tcPr>
          <w:p w14:paraId="76FC856F" w14:textId="77777777" w:rsidR="005B2FAF" w:rsidRPr="00461C16" w:rsidRDefault="005B2FAF" w:rsidP="006016F8">
            <w:pPr>
              <w:rPr>
                <w:sz w:val="20"/>
              </w:rPr>
            </w:pPr>
            <w:r w:rsidRPr="00461C16">
              <w:rPr>
                <w:sz w:val="20"/>
              </w:rPr>
              <w:t>Územní plán obce Jablonné v Podještědí - 2b. změna ÚPO Jablonné v Podještědí</w:t>
            </w:r>
          </w:p>
        </w:tc>
        <w:tc>
          <w:tcPr>
            <w:tcW w:w="3897" w:type="dxa"/>
            <w:vAlign w:val="center"/>
          </w:tcPr>
          <w:p w14:paraId="5097EDFB" w14:textId="77777777" w:rsidR="005B2FAF" w:rsidRPr="00461C16" w:rsidRDefault="005B2FAF" w:rsidP="006016F8">
            <w:pPr>
              <w:spacing w:before="40"/>
              <w:rPr>
                <w:sz w:val="20"/>
              </w:rPr>
            </w:pPr>
            <w:r w:rsidRPr="00461C16">
              <w:rPr>
                <w:sz w:val="20"/>
              </w:rPr>
              <w:t>8. 9. 2008 </w:t>
            </w:r>
          </w:p>
        </w:tc>
      </w:tr>
      <w:tr w:rsidR="005B2FAF" w:rsidRPr="00461C16" w14:paraId="76B30D46" w14:textId="77777777" w:rsidTr="006016F8">
        <w:tc>
          <w:tcPr>
            <w:tcW w:w="2054" w:type="dxa"/>
          </w:tcPr>
          <w:p w14:paraId="404EB0D5" w14:textId="77777777" w:rsidR="005B2FAF" w:rsidRPr="00461C16" w:rsidRDefault="005B2FAF" w:rsidP="000C791F">
            <w:pPr>
              <w:pStyle w:val="1text"/>
              <w:spacing w:before="40" w:after="40"/>
              <w:rPr>
                <w:sz w:val="20"/>
                <w:szCs w:val="20"/>
              </w:rPr>
            </w:pPr>
          </w:p>
        </w:tc>
        <w:tc>
          <w:tcPr>
            <w:tcW w:w="3261" w:type="dxa"/>
            <w:vAlign w:val="center"/>
          </w:tcPr>
          <w:p w14:paraId="25E2B020" w14:textId="77777777" w:rsidR="005B2FAF" w:rsidRPr="00461C16" w:rsidRDefault="005B2FAF" w:rsidP="006016F8">
            <w:pPr>
              <w:rPr>
                <w:sz w:val="20"/>
              </w:rPr>
            </w:pPr>
            <w:r w:rsidRPr="00461C16">
              <w:rPr>
                <w:sz w:val="20"/>
              </w:rPr>
              <w:t>Územní plán obce Jablonné v Podještědí - 3a. změna ÚPO Jablonné v Podještědí</w:t>
            </w:r>
          </w:p>
        </w:tc>
        <w:tc>
          <w:tcPr>
            <w:tcW w:w="3897" w:type="dxa"/>
            <w:vAlign w:val="center"/>
          </w:tcPr>
          <w:p w14:paraId="048B7FD0" w14:textId="77777777" w:rsidR="005B2FAF" w:rsidRPr="00461C16" w:rsidRDefault="005B2FAF" w:rsidP="006016F8">
            <w:pPr>
              <w:spacing w:before="40"/>
              <w:rPr>
                <w:sz w:val="20"/>
              </w:rPr>
            </w:pPr>
            <w:r w:rsidRPr="00461C16">
              <w:rPr>
                <w:sz w:val="20"/>
              </w:rPr>
              <w:t>27. 10. 2009 </w:t>
            </w:r>
          </w:p>
        </w:tc>
      </w:tr>
      <w:tr w:rsidR="005B2FAF" w:rsidRPr="00461C16" w14:paraId="26C93037" w14:textId="77777777" w:rsidTr="006016F8">
        <w:tc>
          <w:tcPr>
            <w:tcW w:w="2054" w:type="dxa"/>
          </w:tcPr>
          <w:p w14:paraId="4E1137E8" w14:textId="77777777" w:rsidR="005B2FAF" w:rsidRPr="00461C16" w:rsidRDefault="005B2FAF" w:rsidP="000C791F">
            <w:pPr>
              <w:pStyle w:val="1text"/>
              <w:spacing w:before="40" w:after="40"/>
              <w:rPr>
                <w:sz w:val="20"/>
                <w:szCs w:val="20"/>
              </w:rPr>
            </w:pPr>
          </w:p>
        </w:tc>
        <w:tc>
          <w:tcPr>
            <w:tcW w:w="3261" w:type="dxa"/>
            <w:vAlign w:val="center"/>
          </w:tcPr>
          <w:p w14:paraId="059A9454" w14:textId="77777777" w:rsidR="005B2FAF" w:rsidRPr="00461C16" w:rsidRDefault="005B2FAF" w:rsidP="006016F8">
            <w:pPr>
              <w:rPr>
                <w:sz w:val="20"/>
              </w:rPr>
            </w:pPr>
            <w:r w:rsidRPr="00461C16">
              <w:rPr>
                <w:sz w:val="20"/>
              </w:rPr>
              <w:t>Územní plán obce Jablonné v Podještědí - 3b. změna ÚPO Jablonné v Podještědí</w:t>
            </w:r>
          </w:p>
        </w:tc>
        <w:tc>
          <w:tcPr>
            <w:tcW w:w="3897" w:type="dxa"/>
            <w:vAlign w:val="center"/>
          </w:tcPr>
          <w:p w14:paraId="16391437" w14:textId="77777777" w:rsidR="005B2FAF" w:rsidRPr="00461C16" w:rsidRDefault="005B2FAF" w:rsidP="006016F8">
            <w:pPr>
              <w:spacing w:before="40"/>
              <w:rPr>
                <w:sz w:val="20"/>
              </w:rPr>
            </w:pPr>
            <w:r w:rsidRPr="00461C16">
              <w:rPr>
                <w:sz w:val="20"/>
              </w:rPr>
              <w:t>22. 3. 2010 </w:t>
            </w:r>
          </w:p>
        </w:tc>
      </w:tr>
      <w:tr w:rsidR="005B2FAF" w:rsidRPr="00461C16" w14:paraId="50402263" w14:textId="77777777" w:rsidTr="006016F8">
        <w:tc>
          <w:tcPr>
            <w:tcW w:w="2054" w:type="dxa"/>
          </w:tcPr>
          <w:p w14:paraId="0F4B643B" w14:textId="77777777" w:rsidR="005B2FAF" w:rsidRPr="00461C16" w:rsidRDefault="005B2FAF" w:rsidP="000C791F">
            <w:pPr>
              <w:pStyle w:val="1text"/>
              <w:spacing w:before="40" w:after="40"/>
              <w:rPr>
                <w:sz w:val="20"/>
                <w:szCs w:val="20"/>
              </w:rPr>
            </w:pPr>
          </w:p>
        </w:tc>
        <w:tc>
          <w:tcPr>
            <w:tcW w:w="3261" w:type="dxa"/>
            <w:vAlign w:val="center"/>
          </w:tcPr>
          <w:p w14:paraId="5A50F264" w14:textId="77777777" w:rsidR="005B2FAF" w:rsidRPr="00461C16" w:rsidRDefault="005B2FAF" w:rsidP="006016F8">
            <w:pPr>
              <w:rPr>
                <w:sz w:val="20"/>
              </w:rPr>
            </w:pPr>
            <w:r w:rsidRPr="00461C16">
              <w:rPr>
                <w:sz w:val="20"/>
              </w:rPr>
              <w:t>Územní plán obce Jablonné v Podještědí - 3c. změna ÚPO Jablonné v Podještědí</w:t>
            </w:r>
          </w:p>
        </w:tc>
        <w:tc>
          <w:tcPr>
            <w:tcW w:w="3897" w:type="dxa"/>
            <w:vAlign w:val="center"/>
          </w:tcPr>
          <w:p w14:paraId="6E6FC0B0" w14:textId="77777777" w:rsidR="005B2FAF" w:rsidRPr="00461C16" w:rsidRDefault="005B2FAF" w:rsidP="006016F8">
            <w:pPr>
              <w:spacing w:before="40"/>
              <w:rPr>
                <w:sz w:val="20"/>
              </w:rPr>
            </w:pPr>
            <w:r w:rsidRPr="00461C16">
              <w:rPr>
                <w:sz w:val="20"/>
              </w:rPr>
              <w:t>31. 5. 2010 </w:t>
            </w:r>
          </w:p>
        </w:tc>
      </w:tr>
      <w:tr w:rsidR="005B2FAF" w:rsidRPr="00461C16" w14:paraId="3242955D" w14:textId="77777777" w:rsidTr="006016F8">
        <w:tc>
          <w:tcPr>
            <w:tcW w:w="2054" w:type="dxa"/>
          </w:tcPr>
          <w:p w14:paraId="477412F2" w14:textId="77777777" w:rsidR="005B2FAF" w:rsidRPr="00461C16" w:rsidRDefault="005B2FAF" w:rsidP="000C791F">
            <w:pPr>
              <w:pStyle w:val="1text"/>
              <w:spacing w:before="40" w:after="40"/>
              <w:rPr>
                <w:sz w:val="20"/>
                <w:szCs w:val="20"/>
              </w:rPr>
            </w:pPr>
          </w:p>
        </w:tc>
        <w:tc>
          <w:tcPr>
            <w:tcW w:w="3261" w:type="dxa"/>
            <w:vAlign w:val="center"/>
          </w:tcPr>
          <w:p w14:paraId="4B07A5BB" w14:textId="77777777" w:rsidR="005B2FAF" w:rsidRPr="00461C16" w:rsidRDefault="005B2FAF" w:rsidP="006016F8">
            <w:pPr>
              <w:rPr>
                <w:sz w:val="20"/>
              </w:rPr>
            </w:pPr>
            <w:r w:rsidRPr="00461C16">
              <w:rPr>
                <w:sz w:val="20"/>
              </w:rPr>
              <w:t>Územní plán obce Jablonné v Podještědí - 4. změna ÚPO Jablonné v Podještědí</w:t>
            </w:r>
          </w:p>
        </w:tc>
        <w:tc>
          <w:tcPr>
            <w:tcW w:w="3897" w:type="dxa"/>
            <w:vAlign w:val="center"/>
          </w:tcPr>
          <w:p w14:paraId="7F6DCC46" w14:textId="77777777" w:rsidR="005B2FAF" w:rsidRPr="00461C16" w:rsidRDefault="005B2FAF" w:rsidP="006016F8">
            <w:pPr>
              <w:spacing w:before="40"/>
              <w:rPr>
                <w:sz w:val="20"/>
              </w:rPr>
            </w:pPr>
            <w:r w:rsidRPr="00461C16">
              <w:rPr>
                <w:sz w:val="20"/>
              </w:rPr>
              <w:t>2. 12. 2009 </w:t>
            </w:r>
          </w:p>
        </w:tc>
      </w:tr>
      <w:tr w:rsidR="005B2FAF" w:rsidRPr="00461C16" w14:paraId="368C9654" w14:textId="77777777" w:rsidTr="006016F8">
        <w:tc>
          <w:tcPr>
            <w:tcW w:w="2054" w:type="dxa"/>
          </w:tcPr>
          <w:p w14:paraId="3F68D50C" w14:textId="77777777" w:rsidR="005B2FAF" w:rsidRPr="00461C16" w:rsidRDefault="005B2FAF" w:rsidP="000C791F">
            <w:pPr>
              <w:pStyle w:val="1text"/>
              <w:spacing w:before="40" w:after="40"/>
              <w:rPr>
                <w:sz w:val="20"/>
                <w:szCs w:val="20"/>
              </w:rPr>
            </w:pPr>
            <w:r w:rsidRPr="00461C16">
              <w:rPr>
                <w:sz w:val="20"/>
                <w:szCs w:val="20"/>
              </w:rPr>
              <w:t>Rynoltice</w:t>
            </w:r>
          </w:p>
        </w:tc>
        <w:tc>
          <w:tcPr>
            <w:tcW w:w="3261" w:type="dxa"/>
            <w:vAlign w:val="center"/>
          </w:tcPr>
          <w:p w14:paraId="33C1F30B" w14:textId="77777777" w:rsidR="005B2FAF" w:rsidRPr="00461C16" w:rsidRDefault="005B2FAF" w:rsidP="006016F8">
            <w:pPr>
              <w:rPr>
                <w:sz w:val="20"/>
              </w:rPr>
            </w:pPr>
            <w:r w:rsidRPr="00461C16">
              <w:rPr>
                <w:sz w:val="20"/>
              </w:rPr>
              <w:t>Územní plán obce Rynoltice</w:t>
            </w:r>
          </w:p>
        </w:tc>
        <w:tc>
          <w:tcPr>
            <w:tcW w:w="3897" w:type="dxa"/>
            <w:vAlign w:val="center"/>
          </w:tcPr>
          <w:p w14:paraId="3295C3FD" w14:textId="77777777" w:rsidR="005B2FAF" w:rsidRPr="00461C16" w:rsidRDefault="005B2FAF" w:rsidP="006016F8">
            <w:pPr>
              <w:spacing w:line="240" w:lineRule="auto"/>
              <w:jc w:val="left"/>
              <w:rPr>
                <w:rFonts w:cs="Arial"/>
                <w:sz w:val="20"/>
                <w:lang w:eastAsia="cs-CZ"/>
              </w:rPr>
            </w:pPr>
            <w:r w:rsidRPr="00461C16">
              <w:rPr>
                <w:rFonts w:cs="Arial"/>
                <w:sz w:val="20"/>
                <w:lang w:eastAsia="cs-CZ"/>
              </w:rPr>
              <w:t>23. 2. 2005</w:t>
            </w:r>
          </w:p>
        </w:tc>
      </w:tr>
      <w:tr w:rsidR="005B2FAF" w:rsidRPr="00461C16" w14:paraId="6C5042AD" w14:textId="77777777" w:rsidTr="006016F8">
        <w:tc>
          <w:tcPr>
            <w:tcW w:w="2054" w:type="dxa"/>
          </w:tcPr>
          <w:p w14:paraId="4A6FF10D" w14:textId="77777777" w:rsidR="005B2FAF" w:rsidRPr="00461C16" w:rsidRDefault="005B2FAF" w:rsidP="000C791F">
            <w:pPr>
              <w:pStyle w:val="1text"/>
              <w:spacing w:before="40" w:after="40"/>
              <w:rPr>
                <w:sz w:val="20"/>
                <w:szCs w:val="20"/>
              </w:rPr>
            </w:pPr>
          </w:p>
        </w:tc>
        <w:tc>
          <w:tcPr>
            <w:tcW w:w="3261" w:type="dxa"/>
            <w:vAlign w:val="center"/>
          </w:tcPr>
          <w:p w14:paraId="437F6613" w14:textId="77777777" w:rsidR="005B2FAF" w:rsidRPr="00461C16" w:rsidRDefault="005B2FAF" w:rsidP="006016F8">
            <w:pPr>
              <w:rPr>
                <w:sz w:val="20"/>
              </w:rPr>
            </w:pPr>
            <w:r w:rsidRPr="00461C16">
              <w:rPr>
                <w:sz w:val="20"/>
              </w:rPr>
              <w:t>Územní plán obce Rynoltice - Změna č. 1 ÚPO Rynoltice</w:t>
            </w:r>
          </w:p>
        </w:tc>
        <w:tc>
          <w:tcPr>
            <w:tcW w:w="3897" w:type="dxa"/>
            <w:vAlign w:val="center"/>
          </w:tcPr>
          <w:p w14:paraId="097BC564" w14:textId="77777777" w:rsidR="005B2FAF" w:rsidRPr="00461C16" w:rsidRDefault="005B2FAF" w:rsidP="006016F8">
            <w:pPr>
              <w:spacing w:line="240" w:lineRule="auto"/>
              <w:jc w:val="left"/>
              <w:rPr>
                <w:rFonts w:cs="Arial"/>
                <w:sz w:val="20"/>
                <w:lang w:eastAsia="cs-CZ"/>
              </w:rPr>
            </w:pPr>
            <w:r w:rsidRPr="00461C16">
              <w:rPr>
                <w:rFonts w:cs="Arial"/>
                <w:sz w:val="20"/>
                <w:lang w:eastAsia="cs-CZ"/>
              </w:rPr>
              <w:t>27. 4. 2011</w:t>
            </w:r>
          </w:p>
        </w:tc>
      </w:tr>
    </w:tbl>
    <w:p w14:paraId="5E1ACD46" w14:textId="77777777" w:rsidR="0019194E" w:rsidRPr="00461C16" w:rsidRDefault="00501553" w:rsidP="00756815">
      <w:pPr>
        <w:pStyle w:val="Heading2"/>
      </w:pPr>
      <w:bookmarkStart w:id="78" w:name="_Toc36116276"/>
      <w:r w:rsidRPr="00461C16">
        <w:t>4</w:t>
      </w:r>
      <w:r w:rsidR="0019194E" w:rsidRPr="00461C16">
        <w:t>.1</w:t>
      </w:r>
      <w:r w:rsidR="0019194E" w:rsidRPr="00461C16">
        <w:tab/>
        <w:t>Urbanistická koncepce</w:t>
      </w:r>
      <w:bookmarkEnd w:id="78"/>
    </w:p>
    <w:p w14:paraId="4541DBF5" w14:textId="77777777" w:rsidR="009715F3" w:rsidRPr="00461C16" w:rsidRDefault="0019194E" w:rsidP="0019194E">
      <w:pPr>
        <w:spacing w:after="120"/>
      </w:pPr>
      <w:r w:rsidRPr="00461C16">
        <w:t xml:space="preserve">Z hlediska urbanistické koncepce nejsou v územním plánu vymezeny plochy změn s přesahem na území sousedních obcí. </w:t>
      </w:r>
      <w:r w:rsidR="003A5CBF" w:rsidRPr="00461C16">
        <w:t>Přímo n</w:t>
      </w:r>
      <w:r w:rsidRPr="00461C16">
        <w:t>a okraji správního úz</w:t>
      </w:r>
      <w:r w:rsidR="00956A10" w:rsidRPr="00461C16">
        <w:t>emí města, tedy s potenciálním dopadem na využití území sousedních obcí, jsou vymezeny následující plochy: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68"/>
        <w:gridCol w:w="4461"/>
        <w:gridCol w:w="3784"/>
      </w:tblGrid>
      <w:tr w:rsidR="0019194E" w:rsidRPr="00461C16" w14:paraId="52FE5798" w14:textId="77777777" w:rsidTr="000C791F">
        <w:trPr>
          <w:cantSplit/>
          <w:tblHeader/>
          <w:jc w:val="center"/>
        </w:trPr>
        <w:tc>
          <w:tcPr>
            <w:tcW w:w="967" w:type="dxa"/>
            <w:shd w:val="clear" w:color="auto" w:fill="F2F2F2" w:themeFill="background1" w:themeFillShade="F2"/>
          </w:tcPr>
          <w:p w14:paraId="0AA02491" w14:textId="77777777" w:rsidR="0019194E" w:rsidRPr="00461C16" w:rsidRDefault="0019194E" w:rsidP="000C791F">
            <w:pPr>
              <w:pStyle w:val="7tabulka"/>
              <w:rPr>
                <w:b/>
                <w:sz w:val="20"/>
                <w:szCs w:val="20"/>
              </w:rPr>
            </w:pPr>
            <w:r w:rsidRPr="00461C16">
              <w:rPr>
                <w:b/>
                <w:sz w:val="20"/>
                <w:szCs w:val="20"/>
              </w:rPr>
              <w:lastRenderedPageBreak/>
              <w:t>Plocha</w:t>
            </w:r>
          </w:p>
        </w:tc>
        <w:tc>
          <w:tcPr>
            <w:tcW w:w="4461" w:type="dxa"/>
            <w:shd w:val="clear" w:color="auto" w:fill="F2F2F2" w:themeFill="background1" w:themeFillShade="F2"/>
          </w:tcPr>
          <w:p w14:paraId="3CA78AFE" w14:textId="77777777" w:rsidR="0019194E" w:rsidRPr="00461C16" w:rsidRDefault="0019194E" w:rsidP="000C791F">
            <w:pPr>
              <w:pStyle w:val="7tabulka"/>
              <w:rPr>
                <w:b/>
                <w:sz w:val="20"/>
                <w:szCs w:val="20"/>
              </w:rPr>
            </w:pPr>
            <w:r w:rsidRPr="00461C16">
              <w:rPr>
                <w:b/>
                <w:sz w:val="20"/>
                <w:szCs w:val="20"/>
              </w:rPr>
              <w:t>Navržený způsob využití</w:t>
            </w:r>
          </w:p>
        </w:tc>
        <w:tc>
          <w:tcPr>
            <w:tcW w:w="3784" w:type="dxa"/>
            <w:shd w:val="clear" w:color="auto" w:fill="F2F2F2" w:themeFill="background1" w:themeFillShade="F2"/>
          </w:tcPr>
          <w:p w14:paraId="028C1495" w14:textId="77777777" w:rsidR="0019194E" w:rsidRPr="00461C16" w:rsidRDefault="0019194E" w:rsidP="00CB3C65">
            <w:pPr>
              <w:pStyle w:val="7tabulka"/>
              <w:jc w:val="left"/>
              <w:rPr>
                <w:b/>
                <w:sz w:val="20"/>
                <w:szCs w:val="20"/>
              </w:rPr>
            </w:pPr>
            <w:r w:rsidRPr="00461C16">
              <w:rPr>
                <w:b/>
                <w:sz w:val="20"/>
                <w:szCs w:val="20"/>
              </w:rPr>
              <w:t>Obec , jehož správního území se vymezená plocha dotýká</w:t>
            </w:r>
          </w:p>
        </w:tc>
      </w:tr>
      <w:tr w:rsidR="003A5CBF" w:rsidRPr="00461C16" w14:paraId="5E3313B7" w14:textId="77777777" w:rsidTr="000C791F">
        <w:trPr>
          <w:cantSplit/>
          <w:jc w:val="center"/>
        </w:trPr>
        <w:tc>
          <w:tcPr>
            <w:tcW w:w="967" w:type="dxa"/>
            <w:shd w:val="clear" w:color="auto" w:fill="auto"/>
          </w:tcPr>
          <w:p w14:paraId="0273364B" w14:textId="77777777" w:rsidR="003A5CBF" w:rsidRPr="00461C16" w:rsidRDefault="00CC6811" w:rsidP="00CC6811">
            <w:pPr>
              <w:pStyle w:val="7tabulka"/>
              <w:rPr>
                <w:sz w:val="20"/>
                <w:szCs w:val="20"/>
              </w:rPr>
            </w:pPr>
            <w:r w:rsidRPr="00461C16">
              <w:rPr>
                <w:sz w:val="20"/>
                <w:szCs w:val="20"/>
              </w:rPr>
              <w:t>Z4</w:t>
            </w:r>
            <w:r>
              <w:rPr>
                <w:sz w:val="20"/>
                <w:szCs w:val="20"/>
              </w:rPr>
              <w:t>3</w:t>
            </w:r>
          </w:p>
        </w:tc>
        <w:tc>
          <w:tcPr>
            <w:tcW w:w="4461" w:type="dxa"/>
            <w:shd w:val="clear" w:color="auto" w:fill="auto"/>
          </w:tcPr>
          <w:p w14:paraId="18F69E16" w14:textId="77777777" w:rsidR="003A5CBF" w:rsidRPr="00461C16" w:rsidRDefault="003A5CBF" w:rsidP="00CC6811">
            <w:pPr>
              <w:pStyle w:val="7tabulka"/>
              <w:jc w:val="left"/>
              <w:rPr>
                <w:sz w:val="20"/>
                <w:szCs w:val="20"/>
              </w:rPr>
            </w:pPr>
            <w:r w:rsidRPr="00461C16">
              <w:rPr>
                <w:sz w:val="20"/>
                <w:szCs w:val="20"/>
              </w:rPr>
              <w:t xml:space="preserve">plocha </w:t>
            </w:r>
            <w:r w:rsidR="00CC6811">
              <w:rPr>
                <w:sz w:val="20"/>
                <w:szCs w:val="20"/>
              </w:rPr>
              <w:t>bydlení – městské a příměstské</w:t>
            </w:r>
          </w:p>
        </w:tc>
        <w:tc>
          <w:tcPr>
            <w:tcW w:w="3784" w:type="dxa"/>
            <w:shd w:val="clear" w:color="auto" w:fill="auto"/>
          </w:tcPr>
          <w:p w14:paraId="481B665F" w14:textId="77777777" w:rsidR="003A5CBF" w:rsidRPr="00461C16" w:rsidRDefault="003A5CBF" w:rsidP="000C791F">
            <w:pPr>
              <w:pStyle w:val="7tabulka"/>
              <w:rPr>
                <w:sz w:val="20"/>
                <w:szCs w:val="20"/>
              </w:rPr>
            </w:pPr>
            <w:r w:rsidRPr="00461C16">
              <w:rPr>
                <w:sz w:val="20"/>
                <w:szCs w:val="20"/>
              </w:rPr>
              <w:t>Chotyně</w:t>
            </w:r>
          </w:p>
        </w:tc>
      </w:tr>
      <w:tr w:rsidR="003A5CBF" w:rsidRPr="00461C16" w14:paraId="047A6E43" w14:textId="77777777" w:rsidTr="000C791F">
        <w:trPr>
          <w:cantSplit/>
          <w:jc w:val="center"/>
        </w:trPr>
        <w:tc>
          <w:tcPr>
            <w:tcW w:w="967" w:type="dxa"/>
            <w:shd w:val="clear" w:color="auto" w:fill="auto"/>
          </w:tcPr>
          <w:p w14:paraId="68883F13" w14:textId="77777777" w:rsidR="003A5CBF" w:rsidRPr="00461C16" w:rsidRDefault="003A5CBF" w:rsidP="000C791F">
            <w:pPr>
              <w:pStyle w:val="7tabulka"/>
              <w:rPr>
                <w:sz w:val="20"/>
                <w:szCs w:val="20"/>
              </w:rPr>
            </w:pPr>
            <w:r w:rsidRPr="00461C16">
              <w:rPr>
                <w:sz w:val="20"/>
                <w:szCs w:val="20"/>
              </w:rPr>
              <w:t>P25</w:t>
            </w:r>
          </w:p>
        </w:tc>
        <w:tc>
          <w:tcPr>
            <w:tcW w:w="4461" w:type="dxa"/>
            <w:shd w:val="clear" w:color="auto" w:fill="auto"/>
          </w:tcPr>
          <w:p w14:paraId="4DE8B5CF" w14:textId="77777777" w:rsidR="003A5CBF" w:rsidRPr="00461C16" w:rsidRDefault="003A5CBF" w:rsidP="001B6658">
            <w:pPr>
              <w:pStyle w:val="7tabulka"/>
              <w:rPr>
                <w:sz w:val="20"/>
                <w:szCs w:val="20"/>
              </w:rPr>
            </w:pPr>
            <w:r w:rsidRPr="00461C16">
              <w:rPr>
                <w:sz w:val="20"/>
                <w:szCs w:val="20"/>
              </w:rPr>
              <w:t>plocha smíšená obytná městská</w:t>
            </w:r>
          </w:p>
        </w:tc>
        <w:tc>
          <w:tcPr>
            <w:tcW w:w="3784" w:type="dxa"/>
            <w:shd w:val="clear" w:color="auto" w:fill="auto"/>
          </w:tcPr>
          <w:p w14:paraId="7393B457" w14:textId="77777777" w:rsidR="003A5CBF" w:rsidRPr="00461C16" w:rsidRDefault="003A5CBF" w:rsidP="000C791F">
            <w:pPr>
              <w:pStyle w:val="7tabulka"/>
              <w:rPr>
                <w:sz w:val="20"/>
                <w:szCs w:val="20"/>
              </w:rPr>
            </w:pPr>
            <w:r w:rsidRPr="00461C16">
              <w:rPr>
                <w:sz w:val="20"/>
                <w:szCs w:val="20"/>
              </w:rPr>
              <w:t>Chotyně</w:t>
            </w:r>
          </w:p>
        </w:tc>
      </w:tr>
    </w:tbl>
    <w:p w14:paraId="67E4AF2B" w14:textId="77777777" w:rsidR="0019194E" w:rsidRPr="00461C16" w:rsidRDefault="003A5CBF" w:rsidP="0019194E">
      <w:pPr>
        <w:spacing w:before="120"/>
      </w:pPr>
      <w:r w:rsidRPr="00461C16">
        <w:t>Všechny výše uvedené plochy se nachází na východním okraji části Hrádek nad Nisou a dotváří východní hranici zástavby. Na území sousední obce navazují na rozsáhlé pozemky zemědělské půdy, u nichž se neuvažuje zastavění, nedojde tedy k vzájemnému ovlivnění. Zastavěné území obce Chotyně (Grabštejn) se nachází v dostatečné vzdálenosti od hranice správního území obce. Reálně tedy n</w:t>
      </w:r>
      <w:r w:rsidR="0019194E" w:rsidRPr="00461C16">
        <w:t xml:space="preserve">ení </w:t>
      </w:r>
      <w:r w:rsidRPr="00461C16">
        <w:t>p</w:t>
      </w:r>
      <w:r w:rsidR="0019194E" w:rsidRPr="00461C16">
        <w:t>ředpoklad, že by tyto plochy mohly představovat významný vliv zasahující mimo řešené území</w:t>
      </w:r>
      <w:r w:rsidRPr="00461C16">
        <w:t>, případný dopad lze teoreticky očekávat pouze z hlediska vizuální kvality, tedy vnímání hradu Grabštejn při dálkových pohledech</w:t>
      </w:r>
      <w:r w:rsidR="001A59D1" w:rsidRPr="00461C16">
        <w:t>, vlivem hmotové uspořádání zástavby v ploše výroby Z41</w:t>
      </w:r>
      <w:r w:rsidR="0019194E" w:rsidRPr="00461C16">
        <w:t xml:space="preserve">. </w:t>
      </w:r>
    </w:p>
    <w:p w14:paraId="4B20F29E" w14:textId="77777777" w:rsidR="001A59D1" w:rsidRPr="00461C16" w:rsidRDefault="003A5CBF" w:rsidP="0019194E">
      <w:pPr>
        <w:spacing w:before="120"/>
      </w:pPr>
      <w:r w:rsidRPr="00461C16">
        <w:t>Potenciální vliv lze vyhodnotit u dalších rozsáhlých ploch, vymezených v blízkosti hranice správního území, tedy</w:t>
      </w:r>
      <w:r w:rsidR="001A59D1" w:rsidRPr="00461C16">
        <w:t>:</w:t>
      </w:r>
    </w:p>
    <w:p w14:paraId="4A0863C0" w14:textId="77777777" w:rsidR="003A5CBF" w:rsidRPr="00461C16" w:rsidRDefault="001A59D1" w:rsidP="00A06EB9">
      <w:pPr>
        <w:pStyle w:val="ListParagraph"/>
        <w:numPr>
          <w:ilvl w:val="0"/>
          <w:numId w:val="80"/>
        </w:numPr>
        <w:spacing w:before="120"/>
      </w:pPr>
      <w:r w:rsidRPr="00461C16">
        <w:t>ploch výroby a skladování Z36 a Z37, v těsné blízkosti hranice s Polskem, kde lze podobně jako v případě plochy Z41 očekávat ovlivnění dálkových pohledů na Hrádek nad Nisou z obce Kopaczów</w:t>
      </w:r>
    </w:p>
    <w:p w14:paraId="3EE79A1C" w14:textId="77777777" w:rsidR="001A59D1" w:rsidRPr="00461C16" w:rsidRDefault="001A59D1" w:rsidP="00A06EB9">
      <w:pPr>
        <w:pStyle w:val="ListParagraph"/>
        <w:numPr>
          <w:ilvl w:val="0"/>
          <w:numId w:val="80"/>
        </w:numPr>
        <w:spacing w:before="120"/>
      </w:pPr>
      <w:r w:rsidRPr="00461C16">
        <w:t>plochy rekreace Z32, v těsné blízkosti hranice s Německem, kde však dopad nebude v podstatě žádný, protože je navržena přírodní forma rekreace bez staveb trvalého charakteru a protože celý areál Kristýna, jehož je plocha Z32 součástí, je od státní hranice navíc oddělen tokem Lužické Nisy s přilehlým pásem zeleně.</w:t>
      </w:r>
    </w:p>
    <w:p w14:paraId="56100A73" w14:textId="77777777" w:rsidR="0019194E" w:rsidRPr="00461C16" w:rsidRDefault="00501553" w:rsidP="00756815">
      <w:pPr>
        <w:pStyle w:val="Heading2"/>
      </w:pPr>
      <w:bookmarkStart w:id="79" w:name="_Toc36116277"/>
      <w:r w:rsidRPr="00461C16">
        <w:t>4</w:t>
      </w:r>
      <w:r w:rsidR="0019194E" w:rsidRPr="00461C16">
        <w:t>.2</w:t>
      </w:r>
      <w:r w:rsidR="0019194E" w:rsidRPr="00461C16">
        <w:tab/>
        <w:t>Dopravní infrastruktura</w:t>
      </w:r>
      <w:bookmarkEnd w:id="79"/>
    </w:p>
    <w:p w14:paraId="406DB54B" w14:textId="77777777" w:rsidR="003525AC" w:rsidRPr="00461C16" w:rsidRDefault="001538AC" w:rsidP="0019194E">
      <w:pPr>
        <w:spacing w:after="120"/>
      </w:pPr>
      <w:r w:rsidRPr="00461C16">
        <w:t>Z hlediska koncepce dopravní infrastruktury jsou v územním plánu vymezeny s přesahem na území sousedních obcí následující plochy a koridory změn</w:t>
      </w:r>
      <w:r w:rsidR="003525AC" w:rsidRPr="00461C16">
        <w:t>:</w:t>
      </w:r>
    </w:p>
    <w:p w14:paraId="4BD0DE14" w14:textId="77777777" w:rsidR="003525AC" w:rsidRPr="00F02309" w:rsidRDefault="003525AC" w:rsidP="0019194E">
      <w:pPr>
        <w:spacing w:after="120"/>
      </w:pPr>
      <w:r w:rsidRPr="00461C16">
        <w:t xml:space="preserve">- koridor X01 pro umístění </w:t>
      </w:r>
      <w:r w:rsidRPr="00F02309">
        <w:t>optimalizace a elektrizace železniční trati č. 089,</w:t>
      </w:r>
    </w:p>
    <w:p w14:paraId="26E48B52" w14:textId="77777777" w:rsidR="003525AC" w:rsidRDefault="003525AC" w:rsidP="0019194E">
      <w:pPr>
        <w:spacing w:after="120"/>
      </w:pPr>
      <w:r w:rsidRPr="00F02309">
        <w:t xml:space="preserve">- koridor územní rezervy </w:t>
      </w:r>
      <w:r w:rsidR="00F02309" w:rsidRPr="00F02309">
        <w:t xml:space="preserve">R13 </w:t>
      </w:r>
      <w:r w:rsidRPr="00F02309">
        <w:t>pro budoucí prověření železničního spojení Liberec – Česká Lípa, úsek Bílý Kostel nad Nisou – Rynoltice,</w:t>
      </w:r>
    </w:p>
    <w:p w14:paraId="28C18B67" w14:textId="77777777" w:rsidR="004870E5" w:rsidRPr="00461C16" w:rsidRDefault="004870E5" w:rsidP="0019194E">
      <w:pPr>
        <w:spacing w:after="120"/>
      </w:pPr>
      <w:r>
        <w:t>- koridor územní rezervy R16 pro budoucí</w:t>
      </w:r>
      <w:r w:rsidRPr="0008416C">
        <w:t xml:space="preserve"> prověření zkapacitnění silnice I/35 v úseku Bílý Kostel nad Nisou – Hrádek nad Nisou – hranice ČR/Polsko</w:t>
      </w:r>
      <w:r>
        <w:t>,</w:t>
      </w:r>
    </w:p>
    <w:p w14:paraId="240DB441" w14:textId="77777777" w:rsidR="003525AC" w:rsidRPr="00461C16" w:rsidRDefault="003525AC" w:rsidP="0019194E">
      <w:pPr>
        <w:spacing w:after="120"/>
      </w:pPr>
      <w:r w:rsidRPr="00461C16">
        <w:t>- vedení dálkové cyklotrasy Odra-Nisa.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68"/>
        <w:gridCol w:w="4461"/>
        <w:gridCol w:w="3784"/>
      </w:tblGrid>
      <w:tr w:rsidR="001538AC" w:rsidRPr="00461C16" w14:paraId="0AA6BB10" w14:textId="77777777" w:rsidTr="0066453E">
        <w:trPr>
          <w:cantSplit/>
          <w:tblHeader/>
          <w:jc w:val="center"/>
        </w:trPr>
        <w:tc>
          <w:tcPr>
            <w:tcW w:w="967" w:type="dxa"/>
            <w:shd w:val="clear" w:color="auto" w:fill="F2F2F2" w:themeFill="background1" w:themeFillShade="F2"/>
          </w:tcPr>
          <w:p w14:paraId="3CC8E02E" w14:textId="77777777" w:rsidR="001538AC" w:rsidRPr="00461C16" w:rsidRDefault="001538AC" w:rsidP="0066453E">
            <w:pPr>
              <w:pStyle w:val="7tabulka"/>
              <w:rPr>
                <w:b/>
                <w:sz w:val="20"/>
                <w:szCs w:val="20"/>
              </w:rPr>
            </w:pPr>
            <w:r w:rsidRPr="00461C16">
              <w:rPr>
                <w:b/>
                <w:sz w:val="20"/>
                <w:szCs w:val="20"/>
              </w:rPr>
              <w:t>Plocha/</w:t>
            </w:r>
            <w:r w:rsidR="00452793">
              <w:rPr>
                <w:b/>
                <w:sz w:val="20"/>
                <w:szCs w:val="20"/>
              </w:rPr>
              <w:t xml:space="preserve"> </w:t>
            </w:r>
            <w:r w:rsidRPr="00461C16">
              <w:rPr>
                <w:b/>
                <w:sz w:val="20"/>
                <w:szCs w:val="20"/>
              </w:rPr>
              <w:t>koridor</w:t>
            </w:r>
          </w:p>
        </w:tc>
        <w:tc>
          <w:tcPr>
            <w:tcW w:w="4461" w:type="dxa"/>
            <w:shd w:val="clear" w:color="auto" w:fill="F2F2F2" w:themeFill="background1" w:themeFillShade="F2"/>
          </w:tcPr>
          <w:p w14:paraId="014D11E4" w14:textId="77777777" w:rsidR="001538AC" w:rsidRPr="00461C16" w:rsidRDefault="001538AC" w:rsidP="0066453E">
            <w:pPr>
              <w:pStyle w:val="7tabulka"/>
              <w:rPr>
                <w:b/>
                <w:sz w:val="20"/>
                <w:szCs w:val="20"/>
              </w:rPr>
            </w:pPr>
            <w:r w:rsidRPr="00461C16">
              <w:rPr>
                <w:b/>
                <w:sz w:val="20"/>
                <w:szCs w:val="20"/>
              </w:rPr>
              <w:t>Navržený způsob využití</w:t>
            </w:r>
          </w:p>
        </w:tc>
        <w:tc>
          <w:tcPr>
            <w:tcW w:w="3784" w:type="dxa"/>
            <w:shd w:val="clear" w:color="auto" w:fill="F2F2F2" w:themeFill="background1" w:themeFillShade="F2"/>
          </w:tcPr>
          <w:p w14:paraId="04B40EC1" w14:textId="77777777" w:rsidR="001538AC" w:rsidRPr="00461C16" w:rsidRDefault="001538AC" w:rsidP="00CB3C65">
            <w:pPr>
              <w:pStyle w:val="7tabulka"/>
              <w:jc w:val="left"/>
              <w:rPr>
                <w:b/>
                <w:sz w:val="20"/>
                <w:szCs w:val="20"/>
              </w:rPr>
            </w:pPr>
            <w:r w:rsidRPr="00461C16">
              <w:rPr>
                <w:b/>
                <w:sz w:val="20"/>
                <w:szCs w:val="20"/>
              </w:rPr>
              <w:t xml:space="preserve">Obec </w:t>
            </w:r>
            <w:r w:rsidR="009C06D8" w:rsidRPr="00461C16">
              <w:rPr>
                <w:b/>
                <w:sz w:val="20"/>
                <w:szCs w:val="20"/>
              </w:rPr>
              <w:t>/</w:t>
            </w:r>
            <w:r w:rsidR="00CB3C65" w:rsidRPr="00461C16">
              <w:rPr>
                <w:b/>
                <w:sz w:val="20"/>
                <w:szCs w:val="20"/>
              </w:rPr>
              <w:t xml:space="preserve"> </w:t>
            </w:r>
            <w:r w:rsidR="009C06D8" w:rsidRPr="00461C16">
              <w:rPr>
                <w:b/>
                <w:sz w:val="20"/>
                <w:szCs w:val="20"/>
              </w:rPr>
              <w:t>stát</w:t>
            </w:r>
            <w:r w:rsidRPr="00461C16">
              <w:rPr>
                <w:b/>
                <w:sz w:val="20"/>
                <w:szCs w:val="20"/>
              </w:rPr>
              <w:t>, jehož správního území se vymezená plocha dotýká</w:t>
            </w:r>
          </w:p>
        </w:tc>
      </w:tr>
      <w:tr w:rsidR="001538AC" w:rsidRPr="00461C16" w14:paraId="48AE2A9C" w14:textId="77777777" w:rsidTr="0066453E">
        <w:trPr>
          <w:cantSplit/>
          <w:jc w:val="center"/>
        </w:trPr>
        <w:tc>
          <w:tcPr>
            <w:tcW w:w="967" w:type="dxa"/>
            <w:shd w:val="clear" w:color="auto" w:fill="auto"/>
          </w:tcPr>
          <w:p w14:paraId="39631596" w14:textId="77777777" w:rsidR="001538AC" w:rsidRPr="00461C16" w:rsidRDefault="001538AC" w:rsidP="0066453E">
            <w:pPr>
              <w:pStyle w:val="7tabulka"/>
              <w:rPr>
                <w:sz w:val="20"/>
                <w:szCs w:val="20"/>
              </w:rPr>
            </w:pPr>
            <w:r w:rsidRPr="00461C16">
              <w:rPr>
                <w:sz w:val="20"/>
                <w:szCs w:val="20"/>
              </w:rPr>
              <w:t>Z98</w:t>
            </w:r>
          </w:p>
        </w:tc>
        <w:tc>
          <w:tcPr>
            <w:tcW w:w="4461" w:type="dxa"/>
            <w:shd w:val="clear" w:color="auto" w:fill="auto"/>
          </w:tcPr>
          <w:p w14:paraId="293FDB9D" w14:textId="77777777" w:rsidR="001538AC" w:rsidRPr="00461C16" w:rsidRDefault="0030636F" w:rsidP="0066453E">
            <w:pPr>
              <w:pStyle w:val="7tabulka"/>
              <w:rPr>
                <w:sz w:val="20"/>
                <w:szCs w:val="20"/>
              </w:rPr>
            </w:pPr>
            <w:r w:rsidRPr="00461C16">
              <w:rPr>
                <w:sz w:val="20"/>
                <w:szCs w:val="20"/>
              </w:rPr>
              <w:t>veřejná prostranství - komunikace</w:t>
            </w:r>
          </w:p>
        </w:tc>
        <w:tc>
          <w:tcPr>
            <w:tcW w:w="3784" w:type="dxa"/>
            <w:shd w:val="clear" w:color="auto" w:fill="auto"/>
          </w:tcPr>
          <w:p w14:paraId="11D8E3F7" w14:textId="77777777" w:rsidR="001538AC" w:rsidRPr="00461C16" w:rsidRDefault="001538AC" w:rsidP="0066453E">
            <w:pPr>
              <w:pStyle w:val="7tabulka"/>
              <w:rPr>
                <w:sz w:val="20"/>
                <w:szCs w:val="20"/>
              </w:rPr>
            </w:pPr>
            <w:r w:rsidRPr="00461C16">
              <w:rPr>
                <w:sz w:val="20"/>
                <w:szCs w:val="20"/>
              </w:rPr>
              <w:t>Jablonné v</w:t>
            </w:r>
            <w:r w:rsidR="00CB3C65" w:rsidRPr="00461C16">
              <w:rPr>
                <w:sz w:val="20"/>
                <w:szCs w:val="20"/>
              </w:rPr>
              <w:t> </w:t>
            </w:r>
            <w:r w:rsidRPr="00461C16">
              <w:rPr>
                <w:sz w:val="20"/>
                <w:szCs w:val="20"/>
              </w:rPr>
              <w:t>Podještědí</w:t>
            </w:r>
          </w:p>
        </w:tc>
      </w:tr>
      <w:tr w:rsidR="001538AC" w:rsidRPr="00461C16" w14:paraId="2616F942" w14:textId="77777777" w:rsidTr="0066453E">
        <w:trPr>
          <w:cantSplit/>
          <w:jc w:val="center"/>
        </w:trPr>
        <w:tc>
          <w:tcPr>
            <w:tcW w:w="967" w:type="dxa"/>
            <w:shd w:val="clear" w:color="auto" w:fill="auto"/>
          </w:tcPr>
          <w:p w14:paraId="5CA57F22" w14:textId="77777777" w:rsidR="001538AC" w:rsidRPr="00461C16" w:rsidRDefault="001538AC" w:rsidP="0066453E">
            <w:pPr>
              <w:pStyle w:val="7tabulka"/>
              <w:rPr>
                <w:sz w:val="20"/>
                <w:szCs w:val="20"/>
              </w:rPr>
            </w:pPr>
            <w:r w:rsidRPr="00461C16">
              <w:rPr>
                <w:sz w:val="20"/>
                <w:szCs w:val="20"/>
              </w:rPr>
              <w:t>X01</w:t>
            </w:r>
          </w:p>
        </w:tc>
        <w:tc>
          <w:tcPr>
            <w:tcW w:w="4461" w:type="dxa"/>
            <w:shd w:val="clear" w:color="auto" w:fill="auto"/>
          </w:tcPr>
          <w:p w14:paraId="540B1ABC" w14:textId="77777777" w:rsidR="001538AC" w:rsidRPr="00461C16" w:rsidRDefault="001538AC" w:rsidP="0066453E">
            <w:pPr>
              <w:pStyle w:val="7tabulka"/>
              <w:rPr>
                <w:sz w:val="20"/>
                <w:szCs w:val="20"/>
              </w:rPr>
            </w:pPr>
            <w:r w:rsidRPr="00461C16">
              <w:rPr>
                <w:sz w:val="20"/>
                <w:szCs w:val="20"/>
              </w:rPr>
              <w:t>koridor drážní dopravy</w:t>
            </w:r>
          </w:p>
        </w:tc>
        <w:tc>
          <w:tcPr>
            <w:tcW w:w="3784" w:type="dxa"/>
            <w:shd w:val="clear" w:color="auto" w:fill="auto"/>
          </w:tcPr>
          <w:p w14:paraId="490D80E7" w14:textId="77777777" w:rsidR="001538AC" w:rsidRPr="00461C16" w:rsidRDefault="001538AC" w:rsidP="0066453E">
            <w:pPr>
              <w:pStyle w:val="7tabulka"/>
              <w:rPr>
                <w:sz w:val="20"/>
                <w:szCs w:val="20"/>
              </w:rPr>
            </w:pPr>
            <w:r w:rsidRPr="00461C16">
              <w:rPr>
                <w:sz w:val="20"/>
                <w:szCs w:val="20"/>
              </w:rPr>
              <w:t>Chotyně</w:t>
            </w:r>
            <w:r w:rsidR="009C06D8" w:rsidRPr="00461C16">
              <w:rPr>
                <w:sz w:val="20"/>
                <w:szCs w:val="20"/>
              </w:rPr>
              <w:t>, Polsko</w:t>
            </w:r>
          </w:p>
        </w:tc>
      </w:tr>
      <w:tr w:rsidR="001538AC" w:rsidRPr="00461C16" w14:paraId="04947577" w14:textId="77777777" w:rsidTr="0066453E">
        <w:trPr>
          <w:cantSplit/>
          <w:jc w:val="center"/>
        </w:trPr>
        <w:tc>
          <w:tcPr>
            <w:tcW w:w="967" w:type="dxa"/>
            <w:shd w:val="clear" w:color="auto" w:fill="auto"/>
          </w:tcPr>
          <w:p w14:paraId="5A651C90" w14:textId="77777777" w:rsidR="001538AC" w:rsidRPr="00461C16" w:rsidRDefault="001538AC" w:rsidP="0066453E">
            <w:pPr>
              <w:pStyle w:val="7tabulka"/>
              <w:rPr>
                <w:sz w:val="20"/>
                <w:szCs w:val="20"/>
              </w:rPr>
            </w:pPr>
            <w:r w:rsidRPr="00461C16">
              <w:rPr>
                <w:sz w:val="20"/>
                <w:szCs w:val="20"/>
              </w:rPr>
              <w:t>R13</w:t>
            </w:r>
          </w:p>
        </w:tc>
        <w:tc>
          <w:tcPr>
            <w:tcW w:w="4461" w:type="dxa"/>
            <w:shd w:val="clear" w:color="auto" w:fill="auto"/>
          </w:tcPr>
          <w:p w14:paraId="74059401" w14:textId="77777777" w:rsidR="001538AC" w:rsidRPr="00461C16" w:rsidRDefault="001538AC" w:rsidP="0066453E">
            <w:pPr>
              <w:pStyle w:val="7tabulka"/>
              <w:rPr>
                <w:sz w:val="20"/>
                <w:szCs w:val="20"/>
              </w:rPr>
            </w:pPr>
            <w:r w:rsidRPr="00461C16">
              <w:rPr>
                <w:sz w:val="20"/>
                <w:szCs w:val="20"/>
              </w:rPr>
              <w:t>drážní doprava</w:t>
            </w:r>
            <w:r w:rsidR="0030636F" w:rsidRPr="00461C16">
              <w:rPr>
                <w:sz w:val="20"/>
                <w:szCs w:val="20"/>
              </w:rPr>
              <w:t xml:space="preserve"> (územní rezerva)</w:t>
            </w:r>
          </w:p>
        </w:tc>
        <w:tc>
          <w:tcPr>
            <w:tcW w:w="3784" w:type="dxa"/>
            <w:shd w:val="clear" w:color="auto" w:fill="auto"/>
          </w:tcPr>
          <w:p w14:paraId="150BE673" w14:textId="77777777" w:rsidR="001538AC" w:rsidRPr="00461C16" w:rsidRDefault="001538AC" w:rsidP="0066453E">
            <w:pPr>
              <w:pStyle w:val="7tabulka"/>
              <w:rPr>
                <w:sz w:val="20"/>
                <w:szCs w:val="20"/>
              </w:rPr>
            </w:pPr>
            <w:r w:rsidRPr="00461C16">
              <w:rPr>
                <w:sz w:val="20"/>
                <w:szCs w:val="20"/>
              </w:rPr>
              <w:t>Chotyně</w:t>
            </w:r>
          </w:p>
        </w:tc>
      </w:tr>
      <w:tr w:rsidR="004870E5" w:rsidRPr="00461C16" w14:paraId="4B3C3963" w14:textId="77777777" w:rsidTr="0066453E">
        <w:trPr>
          <w:cantSplit/>
          <w:jc w:val="center"/>
        </w:trPr>
        <w:tc>
          <w:tcPr>
            <w:tcW w:w="967" w:type="dxa"/>
            <w:shd w:val="clear" w:color="auto" w:fill="auto"/>
          </w:tcPr>
          <w:p w14:paraId="4E6B05BC" w14:textId="77777777" w:rsidR="004870E5" w:rsidRPr="00461C16" w:rsidRDefault="004870E5" w:rsidP="0066453E">
            <w:pPr>
              <w:pStyle w:val="7tabulka"/>
              <w:rPr>
                <w:sz w:val="20"/>
                <w:szCs w:val="20"/>
              </w:rPr>
            </w:pPr>
            <w:r>
              <w:rPr>
                <w:sz w:val="20"/>
                <w:szCs w:val="20"/>
              </w:rPr>
              <w:t>R16</w:t>
            </w:r>
          </w:p>
        </w:tc>
        <w:tc>
          <w:tcPr>
            <w:tcW w:w="4461" w:type="dxa"/>
            <w:shd w:val="clear" w:color="auto" w:fill="auto"/>
          </w:tcPr>
          <w:p w14:paraId="7AC7DD47" w14:textId="77777777" w:rsidR="004870E5" w:rsidRPr="00461C16" w:rsidRDefault="004870E5" w:rsidP="0066453E">
            <w:pPr>
              <w:pStyle w:val="7tabulka"/>
              <w:rPr>
                <w:sz w:val="20"/>
                <w:szCs w:val="20"/>
              </w:rPr>
            </w:pPr>
            <w:r>
              <w:rPr>
                <w:sz w:val="20"/>
                <w:szCs w:val="20"/>
              </w:rPr>
              <w:t>silniční doprava (územní rezerva)</w:t>
            </w:r>
          </w:p>
        </w:tc>
        <w:tc>
          <w:tcPr>
            <w:tcW w:w="3784" w:type="dxa"/>
            <w:shd w:val="clear" w:color="auto" w:fill="auto"/>
          </w:tcPr>
          <w:p w14:paraId="6080E0C8" w14:textId="77777777" w:rsidR="004870E5" w:rsidRPr="00461C16" w:rsidRDefault="004870E5" w:rsidP="0066453E">
            <w:pPr>
              <w:pStyle w:val="7tabulka"/>
              <w:rPr>
                <w:sz w:val="20"/>
                <w:szCs w:val="20"/>
              </w:rPr>
            </w:pPr>
            <w:r w:rsidRPr="00461C16">
              <w:rPr>
                <w:sz w:val="20"/>
                <w:szCs w:val="20"/>
              </w:rPr>
              <w:t>Chotyně, Polsko</w:t>
            </w:r>
          </w:p>
        </w:tc>
      </w:tr>
      <w:tr w:rsidR="004870E5" w:rsidRPr="00461C16" w14:paraId="1DF80755" w14:textId="77777777" w:rsidTr="0066453E">
        <w:trPr>
          <w:cantSplit/>
          <w:jc w:val="center"/>
        </w:trPr>
        <w:tc>
          <w:tcPr>
            <w:tcW w:w="967" w:type="dxa"/>
            <w:shd w:val="clear" w:color="auto" w:fill="auto"/>
          </w:tcPr>
          <w:p w14:paraId="607277E9" w14:textId="77777777" w:rsidR="004870E5" w:rsidRPr="00461C16" w:rsidRDefault="004870E5" w:rsidP="0066453E">
            <w:pPr>
              <w:pStyle w:val="7tabulka"/>
              <w:rPr>
                <w:sz w:val="20"/>
                <w:szCs w:val="20"/>
              </w:rPr>
            </w:pPr>
          </w:p>
        </w:tc>
        <w:tc>
          <w:tcPr>
            <w:tcW w:w="4461" w:type="dxa"/>
            <w:shd w:val="clear" w:color="auto" w:fill="auto"/>
          </w:tcPr>
          <w:p w14:paraId="226F0388" w14:textId="77777777" w:rsidR="004870E5" w:rsidRPr="00461C16" w:rsidRDefault="004870E5" w:rsidP="0066453E">
            <w:pPr>
              <w:pStyle w:val="7tabulka"/>
              <w:rPr>
                <w:sz w:val="20"/>
                <w:szCs w:val="20"/>
              </w:rPr>
            </w:pPr>
            <w:r w:rsidRPr="00461C16">
              <w:rPr>
                <w:sz w:val="20"/>
                <w:szCs w:val="20"/>
              </w:rPr>
              <w:t>dálková cyklotrasa Odra-Nisa</w:t>
            </w:r>
          </w:p>
        </w:tc>
        <w:tc>
          <w:tcPr>
            <w:tcW w:w="3784" w:type="dxa"/>
            <w:shd w:val="clear" w:color="auto" w:fill="auto"/>
          </w:tcPr>
          <w:p w14:paraId="17E742BD" w14:textId="77777777" w:rsidR="004870E5" w:rsidRPr="00461C16" w:rsidRDefault="004870E5" w:rsidP="0066453E">
            <w:pPr>
              <w:pStyle w:val="7tabulka"/>
              <w:rPr>
                <w:sz w:val="20"/>
                <w:szCs w:val="20"/>
              </w:rPr>
            </w:pPr>
            <w:r w:rsidRPr="00461C16">
              <w:rPr>
                <w:sz w:val="20"/>
                <w:szCs w:val="20"/>
              </w:rPr>
              <w:t>Chotyně</w:t>
            </w:r>
          </w:p>
        </w:tc>
      </w:tr>
    </w:tbl>
    <w:p w14:paraId="4F3E03F9" w14:textId="77777777" w:rsidR="0019194E" w:rsidRPr="00461C16" w:rsidRDefault="00501553" w:rsidP="00756815">
      <w:pPr>
        <w:pStyle w:val="Heading2"/>
      </w:pPr>
      <w:bookmarkStart w:id="80" w:name="_Toc36116278"/>
      <w:r w:rsidRPr="00461C16">
        <w:t>4</w:t>
      </w:r>
      <w:r w:rsidR="0019194E" w:rsidRPr="00461C16">
        <w:t>.3</w:t>
      </w:r>
      <w:r w:rsidR="0019194E" w:rsidRPr="00461C16">
        <w:tab/>
        <w:t>Technická infrastruktura</w:t>
      </w:r>
      <w:bookmarkEnd w:id="80"/>
    </w:p>
    <w:p w14:paraId="192B34DC" w14:textId="77777777" w:rsidR="00D665A8" w:rsidRPr="00461C16" w:rsidRDefault="009C06D8" w:rsidP="00D665A8">
      <w:pPr>
        <w:spacing w:after="120"/>
      </w:pPr>
      <w:r w:rsidRPr="00461C16">
        <w:t>Územní plán navrhuje následující stavby technické infrastruktury, které zasahují na území sousedních obcí, a tudíž vyžadují koordinaci z hlediska návaznosti</w:t>
      </w:r>
      <w:r w:rsidR="00D665A8" w:rsidRPr="00461C16">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68"/>
        <w:gridCol w:w="4461"/>
        <w:gridCol w:w="3784"/>
      </w:tblGrid>
      <w:tr w:rsidR="009C06D8" w:rsidRPr="00461C16" w14:paraId="371E8A7E" w14:textId="77777777" w:rsidTr="0066453E">
        <w:trPr>
          <w:cantSplit/>
          <w:tblHeader/>
          <w:jc w:val="center"/>
        </w:trPr>
        <w:tc>
          <w:tcPr>
            <w:tcW w:w="967" w:type="dxa"/>
            <w:shd w:val="clear" w:color="auto" w:fill="F2F2F2" w:themeFill="background1" w:themeFillShade="F2"/>
          </w:tcPr>
          <w:p w14:paraId="2997A7C0" w14:textId="77777777" w:rsidR="009C06D8" w:rsidRPr="00461C16" w:rsidRDefault="009C06D8" w:rsidP="0066453E">
            <w:pPr>
              <w:pStyle w:val="7tabulka"/>
              <w:rPr>
                <w:b/>
                <w:sz w:val="20"/>
                <w:szCs w:val="20"/>
              </w:rPr>
            </w:pPr>
            <w:r w:rsidRPr="00461C16">
              <w:rPr>
                <w:b/>
                <w:sz w:val="20"/>
                <w:szCs w:val="20"/>
              </w:rPr>
              <w:t>Plocha/</w:t>
            </w:r>
            <w:r w:rsidR="00452793">
              <w:rPr>
                <w:b/>
                <w:sz w:val="20"/>
                <w:szCs w:val="20"/>
              </w:rPr>
              <w:t xml:space="preserve"> </w:t>
            </w:r>
            <w:r w:rsidRPr="00461C16">
              <w:rPr>
                <w:b/>
                <w:sz w:val="20"/>
                <w:szCs w:val="20"/>
              </w:rPr>
              <w:t>koridor</w:t>
            </w:r>
          </w:p>
        </w:tc>
        <w:tc>
          <w:tcPr>
            <w:tcW w:w="4461" w:type="dxa"/>
            <w:shd w:val="clear" w:color="auto" w:fill="F2F2F2" w:themeFill="background1" w:themeFillShade="F2"/>
          </w:tcPr>
          <w:p w14:paraId="3A0B43B2" w14:textId="77777777" w:rsidR="009C06D8" w:rsidRPr="00461C16" w:rsidRDefault="009C06D8" w:rsidP="0066453E">
            <w:pPr>
              <w:pStyle w:val="7tabulka"/>
              <w:rPr>
                <w:b/>
                <w:sz w:val="20"/>
                <w:szCs w:val="20"/>
              </w:rPr>
            </w:pPr>
            <w:r w:rsidRPr="00461C16">
              <w:rPr>
                <w:b/>
                <w:sz w:val="20"/>
                <w:szCs w:val="20"/>
              </w:rPr>
              <w:t>Navržený způsob využití</w:t>
            </w:r>
          </w:p>
        </w:tc>
        <w:tc>
          <w:tcPr>
            <w:tcW w:w="3784" w:type="dxa"/>
            <w:shd w:val="clear" w:color="auto" w:fill="F2F2F2" w:themeFill="background1" w:themeFillShade="F2"/>
          </w:tcPr>
          <w:p w14:paraId="5D30E06D" w14:textId="77777777" w:rsidR="009C06D8" w:rsidRPr="00461C16" w:rsidRDefault="009C06D8" w:rsidP="00CB3C65">
            <w:pPr>
              <w:pStyle w:val="7tabulka"/>
              <w:jc w:val="left"/>
              <w:rPr>
                <w:b/>
                <w:sz w:val="20"/>
                <w:szCs w:val="20"/>
              </w:rPr>
            </w:pPr>
            <w:r w:rsidRPr="00461C16">
              <w:rPr>
                <w:b/>
                <w:sz w:val="20"/>
                <w:szCs w:val="20"/>
              </w:rPr>
              <w:t>Obec</w:t>
            </w:r>
            <w:r w:rsidR="00CB3C65" w:rsidRPr="00461C16">
              <w:rPr>
                <w:b/>
                <w:sz w:val="20"/>
                <w:szCs w:val="20"/>
              </w:rPr>
              <w:t xml:space="preserve"> </w:t>
            </w:r>
            <w:r w:rsidRPr="00461C16">
              <w:rPr>
                <w:b/>
                <w:sz w:val="20"/>
                <w:szCs w:val="20"/>
              </w:rPr>
              <w:t>/</w:t>
            </w:r>
            <w:r w:rsidR="00CB3C65" w:rsidRPr="00461C16">
              <w:rPr>
                <w:b/>
                <w:sz w:val="20"/>
                <w:szCs w:val="20"/>
              </w:rPr>
              <w:t xml:space="preserve"> </w:t>
            </w:r>
            <w:r w:rsidRPr="00461C16">
              <w:rPr>
                <w:b/>
                <w:sz w:val="20"/>
                <w:szCs w:val="20"/>
              </w:rPr>
              <w:t>stát, jehož správního území se vymezená plocha dotýká</w:t>
            </w:r>
          </w:p>
        </w:tc>
      </w:tr>
      <w:tr w:rsidR="009C06D8" w:rsidRPr="00461C16" w14:paraId="5C85F2EE" w14:textId="77777777" w:rsidTr="0066453E">
        <w:trPr>
          <w:cantSplit/>
          <w:jc w:val="center"/>
        </w:trPr>
        <w:tc>
          <w:tcPr>
            <w:tcW w:w="967" w:type="dxa"/>
            <w:shd w:val="clear" w:color="auto" w:fill="auto"/>
          </w:tcPr>
          <w:p w14:paraId="29B3D5E6" w14:textId="77777777" w:rsidR="009C06D8" w:rsidRPr="00461C16" w:rsidRDefault="009C06D8" w:rsidP="0066453E">
            <w:pPr>
              <w:pStyle w:val="7tabulka"/>
              <w:rPr>
                <w:sz w:val="20"/>
                <w:szCs w:val="20"/>
              </w:rPr>
            </w:pPr>
            <w:r w:rsidRPr="00461C16">
              <w:rPr>
                <w:sz w:val="20"/>
                <w:szCs w:val="20"/>
              </w:rPr>
              <w:t>X02</w:t>
            </w:r>
          </w:p>
        </w:tc>
        <w:tc>
          <w:tcPr>
            <w:tcW w:w="4461" w:type="dxa"/>
            <w:shd w:val="clear" w:color="auto" w:fill="auto"/>
          </w:tcPr>
          <w:p w14:paraId="73218F06" w14:textId="77777777" w:rsidR="009C06D8" w:rsidRPr="00461C16" w:rsidRDefault="009C06D8" w:rsidP="0066453E">
            <w:pPr>
              <w:pStyle w:val="7tabulka"/>
              <w:rPr>
                <w:sz w:val="20"/>
                <w:szCs w:val="20"/>
              </w:rPr>
            </w:pPr>
            <w:r w:rsidRPr="00461C16">
              <w:rPr>
                <w:sz w:val="20"/>
                <w:szCs w:val="20"/>
              </w:rPr>
              <w:t>koridor protipovodňového opatření</w:t>
            </w:r>
          </w:p>
        </w:tc>
        <w:tc>
          <w:tcPr>
            <w:tcW w:w="3784" w:type="dxa"/>
            <w:shd w:val="clear" w:color="auto" w:fill="auto"/>
          </w:tcPr>
          <w:p w14:paraId="6978DB67" w14:textId="77777777" w:rsidR="009C06D8" w:rsidRPr="00461C16" w:rsidRDefault="009C06D8" w:rsidP="0066453E">
            <w:pPr>
              <w:pStyle w:val="7tabulka"/>
              <w:rPr>
                <w:sz w:val="20"/>
                <w:szCs w:val="20"/>
              </w:rPr>
            </w:pPr>
            <w:r w:rsidRPr="00461C16">
              <w:rPr>
                <w:sz w:val="20"/>
                <w:szCs w:val="20"/>
              </w:rPr>
              <w:t>Chotyně</w:t>
            </w:r>
          </w:p>
        </w:tc>
      </w:tr>
    </w:tbl>
    <w:p w14:paraId="19C57F9C" w14:textId="77777777" w:rsidR="0019194E" w:rsidRPr="00461C16" w:rsidRDefault="00501553" w:rsidP="00756815">
      <w:pPr>
        <w:pStyle w:val="Heading2"/>
      </w:pPr>
      <w:bookmarkStart w:id="81" w:name="_Toc36116279"/>
      <w:r w:rsidRPr="00461C16">
        <w:lastRenderedPageBreak/>
        <w:t>4</w:t>
      </w:r>
      <w:r w:rsidR="0019194E" w:rsidRPr="00461C16">
        <w:t>.4</w:t>
      </w:r>
      <w:r w:rsidR="0019194E" w:rsidRPr="00461C16">
        <w:tab/>
        <w:t>Ochrana přírody a krajiny, ÚSES</w:t>
      </w:r>
      <w:bookmarkEnd w:id="81"/>
    </w:p>
    <w:p w14:paraId="48BD53C5" w14:textId="77777777" w:rsidR="0019194E" w:rsidRPr="00461C16" w:rsidRDefault="0019194E" w:rsidP="0019194E">
      <w:pPr>
        <w:spacing w:after="120"/>
      </w:pPr>
      <w:r w:rsidRPr="00461C16">
        <w:t>Návrh UP obsahuje v oblasti koncepce uspořádání krajiny vymezení skladebných částí územního systému ekologické stability, které přesahují hranice obce</w:t>
      </w:r>
      <w:r w:rsidR="00CB3C65" w:rsidRPr="00461C16">
        <w:t xml:space="preserve"> </w:t>
      </w:r>
      <w:r w:rsidRPr="00461C16">
        <w:t xml:space="preserve">a pokračují na území sousedních obcí, a tudíž vyžadují koordinaci z hlediska návazností. </w:t>
      </w:r>
      <w:r w:rsidR="00CB3C65" w:rsidRPr="00461C16">
        <w:t xml:space="preserve">Některé z nich se dotýkají území sousedních států. </w:t>
      </w:r>
      <w:r w:rsidRPr="00461C16">
        <w:t>Jedná se o následující skladebné části ÚSES.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13"/>
        <w:gridCol w:w="3161"/>
        <w:gridCol w:w="4039"/>
      </w:tblGrid>
      <w:tr w:rsidR="00CB3C65" w:rsidRPr="00461C16" w14:paraId="0FBFFDAE" w14:textId="77777777" w:rsidTr="00CF0BD8">
        <w:trPr>
          <w:cantSplit/>
          <w:tblHeader/>
        </w:trPr>
        <w:tc>
          <w:tcPr>
            <w:tcW w:w="2012" w:type="dxa"/>
            <w:shd w:val="clear" w:color="auto" w:fill="F2F2F2" w:themeFill="background1" w:themeFillShade="F2"/>
            <w:vAlign w:val="center"/>
          </w:tcPr>
          <w:p w14:paraId="22438D14" w14:textId="77777777" w:rsidR="00CB3C65" w:rsidRPr="00461C16" w:rsidRDefault="00CB3C65" w:rsidP="00CB3C65">
            <w:pPr>
              <w:spacing w:before="40" w:after="40"/>
              <w:jc w:val="left"/>
              <w:rPr>
                <w:b/>
                <w:sz w:val="20"/>
              </w:rPr>
            </w:pPr>
            <w:r w:rsidRPr="00461C16">
              <w:rPr>
                <w:b/>
                <w:sz w:val="20"/>
              </w:rPr>
              <w:t xml:space="preserve">Skladebná část </w:t>
            </w:r>
          </w:p>
        </w:tc>
        <w:tc>
          <w:tcPr>
            <w:tcW w:w="3161" w:type="dxa"/>
            <w:shd w:val="clear" w:color="auto" w:fill="F2F2F2" w:themeFill="background1" w:themeFillShade="F2"/>
          </w:tcPr>
          <w:p w14:paraId="1487E9F2" w14:textId="77777777" w:rsidR="00CB3C65" w:rsidRPr="00461C16" w:rsidRDefault="00CB3C65" w:rsidP="00CB3C65">
            <w:pPr>
              <w:pStyle w:val="7tabulka"/>
              <w:jc w:val="left"/>
              <w:rPr>
                <w:b/>
                <w:sz w:val="20"/>
                <w:szCs w:val="20"/>
              </w:rPr>
            </w:pPr>
            <w:r w:rsidRPr="00461C16">
              <w:rPr>
                <w:b/>
                <w:sz w:val="20"/>
                <w:szCs w:val="20"/>
              </w:rPr>
              <w:t>Obec / stát, jehož správního území se vymezená plocha dotýká</w:t>
            </w:r>
          </w:p>
        </w:tc>
        <w:tc>
          <w:tcPr>
            <w:tcW w:w="4039" w:type="dxa"/>
            <w:shd w:val="clear" w:color="auto" w:fill="F2F2F2" w:themeFill="background1" w:themeFillShade="F2"/>
            <w:vAlign w:val="center"/>
          </w:tcPr>
          <w:p w14:paraId="3D26ACCD" w14:textId="77777777" w:rsidR="00CB3C65" w:rsidRPr="00461C16" w:rsidRDefault="00CB3C65" w:rsidP="00CB3C65">
            <w:pPr>
              <w:spacing w:before="40" w:after="40"/>
              <w:jc w:val="left"/>
              <w:rPr>
                <w:b/>
                <w:sz w:val="20"/>
              </w:rPr>
            </w:pPr>
            <w:r w:rsidRPr="00461C16">
              <w:rPr>
                <w:b/>
                <w:sz w:val="20"/>
              </w:rPr>
              <w:t xml:space="preserve">Poznámka </w:t>
            </w:r>
          </w:p>
        </w:tc>
      </w:tr>
      <w:tr w:rsidR="00111EDB" w:rsidRPr="00461C16" w14:paraId="74676A17" w14:textId="77777777" w:rsidTr="00CF0BD8">
        <w:trPr>
          <w:cantSplit/>
        </w:trPr>
        <w:tc>
          <w:tcPr>
            <w:tcW w:w="2012" w:type="dxa"/>
            <w:vAlign w:val="center"/>
          </w:tcPr>
          <w:p w14:paraId="5373C172" w14:textId="77777777" w:rsidR="00111EDB" w:rsidRPr="00461C16" w:rsidRDefault="00111EDB" w:rsidP="00CB3C65">
            <w:pPr>
              <w:pStyle w:val="1text"/>
              <w:spacing w:before="40" w:after="40"/>
              <w:jc w:val="left"/>
              <w:rPr>
                <w:sz w:val="20"/>
              </w:rPr>
            </w:pPr>
            <w:r w:rsidRPr="00461C16">
              <w:rPr>
                <w:sz w:val="20"/>
              </w:rPr>
              <w:t>LC1214a</w:t>
            </w:r>
          </w:p>
        </w:tc>
        <w:tc>
          <w:tcPr>
            <w:tcW w:w="3161" w:type="dxa"/>
            <w:vAlign w:val="center"/>
          </w:tcPr>
          <w:p w14:paraId="1AD105F6" w14:textId="77777777" w:rsidR="00111EDB" w:rsidRPr="00461C16" w:rsidRDefault="00111EDB" w:rsidP="00810644">
            <w:pPr>
              <w:pStyle w:val="1text"/>
              <w:spacing w:before="40" w:after="40"/>
              <w:jc w:val="left"/>
              <w:rPr>
                <w:sz w:val="20"/>
              </w:rPr>
            </w:pPr>
            <w:r w:rsidRPr="00461C16">
              <w:rPr>
                <w:sz w:val="20"/>
              </w:rPr>
              <w:t>SRN (Zittau)</w:t>
            </w:r>
          </w:p>
        </w:tc>
        <w:tc>
          <w:tcPr>
            <w:tcW w:w="4039" w:type="dxa"/>
            <w:vAlign w:val="center"/>
          </w:tcPr>
          <w:p w14:paraId="5FDE7626" w14:textId="77777777" w:rsidR="00111EDB" w:rsidRPr="00461C16" w:rsidRDefault="00111EDB" w:rsidP="00810644">
            <w:pPr>
              <w:pStyle w:val="1text"/>
              <w:spacing w:before="40" w:after="40"/>
              <w:jc w:val="left"/>
              <w:rPr>
                <w:sz w:val="20"/>
              </w:rPr>
            </w:pPr>
            <w:r w:rsidRPr="00461C16">
              <w:rPr>
                <w:sz w:val="20"/>
              </w:rPr>
              <w:t xml:space="preserve">koordinaci není účelné řešit </w:t>
            </w:r>
          </w:p>
        </w:tc>
      </w:tr>
      <w:tr w:rsidR="00111EDB" w:rsidRPr="00461C16" w14:paraId="6B27FD9E" w14:textId="77777777" w:rsidTr="00CF0BD8">
        <w:trPr>
          <w:cantSplit/>
        </w:trPr>
        <w:tc>
          <w:tcPr>
            <w:tcW w:w="2012" w:type="dxa"/>
            <w:vAlign w:val="center"/>
          </w:tcPr>
          <w:p w14:paraId="3E5DEFD6" w14:textId="77777777" w:rsidR="00111EDB" w:rsidRPr="00461C16" w:rsidRDefault="00111EDB" w:rsidP="00CB3C65">
            <w:pPr>
              <w:pStyle w:val="1text"/>
              <w:spacing w:before="40" w:after="40"/>
              <w:jc w:val="left"/>
              <w:rPr>
                <w:sz w:val="20"/>
              </w:rPr>
            </w:pPr>
            <w:r w:rsidRPr="00461C16">
              <w:rPr>
                <w:sz w:val="20"/>
              </w:rPr>
              <w:t>LK1214a-1214b</w:t>
            </w:r>
          </w:p>
        </w:tc>
        <w:tc>
          <w:tcPr>
            <w:tcW w:w="3161" w:type="dxa"/>
            <w:vAlign w:val="center"/>
          </w:tcPr>
          <w:p w14:paraId="34C6CBC5" w14:textId="77777777" w:rsidR="00111EDB" w:rsidRPr="00461C16" w:rsidRDefault="00111EDB" w:rsidP="00810644">
            <w:pPr>
              <w:pStyle w:val="1text"/>
              <w:spacing w:before="40" w:after="40"/>
              <w:jc w:val="left"/>
              <w:rPr>
                <w:sz w:val="20"/>
              </w:rPr>
            </w:pPr>
            <w:r w:rsidRPr="00461C16">
              <w:rPr>
                <w:sz w:val="20"/>
              </w:rPr>
              <w:t>SRN (Zittau)</w:t>
            </w:r>
          </w:p>
        </w:tc>
        <w:tc>
          <w:tcPr>
            <w:tcW w:w="4039" w:type="dxa"/>
            <w:vAlign w:val="center"/>
          </w:tcPr>
          <w:p w14:paraId="4984150A" w14:textId="77777777" w:rsidR="00111EDB" w:rsidRPr="00461C16" w:rsidRDefault="00111EDB" w:rsidP="00810644">
            <w:pPr>
              <w:pStyle w:val="1text"/>
              <w:spacing w:before="40" w:after="40"/>
              <w:jc w:val="left"/>
              <w:rPr>
                <w:sz w:val="20"/>
              </w:rPr>
            </w:pPr>
            <w:r w:rsidRPr="00461C16">
              <w:rPr>
                <w:sz w:val="20"/>
              </w:rPr>
              <w:t xml:space="preserve">koordinaci není účelné řešit </w:t>
            </w:r>
          </w:p>
        </w:tc>
      </w:tr>
      <w:tr w:rsidR="00111EDB" w:rsidRPr="00461C16" w14:paraId="2BC4AFDA" w14:textId="77777777" w:rsidTr="00CF0BD8">
        <w:trPr>
          <w:cantSplit/>
        </w:trPr>
        <w:tc>
          <w:tcPr>
            <w:tcW w:w="2012" w:type="dxa"/>
            <w:vAlign w:val="center"/>
          </w:tcPr>
          <w:p w14:paraId="78398032" w14:textId="77777777" w:rsidR="00111EDB" w:rsidRPr="00461C16" w:rsidRDefault="00111EDB" w:rsidP="00CB3C65">
            <w:pPr>
              <w:pStyle w:val="1text"/>
              <w:spacing w:before="40" w:after="40"/>
              <w:jc w:val="left"/>
              <w:rPr>
                <w:sz w:val="20"/>
              </w:rPr>
            </w:pPr>
            <w:r w:rsidRPr="00461C16">
              <w:rPr>
                <w:sz w:val="20"/>
              </w:rPr>
              <w:t xml:space="preserve">LC1214b </w:t>
            </w:r>
          </w:p>
        </w:tc>
        <w:tc>
          <w:tcPr>
            <w:tcW w:w="3161" w:type="dxa"/>
            <w:vAlign w:val="center"/>
          </w:tcPr>
          <w:p w14:paraId="50F7EA49" w14:textId="77777777" w:rsidR="00111EDB" w:rsidRPr="00461C16" w:rsidRDefault="00111EDB" w:rsidP="00111EDB">
            <w:pPr>
              <w:pStyle w:val="1text"/>
              <w:spacing w:before="40" w:after="40"/>
              <w:jc w:val="left"/>
              <w:rPr>
                <w:sz w:val="20"/>
              </w:rPr>
            </w:pPr>
            <w:r w:rsidRPr="00461C16">
              <w:rPr>
                <w:sz w:val="20"/>
              </w:rPr>
              <w:t>SRN (Zittau)</w:t>
            </w:r>
          </w:p>
        </w:tc>
        <w:tc>
          <w:tcPr>
            <w:tcW w:w="4039" w:type="dxa"/>
            <w:vAlign w:val="center"/>
          </w:tcPr>
          <w:p w14:paraId="51E3D08E" w14:textId="77777777" w:rsidR="00111EDB" w:rsidRPr="00461C16" w:rsidRDefault="00111EDB" w:rsidP="00CB3C65">
            <w:pPr>
              <w:pStyle w:val="1text"/>
              <w:spacing w:before="40" w:after="40"/>
              <w:jc w:val="left"/>
              <w:rPr>
                <w:sz w:val="20"/>
              </w:rPr>
            </w:pPr>
            <w:r w:rsidRPr="00461C16">
              <w:rPr>
                <w:sz w:val="20"/>
              </w:rPr>
              <w:t xml:space="preserve">koordinaci není účelné řešit </w:t>
            </w:r>
          </w:p>
        </w:tc>
      </w:tr>
      <w:tr w:rsidR="00111EDB" w:rsidRPr="00461C16" w14:paraId="103A58F1" w14:textId="77777777" w:rsidTr="00CF0BD8">
        <w:trPr>
          <w:cantSplit/>
        </w:trPr>
        <w:tc>
          <w:tcPr>
            <w:tcW w:w="2012" w:type="dxa"/>
            <w:vAlign w:val="center"/>
          </w:tcPr>
          <w:p w14:paraId="339B16FD" w14:textId="77777777" w:rsidR="00111EDB" w:rsidRPr="00461C16" w:rsidRDefault="00111EDB" w:rsidP="00CB3C65">
            <w:pPr>
              <w:pStyle w:val="1text"/>
              <w:spacing w:before="40" w:after="40"/>
              <w:jc w:val="left"/>
              <w:rPr>
                <w:sz w:val="20"/>
              </w:rPr>
            </w:pPr>
            <w:r w:rsidRPr="00461C16">
              <w:rPr>
                <w:sz w:val="20"/>
              </w:rPr>
              <w:t xml:space="preserve">LK1214b-1215 </w:t>
            </w:r>
          </w:p>
        </w:tc>
        <w:tc>
          <w:tcPr>
            <w:tcW w:w="3161" w:type="dxa"/>
            <w:vAlign w:val="center"/>
          </w:tcPr>
          <w:p w14:paraId="5FCDA4C0" w14:textId="77777777" w:rsidR="00111EDB" w:rsidRPr="00461C16" w:rsidRDefault="00111EDB" w:rsidP="00111EDB">
            <w:pPr>
              <w:pStyle w:val="1text"/>
              <w:spacing w:before="40" w:after="40"/>
              <w:jc w:val="left"/>
              <w:rPr>
                <w:sz w:val="20"/>
              </w:rPr>
            </w:pPr>
            <w:r w:rsidRPr="00461C16">
              <w:rPr>
                <w:sz w:val="20"/>
              </w:rPr>
              <w:t>SRN (Zittau)</w:t>
            </w:r>
          </w:p>
        </w:tc>
        <w:tc>
          <w:tcPr>
            <w:tcW w:w="4039" w:type="dxa"/>
            <w:vAlign w:val="center"/>
          </w:tcPr>
          <w:p w14:paraId="6F364678" w14:textId="77777777" w:rsidR="00111EDB" w:rsidRPr="00461C16" w:rsidRDefault="00111EDB" w:rsidP="00CB3C65">
            <w:pPr>
              <w:pStyle w:val="1text"/>
              <w:spacing w:before="40" w:after="40"/>
              <w:jc w:val="left"/>
              <w:rPr>
                <w:sz w:val="20"/>
              </w:rPr>
            </w:pPr>
            <w:r w:rsidRPr="00461C16">
              <w:rPr>
                <w:sz w:val="20"/>
              </w:rPr>
              <w:t xml:space="preserve">koordinaci není účelné řešit </w:t>
            </w:r>
          </w:p>
        </w:tc>
      </w:tr>
      <w:tr w:rsidR="00111EDB" w:rsidRPr="00461C16" w14:paraId="535118A0" w14:textId="77777777" w:rsidTr="00CF0BD8">
        <w:trPr>
          <w:cantSplit/>
        </w:trPr>
        <w:tc>
          <w:tcPr>
            <w:tcW w:w="2012" w:type="dxa"/>
            <w:vAlign w:val="center"/>
          </w:tcPr>
          <w:p w14:paraId="2972C608" w14:textId="77777777" w:rsidR="00111EDB" w:rsidRPr="00461C16" w:rsidRDefault="00111EDB" w:rsidP="00CB3C65">
            <w:pPr>
              <w:pStyle w:val="1text"/>
              <w:spacing w:before="40" w:after="40"/>
              <w:jc w:val="left"/>
              <w:rPr>
                <w:sz w:val="20"/>
              </w:rPr>
            </w:pPr>
            <w:r w:rsidRPr="00461C16">
              <w:rPr>
                <w:sz w:val="20"/>
              </w:rPr>
              <w:t>LC1215</w:t>
            </w:r>
          </w:p>
        </w:tc>
        <w:tc>
          <w:tcPr>
            <w:tcW w:w="3161" w:type="dxa"/>
            <w:vAlign w:val="center"/>
          </w:tcPr>
          <w:p w14:paraId="3323E864" w14:textId="77777777" w:rsidR="00111EDB" w:rsidRPr="00461C16" w:rsidRDefault="00111EDB" w:rsidP="00CB3C65">
            <w:pPr>
              <w:pStyle w:val="1text"/>
              <w:spacing w:before="40" w:after="40"/>
              <w:jc w:val="left"/>
              <w:rPr>
                <w:sz w:val="20"/>
              </w:rPr>
            </w:pPr>
            <w:r w:rsidRPr="00461C16">
              <w:rPr>
                <w:sz w:val="20"/>
              </w:rPr>
              <w:t>SRN (Zittau)</w:t>
            </w:r>
          </w:p>
        </w:tc>
        <w:tc>
          <w:tcPr>
            <w:tcW w:w="4039" w:type="dxa"/>
            <w:vAlign w:val="center"/>
          </w:tcPr>
          <w:p w14:paraId="039702BF" w14:textId="77777777" w:rsidR="00111EDB" w:rsidRPr="00461C16" w:rsidRDefault="00111EDB" w:rsidP="00CB3C65">
            <w:pPr>
              <w:pStyle w:val="1text"/>
              <w:spacing w:before="40" w:after="40"/>
              <w:jc w:val="left"/>
              <w:rPr>
                <w:sz w:val="20"/>
              </w:rPr>
            </w:pPr>
            <w:r w:rsidRPr="00461C16">
              <w:rPr>
                <w:sz w:val="20"/>
              </w:rPr>
              <w:t xml:space="preserve">koordinaci není účelné řešit </w:t>
            </w:r>
          </w:p>
        </w:tc>
      </w:tr>
      <w:tr w:rsidR="00111EDB" w:rsidRPr="00461C16" w14:paraId="1470CF0F" w14:textId="77777777" w:rsidTr="00CF0BD8">
        <w:trPr>
          <w:cantSplit/>
        </w:trPr>
        <w:tc>
          <w:tcPr>
            <w:tcW w:w="2012" w:type="dxa"/>
            <w:vAlign w:val="center"/>
          </w:tcPr>
          <w:p w14:paraId="692A97A7" w14:textId="77777777" w:rsidR="00111EDB" w:rsidRPr="00461C16" w:rsidRDefault="00111EDB" w:rsidP="00CB3C65">
            <w:pPr>
              <w:pStyle w:val="1text"/>
              <w:spacing w:before="40" w:after="40"/>
              <w:jc w:val="left"/>
              <w:rPr>
                <w:sz w:val="20"/>
              </w:rPr>
            </w:pPr>
            <w:r w:rsidRPr="00461C16">
              <w:rPr>
                <w:sz w:val="20"/>
              </w:rPr>
              <w:t>LK1215-1216</w:t>
            </w:r>
          </w:p>
        </w:tc>
        <w:tc>
          <w:tcPr>
            <w:tcW w:w="3161" w:type="dxa"/>
            <w:vAlign w:val="center"/>
          </w:tcPr>
          <w:p w14:paraId="2208C03B" w14:textId="77777777" w:rsidR="00111EDB" w:rsidRPr="00461C16" w:rsidRDefault="00111EDB" w:rsidP="008A3170">
            <w:pPr>
              <w:pStyle w:val="1text"/>
              <w:spacing w:before="40" w:after="40"/>
              <w:jc w:val="left"/>
              <w:rPr>
                <w:sz w:val="20"/>
              </w:rPr>
            </w:pPr>
            <w:r w:rsidRPr="00461C16">
              <w:rPr>
                <w:sz w:val="20"/>
              </w:rPr>
              <w:t xml:space="preserve">Polsko (Porajów) </w:t>
            </w:r>
          </w:p>
        </w:tc>
        <w:tc>
          <w:tcPr>
            <w:tcW w:w="4039" w:type="dxa"/>
            <w:vAlign w:val="center"/>
          </w:tcPr>
          <w:p w14:paraId="44C353C0" w14:textId="77777777" w:rsidR="00111EDB" w:rsidRPr="00461C16" w:rsidRDefault="00111EDB" w:rsidP="008A3170">
            <w:pPr>
              <w:pStyle w:val="1text"/>
              <w:spacing w:before="40" w:after="40"/>
              <w:jc w:val="left"/>
              <w:rPr>
                <w:sz w:val="20"/>
              </w:rPr>
            </w:pPr>
            <w:r w:rsidRPr="00461C16">
              <w:rPr>
                <w:sz w:val="20"/>
              </w:rPr>
              <w:t xml:space="preserve">koordinaci není účelné řešit </w:t>
            </w:r>
          </w:p>
        </w:tc>
      </w:tr>
      <w:tr w:rsidR="00111EDB" w:rsidRPr="00461C16" w14:paraId="63AC41BF" w14:textId="77777777" w:rsidTr="00CF0BD8">
        <w:trPr>
          <w:cantSplit/>
        </w:trPr>
        <w:tc>
          <w:tcPr>
            <w:tcW w:w="2012" w:type="dxa"/>
            <w:vAlign w:val="center"/>
          </w:tcPr>
          <w:p w14:paraId="46C431EA" w14:textId="77777777" w:rsidR="00111EDB" w:rsidRPr="00461C16" w:rsidRDefault="00111EDB" w:rsidP="008A3170">
            <w:pPr>
              <w:pStyle w:val="1text"/>
              <w:spacing w:before="40" w:after="40"/>
              <w:jc w:val="left"/>
              <w:rPr>
                <w:sz w:val="20"/>
              </w:rPr>
            </w:pPr>
            <w:r w:rsidRPr="00461C16">
              <w:rPr>
                <w:sz w:val="20"/>
              </w:rPr>
              <w:t>LC1216</w:t>
            </w:r>
          </w:p>
        </w:tc>
        <w:tc>
          <w:tcPr>
            <w:tcW w:w="3161" w:type="dxa"/>
            <w:vAlign w:val="center"/>
          </w:tcPr>
          <w:p w14:paraId="6FBBB213" w14:textId="77777777" w:rsidR="00111EDB" w:rsidRPr="00461C16" w:rsidRDefault="00111EDB" w:rsidP="008A3170">
            <w:pPr>
              <w:pStyle w:val="1text"/>
              <w:spacing w:before="40" w:after="40"/>
              <w:jc w:val="left"/>
              <w:rPr>
                <w:sz w:val="20"/>
              </w:rPr>
            </w:pPr>
            <w:r w:rsidRPr="00461C16">
              <w:rPr>
                <w:sz w:val="20"/>
              </w:rPr>
              <w:t xml:space="preserve">Polsko (Porajów) </w:t>
            </w:r>
          </w:p>
        </w:tc>
        <w:tc>
          <w:tcPr>
            <w:tcW w:w="4039" w:type="dxa"/>
            <w:vAlign w:val="center"/>
          </w:tcPr>
          <w:p w14:paraId="0EAB7B77" w14:textId="77777777" w:rsidR="00111EDB" w:rsidRPr="00461C16" w:rsidRDefault="00111EDB" w:rsidP="008A3170">
            <w:pPr>
              <w:pStyle w:val="1text"/>
              <w:spacing w:before="40" w:after="40"/>
              <w:jc w:val="left"/>
              <w:rPr>
                <w:sz w:val="20"/>
              </w:rPr>
            </w:pPr>
            <w:r w:rsidRPr="00461C16">
              <w:rPr>
                <w:sz w:val="20"/>
              </w:rPr>
              <w:t xml:space="preserve">koordinaci není účelné řešit </w:t>
            </w:r>
          </w:p>
        </w:tc>
      </w:tr>
      <w:tr w:rsidR="00111EDB" w:rsidRPr="00461C16" w14:paraId="0BA857EB" w14:textId="77777777" w:rsidTr="00CF0BD8">
        <w:trPr>
          <w:cantSplit/>
        </w:trPr>
        <w:tc>
          <w:tcPr>
            <w:tcW w:w="2012" w:type="dxa"/>
            <w:vAlign w:val="center"/>
          </w:tcPr>
          <w:p w14:paraId="62631B18" w14:textId="77777777" w:rsidR="00111EDB" w:rsidRPr="00461C16" w:rsidRDefault="00111EDB" w:rsidP="008A3170">
            <w:pPr>
              <w:pStyle w:val="1text"/>
              <w:spacing w:before="40" w:after="40"/>
              <w:jc w:val="left"/>
              <w:rPr>
                <w:sz w:val="20"/>
              </w:rPr>
            </w:pPr>
            <w:r w:rsidRPr="00461C16">
              <w:rPr>
                <w:sz w:val="20"/>
              </w:rPr>
              <w:t>LK1216-494a</w:t>
            </w:r>
          </w:p>
        </w:tc>
        <w:tc>
          <w:tcPr>
            <w:tcW w:w="3161" w:type="dxa"/>
            <w:vAlign w:val="center"/>
          </w:tcPr>
          <w:p w14:paraId="0F135857" w14:textId="77777777" w:rsidR="00111EDB" w:rsidRPr="00461C16" w:rsidRDefault="00111EDB" w:rsidP="008A3170">
            <w:pPr>
              <w:pStyle w:val="1text"/>
              <w:spacing w:before="40" w:after="40"/>
              <w:jc w:val="left"/>
              <w:rPr>
                <w:sz w:val="20"/>
              </w:rPr>
            </w:pPr>
            <w:r w:rsidRPr="00461C16">
              <w:rPr>
                <w:sz w:val="20"/>
              </w:rPr>
              <w:t xml:space="preserve">Polsko (Kopaczów) </w:t>
            </w:r>
          </w:p>
        </w:tc>
        <w:tc>
          <w:tcPr>
            <w:tcW w:w="4039" w:type="dxa"/>
            <w:vAlign w:val="center"/>
          </w:tcPr>
          <w:p w14:paraId="7430B54E" w14:textId="77777777" w:rsidR="00111EDB" w:rsidRPr="00461C16" w:rsidRDefault="00111EDB" w:rsidP="00CB3C65">
            <w:pPr>
              <w:pStyle w:val="1text"/>
              <w:spacing w:before="40" w:after="40"/>
              <w:jc w:val="left"/>
              <w:rPr>
                <w:sz w:val="20"/>
              </w:rPr>
            </w:pPr>
            <w:r w:rsidRPr="00461C16">
              <w:rPr>
                <w:sz w:val="20"/>
              </w:rPr>
              <w:t>koordinaci není účelné řešit</w:t>
            </w:r>
          </w:p>
        </w:tc>
      </w:tr>
      <w:tr w:rsidR="00111EDB" w:rsidRPr="00461C16" w14:paraId="79341E71" w14:textId="77777777" w:rsidTr="00CF0BD8">
        <w:trPr>
          <w:cantSplit/>
        </w:trPr>
        <w:tc>
          <w:tcPr>
            <w:tcW w:w="2012" w:type="dxa"/>
            <w:vAlign w:val="center"/>
          </w:tcPr>
          <w:p w14:paraId="5441791C" w14:textId="77777777" w:rsidR="00111EDB" w:rsidRPr="00461C16" w:rsidRDefault="00111EDB" w:rsidP="008A3170">
            <w:pPr>
              <w:pStyle w:val="1text"/>
              <w:spacing w:before="40" w:after="40"/>
              <w:jc w:val="left"/>
              <w:rPr>
                <w:sz w:val="20"/>
              </w:rPr>
            </w:pPr>
            <w:r w:rsidRPr="00461C16">
              <w:rPr>
                <w:sz w:val="20"/>
              </w:rPr>
              <w:t>LC494a</w:t>
            </w:r>
          </w:p>
        </w:tc>
        <w:tc>
          <w:tcPr>
            <w:tcW w:w="3161" w:type="dxa"/>
            <w:vAlign w:val="center"/>
          </w:tcPr>
          <w:p w14:paraId="6ECFFD7D" w14:textId="77777777" w:rsidR="00111EDB" w:rsidRPr="00461C16" w:rsidRDefault="00111EDB" w:rsidP="00CB3C65">
            <w:pPr>
              <w:pStyle w:val="1text"/>
              <w:spacing w:before="40" w:after="40"/>
              <w:jc w:val="left"/>
              <w:rPr>
                <w:sz w:val="20"/>
              </w:rPr>
            </w:pPr>
            <w:r w:rsidRPr="00461C16">
              <w:rPr>
                <w:sz w:val="20"/>
              </w:rPr>
              <w:t>Polsko (Kopaczów)</w:t>
            </w:r>
          </w:p>
        </w:tc>
        <w:tc>
          <w:tcPr>
            <w:tcW w:w="4039" w:type="dxa"/>
            <w:vAlign w:val="center"/>
          </w:tcPr>
          <w:p w14:paraId="3C3C87D7" w14:textId="77777777" w:rsidR="00111EDB" w:rsidRPr="00461C16" w:rsidRDefault="00111EDB" w:rsidP="00CB3C65">
            <w:pPr>
              <w:pStyle w:val="1text"/>
              <w:spacing w:before="40" w:after="40"/>
              <w:jc w:val="left"/>
              <w:rPr>
                <w:sz w:val="20"/>
              </w:rPr>
            </w:pPr>
            <w:r w:rsidRPr="00461C16">
              <w:rPr>
                <w:sz w:val="20"/>
              </w:rPr>
              <w:t>koordinaci není účelné řešit</w:t>
            </w:r>
          </w:p>
        </w:tc>
      </w:tr>
      <w:tr w:rsidR="00111EDB" w:rsidRPr="00461C16" w14:paraId="33E2F56E" w14:textId="77777777" w:rsidTr="00CF0BD8">
        <w:trPr>
          <w:cantSplit/>
        </w:trPr>
        <w:tc>
          <w:tcPr>
            <w:tcW w:w="2012" w:type="dxa"/>
            <w:shd w:val="clear" w:color="auto" w:fill="auto"/>
            <w:vAlign w:val="center"/>
          </w:tcPr>
          <w:p w14:paraId="5F80BEFF" w14:textId="77777777" w:rsidR="00111EDB" w:rsidRPr="00461C16" w:rsidRDefault="00111EDB" w:rsidP="00CB3C65">
            <w:pPr>
              <w:pStyle w:val="1text"/>
              <w:spacing w:before="40" w:after="40"/>
              <w:jc w:val="left"/>
              <w:rPr>
                <w:sz w:val="20"/>
              </w:rPr>
            </w:pPr>
            <w:r w:rsidRPr="00461C16">
              <w:rPr>
                <w:sz w:val="20"/>
              </w:rPr>
              <w:t>LC1244</w:t>
            </w:r>
          </w:p>
        </w:tc>
        <w:tc>
          <w:tcPr>
            <w:tcW w:w="3161" w:type="dxa"/>
            <w:shd w:val="clear" w:color="auto" w:fill="auto"/>
            <w:vAlign w:val="center"/>
          </w:tcPr>
          <w:p w14:paraId="692C36D8" w14:textId="77777777" w:rsidR="00111EDB" w:rsidRPr="00461C16" w:rsidRDefault="00111EDB" w:rsidP="00BE1090">
            <w:pPr>
              <w:pStyle w:val="1text"/>
              <w:spacing w:before="40" w:after="40"/>
              <w:jc w:val="left"/>
              <w:rPr>
                <w:sz w:val="20"/>
              </w:rPr>
            </w:pPr>
            <w:r w:rsidRPr="00461C16">
              <w:rPr>
                <w:sz w:val="20"/>
              </w:rPr>
              <w:t>Polsko (Opolno-Zdrój)</w:t>
            </w:r>
          </w:p>
        </w:tc>
        <w:tc>
          <w:tcPr>
            <w:tcW w:w="4039" w:type="dxa"/>
            <w:shd w:val="clear" w:color="auto" w:fill="auto"/>
            <w:vAlign w:val="center"/>
          </w:tcPr>
          <w:p w14:paraId="6040E01F" w14:textId="77777777" w:rsidR="00111EDB" w:rsidRPr="00461C16" w:rsidRDefault="00111EDB" w:rsidP="00CB3C65">
            <w:pPr>
              <w:pStyle w:val="1text"/>
              <w:spacing w:before="40" w:after="40"/>
              <w:jc w:val="left"/>
              <w:rPr>
                <w:sz w:val="20"/>
              </w:rPr>
            </w:pPr>
            <w:r w:rsidRPr="00461C16">
              <w:rPr>
                <w:sz w:val="20"/>
              </w:rPr>
              <w:t>koordinaci není účelné řešit</w:t>
            </w:r>
          </w:p>
        </w:tc>
      </w:tr>
      <w:tr w:rsidR="00111EDB" w:rsidRPr="00461C16" w14:paraId="5BCA9CE2" w14:textId="77777777" w:rsidTr="00CF0BD8">
        <w:trPr>
          <w:cantSplit/>
        </w:trPr>
        <w:tc>
          <w:tcPr>
            <w:tcW w:w="2012" w:type="dxa"/>
            <w:shd w:val="clear" w:color="auto" w:fill="auto"/>
            <w:vAlign w:val="center"/>
          </w:tcPr>
          <w:p w14:paraId="24EE5394" w14:textId="77777777" w:rsidR="00111EDB" w:rsidRPr="00461C16" w:rsidRDefault="00111EDB" w:rsidP="00CB3C65">
            <w:pPr>
              <w:pStyle w:val="1text"/>
              <w:spacing w:before="40" w:after="40"/>
              <w:jc w:val="left"/>
              <w:rPr>
                <w:sz w:val="20"/>
              </w:rPr>
            </w:pPr>
            <w:r w:rsidRPr="00461C16">
              <w:rPr>
                <w:sz w:val="20"/>
              </w:rPr>
              <w:t>LK1244-1245</w:t>
            </w:r>
          </w:p>
        </w:tc>
        <w:tc>
          <w:tcPr>
            <w:tcW w:w="3161" w:type="dxa"/>
            <w:shd w:val="clear" w:color="auto" w:fill="auto"/>
            <w:vAlign w:val="center"/>
          </w:tcPr>
          <w:p w14:paraId="66092DB4" w14:textId="77777777" w:rsidR="00111EDB" w:rsidRPr="00461C16" w:rsidRDefault="00111EDB" w:rsidP="00BE1090">
            <w:pPr>
              <w:pStyle w:val="1text"/>
              <w:spacing w:before="40" w:after="40"/>
              <w:jc w:val="left"/>
              <w:rPr>
                <w:sz w:val="20"/>
              </w:rPr>
            </w:pPr>
            <w:r w:rsidRPr="00461C16">
              <w:rPr>
                <w:sz w:val="20"/>
              </w:rPr>
              <w:t>Polsko (Opolno-Zdrój)</w:t>
            </w:r>
          </w:p>
        </w:tc>
        <w:tc>
          <w:tcPr>
            <w:tcW w:w="4039" w:type="dxa"/>
            <w:shd w:val="clear" w:color="auto" w:fill="auto"/>
            <w:vAlign w:val="center"/>
          </w:tcPr>
          <w:p w14:paraId="092B4389" w14:textId="77777777" w:rsidR="00111EDB" w:rsidRPr="00461C16" w:rsidRDefault="00111EDB" w:rsidP="00CB3C65">
            <w:pPr>
              <w:pStyle w:val="1text"/>
              <w:spacing w:before="40" w:after="40"/>
              <w:jc w:val="left"/>
              <w:rPr>
                <w:sz w:val="20"/>
              </w:rPr>
            </w:pPr>
            <w:r w:rsidRPr="00461C16">
              <w:rPr>
                <w:sz w:val="20"/>
              </w:rPr>
              <w:t>koordinaci není účelné řešit</w:t>
            </w:r>
          </w:p>
        </w:tc>
      </w:tr>
      <w:tr w:rsidR="00111EDB" w:rsidRPr="00461C16" w14:paraId="0E2483AF" w14:textId="77777777" w:rsidTr="00CF0BD8">
        <w:trPr>
          <w:cantSplit/>
        </w:trPr>
        <w:tc>
          <w:tcPr>
            <w:tcW w:w="2012" w:type="dxa"/>
            <w:shd w:val="clear" w:color="auto" w:fill="auto"/>
            <w:vAlign w:val="center"/>
          </w:tcPr>
          <w:p w14:paraId="06F17A33" w14:textId="77777777" w:rsidR="00111EDB" w:rsidRPr="00461C16" w:rsidRDefault="00111EDB" w:rsidP="00CB3C65">
            <w:pPr>
              <w:pStyle w:val="1text"/>
              <w:spacing w:before="40" w:after="40"/>
              <w:jc w:val="left"/>
              <w:rPr>
                <w:sz w:val="20"/>
              </w:rPr>
            </w:pPr>
            <w:r w:rsidRPr="00461C16">
              <w:rPr>
                <w:sz w:val="20"/>
              </w:rPr>
              <w:t>LC1245</w:t>
            </w:r>
          </w:p>
        </w:tc>
        <w:tc>
          <w:tcPr>
            <w:tcW w:w="3161" w:type="dxa"/>
            <w:shd w:val="clear" w:color="auto" w:fill="auto"/>
            <w:vAlign w:val="center"/>
          </w:tcPr>
          <w:p w14:paraId="78E99FCF" w14:textId="77777777" w:rsidR="00111EDB" w:rsidRPr="00461C16" w:rsidRDefault="00111EDB" w:rsidP="00BE1090">
            <w:pPr>
              <w:pStyle w:val="1text"/>
              <w:spacing w:before="40" w:after="40"/>
              <w:jc w:val="left"/>
              <w:rPr>
                <w:sz w:val="20"/>
              </w:rPr>
            </w:pPr>
            <w:r w:rsidRPr="00461C16">
              <w:rPr>
                <w:sz w:val="20"/>
              </w:rPr>
              <w:t>Polsko (Jasna Gora)</w:t>
            </w:r>
          </w:p>
        </w:tc>
        <w:tc>
          <w:tcPr>
            <w:tcW w:w="4039" w:type="dxa"/>
            <w:shd w:val="clear" w:color="auto" w:fill="auto"/>
            <w:vAlign w:val="center"/>
          </w:tcPr>
          <w:p w14:paraId="35A4CBA0" w14:textId="77777777" w:rsidR="00111EDB" w:rsidRPr="00461C16" w:rsidRDefault="00111EDB" w:rsidP="00BE1090">
            <w:pPr>
              <w:pStyle w:val="1text"/>
              <w:spacing w:before="40" w:after="40"/>
              <w:jc w:val="left"/>
              <w:rPr>
                <w:sz w:val="20"/>
              </w:rPr>
            </w:pPr>
            <w:r w:rsidRPr="00461C16">
              <w:rPr>
                <w:sz w:val="20"/>
              </w:rPr>
              <w:t>koordinaci není účelné řešit</w:t>
            </w:r>
          </w:p>
        </w:tc>
      </w:tr>
      <w:tr w:rsidR="00111EDB" w:rsidRPr="00461C16" w14:paraId="1D860C14" w14:textId="77777777" w:rsidTr="00CF0BD8">
        <w:trPr>
          <w:cantSplit/>
        </w:trPr>
        <w:tc>
          <w:tcPr>
            <w:tcW w:w="2012" w:type="dxa"/>
            <w:shd w:val="clear" w:color="auto" w:fill="auto"/>
            <w:vAlign w:val="center"/>
          </w:tcPr>
          <w:p w14:paraId="29DC79C9" w14:textId="77777777" w:rsidR="00111EDB" w:rsidRPr="00461C16" w:rsidRDefault="00111EDB" w:rsidP="00CB3C65">
            <w:pPr>
              <w:pStyle w:val="1text"/>
              <w:spacing w:before="40" w:after="40"/>
              <w:jc w:val="left"/>
              <w:rPr>
                <w:sz w:val="20"/>
              </w:rPr>
            </w:pPr>
            <w:r w:rsidRPr="00461C16">
              <w:rPr>
                <w:sz w:val="20"/>
              </w:rPr>
              <w:t>LK1245-1246a</w:t>
            </w:r>
          </w:p>
        </w:tc>
        <w:tc>
          <w:tcPr>
            <w:tcW w:w="3161" w:type="dxa"/>
            <w:shd w:val="clear" w:color="auto" w:fill="auto"/>
            <w:vAlign w:val="center"/>
          </w:tcPr>
          <w:p w14:paraId="0A38EA1E" w14:textId="77777777" w:rsidR="00111EDB" w:rsidRPr="00461C16" w:rsidRDefault="00111EDB" w:rsidP="00CB3C65">
            <w:pPr>
              <w:pStyle w:val="1text"/>
              <w:spacing w:before="40" w:after="40"/>
              <w:jc w:val="left"/>
              <w:rPr>
                <w:sz w:val="20"/>
              </w:rPr>
            </w:pPr>
            <w:r w:rsidRPr="00461C16">
              <w:rPr>
                <w:sz w:val="20"/>
              </w:rPr>
              <w:t>Polsko (Jasna Gora)</w:t>
            </w:r>
          </w:p>
        </w:tc>
        <w:tc>
          <w:tcPr>
            <w:tcW w:w="4039" w:type="dxa"/>
            <w:shd w:val="clear" w:color="auto" w:fill="auto"/>
            <w:vAlign w:val="center"/>
          </w:tcPr>
          <w:p w14:paraId="447A290F" w14:textId="77777777" w:rsidR="00111EDB" w:rsidRPr="00461C16" w:rsidRDefault="00111EDB" w:rsidP="00CB3C65">
            <w:pPr>
              <w:pStyle w:val="1text"/>
              <w:spacing w:before="40" w:after="40"/>
              <w:jc w:val="left"/>
              <w:rPr>
                <w:sz w:val="20"/>
              </w:rPr>
            </w:pPr>
            <w:r w:rsidRPr="00461C16">
              <w:rPr>
                <w:sz w:val="20"/>
              </w:rPr>
              <w:t>koordinaci není účelné řešit</w:t>
            </w:r>
          </w:p>
        </w:tc>
      </w:tr>
      <w:tr w:rsidR="00111EDB" w:rsidRPr="00461C16" w14:paraId="45E37B02" w14:textId="77777777" w:rsidTr="00CF0BD8">
        <w:trPr>
          <w:cantSplit/>
        </w:trPr>
        <w:tc>
          <w:tcPr>
            <w:tcW w:w="2012" w:type="dxa"/>
            <w:shd w:val="clear" w:color="auto" w:fill="auto"/>
            <w:vAlign w:val="center"/>
          </w:tcPr>
          <w:p w14:paraId="3A8A16C2" w14:textId="77777777" w:rsidR="00111EDB" w:rsidRPr="00461C16" w:rsidRDefault="00111EDB" w:rsidP="00CB3C65">
            <w:pPr>
              <w:pStyle w:val="1text"/>
              <w:spacing w:before="40" w:after="40"/>
              <w:jc w:val="left"/>
              <w:rPr>
                <w:sz w:val="20"/>
              </w:rPr>
            </w:pPr>
            <w:r w:rsidRPr="00461C16">
              <w:rPr>
                <w:sz w:val="20"/>
              </w:rPr>
              <w:t>LK1245-1247</w:t>
            </w:r>
          </w:p>
        </w:tc>
        <w:tc>
          <w:tcPr>
            <w:tcW w:w="3161" w:type="dxa"/>
            <w:shd w:val="clear" w:color="auto" w:fill="auto"/>
            <w:vAlign w:val="center"/>
          </w:tcPr>
          <w:p w14:paraId="5E97F2DB" w14:textId="77777777" w:rsidR="00111EDB" w:rsidRPr="00461C16" w:rsidRDefault="00111EDB" w:rsidP="00CB3C65">
            <w:pPr>
              <w:pStyle w:val="1text"/>
              <w:spacing w:before="40" w:after="40"/>
              <w:jc w:val="left"/>
              <w:rPr>
                <w:sz w:val="20"/>
              </w:rPr>
            </w:pPr>
            <w:r w:rsidRPr="00461C16">
              <w:rPr>
                <w:sz w:val="20"/>
              </w:rPr>
              <w:t>Polsko (Jasna Gora)</w:t>
            </w:r>
          </w:p>
        </w:tc>
        <w:tc>
          <w:tcPr>
            <w:tcW w:w="4039" w:type="dxa"/>
            <w:shd w:val="clear" w:color="auto" w:fill="auto"/>
            <w:vAlign w:val="center"/>
          </w:tcPr>
          <w:p w14:paraId="064CA85C" w14:textId="77777777" w:rsidR="00111EDB" w:rsidRPr="00461C16" w:rsidRDefault="00111EDB" w:rsidP="00CB3C65">
            <w:pPr>
              <w:pStyle w:val="1text"/>
              <w:spacing w:before="40" w:after="40"/>
              <w:jc w:val="left"/>
              <w:rPr>
                <w:sz w:val="20"/>
              </w:rPr>
            </w:pPr>
            <w:r w:rsidRPr="00461C16">
              <w:rPr>
                <w:sz w:val="20"/>
              </w:rPr>
              <w:t>koordinaci není účelné řešit</w:t>
            </w:r>
          </w:p>
        </w:tc>
      </w:tr>
      <w:tr w:rsidR="00111EDB" w:rsidRPr="00461C16" w14:paraId="6E5D4BC3" w14:textId="77777777" w:rsidTr="00CF0BD8">
        <w:trPr>
          <w:cantSplit/>
        </w:trPr>
        <w:tc>
          <w:tcPr>
            <w:tcW w:w="2012" w:type="dxa"/>
            <w:vAlign w:val="center"/>
          </w:tcPr>
          <w:p w14:paraId="42F2CE4C" w14:textId="77777777" w:rsidR="00111EDB" w:rsidRPr="00461C16" w:rsidRDefault="00111EDB" w:rsidP="00CB3C65">
            <w:pPr>
              <w:pStyle w:val="1text"/>
              <w:spacing w:before="40" w:after="40"/>
              <w:jc w:val="left"/>
              <w:rPr>
                <w:sz w:val="20"/>
              </w:rPr>
            </w:pPr>
            <w:r w:rsidRPr="00461C16">
              <w:rPr>
                <w:sz w:val="20"/>
              </w:rPr>
              <w:t>LC1252</w:t>
            </w:r>
          </w:p>
        </w:tc>
        <w:tc>
          <w:tcPr>
            <w:tcW w:w="3161" w:type="dxa"/>
            <w:vAlign w:val="center"/>
          </w:tcPr>
          <w:p w14:paraId="77E119E4" w14:textId="77777777" w:rsidR="00111EDB" w:rsidRPr="00461C16" w:rsidRDefault="00111EDB" w:rsidP="00CB3C65">
            <w:pPr>
              <w:pStyle w:val="1text"/>
              <w:spacing w:before="40" w:after="40"/>
              <w:jc w:val="left"/>
              <w:rPr>
                <w:sz w:val="20"/>
              </w:rPr>
            </w:pPr>
            <w:r w:rsidRPr="00461C16">
              <w:rPr>
                <w:sz w:val="20"/>
              </w:rPr>
              <w:t>Chrastava</w:t>
            </w:r>
          </w:p>
        </w:tc>
        <w:tc>
          <w:tcPr>
            <w:tcW w:w="4039" w:type="dxa"/>
            <w:vAlign w:val="center"/>
          </w:tcPr>
          <w:p w14:paraId="11AB2955" w14:textId="77777777" w:rsidR="00111EDB" w:rsidRPr="00461C16" w:rsidRDefault="00111EDB" w:rsidP="00CB3C65">
            <w:pPr>
              <w:pStyle w:val="1text"/>
              <w:spacing w:before="40" w:after="40"/>
              <w:jc w:val="left"/>
              <w:rPr>
                <w:sz w:val="20"/>
              </w:rPr>
            </w:pPr>
            <w:r w:rsidRPr="00461C16">
              <w:rPr>
                <w:sz w:val="20"/>
              </w:rPr>
              <w:t xml:space="preserve">koordinace je zajištěna </w:t>
            </w:r>
          </w:p>
        </w:tc>
      </w:tr>
      <w:tr w:rsidR="00111EDB" w:rsidRPr="00461C16" w14:paraId="34DFBF8B" w14:textId="77777777" w:rsidTr="00CF0BD8">
        <w:trPr>
          <w:cantSplit/>
        </w:trPr>
        <w:tc>
          <w:tcPr>
            <w:tcW w:w="2012" w:type="dxa"/>
            <w:vAlign w:val="center"/>
          </w:tcPr>
          <w:p w14:paraId="0C30664A" w14:textId="77777777" w:rsidR="00111EDB" w:rsidRPr="00461C16" w:rsidRDefault="00111EDB" w:rsidP="00CB3C65">
            <w:pPr>
              <w:pStyle w:val="1text"/>
              <w:spacing w:before="40" w:after="40"/>
              <w:jc w:val="left"/>
              <w:rPr>
                <w:sz w:val="20"/>
              </w:rPr>
            </w:pPr>
            <w:r w:rsidRPr="00461C16">
              <w:rPr>
                <w:sz w:val="20"/>
              </w:rPr>
              <w:t>RC1790</w:t>
            </w:r>
          </w:p>
        </w:tc>
        <w:tc>
          <w:tcPr>
            <w:tcW w:w="3161" w:type="dxa"/>
            <w:vAlign w:val="center"/>
          </w:tcPr>
          <w:p w14:paraId="37D0CE78" w14:textId="77777777" w:rsidR="00111EDB" w:rsidRPr="00461C16" w:rsidRDefault="00111EDB" w:rsidP="00CF0BD8">
            <w:pPr>
              <w:pStyle w:val="1text"/>
              <w:spacing w:before="40" w:after="40"/>
              <w:jc w:val="left"/>
              <w:rPr>
                <w:sz w:val="20"/>
              </w:rPr>
            </w:pPr>
            <w:r w:rsidRPr="00461C16">
              <w:rPr>
                <w:sz w:val="20"/>
              </w:rPr>
              <w:t xml:space="preserve">Bílý Kostel nad Nisou </w:t>
            </w:r>
          </w:p>
        </w:tc>
        <w:tc>
          <w:tcPr>
            <w:tcW w:w="4039" w:type="dxa"/>
            <w:vAlign w:val="center"/>
          </w:tcPr>
          <w:p w14:paraId="608DA42A" w14:textId="77777777" w:rsidR="00111EDB" w:rsidRPr="00461C16" w:rsidRDefault="00111EDB" w:rsidP="00CB3C65">
            <w:pPr>
              <w:pStyle w:val="1text"/>
              <w:spacing w:before="40" w:after="40"/>
              <w:jc w:val="left"/>
              <w:rPr>
                <w:sz w:val="20"/>
              </w:rPr>
            </w:pPr>
            <w:r w:rsidRPr="00461C16">
              <w:rPr>
                <w:sz w:val="20"/>
              </w:rPr>
              <w:t>koordinace je zajištěna</w:t>
            </w:r>
          </w:p>
        </w:tc>
      </w:tr>
      <w:tr w:rsidR="00111EDB" w:rsidRPr="00461C16" w14:paraId="101BD4D8" w14:textId="77777777" w:rsidTr="00CF0BD8">
        <w:trPr>
          <w:cantSplit/>
        </w:trPr>
        <w:tc>
          <w:tcPr>
            <w:tcW w:w="2012" w:type="dxa"/>
            <w:vAlign w:val="center"/>
          </w:tcPr>
          <w:p w14:paraId="06C3FAA3" w14:textId="77777777" w:rsidR="00111EDB" w:rsidRPr="00461C16" w:rsidRDefault="00111EDB" w:rsidP="00CB3C65">
            <w:pPr>
              <w:pStyle w:val="1text"/>
              <w:spacing w:before="40" w:after="40"/>
              <w:jc w:val="left"/>
              <w:rPr>
                <w:sz w:val="20"/>
              </w:rPr>
            </w:pPr>
            <w:r w:rsidRPr="00461C16">
              <w:rPr>
                <w:sz w:val="20"/>
              </w:rPr>
              <w:t>LBC497</w:t>
            </w:r>
          </w:p>
        </w:tc>
        <w:tc>
          <w:tcPr>
            <w:tcW w:w="3161" w:type="dxa"/>
            <w:vAlign w:val="center"/>
          </w:tcPr>
          <w:p w14:paraId="2772E91A" w14:textId="77777777" w:rsidR="00111EDB" w:rsidRPr="00461C16" w:rsidRDefault="00111EDB" w:rsidP="00CB3C65">
            <w:pPr>
              <w:pStyle w:val="1text"/>
              <w:spacing w:before="40" w:after="40"/>
              <w:jc w:val="left"/>
              <w:rPr>
                <w:sz w:val="20"/>
              </w:rPr>
            </w:pPr>
            <w:r w:rsidRPr="00461C16">
              <w:rPr>
                <w:sz w:val="20"/>
              </w:rPr>
              <w:t xml:space="preserve">Chotyně </w:t>
            </w:r>
          </w:p>
        </w:tc>
        <w:tc>
          <w:tcPr>
            <w:tcW w:w="4039" w:type="dxa"/>
            <w:vAlign w:val="center"/>
          </w:tcPr>
          <w:p w14:paraId="7E655286" w14:textId="77777777" w:rsidR="00111EDB" w:rsidRPr="00461C16" w:rsidRDefault="00111EDB" w:rsidP="00CB3C65">
            <w:pPr>
              <w:pStyle w:val="1text"/>
              <w:spacing w:before="40" w:after="40"/>
              <w:jc w:val="left"/>
              <w:rPr>
                <w:sz w:val="20"/>
              </w:rPr>
            </w:pPr>
            <w:r w:rsidRPr="00461C16">
              <w:rPr>
                <w:sz w:val="20"/>
              </w:rPr>
              <w:t>koordinace je zajištěna</w:t>
            </w:r>
          </w:p>
        </w:tc>
      </w:tr>
      <w:tr w:rsidR="00111EDB" w:rsidRPr="00461C16" w14:paraId="061DC7F8" w14:textId="77777777" w:rsidTr="00CF0BD8">
        <w:trPr>
          <w:cantSplit/>
        </w:trPr>
        <w:tc>
          <w:tcPr>
            <w:tcW w:w="2012" w:type="dxa"/>
            <w:vAlign w:val="center"/>
          </w:tcPr>
          <w:p w14:paraId="16C1272E" w14:textId="77777777" w:rsidR="00111EDB" w:rsidRPr="00461C16" w:rsidRDefault="00111EDB" w:rsidP="00CB3C65">
            <w:pPr>
              <w:pStyle w:val="1text"/>
              <w:spacing w:before="40" w:after="40"/>
              <w:jc w:val="left"/>
              <w:rPr>
                <w:sz w:val="20"/>
              </w:rPr>
            </w:pPr>
            <w:r w:rsidRPr="00461C16">
              <w:rPr>
                <w:sz w:val="20"/>
              </w:rPr>
              <w:t>RK638</w:t>
            </w:r>
          </w:p>
        </w:tc>
        <w:tc>
          <w:tcPr>
            <w:tcW w:w="3161" w:type="dxa"/>
            <w:vAlign w:val="center"/>
          </w:tcPr>
          <w:p w14:paraId="0B08D8D8" w14:textId="77777777" w:rsidR="00111EDB" w:rsidRPr="00461C16" w:rsidRDefault="00111EDB" w:rsidP="00CB3C65">
            <w:pPr>
              <w:pStyle w:val="1text"/>
              <w:spacing w:before="40" w:after="40"/>
              <w:jc w:val="left"/>
              <w:rPr>
                <w:sz w:val="20"/>
              </w:rPr>
            </w:pPr>
            <w:r w:rsidRPr="00461C16">
              <w:rPr>
                <w:sz w:val="20"/>
              </w:rPr>
              <w:t xml:space="preserve">Chotyně </w:t>
            </w:r>
          </w:p>
        </w:tc>
        <w:tc>
          <w:tcPr>
            <w:tcW w:w="4039" w:type="dxa"/>
            <w:vAlign w:val="center"/>
          </w:tcPr>
          <w:p w14:paraId="6D7394BB" w14:textId="77777777" w:rsidR="00111EDB" w:rsidRPr="00461C16" w:rsidRDefault="00111EDB" w:rsidP="00CB3C65">
            <w:pPr>
              <w:pStyle w:val="1text"/>
              <w:spacing w:before="40" w:after="40"/>
              <w:jc w:val="left"/>
              <w:rPr>
                <w:sz w:val="20"/>
              </w:rPr>
            </w:pPr>
            <w:r w:rsidRPr="00461C16">
              <w:rPr>
                <w:sz w:val="20"/>
              </w:rPr>
              <w:t>koordinace je zajištěna</w:t>
            </w:r>
          </w:p>
        </w:tc>
      </w:tr>
      <w:tr w:rsidR="00111EDB" w:rsidRPr="00461C16" w14:paraId="7F3AA4F9" w14:textId="77777777" w:rsidTr="00CF0BD8">
        <w:trPr>
          <w:cantSplit/>
        </w:trPr>
        <w:tc>
          <w:tcPr>
            <w:tcW w:w="2012" w:type="dxa"/>
            <w:vAlign w:val="center"/>
          </w:tcPr>
          <w:p w14:paraId="3F8D164A" w14:textId="77777777" w:rsidR="00111EDB" w:rsidRPr="00461C16" w:rsidRDefault="00111EDB" w:rsidP="00CB3C65">
            <w:pPr>
              <w:pStyle w:val="1text"/>
              <w:spacing w:before="40" w:after="40"/>
              <w:jc w:val="left"/>
              <w:rPr>
                <w:sz w:val="20"/>
              </w:rPr>
            </w:pPr>
            <w:r w:rsidRPr="00461C16">
              <w:rPr>
                <w:sz w:val="20"/>
              </w:rPr>
              <w:t>LK1210-1211</w:t>
            </w:r>
          </w:p>
        </w:tc>
        <w:tc>
          <w:tcPr>
            <w:tcW w:w="3161" w:type="dxa"/>
            <w:vAlign w:val="center"/>
          </w:tcPr>
          <w:p w14:paraId="229CDA45" w14:textId="77777777" w:rsidR="00111EDB" w:rsidRPr="00461C16" w:rsidRDefault="00111EDB" w:rsidP="00CB3C65">
            <w:pPr>
              <w:pStyle w:val="1text"/>
              <w:spacing w:before="40" w:after="40"/>
              <w:jc w:val="left"/>
              <w:rPr>
                <w:sz w:val="20"/>
              </w:rPr>
            </w:pPr>
            <w:r w:rsidRPr="00461C16">
              <w:rPr>
                <w:sz w:val="20"/>
              </w:rPr>
              <w:t>Chotyně</w:t>
            </w:r>
          </w:p>
        </w:tc>
        <w:tc>
          <w:tcPr>
            <w:tcW w:w="4039" w:type="dxa"/>
            <w:vAlign w:val="center"/>
          </w:tcPr>
          <w:p w14:paraId="766E442F" w14:textId="77777777" w:rsidR="00111EDB" w:rsidRPr="00461C16" w:rsidRDefault="00111EDB" w:rsidP="00CB3C65">
            <w:pPr>
              <w:pStyle w:val="1text"/>
              <w:spacing w:before="40" w:after="40"/>
              <w:jc w:val="left"/>
              <w:rPr>
                <w:sz w:val="20"/>
              </w:rPr>
            </w:pPr>
            <w:r w:rsidRPr="00461C16">
              <w:rPr>
                <w:sz w:val="20"/>
              </w:rPr>
              <w:t>koordinace je zajištěna</w:t>
            </w:r>
          </w:p>
        </w:tc>
      </w:tr>
      <w:tr w:rsidR="00111EDB" w:rsidRPr="00461C16" w14:paraId="0EC3037C" w14:textId="77777777" w:rsidTr="00CF0BD8">
        <w:trPr>
          <w:cantSplit/>
        </w:trPr>
        <w:tc>
          <w:tcPr>
            <w:tcW w:w="2012" w:type="dxa"/>
            <w:vAlign w:val="center"/>
          </w:tcPr>
          <w:p w14:paraId="07D7E5DD" w14:textId="77777777" w:rsidR="00111EDB" w:rsidRPr="00461C16" w:rsidRDefault="00111EDB" w:rsidP="00CB3C65">
            <w:pPr>
              <w:pStyle w:val="1text"/>
              <w:spacing w:before="40" w:after="40"/>
              <w:jc w:val="left"/>
              <w:rPr>
                <w:sz w:val="20"/>
              </w:rPr>
            </w:pPr>
            <w:r w:rsidRPr="00461C16">
              <w:rPr>
                <w:sz w:val="20"/>
              </w:rPr>
              <w:t>RC143</w:t>
            </w:r>
          </w:p>
        </w:tc>
        <w:tc>
          <w:tcPr>
            <w:tcW w:w="3161" w:type="dxa"/>
            <w:vAlign w:val="center"/>
          </w:tcPr>
          <w:p w14:paraId="0099F714" w14:textId="77777777" w:rsidR="00111EDB" w:rsidRPr="00461C16" w:rsidRDefault="00111EDB" w:rsidP="00CF0BD8">
            <w:pPr>
              <w:pStyle w:val="1text"/>
              <w:spacing w:before="40" w:after="40"/>
              <w:jc w:val="left"/>
              <w:rPr>
                <w:sz w:val="20"/>
              </w:rPr>
            </w:pPr>
            <w:r w:rsidRPr="00461C16">
              <w:rPr>
                <w:sz w:val="20"/>
              </w:rPr>
              <w:t>Bílý Kostel nad Nisou</w:t>
            </w:r>
          </w:p>
          <w:p w14:paraId="2DA858B0" w14:textId="77777777" w:rsidR="00111EDB" w:rsidRPr="00461C16" w:rsidRDefault="00111EDB" w:rsidP="00CF0BD8">
            <w:pPr>
              <w:pStyle w:val="1text"/>
              <w:spacing w:before="40" w:after="40"/>
              <w:jc w:val="left"/>
              <w:rPr>
                <w:sz w:val="20"/>
              </w:rPr>
            </w:pPr>
            <w:r w:rsidRPr="00461C16">
              <w:rPr>
                <w:sz w:val="20"/>
              </w:rPr>
              <w:t>Rynoltice</w:t>
            </w:r>
          </w:p>
        </w:tc>
        <w:tc>
          <w:tcPr>
            <w:tcW w:w="4039" w:type="dxa"/>
            <w:vAlign w:val="center"/>
          </w:tcPr>
          <w:p w14:paraId="2E5F280A" w14:textId="77777777" w:rsidR="00111EDB" w:rsidRPr="00461C16" w:rsidRDefault="00111EDB" w:rsidP="00CB3C65">
            <w:pPr>
              <w:pStyle w:val="1text"/>
              <w:spacing w:before="40" w:after="40"/>
              <w:jc w:val="left"/>
              <w:rPr>
                <w:sz w:val="20"/>
              </w:rPr>
            </w:pPr>
            <w:r w:rsidRPr="00461C16">
              <w:rPr>
                <w:sz w:val="20"/>
              </w:rPr>
              <w:t>koordinace je zajištěna</w:t>
            </w:r>
          </w:p>
          <w:p w14:paraId="138FCD48" w14:textId="77777777" w:rsidR="00111EDB" w:rsidRPr="00461C16" w:rsidRDefault="00111EDB" w:rsidP="00CF0BD8">
            <w:pPr>
              <w:pStyle w:val="1text"/>
              <w:spacing w:before="40" w:after="40"/>
              <w:jc w:val="left"/>
              <w:rPr>
                <w:sz w:val="20"/>
              </w:rPr>
            </w:pPr>
            <w:r w:rsidRPr="00461C16">
              <w:rPr>
                <w:sz w:val="20"/>
              </w:rPr>
              <w:t xml:space="preserve">koordinaci je nutné zajistit v novém ÚP Rynoltic </w:t>
            </w:r>
          </w:p>
        </w:tc>
      </w:tr>
      <w:tr w:rsidR="00111EDB" w:rsidRPr="00461C16" w14:paraId="64BC8EAC" w14:textId="77777777" w:rsidTr="00CF0BD8">
        <w:trPr>
          <w:cantSplit/>
        </w:trPr>
        <w:tc>
          <w:tcPr>
            <w:tcW w:w="2012" w:type="dxa"/>
            <w:vAlign w:val="center"/>
          </w:tcPr>
          <w:p w14:paraId="6A697057" w14:textId="77777777" w:rsidR="00111EDB" w:rsidRPr="00461C16" w:rsidRDefault="00111EDB" w:rsidP="00CB3C65">
            <w:pPr>
              <w:pStyle w:val="1text"/>
              <w:spacing w:before="40" w:after="40"/>
              <w:jc w:val="left"/>
              <w:rPr>
                <w:sz w:val="20"/>
              </w:rPr>
            </w:pPr>
            <w:r w:rsidRPr="00461C16">
              <w:rPr>
                <w:sz w:val="20"/>
              </w:rPr>
              <w:t>NRBK K34</w:t>
            </w:r>
          </w:p>
        </w:tc>
        <w:tc>
          <w:tcPr>
            <w:tcW w:w="3161" w:type="dxa"/>
            <w:vAlign w:val="center"/>
          </w:tcPr>
          <w:p w14:paraId="6A07BC51" w14:textId="77777777" w:rsidR="00111EDB" w:rsidRPr="00461C16" w:rsidRDefault="00111EDB" w:rsidP="00CB3C65">
            <w:pPr>
              <w:pStyle w:val="1text"/>
              <w:spacing w:before="40" w:after="40"/>
              <w:jc w:val="left"/>
              <w:rPr>
                <w:sz w:val="20"/>
              </w:rPr>
            </w:pPr>
            <w:r w:rsidRPr="00461C16">
              <w:rPr>
                <w:sz w:val="20"/>
              </w:rPr>
              <w:t>Rynoltice</w:t>
            </w:r>
          </w:p>
        </w:tc>
        <w:tc>
          <w:tcPr>
            <w:tcW w:w="4039" w:type="dxa"/>
            <w:vAlign w:val="center"/>
          </w:tcPr>
          <w:p w14:paraId="45D05793" w14:textId="77777777" w:rsidR="00111EDB" w:rsidRPr="00461C16" w:rsidRDefault="00111EDB" w:rsidP="00CF0BD8">
            <w:pPr>
              <w:pStyle w:val="1text"/>
              <w:spacing w:before="40" w:after="40"/>
              <w:jc w:val="left"/>
              <w:rPr>
                <w:sz w:val="20"/>
              </w:rPr>
            </w:pPr>
            <w:r w:rsidRPr="00461C16">
              <w:rPr>
                <w:sz w:val="20"/>
              </w:rPr>
              <w:t xml:space="preserve">koordinaci je nutné zajistit v novém ÚP Rynoltic </w:t>
            </w:r>
          </w:p>
        </w:tc>
      </w:tr>
      <w:tr w:rsidR="00111EDB" w:rsidRPr="00461C16" w14:paraId="3DE10414" w14:textId="77777777" w:rsidTr="00CF0BD8">
        <w:trPr>
          <w:cantSplit/>
        </w:trPr>
        <w:tc>
          <w:tcPr>
            <w:tcW w:w="2012" w:type="dxa"/>
            <w:vAlign w:val="center"/>
          </w:tcPr>
          <w:p w14:paraId="30BA4862" w14:textId="77777777" w:rsidR="00111EDB" w:rsidRPr="00461C16" w:rsidRDefault="00111EDB" w:rsidP="00CB3C65">
            <w:pPr>
              <w:pStyle w:val="1text"/>
              <w:spacing w:before="40" w:after="40"/>
              <w:jc w:val="left"/>
              <w:rPr>
                <w:sz w:val="20"/>
              </w:rPr>
            </w:pPr>
            <w:r w:rsidRPr="00461C16">
              <w:rPr>
                <w:sz w:val="20"/>
              </w:rPr>
              <w:t>RC1273</w:t>
            </w:r>
          </w:p>
        </w:tc>
        <w:tc>
          <w:tcPr>
            <w:tcW w:w="3161" w:type="dxa"/>
            <w:vAlign w:val="center"/>
          </w:tcPr>
          <w:p w14:paraId="7577A0A7" w14:textId="77777777" w:rsidR="00111EDB" w:rsidRPr="00461C16" w:rsidRDefault="00111EDB" w:rsidP="00810644">
            <w:pPr>
              <w:pStyle w:val="1text"/>
              <w:spacing w:before="40" w:after="40"/>
              <w:jc w:val="left"/>
              <w:rPr>
                <w:sz w:val="20"/>
              </w:rPr>
            </w:pPr>
            <w:r w:rsidRPr="00461C16">
              <w:rPr>
                <w:sz w:val="20"/>
              </w:rPr>
              <w:t>Rynoltice</w:t>
            </w:r>
          </w:p>
          <w:p w14:paraId="095B2AB2" w14:textId="77777777" w:rsidR="00111EDB" w:rsidRPr="00461C16" w:rsidRDefault="00111EDB" w:rsidP="00810644">
            <w:pPr>
              <w:pStyle w:val="1text"/>
              <w:spacing w:before="40" w:after="40"/>
              <w:jc w:val="left"/>
              <w:rPr>
                <w:sz w:val="20"/>
              </w:rPr>
            </w:pPr>
            <w:r w:rsidRPr="00461C16">
              <w:rPr>
                <w:sz w:val="20"/>
              </w:rPr>
              <w:t xml:space="preserve">SRN (Zittau) </w:t>
            </w:r>
          </w:p>
        </w:tc>
        <w:tc>
          <w:tcPr>
            <w:tcW w:w="4039" w:type="dxa"/>
            <w:vAlign w:val="center"/>
          </w:tcPr>
          <w:p w14:paraId="0981A43E" w14:textId="77777777" w:rsidR="00111EDB" w:rsidRPr="00461C16" w:rsidRDefault="00111EDB" w:rsidP="00810644">
            <w:pPr>
              <w:pStyle w:val="1text"/>
              <w:spacing w:before="40" w:after="40"/>
              <w:jc w:val="left"/>
              <w:rPr>
                <w:sz w:val="20"/>
              </w:rPr>
            </w:pPr>
            <w:r w:rsidRPr="00461C16">
              <w:rPr>
                <w:sz w:val="20"/>
              </w:rPr>
              <w:t xml:space="preserve">koordinaci je nutné zajistit v novém ÚP Rynoltic </w:t>
            </w:r>
          </w:p>
          <w:p w14:paraId="4D868D21" w14:textId="77777777" w:rsidR="00111EDB" w:rsidRPr="00461C16" w:rsidRDefault="00111EDB" w:rsidP="00111EDB">
            <w:pPr>
              <w:pStyle w:val="1text"/>
              <w:spacing w:before="40" w:after="40"/>
              <w:jc w:val="left"/>
              <w:rPr>
                <w:sz w:val="20"/>
              </w:rPr>
            </w:pPr>
            <w:r w:rsidRPr="00461C16">
              <w:rPr>
                <w:sz w:val="20"/>
              </w:rPr>
              <w:t xml:space="preserve">koordinaci není účelné řešit </w:t>
            </w:r>
          </w:p>
        </w:tc>
      </w:tr>
      <w:tr w:rsidR="00111EDB" w:rsidRPr="00461C16" w14:paraId="50350208" w14:textId="77777777" w:rsidTr="00CF0BD8">
        <w:trPr>
          <w:cantSplit/>
        </w:trPr>
        <w:tc>
          <w:tcPr>
            <w:tcW w:w="2012" w:type="dxa"/>
            <w:vAlign w:val="center"/>
          </w:tcPr>
          <w:p w14:paraId="7C664BFA" w14:textId="77777777" w:rsidR="00111EDB" w:rsidRPr="00461C16" w:rsidRDefault="00111EDB" w:rsidP="00CB3C65">
            <w:pPr>
              <w:pStyle w:val="1text"/>
              <w:spacing w:before="40" w:after="40"/>
              <w:jc w:val="left"/>
              <w:rPr>
                <w:sz w:val="20"/>
              </w:rPr>
            </w:pPr>
            <w:r w:rsidRPr="00461C16">
              <w:rPr>
                <w:sz w:val="20"/>
              </w:rPr>
              <w:t>LKK34-V1-1214a</w:t>
            </w:r>
          </w:p>
        </w:tc>
        <w:tc>
          <w:tcPr>
            <w:tcW w:w="3161" w:type="dxa"/>
            <w:vAlign w:val="center"/>
          </w:tcPr>
          <w:p w14:paraId="7B7DB86B" w14:textId="77777777" w:rsidR="00111EDB" w:rsidRPr="00461C16" w:rsidRDefault="00111EDB" w:rsidP="00810644">
            <w:pPr>
              <w:pStyle w:val="1text"/>
              <w:spacing w:before="40" w:after="40"/>
              <w:jc w:val="left"/>
              <w:rPr>
                <w:sz w:val="20"/>
              </w:rPr>
            </w:pPr>
            <w:r w:rsidRPr="00461C16">
              <w:rPr>
                <w:sz w:val="20"/>
              </w:rPr>
              <w:t>SRN (Zittau)</w:t>
            </w:r>
          </w:p>
        </w:tc>
        <w:tc>
          <w:tcPr>
            <w:tcW w:w="4039" w:type="dxa"/>
            <w:vAlign w:val="center"/>
          </w:tcPr>
          <w:p w14:paraId="2118D1CA" w14:textId="77777777" w:rsidR="00111EDB" w:rsidRPr="00461C16" w:rsidRDefault="00111EDB" w:rsidP="00810644">
            <w:pPr>
              <w:pStyle w:val="1text"/>
              <w:spacing w:before="40" w:after="40"/>
              <w:jc w:val="left"/>
              <w:rPr>
                <w:sz w:val="20"/>
              </w:rPr>
            </w:pPr>
            <w:r w:rsidRPr="00461C16">
              <w:rPr>
                <w:sz w:val="20"/>
              </w:rPr>
              <w:t xml:space="preserve">koordinaci není účelné řešit </w:t>
            </w:r>
          </w:p>
        </w:tc>
      </w:tr>
    </w:tbl>
    <w:p w14:paraId="1C9BC9F8" w14:textId="77777777" w:rsidR="0019194E" w:rsidRPr="00461C16" w:rsidRDefault="0019194E">
      <w:pPr>
        <w:spacing w:line="240" w:lineRule="auto"/>
        <w:jc w:val="left"/>
        <w:rPr>
          <w:rFonts w:cs="Arial"/>
          <w:b/>
          <w:bCs/>
          <w:caps/>
          <w:spacing w:val="40"/>
          <w:kern w:val="32"/>
          <w:sz w:val="30"/>
          <w:szCs w:val="32"/>
          <w:lang w:val="nl-NL"/>
        </w:rPr>
      </w:pPr>
      <w:r w:rsidRPr="00461C16">
        <w:br w:type="page"/>
      </w:r>
    </w:p>
    <w:p w14:paraId="1F9FF980" w14:textId="77777777" w:rsidR="009D4E34" w:rsidRPr="00461C16" w:rsidRDefault="00501553" w:rsidP="009D4E34">
      <w:pPr>
        <w:pStyle w:val="Heading1"/>
      </w:pPr>
      <w:bookmarkStart w:id="82" w:name="_Toc36116280"/>
      <w:r w:rsidRPr="00461C16">
        <w:lastRenderedPageBreak/>
        <w:t>5</w:t>
      </w:r>
      <w:r w:rsidR="009D4E34" w:rsidRPr="00461C16">
        <w:t>.</w:t>
      </w:r>
      <w:r w:rsidR="009D4E34" w:rsidRPr="00461C16">
        <w:tab/>
      </w:r>
      <w:bookmarkStart w:id="83" w:name="_Toc384728031"/>
      <w:r w:rsidR="009D4E34" w:rsidRPr="00461C16">
        <w:t>VÝČET ZÁLEŽITOSTÍ NADMÍSTNÍHO VÝZNAMU, KTERÉ NEJSOU ŘEŠENY V ZÁSADÁCH ÚZEMNÍHO ROZVOJE (§ 43 ODST. 1 STAVEBNÍHO ZÁKONA), S ODŮVODNĚNÍM POTŘEBY JEJICH VYMEZENÍ</w:t>
      </w:r>
      <w:bookmarkEnd w:id="76"/>
      <w:bookmarkEnd w:id="83"/>
      <w:bookmarkEnd w:id="82"/>
    </w:p>
    <w:p w14:paraId="57336523" w14:textId="77777777" w:rsidR="009D4E34" w:rsidRDefault="00C9725B" w:rsidP="009D4E34">
      <w:pPr>
        <w:pStyle w:val="1text"/>
      </w:pPr>
      <w:r>
        <w:t>V ÚP Hrádek nad Nisou nejsou vymezeny záměry</w:t>
      </w:r>
      <w:r w:rsidR="009D4E34" w:rsidRPr="00461C16">
        <w:t xml:space="preserve">, které svým významem, rozsahem nebo využitím ovlivní území více obcí, popřípadě více krajů (ekvivalent výkladu pojmu „plocha nadmístního významu“ dle § 2 odst. (1) písm. h) stavebního zákona), a které zároveň nejsou předmětem řešení ZÚR </w:t>
      </w:r>
      <w:r w:rsidR="003C0765" w:rsidRPr="00461C16">
        <w:t>Liberec</w:t>
      </w:r>
      <w:r w:rsidR="009D4E34" w:rsidRPr="00461C16">
        <w:t>kého kraje.</w:t>
      </w:r>
    </w:p>
    <w:p w14:paraId="69BBCE0C" w14:textId="77777777" w:rsidR="00D23962" w:rsidRPr="00461C16" w:rsidRDefault="00D23962">
      <w:pPr>
        <w:spacing w:line="240" w:lineRule="auto"/>
        <w:jc w:val="left"/>
        <w:rPr>
          <w:rFonts w:cs="Arial"/>
          <w:b/>
          <w:bCs/>
          <w:caps/>
          <w:spacing w:val="40"/>
          <w:kern w:val="32"/>
          <w:sz w:val="30"/>
          <w:szCs w:val="32"/>
          <w:lang w:val="nl-NL"/>
        </w:rPr>
      </w:pPr>
      <w:r w:rsidRPr="00461C16">
        <w:br w:type="page"/>
      </w:r>
    </w:p>
    <w:p w14:paraId="64DC967F" w14:textId="77777777" w:rsidR="004E1C7A" w:rsidRPr="00461C16" w:rsidRDefault="00501553" w:rsidP="007F050A">
      <w:pPr>
        <w:pStyle w:val="Heading1"/>
      </w:pPr>
      <w:bookmarkStart w:id="84" w:name="_Toc36116281"/>
      <w:r w:rsidRPr="00461C16">
        <w:lastRenderedPageBreak/>
        <w:t>6</w:t>
      </w:r>
      <w:r w:rsidR="004E1C7A" w:rsidRPr="00461C16">
        <w:t>.</w:t>
      </w:r>
      <w:r w:rsidR="004E1C7A" w:rsidRPr="00461C16">
        <w:tab/>
        <w:t>KOMPLEXNÍ ZDŮVODNĚNÍ PŘIJATÉHO ŘEŠENÍ VČETNĚ VYBRANÉ VARIANTY</w:t>
      </w:r>
      <w:bookmarkEnd w:id="54"/>
      <w:bookmarkEnd w:id="84"/>
      <w:r w:rsidR="004E1C7A" w:rsidRPr="00461C16">
        <w:t xml:space="preserve"> </w:t>
      </w:r>
      <w:bookmarkEnd w:id="55"/>
      <w:bookmarkEnd w:id="56"/>
      <w:bookmarkEnd w:id="57"/>
    </w:p>
    <w:p w14:paraId="7D8674CD" w14:textId="77777777" w:rsidR="00D10CAB" w:rsidRPr="00461C16" w:rsidRDefault="00501553" w:rsidP="00D829F9">
      <w:pPr>
        <w:pStyle w:val="Heading2"/>
        <w:ind w:left="709" w:hanging="709"/>
      </w:pPr>
      <w:bookmarkStart w:id="85" w:name="_Toc384728034"/>
      <w:bookmarkStart w:id="86" w:name="_Toc424191829"/>
      <w:bookmarkStart w:id="87" w:name="_Toc239843547"/>
      <w:bookmarkStart w:id="88" w:name="_Toc268687921"/>
      <w:bookmarkStart w:id="89" w:name="_Toc360178582"/>
      <w:bookmarkStart w:id="90" w:name="_Toc36116282"/>
      <w:r w:rsidRPr="00461C16">
        <w:t>6</w:t>
      </w:r>
      <w:r w:rsidR="004E1C7A" w:rsidRPr="00461C16">
        <w:t>.1</w:t>
      </w:r>
      <w:r w:rsidR="004E1C7A" w:rsidRPr="00461C16">
        <w:tab/>
      </w:r>
      <w:r w:rsidR="00D10CAB" w:rsidRPr="00461C16">
        <w:t xml:space="preserve">Podklady pro </w:t>
      </w:r>
      <w:r w:rsidR="00F76705" w:rsidRPr="00461C16">
        <w:t>zpracování územního plánu</w:t>
      </w:r>
      <w:bookmarkEnd w:id="90"/>
      <w:r w:rsidR="00D10CAB" w:rsidRPr="00461C16">
        <w:t xml:space="preserve"> </w:t>
      </w:r>
    </w:p>
    <w:p w14:paraId="2A3BE78B" w14:textId="77777777" w:rsidR="00FF49C7" w:rsidRPr="00461C16" w:rsidRDefault="00FF49C7" w:rsidP="00FF49C7">
      <w:pPr>
        <w:pStyle w:val="1text"/>
      </w:pPr>
      <w:r w:rsidRPr="00461C16">
        <w:t>Pro stanovení koncepce ÚP bylo využito jako základní výchozí podklad Zadání Územního plánu Hrádek nad Nisou, které bylo schváleno zastupitelstvem města Hrádek nad Nisou dne 27.2.2013 usnesením č. 2/47/ZM/13 (dále též „Zadání“).</w:t>
      </w:r>
    </w:p>
    <w:p w14:paraId="572E77C4" w14:textId="77777777" w:rsidR="00FF49C7" w:rsidRPr="00461C16" w:rsidRDefault="00FF49C7" w:rsidP="00FF49C7">
      <w:pPr>
        <w:spacing w:before="120" w:line="240" w:lineRule="auto"/>
        <w:rPr>
          <w:rFonts w:cs="Arial"/>
        </w:rPr>
      </w:pPr>
      <w:r w:rsidRPr="00461C16">
        <w:t>Požadavky Zadání byly ověřeny průzkumy a analýzami zpracovatele</w:t>
      </w:r>
      <w:r w:rsidRPr="00461C16">
        <w:rPr>
          <w:rFonts w:cs="Arial"/>
        </w:rPr>
        <w:t>.</w:t>
      </w:r>
    </w:p>
    <w:p w14:paraId="2CB583DB" w14:textId="77777777" w:rsidR="00FF49C7" w:rsidRPr="00461C16" w:rsidRDefault="00FF49C7" w:rsidP="00FF49C7">
      <w:pPr>
        <w:spacing w:before="120" w:line="240" w:lineRule="auto"/>
        <w:rPr>
          <w:rFonts w:cs="Arial"/>
        </w:rPr>
      </w:pPr>
      <w:r w:rsidRPr="00461C16">
        <w:rPr>
          <w:rFonts w:cs="Arial"/>
        </w:rPr>
        <w:t xml:space="preserve">Dalšími významnými podklady byly Územní plán sídelního útvaru Hrádek nad Nisou a jeho změny, Zásady územního rozvoje Libereckého kraje, Politika územního rozvoje ČR v aktuálním znění, Územně analytické podklady ORP Liberec (aktualizace 2016), </w:t>
      </w:r>
      <w:r w:rsidRPr="00461C16">
        <w:t>doplňující průzkumy a rozbory (ARCHTEAM ÚZEMNÍ PLÁNOVÁNÍ s.r.o., 2011) a zpracované územní studie</w:t>
      </w:r>
      <w:r w:rsidRPr="00461C16">
        <w:rPr>
          <w:rFonts w:cs="Arial"/>
        </w:rPr>
        <w:t>.</w:t>
      </w:r>
    </w:p>
    <w:p w14:paraId="4A902061" w14:textId="77777777" w:rsidR="00FF49C7" w:rsidRPr="00461C16" w:rsidRDefault="00FF49C7" w:rsidP="00FF49C7">
      <w:pPr>
        <w:spacing w:before="120" w:line="240" w:lineRule="auto"/>
        <w:rPr>
          <w:rFonts w:cs="Arial"/>
        </w:rPr>
      </w:pPr>
      <w:r w:rsidRPr="00461C16">
        <w:rPr>
          <w:rFonts w:cs="Arial"/>
        </w:rPr>
        <w:t xml:space="preserve">Při zhotovení ÚP postupoval zhotovitele v souladu s příslušnou legislativou, kterou představuje zejména: </w:t>
      </w:r>
    </w:p>
    <w:p w14:paraId="16370F71" w14:textId="77777777" w:rsidR="00FF49C7" w:rsidRPr="00461C16" w:rsidRDefault="00FF49C7" w:rsidP="00FF49C7">
      <w:pPr>
        <w:pStyle w:val="5odrazka"/>
      </w:pPr>
      <w:r w:rsidRPr="00461C16">
        <w:t xml:space="preserve">zákon č. 183/2006 Sb., o územním plánování a stavebním řádu, v platném znění (stavební zákon); </w:t>
      </w:r>
    </w:p>
    <w:p w14:paraId="59583299" w14:textId="77777777" w:rsidR="00FF49C7" w:rsidRPr="00461C16" w:rsidRDefault="00FF49C7" w:rsidP="00FF49C7">
      <w:pPr>
        <w:pStyle w:val="5odrazka"/>
      </w:pPr>
      <w:r w:rsidRPr="00461C16">
        <w:t xml:space="preserve">vyhláška č. 500/2006 Sb., o územně analytických podkladech, územně plánovací dokumentaci a způsobe evidence územně plánovací činnosti, v platném znění; </w:t>
      </w:r>
    </w:p>
    <w:p w14:paraId="2799FB8A" w14:textId="77777777" w:rsidR="00FF49C7" w:rsidRPr="00461C16" w:rsidRDefault="00FF49C7" w:rsidP="00FF49C7">
      <w:pPr>
        <w:pStyle w:val="5odrazka"/>
      </w:pPr>
      <w:r w:rsidRPr="00461C16">
        <w:t>vyhláška č. 501/2006 Sb., o obecných požadavcích na využívání území, v platném znění.</w:t>
      </w:r>
    </w:p>
    <w:p w14:paraId="59539C72" w14:textId="77777777" w:rsidR="00E60562" w:rsidRPr="00461C16" w:rsidRDefault="00FF49C7" w:rsidP="00FF49C7">
      <w:pPr>
        <w:pStyle w:val="1text"/>
      </w:pPr>
      <w:r w:rsidRPr="00461C16">
        <w:t>Jako další podklad byly využity metodické pokyny MMR ČR.</w:t>
      </w:r>
      <w:r w:rsidR="00B345B4" w:rsidRPr="00461C16">
        <w:t xml:space="preserve"> </w:t>
      </w:r>
    </w:p>
    <w:p w14:paraId="77A5ADE8" w14:textId="77777777" w:rsidR="004E1C7A" w:rsidRPr="00461C16" w:rsidRDefault="00501553" w:rsidP="00D829F9">
      <w:pPr>
        <w:pStyle w:val="Heading2"/>
        <w:ind w:left="709" w:hanging="709"/>
      </w:pPr>
      <w:bookmarkStart w:id="91" w:name="_Toc384728035"/>
      <w:bookmarkStart w:id="92" w:name="_Toc424191830"/>
      <w:bookmarkStart w:id="93" w:name="_Toc36116283"/>
      <w:bookmarkEnd w:id="85"/>
      <w:bookmarkEnd w:id="86"/>
      <w:r w:rsidRPr="00461C16">
        <w:t>6</w:t>
      </w:r>
      <w:r w:rsidR="004E1C7A" w:rsidRPr="00461C16">
        <w:t>.</w:t>
      </w:r>
      <w:r w:rsidR="001119D3" w:rsidRPr="00461C16">
        <w:t>2</w:t>
      </w:r>
      <w:r w:rsidR="004E1C7A" w:rsidRPr="00461C16">
        <w:tab/>
      </w:r>
      <w:r w:rsidR="007967AA" w:rsidRPr="00461C16">
        <w:t>V</w:t>
      </w:r>
      <w:r w:rsidR="004E1C7A" w:rsidRPr="00461C16">
        <w:t>ymezení zastavěného území</w:t>
      </w:r>
      <w:bookmarkEnd w:id="91"/>
      <w:bookmarkEnd w:id="92"/>
      <w:bookmarkEnd w:id="93"/>
    </w:p>
    <w:p w14:paraId="2A0D9E16" w14:textId="77777777" w:rsidR="004E1C7A" w:rsidRPr="00461C16" w:rsidRDefault="004E1C7A" w:rsidP="007F050A">
      <w:pPr>
        <w:pStyle w:val="1text"/>
        <w:rPr>
          <w:i/>
        </w:rPr>
      </w:pPr>
      <w:r w:rsidRPr="00461C16">
        <w:rPr>
          <w:i/>
          <w:sz w:val="20"/>
          <w:szCs w:val="20"/>
        </w:rPr>
        <w:t>(k bod</w:t>
      </w:r>
      <w:r w:rsidR="00AE6EBC" w:rsidRPr="00461C16">
        <w:rPr>
          <w:i/>
          <w:sz w:val="20"/>
          <w:szCs w:val="20"/>
        </w:rPr>
        <w:t xml:space="preserve">u </w:t>
      </w:r>
      <w:r w:rsidR="001119D3" w:rsidRPr="00461C16">
        <w:rPr>
          <w:i/>
          <w:sz w:val="20"/>
          <w:szCs w:val="20"/>
        </w:rPr>
        <w:t>A</w:t>
      </w:r>
      <w:r w:rsidRPr="00461C16">
        <w:rPr>
          <w:i/>
          <w:sz w:val="20"/>
          <w:szCs w:val="20"/>
        </w:rPr>
        <w:t>01</w:t>
      </w:r>
      <w:r w:rsidR="00AE6EBC" w:rsidRPr="00461C16">
        <w:rPr>
          <w:i/>
          <w:sz w:val="20"/>
          <w:szCs w:val="20"/>
        </w:rPr>
        <w:t xml:space="preserve"> </w:t>
      </w:r>
      <w:r w:rsidR="00495555" w:rsidRPr="00461C16">
        <w:rPr>
          <w:i/>
          <w:sz w:val="20"/>
          <w:szCs w:val="20"/>
        </w:rPr>
        <w:t>ÚP</w:t>
      </w:r>
      <w:r w:rsidR="001119D3" w:rsidRPr="00461C16">
        <w:rPr>
          <w:i/>
        </w:rPr>
        <w:t>)</w:t>
      </w:r>
      <w:r w:rsidR="00B345B4" w:rsidRPr="00461C16">
        <w:rPr>
          <w:i/>
        </w:rPr>
        <w:t xml:space="preserve"> </w:t>
      </w:r>
    </w:p>
    <w:p w14:paraId="67766EC2" w14:textId="46ECA3BD" w:rsidR="004E1C7A" w:rsidRPr="00461C16" w:rsidRDefault="00FF49C7" w:rsidP="007F050A">
      <w:pPr>
        <w:tabs>
          <w:tab w:val="num" w:pos="0"/>
        </w:tabs>
        <w:spacing w:before="120" w:after="120" w:line="240" w:lineRule="auto"/>
        <w:rPr>
          <w:rFonts w:cs="Arial"/>
        </w:rPr>
      </w:pPr>
      <w:r w:rsidRPr="00461C16">
        <w:rPr>
          <w:rFonts w:cs="Arial"/>
        </w:rPr>
        <w:t xml:space="preserve">Hranice zastavěného území je vymezena ke dni </w:t>
      </w:r>
      <w:r w:rsidR="00280DE7">
        <w:rPr>
          <w:rStyle w:val="NvrhP-text"/>
          <w:rFonts w:cs="Arial"/>
        </w:rPr>
        <w:t>1</w:t>
      </w:r>
      <w:r w:rsidR="00280DE7" w:rsidRPr="00461C16">
        <w:rPr>
          <w:rStyle w:val="NvrhP-text"/>
          <w:rFonts w:cs="Arial"/>
        </w:rPr>
        <w:t>1</w:t>
      </w:r>
      <w:r w:rsidRPr="00461C16">
        <w:rPr>
          <w:rStyle w:val="NvrhP-text"/>
          <w:rFonts w:cs="Arial"/>
        </w:rPr>
        <w:t xml:space="preserve">. </w:t>
      </w:r>
      <w:r w:rsidR="00280DE7">
        <w:rPr>
          <w:rStyle w:val="NvrhP-text"/>
          <w:rFonts w:cs="Arial"/>
        </w:rPr>
        <w:t>1</w:t>
      </w:r>
      <w:r w:rsidRPr="00461C16">
        <w:rPr>
          <w:rStyle w:val="NvrhP-text"/>
          <w:rFonts w:cs="Arial"/>
        </w:rPr>
        <w:t xml:space="preserve">1. </w:t>
      </w:r>
      <w:r w:rsidR="0003394A" w:rsidRPr="00461C16">
        <w:rPr>
          <w:rStyle w:val="NvrhP-text"/>
          <w:rFonts w:cs="Arial"/>
        </w:rPr>
        <w:t>201</w:t>
      </w:r>
      <w:r w:rsidR="00BB31E3">
        <w:rPr>
          <w:rStyle w:val="NvrhP-text"/>
          <w:rFonts w:cs="Arial"/>
        </w:rPr>
        <w:t>9</w:t>
      </w:r>
      <w:r w:rsidRPr="00461C16">
        <w:rPr>
          <w:rFonts w:cs="Arial"/>
        </w:rPr>
        <w:t>. Vymezení bylo provedeno dle § 58 stavebního zákona, v rozsahu celého správního území města.</w:t>
      </w:r>
    </w:p>
    <w:p w14:paraId="4583EE3B" w14:textId="77777777" w:rsidR="004E1C7A" w:rsidRPr="00461C16" w:rsidRDefault="00501553" w:rsidP="00D212A7">
      <w:pPr>
        <w:pStyle w:val="Heading2"/>
        <w:ind w:left="709" w:hanging="709"/>
      </w:pPr>
      <w:bookmarkStart w:id="94" w:name="_Toc384728036"/>
      <w:bookmarkStart w:id="95" w:name="_Toc424191831"/>
      <w:bookmarkStart w:id="96" w:name="_Toc36116284"/>
      <w:r w:rsidRPr="00461C16">
        <w:t>6</w:t>
      </w:r>
      <w:r w:rsidR="004E1C7A" w:rsidRPr="00461C16">
        <w:t>.3</w:t>
      </w:r>
      <w:r w:rsidR="004E1C7A" w:rsidRPr="00461C16">
        <w:tab/>
        <w:t>Základní koncepce rozvoje území obce, ochrany a rozvoje jeho hodnot</w:t>
      </w:r>
      <w:bookmarkEnd w:id="94"/>
      <w:bookmarkEnd w:id="95"/>
      <w:bookmarkEnd w:id="96"/>
    </w:p>
    <w:p w14:paraId="71571A88" w14:textId="77777777" w:rsidR="002A2AF3" w:rsidRPr="00461C16" w:rsidRDefault="00501553" w:rsidP="002A2AF3">
      <w:pPr>
        <w:pStyle w:val="Heading3"/>
        <w:rPr>
          <w:rStyle w:val="NvrhP-text"/>
          <w:lang w:eastAsia="en-US"/>
        </w:rPr>
      </w:pPr>
      <w:bookmarkStart w:id="97" w:name="_Toc268687926"/>
      <w:bookmarkStart w:id="98" w:name="_Toc424191832"/>
      <w:bookmarkStart w:id="99" w:name="_Toc268687925"/>
      <w:bookmarkStart w:id="100" w:name="_Toc360178589"/>
      <w:bookmarkStart w:id="101" w:name="_Toc239843551"/>
      <w:bookmarkStart w:id="102" w:name="_Toc36116285"/>
      <w:bookmarkEnd w:id="87"/>
      <w:bookmarkEnd w:id="88"/>
      <w:bookmarkEnd w:id="89"/>
      <w:r w:rsidRPr="00461C16">
        <w:rPr>
          <w:rStyle w:val="NvrhP-text"/>
          <w:lang w:eastAsia="en-US"/>
        </w:rPr>
        <w:t>6</w:t>
      </w:r>
      <w:r w:rsidR="002A2AF3" w:rsidRPr="00461C16">
        <w:rPr>
          <w:rStyle w:val="NvrhP-text"/>
          <w:lang w:eastAsia="en-US"/>
        </w:rPr>
        <w:t>.3.1</w:t>
      </w:r>
      <w:r w:rsidR="002A2AF3" w:rsidRPr="00461C16">
        <w:rPr>
          <w:rStyle w:val="NvrhP-text"/>
          <w:lang w:eastAsia="en-US"/>
        </w:rPr>
        <w:tab/>
        <w:t xml:space="preserve">Základní koncepce rozvoje území </w:t>
      </w:r>
      <w:bookmarkEnd w:id="97"/>
      <w:r w:rsidR="00D212A7" w:rsidRPr="00461C16">
        <w:rPr>
          <w:rStyle w:val="NvrhP-text"/>
          <w:lang w:eastAsia="en-US"/>
        </w:rPr>
        <w:t>města</w:t>
      </w:r>
      <w:bookmarkEnd w:id="102"/>
    </w:p>
    <w:p w14:paraId="35A1D016" w14:textId="77777777" w:rsidR="002A2AF3" w:rsidRPr="00461C16" w:rsidRDefault="002A2AF3" w:rsidP="002A2AF3">
      <w:pPr>
        <w:rPr>
          <w:rStyle w:val="NvrhP-text"/>
          <w:i/>
          <w:sz w:val="20"/>
          <w:szCs w:val="20"/>
        </w:rPr>
      </w:pPr>
      <w:r w:rsidRPr="00461C16">
        <w:rPr>
          <w:rStyle w:val="NvrhP-text"/>
          <w:i/>
          <w:sz w:val="20"/>
          <w:szCs w:val="20"/>
        </w:rPr>
        <w:t>(k bodu B01 ÚP)</w:t>
      </w:r>
    </w:p>
    <w:p w14:paraId="1BB8BF6D" w14:textId="77777777" w:rsidR="00FF49C7" w:rsidRPr="00461C16" w:rsidRDefault="00FF49C7" w:rsidP="00FF49C7">
      <w:pPr>
        <w:spacing w:before="240" w:line="240" w:lineRule="auto"/>
        <w:rPr>
          <w:b/>
          <w:lang w:eastAsia="cs-CZ"/>
        </w:rPr>
      </w:pPr>
      <w:r w:rsidRPr="00461C16">
        <w:rPr>
          <w:b/>
          <w:lang w:eastAsia="cs-CZ"/>
        </w:rPr>
        <w:t>Podklady</w:t>
      </w:r>
    </w:p>
    <w:p w14:paraId="19946D80" w14:textId="77777777" w:rsidR="00FF49C7" w:rsidRPr="00461C16" w:rsidRDefault="00FF49C7" w:rsidP="00FF49C7">
      <w:pPr>
        <w:spacing w:before="120" w:line="240" w:lineRule="auto"/>
      </w:pPr>
      <w:r w:rsidRPr="00461C16">
        <w:t xml:space="preserve">Definice koncepce rozvoje města v Návrhu ÚP vychází z reálného stavu města, jeho pozice v sídelní struktuře kraje, vazeb na další území a rozvojových předpokladů kraje a města. </w:t>
      </w:r>
    </w:p>
    <w:p w14:paraId="6E39841D" w14:textId="77777777" w:rsidR="00FF49C7" w:rsidRPr="00461C16" w:rsidRDefault="00FF49C7" w:rsidP="00FF49C7">
      <w:pPr>
        <w:spacing w:before="120" w:line="240" w:lineRule="auto"/>
        <w:rPr>
          <w:b/>
          <w:i/>
        </w:rPr>
      </w:pPr>
      <w:r w:rsidRPr="00461C16">
        <w:rPr>
          <w:b/>
          <w:i/>
        </w:rPr>
        <w:t>I.</w:t>
      </w:r>
      <w:r w:rsidRPr="00461C16">
        <w:rPr>
          <w:b/>
          <w:i/>
        </w:rPr>
        <w:tab/>
        <w:t xml:space="preserve">Analýza současného stavu </w:t>
      </w:r>
    </w:p>
    <w:p w14:paraId="2F8E4AB7" w14:textId="77777777" w:rsidR="00FF49C7" w:rsidRPr="00461C16" w:rsidRDefault="00FF49C7" w:rsidP="00FF49C7">
      <w:pPr>
        <w:pStyle w:val="1odstavec"/>
        <w:rPr>
          <w:szCs w:val="22"/>
          <w:lang w:eastAsia="cs-CZ"/>
        </w:rPr>
      </w:pPr>
      <w:r w:rsidRPr="00461C16">
        <w:rPr>
          <w:szCs w:val="22"/>
          <w:lang w:eastAsia="cs-CZ"/>
        </w:rPr>
        <w:t xml:space="preserve">Město Hrádek nad Nisou se nachází v severní části Libereckého kraje, rozloha území je </w:t>
      </w:r>
      <w:r w:rsidRPr="00461C16">
        <w:rPr>
          <w:rFonts w:cs="Arial"/>
          <w:szCs w:val="22"/>
          <w:lang w:eastAsia="cs-CZ"/>
        </w:rPr>
        <w:t>4 854 ha, k 1.1.2016 zde žilo 7 626 obyvatel. Průměrná nadmořská výška města je 255 m n.m</w:t>
      </w:r>
      <w:r w:rsidRPr="00461C16">
        <w:rPr>
          <w:szCs w:val="22"/>
          <w:lang w:eastAsia="cs-CZ"/>
        </w:rPr>
        <w:t xml:space="preserve">. </w:t>
      </w:r>
    </w:p>
    <w:p w14:paraId="00D523D4" w14:textId="77777777" w:rsidR="00FF49C7" w:rsidRPr="00461C16" w:rsidRDefault="00FF49C7" w:rsidP="00FF49C7">
      <w:pPr>
        <w:spacing w:before="120" w:after="120"/>
      </w:pPr>
      <w:r w:rsidRPr="00461C16">
        <w:t xml:space="preserve">Vzhledem ke značnému rozsahu je území morfologicky členité a krajinářsky různorodé. Jádro města a severojižní osa toku Lužické Nisy tvoří předěl mezi hornatou západní částí Lužických hor s vysokým podílem lesů a rovinatou východní části Žitavské pánve s převahou zemědělsky využívané půdy. </w:t>
      </w:r>
    </w:p>
    <w:p w14:paraId="0BCC2B39" w14:textId="7F525376" w:rsidR="00FF49C7" w:rsidRPr="00461C16" w:rsidRDefault="00FF49C7" w:rsidP="00FF49C7">
      <w:pPr>
        <w:pStyle w:val="1odstavec"/>
      </w:pPr>
      <w:r w:rsidRPr="00461C16">
        <w:t xml:space="preserve">Město Hrádek nad Nisou lze zařadit mezi střední centra osídlení. Význam i charakter města je ovlivněn blízkostí města Liberec (20 km), které představuje pro Hrádek nad Nisou spádové a nadřazené sídlo s širokou nabídkou občanského vybavení na nadmístní úrovni, v druhé řadě pak poloha na státní hranici s Polskem a Německem a na mezinárodně významné dopravní trase. Právě strategická poloha povyšuje město Hrádek nad Nisou a atraktivní lokalitu pro podnikání, blízkost atraktivního krajinného zázemí výrazně posiluje i potenciál města pro rozvoj bydlení, rekreace a cestovního ruchu. </w:t>
      </w:r>
    </w:p>
    <w:p w14:paraId="32A2EDD2" w14:textId="77777777" w:rsidR="00FF49C7" w:rsidRPr="00461C16" w:rsidRDefault="00FF49C7" w:rsidP="00FF49C7">
      <w:pPr>
        <w:spacing w:before="80" w:after="80" w:line="240" w:lineRule="auto"/>
      </w:pPr>
      <w:r w:rsidRPr="00461C16">
        <w:lastRenderedPageBreak/>
        <w:t>Město leží na silnici I/35, která patří mezi páteřní celostátní silnice a propojuje významná centra v 6 krajích České republiky, s přeshraniční vazbou, a rovněž v blízkosti silnice I/13. Město je zároveň dostupné železniční dopravou. Územím města Hrádek nad Nisou je vedena celostátní železniční trať č. 089 Liberec – Hrádek nad Nisou – Zittau – Varnsdorf (Seifhennersdorf) – Rybniště. Tato trať zajišťuje spojení severní části Libereckého kraje s nejen s Německem, ale i Ústeckým krajem.</w:t>
      </w:r>
    </w:p>
    <w:p w14:paraId="2F8A548A" w14:textId="77777777" w:rsidR="00FF49C7" w:rsidRPr="00461C16" w:rsidRDefault="00FF49C7" w:rsidP="00FF49C7">
      <w:pPr>
        <w:pStyle w:val="1odstavec"/>
        <w:rPr>
          <w:rStyle w:val="NvrhP-text"/>
        </w:rPr>
      </w:pPr>
      <w:r w:rsidRPr="00461C16">
        <w:rPr>
          <w:szCs w:val="22"/>
        </w:rPr>
        <w:t>Sídelní struktura města je roztříštěná</w:t>
      </w:r>
      <w:r w:rsidRPr="00461C16">
        <w:rPr>
          <w:lang w:eastAsia="cs-CZ"/>
        </w:rPr>
        <w:t xml:space="preserve">, území města je tvořeno devíti samostatnými sídly (Hrádek nad Nisou, Dolní Sedlo, Horní Sedlo, Dolní Suchá, Donín, Loučná, Oldřichov na Hranicích, Uhelná a Václavice u Hrádku nad Nisou), které jsou prostorově oddělené, s výjimkou centrální části Hrádek nad Nisou, postupně již prorůstající do částí Loučná a Donín. </w:t>
      </w:r>
      <w:r w:rsidRPr="00461C16">
        <w:rPr>
          <w:szCs w:val="22"/>
        </w:rPr>
        <w:t>Ostatní části města jsou prostorově izolované, oddělené od vnitřní části Hrádku n.N. prstencem volné krajiny a napojené prostřednictvím radiálních komunikací. Byť se z administrativního hlediska jedná o součást města, tyto části mají charakter samostatných venkovských sídel a jsou plně závislé na centru města.</w:t>
      </w:r>
    </w:p>
    <w:p w14:paraId="68D9F9A6" w14:textId="77777777" w:rsidR="00FF49C7" w:rsidRPr="00461C16" w:rsidRDefault="00FF49C7" w:rsidP="00FF49C7">
      <w:pPr>
        <w:pStyle w:val="1odstavec"/>
      </w:pPr>
      <w:r w:rsidRPr="00461C16">
        <w:t>Jednotlivé části města jsou s výjimkou Loučné a Dolní Suché relativně kompaktní, bez významnějšího počtu solitérních staveb ve volné krajině.</w:t>
      </w:r>
      <w:r w:rsidR="00B345B4" w:rsidRPr="00461C16">
        <w:t xml:space="preserve"> </w:t>
      </w:r>
      <w:r w:rsidRPr="00461C16">
        <w:t xml:space="preserve">Významnou součástí města jsou i průmyslové areály, které byly zakládány zejména v 19. století podél toku Lužické Nisy, často v izolované poloze od zástavby města. </w:t>
      </w:r>
    </w:p>
    <w:p w14:paraId="0D4B50C1" w14:textId="77777777" w:rsidR="00C835D6" w:rsidRPr="00461C16" w:rsidRDefault="00FF49C7" w:rsidP="00FF49C7">
      <w:pPr>
        <w:pStyle w:val="1odstavec"/>
      </w:pPr>
      <w:r w:rsidRPr="00461C16">
        <w:t>Část Hrádek nad Nisou jako těžiště celého území města poskytuje nezbytná zařízení občanského vybavení – pro správu, obchod, služby, kulturu a vzdělávání, tělovýchovu a sport. Z hlediska veřejné infrastruktury a služeb jsou dalšími významnými částmi města Loučná a Donín, představující smíšenou zástavbu kombinující bydlení, výrobu i drobné živnostenské provozy. V dalších částech již převažuje rezidenční funkce a výrazně se navyšuje i podíl rekreačního bydlení.</w:t>
      </w:r>
      <w:r w:rsidR="00A95F93" w:rsidRPr="00461C16">
        <w:t xml:space="preserve"> </w:t>
      </w:r>
    </w:p>
    <w:p w14:paraId="1D65A613" w14:textId="77777777" w:rsidR="00AD6EAB" w:rsidRPr="00461C16" w:rsidRDefault="00AD6EAB" w:rsidP="002A2AF3">
      <w:pPr>
        <w:rPr>
          <w:lang w:eastAsia="cs-CZ"/>
        </w:rPr>
      </w:pPr>
    </w:p>
    <w:p w14:paraId="5FA0F5F3" w14:textId="77777777" w:rsidR="00A51B24" w:rsidRPr="00461C16" w:rsidRDefault="00A51B24" w:rsidP="00A51B24">
      <w:pPr>
        <w:rPr>
          <w:rStyle w:val="NvrhP-text"/>
        </w:rPr>
      </w:pPr>
      <w:r w:rsidRPr="00461C16">
        <w:rPr>
          <w:rStyle w:val="NvrhP-text"/>
        </w:rPr>
        <w:t>Pro návrh ÚP jsou podstatné i sociodemografické ukazatele. V rámci zpracování ÚP byl analyzován počet obyvatel, přirozený přírůstek, saldo migrace, celkový pohyb obyvatel, index stáří (</w:t>
      </w:r>
      <w:r w:rsidRPr="00461C16">
        <w:rPr>
          <w:rFonts w:cs="Arial"/>
        </w:rPr>
        <w:t xml:space="preserve">počet obyvatel 65 a více let / počet obyvatel do 14 let * 100), průměrný věk, </w:t>
      </w:r>
      <w:r w:rsidRPr="00461C16">
        <w:rPr>
          <w:rStyle w:val="NvrhP-text"/>
        </w:rPr>
        <w:t>nezaměstnanost a počet dokončených bytů a vývoj těchto ukazatelů v letech 2007 - 2016. Pro analýzy byly použity údaje Českého statistického úřadu.</w:t>
      </w:r>
    </w:p>
    <w:p w14:paraId="3D085D52" w14:textId="77777777" w:rsidR="00A51B24" w:rsidRPr="00461C16" w:rsidRDefault="00A51B24" w:rsidP="00A51B24">
      <w:pPr>
        <w:spacing w:before="120" w:after="120"/>
        <w:rPr>
          <w:rStyle w:val="NvrhP-text"/>
        </w:rPr>
      </w:pPr>
      <w:r w:rsidRPr="00461C16">
        <w:rPr>
          <w:rStyle w:val="NvrhP-text"/>
        </w:rPr>
        <w:t>V dlouhodobém měřítku zaznamenalo město Hrádek nad Nisou ztrátu počtu obyvatel mezi roky 1980 a 1991 následně počet obyvatel zase rostl i přesto, že mezi posledními sčítání narost počet obyvatel pouze o 12 obyvatel. Tento vývoj v desetiletých intervalech zobrazuje následující tabulka:</w:t>
      </w:r>
    </w:p>
    <w:tbl>
      <w:tblP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000" w:firstRow="0" w:lastRow="0" w:firstColumn="0" w:lastColumn="0" w:noHBand="0" w:noVBand="0"/>
      </w:tblPr>
      <w:tblGrid>
        <w:gridCol w:w="1737"/>
        <w:gridCol w:w="1244"/>
        <w:gridCol w:w="1246"/>
        <w:gridCol w:w="1246"/>
        <w:gridCol w:w="1246"/>
        <w:gridCol w:w="1246"/>
        <w:gridCol w:w="1246"/>
      </w:tblGrid>
      <w:tr w:rsidR="00A51B24" w:rsidRPr="00461C16" w14:paraId="31337D11" w14:textId="77777777" w:rsidTr="004B2D25">
        <w:trPr>
          <w:trHeight w:val="278"/>
        </w:trPr>
        <w:tc>
          <w:tcPr>
            <w:tcW w:w="1737" w:type="dxa"/>
            <w:shd w:val="clear" w:color="auto" w:fill="F2F2F2" w:themeFill="background1" w:themeFillShade="F2"/>
          </w:tcPr>
          <w:p w14:paraId="04F0D7CD" w14:textId="77777777" w:rsidR="00A51B24" w:rsidRPr="000138DD" w:rsidRDefault="00A51B24" w:rsidP="00347912">
            <w:pPr>
              <w:rPr>
                <w:rStyle w:val="NvrhP-text"/>
                <w:b/>
                <w:sz w:val="20"/>
                <w:szCs w:val="20"/>
              </w:rPr>
            </w:pPr>
            <w:r w:rsidRPr="000138DD">
              <w:rPr>
                <w:rStyle w:val="NvrhP-text"/>
                <w:b/>
                <w:sz w:val="20"/>
                <w:szCs w:val="20"/>
              </w:rPr>
              <w:t>Rok</w:t>
            </w:r>
          </w:p>
        </w:tc>
        <w:tc>
          <w:tcPr>
            <w:tcW w:w="1244" w:type="dxa"/>
            <w:shd w:val="clear" w:color="auto" w:fill="F2F2F2" w:themeFill="background1" w:themeFillShade="F2"/>
          </w:tcPr>
          <w:p w14:paraId="2693921D" w14:textId="77777777" w:rsidR="00A51B24" w:rsidRPr="000138DD" w:rsidRDefault="00A51B24" w:rsidP="00347912">
            <w:pPr>
              <w:jc w:val="center"/>
              <w:rPr>
                <w:rStyle w:val="NvrhP-text"/>
                <w:b/>
                <w:sz w:val="20"/>
                <w:szCs w:val="20"/>
              </w:rPr>
            </w:pPr>
            <w:r w:rsidRPr="000138DD">
              <w:rPr>
                <w:rStyle w:val="NvrhP-text"/>
                <w:b/>
                <w:sz w:val="20"/>
                <w:szCs w:val="20"/>
              </w:rPr>
              <w:t>1970</w:t>
            </w:r>
          </w:p>
        </w:tc>
        <w:tc>
          <w:tcPr>
            <w:tcW w:w="1246" w:type="dxa"/>
            <w:shd w:val="clear" w:color="auto" w:fill="F2F2F2" w:themeFill="background1" w:themeFillShade="F2"/>
          </w:tcPr>
          <w:p w14:paraId="065936AF" w14:textId="77777777" w:rsidR="00A51B24" w:rsidRPr="000138DD" w:rsidRDefault="00A51B24" w:rsidP="00347912">
            <w:pPr>
              <w:jc w:val="center"/>
              <w:rPr>
                <w:rStyle w:val="NvrhP-text"/>
                <w:b/>
                <w:sz w:val="20"/>
                <w:szCs w:val="20"/>
              </w:rPr>
            </w:pPr>
            <w:r w:rsidRPr="000138DD">
              <w:rPr>
                <w:rStyle w:val="NvrhP-text"/>
                <w:b/>
                <w:sz w:val="20"/>
                <w:szCs w:val="20"/>
              </w:rPr>
              <w:t>1980</w:t>
            </w:r>
          </w:p>
        </w:tc>
        <w:tc>
          <w:tcPr>
            <w:tcW w:w="1246" w:type="dxa"/>
            <w:shd w:val="clear" w:color="auto" w:fill="F2F2F2" w:themeFill="background1" w:themeFillShade="F2"/>
          </w:tcPr>
          <w:p w14:paraId="27938A61" w14:textId="77777777" w:rsidR="00A51B24" w:rsidRPr="000138DD" w:rsidRDefault="00A51B24" w:rsidP="00347912">
            <w:pPr>
              <w:jc w:val="center"/>
              <w:rPr>
                <w:rStyle w:val="NvrhP-text"/>
                <w:b/>
                <w:sz w:val="20"/>
                <w:szCs w:val="20"/>
              </w:rPr>
            </w:pPr>
            <w:r w:rsidRPr="000138DD">
              <w:rPr>
                <w:rStyle w:val="NvrhP-text"/>
                <w:b/>
                <w:sz w:val="20"/>
                <w:szCs w:val="20"/>
              </w:rPr>
              <w:t>1991</w:t>
            </w:r>
          </w:p>
        </w:tc>
        <w:tc>
          <w:tcPr>
            <w:tcW w:w="1246" w:type="dxa"/>
            <w:shd w:val="clear" w:color="auto" w:fill="F2F2F2" w:themeFill="background1" w:themeFillShade="F2"/>
          </w:tcPr>
          <w:p w14:paraId="6230648F" w14:textId="77777777" w:rsidR="00A51B24" w:rsidRPr="000138DD" w:rsidRDefault="00A51B24" w:rsidP="00347912">
            <w:pPr>
              <w:jc w:val="center"/>
              <w:rPr>
                <w:rStyle w:val="NvrhP-text"/>
                <w:b/>
                <w:sz w:val="20"/>
                <w:szCs w:val="20"/>
              </w:rPr>
            </w:pPr>
            <w:r w:rsidRPr="000138DD">
              <w:rPr>
                <w:rStyle w:val="NvrhP-text"/>
                <w:b/>
                <w:sz w:val="20"/>
                <w:szCs w:val="20"/>
              </w:rPr>
              <w:t>2001</w:t>
            </w:r>
          </w:p>
        </w:tc>
        <w:tc>
          <w:tcPr>
            <w:tcW w:w="1246" w:type="dxa"/>
            <w:shd w:val="clear" w:color="auto" w:fill="F2F2F2" w:themeFill="background1" w:themeFillShade="F2"/>
          </w:tcPr>
          <w:p w14:paraId="758E9A10" w14:textId="77777777" w:rsidR="00A51B24" w:rsidRPr="000138DD" w:rsidRDefault="00A51B24" w:rsidP="00347912">
            <w:pPr>
              <w:jc w:val="center"/>
              <w:rPr>
                <w:rStyle w:val="NvrhP-text"/>
                <w:b/>
                <w:sz w:val="20"/>
                <w:szCs w:val="20"/>
              </w:rPr>
            </w:pPr>
            <w:r w:rsidRPr="000138DD">
              <w:rPr>
                <w:rStyle w:val="NvrhP-text"/>
                <w:b/>
                <w:sz w:val="20"/>
                <w:szCs w:val="20"/>
              </w:rPr>
              <w:t>2011</w:t>
            </w:r>
          </w:p>
        </w:tc>
        <w:tc>
          <w:tcPr>
            <w:tcW w:w="1246" w:type="dxa"/>
            <w:shd w:val="clear" w:color="auto" w:fill="F2F2F2" w:themeFill="background1" w:themeFillShade="F2"/>
          </w:tcPr>
          <w:p w14:paraId="7AB94907" w14:textId="77777777" w:rsidR="00A51B24" w:rsidRPr="000138DD" w:rsidRDefault="00A51B24" w:rsidP="00347912">
            <w:pPr>
              <w:jc w:val="center"/>
              <w:rPr>
                <w:rStyle w:val="NvrhP-text"/>
                <w:b/>
                <w:sz w:val="20"/>
                <w:szCs w:val="20"/>
              </w:rPr>
            </w:pPr>
            <w:r w:rsidRPr="000138DD">
              <w:rPr>
                <w:rStyle w:val="NvrhP-text"/>
                <w:b/>
                <w:sz w:val="20"/>
                <w:szCs w:val="20"/>
              </w:rPr>
              <w:t>2016</w:t>
            </w:r>
          </w:p>
        </w:tc>
      </w:tr>
      <w:tr w:rsidR="00A51B24" w:rsidRPr="00461C16" w14:paraId="35C18245" w14:textId="77777777" w:rsidTr="00347912">
        <w:trPr>
          <w:trHeight w:val="278"/>
        </w:trPr>
        <w:tc>
          <w:tcPr>
            <w:tcW w:w="1737" w:type="dxa"/>
          </w:tcPr>
          <w:p w14:paraId="1F51C1D4" w14:textId="77777777" w:rsidR="00A51B24" w:rsidRPr="000138DD" w:rsidRDefault="00A51B24" w:rsidP="00347912">
            <w:pPr>
              <w:rPr>
                <w:rStyle w:val="NvrhP-text"/>
                <w:b/>
                <w:sz w:val="20"/>
                <w:szCs w:val="20"/>
              </w:rPr>
            </w:pPr>
            <w:r w:rsidRPr="000138DD">
              <w:rPr>
                <w:rStyle w:val="NvrhP-text"/>
                <w:b/>
                <w:sz w:val="20"/>
                <w:szCs w:val="20"/>
              </w:rPr>
              <w:t>počet obyvatel</w:t>
            </w:r>
          </w:p>
        </w:tc>
        <w:tc>
          <w:tcPr>
            <w:tcW w:w="1244" w:type="dxa"/>
          </w:tcPr>
          <w:p w14:paraId="1E85B4E4" w14:textId="77777777" w:rsidR="00A51B24" w:rsidRPr="000138DD" w:rsidRDefault="00A51B24" w:rsidP="00347912">
            <w:pPr>
              <w:jc w:val="center"/>
              <w:rPr>
                <w:rStyle w:val="NvrhP-text"/>
                <w:sz w:val="20"/>
                <w:szCs w:val="20"/>
              </w:rPr>
            </w:pPr>
            <w:r w:rsidRPr="000138DD">
              <w:rPr>
                <w:rStyle w:val="NvrhP-text"/>
                <w:sz w:val="20"/>
                <w:szCs w:val="20"/>
              </w:rPr>
              <w:t>7581</w:t>
            </w:r>
          </w:p>
        </w:tc>
        <w:tc>
          <w:tcPr>
            <w:tcW w:w="1246" w:type="dxa"/>
          </w:tcPr>
          <w:p w14:paraId="0A793E43" w14:textId="77777777" w:rsidR="00A51B24" w:rsidRPr="000138DD" w:rsidRDefault="00A51B24" w:rsidP="00347912">
            <w:pPr>
              <w:jc w:val="center"/>
              <w:rPr>
                <w:rStyle w:val="NvrhP-text"/>
                <w:sz w:val="20"/>
                <w:szCs w:val="20"/>
              </w:rPr>
            </w:pPr>
            <w:r w:rsidRPr="000138DD">
              <w:rPr>
                <w:rStyle w:val="NvrhP-text"/>
                <w:sz w:val="20"/>
                <w:szCs w:val="20"/>
              </w:rPr>
              <w:t>7836</w:t>
            </w:r>
          </w:p>
        </w:tc>
        <w:tc>
          <w:tcPr>
            <w:tcW w:w="1246" w:type="dxa"/>
          </w:tcPr>
          <w:p w14:paraId="685642FD" w14:textId="77777777" w:rsidR="00A51B24" w:rsidRPr="000138DD" w:rsidRDefault="00A51B24" w:rsidP="00347912">
            <w:pPr>
              <w:jc w:val="center"/>
              <w:rPr>
                <w:rStyle w:val="NvrhP-text"/>
                <w:sz w:val="20"/>
                <w:szCs w:val="20"/>
              </w:rPr>
            </w:pPr>
            <w:r w:rsidRPr="000138DD">
              <w:rPr>
                <w:rStyle w:val="NvrhP-text"/>
                <w:sz w:val="20"/>
                <w:szCs w:val="20"/>
              </w:rPr>
              <w:t>7112</w:t>
            </w:r>
          </w:p>
        </w:tc>
        <w:tc>
          <w:tcPr>
            <w:tcW w:w="1246" w:type="dxa"/>
          </w:tcPr>
          <w:p w14:paraId="5054DC05" w14:textId="77777777" w:rsidR="00A51B24" w:rsidRPr="000138DD" w:rsidRDefault="00A51B24" w:rsidP="00347912">
            <w:pPr>
              <w:jc w:val="center"/>
              <w:rPr>
                <w:rStyle w:val="NvrhP-text"/>
                <w:sz w:val="20"/>
                <w:szCs w:val="20"/>
              </w:rPr>
            </w:pPr>
            <w:r w:rsidRPr="000138DD">
              <w:rPr>
                <w:rStyle w:val="NvrhP-text"/>
                <w:sz w:val="20"/>
                <w:szCs w:val="20"/>
              </w:rPr>
              <w:t>7277</w:t>
            </w:r>
          </w:p>
        </w:tc>
        <w:tc>
          <w:tcPr>
            <w:tcW w:w="1246" w:type="dxa"/>
          </w:tcPr>
          <w:p w14:paraId="62898C2C" w14:textId="77777777" w:rsidR="00A51B24" w:rsidRPr="000138DD" w:rsidRDefault="00A51B24" w:rsidP="00347912">
            <w:pPr>
              <w:jc w:val="center"/>
              <w:rPr>
                <w:rStyle w:val="NvrhP-text"/>
                <w:sz w:val="20"/>
                <w:szCs w:val="20"/>
              </w:rPr>
            </w:pPr>
            <w:r w:rsidRPr="000138DD">
              <w:rPr>
                <w:rStyle w:val="NvrhP-text"/>
                <w:sz w:val="20"/>
                <w:szCs w:val="20"/>
              </w:rPr>
              <w:t>7633</w:t>
            </w:r>
          </w:p>
        </w:tc>
        <w:tc>
          <w:tcPr>
            <w:tcW w:w="1246" w:type="dxa"/>
          </w:tcPr>
          <w:p w14:paraId="51D36473" w14:textId="77777777" w:rsidR="00A51B24" w:rsidRPr="000138DD" w:rsidRDefault="00A51B24" w:rsidP="00347912">
            <w:pPr>
              <w:jc w:val="center"/>
              <w:rPr>
                <w:rStyle w:val="NvrhP-text"/>
                <w:sz w:val="20"/>
                <w:szCs w:val="20"/>
              </w:rPr>
            </w:pPr>
            <w:r w:rsidRPr="000138DD">
              <w:rPr>
                <w:rStyle w:val="NvrhP-text"/>
                <w:sz w:val="20"/>
                <w:szCs w:val="20"/>
              </w:rPr>
              <w:t>7645</w:t>
            </w:r>
          </w:p>
        </w:tc>
      </w:tr>
    </w:tbl>
    <w:p w14:paraId="5BAF5985" w14:textId="77777777" w:rsidR="00A51B24" w:rsidRPr="00461C16" w:rsidRDefault="00A51B24" w:rsidP="00A51B24">
      <w:pPr>
        <w:spacing w:before="120" w:after="120"/>
        <w:rPr>
          <w:rStyle w:val="NvrhP-text"/>
        </w:rPr>
      </w:pPr>
      <w:r w:rsidRPr="00461C16">
        <w:rPr>
          <w:rStyle w:val="NvrhP-text"/>
        </w:rPr>
        <w:t>V časovém období posledních deseti let byl v rámci zpracování ÚP analyzován počet obyvatel. Pro analýzy byla použita data Českého statistického úřadu k 31.12. daného roku.</w:t>
      </w:r>
    </w:p>
    <w:p w14:paraId="710A35F4" w14:textId="77777777" w:rsidR="00A51B24" w:rsidRPr="00461C16" w:rsidRDefault="00A51B24" w:rsidP="00A51B24">
      <w:pPr>
        <w:spacing w:before="120" w:after="120"/>
        <w:rPr>
          <w:rStyle w:val="NvrhP-text"/>
        </w:rPr>
      </w:pPr>
      <w:r w:rsidRPr="00461C16">
        <w:rPr>
          <w:rStyle w:val="NvrhP-text"/>
        </w:rPr>
        <w:t>V časovém období posledních deseti let byl v rámci zpracování ÚP analyzován počet obyvatel, přirozený přírůstek, saldo migrace, celkový pohyb obyvatel, index stáří (</w:t>
      </w:r>
      <w:r w:rsidRPr="00461C16">
        <w:rPr>
          <w:rFonts w:cs="Arial"/>
        </w:rPr>
        <w:t xml:space="preserve">počet obyvatel 65 a více let / počet obyvatel do 14 let * 100), průměrný věk a dále </w:t>
      </w:r>
      <w:r w:rsidRPr="00461C16">
        <w:rPr>
          <w:rStyle w:val="NvrhP-text"/>
        </w:rPr>
        <w:t>počet dokončených bytů a vývoj těchto ukazatelů v letech 2007 - 2016. Pro analýzy byla použita data Českého statistického úřadu k 31.12. daného roku.</w:t>
      </w:r>
    </w:p>
    <w:tbl>
      <w:tblPr>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70" w:type="dxa"/>
          <w:right w:w="70" w:type="dxa"/>
        </w:tblCellMar>
        <w:tblLook w:val="0000" w:firstRow="0" w:lastRow="0" w:firstColumn="0" w:lastColumn="0" w:noHBand="0" w:noVBand="0"/>
      </w:tblPr>
      <w:tblGrid>
        <w:gridCol w:w="2396"/>
        <w:gridCol w:w="681"/>
        <w:gridCol w:w="681"/>
        <w:gridCol w:w="681"/>
        <w:gridCol w:w="682"/>
        <w:gridCol w:w="682"/>
        <w:gridCol w:w="682"/>
        <w:gridCol w:w="682"/>
        <w:gridCol w:w="682"/>
        <w:gridCol w:w="682"/>
        <w:gridCol w:w="682"/>
      </w:tblGrid>
      <w:tr w:rsidR="00A51B24" w:rsidRPr="000138DD" w14:paraId="1B1F6C4B" w14:textId="77777777" w:rsidTr="004B2D25">
        <w:trPr>
          <w:jc w:val="center"/>
        </w:trPr>
        <w:tc>
          <w:tcPr>
            <w:tcW w:w="2395" w:type="dxa"/>
            <w:shd w:val="clear" w:color="auto" w:fill="F2F2F2" w:themeFill="background1" w:themeFillShade="F2"/>
          </w:tcPr>
          <w:p w14:paraId="2FC4CE66" w14:textId="77777777" w:rsidR="00A51B24" w:rsidRPr="000138DD" w:rsidRDefault="00A51B24" w:rsidP="00347912">
            <w:pPr>
              <w:pStyle w:val="7tabulka"/>
              <w:rPr>
                <w:rStyle w:val="NvrhP-text"/>
                <w:b/>
                <w:sz w:val="20"/>
                <w:szCs w:val="20"/>
              </w:rPr>
            </w:pPr>
            <w:r w:rsidRPr="000138DD">
              <w:rPr>
                <w:rStyle w:val="NvrhP-text"/>
                <w:b/>
                <w:sz w:val="20"/>
                <w:szCs w:val="20"/>
              </w:rPr>
              <w:t>Rok</w:t>
            </w:r>
          </w:p>
        </w:tc>
        <w:tc>
          <w:tcPr>
            <w:tcW w:w="681" w:type="dxa"/>
            <w:shd w:val="clear" w:color="auto" w:fill="F2F2F2" w:themeFill="background1" w:themeFillShade="F2"/>
          </w:tcPr>
          <w:p w14:paraId="2C2EE32B" w14:textId="77777777" w:rsidR="00A51B24" w:rsidRPr="000138DD" w:rsidRDefault="00A51B24" w:rsidP="00347912">
            <w:pPr>
              <w:pStyle w:val="7tabulka"/>
              <w:jc w:val="center"/>
              <w:rPr>
                <w:rStyle w:val="NvrhP-text"/>
                <w:b/>
                <w:sz w:val="20"/>
                <w:szCs w:val="20"/>
              </w:rPr>
            </w:pPr>
            <w:r w:rsidRPr="000138DD">
              <w:rPr>
                <w:rStyle w:val="NvrhP-text"/>
                <w:b/>
                <w:sz w:val="20"/>
                <w:szCs w:val="20"/>
              </w:rPr>
              <w:t>2007</w:t>
            </w:r>
          </w:p>
        </w:tc>
        <w:tc>
          <w:tcPr>
            <w:tcW w:w="681" w:type="dxa"/>
            <w:shd w:val="clear" w:color="auto" w:fill="F2F2F2" w:themeFill="background1" w:themeFillShade="F2"/>
          </w:tcPr>
          <w:p w14:paraId="1DCDA05F" w14:textId="77777777" w:rsidR="00A51B24" w:rsidRPr="000138DD" w:rsidRDefault="00A51B24" w:rsidP="00347912">
            <w:pPr>
              <w:pStyle w:val="7tabulka"/>
              <w:jc w:val="center"/>
              <w:rPr>
                <w:rStyle w:val="NvrhP-text"/>
                <w:b/>
                <w:sz w:val="20"/>
                <w:szCs w:val="20"/>
              </w:rPr>
            </w:pPr>
            <w:r w:rsidRPr="000138DD">
              <w:rPr>
                <w:rStyle w:val="NvrhP-text"/>
                <w:b/>
                <w:sz w:val="20"/>
                <w:szCs w:val="20"/>
              </w:rPr>
              <w:t>2008</w:t>
            </w:r>
          </w:p>
        </w:tc>
        <w:tc>
          <w:tcPr>
            <w:tcW w:w="681" w:type="dxa"/>
            <w:shd w:val="clear" w:color="auto" w:fill="F2F2F2" w:themeFill="background1" w:themeFillShade="F2"/>
          </w:tcPr>
          <w:p w14:paraId="748E1561" w14:textId="77777777" w:rsidR="00A51B24" w:rsidRPr="000138DD" w:rsidRDefault="00A51B24" w:rsidP="00347912">
            <w:pPr>
              <w:pStyle w:val="7tabulka"/>
              <w:jc w:val="center"/>
              <w:rPr>
                <w:rStyle w:val="NvrhP-text"/>
                <w:b/>
                <w:sz w:val="20"/>
                <w:szCs w:val="20"/>
              </w:rPr>
            </w:pPr>
            <w:r w:rsidRPr="000138DD">
              <w:rPr>
                <w:rStyle w:val="NvrhP-text"/>
                <w:b/>
                <w:sz w:val="20"/>
                <w:szCs w:val="20"/>
              </w:rPr>
              <w:t>2009</w:t>
            </w:r>
          </w:p>
        </w:tc>
        <w:tc>
          <w:tcPr>
            <w:tcW w:w="682" w:type="dxa"/>
            <w:shd w:val="clear" w:color="auto" w:fill="F2F2F2" w:themeFill="background1" w:themeFillShade="F2"/>
          </w:tcPr>
          <w:p w14:paraId="09D72546" w14:textId="77777777" w:rsidR="00A51B24" w:rsidRPr="000138DD" w:rsidRDefault="00A51B24" w:rsidP="00347912">
            <w:pPr>
              <w:pStyle w:val="7tabulka"/>
              <w:jc w:val="center"/>
              <w:rPr>
                <w:rStyle w:val="NvrhP-text"/>
                <w:b/>
                <w:sz w:val="20"/>
                <w:szCs w:val="20"/>
              </w:rPr>
            </w:pPr>
            <w:r w:rsidRPr="000138DD">
              <w:rPr>
                <w:rStyle w:val="NvrhP-text"/>
                <w:b/>
                <w:sz w:val="20"/>
                <w:szCs w:val="20"/>
              </w:rPr>
              <w:t>2010</w:t>
            </w:r>
          </w:p>
        </w:tc>
        <w:tc>
          <w:tcPr>
            <w:tcW w:w="682" w:type="dxa"/>
            <w:shd w:val="clear" w:color="auto" w:fill="F2F2F2" w:themeFill="background1" w:themeFillShade="F2"/>
          </w:tcPr>
          <w:p w14:paraId="1DBDABCC" w14:textId="77777777" w:rsidR="00A51B24" w:rsidRPr="000138DD" w:rsidRDefault="00A51B24" w:rsidP="00347912">
            <w:pPr>
              <w:pStyle w:val="7tabulka"/>
              <w:jc w:val="center"/>
              <w:rPr>
                <w:rStyle w:val="NvrhP-text"/>
                <w:b/>
                <w:sz w:val="20"/>
                <w:szCs w:val="20"/>
              </w:rPr>
            </w:pPr>
            <w:r w:rsidRPr="000138DD">
              <w:rPr>
                <w:rStyle w:val="NvrhP-text"/>
                <w:b/>
                <w:sz w:val="20"/>
                <w:szCs w:val="20"/>
              </w:rPr>
              <w:t>2011</w:t>
            </w:r>
          </w:p>
        </w:tc>
        <w:tc>
          <w:tcPr>
            <w:tcW w:w="682" w:type="dxa"/>
            <w:shd w:val="clear" w:color="auto" w:fill="F2F2F2" w:themeFill="background1" w:themeFillShade="F2"/>
          </w:tcPr>
          <w:p w14:paraId="107481E3" w14:textId="77777777" w:rsidR="00A51B24" w:rsidRPr="000138DD" w:rsidRDefault="00A51B24" w:rsidP="00347912">
            <w:pPr>
              <w:pStyle w:val="7tabulka"/>
              <w:jc w:val="center"/>
              <w:rPr>
                <w:rStyle w:val="NvrhP-text"/>
                <w:b/>
                <w:sz w:val="20"/>
                <w:szCs w:val="20"/>
              </w:rPr>
            </w:pPr>
            <w:r w:rsidRPr="000138DD">
              <w:rPr>
                <w:rStyle w:val="NvrhP-text"/>
                <w:b/>
                <w:sz w:val="20"/>
                <w:szCs w:val="20"/>
              </w:rPr>
              <w:t>2012</w:t>
            </w:r>
          </w:p>
        </w:tc>
        <w:tc>
          <w:tcPr>
            <w:tcW w:w="682" w:type="dxa"/>
            <w:shd w:val="clear" w:color="auto" w:fill="F2F2F2" w:themeFill="background1" w:themeFillShade="F2"/>
          </w:tcPr>
          <w:p w14:paraId="60A78D99" w14:textId="77777777" w:rsidR="00A51B24" w:rsidRPr="000138DD" w:rsidRDefault="00A51B24" w:rsidP="00347912">
            <w:pPr>
              <w:pStyle w:val="7tabulka"/>
              <w:jc w:val="center"/>
              <w:rPr>
                <w:rStyle w:val="NvrhP-text"/>
                <w:b/>
                <w:sz w:val="20"/>
                <w:szCs w:val="20"/>
              </w:rPr>
            </w:pPr>
            <w:r w:rsidRPr="000138DD">
              <w:rPr>
                <w:rStyle w:val="NvrhP-text"/>
                <w:b/>
                <w:sz w:val="20"/>
                <w:szCs w:val="20"/>
              </w:rPr>
              <w:t>2013</w:t>
            </w:r>
          </w:p>
        </w:tc>
        <w:tc>
          <w:tcPr>
            <w:tcW w:w="682" w:type="dxa"/>
            <w:shd w:val="clear" w:color="auto" w:fill="F2F2F2" w:themeFill="background1" w:themeFillShade="F2"/>
          </w:tcPr>
          <w:p w14:paraId="16EFFFE6" w14:textId="77777777" w:rsidR="00A51B24" w:rsidRPr="000138DD" w:rsidRDefault="00A51B24" w:rsidP="00347912">
            <w:pPr>
              <w:pStyle w:val="7tabulka"/>
              <w:jc w:val="center"/>
              <w:rPr>
                <w:rStyle w:val="NvrhP-text"/>
                <w:b/>
                <w:sz w:val="20"/>
                <w:szCs w:val="20"/>
              </w:rPr>
            </w:pPr>
            <w:r w:rsidRPr="000138DD">
              <w:rPr>
                <w:rStyle w:val="NvrhP-text"/>
                <w:b/>
                <w:sz w:val="20"/>
                <w:szCs w:val="20"/>
              </w:rPr>
              <w:t>2014</w:t>
            </w:r>
          </w:p>
        </w:tc>
        <w:tc>
          <w:tcPr>
            <w:tcW w:w="682" w:type="dxa"/>
            <w:shd w:val="clear" w:color="auto" w:fill="F2F2F2" w:themeFill="background1" w:themeFillShade="F2"/>
          </w:tcPr>
          <w:p w14:paraId="1038E1D1" w14:textId="77777777" w:rsidR="00A51B24" w:rsidRPr="000138DD" w:rsidRDefault="00A51B24" w:rsidP="00347912">
            <w:pPr>
              <w:pStyle w:val="7tabulka"/>
              <w:jc w:val="center"/>
              <w:rPr>
                <w:rStyle w:val="NvrhP-text"/>
                <w:b/>
                <w:sz w:val="20"/>
                <w:szCs w:val="20"/>
              </w:rPr>
            </w:pPr>
            <w:r w:rsidRPr="000138DD">
              <w:rPr>
                <w:rStyle w:val="NvrhP-text"/>
                <w:b/>
                <w:sz w:val="20"/>
                <w:szCs w:val="20"/>
              </w:rPr>
              <w:t>2015</w:t>
            </w:r>
          </w:p>
        </w:tc>
        <w:tc>
          <w:tcPr>
            <w:tcW w:w="682" w:type="dxa"/>
            <w:shd w:val="clear" w:color="auto" w:fill="F2F2F2" w:themeFill="background1" w:themeFillShade="F2"/>
          </w:tcPr>
          <w:p w14:paraId="713BB86F" w14:textId="77777777" w:rsidR="00A51B24" w:rsidRPr="000138DD" w:rsidRDefault="00A51B24" w:rsidP="00347912">
            <w:pPr>
              <w:pStyle w:val="7tabulka"/>
              <w:jc w:val="center"/>
              <w:rPr>
                <w:rStyle w:val="NvrhP-text"/>
                <w:b/>
                <w:sz w:val="20"/>
                <w:szCs w:val="20"/>
              </w:rPr>
            </w:pPr>
            <w:r w:rsidRPr="000138DD">
              <w:rPr>
                <w:rStyle w:val="NvrhP-text"/>
                <w:b/>
                <w:sz w:val="20"/>
                <w:szCs w:val="20"/>
              </w:rPr>
              <w:t>2016</w:t>
            </w:r>
          </w:p>
        </w:tc>
      </w:tr>
      <w:tr w:rsidR="00A51B24" w:rsidRPr="000138DD" w14:paraId="051AB08D" w14:textId="77777777" w:rsidTr="003C0765">
        <w:trPr>
          <w:trHeight w:val="191"/>
          <w:jc w:val="center"/>
        </w:trPr>
        <w:tc>
          <w:tcPr>
            <w:tcW w:w="2395" w:type="dxa"/>
          </w:tcPr>
          <w:p w14:paraId="1F8A375D" w14:textId="77777777" w:rsidR="00A51B24" w:rsidRPr="000138DD" w:rsidRDefault="00A51B24" w:rsidP="00347912">
            <w:pPr>
              <w:pStyle w:val="7tabulka"/>
              <w:rPr>
                <w:rStyle w:val="NvrhP-text"/>
                <w:b/>
                <w:sz w:val="20"/>
                <w:szCs w:val="20"/>
              </w:rPr>
            </w:pPr>
            <w:r w:rsidRPr="000138DD">
              <w:rPr>
                <w:rStyle w:val="NvrhP-text"/>
                <w:b/>
                <w:sz w:val="20"/>
                <w:szCs w:val="20"/>
              </w:rPr>
              <w:t>počet obyvatel (k 31.12)</w:t>
            </w:r>
          </w:p>
        </w:tc>
        <w:tc>
          <w:tcPr>
            <w:tcW w:w="681" w:type="dxa"/>
            <w:vAlign w:val="bottom"/>
          </w:tcPr>
          <w:p w14:paraId="147AB485" w14:textId="77777777" w:rsidR="00A51B24" w:rsidRPr="000138DD" w:rsidRDefault="00A51B24" w:rsidP="00347912">
            <w:pPr>
              <w:pStyle w:val="7tabulka"/>
              <w:jc w:val="center"/>
              <w:rPr>
                <w:rStyle w:val="NvrhP-text"/>
                <w:sz w:val="20"/>
                <w:szCs w:val="20"/>
              </w:rPr>
            </w:pPr>
            <w:r w:rsidRPr="000138DD">
              <w:rPr>
                <w:rStyle w:val="NvrhP-text"/>
                <w:sz w:val="20"/>
                <w:szCs w:val="20"/>
              </w:rPr>
              <w:t>7517</w:t>
            </w:r>
          </w:p>
        </w:tc>
        <w:tc>
          <w:tcPr>
            <w:tcW w:w="681" w:type="dxa"/>
            <w:vAlign w:val="bottom"/>
          </w:tcPr>
          <w:p w14:paraId="426BFB9A" w14:textId="77777777" w:rsidR="00A51B24" w:rsidRPr="000138DD" w:rsidRDefault="00A51B24" w:rsidP="00347912">
            <w:pPr>
              <w:pStyle w:val="7tabulka"/>
              <w:jc w:val="center"/>
              <w:rPr>
                <w:rStyle w:val="NvrhP-text"/>
                <w:sz w:val="20"/>
                <w:szCs w:val="20"/>
              </w:rPr>
            </w:pPr>
            <w:r w:rsidRPr="000138DD">
              <w:rPr>
                <w:rStyle w:val="NvrhP-text"/>
                <w:sz w:val="20"/>
                <w:szCs w:val="20"/>
              </w:rPr>
              <w:t>7574</w:t>
            </w:r>
          </w:p>
        </w:tc>
        <w:tc>
          <w:tcPr>
            <w:tcW w:w="681" w:type="dxa"/>
            <w:vAlign w:val="bottom"/>
          </w:tcPr>
          <w:p w14:paraId="43A02002" w14:textId="77777777" w:rsidR="00A51B24" w:rsidRPr="000138DD" w:rsidRDefault="00A51B24" w:rsidP="00347912">
            <w:pPr>
              <w:pStyle w:val="7tabulka"/>
              <w:jc w:val="center"/>
              <w:rPr>
                <w:rStyle w:val="NvrhP-text"/>
                <w:sz w:val="20"/>
                <w:szCs w:val="20"/>
              </w:rPr>
            </w:pPr>
            <w:r w:rsidRPr="000138DD">
              <w:rPr>
                <w:rStyle w:val="NvrhP-text"/>
                <w:sz w:val="20"/>
                <w:szCs w:val="20"/>
              </w:rPr>
              <w:t>7642</w:t>
            </w:r>
          </w:p>
        </w:tc>
        <w:tc>
          <w:tcPr>
            <w:tcW w:w="682" w:type="dxa"/>
            <w:vAlign w:val="bottom"/>
          </w:tcPr>
          <w:p w14:paraId="70F8B721" w14:textId="77777777" w:rsidR="00A51B24" w:rsidRPr="000138DD" w:rsidRDefault="00A51B24" w:rsidP="00347912">
            <w:pPr>
              <w:pStyle w:val="7tabulka"/>
              <w:jc w:val="center"/>
              <w:rPr>
                <w:rStyle w:val="NvrhP-text"/>
                <w:sz w:val="20"/>
                <w:szCs w:val="20"/>
              </w:rPr>
            </w:pPr>
            <w:r w:rsidRPr="000138DD">
              <w:rPr>
                <w:rStyle w:val="NvrhP-text"/>
                <w:sz w:val="20"/>
                <w:szCs w:val="20"/>
              </w:rPr>
              <w:t>7649</w:t>
            </w:r>
          </w:p>
        </w:tc>
        <w:tc>
          <w:tcPr>
            <w:tcW w:w="682" w:type="dxa"/>
            <w:vAlign w:val="bottom"/>
          </w:tcPr>
          <w:p w14:paraId="109654FE" w14:textId="77777777" w:rsidR="00A51B24" w:rsidRPr="000138DD" w:rsidRDefault="00A51B24" w:rsidP="00347912">
            <w:pPr>
              <w:pStyle w:val="7tabulka"/>
              <w:jc w:val="center"/>
              <w:rPr>
                <w:rStyle w:val="NvrhP-text"/>
                <w:sz w:val="20"/>
                <w:szCs w:val="20"/>
              </w:rPr>
            </w:pPr>
            <w:r w:rsidRPr="000138DD">
              <w:rPr>
                <w:rStyle w:val="NvrhP-text"/>
                <w:sz w:val="20"/>
                <w:szCs w:val="20"/>
              </w:rPr>
              <w:t>7633</w:t>
            </w:r>
          </w:p>
        </w:tc>
        <w:tc>
          <w:tcPr>
            <w:tcW w:w="682" w:type="dxa"/>
            <w:vAlign w:val="bottom"/>
          </w:tcPr>
          <w:p w14:paraId="72474C3E" w14:textId="77777777" w:rsidR="00A51B24" w:rsidRPr="000138DD" w:rsidRDefault="00A51B24" w:rsidP="00347912">
            <w:pPr>
              <w:pStyle w:val="7tabulka"/>
              <w:jc w:val="center"/>
              <w:rPr>
                <w:rStyle w:val="NvrhP-text"/>
                <w:sz w:val="20"/>
                <w:szCs w:val="20"/>
              </w:rPr>
            </w:pPr>
            <w:r w:rsidRPr="000138DD">
              <w:rPr>
                <w:rStyle w:val="NvrhP-text"/>
                <w:sz w:val="20"/>
                <w:szCs w:val="20"/>
              </w:rPr>
              <w:t>7642</w:t>
            </w:r>
          </w:p>
        </w:tc>
        <w:tc>
          <w:tcPr>
            <w:tcW w:w="682" w:type="dxa"/>
            <w:vAlign w:val="bottom"/>
          </w:tcPr>
          <w:p w14:paraId="3444DAAA" w14:textId="77777777" w:rsidR="00A51B24" w:rsidRPr="000138DD" w:rsidRDefault="00A51B24" w:rsidP="00347912">
            <w:pPr>
              <w:pStyle w:val="7tabulka"/>
              <w:jc w:val="center"/>
              <w:rPr>
                <w:rStyle w:val="NvrhP-text"/>
                <w:sz w:val="20"/>
                <w:szCs w:val="20"/>
              </w:rPr>
            </w:pPr>
            <w:r w:rsidRPr="000138DD">
              <w:rPr>
                <w:rStyle w:val="NvrhP-text"/>
                <w:sz w:val="20"/>
                <w:szCs w:val="20"/>
              </w:rPr>
              <w:t>7651</w:t>
            </w:r>
          </w:p>
        </w:tc>
        <w:tc>
          <w:tcPr>
            <w:tcW w:w="682" w:type="dxa"/>
            <w:vAlign w:val="bottom"/>
          </w:tcPr>
          <w:p w14:paraId="50857436" w14:textId="77777777" w:rsidR="00A51B24" w:rsidRPr="000138DD" w:rsidRDefault="00A51B24" w:rsidP="00347912">
            <w:pPr>
              <w:pStyle w:val="7tabulka"/>
              <w:jc w:val="center"/>
              <w:rPr>
                <w:rStyle w:val="NvrhP-text"/>
                <w:sz w:val="20"/>
                <w:szCs w:val="20"/>
              </w:rPr>
            </w:pPr>
            <w:r w:rsidRPr="000138DD">
              <w:rPr>
                <w:rStyle w:val="NvrhP-text"/>
                <w:sz w:val="20"/>
                <w:szCs w:val="20"/>
              </w:rPr>
              <w:t>7613</w:t>
            </w:r>
          </w:p>
        </w:tc>
        <w:tc>
          <w:tcPr>
            <w:tcW w:w="682" w:type="dxa"/>
            <w:vAlign w:val="bottom"/>
          </w:tcPr>
          <w:p w14:paraId="2AC82E42" w14:textId="77777777" w:rsidR="00A51B24" w:rsidRPr="000138DD" w:rsidRDefault="00A51B24" w:rsidP="00347912">
            <w:pPr>
              <w:pStyle w:val="7tabulka"/>
              <w:jc w:val="center"/>
              <w:rPr>
                <w:rStyle w:val="NvrhP-text"/>
                <w:sz w:val="20"/>
                <w:szCs w:val="20"/>
              </w:rPr>
            </w:pPr>
            <w:r w:rsidRPr="000138DD">
              <w:rPr>
                <w:rStyle w:val="NvrhP-text"/>
                <w:sz w:val="20"/>
                <w:szCs w:val="20"/>
              </w:rPr>
              <w:t>7626</w:t>
            </w:r>
          </w:p>
        </w:tc>
        <w:tc>
          <w:tcPr>
            <w:tcW w:w="682" w:type="dxa"/>
            <w:shd w:val="clear" w:color="auto" w:fill="auto"/>
            <w:vAlign w:val="bottom"/>
          </w:tcPr>
          <w:p w14:paraId="5CA3705E" w14:textId="77777777" w:rsidR="00A51B24" w:rsidRPr="000138DD" w:rsidRDefault="00A51B24" w:rsidP="00347912">
            <w:pPr>
              <w:pStyle w:val="7tabulka"/>
              <w:jc w:val="center"/>
              <w:rPr>
                <w:rStyle w:val="NvrhP-text"/>
                <w:sz w:val="20"/>
                <w:szCs w:val="20"/>
              </w:rPr>
            </w:pPr>
            <w:r w:rsidRPr="000138DD">
              <w:rPr>
                <w:rStyle w:val="NvrhP-text"/>
                <w:sz w:val="20"/>
                <w:szCs w:val="20"/>
              </w:rPr>
              <w:t>7645</w:t>
            </w:r>
          </w:p>
        </w:tc>
      </w:tr>
      <w:tr w:rsidR="00A51B24" w:rsidRPr="000138DD" w14:paraId="5EF7A033" w14:textId="77777777" w:rsidTr="003C0765">
        <w:trPr>
          <w:trHeight w:val="191"/>
          <w:jc w:val="center"/>
        </w:trPr>
        <w:tc>
          <w:tcPr>
            <w:tcW w:w="2395" w:type="dxa"/>
          </w:tcPr>
          <w:p w14:paraId="6BF3C200" w14:textId="77777777" w:rsidR="00A51B24" w:rsidRPr="000138DD" w:rsidRDefault="00A51B24" w:rsidP="00347912">
            <w:pPr>
              <w:pStyle w:val="7tabulka"/>
              <w:rPr>
                <w:rStyle w:val="NvrhP-text"/>
                <w:b/>
                <w:sz w:val="20"/>
                <w:szCs w:val="20"/>
              </w:rPr>
            </w:pPr>
            <w:r w:rsidRPr="000138DD">
              <w:rPr>
                <w:rStyle w:val="NvrhP-text"/>
                <w:b/>
                <w:sz w:val="20"/>
                <w:szCs w:val="20"/>
              </w:rPr>
              <w:t>celkový přírůstek</w:t>
            </w:r>
          </w:p>
        </w:tc>
        <w:tc>
          <w:tcPr>
            <w:tcW w:w="681" w:type="dxa"/>
            <w:vAlign w:val="bottom"/>
          </w:tcPr>
          <w:p w14:paraId="01665D5C" w14:textId="77777777" w:rsidR="00A51B24" w:rsidRPr="000138DD" w:rsidRDefault="00A51B24" w:rsidP="00347912">
            <w:pPr>
              <w:pStyle w:val="7tabulka"/>
              <w:jc w:val="center"/>
              <w:rPr>
                <w:rStyle w:val="NvrhP-text"/>
                <w:sz w:val="20"/>
                <w:szCs w:val="20"/>
              </w:rPr>
            </w:pPr>
            <w:r w:rsidRPr="000138DD">
              <w:rPr>
                <w:rStyle w:val="NvrhP-text"/>
                <w:sz w:val="20"/>
                <w:szCs w:val="20"/>
              </w:rPr>
              <w:t>78</w:t>
            </w:r>
          </w:p>
        </w:tc>
        <w:tc>
          <w:tcPr>
            <w:tcW w:w="681" w:type="dxa"/>
            <w:vAlign w:val="bottom"/>
          </w:tcPr>
          <w:p w14:paraId="4F184081" w14:textId="77777777" w:rsidR="00A51B24" w:rsidRPr="000138DD" w:rsidRDefault="00A51B24" w:rsidP="00347912">
            <w:pPr>
              <w:pStyle w:val="7tabulka"/>
              <w:jc w:val="center"/>
              <w:rPr>
                <w:rStyle w:val="NvrhP-text"/>
                <w:sz w:val="20"/>
                <w:szCs w:val="20"/>
              </w:rPr>
            </w:pPr>
            <w:r w:rsidRPr="000138DD">
              <w:rPr>
                <w:rStyle w:val="NvrhP-text"/>
                <w:sz w:val="20"/>
                <w:szCs w:val="20"/>
              </w:rPr>
              <w:t>57</w:t>
            </w:r>
          </w:p>
        </w:tc>
        <w:tc>
          <w:tcPr>
            <w:tcW w:w="681" w:type="dxa"/>
            <w:vAlign w:val="bottom"/>
          </w:tcPr>
          <w:p w14:paraId="706F6389" w14:textId="77777777" w:rsidR="00A51B24" w:rsidRPr="000138DD" w:rsidRDefault="00A51B24" w:rsidP="00347912">
            <w:pPr>
              <w:pStyle w:val="7tabulka"/>
              <w:jc w:val="center"/>
              <w:rPr>
                <w:rStyle w:val="NvrhP-text"/>
                <w:sz w:val="20"/>
                <w:szCs w:val="20"/>
              </w:rPr>
            </w:pPr>
            <w:r w:rsidRPr="000138DD">
              <w:rPr>
                <w:rStyle w:val="NvrhP-text"/>
                <w:sz w:val="20"/>
                <w:szCs w:val="20"/>
              </w:rPr>
              <w:t>68</w:t>
            </w:r>
          </w:p>
        </w:tc>
        <w:tc>
          <w:tcPr>
            <w:tcW w:w="682" w:type="dxa"/>
            <w:vAlign w:val="bottom"/>
          </w:tcPr>
          <w:p w14:paraId="7C4A7FCB" w14:textId="77777777" w:rsidR="00A51B24" w:rsidRPr="000138DD" w:rsidRDefault="00A51B24" w:rsidP="00347912">
            <w:pPr>
              <w:pStyle w:val="7tabulka"/>
              <w:jc w:val="center"/>
              <w:rPr>
                <w:rStyle w:val="NvrhP-text"/>
                <w:sz w:val="20"/>
                <w:szCs w:val="20"/>
              </w:rPr>
            </w:pPr>
            <w:r w:rsidRPr="000138DD">
              <w:rPr>
                <w:rStyle w:val="NvrhP-text"/>
                <w:sz w:val="20"/>
                <w:szCs w:val="20"/>
              </w:rPr>
              <w:t>7</w:t>
            </w:r>
          </w:p>
        </w:tc>
        <w:tc>
          <w:tcPr>
            <w:tcW w:w="682" w:type="dxa"/>
            <w:vAlign w:val="bottom"/>
          </w:tcPr>
          <w:p w14:paraId="511586DB" w14:textId="77777777" w:rsidR="00A51B24" w:rsidRPr="000138DD" w:rsidRDefault="00A51B24" w:rsidP="00347912">
            <w:pPr>
              <w:pStyle w:val="7tabulka"/>
              <w:jc w:val="center"/>
              <w:rPr>
                <w:rStyle w:val="NvrhP-text"/>
                <w:sz w:val="20"/>
                <w:szCs w:val="20"/>
              </w:rPr>
            </w:pPr>
            <w:r w:rsidRPr="000138DD">
              <w:rPr>
                <w:rStyle w:val="NvrhP-text"/>
                <w:sz w:val="20"/>
                <w:szCs w:val="20"/>
              </w:rPr>
              <w:t>21</w:t>
            </w:r>
          </w:p>
        </w:tc>
        <w:tc>
          <w:tcPr>
            <w:tcW w:w="682" w:type="dxa"/>
            <w:vAlign w:val="bottom"/>
          </w:tcPr>
          <w:p w14:paraId="41E35FFE" w14:textId="77777777" w:rsidR="00A51B24" w:rsidRPr="000138DD" w:rsidRDefault="00A51B24" w:rsidP="00347912">
            <w:pPr>
              <w:pStyle w:val="7tabulka"/>
              <w:jc w:val="center"/>
              <w:rPr>
                <w:rStyle w:val="NvrhP-text"/>
                <w:sz w:val="20"/>
                <w:szCs w:val="20"/>
              </w:rPr>
            </w:pPr>
            <w:r w:rsidRPr="000138DD">
              <w:rPr>
                <w:rStyle w:val="NvrhP-text"/>
                <w:sz w:val="20"/>
                <w:szCs w:val="20"/>
              </w:rPr>
              <w:t>9</w:t>
            </w:r>
          </w:p>
        </w:tc>
        <w:tc>
          <w:tcPr>
            <w:tcW w:w="682" w:type="dxa"/>
            <w:vAlign w:val="bottom"/>
          </w:tcPr>
          <w:p w14:paraId="4AE66458" w14:textId="77777777" w:rsidR="00A51B24" w:rsidRPr="000138DD" w:rsidRDefault="00A51B24" w:rsidP="00347912">
            <w:pPr>
              <w:pStyle w:val="7tabulka"/>
              <w:jc w:val="center"/>
              <w:rPr>
                <w:rStyle w:val="NvrhP-text"/>
                <w:sz w:val="20"/>
                <w:szCs w:val="20"/>
              </w:rPr>
            </w:pPr>
            <w:r w:rsidRPr="000138DD">
              <w:rPr>
                <w:rStyle w:val="NvrhP-text"/>
                <w:sz w:val="20"/>
                <w:szCs w:val="20"/>
              </w:rPr>
              <w:t>9</w:t>
            </w:r>
          </w:p>
        </w:tc>
        <w:tc>
          <w:tcPr>
            <w:tcW w:w="682" w:type="dxa"/>
            <w:vAlign w:val="bottom"/>
          </w:tcPr>
          <w:p w14:paraId="03A47258" w14:textId="77777777" w:rsidR="00A51B24" w:rsidRPr="000138DD" w:rsidRDefault="00A51B24" w:rsidP="00347912">
            <w:pPr>
              <w:pStyle w:val="7tabulka"/>
              <w:jc w:val="center"/>
              <w:rPr>
                <w:rStyle w:val="NvrhP-text"/>
                <w:sz w:val="20"/>
                <w:szCs w:val="20"/>
              </w:rPr>
            </w:pPr>
            <w:r w:rsidRPr="000138DD">
              <w:rPr>
                <w:rStyle w:val="NvrhP-text"/>
                <w:sz w:val="20"/>
                <w:szCs w:val="20"/>
              </w:rPr>
              <w:t>-38</w:t>
            </w:r>
          </w:p>
        </w:tc>
        <w:tc>
          <w:tcPr>
            <w:tcW w:w="682" w:type="dxa"/>
            <w:vAlign w:val="bottom"/>
          </w:tcPr>
          <w:p w14:paraId="56C33C6F" w14:textId="77777777" w:rsidR="00A51B24" w:rsidRPr="000138DD" w:rsidRDefault="00A51B24" w:rsidP="00347912">
            <w:pPr>
              <w:pStyle w:val="7tabulka"/>
              <w:jc w:val="center"/>
              <w:rPr>
                <w:rStyle w:val="NvrhP-text"/>
                <w:sz w:val="20"/>
                <w:szCs w:val="20"/>
              </w:rPr>
            </w:pPr>
            <w:r w:rsidRPr="000138DD">
              <w:rPr>
                <w:rStyle w:val="NvrhP-text"/>
                <w:sz w:val="20"/>
                <w:szCs w:val="20"/>
              </w:rPr>
              <w:t>13</w:t>
            </w:r>
          </w:p>
        </w:tc>
        <w:tc>
          <w:tcPr>
            <w:tcW w:w="682" w:type="dxa"/>
            <w:shd w:val="clear" w:color="auto" w:fill="auto"/>
            <w:vAlign w:val="bottom"/>
          </w:tcPr>
          <w:p w14:paraId="1AF25D72" w14:textId="77777777" w:rsidR="00A51B24" w:rsidRPr="000138DD" w:rsidRDefault="00A51B24" w:rsidP="00347912">
            <w:pPr>
              <w:pStyle w:val="7tabulka"/>
              <w:jc w:val="center"/>
              <w:rPr>
                <w:rStyle w:val="NvrhP-text"/>
                <w:sz w:val="20"/>
                <w:szCs w:val="20"/>
              </w:rPr>
            </w:pPr>
            <w:r w:rsidRPr="000138DD">
              <w:rPr>
                <w:rStyle w:val="NvrhP-text"/>
                <w:sz w:val="20"/>
                <w:szCs w:val="20"/>
              </w:rPr>
              <w:t>19</w:t>
            </w:r>
          </w:p>
        </w:tc>
      </w:tr>
      <w:tr w:rsidR="00A51B24" w:rsidRPr="000138DD" w14:paraId="29DECED5" w14:textId="77777777" w:rsidTr="003C0765">
        <w:trPr>
          <w:trHeight w:val="191"/>
          <w:jc w:val="center"/>
        </w:trPr>
        <w:tc>
          <w:tcPr>
            <w:tcW w:w="2395" w:type="dxa"/>
          </w:tcPr>
          <w:p w14:paraId="5CC9B0CC" w14:textId="77777777" w:rsidR="00A51B24" w:rsidRPr="000138DD" w:rsidRDefault="00A51B24" w:rsidP="00347912">
            <w:pPr>
              <w:pStyle w:val="7tabulka"/>
              <w:rPr>
                <w:rStyle w:val="NvrhP-text"/>
                <w:b/>
                <w:sz w:val="20"/>
                <w:szCs w:val="20"/>
              </w:rPr>
            </w:pPr>
            <w:r w:rsidRPr="000138DD">
              <w:rPr>
                <w:rStyle w:val="NvrhP-text"/>
                <w:b/>
                <w:sz w:val="20"/>
                <w:szCs w:val="20"/>
              </w:rPr>
              <w:t>přirozený přírůstek</w:t>
            </w:r>
          </w:p>
        </w:tc>
        <w:tc>
          <w:tcPr>
            <w:tcW w:w="681" w:type="dxa"/>
            <w:vAlign w:val="bottom"/>
          </w:tcPr>
          <w:p w14:paraId="40906E02" w14:textId="77777777" w:rsidR="00A51B24" w:rsidRPr="000138DD" w:rsidRDefault="00A51B24" w:rsidP="00347912">
            <w:pPr>
              <w:pStyle w:val="7tabulka"/>
              <w:jc w:val="center"/>
              <w:rPr>
                <w:rStyle w:val="NvrhP-text"/>
                <w:sz w:val="20"/>
                <w:szCs w:val="20"/>
              </w:rPr>
            </w:pPr>
            <w:r w:rsidRPr="000138DD">
              <w:rPr>
                <w:rStyle w:val="NvrhP-text"/>
                <w:sz w:val="20"/>
                <w:szCs w:val="20"/>
              </w:rPr>
              <w:t>22</w:t>
            </w:r>
          </w:p>
        </w:tc>
        <w:tc>
          <w:tcPr>
            <w:tcW w:w="681" w:type="dxa"/>
            <w:vAlign w:val="bottom"/>
          </w:tcPr>
          <w:p w14:paraId="7FD90BC7" w14:textId="77777777" w:rsidR="00A51B24" w:rsidRPr="000138DD" w:rsidRDefault="00A51B24" w:rsidP="00347912">
            <w:pPr>
              <w:pStyle w:val="7tabulka"/>
              <w:jc w:val="center"/>
              <w:rPr>
                <w:rStyle w:val="NvrhP-text"/>
                <w:sz w:val="20"/>
                <w:szCs w:val="20"/>
              </w:rPr>
            </w:pPr>
            <w:r w:rsidRPr="000138DD">
              <w:rPr>
                <w:rStyle w:val="NvrhP-text"/>
                <w:sz w:val="20"/>
                <w:szCs w:val="20"/>
              </w:rPr>
              <w:t>10</w:t>
            </w:r>
          </w:p>
        </w:tc>
        <w:tc>
          <w:tcPr>
            <w:tcW w:w="681" w:type="dxa"/>
            <w:vAlign w:val="bottom"/>
          </w:tcPr>
          <w:p w14:paraId="44A5D551" w14:textId="77777777" w:rsidR="00A51B24" w:rsidRPr="000138DD" w:rsidRDefault="00A51B24" w:rsidP="00347912">
            <w:pPr>
              <w:pStyle w:val="7tabulka"/>
              <w:jc w:val="center"/>
              <w:rPr>
                <w:rStyle w:val="NvrhP-text"/>
                <w:sz w:val="20"/>
                <w:szCs w:val="20"/>
              </w:rPr>
            </w:pPr>
            <w:r w:rsidRPr="000138DD">
              <w:rPr>
                <w:rStyle w:val="NvrhP-text"/>
                <w:sz w:val="20"/>
                <w:szCs w:val="20"/>
              </w:rPr>
              <w:t>28</w:t>
            </w:r>
          </w:p>
        </w:tc>
        <w:tc>
          <w:tcPr>
            <w:tcW w:w="682" w:type="dxa"/>
            <w:vAlign w:val="bottom"/>
          </w:tcPr>
          <w:p w14:paraId="28F5605D" w14:textId="77777777" w:rsidR="00A51B24" w:rsidRPr="000138DD" w:rsidRDefault="00A51B24" w:rsidP="00347912">
            <w:pPr>
              <w:pStyle w:val="7tabulka"/>
              <w:jc w:val="center"/>
              <w:rPr>
                <w:rStyle w:val="NvrhP-text"/>
                <w:sz w:val="20"/>
                <w:szCs w:val="20"/>
              </w:rPr>
            </w:pPr>
            <w:r w:rsidRPr="000138DD">
              <w:rPr>
                <w:rStyle w:val="NvrhP-text"/>
                <w:sz w:val="20"/>
                <w:szCs w:val="20"/>
              </w:rPr>
              <w:t>-7</w:t>
            </w:r>
          </w:p>
        </w:tc>
        <w:tc>
          <w:tcPr>
            <w:tcW w:w="682" w:type="dxa"/>
            <w:vAlign w:val="bottom"/>
          </w:tcPr>
          <w:p w14:paraId="687EA4C0" w14:textId="77777777" w:rsidR="00A51B24" w:rsidRPr="000138DD" w:rsidRDefault="00A51B24" w:rsidP="00347912">
            <w:pPr>
              <w:pStyle w:val="7tabulka"/>
              <w:jc w:val="center"/>
              <w:rPr>
                <w:rStyle w:val="NvrhP-text"/>
                <w:sz w:val="20"/>
                <w:szCs w:val="20"/>
              </w:rPr>
            </w:pPr>
            <w:r w:rsidRPr="000138DD">
              <w:rPr>
                <w:rStyle w:val="NvrhP-text"/>
                <w:sz w:val="20"/>
                <w:szCs w:val="20"/>
              </w:rPr>
              <w:t>11</w:t>
            </w:r>
          </w:p>
        </w:tc>
        <w:tc>
          <w:tcPr>
            <w:tcW w:w="682" w:type="dxa"/>
            <w:vAlign w:val="bottom"/>
          </w:tcPr>
          <w:p w14:paraId="5D835934" w14:textId="77777777" w:rsidR="00A51B24" w:rsidRPr="000138DD" w:rsidRDefault="00A51B24" w:rsidP="00347912">
            <w:pPr>
              <w:pStyle w:val="7tabulka"/>
              <w:jc w:val="center"/>
              <w:rPr>
                <w:rStyle w:val="NvrhP-text"/>
                <w:sz w:val="20"/>
                <w:szCs w:val="20"/>
              </w:rPr>
            </w:pPr>
            <w:r w:rsidRPr="000138DD">
              <w:rPr>
                <w:rStyle w:val="NvrhP-text"/>
                <w:sz w:val="20"/>
                <w:szCs w:val="20"/>
              </w:rPr>
              <w:t>11</w:t>
            </w:r>
          </w:p>
        </w:tc>
        <w:tc>
          <w:tcPr>
            <w:tcW w:w="682" w:type="dxa"/>
            <w:vAlign w:val="bottom"/>
          </w:tcPr>
          <w:p w14:paraId="1301F89C" w14:textId="77777777" w:rsidR="00A51B24" w:rsidRPr="000138DD" w:rsidRDefault="00A51B24" w:rsidP="00347912">
            <w:pPr>
              <w:pStyle w:val="7tabulka"/>
              <w:jc w:val="center"/>
              <w:rPr>
                <w:rStyle w:val="NvrhP-text"/>
                <w:sz w:val="20"/>
                <w:szCs w:val="20"/>
              </w:rPr>
            </w:pPr>
            <w:r w:rsidRPr="000138DD">
              <w:rPr>
                <w:rStyle w:val="NvrhP-text"/>
                <w:sz w:val="20"/>
                <w:szCs w:val="20"/>
              </w:rPr>
              <w:t>-7</w:t>
            </w:r>
          </w:p>
        </w:tc>
        <w:tc>
          <w:tcPr>
            <w:tcW w:w="682" w:type="dxa"/>
            <w:vAlign w:val="bottom"/>
          </w:tcPr>
          <w:p w14:paraId="4DAB2E8B" w14:textId="77777777" w:rsidR="00A51B24" w:rsidRPr="000138DD" w:rsidRDefault="00A51B24" w:rsidP="00347912">
            <w:pPr>
              <w:pStyle w:val="7tabulka"/>
              <w:jc w:val="center"/>
              <w:rPr>
                <w:rStyle w:val="NvrhP-text"/>
                <w:sz w:val="20"/>
                <w:szCs w:val="20"/>
              </w:rPr>
            </w:pPr>
            <w:r w:rsidRPr="000138DD">
              <w:rPr>
                <w:rStyle w:val="NvrhP-text"/>
                <w:sz w:val="20"/>
                <w:szCs w:val="20"/>
              </w:rPr>
              <w:t>-29</w:t>
            </w:r>
          </w:p>
        </w:tc>
        <w:tc>
          <w:tcPr>
            <w:tcW w:w="682" w:type="dxa"/>
            <w:vAlign w:val="bottom"/>
          </w:tcPr>
          <w:p w14:paraId="3B257B57" w14:textId="77777777" w:rsidR="00A51B24" w:rsidRPr="000138DD" w:rsidRDefault="00A51B24" w:rsidP="00347912">
            <w:pPr>
              <w:pStyle w:val="7tabulka"/>
              <w:jc w:val="center"/>
              <w:rPr>
                <w:rStyle w:val="NvrhP-text"/>
                <w:sz w:val="20"/>
                <w:szCs w:val="20"/>
              </w:rPr>
            </w:pPr>
            <w:r w:rsidRPr="000138DD">
              <w:rPr>
                <w:rStyle w:val="NvrhP-text"/>
                <w:sz w:val="20"/>
                <w:szCs w:val="20"/>
              </w:rPr>
              <w:t>-12</w:t>
            </w:r>
          </w:p>
        </w:tc>
        <w:tc>
          <w:tcPr>
            <w:tcW w:w="682" w:type="dxa"/>
            <w:shd w:val="clear" w:color="auto" w:fill="auto"/>
            <w:vAlign w:val="bottom"/>
          </w:tcPr>
          <w:p w14:paraId="27F98136" w14:textId="77777777" w:rsidR="00A51B24" w:rsidRPr="000138DD" w:rsidRDefault="00A51B24" w:rsidP="00347912">
            <w:pPr>
              <w:pStyle w:val="7tabulka"/>
              <w:jc w:val="center"/>
              <w:rPr>
                <w:rStyle w:val="NvrhP-text"/>
                <w:sz w:val="20"/>
                <w:szCs w:val="20"/>
              </w:rPr>
            </w:pPr>
            <w:r w:rsidRPr="000138DD">
              <w:rPr>
                <w:rStyle w:val="NvrhP-text"/>
                <w:sz w:val="20"/>
                <w:szCs w:val="20"/>
              </w:rPr>
              <w:t>12</w:t>
            </w:r>
          </w:p>
        </w:tc>
      </w:tr>
      <w:tr w:rsidR="00A51B24" w:rsidRPr="000138DD" w14:paraId="22E35CF4" w14:textId="77777777" w:rsidTr="003C0765">
        <w:trPr>
          <w:trHeight w:val="191"/>
          <w:jc w:val="center"/>
        </w:trPr>
        <w:tc>
          <w:tcPr>
            <w:tcW w:w="2395" w:type="dxa"/>
          </w:tcPr>
          <w:p w14:paraId="63B18F87" w14:textId="77777777" w:rsidR="00A51B24" w:rsidRPr="000138DD" w:rsidRDefault="00A51B24" w:rsidP="00347912">
            <w:pPr>
              <w:pStyle w:val="7tabulka"/>
              <w:rPr>
                <w:rStyle w:val="NvrhP-text"/>
                <w:b/>
                <w:sz w:val="20"/>
                <w:szCs w:val="20"/>
              </w:rPr>
            </w:pPr>
            <w:r w:rsidRPr="000138DD">
              <w:rPr>
                <w:rStyle w:val="NvrhP-text"/>
                <w:b/>
                <w:sz w:val="20"/>
                <w:szCs w:val="20"/>
              </w:rPr>
              <w:t>saldo migrace</w:t>
            </w:r>
          </w:p>
        </w:tc>
        <w:tc>
          <w:tcPr>
            <w:tcW w:w="681" w:type="dxa"/>
            <w:vAlign w:val="bottom"/>
          </w:tcPr>
          <w:p w14:paraId="2DDC1931" w14:textId="77777777" w:rsidR="00A51B24" w:rsidRPr="000138DD" w:rsidRDefault="00A51B24" w:rsidP="00347912">
            <w:pPr>
              <w:pStyle w:val="7tabulka"/>
              <w:jc w:val="center"/>
              <w:rPr>
                <w:rStyle w:val="NvrhP-text"/>
                <w:sz w:val="20"/>
                <w:szCs w:val="20"/>
              </w:rPr>
            </w:pPr>
            <w:r w:rsidRPr="000138DD">
              <w:rPr>
                <w:rStyle w:val="NvrhP-text"/>
                <w:sz w:val="20"/>
                <w:szCs w:val="20"/>
              </w:rPr>
              <w:t>56</w:t>
            </w:r>
          </w:p>
        </w:tc>
        <w:tc>
          <w:tcPr>
            <w:tcW w:w="681" w:type="dxa"/>
            <w:vAlign w:val="bottom"/>
          </w:tcPr>
          <w:p w14:paraId="6FBF3CE6" w14:textId="77777777" w:rsidR="00A51B24" w:rsidRPr="000138DD" w:rsidRDefault="00A51B24" w:rsidP="00347912">
            <w:pPr>
              <w:pStyle w:val="7tabulka"/>
              <w:jc w:val="center"/>
              <w:rPr>
                <w:rStyle w:val="NvrhP-text"/>
                <w:sz w:val="20"/>
                <w:szCs w:val="20"/>
              </w:rPr>
            </w:pPr>
            <w:r w:rsidRPr="000138DD">
              <w:rPr>
                <w:rStyle w:val="NvrhP-text"/>
                <w:sz w:val="20"/>
                <w:szCs w:val="20"/>
              </w:rPr>
              <w:t>47</w:t>
            </w:r>
          </w:p>
        </w:tc>
        <w:tc>
          <w:tcPr>
            <w:tcW w:w="681" w:type="dxa"/>
            <w:vAlign w:val="bottom"/>
          </w:tcPr>
          <w:p w14:paraId="16902411" w14:textId="77777777" w:rsidR="00A51B24" w:rsidRPr="000138DD" w:rsidRDefault="00A51B24" w:rsidP="00347912">
            <w:pPr>
              <w:pStyle w:val="7tabulka"/>
              <w:jc w:val="center"/>
              <w:rPr>
                <w:rStyle w:val="NvrhP-text"/>
                <w:sz w:val="20"/>
                <w:szCs w:val="20"/>
              </w:rPr>
            </w:pPr>
            <w:r w:rsidRPr="000138DD">
              <w:rPr>
                <w:rStyle w:val="NvrhP-text"/>
                <w:sz w:val="20"/>
                <w:szCs w:val="20"/>
              </w:rPr>
              <w:t>40</w:t>
            </w:r>
          </w:p>
        </w:tc>
        <w:tc>
          <w:tcPr>
            <w:tcW w:w="682" w:type="dxa"/>
            <w:vAlign w:val="bottom"/>
          </w:tcPr>
          <w:p w14:paraId="32C451DB" w14:textId="77777777" w:rsidR="00A51B24" w:rsidRPr="000138DD" w:rsidRDefault="00A51B24" w:rsidP="00347912">
            <w:pPr>
              <w:pStyle w:val="7tabulka"/>
              <w:jc w:val="center"/>
              <w:rPr>
                <w:rStyle w:val="NvrhP-text"/>
                <w:sz w:val="20"/>
                <w:szCs w:val="20"/>
              </w:rPr>
            </w:pPr>
            <w:r w:rsidRPr="000138DD">
              <w:rPr>
                <w:rStyle w:val="NvrhP-text"/>
                <w:sz w:val="20"/>
                <w:szCs w:val="20"/>
              </w:rPr>
              <w:t>14</w:t>
            </w:r>
          </w:p>
        </w:tc>
        <w:tc>
          <w:tcPr>
            <w:tcW w:w="682" w:type="dxa"/>
            <w:vAlign w:val="bottom"/>
          </w:tcPr>
          <w:p w14:paraId="30850272" w14:textId="77777777" w:rsidR="00A51B24" w:rsidRPr="000138DD" w:rsidRDefault="00A51B24" w:rsidP="00347912">
            <w:pPr>
              <w:pStyle w:val="7tabulka"/>
              <w:jc w:val="center"/>
              <w:rPr>
                <w:rStyle w:val="NvrhP-text"/>
                <w:sz w:val="20"/>
                <w:szCs w:val="20"/>
              </w:rPr>
            </w:pPr>
            <w:r w:rsidRPr="000138DD">
              <w:rPr>
                <w:rStyle w:val="NvrhP-text"/>
                <w:sz w:val="20"/>
                <w:szCs w:val="20"/>
              </w:rPr>
              <w:t>10</w:t>
            </w:r>
          </w:p>
        </w:tc>
        <w:tc>
          <w:tcPr>
            <w:tcW w:w="682" w:type="dxa"/>
            <w:vAlign w:val="bottom"/>
          </w:tcPr>
          <w:p w14:paraId="79BB989E" w14:textId="77777777" w:rsidR="00A51B24" w:rsidRPr="000138DD" w:rsidRDefault="00A51B24" w:rsidP="00347912">
            <w:pPr>
              <w:pStyle w:val="7tabulka"/>
              <w:jc w:val="center"/>
              <w:rPr>
                <w:rStyle w:val="NvrhP-text"/>
                <w:sz w:val="20"/>
                <w:szCs w:val="20"/>
              </w:rPr>
            </w:pPr>
            <w:r w:rsidRPr="000138DD">
              <w:rPr>
                <w:rStyle w:val="NvrhP-text"/>
                <w:sz w:val="20"/>
                <w:szCs w:val="20"/>
              </w:rPr>
              <w:t>-2</w:t>
            </w:r>
          </w:p>
        </w:tc>
        <w:tc>
          <w:tcPr>
            <w:tcW w:w="682" w:type="dxa"/>
            <w:vAlign w:val="bottom"/>
          </w:tcPr>
          <w:p w14:paraId="2CDAD0FF" w14:textId="77777777" w:rsidR="00A51B24" w:rsidRPr="000138DD" w:rsidRDefault="00A51B24" w:rsidP="00347912">
            <w:pPr>
              <w:pStyle w:val="7tabulka"/>
              <w:jc w:val="center"/>
              <w:rPr>
                <w:rStyle w:val="NvrhP-text"/>
                <w:sz w:val="20"/>
                <w:szCs w:val="20"/>
              </w:rPr>
            </w:pPr>
            <w:r w:rsidRPr="000138DD">
              <w:rPr>
                <w:rStyle w:val="NvrhP-text"/>
                <w:sz w:val="20"/>
                <w:szCs w:val="20"/>
              </w:rPr>
              <w:t>16</w:t>
            </w:r>
          </w:p>
        </w:tc>
        <w:tc>
          <w:tcPr>
            <w:tcW w:w="682" w:type="dxa"/>
            <w:vAlign w:val="bottom"/>
          </w:tcPr>
          <w:p w14:paraId="61909A2E" w14:textId="77777777" w:rsidR="00A51B24" w:rsidRPr="000138DD" w:rsidRDefault="00A51B24" w:rsidP="00347912">
            <w:pPr>
              <w:pStyle w:val="7tabulka"/>
              <w:jc w:val="center"/>
              <w:rPr>
                <w:rStyle w:val="NvrhP-text"/>
                <w:sz w:val="20"/>
                <w:szCs w:val="20"/>
              </w:rPr>
            </w:pPr>
            <w:r w:rsidRPr="000138DD">
              <w:rPr>
                <w:rStyle w:val="NvrhP-text"/>
                <w:sz w:val="20"/>
                <w:szCs w:val="20"/>
              </w:rPr>
              <w:t>-9</w:t>
            </w:r>
          </w:p>
        </w:tc>
        <w:tc>
          <w:tcPr>
            <w:tcW w:w="682" w:type="dxa"/>
            <w:vAlign w:val="bottom"/>
          </w:tcPr>
          <w:p w14:paraId="0377C4DC" w14:textId="77777777" w:rsidR="00A51B24" w:rsidRPr="000138DD" w:rsidRDefault="00A51B24" w:rsidP="00347912">
            <w:pPr>
              <w:pStyle w:val="7tabulka"/>
              <w:jc w:val="center"/>
              <w:rPr>
                <w:rStyle w:val="NvrhP-text"/>
                <w:sz w:val="20"/>
                <w:szCs w:val="20"/>
              </w:rPr>
            </w:pPr>
            <w:r w:rsidRPr="000138DD">
              <w:rPr>
                <w:rStyle w:val="NvrhP-text"/>
                <w:sz w:val="20"/>
                <w:szCs w:val="20"/>
              </w:rPr>
              <w:t>25</w:t>
            </w:r>
          </w:p>
        </w:tc>
        <w:tc>
          <w:tcPr>
            <w:tcW w:w="682" w:type="dxa"/>
            <w:shd w:val="clear" w:color="auto" w:fill="auto"/>
            <w:vAlign w:val="bottom"/>
          </w:tcPr>
          <w:p w14:paraId="24C7DFD9" w14:textId="77777777" w:rsidR="00A51B24" w:rsidRPr="000138DD" w:rsidRDefault="00A51B24" w:rsidP="00347912">
            <w:pPr>
              <w:pStyle w:val="7tabulka"/>
              <w:jc w:val="center"/>
              <w:rPr>
                <w:rStyle w:val="NvrhP-text"/>
                <w:sz w:val="20"/>
                <w:szCs w:val="20"/>
              </w:rPr>
            </w:pPr>
            <w:r w:rsidRPr="000138DD">
              <w:rPr>
                <w:rStyle w:val="NvrhP-text"/>
                <w:sz w:val="20"/>
                <w:szCs w:val="20"/>
              </w:rPr>
              <w:t>7</w:t>
            </w:r>
          </w:p>
        </w:tc>
      </w:tr>
      <w:tr w:rsidR="00A51B24" w:rsidRPr="000138DD" w14:paraId="29298987" w14:textId="77777777" w:rsidTr="003C0765">
        <w:trPr>
          <w:trHeight w:val="191"/>
          <w:jc w:val="center"/>
        </w:trPr>
        <w:tc>
          <w:tcPr>
            <w:tcW w:w="2395" w:type="dxa"/>
          </w:tcPr>
          <w:p w14:paraId="0771BD4F" w14:textId="77777777" w:rsidR="00A51B24" w:rsidRPr="000138DD" w:rsidRDefault="00A51B24" w:rsidP="00347912">
            <w:pPr>
              <w:pStyle w:val="7tabulka"/>
              <w:rPr>
                <w:rStyle w:val="NvrhP-text"/>
                <w:b/>
                <w:sz w:val="20"/>
                <w:szCs w:val="20"/>
              </w:rPr>
            </w:pPr>
            <w:r w:rsidRPr="000138DD">
              <w:rPr>
                <w:rStyle w:val="NvrhP-text"/>
                <w:b/>
                <w:sz w:val="20"/>
                <w:szCs w:val="20"/>
              </w:rPr>
              <w:t>index stáří</w:t>
            </w:r>
          </w:p>
        </w:tc>
        <w:tc>
          <w:tcPr>
            <w:tcW w:w="681" w:type="dxa"/>
            <w:vAlign w:val="bottom"/>
          </w:tcPr>
          <w:p w14:paraId="317829CF" w14:textId="77777777" w:rsidR="00A51B24" w:rsidRPr="000138DD" w:rsidRDefault="00A51B24" w:rsidP="00347912">
            <w:pPr>
              <w:pStyle w:val="7tabulka"/>
              <w:jc w:val="center"/>
              <w:rPr>
                <w:rStyle w:val="NvrhP-text"/>
                <w:sz w:val="20"/>
                <w:szCs w:val="20"/>
              </w:rPr>
            </w:pPr>
            <w:r w:rsidRPr="000138DD">
              <w:rPr>
                <w:rStyle w:val="NvrhP-text"/>
                <w:sz w:val="20"/>
                <w:szCs w:val="20"/>
              </w:rPr>
              <w:t>80,5</w:t>
            </w:r>
          </w:p>
        </w:tc>
        <w:tc>
          <w:tcPr>
            <w:tcW w:w="681" w:type="dxa"/>
            <w:vAlign w:val="bottom"/>
          </w:tcPr>
          <w:p w14:paraId="69E8C72F" w14:textId="77777777" w:rsidR="00A51B24" w:rsidRPr="000138DD" w:rsidRDefault="00A51B24" w:rsidP="00347912">
            <w:pPr>
              <w:pStyle w:val="7tabulka"/>
              <w:jc w:val="center"/>
              <w:rPr>
                <w:rStyle w:val="NvrhP-text"/>
                <w:sz w:val="20"/>
                <w:szCs w:val="20"/>
              </w:rPr>
            </w:pPr>
            <w:r w:rsidRPr="000138DD">
              <w:rPr>
                <w:rStyle w:val="NvrhP-text"/>
                <w:sz w:val="20"/>
                <w:szCs w:val="20"/>
              </w:rPr>
              <w:t>82,6</w:t>
            </w:r>
          </w:p>
        </w:tc>
        <w:tc>
          <w:tcPr>
            <w:tcW w:w="681" w:type="dxa"/>
            <w:vAlign w:val="bottom"/>
          </w:tcPr>
          <w:p w14:paraId="222E3FE0" w14:textId="77777777" w:rsidR="00A51B24" w:rsidRPr="000138DD" w:rsidRDefault="00A51B24" w:rsidP="00347912">
            <w:pPr>
              <w:pStyle w:val="7tabulka"/>
              <w:jc w:val="center"/>
              <w:rPr>
                <w:rStyle w:val="NvrhP-text"/>
                <w:sz w:val="20"/>
                <w:szCs w:val="20"/>
              </w:rPr>
            </w:pPr>
            <w:r w:rsidRPr="000138DD">
              <w:rPr>
                <w:rStyle w:val="NvrhP-text"/>
                <w:sz w:val="20"/>
                <w:szCs w:val="20"/>
              </w:rPr>
              <w:t>85,5</w:t>
            </w:r>
          </w:p>
        </w:tc>
        <w:tc>
          <w:tcPr>
            <w:tcW w:w="682" w:type="dxa"/>
            <w:vAlign w:val="bottom"/>
          </w:tcPr>
          <w:p w14:paraId="63553A22" w14:textId="77777777" w:rsidR="00A51B24" w:rsidRPr="000138DD" w:rsidRDefault="00A51B24" w:rsidP="00347912">
            <w:pPr>
              <w:pStyle w:val="7tabulka"/>
              <w:jc w:val="center"/>
              <w:rPr>
                <w:rStyle w:val="NvrhP-text"/>
                <w:sz w:val="20"/>
                <w:szCs w:val="20"/>
              </w:rPr>
            </w:pPr>
            <w:r w:rsidRPr="000138DD">
              <w:rPr>
                <w:rStyle w:val="NvrhP-text"/>
                <w:sz w:val="20"/>
                <w:szCs w:val="20"/>
              </w:rPr>
              <w:t>84,6</w:t>
            </w:r>
          </w:p>
        </w:tc>
        <w:tc>
          <w:tcPr>
            <w:tcW w:w="682" w:type="dxa"/>
            <w:vAlign w:val="bottom"/>
          </w:tcPr>
          <w:p w14:paraId="57A4084F" w14:textId="77777777" w:rsidR="00A51B24" w:rsidRPr="000138DD" w:rsidRDefault="00A51B24" w:rsidP="00347912">
            <w:pPr>
              <w:pStyle w:val="7tabulka"/>
              <w:jc w:val="center"/>
              <w:rPr>
                <w:rStyle w:val="NvrhP-text"/>
                <w:sz w:val="20"/>
                <w:szCs w:val="20"/>
              </w:rPr>
            </w:pPr>
            <w:r w:rsidRPr="000138DD">
              <w:rPr>
                <w:rStyle w:val="NvrhP-text"/>
                <w:sz w:val="20"/>
                <w:szCs w:val="20"/>
              </w:rPr>
              <w:t>88,7</w:t>
            </w:r>
          </w:p>
        </w:tc>
        <w:tc>
          <w:tcPr>
            <w:tcW w:w="682" w:type="dxa"/>
            <w:vAlign w:val="bottom"/>
          </w:tcPr>
          <w:p w14:paraId="4ADFB65C" w14:textId="77777777" w:rsidR="00A51B24" w:rsidRPr="000138DD" w:rsidRDefault="00A51B24" w:rsidP="00347912">
            <w:pPr>
              <w:pStyle w:val="7tabulka"/>
              <w:jc w:val="center"/>
              <w:rPr>
                <w:rStyle w:val="NvrhP-text"/>
                <w:sz w:val="20"/>
                <w:szCs w:val="20"/>
              </w:rPr>
            </w:pPr>
            <w:r w:rsidRPr="000138DD">
              <w:rPr>
                <w:rStyle w:val="NvrhP-text"/>
                <w:sz w:val="20"/>
                <w:szCs w:val="20"/>
              </w:rPr>
              <w:t>94,1</w:t>
            </w:r>
          </w:p>
        </w:tc>
        <w:tc>
          <w:tcPr>
            <w:tcW w:w="682" w:type="dxa"/>
            <w:vAlign w:val="bottom"/>
          </w:tcPr>
          <w:p w14:paraId="0363C456" w14:textId="77777777" w:rsidR="00A51B24" w:rsidRPr="000138DD" w:rsidRDefault="00A51B24" w:rsidP="00347912">
            <w:pPr>
              <w:pStyle w:val="7tabulka"/>
              <w:jc w:val="center"/>
              <w:rPr>
                <w:rStyle w:val="NvrhP-text"/>
                <w:sz w:val="20"/>
                <w:szCs w:val="20"/>
              </w:rPr>
            </w:pPr>
            <w:r w:rsidRPr="000138DD">
              <w:rPr>
                <w:rStyle w:val="NvrhP-text"/>
                <w:sz w:val="20"/>
                <w:szCs w:val="20"/>
              </w:rPr>
              <w:t>98,3</w:t>
            </w:r>
          </w:p>
        </w:tc>
        <w:tc>
          <w:tcPr>
            <w:tcW w:w="682" w:type="dxa"/>
            <w:vAlign w:val="bottom"/>
          </w:tcPr>
          <w:p w14:paraId="256FD3B6" w14:textId="77777777" w:rsidR="00A51B24" w:rsidRPr="000138DD" w:rsidRDefault="00A51B24" w:rsidP="00347912">
            <w:pPr>
              <w:pStyle w:val="7tabulka"/>
              <w:jc w:val="center"/>
              <w:rPr>
                <w:rStyle w:val="NvrhP-text"/>
                <w:sz w:val="20"/>
                <w:szCs w:val="20"/>
              </w:rPr>
            </w:pPr>
            <w:r w:rsidRPr="000138DD">
              <w:rPr>
                <w:rStyle w:val="NvrhP-text"/>
                <w:sz w:val="20"/>
                <w:szCs w:val="20"/>
              </w:rPr>
              <w:t>103,4</w:t>
            </w:r>
          </w:p>
        </w:tc>
        <w:tc>
          <w:tcPr>
            <w:tcW w:w="682" w:type="dxa"/>
            <w:vAlign w:val="bottom"/>
          </w:tcPr>
          <w:p w14:paraId="4E19B6FF" w14:textId="77777777" w:rsidR="00A51B24" w:rsidRPr="000138DD" w:rsidRDefault="00A51B24" w:rsidP="00347912">
            <w:pPr>
              <w:pStyle w:val="7tabulka"/>
              <w:jc w:val="center"/>
              <w:rPr>
                <w:rStyle w:val="NvrhP-text"/>
                <w:sz w:val="20"/>
                <w:szCs w:val="20"/>
              </w:rPr>
            </w:pPr>
            <w:r w:rsidRPr="000138DD">
              <w:rPr>
                <w:rStyle w:val="NvrhP-text"/>
                <w:sz w:val="20"/>
                <w:szCs w:val="20"/>
              </w:rPr>
              <w:t>105,6</w:t>
            </w:r>
          </w:p>
        </w:tc>
        <w:tc>
          <w:tcPr>
            <w:tcW w:w="682" w:type="dxa"/>
            <w:shd w:val="clear" w:color="auto" w:fill="auto"/>
            <w:vAlign w:val="bottom"/>
          </w:tcPr>
          <w:p w14:paraId="4B8E3239" w14:textId="77777777" w:rsidR="00A51B24" w:rsidRPr="000138DD" w:rsidRDefault="00A51B24" w:rsidP="00347912">
            <w:pPr>
              <w:pStyle w:val="7tabulka"/>
              <w:jc w:val="center"/>
              <w:rPr>
                <w:rStyle w:val="NvrhP-text"/>
                <w:sz w:val="20"/>
                <w:szCs w:val="20"/>
              </w:rPr>
            </w:pPr>
            <w:r w:rsidRPr="000138DD">
              <w:rPr>
                <w:rStyle w:val="NvrhP-text"/>
                <w:sz w:val="20"/>
                <w:szCs w:val="20"/>
              </w:rPr>
              <w:t>112,0</w:t>
            </w:r>
          </w:p>
        </w:tc>
      </w:tr>
      <w:tr w:rsidR="00A51B24" w:rsidRPr="000138DD" w14:paraId="1DCB21C9" w14:textId="77777777" w:rsidTr="003C0765">
        <w:trPr>
          <w:trHeight w:val="191"/>
          <w:jc w:val="center"/>
        </w:trPr>
        <w:tc>
          <w:tcPr>
            <w:tcW w:w="2395" w:type="dxa"/>
          </w:tcPr>
          <w:p w14:paraId="398DCB32" w14:textId="77777777" w:rsidR="00A51B24" w:rsidRPr="000138DD" w:rsidRDefault="00A51B24" w:rsidP="00347912">
            <w:pPr>
              <w:pStyle w:val="7tabulka"/>
              <w:rPr>
                <w:rStyle w:val="NvrhP-text"/>
                <w:b/>
                <w:sz w:val="20"/>
                <w:szCs w:val="20"/>
              </w:rPr>
            </w:pPr>
            <w:r w:rsidRPr="000138DD">
              <w:rPr>
                <w:rStyle w:val="NvrhP-text"/>
                <w:b/>
                <w:sz w:val="20"/>
                <w:szCs w:val="20"/>
              </w:rPr>
              <w:t>průměrný věk</w:t>
            </w:r>
          </w:p>
        </w:tc>
        <w:tc>
          <w:tcPr>
            <w:tcW w:w="681" w:type="dxa"/>
            <w:vAlign w:val="bottom"/>
          </w:tcPr>
          <w:p w14:paraId="0FB91E20" w14:textId="77777777" w:rsidR="00A51B24" w:rsidRPr="000138DD" w:rsidRDefault="00A51B24" w:rsidP="00347912">
            <w:pPr>
              <w:pStyle w:val="7tabulka"/>
              <w:jc w:val="center"/>
              <w:rPr>
                <w:rStyle w:val="NvrhP-text"/>
                <w:sz w:val="20"/>
                <w:szCs w:val="20"/>
              </w:rPr>
            </w:pPr>
            <w:r w:rsidRPr="000138DD">
              <w:rPr>
                <w:rStyle w:val="NvrhP-text"/>
                <w:sz w:val="20"/>
                <w:szCs w:val="20"/>
              </w:rPr>
              <w:t>39,3</w:t>
            </w:r>
          </w:p>
        </w:tc>
        <w:tc>
          <w:tcPr>
            <w:tcW w:w="681" w:type="dxa"/>
            <w:vAlign w:val="bottom"/>
          </w:tcPr>
          <w:p w14:paraId="4BC566C0" w14:textId="77777777" w:rsidR="00A51B24" w:rsidRPr="000138DD" w:rsidRDefault="00A51B24" w:rsidP="00347912">
            <w:pPr>
              <w:pStyle w:val="7tabulka"/>
              <w:jc w:val="center"/>
              <w:rPr>
                <w:rStyle w:val="NvrhP-text"/>
                <w:sz w:val="20"/>
                <w:szCs w:val="20"/>
              </w:rPr>
            </w:pPr>
            <w:r w:rsidRPr="000138DD">
              <w:rPr>
                <w:rStyle w:val="NvrhP-text"/>
                <w:sz w:val="20"/>
                <w:szCs w:val="20"/>
              </w:rPr>
              <w:t>39,4</w:t>
            </w:r>
          </w:p>
        </w:tc>
        <w:tc>
          <w:tcPr>
            <w:tcW w:w="681" w:type="dxa"/>
            <w:vAlign w:val="bottom"/>
          </w:tcPr>
          <w:p w14:paraId="6F03A545" w14:textId="77777777" w:rsidR="00A51B24" w:rsidRPr="000138DD" w:rsidRDefault="00A51B24" w:rsidP="00347912">
            <w:pPr>
              <w:pStyle w:val="7tabulka"/>
              <w:jc w:val="center"/>
              <w:rPr>
                <w:rStyle w:val="NvrhP-text"/>
                <w:sz w:val="20"/>
                <w:szCs w:val="20"/>
              </w:rPr>
            </w:pPr>
            <w:r w:rsidRPr="000138DD">
              <w:rPr>
                <w:rStyle w:val="NvrhP-text"/>
                <w:sz w:val="20"/>
                <w:szCs w:val="20"/>
              </w:rPr>
              <w:t>39,4</w:t>
            </w:r>
          </w:p>
        </w:tc>
        <w:tc>
          <w:tcPr>
            <w:tcW w:w="682" w:type="dxa"/>
            <w:vAlign w:val="bottom"/>
          </w:tcPr>
          <w:p w14:paraId="79E839E1" w14:textId="77777777" w:rsidR="00A51B24" w:rsidRPr="000138DD" w:rsidRDefault="00A51B24" w:rsidP="00347912">
            <w:pPr>
              <w:pStyle w:val="7tabulka"/>
              <w:jc w:val="center"/>
              <w:rPr>
                <w:rStyle w:val="NvrhP-text"/>
                <w:sz w:val="20"/>
                <w:szCs w:val="20"/>
              </w:rPr>
            </w:pPr>
            <w:r w:rsidRPr="000138DD">
              <w:rPr>
                <w:rStyle w:val="NvrhP-text"/>
                <w:sz w:val="20"/>
                <w:szCs w:val="20"/>
              </w:rPr>
              <w:t>39,5</w:t>
            </w:r>
          </w:p>
        </w:tc>
        <w:tc>
          <w:tcPr>
            <w:tcW w:w="682" w:type="dxa"/>
            <w:vAlign w:val="bottom"/>
          </w:tcPr>
          <w:p w14:paraId="5D0169A4" w14:textId="77777777" w:rsidR="00A51B24" w:rsidRPr="000138DD" w:rsidRDefault="00A51B24" w:rsidP="00347912">
            <w:pPr>
              <w:pStyle w:val="7tabulka"/>
              <w:jc w:val="center"/>
              <w:rPr>
                <w:rStyle w:val="NvrhP-text"/>
                <w:sz w:val="20"/>
                <w:szCs w:val="20"/>
              </w:rPr>
            </w:pPr>
            <w:r w:rsidRPr="000138DD">
              <w:rPr>
                <w:rStyle w:val="NvrhP-text"/>
                <w:sz w:val="20"/>
                <w:szCs w:val="20"/>
              </w:rPr>
              <w:t>39,9</w:t>
            </w:r>
          </w:p>
        </w:tc>
        <w:tc>
          <w:tcPr>
            <w:tcW w:w="682" w:type="dxa"/>
            <w:vAlign w:val="bottom"/>
          </w:tcPr>
          <w:p w14:paraId="1A3EB0FE" w14:textId="77777777" w:rsidR="00A51B24" w:rsidRPr="000138DD" w:rsidRDefault="00A51B24" w:rsidP="00347912">
            <w:pPr>
              <w:pStyle w:val="7tabulka"/>
              <w:jc w:val="center"/>
              <w:rPr>
                <w:rStyle w:val="NvrhP-text"/>
                <w:sz w:val="20"/>
                <w:szCs w:val="20"/>
              </w:rPr>
            </w:pPr>
            <w:r w:rsidRPr="000138DD">
              <w:rPr>
                <w:rStyle w:val="NvrhP-text"/>
                <w:sz w:val="20"/>
                <w:szCs w:val="20"/>
              </w:rPr>
              <w:t>40,1</w:t>
            </w:r>
          </w:p>
        </w:tc>
        <w:tc>
          <w:tcPr>
            <w:tcW w:w="682" w:type="dxa"/>
            <w:vAlign w:val="bottom"/>
          </w:tcPr>
          <w:p w14:paraId="7218AFC6" w14:textId="77777777" w:rsidR="00A51B24" w:rsidRPr="000138DD" w:rsidRDefault="00A51B24" w:rsidP="00347912">
            <w:pPr>
              <w:pStyle w:val="7tabulka"/>
              <w:jc w:val="center"/>
              <w:rPr>
                <w:rStyle w:val="NvrhP-text"/>
                <w:sz w:val="20"/>
                <w:szCs w:val="20"/>
              </w:rPr>
            </w:pPr>
            <w:r w:rsidRPr="000138DD">
              <w:rPr>
                <w:rStyle w:val="NvrhP-text"/>
                <w:sz w:val="20"/>
                <w:szCs w:val="20"/>
              </w:rPr>
              <w:t>40,3</w:t>
            </w:r>
          </w:p>
        </w:tc>
        <w:tc>
          <w:tcPr>
            <w:tcW w:w="682" w:type="dxa"/>
            <w:vAlign w:val="bottom"/>
          </w:tcPr>
          <w:p w14:paraId="381C4547" w14:textId="77777777" w:rsidR="00A51B24" w:rsidRPr="000138DD" w:rsidRDefault="00A51B24" w:rsidP="00347912">
            <w:pPr>
              <w:pStyle w:val="7tabulka"/>
              <w:jc w:val="center"/>
              <w:rPr>
                <w:rStyle w:val="NvrhP-text"/>
                <w:sz w:val="20"/>
                <w:szCs w:val="20"/>
              </w:rPr>
            </w:pPr>
            <w:r w:rsidRPr="000138DD">
              <w:rPr>
                <w:rStyle w:val="NvrhP-text"/>
                <w:sz w:val="20"/>
                <w:szCs w:val="20"/>
              </w:rPr>
              <w:t>40,6</w:t>
            </w:r>
          </w:p>
        </w:tc>
        <w:tc>
          <w:tcPr>
            <w:tcW w:w="682" w:type="dxa"/>
            <w:vAlign w:val="bottom"/>
          </w:tcPr>
          <w:p w14:paraId="2F9A827F" w14:textId="77777777" w:rsidR="00A51B24" w:rsidRPr="000138DD" w:rsidRDefault="00A51B24" w:rsidP="00347912">
            <w:pPr>
              <w:pStyle w:val="7tabulka"/>
              <w:jc w:val="center"/>
              <w:rPr>
                <w:rStyle w:val="NvrhP-text"/>
                <w:sz w:val="20"/>
                <w:szCs w:val="20"/>
              </w:rPr>
            </w:pPr>
            <w:r w:rsidRPr="000138DD">
              <w:rPr>
                <w:rStyle w:val="NvrhP-text"/>
                <w:sz w:val="20"/>
                <w:szCs w:val="20"/>
              </w:rPr>
              <w:t>40,7</w:t>
            </w:r>
          </w:p>
        </w:tc>
        <w:tc>
          <w:tcPr>
            <w:tcW w:w="682" w:type="dxa"/>
            <w:shd w:val="clear" w:color="auto" w:fill="auto"/>
            <w:vAlign w:val="bottom"/>
          </w:tcPr>
          <w:p w14:paraId="558D0379" w14:textId="77777777" w:rsidR="00A51B24" w:rsidRPr="000138DD" w:rsidRDefault="00A51B24" w:rsidP="00347912">
            <w:pPr>
              <w:pStyle w:val="7tabulka"/>
              <w:jc w:val="center"/>
              <w:rPr>
                <w:rStyle w:val="NvrhP-text"/>
                <w:sz w:val="20"/>
                <w:szCs w:val="20"/>
              </w:rPr>
            </w:pPr>
            <w:r w:rsidRPr="000138DD">
              <w:rPr>
                <w:rStyle w:val="NvrhP-text"/>
                <w:sz w:val="20"/>
                <w:szCs w:val="20"/>
              </w:rPr>
              <w:t>41,0</w:t>
            </w:r>
          </w:p>
        </w:tc>
      </w:tr>
    </w:tbl>
    <w:p w14:paraId="14DBD3EB" w14:textId="77777777" w:rsidR="00A51B24" w:rsidRPr="00461C16" w:rsidRDefault="00A51B24" w:rsidP="00CF1E38">
      <w:pPr>
        <w:spacing w:before="240" w:after="120"/>
        <w:rPr>
          <w:rStyle w:val="NvrhP-text"/>
        </w:rPr>
      </w:pPr>
      <w:r w:rsidRPr="00461C16">
        <w:rPr>
          <w:rStyle w:val="NvrhP-text"/>
        </w:rPr>
        <w:t xml:space="preserve">Z uvedených demografických údajů vyplývá, že vývoj obyvatelstva ve městě je poměrně příznivý, ačkoliv v posledních třech letech dochází ke kolísání počtu obyvatel. </w:t>
      </w:r>
    </w:p>
    <w:p w14:paraId="505DA52D" w14:textId="77777777" w:rsidR="00A51B24" w:rsidRPr="00461C16" w:rsidRDefault="00A51B24" w:rsidP="003C0765">
      <w:pPr>
        <w:spacing w:before="120" w:after="240"/>
        <w:rPr>
          <w:rStyle w:val="NvrhP-text"/>
        </w:rPr>
      </w:pPr>
      <w:r w:rsidRPr="00461C16">
        <w:rPr>
          <w:rStyle w:val="NvrhP-text"/>
        </w:rPr>
        <w:lastRenderedPageBreak/>
        <w:t>V krátkodobém měřítku je tedy patrný mírný nárůst počtu obyvatel, kdy mezi lety 2007 a 2016 tento počet vzrostl o 128 obyvatel, tedy oproti roku 2007 téměř o +1,7 %. Jak vyplývá z výše uvedené tabulky, nárůst počtu obyvatel je zapříčiněn zejména kladnými migračními přírůstky, které ve většině případů výrazným způsobem převyšují přírůstky přirozené.</w:t>
      </w:r>
    </w:p>
    <w:tbl>
      <w:tblPr>
        <w:tblW w:w="500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70" w:type="dxa"/>
          <w:right w:w="70" w:type="dxa"/>
        </w:tblCellMar>
        <w:tblLook w:val="0000" w:firstRow="0" w:lastRow="0" w:firstColumn="0" w:lastColumn="0" w:noHBand="0" w:noVBand="0"/>
      </w:tblPr>
      <w:tblGrid>
        <w:gridCol w:w="2396"/>
        <w:gridCol w:w="681"/>
        <w:gridCol w:w="681"/>
        <w:gridCol w:w="681"/>
        <w:gridCol w:w="682"/>
        <w:gridCol w:w="682"/>
        <w:gridCol w:w="682"/>
        <w:gridCol w:w="682"/>
        <w:gridCol w:w="682"/>
        <w:gridCol w:w="682"/>
        <w:gridCol w:w="682"/>
      </w:tblGrid>
      <w:tr w:rsidR="00A51B24" w:rsidRPr="00461C16" w14:paraId="076E3DF1" w14:textId="77777777" w:rsidTr="000138DD">
        <w:trPr>
          <w:jc w:val="center"/>
        </w:trPr>
        <w:tc>
          <w:tcPr>
            <w:tcW w:w="2395" w:type="dxa"/>
            <w:shd w:val="clear" w:color="auto" w:fill="F2F2F2" w:themeFill="background1" w:themeFillShade="F2"/>
          </w:tcPr>
          <w:p w14:paraId="3396A224" w14:textId="77777777" w:rsidR="00A51B24" w:rsidRPr="0002057E" w:rsidRDefault="00A51B24" w:rsidP="00347912">
            <w:pPr>
              <w:pStyle w:val="7tabulka"/>
              <w:rPr>
                <w:rStyle w:val="NvrhP-text"/>
                <w:b/>
                <w:sz w:val="20"/>
                <w:szCs w:val="20"/>
              </w:rPr>
            </w:pPr>
            <w:r w:rsidRPr="0002057E">
              <w:rPr>
                <w:rStyle w:val="NvrhP-text"/>
                <w:b/>
                <w:sz w:val="20"/>
                <w:szCs w:val="20"/>
              </w:rPr>
              <w:t>Rok</w:t>
            </w:r>
          </w:p>
        </w:tc>
        <w:tc>
          <w:tcPr>
            <w:tcW w:w="681" w:type="dxa"/>
            <w:shd w:val="clear" w:color="auto" w:fill="F2F2F2" w:themeFill="background1" w:themeFillShade="F2"/>
          </w:tcPr>
          <w:p w14:paraId="34D6FD0B" w14:textId="77777777" w:rsidR="00A51B24" w:rsidRPr="0002057E" w:rsidRDefault="00A51B24" w:rsidP="00347912">
            <w:pPr>
              <w:pStyle w:val="7tabulka"/>
              <w:jc w:val="center"/>
              <w:rPr>
                <w:rStyle w:val="NvrhP-text"/>
                <w:b/>
                <w:sz w:val="20"/>
                <w:szCs w:val="20"/>
              </w:rPr>
            </w:pPr>
            <w:r w:rsidRPr="0002057E">
              <w:rPr>
                <w:rStyle w:val="NvrhP-text"/>
                <w:b/>
                <w:sz w:val="20"/>
                <w:szCs w:val="20"/>
              </w:rPr>
              <w:t>2007</w:t>
            </w:r>
          </w:p>
        </w:tc>
        <w:tc>
          <w:tcPr>
            <w:tcW w:w="681" w:type="dxa"/>
            <w:shd w:val="clear" w:color="auto" w:fill="F2F2F2" w:themeFill="background1" w:themeFillShade="F2"/>
          </w:tcPr>
          <w:p w14:paraId="36B67127" w14:textId="77777777" w:rsidR="00A51B24" w:rsidRPr="0002057E" w:rsidRDefault="00A51B24" w:rsidP="00347912">
            <w:pPr>
              <w:pStyle w:val="7tabulka"/>
              <w:jc w:val="center"/>
              <w:rPr>
                <w:rStyle w:val="NvrhP-text"/>
                <w:b/>
                <w:sz w:val="20"/>
                <w:szCs w:val="20"/>
              </w:rPr>
            </w:pPr>
            <w:r w:rsidRPr="0002057E">
              <w:rPr>
                <w:rStyle w:val="NvrhP-text"/>
                <w:b/>
                <w:sz w:val="20"/>
                <w:szCs w:val="20"/>
              </w:rPr>
              <w:t>2008</w:t>
            </w:r>
          </w:p>
        </w:tc>
        <w:tc>
          <w:tcPr>
            <w:tcW w:w="681" w:type="dxa"/>
            <w:shd w:val="clear" w:color="auto" w:fill="F2F2F2" w:themeFill="background1" w:themeFillShade="F2"/>
          </w:tcPr>
          <w:p w14:paraId="101FBD10" w14:textId="77777777" w:rsidR="00A51B24" w:rsidRPr="0002057E" w:rsidRDefault="00A51B24" w:rsidP="00347912">
            <w:pPr>
              <w:pStyle w:val="7tabulka"/>
              <w:jc w:val="center"/>
              <w:rPr>
                <w:rStyle w:val="NvrhP-text"/>
                <w:b/>
                <w:sz w:val="20"/>
                <w:szCs w:val="20"/>
              </w:rPr>
            </w:pPr>
            <w:r w:rsidRPr="0002057E">
              <w:rPr>
                <w:rStyle w:val="NvrhP-text"/>
                <w:b/>
                <w:sz w:val="20"/>
                <w:szCs w:val="20"/>
              </w:rPr>
              <w:t>2009</w:t>
            </w:r>
          </w:p>
        </w:tc>
        <w:tc>
          <w:tcPr>
            <w:tcW w:w="682" w:type="dxa"/>
            <w:shd w:val="clear" w:color="auto" w:fill="F2F2F2" w:themeFill="background1" w:themeFillShade="F2"/>
          </w:tcPr>
          <w:p w14:paraId="2CA4C4C3" w14:textId="77777777" w:rsidR="00A51B24" w:rsidRPr="0002057E" w:rsidRDefault="00A51B24" w:rsidP="00347912">
            <w:pPr>
              <w:pStyle w:val="7tabulka"/>
              <w:jc w:val="center"/>
              <w:rPr>
                <w:rStyle w:val="NvrhP-text"/>
                <w:b/>
                <w:sz w:val="20"/>
                <w:szCs w:val="20"/>
              </w:rPr>
            </w:pPr>
            <w:r w:rsidRPr="0002057E">
              <w:rPr>
                <w:rStyle w:val="NvrhP-text"/>
                <w:b/>
                <w:sz w:val="20"/>
                <w:szCs w:val="20"/>
              </w:rPr>
              <w:t>2010</w:t>
            </w:r>
          </w:p>
        </w:tc>
        <w:tc>
          <w:tcPr>
            <w:tcW w:w="682" w:type="dxa"/>
            <w:shd w:val="clear" w:color="auto" w:fill="F2F2F2" w:themeFill="background1" w:themeFillShade="F2"/>
          </w:tcPr>
          <w:p w14:paraId="481D3E49" w14:textId="77777777" w:rsidR="00A51B24" w:rsidRPr="0002057E" w:rsidRDefault="00A51B24" w:rsidP="00347912">
            <w:pPr>
              <w:pStyle w:val="7tabulka"/>
              <w:jc w:val="center"/>
              <w:rPr>
                <w:rStyle w:val="NvrhP-text"/>
                <w:b/>
                <w:sz w:val="20"/>
                <w:szCs w:val="20"/>
              </w:rPr>
            </w:pPr>
            <w:r w:rsidRPr="0002057E">
              <w:rPr>
                <w:rStyle w:val="NvrhP-text"/>
                <w:b/>
                <w:sz w:val="20"/>
                <w:szCs w:val="20"/>
              </w:rPr>
              <w:t>2011</w:t>
            </w:r>
          </w:p>
        </w:tc>
        <w:tc>
          <w:tcPr>
            <w:tcW w:w="682" w:type="dxa"/>
            <w:shd w:val="clear" w:color="auto" w:fill="F2F2F2" w:themeFill="background1" w:themeFillShade="F2"/>
          </w:tcPr>
          <w:p w14:paraId="24EB615F" w14:textId="77777777" w:rsidR="00A51B24" w:rsidRPr="0002057E" w:rsidRDefault="00A51B24" w:rsidP="00347912">
            <w:pPr>
              <w:pStyle w:val="7tabulka"/>
              <w:jc w:val="center"/>
              <w:rPr>
                <w:rStyle w:val="NvrhP-text"/>
                <w:b/>
                <w:sz w:val="20"/>
                <w:szCs w:val="20"/>
              </w:rPr>
            </w:pPr>
            <w:r w:rsidRPr="0002057E">
              <w:rPr>
                <w:rStyle w:val="NvrhP-text"/>
                <w:b/>
                <w:sz w:val="20"/>
                <w:szCs w:val="20"/>
              </w:rPr>
              <w:t>2012</w:t>
            </w:r>
          </w:p>
        </w:tc>
        <w:tc>
          <w:tcPr>
            <w:tcW w:w="682" w:type="dxa"/>
            <w:shd w:val="clear" w:color="auto" w:fill="F2F2F2" w:themeFill="background1" w:themeFillShade="F2"/>
          </w:tcPr>
          <w:p w14:paraId="75032DBC" w14:textId="77777777" w:rsidR="00A51B24" w:rsidRPr="0002057E" w:rsidRDefault="00A51B24" w:rsidP="00347912">
            <w:pPr>
              <w:pStyle w:val="7tabulka"/>
              <w:jc w:val="center"/>
              <w:rPr>
                <w:rStyle w:val="NvrhP-text"/>
                <w:b/>
                <w:sz w:val="20"/>
                <w:szCs w:val="20"/>
              </w:rPr>
            </w:pPr>
            <w:r w:rsidRPr="0002057E">
              <w:rPr>
                <w:rStyle w:val="NvrhP-text"/>
                <w:b/>
                <w:sz w:val="20"/>
                <w:szCs w:val="20"/>
              </w:rPr>
              <w:t>2013</w:t>
            </w:r>
          </w:p>
        </w:tc>
        <w:tc>
          <w:tcPr>
            <w:tcW w:w="682" w:type="dxa"/>
            <w:shd w:val="clear" w:color="auto" w:fill="F2F2F2" w:themeFill="background1" w:themeFillShade="F2"/>
          </w:tcPr>
          <w:p w14:paraId="15FE764B" w14:textId="77777777" w:rsidR="00A51B24" w:rsidRPr="0002057E" w:rsidRDefault="00A51B24" w:rsidP="00347912">
            <w:pPr>
              <w:pStyle w:val="7tabulka"/>
              <w:jc w:val="center"/>
              <w:rPr>
                <w:rStyle w:val="NvrhP-text"/>
                <w:b/>
                <w:sz w:val="20"/>
                <w:szCs w:val="20"/>
              </w:rPr>
            </w:pPr>
            <w:r w:rsidRPr="0002057E">
              <w:rPr>
                <w:rStyle w:val="NvrhP-text"/>
                <w:b/>
                <w:sz w:val="20"/>
                <w:szCs w:val="20"/>
              </w:rPr>
              <w:t>2014</w:t>
            </w:r>
          </w:p>
        </w:tc>
        <w:tc>
          <w:tcPr>
            <w:tcW w:w="682" w:type="dxa"/>
            <w:shd w:val="clear" w:color="auto" w:fill="F2F2F2" w:themeFill="background1" w:themeFillShade="F2"/>
          </w:tcPr>
          <w:p w14:paraId="5E0CCB6C" w14:textId="77777777" w:rsidR="00A51B24" w:rsidRPr="0002057E" w:rsidRDefault="00A51B24" w:rsidP="00347912">
            <w:pPr>
              <w:pStyle w:val="7tabulka"/>
              <w:jc w:val="center"/>
              <w:rPr>
                <w:rStyle w:val="NvrhP-text"/>
                <w:b/>
                <w:sz w:val="20"/>
                <w:szCs w:val="20"/>
              </w:rPr>
            </w:pPr>
            <w:r w:rsidRPr="0002057E">
              <w:rPr>
                <w:rStyle w:val="NvrhP-text"/>
                <w:b/>
                <w:sz w:val="20"/>
                <w:szCs w:val="20"/>
              </w:rPr>
              <w:t>2015</w:t>
            </w:r>
          </w:p>
        </w:tc>
        <w:tc>
          <w:tcPr>
            <w:tcW w:w="682" w:type="dxa"/>
            <w:shd w:val="clear" w:color="auto" w:fill="F2F2F2" w:themeFill="background1" w:themeFillShade="F2"/>
          </w:tcPr>
          <w:p w14:paraId="2BE4E692" w14:textId="77777777" w:rsidR="00A51B24" w:rsidRPr="0002057E" w:rsidRDefault="00A51B24" w:rsidP="00347912">
            <w:pPr>
              <w:pStyle w:val="7tabulka"/>
              <w:jc w:val="center"/>
              <w:rPr>
                <w:rStyle w:val="NvrhP-text"/>
                <w:b/>
                <w:sz w:val="20"/>
                <w:szCs w:val="20"/>
              </w:rPr>
            </w:pPr>
            <w:r w:rsidRPr="0002057E">
              <w:rPr>
                <w:rStyle w:val="NvrhP-text"/>
                <w:b/>
                <w:sz w:val="20"/>
                <w:szCs w:val="20"/>
              </w:rPr>
              <w:t>2016</w:t>
            </w:r>
          </w:p>
        </w:tc>
      </w:tr>
      <w:tr w:rsidR="00A51B24" w:rsidRPr="00461C16" w14:paraId="1E931BBC" w14:textId="77777777" w:rsidTr="003C0765">
        <w:trPr>
          <w:trHeight w:val="191"/>
          <w:jc w:val="center"/>
        </w:trPr>
        <w:tc>
          <w:tcPr>
            <w:tcW w:w="2395" w:type="dxa"/>
          </w:tcPr>
          <w:p w14:paraId="2B4B044B" w14:textId="77777777" w:rsidR="00A51B24" w:rsidRPr="0002057E" w:rsidRDefault="00A51B24" w:rsidP="0002057E">
            <w:pPr>
              <w:pStyle w:val="7tabulka"/>
              <w:jc w:val="left"/>
              <w:rPr>
                <w:rStyle w:val="NvrhP-text"/>
                <w:b/>
                <w:sz w:val="20"/>
                <w:szCs w:val="20"/>
              </w:rPr>
            </w:pPr>
            <w:r w:rsidRPr="0002057E">
              <w:rPr>
                <w:rStyle w:val="NvrhP-text"/>
                <w:b/>
                <w:sz w:val="20"/>
                <w:szCs w:val="20"/>
              </w:rPr>
              <w:t>počet dokončených bytů celkem</w:t>
            </w:r>
          </w:p>
        </w:tc>
        <w:tc>
          <w:tcPr>
            <w:tcW w:w="681" w:type="dxa"/>
            <w:vAlign w:val="bottom"/>
          </w:tcPr>
          <w:p w14:paraId="77F07E7E" w14:textId="77777777" w:rsidR="00A51B24" w:rsidRPr="0002057E" w:rsidRDefault="00A51B24" w:rsidP="00347912">
            <w:pPr>
              <w:pStyle w:val="7tabulka"/>
              <w:jc w:val="center"/>
              <w:rPr>
                <w:rStyle w:val="NvrhP-text"/>
                <w:sz w:val="20"/>
                <w:szCs w:val="20"/>
              </w:rPr>
            </w:pPr>
            <w:r w:rsidRPr="0002057E">
              <w:rPr>
                <w:rStyle w:val="NvrhP-text"/>
                <w:sz w:val="20"/>
                <w:szCs w:val="20"/>
              </w:rPr>
              <w:t>0</w:t>
            </w:r>
          </w:p>
        </w:tc>
        <w:tc>
          <w:tcPr>
            <w:tcW w:w="681" w:type="dxa"/>
            <w:vAlign w:val="bottom"/>
          </w:tcPr>
          <w:p w14:paraId="6031B264" w14:textId="77777777" w:rsidR="00A51B24" w:rsidRPr="0002057E" w:rsidRDefault="00A51B24" w:rsidP="00347912">
            <w:pPr>
              <w:pStyle w:val="7tabulka"/>
              <w:jc w:val="center"/>
              <w:rPr>
                <w:rStyle w:val="NvrhP-text"/>
                <w:sz w:val="20"/>
                <w:szCs w:val="20"/>
              </w:rPr>
            </w:pPr>
            <w:r w:rsidRPr="0002057E">
              <w:rPr>
                <w:rStyle w:val="NvrhP-text"/>
                <w:sz w:val="20"/>
                <w:szCs w:val="20"/>
              </w:rPr>
              <w:t>50</w:t>
            </w:r>
          </w:p>
        </w:tc>
        <w:tc>
          <w:tcPr>
            <w:tcW w:w="681" w:type="dxa"/>
            <w:vAlign w:val="bottom"/>
          </w:tcPr>
          <w:p w14:paraId="6D9581AA" w14:textId="77777777" w:rsidR="00A51B24" w:rsidRPr="0002057E" w:rsidRDefault="00A51B24" w:rsidP="00347912">
            <w:pPr>
              <w:pStyle w:val="7tabulka"/>
              <w:jc w:val="center"/>
              <w:rPr>
                <w:rStyle w:val="NvrhP-text"/>
                <w:sz w:val="20"/>
                <w:szCs w:val="20"/>
              </w:rPr>
            </w:pPr>
            <w:r w:rsidRPr="0002057E">
              <w:rPr>
                <w:rStyle w:val="NvrhP-text"/>
                <w:sz w:val="20"/>
                <w:szCs w:val="20"/>
              </w:rPr>
              <w:t>34</w:t>
            </w:r>
          </w:p>
        </w:tc>
        <w:tc>
          <w:tcPr>
            <w:tcW w:w="682" w:type="dxa"/>
            <w:vAlign w:val="bottom"/>
          </w:tcPr>
          <w:p w14:paraId="1B9C40B5" w14:textId="77777777" w:rsidR="00A51B24" w:rsidRPr="0002057E" w:rsidRDefault="00A51B24" w:rsidP="00347912">
            <w:pPr>
              <w:pStyle w:val="7tabulka"/>
              <w:jc w:val="center"/>
              <w:rPr>
                <w:rStyle w:val="NvrhP-text"/>
                <w:sz w:val="20"/>
                <w:szCs w:val="20"/>
              </w:rPr>
            </w:pPr>
            <w:r w:rsidRPr="0002057E">
              <w:rPr>
                <w:rStyle w:val="NvrhP-text"/>
                <w:sz w:val="20"/>
                <w:szCs w:val="20"/>
              </w:rPr>
              <w:t>17</w:t>
            </w:r>
          </w:p>
        </w:tc>
        <w:tc>
          <w:tcPr>
            <w:tcW w:w="682" w:type="dxa"/>
            <w:vAlign w:val="bottom"/>
          </w:tcPr>
          <w:p w14:paraId="546B3399" w14:textId="77777777" w:rsidR="00A51B24" w:rsidRPr="0002057E" w:rsidRDefault="00A51B24" w:rsidP="00347912">
            <w:pPr>
              <w:pStyle w:val="7tabulka"/>
              <w:jc w:val="center"/>
              <w:rPr>
                <w:rStyle w:val="NvrhP-text"/>
                <w:sz w:val="20"/>
                <w:szCs w:val="20"/>
              </w:rPr>
            </w:pPr>
            <w:r w:rsidRPr="0002057E">
              <w:rPr>
                <w:rStyle w:val="NvrhP-text"/>
                <w:sz w:val="20"/>
                <w:szCs w:val="20"/>
              </w:rPr>
              <w:t>7</w:t>
            </w:r>
          </w:p>
        </w:tc>
        <w:tc>
          <w:tcPr>
            <w:tcW w:w="682" w:type="dxa"/>
            <w:vAlign w:val="bottom"/>
          </w:tcPr>
          <w:p w14:paraId="2FA7583D" w14:textId="77777777" w:rsidR="00A51B24" w:rsidRPr="0002057E" w:rsidRDefault="00A51B24" w:rsidP="00347912">
            <w:pPr>
              <w:pStyle w:val="7tabulka"/>
              <w:jc w:val="center"/>
              <w:rPr>
                <w:rStyle w:val="NvrhP-text"/>
                <w:sz w:val="20"/>
                <w:szCs w:val="20"/>
              </w:rPr>
            </w:pPr>
            <w:r w:rsidRPr="0002057E">
              <w:rPr>
                <w:rStyle w:val="NvrhP-text"/>
                <w:sz w:val="20"/>
                <w:szCs w:val="20"/>
              </w:rPr>
              <w:t>12</w:t>
            </w:r>
          </w:p>
        </w:tc>
        <w:tc>
          <w:tcPr>
            <w:tcW w:w="682" w:type="dxa"/>
            <w:vAlign w:val="bottom"/>
          </w:tcPr>
          <w:p w14:paraId="41F0E5F7" w14:textId="77777777" w:rsidR="00A51B24" w:rsidRPr="0002057E" w:rsidRDefault="00A51B24" w:rsidP="00347912">
            <w:pPr>
              <w:pStyle w:val="7tabulka"/>
              <w:jc w:val="center"/>
              <w:rPr>
                <w:rStyle w:val="NvrhP-text"/>
                <w:sz w:val="20"/>
                <w:szCs w:val="20"/>
              </w:rPr>
            </w:pPr>
            <w:r w:rsidRPr="0002057E">
              <w:rPr>
                <w:rStyle w:val="NvrhP-text"/>
                <w:sz w:val="20"/>
                <w:szCs w:val="20"/>
              </w:rPr>
              <w:t>7</w:t>
            </w:r>
          </w:p>
        </w:tc>
        <w:tc>
          <w:tcPr>
            <w:tcW w:w="682" w:type="dxa"/>
            <w:vAlign w:val="bottom"/>
          </w:tcPr>
          <w:p w14:paraId="51B30B59" w14:textId="77777777" w:rsidR="00A51B24" w:rsidRPr="0002057E" w:rsidRDefault="00A51B24" w:rsidP="00347912">
            <w:pPr>
              <w:pStyle w:val="7tabulka"/>
              <w:jc w:val="center"/>
              <w:rPr>
                <w:rStyle w:val="NvrhP-text"/>
                <w:sz w:val="20"/>
                <w:szCs w:val="20"/>
              </w:rPr>
            </w:pPr>
            <w:r w:rsidRPr="0002057E">
              <w:rPr>
                <w:rStyle w:val="NvrhP-text"/>
                <w:sz w:val="20"/>
                <w:szCs w:val="20"/>
              </w:rPr>
              <w:t>1</w:t>
            </w:r>
          </w:p>
        </w:tc>
        <w:tc>
          <w:tcPr>
            <w:tcW w:w="682" w:type="dxa"/>
            <w:vAlign w:val="bottom"/>
          </w:tcPr>
          <w:p w14:paraId="5CC72E45" w14:textId="77777777" w:rsidR="00A51B24" w:rsidRPr="0002057E" w:rsidRDefault="00A51B24" w:rsidP="00347912">
            <w:pPr>
              <w:pStyle w:val="7tabulka"/>
              <w:jc w:val="center"/>
              <w:rPr>
                <w:rStyle w:val="NvrhP-text"/>
                <w:sz w:val="20"/>
                <w:szCs w:val="20"/>
              </w:rPr>
            </w:pPr>
            <w:r w:rsidRPr="0002057E">
              <w:rPr>
                <w:rStyle w:val="NvrhP-text"/>
                <w:sz w:val="20"/>
                <w:szCs w:val="20"/>
              </w:rPr>
              <w:t>5</w:t>
            </w:r>
          </w:p>
        </w:tc>
        <w:tc>
          <w:tcPr>
            <w:tcW w:w="682" w:type="dxa"/>
            <w:shd w:val="clear" w:color="auto" w:fill="auto"/>
            <w:vAlign w:val="bottom"/>
          </w:tcPr>
          <w:p w14:paraId="6046FE35" w14:textId="77777777" w:rsidR="00A51B24" w:rsidRPr="0002057E" w:rsidRDefault="00A51B24" w:rsidP="00347912">
            <w:pPr>
              <w:pStyle w:val="7tabulka"/>
              <w:jc w:val="center"/>
              <w:rPr>
                <w:rStyle w:val="NvrhP-text"/>
                <w:sz w:val="20"/>
                <w:szCs w:val="20"/>
              </w:rPr>
            </w:pPr>
            <w:r w:rsidRPr="0002057E">
              <w:rPr>
                <w:rStyle w:val="NvrhP-text"/>
                <w:sz w:val="20"/>
                <w:szCs w:val="20"/>
              </w:rPr>
              <w:t>4</w:t>
            </w:r>
          </w:p>
        </w:tc>
      </w:tr>
    </w:tbl>
    <w:p w14:paraId="0C9BC508" w14:textId="77777777" w:rsidR="00A51B24" w:rsidRPr="00461C16" w:rsidRDefault="00A51B24" w:rsidP="00A51B24">
      <w:pPr>
        <w:spacing w:before="120" w:after="120"/>
        <w:rPr>
          <w:rStyle w:val="NvrhP-text"/>
        </w:rPr>
      </w:pPr>
      <w:r w:rsidRPr="00461C16">
        <w:rPr>
          <w:rStyle w:val="NvrhP-text"/>
        </w:rPr>
        <w:t>Z uvedeného vývoje lze usuzovat jistou stabilitu počtu obyvatel, kterou lze udržet v první řadě za cenu imigrační atraktivity města. Ta spočívá především v nabídce kvalitního bydlení, veřejné infrastruktury a vytváření podmínek pro volnočasové aktivity. Z toho důvodu musí být vytvořeny podmínky pro bydlení, zejména potřebným množstvím nově vymezených zastavitelných ploch.</w:t>
      </w:r>
    </w:p>
    <w:p w14:paraId="4EE26D31" w14:textId="77777777" w:rsidR="00CF1E38" w:rsidRDefault="00CF1E38" w:rsidP="00A51B24">
      <w:pPr>
        <w:spacing w:before="120" w:after="120"/>
      </w:pPr>
      <w:r w:rsidRPr="0013753D">
        <w:t>Mezi lety 2013 – 2017 bylo v Hrádku nad Nisou vydáno celkem 57 povolení ke stavbě rodinného domu a 58 rodinných domů zkolaudovaných. V posledních pěti letech bylo v Hrádku postaveno celkem 78 nových bytů</w:t>
      </w:r>
      <w:r w:rsidR="004764EF" w:rsidRPr="004764EF">
        <w:rPr>
          <w:rStyle w:val="FootnoteReference"/>
        </w:rPr>
        <w:footnoteReference w:id="3"/>
      </w:r>
      <w:r w:rsidR="004764EF">
        <w:t>:</w:t>
      </w:r>
    </w:p>
    <w:tbl>
      <w:tblPr>
        <w:tblStyle w:val="TableGrid"/>
        <w:tblW w:w="0" w:type="auto"/>
        <w:tblLook w:val="04A0" w:firstRow="1" w:lastRow="0" w:firstColumn="1" w:lastColumn="0" w:noHBand="0" w:noVBand="1"/>
      </w:tblPr>
      <w:tblGrid>
        <w:gridCol w:w="675"/>
        <w:gridCol w:w="2845"/>
        <w:gridCol w:w="2846"/>
        <w:gridCol w:w="2846"/>
      </w:tblGrid>
      <w:tr w:rsidR="004764EF" w14:paraId="44F8E775" w14:textId="77777777" w:rsidTr="000138DD">
        <w:tc>
          <w:tcPr>
            <w:tcW w:w="675" w:type="dxa"/>
            <w:shd w:val="clear" w:color="auto" w:fill="F2F2F2" w:themeFill="background1" w:themeFillShade="F2"/>
          </w:tcPr>
          <w:p w14:paraId="5F83CDDC" w14:textId="77777777" w:rsidR="004764EF" w:rsidRPr="0002057E" w:rsidRDefault="004764EF" w:rsidP="00A51B24">
            <w:pPr>
              <w:spacing w:before="120" w:after="120"/>
              <w:rPr>
                <w:b/>
                <w:sz w:val="20"/>
                <w:szCs w:val="20"/>
              </w:rPr>
            </w:pPr>
            <w:r w:rsidRPr="0002057E">
              <w:rPr>
                <w:b/>
                <w:sz w:val="20"/>
                <w:szCs w:val="20"/>
              </w:rPr>
              <w:t>Rok</w:t>
            </w:r>
          </w:p>
        </w:tc>
        <w:tc>
          <w:tcPr>
            <w:tcW w:w="2845" w:type="dxa"/>
            <w:shd w:val="clear" w:color="auto" w:fill="F2F2F2" w:themeFill="background1" w:themeFillShade="F2"/>
          </w:tcPr>
          <w:p w14:paraId="5E7D61B0" w14:textId="77777777" w:rsidR="004764EF" w:rsidRPr="0002057E" w:rsidRDefault="004764EF" w:rsidP="00A51B24">
            <w:pPr>
              <w:spacing w:before="120" w:after="120"/>
              <w:rPr>
                <w:b/>
                <w:sz w:val="20"/>
                <w:szCs w:val="20"/>
              </w:rPr>
            </w:pPr>
            <w:r w:rsidRPr="0002057E">
              <w:rPr>
                <w:b/>
                <w:sz w:val="20"/>
                <w:szCs w:val="20"/>
              </w:rPr>
              <w:t>počet povolených RD</w:t>
            </w:r>
          </w:p>
        </w:tc>
        <w:tc>
          <w:tcPr>
            <w:tcW w:w="2846" w:type="dxa"/>
            <w:shd w:val="clear" w:color="auto" w:fill="F2F2F2" w:themeFill="background1" w:themeFillShade="F2"/>
          </w:tcPr>
          <w:p w14:paraId="0B1984F1" w14:textId="77777777" w:rsidR="004764EF" w:rsidRPr="0002057E" w:rsidRDefault="004764EF" w:rsidP="00A51B24">
            <w:pPr>
              <w:spacing w:before="120" w:after="120"/>
              <w:rPr>
                <w:b/>
                <w:sz w:val="20"/>
                <w:szCs w:val="20"/>
              </w:rPr>
            </w:pPr>
            <w:r w:rsidRPr="0002057E">
              <w:rPr>
                <w:b/>
                <w:sz w:val="20"/>
                <w:szCs w:val="20"/>
              </w:rPr>
              <w:t>počet kolaudovaných RD</w:t>
            </w:r>
          </w:p>
        </w:tc>
        <w:tc>
          <w:tcPr>
            <w:tcW w:w="2846" w:type="dxa"/>
            <w:shd w:val="clear" w:color="auto" w:fill="F2F2F2" w:themeFill="background1" w:themeFillShade="F2"/>
          </w:tcPr>
          <w:p w14:paraId="6D0DC985" w14:textId="77777777" w:rsidR="004764EF" w:rsidRPr="0002057E" w:rsidRDefault="004764EF" w:rsidP="00A51B24">
            <w:pPr>
              <w:spacing w:before="120" w:after="120"/>
              <w:rPr>
                <w:b/>
                <w:sz w:val="20"/>
                <w:szCs w:val="20"/>
              </w:rPr>
            </w:pPr>
            <w:r w:rsidRPr="0002057E">
              <w:rPr>
                <w:b/>
                <w:sz w:val="20"/>
                <w:szCs w:val="20"/>
              </w:rPr>
              <w:t>počet dokončených bytů / přístaveb k RD</w:t>
            </w:r>
          </w:p>
        </w:tc>
      </w:tr>
      <w:tr w:rsidR="004764EF" w14:paraId="5902ADEF" w14:textId="77777777" w:rsidTr="000138DD">
        <w:tc>
          <w:tcPr>
            <w:tcW w:w="675" w:type="dxa"/>
          </w:tcPr>
          <w:p w14:paraId="1BD43BF6" w14:textId="77777777" w:rsidR="004764EF" w:rsidRPr="0002057E" w:rsidRDefault="004764EF" w:rsidP="00A51B24">
            <w:pPr>
              <w:spacing w:before="120" w:after="120"/>
              <w:rPr>
                <w:b/>
                <w:sz w:val="20"/>
                <w:szCs w:val="20"/>
              </w:rPr>
            </w:pPr>
            <w:r w:rsidRPr="0002057E">
              <w:rPr>
                <w:b/>
                <w:sz w:val="20"/>
                <w:szCs w:val="20"/>
              </w:rPr>
              <w:t>2013</w:t>
            </w:r>
          </w:p>
        </w:tc>
        <w:tc>
          <w:tcPr>
            <w:tcW w:w="2845" w:type="dxa"/>
          </w:tcPr>
          <w:p w14:paraId="380D18A5" w14:textId="77777777" w:rsidR="004764EF" w:rsidRPr="0002057E" w:rsidRDefault="004764EF" w:rsidP="00A51B24">
            <w:pPr>
              <w:spacing w:before="120" w:after="120"/>
              <w:rPr>
                <w:sz w:val="20"/>
                <w:szCs w:val="20"/>
              </w:rPr>
            </w:pPr>
            <w:r w:rsidRPr="0002057E">
              <w:rPr>
                <w:sz w:val="20"/>
                <w:szCs w:val="20"/>
              </w:rPr>
              <w:t>14</w:t>
            </w:r>
          </w:p>
        </w:tc>
        <w:tc>
          <w:tcPr>
            <w:tcW w:w="2846" w:type="dxa"/>
          </w:tcPr>
          <w:p w14:paraId="69774855" w14:textId="77777777" w:rsidR="004764EF" w:rsidRPr="0002057E" w:rsidRDefault="004764EF" w:rsidP="00A51B24">
            <w:pPr>
              <w:spacing w:before="120" w:after="120"/>
              <w:rPr>
                <w:sz w:val="20"/>
                <w:szCs w:val="20"/>
              </w:rPr>
            </w:pPr>
            <w:r w:rsidRPr="0002057E">
              <w:rPr>
                <w:sz w:val="20"/>
                <w:szCs w:val="20"/>
              </w:rPr>
              <w:t>12</w:t>
            </w:r>
          </w:p>
        </w:tc>
        <w:tc>
          <w:tcPr>
            <w:tcW w:w="2846" w:type="dxa"/>
          </w:tcPr>
          <w:p w14:paraId="201ECF48" w14:textId="77777777" w:rsidR="004764EF" w:rsidRPr="0002057E" w:rsidRDefault="004764EF" w:rsidP="004764EF">
            <w:pPr>
              <w:spacing w:before="120" w:after="120"/>
              <w:jc w:val="left"/>
              <w:rPr>
                <w:sz w:val="20"/>
                <w:szCs w:val="20"/>
              </w:rPr>
            </w:pPr>
            <w:r w:rsidRPr="0002057E">
              <w:rPr>
                <w:sz w:val="20"/>
                <w:szCs w:val="20"/>
              </w:rPr>
              <w:t>48 (v tomto roce byla dokončena akce „Nové bydlení“)</w:t>
            </w:r>
          </w:p>
        </w:tc>
      </w:tr>
      <w:tr w:rsidR="004764EF" w14:paraId="404B0A5A" w14:textId="77777777" w:rsidTr="000138DD">
        <w:tc>
          <w:tcPr>
            <w:tcW w:w="675" w:type="dxa"/>
          </w:tcPr>
          <w:p w14:paraId="56D78D2E" w14:textId="77777777" w:rsidR="004764EF" w:rsidRPr="0002057E" w:rsidRDefault="004764EF" w:rsidP="00A51B24">
            <w:pPr>
              <w:spacing w:before="120" w:after="120"/>
              <w:rPr>
                <w:b/>
                <w:sz w:val="20"/>
                <w:szCs w:val="20"/>
              </w:rPr>
            </w:pPr>
            <w:r w:rsidRPr="0002057E">
              <w:rPr>
                <w:b/>
                <w:sz w:val="20"/>
                <w:szCs w:val="20"/>
              </w:rPr>
              <w:t>2014</w:t>
            </w:r>
          </w:p>
        </w:tc>
        <w:tc>
          <w:tcPr>
            <w:tcW w:w="2845" w:type="dxa"/>
          </w:tcPr>
          <w:p w14:paraId="264FF202" w14:textId="77777777" w:rsidR="004764EF" w:rsidRPr="0002057E" w:rsidRDefault="004764EF" w:rsidP="00A51B24">
            <w:pPr>
              <w:spacing w:before="120" w:after="120"/>
              <w:rPr>
                <w:sz w:val="20"/>
                <w:szCs w:val="20"/>
              </w:rPr>
            </w:pPr>
            <w:r w:rsidRPr="0002057E">
              <w:rPr>
                <w:sz w:val="20"/>
                <w:szCs w:val="20"/>
              </w:rPr>
              <w:t>11</w:t>
            </w:r>
          </w:p>
        </w:tc>
        <w:tc>
          <w:tcPr>
            <w:tcW w:w="2846" w:type="dxa"/>
          </w:tcPr>
          <w:p w14:paraId="6403F776" w14:textId="77777777" w:rsidR="004764EF" w:rsidRPr="0002057E" w:rsidRDefault="004764EF" w:rsidP="00A51B24">
            <w:pPr>
              <w:spacing w:before="120" w:after="120"/>
              <w:rPr>
                <w:sz w:val="20"/>
                <w:szCs w:val="20"/>
              </w:rPr>
            </w:pPr>
            <w:r w:rsidRPr="0002057E">
              <w:rPr>
                <w:sz w:val="20"/>
                <w:szCs w:val="20"/>
              </w:rPr>
              <w:t>8</w:t>
            </w:r>
          </w:p>
        </w:tc>
        <w:tc>
          <w:tcPr>
            <w:tcW w:w="2846" w:type="dxa"/>
          </w:tcPr>
          <w:p w14:paraId="073967AD" w14:textId="77777777" w:rsidR="004764EF" w:rsidRPr="0002057E" w:rsidRDefault="004764EF" w:rsidP="004764EF">
            <w:pPr>
              <w:spacing w:before="120" w:after="120"/>
              <w:jc w:val="left"/>
              <w:rPr>
                <w:sz w:val="20"/>
                <w:szCs w:val="20"/>
              </w:rPr>
            </w:pPr>
            <w:r w:rsidRPr="0002057E">
              <w:rPr>
                <w:sz w:val="20"/>
                <w:szCs w:val="20"/>
              </w:rPr>
              <w:t>9</w:t>
            </w:r>
          </w:p>
        </w:tc>
      </w:tr>
      <w:tr w:rsidR="004764EF" w14:paraId="175EFF10" w14:textId="77777777" w:rsidTr="000138DD">
        <w:tc>
          <w:tcPr>
            <w:tcW w:w="675" w:type="dxa"/>
          </w:tcPr>
          <w:p w14:paraId="19D8E282" w14:textId="77777777" w:rsidR="004764EF" w:rsidRPr="0002057E" w:rsidRDefault="004764EF" w:rsidP="00A51B24">
            <w:pPr>
              <w:spacing w:before="120" w:after="120"/>
              <w:rPr>
                <w:b/>
                <w:sz w:val="20"/>
                <w:szCs w:val="20"/>
              </w:rPr>
            </w:pPr>
            <w:r w:rsidRPr="0002057E">
              <w:rPr>
                <w:b/>
                <w:sz w:val="20"/>
                <w:szCs w:val="20"/>
              </w:rPr>
              <w:t>2015</w:t>
            </w:r>
          </w:p>
        </w:tc>
        <w:tc>
          <w:tcPr>
            <w:tcW w:w="2845" w:type="dxa"/>
          </w:tcPr>
          <w:p w14:paraId="30765777" w14:textId="77777777" w:rsidR="004764EF" w:rsidRPr="0002057E" w:rsidRDefault="004764EF" w:rsidP="00A51B24">
            <w:pPr>
              <w:spacing w:before="120" w:after="120"/>
              <w:rPr>
                <w:sz w:val="20"/>
                <w:szCs w:val="20"/>
              </w:rPr>
            </w:pPr>
            <w:r w:rsidRPr="0002057E">
              <w:rPr>
                <w:sz w:val="20"/>
                <w:szCs w:val="20"/>
              </w:rPr>
              <w:t>7</w:t>
            </w:r>
          </w:p>
        </w:tc>
        <w:tc>
          <w:tcPr>
            <w:tcW w:w="2846" w:type="dxa"/>
          </w:tcPr>
          <w:p w14:paraId="47063996" w14:textId="77777777" w:rsidR="004764EF" w:rsidRPr="0002057E" w:rsidRDefault="004764EF" w:rsidP="00A51B24">
            <w:pPr>
              <w:spacing w:before="120" w:after="120"/>
              <w:rPr>
                <w:sz w:val="20"/>
                <w:szCs w:val="20"/>
              </w:rPr>
            </w:pPr>
            <w:r w:rsidRPr="0002057E">
              <w:rPr>
                <w:sz w:val="20"/>
                <w:szCs w:val="20"/>
              </w:rPr>
              <w:t>16</w:t>
            </w:r>
          </w:p>
        </w:tc>
        <w:tc>
          <w:tcPr>
            <w:tcW w:w="2846" w:type="dxa"/>
          </w:tcPr>
          <w:p w14:paraId="54DC02A9" w14:textId="77777777" w:rsidR="004764EF" w:rsidRPr="0002057E" w:rsidRDefault="004764EF" w:rsidP="00A51B24">
            <w:pPr>
              <w:spacing w:before="120" w:after="120"/>
              <w:rPr>
                <w:sz w:val="20"/>
                <w:szCs w:val="20"/>
              </w:rPr>
            </w:pPr>
            <w:r w:rsidRPr="0002057E">
              <w:rPr>
                <w:sz w:val="20"/>
                <w:szCs w:val="20"/>
              </w:rPr>
              <w:t>8</w:t>
            </w:r>
          </w:p>
        </w:tc>
      </w:tr>
      <w:tr w:rsidR="004764EF" w14:paraId="07DCF39F" w14:textId="77777777" w:rsidTr="000138DD">
        <w:tc>
          <w:tcPr>
            <w:tcW w:w="675" w:type="dxa"/>
          </w:tcPr>
          <w:p w14:paraId="326BD158" w14:textId="77777777" w:rsidR="004764EF" w:rsidRPr="0002057E" w:rsidRDefault="004764EF" w:rsidP="00A51B24">
            <w:pPr>
              <w:spacing w:before="120" w:after="120"/>
              <w:rPr>
                <w:b/>
                <w:sz w:val="20"/>
                <w:szCs w:val="20"/>
              </w:rPr>
            </w:pPr>
            <w:r w:rsidRPr="0002057E">
              <w:rPr>
                <w:b/>
                <w:sz w:val="20"/>
                <w:szCs w:val="20"/>
              </w:rPr>
              <w:t>2016</w:t>
            </w:r>
          </w:p>
        </w:tc>
        <w:tc>
          <w:tcPr>
            <w:tcW w:w="2845" w:type="dxa"/>
          </w:tcPr>
          <w:p w14:paraId="6D4AF036" w14:textId="77777777" w:rsidR="004764EF" w:rsidRPr="0002057E" w:rsidRDefault="004764EF" w:rsidP="00A51B24">
            <w:pPr>
              <w:spacing w:before="120" w:after="120"/>
              <w:rPr>
                <w:sz w:val="20"/>
                <w:szCs w:val="20"/>
              </w:rPr>
            </w:pPr>
            <w:r w:rsidRPr="0002057E">
              <w:rPr>
                <w:sz w:val="20"/>
                <w:szCs w:val="20"/>
              </w:rPr>
              <w:t>12</w:t>
            </w:r>
          </w:p>
        </w:tc>
        <w:tc>
          <w:tcPr>
            <w:tcW w:w="2846" w:type="dxa"/>
          </w:tcPr>
          <w:p w14:paraId="6EEE4040" w14:textId="77777777" w:rsidR="004764EF" w:rsidRPr="0002057E" w:rsidRDefault="004764EF" w:rsidP="00A51B24">
            <w:pPr>
              <w:spacing w:before="120" w:after="120"/>
              <w:rPr>
                <w:sz w:val="20"/>
                <w:szCs w:val="20"/>
              </w:rPr>
            </w:pPr>
            <w:r w:rsidRPr="0002057E">
              <w:rPr>
                <w:sz w:val="20"/>
                <w:szCs w:val="20"/>
              </w:rPr>
              <w:t>13</w:t>
            </w:r>
          </w:p>
        </w:tc>
        <w:tc>
          <w:tcPr>
            <w:tcW w:w="2846" w:type="dxa"/>
          </w:tcPr>
          <w:p w14:paraId="4523C22C" w14:textId="77777777" w:rsidR="004764EF" w:rsidRPr="0002057E" w:rsidRDefault="004764EF" w:rsidP="00A51B24">
            <w:pPr>
              <w:spacing w:before="120" w:after="120"/>
              <w:rPr>
                <w:sz w:val="20"/>
                <w:szCs w:val="20"/>
              </w:rPr>
            </w:pPr>
            <w:r w:rsidRPr="0002057E">
              <w:rPr>
                <w:sz w:val="20"/>
                <w:szCs w:val="20"/>
              </w:rPr>
              <w:t>7</w:t>
            </w:r>
          </w:p>
        </w:tc>
      </w:tr>
      <w:tr w:rsidR="004764EF" w14:paraId="2806699E" w14:textId="77777777" w:rsidTr="000138DD">
        <w:tc>
          <w:tcPr>
            <w:tcW w:w="675" w:type="dxa"/>
          </w:tcPr>
          <w:p w14:paraId="427AC1E0" w14:textId="77777777" w:rsidR="004764EF" w:rsidRPr="0002057E" w:rsidRDefault="004764EF" w:rsidP="00A51B24">
            <w:pPr>
              <w:spacing w:before="120" w:after="120"/>
              <w:rPr>
                <w:b/>
                <w:sz w:val="20"/>
                <w:szCs w:val="20"/>
              </w:rPr>
            </w:pPr>
            <w:r w:rsidRPr="0002057E">
              <w:rPr>
                <w:b/>
                <w:sz w:val="20"/>
                <w:szCs w:val="20"/>
              </w:rPr>
              <w:t>2017</w:t>
            </w:r>
          </w:p>
        </w:tc>
        <w:tc>
          <w:tcPr>
            <w:tcW w:w="2845" w:type="dxa"/>
          </w:tcPr>
          <w:p w14:paraId="7A6C812B" w14:textId="77777777" w:rsidR="004764EF" w:rsidRPr="0002057E" w:rsidRDefault="004764EF" w:rsidP="00A51B24">
            <w:pPr>
              <w:spacing w:before="120" w:after="120"/>
              <w:rPr>
                <w:sz w:val="20"/>
                <w:szCs w:val="20"/>
              </w:rPr>
            </w:pPr>
            <w:r w:rsidRPr="0002057E">
              <w:rPr>
                <w:sz w:val="20"/>
                <w:szCs w:val="20"/>
              </w:rPr>
              <w:t>13</w:t>
            </w:r>
          </w:p>
        </w:tc>
        <w:tc>
          <w:tcPr>
            <w:tcW w:w="2846" w:type="dxa"/>
          </w:tcPr>
          <w:p w14:paraId="2FA443CF" w14:textId="77777777" w:rsidR="004764EF" w:rsidRPr="0002057E" w:rsidRDefault="004764EF" w:rsidP="00A51B24">
            <w:pPr>
              <w:spacing w:before="120" w:after="120"/>
              <w:rPr>
                <w:sz w:val="20"/>
                <w:szCs w:val="20"/>
              </w:rPr>
            </w:pPr>
            <w:r w:rsidRPr="0002057E">
              <w:rPr>
                <w:sz w:val="20"/>
                <w:szCs w:val="20"/>
              </w:rPr>
              <w:t>9</w:t>
            </w:r>
          </w:p>
        </w:tc>
        <w:tc>
          <w:tcPr>
            <w:tcW w:w="2846" w:type="dxa"/>
          </w:tcPr>
          <w:p w14:paraId="4BCA3956" w14:textId="77777777" w:rsidR="004764EF" w:rsidRPr="0002057E" w:rsidRDefault="004764EF" w:rsidP="00A51B24">
            <w:pPr>
              <w:spacing w:before="120" w:after="120"/>
              <w:rPr>
                <w:sz w:val="20"/>
                <w:szCs w:val="20"/>
              </w:rPr>
            </w:pPr>
            <w:r w:rsidRPr="0002057E">
              <w:rPr>
                <w:sz w:val="20"/>
                <w:szCs w:val="20"/>
              </w:rPr>
              <w:t>3</w:t>
            </w:r>
          </w:p>
        </w:tc>
      </w:tr>
    </w:tbl>
    <w:p w14:paraId="190E8FEB" w14:textId="77777777" w:rsidR="00A51B24" w:rsidRPr="00CF1E38" w:rsidRDefault="00CF1E38" w:rsidP="004764EF">
      <w:pPr>
        <w:spacing w:before="240" w:after="120"/>
        <w:rPr>
          <w:rStyle w:val="NvrhP-text"/>
        </w:rPr>
      </w:pPr>
      <w:r w:rsidRPr="0013753D">
        <w:t xml:space="preserve">Meziroční srovnání migrace na základě stěhování </w:t>
      </w:r>
      <w:r w:rsidR="004764EF">
        <w:t>je doloženo</w:t>
      </w:r>
      <w:r w:rsidRPr="0013753D">
        <w:t xml:space="preserve"> v</w:t>
      </w:r>
      <w:r w:rsidR="004764EF">
        <w:t> následujících tabulkách</w:t>
      </w:r>
      <w:r w:rsidRPr="0013753D">
        <w:t>, kdy ve sle</w:t>
      </w:r>
      <w:r w:rsidR="004764EF">
        <w:t xml:space="preserve">dovaném období můžeme pozorovat převažující </w:t>
      </w:r>
      <w:r w:rsidRPr="0013753D">
        <w:t>počet přistěhovalých obyvatel nad počtem vystěhovalých obyvatel</w:t>
      </w:r>
      <w:r w:rsidR="004764EF">
        <w:t xml:space="preserve"> ve většině let</w:t>
      </w:r>
      <w:r w:rsidRPr="0013753D">
        <w:t>. Do Hrádku nad Nisou se stěhují lidé</w:t>
      </w:r>
      <w:r>
        <w:t xml:space="preserve"> hlavně</w:t>
      </w:r>
      <w:r w:rsidRPr="0013753D">
        <w:t xml:space="preserve"> z Libereckého kraje a to z malých venkovských obcí</w:t>
      </w:r>
      <w:r w:rsidRPr="00D07C1A">
        <w:rPr>
          <w:rStyle w:val="FootnoteReference"/>
        </w:rPr>
        <w:footnoteReference w:id="4"/>
      </w:r>
      <w:r w:rsidRPr="00D07C1A">
        <w:rPr>
          <w:color w:val="FF0000"/>
        </w:rPr>
        <w:t>.</w:t>
      </w:r>
      <w:r w:rsidRPr="0013753D">
        <w:t xml:space="preserve"> To je způsobené současným demografickým trendem chování mladé generace, která </w:t>
      </w:r>
      <w:r w:rsidR="004764EF">
        <w:t>preferuje</w:t>
      </w:r>
      <w:r w:rsidRPr="0013753D">
        <w:t xml:space="preserve"> žít ve větších městech. </w:t>
      </w:r>
      <w:r w:rsidRPr="0013753D">
        <w:rPr>
          <w:rFonts w:cs="Arial"/>
        </w:rPr>
        <w:t xml:space="preserve">Větší města a jejich zázemí nabízejí atraktivnější nabídky pracovních příležitostí na kvalifikovanějších pracovních pozicích </w:t>
      </w:r>
      <w:r>
        <w:rPr>
          <w:rFonts w:cs="Arial"/>
        </w:rPr>
        <w:t>a</w:t>
      </w:r>
      <w:r w:rsidRPr="0013753D">
        <w:rPr>
          <w:rFonts w:cs="Arial"/>
        </w:rPr>
        <w:t xml:space="preserve"> lepší finanční ohodnocení. Dalším důležitým faktorem je celková vybavenost </w:t>
      </w:r>
      <w:r>
        <w:rPr>
          <w:rFonts w:cs="Arial"/>
        </w:rPr>
        <w:t>větších měst a jejich</w:t>
      </w:r>
      <w:r w:rsidRPr="0013753D">
        <w:rPr>
          <w:rFonts w:cs="Arial"/>
        </w:rPr>
        <w:t xml:space="preserve"> vyšší kvalita a rozmanitost než u menších </w:t>
      </w:r>
      <w:r>
        <w:rPr>
          <w:rFonts w:cs="Arial"/>
        </w:rPr>
        <w:t>obcí</w:t>
      </w:r>
      <w:r w:rsidRPr="0013753D">
        <w:rPr>
          <w:rFonts w:cs="Arial"/>
        </w:rPr>
        <w:t xml:space="preserve">. </w:t>
      </w:r>
      <w:r>
        <w:rPr>
          <w:rFonts w:cs="Arial"/>
        </w:rPr>
        <w:t xml:space="preserve">Hrádek nad Nisou je zároveň městem, které má výhodnou geografickou polohu v tzv. Trojzemí, kde dochází k rozvoji průmyslové zóny a k česko-německo-polské spolupráci. </w:t>
      </w:r>
      <w:r w:rsidRPr="0013753D">
        <w:t>Z tohoto důvodu lze očekávat, že i v následujících letech bude docházet k nárůstu počtu obyvatel na základě migrace a bude tak potřeba výstavby nových rodinných či bytových domů.</w:t>
      </w:r>
    </w:p>
    <w:p w14:paraId="5EB3E2B7" w14:textId="77777777" w:rsidR="00CF1E38" w:rsidRDefault="00CF1E38" w:rsidP="00A51B24">
      <w:pPr>
        <w:spacing w:before="120" w:after="120"/>
        <w:rPr>
          <w:rStyle w:val="NvrhP-text"/>
        </w:rPr>
      </w:pPr>
    </w:p>
    <w:p w14:paraId="360D7719" w14:textId="77777777" w:rsidR="00CF1E38" w:rsidRDefault="00CF1E38" w:rsidP="00A51B24">
      <w:pPr>
        <w:spacing w:before="120" w:after="120"/>
        <w:rPr>
          <w:rStyle w:val="NvrhP-text"/>
        </w:rPr>
        <w:sectPr w:rsidR="00CF1E38" w:rsidSect="00B567E6">
          <w:headerReference w:type="default" r:id="rId16"/>
          <w:footerReference w:type="even" r:id="rId17"/>
          <w:footerReference w:type="default" r:id="rId18"/>
          <w:pgSz w:w="11909" w:h="16834" w:code="9"/>
          <w:pgMar w:top="1701" w:right="1418" w:bottom="1418" w:left="1418" w:header="720" w:footer="720" w:gutter="0"/>
          <w:pgNumType w:start="1"/>
          <w:cols w:space="720"/>
          <w:docGrid w:linePitch="360"/>
        </w:sectPr>
      </w:pPr>
    </w:p>
    <w:p w14:paraId="3D9ED425" w14:textId="77777777" w:rsidR="00A51B24" w:rsidRPr="00461C16" w:rsidRDefault="00A51B24" w:rsidP="00A51B24">
      <w:pPr>
        <w:spacing w:before="120" w:after="120"/>
        <w:rPr>
          <w:rStyle w:val="NvrhP-text"/>
        </w:rPr>
      </w:pPr>
      <w:r w:rsidRPr="00461C16">
        <w:rPr>
          <w:rStyle w:val="NvrhP-text"/>
        </w:rPr>
        <w:lastRenderedPageBreak/>
        <w:t xml:space="preserve"> </w:t>
      </w:r>
    </w:p>
    <w:tbl>
      <w:tblPr>
        <w:tblW w:w="14049" w:type="dxa"/>
        <w:tblInd w:w="55" w:type="dxa"/>
        <w:tblCellMar>
          <w:left w:w="70" w:type="dxa"/>
          <w:right w:w="70" w:type="dxa"/>
        </w:tblCellMar>
        <w:tblLook w:val="04A0" w:firstRow="1" w:lastRow="0" w:firstColumn="1" w:lastColumn="0" w:noHBand="0" w:noVBand="1"/>
      </w:tblPr>
      <w:tblGrid>
        <w:gridCol w:w="1149"/>
        <w:gridCol w:w="1701"/>
        <w:gridCol w:w="567"/>
        <w:gridCol w:w="567"/>
        <w:gridCol w:w="567"/>
        <w:gridCol w:w="560"/>
        <w:gridCol w:w="505"/>
        <w:gridCol w:w="505"/>
        <w:gridCol w:w="529"/>
        <w:gridCol w:w="505"/>
        <w:gridCol w:w="515"/>
        <w:gridCol w:w="567"/>
        <w:gridCol w:w="505"/>
        <w:gridCol w:w="505"/>
        <w:gridCol w:w="549"/>
        <w:gridCol w:w="505"/>
        <w:gridCol w:w="505"/>
        <w:gridCol w:w="549"/>
        <w:gridCol w:w="505"/>
        <w:gridCol w:w="629"/>
        <w:gridCol w:w="796"/>
        <w:gridCol w:w="764"/>
      </w:tblGrid>
      <w:tr w:rsidR="00CF1E38" w:rsidRPr="0013753D" w14:paraId="21A7C8E0" w14:textId="77777777" w:rsidTr="004B2D25">
        <w:trPr>
          <w:trHeight w:val="255"/>
        </w:trPr>
        <w:tc>
          <w:tcPr>
            <w:tcW w:w="2850" w:type="dxa"/>
            <w:gridSpan w:val="2"/>
            <w:vMerge w:val="restart"/>
            <w:tcBorders>
              <w:top w:val="single" w:sz="4" w:space="0" w:color="auto"/>
              <w:left w:val="single" w:sz="4" w:space="0" w:color="auto"/>
              <w:bottom w:val="single" w:sz="8" w:space="0" w:color="000000"/>
              <w:right w:val="single" w:sz="4" w:space="0" w:color="000000"/>
            </w:tcBorders>
            <w:shd w:val="clear" w:color="auto" w:fill="F2F2F2" w:themeFill="background1" w:themeFillShade="F2"/>
            <w:vAlign w:val="center"/>
            <w:hideMark/>
          </w:tcPr>
          <w:p w14:paraId="113D7605" w14:textId="77777777" w:rsidR="00CF1E38" w:rsidRPr="0081303D" w:rsidRDefault="00CF1E38" w:rsidP="00CF1E38">
            <w:pPr>
              <w:spacing w:line="240" w:lineRule="auto"/>
              <w:jc w:val="center"/>
              <w:rPr>
                <w:rFonts w:eastAsia="Times New Roman"/>
                <w:b/>
                <w:bCs/>
                <w:color w:val="000000"/>
                <w:lang w:eastAsia="cs-CZ"/>
              </w:rPr>
            </w:pPr>
            <w:r w:rsidRPr="0081303D">
              <w:rPr>
                <w:rFonts w:eastAsia="Times New Roman"/>
                <w:b/>
                <w:bCs/>
                <w:color w:val="000000"/>
                <w:lang w:eastAsia="cs-CZ"/>
              </w:rPr>
              <w:t>Přistěhovalí</w:t>
            </w:r>
          </w:p>
        </w:tc>
        <w:tc>
          <w:tcPr>
            <w:tcW w:w="56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7DE56AD7"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1999</w:t>
            </w:r>
          </w:p>
        </w:tc>
        <w:tc>
          <w:tcPr>
            <w:tcW w:w="56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6540AFD1"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2000</w:t>
            </w:r>
          </w:p>
        </w:tc>
        <w:tc>
          <w:tcPr>
            <w:tcW w:w="56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7DA5CC8C"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2001</w:t>
            </w:r>
          </w:p>
        </w:tc>
        <w:tc>
          <w:tcPr>
            <w:tcW w:w="560"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CA51F14"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2002</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5A624CC"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2003</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1DE7A7B"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2004</w:t>
            </w:r>
          </w:p>
        </w:tc>
        <w:tc>
          <w:tcPr>
            <w:tcW w:w="529"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F0D8864"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2005</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653637A5"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2006</w:t>
            </w:r>
          </w:p>
        </w:tc>
        <w:tc>
          <w:tcPr>
            <w:tcW w:w="51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6C01B48B"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2007</w:t>
            </w:r>
          </w:p>
        </w:tc>
        <w:tc>
          <w:tcPr>
            <w:tcW w:w="56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8781F27"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2008</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34FC8F3"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2009</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36DCEB71"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2010</w:t>
            </w:r>
          </w:p>
        </w:tc>
        <w:tc>
          <w:tcPr>
            <w:tcW w:w="549"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4412DBC"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2011</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63845D69"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2012</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6800765C"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2013</w:t>
            </w:r>
          </w:p>
        </w:tc>
        <w:tc>
          <w:tcPr>
            <w:tcW w:w="549"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74C992DE"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2014</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74143A9E"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2015</w:t>
            </w:r>
          </w:p>
        </w:tc>
        <w:tc>
          <w:tcPr>
            <w:tcW w:w="629"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719B5DC"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2016</w:t>
            </w:r>
          </w:p>
        </w:tc>
        <w:tc>
          <w:tcPr>
            <w:tcW w:w="156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40629981"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Celkem</w:t>
            </w:r>
          </w:p>
        </w:tc>
      </w:tr>
      <w:tr w:rsidR="00CF1E38" w:rsidRPr="0013753D" w14:paraId="5D327DA1" w14:textId="77777777" w:rsidTr="004B2D25">
        <w:trPr>
          <w:trHeight w:val="270"/>
        </w:trPr>
        <w:tc>
          <w:tcPr>
            <w:tcW w:w="2850" w:type="dxa"/>
            <w:gridSpan w:val="2"/>
            <w:vMerge/>
            <w:tcBorders>
              <w:top w:val="single" w:sz="4" w:space="0" w:color="auto"/>
              <w:left w:val="single" w:sz="4" w:space="0" w:color="auto"/>
              <w:bottom w:val="single" w:sz="8" w:space="0" w:color="000000"/>
              <w:right w:val="single" w:sz="4" w:space="0" w:color="000000"/>
            </w:tcBorders>
            <w:shd w:val="clear" w:color="auto" w:fill="F2F2F2" w:themeFill="background1" w:themeFillShade="F2"/>
            <w:vAlign w:val="center"/>
            <w:hideMark/>
          </w:tcPr>
          <w:p w14:paraId="3CD1F924" w14:textId="77777777" w:rsidR="00CF1E38" w:rsidRPr="0081303D" w:rsidRDefault="00CF1E38" w:rsidP="00CF1E38">
            <w:pPr>
              <w:spacing w:line="240" w:lineRule="auto"/>
              <w:rPr>
                <w:rFonts w:eastAsia="Times New Roman"/>
                <w:b/>
                <w:bCs/>
                <w:color w:val="000000"/>
                <w:lang w:eastAsia="cs-CZ"/>
              </w:rPr>
            </w:pPr>
          </w:p>
        </w:tc>
        <w:tc>
          <w:tcPr>
            <w:tcW w:w="56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E4FA3A8" w14:textId="77777777" w:rsidR="00CF1E38" w:rsidRPr="0081303D" w:rsidRDefault="00CF1E38" w:rsidP="00CF1E38">
            <w:pPr>
              <w:spacing w:line="240" w:lineRule="auto"/>
              <w:rPr>
                <w:rFonts w:eastAsia="Times New Roman"/>
                <w:b/>
                <w:bCs/>
                <w:color w:val="000000"/>
                <w:sz w:val="20"/>
                <w:szCs w:val="20"/>
                <w:lang w:eastAsia="cs-CZ"/>
              </w:rPr>
            </w:pPr>
          </w:p>
        </w:tc>
        <w:tc>
          <w:tcPr>
            <w:tcW w:w="56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30464C1C" w14:textId="77777777" w:rsidR="00CF1E38" w:rsidRPr="0081303D" w:rsidRDefault="00CF1E38" w:rsidP="00CF1E38">
            <w:pPr>
              <w:spacing w:line="240" w:lineRule="auto"/>
              <w:rPr>
                <w:rFonts w:eastAsia="Times New Roman"/>
                <w:b/>
                <w:bCs/>
                <w:color w:val="000000"/>
                <w:sz w:val="20"/>
                <w:szCs w:val="20"/>
                <w:lang w:eastAsia="cs-CZ"/>
              </w:rPr>
            </w:pPr>
          </w:p>
        </w:tc>
        <w:tc>
          <w:tcPr>
            <w:tcW w:w="56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3E28D1D" w14:textId="77777777" w:rsidR="00CF1E38" w:rsidRPr="0081303D" w:rsidRDefault="00CF1E38" w:rsidP="00CF1E38">
            <w:pPr>
              <w:spacing w:line="240" w:lineRule="auto"/>
              <w:rPr>
                <w:rFonts w:eastAsia="Times New Roman"/>
                <w:b/>
                <w:bCs/>
                <w:color w:val="000000"/>
                <w:sz w:val="20"/>
                <w:szCs w:val="20"/>
                <w:lang w:eastAsia="cs-CZ"/>
              </w:rPr>
            </w:pPr>
          </w:p>
        </w:tc>
        <w:tc>
          <w:tcPr>
            <w:tcW w:w="560"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754C5B30"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D532F7C"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B516304" w14:textId="77777777" w:rsidR="00CF1E38" w:rsidRPr="0081303D" w:rsidRDefault="00CF1E38" w:rsidP="00CF1E38">
            <w:pPr>
              <w:spacing w:line="240" w:lineRule="auto"/>
              <w:rPr>
                <w:rFonts w:eastAsia="Times New Roman"/>
                <w:b/>
                <w:bCs/>
                <w:color w:val="000000"/>
                <w:sz w:val="20"/>
                <w:szCs w:val="20"/>
                <w:lang w:eastAsia="cs-CZ"/>
              </w:rPr>
            </w:pPr>
          </w:p>
        </w:tc>
        <w:tc>
          <w:tcPr>
            <w:tcW w:w="529"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C50686C"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3C2B428" w14:textId="77777777" w:rsidR="00CF1E38" w:rsidRPr="0081303D" w:rsidRDefault="00CF1E38" w:rsidP="00CF1E38">
            <w:pPr>
              <w:spacing w:line="240" w:lineRule="auto"/>
              <w:rPr>
                <w:rFonts w:eastAsia="Times New Roman"/>
                <w:b/>
                <w:bCs/>
                <w:color w:val="000000"/>
                <w:sz w:val="20"/>
                <w:szCs w:val="20"/>
                <w:lang w:eastAsia="cs-CZ"/>
              </w:rPr>
            </w:pPr>
          </w:p>
        </w:tc>
        <w:tc>
          <w:tcPr>
            <w:tcW w:w="51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F86097E" w14:textId="77777777" w:rsidR="00CF1E38" w:rsidRPr="0081303D" w:rsidRDefault="00CF1E38" w:rsidP="00CF1E38">
            <w:pPr>
              <w:spacing w:line="240" w:lineRule="auto"/>
              <w:rPr>
                <w:rFonts w:eastAsia="Times New Roman"/>
                <w:b/>
                <w:bCs/>
                <w:color w:val="000000"/>
                <w:sz w:val="20"/>
                <w:szCs w:val="20"/>
                <w:lang w:eastAsia="cs-CZ"/>
              </w:rPr>
            </w:pPr>
          </w:p>
        </w:tc>
        <w:tc>
          <w:tcPr>
            <w:tcW w:w="56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342711FF"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9EA3AB4"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9DAE7C8" w14:textId="77777777" w:rsidR="00CF1E38" w:rsidRPr="0081303D" w:rsidRDefault="00CF1E38" w:rsidP="00CF1E38">
            <w:pPr>
              <w:spacing w:line="240" w:lineRule="auto"/>
              <w:rPr>
                <w:rFonts w:eastAsia="Times New Roman"/>
                <w:b/>
                <w:bCs/>
                <w:color w:val="000000"/>
                <w:sz w:val="20"/>
                <w:szCs w:val="20"/>
                <w:lang w:eastAsia="cs-CZ"/>
              </w:rPr>
            </w:pPr>
          </w:p>
        </w:tc>
        <w:tc>
          <w:tcPr>
            <w:tcW w:w="549"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2DFA95B6"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14E277C"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2E4D74A6" w14:textId="77777777" w:rsidR="00CF1E38" w:rsidRPr="0081303D" w:rsidRDefault="00CF1E38" w:rsidP="00CF1E38">
            <w:pPr>
              <w:spacing w:line="240" w:lineRule="auto"/>
              <w:rPr>
                <w:rFonts w:eastAsia="Times New Roman"/>
                <w:b/>
                <w:bCs/>
                <w:color w:val="000000"/>
                <w:sz w:val="20"/>
                <w:szCs w:val="20"/>
                <w:lang w:eastAsia="cs-CZ"/>
              </w:rPr>
            </w:pPr>
          </w:p>
        </w:tc>
        <w:tc>
          <w:tcPr>
            <w:tcW w:w="549"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6C80CB69"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24086EF3" w14:textId="77777777" w:rsidR="00CF1E38" w:rsidRPr="0081303D" w:rsidRDefault="00CF1E38" w:rsidP="00CF1E38">
            <w:pPr>
              <w:spacing w:line="240" w:lineRule="auto"/>
              <w:rPr>
                <w:rFonts w:eastAsia="Times New Roman"/>
                <w:b/>
                <w:bCs/>
                <w:color w:val="000000"/>
                <w:sz w:val="20"/>
                <w:szCs w:val="20"/>
                <w:lang w:eastAsia="cs-CZ"/>
              </w:rPr>
            </w:pPr>
          </w:p>
        </w:tc>
        <w:tc>
          <w:tcPr>
            <w:tcW w:w="629"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72951C71" w14:textId="77777777" w:rsidR="00CF1E38" w:rsidRPr="0081303D" w:rsidRDefault="00CF1E38" w:rsidP="00CF1E38">
            <w:pPr>
              <w:spacing w:line="240" w:lineRule="auto"/>
              <w:rPr>
                <w:rFonts w:eastAsia="Times New Roman"/>
                <w:b/>
                <w:bCs/>
                <w:color w:val="000000"/>
                <w:sz w:val="20"/>
                <w:szCs w:val="20"/>
                <w:lang w:eastAsia="cs-CZ"/>
              </w:rPr>
            </w:pPr>
          </w:p>
        </w:tc>
        <w:tc>
          <w:tcPr>
            <w:tcW w:w="796" w:type="dxa"/>
            <w:tcBorders>
              <w:top w:val="nil"/>
              <w:left w:val="nil"/>
              <w:bottom w:val="nil"/>
              <w:right w:val="single" w:sz="4" w:space="0" w:color="auto"/>
            </w:tcBorders>
            <w:shd w:val="clear" w:color="auto" w:fill="F2F2F2" w:themeFill="background1" w:themeFillShade="F2"/>
            <w:noWrap/>
            <w:vAlign w:val="bottom"/>
            <w:hideMark/>
          </w:tcPr>
          <w:p w14:paraId="5D7115C8"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Absolut.</w:t>
            </w:r>
          </w:p>
        </w:tc>
        <w:tc>
          <w:tcPr>
            <w:tcW w:w="764" w:type="dxa"/>
            <w:tcBorders>
              <w:top w:val="nil"/>
              <w:left w:val="nil"/>
              <w:bottom w:val="single" w:sz="8" w:space="0" w:color="auto"/>
              <w:right w:val="single" w:sz="4" w:space="0" w:color="auto"/>
            </w:tcBorders>
            <w:shd w:val="clear" w:color="auto" w:fill="F2F2F2" w:themeFill="background1" w:themeFillShade="F2"/>
            <w:noWrap/>
            <w:vAlign w:val="bottom"/>
            <w:hideMark/>
          </w:tcPr>
          <w:p w14:paraId="565D87E0"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Relativ.</w:t>
            </w:r>
          </w:p>
        </w:tc>
      </w:tr>
      <w:tr w:rsidR="00CF1E38" w:rsidRPr="0013753D" w14:paraId="29F232D2" w14:textId="77777777" w:rsidTr="00CF1E38">
        <w:trPr>
          <w:trHeight w:val="255"/>
        </w:trPr>
        <w:tc>
          <w:tcPr>
            <w:tcW w:w="1149"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750A80D9" w14:textId="77777777" w:rsidR="00CF1E38" w:rsidRPr="0081303D" w:rsidRDefault="00CF1E38" w:rsidP="00CF1E38">
            <w:pPr>
              <w:spacing w:line="240" w:lineRule="auto"/>
              <w:jc w:val="left"/>
              <w:rPr>
                <w:rFonts w:eastAsia="Times New Roman"/>
                <w:b/>
                <w:bCs/>
                <w:color w:val="000000"/>
                <w:sz w:val="20"/>
                <w:szCs w:val="20"/>
                <w:lang w:eastAsia="cs-CZ"/>
              </w:rPr>
            </w:pPr>
            <w:r w:rsidRPr="0081303D">
              <w:rPr>
                <w:rFonts w:eastAsia="Times New Roman"/>
                <w:b/>
                <w:bCs/>
                <w:color w:val="000000"/>
                <w:sz w:val="20"/>
                <w:szCs w:val="20"/>
                <w:lang w:eastAsia="cs-CZ"/>
              </w:rPr>
              <w:t>Hrádek nad Nisou</w:t>
            </w:r>
          </w:p>
        </w:tc>
        <w:tc>
          <w:tcPr>
            <w:tcW w:w="1701" w:type="dxa"/>
            <w:tcBorders>
              <w:top w:val="nil"/>
              <w:left w:val="nil"/>
              <w:bottom w:val="single" w:sz="4" w:space="0" w:color="auto"/>
              <w:right w:val="single" w:sz="4" w:space="0" w:color="auto"/>
            </w:tcBorders>
            <w:shd w:val="clear" w:color="auto" w:fill="auto"/>
            <w:noWrap/>
            <w:vAlign w:val="bottom"/>
            <w:hideMark/>
          </w:tcPr>
          <w:p w14:paraId="2EFDEC3C" w14:textId="77777777" w:rsidR="00CF1E38" w:rsidRPr="0081303D" w:rsidRDefault="00CF1E38" w:rsidP="00CF1E38">
            <w:pPr>
              <w:spacing w:line="240" w:lineRule="auto"/>
              <w:rPr>
                <w:rFonts w:eastAsia="Times New Roman"/>
                <w:color w:val="000000"/>
                <w:sz w:val="20"/>
                <w:szCs w:val="20"/>
                <w:lang w:eastAsia="cs-CZ"/>
              </w:rPr>
            </w:pPr>
            <w:r w:rsidRPr="0081303D">
              <w:rPr>
                <w:rFonts w:eastAsia="Times New Roman"/>
                <w:color w:val="000000"/>
                <w:sz w:val="20"/>
                <w:szCs w:val="20"/>
                <w:lang w:eastAsia="cs-CZ"/>
              </w:rPr>
              <w:t>ze zahraničí</w:t>
            </w:r>
          </w:p>
        </w:tc>
        <w:tc>
          <w:tcPr>
            <w:tcW w:w="567" w:type="dxa"/>
            <w:tcBorders>
              <w:top w:val="nil"/>
              <w:left w:val="nil"/>
              <w:bottom w:val="single" w:sz="4" w:space="0" w:color="auto"/>
              <w:right w:val="single" w:sz="4" w:space="0" w:color="auto"/>
            </w:tcBorders>
            <w:shd w:val="clear" w:color="auto" w:fill="auto"/>
            <w:noWrap/>
            <w:vAlign w:val="bottom"/>
            <w:hideMark/>
          </w:tcPr>
          <w:p w14:paraId="5E5C86B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w:t>
            </w:r>
          </w:p>
        </w:tc>
        <w:tc>
          <w:tcPr>
            <w:tcW w:w="567" w:type="dxa"/>
            <w:tcBorders>
              <w:top w:val="nil"/>
              <w:left w:val="nil"/>
              <w:bottom w:val="single" w:sz="4" w:space="0" w:color="auto"/>
              <w:right w:val="single" w:sz="4" w:space="0" w:color="auto"/>
            </w:tcBorders>
            <w:shd w:val="clear" w:color="auto" w:fill="auto"/>
            <w:noWrap/>
            <w:vAlign w:val="bottom"/>
            <w:hideMark/>
          </w:tcPr>
          <w:p w14:paraId="1EAA3C2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5</w:t>
            </w:r>
          </w:p>
        </w:tc>
        <w:tc>
          <w:tcPr>
            <w:tcW w:w="567" w:type="dxa"/>
            <w:tcBorders>
              <w:top w:val="nil"/>
              <w:left w:val="nil"/>
              <w:bottom w:val="single" w:sz="4" w:space="0" w:color="auto"/>
              <w:right w:val="single" w:sz="4" w:space="0" w:color="auto"/>
            </w:tcBorders>
            <w:shd w:val="clear" w:color="auto" w:fill="auto"/>
            <w:noWrap/>
            <w:vAlign w:val="bottom"/>
            <w:hideMark/>
          </w:tcPr>
          <w:p w14:paraId="03D1A9A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w:t>
            </w:r>
          </w:p>
        </w:tc>
        <w:tc>
          <w:tcPr>
            <w:tcW w:w="560" w:type="dxa"/>
            <w:tcBorders>
              <w:top w:val="nil"/>
              <w:left w:val="nil"/>
              <w:bottom w:val="single" w:sz="4" w:space="0" w:color="auto"/>
              <w:right w:val="single" w:sz="4" w:space="0" w:color="auto"/>
            </w:tcBorders>
            <w:shd w:val="clear" w:color="auto" w:fill="auto"/>
            <w:noWrap/>
            <w:vAlign w:val="bottom"/>
            <w:hideMark/>
          </w:tcPr>
          <w:p w14:paraId="1D6692E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27</w:t>
            </w:r>
          </w:p>
        </w:tc>
        <w:tc>
          <w:tcPr>
            <w:tcW w:w="505" w:type="dxa"/>
            <w:tcBorders>
              <w:top w:val="nil"/>
              <w:left w:val="nil"/>
              <w:bottom w:val="single" w:sz="4" w:space="0" w:color="auto"/>
              <w:right w:val="single" w:sz="4" w:space="0" w:color="auto"/>
            </w:tcBorders>
            <w:shd w:val="clear" w:color="auto" w:fill="auto"/>
            <w:noWrap/>
            <w:vAlign w:val="bottom"/>
            <w:hideMark/>
          </w:tcPr>
          <w:p w14:paraId="031EB84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23</w:t>
            </w:r>
          </w:p>
        </w:tc>
        <w:tc>
          <w:tcPr>
            <w:tcW w:w="505" w:type="dxa"/>
            <w:tcBorders>
              <w:top w:val="nil"/>
              <w:left w:val="nil"/>
              <w:bottom w:val="single" w:sz="4" w:space="0" w:color="auto"/>
              <w:right w:val="single" w:sz="4" w:space="0" w:color="auto"/>
            </w:tcBorders>
            <w:shd w:val="clear" w:color="auto" w:fill="auto"/>
            <w:noWrap/>
            <w:vAlign w:val="bottom"/>
            <w:hideMark/>
          </w:tcPr>
          <w:p w14:paraId="4C916300"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w:t>
            </w:r>
          </w:p>
        </w:tc>
        <w:tc>
          <w:tcPr>
            <w:tcW w:w="529" w:type="dxa"/>
            <w:tcBorders>
              <w:top w:val="nil"/>
              <w:left w:val="nil"/>
              <w:bottom w:val="single" w:sz="4" w:space="0" w:color="auto"/>
              <w:right w:val="single" w:sz="4" w:space="0" w:color="auto"/>
            </w:tcBorders>
            <w:shd w:val="clear" w:color="auto" w:fill="auto"/>
            <w:noWrap/>
            <w:vAlign w:val="bottom"/>
            <w:hideMark/>
          </w:tcPr>
          <w:p w14:paraId="008FC89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38</w:t>
            </w:r>
          </w:p>
        </w:tc>
        <w:tc>
          <w:tcPr>
            <w:tcW w:w="505" w:type="dxa"/>
            <w:tcBorders>
              <w:top w:val="nil"/>
              <w:left w:val="nil"/>
              <w:bottom w:val="single" w:sz="4" w:space="0" w:color="auto"/>
              <w:right w:val="single" w:sz="4" w:space="0" w:color="auto"/>
            </w:tcBorders>
            <w:shd w:val="clear" w:color="auto" w:fill="auto"/>
            <w:noWrap/>
            <w:vAlign w:val="bottom"/>
            <w:hideMark/>
          </w:tcPr>
          <w:p w14:paraId="270F7F0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38</w:t>
            </w:r>
          </w:p>
        </w:tc>
        <w:tc>
          <w:tcPr>
            <w:tcW w:w="515" w:type="dxa"/>
            <w:tcBorders>
              <w:top w:val="nil"/>
              <w:left w:val="nil"/>
              <w:bottom w:val="single" w:sz="4" w:space="0" w:color="auto"/>
              <w:right w:val="single" w:sz="4" w:space="0" w:color="auto"/>
            </w:tcBorders>
            <w:shd w:val="clear" w:color="auto" w:fill="auto"/>
            <w:noWrap/>
            <w:vAlign w:val="bottom"/>
            <w:hideMark/>
          </w:tcPr>
          <w:p w14:paraId="1888390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40</w:t>
            </w:r>
          </w:p>
        </w:tc>
        <w:tc>
          <w:tcPr>
            <w:tcW w:w="567" w:type="dxa"/>
            <w:tcBorders>
              <w:top w:val="nil"/>
              <w:left w:val="nil"/>
              <w:bottom w:val="single" w:sz="4" w:space="0" w:color="auto"/>
              <w:right w:val="single" w:sz="4" w:space="0" w:color="auto"/>
            </w:tcBorders>
            <w:shd w:val="clear" w:color="auto" w:fill="auto"/>
            <w:noWrap/>
            <w:vAlign w:val="bottom"/>
            <w:hideMark/>
          </w:tcPr>
          <w:p w14:paraId="3CFFD96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45</w:t>
            </w:r>
          </w:p>
        </w:tc>
        <w:tc>
          <w:tcPr>
            <w:tcW w:w="505" w:type="dxa"/>
            <w:tcBorders>
              <w:top w:val="nil"/>
              <w:left w:val="nil"/>
              <w:bottom w:val="single" w:sz="4" w:space="0" w:color="auto"/>
              <w:right w:val="single" w:sz="4" w:space="0" w:color="auto"/>
            </w:tcBorders>
            <w:shd w:val="clear" w:color="auto" w:fill="auto"/>
            <w:noWrap/>
            <w:vAlign w:val="bottom"/>
            <w:hideMark/>
          </w:tcPr>
          <w:p w14:paraId="3E452F0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8</w:t>
            </w:r>
          </w:p>
        </w:tc>
        <w:tc>
          <w:tcPr>
            <w:tcW w:w="505" w:type="dxa"/>
            <w:tcBorders>
              <w:top w:val="nil"/>
              <w:left w:val="nil"/>
              <w:bottom w:val="single" w:sz="4" w:space="0" w:color="auto"/>
              <w:right w:val="single" w:sz="4" w:space="0" w:color="auto"/>
            </w:tcBorders>
            <w:shd w:val="clear" w:color="auto" w:fill="auto"/>
            <w:noWrap/>
            <w:vAlign w:val="bottom"/>
            <w:hideMark/>
          </w:tcPr>
          <w:p w14:paraId="7F2A34C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7</w:t>
            </w:r>
          </w:p>
        </w:tc>
        <w:tc>
          <w:tcPr>
            <w:tcW w:w="549" w:type="dxa"/>
            <w:tcBorders>
              <w:top w:val="nil"/>
              <w:left w:val="nil"/>
              <w:bottom w:val="single" w:sz="4" w:space="0" w:color="auto"/>
              <w:right w:val="single" w:sz="4" w:space="0" w:color="auto"/>
            </w:tcBorders>
            <w:shd w:val="clear" w:color="auto" w:fill="auto"/>
            <w:noWrap/>
            <w:vAlign w:val="bottom"/>
            <w:hideMark/>
          </w:tcPr>
          <w:p w14:paraId="11386FB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w:t>
            </w:r>
          </w:p>
        </w:tc>
        <w:tc>
          <w:tcPr>
            <w:tcW w:w="505" w:type="dxa"/>
            <w:tcBorders>
              <w:top w:val="nil"/>
              <w:left w:val="nil"/>
              <w:bottom w:val="single" w:sz="4" w:space="0" w:color="auto"/>
              <w:right w:val="single" w:sz="4" w:space="0" w:color="auto"/>
            </w:tcBorders>
            <w:shd w:val="clear" w:color="auto" w:fill="auto"/>
            <w:noWrap/>
            <w:vAlign w:val="bottom"/>
            <w:hideMark/>
          </w:tcPr>
          <w:p w14:paraId="3D22B83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w:t>
            </w:r>
          </w:p>
        </w:tc>
        <w:tc>
          <w:tcPr>
            <w:tcW w:w="505" w:type="dxa"/>
            <w:tcBorders>
              <w:top w:val="nil"/>
              <w:left w:val="nil"/>
              <w:bottom w:val="single" w:sz="4" w:space="0" w:color="auto"/>
              <w:right w:val="single" w:sz="4" w:space="0" w:color="auto"/>
            </w:tcBorders>
            <w:shd w:val="clear" w:color="auto" w:fill="auto"/>
            <w:noWrap/>
            <w:vAlign w:val="bottom"/>
            <w:hideMark/>
          </w:tcPr>
          <w:p w14:paraId="7800FB2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w:t>
            </w:r>
          </w:p>
        </w:tc>
        <w:tc>
          <w:tcPr>
            <w:tcW w:w="549" w:type="dxa"/>
            <w:tcBorders>
              <w:top w:val="nil"/>
              <w:left w:val="nil"/>
              <w:bottom w:val="single" w:sz="4" w:space="0" w:color="auto"/>
              <w:right w:val="single" w:sz="4" w:space="0" w:color="auto"/>
            </w:tcBorders>
            <w:shd w:val="clear" w:color="auto" w:fill="auto"/>
            <w:noWrap/>
            <w:vAlign w:val="bottom"/>
            <w:hideMark/>
          </w:tcPr>
          <w:p w14:paraId="58B0E335"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w:t>
            </w:r>
          </w:p>
        </w:tc>
        <w:tc>
          <w:tcPr>
            <w:tcW w:w="505" w:type="dxa"/>
            <w:tcBorders>
              <w:top w:val="nil"/>
              <w:left w:val="nil"/>
              <w:bottom w:val="single" w:sz="4" w:space="0" w:color="auto"/>
              <w:right w:val="single" w:sz="4" w:space="0" w:color="auto"/>
            </w:tcBorders>
            <w:shd w:val="clear" w:color="auto" w:fill="auto"/>
            <w:noWrap/>
            <w:vAlign w:val="bottom"/>
            <w:hideMark/>
          </w:tcPr>
          <w:p w14:paraId="15095DD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15</w:t>
            </w:r>
          </w:p>
        </w:tc>
        <w:tc>
          <w:tcPr>
            <w:tcW w:w="629" w:type="dxa"/>
            <w:tcBorders>
              <w:top w:val="nil"/>
              <w:left w:val="nil"/>
              <w:bottom w:val="single" w:sz="4" w:space="0" w:color="auto"/>
              <w:right w:val="single" w:sz="4" w:space="0" w:color="auto"/>
            </w:tcBorders>
            <w:shd w:val="clear" w:color="auto" w:fill="auto"/>
            <w:noWrap/>
            <w:vAlign w:val="bottom"/>
            <w:hideMark/>
          </w:tcPr>
          <w:p w14:paraId="2360F48B"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7</w:t>
            </w:r>
          </w:p>
        </w:tc>
        <w:tc>
          <w:tcPr>
            <w:tcW w:w="796" w:type="dxa"/>
            <w:tcBorders>
              <w:top w:val="single" w:sz="8" w:space="0" w:color="auto"/>
              <w:left w:val="nil"/>
              <w:bottom w:val="single" w:sz="4" w:space="0" w:color="auto"/>
              <w:right w:val="single" w:sz="4" w:space="0" w:color="auto"/>
            </w:tcBorders>
            <w:shd w:val="clear" w:color="auto" w:fill="auto"/>
            <w:noWrap/>
            <w:vAlign w:val="bottom"/>
            <w:hideMark/>
          </w:tcPr>
          <w:p w14:paraId="5992354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323</w:t>
            </w:r>
          </w:p>
        </w:tc>
        <w:tc>
          <w:tcPr>
            <w:tcW w:w="764" w:type="dxa"/>
            <w:tcBorders>
              <w:top w:val="nil"/>
              <w:left w:val="nil"/>
              <w:bottom w:val="single" w:sz="4" w:space="0" w:color="auto"/>
              <w:right w:val="single" w:sz="8" w:space="0" w:color="auto"/>
            </w:tcBorders>
            <w:shd w:val="clear" w:color="auto" w:fill="auto"/>
            <w:noWrap/>
            <w:vAlign w:val="bottom"/>
            <w:hideMark/>
          </w:tcPr>
          <w:p w14:paraId="59123117"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11,2</w:t>
            </w:r>
          </w:p>
        </w:tc>
      </w:tr>
      <w:tr w:rsidR="00CF1E38" w:rsidRPr="0013753D" w14:paraId="00278D27" w14:textId="77777777" w:rsidTr="00CF1E38">
        <w:trPr>
          <w:trHeight w:val="255"/>
        </w:trPr>
        <w:tc>
          <w:tcPr>
            <w:tcW w:w="1149" w:type="dxa"/>
            <w:vMerge/>
            <w:tcBorders>
              <w:top w:val="nil"/>
              <w:left w:val="single" w:sz="8" w:space="0" w:color="auto"/>
              <w:bottom w:val="single" w:sz="8" w:space="0" w:color="000000"/>
              <w:right w:val="single" w:sz="4" w:space="0" w:color="auto"/>
            </w:tcBorders>
            <w:vAlign w:val="center"/>
            <w:hideMark/>
          </w:tcPr>
          <w:p w14:paraId="4B94789B"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4" w:space="0" w:color="auto"/>
              <w:right w:val="single" w:sz="4" w:space="0" w:color="auto"/>
            </w:tcBorders>
            <w:shd w:val="clear" w:color="auto" w:fill="auto"/>
            <w:noWrap/>
            <w:vAlign w:val="bottom"/>
            <w:hideMark/>
          </w:tcPr>
          <w:p w14:paraId="19E3B5BE" w14:textId="77777777" w:rsidR="00CF1E38" w:rsidRPr="0081303D" w:rsidRDefault="00CF1E38" w:rsidP="00CF1E38">
            <w:pPr>
              <w:spacing w:line="240" w:lineRule="auto"/>
              <w:rPr>
                <w:rFonts w:eastAsia="Times New Roman"/>
                <w:i/>
                <w:iCs/>
                <w:color w:val="000000"/>
                <w:sz w:val="20"/>
                <w:szCs w:val="20"/>
                <w:lang w:eastAsia="cs-CZ"/>
              </w:rPr>
            </w:pPr>
            <w:r w:rsidRPr="0081303D">
              <w:rPr>
                <w:rFonts w:eastAsia="Times New Roman"/>
                <w:i/>
                <w:iCs/>
                <w:color w:val="000000"/>
                <w:sz w:val="20"/>
                <w:szCs w:val="20"/>
                <w:lang w:eastAsia="cs-CZ"/>
              </w:rPr>
              <w:t>z toho Polsko</w:t>
            </w:r>
          </w:p>
        </w:tc>
        <w:tc>
          <w:tcPr>
            <w:tcW w:w="567" w:type="dxa"/>
            <w:tcBorders>
              <w:top w:val="nil"/>
              <w:left w:val="nil"/>
              <w:bottom w:val="single" w:sz="4" w:space="0" w:color="auto"/>
              <w:right w:val="single" w:sz="4" w:space="0" w:color="auto"/>
            </w:tcBorders>
            <w:shd w:val="clear" w:color="auto" w:fill="auto"/>
            <w:noWrap/>
            <w:vAlign w:val="bottom"/>
            <w:hideMark/>
          </w:tcPr>
          <w:p w14:paraId="4FBFEEEC"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113DB6B8"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2</w:t>
            </w:r>
          </w:p>
        </w:tc>
        <w:tc>
          <w:tcPr>
            <w:tcW w:w="567" w:type="dxa"/>
            <w:tcBorders>
              <w:top w:val="nil"/>
              <w:left w:val="nil"/>
              <w:bottom w:val="single" w:sz="4" w:space="0" w:color="auto"/>
              <w:right w:val="single" w:sz="4" w:space="0" w:color="auto"/>
            </w:tcBorders>
            <w:shd w:val="clear" w:color="auto" w:fill="auto"/>
            <w:noWrap/>
            <w:vAlign w:val="bottom"/>
            <w:hideMark/>
          </w:tcPr>
          <w:p w14:paraId="0797624D"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60" w:type="dxa"/>
            <w:tcBorders>
              <w:top w:val="nil"/>
              <w:left w:val="nil"/>
              <w:bottom w:val="single" w:sz="4" w:space="0" w:color="auto"/>
              <w:right w:val="single" w:sz="4" w:space="0" w:color="auto"/>
            </w:tcBorders>
            <w:shd w:val="clear" w:color="auto" w:fill="auto"/>
            <w:noWrap/>
            <w:vAlign w:val="bottom"/>
            <w:hideMark/>
          </w:tcPr>
          <w:p w14:paraId="55A2D2F4"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6283B035"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710BCBB9"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29" w:type="dxa"/>
            <w:tcBorders>
              <w:top w:val="nil"/>
              <w:left w:val="nil"/>
              <w:bottom w:val="single" w:sz="4" w:space="0" w:color="auto"/>
              <w:right w:val="single" w:sz="4" w:space="0" w:color="auto"/>
            </w:tcBorders>
            <w:shd w:val="clear" w:color="auto" w:fill="auto"/>
            <w:noWrap/>
            <w:vAlign w:val="bottom"/>
            <w:hideMark/>
          </w:tcPr>
          <w:p w14:paraId="6C937CAE"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2</w:t>
            </w:r>
          </w:p>
        </w:tc>
        <w:tc>
          <w:tcPr>
            <w:tcW w:w="505" w:type="dxa"/>
            <w:tcBorders>
              <w:top w:val="nil"/>
              <w:left w:val="nil"/>
              <w:bottom w:val="single" w:sz="4" w:space="0" w:color="auto"/>
              <w:right w:val="single" w:sz="4" w:space="0" w:color="auto"/>
            </w:tcBorders>
            <w:shd w:val="clear" w:color="auto" w:fill="auto"/>
            <w:noWrap/>
            <w:vAlign w:val="bottom"/>
            <w:hideMark/>
          </w:tcPr>
          <w:p w14:paraId="7122FE71"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15" w:type="dxa"/>
            <w:tcBorders>
              <w:top w:val="nil"/>
              <w:left w:val="nil"/>
              <w:bottom w:val="single" w:sz="4" w:space="0" w:color="auto"/>
              <w:right w:val="single" w:sz="4" w:space="0" w:color="auto"/>
            </w:tcBorders>
            <w:shd w:val="clear" w:color="auto" w:fill="auto"/>
            <w:noWrap/>
            <w:vAlign w:val="bottom"/>
            <w:hideMark/>
          </w:tcPr>
          <w:p w14:paraId="66883028"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67" w:type="dxa"/>
            <w:tcBorders>
              <w:top w:val="nil"/>
              <w:left w:val="nil"/>
              <w:bottom w:val="single" w:sz="4" w:space="0" w:color="auto"/>
              <w:right w:val="single" w:sz="4" w:space="0" w:color="auto"/>
            </w:tcBorders>
            <w:shd w:val="clear" w:color="auto" w:fill="auto"/>
            <w:noWrap/>
            <w:vAlign w:val="bottom"/>
            <w:hideMark/>
          </w:tcPr>
          <w:p w14:paraId="11AC5928"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1BE51938"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3F0529F9"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49" w:type="dxa"/>
            <w:tcBorders>
              <w:top w:val="nil"/>
              <w:left w:val="nil"/>
              <w:bottom w:val="single" w:sz="4" w:space="0" w:color="auto"/>
              <w:right w:val="single" w:sz="4" w:space="0" w:color="auto"/>
            </w:tcBorders>
            <w:shd w:val="clear" w:color="auto" w:fill="auto"/>
            <w:noWrap/>
            <w:vAlign w:val="bottom"/>
            <w:hideMark/>
          </w:tcPr>
          <w:p w14:paraId="44280AE0"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4F360FE9"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680D43FF"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4</w:t>
            </w:r>
          </w:p>
        </w:tc>
        <w:tc>
          <w:tcPr>
            <w:tcW w:w="549" w:type="dxa"/>
            <w:tcBorders>
              <w:top w:val="nil"/>
              <w:left w:val="nil"/>
              <w:bottom w:val="single" w:sz="4" w:space="0" w:color="auto"/>
              <w:right w:val="single" w:sz="4" w:space="0" w:color="auto"/>
            </w:tcBorders>
            <w:shd w:val="clear" w:color="auto" w:fill="auto"/>
            <w:noWrap/>
            <w:vAlign w:val="bottom"/>
            <w:hideMark/>
          </w:tcPr>
          <w:p w14:paraId="5FF66C1F"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0B9EBCFA"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4</w:t>
            </w:r>
          </w:p>
        </w:tc>
        <w:tc>
          <w:tcPr>
            <w:tcW w:w="629" w:type="dxa"/>
            <w:tcBorders>
              <w:top w:val="nil"/>
              <w:left w:val="nil"/>
              <w:bottom w:val="single" w:sz="4" w:space="0" w:color="auto"/>
              <w:right w:val="single" w:sz="4" w:space="0" w:color="auto"/>
            </w:tcBorders>
            <w:shd w:val="clear" w:color="auto" w:fill="auto"/>
            <w:noWrap/>
            <w:vAlign w:val="bottom"/>
            <w:hideMark/>
          </w:tcPr>
          <w:p w14:paraId="63C482E2"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796" w:type="dxa"/>
            <w:tcBorders>
              <w:top w:val="nil"/>
              <w:left w:val="nil"/>
              <w:bottom w:val="single" w:sz="4" w:space="0" w:color="auto"/>
              <w:right w:val="single" w:sz="4" w:space="0" w:color="auto"/>
            </w:tcBorders>
            <w:shd w:val="clear" w:color="auto" w:fill="auto"/>
            <w:noWrap/>
            <w:vAlign w:val="bottom"/>
            <w:hideMark/>
          </w:tcPr>
          <w:p w14:paraId="04DDFD8F"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19</w:t>
            </w:r>
          </w:p>
        </w:tc>
        <w:tc>
          <w:tcPr>
            <w:tcW w:w="764" w:type="dxa"/>
            <w:tcBorders>
              <w:top w:val="nil"/>
              <w:left w:val="nil"/>
              <w:bottom w:val="single" w:sz="4" w:space="0" w:color="auto"/>
              <w:right w:val="single" w:sz="8" w:space="0" w:color="auto"/>
            </w:tcBorders>
            <w:shd w:val="clear" w:color="auto" w:fill="auto"/>
            <w:noWrap/>
            <w:vAlign w:val="bottom"/>
            <w:hideMark/>
          </w:tcPr>
          <w:p w14:paraId="5355082D"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0,7</w:t>
            </w:r>
          </w:p>
        </w:tc>
      </w:tr>
      <w:tr w:rsidR="00CF1E38" w:rsidRPr="0013753D" w14:paraId="62FCD0C1" w14:textId="77777777" w:rsidTr="00CF1E38">
        <w:trPr>
          <w:trHeight w:val="255"/>
        </w:trPr>
        <w:tc>
          <w:tcPr>
            <w:tcW w:w="1149" w:type="dxa"/>
            <w:vMerge/>
            <w:tcBorders>
              <w:top w:val="nil"/>
              <w:left w:val="single" w:sz="8" w:space="0" w:color="auto"/>
              <w:bottom w:val="single" w:sz="8" w:space="0" w:color="000000"/>
              <w:right w:val="single" w:sz="4" w:space="0" w:color="auto"/>
            </w:tcBorders>
            <w:vAlign w:val="center"/>
            <w:hideMark/>
          </w:tcPr>
          <w:p w14:paraId="085ECCBD"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4" w:space="0" w:color="auto"/>
              <w:right w:val="single" w:sz="4" w:space="0" w:color="auto"/>
            </w:tcBorders>
            <w:shd w:val="clear" w:color="auto" w:fill="auto"/>
            <w:noWrap/>
            <w:vAlign w:val="bottom"/>
            <w:hideMark/>
          </w:tcPr>
          <w:p w14:paraId="37E131A6" w14:textId="77777777" w:rsidR="00CF1E38" w:rsidRPr="0081303D" w:rsidRDefault="00CF1E38" w:rsidP="00CF1E38">
            <w:pPr>
              <w:spacing w:line="240" w:lineRule="auto"/>
              <w:rPr>
                <w:rFonts w:eastAsia="Times New Roman"/>
                <w:i/>
                <w:iCs/>
                <w:color w:val="000000"/>
                <w:sz w:val="20"/>
                <w:szCs w:val="20"/>
                <w:lang w:eastAsia="cs-CZ"/>
              </w:rPr>
            </w:pPr>
            <w:r w:rsidRPr="0081303D">
              <w:rPr>
                <w:rFonts w:eastAsia="Times New Roman"/>
                <w:i/>
                <w:iCs/>
                <w:color w:val="000000"/>
                <w:sz w:val="20"/>
                <w:szCs w:val="20"/>
                <w:lang w:eastAsia="cs-CZ"/>
              </w:rPr>
              <w:t>z toho SRN</w:t>
            </w:r>
          </w:p>
        </w:tc>
        <w:tc>
          <w:tcPr>
            <w:tcW w:w="567" w:type="dxa"/>
            <w:tcBorders>
              <w:top w:val="nil"/>
              <w:left w:val="nil"/>
              <w:bottom w:val="single" w:sz="4" w:space="0" w:color="auto"/>
              <w:right w:val="single" w:sz="4" w:space="0" w:color="auto"/>
            </w:tcBorders>
            <w:shd w:val="clear" w:color="auto" w:fill="auto"/>
            <w:noWrap/>
            <w:vAlign w:val="bottom"/>
            <w:hideMark/>
          </w:tcPr>
          <w:p w14:paraId="553A7DFE"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40005BE1"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67" w:type="dxa"/>
            <w:tcBorders>
              <w:top w:val="nil"/>
              <w:left w:val="nil"/>
              <w:bottom w:val="single" w:sz="4" w:space="0" w:color="auto"/>
              <w:right w:val="single" w:sz="4" w:space="0" w:color="auto"/>
            </w:tcBorders>
            <w:shd w:val="clear" w:color="auto" w:fill="auto"/>
            <w:noWrap/>
            <w:vAlign w:val="bottom"/>
            <w:hideMark/>
          </w:tcPr>
          <w:p w14:paraId="68D1A213"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60" w:type="dxa"/>
            <w:tcBorders>
              <w:top w:val="nil"/>
              <w:left w:val="nil"/>
              <w:bottom w:val="single" w:sz="4" w:space="0" w:color="auto"/>
              <w:right w:val="single" w:sz="4" w:space="0" w:color="auto"/>
            </w:tcBorders>
            <w:shd w:val="clear" w:color="auto" w:fill="auto"/>
            <w:noWrap/>
            <w:vAlign w:val="bottom"/>
            <w:hideMark/>
          </w:tcPr>
          <w:p w14:paraId="4D439CDA"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4</w:t>
            </w:r>
          </w:p>
        </w:tc>
        <w:tc>
          <w:tcPr>
            <w:tcW w:w="505" w:type="dxa"/>
            <w:tcBorders>
              <w:top w:val="nil"/>
              <w:left w:val="nil"/>
              <w:bottom w:val="single" w:sz="4" w:space="0" w:color="auto"/>
              <w:right w:val="single" w:sz="4" w:space="0" w:color="auto"/>
            </w:tcBorders>
            <w:shd w:val="clear" w:color="auto" w:fill="auto"/>
            <w:noWrap/>
            <w:vAlign w:val="bottom"/>
            <w:hideMark/>
          </w:tcPr>
          <w:p w14:paraId="35E52AE4"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33AB428C"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29" w:type="dxa"/>
            <w:tcBorders>
              <w:top w:val="nil"/>
              <w:left w:val="nil"/>
              <w:bottom w:val="single" w:sz="4" w:space="0" w:color="auto"/>
              <w:right w:val="single" w:sz="4" w:space="0" w:color="auto"/>
            </w:tcBorders>
            <w:shd w:val="clear" w:color="auto" w:fill="auto"/>
            <w:noWrap/>
            <w:vAlign w:val="bottom"/>
            <w:hideMark/>
          </w:tcPr>
          <w:p w14:paraId="4C24C6E8"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39EF8826"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15" w:type="dxa"/>
            <w:tcBorders>
              <w:top w:val="nil"/>
              <w:left w:val="nil"/>
              <w:bottom w:val="single" w:sz="4" w:space="0" w:color="auto"/>
              <w:right w:val="single" w:sz="4" w:space="0" w:color="auto"/>
            </w:tcBorders>
            <w:shd w:val="clear" w:color="auto" w:fill="auto"/>
            <w:noWrap/>
            <w:vAlign w:val="bottom"/>
            <w:hideMark/>
          </w:tcPr>
          <w:p w14:paraId="3546F9CA"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67" w:type="dxa"/>
            <w:tcBorders>
              <w:top w:val="nil"/>
              <w:left w:val="nil"/>
              <w:bottom w:val="single" w:sz="4" w:space="0" w:color="auto"/>
              <w:right w:val="single" w:sz="4" w:space="0" w:color="auto"/>
            </w:tcBorders>
            <w:shd w:val="clear" w:color="auto" w:fill="auto"/>
            <w:noWrap/>
            <w:vAlign w:val="bottom"/>
            <w:hideMark/>
          </w:tcPr>
          <w:p w14:paraId="7EE98801"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60139575"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2</w:t>
            </w:r>
          </w:p>
        </w:tc>
        <w:tc>
          <w:tcPr>
            <w:tcW w:w="505" w:type="dxa"/>
            <w:tcBorders>
              <w:top w:val="nil"/>
              <w:left w:val="nil"/>
              <w:bottom w:val="single" w:sz="4" w:space="0" w:color="auto"/>
              <w:right w:val="single" w:sz="4" w:space="0" w:color="auto"/>
            </w:tcBorders>
            <w:shd w:val="clear" w:color="auto" w:fill="auto"/>
            <w:noWrap/>
            <w:vAlign w:val="bottom"/>
            <w:hideMark/>
          </w:tcPr>
          <w:p w14:paraId="6A599686"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49" w:type="dxa"/>
            <w:tcBorders>
              <w:top w:val="nil"/>
              <w:left w:val="nil"/>
              <w:bottom w:val="single" w:sz="4" w:space="0" w:color="auto"/>
              <w:right w:val="single" w:sz="4" w:space="0" w:color="auto"/>
            </w:tcBorders>
            <w:shd w:val="clear" w:color="auto" w:fill="auto"/>
            <w:noWrap/>
            <w:vAlign w:val="bottom"/>
            <w:hideMark/>
          </w:tcPr>
          <w:p w14:paraId="09F07789"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692688FA"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2</w:t>
            </w:r>
          </w:p>
        </w:tc>
        <w:tc>
          <w:tcPr>
            <w:tcW w:w="505" w:type="dxa"/>
            <w:tcBorders>
              <w:top w:val="nil"/>
              <w:left w:val="nil"/>
              <w:bottom w:val="single" w:sz="4" w:space="0" w:color="auto"/>
              <w:right w:val="single" w:sz="4" w:space="0" w:color="auto"/>
            </w:tcBorders>
            <w:shd w:val="clear" w:color="auto" w:fill="auto"/>
            <w:noWrap/>
            <w:vAlign w:val="bottom"/>
            <w:hideMark/>
          </w:tcPr>
          <w:p w14:paraId="0661C03B"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w:t>
            </w:r>
          </w:p>
        </w:tc>
        <w:tc>
          <w:tcPr>
            <w:tcW w:w="549" w:type="dxa"/>
            <w:tcBorders>
              <w:top w:val="nil"/>
              <w:left w:val="nil"/>
              <w:bottom w:val="single" w:sz="4" w:space="0" w:color="auto"/>
              <w:right w:val="single" w:sz="4" w:space="0" w:color="auto"/>
            </w:tcBorders>
            <w:shd w:val="clear" w:color="auto" w:fill="auto"/>
            <w:noWrap/>
            <w:vAlign w:val="bottom"/>
            <w:hideMark/>
          </w:tcPr>
          <w:p w14:paraId="6F185000"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12C21586"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2</w:t>
            </w:r>
          </w:p>
        </w:tc>
        <w:tc>
          <w:tcPr>
            <w:tcW w:w="629" w:type="dxa"/>
            <w:tcBorders>
              <w:top w:val="nil"/>
              <w:left w:val="nil"/>
              <w:bottom w:val="single" w:sz="4" w:space="0" w:color="auto"/>
              <w:right w:val="single" w:sz="4" w:space="0" w:color="auto"/>
            </w:tcBorders>
            <w:shd w:val="clear" w:color="auto" w:fill="auto"/>
            <w:noWrap/>
            <w:vAlign w:val="bottom"/>
            <w:hideMark/>
          </w:tcPr>
          <w:p w14:paraId="3AC08388"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w:t>
            </w:r>
          </w:p>
        </w:tc>
        <w:tc>
          <w:tcPr>
            <w:tcW w:w="796" w:type="dxa"/>
            <w:tcBorders>
              <w:top w:val="nil"/>
              <w:left w:val="nil"/>
              <w:bottom w:val="single" w:sz="4" w:space="0" w:color="auto"/>
              <w:right w:val="single" w:sz="4" w:space="0" w:color="auto"/>
            </w:tcBorders>
            <w:shd w:val="clear" w:color="auto" w:fill="auto"/>
            <w:noWrap/>
            <w:vAlign w:val="bottom"/>
            <w:hideMark/>
          </w:tcPr>
          <w:p w14:paraId="0682C7AF"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17</w:t>
            </w:r>
          </w:p>
        </w:tc>
        <w:tc>
          <w:tcPr>
            <w:tcW w:w="764" w:type="dxa"/>
            <w:tcBorders>
              <w:top w:val="nil"/>
              <w:left w:val="nil"/>
              <w:bottom w:val="single" w:sz="4" w:space="0" w:color="auto"/>
              <w:right w:val="single" w:sz="8" w:space="0" w:color="auto"/>
            </w:tcBorders>
            <w:shd w:val="clear" w:color="auto" w:fill="auto"/>
            <w:noWrap/>
            <w:vAlign w:val="bottom"/>
            <w:hideMark/>
          </w:tcPr>
          <w:p w14:paraId="62333ECB"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0,6</w:t>
            </w:r>
          </w:p>
        </w:tc>
      </w:tr>
      <w:tr w:rsidR="00CF1E38" w:rsidRPr="0013753D" w14:paraId="209C3187" w14:textId="77777777" w:rsidTr="00CF1E38">
        <w:trPr>
          <w:trHeight w:val="255"/>
        </w:trPr>
        <w:tc>
          <w:tcPr>
            <w:tcW w:w="1149" w:type="dxa"/>
            <w:vMerge/>
            <w:tcBorders>
              <w:top w:val="nil"/>
              <w:left w:val="single" w:sz="8" w:space="0" w:color="auto"/>
              <w:bottom w:val="single" w:sz="8" w:space="0" w:color="000000"/>
              <w:right w:val="single" w:sz="4" w:space="0" w:color="auto"/>
            </w:tcBorders>
            <w:vAlign w:val="center"/>
            <w:hideMark/>
          </w:tcPr>
          <w:p w14:paraId="17E1623E"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4" w:space="0" w:color="auto"/>
              <w:right w:val="single" w:sz="4" w:space="0" w:color="auto"/>
            </w:tcBorders>
            <w:shd w:val="clear" w:color="auto" w:fill="auto"/>
            <w:noWrap/>
            <w:vAlign w:val="bottom"/>
            <w:hideMark/>
          </w:tcPr>
          <w:p w14:paraId="3C82AE1B" w14:textId="77777777" w:rsidR="00CF1E38" w:rsidRPr="0081303D" w:rsidRDefault="00CF1E38" w:rsidP="0002057E">
            <w:pPr>
              <w:spacing w:line="240" w:lineRule="auto"/>
              <w:rPr>
                <w:rFonts w:eastAsia="Times New Roman"/>
                <w:color w:val="000000"/>
                <w:sz w:val="20"/>
                <w:szCs w:val="20"/>
                <w:lang w:eastAsia="cs-CZ"/>
              </w:rPr>
            </w:pPr>
            <w:r w:rsidRPr="0013753D">
              <w:rPr>
                <w:rFonts w:eastAsia="Times New Roman"/>
                <w:color w:val="000000"/>
                <w:sz w:val="20"/>
                <w:szCs w:val="20"/>
                <w:lang w:eastAsia="cs-CZ"/>
              </w:rPr>
              <w:t xml:space="preserve"> z</w:t>
            </w:r>
            <w:r w:rsidRPr="0081303D">
              <w:rPr>
                <w:rFonts w:eastAsia="Times New Roman"/>
                <w:color w:val="000000"/>
                <w:sz w:val="20"/>
                <w:szCs w:val="20"/>
                <w:lang w:eastAsia="cs-CZ"/>
              </w:rPr>
              <w:t xml:space="preserve"> Č</w:t>
            </w:r>
            <w:r w:rsidR="0002057E">
              <w:rPr>
                <w:rFonts w:eastAsia="Times New Roman"/>
                <w:color w:val="000000"/>
                <w:sz w:val="20"/>
                <w:szCs w:val="20"/>
                <w:lang w:eastAsia="cs-CZ"/>
              </w:rPr>
              <w:t>R</w:t>
            </w:r>
          </w:p>
        </w:tc>
        <w:tc>
          <w:tcPr>
            <w:tcW w:w="567" w:type="dxa"/>
            <w:tcBorders>
              <w:top w:val="nil"/>
              <w:left w:val="nil"/>
              <w:bottom w:val="single" w:sz="4" w:space="0" w:color="auto"/>
              <w:right w:val="single" w:sz="4" w:space="0" w:color="auto"/>
            </w:tcBorders>
            <w:shd w:val="clear" w:color="auto" w:fill="auto"/>
            <w:noWrap/>
            <w:vAlign w:val="bottom"/>
            <w:hideMark/>
          </w:tcPr>
          <w:p w14:paraId="7C5E038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91</w:t>
            </w:r>
          </w:p>
        </w:tc>
        <w:tc>
          <w:tcPr>
            <w:tcW w:w="567" w:type="dxa"/>
            <w:tcBorders>
              <w:top w:val="nil"/>
              <w:left w:val="nil"/>
              <w:bottom w:val="single" w:sz="4" w:space="0" w:color="auto"/>
              <w:right w:val="single" w:sz="4" w:space="0" w:color="auto"/>
            </w:tcBorders>
            <w:shd w:val="clear" w:color="auto" w:fill="auto"/>
            <w:noWrap/>
            <w:vAlign w:val="bottom"/>
            <w:hideMark/>
          </w:tcPr>
          <w:p w14:paraId="3DB9EA9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103</w:t>
            </w:r>
          </w:p>
        </w:tc>
        <w:tc>
          <w:tcPr>
            <w:tcW w:w="567" w:type="dxa"/>
            <w:tcBorders>
              <w:top w:val="nil"/>
              <w:left w:val="nil"/>
              <w:bottom w:val="single" w:sz="4" w:space="0" w:color="auto"/>
              <w:right w:val="single" w:sz="4" w:space="0" w:color="auto"/>
            </w:tcBorders>
            <w:shd w:val="clear" w:color="auto" w:fill="auto"/>
            <w:noWrap/>
            <w:vAlign w:val="bottom"/>
            <w:hideMark/>
          </w:tcPr>
          <w:p w14:paraId="206A9F6B"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102</w:t>
            </w:r>
          </w:p>
        </w:tc>
        <w:tc>
          <w:tcPr>
            <w:tcW w:w="560" w:type="dxa"/>
            <w:tcBorders>
              <w:top w:val="nil"/>
              <w:left w:val="nil"/>
              <w:bottom w:val="single" w:sz="4" w:space="0" w:color="auto"/>
              <w:right w:val="single" w:sz="4" w:space="0" w:color="auto"/>
            </w:tcBorders>
            <w:shd w:val="clear" w:color="auto" w:fill="auto"/>
            <w:noWrap/>
            <w:vAlign w:val="bottom"/>
            <w:hideMark/>
          </w:tcPr>
          <w:p w14:paraId="3572948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130</w:t>
            </w:r>
          </w:p>
        </w:tc>
        <w:tc>
          <w:tcPr>
            <w:tcW w:w="505" w:type="dxa"/>
            <w:tcBorders>
              <w:top w:val="nil"/>
              <w:left w:val="nil"/>
              <w:bottom w:val="single" w:sz="4" w:space="0" w:color="auto"/>
              <w:right w:val="single" w:sz="4" w:space="0" w:color="auto"/>
            </w:tcBorders>
            <w:shd w:val="clear" w:color="auto" w:fill="auto"/>
            <w:noWrap/>
            <w:vAlign w:val="bottom"/>
            <w:hideMark/>
          </w:tcPr>
          <w:p w14:paraId="07B9C66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149</w:t>
            </w:r>
          </w:p>
        </w:tc>
        <w:tc>
          <w:tcPr>
            <w:tcW w:w="505" w:type="dxa"/>
            <w:tcBorders>
              <w:top w:val="nil"/>
              <w:left w:val="nil"/>
              <w:bottom w:val="single" w:sz="4" w:space="0" w:color="auto"/>
              <w:right w:val="single" w:sz="4" w:space="0" w:color="auto"/>
            </w:tcBorders>
            <w:shd w:val="clear" w:color="auto" w:fill="auto"/>
            <w:noWrap/>
            <w:vAlign w:val="bottom"/>
            <w:hideMark/>
          </w:tcPr>
          <w:p w14:paraId="7CFD4DC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111</w:t>
            </w:r>
          </w:p>
        </w:tc>
        <w:tc>
          <w:tcPr>
            <w:tcW w:w="529" w:type="dxa"/>
            <w:tcBorders>
              <w:top w:val="nil"/>
              <w:left w:val="nil"/>
              <w:bottom w:val="single" w:sz="4" w:space="0" w:color="auto"/>
              <w:right w:val="single" w:sz="4" w:space="0" w:color="auto"/>
            </w:tcBorders>
            <w:shd w:val="clear" w:color="auto" w:fill="auto"/>
            <w:noWrap/>
            <w:vAlign w:val="bottom"/>
            <w:hideMark/>
          </w:tcPr>
          <w:p w14:paraId="1C9EE9B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110</w:t>
            </w:r>
          </w:p>
        </w:tc>
        <w:tc>
          <w:tcPr>
            <w:tcW w:w="505" w:type="dxa"/>
            <w:tcBorders>
              <w:top w:val="nil"/>
              <w:left w:val="nil"/>
              <w:bottom w:val="single" w:sz="4" w:space="0" w:color="auto"/>
              <w:right w:val="single" w:sz="4" w:space="0" w:color="auto"/>
            </w:tcBorders>
            <w:shd w:val="clear" w:color="auto" w:fill="auto"/>
            <w:noWrap/>
            <w:vAlign w:val="bottom"/>
            <w:hideMark/>
          </w:tcPr>
          <w:p w14:paraId="17792AD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158</w:t>
            </w:r>
          </w:p>
        </w:tc>
        <w:tc>
          <w:tcPr>
            <w:tcW w:w="515" w:type="dxa"/>
            <w:tcBorders>
              <w:top w:val="nil"/>
              <w:left w:val="nil"/>
              <w:bottom w:val="single" w:sz="4" w:space="0" w:color="auto"/>
              <w:right w:val="single" w:sz="4" w:space="0" w:color="auto"/>
            </w:tcBorders>
            <w:shd w:val="clear" w:color="auto" w:fill="auto"/>
            <w:noWrap/>
            <w:vAlign w:val="bottom"/>
            <w:hideMark/>
          </w:tcPr>
          <w:p w14:paraId="1E6E0CC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86</w:t>
            </w:r>
          </w:p>
        </w:tc>
        <w:tc>
          <w:tcPr>
            <w:tcW w:w="567" w:type="dxa"/>
            <w:tcBorders>
              <w:top w:val="nil"/>
              <w:left w:val="nil"/>
              <w:bottom w:val="single" w:sz="4" w:space="0" w:color="auto"/>
              <w:right w:val="single" w:sz="4" w:space="0" w:color="auto"/>
            </w:tcBorders>
            <w:shd w:val="clear" w:color="auto" w:fill="auto"/>
            <w:noWrap/>
            <w:vAlign w:val="bottom"/>
            <w:hideMark/>
          </w:tcPr>
          <w:p w14:paraId="7EED9D8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137</w:t>
            </w:r>
          </w:p>
        </w:tc>
        <w:tc>
          <w:tcPr>
            <w:tcW w:w="505" w:type="dxa"/>
            <w:tcBorders>
              <w:top w:val="nil"/>
              <w:left w:val="nil"/>
              <w:bottom w:val="single" w:sz="4" w:space="0" w:color="auto"/>
              <w:right w:val="single" w:sz="4" w:space="0" w:color="auto"/>
            </w:tcBorders>
            <w:shd w:val="clear" w:color="auto" w:fill="auto"/>
            <w:noWrap/>
            <w:vAlign w:val="bottom"/>
            <w:hideMark/>
          </w:tcPr>
          <w:p w14:paraId="7CC19025"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200</w:t>
            </w:r>
          </w:p>
        </w:tc>
        <w:tc>
          <w:tcPr>
            <w:tcW w:w="505" w:type="dxa"/>
            <w:tcBorders>
              <w:top w:val="nil"/>
              <w:left w:val="nil"/>
              <w:bottom w:val="single" w:sz="4" w:space="0" w:color="auto"/>
              <w:right w:val="single" w:sz="4" w:space="0" w:color="auto"/>
            </w:tcBorders>
            <w:shd w:val="clear" w:color="auto" w:fill="auto"/>
            <w:noWrap/>
            <w:vAlign w:val="bottom"/>
            <w:hideMark/>
          </w:tcPr>
          <w:p w14:paraId="28C3D38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194</w:t>
            </w:r>
          </w:p>
        </w:tc>
        <w:tc>
          <w:tcPr>
            <w:tcW w:w="549" w:type="dxa"/>
            <w:tcBorders>
              <w:top w:val="nil"/>
              <w:left w:val="nil"/>
              <w:bottom w:val="single" w:sz="4" w:space="0" w:color="auto"/>
              <w:right w:val="single" w:sz="4" w:space="0" w:color="auto"/>
            </w:tcBorders>
            <w:shd w:val="clear" w:color="auto" w:fill="auto"/>
            <w:noWrap/>
            <w:vAlign w:val="bottom"/>
            <w:hideMark/>
          </w:tcPr>
          <w:p w14:paraId="7B97A8A7"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168</w:t>
            </w:r>
          </w:p>
        </w:tc>
        <w:tc>
          <w:tcPr>
            <w:tcW w:w="505" w:type="dxa"/>
            <w:tcBorders>
              <w:top w:val="nil"/>
              <w:left w:val="nil"/>
              <w:bottom w:val="single" w:sz="4" w:space="0" w:color="auto"/>
              <w:right w:val="single" w:sz="4" w:space="0" w:color="auto"/>
            </w:tcBorders>
            <w:shd w:val="clear" w:color="auto" w:fill="auto"/>
            <w:noWrap/>
            <w:vAlign w:val="bottom"/>
            <w:hideMark/>
          </w:tcPr>
          <w:p w14:paraId="042E061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172</w:t>
            </w:r>
          </w:p>
        </w:tc>
        <w:tc>
          <w:tcPr>
            <w:tcW w:w="505" w:type="dxa"/>
            <w:tcBorders>
              <w:top w:val="nil"/>
              <w:left w:val="nil"/>
              <w:bottom w:val="single" w:sz="4" w:space="0" w:color="auto"/>
              <w:right w:val="single" w:sz="4" w:space="0" w:color="auto"/>
            </w:tcBorders>
            <w:shd w:val="clear" w:color="auto" w:fill="auto"/>
            <w:noWrap/>
            <w:vAlign w:val="bottom"/>
            <w:hideMark/>
          </w:tcPr>
          <w:p w14:paraId="74AD01F6"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140</w:t>
            </w:r>
          </w:p>
        </w:tc>
        <w:tc>
          <w:tcPr>
            <w:tcW w:w="549" w:type="dxa"/>
            <w:tcBorders>
              <w:top w:val="nil"/>
              <w:left w:val="nil"/>
              <w:bottom w:val="single" w:sz="4" w:space="0" w:color="auto"/>
              <w:right w:val="single" w:sz="4" w:space="0" w:color="auto"/>
            </w:tcBorders>
            <w:shd w:val="clear" w:color="auto" w:fill="auto"/>
            <w:noWrap/>
            <w:vAlign w:val="bottom"/>
            <w:hideMark/>
          </w:tcPr>
          <w:p w14:paraId="2C313780"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148</w:t>
            </w:r>
          </w:p>
        </w:tc>
        <w:tc>
          <w:tcPr>
            <w:tcW w:w="505" w:type="dxa"/>
            <w:tcBorders>
              <w:top w:val="nil"/>
              <w:left w:val="nil"/>
              <w:bottom w:val="single" w:sz="4" w:space="0" w:color="auto"/>
              <w:right w:val="single" w:sz="4" w:space="0" w:color="auto"/>
            </w:tcBorders>
            <w:shd w:val="clear" w:color="auto" w:fill="auto"/>
            <w:noWrap/>
            <w:vAlign w:val="bottom"/>
            <w:hideMark/>
          </w:tcPr>
          <w:p w14:paraId="772AEA2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176</w:t>
            </w:r>
          </w:p>
        </w:tc>
        <w:tc>
          <w:tcPr>
            <w:tcW w:w="629" w:type="dxa"/>
            <w:tcBorders>
              <w:top w:val="nil"/>
              <w:left w:val="nil"/>
              <w:bottom w:val="single" w:sz="4" w:space="0" w:color="auto"/>
              <w:right w:val="single" w:sz="4" w:space="0" w:color="auto"/>
            </w:tcBorders>
            <w:shd w:val="clear" w:color="auto" w:fill="auto"/>
            <w:noWrap/>
            <w:vAlign w:val="bottom"/>
            <w:hideMark/>
          </w:tcPr>
          <w:p w14:paraId="44661DBB"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176</w:t>
            </w:r>
          </w:p>
        </w:tc>
        <w:tc>
          <w:tcPr>
            <w:tcW w:w="796" w:type="dxa"/>
            <w:tcBorders>
              <w:top w:val="nil"/>
              <w:left w:val="nil"/>
              <w:bottom w:val="single" w:sz="4" w:space="0" w:color="auto"/>
              <w:right w:val="single" w:sz="4" w:space="0" w:color="auto"/>
            </w:tcBorders>
            <w:shd w:val="clear" w:color="auto" w:fill="auto"/>
            <w:noWrap/>
            <w:vAlign w:val="bottom"/>
            <w:hideMark/>
          </w:tcPr>
          <w:p w14:paraId="1C8F6C1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2551</w:t>
            </w:r>
          </w:p>
        </w:tc>
        <w:tc>
          <w:tcPr>
            <w:tcW w:w="764" w:type="dxa"/>
            <w:tcBorders>
              <w:top w:val="nil"/>
              <w:left w:val="nil"/>
              <w:bottom w:val="single" w:sz="4" w:space="0" w:color="auto"/>
              <w:right w:val="single" w:sz="8" w:space="0" w:color="auto"/>
            </w:tcBorders>
            <w:shd w:val="clear" w:color="auto" w:fill="auto"/>
            <w:noWrap/>
            <w:vAlign w:val="bottom"/>
            <w:hideMark/>
          </w:tcPr>
          <w:p w14:paraId="4531BFE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88,8</w:t>
            </w:r>
          </w:p>
        </w:tc>
      </w:tr>
      <w:tr w:rsidR="00CF1E38" w:rsidRPr="0013753D" w14:paraId="0C6E6661" w14:textId="77777777" w:rsidTr="00CF1E38">
        <w:trPr>
          <w:trHeight w:val="255"/>
        </w:trPr>
        <w:tc>
          <w:tcPr>
            <w:tcW w:w="1149" w:type="dxa"/>
            <w:vMerge/>
            <w:tcBorders>
              <w:top w:val="nil"/>
              <w:left w:val="single" w:sz="8" w:space="0" w:color="auto"/>
              <w:bottom w:val="single" w:sz="8" w:space="0" w:color="000000"/>
              <w:right w:val="single" w:sz="4" w:space="0" w:color="auto"/>
            </w:tcBorders>
            <w:vAlign w:val="center"/>
            <w:hideMark/>
          </w:tcPr>
          <w:p w14:paraId="2324C064"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4" w:space="0" w:color="auto"/>
              <w:right w:val="single" w:sz="4" w:space="0" w:color="auto"/>
            </w:tcBorders>
            <w:shd w:val="clear" w:color="auto" w:fill="auto"/>
            <w:vAlign w:val="bottom"/>
            <w:hideMark/>
          </w:tcPr>
          <w:p w14:paraId="53F58695" w14:textId="77777777" w:rsidR="00CF1E38" w:rsidRPr="0081303D" w:rsidRDefault="00CF1E38" w:rsidP="00CF1E38">
            <w:pPr>
              <w:spacing w:line="240" w:lineRule="auto"/>
              <w:rPr>
                <w:rFonts w:eastAsia="Times New Roman"/>
                <w:i/>
                <w:iCs/>
                <w:color w:val="000000"/>
                <w:sz w:val="20"/>
                <w:szCs w:val="20"/>
                <w:lang w:eastAsia="cs-CZ"/>
              </w:rPr>
            </w:pPr>
            <w:r w:rsidRPr="0081303D">
              <w:rPr>
                <w:rFonts w:eastAsia="Times New Roman"/>
                <w:i/>
                <w:iCs/>
                <w:color w:val="000000"/>
                <w:sz w:val="20"/>
                <w:szCs w:val="20"/>
                <w:lang w:eastAsia="cs-CZ"/>
              </w:rPr>
              <w:t>z toho Liberecký kraj</w:t>
            </w:r>
          </w:p>
        </w:tc>
        <w:tc>
          <w:tcPr>
            <w:tcW w:w="567" w:type="dxa"/>
            <w:tcBorders>
              <w:top w:val="nil"/>
              <w:left w:val="nil"/>
              <w:bottom w:val="single" w:sz="4" w:space="0" w:color="auto"/>
              <w:right w:val="single" w:sz="4" w:space="0" w:color="auto"/>
            </w:tcBorders>
            <w:shd w:val="clear" w:color="auto" w:fill="auto"/>
            <w:noWrap/>
            <w:vAlign w:val="bottom"/>
            <w:hideMark/>
          </w:tcPr>
          <w:p w14:paraId="0D38DC32"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70</w:t>
            </w:r>
          </w:p>
        </w:tc>
        <w:tc>
          <w:tcPr>
            <w:tcW w:w="567" w:type="dxa"/>
            <w:tcBorders>
              <w:top w:val="nil"/>
              <w:left w:val="nil"/>
              <w:bottom w:val="single" w:sz="4" w:space="0" w:color="auto"/>
              <w:right w:val="single" w:sz="4" w:space="0" w:color="auto"/>
            </w:tcBorders>
            <w:shd w:val="clear" w:color="auto" w:fill="auto"/>
            <w:noWrap/>
            <w:vAlign w:val="bottom"/>
            <w:hideMark/>
          </w:tcPr>
          <w:p w14:paraId="59642A60"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73</w:t>
            </w:r>
          </w:p>
        </w:tc>
        <w:tc>
          <w:tcPr>
            <w:tcW w:w="567" w:type="dxa"/>
            <w:tcBorders>
              <w:top w:val="nil"/>
              <w:left w:val="nil"/>
              <w:bottom w:val="single" w:sz="4" w:space="0" w:color="auto"/>
              <w:right w:val="single" w:sz="4" w:space="0" w:color="auto"/>
            </w:tcBorders>
            <w:shd w:val="clear" w:color="auto" w:fill="auto"/>
            <w:noWrap/>
            <w:vAlign w:val="bottom"/>
            <w:hideMark/>
          </w:tcPr>
          <w:p w14:paraId="72BA9843"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78</w:t>
            </w:r>
          </w:p>
        </w:tc>
        <w:tc>
          <w:tcPr>
            <w:tcW w:w="560" w:type="dxa"/>
            <w:tcBorders>
              <w:top w:val="nil"/>
              <w:left w:val="nil"/>
              <w:bottom w:val="single" w:sz="4" w:space="0" w:color="auto"/>
              <w:right w:val="single" w:sz="4" w:space="0" w:color="auto"/>
            </w:tcBorders>
            <w:shd w:val="clear" w:color="auto" w:fill="auto"/>
            <w:noWrap/>
            <w:vAlign w:val="bottom"/>
            <w:hideMark/>
          </w:tcPr>
          <w:p w14:paraId="7B70380D"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90</w:t>
            </w:r>
          </w:p>
        </w:tc>
        <w:tc>
          <w:tcPr>
            <w:tcW w:w="505" w:type="dxa"/>
            <w:tcBorders>
              <w:top w:val="nil"/>
              <w:left w:val="nil"/>
              <w:bottom w:val="single" w:sz="4" w:space="0" w:color="auto"/>
              <w:right w:val="single" w:sz="4" w:space="0" w:color="auto"/>
            </w:tcBorders>
            <w:shd w:val="clear" w:color="auto" w:fill="auto"/>
            <w:noWrap/>
            <w:vAlign w:val="bottom"/>
            <w:hideMark/>
          </w:tcPr>
          <w:p w14:paraId="1B23325A"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111</w:t>
            </w:r>
          </w:p>
        </w:tc>
        <w:tc>
          <w:tcPr>
            <w:tcW w:w="505" w:type="dxa"/>
            <w:tcBorders>
              <w:top w:val="nil"/>
              <w:left w:val="nil"/>
              <w:bottom w:val="single" w:sz="4" w:space="0" w:color="auto"/>
              <w:right w:val="single" w:sz="4" w:space="0" w:color="auto"/>
            </w:tcBorders>
            <w:shd w:val="clear" w:color="auto" w:fill="auto"/>
            <w:noWrap/>
            <w:vAlign w:val="bottom"/>
            <w:hideMark/>
          </w:tcPr>
          <w:p w14:paraId="304F6244"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86</w:t>
            </w:r>
          </w:p>
        </w:tc>
        <w:tc>
          <w:tcPr>
            <w:tcW w:w="529" w:type="dxa"/>
            <w:tcBorders>
              <w:top w:val="nil"/>
              <w:left w:val="nil"/>
              <w:bottom w:val="single" w:sz="4" w:space="0" w:color="auto"/>
              <w:right w:val="single" w:sz="4" w:space="0" w:color="auto"/>
            </w:tcBorders>
            <w:shd w:val="clear" w:color="auto" w:fill="auto"/>
            <w:noWrap/>
            <w:vAlign w:val="bottom"/>
            <w:hideMark/>
          </w:tcPr>
          <w:p w14:paraId="70798DB0"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83</w:t>
            </w:r>
          </w:p>
        </w:tc>
        <w:tc>
          <w:tcPr>
            <w:tcW w:w="505" w:type="dxa"/>
            <w:tcBorders>
              <w:top w:val="nil"/>
              <w:left w:val="nil"/>
              <w:bottom w:val="single" w:sz="4" w:space="0" w:color="auto"/>
              <w:right w:val="single" w:sz="4" w:space="0" w:color="auto"/>
            </w:tcBorders>
            <w:shd w:val="clear" w:color="auto" w:fill="auto"/>
            <w:noWrap/>
            <w:vAlign w:val="bottom"/>
            <w:hideMark/>
          </w:tcPr>
          <w:p w14:paraId="023D819E"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110</w:t>
            </w:r>
          </w:p>
        </w:tc>
        <w:tc>
          <w:tcPr>
            <w:tcW w:w="515" w:type="dxa"/>
            <w:tcBorders>
              <w:top w:val="nil"/>
              <w:left w:val="nil"/>
              <w:bottom w:val="single" w:sz="4" w:space="0" w:color="auto"/>
              <w:right w:val="single" w:sz="4" w:space="0" w:color="auto"/>
            </w:tcBorders>
            <w:shd w:val="clear" w:color="auto" w:fill="auto"/>
            <w:noWrap/>
            <w:vAlign w:val="bottom"/>
            <w:hideMark/>
          </w:tcPr>
          <w:p w14:paraId="0CA23470"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53</w:t>
            </w:r>
          </w:p>
        </w:tc>
        <w:tc>
          <w:tcPr>
            <w:tcW w:w="567" w:type="dxa"/>
            <w:tcBorders>
              <w:top w:val="nil"/>
              <w:left w:val="nil"/>
              <w:bottom w:val="single" w:sz="4" w:space="0" w:color="auto"/>
              <w:right w:val="single" w:sz="4" w:space="0" w:color="auto"/>
            </w:tcBorders>
            <w:shd w:val="clear" w:color="auto" w:fill="auto"/>
            <w:noWrap/>
            <w:vAlign w:val="bottom"/>
            <w:hideMark/>
          </w:tcPr>
          <w:p w14:paraId="45C25C58"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102</w:t>
            </w:r>
          </w:p>
        </w:tc>
        <w:tc>
          <w:tcPr>
            <w:tcW w:w="505" w:type="dxa"/>
            <w:tcBorders>
              <w:top w:val="nil"/>
              <w:left w:val="nil"/>
              <w:bottom w:val="single" w:sz="4" w:space="0" w:color="auto"/>
              <w:right w:val="single" w:sz="4" w:space="0" w:color="auto"/>
            </w:tcBorders>
            <w:shd w:val="clear" w:color="auto" w:fill="auto"/>
            <w:noWrap/>
            <w:vAlign w:val="bottom"/>
            <w:hideMark/>
          </w:tcPr>
          <w:p w14:paraId="4C5D7A85"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168</w:t>
            </w:r>
          </w:p>
        </w:tc>
        <w:tc>
          <w:tcPr>
            <w:tcW w:w="505" w:type="dxa"/>
            <w:tcBorders>
              <w:top w:val="nil"/>
              <w:left w:val="nil"/>
              <w:bottom w:val="single" w:sz="4" w:space="0" w:color="auto"/>
              <w:right w:val="single" w:sz="4" w:space="0" w:color="auto"/>
            </w:tcBorders>
            <w:shd w:val="clear" w:color="auto" w:fill="auto"/>
            <w:noWrap/>
            <w:vAlign w:val="bottom"/>
            <w:hideMark/>
          </w:tcPr>
          <w:p w14:paraId="393213B6"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157</w:t>
            </w:r>
          </w:p>
        </w:tc>
        <w:tc>
          <w:tcPr>
            <w:tcW w:w="549" w:type="dxa"/>
            <w:tcBorders>
              <w:top w:val="nil"/>
              <w:left w:val="nil"/>
              <w:bottom w:val="single" w:sz="4" w:space="0" w:color="auto"/>
              <w:right w:val="single" w:sz="4" w:space="0" w:color="auto"/>
            </w:tcBorders>
            <w:shd w:val="clear" w:color="auto" w:fill="auto"/>
            <w:noWrap/>
            <w:vAlign w:val="bottom"/>
            <w:hideMark/>
          </w:tcPr>
          <w:p w14:paraId="512B0D53"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142</w:t>
            </w:r>
          </w:p>
        </w:tc>
        <w:tc>
          <w:tcPr>
            <w:tcW w:w="505" w:type="dxa"/>
            <w:tcBorders>
              <w:top w:val="nil"/>
              <w:left w:val="nil"/>
              <w:bottom w:val="single" w:sz="4" w:space="0" w:color="auto"/>
              <w:right w:val="single" w:sz="4" w:space="0" w:color="auto"/>
            </w:tcBorders>
            <w:shd w:val="clear" w:color="auto" w:fill="auto"/>
            <w:noWrap/>
            <w:vAlign w:val="bottom"/>
            <w:hideMark/>
          </w:tcPr>
          <w:p w14:paraId="7BAB0BAE"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125</w:t>
            </w:r>
          </w:p>
        </w:tc>
        <w:tc>
          <w:tcPr>
            <w:tcW w:w="505" w:type="dxa"/>
            <w:tcBorders>
              <w:top w:val="nil"/>
              <w:left w:val="nil"/>
              <w:bottom w:val="single" w:sz="4" w:space="0" w:color="auto"/>
              <w:right w:val="single" w:sz="4" w:space="0" w:color="auto"/>
            </w:tcBorders>
            <w:shd w:val="clear" w:color="auto" w:fill="auto"/>
            <w:noWrap/>
            <w:vAlign w:val="bottom"/>
            <w:hideMark/>
          </w:tcPr>
          <w:p w14:paraId="6BEC0CF1"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113</w:t>
            </w:r>
          </w:p>
        </w:tc>
        <w:tc>
          <w:tcPr>
            <w:tcW w:w="549" w:type="dxa"/>
            <w:tcBorders>
              <w:top w:val="nil"/>
              <w:left w:val="nil"/>
              <w:bottom w:val="single" w:sz="4" w:space="0" w:color="auto"/>
              <w:right w:val="single" w:sz="4" w:space="0" w:color="auto"/>
            </w:tcBorders>
            <w:shd w:val="clear" w:color="auto" w:fill="auto"/>
            <w:noWrap/>
            <w:vAlign w:val="bottom"/>
            <w:hideMark/>
          </w:tcPr>
          <w:p w14:paraId="59B967C5"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104</w:t>
            </w:r>
          </w:p>
        </w:tc>
        <w:tc>
          <w:tcPr>
            <w:tcW w:w="505" w:type="dxa"/>
            <w:tcBorders>
              <w:top w:val="nil"/>
              <w:left w:val="nil"/>
              <w:bottom w:val="single" w:sz="4" w:space="0" w:color="auto"/>
              <w:right w:val="single" w:sz="4" w:space="0" w:color="auto"/>
            </w:tcBorders>
            <w:shd w:val="clear" w:color="auto" w:fill="auto"/>
            <w:noWrap/>
            <w:vAlign w:val="bottom"/>
            <w:hideMark/>
          </w:tcPr>
          <w:p w14:paraId="38CED1E6"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132</w:t>
            </w:r>
          </w:p>
        </w:tc>
        <w:tc>
          <w:tcPr>
            <w:tcW w:w="629" w:type="dxa"/>
            <w:tcBorders>
              <w:top w:val="nil"/>
              <w:left w:val="nil"/>
              <w:bottom w:val="single" w:sz="4" w:space="0" w:color="auto"/>
              <w:right w:val="single" w:sz="4" w:space="0" w:color="auto"/>
            </w:tcBorders>
            <w:shd w:val="clear" w:color="auto" w:fill="auto"/>
            <w:noWrap/>
            <w:vAlign w:val="bottom"/>
            <w:hideMark/>
          </w:tcPr>
          <w:p w14:paraId="71573C85"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134</w:t>
            </w:r>
          </w:p>
        </w:tc>
        <w:tc>
          <w:tcPr>
            <w:tcW w:w="796" w:type="dxa"/>
            <w:tcBorders>
              <w:top w:val="nil"/>
              <w:left w:val="nil"/>
              <w:bottom w:val="single" w:sz="4" w:space="0" w:color="auto"/>
              <w:right w:val="single" w:sz="4" w:space="0" w:color="auto"/>
            </w:tcBorders>
            <w:shd w:val="clear" w:color="auto" w:fill="auto"/>
            <w:noWrap/>
            <w:vAlign w:val="bottom"/>
            <w:hideMark/>
          </w:tcPr>
          <w:p w14:paraId="3AB99D99"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1931</w:t>
            </w:r>
          </w:p>
        </w:tc>
        <w:tc>
          <w:tcPr>
            <w:tcW w:w="764" w:type="dxa"/>
            <w:tcBorders>
              <w:top w:val="nil"/>
              <w:left w:val="nil"/>
              <w:bottom w:val="single" w:sz="4" w:space="0" w:color="auto"/>
              <w:right w:val="single" w:sz="8" w:space="0" w:color="auto"/>
            </w:tcBorders>
            <w:shd w:val="clear" w:color="auto" w:fill="auto"/>
            <w:noWrap/>
            <w:vAlign w:val="bottom"/>
            <w:hideMark/>
          </w:tcPr>
          <w:p w14:paraId="7DDFC3FB" w14:textId="77777777" w:rsidR="00CF1E38" w:rsidRPr="0081303D" w:rsidRDefault="00CF1E38" w:rsidP="00CF1E38">
            <w:pPr>
              <w:spacing w:line="240" w:lineRule="auto"/>
              <w:jc w:val="right"/>
              <w:rPr>
                <w:rFonts w:eastAsia="Times New Roman"/>
                <w:i/>
                <w:iCs/>
                <w:color w:val="000000"/>
                <w:sz w:val="20"/>
                <w:szCs w:val="20"/>
                <w:lang w:eastAsia="cs-CZ"/>
              </w:rPr>
            </w:pPr>
            <w:r w:rsidRPr="0081303D">
              <w:rPr>
                <w:rFonts w:eastAsia="Times New Roman"/>
                <w:i/>
                <w:iCs/>
                <w:color w:val="000000"/>
                <w:sz w:val="20"/>
                <w:szCs w:val="20"/>
                <w:lang w:eastAsia="cs-CZ"/>
              </w:rPr>
              <w:t>67,2</w:t>
            </w:r>
          </w:p>
        </w:tc>
      </w:tr>
      <w:tr w:rsidR="00CF1E38" w:rsidRPr="0013753D" w14:paraId="0869909B" w14:textId="77777777" w:rsidTr="00CF1E38">
        <w:trPr>
          <w:trHeight w:val="270"/>
        </w:trPr>
        <w:tc>
          <w:tcPr>
            <w:tcW w:w="1149" w:type="dxa"/>
            <w:vMerge/>
            <w:tcBorders>
              <w:top w:val="nil"/>
              <w:left w:val="single" w:sz="8" w:space="0" w:color="auto"/>
              <w:bottom w:val="single" w:sz="8" w:space="0" w:color="000000"/>
              <w:right w:val="single" w:sz="4" w:space="0" w:color="auto"/>
            </w:tcBorders>
            <w:vAlign w:val="center"/>
            <w:hideMark/>
          </w:tcPr>
          <w:p w14:paraId="025A43D3"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8" w:space="0" w:color="auto"/>
              <w:right w:val="single" w:sz="4" w:space="0" w:color="auto"/>
            </w:tcBorders>
            <w:shd w:val="clear" w:color="auto" w:fill="auto"/>
            <w:noWrap/>
            <w:vAlign w:val="bottom"/>
            <w:hideMark/>
          </w:tcPr>
          <w:p w14:paraId="5BE8AC0D" w14:textId="77777777" w:rsidR="00CF1E38" w:rsidRPr="0081303D" w:rsidRDefault="00CF1E38" w:rsidP="00CF1E38">
            <w:pPr>
              <w:spacing w:line="240" w:lineRule="auto"/>
              <w:rPr>
                <w:rFonts w:eastAsia="Times New Roman"/>
                <w:b/>
                <w:bCs/>
                <w:color w:val="000000"/>
                <w:sz w:val="20"/>
                <w:szCs w:val="20"/>
                <w:lang w:eastAsia="cs-CZ"/>
              </w:rPr>
            </w:pPr>
            <w:r w:rsidRPr="0081303D">
              <w:rPr>
                <w:rFonts w:eastAsia="Times New Roman"/>
                <w:b/>
                <w:bCs/>
                <w:color w:val="000000"/>
                <w:sz w:val="20"/>
                <w:szCs w:val="20"/>
                <w:lang w:eastAsia="cs-CZ"/>
              </w:rPr>
              <w:t>Celkem</w:t>
            </w:r>
          </w:p>
        </w:tc>
        <w:tc>
          <w:tcPr>
            <w:tcW w:w="567" w:type="dxa"/>
            <w:tcBorders>
              <w:top w:val="nil"/>
              <w:left w:val="nil"/>
              <w:bottom w:val="single" w:sz="8" w:space="0" w:color="auto"/>
              <w:right w:val="single" w:sz="4" w:space="0" w:color="auto"/>
            </w:tcBorders>
            <w:shd w:val="clear" w:color="auto" w:fill="auto"/>
            <w:noWrap/>
            <w:vAlign w:val="bottom"/>
            <w:hideMark/>
          </w:tcPr>
          <w:p w14:paraId="081D439F"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93</w:t>
            </w:r>
          </w:p>
        </w:tc>
        <w:tc>
          <w:tcPr>
            <w:tcW w:w="567" w:type="dxa"/>
            <w:tcBorders>
              <w:top w:val="nil"/>
              <w:left w:val="nil"/>
              <w:bottom w:val="single" w:sz="8" w:space="0" w:color="auto"/>
              <w:right w:val="single" w:sz="4" w:space="0" w:color="auto"/>
            </w:tcBorders>
            <w:shd w:val="clear" w:color="auto" w:fill="auto"/>
            <w:noWrap/>
            <w:vAlign w:val="bottom"/>
            <w:hideMark/>
          </w:tcPr>
          <w:p w14:paraId="65B7ED85"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108</w:t>
            </w:r>
          </w:p>
        </w:tc>
        <w:tc>
          <w:tcPr>
            <w:tcW w:w="567" w:type="dxa"/>
            <w:tcBorders>
              <w:top w:val="nil"/>
              <w:left w:val="nil"/>
              <w:bottom w:val="single" w:sz="8" w:space="0" w:color="auto"/>
              <w:right w:val="single" w:sz="4" w:space="0" w:color="auto"/>
            </w:tcBorders>
            <w:shd w:val="clear" w:color="auto" w:fill="auto"/>
            <w:noWrap/>
            <w:vAlign w:val="bottom"/>
            <w:hideMark/>
          </w:tcPr>
          <w:p w14:paraId="5C200173"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113</w:t>
            </w:r>
          </w:p>
        </w:tc>
        <w:tc>
          <w:tcPr>
            <w:tcW w:w="560" w:type="dxa"/>
            <w:tcBorders>
              <w:top w:val="nil"/>
              <w:left w:val="nil"/>
              <w:bottom w:val="single" w:sz="8" w:space="0" w:color="auto"/>
              <w:right w:val="single" w:sz="4" w:space="0" w:color="auto"/>
            </w:tcBorders>
            <w:shd w:val="clear" w:color="auto" w:fill="auto"/>
            <w:noWrap/>
            <w:vAlign w:val="bottom"/>
            <w:hideMark/>
          </w:tcPr>
          <w:p w14:paraId="52E47576"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157</w:t>
            </w:r>
          </w:p>
        </w:tc>
        <w:tc>
          <w:tcPr>
            <w:tcW w:w="505" w:type="dxa"/>
            <w:tcBorders>
              <w:top w:val="nil"/>
              <w:left w:val="nil"/>
              <w:bottom w:val="single" w:sz="8" w:space="0" w:color="auto"/>
              <w:right w:val="single" w:sz="4" w:space="0" w:color="auto"/>
            </w:tcBorders>
            <w:shd w:val="clear" w:color="auto" w:fill="auto"/>
            <w:noWrap/>
            <w:vAlign w:val="bottom"/>
            <w:hideMark/>
          </w:tcPr>
          <w:p w14:paraId="217B2428"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172</w:t>
            </w:r>
          </w:p>
        </w:tc>
        <w:tc>
          <w:tcPr>
            <w:tcW w:w="505" w:type="dxa"/>
            <w:tcBorders>
              <w:top w:val="nil"/>
              <w:left w:val="nil"/>
              <w:bottom w:val="single" w:sz="8" w:space="0" w:color="auto"/>
              <w:right w:val="single" w:sz="4" w:space="0" w:color="auto"/>
            </w:tcBorders>
            <w:shd w:val="clear" w:color="auto" w:fill="auto"/>
            <w:noWrap/>
            <w:vAlign w:val="bottom"/>
            <w:hideMark/>
          </w:tcPr>
          <w:p w14:paraId="0C26E8C7"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122</w:t>
            </w:r>
          </w:p>
        </w:tc>
        <w:tc>
          <w:tcPr>
            <w:tcW w:w="529" w:type="dxa"/>
            <w:tcBorders>
              <w:top w:val="nil"/>
              <w:left w:val="nil"/>
              <w:bottom w:val="single" w:sz="8" w:space="0" w:color="auto"/>
              <w:right w:val="single" w:sz="4" w:space="0" w:color="auto"/>
            </w:tcBorders>
            <w:shd w:val="clear" w:color="auto" w:fill="auto"/>
            <w:noWrap/>
            <w:vAlign w:val="bottom"/>
            <w:hideMark/>
          </w:tcPr>
          <w:p w14:paraId="4BBCD064"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148</w:t>
            </w:r>
          </w:p>
        </w:tc>
        <w:tc>
          <w:tcPr>
            <w:tcW w:w="505" w:type="dxa"/>
            <w:tcBorders>
              <w:top w:val="nil"/>
              <w:left w:val="nil"/>
              <w:bottom w:val="single" w:sz="8" w:space="0" w:color="auto"/>
              <w:right w:val="single" w:sz="4" w:space="0" w:color="auto"/>
            </w:tcBorders>
            <w:shd w:val="clear" w:color="auto" w:fill="auto"/>
            <w:noWrap/>
            <w:vAlign w:val="bottom"/>
            <w:hideMark/>
          </w:tcPr>
          <w:p w14:paraId="25936BB7"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196</w:t>
            </w:r>
          </w:p>
        </w:tc>
        <w:tc>
          <w:tcPr>
            <w:tcW w:w="515" w:type="dxa"/>
            <w:tcBorders>
              <w:top w:val="nil"/>
              <w:left w:val="nil"/>
              <w:bottom w:val="single" w:sz="8" w:space="0" w:color="auto"/>
              <w:right w:val="single" w:sz="4" w:space="0" w:color="auto"/>
            </w:tcBorders>
            <w:shd w:val="clear" w:color="auto" w:fill="auto"/>
            <w:noWrap/>
            <w:vAlign w:val="bottom"/>
            <w:hideMark/>
          </w:tcPr>
          <w:p w14:paraId="239807BA"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126</w:t>
            </w:r>
          </w:p>
        </w:tc>
        <w:tc>
          <w:tcPr>
            <w:tcW w:w="567" w:type="dxa"/>
            <w:tcBorders>
              <w:top w:val="nil"/>
              <w:left w:val="nil"/>
              <w:bottom w:val="single" w:sz="8" w:space="0" w:color="auto"/>
              <w:right w:val="single" w:sz="4" w:space="0" w:color="auto"/>
            </w:tcBorders>
            <w:shd w:val="clear" w:color="auto" w:fill="auto"/>
            <w:noWrap/>
            <w:vAlign w:val="bottom"/>
            <w:hideMark/>
          </w:tcPr>
          <w:p w14:paraId="1A6D1F8C"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182</w:t>
            </w:r>
          </w:p>
        </w:tc>
        <w:tc>
          <w:tcPr>
            <w:tcW w:w="505" w:type="dxa"/>
            <w:tcBorders>
              <w:top w:val="nil"/>
              <w:left w:val="nil"/>
              <w:bottom w:val="single" w:sz="8" w:space="0" w:color="auto"/>
              <w:right w:val="single" w:sz="4" w:space="0" w:color="auto"/>
            </w:tcBorders>
            <w:shd w:val="clear" w:color="auto" w:fill="auto"/>
            <w:noWrap/>
            <w:vAlign w:val="bottom"/>
            <w:hideMark/>
          </w:tcPr>
          <w:p w14:paraId="67600171"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208</w:t>
            </w:r>
          </w:p>
        </w:tc>
        <w:tc>
          <w:tcPr>
            <w:tcW w:w="505" w:type="dxa"/>
            <w:tcBorders>
              <w:top w:val="nil"/>
              <w:left w:val="nil"/>
              <w:bottom w:val="single" w:sz="8" w:space="0" w:color="auto"/>
              <w:right w:val="single" w:sz="4" w:space="0" w:color="auto"/>
            </w:tcBorders>
            <w:shd w:val="clear" w:color="auto" w:fill="auto"/>
            <w:noWrap/>
            <w:vAlign w:val="bottom"/>
            <w:hideMark/>
          </w:tcPr>
          <w:p w14:paraId="6924461B"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201</w:t>
            </w:r>
          </w:p>
        </w:tc>
        <w:tc>
          <w:tcPr>
            <w:tcW w:w="549" w:type="dxa"/>
            <w:tcBorders>
              <w:top w:val="nil"/>
              <w:left w:val="nil"/>
              <w:bottom w:val="single" w:sz="8" w:space="0" w:color="auto"/>
              <w:right w:val="single" w:sz="4" w:space="0" w:color="auto"/>
            </w:tcBorders>
            <w:shd w:val="clear" w:color="auto" w:fill="auto"/>
            <w:noWrap/>
            <w:vAlign w:val="bottom"/>
            <w:hideMark/>
          </w:tcPr>
          <w:p w14:paraId="2FA275E4"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179</w:t>
            </w:r>
          </w:p>
        </w:tc>
        <w:tc>
          <w:tcPr>
            <w:tcW w:w="505" w:type="dxa"/>
            <w:tcBorders>
              <w:top w:val="nil"/>
              <w:left w:val="nil"/>
              <w:bottom w:val="single" w:sz="8" w:space="0" w:color="auto"/>
              <w:right w:val="single" w:sz="4" w:space="0" w:color="auto"/>
            </w:tcBorders>
            <w:shd w:val="clear" w:color="auto" w:fill="auto"/>
            <w:noWrap/>
            <w:vAlign w:val="bottom"/>
            <w:hideMark/>
          </w:tcPr>
          <w:p w14:paraId="06917DE1"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181</w:t>
            </w:r>
          </w:p>
        </w:tc>
        <w:tc>
          <w:tcPr>
            <w:tcW w:w="505" w:type="dxa"/>
            <w:tcBorders>
              <w:top w:val="nil"/>
              <w:left w:val="nil"/>
              <w:bottom w:val="single" w:sz="8" w:space="0" w:color="auto"/>
              <w:right w:val="single" w:sz="4" w:space="0" w:color="auto"/>
            </w:tcBorders>
            <w:shd w:val="clear" w:color="auto" w:fill="auto"/>
            <w:noWrap/>
            <w:vAlign w:val="bottom"/>
            <w:hideMark/>
          </w:tcPr>
          <w:p w14:paraId="1696D03F"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153</w:t>
            </w:r>
          </w:p>
        </w:tc>
        <w:tc>
          <w:tcPr>
            <w:tcW w:w="549" w:type="dxa"/>
            <w:tcBorders>
              <w:top w:val="nil"/>
              <w:left w:val="nil"/>
              <w:bottom w:val="single" w:sz="8" w:space="0" w:color="auto"/>
              <w:right w:val="single" w:sz="4" w:space="0" w:color="auto"/>
            </w:tcBorders>
            <w:shd w:val="clear" w:color="auto" w:fill="auto"/>
            <w:noWrap/>
            <w:vAlign w:val="bottom"/>
            <w:hideMark/>
          </w:tcPr>
          <w:p w14:paraId="32BFBA82"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161</w:t>
            </w:r>
          </w:p>
        </w:tc>
        <w:tc>
          <w:tcPr>
            <w:tcW w:w="505" w:type="dxa"/>
            <w:tcBorders>
              <w:top w:val="nil"/>
              <w:left w:val="nil"/>
              <w:bottom w:val="single" w:sz="8" w:space="0" w:color="auto"/>
              <w:right w:val="single" w:sz="4" w:space="0" w:color="auto"/>
            </w:tcBorders>
            <w:shd w:val="clear" w:color="auto" w:fill="auto"/>
            <w:noWrap/>
            <w:vAlign w:val="bottom"/>
            <w:hideMark/>
          </w:tcPr>
          <w:p w14:paraId="0062DADB"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191</w:t>
            </w:r>
          </w:p>
        </w:tc>
        <w:tc>
          <w:tcPr>
            <w:tcW w:w="629" w:type="dxa"/>
            <w:tcBorders>
              <w:top w:val="nil"/>
              <w:left w:val="nil"/>
              <w:bottom w:val="single" w:sz="8" w:space="0" w:color="auto"/>
              <w:right w:val="single" w:sz="4" w:space="0" w:color="auto"/>
            </w:tcBorders>
            <w:shd w:val="clear" w:color="auto" w:fill="auto"/>
            <w:noWrap/>
            <w:vAlign w:val="bottom"/>
            <w:hideMark/>
          </w:tcPr>
          <w:p w14:paraId="6B72BDED"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183</w:t>
            </w:r>
          </w:p>
        </w:tc>
        <w:tc>
          <w:tcPr>
            <w:tcW w:w="796" w:type="dxa"/>
            <w:tcBorders>
              <w:top w:val="nil"/>
              <w:left w:val="nil"/>
              <w:bottom w:val="single" w:sz="8" w:space="0" w:color="auto"/>
              <w:right w:val="single" w:sz="4" w:space="0" w:color="auto"/>
            </w:tcBorders>
            <w:shd w:val="clear" w:color="auto" w:fill="auto"/>
            <w:noWrap/>
            <w:vAlign w:val="bottom"/>
            <w:hideMark/>
          </w:tcPr>
          <w:p w14:paraId="2BED1A0C"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2874</w:t>
            </w:r>
          </w:p>
        </w:tc>
        <w:tc>
          <w:tcPr>
            <w:tcW w:w="764" w:type="dxa"/>
            <w:tcBorders>
              <w:top w:val="nil"/>
              <w:left w:val="nil"/>
              <w:bottom w:val="single" w:sz="8" w:space="0" w:color="auto"/>
              <w:right w:val="single" w:sz="8" w:space="0" w:color="auto"/>
            </w:tcBorders>
            <w:shd w:val="clear" w:color="auto" w:fill="auto"/>
            <w:noWrap/>
            <w:vAlign w:val="bottom"/>
            <w:hideMark/>
          </w:tcPr>
          <w:p w14:paraId="420D0445"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100,0</w:t>
            </w:r>
          </w:p>
        </w:tc>
      </w:tr>
    </w:tbl>
    <w:p w14:paraId="54DD2D00" w14:textId="77777777" w:rsidR="00CF1E38" w:rsidRPr="0013753D" w:rsidRDefault="00CF1E38" w:rsidP="00CF1E38"/>
    <w:tbl>
      <w:tblPr>
        <w:tblW w:w="14049" w:type="dxa"/>
        <w:tblInd w:w="55" w:type="dxa"/>
        <w:tblCellMar>
          <w:left w:w="70" w:type="dxa"/>
          <w:right w:w="70" w:type="dxa"/>
        </w:tblCellMar>
        <w:tblLook w:val="04A0" w:firstRow="1" w:lastRow="0" w:firstColumn="1" w:lastColumn="0" w:noHBand="0" w:noVBand="1"/>
      </w:tblPr>
      <w:tblGrid>
        <w:gridCol w:w="1149"/>
        <w:gridCol w:w="1701"/>
        <w:gridCol w:w="567"/>
        <w:gridCol w:w="567"/>
        <w:gridCol w:w="567"/>
        <w:gridCol w:w="505"/>
        <w:gridCol w:w="573"/>
        <w:gridCol w:w="505"/>
        <w:gridCol w:w="544"/>
        <w:gridCol w:w="505"/>
        <w:gridCol w:w="505"/>
        <w:gridCol w:w="549"/>
        <w:gridCol w:w="567"/>
        <w:gridCol w:w="505"/>
        <w:gridCol w:w="505"/>
        <w:gridCol w:w="505"/>
        <w:gridCol w:w="517"/>
        <w:gridCol w:w="545"/>
        <w:gridCol w:w="505"/>
        <w:gridCol w:w="603"/>
        <w:gridCol w:w="851"/>
        <w:gridCol w:w="724"/>
      </w:tblGrid>
      <w:tr w:rsidR="00CF1E38" w:rsidRPr="0013753D" w14:paraId="7020757F" w14:textId="77777777" w:rsidTr="004B2D25">
        <w:trPr>
          <w:trHeight w:val="255"/>
        </w:trPr>
        <w:tc>
          <w:tcPr>
            <w:tcW w:w="2850" w:type="dxa"/>
            <w:gridSpan w:val="2"/>
            <w:vMerge w:val="restart"/>
            <w:tcBorders>
              <w:top w:val="single" w:sz="4" w:space="0" w:color="auto"/>
              <w:left w:val="single" w:sz="4" w:space="0" w:color="auto"/>
              <w:bottom w:val="single" w:sz="8" w:space="0" w:color="000000"/>
              <w:right w:val="single" w:sz="4" w:space="0" w:color="000000"/>
            </w:tcBorders>
            <w:shd w:val="clear" w:color="auto" w:fill="F2F2F2" w:themeFill="background1" w:themeFillShade="F2"/>
            <w:vAlign w:val="center"/>
            <w:hideMark/>
          </w:tcPr>
          <w:p w14:paraId="441436A9" w14:textId="77777777" w:rsidR="00CF1E38" w:rsidRPr="0081303D" w:rsidRDefault="00CF1E38" w:rsidP="00CF1E38">
            <w:pPr>
              <w:spacing w:line="240" w:lineRule="auto"/>
              <w:jc w:val="center"/>
              <w:rPr>
                <w:rFonts w:eastAsia="Times New Roman"/>
                <w:b/>
                <w:bCs/>
                <w:color w:val="000000"/>
                <w:lang w:eastAsia="cs-CZ"/>
              </w:rPr>
            </w:pPr>
            <w:r w:rsidRPr="0013753D">
              <w:rPr>
                <w:rFonts w:eastAsia="Times New Roman"/>
                <w:b/>
                <w:bCs/>
                <w:color w:val="000000"/>
                <w:lang w:eastAsia="cs-CZ"/>
              </w:rPr>
              <w:t>V</w:t>
            </w:r>
            <w:r w:rsidRPr="0081303D">
              <w:rPr>
                <w:rFonts w:eastAsia="Times New Roman"/>
                <w:b/>
                <w:bCs/>
                <w:color w:val="000000"/>
                <w:lang w:eastAsia="cs-CZ"/>
              </w:rPr>
              <w:t>ystěhovalí</w:t>
            </w:r>
          </w:p>
        </w:tc>
        <w:tc>
          <w:tcPr>
            <w:tcW w:w="56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681CD2E"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1999</w:t>
            </w:r>
          </w:p>
        </w:tc>
        <w:tc>
          <w:tcPr>
            <w:tcW w:w="56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CA94B1B"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2000</w:t>
            </w:r>
          </w:p>
        </w:tc>
        <w:tc>
          <w:tcPr>
            <w:tcW w:w="56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5B32C25"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2001</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5B1390C"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2002</w:t>
            </w:r>
          </w:p>
        </w:tc>
        <w:tc>
          <w:tcPr>
            <w:tcW w:w="573"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AE63E47"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2003</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7DEFF71E"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2004</w:t>
            </w:r>
          </w:p>
        </w:tc>
        <w:tc>
          <w:tcPr>
            <w:tcW w:w="544"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79E8251E"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2005</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9E4ED67"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2006</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3E746BD9"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2007</w:t>
            </w:r>
          </w:p>
        </w:tc>
        <w:tc>
          <w:tcPr>
            <w:tcW w:w="549"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35A3F19"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2008</w:t>
            </w:r>
          </w:p>
        </w:tc>
        <w:tc>
          <w:tcPr>
            <w:tcW w:w="56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8335EB4"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2009</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35C4D0D8"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2010</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A8CC3D0"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2011</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6540D821"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2012</w:t>
            </w:r>
          </w:p>
        </w:tc>
        <w:tc>
          <w:tcPr>
            <w:tcW w:w="517"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3B05477"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2013</w:t>
            </w:r>
          </w:p>
        </w:tc>
        <w:tc>
          <w:tcPr>
            <w:tcW w:w="54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EA510FB"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2014</w:t>
            </w:r>
          </w:p>
        </w:tc>
        <w:tc>
          <w:tcPr>
            <w:tcW w:w="505"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3D89260E"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2015</w:t>
            </w:r>
          </w:p>
        </w:tc>
        <w:tc>
          <w:tcPr>
            <w:tcW w:w="603" w:type="dxa"/>
            <w:vMerge w:val="restart"/>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185BBC1"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2016</w:t>
            </w:r>
          </w:p>
        </w:tc>
        <w:tc>
          <w:tcPr>
            <w:tcW w:w="1560" w:type="dxa"/>
            <w:gridSpan w:val="2"/>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14:paraId="1280BEB2"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Celkem</w:t>
            </w:r>
          </w:p>
        </w:tc>
      </w:tr>
      <w:tr w:rsidR="00CF1E38" w:rsidRPr="0013753D" w14:paraId="65CAC680" w14:textId="77777777" w:rsidTr="004B2D25">
        <w:trPr>
          <w:trHeight w:val="270"/>
        </w:trPr>
        <w:tc>
          <w:tcPr>
            <w:tcW w:w="2850" w:type="dxa"/>
            <w:gridSpan w:val="2"/>
            <w:vMerge/>
            <w:tcBorders>
              <w:top w:val="single" w:sz="4" w:space="0" w:color="auto"/>
              <w:left w:val="single" w:sz="4" w:space="0" w:color="auto"/>
              <w:bottom w:val="single" w:sz="8" w:space="0" w:color="000000"/>
              <w:right w:val="single" w:sz="4" w:space="0" w:color="000000"/>
            </w:tcBorders>
            <w:shd w:val="clear" w:color="auto" w:fill="F2F2F2" w:themeFill="background1" w:themeFillShade="F2"/>
            <w:vAlign w:val="center"/>
            <w:hideMark/>
          </w:tcPr>
          <w:p w14:paraId="28488A3D" w14:textId="77777777" w:rsidR="00CF1E38" w:rsidRPr="0081303D" w:rsidRDefault="00CF1E38" w:rsidP="00CF1E38">
            <w:pPr>
              <w:spacing w:line="240" w:lineRule="auto"/>
              <w:rPr>
                <w:rFonts w:eastAsia="Times New Roman"/>
                <w:b/>
                <w:bCs/>
                <w:color w:val="000000"/>
                <w:lang w:eastAsia="cs-CZ"/>
              </w:rPr>
            </w:pPr>
          </w:p>
        </w:tc>
        <w:tc>
          <w:tcPr>
            <w:tcW w:w="56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1EC1ECE" w14:textId="77777777" w:rsidR="00CF1E38" w:rsidRPr="0081303D" w:rsidRDefault="00CF1E38" w:rsidP="00CF1E38">
            <w:pPr>
              <w:spacing w:line="240" w:lineRule="auto"/>
              <w:rPr>
                <w:rFonts w:eastAsia="Times New Roman"/>
                <w:b/>
                <w:bCs/>
                <w:color w:val="000000"/>
                <w:sz w:val="20"/>
                <w:szCs w:val="20"/>
                <w:lang w:eastAsia="cs-CZ"/>
              </w:rPr>
            </w:pPr>
          </w:p>
        </w:tc>
        <w:tc>
          <w:tcPr>
            <w:tcW w:w="56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A6673BD" w14:textId="77777777" w:rsidR="00CF1E38" w:rsidRPr="0081303D" w:rsidRDefault="00CF1E38" w:rsidP="00CF1E38">
            <w:pPr>
              <w:spacing w:line="240" w:lineRule="auto"/>
              <w:rPr>
                <w:rFonts w:eastAsia="Times New Roman"/>
                <w:b/>
                <w:bCs/>
                <w:color w:val="000000"/>
                <w:sz w:val="20"/>
                <w:szCs w:val="20"/>
                <w:lang w:eastAsia="cs-CZ"/>
              </w:rPr>
            </w:pPr>
          </w:p>
        </w:tc>
        <w:tc>
          <w:tcPr>
            <w:tcW w:w="56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27730EA1"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404EF5D" w14:textId="77777777" w:rsidR="00CF1E38" w:rsidRPr="0081303D" w:rsidRDefault="00CF1E38" w:rsidP="00CF1E38">
            <w:pPr>
              <w:spacing w:line="240" w:lineRule="auto"/>
              <w:rPr>
                <w:rFonts w:eastAsia="Times New Roman"/>
                <w:b/>
                <w:bCs/>
                <w:color w:val="000000"/>
                <w:sz w:val="20"/>
                <w:szCs w:val="20"/>
                <w:lang w:eastAsia="cs-CZ"/>
              </w:rPr>
            </w:pPr>
          </w:p>
        </w:tc>
        <w:tc>
          <w:tcPr>
            <w:tcW w:w="573"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C5F7117"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48262F0" w14:textId="77777777" w:rsidR="00CF1E38" w:rsidRPr="0081303D" w:rsidRDefault="00CF1E38" w:rsidP="00CF1E38">
            <w:pPr>
              <w:spacing w:line="240" w:lineRule="auto"/>
              <w:rPr>
                <w:rFonts w:eastAsia="Times New Roman"/>
                <w:b/>
                <w:bCs/>
                <w:color w:val="000000"/>
                <w:sz w:val="20"/>
                <w:szCs w:val="20"/>
                <w:lang w:eastAsia="cs-CZ"/>
              </w:rPr>
            </w:pPr>
          </w:p>
        </w:tc>
        <w:tc>
          <w:tcPr>
            <w:tcW w:w="544"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191A5407"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221644EC"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B5EC3F0" w14:textId="77777777" w:rsidR="00CF1E38" w:rsidRPr="0081303D" w:rsidRDefault="00CF1E38" w:rsidP="00CF1E38">
            <w:pPr>
              <w:spacing w:line="240" w:lineRule="auto"/>
              <w:rPr>
                <w:rFonts w:eastAsia="Times New Roman"/>
                <w:b/>
                <w:bCs/>
                <w:color w:val="000000"/>
                <w:sz w:val="20"/>
                <w:szCs w:val="20"/>
                <w:lang w:eastAsia="cs-CZ"/>
              </w:rPr>
            </w:pPr>
          </w:p>
        </w:tc>
        <w:tc>
          <w:tcPr>
            <w:tcW w:w="549"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D8F9C7E" w14:textId="77777777" w:rsidR="00CF1E38" w:rsidRPr="0081303D" w:rsidRDefault="00CF1E38" w:rsidP="00CF1E38">
            <w:pPr>
              <w:spacing w:line="240" w:lineRule="auto"/>
              <w:rPr>
                <w:rFonts w:eastAsia="Times New Roman"/>
                <w:b/>
                <w:bCs/>
                <w:color w:val="000000"/>
                <w:sz w:val="20"/>
                <w:szCs w:val="20"/>
                <w:lang w:eastAsia="cs-CZ"/>
              </w:rPr>
            </w:pPr>
          </w:p>
        </w:tc>
        <w:tc>
          <w:tcPr>
            <w:tcW w:w="56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9733A21"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3489F235"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2B1DBC83"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2ED5BE97" w14:textId="77777777" w:rsidR="00CF1E38" w:rsidRPr="0081303D" w:rsidRDefault="00CF1E38" w:rsidP="00CF1E38">
            <w:pPr>
              <w:spacing w:line="240" w:lineRule="auto"/>
              <w:rPr>
                <w:rFonts w:eastAsia="Times New Roman"/>
                <w:b/>
                <w:bCs/>
                <w:color w:val="000000"/>
                <w:sz w:val="20"/>
                <w:szCs w:val="20"/>
                <w:lang w:eastAsia="cs-CZ"/>
              </w:rPr>
            </w:pPr>
          </w:p>
        </w:tc>
        <w:tc>
          <w:tcPr>
            <w:tcW w:w="517"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58FD67E4" w14:textId="77777777" w:rsidR="00CF1E38" w:rsidRPr="0081303D" w:rsidRDefault="00CF1E38" w:rsidP="00CF1E38">
            <w:pPr>
              <w:spacing w:line="240" w:lineRule="auto"/>
              <w:rPr>
                <w:rFonts w:eastAsia="Times New Roman"/>
                <w:b/>
                <w:bCs/>
                <w:color w:val="000000"/>
                <w:sz w:val="20"/>
                <w:szCs w:val="20"/>
                <w:lang w:eastAsia="cs-CZ"/>
              </w:rPr>
            </w:pPr>
          </w:p>
        </w:tc>
        <w:tc>
          <w:tcPr>
            <w:tcW w:w="54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0C878925" w14:textId="77777777" w:rsidR="00CF1E38" w:rsidRPr="0081303D" w:rsidRDefault="00CF1E38" w:rsidP="00CF1E38">
            <w:pPr>
              <w:spacing w:line="240" w:lineRule="auto"/>
              <w:rPr>
                <w:rFonts w:eastAsia="Times New Roman"/>
                <w:b/>
                <w:bCs/>
                <w:color w:val="000000"/>
                <w:sz w:val="20"/>
                <w:szCs w:val="20"/>
                <w:lang w:eastAsia="cs-CZ"/>
              </w:rPr>
            </w:pPr>
          </w:p>
        </w:tc>
        <w:tc>
          <w:tcPr>
            <w:tcW w:w="505"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6A518D2" w14:textId="77777777" w:rsidR="00CF1E38" w:rsidRPr="0081303D" w:rsidRDefault="00CF1E38" w:rsidP="00CF1E38">
            <w:pPr>
              <w:spacing w:line="240" w:lineRule="auto"/>
              <w:rPr>
                <w:rFonts w:eastAsia="Times New Roman"/>
                <w:b/>
                <w:bCs/>
                <w:color w:val="000000"/>
                <w:sz w:val="20"/>
                <w:szCs w:val="20"/>
                <w:lang w:eastAsia="cs-CZ"/>
              </w:rPr>
            </w:pPr>
          </w:p>
        </w:tc>
        <w:tc>
          <w:tcPr>
            <w:tcW w:w="603" w:type="dxa"/>
            <w:vMerge/>
            <w:tcBorders>
              <w:top w:val="single" w:sz="4" w:space="0" w:color="auto"/>
              <w:left w:val="single" w:sz="4" w:space="0" w:color="auto"/>
              <w:bottom w:val="single" w:sz="8" w:space="0" w:color="000000"/>
              <w:right w:val="single" w:sz="4" w:space="0" w:color="auto"/>
            </w:tcBorders>
            <w:shd w:val="clear" w:color="auto" w:fill="F2F2F2" w:themeFill="background1" w:themeFillShade="F2"/>
            <w:vAlign w:val="center"/>
            <w:hideMark/>
          </w:tcPr>
          <w:p w14:paraId="46B61BF6" w14:textId="77777777" w:rsidR="00CF1E38" w:rsidRPr="0081303D" w:rsidRDefault="00CF1E38" w:rsidP="00CF1E38">
            <w:pPr>
              <w:spacing w:line="240" w:lineRule="auto"/>
              <w:rPr>
                <w:rFonts w:eastAsia="Times New Roman"/>
                <w:b/>
                <w:bCs/>
                <w:color w:val="000000"/>
                <w:sz w:val="20"/>
                <w:szCs w:val="20"/>
                <w:lang w:eastAsia="cs-CZ"/>
              </w:rPr>
            </w:pPr>
          </w:p>
        </w:tc>
        <w:tc>
          <w:tcPr>
            <w:tcW w:w="851" w:type="dxa"/>
            <w:tcBorders>
              <w:top w:val="nil"/>
              <w:left w:val="nil"/>
              <w:bottom w:val="nil"/>
              <w:right w:val="single" w:sz="4" w:space="0" w:color="auto"/>
            </w:tcBorders>
            <w:shd w:val="clear" w:color="auto" w:fill="F2F2F2" w:themeFill="background1" w:themeFillShade="F2"/>
            <w:noWrap/>
            <w:vAlign w:val="bottom"/>
            <w:hideMark/>
          </w:tcPr>
          <w:p w14:paraId="535B86E1"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Absolut.</w:t>
            </w:r>
          </w:p>
        </w:tc>
        <w:tc>
          <w:tcPr>
            <w:tcW w:w="709" w:type="dxa"/>
            <w:tcBorders>
              <w:top w:val="nil"/>
              <w:left w:val="nil"/>
              <w:bottom w:val="single" w:sz="8" w:space="0" w:color="auto"/>
              <w:right w:val="single" w:sz="4" w:space="0" w:color="auto"/>
            </w:tcBorders>
            <w:shd w:val="clear" w:color="auto" w:fill="F2F2F2" w:themeFill="background1" w:themeFillShade="F2"/>
            <w:noWrap/>
            <w:vAlign w:val="bottom"/>
            <w:hideMark/>
          </w:tcPr>
          <w:p w14:paraId="79524FC2" w14:textId="77777777" w:rsidR="00CF1E38" w:rsidRPr="0081303D" w:rsidRDefault="00CF1E38" w:rsidP="00CF1E38">
            <w:pPr>
              <w:spacing w:line="240" w:lineRule="auto"/>
              <w:jc w:val="center"/>
              <w:rPr>
                <w:rFonts w:eastAsia="Times New Roman"/>
                <w:b/>
                <w:bCs/>
                <w:color w:val="000000"/>
                <w:sz w:val="20"/>
                <w:szCs w:val="20"/>
                <w:lang w:eastAsia="cs-CZ"/>
              </w:rPr>
            </w:pPr>
            <w:r w:rsidRPr="0081303D">
              <w:rPr>
                <w:rFonts w:eastAsia="Times New Roman"/>
                <w:b/>
                <w:bCs/>
                <w:color w:val="000000"/>
                <w:sz w:val="20"/>
                <w:szCs w:val="20"/>
                <w:lang w:eastAsia="cs-CZ"/>
              </w:rPr>
              <w:t>Relativ.</w:t>
            </w:r>
          </w:p>
        </w:tc>
      </w:tr>
      <w:tr w:rsidR="00CF1E38" w:rsidRPr="0013753D" w14:paraId="5C0D63DB" w14:textId="77777777" w:rsidTr="00CF1E38">
        <w:trPr>
          <w:trHeight w:val="255"/>
        </w:trPr>
        <w:tc>
          <w:tcPr>
            <w:tcW w:w="1149" w:type="dxa"/>
            <w:vMerge w:val="restart"/>
            <w:tcBorders>
              <w:top w:val="nil"/>
              <w:left w:val="single" w:sz="8" w:space="0" w:color="auto"/>
              <w:bottom w:val="single" w:sz="8" w:space="0" w:color="000000"/>
              <w:right w:val="single" w:sz="4" w:space="0" w:color="auto"/>
            </w:tcBorders>
            <w:shd w:val="clear" w:color="000000" w:fill="F2F2F2"/>
            <w:noWrap/>
            <w:vAlign w:val="center"/>
            <w:hideMark/>
          </w:tcPr>
          <w:p w14:paraId="2F2E149D" w14:textId="77777777" w:rsidR="00CF1E38" w:rsidRPr="0081303D" w:rsidRDefault="00CF1E38" w:rsidP="00CF1E38">
            <w:pPr>
              <w:spacing w:line="240" w:lineRule="auto"/>
              <w:jc w:val="left"/>
              <w:rPr>
                <w:rFonts w:eastAsia="Times New Roman"/>
                <w:b/>
                <w:bCs/>
                <w:color w:val="000000"/>
                <w:sz w:val="20"/>
                <w:szCs w:val="20"/>
                <w:lang w:eastAsia="cs-CZ"/>
              </w:rPr>
            </w:pPr>
            <w:r w:rsidRPr="0081303D">
              <w:rPr>
                <w:rFonts w:eastAsia="Times New Roman"/>
                <w:b/>
                <w:bCs/>
                <w:color w:val="000000"/>
                <w:sz w:val="20"/>
                <w:szCs w:val="20"/>
                <w:lang w:eastAsia="cs-CZ"/>
              </w:rPr>
              <w:t>Hrádek nad Nisou</w:t>
            </w:r>
          </w:p>
        </w:tc>
        <w:tc>
          <w:tcPr>
            <w:tcW w:w="1701" w:type="dxa"/>
            <w:tcBorders>
              <w:top w:val="nil"/>
              <w:left w:val="nil"/>
              <w:bottom w:val="single" w:sz="4" w:space="0" w:color="auto"/>
              <w:right w:val="single" w:sz="4" w:space="0" w:color="auto"/>
            </w:tcBorders>
            <w:shd w:val="clear" w:color="auto" w:fill="auto"/>
            <w:noWrap/>
            <w:vAlign w:val="bottom"/>
            <w:hideMark/>
          </w:tcPr>
          <w:p w14:paraId="15D98508" w14:textId="77777777" w:rsidR="00CF1E38" w:rsidRPr="0081303D" w:rsidRDefault="00CF1E38" w:rsidP="00CF1E38">
            <w:pPr>
              <w:spacing w:line="240" w:lineRule="auto"/>
              <w:rPr>
                <w:rFonts w:eastAsia="Times New Roman"/>
                <w:color w:val="000000"/>
                <w:sz w:val="20"/>
                <w:szCs w:val="20"/>
                <w:lang w:eastAsia="cs-CZ"/>
              </w:rPr>
            </w:pPr>
            <w:r w:rsidRPr="0081303D">
              <w:rPr>
                <w:rFonts w:eastAsia="Times New Roman"/>
                <w:color w:val="000000"/>
                <w:sz w:val="20"/>
                <w:szCs w:val="20"/>
                <w:lang w:eastAsia="cs-CZ"/>
              </w:rPr>
              <w:t>do zahraničí</w:t>
            </w:r>
          </w:p>
        </w:tc>
        <w:tc>
          <w:tcPr>
            <w:tcW w:w="567" w:type="dxa"/>
            <w:tcBorders>
              <w:top w:val="nil"/>
              <w:left w:val="nil"/>
              <w:bottom w:val="single" w:sz="4" w:space="0" w:color="auto"/>
              <w:right w:val="single" w:sz="4" w:space="0" w:color="auto"/>
            </w:tcBorders>
            <w:shd w:val="clear" w:color="auto" w:fill="auto"/>
            <w:noWrap/>
            <w:vAlign w:val="bottom"/>
            <w:hideMark/>
          </w:tcPr>
          <w:p w14:paraId="54D14E0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7CAA9537"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w:t>
            </w:r>
          </w:p>
        </w:tc>
        <w:tc>
          <w:tcPr>
            <w:tcW w:w="567" w:type="dxa"/>
            <w:tcBorders>
              <w:top w:val="nil"/>
              <w:left w:val="nil"/>
              <w:bottom w:val="single" w:sz="4" w:space="0" w:color="auto"/>
              <w:right w:val="single" w:sz="4" w:space="0" w:color="auto"/>
            </w:tcBorders>
            <w:shd w:val="clear" w:color="auto" w:fill="auto"/>
            <w:noWrap/>
            <w:vAlign w:val="bottom"/>
            <w:hideMark/>
          </w:tcPr>
          <w:p w14:paraId="372B4DC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12</w:t>
            </w:r>
          </w:p>
        </w:tc>
        <w:tc>
          <w:tcPr>
            <w:tcW w:w="505" w:type="dxa"/>
            <w:tcBorders>
              <w:top w:val="nil"/>
              <w:left w:val="nil"/>
              <w:bottom w:val="single" w:sz="4" w:space="0" w:color="auto"/>
              <w:right w:val="single" w:sz="4" w:space="0" w:color="auto"/>
            </w:tcBorders>
            <w:shd w:val="clear" w:color="auto" w:fill="auto"/>
            <w:noWrap/>
            <w:vAlign w:val="bottom"/>
            <w:hideMark/>
          </w:tcPr>
          <w:p w14:paraId="13547DD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12</w:t>
            </w:r>
          </w:p>
        </w:tc>
        <w:tc>
          <w:tcPr>
            <w:tcW w:w="573" w:type="dxa"/>
            <w:tcBorders>
              <w:top w:val="nil"/>
              <w:left w:val="nil"/>
              <w:bottom w:val="single" w:sz="4" w:space="0" w:color="auto"/>
              <w:right w:val="single" w:sz="4" w:space="0" w:color="auto"/>
            </w:tcBorders>
            <w:shd w:val="clear" w:color="auto" w:fill="auto"/>
            <w:noWrap/>
            <w:vAlign w:val="bottom"/>
            <w:hideMark/>
          </w:tcPr>
          <w:p w14:paraId="2B6BE50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20</w:t>
            </w:r>
          </w:p>
        </w:tc>
        <w:tc>
          <w:tcPr>
            <w:tcW w:w="505" w:type="dxa"/>
            <w:tcBorders>
              <w:top w:val="nil"/>
              <w:left w:val="nil"/>
              <w:bottom w:val="single" w:sz="4" w:space="0" w:color="auto"/>
              <w:right w:val="single" w:sz="4" w:space="0" w:color="auto"/>
            </w:tcBorders>
            <w:shd w:val="clear" w:color="auto" w:fill="auto"/>
            <w:noWrap/>
            <w:vAlign w:val="bottom"/>
            <w:hideMark/>
          </w:tcPr>
          <w:p w14:paraId="653D8A5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w:t>
            </w:r>
          </w:p>
        </w:tc>
        <w:tc>
          <w:tcPr>
            <w:tcW w:w="544" w:type="dxa"/>
            <w:tcBorders>
              <w:top w:val="nil"/>
              <w:left w:val="nil"/>
              <w:bottom w:val="single" w:sz="4" w:space="0" w:color="auto"/>
              <w:right w:val="single" w:sz="4" w:space="0" w:color="auto"/>
            </w:tcBorders>
            <w:shd w:val="clear" w:color="auto" w:fill="auto"/>
            <w:noWrap/>
            <w:vAlign w:val="bottom"/>
            <w:hideMark/>
          </w:tcPr>
          <w:p w14:paraId="04F20FAB"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554FCC97"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8</w:t>
            </w:r>
          </w:p>
        </w:tc>
        <w:tc>
          <w:tcPr>
            <w:tcW w:w="505" w:type="dxa"/>
            <w:tcBorders>
              <w:top w:val="nil"/>
              <w:left w:val="nil"/>
              <w:bottom w:val="single" w:sz="4" w:space="0" w:color="auto"/>
              <w:right w:val="single" w:sz="4" w:space="0" w:color="auto"/>
            </w:tcBorders>
            <w:shd w:val="clear" w:color="auto" w:fill="auto"/>
            <w:noWrap/>
            <w:vAlign w:val="bottom"/>
            <w:hideMark/>
          </w:tcPr>
          <w:p w14:paraId="7168A2E8"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10</w:t>
            </w:r>
          </w:p>
        </w:tc>
        <w:tc>
          <w:tcPr>
            <w:tcW w:w="549" w:type="dxa"/>
            <w:tcBorders>
              <w:top w:val="nil"/>
              <w:left w:val="nil"/>
              <w:bottom w:val="single" w:sz="4" w:space="0" w:color="auto"/>
              <w:right w:val="single" w:sz="4" w:space="0" w:color="auto"/>
            </w:tcBorders>
            <w:shd w:val="clear" w:color="auto" w:fill="auto"/>
            <w:noWrap/>
            <w:vAlign w:val="bottom"/>
            <w:hideMark/>
          </w:tcPr>
          <w:p w14:paraId="563E874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3</w:t>
            </w:r>
          </w:p>
        </w:tc>
        <w:tc>
          <w:tcPr>
            <w:tcW w:w="567" w:type="dxa"/>
            <w:tcBorders>
              <w:top w:val="nil"/>
              <w:left w:val="nil"/>
              <w:bottom w:val="single" w:sz="4" w:space="0" w:color="auto"/>
              <w:right w:val="single" w:sz="4" w:space="0" w:color="auto"/>
            </w:tcBorders>
            <w:shd w:val="clear" w:color="auto" w:fill="auto"/>
            <w:noWrap/>
            <w:vAlign w:val="bottom"/>
            <w:hideMark/>
          </w:tcPr>
          <w:p w14:paraId="37D7B4E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69432DF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14</w:t>
            </w:r>
          </w:p>
        </w:tc>
        <w:tc>
          <w:tcPr>
            <w:tcW w:w="505" w:type="dxa"/>
            <w:tcBorders>
              <w:top w:val="nil"/>
              <w:left w:val="nil"/>
              <w:bottom w:val="single" w:sz="4" w:space="0" w:color="auto"/>
              <w:right w:val="single" w:sz="4" w:space="0" w:color="auto"/>
            </w:tcBorders>
            <w:shd w:val="clear" w:color="auto" w:fill="auto"/>
            <w:noWrap/>
            <w:vAlign w:val="bottom"/>
            <w:hideMark/>
          </w:tcPr>
          <w:p w14:paraId="51487F0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653F19B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10</w:t>
            </w:r>
          </w:p>
        </w:tc>
        <w:tc>
          <w:tcPr>
            <w:tcW w:w="517" w:type="dxa"/>
            <w:tcBorders>
              <w:top w:val="nil"/>
              <w:left w:val="nil"/>
              <w:bottom w:val="single" w:sz="4" w:space="0" w:color="auto"/>
              <w:right w:val="single" w:sz="4" w:space="0" w:color="auto"/>
            </w:tcBorders>
            <w:shd w:val="clear" w:color="auto" w:fill="auto"/>
            <w:noWrap/>
            <w:vAlign w:val="bottom"/>
            <w:hideMark/>
          </w:tcPr>
          <w:p w14:paraId="40CB902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10</w:t>
            </w:r>
          </w:p>
        </w:tc>
        <w:tc>
          <w:tcPr>
            <w:tcW w:w="545" w:type="dxa"/>
            <w:tcBorders>
              <w:top w:val="nil"/>
              <w:left w:val="nil"/>
              <w:bottom w:val="single" w:sz="4" w:space="0" w:color="auto"/>
              <w:right w:val="single" w:sz="4" w:space="0" w:color="auto"/>
            </w:tcBorders>
            <w:shd w:val="clear" w:color="auto" w:fill="auto"/>
            <w:noWrap/>
            <w:vAlign w:val="bottom"/>
            <w:hideMark/>
          </w:tcPr>
          <w:p w14:paraId="5C66D56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7</w:t>
            </w:r>
          </w:p>
        </w:tc>
        <w:tc>
          <w:tcPr>
            <w:tcW w:w="505" w:type="dxa"/>
            <w:tcBorders>
              <w:top w:val="nil"/>
              <w:left w:val="nil"/>
              <w:bottom w:val="single" w:sz="4" w:space="0" w:color="auto"/>
              <w:right w:val="single" w:sz="4" w:space="0" w:color="auto"/>
            </w:tcBorders>
            <w:shd w:val="clear" w:color="auto" w:fill="auto"/>
            <w:noWrap/>
            <w:vAlign w:val="bottom"/>
            <w:hideMark/>
          </w:tcPr>
          <w:p w14:paraId="7014CB9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14</w:t>
            </w:r>
          </w:p>
        </w:tc>
        <w:tc>
          <w:tcPr>
            <w:tcW w:w="603" w:type="dxa"/>
            <w:tcBorders>
              <w:top w:val="nil"/>
              <w:left w:val="nil"/>
              <w:bottom w:val="single" w:sz="4" w:space="0" w:color="auto"/>
              <w:right w:val="single" w:sz="4" w:space="0" w:color="auto"/>
            </w:tcBorders>
            <w:shd w:val="clear" w:color="auto" w:fill="auto"/>
            <w:noWrap/>
            <w:vAlign w:val="bottom"/>
            <w:hideMark/>
          </w:tcPr>
          <w:p w14:paraId="68D2780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8</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14:paraId="6D52A1C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141</w:t>
            </w:r>
          </w:p>
        </w:tc>
        <w:tc>
          <w:tcPr>
            <w:tcW w:w="709" w:type="dxa"/>
            <w:tcBorders>
              <w:top w:val="nil"/>
              <w:left w:val="nil"/>
              <w:bottom w:val="single" w:sz="4" w:space="0" w:color="auto"/>
              <w:right w:val="single" w:sz="8" w:space="0" w:color="auto"/>
            </w:tcBorders>
            <w:shd w:val="clear" w:color="auto" w:fill="auto"/>
            <w:noWrap/>
            <w:vAlign w:val="bottom"/>
            <w:hideMark/>
          </w:tcPr>
          <w:p w14:paraId="1615C40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5,3</w:t>
            </w:r>
          </w:p>
        </w:tc>
      </w:tr>
      <w:tr w:rsidR="00CF1E38" w:rsidRPr="0013753D" w14:paraId="055C7683" w14:textId="77777777" w:rsidTr="00CF1E38">
        <w:trPr>
          <w:trHeight w:val="255"/>
        </w:trPr>
        <w:tc>
          <w:tcPr>
            <w:tcW w:w="1149" w:type="dxa"/>
            <w:vMerge/>
            <w:tcBorders>
              <w:top w:val="nil"/>
              <w:left w:val="single" w:sz="8" w:space="0" w:color="auto"/>
              <w:bottom w:val="single" w:sz="8" w:space="0" w:color="000000"/>
              <w:right w:val="single" w:sz="4" w:space="0" w:color="auto"/>
            </w:tcBorders>
            <w:vAlign w:val="center"/>
            <w:hideMark/>
          </w:tcPr>
          <w:p w14:paraId="08BCAE51"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4" w:space="0" w:color="auto"/>
              <w:right w:val="single" w:sz="4" w:space="0" w:color="auto"/>
            </w:tcBorders>
            <w:shd w:val="clear" w:color="auto" w:fill="auto"/>
            <w:vAlign w:val="bottom"/>
            <w:hideMark/>
          </w:tcPr>
          <w:p w14:paraId="4978002A" w14:textId="77777777" w:rsidR="00CF1E38" w:rsidRPr="0081303D" w:rsidRDefault="00CF1E38" w:rsidP="00CF1E38">
            <w:pPr>
              <w:spacing w:line="240" w:lineRule="auto"/>
              <w:rPr>
                <w:rFonts w:eastAsia="Times New Roman"/>
                <w:i/>
                <w:iCs/>
                <w:color w:val="000000"/>
                <w:sz w:val="20"/>
                <w:szCs w:val="20"/>
                <w:lang w:eastAsia="cs-CZ"/>
              </w:rPr>
            </w:pPr>
            <w:r w:rsidRPr="0081303D">
              <w:rPr>
                <w:rFonts w:eastAsia="Times New Roman"/>
                <w:i/>
                <w:iCs/>
                <w:color w:val="000000"/>
                <w:sz w:val="20"/>
                <w:szCs w:val="20"/>
                <w:lang w:eastAsia="cs-CZ"/>
              </w:rPr>
              <w:t>z toho Polsko</w:t>
            </w:r>
          </w:p>
        </w:tc>
        <w:tc>
          <w:tcPr>
            <w:tcW w:w="567" w:type="dxa"/>
            <w:tcBorders>
              <w:top w:val="nil"/>
              <w:left w:val="nil"/>
              <w:bottom w:val="single" w:sz="4" w:space="0" w:color="auto"/>
              <w:right w:val="single" w:sz="4" w:space="0" w:color="auto"/>
            </w:tcBorders>
            <w:shd w:val="clear" w:color="auto" w:fill="auto"/>
            <w:noWrap/>
            <w:vAlign w:val="bottom"/>
            <w:hideMark/>
          </w:tcPr>
          <w:p w14:paraId="1BAB219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0F33E7D6"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5551B1A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3A18C38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w:t>
            </w:r>
          </w:p>
        </w:tc>
        <w:tc>
          <w:tcPr>
            <w:tcW w:w="573" w:type="dxa"/>
            <w:tcBorders>
              <w:top w:val="nil"/>
              <w:left w:val="nil"/>
              <w:bottom w:val="single" w:sz="4" w:space="0" w:color="auto"/>
              <w:right w:val="single" w:sz="4" w:space="0" w:color="auto"/>
            </w:tcBorders>
            <w:shd w:val="clear" w:color="auto" w:fill="auto"/>
            <w:noWrap/>
            <w:vAlign w:val="bottom"/>
            <w:hideMark/>
          </w:tcPr>
          <w:p w14:paraId="63131CC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6F43608B"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44" w:type="dxa"/>
            <w:tcBorders>
              <w:top w:val="nil"/>
              <w:left w:val="nil"/>
              <w:bottom w:val="single" w:sz="4" w:space="0" w:color="auto"/>
              <w:right w:val="single" w:sz="4" w:space="0" w:color="auto"/>
            </w:tcBorders>
            <w:shd w:val="clear" w:color="auto" w:fill="auto"/>
            <w:noWrap/>
            <w:vAlign w:val="bottom"/>
            <w:hideMark/>
          </w:tcPr>
          <w:p w14:paraId="06DBB06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350C303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2FA2C06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49" w:type="dxa"/>
            <w:tcBorders>
              <w:top w:val="nil"/>
              <w:left w:val="nil"/>
              <w:bottom w:val="single" w:sz="4" w:space="0" w:color="auto"/>
              <w:right w:val="single" w:sz="4" w:space="0" w:color="auto"/>
            </w:tcBorders>
            <w:shd w:val="clear" w:color="auto" w:fill="auto"/>
            <w:noWrap/>
            <w:vAlign w:val="bottom"/>
            <w:hideMark/>
          </w:tcPr>
          <w:p w14:paraId="11BB935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640F8635"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429C7BC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0845DAB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7AE53CC7"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17" w:type="dxa"/>
            <w:tcBorders>
              <w:top w:val="nil"/>
              <w:left w:val="nil"/>
              <w:bottom w:val="single" w:sz="4" w:space="0" w:color="auto"/>
              <w:right w:val="single" w:sz="4" w:space="0" w:color="auto"/>
            </w:tcBorders>
            <w:shd w:val="clear" w:color="auto" w:fill="auto"/>
            <w:noWrap/>
            <w:vAlign w:val="bottom"/>
            <w:hideMark/>
          </w:tcPr>
          <w:p w14:paraId="4759A05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45" w:type="dxa"/>
            <w:tcBorders>
              <w:top w:val="nil"/>
              <w:left w:val="nil"/>
              <w:bottom w:val="single" w:sz="4" w:space="0" w:color="auto"/>
              <w:right w:val="single" w:sz="4" w:space="0" w:color="auto"/>
            </w:tcBorders>
            <w:shd w:val="clear" w:color="auto" w:fill="auto"/>
            <w:noWrap/>
            <w:vAlign w:val="bottom"/>
            <w:hideMark/>
          </w:tcPr>
          <w:p w14:paraId="546A1C9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05D718D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603" w:type="dxa"/>
            <w:tcBorders>
              <w:top w:val="nil"/>
              <w:left w:val="nil"/>
              <w:bottom w:val="single" w:sz="4" w:space="0" w:color="auto"/>
              <w:right w:val="single" w:sz="4" w:space="0" w:color="auto"/>
            </w:tcBorders>
            <w:shd w:val="clear" w:color="auto" w:fill="auto"/>
            <w:noWrap/>
            <w:vAlign w:val="bottom"/>
            <w:hideMark/>
          </w:tcPr>
          <w:p w14:paraId="27E16127"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851" w:type="dxa"/>
            <w:tcBorders>
              <w:top w:val="nil"/>
              <w:left w:val="nil"/>
              <w:bottom w:val="single" w:sz="4" w:space="0" w:color="auto"/>
              <w:right w:val="single" w:sz="4" w:space="0" w:color="auto"/>
            </w:tcBorders>
            <w:shd w:val="clear" w:color="auto" w:fill="auto"/>
            <w:noWrap/>
            <w:vAlign w:val="bottom"/>
            <w:hideMark/>
          </w:tcPr>
          <w:p w14:paraId="0C58D59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w:t>
            </w:r>
          </w:p>
        </w:tc>
        <w:tc>
          <w:tcPr>
            <w:tcW w:w="709" w:type="dxa"/>
            <w:tcBorders>
              <w:top w:val="nil"/>
              <w:left w:val="nil"/>
              <w:bottom w:val="single" w:sz="4" w:space="0" w:color="auto"/>
              <w:right w:val="single" w:sz="8" w:space="0" w:color="auto"/>
            </w:tcBorders>
            <w:shd w:val="clear" w:color="auto" w:fill="auto"/>
            <w:noWrap/>
            <w:vAlign w:val="bottom"/>
            <w:hideMark/>
          </w:tcPr>
          <w:p w14:paraId="47077D3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0,1</w:t>
            </w:r>
          </w:p>
        </w:tc>
      </w:tr>
      <w:tr w:rsidR="00CF1E38" w:rsidRPr="0013753D" w14:paraId="0167E7F6" w14:textId="77777777" w:rsidTr="00CF1E38">
        <w:trPr>
          <w:trHeight w:val="255"/>
        </w:trPr>
        <w:tc>
          <w:tcPr>
            <w:tcW w:w="1149" w:type="dxa"/>
            <w:vMerge/>
            <w:tcBorders>
              <w:top w:val="nil"/>
              <w:left w:val="single" w:sz="8" w:space="0" w:color="auto"/>
              <w:bottom w:val="single" w:sz="8" w:space="0" w:color="000000"/>
              <w:right w:val="single" w:sz="4" w:space="0" w:color="auto"/>
            </w:tcBorders>
            <w:vAlign w:val="center"/>
            <w:hideMark/>
          </w:tcPr>
          <w:p w14:paraId="473B41E7"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4" w:space="0" w:color="auto"/>
              <w:right w:val="single" w:sz="4" w:space="0" w:color="auto"/>
            </w:tcBorders>
            <w:shd w:val="clear" w:color="auto" w:fill="auto"/>
            <w:noWrap/>
            <w:vAlign w:val="bottom"/>
            <w:hideMark/>
          </w:tcPr>
          <w:p w14:paraId="475C0B3E" w14:textId="77777777" w:rsidR="00CF1E38" w:rsidRPr="0081303D" w:rsidRDefault="00CF1E38" w:rsidP="00CF1E38">
            <w:pPr>
              <w:spacing w:line="240" w:lineRule="auto"/>
              <w:rPr>
                <w:rFonts w:eastAsia="Times New Roman"/>
                <w:i/>
                <w:iCs/>
                <w:color w:val="000000"/>
                <w:sz w:val="20"/>
                <w:szCs w:val="20"/>
                <w:lang w:eastAsia="cs-CZ"/>
              </w:rPr>
            </w:pPr>
            <w:r w:rsidRPr="0081303D">
              <w:rPr>
                <w:rFonts w:eastAsia="Times New Roman"/>
                <w:i/>
                <w:iCs/>
                <w:color w:val="000000"/>
                <w:sz w:val="20"/>
                <w:szCs w:val="20"/>
                <w:lang w:eastAsia="cs-CZ"/>
              </w:rPr>
              <w:t>z toho SRN</w:t>
            </w:r>
          </w:p>
        </w:tc>
        <w:tc>
          <w:tcPr>
            <w:tcW w:w="567" w:type="dxa"/>
            <w:tcBorders>
              <w:top w:val="nil"/>
              <w:left w:val="nil"/>
              <w:bottom w:val="single" w:sz="4" w:space="0" w:color="auto"/>
              <w:right w:val="single" w:sz="4" w:space="0" w:color="auto"/>
            </w:tcBorders>
            <w:shd w:val="clear" w:color="auto" w:fill="auto"/>
            <w:noWrap/>
            <w:vAlign w:val="bottom"/>
            <w:hideMark/>
          </w:tcPr>
          <w:p w14:paraId="3128189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6A438B1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3C3B69A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w:t>
            </w:r>
          </w:p>
        </w:tc>
        <w:tc>
          <w:tcPr>
            <w:tcW w:w="505" w:type="dxa"/>
            <w:tcBorders>
              <w:top w:val="nil"/>
              <w:left w:val="nil"/>
              <w:bottom w:val="single" w:sz="4" w:space="0" w:color="auto"/>
              <w:right w:val="single" w:sz="4" w:space="0" w:color="auto"/>
            </w:tcBorders>
            <w:shd w:val="clear" w:color="auto" w:fill="auto"/>
            <w:noWrap/>
            <w:vAlign w:val="bottom"/>
            <w:hideMark/>
          </w:tcPr>
          <w:p w14:paraId="4E507738"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w:t>
            </w:r>
          </w:p>
        </w:tc>
        <w:tc>
          <w:tcPr>
            <w:tcW w:w="573" w:type="dxa"/>
            <w:tcBorders>
              <w:top w:val="nil"/>
              <w:left w:val="nil"/>
              <w:bottom w:val="single" w:sz="4" w:space="0" w:color="auto"/>
              <w:right w:val="single" w:sz="4" w:space="0" w:color="auto"/>
            </w:tcBorders>
            <w:shd w:val="clear" w:color="auto" w:fill="auto"/>
            <w:noWrap/>
            <w:vAlign w:val="bottom"/>
            <w:hideMark/>
          </w:tcPr>
          <w:p w14:paraId="7FFA737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462D5B9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44" w:type="dxa"/>
            <w:tcBorders>
              <w:top w:val="nil"/>
              <w:left w:val="nil"/>
              <w:bottom w:val="single" w:sz="4" w:space="0" w:color="auto"/>
              <w:right w:val="single" w:sz="4" w:space="0" w:color="auto"/>
            </w:tcBorders>
            <w:shd w:val="clear" w:color="auto" w:fill="auto"/>
            <w:noWrap/>
            <w:vAlign w:val="bottom"/>
            <w:hideMark/>
          </w:tcPr>
          <w:p w14:paraId="551EF63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1FD941D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6CC00AC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49" w:type="dxa"/>
            <w:tcBorders>
              <w:top w:val="nil"/>
              <w:left w:val="nil"/>
              <w:bottom w:val="single" w:sz="4" w:space="0" w:color="auto"/>
              <w:right w:val="single" w:sz="4" w:space="0" w:color="auto"/>
            </w:tcBorders>
            <w:shd w:val="clear" w:color="auto" w:fill="auto"/>
            <w:noWrap/>
            <w:vAlign w:val="bottom"/>
            <w:hideMark/>
          </w:tcPr>
          <w:p w14:paraId="1E6B6D0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67" w:type="dxa"/>
            <w:tcBorders>
              <w:top w:val="nil"/>
              <w:left w:val="nil"/>
              <w:bottom w:val="single" w:sz="4" w:space="0" w:color="auto"/>
              <w:right w:val="single" w:sz="4" w:space="0" w:color="auto"/>
            </w:tcBorders>
            <w:shd w:val="clear" w:color="auto" w:fill="auto"/>
            <w:noWrap/>
            <w:vAlign w:val="bottom"/>
            <w:hideMark/>
          </w:tcPr>
          <w:p w14:paraId="1A42B0D6"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0B86CEE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w:t>
            </w:r>
          </w:p>
        </w:tc>
        <w:tc>
          <w:tcPr>
            <w:tcW w:w="505" w:type="dxa"/>
            <w:tcBorders>
              <w:top w:val="nil"/>
              <w:left w:val="nil"/>
              <w:bottom w:val="single" w:sz="4" w:space="0" w:color="auto"/>
              <w:right w:val="single" w:sz="4" w:space="0" w:color="auto"/>
            </w:tcBorders>
            <w:shd w:val="clear" w:color="auto" w:fill="auto"/>
            <w:noWrap/>
            <w:vAlign w:val="bottom"/>
            <w:hideMark/>
          </w:tcPr>
          <w:p w14:paraId="4DBCEAA8"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63830E57"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17" w:type="dxa"/>
            <w:tcBorders>
              <w:top w:val="nil"/>
              <w:left w:val="nil"/>
              <w:bottom w:val="single" w:sz="4" w:space="0" w:color="auto"/>
              <w:right w:val="single" w:sz="4" w:space="0" w:color="auto"/>
            </w:tcBorders>
            <w:shd w:val="clear" w:color="auto" w:fill="auto"/>
            <w:noWrap/>
            <w:vAlign w:val="bottom"/>
            <w:hideMark/>
          </w:tcPr>
          <w:p w14:paraId="35C9FB3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w:t>
            </w:r>
          </w:p>
        </w:tc>
        <w:tc>
          <w:tcPr>
            <w:tcW w:w="545" w:type="dxa"/>
            <w:tcBorders>
              <w:top w:val="nil"/>
              <w:left w:val="nil"/>
              <w:bottom w:val="single" w:sz="4" w:space="0" w:color="auto"/>
              <w:right w:val="single" w:sz="4" w:space="0" w:color="auto"/>
            </w:tcBorders>
            <w:shd w:val="clear" w:color="auto" w:fill="auto"/>
            <w:noWrap/>
            <w:vAlign w:val="bottom"/>
            <w:hideMark/>
          </w:tcPr>
          <w:p w14:paraId="20B858F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505" w:type="dxa"/>
            <w:tcBorders>
              <w:top w:val="nil"/>
              <w:left w:val="nil"/>
              <w:bottom w:val="single" w:sz="4" w:space="0" w:color="auto"/>
              <w:right w:val="single" w:sz="4" w:space="0" w:color="auto"/>
            </w:tcBorders>
            <w:shd w:val="clear" w:color="auto" w:fill="auto"/>
            <w:noWrap/>
            <w:vAlign w:val="bottom"/>
            <w:hideMark/>
          </w:tcPr>
          <w:p w14:paraId="5B3A7EC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w:t>
            </w:r>
          </w:p>
        </w:tc>
        <w:tc>
          <w:tcPr>
            <w:tcW w:w="603" w:type="dxa"/>
            <w:tcBorders>
              <w:top w:val="nil"/>
              <w:left w:val="nil"/>
              <w:bottom w:val="single" w:sz="4" w:space="0" w:color="auto"/>
              <w:right w:val="single" w:sz="4" w:space="0" w:color="auto"/>
            </w:tcBorders>
            <w:shd w:val="clear" w:color="auto" w:fill="auto"/>
            <w:noWrap/>
            <w:vAlign w:val="bottom"/>
            <w:hideMark/>
          </w:tcPr>
          <w:p w14:paraId="6E1DAFB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w:t>
            </w:r>
          </w:p>
        </w:tc>
        <w:tc>
          <w:tcPr>
            <w:tcW w:w="851" w:type="dxa"/>
            <w:tcBorders>
              <w:top w:val="nil"/>
              <w:left w:val="nil"/>
              <w:bottom w:val="single" w:sz="4" w:space="0" w:color="auto"/>
              <w:right w:val="single" w:sz="4" w:space="0" w:color="auto"/>
            </w:tcBorders>
            <w:shd w:val="clear" w:color="auto" w:fill="auto"/>
            <w:noWrap/>
            <w:vAlign w:val="bottom"/>
            <w:hideMark/>
          </w:tcPr>
          <w:p w14:paraId="03EA03A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8</w:t>
            </w:r>
          </w:p>
        </w:tc>
        <w:tc>
          <w:tcPr>
            <w:tcW w:w="709" w:type="dxa"/>
            <w:tcBorders>
              <w:top w:val="nil"/>
              <w:left w:val="nil"/>
              <w:bottom w:val="single" w:sz="4" w:space="0" w:color="auto"/>
              <w:right w:val="single" w:sz="8" w:space="0" w:color="auto"/>
            </w:tcBorders>
            <w:shd w:val="clear" w:color="auto" w:fill="auto"/>
            <w:noWrap/>
            <w:vAlign w:val="bottom"/>
            <w:hideMark/>
          </w:tcPr>
          <w:p w14:paraId="4399E160"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0,3</w:t>
            </w:r>
          </w:p>
        </w:tc>
      </w:tr>
      <w:tr w:rsidR="00CF1E38" w:rsidRPr="0013753D" w14:paraId="3A9281CE" w14:textId="77777777" w:rsidTr="00CF1E38">
        <w:trPr>
          <w:trHeight w:val="255"/>
        </w:trPr>
        <w:tc>
          <w:tcPr>
            <w:tcW w:w="1149" w:type="dxa"/>
            <w:vMerge/>
            <w:tcBorders>
              <w:top w:val="nil"/>
              <w:left w:val="single" w:sz="8" w:space="0" w:color="auto"/>
              <w:bottom w:val="single" w:sz="8" w:space="0" w:color="000000"/>
              <w:right w:val="single" w:sz="4" w:space="0" w:color="auto"/>
            </w:tcBorders>
            <w:vAlign w:val="center"/>
            <w:hideMark/>
          </w:tcPr>
          <w:p w14:paraId="0A3A71CE"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4" w:space="0" w:color="auto"/>
              <w:right w:val="single" w:sz="4" w:space="0" w:color="auto"/>
            </w:tcBorders>
            <w:shd w:val="clear" w:color="auto" w:fill="auto"/>
            <w:noWrap/>
            <w:vAlign w:val="bottom"/>
            <w:hideMark/>
          </w:tcPr>
          <w:p w14:paraId="7F2CB078" w14:textId="77777777" w:rsidR="00CF1E38" w:rsidRPr="0081303D" w:rsidRDefault="00CF1E38" w:rsidP="0002057E">
            <w:pPr>
              <w:spacing w:line="240" w:lineRule="auto"/>
              <w:rPr>
                <w:rFonts w:eastAsia="Times New Roman"/>
                <w:color w:val="000000"/>
                <w:sz w:val="20"/>
                <w:szCs w:val="20"/>
                <w:lang w:eastAsia="cs-CZ"/>
              </w:rPr>
            </w:pPr>
            <w:r w:rsidRPr="0081303D">
              <w:rPr>
                <w:rFonts w:eastAsia="Times New Roman"/>
                <w:color w:val="000000"/>
                <w:sz w:val="20"/>
                <w:szCs w:val="20"/>
                <w:lang w:eastAsia="cs-CZ"/>
              </w:rPr>
              <w:t xml:space="preserve"> do Č</w:t>
            </w:r>
            <w:r w:rsidR="0002057E">
              <w:rPr>
                <w:rFonts w:eastAsia="Times New Roman"/>
                <w:color w:val="000000"/>
                <w:sz w:val="20"/>
                <w:szCs w:val="20"/>
                <w:lang w:eastAsia="cs-CZ"/>
              </w:rPr>
              <w:t>R</w:t>
            </w:r>
          </w:p>
        </w:tc>
        <w:tc>
          <w:tcPr>
            <w:tcW w:w="567" w:type="dxa"/>
            <w:tcBorders>
              <w:top w:val="nil"/>
              <w:left w:val="nil"/>
              <w:bottom w:val="single" w:sz="4" w:space="0" w:color="auto"/>
              <w:right w:val="single" w:sz="4" w:space="0" w:color="auto"/>
            </w:tcBorders>
            <w:shd w:val="clear" w:color="auto" w:fill="auto"/>
            <w:noWrap/>
            <w:vAlign w:val="bottom"/>
            <w:hideMark/>
          </w:tcPr>
          <w:p w14:paraId="707ADF9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90</w:t>
            </w:r>
          </w:p>
        </w:tc>
        <w:tc>
          <w:tcPr>
            <w:tcW w:w="567" w:type="dxa"/>
            <w:tcBorders>
              <w:top w:val="nil"/>
              <w:left w:val="nil"/>
              <w:bottom w:val="single" w:sz="4" w:space="0" w:color="auto"/>
              <w:right w:val="single" w:sz="4" w:space="0" w:color="auto"/>
            </w:tcBorders>
            <w:shd w:val="clear" w:color="auto" w:fill="auto"/>
            <w:noWrap/>
            <w:vAlign w:val="bottom"/>
            <w:hideMark/>
          </w:tcPr>
          <w:p w14:paraId="34E1A7E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104</w:t>
            </w:r>
          </w:p>
        </w:tc>
        <w:tc>
          <w:tcPr>
            <w:tcW w:w="567" w:type="dxa"/>
            <w:tcBorders>
              <w:top w:val="nil"/>
              <w:left w:val="nil"/>
              <w:bottom w:val="single" w:sz="4" w:space="0" w:color="auto"/>
              <w:right w:val="single" w:sz="4" w:space="0" w:color="auto"/>
            </w:tcBorders>
            <w:shd w:val="clear" w:color="auto" w:fill="auto"/>
            <w:noWrap/>
            <w:vAlign w:val="bottom"/>
            <w:hideMark/>
          </w:tcPr>
          <w:p w14:paraId="4FF364B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136</w:t>
            </w:r>
          </w:p>
        </w:tc>
        <w:tc>
          <w:tcPr>
            <w:tcW w:w="505" w:type="dxa"/>
            <w:tcBorders>
              <w:top w:val="nil"/>
              <w:left w:val="nil"/>
              <w:bottom w:val="single" w:sz="4" w:space="0" w:color="auto"/>
              <w:right w:val="single" w:sz="4" w:space="0" w:color="auto"/>
            </w:tcBorders>
            <w:shd w:val="clear" w:color="auto" w:fill="auto"/>
            <w:noWrap/>
            <w:vAlign w:val="bottom"/>
            <w:hideMark/>
          </w:tcPr>
          <w:p w14:paraId="476ACC57"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154</w:t>
            </w:r>
          </w:p>
        </w:tc>
        <w:tc>
          <w:tcPr>
            <w:tcW w:w="573" w:type="dxa"/>
            <w:tcBorders>
              <w:top w:val="nil"/>
              <w:left w:val="nil"/>
              <w:bottom w:val="single" w:sz="4" w:space="0" w:color="auto"/>
              <w:right w:val="single" w:sz="4" w:space="0" w:color="auto"/>
            </w:tcBorders>
            <w:shd w:val="clear" w:color="auto" w:fill="auto"/>
            <w:noWrap/>
            <w:vAlign w:val="bottom"/>
            <w:hideMark/>
          </w:tcPr>
          <w:p w14:paraId="672E10F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119</w:t>
            </w:r>
          </w:p>
        </w:tc>
        <w:tc>
          <w:tcPr>
            <w:tcW w:w="505" w:type="dxa"/>
            <w:tcBorders>
              <w:top w:val="nil"/>
              <w:left w:val="nil"/>
              <w:bottom w:val="single" w:sz="4" w:space="0" w:color="auto"/>
              <w:right w:val="single" w:sz="4" w:space="0" w:color="auto"/>
            </w:tcBorders>
            <w:shd w:val="clear" w:color="auto" w:fill="auto"/>
            <w:noWrap/>
            <w:vAlign w:val="bottom"/>
            <w:hideMark/>
          </w:tcPr>
          <w:p w14:paraId="6D4E2BD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95</w:t>
            </w:r>
          </w:p>
        </w:tc>
        <w:tc>
          <w:tcPr>
            <w:tcW w:w="544" w:type="dxa"/>
            <w:tcBorders>
              <w:top w:val="nil"/>
              <w:left w:val="nil"/>
              <w:bottom w:val="single" w:sz="4" w:space="0" w:color="auto"/>
              <w:right w:val="single" w:sz="4" w:space="0" w:color="auto"/>
            </w:tcBorders>
            <w:shd w:val="clear" w:color="auto" w:fill="auto"/>
            <w:noWrap/>
            <w:vAlign w:val="bottom"/>
            <w:hideMark/>
          </w:tcPr>
          <w:p w14:paraId="6AF411CB"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128</w:t>
            </w:r>
          </w:p>
        </w:tc>
        <w:tc>
          <w:tcPr>
            <w:tcW w:w="505" w:type="dxa"/>
            <w:tcBorders>
              <w:top w:val="nil"/>
              <w:left w:val="nil"/>
              <w:bottom w:val="single" w:sz="4" w:space="0" w:color="auto"/>
              <w:right w:val="single" w:sz="4" w:space="0" w:color="auto"/>
            </w:tcBorders>
            <w:shd w:val="clear" w:color="auto" w:fill="auto"/>
            <w:noWrap/>
            <w:vAlign w:val="bottom"/>
            <w:hideMark/>
          </w:tcPr>
          <w:p w14:paraId="305B985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133</w:t>
            </w:r>
          </w:p>
        </w:tc>
        <w:tc>
          <w:tcPr>
            <w:tcW w:w="505" w:type="dxa"/>
            <w:tcBorders>
              <w:top w:val="nil"/>
              <w:left w:val="nil"/>
              <w:bottom w:val="single" w:sz="4" w:space="0" w:color="auto"/>
              <w:right w:val="single" w:sz="4" w:space="0" w:color="auto"/>
            </w:tcBorders>
            <w:shd w:val="clear" w:color="auto" w:fill="auto"/>
            <w:noWrap/>
            <w:vAlign w:val="bottom"/>
            <w:hideMark/>
          </w:tcPr>
          <w:p w14:paraId="44F0750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141</w:t>
            </w:r>
          </w:p>
        </w:tc>
        <w:tc>
          <w:tcPr>
            <w:tcW w:w="549" w:type="dxa"/>
            <w:tcBorders>
              <w:top w:val="nil"/>
              <w:left w:val="nil"/>
              <w:bottom w:val="single" w:sz="4" w:space="0" w:color="auto"/>
              <w:right w:val="single" w:sz="4" w:space="0" w:color="auto"/>
            </w:tcBorders>
            <w:shd w:val="clear" w:color="auto" w:fill="auto"/>
            <w:noWrap/>
            <w:vAlign w:val="bottom"/>
            <w:hideMark/>
          </w:tcPr>
          <w:p w14:paraId="57C79B6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132</w:t>
            </w:r>
          </w:p>
        </w:tc>
        <w:tc>
          <w:tcPr>
            <w:tcW w:w="567" w:type="dxa"/>
            <w:tcBorders>
              <w:top w:val="nil"/>
              <w:left w:val="nil"/>
              <w:bottom w:val="single" w:sz="4" w:space="0" w:color="auto"/>
              <w:right w:val="single" w:sz="4" w:space="0" w:color="auto"/>
            </w:tcBorders>
            <w:shd w:val="clear" w:color="auto" w:fill="auto"/>
            <w:noWrap/>
            <w:vAlign w:val="bottom"/>
            <w:hideMark/>
          </w:tcPr>
          <w:p w14:paraId="1FA1F89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168</w:t>
            </w:r>
          </w:p>
        </w:tc>
        <w:tc>
          <w:tcPr>
            <w:tcW w:w="505" w:type="dxa"/>
            <w:tcBorders>
              <w:top w:val="nil"/>
              <w:left w:val="nil"/>
              <w:bottom w:val="single" w:sz="4" w:space="0" w:color="auto"/>
              <w:right w:val="single" w:sz="4" w:space="0" w:color="auto"/>
            </w:tcBorders>
            <w:shd w:val="clear" w:color="auto" w:fill="auto"/>
            <w:noWrap/>
            <w:vAlign w:val="bottom"/>
            <w:hideMark/>
          </w:tcPr>
          <w:p w14:paraId="23CB8756"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173</w:t>
            </w:r>
          </w:p>
        </w:tc>
        <w:tc>
          <w:tcPr>
            <w:tcW w:w="505" w:type="dxa"/>
            <w:tcBorders>
              <w:top w:val="nil"/>
              <w:left w:val="nil"/>
              <w:bottom w:val="single" w:sz="4" w:space="0" w:color="auto"/>
              <w:right w:val="single" w:sz="4" w:space="0" w:color="auto"/>
            </w:tcBorders>
            <w:shd w:val="clear" w:color="auto" w:fill="auto"/>
            <w:noWrap/>
            <w:vAlign w:val="bottom"/>
            <w:hideMark/>
          </w:tcPr>
          <w:p w14:paraId="5213C216"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168</w:t>
            </w:r>
          </w:p>
        </w:tc>
        <w:tc>
          <w:tcPr>
            <w:tcW w:w="505" w:type="dxa"/>
            <w:tcBorders>
              <w:top w:val="nil"/>
              <w:left w:val="nil"/>
              <w:bottom w:val="single" w:sz="4" w:space="0" w:color="auto"/>
              <w:right w:val="single" w:sz="4" w:space="0" w:color="auto"/>
            </w:tcBorders>
            <w:shd w:val="clear" w:color="auto" w:fill="auto"/>
            <w:noWrap/>
            <w:vAlign w:val="bottom"/>
            <w:hideMark/>
          </w:tcPr>
          <w:p w14:paraId="5B09A9A5"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173</w:t>
            </w:r>
          </w:p>
        </w:tc>
        <w:tc>
          <w:tcPr>
            <w:tcW w:w="517" w:type="dxa"/>
            <w:tcBorders>
              <w:top w:val="nil"/>
              <w:left w:val="nil"/>
              <w:bottom w:val="single" w:sz="4" w:space="0" w:color="auto"/>
              <w:right w:val="single" w:sz="4" w:space="0" w:color="auto"/>
            </w:tcBorders>
            <w:shd w:val="clear" w:color="auto" w:fill="auto"/>
            <w:noWrap/>
            <w:vAlign w:val="bottom"/>
            <w:hideMark/>
          </w:tcPr>
          <w:p w14:paraId="1CBE0F1D"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127</w:t>
            </w:r>
          </w:p>
        </w:tc>
        <w:tc>
          <w:tcPr>
            <w:tcW w:w="545" w:type="dxa"/>
            <w:tcBorders>
              <w:top w:val="nil"/>
              <w:left w:val="nil"/>
              <w:bottom w:val="single" w:sz="4" w:space="0" w:color="auto"/>
              <w:right w:val="single" w:sz="4" w:space="0" w:color="auto"/>
            </w:tcBorders>
            <w:shd w:val="clear" w:color="auto" w:fill="auto"/>
            <w:noWrap/>
            <w:vAlign w:val="bottom"/>
            <w:hideMark/>
          </w:tcPr>
          <w:p w14:paraId="42567BC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163</w:t>
            </w:r>
          </w:p>
        </w:tc>
        <w:tc>
          <w:tcPr>
            <w:tcW w:w="505" w:type="dxa"/>
            <w:tcBorders>
              <w:top w:val="nil"/>
              <w:left w:val="nil"/>
              <w:bottom w:val="single" w:sz="4" w:space="0" w:color="auto"/>
              <w:right w:val="single" w:sz="4" w:space="0" w:color="auto"/>
            </w:tcBorders>
            <w:shd w:val="clear" w:color="auto" w:fill="auto"/>
            <w:noWrap/>
            <w:vAlign w:val="bottom"/>
            <w:hideMark/>
          </w:tcPr>
          <w:p w14:paraId="0AD7CD5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153</w:t>
            </w:r>
          </w:p>
        </w:tc>
        <w:tc>
          <w:tcPr>
            <w:tcW w:w="603" w:type="dxa"/>
            <w:tcBorders>
              <w:top w:val="nil"/>
              <w:left w:val="nil"/>
              <w:bottom w:val="single" w:sz="4" w:space="0" w:color="auto"/>
              <w:right w:val="single" w:sz="4" w:space="0" w:color="auto"/>
            </w:tcBorders>
            <w:shd w:val="clear" w:color="auto" w:fill="auto"/>
            <w:noWrap/>
            <w:vAlign w:val="bottom"/>
            <w:hideMark/>
          </w:tcPr>
          <w:p w14:paraId="13ECB3E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168</w:t>
            </w:r>
          </w:p>
        </w:tc>
        <w:tc>
          <w:tcPr>
            <w:tcW w:w="851" w:type="dxa"/>
            <w:tcBorders>
              <w:top w:val="nil"/>
              <w:left w:val="nil"/>
              <w:bottom w:val="single" w:sz="4" w:space="0" w:color="auto"/>
              <w:right w:val="single" w:sz="4" w:space="0" w:color="auto"/>
            </w:tcBorders>
            <w:shd w:val="clear" w:color="auto" w:fill="auto"/>
            <w:noWrap/>
            <w:vAlign w:val="bottom"/>
            <w:hideMark/>
          </w:tcPr>
          <w:p w14:paraId="7ABF95F0"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2525</w:t>
            </w:r>
          </w:p>
        </w:tc>
        <w:tc>
          <w:tcPr>
            <w:tcW w:w="709" w:type="dxa"/>
            <w:tcBorders>
              <w:top w:val="nil"/>
              <w:left w:val="nil"/>
              <w:bottom w:val="single" w:sz="4" w:space="0" w:color="auto"/>
              <w:right w:val="single" w:sz="8" w:space="0" w:color="auto"/>
            </w:tcBorders>
            <w:shd w:val="clear" w:color="auto" w:fill="auto"/>
            <w:noWrap/>
            <w:vAlign w:val="bottom"/>
            <w:hideMark/>
          </w:tcPr>
          <w:p w14:paraId="22E80848"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94,7</w:t>
            </w:r>
          </w:p>
        </w:tc>
      </w:tr>
      <w:tr w:rsidR="00CF1E38" w:rsidRPr="0013753D" w14:paraId="5E5BD862" w14:textId="77777777" w:rsidTr="00CF1E38">
        <w:trPr>
          <w:trHeight w:val="255"/>
        </w:trPr>
        <w:tc>
          <w:tcPr>
            <w:tcW w:w="1149" w:type="dxa"/>
            <w:vMerge/>
            <w:tcBorders>
              <w:top w:val="nil"/>
              <w:left w:val="single" w:sz="8" w:space="0" w:color="auto"/>
              <w:bottom w:val="single" w:sz="8" w:space="0" w:color="000000"/>
              <w:right w:val="single" w:sz="4" w:space="0" w:color="auto"/>
            </w:tcBorders>
            <w:vAlign w:val="center"/>
            <w:hideMark/>
          </w:tcPr>
          <w:p w14:paraId="218A98E6"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4" w:space="0" w:color="auto"/>
              <w:right w:val="single" w:sz="4" w:space="0" w:color="auto"/>
            </w:tcBorders>
            <w:shd w:val="clear" w:color="auto" w:fill="auto"/>
            <w:vAlign w:val="bottom"/>
            <w:hideMark/>
          </w:tcPr>
          <w:p w14:paraId="5D1879F5" w14:textId="77777777" w:rsidR="00CF1E38" w:rsidRPr="0081303D" w:rsidRDefault="00CF1E38" w:rsidP="00CF1E38">
            <w:pPr>
              <w:spacing w:line="240" w:lineRule="auto"/>
              <w:rPr>
                <w:rFonts w:eastAsia="Times New Roman"/>
                <w:i/>
                <w:iCs/>
                <w:color w:val="000000"/>
                <w:sz w:val="20"/>
                <w:szCs w:val="20"/>
                <w:lang w:eastAsia="cs-CZ"/>
              </w:rPr>
            </w:pPr>
            <w:r w:rsidRPr="0081303D">
              <w:rPr>
                <w:rFonts w:eastAsia="Times New Roman"/>
                <w:i/>
                <w:iCs/>
                <w:color w:val="000000"/>
                <w:sz w:val="20"/>
                <w:szCs w:val="20"/>
                <w:lang w:eastAsia="cs-CZ"/>
              </w:rPr>
              <w:t>z toho Liberecký kraj</w:t>
            </w:r>
          </w:p>
        </w:tc>
        <w:tc>
          <w:tcPr>
            <w:tcW w:w="567" w:type="dxa"/>
            <w:tcBorders>
              <w:top w:val="nil"/>
              <w:left w:val="nil"/>
              <w:bottom w:val="single" w:sz="4" w:space="0" w:color="auto"/>
              <w:right w:val="single" w:sz="4" w:space="0" w:color="auto"/>
            </w:tcBorders>
            <w:shd w:val="clear" w:color="auto" w:fill="auto"/>
            <w:noWrap/>
            <w:vAlign w:val="bottom"/>
            <w:hideMark/>
          </w:tcPr>
          <w:p w14:paraId="0F0B940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61</w:t>
            </w:r>
          </w:p>
        </w:tc>
        <w:tc>
          <w:tcPr>
            <w:tcW w:w="567" w:type="dxa"/>
            <w:tcBorders>
              <w:top w:val="nil"/>
              <w:left w:val="nil"/>
              <w:bottom w:val="single" w:sz="4" w:space="0" w:color="auto"/>
              <w:right w:val="single" w:sz="4" w:space="0" w:color="auto"/>
            </w:tcBorders>
            <w:shd w:val="clear" w:color="auto" w:fill="auto"/>
            <w:noWrap/>
            <w:vAlign w:val="bottom"/>
            <w:hideMark/>
          </w:tcPr>
          <w:p w14:paraId="4A39C8B3"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74</w:t>
            </w:r>
          </w:p>
        </w:tc>
        <w:tc>
          <w:tcPr>
            <w:tcW w:w="567" w:type="dxa"/>
            <w:tcBorders>
              <w:top w:val="nil"/>
              <w:left w:val="nil"/>
              <w:bottom w:val="single" w:sz="4" w:space="0" w:color="auto"/>
              <w:right w:val="single" w:sz="4" w:space="0" w:color="auto"/>
            </w:tcBorders>
            <w:shd w:val="clear" w:color="auto" w:fill="auto"/>
            <w:noWrap/>
            <w:vAlign w:val="bottom"/>
            <w:hideMark/>
          </w:tcPr>
          <w:p w14:paraId="25D548CE"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89</w:t>
            </w:r>
          </w:p>
        </w:tc>
        <w:tc>
          <w:tcPr>
            <w:tcW w:w="505" w:type="dxa"/>
            <w:tcBorders>
              <w:top w:val="nil"/>
              <w:left w:val="nil"/>
              <w:bottom w:val="single" w:sz="4" w:space="0" w:color="auto"/>
              <w:right w:val="single" w:sz="4" w:space="0" w:color="auto"/>
            </w:tcBorders>
            <w:shd w:val="clear" w:color="auto" w:fill="auto"/>
            <w:noWrap/>
            <w:vAlign w:val="bottom"/>
            <w:hideMark/>
          </w:tcPr>
          <w:p w14:paraId="0256CF25"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103</w:t>
            </w:r>
          </w:p>
        </w:tc>
        <w:tc>
          <w:tcPr>
            <w:tcW w:w="573" w:type="dxa"/>
            <w:tcBorders>
              <w:top w:val="nil"/>
              <w:left w:val="nil"/>
              <w:bottom w:val="single" w:sz="4" w:space="0" w:color="auto"/>
              <w:right w:val="single" w:sz="4" w:space="0" w:color="auto"/>
            </w:tcBorders>
            <w:shd w:val="clear" w:color="auto" w:fill="auto"/>
            <w:noWrap/>
            <w:vAlign w:val="bottom"/>
            <w:hideMark/>
          </w:tcPr>
          <w:p w14:paraId="57557CC8"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80</w:t>
            </w:r>
          </w:p>
        </w:tc>
        <w:tc>
          <w:tcPr>
            <w:tcW w:w="505" w:type="dxa"/>
            <w:tcBorders>
              <w:top w:val="nil"/>
              <w:left w:val="nil"/>
              <w:bottom w:val="single" w:sz="4" w:space="0" w:color="auto"/>
              <w:right w:val="single" w:sz="4" w:space="0" w:color="auto"/>
            </w:tcBorders>
            <w:shd w:val="clear" w:color="auto" w:fill="auto"/>
            <w:noWrap/>
            <w:vAlign w:val="bottom"/>
            <w:hideMark/>
          </w:tcPr>
          <w:p w14:paraId="05A0E34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72</w:t>
            </w:r>
          </w:p>
        </w:tc>
        <w:tc>
          <w:tcPr>
            <w:tcW w:w="544" w:type="dxa"/>
            <w:tcBorders>
              <w:top w:val="nil"/>
              <w:left w:val="nil"/>
              <w:bottom w:val="single" w:sz="4" w:space="0" w:color="auto"/>
              <w:right w:val="single" w:sz="4" w:space="0" w:color="auto"/>
            </w:tcBorders>
            <w:shd w:val="clear" w:color="auto" w:fill="auto"/>
            <w:noWrap/>
            <w:vAlign w:val="bottom"/>
            <w:hideMark/>
          </w:tcPr>
          <w:p w14:paraId="083C8E8A"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92</w:t>
            </w:r>
          </w:p>
        </w:tc>
        <w:tc>
          <w:tcPr>
            <w:tcW w:w="505" w:type="dxa"/>
            <w:tcBorders>
              <w:top w:val="nil"/>
              <w:left w:val="nil"/>
              <w:bottom w:val="single" w:sz="4" w:space="0" w:color="auto"/>
              <w:right w:val="single" w:sz="4" w:space="0" w:color="auto"/>
            </w:tcBorders>
            <w:shd w:val="clear" w:color="auto" w:fill="auto"/>
            <w:noWrap/>
            <w:vAlign w:val="bottom"/>
            <w:hideMark/>
          </w:tcPr>
          <w:p w14:paraId="1634F2E4"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96</w:t>
            </w:r>
          </w:p>
        </w:tc>
        <w:tc>
          <w:tcPr>
            <w:tcW w:w="505" w:type="dxa"/>
            <w:tcBorders>
              <w:top w:val="nil"/>
              <w:left w:val="nil"/>
              <w:bottom w:val="single" w:sz="4" w:space="0" w:color="auto"/>
              <w:right w:val="single" w:sz="4" w:space="0" w:color="auto"/>
            </w:tcBorders>
            <w:shd w:val="clear" w:color="auto" w:fill="auto"/>
            <w:noWrap/>
            <w:vAlign w:val="bottom"/>
            <w:hideMark/>
          </w:tcPr>
          <w:p w14:paraId="0856D57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92</w:t>
            </w:r>
          </w:p>
        </w:tc>
        <w:tc>
          <w:tcPr>
            <w:tcW w:w="549" w:type="dxa"/>
            <w:tcBorders>
              <w:top w:val="nil"/>
              <w:left w:val="nil"/>
              <w:bottom w:val="single" w:sz="4" w:space="0" w:color="auto"/>
              <w:right w:val="single" w:sz="4" w:space="0" w:color="auto"/>
            </w:tcBorders>
            <w:shd w:val="clear" w:color="auto" w:fill="auto"/>
            <w:noWrap/>
            <w:vAlign w:val="bottom"/>
            <w:hideMark/>
          </w:tcPr>
          <w:p w14:paraId="06491340"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93</w:t>
            </w:r>
          </w:p>
        </w:tc>
        <w:tc>
          <w:tcPr>
            <w:tcW w:w="567" w:type="dxa"/>
            <w:tcBorders>
              <w:top w:val="nil"/>
              <w:left w:val="nil"/>
              <w:bottom w:val="single" w:sz="4" w:space="0" w:color="auto"/>
              <w:right w:val="single" w:sz="4" w:space="0" w:color="auto"/>
            </w:tcBorders>
            <w:shd w:val="clear" w:color="auto" w:fill="auto"/>
            <w:noWrap/>
            <w:vAlign w:val="bottom"/>
            <w:hideMark/>
          </w:tcPr>
          <w:p w14:paraId="3C7434E0"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114</w:t>
            </w:r>
          </w:p>
        </w:tc>
        <w:tc>
          <w:tcPr>
            <w:tcW w:w="505" w:type="dxa"/>
            <w:tcBorders>
              <w:top w:val="nil"/>
              <w:left w:val="nil"/>
              <w:bottom w:val="single" w:sz="4" w:space="0" w:color="auto"/>
              <w:right w:val="single" w:sz="4" w:space="0" w:color="auto"/>
            </w:tcBorders>
            <w:shd w:val="clear" w:color="auto" w:fill="auto"/>
            <w:noWrap/>
            <w:vAlign w:val="bottom"/>
            <w:hideMark/>
          </w:tcPr>
          <w:p w14:paraId="511D38CF"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133</w:t>
            </w:r>
          </w:p>
        </w:tc>
        <w:tc>
          <w:tcPr>
            <w:tcW w:w="505" w:type="dxa"/>
            <w:tcBorders>
              <w:top w:val="nil"/>
              <w:left w:val="nil"/>
              <w:bottom w:val="single" w:sz="4" w:space="0" w:color="auto"/>
              <w:right w:val="single" w:sz="4" w:space="0" w:color="auto"/>
            </w:tcBorders>
            <w:shd w:val="clear" w:color="auto" w:fill="auto"/>
            <w:noWrap/>
            <w:vAlign w:val="bottom"/>
            <w:hideMark/>
          </w:tcPr>
          <w:p w14:paraId="69194952"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116</w:t>
            </w:r>
          </w:p>
        </w:tc>
        <w:tc>
          <w:tcPr>
            <w:tcW w:w="505" w:type="dxa"/>
            <w:tcBorders>
              <w:top w:val="nil"/>
              <w:left w:val="nil"/>
              <w:bottom w:val="single" w:sz="4" w:space="0" w:color="auto"/>
              <w:right w:val="single" w:sz="4" w:space="0" w:color="auto"/>
            </w:tcBorders>
            <w:shd w:val="clear" w:color="auto" w:fill="auto"/>
            <w:noWrap/>
            <w:vAlign w:val="bottom"/>
            <w:hideMark/>
          </w:tcPr>
          <w:p w14:paraId="0A1EACC1"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137</w:t>
            </w:r>
          </w:p>
        </w:tc>
        <w:tc>
          <w:tcPr>
            <w:tcW w:w="517" w:type="dxa"/>
            <w:tcBorders>
              <w:top w:val="nil"/>
              <w:left w:val="nil"/>
              <w:bottom w:val="single" w:sz="4" w:space="0" w:color="auto"/>
              <w:right w:val="single" w:sz="4" w:space="0" w:color="auto"/>
            </w:tcBorders>
            <w:shd w:val="clear" w:color="auto" w:fill="auto"/>
            <w:noWrap/>
            <w:vAlign w:val="bottom"/>
            <w:hideMark/>
          </w:tcPr>
          <w:p w14:paraId="55D6130C"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92</w:t>
            </w:r>
          </w:p>
        </w:tc>
        <w:tc>
          <w:tcPr>
            <w:tcW w:w="545" w:type="dxa"/>
            <w:tcBorders>
              <w:top w:val="nil"/>
              <w:left w:val="nil"/>
              <w:bottom w:val="single" w:sz="4" w:space="0" w:color="auto"/>
              <w:right w:val="single" w:sz="4" w:space="0" w:color="auto"/>
            </w:tcBorders>
            <w:shd w:val="clear" w:color="auto" w:fill="auto"/>
            <w:noWrap/>
            <w:vAlign w:val="bottom"/>
            <w:hideMark/>
          </w:tcPr>
          <w:p w14:paraId="10A59046"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123</w:t>
            </w:r>
          </w:p>
        </w:tc>
        <w:tc>
          <w:tcPr>
            <w:tcW w:w="505" w:type="dxa"/>
            <w:tcBorders>
              <w:top w:val="nil"/>
              <w:left w:val="nil"/>
              <w:bottom w:val="single" w:sz="4" w:space="0" w:color="auto"/>
              <w:right w:val="single" w:sz="4" w:space="0" w:color="auto"/>
            </w:tcBorders>
            <w:shd w:val="clear" w:color="auto" w:fill="auto"/>
            <w:noWrap/>
            <w:vAlign w:val="bottom"/>
            <w:hideMark/>
          </w:tcPr>
          <w:p w14:paraId="3A9C89E6"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118</w:t>
            </w:r>
          </w:p>
        </w:tc>
        <w:tc>
          <w:tcPr>
            <w:tcW w:w="603" w:type="dxa"/>
            <w:tcBorders>
              <w:top w:val="nil"/>
              <w:left w:val="nil"/>
              <w:bottom w:val="single" w:sz="4" w:space="0" w:color="auto"/>
              <w:right w:val="single" w:sz="4" w:space="0" w:color="auto"/>
            </w:tcBorders>
            <w:shd w:val="clear" w:color="auto" w:fill="auto"/>
            <w:noWrap/>
            <w:vAlign w:val="bottom"/>
            <w:hideMark/>
          </w:tcPr>
          <w:p w14:paraId="22630670"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133</w:t>
            </w:r>
          </w:p>
        </w:tc>
        <w:tc>
          <w:tcPr>
            <w:tcW w:w="851" w:type="dxa"/>
            <w:tcBorders>
              <w:top w:val="nil"/>
              <w:left w:val="nil"/>
              <w:bottom w:val="single" w:sz="4" w:space="0" w:color="auto"/>
              <w:right w:val="single" w:sz="4" w:space="0" w:color="auto"/>
            </w:tcBorders>
            <w:shd w:val="clear" w:color="auto" w:fill="auto"/>
            <w:noWrap/>
            <w:vAlign w:val="bottom"/>
            <w:hideMark/>
          </w:tcPr>
          <w:p w14:paraId="4BFAADE9"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1818</w:t>
            </w:r>
          </w:p>
        </w:tc>
        <w:tc>
          <w:tcPr>
            <w:tcW w:w="709" w:type="dxa"/>
            <w:tcBorders>
              <w:top w:val="nil"/>
              <w:left w:val="nil"/>
              <w:bottom w:val="single" w:sz="4" w:space="0" w:color="auto"/>
              <w:right w:val="single" w:sz="8" w:space="0" w:color="auto"/>
            </w:tcBorders>
            <w:shd w:val="clear" w:color="auto" w:fill="auto"/>
            <w:noWrap/>
            <w:vAlign w:val="bottom"/>
            <w:hideMark/>
          </w:tcPr>
          <w:p w14:paraId="6AEE9876" w14:textId="77777777" w:rsidR="00CF1E38" w:rsidRPr="0081303D" w:rsidRDefault="00CF1E38" w:rsidP="00CF1E38">
            <w:pPr>
              <w:spacing w:line="240" w:lineRule="auto"/>
              <w:jc w:val="right"/>
              <w:rPr>
                <w:rFonts w:eastAsia="Times New Roman"/>
                <w:color w:val="000000"/>
                <w:sz w:val="20"/>
                <w:szCs w:val="20"/>
                <w:lang w:eastAsia="cs-CZ"/>
              </w:rPr>
            </w:pPr>
            <w:r w:rsidRPr="0081303D">
              <w:rPr>
                <w:rFonts w:eastAsia="Times New Roman"/>
                <w:color w:val="000000"/>
                <w:sz w:val="20"/>
                <w:szCs w:val="20"/>
                <w:lang w:eastAsia="cs-CZ"/>
              </w:rPr>
              <w:t>68,2</w:t>
            </w:r>
          </w:p>
        </w:tc>
      </w:tr>
      <w:tr w:rsidR="00CF1E38" w:rsidRPr="0013753D" w14:paraId="03641331" w14:textId="77777777" w:rsidTr="00CF1E38">
        <w:trPr>
          <w:trHeight w:val="270"/>
        </w:trPr>
        <w:tc>
          <w:tcPr>
            <w:tcW w:w="1149" w:type="dxa"/>
            <w:vMerge/>
            <w:tcBorders>
              <w:top w:val="nil"/>
              <w:left w:val="single" w:sz="8" w:space="0" w:color="auto"/>
              <w:bottom w:val="single" w:sz="8" w:space="0" w:color="000000"/>
              <w:right w:val="single" w:sz="4" w:space="0" w:color="auto"/>
            </w:tcBorders>
            <w:vAlign w:val="center"/>
            <w:hideMark/>
          </w:tcPr>
          <w:p w14:paraId="048908A3" w14:textId="77777777" w:rsidR="00CF1E38" w:rsidRPr="0081303D" w:rsidRDefault="00CF1E38" w:rsidP="00CF1E38">
            <w:pPr>
              <w:spacing w:line="240" w:lineRule="auto"/>
              <w:rPr>
                <w:rFonts w:eastAsia="Times New Roman"/>
                <w:b/>
                <w:bCs/>
                <w:color w:val="000000"/>
                <w:sz w:val="20"/>
                <w:szCs w:val="20"/>
                <w:lang w:eastAsia="cs-CZ"/>
              </w:rPr>
            </w:pPr>
          </w:p>
        </w:tc>
        <w:tc>
          <w:tcPr>
            <w:tcW w:w="1701" w:type="dxa"/>
            <w:tcBorders>
              <w:top w:val="nil"/>
              <w:left w:val="nil"/>
              <w:bottom w:val="single" w:sz="8" w:space="0" w:color="auto"/>
              <w:right w:val="single" w:sz="4" w:space="0" w:color="auto"/>
            </w:tcBorders>
            <w:shd w:val="clear" w:color="auto" w:fill="auto"/>
            <w:noWrap/>
            <w:vAlign w:val="bottom"/>
            <w:hideMark/>
          </w:tcPr>
          <w:p w14:paraId="181D114F" w14:textId="77777777" w:rsidR="00CF1E38" w:rsidRPr="0081303D" w:rsidRDefault="00CF1E38" w:rsidP="00CF1E38">
            <w:pPr>
              <w:spacing w:line="240" w:lineRule="auto"/>
              <w:rPr>
                <w:rFonts w:eastAsia="Times New Roman"/>
                <w:b/>
                <w:bCs/>
                <w:color w:val="000000"/>
                <w:sz w:val="20"/>
                <w:szCs w:val="20"/>
                <w:lang w:eastAsia="cs-CZ"/>
              </w:rPr>
            </w:pPr>
            <w:r w:rsidRPr="0081303D">
              <w:rPr>
                <w:rFonts w:eastAsia="Times New Roman"/>
                <w:b/>
                <w:bCs/>
                <w:color w:val="000000"/>
                <w:sz w:val="20"/>
                <w:szCs w:val="20"/>
                <w:lang w:eastAsia="cs-CZ"/>
              </w:rPr>
              <w:t xml:space="preserve"> Celkem</w:t>
            </w:r>
          </w:p>
        </w:tc>
        <w:tc>
          <w:tcPr>
            <w:tcW w:w="567" w:type="dxa"/>
            <w:tcBorders>
              <w:top w:val="nil"/>
              <w:left w:val="nil"/>
              <w:bottom w:val="single" w:sz="8" w:space="0" w:color="auto"/>
              <w:right w:val="single" w:sz="4" w:space="0" w:color="auto"/>
            </w:tcBorders>
            <w:shd w:val="clear" w:color="auto" w:fill="auto"/>
            <w:noWrap/>
            <w:vAlign w:val="bottom"/>
            <w:hideMark/>
          </w:tcPr>
          <w:p w14:paraId="2E2DD11A"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90</w:t>
            </w:r>
          </w:p>
        </w:tc>
        <w:tc>
          <w:tcPr>
            <w:tcW w:w="567" w:type="dxa"/>
            <w:tcBorders>
              <w:top w:val="nil"/>
              <w:left w:val="nil"/>
              <w:bottom w:val="single" w:sz="8" w:space="0" w:color="auto"/>
              <w:right w:val="single" w:sz="4" w:space="0" w:color="auto"/>
            </w:tcBorders>
            <w:shd w:val="clear" w:color="auto" w:fill="auto"/>
            <w:noWrap/>
            <w:vAlign w:val="bottom"/>
            <w:hideMark/>
          </w:tcPr>
          <w:p w14:paraId="2EBB9E46"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105</w:t>
            </w:r>
          </w:p>
        </w:tc>
        <w:tc>
          <w:tcPr>
            <w:tcW w:w="567" w:type="dxa"/>
            <w:tcBorders>
              <w:top w:val="nil"/>
              <w:left w:val="nil"/>
              <w:bottom w:val="single" w:sz="8" w:space="0" w:color="auto"/>
              <w:right w:val="single" w:sz="4" w:space="0" w:color="auto"/>
            </w:tcBorders>
            <w:shd w:val="clear" w:color="auto" w:fill="auto"/>
            <w:noWrap/>
            <w:vAlign w:val="bottom"/>
            <w:hideMark/>
          </w:tcPr>
          <w:p w14:paraId="6EB3B65F"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148</w:t>
            </w:r>
          </w:p>
        </w:tc>
        <w:tc>
          <w:tcPr>
            <w:tcW w:w="505" w:type="dxa"/>
            <w:tcBorders>
              <w:top w:val="nil"/>
              <w:left w:val="nil"/>
              <w:bottom w:val="single" w:sz="8" w:space="0" w:color="auto"/>
              <w:right w:val="single" w:sz="4" w:space="0" w:color="auto"/>
            </w:tcBorders>
            <w:shd w:val="clear" w:color="auto" w:fill="auto"/>
            <w:noWrap/>
            <w:vAlign w:val="bottom"/>
            <w:hideMark/>
          </w:tcPr>
          <w:p w14:paraId="7F685DA2"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166</w:t>
            </w:r>
          </w:p>
        </w:tc>
        <w:tc>
          <w:tcPr>
            <w:tcW w:w="573" w:type="dxa"/>
            <w:tcBorders>
              <w:top w:val="nil"/>
              <w:left w:val="nil"/>
              <w:bottom w:val="single" w:sz="8" w:space="0" w:color="auto"/>
              <w:right w:val="single" w:sz="4" w:space="0" w:color="auto"/>
            </w:tcBorders>
            <w:shd w:val="clear" w:color="auto" w:fill="auto"/>
            <w:noWrap/>
            <w:vAlign w:val="bottom"/>
            <w:hideMark/>
          </w:tcPr>
          <w:p w14:paraId="61DD0B42"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139</w:t>
            </w:r>
          </w:p>
        </w:tc>
        <w:tc>
          <w:tcPr>
            <w:tcW w:w="505" w:type="dxa"/>
            <w:tcBorders>
              <w:top w:val="nil"/>
              <w:left w:val="nil"/>
              <w:bottom w:val="single" w:sz="8" w:space="0" w:color="auto"/>
              <w:right w:val="single" w:sz="4" w:space="0" w:color="auto"/>
            </w:tcBorders>
            <w:shd w:val="clear" w:color="auto" w:fill="auto"/>
            <w:noWrap/>
            <w:vAlign w:val="bottom"/>
            <w:hideMark/>
          </w:tcPr>
          <w:p w14:paraId="7805C31B"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106</w:t>
            </w:r>
          </w:p>
        </w:tc>
        <w:tc>
          <w:tcPr>
            <w:tcW w:w="544" w:type="dxa"/>
            <w:tcBorders>
              <w:top w:val="nil"/>
              <w:left w:val="nil"/>
              <w:bottom w:val="single" w:sz="8" w:space="0" w:color="auto"/>
              <w:right w:val="single" w:sz="4" w:space="0" w:color="auto"/>
            </w:tcBorders>
            <w:shd w:val="clear" w:color="auto" w:fill="auto"/>
            <w:noWrap/>
            <w:vAlign w:val="bottom"/>
            <w:hideMark/>
          </w:tcPr>
          <w:p w14:paraId="101AE4BD"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128</w:t>
            </w:r>
          </w:p>
        </w:tc>
        <w:tc>
          <w:tcPr>
            <w:tcW w:w="505" w:type="dxa"/>
            <w:tcBorders>
              <w:top w:val="nil"/>
              <w:left w:val="nil"/>
              <w:bottom w:val="single" w:sz="8" w:space="0" w:color="auto"/>
              <w:right w:val="single" w:sz="4" w:space="0" w:color="auto"/>
            </w:tcBorders>
            <w:shd w:val="clear" w:color="auto" w:fill="auto"/>
            <w:noWrap/>
            <w:vAlign w:val="bottom"/>
            <w:hideMark/>
          </w:tcPr>
          <w:p w14:paraId="72C5D8EF"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141</w:t>
            </w:r>
          </w:p>
        </w:tc>
        <w:tc>
          <w:tcPr>
            <w:tcW w:w="505" w:type="dxa"/>
            <w:tcBorders>
              <w:top w:val="nil"/>
              <w:left w:val="nil"/>
              <w:bottom w:val="single" w:sz="8" w:space="0" w:color="auto"/>
              <w:right w:val="single" w:sz="4" w:space="0" w:color="auto"/>
            </w:tcBorders>
            <w:shd w:val="clear" w:color="auto" w:fill="auto"/>
            <w:noWrap/>
            <w:vAlign w:val="bottom"/>
            <w:hideMark/>
          </w:tcPr>
          <w:p w14:paraId="2B204475"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151</w:t>
            </w:r>
          </w:p>
        </w:tc>
        <w:tc>
          <w:tcPr>
            <w:tcW w:w="549" w:type="dxa"/>
            <w:tcBorders>
              <w:top w:val="nil"/>
              <w:left w:val="nil"/>
              <w:bottom w:val="single" w:sz="8" w:space="0" w:color="auto"/>
              <w:right w:val="single" w:sz="4" w:space="0" w:color="auto"/>
            </w:tcBorders>
            <w:shd w:val="clear" w:color="auto" w:fill="auto"/>
            <w:noWrap/>
            <w:vAlign w:val="bottom"/>
            <w:hideMark/>
          </w:tcPr>
          <w:p w14:paraId="0FEF0B42"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135</w:t>
            </w:r>
          </w:p>
        </w:tc>
        <w:tc>
          <w:tcPr>
            <w:tcW w:w="567" w:type="dxa"/>
            <w:tcBorders>
              <w:top w:val="nil"/>
              <w:left w:val="nil"/>
              <w:bottom w:val="single" w:sz="8" w:space="0" w:color="auto"/>
              <w:right w:val="single" w:sz="4" w:space="0" w:color="auto"/>
            </w:tcBorders>
            <w:shd w:val="clear" w:color="auto" w:fill="auto"/>
            <w:noWrap/>
            <w:vAlign w:val="bottom"/>
            <w:hideMark/>
          </w:tcPr>
          <w:p w14:paraId="608F92C7"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168</w:t>
            </w:r>
          </w:p>
        </w:tc>
        <w:tc>
          <w:tcPr>
            <w:tcW w:w="505" w:type="dxa"/>
            <w:tcBorders>
              <w:top w:val="nil"/>
              <w:left w:val="nil"/>
              <w:bottom w:val="single" w:sz="8" w:space="0" w:color="auto"/>
              <w:right w:val="single" w:sz="4" w:space="0" w:color="auto"/>
            </w:tcBorders>
            <w:shd w:val="clear" w:color="auto" w:fill="auto"/>
            <w:noWrap/>
            <w:vAlign w:val="bottom"/>
            <w:hideMark/>
          </w:tcPr>
          <w:p w14:paraId="7EFED825"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187</w:t>
            </w:r>
          </w:p>
        </w:tc>
        <w:tc>
          <w:tcPr>
            <w:tcW w:w="505" w:type="dxa"/>
            <w:tcBorders>
              <w:top w:val="nil"/>
              <w:left w:val="nil"/>
              <w:bottom w:val="single" w:sz="8" w:space="0" w:color="auto"/>
              <w:right w:val="single" w:sz="4" w:space="0" w:color="auto"/>
            </w:tcBorders>
            <w:shd w:val="clear" w:color="auto" w:fill="auto"/>
            <w:noWrap/>
            <w:vAlign w:val="bottom"/>
            <w:hideMark/>
          </w:tcPr>
          <w:p w14:paraId="11B70D50"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169</w:t>
            </w:r>
          </w:p>
        </w:tc>
        <w:tc>
          <w:tcPr>
            <w:tcW w:w="505" w:type="dxa"/>
            <w:tcBorders>
              <w:top w:val="nil"/>
              <w:left w:val="nil"/>
              <w:bottom w:val="single" w:sz="8" w:space="0" w:color="auto"/>
              <w:right w:val="single" w:sz="4" w:space="0" w:color="auto"/>
            </w:tcBorders>
            <w:shd w:val="clear" w:color="auto" w:fill="auto"/>
            <w:noWrap/>
            <w:vAlign w:val="bottom"/>
            <w:hideMark/>
          </w:tcPr>
          <w:p w14:paraId="368671EE"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183</w:t>
            </w:r>
          </w:p>
        </w:tc>
        <w:tc>
          <w:tcPr>
            <w:tcW w:w="517" w:type="dxa"/>
            <w:tcBorders>
              <w:top w:val="nil"/>
              <w:left w:val="nil"/>
              <w:bottom w:val="single" w:sz="8" w:space="0" w:color="auto"/>
              <w:right w:val="single" w:sz="4" w:space="0" w:color="auto"/>
            </w:tcBorders>
            <w:shd w:val="clear" w:color="auto" w:fill="auto"/>
            <w:noWrap/>
            <w:vAlign w:val="bottom"/>
            <w:hideMark/>
          </w:tcPr>
          <w:p w14:paraId="5ECD9652"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137</w:t>
            </w:r>
          </w:p>
        </w:tc>
        <w:tc>
          <w:tcPr>
            <w:tcW w:w="545" w:type="dxa"/>
            <w:tcBorders>
              <w:top w:val="nil"/>
              <w:left w:val="nil"/>
              <w:bottom w:val="single" w:sz="8" w:space="0" w:color="auto"/>
              <w:right w:val="single" w:sz="4" w:space="0" w:color="auto"/>
            </w:tcBorders>
            <w:shd w:val="clear" w:color="auto" w:fill="auto"/>
            <w:noWrap/>
            <w:vAlign w:val="bottom"/>
            <w:hideMark/>
          </w:tcPr>
          <w:p w14:paraId="100C9FFC"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170</w:t>
            </w:r>
          </w:p>
        </w:tc>
        <w:tc>
          <w:tcPr>
            <w:tcW w:w="505" w:type="dxa"/>
            <w:tcBorders>
              <w:top w:val="nil"/>
              <w:left w:val="nil"/>
              <w:bottom w:val="single" w:sz="8" w:space="0" w:color="auto"/>
              <w:right w:val="single" w:sz="4" w:space="0" w:color="auto"/>
            </w:tcBorders>
            <w:shd w:val="clear" w:color="auto" w:fill="auto"/>
            <w:noWrap/>
            <w:vAlign w:val="bottom"/>
            <w:hideMark/>
          </w:tcPr>
          <w:p w14:paraId="4F623201"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167</w:t>
            </w:r>
          </w:p>
        </w:tc>
        <w:tc>
          <w:tcPr>
            <w:tcW w:w="603" w:type="dxa"/>
            <w:tcBorders>
              <w:top w:val="nil"/>
              <w:left w:val="nil"/>
              <w:bottom w:val="single" w:sz="8" w:space="0" w:color="auto"/>
              <w:right w:val="single" w:sz="4" w:space="0" w:color="auto"/>
            </w:tcBorders>
            <w:shd w:val="clear" w:color="auto" w:fill="auto"/>
            <w:noWrap/>
            <w:vAlign w:val="bottom"/>
            <w:hideMark/>
          </w:tcPr>
          <w:p w14:paraId="052537B1"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176</w:t>
            </w:r>
          </w:p>
        </w:tc>
        <w:tc>
          <w:tcPr>
            <w:tcW w:w="851" w:type="dxa"/>
            <w:tcBorders>
              <w:top w:val="nil"/>
              <w:left w:val="nil"/>
              <w:bottom w:val="single" w:sz="8" w:space="0" w:color="auto"/>
              <w:right w:val="single" w:sz="4" w:space="0" w:color="auto"/>
            </w:tcBorders>
            <w:shd w:val="clear" w:color="auto" w:fill="auto"/>
            <w:noWrap/>
            <w:vAlign w:val="bottom"/>
            <w:hideMark/>
          </w:tcPr>
          <w:p w14:paraId="7FD64748"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2666</w:t>
            </w:r>
          </w:p>
        </w:tc>
        <w:tc>
          <w:tcPr>
            <w:tcW w:w="709" w:type="dxa"/>
            <w:tcBorders>
              <w:top w:val="nil"/>
              <w:left w:val="nil"/>
              <w:bottom w:val="single" w:sz="8" w:space="0" w:color="auto"/>
              <w:right w:val="single" w:sz="8" w:space="0" w:color="auto"/>
            </w:tcBorders>
            <w:shd w:val="clear" w:color="auto" w:fill="auto"/>
            <w:noWrap/>
            <w:vAlign w:val="bottom"/>
            <w:hideMark/>
          </w:tcPr>
          <w:p w14:paraId="5A798805" w14:textId="77777777" w:rsidR="00CF1E38" w:rsidRPr="0081303D" w:rsidRDefault="00CF1E38" w:rsidP="00CF1E38">
            <w:pPr>
              <w:spacing w:line="240" w:lineRule="auto"/>
              <w:jc w:val="right"/>
              <w:rPr>
                <w:rFonts w:eastAsia="Times New Roman"/>
                <w:b/>
                <w:bCs/>
                <w:color w:val="000000"/>
                <w:sz w:val="20"/>
                <w:szCs w:val="20"/>
                <w:lang w:eastAsia="cs-CZ"/>
              </w:rPr>
            </w:pPr>
            <w:r w:rsidRPr="0081303D">
              <w:rPr>
                <w:rFonts w:eastAsia="Times New Roman"/>
                <w:b/>
                <w:bCs/>
                <w:color w:val="000000"/>
                <w:sz w:val="20"/>
                <w:szCs w:val="20"/>
                <w:lang w:eastAsia="cs-CZ"/>
              </w:rPr>
              <w:t>100,0</w:t>
            </w:r>
          </w:p>
        </w:tc>
      </w:tr>
    </w:tbl>
    <w:p w14:paraId="3140FD71" w14:textId="77777777" w:rsidR="00CF1E38" w:rsidRDefault="00CF1E38" w:rsidP="003C0765">
      <w:pPr>
        <w:spacing w:before="240" w:line="240" w:lineRule="auto"/>
        <w:rPr>
          <w:b/>
          <w:i/>
        </w:rPr>
        <w:sectPr w:rsidR="00CF1E38" w:rsidSect="00CF1E38">
          <w:pgSz w:w="16834" w:h="11909" w:orient="landscape" w:code="9"/>
          <w:pgMar w:top="1418" w:right="1701" w:bottom="1419" w:left="1418" w:header="720" w:footer="720" w:gutter="0"/>
          <w:cols w:space="720"/>
          <w:docGrid w:linePitch="360"/>
        </w:sectPr>
      </w:pPr>
    </w:p>
    <w:p w14:paraId="2547AC32" w14:textId="77777777" w:rsidR="00FF49C7" w:rsidRPr="00461C16" w:rsidRDefault="00FF49C7" w:rsidP="003C0765">
      <w:pPr>
        <w:spacing w:before="240" w:line="240" w:lineRule="auto"/>
        <w:rPr>
          <w:b/>
          <w:i/>
        </w:rPr>
      </w:pPr>
      <w:r w:rsidRPr="00461C16">
        <w:rPr>
          <w:b/>
          <w:i/>
        </w:rPr>
        <w:lastRenderedPageBreak/>
        <w:t>II.</w:t>
      </w:r>
      <w:r w:rsidRPr="00461C16">
        <w:rPr>
          <w:b/>
          <w:i/>
        </w:rPr>
        <w:tab/>
        <w:t>Požadavky legislativy a nadřazených dokumentů</w:t>
      </w:r>
    </w:p>
    <w:p w14:paraId="49A5D354" w14:textId="77777777" w:rsidR="00FF49C7" w:rsidRPr="00461C16" w:rsidRDefault="00FF49C7" w:rsidP="00FF49C7">
      <w:pPr>
        <w:pStyle w:val="1odstavec"/>
        <w:rPr>
          <w:rStyle w:val="NvrhP-text"/>
        </w:rPr>
      </w:pPr>
      <w:r w:rsidRPr="00461C16">
        <w:rPr>
          <w:rStyle w:val="NvrhP-text"/>
        </w:rPr>
        <w:t xml:space="preserve">Definice koncepce rozvoje města v ÚP vychází z reálného stavu města, jeho pozice v sídelní struktuře kraje, vazeb na další území a rozvojových předpokladů kraje a města. </w:t>
      </w:r>
    </w:p>
    <w:p w14:paraId="79A91D32" w14:textId="77777777" w:rsidR="00FF49C7" w:rsidRPr="00461C16" w:rsidRDefault="00FF49C7" w:rsidP="00FF49C7">
      <w:pPr>
        <w:spacing w:before="120"/>
        <w:rPr>
          <w:rStyle w:val="NvrhP-text"/>
        </w:rPr>
      </w:pPr>
      <w:r w:rsidRPr="00461C16">
        <w:rPr>
          <w:rStyle w:val="NvrhP-text"/>
        </w:rPr>
        <w:t xml:space="preserve">Definice zásad dále zohledňuje: </w:t>
      </w:r>
    </w:p>
    <w:p w14:paraId="67D205A4" w14:textId="77777777" w:rsidR="00FF49C7" w:rsidRPr="00461C16" w:rsidRDefault="00FF49C7" w:rsidP="00FF49C7">
      <w:pPr>
        <w:pStyle w:val="5odrazka"/>
        <w:rPr>
          <w:rStyle w:val="NvrhP-text"/>
        </w:rPr>
      </w:pPr>
      <w:r w:rsidRPr="00461C16">
        <w:rPr>
          <w:rStyle w:val="NvrhP-text"/>
        </w:rPr>
        <w:t>požadavky zadání ÚP (viz kap. 3);</w:t>
      </w:r>
    </w:p>
    <w:p w14:paraId="7F2F55CB" w14:textId="77777777" w:rsidR="00FF49C7" w:rsidRPr="00461C16" w:rsidRDefault="00FF49C7" w:rsidP="00FF49C7">
      <w:pPr>
        <w:pStyle w:val="5odrazka"/>
        <w:rPr>
          <w:rStyle w:val="NvrhP-text"/>
        </w:rPr>
      </w:pPr>
      <w:r w:rsidRPr="00461C16">
        <w:rPr>
          <w:rStyle w:val="NvrhP-text"/>
        </w:rPr>
        <w:t>požadavky na udržitelný rozvoj území definované stavebním zákonem a souvisejícími předpisy;</w:t>
      </w:r>
    </w:p>
    <w:p w14:paraId="55FB3831" w14:textId="77777777" w:rsidR="00FF49C7" w:rsidRPr="00461C16" w:rsidRDefault="00FF49C7" w:rsidP="00FF49C7">
      <w:pPr>
        <w:pStyle w:val="5odrazka"/>
        <w:rPr>
          <w:rStyle w:val="NvrhP-text"/>
        </w:rPr>
      </w:pPr>
      <w:r w:rsidRPr="00461C16">
        <w:rPr>
          <w:rStyle w:val="NvrhP-text"/>
        </w:rPr>
        <w:t>priority územního plánování stanovené Politikou územního rozvoje ČR a ZÚR Libereckého kraje (viz kap. 1.1.1 a 1.2.1);</w:t>
      </w:r>
    </w:p>
    <w:p w14:paraId="21A79BED" w14:textId="77777777" w:rsidR="00FF49C7" w:rsidRPr="00461C16" w:rsidRDefault="00FF49C7" w:rsidP="00FF49C7">
      <w:pPr>
        <w:pStyle w:val="5odrazka"/>
        <w:rPr>
          <w:rStyle w:val="NvrhP-text"/>
        </w:rPr>
      </w:pPr>
      <w:r w:rsidRPr="00461C16">
        <w:rPr>
          <w:rStyle w:val="NvrhP-text"/>
        </w:rPr>
        <w:t>další požadavky definované ZÚR Libereckého</w:t>
      </w:r>
      <w:r w:rsidR="003B07D8">
        <w:rPr>
          <w:rStyle w:val="NvrhP-text"/>
        </w:rPr>
        <w:t xml:space="preserve"> kraje</w:t>
      </w:r>
      <w:r w:rsidRPr="00461C16">
        <w:rPr>
          <w:rStyle w:val="NvrhP-text"/>
        </w:rPr>
        <w:t xml:space="preserve"> (viz kap. 1.2);</w:t>
      </w:r>
    </w:p>
    <w:p w14:paraId="36158AB2" w14:textId="1458D2DA" w:rsidR="00FF49C7" w:rsidRPr="00461C16" w:rsidRDefault="00FF49C7" w:rsidP="00FF49C7">
      <w:pPr>
        <w:pStyle w:val="5odrazka"/>
        <w:rPr>
          <w:rStyle w:val="NvrhP-text"/>
        </w:rPr>
      </w:pPr>
      <w:r w:rsidRPr="00461C16">
        <w:rPr>
          <w:rStyle w:val="NvrhP-text"/>
        </w:rPr>
        <w:t>výsledky rozboru udržitelného rozvoje a vyhodnocení vztahu územních podmínek udržitelného rozvoje v ÚAP ORP Liberec (aktualizace 2016).</w:t>
      </w:r>
    </w:p>
    <w:p w14:paraId="73769FF5" w14:textId="77777777" w:rsidR="00FF49C7" w:rsidRPr="00461C16" w:rsidRDefault="00FF49C7" w:rsidP="003C0765">
      <w:pPr>
        <w:spacing w:before="240" w:line="240" w:lineRule="auto"/>
        <w:rPr>
          <w:b/>
          <w:i/>
        </w:rPr>
      </w:pPr>
      <w:r w:rsidRPr="00461C16">
        <w:rPr>
          <w:b/>
          <w:i/>
        </w:rPr>
        <w:t>III.</w:t>
      </w:r>
      <w:r w:rsidRPr="00461C16">
        <w:rPr>
          <w:b/>
          <w:i/>
        </w:rPr>
        <w:tab/>
        <w:t xml:space="preserve">Výsledky rozboru udržitelného rozvoje území a závěry ÚAP </w:t>
      </w:r>
    </w:p>
    <w:p w14:paraId="28E37D48" w14:textId="77777777" w:rsidR="00FF49C7" w:rsidRPr="00461C16" w:rsidRDefault="00FF49C7" w:rsidP="00FF49C7">
      <w:pPr>
        <w:pStyle w:val="1text"/>
      </w:pPr>
      <w:r w:rsidRPr="00461C16">
        <w:rPr>
          <w:lang w:eastAsia="cs-CZ"/>
        </w:rPr>
        <w:t xml:space="preserve">Základní koncepce ÚP reaguje na závěry vyhodnocení vyváženosti územních podmínek pro </w:t>
      </w:r>
      <w:r w:rsidRPr="00461C16">
        <w:t>příznivé životní prostředí, pro hospodářský rozvoj a pro soudržnost společenství obyvatel území města Hrádek nad Nisou, které jsou zapracovány i do zadání ÚP. Další podstatnou částí ÚAP, která se promítá do koncepce rozvoje obce a do celkového řešení ÚP je rozbor udržitelného rozvoje území, provedený formou SWOT analýzy.</w:t>
      </w:r>
      <w:r w:rsidR="00B345B4" w:rsidRPr="00461C16">
        <w:t xml:space="preserve"> </w:t>
      </w:r>
    </w:p>
    <w:p w14:paraId="3A49EFA0" w14:textId="77777777" w:rsidR="00FF49C7" w:rsidRPr="00461C16" w:rsidRDefault="00FF49C7" w:rsidP="00FF49C7">
      <w:pPr>
        <w:pStyle w:val="1text"/>
      </w:pPr>
      <w:r w:rsidRPr="00461C16">
        <w:t>Vedle požadavků na zapracování záměrů z nadřazených dokumentací jsou pro řešení ÚP důležité zejména tyto body rozboru udržitelného rozvoje území:</w:t>
      </w:r>
    </w:p>
    <w:p w14:paraId="417A9701" w14:textId="77777777" w:rsidR="00FF49C7" w:rsidRPr="00461C16" w:rsidRDefault="00FF49C7" w:rsidP="00A06EB9">
      <w:pPr>
        <w:numPr>
          <w:ilvl w:val="2"/>
          <w:numId w:val="75"/>
        </w:numPr>
        <w:spacing w:before="120" w:line="264" w:lineRule="auto"/>
        <w:ind w:left="709" w:hanging="709"/>
      </w:pPr>
      <w:r w:rsidRPr="00461C16">
        <w:t>poloha města na hranici s Německem a Polskem;</w:t>
      </w:r>
    </w:p>
    <w:p w14:paraId="16FFDEF4" w14:textId="77777777" w:rsidR="00FF49C7" w:rsidRPr="00461C16" w:rsidRDefault="00FF49C7" w:rsidP="00A06EB9">
      <w:pPr>
        <w:numPr>
          <w:ilvl w:val="2"/>
          <w:numId w:val="75"/>
        </w:numPr>
        <w:spacing w:before="60" w:line="264" w:lineRule="auto"/>
        <w:ind w:left="709" w:hanging="709"/>
      </w:pPr>
      <w:r w:rsidRPr="00461C16">
        <w:t>blízkost krajského města Liberec;</w:t>
      </w:r>
    </w:p>
    <w:p w14:paraId="7118E518" w14:textId="77777777" w:rsidR="00FF49C7" w:rsidRPr="00461C16" w:rsidRDefault="00FF49C7" w:rsidP="00A06EB9">
      <w:pPr>
        <w:numPr>
          <w:ilvl w:val="2"/>
          <w:numId w:val="75"/>
        </w:numPr>
        <w:spacing w:before="60" w:line="264" w:lineRule="auto"/>
        <w:ind w:left="709" w:hanging="709"/>
      </w:pPr>
      <w:r w:rsidRPr="00461C16">
        <w:t>vynikající dopravní dostupnost, napojení na silnici I. třídy, železniční trať, pěší a cyklistické trasy;</w:t>
      </w:r>
    </w:p>
    <w:p w14:paraId="6319BB3C" w14:textId="77777777" w:rsidR="00FF49C7" w:rsidRPr="00461C16" w:rsidRDefault="00FF49C7" w:rsidP="00A06EB9">
      <w:pPr>
        <w:numPr>
          <w:ilvl w:val="2"/>
          <w:numId w:val="75"/>
        </w:numPr>
        <w:spacing w:before="60" w:line="264" w:lineRule="auto"/>
        <w:ind w:left="709" w:hanging="709"/>
      </w:pPr>
      <w:r w:rsidRPr="00461C16">
        <w:t>snížená kvalita železniční dopravy - jednokolejná a neelektrifikovaná trať;</w:t>
      </w:r>
    </w:p>
    <w:p w14:paraId="6D30CDD4" w14:textId="77777777" w:rsidR="00FF49C7" w:rsidRPr="00461C16" w:rsidRDefault="00FF49C7" w:rsidP="00A06EB9">
      <w:pPr>
        <w:keepNext/>
        <w:numPr>
          <w:ilvl w:val="2"/>
          <w:numId w:val="75"/>
        </w:numPr>
        <w:spacing w:before="60" w:line="264" w:lineRule="auto"/>
        <w:ind w:left="709" w:hanging="709"/>
        <w:rPr>
          <w:bCs/>
          <w:i/>
          <w:color w:val="333333"/>
        </w:rPr>
      </w:pPr>
      <w:r w:rsidRPr="00461C16">
        <w:t>kvalitní infrastruktura pro pěší a cyklistickou dopravu - množství turistických a cykloturistických tras procházejících územím města;</w:t>
      </w:r>
    </w:p>
    <w:p w14:paraId="0455207A" w14:textId="77777777" w:rsidR="00FF49C7" w:rsidRPr="00461C16" w:rsidRDefault="00FF49C7" w:rsidP="00A06EB9">
      <w:pPr>
        <w:numPr>
          <w:ilvl w:val="2"/>
          <w:numId w:val="75"/>
        </w:numPr>
        <w:spacing w:before="60" w:line="264" w:lineRule="auto"/>
        <w:ind w:left="709" w:hanging="709"/>
      </w:pPr>
      <w:r w:rsidRPr="00461C16">
        <w:t>fragmentovaná vnitřní urbanistická struktura;</w:t>
      </w:r>
    </w:p>
    <w:p w14:paraId="50CB8F82" w14:textId="77777777" w:rsidR="00FF49C7" w:rsidRPr="00461C16" w:rsidRDefault="00FF49C7" w:rsidP="00A06EB9">
      <w:pPr>
        <w:numPr>
          <w:ilvl w:val="2"/>
          <w:numId w:val="75"/>
        </w:numPr>
        <w:spacing w:before="60" w:line="264" w:lineRule="auto"/>
        <w:ind w:left="709" w:hanging="709"/>
      </w:pPr>
      <w:r w:rsidRPr="00461C16">
        <w:t>hodnotné památky v centru města;</w:t>
      </w:r>
    </w:p>
    <w:p w14:paraId="2C4D47FE" w14:textId="77777777" w:rsidR="00FF49C7" w:rsidRPr="00461C16" w:rsidRDefault="00FF49C7" w:rsidP="00A06EB9">
      <w:pPr>
        <w:numPr>
          <w:ilvl w:val="2"/>
          <w:numId w:val="75"/>
        </w:numPr>
        <w:spacing w:before="60" w:line="264" w:lineRule="auto"/>
        <w:ind w:left="709" w:hanging="709"/>
      </w:pPr>
      <w:r w:rsidRPr="00461C16">
        <w:t>degradace historického panoramatu města panelovou sídlištní zástavbou a halovými výrobními objekty;</w:t>
      </w:r>
    </w:p>
    <w:p w14:paraId="2BCFA5FA" w14:textId="77777777" w:rsidR="00FF49C7" w:rsidRPr="00461C16" w:rsidRDefault="00FF49C7" w:rsidP="00A06EB9">
      <w:pPr>
        <w:numPr>
          <w:ilvl w:val="2"/>
          <w:numId w:val="75"/>
        </w:numPr>
        <w:spacing w:before="60" w:line="264" w:lineRule="auto"/>
        <w:ind w:left="709" w:hanging="709"/>
      </w:pPr>
      <w:r w:rsidRPr="00461C16">
        <w:t>tradice průmyslové výroby;</w:t>
      </w:r>
    </w:p>
    <w:p w14:paraId="581F4554" w14:textId="77777777" w:rsidR="00FF49C7" w:rsidRPr="00461C16" w:rsidRDefault="00FF49C7" w:rsidP="00A06EB9">
      <w:pPr>
        <w:numPr>
          <w:ilvl w:val="2"/>
          <w:numId w:val="75"/>
        </w:numPr>
        <w:spacing w:before="60" w:line="264" w:lineRule="auto"/>
        <w:ind w:left="709" w:hanging="709"/>
      </w:pPr>
      <w:r w:rsidRPr="00461C16">
        <w:t>vyhovující rozsah občanského vybavení;</w:t>
      </w:r>
    </w:p>
    <w:p w14:paraId="42B39BBB" w14:textId="2E9DA7C6" w:rsidR="00FF49C7" w:rsidRPr="00461C16" w:rsidRDefault="00FF49C7" w:rsidP="00A06EB9">
      <w:pPr>
        <w:numPr>
          <w:ilvl w:val="2"/>
          <w:numId w:val="75"/>
        </w:numPr>
        <w:spacing w:before="60" w:line="264" w:lineRule="auto"/>
        <w:ind w:left="709" w:hanging="709"/>
      </w:pPr>
      <w:r w:rsidRPr="00461C16">
        <w:t>dostupnost sítí technické infrastruktury</w:t>
      </w:r>
      <w:r w:rsidR="000E7DF1">
        <w:t>;</w:t>
      </w:r>
    </w:p>
    <w:p w14:paraId="7F6A2434" w14:textId="77777777" w:rsidR="00FF49C7" w:rsidRPr="00461C16" w:rsidRDefault="00FF49C7" w:rsidP="00A06EB9">
      <w:pPr>
        <w:numPr>
          <w:ilvl w:val="2"/>
          <w:numId w:val="75"/>
        </w:numPr>
        <w:spacing w:before="60" w:line="264" w:lineRule="auto"/>
        <w:ind w:left="709" w:hanging="709"/>
      </w:pPr>
      <w:r w:rsidRPr="00461C16">
        <w:t>vedení tranzitní dopravy mimo zastavěné území města – vybudován obchvat;</w:t>
      </w:r>
    </w:p>
    <w:p w14:paraId="25FBE5D7" w14:textId="77777777" w:rsidR="00FF49C7" w:rsidRPr="00461C16" w:rsidRDefault="00FF49C7" w:rsidP="00A06EB9">
      <w:pPr>
        <w:numPr>
          <w:ilvl w:val="2"/>
          <w:numId w:val="75"/>
        </w:numPr>
        <w:spacing w:before="60" w:line="264" w:lineRule="auto"/>
        <w:ind w:left="709" w:hanging="709"/>
      </w:pPr>
      <w:r w:rsidRPr="00461C16">
        <w:t>hodnotné krajinné zázemí s rekreačním potenciálem – Kristýna, CHKO Lužické hory;</w:t>
      </w:r>
    </w:p>
    <w:p w14:paraId="4BAD21D3" w14:textId="713A21B5" w:rsidR="00FF49C7" w:rsidRPr="00461C16" w:rsidRDefault="00FF49C7" w:rsidP="00A06EB9">
      <w:pPr>
        <w:numPr>
          <w:ilvl w:val="2"/>
          <w:numId w:val="75"/>
        </w:numPr>
        <w:spacing w:before="60" w:line="264" w:lineRule="auto"/>
        <w:ind w:left="709" w:hanging="709"/>
      </w:pPr>
      <w:r w:rsidRPr="00461C16">
        <w:t>geologické bohatství a využívání přírodních zdrojů – pískovna Václavice</w:t>
      </w:r>
      <w:r w:rsidR="000E7DF1">
        <w:t>;</w:t>
      </w:r>
    </w:p>
    <w:p w14:paraId="4BF788BF" w14:textId="77777777" w:rsidR="00FF49C7" w:rsidRPr="00461C16" w:rsidRDefault="00FF49C7" w:rsidP="00A06EB9">
      <w:pPr>
        <w:numPr>
          <w:ilvl w:val="2"/>
          <w:numId w:val="75"/>
        </w:numPr>
        <w:spacing w:before="60" w:line="264" w:lineRule="auto"/>
        <w:ind w:left="709" w:hanging="709"/>
      </w:pPr>
      <w:r w:rsidRPr="00461C16">
        <w:t>intenzivní zájem o bytovou výstavbu;</w:t>
      </w:r>
    </w:p>
    <w:p w14:paraId="7245F335" w14:textId="77777777" w:rsidR="00FF49C7" w:rsidRPr="00461C16" w:rsidRDefault="00FF49C7" w:rsidP="00A06EB9">
      <w:pPr>
        <w:numPr>
          <w:ilvl w:val="2"/>
          <w:numId w:val="75"/>
        </w:numPr>
        <w:spacing w:before="60" w:line="264" w:lineRule="auto"/>
        <w:ind w:left="709" w:hanging="709"/>
      </w:pPr>
      <w:r w:rsidRPr="00461C16">
        <w:t>stagnace počtu obyvatel a nižší vzdělanostní struktura;</w:t>
      </w:r>
    </w:p>
    <w:p w14:paraId="009020B5" w14:textId="77777777" w:rsidR="00FF49C7" w:rsidRPr="00461C16" w:rsidRDefault="00FF49C7" w:rsidP="00A06EB9">
      <w:pPr>
        <w:numPr>
          <w:ilvl w:val="2"/>
          <w:numId w:val="75"/>
        </w:numPr>
        <w:spacing w:before="60" w:line="264" w:lineRule="auto"/>
        <w:ind w:left="709" w:hanging="709"/>
      </w:pPr>
      <w:r w:rsidRPr="00461C16">
        <w:t xml:space="preserve">omezené nabídky pracovních míst; </w:t>
      </w:r>
    </w:p>
    <w:p w14:paraId="34437B53" w14:textId="77777777" w:rsidR="00FF49C7" w:rsidRPr="00461C16" w:rsidRDefault="00FF49C7" w:rsidP="00A06EB9">
      <w:pPr>
        <w:numPr>
          <w:ilvl w:val="2"/>
          <w:numId w:val="75"/>
        </w:numPr>
        <w:spacing w:before="60" w:line="264" w:lineRule="auto"/>
        <w:ind w:left="709" w:hanging="709"/>
      </w:pPr>
      <w:r w:rsidRPr="00461C16">
        <w:t>ekologické zátěže a kontaminace území;</w:t>
      </w:r>
    </w:p>
    <w:p w14:paraId="1BDEE224" w14:textId="77777777" w:rsidR="00FF49C7" w:rsidRPr="00461C16" w:rsidRDefault="00FF49C7" w:rsidP="00A06EB9">
      <w:pPr>
        <w:numPr>
          <w:ilvl w:val="2"/>
          <w:numId w:val="75"/>
        </w:numPr>
        <w:spacing w:before="60" w:line="264" w:lineRule="auto"/>
        <w:ind w:left="709" w:hanging="709"/>
      </w:pPr>
      <w:r w:rsidRPr="00461C16">
        <w:t>vysoký počet brownfields (původní výrobní areály);</w:t>
      </w:r>
    </w:p>
    <w:p w14:paraId="50964CE4" w14:textId="77777777" w:rsidR="00FF49C7" w:rsidRPr="00461C16" w:rsidRDefault="00FF49C7" w:rsidP="00A06EB9">
      <w:pPr>
        <w:numPr>
          <w:ilvl w:val="2"/>
          <w:numId w:val="75"/>
        </w:numPr>
        <w:spacing w:before="60" w:line="264" w:lineRule="auto"/>
        <w:ind w:left="709" w:hanging="709"/>
      </w:pPr>
      <w:r w:rsidRPr="00461C16">
        <w:t>zátěž ovzduší emisemi z dopravy;</w:t>
      </w:r>
    </w:p>
    <w:p w14:paraId="3110A5CD" w14:textId="77777777" w:rsidR="00FF49C7" w:rsidRPr="00461C16" w:rsidRDefault="00FF49C7" w:rsidP="00A06EB9">
      <w:pPr>
        <w:numPr>
          <w:ilvl w:val="2"/>
          <w:numId w:val="75"/>
        </w:numPr>
        <w:spacing w:before="60" w:line="264" w:lineRule="auto"/>
        <w:ind w:left="709" w:hanging="709"/>
      </w:pPr>
      <w:r w:rsidRPr="00461C16">
        <w:t>průjezd dopravní obsluhy výrobních areálů obytným územím města;</w:t>
      </w:r>
    </w:p>
    <w:p w14:paraId="66B578E5" w14:textId="77777777" w:rsidR="00FF49C7" w:rsidRPr="00461C16" w:rsidRDefault="00FF49C7" w:rsidP="00A06EB9">
      <w:pPr>
        <w:numPr>
          <w:ilvl w:val="2"/>
          <w:numId w:val="75"/>
        </w:numPr>
        <w:spacing w:before="60" w:line="264" w:lineRule="auto"/>
        <w:ind w:left="709" w:hanging="709"/>
      </w:pPr>
      <w:r w:rsidRPr="00461C16">
        <w:lastRenderedPageBreak/>
        <w:t>omezení rozvoje rozsáhlým záplavovým územím a aktivní zónou záplavového území;</w:t>
      </w:r>
    </w:p>
    <w:p w14:paraId="5AEBD7B6" w14:textId="77777777" w:rsidR="00FF49C7" w:rsidRPr="00461C16" w:rsidRDefault="00FF49C7" w:rsidP="00A06EB9">
      <w:pPr>
        <w:numPr>
          <w:ilvl w:val="2"/>
          <w:numId w:val="75"/>
        </w:numPr>
        <w:spacing w:before="60" w:line="264" w:lineRule="auto"/>
        <w:ind w:left="709" w:hanging="709"/>
      </w:pPr>
      <w:r w:rsidRPr="00461C16">
        <w:t>narušení krajinného rázu výstavbou větrných a fotovoltaických elektráren.</w:t>
      </w:r>
    </w:p>
    <w:p w14:paraId="24BF37E3" w14:textId="77777777" w:rsidR="00FF49C7" w:rsidRPr="00461C16" w:rsidRDefault="00FF49C7" w:rsidP="00FF49C7">
      <w:pPr>
        <w:pStyle w:val="1text"/>
        <w:spacing w:before="240"/>
        <w:rPr>
          <w:lang w:eastAsia="cs-CZ"/>
        </w:rPr>
      </w:pPr>
      <w:r w:rsidRPr="00461C16">
        <w:rPr>
          <w:lang w:eastAsia="cs-CZ"/>
        </w:rPr>
        <w:t xml:space="preserve">Koncepce se dále opírá o tyto závěry rozboru udržitelného rozvoje: </w:t>
      </w:r>
    </w:p>
    <w:p w14:paraId="56CFBFFA" w14:textId="77777777" w:rsidR="00FF49C7" w:rsidRPr="00461C16" w:rsidRDefault="00FF49C7" w:rsidP="00FF49C7">
      <w:pPr>
        <w:pStyle w:val="1text"/>
        <w:numPr>
          <w:ilvl w:val="0"/>
          <w:numId w:val="18"/>
        </w:numPr>
        <w:ind w:hanging="720"/>
        <w:rPr>
          <w:lang w:eastAsia="cs-CZ"/>
        </w:rPr>
      </w:pPr>
      <w:r w:rsidRPr="00461C16">
        <w:rPr>
          <w:lang w:eastAsia="cs-CZ"/>
        </w:rPr>
        <w:t xml:space="preserve">Vlivy na eliminaci nebo snížení hrozeb </w:t>
      </w:r>
      <w:r w:rsidRPr="00461C16">
        <w:rPr>
          <w:rFonts w:cs="Cambria"/>
          <w:lang w:eastAsia="cs-CZ"/>
        </w:rPr>
        <w:t>ř</w:t>
      </w:r>
      <w:r w:rsidRPr="00461C16">
        <w:rPr>
          <w:lang w:eastAsia="cs-CZ"/>
        </w:rPr>
        <w:t>ešeného území - při nerealizování rozvojové koncepce ÚP jsou následující hrozby:</w:t>
      </w:r>
    </w:p>
    <w:p w14:paraId="7B04C2B7" w14:textId="77777777" w:rsidR="00FF49C7" w:rsidRPr="00461C16" w:rsidRDefault="00FF49C7" w:rsidP="00A06EB9">
      <w:pPr>
        <w:numPr>
          <w:ilvl w:val="2"/>
          <w:numId w:val="76"/>
        </w:numPr>
        <w:spacing w:before="120" w:line="264" w:lineRule="auto"/>
        <w:ind w:left="1134" w:hanging="425"/>
      </w:pPr>
      <w:r w:rsidRPr="00461C16">
        <w:t>rozpínání zástavby do volné krajiny a srůstání samostatných sídel;</w:t>
      </w:r>
    </w:p>
    <w:p w14:paraId="00AEF213" w14:textId="77777777" w:rsidR="00FF49C7" w:rsidRPr="00461C16" w:rsidRDefault="00FF49C7" w:rsidP="00A06EB9">
      <w:pPr>
        <w:numPr>
          <w:ilvl w:val="2"/>
          <w:numId w:val="76"/>
        </w:numPr>
        <w:spacing w:before="60" w:line="264" w:lineRule="auto"/>
        <w:ind w:left="1134" w:hanging="425"/>
      </w:pPr>
      <w:r w:rsidRPr="00461C16">
        <w:t>ztráta charakteru jednotlivých sídel a jejich urbanistické hodnoty v důsledku neregulované expanze výroby;</w:t>
      </w:r>
    </w:p>
    <w:p w14:paraId="528985AA" w14:textId="77777777" w:rsidR="00FF49C7" w:rsidRPr="00461C16" w:rsidRDefault="00FF49C7" w:rsidP="00A06EB9">
      <w:pPr>
        <w:numPr>
          <w:ilvl w:val="2"/>
          <w:numId w:val="76"/>
        </w:numPr>
        <w:spacing w:before="60" w:line="264" w:lineRule="auto"/>
        <w:ind w:left="1134" w:hanging="425"/>
      </w:pPr>
      <w:r w:rsidRPr="00461C16">
        <w:t>poškozování krajinného zázemí sídel, nevratný zásah do nejhodnotnější</w:t>
      </w:r>
      <w:r w:rsidR="000E7DF1">
        <w:t>ch</w:t>
      </w:r>
      <w:r w:rsidRPr="00461C16">
        <w:t xml:space="preserve"> půd I. a II. třídy ochrany, lesních pozemků a CHKO Lužické hory;</w:t>
      </w:r>
    </w:p>
    <w:p w14:paraId="00D99E88" w14:textId="77777777" w:rsidR="00FF49C7" w:rsidRPr="00461C16" w:rsidRDefault="00FF49C7" w:rsidP="00A06EB9">
      <w:pPr>
        <w:numPr>
          <w:ilvl w:val="2"/>
          <w:numId w:val="76"/>
        </w:numPr>
        <w:spacing w:before="60" w:line="264" w:lineRule="auto"/>
        <w:ind w:left="1134" w:hanging="425"/>
      </w:pPr>
      <w:r w:rsidRPr="00461C16">
        <w:t>nedostatečná péče o krajinu a snižování její ekologické stability.</w:t>
      </w:r>
    </w:p>
    <w:p w14:paraId="37A38932" w14:textId="77777777" w:rsidR="00FF49C7" w:rsidRPr="00461C16" w:rsidRDefault="00FF49C7" w:rsidP="00FF49C7">
      <w:pPr>
        <w:pStyle w:val="3pismeno"/>
        <w:numPr>
          <w:ilvl w:val="0"/>
          <w:numId w:val="18"/>
        </w:numPr>
        <w:autoSpaceDE w:val="0"/>
        <w:autoSpaceDN w:val="0"/>
        <w:adjustRightInd w:val="0"/>
        <w:spacing w:before="120"/>
        <w:ind w:hanging="720"/>
        <w:jc w:val="left"/>
        <w:rPr>
          <w:lang w:eastAsia="cs-CZ"/>
        </w:rPr>
      </w:pPr>
      <w:r w:rsidRPr="00461C16">
        <w:rPr>
          <w:lang w:eastAsia="cs-CZ"/>
        </w:rPr>
        <w:t>Vlivy na využití silných stránek a p</w:t>
      </w:r>
      <w:r w:rsidRPr="00461C16">
        <w:rPr>
          <w:rFonts w:cs="Cambria"/>
          <w:lang w:eastAsia="cs-CZ"/>
        </w:rPr>
        <w:t>ř</w:t>
      </w:r>
      <w:r w:rsidRPr="00461C16">
        <w:rPr>
          <w:lang w:eastAsia="cs-CZ"/>
        </w:rPr>
        <w:t xml:space="preserve">íležitostí </w:t>
      </w:r>
      <w:r w:rsidRPr="00461C16">
        <w:rPr>
          <w:rFonts w:cs="Cambria"/>
          <w:lang w:eastAsia="cs-CZ"/>
        </w:rPr>
        <w:t>ř</w:t>
      </w:r>
      <w:r w:rsidRPr="00461C16">
        <w:rPr>
          <w:lang w:eastAsia="cs-CZ"/>
        </w:rPr>
        <w:t>ešeného území - uskutečnění navrhovaných aktivit ve využití území umožňuje:</w:t>
      </w:r>
    </w:p>
    <w:p w14:paraId="17D30913" w14:textId="77777777" w:rsidR="00FF49C7" w:rsidRPr="00461C16" w:rsidRDefault="00FF49C7" w:rsidP="00A06EB9">
      <w:pPr>
        <w:numPr>
          <w:ilvl w:val="2"/>
          <w:numId w:val="77"/>
        </w:numPr>
        <w:spacing w:before="120" w:line="264" w:lineRule="auto"/>
        <w:ind w:left="1134" w:hanging="425"/>
      </w:pPr>
      <w:r w:rsidRPr="00461C16">
        <w:t>kooperace se sousedními státy;</w:t>
      </w:r>
    </w:p>
    <w:p w14:paraId="160FEEE7" w14:textId="77777777" w:rsidR="00FF49C7" w:rsidRPr="00461C16" w:rsidRDefault="00FF49C7" w:rsidP="00A06EB9">
      <w:pPr>
        <w:numPr>
          <w:ilvl w:val="2"/>
          <w:numId w:val="77"/>
        </w:numPr>
        <w:spacing w:before="60" w:line="264" w:lineRule="auto"/>
        <w:ind w:left="1134" w:hanging="425"/>
      </w:pPr>
      <w:r w:rsidRPr="00461C16">
        <w:t xml:space="preserve">vybudování protipovodňových opatření na Lužické Nise a dotvoření zástavby centra města </w:t>
      </w:r>
    </w:p>
    <w:p w14:paraId="7C4CD4F4" w14:textId="77777777" w:rsidR="00FF49C7" w:rsidRPr="00461C16" w:rsidRDefault="00FF49C7" w:rsidP="00A06EB9">
      <w:pPr>
        <w:numPr>
          <w:ilvl w:val="2"/>
          <w:numId w:val="77"/>
        </w:numPr>
        <w:spacing w:before="60" w:line="264" w:lineRule="auto"/>
        <w:ind w:left="1134" w:hanging="425"/>
      </w:pPr>
      <w:r w:rsidRPr="00461C16">
        <w:t>využití průmyslového dědictví jako atraktivitu pro cestovní ruch;</w:t>
      </w:r>
    </w:p>
    <w:p w14:paraId="2A9287F5" w14:textId="77777777" w:rsidR="00FF49C7" w:rsidRPr="00461C16" w:rsidRDefault="00FF49C7" w:rsidP="00A06EB9">
      <w:pPr>
        <w:numPr>
          <w:ilvl w:val="2"/>
          <w:numId w:val="77"/>
        </w:numPr>
        <w:spacing w:before="60" w:line="264" w:lineRule="auto"/>
        <w:ind w:left="1134" w:hanging="425"/>
      </w:pPr>
      <w:r w:rsidRPr="00461C16">
        <w:t>další rozvoj rekreačního areálu Kristýna jako zařízení nadmístního významu;</w:t>
      </w:r>
    </w:p>
    <w:p w14:paraId="52768A75" w14:textId="77777777" w:rsidR="00FF49C7" w:rsidRPr="00461C16" w:rsidRDefault="00FF49C7" w:rsidP="00A06EB9">
      <w:pPr>
        <w:numPr>
          <w:ilvl w:val="2"/>
          <w:numId w:val="77"/>
        </w:numPr>
        <w:spacing w:before="60" w:line="264" w:lineRule="auto"/>
        <w:ind w:left="1134" w:hanging="425"/>
      </w:pPr>
      <w:r w:rsidRPr="00461C16">
        <w:t>vytvoření nových pracovních příležitostí v kvartérním sektoru – věda, výzkum;</w:t>
      </w:r>
    </w:p>
    <w:p w14:paraId="28AA9D25" w14:textId="77777777" w:rsidR="00FF49C7" w:rsidRPr="00461C16" w:rsidRDefault="00FF49C7" w:rsidP="00A06EB9">
      <w:pPr>
        <w:numPr>
          <w:ilvl w:val="2"/>
          <w:numId w:val="77"/>
        </w:numPr>
        <w:spacing w:before="60" w:line="264" w:lineRule="auto"/>
        <w:ind w:left="1134" w:hanging="425"/>
      </w:pPr>
      <w:r w:rsidRPr="00461C16">
        <w:t>vybudování oddílné kanalizace v Oldřichově na Hranicích a Václavicích a napojení sídel na ČOV;</w:t>
      </w:r>
    </w:p>
    <w:p w14:paraId="345B6AD6" w14:textId="77777777" w:rsidR="00FF49C7" w:rsidRPr="00461C16" w:rsidRDefault="00FF49C7" w:rsidP="00A06EB9">
      <w:pPr>
        <w:numPr>
          <w:ilvl w:val="2"/>
          <w:numId w:val="77"/>
        </w:numPr>
        <w:spacing w:before="60" w:line="264" w:lineRule="auto"/>
        <w:ind w:left="1134" w:hanging="425"/>
      </w:pPr>
      <w:r w:rsidRPr="00461C16">
        <w:t>napojení na centrální zásobování teplem.</w:t>
      </w:r>
    </w:p>
    <w:p w14:paraId="321E57C7" w14:textId="77777777" w:rsidR="00FF49C7" w:rsidRPr="00461C16" w:rsidRDefault="00FF49C7" w:rsidP="00753F4E">
      <w:pPr>
        <w:pStyle w:val="4podnadpis"/>
      </w:pPr>
      <w:r w:rsidRPr="00461C16">
        <w:t>Návrh řešení a jeho odůvodnění</w:t>
      </w:r>
    </w:p>
    <w:p w14:paraId="511A446F" w14:textId="77777777" w:rsidR="00FF49C7" w:rsidRPr="00461C16" w:rsidRDefault="00FF49C7" w:rsidP="00753F4E">
      <w:pPr>
        <w:pStyle w:val="4podnadpis"/>
      </w:pPr>
      <w:r w:rsidRPr="00461C16">
        <w:t>I.</w:t>
      </w:r>
      <w:r w:rsidRPr="00461C16">
        <w:tab/>
        <w:t xml:space="preserve">Stabilizace a rozvoj sídelní struktury </w:t>
      </w:r>
    </w:p>
    <w:p w14:paraId="77C039AD" w14:textId="77777777" w:rsidR="00FF49C7" w:rsidRPr="00461C16" w:rsidRDefault="00FF49C7" w:rsidP="00FF49C7">
      <w:pPr>
        <w:pStyle w:val="1text"/>
        <w:rPr>
          <w:lang w:eastAsia="cs-CZ"/>
        </w:rPr>
      </w:pPr>
      <w:r w:rsidRPr="00461C16">
        <w:rPr>
          <w:lang w:eastAsia="cs-CZ"/>
        </w:rPr>
        <w:t xml:space="preserve">Na základě analýzy stavu města a jeho vazeb a na základě požadavků dokumentů uvedených v bodě II. této kapitoly jsou stanoveny základní zásady </w:t>
      </w:r>
      <w:r w:rsidRPr="00461C16">
        <w:t>rozvoje</w:t>
      </w:r>
      <w:r w:rsidRPr="00461C16">
        <w:rPr>
          <w:lang w:eastAsia="cs-CZ"/>
        </w:rPr>
        <w:t xml:space="preserve"> obce, jež musí být respektovány při rozhodování o změnách v území. </w:t>
      </w:r>
    </w:p>
    <w:p w14:paraId="24719C82" w14:textId="77777777" w:rsidR="00FF49C7" w:rsidRPr="00461C16" w:rsidRDefault="00FF49C7" w:rsidP="00FF49C7">
      <w:pPr>
        <w:spacing w:before="120"/>
        <w:rPr>
          <w:rStyle w:val="NvrhP-text"/>
        </w:rPr>
      </w:pPr>
      <w:r w:rsidRPr="00461C16">
        <w:rPr>
          <w:rStyle w:val="NvrhP-text"/>
        </w:rPr>
        <w:t xml:space="preserve">Město je rozvíjeno jako svébytné sídlo a atraktivním prostředím pro bydlení, rekreaci a podnikání. V okrajových polohách je podpořena především rezidenční funkce s dominantní obytnou a rekreační funkcí, při zachování kvalitního krajinného zázemí, ostatní funkce jsou doplňkové. Realizací navržené rozvojové koncepce dojde k celkovému posílení města v širší struktuře osídlení a ke zvýšení jeho ekonomické stability. </w:t>
      </w:r>
    </w:p>
    <w:p w14:paraId="358DE80A" w14:textId="77777777" w:rsidR="00FF49C7" w:rsidRPr="00461C16" w:rsidRDefault="00FF49C7" w:rsidP="00FF49C7">
      <w:pPr>
        <w:spacing w:before="120"/>
        <w:rPr>
          <w:rStyle w:val="NvrhP-text"/>
        </w:rPr>
      </w:pPr>
      <w:r w:rsidRPr="00461C16">
        <w:rPr>
          <w:rStyle w:val="NvrhP-text"/>
        </w:rPr>
        <w:t>Koncepce rozvoje města je založena na intenzifikaci využití zastavěného území a doplňování proluk. Expanze do volné krajiny je dovolena zejména plochám pro průmysl ve vazbě na městský obchvat a plochám pro rekreaci v okolí rekreační zóny Kristýna. Ostatní zastavitelné plochy jsou určeny zpravidla pro bydlení a lokálně navazují na stávající urbanistickou strukturu. Pronikání zástavby do krajiny je v návrhu ÚP řešeno racionálně, s postupem od hranice zastavěného území a se zajištěním ochrany všech hodnot území.</w:t>
      </w:r>
    </w:p>
    <w:p w14:paraId="200BA60B" w14:textId="77777777" w:rsidR="00FF49C7" w:rsidRPr="00461C16" w:rsidRDefault="00FF49C7" w:rsidP="00FF49C7">
      <w:pPr>
        <w:spacing w:before="120"/>
        <w:rPr>
          <w:rStyle w:val="NvrhP-text"/>
        </w:rPr>
      </w:pPr>
      <w:r w:rsidRPr="00461C16">
        <w:rPr>
          <w:rStyle w:val="NvrhP-text"/>
        </w:rPr>
        <w:t>Rozvoj je navržen ve všech částech města, proporcionálně k jejich velikosti, významu a potřebám. Plochy změn jsou soustředěny zejména podél páteřních komunikací – urbanistických os zástavby, s cílem potvrzení jejich kompozičního významu. V zájmu zvýšené flexibility zastavěného a zastavitelného území jsou plochy vymezeny z většiny jako smíšené, které umožní integrovat více způsobů využití území, v souladu s podmínkami využití ploch. Nejintenzivnější rozvoj je soustředěn do částí Hrádek nad Nisou, Loučná a Donín, funkčně nejkomplexnějších sídel s nejsilnějším rozvojovým potenciálem. Navržený rozvoj zde zahrnuje především bydlení, ale zároveň i podporu výrobních aktivit, rekreace a dalších zařízení občanského vybavení. Pro zvýšení účelnosti využívání vnitřní části města je zásadní realizace protipovodňových opatření na toku Lužické Nisy, která umožní dostavbu a zkompaktnění zástavby v centru Hrádku nad Nisou a zároveň i zatraktivnění nábřežního prostoru.</w:t>
      </w:r>
    </w:p>
    <w:p w14:paraId="79EDC8BD" w14:textId="77777777" w:rsidR="00FF49C7" w:rsidRPr="00461C16" w:rsidRDefault="00FF49C7" w:rsidP="00FF49C7">
      <w:pPr>
        <w:spacing w:before="120"/>
        <w:rPr>
          <w:rStyle w:val="NvrhP-text"/>
        </w:rPr>
      </w:pPr>
      <w:r w:rsidRPr="00461C16">
        <w:rPr>
          <w:rStyle w:val="NvrhP-text"/>
        </w:rPr>
        <w:lastRenderedPageBreak/>
        <w:t>Plošně nejzásadnější záměry s nejvýraznějším dopadem na krajinné prostředí jsou vázány na výrobu a skladování, v druhé řadě pak na rekreační využívání území. Je navržen rozvoj stávající průmyslové zóny a doplnění další průmyslové zástavby podél obchvatu města na silnici I/35, tedy optimální poloze pro rozvoj tohoto typu aktivit. Silnice I/35 zajišťuje vynikající dopravní dostupnost (Praha – Liberec – Polsko / Německo) a zároveň zajišťuje vyloučení zátěže přes obytné území města. Na severním okraji města se nachází rekreační areál Kristýna, současná intenzita jeho využití a zájem i ze strany zahraničních návštěvníků potvrzují vysokou atraktivitu zařízení a jeho krajinného zázemí. Je navržen další rozvoj rekreačního areálu, který přispěje ke zkvalitnění infrastruktury rekreace a cestovního ruchu na území celého města.</w:t>
      </w:r>
      <w:r w:rsidR="00B345B4" w:rsidRPr="00461C16">
        <w:rPr>
          <w:rStyle w:val="NvrhP-text"/>
        </w:rPr>
        <w:t xml:space="preserve"> </w:t>
      </w:r>
    </w:p>
    <w:p w14:paraId="323AE536" w14:textId="77777777" w:rsidR="00FF49C7" w:rsidRPr="00461C16" w:rsidRDefault="00FF49C7" w:rsidP="00FF49C7">
      <w:pPr>
        <w:spacing w:before="120"/>
        <w:rPr>
          <w:rStyle w:val="NvrhP-text"/>
        </w:rPr>
      </w:pPr>
      <w:r w:rsidRPr="00461C16">
        <w:rPr>
          <w:rStyle w:val="NvrhP-text"/>
        </w:rPr>
        <w:t xml:space="preserve">Kvalita podmínek pro život obyvatel je závislá na zajištění adekvátní dostupnosti a prostupnosti území. Za tímto účelem jsou stabilizována veškerá veřejná prostranství v jednotlivých částech města i ve volné krajině. Pro zachování či zlepšení optimálních dopravních vazeb je nezbytné zajištění prostupnosti území v nově vznikajících rozvojových plochách a zároveň zkvalitnění parametrů dopravního napojení celých hůře dostupných částí města. </w:t>
      </w:r>
    </w:p>
    <w:p w14:paraId="1878077C" w14:textId="77777777" w:rsidR="00FF49C7" w:rsidRPr="00461C16" w:rsidRDefault="00FF49C7" w:rsidP="00FF49C7">
      <w:pPr>
        <w:spacing w:before="120"/>
        <w:rPr>
          <w:rStyle w:val="NvrhP-text"/>
        </w:rPr>
      </w:pPr>
      <w:r w:rsidRPr="00461C16">
        <w:rPr>
          <w:lang w:eastAsia="cs-CZ"/>
        </w:rPr>
        <w:t>Mimo zastavěná území částí města bude stabilizována a dále rozvíjena zemědělská a lesnická činnost a budou doplněny plochy zeleně za účelem propojení územního systému ekologické stability.</w:t>
      </w:r>
    </w:p>
    <w:p w14:paraId="4FC3E2BB" w14:textId="77777777" w:rsidR="002A2AF3" w:rsidRDefault="00FF49C7" w:rsidP="00FF49C7">
      <w:pPr>
        <w:pStyle w:val="1text"/>
        <w:rPr>
          <w:lang w:eastAsia="cs-CZ"/>
        </w:rPr>
      </w:pPr>
      <w:r w:rsidRPr="00461C16">
        <w:rPr>
          <w:lang w:eastAsia="cs-CZ"/>
        </w:rPr>
        <w:t xml:space="preserve">Na základě analýzy stavu města a jeho vazeb a na základě požadavků nadřazené dokumentace, stejně jako platných legislativních předpisů, jsou stanoveny základní zásady </w:t>
      </w:r>
      <w:r w:rsidRPr="00461C16">
        <w:t>rozvoje</w:t>
      </w:r>
      <w:r w:rsidRPr="00461C16">
        <w:rPr>
          <w:lang w:eastAsia="cs-CZ"/>
        </w:rPr>
        <w:t xml:space="preserve"> města, jež musí být respektovány při rozhodování o změnách v území.</w:t>
      </w:r>
      <w:r w:rsidR="00B345B4" w:rsidRPr="00461C16">
        <w:rPr>
          <w:lang w:eastAsia="cs-CZ"/>
        </w:rPr>
        <w:t xml:space="preserve"> </w:t>
      </w:r>
    </w:p>
    <w:p w14:paraId="28DE131A" w14:textId="77777777" w:rsidR="00145D35" w:rsidRPr="00145D35" w:rsidRDefault="009D5F47" w:rsidP="00E96DDC">
      <w:pPr>
        <w:pStyle w:val="1text"/>
      </w:pPr>
      <w:r>
        <w:rPr>
          <w:lang w:eastAsia="cs-CZ"/>
        </w:rPr>
        <w:t>Pro další rozvoj a změny území je stanovena zásada postupného z</w:t>
      </w:r>
      <w:r w:rsidRPr="009D5F47">
        <w:rPr>
          <w:lang w:eastAsia="cs-CZ"/>
        </w:rPr>
        <w:t xml:space="preserve">lepšování kvality ovzduší v souladu s </w:t>
      </w:r>
      <w:r w:rsidRPr="009D5F47">
        <w:t>Programem zlepšování kvality ovzduší - zóna Severovýchod - CZ05</w:t>
      </w:r>
      <w:r>
        <w:t>, který byl vydán Ministerstvem životního prostředí 23. května 2016.</w:t>
      </w:r>
      <w:r w:rsidR="00145D35">
        <w:t xml:space="preserve"> Pro ÚP Hrádek nad Nisou je relevantní zejména opatření ED1 Územní plánování, které </w:t>
      </w:r>
      <w:r w:rsidR="00145D35" w:rsidRPr="00145D35">
        <w:t>stanovuje následující zásady pro koncepci územně plánovací dokumentace:</w:t>
      </w:r>
    </w:p>
    <w:p w14:paraId="6A8F86E3"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rozvoj environmentálně příznivé energetické infrastruktury, </w:t>
      </w:r>
    </w:p>
    <w:p w14:paraId="1F36A662"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vytvoření územních podmínek pro zajištění rozvoje města s ohledem na snižování přepravních nároků a maximalizaci energetických úspor (optimalizace rozmístění a kapacit ploch s rozdílným způsobem využití, omezování negativních dopadů suburbanizace, zamezení bezdůvodnému rozšiřování zastavitelného území s nízkou hustotou osídlení atd.), </w:t>
      </w:r>
    </w:p>
    <w:p w14:paraId="0E99B101"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vytvoření územních podmínek pro snižování objemu individuální automobilové dopravy, </w:t>
      </w:r>
    </w:p>
    <w:p w14:paraId="39283E11"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vytvoření územních podmínek pro další rozvoj veřejné hromadné dopravy, zejména kolejové, a rozvoj integrovaných systémů dopravy, včetně plnohodnotného začlenění železniční dopravy, pokud je to možné, </w:t>
      </w:r>
    </w:p>
    <w:p w14:paraId="57E1EFAF"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nezvyšování míry využití území v lokalitách bez vazby na odpovídající veřejnou hromadnou dopravu, </w:t>
      </w:r>
    </w:p>
    <w:p w14:paraId="11B500CB"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neumisťování obytné zástavby do bezprostřední blízkosti velmi silně dopravně zatížených komunikací a koridorů dopravní infrastruktury, zejména pro dopravní stavby mezinárodního, republikového a nadmístního významu vymezených v Politice územního rozvoje nebo v ÚPD, </w:t>
      </w:r>
    </w:p>
    <w:p w14:paraId="67EC14A8"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podpoření prostupnosti města pro lokální spojení, </w:t>
      </w:r>
    </w:p>
    <w:p w14:paraId="66E1519D"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optimalizace napojení významných zdrojů či cílů automobilové dopravy, jako např. ploch pro výrobu, obchod a logistiku na dopravní infrastrukturu vyššího řádu, </w:t>
      </w:r>
    </w:p>
    <w:p w14:paraId="6D04D30B"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vytvoření územních podmínek pro zachycení radiálních dopravních vztahů na parkovištích P+R s vazbou na systém veřejné hromadné dopravy, </w:t>
      </w:r>
    </w:p>
    <w:p w14:paraId="6D21331F"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vytvoření územních podmínek pro prostupnost území pěší a cyklistickou dopravou a v detailu území pak pro bezkolizní a bezpečný pohyb pěších a cyklistů, </w:t>
      </w:r>
    </w:p>
    <w:p w14:paraId="2DB31C48" w14:textId="77777777" w:rsidR="00145D35" w:rsidRPr="00145D35" w:rsidRDefault="00145D35" w:rsidP="00A06EB9">
      <w:pPr>
        <w:pStyle w:val="Default"/>
        <w:numPr>
          <w:ilvl w:val="0"/>
          <w:numId w:val="100"/>
        </w:numPr>
        <w:spacing w:before="60"/>
        <w:jc w:val="both"/>
        <w:rPr>
          <w:rFonts w:ascii="Arial Narrow" w:hAnsi="Arial Narrow"/>
          <w:sz w:val="22"/>
          <w:szCs w:val="22"/>
        </w:rPr>
      </w:pPr>
      <w:r w:rsidRPr="00145D35">
        <w:rPr>
          <w:rFonts w:ascii="Arial Narrow" w:hAnsi="Arial Narrow"/>
          <w:sz w:val="22"/>
          <w:szCs w:val="22"/>
        </w:rPr>
        <w:t xml:space="preserve">zachování zastoupení vegetace v urbanizovaném prostoru města, postupné zvyšování zastoupení vegetačních ploch v lokalitách s deficitem vegetace. </w:t>
      </w:r>
    </w:p>
    <w:p w14:paraId="4B50BEE9" w14:textId="77777777" w:rsidR="00145D35" w:rsidRPr="00145D35" w:rsidRDefault="00145D35" w:rsidP="00145D35">
      <w:pPr>
        <w:pStyle w:val="Default"/>
        <w:jc w:val="both"/>
        <w:rPr>
          <w:sz w:val="18"/>
          <w:szCs w:val="18"/>
          <w:highlight w:val="yellow"/>
        </w:rPr>
      </w:pPr>
    </w:p>
    <w:p w14:paraId="73B8D8CB" w14:textId="77777777" w:rsidR="00145D35" w:rsidRDefault="00145D35" w:rsidP="00145D35">
      <w:pPr>
        <w:pStyle w:val="Default"/>
        <w:jc w:val="both"/>
        <w:rPr>
          <w:rFonts w:ascii="Arial Narrow" w:hAnsi="Arial Narrow"/>
          <w:sz w:val="22"/>
          <w:szCs w:val="22"/>
        </w:rPr>
      </w:pPr>
      <w:r w:rsidRPr="00145D35">
        <w:rPr>
          <w:rFonts w:ascii="Arial Narrow" w:hAnsi="Arial Narrow"/>
          <w:sz w:val="22"/>
          <w:szCs w:val="22"/>
        </w:rPr>
        <w:t xml:space="preserve">Současně stanovuje nepřipouštět neodůvodněné rozšiřování zastavitelných ploch vedoucí k významnějšímu nárůstu objemů automobilové dopravy nad míru vyvolanou platným územním plánem, </w:t>
      </w:r>
    </w:p>
    <w:p w14:paraId="1561D005" w14:textId="77777777" w:rsidR="00D56A8F" w:rsidRPr="00145D35" w:rsidRDefault="00D56A8F" w:rsidP="00D56A8F">
      <w:pPr>
        <w:pStyle w:val="Default"/>
        <w:spacing w:before="120"/>
        <w:jc w:val="both"/>
        <w:rPr>
          <w:rFonts w:ascii="Arial Narrow" w:hAnsi="Arial Narrow"/>
          <w:sz w:val="22"/>
          <w:szCs w:val="22"/>
        </w:rPr>
      </w:pPr>
      <w:r>
        <w:rPr>
          <w:rFonts w:ascii="Arial Narrow" w:hAnsi="Arial Narrow"/>
          <w:sz w:val="22"/>
          <w:szCs w:val="22"/>
        </w:rPr>
        <w:lastRenderedPageBreak/>
        <w:t>ÚP Hrádek nad Nisou výše uvedené zásady a požadavky respektuje, viz odůvodnění koncepce rozvoje území (kap. 6.3.), urbanistické koncepce  (kap. 6.4.), koncepce veřejné infrastruktury (kap. 6.5.) a koncepce uspořádání krajiny (6.6.).</w:t>
      </w:r>
    </w:p>
    <w:p w14:paraId="6476156C" w14:textId="77777777" w:rsidR="00E96DDC" w:rsidRDefault="009D5F47" w:rsidP="00E96DDC">
      <w:pPr>
        <w:pStyle w:val="1text"/>
      </w:pPr>
      <w:r>
        <w:t xml:space="preserve">V rámci </w:t>
      </w:r>
      <w:r w:rsidR="00145D35" w:rsidRPr="009D5F47">
        <w:t>Program</w:t>
      </w:r>
      <w:r w:rsidR="00145D35">
        <w:t>u</w:t>
      </w:r>
      <w:r w:rsidR="00145D35" w:rsidRPr="009D5F47">
        <w:t xml:space="preserve"> zlepšování kvality ovzduší - zóna Severovýchod - CZ05</w:t>
      </w:r>
      <w:r w:rsidR="00145D35">
        <w:t xml:space="preserve"> </w:t>
      </w:r>
      <w:r>
        <w:t>j</w:t>
      </w:r>
      <w:r w:rsidR="00E96DDC">
        <w:t>e</w:t>
      </w:r>
      <w:r>
        <w:t xml:space="preserve"> </w:t>
      </w:r>
      <w:r w:rsidR="00145D35">
        <w:t xml:space="preserve">dále </w:t>
      </w:r>
      <w:r w:rsidR="00E96DDC">
        <w:t xml:space="preserve">stanovena řada opatření s územním průmětem. K zajištění zlepšení kvality ovzduší je navrženo snížení vlivu silniční dopravy, zemědělské výroby, stacionárních a dalších zdrojů na úroveň znečištění. Pro </w:t>
      </w:r>
      <w:r>
        <w:t xml:space="preserve">území Hrádku nad Nisou </w:t>
      </w:r>
      <w:r w:rsidR="00E96DDC">
        <w:t xml:space="preserve">je relevantní zejména opatření </w:t>
      </w:r>
      <w:r w:rsidRPr="00E96DDC">
        <w:rPr>
          <w:i/>
        </w:rPr>
        <w:t>AB4</w:t>
      </w:r>
      <w:r w:rsidR="00E96DDC" w:rsidRPr="00E96DDC">
        <w:rPr>
          <w:i/>
        </w:rPr>
        <w:t xml:space="preserve"> - </w:t>
      </w:r>
      <w:r w:rsidRPr="00E96DDC">
        <w:rPr>
          <w:i/>
        </w:rPr>
        <w:t xml:space="preserve"> Výstavba a rekonstrukce železničních tratí</w:t>
      </w:r>
      <w:r w:rsidR="00E96DDC" w:rsidRPr="00E96DDC">
        <w:rPr>
          <w:i/>
        </w:rPr>
        <w:t xml:space="preserve"> - trať: úsek Liberec – Chrastava – Bílý Kostel nad Nisou – Hrádek nad Nisou – hranice ČR, optimalizace, elektrizace (stavba D28)</w:t>
      </w:r>
      <w:r w:rsidR="00E96DDC">
        <w:rPr>
          <w:i/>
        </w:rPr>
        <w:t xml:space="preserve">. </w:t>
      </w:r>
      <w:r w:rsidR="00E96DDC">
        <w:t>Opatření směřuje ke zvýšení atraktivity železniční dopravy a následnému převzetí části dopravních intenzit na úkor automobilové dopravy.</w:t>
      </w:r>
    </w:p>
    <w:p w14:paraId="2120C6A0" w14:textId="77777777" w:rsidR="00A51B24" w:rsidRPr="00461C16" w:rsidRDefault="00A51B24" w:rsidP="00971ECB">
      <w:pPr>
        <w:pStyle w:val="4podnadpis"/>
        <w:spacing w:before="200"/>
      </w:pPr>
      <w:bookmarkStart w:id="103" w:name="_Toc268687927"/>
      <w:r w:rsidRPr="00461C16">
        <w:t>II.</w:t>
      </w:r>
      <w:r w:rsidRPr="00461C16">
        <w:tab/>
        <w:t>Odhad budoucího demografického vývoje</w:t>
      </w:r>
    </w:p>
    <w:p w14:paraId="01709B4E" w14:textId="77777777" w:rsidR="00A51B24" w:rsidRPr="00461C16" w:rsidRDefault="00A51B24" w:rsidP="00A51B24">
      <w:pPr>
        <w:pStyle w:val="1text"/>
        <w:rPr>
          <w:rStyle w:val="NvrhP-text"/>
        </w:rPr>
      </w:pPr>
      <w:r w:rsidRPr="00461C16">
        <w:rPr>
          <w:rStyle w:val="NvrhP-text"/>
        </w:rPr>
        <w:t>Z výše uvedených statistických údajů je patrné, že v posledních letech dochází ve městě Hrádek nad Nisou k mírnému nárůstu počtu obyvatel, který je dán zejména pozitivním saldem migrace. Přirozený přírůstek má na nárůst počtu obyvatel spíše sekundární vliv. S ohledem na současné trendy odlivu obyvatel z velkých měst za kvalitnějším životním prostředím lze předpokládat, že v budoucích letech bude počet obyvatel v obci i nadále růst. Zároveň s tím lze tedy očekávat i další nárůst domovního fondu.</w:t>
      </w:r>
    </w:p>
    <w:p w14:paraId="5802B522" w14:textId="77777777" w:rsidR="002A2AF3" w:rsidRPr="00461C16" w:rsidRDefault="00501553" w:rsidP="002A2AF3">
      <w:pPr>
        <w:pStyle w:val="Heading3"/>
        <w:rPr>
          <w:rStyle w:val="NvrhP-text"/>
          <w:lang w:eastAsia="en-US"/>
        </w:rPr>
      </w:pPr>
      <w:bookmarkStart w:id="104" w:name="_Toc36116286"/>
      <w:r w:rsidRPr="00461C16">
        <w:rPr>
          <w:rStyle w:val="NvrhP-text"/>
          <w:lang w:eastAsia="en-US"/>
        </w:rPr>
        <w:t>6</w:t>
      </w:r>
      <w:r w:rsidR="002A2AF3" w:rsidRPr="00461C16">
        <w:rPr>
          <w:rStyle w:val="NvrhP-text"/>
          <w:lang w:eastAsia="en-US"/>
        </w:rPr>
        <w:t>.3.2</w:t>
      </w:r>
      <w:r w:rsidR="002A2AF3" w:rsidRPr="00461C16">
        <w:rPr>
          <w:rStyle w:val="NvrhP-text"/>
          <w:lang w:eastAsia="en-US"/>
        </w:rPr>
        <w:tab/>
      </w:r>
      <w:r w:rsidR="002A2AF3" w:rsidRPr="00461C16">
        <w:t>Základní koncepce ochrany a rozvoje přírodních hodnot území</w:t>
      </w:r>
      <w:bookmarkEnd w:id="103"/>
      <w:bookmarkEnd w:id="104"/>
    </w:p>
    <w:p w14:paraId="7AEBC339" w14:textId="77777777" w:rsidR="002A2AF3" w:rsidRPr="00461C16" w:rsidRDefault="002A2AF3" w:rsidP="002A2AF3">
      <w:pPr>
        <w:rPr>
          <w:rStyle w:val="NvrhP-text"/>
          <w:i/>
          <w:sz w:val="20"/>
          <w:szCs w:val="20"/>
        </w:rPr>
      </w:pPr>
      <w:r w:rsidRPr="00461C16">
        <w:rPr>
          <w:rStyle w:val="NvrhP-text"/>
          <w:i/>
          <w:sz w:val="20"/>
          <w:szCs w:val="20"/>
        </w:rPr>
        <w:t>(k bod</w:t>
      </w:r>
      <w:r w:rsidR="008B1E9D" w:rsidRPr="00461C16">
        <w:rPr>
          <w:rStyle w:val="NvrhP-text"/>
          <w:i/>
          <w:sz w:val="20"/>
          <w:szCs w:val="20"/>
        </w:rPr>
        <w:t xml:space="preserve">u </w:t>
      </w:r>
      <w:r w:rsidRPr="00461C16">
        <w:rPr>
          <w:rStyle w:val="NvrhP-text"/>
          <w:i/>
          <w:sz w:val="20"/>
          <w:szCs w:val="20"/>
        </w:rPr>
        <w:t>B02 ÚP)</w:t>
      </w:r>
    </w:p>
    <w:p w14:paraId="41AD6043" w14:textId="77777777" w:rsidR="00E97788" w:rsidRPr="00461C16" w:rsidRDefault="00E97788" w:rsidP="00E97788">
      <w:pPr>
        <w:spacing w:before="160" w:line="240" w:lineRule="auto"/>
        <w:rPr>
          <w:b/>
        </w:rPr>
      </w:pPr>
      <w:r w:rsidRPr="00461C16">
        <w:rPr>
          <w:b/>
        </w:rPr>
        <w:t>Podklady</w:t>
      </w:r>
    </w:p>
    <w:p w14:paraId="3352BC3D" w14:textId="5E2C013B" w:rsidR="00E97788" w:rsidRPr="00461C16" w:rsidRDefault="00E97788" w:rsidP="00E97788">
      <w:pPr>
        <w:spacing w:before="120" w:line="240" w:lineRule="auto"/>
      </w:pPr>
      <w:r w:rsidRPr="00461C16">
        <w:t xml:space="preserve">Ochrana přírodních hodnot území je právně kodifikována jako cíl ÚP v §18 odst. 4 stavebního zákona, který zároveň v § 19 odst. 1 písm. a) a b) definuje identifikaci a ochranu přírodních hodnot jako úkol územního plánování. Ochrana přírodních hodnot je uvedena jako priorita územního plánování na celostátní úrovni Politikou územního rozvoje ČR (aktuální znění 2015) a na krajské úrovni Zásadami územního rozvoje </w:t>
      </w:r>
      <w:r w:rsidR="003B07D8">
        <w:t xml:space="preserve">Libereckého </w:t>
      </w:r>
      <w:r w:rsidRPr="00461C16">
        <w:t xml:space="preserve">kraje (aktuální znění). ZÚR </w:t>
      </w:r>
      <w:r w:rsidR="003B07D8">
        <w:t xml:space="preserve">LK </w:t>
      </w:r>
      <w:r w:rsidRPr="00461C16">
        <w:t xml:space="preserve">zároveň vymezují přírodní hodnoty nadmístního významu. </w:t>
      </w:r>
    </w:p>
    <w:p w14:paraId="080C3818" w14:textId="77777777" w:rsidR="00E97788" w:rsidRPr="00461C16" w:rsidRDefault="00E97788" w:rsidP="00E97788">
      <w:pPr>
        <w:spacing w:before="120" w:line="240" w:lineRule="auto"/>
      </w:pPr>
      <w:r w:rsidRPr="00461C16">
        <w:t>Jako přírodní hodnoty jsou v územním plánu identifikovány objekty a plochy cenné z hlediska ochrany přírody, krajiny a přírodních zdrojů. V praxi se tedy jedná o objekty a plochy, jejichž ochrana je zajištěna právními předpisy v oblasti ochrany přírody a krajiny a přírodních zdrojů, zejména:</w:t>
      </w:r>
    </w:p>
    <w:p w14:paraId="57D0B294" w14:textId="77777777" w:rsidR="00E97788" w:rsidRPr="00461C16" w:rsidRDefault="00E97788" w:rsidP="00F16BB8">
      <w:pPr>
        <w:pStyle w:val="5odrazka"/>
      </w:pPr>
      <w:r w:rsidRPr="00461C16">
        <w:t>zákonem č. 114/1992 Sb., o ochraně přírody a krajiny, v platném znění;</w:t>
      </w:r>
    </w:p>
    <w:p w14:paraId="7C5FCB01" w14:textId="77777777" w:rsidR="00E97788" w:rsidRPr="00461C16" w:rsidRDefault="00E97788" w:rsidP="00F16BB8">
      <w:pPr>
        <w:pStyle w:val="5odrazka"/>
      </w:pPr>
      <w:r w:rsidRPr="00461C16">
        <w:t>zákonem č. 44/1988 Sb., o ochraně a využití nerostného bohatství (horní zákon) v platném znění;</w:t>
      </w:r>
    </w:p>
    <w:p w14:paraId="01FBCD25" w14:textId="77777777" w:rsidR="00E97788" w:rsidRPr="00461C16" w:rsidRDefault="00E97788" w:rsidP="00F16BB8">
      <w:pPr>
        <w:pStyle w:val="5odrazka"/>
      </w:pPr>
      <w:r w:rsidRPr="00461C16">
        <w:t>zákonem č. 334/1992 Sb., o ochraně zemědělského půdního fondu v platném znění;</w:t>
      </w:r>
    </w:p>
    <w:p w14:paraId="33F9A795" w14:textId="77777777" w:rsidR="00E97788" w:rsidRPr="00461C16" w:rsidRDefault="00E97788" w:rsidP="00F16BB8">
      <w:pPr>
        <w:pStyle w:val="5odrazka"/>
      </w:pPr>
      <w:r w:rsidRPr="00461C16">
        <w:t>zákonem č. 289/1995 Sb., o lesích a o změně a doplnění některých zákonů (lesní zákon) v platném znění;</w:t>
      </w:r>
    </w:p>
    <w:p w14:paraId="0B9EE03E" w14:textId="77777777" w:rsidR="00E97788" w:rsidRPr="00461C16" w:rsidRDefault="00E97788" w:rsidP="00F16BB8">
      <w:pPr>
        <w:pStyle w:val="5odrazka"/>
      </w:pPr>
      <w:r w:rsidRPr="00461C16">
        <w:t>zákonem č. 254/2001Sb., o vodách a o změně některých zákonů v platném znění.</w:t>
      </w:r>
    </w:p>
    <w:p w14:paraId="690D5E39" w14:textId="77777777" w:rsidR="00E97788" w:rsidRPr="00461C16" w:rsidRDefault="00E97788" w:rsidP="00E97788">
      <w:pPr>
        <w:spacing w:before="120" w:line="240" w:lineRule="auto"/>
      </w:pPr>
      <w:r w:rsidRPr="00461C16">
        <w:t>Uvedené právní předpisy tvoří základní podklady pro identifikaci přírodních hodnot a výroky o požadavcích na jejich ochranu. Údaje o hodnotách byly čerpány z</w:t>
      </w:r>
      <w:r w:rsidR="00BD279F" w:rsidRPr="00461C16">
        <w:t> dokumentu Územní plán Hrádek nad Nisou – Průzkumy a rozbory (HakosningDHV, 201</w:t>
      </w:r>
      <w:r w:rsidR="00174B5F" w:rsidRPr="00461C16">
        <w:t>7</w:t>
      </w:r>
      <w:r w:rsidR="00BD279F" w:rsidRPr="00461C16">
        <w:t xml:space="preserve">). Zdrojem dat jsou zejména </w:t>
      </w:r>
      <w:r w:rsidRPr="00461C16">
        <w:t xml:space="preserve">Územně analytických podkladů pro správní obvod ORP </w:t>
      </w:r>
      <w:r w:rsidR="00BD279F" w:rsidRPr="00461C16">
        <w:t>Liberec (2016)</w:t>
      </w:r>
      <w:r w:rsidRPr="00461C16">
        <w:t>, webov</w:t>
      </w:r>
      <w:r w:rsidR="00BD279F" w:rsidRPr="00461C16">
        <w:t xml:space="preserve">é </w:t>
      </w:r>
      <w:r w:rsidRPr="00461C16">
        <w:t>aplikac</w:t>
      </w:r>
      <w:r w:rsidR="00BD279F" w:rsidRPr="00461C16">
        <w:t>e</w:t>
      </w:r>
      <w:r w:rsidRPr="00461C16">
        <w:t xml:space="preserve"> AOPK, MŽP ČR, Výzkumného ústavu vodohospodářského T. G. Masaryka, české geologické služby</w:t>
      </w:r>
      <w:r w:rsidR="00BD279F" w:rsidRPr="00461C16">
        <w:t xml:space="preserve"> a též průzkum území. </w:t>
      </w:r>
    </w:p>
    <w:p w14:paraId="40E49749" w14:textId="77777777" w:rsidR="007E0190" w:rsidRPr="00461C16" w:rsidRDefault="007E0190" w:rsidP="007E0190">
      <w:pPr>
        <w:spacing w:before="160" w:line="240" w:lineRule="auto"/>
        <w:rPr>
          <w:b/>
        </w:rPr>
      </w:pPr>
      <w:r w:rsidRPr="00461C16">
        <w:rPr>
          <w:b/>
        </w:rPr>
        <w:t xml:space="preserve">Návrh řešení a jeho odůvodnění </w:t>
      </w:r>
    </w:p>
    <w:p w14:paraId="1C8C988C" w14:textId="77777777" w:rsidR="007E0190" w:rsidRPr="00461C16" w:rsidRDefault="007E0190" w:rsidP="007E0190">
      <w:pPr>
        <w:spacing w:before="120" w:line="240" w:lineRule="auto"/>
      </w:pPr>
      <w:r w:rsidRPr="00461C16">
        <w:t>Mezi přírodní hodnoty jsou v souladu s výše uvedenými podklady v územním plánu zařazeny plochy a objekty:</w:t>
      </w:r>
    </w:p>
    <w:p w14:paraId="58C50235" w14:textId="77777777" w:rsidR="007E0190" w:rsidRPr="00461C16" w:rsidRDefault="007E0190" w:rsidP="001C22D8">
      <w:pPr>
        <w:numPr>
          <w:ilvl w:val="0"/>
          <w:numId w:val="17"/>
        </w:numPr>
        <w:spacing w:before="60" w:line="240" w:lineRule="auto"/>
      </w:pPr>
      <w:r w:rsidRPr="00461C16">
        <w:t>chráněné příslušnými právními předpisy taxativně (např. významné krajinné prvky, plochy ZPF I. a II, třídy ochrany, prvky krajinné zeleně);</w:t>
      </w:r>
    </w:p>
    <w:p w14:paraId="18F292CF" w14:textId="77777777" w:rsidR="007E0190" w:rsidRPr="00461C16" w:rsidRDefault="007E0190" w:rsidP="001C22D8">
      <w:pPr>
        <w:numPr>
          <w:ilvl w:val="0"/>
          <w:numId w:val="17"/>
        </w:numPr>
        <w:spacing w:before="60" w:line="240" w:lineRule="auto"/>
        <w:rPr>
          <w:rFonts w:cs="Arial"/>
          <w:lang w:eastAsia="en-US"/>
        </w:rPr>
      </w:pPr>
      <w:r w:rsidRPr="00461C16">
        <w:t>chráněné na základě rozhodnutí a jiných právních úkonů činěných na základě výše uvedených zákonů (</w:t>
      </w:r>
      <w:r w:rsidR="00BD279F" w:rsidRPr="00461C16">
        <w:t>CHKO</w:t>
      </w:r>
      <w:r w:rsidRPr="00461C16">
        <w:t>, zdroje nerostných surovin, vodní zdroje);</w:t>
      </w:r>
    </w:p>
    <w:p w14:paraId="2CF6C3BA" w14:textId="77777777" w:rsidR="007E0190" w:rsidRPr="00461C16" w:rsidRDefault="007E0190" w:rsidP="001C22D8">
      <w:pPr>
        <w:numPr>
          <w:ilvl w:val="0"/>
          <w:numId w:val="17"/>
        </w:numPr>
        <w:spacing w:before="60" w:line="240" w:lineRule="auto"/>
        <w:rPr>
          <w:rFonts w:cs="Arial"/>
          <w:sz w:val="20"/>
          <w:lang w:eastAsia="en-US"/>
        </w:rPr>
      </w:pPr>
      <w:r w:rsidRPr="00461C16">
        <w:t>vymezené tímto ÚP (krajina jako celek, skladebné části ÚSES, území se zvýšenou hodnotou krajinného rázu).</w:t>
      </w:r>
    </w:p>
    <w:p w14:paraId="11BF76B6" w14:textId="59E0FE90" w:rsidR="00BD279F" w:rsidRPr="00461C16" w:rsidRDefault="00BD279F" w:rsidP="00BD279F">
      <w:pPr>
        <w:spacing w:before="60" w:line="240" w:lineRule="auto"/>
        <w:rPr>
          <w:rFonts w:cs="Arial"/>
          <w:sz w:val="20"/>
          <w:lang w:eastAsia="en-US"/>
        </w:rPr>
      </w:pPr>
      <w:r w:rsidRPr="00461C16">
        <w:lastRenderedPageBreak/>
        <w:t>V </w:t>
      </w:r>
      <w:r w:rsidR="000E7DF1" w:rsidRPr="00461C16">
        <w:t>Ú</w:t>
      </w:r>
      <w:r w:rsidR="000E7DF1">
        <w:t>P</w:t>
      </w:r>
      <w:r w:rsidR="000E7DF1" w:rsidRPr="00461C16">
        <w:t xml:space="preserve"> </w:t>
      </w:r>
      <w:r w:rsidRPr="00461C16">
        <w:t>jsou vymezeny následně uvedené přírodní</w:t>
      </w:r>
      <w:r w:rsidR="00B345B4" w:rsidRPr="00461C16">
        <w:t xml:space="preserve"> </w:t>
      </w:r>
      <w:r w:rsidRPr="00461C16">
        <w:t xml:space="preserve">hodnoty. </w:t>
      </w:r>
    </w:p>
    <w:p w14:paraId="7939EA2C" w14:textId="77777777" w:rsidR="002A2AF3" w:rsidRPr="00461C16" w:rsidRDefault="007E0190" w:rsidP="00753F4E">
      <w:pPr>
        <w:pStyle w:val="4podnadpis"/>
      </w:pPr>
      <w:r w:rsidRPr="00461C16">
        <w:t>K</w:t>
      </w:r>
      <w:r w:rsidR="002A2AF3" w:rsidRPr="00461C16">
        <w:t xml:space="preserve">rajina území </w:t>
      </w:r>
      <w:r w:rsidRPr="00461C16">
        <w:t xml:space="preserve">města </w:t>
      </w:r>
    </w:p>
    <w:p w14:paraId="3DD993D1" w14:textId="77777777" w:rsidR="00BD279F" w:rsidRPr="00461C16" w:rsidRDefault="00BD279F" w:rsidP="00116330">
      <w:pPr>
        <w:pStyle w:val="1text"/>
      </w:pPr>
      <w:bookmarkStart w:id="105" w:name="_Toc321303491"/>
      <w:r w:rsidRPr="00461C16">
        <w:t xml:space="preserve">Město leží v oblasti trojzemí v širokém údolí Lužické Nisy. Je obklopeno o něco výše situovanými sídly. Na většině území převažují louky a pole s významným podílem vodních ploch. Oblast na JZ, jež spadá do CHKO Lužické hory, je zalesněná. </w:t>
      </w:r>
    </w:p>
    <w:p w14:paraId="5F08A040" w14:textId="77777777" w:rsidR="00BD279F" w:rsidRPr="00461C16" w:rsidRDefault="00BD279F" w:rsidP="00116330">
      <w:pPr>
        <w:pStyle w:val="1text"/>
      </w:pPr>
      <w:r w:rsidRPr="00461C16">
        <w:t xml:space="preserve">Město Hrádek nad Nisou má vějířovité prostorové uspořádání. Významnější urbanizace města probíhá hlavně v oblasti severní části města. Kolem historického centra se směrem k okrajům vyskytují hlavně rodinné domky se zahradami. Ostatní sídla mají charakter venkovský s významnou venkovskou zástavbou (hrázděné a roubené stavby) zemědělského charakteru. </w:t>
      </w:r>
    </w:p>
    <w:p w14:paraId="68F8A398" w14:textId="77777777" w:rsidR="00BD279F" w:rsidRPr="00461C16" w:rsidRDefault="00BD279F" w:rsidP="00116330">
      <w:pPr>
        <w:pStyle w:val="1text"/>
      </w:pPr>
      <w:r w:rsidRPr="00461C16">
        <w:t xml:space="preserve">Za významné přírodní hodnoty lze považovat zejména velké množství dubových </w:t>
      </w:r>
      <w:r w:rsidR="000E7DF1">
        <w:t xml:space="preserve">alejí </w:t>
      </w:r>
      <w:r w:rsidRPr="00461C16">
        <w:t>podél silniční sítě a to často složených z velmi vzrostlých stromů. Dále jde o plochy zarůstajících lad (opuštěná pole, zahrady, sady, zahradnictví apod.), z nichž nejcennější by měly být v rámci územního plánu respektovány jako nedílná součást zelené infrastruktury území s významnou funkcí ekologickou (zvýšení ekologické stability, biologické diverzity, vliv na kvalitu životního prostředí obecně) a zároveň mohou být integrovány do území jako plochy sídelní zeleně.</w:t>
      </w:r>
    </w:p>
    <w:p w14:paraId="25A8F116" w14:textId="77777777" w:rsidR="00BD279F" w:rsidRPr="00461C16" w:rsidRDefault="00BD279F" w:rsidP="00116330">
      <w:pPr>
        <w:pStyle w:val="1text"/>
      </w:pPr>
      <w:r w:rsidRPr="00461C16">
        <w:t>Mezi významné přírodní hodnoty v současnosti bez pochyby patří i zatopený důl Kristýna, který v současné době slouží primárně k rekreačním účelům. Na území se ale nachází také množství menších vodních prvků, které lze považovat za významné z hlediska krajinotvorného, ale i z hlediska udržení ekologické stability. Jedná se například o 4 vodní nádrže ve východní části Dolního Sedla, dále rybníky v jižní části Václavic (Malý rybník a Mastníkův rybník) a další na JV od Václavic.</w:t>
      </w:r>
    </w:p>
    <w:p w14:paraId="5D359DED" w14:textId="77777777" w:rsidR="00BD279F" w:rsidRPr="00461C16" w:rsidRDefault="00BD279F" w:rsidP="00BD279F">
      <w:pPr>
        <w:pStyle w:val="4podnadpis"/>
      </w:pPr>
      <w:r w:rsidRPr="00461C16">
        <w:t xml:space="preserve">CHKO Lužické hory </w:t>
      </w:r>
    </w:p>
    <w:p w14:paraId="6CF86B21" w14:textId="77777777" w:rsidR="00BD279F" w:rsidRPr="00461C16" w:rsidRDefault="00BD279F" w:rsidP="00BD279F">
      <w:pPr>
        <w:pStyle w:val="1odstavec"/>
      </w:pPr>
      <w:r w:rsidRPr="00461C16">
        <w:t>Do území města Hrádek nad Nisou na západě a jihozápadě zasahuje východní část CHKO Lužické hory. CHKO byla vyhlášena v roce 1976 na území o rozloze 270 km</w:t>
      </w:r>
      <w:r w:rsidRPr="00461C16">
        <w:rPr>
          <w:vertAlign w:val="superscript"/>
        </w:rPr>
        <w:t>2</w:t>
      </w:r>
      <w:r w:rsidRPr="00461C16">
        <w:t xml:space="preserve"> k zajištění ochrany harmonické krajiny v pískovcovém území České křídové tabule. Krajina vyniká výrazným reliéfem, vysokou lesnatostí a celkový ráz oblasti dokresluje lužická lidová architektura. K přírodovědecky nejhodnotnějším částem Lužických hor patří zbytky přirozených lesních porostů ve vrcholových partiích, vlhké horské a podhorské louky s výskytem vzácných druhů rostlin, nivy potoků a význačné geomorfologické útvary. </w:t>
      </w:r>
    </w:p>
    <w:p w14:paraId="1132CF9F" w14:textId="77777777" w:rsidR="00BD279F" w:rsidRPr="00461C16" w:rsidRDefault="00BD279F" w:rsidP="00116330">
      <w:pPr>
        <w:pStyle w:val="1text"/>
      </w:pPr>
      <w:r w:rsidRPr="00461C16">
        <w:t>Chráněná krajinná oblast Lužické hory leží mezi Šluknovským a Frýdlantským výběžkem, při hranici se SRN. Západní část spadá pod Ústecký</w:t>
      </w:r>
      <w:r w:rsidR="000E7DF1">
        <w:t xml:space="preserve"> kraj</w:t>
      </w:r>
      <w:r w:rsidRPr="00461C16">
        <w:t xml:space="preserve">, východní pak pod Liberecký kraj. Jejím sousedem jsou další velkoplošná chráněná území - Národní park České Švýcarsko, CHKO České středohoří a CHKO Labské pískovce. Na území SO ORP Liberec zasahuje do obcí Jablonné v Podještědí, Rynoltice a právě Hrádek nad Nisou. </w:t>
      </w:r>
    </w:p>
    <w:p w14:paraId="6553B956" w14:textId="77777777" w:rsidR="00BD279F" w:rsidRPr="00461C16" w:rsidRDefault="00BD279F" w:rsidP="00116330">
      <w:pPr>
        <w:pStyle w:val="1text"/>
      </w:pPr>
      <w:r w:rsidRPr="00461C16">
        <w:t>Nacházejí se zde čedičové a znělcové kupy, které se střídají s formacemi pískovcových skal. Krajina je tvořena podhorskými loukami s množstvím remízků, mezí a solitérních stromů a lesy, ve kterých dnes převládá zejména smrk, v těžko přístupných a odlehlých partiích se zachovaly zbytky původních lesních porostů (buk, jedle, javor, jilm). Pro tuto oblast je vypracován Plán péče CHKO Lužické hory pro období 2015 – 2024 a plány péče o jednotlivá MCHÚ.</w:t>
      </w:r>
    </w:p>
    <w:p w14:paraId="57FA0962" w14:textId="77777777" w:rsidR="00BD279F" w:rsidRPr="00461C16" w:rsidRDefault="00BD279F" w:rsidP="00BD279F">
      <w:pPr>
        <w:pStyle w:val="4podnadpis"/>
      </w:pPr>
      <w:r w:rsidRPr="00461C16">
        <w:t>Památné stromy</w:t>
      </w:r>
    </w:p>
    <w:p w14:paraId="2E46D915" w14:textId="77777777" w:rsidR="00BD279F" w:rsidRPr="00461C16" w:rsidRDefault="00BD279F" w:rsidP="00351328">
      <w:pPr>
        <w:pStyle w:val="1odstavec"/>
      </w:pPr>
      <w:r w:rsidRPr="00461C16">
        <w:t xml:space="preserve">Na území Hrádku nad Nisou je evidován jeden památný strom. Jedná se o </w:t>
      </w:r>
      <w:r w:rsidRPr="00461C16">
        <w:rPr>
          <w:b/>
        </w:rPr>
        <w:t>Donínský jilm</w:t>
      </w:r>
      <w:r w:rsidRPr="00461C16">
        <w:t xml:space="preserve"> - jilm horský (Ulmus glabra Huds.). Nachází se v katastrálním území Donína u Hrádku nad Nisou v bývalé zahradě školní družiny v nivě řeky Nisy cca 25 m od levého břehu (parcela 281). Jeho výška je 21 m a obvod 364 cm. Datum vydání vyhlašovací dokumentace je 08. 04. 2014 a datum účinnosti 24. 04. 2014.</w:t>
      </w:r>
    </w:p>
    <w:p w14:paraId="6F02C45B" w14:textId="77777777" w:rsidR="00BD279F" w:rsidRPr="00461C16" w:rsidRDefault="00BD279F" w:rsidP="00BD279F">
      <w:pPr>
        <w:pStyle w:val="4podnadpis"/>
      </w:pPr>
      <w:r w:rsidRPr="00461C16">
        <w:t>Významné krajinné prvky</w:t>
      </w:r>
    </w:p>
    <w:p w14:paraId="5833CD12" w14:textId="77777777" w:rsidR="00BD279F" w:rsidRPr="00461C16" w:rsidRDefault="00BD279F" w:rsidP="00BD279F">
      <w:pPr>
        <w:pStyle w:val="1odstavec"/>
      </w:pPr>
      <w:r w:rsidRPr="00461C16">
        <w:t>Významný krajinný prvek (VKP) je definován v § 3, odst. 1, písm. b zákona o ochraně přírody a krajiny č. 114/1992 Sb. v platném znění (dále jen zákon) jako „</w:t>
      </w:r>
      <w:r w:rsidRPr="00461C16">
        <w:rPr>
          <w:iCs/>
        </w:rPr>
        <w:t>ekologicky, geomorfologicky nebo esteticky hodnotná část krajiny utvářející její typický vzhled nebo přispívající k udržení její stability.“</w:t>
      </w:r>
      <w:r w:rsidRPr="00461C16">
        <w:t> VKP jsou vymezeny ve dvou rovinách:</w:t>
      </w:r>
    </w:p>
    <w:p w14:paraId="564F08AD" w14:textId="77777777" w:rsidR="00116330" w:rsidRPr="00461C16" w:rsidRDefault="00BD279F" w:rsidP="00BA7077">
      <w:pPr>
        <w:numPr>
          <w:ilvl w:val="0"/>
          <w:numId w:val="85"/>
        </w:numPr>
        <w:shd w:val="clear" w:color="auto" w:fill="FFFFFF"/>
        <w:spacing w:before="120" w:after="120" w:line="240" w:lineRule="auto"/>
        <w:ind w:left="426" w:hanging="426"/>
        <w:rPr>
          <w:rFonts w:eastAsia="Times New Roman" w:cs="Arial"/>
          <w:lang w:eastAsia="cs-CZ"/>
        </w:rPr>
      </w:pPr>
      <w:r w:rsidRPr="00461C16">
        <w:rPr>
          <w:rFonts w:eastAsia="Times New Roman" w:cs="Arial"/>
          <w:b/>
          <w:bCs/>
          <w:lang w:eastAsia="cs-CZ"/>
        </w:rPr>
        <w:t xml:space="preserve">VKP </w:t>
      </w:r>
      <w:r w:rsidR="00351328" w:rsidRPr="00461C16">
        <w:rPr>
          <w:rFonts w:eastAsia="Times New Roman" w:cs="Arial"/>
          <w:b/>
          <w:bCs/>
          <w:lang w:eastAsia="cs-CZ"/>
        </w:rPr>
        <w:t>taxativně</w:t>
      </w:r>
      <w:r w:rsidRPr="00461C16">
        <w:rPr>
          <w:rFonts w:eastAsia="Times New Roman" w:cs="Arial"/>
          <w:b/>
          <w:bCs/>
          <w:lang w:eastAsia="cs-CZ"/>
        </w:rPr>
        <w:t xml:space="preserve"> jmenované § 3 zákona o ochraně přírody a krajiny</w:t>
      </w:r>
      <w:r w:rsidR="00116330" w:rsidRPr="00461C16">
        <w:rPr>
          <w:rFonts w:eastAsia="Times New Roman" w:cs="Arial"/>
          <w:b/>
          <w:bCs/>
          <w:lang w:eastAsia="cs-CZ"/>
        </w:rPr>
        <w:t>:</w:t>
      </w:r>
      <w:r w:rsidRPr="00461C16">
        <w:rPr>
          <w:rFonts w:eastAsia="Times New Roman" w:cs="Arial"/>
          <w:lang w:eastAsia="cs-CZ"/>
        </w:rPr>
        <w:t xml:space="preserve"> </w:t>
      </w:r>
    </w:p>
    <w:p w14:paraId="310CA639" w14:textId="77777777" w:rsidR="00116330" w:rsidRPr="00461C16" w:rsidRDefault="00116330" w:rsidP="00116330">
      <w:pPr>
        <w:pStyle w:val="5odrazka"/>
      </w:pPr>
      <w:r w:rsidRPr="00461C16">
        <w:lastRenderedPageBreak/>
        <w:t>vodní toky Lužická Nisa, Václavický potok, Oldřichovský potok a Jašnica s přítoky a jejich údolní nivy,</w:t>
      </w:r>
    </w:p>
    <w:p w14:paraId="4D519639" w14:textId="77777777" w:rsidR="00116330" w:rsidRPr="00461C16" w:rsidRDefault="00116330" w:rsidP="00116330">
      <w:pPr>
        <w:pStyle w:val="5odrazka"/>
      </w:pPr>
      <w:r w:rsidRPr="00461C16">
        <w:t xml:space="preserve">vodní plochy Kristýna, Malý rybník, Mastníkův rybník a další, </w:t>
      </w:r>
    </w:p>
    <w:p w14:paraId="4DFCE76A" w14:textId="77777777" w:rsidR="00116330" w:rsidRPr="00461C16" w:rsidRDefault="00116330" w:rsidP="00116330">
      <w:pPr>
        <w:pStyle w:val="5odrazka"/>
      </w:pPr>
      <w:r w:rsidRPr="00461C16">
        <w:t>lesy,</w:t>
      </w:r>
    </w:p>
    <w:p w14:paraId="7A46BE1F" w14:textId="77777777" w:rsidR="00BD279F" w:rsidRPr="00461C16" w:rsidRDefault="00BD279F" w:rsidP="00A06EB9">
      <w:pPr>
        <w:numPr>
          <w:ilvl w:val="0"/>
          <w:numId w:val="85"/>
        </w:numPr>
        <w:shd w:val="clear" w:color="auto" w:fill="FFFFFF"/>
        <w:spacing w:before="120" w:after="240" w:line="240" w:lineRule="auto"/>
        <w:ind w:left="426" w:hanging="426"/>
        <w:rPr>
          <w:rFonts w:eastAsia="Times New Roman" w:cs="Arial"/>
          <w:lang w:eastAsia="cs-CZ"/>
        </w:rPr>
      </w:pPr>
      <w:r w:rsidRPr="00461C16">
        <w:rPr>
          <w:rFonts w:eastAsia="Times New Roman" w:cs="Arial"/>
          <w:b/>
          <w:bCs/>
          <w:lang w:eastAsia="cs-CZ"/>
        </w:rPr>
        <w:t>registrované VKP</w:t>
      </w:r>
      <w:r w:rsidR="00351328" w:rsidRPr="00461C16">
        <w:rPr>
          <w:rFonts w:eastAsia="Times New Roman" w:cs="Arial"/>
          <w:b/>
          <w:bCs/>
          <w:lang w:eastAsia="cs-CZ"/>
        </w:rPr>
        <w:t xml:space="preserve"> </w:t>
      </w:r>
      <w:r w:rsidR="00351328" w:rsidRPr="00461C16">
        <w:rPr>
          <w:rFonts w:eastAsia="Times New Roman" w:cs="Arial"/>
          <w:bCs/>
          <w:lang w:eastAsia="cs-CZ"/>
        </w:rPr>
        <w:t>uvedené v následující tabulce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9"/>
        <w:gridCol w:w="3498"/>
        <w:gridCol w:w="2771"/>
      </w:tblGrid>
      <w:tr w:rsidR="00351328" w:rsidRPr="00461C16" w14:paraId="0C845151" w14:textId="77777777" w:rsidTr="00B154E6">
        <w:trPr>
          <w:tblHeader/>
        </w:trPr>
        <w:tc>
          <w:tcPr>
            <w:tcW w:w="2353" w:type="dxa"/>
            <w:shd w:val="clear" w:color="auto" w:fill="F2F2F2" w:themeFill="background1" w:themeFillShade="F2"/>
          </w:tcPr>
          <w:p w14:paraId="06F8ABB1" w14:textId="77777777" w:rsidR="00351328" w:rsidRPr="00461C16" w:rsidRDefault="00351328" w:rsidP="00B154E6">
            <w:pPr>
              <w:spacing w:before="40" w:after="40"/>
              <w:jc w:val="left"/>
              <w:rPr>
                <w:rFonts w:eastAsia="Times New Roman" w:cs="Arial"/>
                <w:b/>
                <w:sz w:val="20"/>
                <w:lang w:eastAsia="cs-CZ"/>
              </w:rPr>
            </w:pPr>
            <w:r w:rsidRPr="00461C16">
              <w:rPr>
                <w:rFonts w:eastAsia="Times New Roman" w:cs="Arial"/>
                <w:b/>
                <w:sz w:val="20"/>
                <w:lang w:eastAsia="cs-CZ"/>
              </w:rPr>
              <w:t>Název VKP</w:t>
            </w:r>
          </w:p>
        </w:tc>
        <w:tc>
          <w:tcPr>
            <w:tcW w:w="2726" w:type="dxa"/>
            <w:shd w:val="clear" w:color="auto" w:fill="F2F2F2" w:themeFill="background1" w:themeFillShade="F2"/>
          </w:tcPr>
          <w:p w14:paraId="0CDF65AB" w14:textId="77777777" w:rsidR="00351328" w:rsidRPr="00461C16" w:rsidRDefault="008B1E9D" w:rsidP="00B154E6">
            <w:pPr>
              <w:spacing w:before="40" w:after="40"/>
              <w:jc w:val="left"/>
              <w:rPr>
                <w:rFonts w:eastAsia="Times New Roman" w:cs="Arial"/>
                <w:b/>
                <w:sz w:val="20"/>
                <w:lang w:eastAsia="cs-CZ"/>
              </w:rPr>
            </w:pPr>
            <w:r w:rsidRPr="00461C16">
              <w:rPr>
                <w:rFonts w:eastAsia="Times New Roman" w:cs="Arial"/>
                <w:b/>
                <w:sz w:val="20"/>
                <w:lang w:eastAsia="cs-CZ"/>
              </w:rPr>
              <w:t>P</w:t>
            </w:r>
            <w:r w:rsidR="00351328" w:rsidRPr="00461C16">
              <w:rPr>
                <w:rFonts w:eastAsia="Times New Roman" w:cs="Arial"/>
                <w:b/>
                <w:sz w:val="20"/>
                <w:lang w:eastAsia="cs-CZ"/>
              </w:rPr>
              <w:t>ředmět ochrany</w:t>
            </w:r>
          </w:p>
        </w:tc>
        <w:tc>
          <w:tcPr>
            <w:tcW w:w="2160" w:type="dxa"/>
            <w:shd w:val="clear" w:color="auto" w:fill="F2F2F2" w:themeFill="background1" w:themeFillShade="F2"/>
          </w:tcPr>
          <w:p w14:paraId="714C05B8" w14:textId="77777777" w:rsidR="00351328" w:rsidRPr="00461C16" w:rsidRDefault="00351328" w:rsidP="00B154E6">
            <w:pPr>
              <w:spacing w:before="40" w:after="40"/>
              <w:jc w:val="left"/>
              <w:rPr>
                <w:rFonts w:eastAsia="Times New Roman" w:cs="Arial"/>
                <w:b/>
                <w:sz w:val="20"/>
                <w:lang w:eastAsia="cs-CZ"/>
              </w:rPr>
            </w:pPr>
            <w:r w:rsidRPr="00461C16">
              <w:rPr>
                <w:rFonts w:eastAsia="Times New Roman" w:cs="Arial"/>
                <w:b/>
                <w:sz w:val="20"/>
                <w:lang w:eastAsia="cs-CZ"/>
              </w:rPr>
              <w:t>Katastrální území</w:t>
            </w:r>
          </w:p>
        </w:tc>
      </w:tr>
      <w:tr w:rsidR="00351328" w:rsidRPr="00461C16" w14:paraId="4E64CE73" w14:textId="77777777" w:rsidTr="008B1E9D">
        <w:tc>
          <w:tcPr>
            <w:tcW w:w="2353" w:type="dxa"/>
            <w:shd w:val="clear" w:color="auto" w:fill="auto"/>
          </w:tcPr>
          <w:p w14:paraId="4B305270" w14:textId="77777777" w:rsidR="00351328" w:rsidRPr="00461C16" w:rsidRDefault="00351328" w:rsidP="00B154E6">
            <w:pPr>
              <w:spacing w:before="40" w:after="40"/>
              <w:jc w:val="left"/>
              <w:rPr>
                <w:rFonts w:eastAsia="Times New Roman" w:cs="Arial"/>
                <w:sz w:val="20"/>
                <w:lang w:eastAsia="cs-CZ"/>
              </w:rPr>
            </w:pPr>
            <w:r w:rsidRPr="00461C16">
              <w:rPr>
                <w:sz w:val="20"/>
              </w:rPr>
              <w:t>Park u 1. ZŠ</w:t>
            </w:r>
          </w:p>
        </w:tc>
        <w:tc>
          <w:tcPr>
            <w:tcW w:w="2726" w:type="dxa"/>
            <w:shd w:val="clear" w:color="auto" w:fill="auto"/>
          </w:tcPr>
          <w:p w14:paraId="17D76D81" w14:textId="77777777" w:rsidR="00351328" w:rsidRPr="00461C16" w:rsidRDefault="00351328" w:rsidP="00B154E6">
            <w:pPr>
              <w:spacing w:before="40" w:after="40"/>
              <w:rPr>
                <w:rFonts w:eastAsia="Times New Roman" w:cs="Arial"/>
                <w:sz w:val="20"/>
                <w:lang w:eastAsia="cs-CZ"/>
              </w:rPr>
            </w:pPr>
            <w:r w:rsidRPr="00461C16">
              <w:rPr>
                <w:sz w:val="20"/>
              </w:rPr>
              <w:t>skupina c</w:t>
            </w:r>
            <w:r w:rsidR="00023A6C">
              <w:rPr>
                <w:sz w:val="20"/>
              </w:rPr>
              <w:t>c</w:t>
            </w:r>
            <w:r w:rsidRPr="00461C16">
              <w:rPr>
                <w:sz w:val="20"/>
              </w:rPr>
              <w:t>a 25 ks vzrostlých stromu; směs dřevin – duby, lípy, akát, jeřáb</w:t>
            </w:r>
          </w:p>
        </w:tc>
        <w:tc>
          <w:tcPr>
            <w:tcW w:w="2160" w:type="dxa"/>
            <w:shd w:val="clear" w:color="auto" w:fill="auto"/>
          </w:tcPr>
          <w:p w14:paraId="3E90A709" w14:textId="77777777" w:rsidR="00351328" w:rsidRPr="00461C16" w:rsidRDefault="00351328" w:rsidP="00B154E6">
            <w:pPr>
              <w:spacing w:before="40" w:after="40"/>
              <w:jc w:val="left"/>
              <w:rPr>
                <w:rFonts w:eastAsia="Times New Roman" w:cs="Arial"/>
                <w:sz w:val="20"/>
                <w:lang w:eastAsia="cs-CZ"/>
              </w:rPr>
            </w:pPr>
            <w:r w:rsidRPr="00461C16">
              <w:rPr>
                <w:sz w:val="20"/>
              </w:rPr>
              <w:t>Hrádek n. Nisou</w:t>
            </w:r>
          </w:p>
        </w:tc>
      </w:tr>
      <w:tr w:rsidR="00351328" w:rsidRPr="00461C16" w14:paraId="3E3B1370" w14:textId="77777777" w:rsidTr="008B1E9D">
        <w:tc>
          <w:tcPr>
            <w:tcW w:w="2353" w:type="dxa"/>
            <w:shd w:val="clear" w:color="auto" w:fill="auto"/>
          </w:tcPr>
          <w:p w14:paraId="0C50E4E0" w14:textId="77777777" w:rsidR="00351328" w:rsidRPr="00461C16" w:rsidRDefault="00351328" w:rsidP="00B154E6">
            <w:pPr>
              <w:spacing w:before="40" w:after="40"/>
              <w:jc w:val="left"/>
              <w:rPr>
                <w:rFonts w:eastAsia="Times New Roman" w:cs="Arial"/>
                <w:sz w:val="20"/>
                <w:lang w:eastAsia="cs-CZ"/>
              </w:rPr>
            </w:pPr>
            <w:r w:rsidRPr="00461C16">
              <w:rPr>
                <w:sz w:val="20"/>
              </w:rPr>
              <w:t>Městský park</w:t>
            </w:r>
          </w:p>
        </w:tc>
        <w:tc>
          <w:tcPr>
            <w:tcW w:w="2726" w:type="dxa"/>
            <w:shd w:val="clear" w:color="auto" w:fill="auto"/>
          </w:tcPr>
          <w:p w14:paraId="166929B6" w14:textId="77777777" w:rsidR="00351328" w:rsidRPr="00461C16" w:rsidRDefault="00023A6C" w:rsidP="00B154E6">
            <w:pPr>
              <w:spacing w:before="40" w:after="40"/>
              <w:rPr>
                <w:rFonts w:eastAsia="Times New Roman" w:cs="Arial"/>
                <w:sz w:val="20"/>
                <w:lang w:eastAsia="cs-CZ"/>
              </w:rPr>
            </w:pPr>
            <w:r>
              <w:rPr>
                <w:sz w:val="20"/>
              </w:rPr>
              <w:t>c</w:t>
            </w:r>
            <w:r w:rsidR="00351328" w:rsidRPr="00461C16">
              <w:rPr>
                <w:sz w:val="20"/>
              </w:rPr>
              <w:t>ca 66 ks vzrostlých dřevin; směs dřevin - lípa, jírovec, borovice, topol šedý, dub, jasan, jilm</w:t>
            </w:r>
          </w:p>
        </w:tc>
        <w:tc>
          <w:tcPr>
            <w:tcW w:w="2160" w:type="dxa"/>
            <w:shd w:val="clear" w:color="auto" w:fill="auto"/>
          </w:tcPr>
          <w:p w14:paraId="5B71F7C4" w14:textId="77777777" w:rsidR="00351328" w:rsidRPr="00461C16" w:rsidRDefault="00351328" w:rsidP="00B154E6">
            <w:pPr>
              <w:spacing w:before="40" w:after="40"/>
              <w:jc w:val="left"/>
              <w:rPr>
                <w:rFonts w:eastAsia="Times New Roman" w:cs="Arial"/>
                <w:sz w:val="20"/>
                <w:lang w:eastAsia="cs-CZ"/>
              </w:rPr>
            </w:pPr>
            <w:r w:rsidRPr="00461C16">
              <w:rPr>
                <w:sz w:val="20"/>
              </w:rPr>
              <w:t>Hrádek n. Nisou</w:t>
            </w:r>
          </w:p>
        </w:tc>
      </w:tr>
      <w:tr w:rsidR="00351328" w:rsidRPr="00461C16" w14:paraId="0EC6784B" w14:textId="77777777" w:rsidTr="008B1E9D">
        <w:tc>
          <w:tcPr>
            <w:tcW w:w="2353" w:type="dxa"/>
            <w:shd w:val="clear" w:color="auto" w:fill="auto"/>
          </w:tcPr>
          <w:p w14:paraId="7B65857A" w14:textId="77777777" w:rsidR="00351328" w:rsidRPr="00461C16" w:rsidRDefault="00351328" w:rsidP="00B154E6">
            <w:pPr>
              <w:spacing w:before="40" w:after="40"/>
              <w:rPr>
                <w:rFonts w:eastAsia="Times New Roman" w:cs="Arial"/>
                <w:sz w:val="20"/>
                <w:lang w:eastAsia="cs-CZ"/>
              </w:rPr>
            </w:pPr>
            <w:r w:rsidRPr="00461C16">
              <w:rPr>
                <w:sz w:val="20"/>
              </w:rPr>
              <w:t>Alej podél ulice Lidická</w:t>
            </w:r>
          </w:p>
        </w:tc>
        <w:tc>
          <w:tcPr>
            <w:tcW w:w="2726" w:type="dxa"/>
            <w:shd w:val="clear" w:color="auto" w:fill="auto"/>
          </w:tcPr>
          <w:p w14:paraId="00BE98B4" w14:textId="77777777" w:rsidR="00351328" w:rsidRPr="00461C16" w:rsidRDefault="00351328" w:rsidP="00B154E6">
            <w:pPr>
              <w:spacing w:before="40" w:after="40"/>
              <w:rPr>
                <w:rFonts w:eastAsia="Times New Roman" w:cs="Arial"/>
                <w:sz w:val="20"/>
                <w:lang w:eastAsia="cs-CZ"/>
              </w:rPr>
            </w:pPr>
            <w:r w:rsidRPr="00461C16">
              <w:rPr>
                <w:sz w:val="20"/>
              </w:rPr>
              <w:t>duby letní 51 kusů</w:t>
            </w:r>
          </w:p>
        </w:tc>
        <w:tc>
          <w:tcPr>
            <w:tcW w:w="2160" w:type="dxa"/>
            <w:shd w:val="clear" w:color="auto" w:fill="auto"/>
          </w:tcPr>
          <w:p w14:paraId="2AF4DCC7" w14:textId="77777777" w:rsidR="00351328" w:rsidRPr="00461C16" w:rsidRDefault="00351328" w:rsidP="00B154E6">
            <w:pPr>
              <w:spacing w:before="40" w:after="40"/>
              <w:rPr>
                <w:rFonts w:eastAsia="Times New Roman" w:cs="Arial"/>
                <w:sz w:val="20"/>
                <w:lang w:eastAsia="cs-CZ"/>
              </w:rPr>
            </w:pPr>
            <w:r w:rsidRPr="00461C16">
              <w:rPr>
                <w:sz w:val="20"/>
              </w:rPr>
              <w:t>Hrádek n. Nisou</w:t>
            </w:r>
          </w:p>
        </w:tc>
      </w:tr>
      <w:tr w:rsidR="00351328" w:rsidRPr="00461C16" w14:paraId="162A2BB2" w14:textId="77777777" w:rsidTr="008B1E9D">
        <w:tc>
          <w:tcPr>
            <w:tcW w:w="2353" w:type="dxa"/>
            <w:shd w:val="clear" w:color="auto" w:fill="auto"/>
          </w:tcPr>
          <w:p w14:paraId="6F01847C" w14:textId="77777777" w:rsidR="00351328" w:rsidRPr="00461C16" w:rsidRDefault="00351328" w:rsidP="00B154E6">
            <w:pPr>
              <w:spacing w:before="40" w:after="40"/>
              <w:rPr>
                <w:rFonts w:eastAsia="Times New Roman" w:cs="Arial"/>
                <w:sz w:val="20"/>
                <w:lang w:eastAsia="cs-CZ"/>
              </w:rPr>
            </w:pPr>
            <w:r w:rsidRPr="00461C16">
              <w:rPr>
                <w:sz w:val="20"/>
              </w:rPr>
              <w:t xml:space="preserve">Jednořadá alej u Speciální školy v ulici Hartavská </w:t>
            </w:r>
          </w:p>
        </w:tc>
        <w:tc>
          <w:tcPr>
            <w:tcW w:w="2726" w:type="dxa"/>
            <w:shd w:val="clear" w:color="auto" w:fill="auto"/>
          </w:tcPr>
          <w:p w14:paraId="28448A30" w14:textId="77777777" w:rsidR="00351328" w:rsidRPr="00461C16" w:rsidRDefault="00351328" w:rsidP="00B154E6">
            <w:pPr>
              <w:spacing w:before="40" w:after="40"/>
              <w:rPr>
                <w:rFonts w:eastAsia="Times New Roman" w:cs="Arial"/>
                <w:sz w:val="20"/>
                <w:lang w:eastAsia="cs-CZ"/>
              </w:rPr>
            </w:pPr>
            <w:r w:rsidRPr="00461C16">
              <w:rPr>
                <w:sz w:val="20"/>
              </w:rPr>
              <w:t>duby letní 41 kusů</w:t>
            </w:r>
          </w:p>
        </w:tc>
        <w:tc>
          <w:tcPr>
            <w:tcW w:w="2160" w:type="dxa"/>
            <w:shd w:val="clear" w:color="auto" w:fill="auto"/>
          </w:tcPr>
          <w:p w14:paraId="68761C57" w14:textId="77777777" w:rsidR="00351328" w:rsidRPr="00461C16" w:rsidRDefault="00351328" w:rsidP="00B154E6">
            <w:pPr>
              <w:spacing w:before="40" w:after="40"/>
              <w:rPr>
                <w:rFonts w:eastAsia="Times New Roman" w:cs="Arial"/>
                <w:sz w:val="20"/>
                <w:lang w:eastAsia="cs-CZ"/>
              </w:rPr>
            </w:pPr>
            <w:r w:rsidRPr="00461C16">
              <w:rPr>
                <w:sz w:val="20"/>
              </w:rPr>
              <w:t>Loučná</w:t>
            </w:r>
          </w:p>
        </w:tc>
      </w:tr>
      <w:tr w:rsidR="00351328" w:rsidRPr="00461C16" w14:paraId="3F04B2B2" w14:textId="77777777" w:rsidTr="008B1E9D">
        <w:tc>
          <w:tcPr>
            <w:tcW w:w="2353" w:type="dxa"/>
            <w:shd w:val="clear" w:color="auto" w:fill="auto"/>
          </w:tcPr>
          <w:p w14:paraId="6ADB0954" w14:textId="77777777" w:rsidR="00351328" w:rsidRPr="00461C16" w:rsidRDefault="00351328" w:rsidP="00B154E6">
            <w:pPr>
              <w:spacing w:before="40" w:after="40"/>
              <w:rPr>
                <w:rFonts w:eastAsia="Times New Roman" w:cs="Arial"/>
                <w:sz w:val="20"/>
                <w:lang w:eastAsia="cs-CZ"/>
              </w:rPr>
            </w:pPr>
            <w:r w:rsidRPr="00461C16">
              <w:rPr>
                <w:sz w:val="20"/>
              </w:rPr>
              <w:t>Dvouřadá alej v Žitavské ul. Směrem k nádrži Kristýna</w:t>
            </w:r>
          </w:p>
        </w:tc>
        <w:tc>
          <w:tcPr>
            <w:tcW w:w="2726" w:type="dxa"/>
            <w:shd w:val="clear" w:color="auto" w:fill="auto"/>
          </w:tcPr>
          <w:p w14:paraId="7001C829" w14:textId="77777777" w:rsidR="00351328" w:rsidRPr="00461C16" w:rsidRDefault="00351328" w:rsidP="00B154E6">
            <w:pPr>
              <w:spacing w:before="40" w:after="40"/>
              <w:rPr>
                <w:rFonts w:eastAsia="Times New Roman" w:cs="Arial"/>
                <w:sz w:val="20"/>
                <w:lang w:eastAsia="cs-CZ"/>
              </w:rPr>
            </w:pPr>
            <w:r w:rsidRPr="00461C16">
              <w:rPr>
                <w:sz w:val="20"/>
              </w:rPr>
              <w:t>duby červené, severní polovina již vzrostlé, jižně menší</w:t>
            </w:r>
          </w:p>
        </w:tc>
        <w:tc>
          <w:tcPr>
            <w:tcW w:w="2160" w:type="dxa"/>
            <w:shd w:val="clear" w:color="auto" w:fill="auto"/>
          </w:tcPr>
          <w:p w14:paraId="0F68B56C" w14:textId="77777777" w:rsidR="00351328" w:rsidRPr="00461C16" w:rsidRDefault="00351328" w:rsidP="00B154E6">
            <w:pPr>
              <w:spacing w:before="40" w:after="40"/>
              <w:rPr>
                <w:rFonts w:eastAsia="Times New Roman" w:cs="Arial"/>
                <w:sz w:val="20"/>
                <w:lang w:eastAsia="cs-CZ"/>
              </w:rPr>
            </w:pPr>
            <w:r w:rsidRPr="00461C16">
              <w:rPr>
                <w:sz w:val="20"/>
              </w:rPr>
              <w:t>Hrádek n. Nisou</w:t>
            </w:r>
          </w:p>
        </w:tc>
      </w:tr>
      <w:tr w:rsidR="00351328" w:rsidRPr="00461C16" w14:paraId="00647216" w14:textId="77777777" w:rsidTr="008B1E9D">
        <w:tc>
          <w:tcPr>
            <w:tcW w:w="2353" w:type="dxa"/>
            <w:shd w:val="clear" w:color="auto" w:fill="auto"/>
          </w:tcPr>
          <w:p w14:paraId="324834ED" w14:textId="77777777" w:rsidR="00351328" w:rsidRPr="00461C16" w:rsidRDefault="00351328" w:rsidP="00B154E6">
            <w:pPr>
              <w:spacing w:before="40" w:after="40"/>
              <w:rPr>
                <w:sz w:val="20"/>
              </w:rPr>
            </w:pPr>
            <w:r w:rsidRPr="00461C16">
              <w:rPr>
                <w:sz w:val="20"/>
              </w:rPr>
              <w:t xml:space="preserve">Alej podél lavní komunikace </w:t>
            </w:r>
          </w:p>
        </w:tc>
        <w:tc>
          <w:tcPr>
            <w:tcW w:w="2726" w:type="dxa"/>
            <w:shd w:val="clear" w:color="auto" w:fill="auto"/>
          </w:tcPr>
          <w:p w14:paraId="17232EE8" w14:textId="77777777" w:rsidR="00351328" w:rsidRPr="00461C16" w:rsidRDefault="00351328" w:rsidP="00B154E6">
            <w:pPr>
              <w:spacing w:before="40" w:after="40"/>
              <w:rPr>
                <w:sz w:val="20"/>
              </w:rPr>
            </w:pPr>
            <w:r w:rsidRPr="00461C16">
              <w:rPr>
                <w:sz w:val="20"/>
              </w:rPr>
              <w:t>Lípy a jírovec, 25 kusů</w:t>
            </w:r>
          </w:p>
        </w:tc>
        <w:tc>
          <w:tcPr>
            <w:tcW w:w="2160" w:type="dxa"/>
            <w:shd w:val="clear" w:color="auto" w:fill="auto"/>
          </w:tcPr>
          <w:p w14:paraId="3BCB46B5" w14:textId="77777777" w:rsidR="00351328" w:rsidRPr="00461C16" w:rsidRDefault="00351328" w:rsidP="00B154E6">
            <w:pPr>
              <w:spacing w:before="40" w:after="40"/>
              <w:rPr>
                <w:sz w:val="20"/>
              </w:rPr>
            </w:pPr>
            <w:r w:rsidRPr="00461C16">
              <w:rPr>
                <w:sz w:val="20"/>
              </w:rPr>
              <w:t>Uhelná</w:t>
            </w:r>
          </w:p>
        </w:tc>
      </w:tr>
      <w:tr w:rsidR="00351328" w:rsidRPr="00461C16" w14:paraId="7918B89E" w14:textId="77777777" w:rsidTr="008B1E9D">
        <w:tc>
          <w:tcPr>
            <w:tcW w:w="2353" w:type="dxa"/>
            <w:shd w:val="clear" w:color="auto" w:fill="auto"/>
          </w:tcPr>
          <w:p w14:paraId="287971C9" w14:textId="77777777" w:rsidR="00351328" w:rsidRPr="00461C16" w:rsidRDefault="00351328" w:rsidP="00B154E6">
            <w:pPr>
              <w:spacing w:before="40" w:after="40"/>
              <w:rPr>
                <w:rFonts w:eastAsia="Times New Roman" w:cs="Arial"/>
                <w:sz w:val="20"/>
                <w:lang w:eastAsia="cs-CZ"/>
              </w:rPr>
            </w:pPr>
            <w:r w:rsidRPr="00461C16">
              <w:rPr>
                <w:rFonts w:eastAsia="Times New Roman" w:cs="Arial"/>
                <w:sz w:val="20"/>
                <w:lang w:eastAsia="cs-CZ"/>
              </w:rPr>
              <w:t>pás zeleně</w:t>
            </w:r>
          </w:p>
        </w:tc>
        <w:tc>
          <w:tcPr>
            <w:tcW w:w="2726" w:type="dxa"/>
            <w:shd w:val="clear" w:color="auto" w:fill="auto"/>
          </w:tcPr>
          <w:p w14:paraId="560F03E9" w14:textId="77777777" w:rsidR="00351328" w:rsidRPr="00461C16" w:rsidRDefault="00351328" w:rsidP="00B154E6">
            <w:pPr>
              <w:spacing w:before="40" w:after="40" w:line="240" w:lineRule="auto"/>
              <w:rPr>
                <w:rFonts w:eastAsia="Times New Roman" w:cs="Arial"/>
                <w:sz w:val="20"/>
                <w:lang w:eastAsia="cs-CZ"/>
              </w:rPr>
            </w:pPr>
            <w:r w:rsidRPr="00461C16">
              <w:rPr>
                <w:rFonts w:eastAsia="Times New Roman" w:cs="Arial"/>
                <w:sz w:val="20"/>
                <w:lang w:eastAsia="cs-CZ"/>
              </w:rPr>
              <w:t>souvislý porost vzrostlé zeleně - břízy, topoly, duby, jasany, třešně, bezy</w:t>
            </w:r>
          </w:p>
        </w:tc>
        <w:tc>
          <w:tcPr>
            <w:tcW w:w="2160" w:type="dxa"/>
            <w:shd w:val="clear" w:color="auto" w:fill="auto"/>
          </w:tcPr>
          <w:p w14:paraId="1915EC58" w14:textId="77777777" w:rsidR="00351328" w:rsidRPr="00461C16" w:rsidRDefault="00351328" w:rsidP="00B154E6">
            <w:pPr>
              <w:spacing w:before="40" w:after="40"/>
              <w:rPr>
                <w:rFonts w:eastAsia="Times New Roman" w:cs="Arial"/>
                <w:sz w:val="20"/>
                <w:lang w:eastAsia="cs-CZ"/>
              </w:rPr>
            </w:pPr>
            <w:r w:rsidRPr="00461C16">
              <w:rPr>
                <w:rFonts w:eastAsia="Times New Roman" w:cs="Arial"/>
                <w:sz w:val="20"/>
                <w:lang w:eastAsia="cs-CZ"/>
              </w:rPr>
              <w:t>Donín</w:t>
            </w:r>
          </w:p>
        </w:tc>
      </w:tr>
      <w:tr w:rsidR="00351328" w:rsidRPr="00461C16" w14:paraId="4C7CD888" w14:textId="77777777" w:rsidTr="008B1E9D">
        <w:tc>
          <w:tcPr>
            <w:tcW w:w="2353" w:type="dxa"/>
            <w:shd w:val="clear" w:color="auto" w:fill="auto"/>
          </w:tcPr>
          <w:p w14:paraId="446F7EA2" w14:textId="77777777" w:rsidR="00351328" w:rsidRPr="00461C16" w:rsidRDefault="00351328" w:rsidP="00B154E6">
            <w:pPr>
              <w:spacing w:before="40" w:after="40"/>
              <w:rPr>
                <w:rFonts w:eastAsia="Times New Roman" w:cs="Arial"/>
                <w:sz w:val="20"/>
                <w:lang w:eastAsia="cs-CZ"/>
              </w:rPr>
            </w:pPr>
            <w:r w:rsidRPr="00461C16">
              <w:rPr>
                <w:rFonts w:eastAsia="Times New Roman" w:cs="Arial"/>
                <w:sz w:val="20"/>
                <w:lang w:eastAsia="cs-CZ"/>
              </w:rPr>
              <w:t>tis u Totha, č.p. 305</w:t>
            </w:r>
          </w:p>
        </w:tc>
        <w:tc>
          <w:tcPr>
            <w:tcW w:w="2726" w:type="dxa"/>
            <w:shd w:val="clear" w:color="auto" w:fill="auto"/>
          </w:tcPr>
          <w:p w14:paraId="0459E2CC" w14:textId="77777777" w:rsidR="00351328" w:rsidRPr="00461C16" w:rsidRDefault="00351328" w:rsidP="00B154E6">
            <w:pPr>
              <w:spacing w:before="40" w:after="40"/>
              <w:rPr>
                <w:rFonts w:eastAsia="Times New Roman" w:cs="Arial"/>
                <w:sz w:val="20"/>
                <w:lang w:eastAsia="cs-CZ"/>
              </w:rPr>
            </w:pPr>
            <w:r w:rsidRPr="00461C16">
              <w:rPr>
                <w:rFonts w:eastAsia="Times New Roman" w:cs="Arial"/>
                <w:sz w:val="20"/>
                <w:lang w:eastAsia="cs-CZ"/>
              </w:rPr>
              <w:t>solitérní strom o stáří cca 300 let</w:t>
            </w:r>
          </w:p>
        </w:tc>
        <w:tc>
          <w:tcPr>
            <w:tcW w:w="2160" w:type="dxa"/>
            <w:shd w:val="clear" w:color="auto" w:fill="auto"/>
          </w:tcPr>
          <w:p w14:paraId="075E6CB4" w14:textId="77777777" w:rsidR="00351328" w:rsidRPr="00461C16" w:rsidRDefault="00351328" w:rsidP="00B154E6">
            <w:pPr>
              <w:spacing w:before="40" w:after="40"/>
              <w:rPr>
                <w:rFonts w:eastAsia="Times New Roman" w:cs="Arial"/>
                <w:sz w:val="20"/>
                <w:lang w:eastAsia="cs-CZ"/>
              </w:rPr>
            </w:pPr>
            <w:r w:rsidRPr="00461C16">
              <w:rPr>
                <w:rFonts w:eastAsia="Times New Roman" w:cs="Arial"/>
                <w:sz w:val="20"/>
                <w:lang w:eastAsia="cs-CZ"/>
              </w:rPr>
              <w:t>Loučná</w:t>
            </w:r>
          </w:p>
        </w:tc>
      </w:tr>
    </w:tbl>
    <w:p w14:paraId="6C8BBA83" w14:textId="77777777" w:rsidR="00B154E6" w:rsidRPr="00461C16" w:rsidRDefault="00B154E6" w:rsidP="00BD279F">
      <w:pPr>
        <w:pStyle w:val="Subtitle"/>
      </w:pPr>
    </w:p>
    <w:p w14:paraId="477F1D04" w14:textId="77777777" w:rsidR="00351328" w:rsidRPr="00461C16" w:rsidRDefault="00351328" w:rsidP="00BD279F">
      <w:pPr>
        <w:pStyle w:val="Subtitle"/>
      </w:pPr>
      <w:r w:rsidRPr="00461C16">
        <w:t xml:space="preserve">Lokality výskytu zvláště chráněných druhů rostlin a živočichů </w:t>
      </w:r>
    </w:p>
    <w:p w14:paraId="7288EBCE" w14:textId="77777777" w:rsidR="00351328" w:rsidRPr="00461C16" w:rsidRDefault="00351328" w:rsidP="00116330">
      <w:pPr>
        <w:pStyle w:val="1text"/>
        <w:rPr>
          <w:shd w:val="clear" w:color="auto" w:fill="FFFFFF"/>
        </w:rPr>
      </w:pPr>
      <w:r w:rsidRPr="00461C16">
        <w:rPr>
          <w:shd w:val="clear" w:color="auto" w:fill="FFFFFF"/>
        </w:rPr>
        <w:t>Jde o území s výskytem významných rostlinných nebo živočišných druhů, které jsou chráněny dle zákona o ochraně přírody a krajiny a nepožívají přímé územní ochr</w:t>
      </w:r>
      <w:r w:rsidR="00174B5F" w:rsidRPr="00461C16">
        <w:rPr>
          <w:shd w:val="clear" w:color="auto" w:fill="FFFFFF"/>
        </w:rPr>
        <w:t>a</w:t>
      </w:r>
      <w:r w:rsidRPr="00461C16">
        <w:rPr>
          <w:shd w:val="clear" w:color="auto" w:fill="FFFFFF"/>
        </w:rPr>
        <w:t xml:space="preserve">ny. </w:t>
      </w:r>
    </w:p>
    <w:p w14:paraId="09CB3760" w14:textId="77777777" w:rsidR="00351328" w:rsidRDefault="00351328" w:rsidP="00174B5F">
      <w:pPr>
        <w:pStyle w:val="1text"/>
        <w:rPr>
          <w:shd w:val="clear" w:color="auto" w:fill="FFFFFF"/>
        </w:rPr>
      </w:pPr>
      <w:r w:rsidRPr="00461C16">
        <w:rPr>
          <w:shd w:val="clear" w:color="auto" w:fill="FFFFFF"/>
        </w:rPr>
        <w:t xml:space="preserve">Na území města jsou vymezeny </w:t>
      </w:r>
      <w:r w:rsidR="00174B5F" w:rsidRPr="00461C16">
        <w:rPr>
          <w:shd w:val="clear" w:color="auto" w:fill="FFFFFF"/>
        </w:rPr>
        <w:t xml:space="preserve">čtyři </w:t>
      </w:r>
      <w:r w:rsidRPr="00461C16">
        <w:rPr>
          <w:shd w:val="clear" w:color="auto" w:fill="FFFFFF"/>
        </w:rPr>
        <w:t>lokality, všechny v</w:t>
      </w:r>
      <w:r w:rsidR="00174B5F" w:rsidRPr="00461C16">
        <w:rPr>
          <w:shd w:val="clear" w:color="auto" w:fill="FFFFFF"/>
        </w:rPr>
        <w:t> CHKO Lužické hory a v k.ú. Dolní Sedlo. Jedná se o lokality výskytu chráněných druhů obojživelníků, výra velkého (Bubo bubo), prstnatce májového (Dactylo</w:t>
      </w:r>
      <w:r w:rsidR="00A639D0" w:rsidRPr="00461C16">
        <w:rPr>
          <w:shd w:val="clear" w:color="auto" w:fill="FFFFFF"/>
        </w:rPr>
        <w:t>r</w:t>
      </w:r>
      <w:r w:rsidR="00174B5F" w:rsidRPr="00461C16">
        <w:rPr>
          <w:shd w:val="clear" w:color="auto" w:fill="FFFFFF"/>
        </w:rPr>
        <w:t>rhiza majalis) a tisu červeného (Taxus baccata). Jejich územní rozsah je zakreslen ve výkresu II.1</w:t>
      </w:r>
      <w:r w:rsidR="00116330" w:rsidRPr="00461C16">
        <w:rPr>
          <w:shd w:val="clear" w:color="auto" w:fill="FFFFFF"/>
        </w:rPr>
        <w:t xml:space="preserve">, z něhož je odvozeno následující schéma. </w:t>
      </w:r>
    </w:p>
    <w:p w14:paraId="541802F7" w14:textId="77777777" w:rsidR="00260557" w:rsidRPr="00461C16" w:rsidRDefault="00260557" w:rsidP="00174B5F">
      <w:pPr>
        <w:pStyle w:val="1text"/>
        <w:rPr>
          <w:shd w:val="clear" w:color="auto" w:fill="FFFFFF"/>
        </w:rPr>
      </w:pPr>
      <w:r>
        <w:rPr>
          <w:noProof/>
          <w:lang w:eastAsia="cs-CZ"/>
        </w:rPr>
        <w:lastRenderedPageBreak/>
        <w:drawing>
          <wp:inline distT="0" distB="0" distL="0" distR="0" wp14:anchorId="07B82F3A" wp14:editId="3FF88855">
            <wp:extent cx="5760720" cy="3859058"/>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3859058"/>
                    </a:xfrm>
                    <a:prstGeom prst="rect">
                      <a:avLst/>
                    </a:prstGeom>
                  </pic:spPr>
                </pic:pic>
              </a:graphicData>
            </a:graphic>
          </wp:inline>
        </w:drawing>
      </w:r>
    </w:p>
    <w:p w14:paraId="38369433" w14:textId="77777777" w:rsidR="00BD279F" w:rsidRPr="00461C16" w:rsidRDefault="00BD279F" w:rsidP="00116330">
      <w:pPr>
        <w:pStyle w:val="4podnadpis"/>
      </w:pPr>
      <w:r w:rsidRPr="00461C16">
        <w:t>Přechodně chráněná plocha</w:t>
      </w:r>
    </w:p>
    <w:p w14:paraId="20E03388" w14:textId="77777777" w:rsidR="00116330" w:rsidRPr="00461C16" w:rsidRDefault="00BD279F" w:rsidP="00351328">
      <w:pPr>
        <w:pStyle w:val="1text"/>
        <w:rPr>
          <w:shd w:val="clear" w:color="auto" w:fill="FFFFFF"/>
        </w:rPr>
      </w:pPr>
      <w:r w:rsidRPr="00461C16">
        <w:rPr>
          <w:shd w:val="clear" w:color="auto" w:fill="FFFFFF"/>
        </w:rPr>
        <w:t>Jde o území s dočasným nebo nepředvídaným výskytem významných rostlinných nebo živočišných druhů, nerostů nebo paleontologických nálezů.</w:t>
      </w:r>
      <w:r w:rsidR="00116330" w:rsidRPr="00461C16">
        <w:rPr>
          <w:shd w:val="clear" w:color="auto" w:fill="FFFFFF"/>
        </w:rPr>
        <w:t xml:space="preserve"> </w:t>
      </w:r>
    </w:p>
    <w:p w14:paraId="5425BB6D" w14:textId="77777777" w:rsidR="00BD279F" w:rsidRPr="00461C16" w:rsidRDefault="00BD279F" w:rsidP="00351328">
      <w:pPr>
        <w:pStyle w:val="1text"/>
      </w:pPr>
      <w:r w:rsidRPr="00461C16">
        <w:t xml:space="preserve">Na území </w:t>
      </w:r>
      <w:r w:rsidR="00116330" w:rsidRPr="00461C16">
        <w:t xml:space="preserve">města </w:t>
      </w:r>
      <w:r w:rsidRPr="00461C16">
        <w:t>Hrádek nad Nisou se nachází PCHP Pekařka</w:t>
      </w:r>
      <w:r w:rsidR="00116330" w:rsidRPr="00461C16">
        <w:t xml:space="preserve">, které </w:t>
      </w:r>
      <w:r w:rsidRPr="00461C16">
        <w:t xml:space="preserve">byla vyhlášena Správou CHKO Lužické hory jako příslušným orgánem ochrany přírody dne 29.2. 2008 na období 10 let (tj. </w:t>
      </w:r>
      <w:r w:rsidR="00116330" w:rsidRPr="00461C16">
        <w:t>d</w:t>
      </w:r>
      <w:r w:rsidRPr="00461C16">
        <w:t>o 30.</w:t>
      </w:r>
      <w:r w:rsidR="00116330" w:rsidRPr="00461C16">
        <w:t xml:space="preserve"> </w:t>
      </w:r>
      <w:r w:rsidRPr="00461C16">
        <w:t>6. 2017). PCHP Pekařka zahrnuje část pozemku parc. č. 502/1 v k. ú. Dolní Sedlo, přičemž lokalita zahrnuje plochu 51 ha a nachází se na pozemcích určených k plnění funkcí lesa. Předmětem ochrany je výr velký (Bubo bubo), který zde pravidelně hnízdí.</w:t>
      </w:r>
      <w:r w:rsidR="00116330" w:rsidRPr="00461C16">
        <w:t xml:space="preserve"> PCHP je shodně vymezena s lokalitou výskytu chráněných druhů – výr velký. </w:t>
      </w:r>
    </w:p>
    <w:p w14:paraId="46942854" w14:textId="77777777" w:rsidR="00116330" w:rsidRPr="00461C16" w:rsidRDefault="00116330" w:rsidP="00116330">
      <w:pPr>
        <w:pStyle w:val="4podnadpis"/>
      </w:pPr>
      <w:r w:rsidRPr="00461C16">
        <w:t xml:space="preserve">Migrační koridory velkých savců a migračně významná území </w:t>
      </w:r>
    </w:p>
    <w:p w14:paraId="3CDBEF4A" w14:textId="77777777" w:rsidR="00277A3F" w:rsidRPr="00461C16" w:rsidRDefault="00277A3F" w:rsidP="00277A3F">
      <w:pPr>
        <w:pStyle w:val="1text"/>
        <w:rPr>
          <w:lang w:eastAsia="cs-CZ"/>
        </w:rPr>
      </w:pPr>
      <w:r w:rsidRPr="00461C16">
        <w:rPr>
          <w:lang w:eastAsia="cs-CZ"/>
        </w:rPr>
        <w:t xml:space="preserve">Dálkové migrační koridory jsou základní jednotkou pro zachování dlouhodobě udržitelné průchodnosti krajiny pro velké savce. Jsou to liniové krajinné struktury délky desítek kilometrů a šířky v průměru 500 m, které propojují oblasti významné pro trvalý a přechodný výskyt velkých savců. Jejich základním cílem je zajištění alespoň </w:t>
      </w:r>
      <w:r w:rsidRPr="00461C16">
        <w:rPr>
          <w:bCs/>
          <w:lang w:eastAsia="cs-CZ"/>
        </w:rPr>
        <w:t>minimální</w:t>
      </w:r>
      <w:r w:rsidRPr="00461C16">
        <w:rPr>
          <w:lang w:eastAsia="cs-CZ"/>
        </w:rPr>
        <w:t>, ale dlouhodobě udržitelné konektivity krajiny i pro ostatní druhy, které jsou vázány na lesní prostředí.</w:t>
      </w:r>
    </w:p>
    <w:p w14:paraId="5C77BC61" w14:textId="77777777" w:rsidR="00277A3F" w:rsidRPr="00461C16" w:rsidRDefault="00E10151" w:rsidP="00E10151">
      <w:pPr>
        <w:pStyle w:val="1text"/>
        <w:rPr>
          <w:lang w:eastAsia="cs-CZ"/>
        </w:rPr>
      </w:pPr>
      <w:r w:rsidRPr="00461C16">
        <w:rPr>
          <w:lang w:eastAsia="cs-CZ"/>
        </w:rPr>
        <w:t xml:space="preserve">Na území města prochází koridor ve směru východ západ východní částí CHKO Lužické hory a ve směru sever jih </w:t>
      </w:r>
      <w:r w:rsidR="00A639D0" w:rsidRPr="00461C16">
        <w:rPr>
          <w:lang w:eastAsia="cs-CZ"/>
        </w:rPr>
        <w:t xml:space="preserve">a ve </w:t>
      </w:r>
      <w:r w:rsidRPr="00461C16">
        <w:rPr>
          <w:lang w:eastAsia="cs-CZ"/>
        </w:rPr>
        <w:t>východní částí města</w:t>
      </w:r>
      <w:r w:rsidR="00A639D0" w:rsidRPr="00461C16">
        <w:rPr>
          <w:lang w:eastAsia="cs-CZ"/>
        </w:rPr>
        <w:t>.</w:t>
      </w:r>
    </w:p>
    <w:p w14:paraId="7882AE8D" w14:textId="77777777" w:rsidR="008F71D6" w:rsidRPr="00461C16" w:rsidRDefault="008F71D6" w:rsidP="0067294D">
      <w:pPr>
        <w:spacing w:before="120"/>
      </w:pPr>
      <w:r w:rsidRPr="00461C16">
        <w:t xml:space="preserve">Východní část CHKO Lužické hory a lesní pozemky v okolí Václavic jsou zařazeny do tzv. migračně významného území (MVÚ), tedy území, kde lze očekávat výskyt migrujících savců. Jedná se o široká území, která zahrnují oblasti jak pro trvalý výskyt zájmových druhů, tak pro zajištění migrační propustnosti. V rámci MVÚ je třeba zajistit ochranu migrační propustnosti krajiny jako celku tak, aby byla vždy zajištěna dostatečná kvalita </w:t>
      </w:r>
      <w:r w:rsidRPr="00461C16">
        <w:rPr>
          <w:bCs/>
        </w:rPr>
        <w:t>lesních biotopů</w:t>
      </w:r>
      <w:r w:rsidRPr="00461C16">
        <w:t xml:space="preserve"> a variabilita jejich propojení širšího celkového kontextu krajiny.</w:t>
      </w:r>
    </w:p>
    <w:p w14:paraId="486F44D8" w14:textId="77777777" w:rsidR="008F71D6" w:rsidRPr="00461C16" w:rsidRDefault="008F71D6" w:rsidP="00116330">
      <w:pPr>
        <w:pStyle w:val="4podnadpis"/>
      </w:pPr>
      <w:r w:rsidRPr="00461C16">
        <w:t>Skladebné části územního systému ekologické stability</w:t>
      </w:r>
    </w:p>
    <w:p w14:paraId="6FB0E26A" w14:textId="77777777" w:rsidR="008F71D6" w:rsidRPr="00461C16" w:rsidRDefault="008F71D6" w:rsidP="00116330">
      <w:pPr>
        <w:spacing w:before="120"/>
      </w:pPr>
      <w:r w:rsidRPr="00461C16">
        <w:t>Z hlediska zachování ekologické stability a biologické diverzity krajiny jsou jako přírodní hodnoty vymezeny dále skladebné části územního systému ekologické stability (ÚSES) na nadregionální, regionální a lokální úrovni. Řada z nich se územně shoduje s dalšími přírodními hodnotami, zejména VKP a lokalitami výskytu zvláště chráněných druhů. Systém je podrobně popsán v kap. 6.6.4 Odůvodnění a zakreslen ve výkresech I.</w:t>
      </w:r>
      <w:r w:rsidR="00E414D7" w:rsidRPr="00461C16">
        <w:t>2</w:t>
      </w:r>
      <w:r w:rsidR="00E414D7">
        <w:t>a</w:t>
      </w:r>
      <w:r w:rsidR="00E414D7" w:rsidRPr="00461C16">
        <w:t xml:space="preserve"> </w:t>
      </w:r>
      <w:r w:rsidRPr="00461C16">
        <w:t>a II.1.</w:t>
      </w:r>
    </w:p>
    <w:p w14:paraId="6FEAF571" w14:textId="77777777" w:rsidR="00116330" w:rsidRPr="00461C16" w:rsidRDefault="00116330" w:rsidP="00116330">
      <w:pPr>
        <w:pStyle w:val="4podnadpis"/>
      </w:pPr>
      <w:r w:rsidRPr="00461C16">
        <w:lastRenderedPageBreak/>
        <w:t>Lokality se zvýšenou hodnotou krajinného rázu</w:t>
      </w:r>
    </w:p>
    <w:p w14:paraId="23D6D07C" w14:textId="77777777" w:rsidR="00116330" w:rsidRPr="00461C16" w:rsidRDefault="00116330" w:rsidP="00116330">
      <w:pPr>
        <w:pStyle w:val="1odstavec"/>
      </w:pPr>
      <w:r w:rsidRPr="00461C16">
        <w:t>Lokality (území, objektů) se zvýšenou hodnotou krajinného rázu pozitivně definují vzhled a image území města a je tedy nanejvýš žádoucí je chránit před jejich negativními vlivy zejména z hlediska jejich vizuálního působení.</w:t>
      </w:r>
      <w:r w:rsidR="00A639D0" w:rsidRPr="00461C16">
        <w:t xml:space="preserve"> </w:t>
      </w:r>
      <w:r w:rsidRPr="00461C16">
        <w:t>Podrobný popis je uveden v kap. 6.6.2 Odůvodnění.</w:t>
      </w:r>
    </w:p>
    <w:p w14:paraId="0308F633" w14:textId="77777777" w:rsidR="00116330" w:rsidRPr="00461C16" w:rsidRDefault="00116330" w:rsidP="00116330">
      <w:pPr>
        <w:pStyle w:val="4podnadpis"/>
      </w:pPr>
      <w:r w:rsidRPr="00461C16">
        <w:t>Plochy zemědělské půdy v 1. a 2. třídě ochrany</w:t>
      </w:r>
    </w:p>
    <w:p w14:paraId="09D9AB24" w14:textId="77777777" w:rsidR="00116330" w:rsidRPr="00461C16" w:rsidRDefault="00116330" w:rsidP="00116330">
      <w:pPr>
        <w:pStyle w:val="1odstavec"/>
      </w:pPr>
      <w:r w:rsidRPr="00461C16">
        <w:t>V souladu se zákonem č. 334/1992 Sb., o ochraně zemědělského půdního fondu v platném znění jsou jako přírodní hodnota a významný přírodní zdroj označeny půdy I. a II. třídy ochrany s výjimkou ploch, které jsou dotčeny vymezením zastavitelných ploch a ploch přestavby. Ty jsou omezeny pouze na plochy vymezené již územním plánem platným v době zhotovení tohoto nového ÚP.</w:t>
      </w:r>
    </w:p>
    <w:p w14:paraId="7E8748C9" w14:textId="77777777" w:rsidR="00A639D0" w:rsidRPr="00461C16" w:rsidRDefault="00A639D0" w:rsidP="00A639D0">
      <w:pPr>
        <w:pStyle w:val="4podnadpis"/>
      </w:pPr>
      <w:r w:rsidRPr="00461C16">
        <w:t>Vodní zdroje</w:t>
      </w:r>
    </w:p>
    <w:p w14:paraId="27004D82" w14:textId="77777777" w:rsidR="00A639D0" w:rsidRPr="00461C16" w:rsidRDefault="00486408" w:rsidP="00A639D0">
      <w:pPr>
        <w:pStyle w:val="1text"/>
      </w:pPr>
      <w:r w:rsidRPr="00461C16">
        <w:t>Na území města se nachází několik vodních zdrojů podzemní vody využívaných po zásobování města (viz kap. 6.5.2).</w:t>
      </w:r>
    </w:p>
    <w:p w14:paraId="51AA4094" w14:textId="77777777" w:rsidR="00486408" w:rsidRPr="00461C16" w:rsidRDefault="00486408" w:rsidP="00A639D0">
      <w:pPr>
        <w:pStyle w:val="1text"/>
      </w:pPr>
      <w:r w:rsidRPr="00461C16">
        <w:t>Zásoby podzemní vody v oblasti Lužických hor spadají do Chráněné oblasti přirozené akumulace vod Severočeská křída.</w:t>
      </w:r>
    </w:p>
    <w:p w14:paraId="0B7C4B21" w14:textId="77777777" w:rsidR="00486408" w:rsidRPr="00461C16" w:rsidRDefault="00486408" w:rsidP="00486408">
      <w:pPr>
        <w:pStyle w:val="4podnadpis"/>
      </w:pPr>
      <w:r w:rsidRPr="00461C16">
        <w:t xml:space="preserve">Zdroje nerostných surovin </w:t>
      </w:r>
    </w:p>
    <w:p w14:paraId="3A5AF0E7" w14:textId="77777777" w:rsidR="00486408" w:rsidRPr="00461C16" w:rsidRDefault="00486408" w:rsidP="00486408">
      <w:pPr>
        <w:pStyle w:val="1text"/>
        <w:spacing w:after="120"/>
      </w:pPr>
      <w:r w:rsidRPr="00461C16">
        <w:t>Ložiska nerostných surovin jsou významným ekonomickým potenciálem území Hrádku nad Nisou. Nacházejí se zde významná ložiska štěrkopísku a hnědého uhlí uvedená v následující tabulce.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8"/>
        <w:gridCol w:w="1234"/>
        <w:gridCol w:w="2263"/>
        <w:gridCol w:w="1637"/>
        <w:gridCol w:w="1786"/>
      </w:tblGrid>
      <w:tr w:rsidR="00A53768" w:rsidRPr="00461C16" w14:paraId="0D9BB883" w14:textId="77777777" w:rsidTr="00A53768">
        <w:tc>
          <w:tcPr>
            <w:tcW w:w="2368" w:type="dxa"/>
            <w:shd w:val="clear" w:color="auto" w:fill="F2F2F2" w:themeFill="background1" w:themeFillShade="F2"/>
          </w:tcPr>
          <w:p w14:paraId="4DD8A56F" w14:textId="77777777" w:rsidR="00A53768" w:rsidRPr="00461C16" w:rsidRDefault="00A53768" w:rsidP="00B154E6">
            <w:pPr>
              <w:spacing w:before="40" w:after="40" w:line="240" w:lineRule="auto"/>
              <w:jc w:val="left"/>
              <w:rPr>
                <w:rFonts w:cs="Arial"/>
                <w:b/>
                <w:sz w:val="20"/>
              </w:rPr>
            </w:pPr>
            <w:r w:rsidRPr="00461C16">
              <w:rPr>
                <w:rFonts w:cs="Arial"/>
                <w:b/>
                <w:sz w:val="20"/>
              </w:rPr>
              <w:t>Název ložiska</w:t>
            </w:r>
          </w:p>
        </w:tc>
        <w:tc>
          <w:tcPr>
            <w:tcW w:w="1234" w:type="dxa"/>
            <w:shd w:val="clear" w:color="auto" w:fill="F2F2F2" w:themeFill="background1" w:themeFillShade="F2"/>
          </w:tcPr>
          <w:p w14:paraId="0B4F7329" w14:textId="77777777" w:rsidR="00A53768" w:rsidRPr="00461C16" w:rsidRDefault="00A53768" w:rsidP="00B154E6">
            <w:pPr>
              <w:spacing w:before="40" w:after="40" w:line="240" w:lineRule="auto"/>
              <w:jc w:val="left"/>
              <w:rPr>
                <w:rFonts w:cs="Arial"/>
                <w:b/>
                <w:sz w:val="20"/>
              </w:rPr>
            </w:pPr>
            <w:r w:rsidRPr="00461C16">
              <w:rPr>
                <w:rFonts w:cs="Arial"/>
                <w:b/>
                <w:sz w:val="20"/>
              </w:rPr>
              <w:t>Číslo ložiska</w:t>
            </w:r>
          </w:p>
        </w:tc>
        <w:tc>
          <w:tcPr>
            <w:tcW w:w="2263" w:type="dxa"/>
            <w:shd w:val="clear" w:color="auto" w:fill="F2F2F2" w:themeFill="background1" w:themeFillShade="F2"/>
          </w:tcPr>
          <w:p w14:paraId="0201AB96" w14:textId="77777777" w:rsidR="00A53768" w:rsidRPr="00461C16" w:rsidRDefault="00A53768" w:rsidP="00B154E6">
            <w:pPr>
              <w:spacing w:before="40" w:after="40" w:line="240" w:lineRule="auto"/>
              <w:rPr>
                <w:rFonts w:cs="Arial"/>
                <w:b/>
                <w:sz w:val="20"/>
              </w:rPr>
            </w:pPr>
            <w:r w:rsidRPr="00461C16">
              <w:rPr>
                <w:rFonts w:cs="Arial"/>
                <w:b/>
                <w:sz w:val="20"/>
              </w:rPr>
              <w:t>Rozsah (dotčené obce)</w:t>
            </w:r>
          </w:p>
        </w:tc>
        <w:tc>
          <w:tcPr>
            <w:tcW w:w="1637" w:type="dxa"/>
            <w:shd w:val="clear" w:color="auto" w:fill="F2F2F2" w:themeFill="background1" w:themeFillShade="F2"/>
          </w:tcPr>
          <w:p w14:paraId="15205C1B" w14:textId="77777777" w:rsidR="00A53768" w:rsidRPr="00461C16" w:rsidRDefault="00A53768" w:rsidP="00B154E6">
            <w:pPr>
              <w:spacing w:before="40" w:after="40" w:line="240" w:lineRule="auto"/>
              <w:jc w:val="left"/>
              <w:rPr>
                <w:rFonts w:cs="Arial"/>
                <w:b/>
                <w:sz w:val="20"/>
              </w:rPr>
            </w:pPr>
            <w:r w:rsidRPr="00461C16">
              <w:rPr>
                <w:rFonts w:cs="Arial"/>
                <w:b/>
                <w:sz w:val="20"/>
              </w:rPr>
              <w:t>Surovina</w:t>
            </w:r>
          </w:p>
        </w:tc>
        <w:tc>
          <w:tcPr>
            <w:tcW w:w="1786" w:type="dxa"/>
            <w:shd w:val="clear" w:color="auto" w:fill="F2F2F2" w:themeFill="background1" w:themeFillShade="F2"/>
          </w:tcPr>
          <w:p w14:paraId="157A3DA6" w14:textId="77777777" w:rsidR="00A53768" w:rsidRPr="00461C16" w:rsidRDefault="00A53768" w:rsidP="00B154E6">
            <w:pPr>
              <w:spacing w:before="40" w:after="40" w:line="240" w:lineRule="auto"/>
              <w:rPr>
                <w:rFonts w:cs="Arial"/>
                <w:b/>
                <w:sz w:val="20"/>
              </w:rPr>
            </w:pPr>
            <w:r w:rsidRPr="00461C16">
              <w:rPr>
                <w:rFonts w:cs="Arial"/>
                <w:b/>
                <w:sz w:val="20"/>
              </w:rPr>
              <w:t>Těžba</w:t>
            </w:r>
          </w:p>
        </w:tc>
      </w:tr>
      <w:tr w:rsidR="00486408" w:rsidRPr="00461C16" w14:paraId="3305DA23" w14:textId="77777777" w:rsidTr="00B154E6">
        <w:tc>
          <w:tcPr>
            <w:tcW w:w="9288" w:type="dxa"/>
            <w:gridSpan w:val="5"/>
            <w:shd w:val="clear" w:color="auto" w:fill="C2D69B" w:themeFill="accent3" w:themeFillTint="99"/>
          </w:tcPr>
          <w:p w14:paraId="2A023DB4" w14:textId="77777777" w:rsidR="00486408" w:rsidRPr="00461C16" w:rsidRDefault="00486408" w:rsidP="00B154E6">
            <w:pPr>
              <w:spacing w:before="40" w:after="40" w:line="240" w:lineRule="auto"/>
              <w:jc w:val="center"/>
              <w:rPr>
                <w:rFonts w:cs="Arial"/>
                <w:b/>
                <w:i/>
                <w:sz w:val="20"/>
              </w:rPr>
            </w:pPr>
            <w:r w:rsidRPr="00461C16">
              <w:rPr>
                <w:rFonts w:cs="Arial"/>
                <w:b/>
                <w:i/>
                <w:sz w:val="20"/>
              </w:rPr>
              <w:t xml:space="preserve">Bilancovaná </w:t>
            </w:r>
            <w:r w:rsidR="004B62B3" w:rsidRPr="00461C16">
              <w:rPr>
                <w:rFonts w:cs="Arial"/>
                <w:b/>
                <w:i/>
                <w:sz w:val="20"/>
              </w:rPr>
              <w:t xml:space="preserve">/ evidovaná </w:t>
            </w:r>
            <w:r w:rsidRPr="00461C16">
              <w:rPr>
                <w:rFonts w:cs="Arial"/>
                <w:b/>
                <w:i/>
                <w:sz w:val="20"/>
              </w:rPr>
              <w:t>ložiska výhradní</w:t>
            </w:r>
          </w:p>
        </w:tc>
      </w:tr>
      <w:tr w:rsidR="00486408" w:rsidRPr="00461C16" w14:paraId="0F8F102B" w14:textId="77777777" w:rsidTr="00486408">
        <w:tc>
          <w:tcPr>
            <w:tcW w:w="2368" w:type="dxa"/>
            <w:shd w:val="clear" w:color="auto" w:fill="auto"/>
          </w:tcPr>
          <w:p w14:paraId="028E4FF4" w14:textId="77777777" w:rsidR="00486408" w:rsidRPr="00461C16" w:rsidRDefault="00486408" w:rsidP="00B154E6">
            <w:pPr>
              <w:spacing w:before="40" w:after="40" w:line="240" w:lineRule="auto"/>
              <w:jc w:val="left"/>
              <w:rPr>
                <w:rFonts w:cs="Arial"/>
                <w:sz w:val="20"/>
              </w:rPr>
            </w:pPr>
            <w:r w:rsidRPr="00461C16">
              <w:rPr>
                <w:rFonts w:cs="Arial"/>
                <w:sz w:val="20"/>
              </w:rPr>
              <w:t>Grabšt</w:t>
            </w:r>
            <w:r w:rsidR="004B62B3" w:rsidRPr="00461C16">
              <w:rPr>
                <w:rFonts w:cs="Arial"/>
                <w:sz w:val="20"/>
              </w:rPr>
              <w:t>e</w:t>
            </w:r>
            <w:r w:rsidRPr="00461C16">
              <w:rPr>
                <w:rFonts w:cs="Arial"/>
                <w:sz w:val="20"/>
              </w:rPr>
              <w:t>jn</w:t>
            </w:r>
          </w:p>
        </w:tc>
        <w:tc>
          <w:tcPr>
            <w:tcW w:w="1234" w:type="dxa"/>
            <w:shd w:val="clear" w:color="auto" w:fill="auto"/>
          </w:tcPr>
          <w:p w14:paraId="289DF1F3" w14:textId="77777777" w:rsidR="00486408" w:rsidRPr="00461C16" w:rsidRDefault="00486408" w:rsidP="00B154E6">
            <w:pPr>
              <w:spacing w:before="40" w:after="40" w:line="240" w:lineRule="auto"/>
              <w:jc w:val="left"/>
              <w:rPr>
                <w:rFonts w:cs="Arial"/>
                <w:sz w:val="20"/>
              </w:rPr>
            </w:pPr>
            <w:r w:rsidRPr="00461C16">
              <w:rPr>
                <w:rFonts w:cs="Arial"/>
                <w:sz w:val="20"/>
              </w:rPr>
              <w:t>3000100</w:t>
            </w:r>
          </w:p>
        </w:tc>
        <w:tc>
          <w:tcPr>
            <w:tcW w:w="2263" w:type="dxa"/>
            <w:shd w:val="clear" w:color="auto" w:fill="auto"/>
          </w:tcPr>
          <w:p w14:paraId="4E57B47F" w14:textId="77777777" w:rsidR="00486408" w:rsidRPr="00461C16" w:rsidRDefault="00486408" w:rsidP="00B154E6">
            <w:pPr>
              <w:spacing w:before="40" w:after="40" w:line="240" w:lineRule="auto"/>
              <w:rPr>
                <w:rFonts w:cs="Arial"/>
                <w:sz w:val="20"/>
              </w:rPr>
            </w:pPr>
            <w:r w:rsidRPr="00461C16">
              <w:rPr>
                <w:rFonts w:cs="Arial"/>
                <w:sz w:val="20"/>
              </w:rPr>
              <w:t>Hrádek n.N., Chotyně</w:t>
            </w:r>
          </w:p>
        </w:tc>
        <w:tc>
          <w:tcPr>
            <w:tcW w:w="1637" w:type="dxa"/>
            <w:shd w:val="clear" w:color="auto" w:fill="auto"/>
          </w:tcPr>
          <w:p w14:paraId="15B445FB" w14:textId="77777777" w:rsidR="00486408" w:rsidRPr="00461C16" w:rsidRDefault="00486408" w:rsidP="00B154E6">
            <w:pPr>
              <w:spacing w:before="40" w:after="40" w:line="240" w:lineRule="auto"/>
              <w:jc w:val="left"/>
              <w:rPr>
                <w:rFonts w:cs="Arial"/>
                <w:sz w:val="20"/>
              </w:rPr>
            </w:pPr>
            <w:r w:rsidRPr="00461C16">
              <w:rPr>
                <w:rFonts w:cs="Arial"/>
                <w:sz w:val="20"/>
              </w:rPr>
              <w:t>štěrkopísky</w:t>
            </w:r>
          </w:p>
        </w:tc>
        <w:tc>
          <w:tcPr>
            <w:tcW w:w="1786" w:type="dxa"/>
            <w:shd w:val="clear" w:color="auto" w:fill="auto"/>
          </w:tcPr>
          <w:p w14:paraId="3FED597E" w14:textId="77777777" w:rsidR="00486408" w:rsidRPr="00461C16" w:rsidRDefault="00486408" w:rsidP="00B154E6">
            <w:pPr>
              <w:spacing w:before="40" w:after="40" w:line="240" w:lineRule="auto"/>
              <w:jc w:val="left"/>
              <w:rPr>
                <w:rFonts w:cs="Arial"/>
                <w:sz w:val="20"/>
              </w:rPr>
            </w:pPr>
            <w:r w:rsidRPr="00461C16">
              <w:rPr>
                <w:rFonts w:cs="Arial"/>
                <w:sz w:val="20"/>
              </w:rPr>
              <w:t>dřívější povrchová</w:t>
            </w:r>
          </w:p>
        </w:tc>
      </w:tr>
      <w:tr w:rsidR="00486408" w:rsidRPr="00461C16" w14:paraId="4CAC06DA" w14:textId="77777777" w:rsidTr="00486408">
        <w:tc>
          <w:tcPr>
            <w:tcW w:w="2368" w:type="dxa"/>
            <w:shd w:val="clear" w:color="auto" w:fill="auto"/>
          </w:tcPr>
          <w:p w14:paraId="7E6BE97B" w14:textId="77777777" w:rsidR="00486408" w:rsidRPr="00461C16" w:rsidRDefault="00486408" w:rsidP="00B154E6">
            <w:pPr>
              <w:spacing w:before="40" w:after="40" w:line="240" w:lineRule="auto"/>
              <w:jc w:val="left"/>
              <w:rPr>
                <w:rFonts w:cs="Arial"/>
                <w:sz w:val="20"/>
              </w:rPr>
            </w:pPr>
            <w:r w:rsidRPr="00461C16">
              <w:rPr>
                <w:rFonts w:cs="Arial"/>
                <w:sz w:val="20"/>
              </w:rPr>
              <w:t>Chotyně</w:t>
            </w:r>
          </w:p>
        </w:tc>
        <w:tc>
          <w:tcPr>
            <w:tcW w:w="1234" w:type="dxa"/>
            <w:shd w:val="clear" w:color="auto" w:fill="auto"/>
          </w:tcPr>
          <w:p w14:paraId="0CE905CE" w14:textId="77777777" w:rsidR="00486408" w:rsidRPr="00461C16" w:rsidRDefault="00486408" w:rsidP="00B154E6">
            <w:pPr>
              <w:spacing w:before="40" w:after="40" w:line="240" w:lineRule="auto"/>
              <w:jc w:val="left"/>
              <w:rPr>
                <w:rFonts w:cs="Arial"/>
                <w:sz w:val="20"/>
              </w:rPr>
            </w:pPr>
            <w:r w:rsidRPr="00461C16">
              <w:rPr>
                <w:rFonts w:cs="Arial"/>
                <w:sz w:val="20"/>
              </w:rPr>
              <w:t>3000201</w:t>
            </w:r>
          </w:p>
        </w:tc>
        <w:tc>
          <w:tcPr>
            <w:tcW w:w="2263" w:type="dxa"/>
            <w:shd w:val="clear" w:color="auto" w:fill="auto"/>
          </w:tcPr>
          <w:p w14:paraId="62905586" w14:textId="77777777" w:rsidR="00486408" w:rsidRPr="00461C16" w:rsidRDefault="00486408" w:rsidP="00B154E6">
            <w:pPr>
              <w:spacing w:before="40" w:after="40" w:line="240" w:lineRule="auto"/>
              <w:rPr>
                <w:rFonts w:cs="Arial"/>
                <w:sz w:val="20"/>
              </w:rPr>
            </w:pPr>
            <w:r w:rsidRPr="00461C16">
              <w:rPr>
                <w:rFonts w:cs="Arial"/>
                <w:sz w:val="20"/>
              </w:rPr>
              <w:t>Hrádek n.N., Chotyně</w:t>
            </w:r>
          </w:p>
        </w:tc>
        <w:tc>
          <w:tcPr>
            <w:tcW w:w="1637" w:type="dxa"/>
            <w:shd w:val="clear" w:color="auto" w:fill="auto"/>
          </w:tcPr>
          <w:p w14:paraId="562DDD87" w14:textId="77777777" w:rsidR="00486408" w:rsidRPr="00461C16" w:rsidRDefault="00486408" w:rsidP="00B154E6">
            <w:pPr>
              <w:spacing w:before="40" w:after="40" w:line="240" w:lineRule="auto"/>
              <w:jc w:val="left"/>
              <w:rPr>
                <w:rFonts w:cs="Arial"/>
                <w:sz w:val="20"/>
              </w:rPr>
            </w:pPr>
            <w:r w:rsidRPr="00461C16">
              <w:rPr>
                <w:rFonts w:cs="Arial"/>
                <w:sz w:val="20"/>
              </w:rPr>
              <w:t>štěrkopísky</w:t>
            </w:r>
          </w:p>
        </w:tc>
        <w:tc>
          <w:tcPr>
            <w:tcW w:w="1786" w:type="dxa"/>
            <w:shd w:val="clear" w:color="auto" w:fill="auto"/>
          </w:tcPr>
          <w:p w14:paraId="38987ACE" w14:textId="77777777" w:rsidR="00486408" w:rsidRPr="00461C16" w:rsidRDefault="00486408" w:rsidP="00B154E6">
            <w:pPr>
              <w:spacing w:before="40" w:after="40" w:line="240" w:lineRule="auto"/>
              <w:jc w:val="left"/>
              <w:rPr>
                <w:rFonts w:cs="Arial"/>
                <w:sz w:val="20"/>
              </w:rPr>
            </w:pPr>
            <w:r w:rsidRPr="00461C16">
              <w:rPr>
                <w:rFonts w:cs="Arial"/>
                <w:sz w:val="20"/>
              </w:rPr>
              <w:t>dřívější povrchová</w:t>
            </w:r>
          </w:p>
        </w:tc>
      </w:tr>
      <w:tr w:rsidR="00486408" w:rsidRPr="00461C16" w14:paraId="48ED456F" w14:textId="77777777" w:rsidTr="00486408">
        <w:tc>
          <w:tcPr>
            <w:tcW w:w="2368" w:type="dxa"/>
            <w:shd w:val="clear" w:color="auto" w:fill="auto"/>
          </w:tcPr>
          <w:p w14:paraId="7E8FC71D" w14:textId="77777777" w:rsidR="00486408" w:rsidRPr="00461C16" w:rsidRDefault="00486408" w:rsidP="00B154E6">
            <w:pPr>
              <w:spacing w:before="40" w:after="40" w:line="240" w:lineRule="auto"/>
              <w:jc w:val="left"/>
              <w:rPr>
                <w:rFonts w:cs="Arial"/>
                <w:sz w:val="20"/>
              </w:rPr>
            </w:pPr>
            <w:r w:rsidRPr="00461C16">
              <w:rPr>
                <w:rFonts w:cs="Arial"/>
                <w:sz w:val="20"/>
              </w:rPr>
              <w:t>Chotyně 2</w:t>
            </w:r>
          </w:p>
        </w:tc>
        <w:tc>
          <w:tcPr>
            <w:tcW w:w="1234" w:type="dxa"/>
            <w:shd w:val="clear" w:color="auto" w:fill="auto"/>
          </w:tcPr>
          <w:p w14:paraId="6CD68F48" w14:textId="77777777" w:rsidR="00486408" w:rsidRPr="00461C16" w:rsidRDefault="00486408" w:rsidP="00B154E6">
            <w:pPr>
              <w:spacing w:before="40" w:after="40" w:line="240" w:lineRule="auto"/>
              <w:jc w:val="left"/>
              <w:rPr>
                <w:rFonts w:cs="Arial"/>
                <w:sz w:val="20"/>
              </w:rPr>
            </w:pPr>
            <w:r w:rsidRPr="00461C16">
              <w:rPr>
                <w:rFonts w:cs="Arial"/>
                <w:sz w:val="20"/>
              </w:rPr>
              <w:t>3000300</w:t>
            </w:r>
          </w:p>
        </w:tc>
        <w:tc>
          <w:tcPr>
            <w:tcW w:w="2263" w:type="dxa"/>
            <w:shd w:val="clear" w:color="auto" w:fill="auto"/>
          </w:tcPr>
          <w:p w14:paraId="7E439EC9" w14:textId="77777777" w:rsidR="00486408" w:rsidRPr="00461C16" w:rsidRDefault="00486408" w:rsidP="00B154E6">
            <w:pPr>
              <w:spacing w:before="40" w:after="40" w:line="240" w:lineRule="auto"/>
              <w:rPr>
                <w:rFonts w:cs="Arial"/>
                <w:sz w:val="20"/>
              </w:rPr>
            </w:pPr>
            <w:r w:rsidRPr="00461C16">
              <w:rPr>
                <w:rFonts w:cs="Arial"/>
                <w:sz w:val="20"/>
              </w:rPr>
              <w:t>Hrádek n.N., Chotyně</w:t>
            </w:r>
          </w:p>
        </w:tc>
        <w:tc>
          <w:tcPr>
            <w:tcW w:w="1637" w:type="dxa"/>
            <w:shd w:val="clear" w:color="auto" w:fill="auto"/>
          </w:tcPr>
          <w:p w14:paraId="032F78F0" w14:textId="77777777" w:rsidR="00486408" w:rsidRPr="00461C16" w:rsidRDefault="00486408" w:rsidP="00B154E6">
            <w:pPr>
              <w:spacing w:before="40" w:after="40" w:line="240" w:lineRule="auto"/>
              <w:jc w:val="left"/>
              <w:rPr>
                <w:rFonts w:cs="Arial"/>
                <w:sz w:val="20"/>
              </w:rPr>
            </w:pPr>
            <w:r w:rsidRPr="00461C16">
              <w:rPr>
                <w:rFonts w:cs="Arial"/>
                <w:sz w:val="20"/>
              </w:rPr>
              <w:t>štěrkopísky</w:t>
            </w:r>
          </w:p>
        </w:tc>
        <w:tc>
          <w:tcPr>
            <w:tcW w:w="1786" w:type="dxa"/>
            <w:shd w:val="clear" w:color="auto" w:fill="auto"/>
          </w:tcPr>
          <w:p w14:paraId="4F3F42AA" w14:textId="77777777" w:rsidR="00486408" w:rsidRPr="00461C16" w:rsidRDefault="00486408" w:rsidP="00B154E6">
            <w:pPr>
              <w:spacing w:before="40" w:after="40" w:line="240" w:lineRule="auto"/>
              <w:jc w:val="left"/>
              <w:rPr>
                <w:rFonts w:cs="Arial"/>
                <w:sz w:val="20"/>
              </w:rPr>
            </w:pPr>
            <w:r w:rsidRPr="00461C16">
              <w:rPr>
                <w:rFonts w:cs="Arial"/>
                <w:sz w:val="20"/>
              </w:rPr>
              <w:t>dřívější povrchová</w:t>
            </w:r>
          </w:p>
        </w:tc>
      </w:tr>
      <w:tr w:rsidR="00486408" w:rsidRPr="00461C16" w14:paraId="415557A1" w14:textId="77777777" w:rsidTr="00486408">
        <w:tc>
          <w:tcPr>
            <w:tcW w:w="2368" w:type="dxa"/>
            <w:shd w:val="clear" w:color="auto" w:fill="auto"/>
          </w:tcPr>
          <w:p w14:paraId="518D7D5A" w14:textId="77777777" w:rsidR="00486408" w:rsidRPr="00461C16" w:rsidRDefault="00486408" w:rsidP="00B154E6">
            <w:pPr>
              <w:spacing w:before="40" w:after="40" w:line="240" w:lineRule="auto"/>
              <w:jc w:val="left"/>
              <w:rPr>
                <w:rFonts w:cs="Arial"/>
                <w:sz w:val="20"/>
              </w:rPr>
            </w:pPr>
            <w:r w:rsidRPr="00461C16">
              <w:rPr>
                <w:rFonts w:cs="Arial"/>
                <w:sz w:val="20"/>
              </w:rPr>
              <w:t>Oldřichov-Hrádek nad Nisou</w:t>
            </w:r>
          </w:p>
        </w:tc>
        <w:tc>
          <w:tcPr>
            <w:tcW w:w="1234" w:type="dxa"/>
            <w:shd w:val="clear" w:color="auto" w:fill="auto"/>
          </w:tcPr>
          <w:p w14:paraId="3C0ED138" w14:textId="77777777" w:rsidR="00486408" w:rsidRPr="00461C16" w:rsidRDefault="00486408" w:rsidP="00B154E6">
            <w:pPr>
              <w:spacing w:before="40" w:after="40" w:line="240" w:lineRule="auto"/>
              <w:rPr>
                <w:rFonts w:cs="Arial"/>
                <w:sz w:val="20"/>
              </w:rPr>
            </w:pPr>
            <w:r w:rsidRPr="00461C16">
              <w:rPr>
                <w:rFonts w:cs="Arial"/>
                <w:sz w:val="20"/>
              </w:rPr>
              <w:t>5232000</w:t>
            </w:r>
          </w:p>
        </w:tc>
        <w:tc>
          <w:tcPr>
            <w:tcW w:w="2263" w:type="dxa"/>
            <w:shd w:val="clear" w:color="auto" w:fill="auto"/>
          </w:tcPr>
          <w:p w14:paraId="1F7D1DEC" w14:textId="77777777" w:rsidR="00486408" w:rsidRPr="00461C16" w:rsidRDefault="00486408" w:rsidP="00B154E6">
            <w:pPr>
              <w:spacing w:before="40" w:after="40" w:line="240" w:lineRule="auto"/>
              <w:rPr>
                <w:rFonts w:cs="Arial"/>
                <w:sz w:val="20"/>
              </w:rPr>
            </w:pPr>
            <w:r w:rsidRPr="00461C16">
              <w:rPr>
                <w:rFonts w:cs="Arial"/>
                <w:sz w:val="20"/>
              </w:rPr>
              <w:t>Hrádek n.N., Chotyně</w:t>
            </w:r>
          </w:p>
        </w:tc>
        <w:tc>
          <w:tcPr>
            <w:tcW w:w="1637" w:type="dxa"/>
            <w:shd w:val="clear" w:color="auto" w:fill="auto"/>
          </w:tcPr>
          <w:p w14:paraId="1DF1B2A4" w14:textId="77777777" w:rsidR="00486408" w:rsidRPr="00461C16" w:rsidRDefault="00486408" w:rsidP="00B154E6">
            <w:pPr>
              <w:spacing w:before="40" w:after="40" w:line="240" w:lineRule="auto"/>
              <w:jc w:val="left"/>
              <w:rPr>
                <w:rFonts w:cs="Arial"/>
                <w:sz w:val="20"/>
              </w:rPr>
            </w:pPr>
            <w:r w:rsidRPr="00461C16">
              <w:rPr>
                <w:rFonts w:cs="Arial"/>
                <w:sz w:val="20"/>
              </w:rPr>
              <w:t>štěrkopísky</w:t>
            </w:r>
          </w:p>
        </w:tc>
        <w:tc>
          <w:tcPr>
            <w:tcW w:w="1786" w:type="dxa"/>
            <w:shd w:val="clear" w:color="auto" w:fill="auto"/>
          </w:tcPr>
          <w:p w14:paraId="5C5EF121" w14:textId="77777777" w:rsidR="00486408" w:rsidRPr="00461C16" w:rsidRDefault="00486408" w:rsidP="00B154E6">
            <w:pPr>
              <w:spacing w:before="40" w:after="40" w:line="240" w:lineRule="auto"/>
              <w:rPr>
                <w:rFonts w:cs="Arial"/>
                <w:sz w:val="20"/>
              </w:rPr>
            </w:pPr>
            <w:r w:rsidRPr="00461C16">
              <w:rPr>
                <w:rFonts w:cs="Arial"/>
                <w:sz w:val="20"/>
              </w:rPr>
              <w:t>současná povrchová</w:t>
            </w:r>
          </w:p>
        </w:tc>
      </w:tr>
      <w:tr w:rsidR="00486408" w:rsidRPr="00461C16" w14:paraId="2A313114" w14:textId="77777777" w:rsidTr="00B154E6">
        <w:tc>
          <w:tcPr>
            <w:tcW w:w="9288" w:type="dxa"/>
            <w:gridSpan w:val="5"/>
            <w:shd w:val="clear" w:color="auto" w:fill="C2D69B" w:themeFill="accent3" w:themeFillTint="99"/>
          </w:tcPr>
          <w:p w14:paraId="020F90C3" w14:textId="77777777" w:rsidR="00486408" w:rsidRPr="00461C16" w:rsidRDefault="00486408" w:rsidP="00B154E6">
            <w:pPr>
              <w:spacing w:before="40" w:after="40" w:line="240" w:lineRule="auto"/>
              <w:jc w:val="center"/>
              <w:rPr>
                <w:rFonts w:ascii="Arial" w:hAnsi="Arial" w:cs="Arial"/>
                <w:b/>
                <w:sz w:val="20"/>
              </w:rPr>
            </w:pPr>
            <w:r w:rsidRPr="00461C16">
              <w:rPr>
                <w:rFonts w:cs="Arial"/>
                <w:b/>
                <w:i/>
                <w:sz w:val="20"/>
              </w:rPr>
              <w:t>Ne</w:t>
            </w:r>
            <w:r w:rsidR="004B62B3" w:rsidRPr="00461C16">
              <w:rPr>
                <w:rFonts w:cs="Arial"/>
                <w:b/>
                <w:i/>
                <w:sz w:val="20"/>
              </w:rPr>
              <w:t>bilancovaná ložiska – výhradní /</w:t>
            </w:r>
            <w:r w:rsidRPr="00461C16">
              <w:rPr>
                <w:rFonts w:cs="Arial"/>
                <w:b/>
                <w:i/>
                <w:sz w:val="20"/>
              </w:rPr>
              <w:t xml:space="preserve"> nevýhradní</w:t>
            </w:r>
          </w:p>
        </w:tc>
      </w:tr>
      <w:tr w:rsidR="00486408" w:rsidRPr="00461C16" w14:paraId="02726B46" w14:textId="77777777" w:rsidTr="00486408">
        <w:tc>
          <w:tcPr>
            <w:tcW w:w="2368" w:type="dxa"/>
            <w:shd w:val="clear" w:color="auto" w:fill="auto"/>
          </w:tcPr>
          <w:p w14:paraId="3C349480" w14:textId="77777777" w:rsidR="00486408" w:rsidRPr="00461C16" w:rsidRDefault="00486408" w:rsidP="00B154E6">
            <w:pPr>
              <w:spacing w:before="40" w:after="40" w:line="240" w:lineRule="auto"/>
              <w:jc w:val="left"/>
              <w:rPr>
                <w:rFonts w:cs="Arial"/>
                <w:sz w:val="20"/>
              </w:rPr>
            </w:pPr>
            <w:r w:rsidRPr="00461C16">
              <w:rPr>
                <w:rFonts w:cs="Arial"/>
                <w:sz w:val="20"/>
              </w:rPr>
              <w:t>Hrádek nad Nisou-Liberecko</w:t>
            </w:r>
          </w:p>
        </w:tc>
        <w:tc>
          <w:tcPr>
            <w:tcW w:w="1234" w:type="dxa"/>
            <w:shd w:val="clear" w:color="auto" w:fill="auto"/>
          </w:tcPr>
          <w:p w14:paraId="4831C0E0" w14:textId="77777777" w:rsidR="00486408" w:rsidRPr="00461C16" w:rsidRDefault="00486408" w:rsidP="00B154E6">
            <w:pPr>
              <w:spacing w:before="40" w:after="40" w:line="240" w:lineRule="auto"/>
              <w:rPr>
                <w:rFonts w:cs="Arial"/>
                <w:sz w:val="20"/>
              </w:rPr>
            </w:pPr>
            <w:r w:rsidRPr="00461C16">
              <w:rPr>
                <w:rFonts w:cs="Arial"/>
                <w:sz w:val="20"/>
              </w:rPr>
              <w:t>5042900</w:t>
            </w:r>
          </w:p>
        </w:tc>
        <w:tc>
          <w:tcPr>
            <w:tcW w:w="2263" w:type="dxa"/>
            <w:shd w:val="clear" w:color="auto" w:fill="auto"/>
          </w:tcPr>
          <w:p w14:paraId="37C12B11" w14:textId="77777777" w:rsidR="00486408" w:rsidRPr="00461C16" w:rsidRDefault="00486408" w:rsidP="00B154E6">
            <w:pPr>
              <w:spacing w:before="40" w:after="40" w:line="240" w:lineRule="auto"/>
              <w:rPr>
                <w:rFonts w:cs="Arial"/>
                <w:sz w:val="20"/>
              </w:rPr>
            </w:pPr>
            <w:r w:rsidRPr="00461C16">
              <w:rPr>
                <w:rFonts w:cs="Arial"/>
                <w:sz w:val="20"/>
              </w:rPr>
              <w:t>Hrádek n.N.</w:t>
            </w:r>
          </w:p>
        </w:tc>
        <w:tc>
          <w:tcPr>
            <w:tcW w:w="1637" w:type="dxa"/>
            <w:shd w:val="clear" w:color="auto" w:fill="auto"/>
          </w:tcPr>
          <w:p w14:paraId="089DEEEA" w14:textId="77777777" w:rsidR="00486408" w:rsidRPr="00461C16" w:rsidRDefault="00486408" w:rsidP="00B154E6">
            <w:pPr>
              <w:spacing w:before="40" w:after="40" w:line="240" w:lineRule="auto"/>
              <w:rPr>
                <w:rFonts w:cs="Arial"/>
                <w:sz w:val="20"/>
              </w:rPr>
            </w:pPr>
            <w:r w:rsidRPr="00461C16">
              <w:rPr>
                <w:rFonts w:cs="Arial"/>
                <w:sz w:val="20"/>
              </w:rPr>
              <w:t>cihlářská surovina</w:t>
            </w:r>
          </w:p>
        </w:tc>
        <w:tc>
          <w:tcPr>
            <w:tcW w:w="1786" w:type="dxa"/>
            <w:shd w:val="clear" w:color="auto" w:fill="auto"/>
          </w:tcPr>
          <w:p w14:paraId="2DE34247" w14:textId="77777777" w:rsidR="00486408" w:rsidRPr="00461C16" w:rsidRDefault="00486408" w:rsidP="00B154E6">
            <w:pPr>
              <w:spacing w:before="40" w:after="40" w:line="240" w:lineRule="auto"/>
              <w:rPr>
                <w:rFonts w:cs="Arial"/>
                <w:sz w:val="20"/>
              </w:rPr>
            </w:pPr>
            <w:r w:rsidRPr="00461C16">
              <w:rPr>
                <w:rFonts w:cs="Arial"/>
                <w:sz w:val="20"/>
              </w:rPr>
              <w:t>dosud netěženo</w:t>
            </w:r>
          </w:p>
        </w:tc>
      </w:tr>
      <w:tr w:rsidR="00486408" w:rsidRPr="00461C16" w14:paraId="4CCEFC08" w14:textId="77777777" w:rsidTr="00486408">
        <w:tc>
          <w:tcPr>
            <w:tcW w:w="2368" w:type="dxa"/>
            <w:shd w:val="clear" w:color="auto" w:fill="auto"/>
          </w:tcPr>
          <w:p w14:paraId="7A8A08DC" w14:textId="77777777" w:rsidR="00486408" w:rsidRPr="00461C16" w:rsidRDefault="00486408" w:rsidP="00B154E6">
            <w:pPr>
              <w:spacing w:before="40" w:after="40" w:line="240" w:lineRule="auto"/>
              <w:rPr>
                <w:rFonts w:cs="Arial"/>
                <w:sz w:val="20"/>
              </w:rPr>
            </w:pPr>
            <w:r w:rsidRPr="00461C16">
              <w:rPr>
                <w:rFonts w:cs="Arial"/>
                <w:sz w:val="20"/>
              </w:rPr>
              <w:t>Žitavská pánev</w:t>
            </w:r>
          </w:p>
        </w:tc>
        <w:tc>
          <w:tcPr>
            <w:tcW w:w="1234" w:type="dxa"/>
            <w:shd w:val="clear" w:color="auto" w:fill="auto"/>
          </w:tcPr>
          <w:p w14:paraId="1C82D51D" w14:textId="77777777" w:rsidR="00486408" w:rsidRPr="00461C16" w:rsidRDefault="00486408" w:rsidP="00B154E6">
            <w:pPr>
              <w:spacing w:before="40" w:after="40" w:line="240" w:lineRule="auto"/>
              <w:rPr>
                <w:rFonts w:cs="Arial"/>
                <w:sz w:val="20"/>
              </w:rPr>
            </w:pPr>
            <w:r w:rsidRPr="00461C16">
              <w:rPr>
                <w:rFonts w:cs="Arial"/>
                <w:sz w:val="20"/>
              </w:rPr>
              <w:t>5268700</w:t>
            </w:r>
          </w:p>
        </w:tc>
        <w:tc>
          <w:tcPr>
            <w:tcW w:w="2263" w:type="dxa"/>
            <w:shd w:val="clear" w:color="auto" w:fill="auto"/>
          </w:tcPr>
          <w:p w14:paraId="62368762" w14:textId="77777777" w:rsidR="00486408" w:rsidRPr="00461C16" w:rsidRDefault="00486408" w:rsidP="00B154E6">
            <w:pPr>
              <w:spacing w:before="40" w:after="40" w:line="240" w:lineRule="auto"/>
              <w:rPr>
                <w:rFonts w:cs="Arial"/>
                <w:sz w:val="20"/>
              </w:rPr>
            </w:pPr>
            <w:r w:rsidRPr="00461C16">
              <w:rPr>
                <w:rFonts w:cs="Arial"/>
                <w:sz w:val="20"/>
              </w:rPr>
              <w:t>Hrádek n.N., Chotyně</w:t>
            </w:r>
          </w:p>
        </w:tc>
        <w:tc>
          <w:tcPr>
            <w:tcW w:w="1637" w:type="dxa"/>
            <w:shd w:val="clear" w:color="auto" w:fill="auto"/>
          </w:tcPr>
          <w:p w14:paraId="60F4B03D" w14:textId="77777777" w:rsidR="00486408" w:rsidRPr="00461C16" w:rsidRDefault="00486408" w:rsidP="00B154E6">
            <w:pPr>
              <w:spacing w:before="40" w:after="40" w:line="240" w:lineRule="auto"/>
              <w:rPr>
                <w:rFonts w:cs="Arial"/>
                <w:sz w:val="20"/>
              </w:rPr>
            </w:pPr>
            <w:r w:rsidRPr="00461C16">
              <w:rPr>
                <w:rFonts w:cs="Arial"/>
                <w:sz w:val="20"/>
              </w:rPr>
              <w:t>uhlí hnědé</w:t>
            </w:r>
          </w:p>
        </w:tc>
        <w:tc>
          <w:tcPr>
            <w:tcW w:w="1786" w:type="dxa"/>
            <w:shd w:val="clear" w:color="auto" w:fill="auto"/>
          </w:tcPr>
          <w:p w14:paraId="2619F4BF" w14:textId="77777777" w:rsidR="00486408" w:rsidRPr="00461C16" w:rsidRDefault="00486408" w:rsidP="00B154E6">
            <w:pPr>
              <w:spacing w:before="40" w:after="40" w:line="240" w:lineRule="auto"/>
              <w:rPr>
                <w:rFonts w:cs="Arial"/>
                <w:sz w:val="20"/>
              </w:rPr>
            </w:pPr>
            <w:r w:rsidRPr="00461C16">
              <w:rPr>
                <w:rFonts w:cs="Arial"/>
                <w:sz w:val="20"/>
              </w:rPr>
              <w:t>dosud netěženo</w:t>
            </w:r>
          </w:p>
        </w:tc>
      </w:tr>
    </w:tbl>
    <w:p w14:paraId="3BA7A509" w14:textId="77777777" w:rsidR="00A53768" w:rsidRPr="00461C16" w:rsidRDefault="00A53768"/>
    <w:p w14:paraId="297313DA" w14:textId="77777777" w:rsidR="00A53768" w:rsidRPr="00461C16" w:rsidRDefault="00A53768" w:rsidP="00A53768">
      <w:pPr>
        <w:pStyle w:val="1text"/>
        <w:spacing w:after="120"/>
      </w:pPr>
      <w:r w:rsidRPr="00461C16">
        <w:t>Pro ochranu ložisek nerostných surovin jsou vymezena dále uvedená chráněná ložisková území.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8"/>
        <w:gridCol w:w="1234"/>
        <w:gridCol w:w="2459"/>
        <w:gridCol w:w="3227"/>
      </w:tblGrid>
      <w:tr w:rsidR="00486408" w:rsidRPr="00461C16" w14:paraId="13D23C3B" w14:textId="77777777" w:rsidTr="00A53768">
        <w:trPr>
          <w:tblHeader/>
        </w:trPr>
        <w:tc>
          <w:tcPr>
            <w:tcW w:w="2368" w:type="dxa"/>
            <w:shd w:val="clear" w:color="auto" w:fill="F2F2F2" w:themeFill="background1" w:themeFillShade="F2"/>
          </w:tcPr>
          <w:p w14:paraId="3ECD53E8" w14:textId="77777777" w:rsidR="00486408" w:rsidRPr="00461C16" w:rsidRDefault="00486408" w:rsidP="00B154E6">
            <w:pPr>
              <w:spacing w:before="40" w:after="40" w:line="240" w:lineRule="auto"/>
              <w:rPr>
                <w:rFonts w:cs="Arial"/>
                <w:b/>
                <w:sz w:val="20"/>
              </w:rPr>
            </w:pPr>
            <w:r w:rsidRPr="00461C16">
              <w:rPr>
                <w:rFonts w:cs="Arial"/>
                <w:b/>
                <w:sz w:val="20"/>
              </w:rPr>
              <w:t xml:space="preserve">Název CHLÚ </w:t>
            </w:r>
          </w:p>
        </w:tc>
        <w:tc>
          <w:tcPr>
            <w:tcW w:w="1234" w:type="dxa"/>
            <w:shd w:val="clear" w:color="auto" w:fill="F2F2F2" w:themeFill="background1" w:themeFillShade="F2"/>
          </w:tcPr>
          <w:p w14:paraId="6618D095" w14:textId="77777777" w:rsidR="00486408" w:rsidRPr="00461C16" w:rsidRDefault="00486408" w:rsidP="00B154E6">
            <w:pPr>
              <w:spacing w:before="40" w:after="40" w:line="240" w:lineRule="auto"/>
              <w:rPr>
                <w:rFonts w:cs="Arial"/>
                <w:b/>
                <w:sz w:val="20"/>
              </w:rPr>
            </w:pPr>
            <w:r w:rsidRPr="00461C16">
              <w:rPr>
                <w:rFonts w:cs="Arial"/>
                <w:b/>
                <w:sz w:val="20"/>
              </w:rPr>
              <w:t xml:space="preserve">Kód CHLÚ </w:t>
            </w:r>
          </w:p>
        </w:tc>
        <w:tc>
          <w:tcPr>
            <w:tcW w:w="2459" w:type="dxa"/>
            <w:shd w:val="clear" w:color="auto" w:fill="F2F2F2" w:themeFill="background1" w:themeFillShade="F2"/>
          </w:tcPr>
          <w:p w14:paraId="6106D425" w14:textId="77777777" w:rsidR="00486408" w:rsidRPr="00461C16" w:rsidRDefault="00486408" w:rsidP="00B154E6">
            <w:pPr>
              <w:spacing w:before="40" w:after="40" w:line="240" w:lineRule="auto"/>
              <w:rPr>
                <w:rFonts w:cs="Arial"/>
                <w:b/>
                <w:sz w:val="20"/>
              </w:rPr>
            </w:pPr>
            <w:r w:rsidRPr="00461C16">
              <w:rPr>
                <w:rFonts w:cs="Arial"/>
                <w:b/>
                <w:sz w:val="20"/>
              </w:rPr>
              <w:t>Rozsah (dotčené obce)</w:t>
            </w:r>
          </w:p>
        </w:tc>
        <w:tc>
          <w:tcPr>
            <w:tcW w:w="3227" w:type="dxa"/>
            <w:shd w:val="clear" w:color="auto" w:fill="F2F2F2" w:themeFill="background1" w:themeFillShade="F2"/>
          </w:tcPr>
          <w:p w14:paraId="5E057E7C" w14:textId="77777777" w:rsidR="00486408" w:rsidRPr="00461C16" w:rsidRDefault="00486408" w:rsidP="00B154E6">
            <w:pPr>
              <w:spacing w:before="40" w:after="40" w:line="240" w:lineRule="auto"/>
              <w:rPr>
                <w:rFonts w:cs="Arial"/>
                <w:b/>
                <w:sz w:val="20"/>
              </w:rPr>
            </w:pPr>
            <w:r w:rsidRPr="00461C16">
              <w:rPr>
                <w:rFonts w:cs="Arial"/>
                <w:b/>
                <w:sz w:val="20"/>
              </w:rPr>
              <w:t xml:space="preserve">Surovina </w:t>
            </w:r>
          </w:p>
        </w:tc>
      </w:tr>
      <w:tr w:rsidR="00486408" w:rsidRPr="00461C16" w14:paraId="623D3C10" w14:textId="77777777" w:rsidTr="004B62B3">
        <w:tc>
          <w:tcPr>
            <w:tcW w:w="2368" w:type="dxa"/>
            <w:shd w:val="clear" w:color="auto" w:fill="auto"/>
          </w:tcPr>
          <w:p w14:paraId="035D6D77" w14:textId="77777777" w:rsidR="00486408" w:rsidRPr="00461C16" w:rsidRDefault="00486408" w:rsidP="00B154E6">
            <w:pPr>
              <w:spacing w:before="40" w:after="40" w:line="240" w:lineRule="auto"/>
              <w:rPr>
                <w:rFonts w:cs="Arial"/>
                <w:sz w:val="20"/>
              </w:rPr>
            </w:pPr>
            <w:r w:rsidRPr="00461C16">
              <w:rPr>
                <w:rFonts w:cs="Arial"/>
                <w:sz w:val="20"/>
              </w:rPr>
              <w:t xml:space="preserve">Václavice </w:t>
            </w:r>
          </w:p>
        </w:tc>
        <w:tc>
          <w:tcPr>
            <w:tcW w:w="1234" w:type="dxa"/>
            <w:shd w:val="clear" w:color="auto" w:fill="auto"/>
          </w:tcPr>
          <w:p w14:paraId="323D3364" w14:textId="77777777" w:rsidR="00486408" w:rsidRPr="00461C16" w:rsidRDefault="00486408" w:rsidP="00B154E6">
            <w:pPr>
              <w:spacing w:before="40" w:after="40" w:line="240" w:lineRule="auto"/>
              <w:rPr>
                <w:rFonts w:cs="Arial"/>
                <w:sz w:val="20"/>
              </w:rPr>
            </w:pPr>
            <w:r w:rsidRPr="00461C16">
              <w:rPr>
                <w:rFonts w:cs="Arial"/>
                <w:sz w:val="20"/>
              </w:rPr>
              <w:t xml:space="preserve">00010000 </w:t>
            </w:r>
          </w:p>
        </w:tc>
        <w:tc>
          <w:tcPr>
            <w:tcW w:w="2459" w:type="dxa"/>
            <w:shd w:val="clear" w:color="auto" w:fill="auto"/>
          </w:tcPr>
          <w:p w14:paraId="70E94FE7" w14:textId="77777777" w:rsidR="00486408" w:rsidRPr="00461C16" w:rsidRDefault="00486408" w:rsidP="00B154E6">
            <w:pPr>
              <w:spacing w:before="40" w:after="40" w:line="240" w:lineRule="auto"/>
              <w:rPr>
                <w:rFonts w:cs="Arial"/>
                <w:sz w:val="20"/>
              </w:rPr>
            </w:pPr>
            <w:r w:rsidRPr="00461C16">
              <w:rPr>
                <w:rFonts w:cs="Arial"/>
                <w:sz w:val="20"/>
              </w:rPr>
              <w:t xml:space="preserve">Hrádek n.N., Chotyně </w:t>
            </w:r>
          </w:p>
        </w:tc>
        <w:tc>
          <w:tcPr>
            <w:tcW w:w="3227" w:type="dxa"/>
            <w:shd w:val="clear" w:color="auto" w:fill="auto"/>
          </w:tcPr>
          <w:p w14:paraId="41AB432F" w14:textId="77777777" w:rsidR="00486408" w:rsidRPr="00461C16" w:rsidRDefault="00486408" w:rsidP="00B154E6">
            <w:pPr>
              <w:spacing w:before="40" w:after="40" w:line="240" w:lineRule="auto"/>
              <w:rPr>
                <w:rFonts w:cs="Arial"/>
                <w:sz w:val="20"/>
              </w:rPr>
            </w:pPr>
            <w:r w:rsidRPr="00461C16">
              <w:rPr>
                <w:rFonts w:cs="Arial"/>
                <w:sz w:val="20"/>
              </w:rPr>
              <w:t xml:space="preserve">štěrkopísky </w:t>
            </w:r>
          </w:p>
        </w:tc>
      </w:tr>
      <w:tr w:rsidR="00486408" w:rsidRPr="00461C16" w14:paraId="7BE4CA86" w14:textId="77777777" w:rsidTr="004B62B3">
        <w:tc>
          <w:tcPr>
            <w:tcW w:w="2368" w:type="dxa"/>
            <w:shd w:val="clear" w:color="auto" w:fill="auto"/>
          </w:tcPr>
          <w:p w14:paraId="6236116B" w14:textId="77777777" w:rsidR="00486408" w:rsidRPr="00461C16" w:rsidRDefault="00486408" w:rsidP="00B154E6">
            <w:pPr>
              <w:spacing w:before="40" w:after="40" w:line="240" w:lineRule="auto"/>
              <w:rPr>
                <w:rFonts w:cs="Arial"/>
                <w:sz w:val="20"/>
              </w:rPr>
            </w:pPr>
            <w:r w:rsidRPr="00461C16">
              <w:rPr>
                <w:rFonts w:cs="Arial"/>
                <w:sz w:val="20"/>
              </w:rPr>
              <w:t xml:space="preserve">Chotyně </w:t>
            </w:r>
          </w:p>
        </w:tc>
        <w:tc>
          <w:tcPr>
            <w:tcW w:w="1234" w:type="dxa"/>
            <w:shd w:val="clear" w:color="auto" w:fill="auto"/>
          </w:tcPr>
          <w:p w14:paraId="4F472D62" w14:textId="77777777" w:rsidR="00486408" w:rsidRPr="00461C16" w:rsidRDefault="00486408" w:rsidP="00B154E6">
            <w:pPr>
              <w:spacing w:before="40" w:after="40" w:line="240" w:lineRule="auto"/>
              <w:rPr>
                <w:rFonts w:cs="Arial"/>
                <w:sz w:val="20"/>
              </w:rPr>
            </w:pPr>
            <w:r w:rsidRPr="00461C16">
              <w:rPr>
                <w:rFonts w:cs="Arial"/>
                <w:sz w:val="20"/>
              </w:rPr>
              <w:t xml:space="preserve">00020100 </w:t>
            </w:r>
          </w:p>
        </w:tc>
        <w:tc>
          <w:tcPr>
            <w:tcW w:w="2459" w:type="dxa"/>
            <w:shd w:val="clear" w:color="auto" w:fill="auto"/>
          </w:tcPr>
          <w:p w14:paraId="78A4D793" w14:textId="77777777" w:rsidR="00486408" w:rsidRPr="00461C16" w:rsidRDefault="00486408" w:rsidP="00B154E6">
            <w:pPr>
              <w:spacing w:before="40" w:after="40" w:line="240" w:lineRule="auto"/>
              <w:rPr>
                <w:rFonts w:cs="Arial"/>
                <w:sz w:val="20"/>
              </w:rPr>
            </w:pPr>
            <w:r w:rsidRPr="00461C16">
              <w:rPr>
                <w:rFonts w:cs="Arial"/>
                <w:sz w:val="20"/>
              </w:rPr>
              <w:t>Hrádek n.N., Chotyně</w:t>
            </w:r>
          </w:p>
        </w:tc>
        <w:tc>
          <w:tcPr>
            <w:tcW w:w="3227" w:type="dxa"/>
            <w:shd w:val="clear" w:color="auto" w:fill="auto"/>
          </w:tcPr>
          <w:p w14:paraId="66EF0D79" w14:textId="77777777" w:rsidR="00486408" w:rsidRPr="00461C16" w:rsidRDefault="00486408" w:rsidP="00B154E6">
            <w:pPr>
              <w:spacing w:before="40" w:after="40" w:line="240" w:lineRule="auto"/>
              <w:rPr>
                <w:rFonts w:cs="Arial"/>
                <w:sz w:val="20"/>
              </w:rPr>
            </w:pPr>
            <w:r w:rsidRPr="00461C16">
              <w:rPr>
                <w:rFonts w:cs="Arial"/>
                <w:sz w:val="20"/>
              </w:rPr>
              <w:t xml:space="preserve">štěrkopísky </w:t>
            </w:r>
          </w:p>
        </w:tc>
      </w:tr>
      <w:tr w:rsidR="00486408" w:rsidRPr="00461C16" w14:paraId="375CF0BC" w14:textId="77777777" w:rsidTr="004B62B3">
        <w:tc>
          <w:tcPr>
            <w:tcW w:w="2368" w:type="dxa"/>
            <w:shd w:val="clear" w:color="auto" w:fill="auto"/>
          </w:tcPr>
          <w:p w14:paraId="133A6248" w14:textId="77777777" w:rsidR="00486408" w:rsidRPr="00461C16" w:rsidRDefault="00486408" w:rsidP="00B154E6">
            <w:pPr>
              <w:spacing w:before="40" w:after="40" w:line="240" w:lineRule="auto"/>
              <w:rPr>
                <w:rFonts w:cs="Arial"/>
                <w:sz w:val="20"/>
              </w:rPr>
            </w:pPr>
            <w:r w:rsidRPr="00461C16">
              <w:rPr>
                <w:rFonts w:cs="Arial"/>
                <w:sz w:val="20"/>
              </w:rPr>
              <w:t xml:space="preserve">Bílý Kostel </w:t>
            </w:r>
          </w:p>
        </w:tc>
        <w:tc>
          <w:tcPr>
            <w:tcW w:w="1234" w:type="dxa"/>
            <w:shd w:val="clear" w:color="auto" w:fill="auto"/>
          </w:tcPr>
          <w:p w14:paraId="41D91157" w14:textId="77777777" w:rsidR="00486408" w:rsidRPr="00461C16" w:rsidRDefault="00486408" w:rsidP="00B154E6">
            <w:pPr>
              <w:spacing w:before="40" w:after="40" w:line="240" w:lineRule="auto"/>
              <w:rPr>
                <w:rFonts w:cs="Arial"/>
                <w:sz w:val="20"/>
              </w:rPr>
            </w:pPr>
            <w:r w:rsidRPr="00461C16">
              <w:rPr>
                <w:rFonts w:cs="Arial"/>
                <w:sz w:val="20"/>
              </w:rPr>
              <w:t xml:space="preserve">00060001 </w:t>
            </w:r>
          </w:p>
        </w:tc>
        <w:tc>
          <w:tcPr>
            <w:tcW w:w="2459" w:type="dxa"/>
            <w:shd w:val="clear" w:color="auto" w:fill="auto"/>
          </w:tcPr>
          <w:p w14:paraId="3F7AFE63" w14:textId="77777777" w:rsidR="00486408" w:rsidRPr="00461C16" w:rsidRDefault="00486408" w:rsidP="00B154E6">
            <w:pPr>
              <w:spacing w:before="40" w:after="40" w:line="240" w:lineRule="auto"/>
              <w:jc w:val="left"/>
              <w:rPr>
                <w:rFonts w:cs="Arial"/>
                <w:sz w:val="20"/>
              </w:rPr>
            </w:pPr>
            <w:r w:rsidRPr="00461C16">
              <w:rPr>
                <w:rFonts w:cs="Arial"/>
                <w:sz w:val="20"/>
              </w:rPr>
              <w:t xml:space="preserve">Bílý Kostel n.N., Hrádek n.N. </w:t>
            </w:r>
          </w:p>
        </w:tc>
        <w:tc>
          <w:tcPr>
            <w:tcW w:w="3227" w:type="dxa"/>
            <w:shd w:val="clear" w:color="auto" w:fill="auto"/>
          </w:tcPr>
          <w:p w14:paraId="6C7DF640" w14:textId="77777777" w:rsidR="00486408" w:rsidRPr="00461C16" w:rsidRDefault="00486408" w:rsidP="00B154E6">
            <w:pPr>
              <w:spacing w:before="40" w:after="40" w:line="240" w:lineRule="auto"/>
              <w:rPr>
                <w:rFonts w:cs="Arial"/>
                <w:sz w:val="20"/>
              </w:rPr>
            </w:pPr>
            <w:r w:rsidRPr="00461C16">
              <w:rPr>
                <w:rFonts w:cs="Arial"/>
                <w:sz w:val="20"/>
              </w:rPr>
              <w:t xml:space="preserve">štěrkopísky </w:t>
            </w:r>
          </w:p>
        </w:tc>
      </w:tr>
    </w:tbl>
    <w:p w14:paraId="038C1CF7" w14:textId="77777777" w:rsidR="00B154E6" w:rsidRPr="00461C16" w:rsidRDefault="00B154E6" w:rsidP="008B1E9D">
      <w:pPr>
        <w:rPr>
          <w:rStyle w:val="NvrhP-text"/>
          <w:i/>
          <w:sz w:val="20"/>
          <w:szCs w:val="20"/>
        </w:rPr>
      </w:pPr>
    </w:p>
    <w:p w14:paraId="313FD9D7" w14:textId="77777777" w:rsidR="008B1E9D" w:rsidRPr="00461C16" w:rsidRDefault="008B1E9D" w:rsidP="008B1E9D">
      <w:pPr>
        <w:rPr>
          <w:rStyle w:val="NvrhP-text"/>
          <w:i/>
          <w:sz w:val="20"/>
          <w:szCs w:val="20"/>
        </w:rPr>
      </w:pPr>
      <w:r w:rsidRPr="00461C16">
        <w:rPr>
          <w:rStyle w:val="NvrhP-text"/>
          <w:i/>
          <w:sz w:val="20"/>
          <w:szCs w:val="20"/>
        </w:rPr>
        <w:t>(k bodu B03 ÚP)</w:t>
      </w:r>
    </w:p>
    <w:p w14:paraId="7994EA17" w14:textId="77777777" w:rsidR="008B1E9D" w:rsidRPr="00461C16" w:rsidRDefault="008B1E9D" w:rsidP="008B1E9D">
      <w:pPr>
        <w:pStyle w:val="1text"/>
        <w:rPr>
          <w:rStyle w:val="NvrhP-text"/>
          <w:rFonts w:cs="Arial"/>
          <w:lang w:eastAsia="en-US"/>
        </w:rPr>
      </w:pPr>
      <w:r w:rsidRPr="00461C16">
        <w:rPr>
          <w:rStyle w:val="NvrhP-text"/>
          <w:rFonts w:cs="Arial"/>
          <w:lang w:eastAsia="en-US"/>
        </w:rPr>
        <w:t xml:space="preserve">V ÚP je uveden </w:t>
      </w:r>
      <w:r w:rsidRPr="00461C16">
        <w:rPr>
          <w:rStyle w:val="NvrhP-text"/>
          <w:rFonts w:cs="Arial"/>
        </w:rPr>
        <w:t xml:space="preserve">požadavek na ochranu výše uvedených hodnot při rozvoji města a při rozhodování o změnách v území. Tento požadavek neznamená, že uvedené hodnoty nemohou být využívány a rozvíjeny v souladu s podmínkami právních přepisů, které jsou pro ochranu těchto hodnot relevantní (viz Podklady). </w:t>
      </w:r>
      <w:r w:rsidRPr="00461C16">
        <w:rPr>
          <w:rStyle w:val="NvrhP-text"/>
          <w:rFonts w:cs="Arial"/>
          <w:lang w:eastAsia="en-US"/>
        </w:rPr>
        <w:t xml:space="preserve">Je zřejmé, že hlavním nástrojem ochrany hodnot není územní plán, ale systematické uplatňování zmíněných právních předpisů vztahujících se k jednotlivým hodnotám uvedených v předchozím textu. </w:t>
      </w:r>
    </w:p>
    <w:p w14:paraId="60E55E27" w14:textId="77777777" w:rsidR="00A76D14" w:rsidRDefault="00A76D14">
      <w:pPr>
        <w:spacing w:line="240" w:lineRule="auto"/>
        <w:jc w:val="left"/>
        <w:rPr>
          <w:rFonts w:cs="Arial"/>
          <w:b/>
          <w:bCs/>
          <w:sz w:val="26"/>
          <w:szCs w:val="26"/>
        </w:rPr>
      </w:pPr>
      <w:r>
        <w:br w:type="page"/>
      </w:r>
    </w:p>
    <w:p w14:paraId="5A59EA4A" w14:textId="77777777" w:rsidR="002A2AF3" w:rsidRPr="00461C16" w:rsidRDefault="00501553" w:rsidP="002A2AF3">
      <w:pPr>
        <w:pStyle w:val="Heading3"/>
      </w:pPr>
      <w:bookmarkStart w:id="106" w:name="_Toc36116287"/>
      <w:r w:rsidRPr="00461C16">
        <w:lastRenderedPageBreak/>
        <w:t>6</w:t>
      </w:r>
      <w:r w:rsidR="002A2AF3" w:rsidRPr="00461C16">
        <w:t>.3.3</w:t>
      </w:r>
      <w:r w:rsidR="002A2AF3" w:rsidRPr="00461C16">
        <w:tab/>
        <w:t>Základní koncepce ochrany a rozvoje kulturních hodnot</w:t>
      </w:r>
      <w:bookmarkEnd w:id="105"/>
      <w:r w:rsidR="002A2AF3" w:rsidRPr="00461C16">
        <w:t xml:space="preserve"> území</w:t>
      </w:r>
      <w:bookmarkEnd w:id="106"/>
    </w:p>
    <w:p w14:paraId="467DF6D8" w14:textId="77777777" w:rsidR="002A2AF3" w:rsidRPr="00461C16" w:rsidRDefault="002A2AF3" w:rsidP="002A2AF3">
      <w:pPr>
        <w:pStyle w:val="1text"/>
        <w:rPr>
          <w:rStyle w:val="NvrhP-text"/>
        </w:rPr>
      </w:pPr>
      <w:r w:rsidRPr="00461C16">
        <w:rPr>
          <w:rStyle w:val="NvrhP-text"/>
          <w:i/>
          <w:sz w:val="20"/>
          <w:szCs w:val="20"/>
        </w:rPr>
        <w:t>(k bodům B04 – B06 ÚP)</w:t>
      </w:r>
    </w:p>
    <w:p w14:paraId="69738DC4" w14:textId="77777777" w:rsidR="002A247E" w:rsidRPr="00461C16" w:rsidRDefault="002A247E" w:rsidP="00753F4E">
      <w:pPr>
        <w:pStyle w:val="4podnadpis"/>
      </w:pPr>
      <w:r w:rsidRPr="00461C16">
        <w:t xml:space="preserve">Podklady </w:t>
      </w:r>
    </w:p>
    <w:p w14:paraId="1112751E" w14:textId="77777777" w:rsidR="002A247E" w:rsidRPr="00461C16" w:rsidRDefault="002A247E" w:rsidP="002A247E">
      <w:pPr>
        <w:pStyle w:val="1text"/>
      </w:pPr>
      <w:r w:rsidRPr="00461C16">
        <w:t xml:space="preserve">Ochrana kulturních hodnot území je právně zakotvena jako cíl ÚP v §18 odst. 4 stavebního zákona. Zároveň v § 19 odst. 1 písm. a) a b) definuje stavební zákon identifikaci a ochranu </w:t>
      </w:r>
      <w:r w:rsidR="00DE5263" w:rsidRPr="00461C16">
        <w:t>kultur</w:t>
      </w:r>
      <w:r w:rsidRPr="00461C16">
        <w:t xml:space="preserve">ních hodnot jako úkol územního plánování. Ochrana kulturních hodnot je uvedena jako priorita územního plánování na celostátní úrovni Politikou územního rozvoje ČR (aktuální znění 2015) a na krajské úrovni Zásadami územního rozvoje </w:t>
      </w:r>
      <w:r w:rsidR="00DE5263" w:rsidRPr="00461C16">
        <w:t>Libereckéh</w:t>
      </w:r>
      <w:r w:rsidRPr="00461C16">
        <w:t xml:space="preserve">o kraje (aktuální znění). ZÚR </w:t>
      </w:r>
      <w:r w:rsidR="003B07D8">
        <w:t xml:space="preserve">LK </w:t>
      </w:r>
      <w:r w:rsidRPr="00461C16">
        <w:t xml:space="preserve">zároveň vymezují kulturní hodnoty nadmístního významu, mezi něž patří městská památková zóna </w:t>
      </w:r>
      <w:r w:rsidR="00DE5263" w:rsidRPr="00461C16">
        <w:t>Hrádek nad Nisou</w:t>
      </w:r>
      <w:r w:rsidRPr="00461C16">
        <w:t>.</w:t>
      </w:r>
    </w:p>
    <w:p w14:paraId="0C23BC5E" w14:textId="77777777" w:rsidR="002A247E" w:rsidRPr="00461C16" w:rsidRDefault="002A247E" w:rsidP="002A247E">
      <w:pPr>
        <w:pStyle w:val="1text"/>
      </w:pPr>
      <w:r w:rsidRPr="00461C16">
        <w:t>Za kulturní hodnoty se v oblasti územního plánování považují objekty a plochy cenné z hlediska územního vývoje osídlení krajiny a kvalitní doklady stavebního vývoje v území. V praxi se jedná především o objekty a plochy, jejichž ochrana je zajištěna právními předpisy v oblasti památkové péče:</w:t>
      </w:r>
    </w:p>
    <w:p w14:paraId="51FE2C07" w14:textId="77777777" w:rsidR="002A247E" w:rsidRPr="00461C16" w:rsidRDefault="002A247E" w:rsidP="002A247E">
      <w:pPr>
        <w:pStyle w:val="5odrazka"/>
        <w:ind w:left="993" w:hanging="284"/>
      </w:pPr>
      <w:r w:rsidRPr="00461C16">
        <w:t>zákon č. 20/1987 Sb., o státní památkové péči</w:t>
      </w:r>
      <w:r w:rsidR="00A53768" w:rsidRPr="00461C16">
        <w:t>, v platném znění</w:t>
      </w:r>
      <w:r w:rsidRPr="00461C16">
        <w:t>,</w:t>
      </w:r>
    </w:p>
    <w:p w14:paraId="1EEBE621" w14:textId="77777777" w:rsidR="002A247E" w:rsidRPr="00461C16" w:rsidRDefault="002A247E" w:rsidP="002A247E">
      <w:pPr>
        <w:pStyle w:val="5odrazka"/>
        <w:ind w:left="993" w:hanging="284"/>
        <w:rPr>
          <w:rStyle w:val="NvrhP-text"/>
        </w:rPr>
      </w:pPr>
      <w:r w:rsidRPr="00461C16">
        <w:t>vyhláška č. 66/1988 Sb., kterou se provádí zákon č. 20/1987 Sb.</w:t>
      </w:r>
      <w:r w:rsidR="00A53768" w:rsidRPr="00461C16">
        <w:t>, v platném znění</w:t>
      </w:r>
      <w:r w:rsidRPr="00461C16">
        <w:t>,</w:t>
      </w:r>
    </w:p>
    <w:p w14:paraId="5AE854CE" w14:textId="77777777" w:rsidR="002A247E" w:rsidRPr="00461C16" w:rsidRDefault="002A247E" w:rsidP="002A247E">
      <w:pPr>
        <w:pStyle w:val="5odrazka"/>
        <w:ind w:left="993" w:hanging="284"/>
        <w:rPr>
          <w:rStyle w:val="NvrhP-text"/>
        </w:rPr>
      </w:pPr>
      <w:r w:rsidRPr="00461C16">
        <w:rPr>
          <w:rStyle w:val="NvrhP-text"/>
        </w:rPr>
        <w:t xml:space="preserve">vyhláška č. </w:t>
      </w:r>
      <w:r w:rsidR="00DE5263" w:rsidRPr="00461C16">
        <w:t>108/2003</w:t>
      </w:r>
      <w:r w:rsidRPr="00461C16">
        <w:t xml:space="preserve"> Sb., </w:t>
      </w:r>
      <w:r w:rsidR="00DE5263" w:rsidRPr="00461C16">
        <w:rPr>
          <w:rFonts w:cs="Arial"/>
          <w:iCs/>
          <w:color w:val="070707"/>
          <w:shd w:val="clear" w:color="auto" w:fill="FFFFFF"/>
        </w:rPr>
        <w:t>o prohlášení území s historickým prostředím ve vybraných městech a obcích za památkové zóny a určování podmínek pro jejich ochranu</w:t>
      </w:r>
      <w:r w:rsidRPr="00461C16">
        <w:t>.</w:t>
      </w:r>
    </w:p>
    <w:p w14:paraId="1E0A545B" w14:textId="77777777" w:rsidR="002A247E" w:rsidRPr="00461C16" w:rsidRDefault="002A247E" w:rsidP="002A247E">
      <w:pPr>
        <w:pStyle w:val="1text"/>
      </w:pPr>
      <w:r w:rsidRPr="00461C16">
        <w:t xml:space="preserve">Uvedené právní předpisy tvoří základní rámec pro identifikaci kulturních hodnot a pro požadavky na jejich ochranu. Údaje o hodnotách byly čerpány z Územně analytických podkladů pro správní obvod ORP </w:t>
      </w:r>
      <w:r w:rsidR="00DE5263" w:rsidRPr="00461C16">
        <w:t>Liberec</w:t>
      </w:r>
      <w:r w:rsidRPr="00461C16">
        <w:t xml:space="preserve"> a webové aplikace Národního památkového ústavu a města </w:t>
      </w:r>
      <w:r w:rsidR="00DE5263" w:rsidRPr="00461C16">
        <w:t>Hrádek nad Nisou</w:t>
      </w:r>
      <w:r w:rsidRPr="00461C16">
        <w:t>.</w:t>
      </w:r>
    </w:p>
    <w:p w14:paraId="0D52E1A8" w14:textId="77777777" w:rsidR="002A247E" w:rsidRPr="00461C16" w:rsidRDefault="002A247E" w:rsidP="00753F4E">
      <w:pPr>
        <w:pStyle w:val="4podnadpis"/>
        <w:rPr>
          <w:rStyle w:val="NvrhP-text"/>
          <w:i w:val="0"/>
        </w:rPr>
      </w:pPr>
      <w:r w:rsidRPr="00461C16">
        <w:rPr>
          <w:rStyle w:val="NvrhP-text"/>
          <w:i w:val="0"/>
        </w:rPr>
        <w:t>Návrh řešení a jeho odůvodnění</w:t>
      </w:r>
    </w:p>
    <w:p w14:paraId="3FA79F28" w14:textId="77777777" w:rsidR="006A511E" w:rsidRPr="00461C16" w:rsidRDefault="006A511E" w:rsidP="00525299">
      <w:pPr>
        <w:pStyle w:val="a-cislo"/>
        <w:numPr>
          <w:ilvl w:val="0"/>
          <w:numId w:val="0"/>
        </w:numPr>
        <w:spacing w:before="120"/>
      </w:pPr>
      <w:r w:rsidRPr="00461C16">
        <w:t>Na území města se nachází značný počet jedinečných architektonicky, historicky či urbanisticky cenných staveb a území, které jsou z větší části evidovány v rejstříku Národního památkového ústavu a jsou chráněny jako kulturní památky či památkově chráněná území. Nezpochybnitelná je i hodnota dalších staveb, které tento status nemají, jsou však</w:t>
      </w:r>
      <w:r w:rsidR="006D79EC" w:rsidRPr="00461C16">
        <w:t xml:space="preserve"> jedinečným dokladem lidového stavitelství a </w:t>
      </w:r>
      <w:r w:rsidRPr="00461C16">
        <w:t>tradičního venkovského způsobu života</w:t>
      </w:r>
      <w:r w:rsidR="006D79EC" w:rsidRPr="00461C16">
        <w:t xml:space="preserve"> (roubené a hrázděné stavby), historické architektury městských domů či období rozkvětu tradiční průmyslové výroby (režné zdivo).</w:t>
      </w:r>
      <w:r w:rsidRPr="00461C16">
        <w:t xml:space="preserve"> </w:t>
      </w:r>
    </w:p>
    <w:p w14:paraId="1C91930E" w14:textId="77777777" w:rsidR="00C21057" w:rsidRPr="00461C16" w:rsidRDefault="00C21057" w:rsidP="00525299">
      <w:pPr>
        <w:pStyle w:val="a-cislo"/>
        <w:numPr>
          <w:ilvl w:val="0"/>
          <w:numId w:val="0"/>
        </w:numPr>
        <w:spacing w:before="120"/>
      </w:pPr>
      <w:r w:rsidRPr="00461C16">
        <w:t>Na území města jsou identifikovány následující kulturní hodnoty:</w:t>
      </w:r>
    </w:p>
    <w:p w14:paraId="17C34B8B" w14:textId="77777777" w:rsidR="006D79EC" w:rsidRPr="00461C16" w:rsidRDefault="006D79EC" w:rsidP="001C22D8">
      <w:pPr>
        <w:pStyle w:val="b-pismeno"/>
        <w:numPr>
          <w:ilvl w:val="0"/>
          <w:numId w:val="20"/>
        </w:numPr>
        <w:ind w:left="426" w:hanging="426"/>
      </w:pPr>
      <w:r w:rsidRPr="00461C16">
        <w:t>městská památková zóna Hrádek nad Nisou,</w:t>
      </w:r>
    </w:p>
    <w:p w14:paraId="3A35C39A" w14:textId="77777777" w:rsidR="006D79EC" w:rsidRPr="00461C16" w:rsidRDefault="006D79EC" w:rsidP="001C22D8">
      <w:pPr>
        <w:pStyle w:val="b-pismeno"/>
        <w:numPr>
          <w:ilvl w:val="0"/>
          <w:numId w:val="20"/>
        </w:numPr>
        <w:spacing w:before="120"/>
        <w:ind w:left="426" w:hanging="426"/>
      </w:pPr>
      <w:r w:rsidRPr="00461C16">
        <w:t>nemovité kulturní památky stavebního charakteru evidované v rejstříku NPÚ:</w:t>
      </w:r>
    </w:p>
    <w:p w14:paraId="3B9DB5F3" w14:textId="77777777" w:rsidR="006D79EC" w:rsidRPr="00461C16" w:rsidRDefault="006D79EC" w:rsidP="004B2D25">
      <w:pPr>
        <w:pStyle w:val="b-pismeno"/>
        <w:numPr>
          <w:ilvl w:val="0"/>
          <w:numId w:val="67"/>
        </w:numPr>
        <w:ind w:hanging="720"/>
        <w:rPr>
          <w:sz w:val="20"/>
          <w:szCs w:val="20"/>
        </w:rPr>
      </w:pPr>
      <w:r w:rsidRPr="00461C16">
        <w:rPr>
          <w:sz w:val="20"/>
          <w:szCs w:val="20"/>
        </w:rPr>
        <w:t>kostel sv. Bartoloměje</w:t>
      </w:r>
    </w:p>
    <w:p w14:paraId="2C59FE4D" w14:textId="77777777" w:rsidR="006D79EC" w:rsidRPr="00461C16" w:rsidRDefault="006D79EC" w:rsidP="004B2D25">
      <w:pPr>
        <w:pStyle w:val="b-pismeno"/>
        <w:numPr>
          <w:ilvl w:val="0"/>
          <w:numId w:val="67"/>
        </w:numPr>
        <w:ind w:hanging="720"/>
        <w:rPr>
          <w:sz w:val="20"/>
          <w:szCs w:val="20"/>
        </w:rPr>
      </w:pPr>
      <w:r w:rsidRPr="00461C16">
        <w:rPr>
          <w:sz w:val="20"/>
          <w:szCs w:val="20"/>
        </w:rPr>
        <w:t>fara – při kostele sv. Bartoloměje</w:t>
      </w:r>
    </w:p>
    <w:p w14:paraId="137D8D58" w14:textId="77777777" w:rsidR="006D79EC" w:rsidRPr="00461C16" w:rsidRDefault="006D79EC" w:rsidP="004B2D25">
      <w:pPr>
        <w:pStyle w:val="b-pismeno"/>
        <w:numPr>
          <w:ilvl w:val="0"/>
          <w:numId w:val="67"/>
        </w:numPr>
        <w:ind w:hanging="720"/>
        <w:rPr>
          <w:sz w:val="20"/>
          <w:szCs w:val="20"/>
        </w:rPr>
      </w:pPr>
      <w:r w:rsidRPr="00461C16">
        <w:rPr>
          <w:sz w:val="20"/>
          <w:szCs w:val="20"/>
        </w:rPr>
        <w:t xml:space="preserve">textilní továrna – Generála Svobody </w:t>
      </w:r>
      <w:r w:rsidR="00D21457" w:rsidRPr="00461C16">
        <w:rPr>
          <w:sz w:val="20"/>
          <w:szCs w:val="20"/>
        </w:rPr>
        <w:t xml:space="preserve">č.p. </w:t>
      </w:r>
      <w:r w:rsidRPr="00461C16">
        <w:rPr>
          <w:sz w:val="20"/>
          <w:szCs w:val="20"/>
        </w:rPr>
        <w:t>65 a 66</w:t>
      </w:r>
    </w:p>
    <w:p w14:paraId="52A41361" w14:textId="77777777" w:rsidR="006D79EC" w:rsidRPr="00461C16" w:rsidRDefault="006D79EC" w:rsidP="004B2D25">
      <w:pPr>
        <w:pStyle w:val="b-pismeno"/>
        <w:numPr>
          <w:ilvl w:val="0"/>
          <w:numId w:val="67"/>
        </w:numPr>
        <w:ind w:hanging="720"/>
        <w:rPr>
          <w:sz w:val="20"/>
          <w:szCs w:val="20"/>
        </w:rPr>
      </w:pPr>
      <w:r w:rsidRPr="00461C16">
        <w:rPr>
          <w:sz w:val="20"/>
          <w:szCs w:val="20"/>
        </w:rPr>
        <w:t xml:space="preserve">textilní továrna – Generála Svobody </w:t>
      </w:r>
      <w:r w:rsidR="00D21457" w:rsidRPr="00461C16">
        <w:rPr>
          <w:sz w:val="20"/>
          <w:szCs w:val="20"/>
        </w:rPr>
        <w:t xml:space="preserve">č.p. </w:t>
      </w:r>
      <w:r w:rsidRPr="00461C16">
        <w:rPr>
          <w:sz w:val="20"/>
          <w:szCs w:val="20"/>
        </w:rPr>
        <w:t>67</w:t>
      </w:r>
    </w:p>
    <w:p w14:paraId="7B8842BB" w14:textId="77777777" w:rsidR="006D79EC" w:rsidRPr="00461C16" w:rsidRDefault="006D79EC" w:rsidP="004B2D25">
      <w:pPr>
        <w:pStyle w:val="b-pismeno"/>
        <w:numPr>
          <w:ilvl w:val="0"/>
          <w:numId w:val="67"/>
        </w:numPr>
        <w:ind w:hanging="720"/>
        <w:rPr>
          <w:sz w:val="20"/>
          <w:szCs w:val="20"/>
        </w:rPr>
      </w:pPr>
      <w:r w:rsidRPr="00461C16">
        <w:rPr>
          <w:sz w:val="20"/>
          <w:szCs w:val="20"/>
        </w:rPr>
        <w:t>městský dům – Horní náměstí č.p. 85</w:t>
      </w:r>
    </w:p>
    <w:p w14:paraId="3574FF9D" w14:textId="77777777" w:rsidR="006D79EC" w:rsidRPr="00461C16" w:rsidRDefault="006D79EC" w:rsidP="004B2D25">
      <w:pPr>
        <w:pStyle w:val="b-pismeno"/>
        <w:numPr>
          <w:ilvl w:val="0"/>
          <w:numId w:val="67"/>
        </w:numPr>
        <w:ind w:hanging="720"/>
        <w:rPr>
          <w:sz w:val="20"/>
          <w:szCs w:val="20"/>
        </w:rPr>
      </w:pPr>
      <w:r w:rsidRPr="00461C16">
        <w:rPr>
          <w:sz w:val="20"/>
          <w:szCs w:val="20"/>
        </w:rPr>
        <w:t>městský dům – Horní náměstí č.p. 109¨</w:t>
      </w:r>
    </w:p>
    <w:p w14:paraId="647EF14A" w14:textId="77777777" w:rsidR="006D79EC" w:rsidRPr="00461C16" w:rsidRDefault="006D79EC" w:rsidP="004B2D25">
      <w:pPr>
        <w:pStyle w:val="b-pismeno"/>
        <w:numPr>
          <w:ilvl w:val="0"/>
          <w:numId w:val="67"/>
        </w:numPr>
        <w:ind w:hanging="720"/>
        <w:rPr>
          <w:sz w:val="20"/>
          <w:szCs w:val="20"/>
        </w:rPr>
      </w:pPr>
      <w:r w:rsidRPr="00461C16">
        <w:rPr>
          <w:sz w:val="20"/>
          <w:szCs w:val="20"/>
        </w:rPr>
        <w:t>městský dům – Horní náměstí č.p. 110</w:t>
      </w:r>
    </w:p>
    <w:p w14:paraId="74FB9A1E" w14:textId="77777777" w:rsidR="006D79EC" w:rsidRPr="00461C16" w:rsidRDefault="006D79EC" w:rsidP="004B2D25">
      <w:pPr>
        <w:pStyle w:val="b-pismeno"/>
        <w:numPr>
          <w:ilvl w:val="0"/>
          <w:numId w:val="67"/>
        </w:numPr>
        <w:ind w:hanging="720"/>
        <w:rPr>
          <w:sz w:val="20"/>
          <w:szCs w:val="20"/>
        </w:rPr>
      </w:pPr>
      <w:r w:rsidRPr="00461C16">
        <w:rPr>
          <w:sz w:val="20"/>
          <w:szCs w:val="20"/>
        </w:rPr>
        <w:t>městský dům – Horní náměstí č.p. 123</w:t>
      </w:r>
    </w:p>
    <w:p w14:paraId="735462DD" w14:textId="77777777" w:rsidR="006D79EC" w:rsidRPr="00461C16" w:rsidRDefault="006D79EC" w:rsidP="004B2D25">
      <w:pPr>
        <w:pStyle w:val="b-pismeno"/>
        <w:numPr>
          <w:ilvl w:val="0"/>
          <w:numId w:val="67"/>
        </w:numPr>
        <w:ind w:hanging="720"/>
        <w:rPr>
          <w:sz w:val="20"/>
          <w:szCs w:val="20"/>
        </w:rPr>
      </w:pPr>
      <w:r w:rsidRPr="00461C16">
        <w:rPr>
          <w:sz w:val="20"/>
          <w:szCs w:val="20"/>
        </w:rPr>
        <w:t>městský dům – Horní náměstí č.p. 124</w:t>
      </w:r>
    </w:p>
    <w:p w14:paraId="07619CC5" w14:textId="77777777" w:rsidR="006D79EC" w:rsidRPr="00461C16" w:rsidRDefault="006D79EC" w:rsidP="004B2D25">
      <w:pPr>
        <w:pStyle w:val="b-pismeno"/>
        <w:numPr>
          <w:ilvl w:val="0"/>
          <w:numId w:val="67"/>
        </w:numPr>
        <w:ind w:hanging="720"/>
        <w:rPr>
          <w:sz w:val="20"/>
          <w:szCs w:val="20"/>
        </w:rPr>
      </w:pPr>
      <w:r w:rsidRPr="00461C16">
        <w:rPr>
          <w:sz w:val="20"/>
          <w:szCs w:val="20"/>
        </w:rPr>
        <w:t>městský dům – žitavská č.p. 86</w:t>
      </w:r>
    </w:p>
    <w:p w14:paraId="46C7D502" w14:textId="77777777" w:rsidR="006D79EC" w:rsidRPr="00461C16" w:rsidRDefault="006D79EC" w:rsidP="004B2D25">
      <w:pPr>
        <w:pStyle w:val="b-pismeno"/>
        <w:numPr>
          <w:ilvl w:val="0"/>
          <w:numId w:val="67"/>
        </w:numPr>
        <w:ind w:hanging="720"/>
        <w:rPr>
          <w:sz w:val="20"/>
          <w:szCs w:val="20"/>
        </w:rPr>
      </w:pPr>
      <w:r w:rsidRPr="00461C16">
        <w:rPr>
          <w:sz w:val="20"/>
          <w:szCs w:val="20"/>
        </w:rPr>
        <w:t>městský dům – žitavská č.p. 93</w:t>
      </w:r>
    </w:p>
    <w:p w14:paraId="7B438457" w14:textId="77777777" w:rsidR="006D79EC" w:rsidRPr="00461C16" w:rsidRDefault="006D79EC" w:rsidP="004B2D25">
      <w:pPr>
        <w:pStyle w:val="b-pismeno"/>
        <w:numPr>
          <w:ilvl w:val="0"/>
          <w:numId w:val="67"/>
        </w:numPr>
        <w:ind w:hanging="720"/>
        <w:rPr>
          <w:sz w:val="20"/>
          <w:szCs w:val="20"/>
        </w:rPr>
      </w:pPr>
      <w:r w:rsidRPr="00461C16">
        <w:rPr>
          <w:sz w:val="20"/>
          <w:szCs w:val="20"/>
        </w:rPr>
        <w:t>vila Hermanna Schuberta – Václavská č.p. 471</w:t>
      </w:r>
    </w:p>
    <w:p w14:paraId="6838FCE8" w14:textId="77777777" w:rsidR="006D79EC" w:rsidRPr="00461C16" w:rsidRDefault="006D79EC" w:rsidP="004B2D25">
      <w:pPr>
        <w:pStyle w:val="b-pismeno"/>
        <w:numPr>
          <w:ilvl w:val="0"/>
          <w:numId w:val="67"/>
        </w:numPr>
        <w:ind w:hanging="720"/>
        <w:rPr>
          <w:sz w:val="20"/>
          <w:szCs w:val="20"/>
        </w:rPr>
      </w:pPr>
      <w:r w:rsidRPr="00461C16">
        <w:rPr>
          <w:sz w:val="20"/>
          <w:szCs w:val="20"/>
        </w:rPr>
        <w:t>sousoší Piety – Donín</w:t>
      </w:r>
    </w:p>
    <w:p w14:paraId="6D4B417F" w14:textId="77777777" w:rsidR="006D79EC" w:rsidRPr="00461C16" w:rsidRDefault="006D79EC" w:rsidP="004B2D25">
      <w:pPr>
        <w:pStyle w:val="b-pismeno"/>
        <w:numPr>
          <w:ilvl w:val="0"/>
          <w:numId w:val="67"/>
        </w:numPr>
        <w:ind w:hanging="720"/>
        <w:rPr>
          <w:sz w:val="20"/>
          <w:szCs w:val="20"/>
        </w:rPr>
      </w:pPr>
      <w:r w:rsidRPr="00461C16">
        <w:rPr>
          <w:sz w:val="20"/>
          <w:szCs w:val="20"/>
        </w:rPr>
        <w:t>kaple Nejsvětější Trojice – Horní Sedlo</w:t>
      </w:r>
    </w:p>
    <w:p w14:paraId="7B1C9095" w14:textId="77777777" w:rsidR="006D79EC" w:rsidRPr="00461C16" w:rsidRDefault="006D79EC" w:rsidP="004B2D25">
      <w:pPr>
        <w:pStyle w:val="b-pismeno"/>
        <w:numPr>
          <w:ilvl w:val="0"/>
          <w:numId w:val="67"/>
        </w:numPr>
        <w:ind w:hanging="720"/>
        <w:rPr>
          <w:sz w:val="20"/>
          <w:szCs w:val="20"/>
        </w:rPr>
      </w:pPr>
      <w:r w:rsidRPr="00461C16">
        <w:rPr>
          <w:sz w:val="20"/>
          <w:szCs w:val="20"/>
        </w:rPr>
        <w:t>venkovská dům – Václavice č.p. 81</w:t>
      </w:r>
    </w:p>
    <w:p w14:paraId="11E39041" w14:textId="77777777" w:rsidR="006D79EC" w:rsidRPr="00461C16" w:rsidRDefault="006D79EC" w:rsidP="004B2D25">
      <w:pPr>
        <w:pStyle w:val="b-pismeno"/>
        <w:numPr>
          <w:ilvl w:val="0"/>
          <w:numId w:val="67"/>
        </w:numPr>
        <w:ind w:hanging="720"/>
        <w:rPr>
          <w:sz w:val="20"/>
          <w:szCs w:val="20"/>
        </w:rPr>
      </w:pPr>
      <w:r w:rsidRPr="00461C16">
        <w:rPr>
          <w:sz w:val="20"/>
          <w:szCs w:val="20"/>
        </w:rPr>
        <w:t>větrný mlýn – Václavice</w:t>
      </w:r>
    </w:p>
    <w:p w14:paraId="6221C549" w14:textId="77777777" w:rsidR="006D79EC" w:rsidRPr="00461C16" w:rsidRDefault="006D79EC" w:rsidP="004B2D25">
      <w:pPr>
        <w:pStyle w:val="b-pismeno"/>
        <w:numPr>
          <w:ilvl w:val="0"/>
          <w:numId w:val="67"/>
        </w:numPr>
        <w:ind w:hanging="720"/>
        <w:rPr>
          <w:sz w:val="20"/>
          <w:szCs w:val="20"/>
        </w:rPr>
      </w:pPr>
      <w:r w:rsidRPr="00461C16">
        <w:rPr>
          <w:sz w:val="20"/>
          <w:szCs w:val="20"/>
        </w:rPr>
        <w:lastRenderedPageBreak/>
        <w:t>fara – Václavice</w:t>
      </w:r>
    </w:p>
    <w:p w14:paraId="449A59C9" w14:textId="77777777" w:rsidR="006D79EC" w:rsidRPr="00461C16" w:rsidRDefault="006D79EC" w:rsidP="004B2D25">
      <w:pPr>
        <w:pStyle w:val="b-pismeno"/>
        <w:numPr>
          <w:ilvl w:val="0"/>
          <w:numId w:val="67"/>
        </w:numPr>
        <w:ind w:hanging="720"/>
        <w:rPr>
          <w:sz w:val="20"/>
          <w:szCs w:val="20"/>
        </w:rPr>
      </w:pPr>
      <w:r w:rsidRPr="00461C16">
        <w:rPr>
          <w:sz w:val="20"/>
          <w:szCs w:val="20"/>
        </w:rPr>
        <w:t>venkovská usedlost – Václavice č.p. 168</w:t>
      </w:r>
    </w:p>
    <w:p w14:paraId="70734CCF" w14:textId="77777777" w:rsidR="006D79EC" w:rsidRPr="00461C16" w:rsidRDefault="006D79EC" w:rsidP="001C22D8">
      <w:pPr>
        <w:pStyle w:val="b-pismeno"/>
        <w:numPr>
          <w:ilvl w:val="0"/>
          <w:numId w:val="20"/>
        </w:numPr>
        <w:spacing w:before="120"/>
        <w:ind w:left="426" w:hanging="426"/>
      </w:pPr>
      <w:r w:rsidRPr="00461C16">
        <w:t xml:space="preserve">urbanisticky významné kompoziční prvky a významná veřejná prostranství zakreslené </w:t>
      </w:r>
      <w:r w:rsidR="00D27128" w:rsidRPr="00461C16">
        <w:t>ve výkresu I.2</w:t>
      </w:r>
      <w:r w:rsidR="00E414D7">
        <w:t>a</w:t>
      </w:r>
      <w:r w:rsidRPr="00461C16">
        <w:t xml:space="preserve">: </w:t>
      </w:r>
    </w:p>
    <w:p w14:paraId="12568468" w14:textId="77777777" w:rsidR="006D79EC" w:rsidRPr="00461C16" w:rsidRDefault="006D79EC" w:rsidP="004B2D25">
      <w:pPr>
        <w:pStyle w:val="b-pismeno"/>
        <w:numPr>
          <w:ilvl w:val="0"/>
          <w:numId w:val="66"/>
        </w:numPr>
        <w:tabs>
          <w:tab w:val="left" w:pos="1560"/>
        </w:tabs>
        <w:rPr>
          <w:sz w:val="20"/>
          <w:szCs w:val="20"/>
        </w:rPr>
      </w:pPr>
      <w:r w:rsidRPr="00461C16">
        <w:rPr>
          <w:sz w:val="20"/>
          <w:szCs w:val="20"/>
        </w:rPr>
        <w:t xml:space="preserve">Horní náměstí s navazující </w:t>
      </w:r>
      <w:r w:rsidR="00D21457" w:rsidRPr="00461C16">
        <w:rPr>
          <w:sz w:val="20"/>
          <w:szCs w:val="20"/>
        </w:rPr>
        <w:t>historickou zástavbou</w:t>
      </w:r>
    </w:p>
    <w:p w14:paraId="1C225024" w14:textId="77777777" w:rsidR="006D79EC" w:rsidRPr="00461C16" w:rsidRDefault="006D79EC" w:rsidP="004B2D25">
      <w:pPr>
        <w:pStyle w:val="b-pismeno"/>
        <w:numPr>
          <w:ilvl w:val="0"/>
          <w:numId w:val="66"/>
        </w:numPr>
        <w:tabs>
          <w:tab w:val="left" w:pos="1560"/>
        </w:tabs>
        <w:rPr>
          <w:sz w:val="20"/>
          <w:szCs w:val="20"/>
        </w:rPr>
      </w:pPr>
      <w:r w:rsidRPr="00461C16">
        <w:rPr>
          <w:sz w:val="20"/>
          <w:szCs w:val="20"/>
        </w:rPr>
        <w:t>vilová zástavba podél Žitavské ul.</w:t>
      </w:r>
    </w:p>
    <w:p w14:paraId="6B693E0E" w14:textId="77777777" w:rsidR="006D79EC" w:rsidRPr="00461C16" w:rsidRDefault="006D79EC" w:rsidP="004B2D25">
      <w:pPr>
        <w:pStyle w:val="b-pismeno"/>
        <w:numPr>
          <w:ilvl w:val="0"/>
          <w:numId w:val="66"/>
        </w:numPr>
        <w:tabs>
          <w:tab w:val="left" w:pos="1560"/>
        </w:tabs>
        <w:rPr>
          <w:sz w:val="20"/>
          <w:szCs w:val="20"/>
        </w:rPr>
      </w:pPr>
      <w:r w:rsidRPr="00461C16">
        <w:rPr>
          <w:sz w:val="20"/>
          <w:szCs w:val="20"/>
        </w:rPr>
        <w:t>nízkopodlažní obytná zástavba z 1.pol. 20.stol. v lokalitě Na Vý</w:t>
      </w:r>
      <w:r w:rsidR="00D21457" w:rsidRPr="00461C16">
        <w:rPr>
          <w:sz w:val="20"/>
          <w:szCs w:val="20"/>
        </w:rPr>
        <w:t>šině</w:t>
      </w:r>
    </w:p>
    <w:p w14:paraId="3F7E9C24" w14:textId="77777777" w:rsidR="006D79EC" w:rsidRPr="00461C16" w:rsidRDefault="006D79EC" w:rsidP="004B2D25">
      <w:pPr>
        <w:pStyle w:val="b-pismeno"/>
        <w:numPr>
          <w:ilvl w:val="0"/>
          <w:numId w:val="66"/>
        </w:numPr>
        <w:tabs>
          <w:tab w:val="left" w:pos="1560"/>
        </w:tabs>
        <w:rPr>
          <w:sz w:val="20"/>
          <w:szCs w:val="20"/>
        </w:rPr>
      </w:pPr>
      <w:r w:rsidRPr="00461C16">
        <w:rPr>
          <w:sz w:val="20"/>
          <w:szCs w:val="20"/>
        </w:rPr>
        <w:t>městský park v prostoru mezi ulicemi Hradební – Gen. Svobody – Kamenná – 1.máje</w:t>
      </w:r>
    </w:p>
    <w:p w14:paraId="7738F10F" w14:textId="77777777" w:rsidR="006D79EC" w:rsidRPr="00461C16" w:rsidRDefault="006D79EC" w:rsidP="004B2D25">
      <w:pPr>
        <w:pStyle w:val="b-pismeno"/>
        <w:numPr>
          <w:ilvl w:val="0"/>
          <w:numId w:val="66"/>
        </w:numPr>
        <w:tabs>
          <w:tab w:val="left" w:pos="1560"/>
        </w:tabs>
        <w:rPr>
          <w:sz w:val="20"/>
          <w:szCs w:val="20"/>
        </w:rPr>
      </w:pPr>
      <w:r w:rsidRPr="00461C16">
        <w:rPr>
          <w:sz w:val="20"/>
          <w:szCs w:val="20"/>
        </w:rPr>
        <w:t>veřejné prostranství s okolní nízkopodlažní obytnou zástavbou v prostoru ul. Rynoltická – Souběžná</w:t>
      </w:r>
    </w:p>
    <w:p w14:paraId="5E84C070" w14:textId="77777777" w:rsidR="006D79EC" w:rsidRPr="00461C16" w:rsidRDefault="006D79EC" w:rsidP="004B2D25">
      <w:pPr>
        <w:pStyle w:val="b-pismeno"/>
        <w:numPr>
          <w:ilvl w:val="0"/>
          <w:numId w:val="66"/>
        </w:numPr>
        <w:tabs>
          <w:tab w:val="left" w:pos="1560"/>
        </w:tabs>
        <w:rPr>
          <w:sz w:val="20"/>
          <w:szCs w:val="20"/>
        </w:rPr>
      </w:pPr>
      <w:r w:rsidRPr="00461C16">
        <w:rPr>
          <w:sz w:val="20"/>
          <w:szCs w:val="20"/>
        </w:rPr>
        <w:t>soubor bývalých dělnických domů z roku 1907 s blokovou strukturou zástavby a geometrickým půdorysným uspořádáním - Dolní Suchá čp. 125 – 134</w:t>
      </w:r>
    </w:p>
    <w:p w14:paraId="25D7696C" w14:textId="77777777" w:rsidR="006D79EC" w:rsidRPr="00461C16" w:rsidRDefault="006D79EC" w:rsidP="004B2D25">
      <w:pPr>
        <w:pStyle w:val="b-pismeno"/>
        <w:numPr>
          <w:ilvl w:val="0"/>
          <w:numId w:val="66"/>
        </w:numPr>
        <w:tabs>
          <w:tab w:val="left" w:pos="1560"/>
        </w:tabs>
        <w:rPr>
          <w:sz w:val="20"/>
          <w:szCs w:val="20"/>
        </w:rPr>
      </w:pPr>
      <w:r w:rsidRPr="00461C16">
        <w:rPr>
          <w:sz w:val="20"/>
          <w:szCs w:val="20"/>
        </w:rPr>
        <w:t>zástavba původních venkovských stavení a chalup s podélnou orientací a jednotným odstupem od veřejného prostranství – západní část Horního Sedla čp. 13-18, č. ev. 5-7</w:t>
      </w:r>
    </w:p>
    <w:p w14:paraId="53F41AD1" w14:textId="77777777" w:rsidR="006D79EC" w:rsidRPr="00461C16" w:rsidRDefault="006D79EC" w:rsidP="001C22D8">
      <w:pPr>
        <w:pStyle w:val="b-pismeno"/>
        <w:numPr>
          <w:ilvl w:val="0"/>
          <w:numId w:val="20"/>
        </w:numPr>
        <w:spacing w:before="120"/>
        <w:ind w:left="426" w:hanging="426"/>
      </w:pPr>
      <w:r w:rsidRPr="00461C16">
        <w:t>architektonicky cenné stavby zakreslené ve výkresu I.</w:t>
      </w:r>
      <w:r w:rsidR="00D27128" w:rsidRPr="00461C16">
        <w:t>2</w:t>
      </w:r>
      <w:r w:rsidR="00E414D7">
        <w:t>a</w:t>
      </w:r>
      <w:r w:rsidRPr="00461C16">
        <w:t>:</w:t>
      </w:r>
    </w:p>
    <w:p w14:paraId="56B5A1CF" w14:textId="77777777" w:rsidR="00D21457" w:rsidRPr="00461C16" w:rsidRDefault="00D21457" w:rsidP="00A76D14">
      <w:pPr>
        <w:pStyle w:val="b-pismeno"/>
        <w:numPr>
          <w:ilvl w:val="0"/>
          <w:numId w:val="0"/>
        </w:numPr>
        <w:spacing w:before="240"/>
        <w:ind w:left="426"/>
      </w:pPr>
      <w:r w:rsidRPr="00461C16">
        <w:t>DOLNÍ SUCHÁ</w:t>
      </w:r>
    </w:p>
    <w:tbl>
      <w:tblPr>
        <w:tblW w:w="0" w:type="auto"/>
        <w:tblInd w:w="108" w:type="dxa"/>
        <w:tblLook w:val="04A0" w:firstRow="1" w:lastRow="0" w:firstColumn="1" w:lastColumn="0" w:noHBand="0" w:noVBand="1"/>
      </w:tblPr>
      <w:tblGrid>
        <w:gridCol w:w="2410"/>
        <w:gridCol w:w="6770"/>
      </w:tblGrid>
      <w:tr w:rsidR="00D21457" w:rsidRPr="00461C16" w14:paraId="559F5B60" w14:textId="77777777" w:rsidTr="00A76D14">
        <w:tc>
          <w:tcPr>
            <w:tcW w:w="2410" w:type="dxa"/>
            <w:shd w:val="clear" w:color="auto" w:fill="auto"/>
          </w:tcPr>
          <w:p w14:paraId="110D72E5"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Dolní Suchá ev.č. 4 </w:t>
            </w:r>
          </w:p>
        </w:tc>
        <w:tc>
          <w:tcPr>
            <w:tcW w:w="6770" w:type="dxa"/>
            <w:shd w:val="clear" w:color="auto" w:fill="auto"/>
          </w:tcPr>
          <w:p w14:paraId="4BFD75DC" w14:textId="77777777" w:rsidR="00D21457" w:rsidRPr="00461C16" w:rsidRDefault="00D21457" w:rsidP="00D21457">
            <w:pPr>
              <w:jc w:val="left"/>
              <w:rPr>
                <w:color w:val="000000"/>
                <w:sz w:val="20"/>
              </w:rPr>
            </w:pPr>
            <w:r w:rsidRPr="00461C16">
              <w:rPr>
                <w:color w:val="000000"/>
                <w:sz w:val="20"/>
              </w:rPr>
              <w:t>venkovské stavení s roubeným přízemím a částečně dřevěným patrem s vertikálním bedněním</w:t>
            </w:r>
          </w:p>
        </w:tc>
      </w:tr>
      <w:tr w:rsidR="00D21457" w:rsidRPr="00461C16" w14:paraId="50F338BA" w14:textId="77777777" w:rsidTr="00A76D14">
        <w:tc>
          <w:tcPr>
            <w:tcW w:w="2410" w:type="dxa"/>
            <w:shd w:val="clear" w:color="auto" w:fill="auto"/>
          </w:tcPr>
          <w:p w14:paraId="5D8165A3"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ev.č. 5</w:t>
            </w:r>
          </w:p>
        </w:tc>
        <w:tc>
          <w:tcPr>
            <w:tcW w:w="6770" w:type="dxa"/>
            <w:shd w:val="clear" w:color="auto" w:fill="auto"/>
          </w:tcPr>
          <w:p w14:paraId="48251068" w14:textId="77777777" w:rsidR="00D21457" w:rsidRPr="00461C16" w:rsidRDefault="00D21457" w:rsidP="00D21457">
            <w:pPr>
              <w:jc w:val="left"/>
              <w:rPr>
                <w:color w:val="000000"/>
                <w:sz w:val="20"/>
              </w:rPr>
            </w:pPr>
            <w:r w:rsidRPr="00461C16">
              <w:rPr>
                <w:color w:val="000000"/>
                <w:sz w:val="20"/>
              </w:rPr>
              <w:t>dřevěné venkovské stavení se sloupky a naznačeným loubím, vertikálním bedněním štítu a kabřincovým horizontálním oddělením patra, v přízemí dekorativní vyřezávané šambrány oken</w:t>
            </w:r>
          </w:p>
        </w:tc>
      </w:tr>
      <w:tr w:rsidR="00D21457" w:rsidRPr="00461C16" w14:paraId="2941DF0E" w14:textId="77777777" w:rsidTr="00A76D14">
        <w:tc>
          <w:tcPr>
            <w:tcW w:w="2410" w:type="dxa"/>
            <w:shd w:val="clear" w:color="auto" w:fill="auto"/>
          </w:tcPr>
          <w:p w14:paraId="1DD41455"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ev.č.14</w:t>
            </w:r>
          </w:p>
        </w:tc>
        <w:tc>
          <w:tcPr>
            <w:tcW w:w="6770" w:type="dxa"/>
            <w:shd w:val="clear" w:color="auto" w:fill="auto"/>
          </w:tcPr>
          <w:p w14:paraId="6C1CD5C5" w14:textId="77777777" w:rsidR="00D21457" w:rsidRPr="00461C16" w:rsidRDefault="00D21457" w:rsidP="00D21457">
            <w:pPr>
              <w:jc w:val="left"/>
              <w:rPr>
                <w:color w:val="000000"/>
                <w:sz w:val="20"/>
              </w:rPr>
            </w:pPr>
            <w:r w:rsidRPr="00461C16">
              <w:rPr>
                <w:color w:val="000000"/>
                <w:sz w:val="20"/>
              </w:rPr>
              <w:t>venkovské stavení s roubenou přízemní přístavbou</w:t>
            </w:r>
          </w:p>
        </w:tc>
      </w:tr>
      <w:tr w:rsidR="00D21457" w:rsidRPr="00461C16" w14:paraId="3D6B6090" w14:textId="77777777" w:rsidTr="00A76D14">
        <w:tc>
          <w:tcPr>
            <w:tcW w:w="2410" w:type="dxa"/>
            <w:shd w:val="clear" w:color="auto" w:fill="auto"/>
          </w:tcPr>
          <w:p w14:paraId="5F16D28F"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Dolní Suchá ev.č.12 </w:t>
            </w:r>
          </w:p>
        </w:tc>
        <w:tc>
          <w:tcPr>
            <w:tcW w:w="6770" w:type="dxa"/>
            <w:shd w:val="clear" w:color="auto" w:fill="auto"/>
          </w:tcPr>
          <w:p w14:paraId="099893D1" w14:textId="77777777" w:rsidR="00D21457" w:rsidRPr="00461C16" w:rsidRDefault="00D21457" w:rsidP="00D21457">
            <w:pPr>
              <w:jc w:val="left"/>
              <w:rPr>
                <w:color w:val="000000"/>
                <w:sz w:val="20"/>
              </w:rPr>
            </w:pPr>
            <w:r w:rsidRPr="00461C16">
              <w:rPr>
                <w:color w:val="000000"/>
                <w:sz w:val="20"/>
              </w:rPr>
              <w:t>venkovské hospodářské stavení s dřevěnými štíty a částečně zachovanou hrázděnou konstrukcí</w:t>
            </w:r>
          </w:p>
        </w:tc>
      </w:tr>
      <w:tr w:rsidR="00D21457" w:rsidRPr="00461C16" w14:paraId="19C25194" w14:textId="77777777" w:rsidTr="00A76D14">
        <w:tc>
          <w:tcPr>
            <w:tcW w:w="2410" w:type="dxa"/>
            <w:shd w:val="clear" w:color="auto" w:fill="auto"/>
          </w:tcPr>
          <w:p w14:paraId="5B645186"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27</w:t>
            </w:r>
          </w:p>
        </w:tc>
        <w:tc>
          <w:tcPr>
            <w:tcW w:w="6770" w:type="dxa"/>
            <w:shd w:val="clear" w:color="auto" w:fill="auto"/>
          </w:tcPr>
          <w:p w14:paraId="32985A05" w14:textId="77777777" w:rsidR="00D21457" w:rsidRPr="00461C16" w:rsidRDefault="00D21457" w:rsidP="00D21457">
            <w:pPr>
              <w:jc w:val="left"/>
              <w:rPr>
                <w:color w:val="000000"/>
                <w:sz w:val="20"/>
              </w:rPr>
            </w:pPr>
            <w:r w:rsidRPr="00461C16">
              <w:rPr>
                <w:color w:val="000000"/>
                <w:sz w:val="20"/>
              </w:rPr>
              <w:t>venkovské stavení, na čelním průčelí ozdobný štít z barevných břidlicových šupin</w:t>
            </w:r>
          </w:p>
        </w:tc>
      </w:tr>
      <w:tr w:rsidR="00D21457" w:rsidRPr="00461C16" w14:paraId="6218B5E6" w14:textId="77777777" w:rsidTr="00A76D14">
        <w:tc>
          <w:tcPr>
            <w:tcW w:w="2410" w:type="dxa"/>
            <w:shd w:val="clear" w:color="auto" w:fill="auto"/>
          </w:tcPr>
          <w:p w14:paraId="4EC0537C"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28</w:t>
            </w:r>
          </w:p>
        </w:tc>
        <w:tc>
          <w:tcPr>
            <w:tcW w:w="6770" w:type="dxa"/>
            <w:shd w:val="clear" w:color="auto" w:fill="auto"/>
          </w:tcPr>
          <w:p w14:paraId="434FA925" w14:textId="77777777" w:rsidR="00D21457" w:rsidRPr="00461C16" w:rsidRDefault="00D21457" w:rsidP="00D21457">
            <w:pPr>
              <w:jc w:val="left"/>
              <w:rPr>
                <w:color w:val="000000"/>
                <w:sz w:val="20"/>
              </w:rPr>
            </w:pPr>
            <w:r w:rsidRPr="00461C16">
              <w:rPr>
                <w:color w:val="000000"/>
                <w:sz w:val="20"/>
              </w:rPr>
              <w:t>venkovské stavení s dřevěnou konstrukcí přízemí se sloupky a naznačeným loubím, horizontálním bedněním patra a dřevěným štítem</w:t>
            </w:r>
          </w:p>
        </w:tc>
      </w:tr>
      <w:tr w:rsidR="00D21457" w:rsidRPr="00461C16" w14:paraId="36F437DB" w14:textId="77777777" w:rsidTr="00A76D14">
        <w:tc>
          <w:tcPr>
            <w:tcW w:w="2410" w:type="dxa"/>
            <w:shd w:val="clear" w:color="auto" w:fill="auto"/>
          </w:tcPr>
          <w:p w14:paraId="69072101"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30</w:t>
            </w:r>
          </w:p>
        </w:tc>
        <w:tc>
          <w:tcPr>
            <w:tcW w:w="6770" w:type="dxa"/>
            <w:shd w:val="clear" w:color="auto" w:fill="auto"/>
          </w:tcPr>
          <w:p w14:paraId="518A0525" w14:textId="77777777" w:rsidR="00D21457" w:rsidRPr="00461C16" w:rsidRDefault="00D21457" w:rsidP="00D21457">
            <w:pPr>
              <w:jc w:val="left"/>
              <w:rPr>
                <w:color w:val="000000"/>
                <w:sz w:val="20"/>
              </w:rPr>
            </w:pPr>
            <w:r w:rsidRPr="00461C16">
              <w:rPr>
                <w:color w:val="000000"/>
                <w:sz w:val="20"/>
              </w:rPr>
              <w:t>venkovské stavení s dřevěným štítem, členěným vertikálním bedněním, dekorativní vyřezávané šambrány oken v patře</w:t>
            </w:r>
          </w:p>
        </w:tc>
      </w:tr>
      <w:tr w:rsidR="00D21457" w:rsidRPr="00461C16" w14:paraId="15F51F44" w14:textId="77777777" w:rsidTr="00A76D14">
        <w:tc>
          <w:tcPr>
            <w:tcW w:w="2410" w:type="dxa"/>
            <w:shd w:val="clear" w:color="auto" w:fill="auto"/>
          </w:tcPr>
          <w:p w14:paraId="520F971D"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37</w:t>
            </w:r>
          </w:p>
        </w:tc>
        <w:tc>
          <w:tcPr>
            <w:tcW w:w="6770" w:type="dxa"/>
            <w:shd w:val="clear" w:color="auto" w:fill="auto"/>
          </w:tcPr>
          <w:p w14:paraId="3B25031C" w14:textId="77777777" w:rsidR="00D21457" w:rsidRPr="00461C16" w:rsidRDefault="00D21457" w:rsidP="00D21457">
            <w:pPr>
              <w:jc w:val="left"/>
              <w:rPr>
                <w:color w:val="000000"/>
                <w:sz w:val="20"/>
              </w:rPr>
            </w:pPr>
            <w:r w:rsidRPr="00461C16">
              <w:rPr>
                <w:color w:val="000000"/>
                <w:sz w:val="20"/>
              </w:rPr>
              <w:t>venkovské stavení se zaobleným nadpražím oken, původními dřevěnými špaletovými okny a zvýrazněním ostěním vstupních dveří</w:t>
            </w:r>
          </w:p>
        </w:tc>
      </w:tr>
      <w:tr w:rsidR="00D21457" w:rsidRPr="00461C16" w14:paraId="21E29899" w14:textId="77777777" w:rsidTr="00A76D14">
        <w:tc>
          <w:tcPr>
            <w:tcW w:w="2410" w:type="dxa"/>
            <w:shd w:val="clear" w:color="auto" w:fill="auto"/>
          </w:tcPr>
          <w:p w14:paraId="77BD423A"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39</w:t>
            </w:r>
          </w:p>
        </w:tc>
        <w:tc>
          <w:tcPr>
            <w:tcW w:w="6770" w:type="dxa"/>
            <w:shd w:val="clear" w:color="auto" w:fill="auto"/>
          </w:tcPr>
          <w:p w14:paraId="32A292B3" w14:textId="77777777" w:rsidR="00D21457" w:rsidRPr="00461C16" w:rsidRDefault="00D21457" w:rsidP="00D21457">
            <w:pPr>
              <w:jc w:val="left"/>
              <w:rPr>
                <w:color w:val="000000"/>
                <w:sz w:val="20"/>
              </w:rPr>
            </w:pPr>
            <w:r w:rsidRPr="00461C16">
              <w:rPr>
                <w:color w:val="000000"/>
                <w:sz w:val="20"/>
              </w:rPr>
              <w:t>venkovské stavení s dřevěným průčelím, v přízemí se sloupky a naznačeným loubím a v patře s vertikálním bedněním</w:t>
            </w:r>
          </w:p>
        </w:tc>
      </w:tr>
      <w:tr w:rsidR="00D21457" w:rsidRPr="00461C16" w14:paraId="0B03AC06" w14:textId="77777777" w:rsidTr="00A76D14">
        <w:tc>
          <w:tcPr>
            <w:tcW w:w="2410" w:type="dxa"/>
            <w:shd w:val="clear" w:color="auto" w:fill="auto"/>
          </w:tcPr>
          <w:p w14:paraId="0D04E892"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64</w:t>
            </w:r>
          </w:p>
        </w:tc>
        <w:tc>
          <w:tcPr>
            <w:tcW w:w="6770" w:type="dxa"/>
            <w:shd w:val="clear" w:color="auto" w:fill="auto"/>
          </w:tcPr>
          <w:p w14:paraId="105AEB5B" w14:textId="77777777" w:rsidR="00D21457" w:rsidRPr="00461C16" w:rsidRDefault="00D21457" w:rsidP="00D21457">
            <w:pPr>
              <w:jc w:val="left"/>
              <w:rPr>
                <w:color w:val="000000"/>
                <w:sz w:val="20"/>
              </w:rPr>
            </w:pPr>
            <w:r w:rsidRPr="00461C16">
              <w:rPr>
                <w:color w:val="000000"/>
                <w:sz w:val="20"/>
              </w:rPr>
              <w:t>venkovské stavení s hrázděnou konstrukcí patra</w:t>
            </w:r>
          </w:p>
        </w:tc>
      </w:tr>
      <w:tr w:rsidR="00D21457" w:rsidRPr="00461C16" w14:paraId="5C220586" w14:textId="77777777" w:rsidTr="00A76D14">
        <w:tc>
          <w:tcPr>
            <w:tcW w:w="2410" w:type="dxa"/>
            <w:shd w:val="clear" w:color="auto" w:fill="auto"/>
          </w:tcPr>
          <w:p w14:paraId="26EB0ADE"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70</w:t>
            </w:r>
          </w:p>
        </w:tc>
        <w:tc>
          <w:tcPr>
            <w:tcW w:w="6770" w:type="dxa"/>
            <w:shd w:val="clear" w:color="auto" w:fill="auto"/>
          </w:tcPr>
          <w:p w14:paraId="220CB254" w14:textId="77777777" w:rsidR="00D21457" w:rsidRPr="00461C16" w:rsidRDefault="00D21457" w:rsidP="00D21457">
            <w:pPr>
              <w:jc w:val="left"/>
              <w:rPr>
                <w:color w:val="000000"/>
                <w:sz w:val="20"/>
              </w:rPr>
            </w:pPr>
            <w:r w:rsidRPr="00461C16">
              <w:rPr>
                <w:color w:val="000000"/>
                <w:sz w:val="20"/>
              </w:rPr>
              <w:t>venkovské stavení s dřevěnou konstrukcí přízemí se sloupky a naznačeným loubím a dřevěným štítem s vertikálním bedněním</w:t>
            </w:r>
          </w:p>
        </w:tc>
      </w:tr>
      <w:tr w:rsidR="00D21457" w:rsidRPr="00461C16" w14:paraId="2F90BF02" w14:textId="77777777" w:rsidTr="00A76D14">
        <w:tc>
          <w:tcPr>
            <w:tcW w:w="2410" w:type="dxa"/>
            <w:shd w:val="clear" w:color="auto" w:fill="auto"/>
          </w:tcPr>
          <w:p w14:paraId="203ACAAF"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110</w:t>
            </w:r>
          </w:p>
        </w:tc>
        <w:tc>
          <w:tcPr>
            <w:tcW w:w="6770" w:type="dxa"/>
            <w:shd w:val="clear" w:color="auto" w:fill="auto"/>
          </w:tcPr>
          <w:p w14:paraId="0A7E6FB9" w14:textId="77777777" w:rsidR="00D21457" w:rsidRPr="00461C16" w:rsidRDefault="00D21457" w:rsidP="00D21457">
            <w:pPr>
              <w:jc w:val="left"/>
              <w:rPr>
                <w:color w:val="000000"/>
                <w:sz w:val="20"/>
              </w:rPr>
            </w:pPr>
            <w:r w:rsidRPr="00461C16">
              <w:rPr>
                <w:color w:val="000000"/>
                <w:sz w:val="20"/>
              </w:rPr>
              <w:t>původní venkovské stavení, na průčelí dřevěný štít s vertikálním bedněním a dekorativními vyřezávanými šambránami obou oken</w:t>
            </w:r>
          </w:p>
        </w:tc>
      </w:tr>
      <w:tr w:rsidR="00D21457" w:rsidRPr="00461C16" w14:paraId="6D4FE031" w14:textId="77777777" w:rsidTr="00A76D14">
        <w:tc>
          <w:tcPr>
            <w:tcW w:w="2410" w:type="dxa"/>
            <w:shd w:val="clear" w:color="auto" w:fill="auto"/>
          </w:tcPr>
          <w:p w14:paraId="5EFC8F69"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111</w:t>
            </w:r>
          </w:p>
        </w:tc>
        <w:tc>
          <w:tcPr>
            <w:tcW w:w="6770" w:type="dxa"/>
            <w:shd w:val="clear" w:color="auto" w:fill="auto"/>
          </w:tcPr>
          <w:p w14:paraId="1A168743" w14:textId="77777777" w:rsidR="00D21457" w:rsidRPr="00461C16" w:rsidRDefault="00D21457" w:rsidP="00D21457">
            <w:pPr>
              <w:jc w:val="left"/>
              <w:rPr>
                <w:color w:val="000000"/>
                <w:sz w:val="20"/>
              </w:rPr>
            </w:pPr>
            <w:r w:rsidRPr="00461C16">
              <w:rPr>
                <w:color w:val="000000"/>
                <w:sz w:val="20"/>
              </w:rPr>
              <w:t>zděný venkovský obytný dům se zvýrazněnou podezdívkou a nárožími</w:t>
            </w:r>
          </w:p>
        </w:tc>
      </w:tr>
      <w:tr w:rsidR="00D21457" w:rsidRPr="00461C16" w14:paraId="22E9EEB0" w14:textId="77777777" w:rsidTr="00A76D14">
        <w:tc>
          <w:tcPr>
            <w:tcW w:w="2410" w:type="dxa"/>
            <w:shd w:val="clear" w:color="auto" w:fill="auto"/>
          </w:tcPr>
          <w:p w14:paraId="2C58A340"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136</w:t>
            </w:r>
          </w:p>
        </w:tc>
        <w:tc>
          <w:tcPr>
            <w:tcW w:w="6770" w:type="dxa"/>
            <w:shd w:val="clear" w:color="auto" w:fill="auto"/>
          </w:tcPr>
          <w:p w14:paraId="5F7B9402" w14:textId="77777777" w:rsidR="00D21457" w:rsidRPr="00461C16" w:rsidRDefault="00D21457" w:rsidP="00D21457">
            <w:pPr>
              <w:jc w:val="left"/>
              <w:rPr>
                <w:color w:val="000000"/>
                <w:sz w:val="20"/>
              </w:rPr>
            </w:pPr>
            <w:r w:rsidRPr="00461C16">
              <w:rPr>
                <w:color w:val="000000"/>
                <w:sz w:val="20"/>
              </w:rPr>
              <w:t>venkovský obytný dům s vloženým příčným traktem a dekorativním štukem na čelním průčelí</w:t>
            </w:r>
          </w:p>
        </w:tc>
      </w:tr>
      <w:tr w:rsidR="00D21457" w:rsidRPr="00461C16" w14:paraId="1AE85396" w14:textId="77777777" w:rsidTr="00A76D14">
        <w:tc>
          <w:tcPr>
            <w:tcW w:w="2410" w:type="dxa"/>
            <w:shd w:val="clear" w:color="auto" w:fill="auto"/>
          </w:tcPr>
          <w:p w14:paraId="0376A73D"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Suchá 137</w:t>
            </w:r>
          </w:p>
        </w:tc>
        <w:tc>
          <w:tcPr>
            <w:tcW w:w="6770" w:type="dxa"/>
            <w:shd w:val="clear" w:color="auto" w:fill="auto"/>
          </w:tcPr>
          <w:p w14:paraId="79FA85B4" w14:textId="77777777" w:rsidR="00D21457" w:rsidRPr="00461C16" w:rsidRDefault="00D21457" w:rsidP="00D21457">
            <w:pPr>
              <w:jc w:val="left"/>
              <w:rPr>
                <w:color w:val="000000"/>
                <w:sz w:val="20"/>
              </w:rPr>
            </w:pPr>
            <w:r w:rsidRPr="00461C16">
              <w:rPr>
                <w:color w:val="000000"/>
                <w:sz w:val="20"/>
              </w:rPr>
              <w:t>původní venkovské stavení s dekorativní šambránou okolo všech oken a vertikálními i horizontálními lizénami na všech průčelích</w:t>
            </w:r>
          </w:p>
        </w:tc>
      </w:tr>
    </w:tbl>
    <w:p w14:paraId="5DDB6B72" w14:textId="77777777" w:rsidR="00D21457" w:rsidRPr="00461C16" w:rsidRDefault="00D21457" w:rsidP="00A76D14">
      <w:pPr>
        <w:pStyle w:val="b-pismeno"/>
        <w:numPr>
          <w:ilvl w:val="0"/>
          <w:numId w:val="0"/>
        </w:numPr>
        <w:spacing w:before="240"/>
        <w:ind w:left="426"/>
      </w:pPr>
      <w:r w:rsidRPr="00461C16">
        <w:t>HORNÍ SEDLO</w:t>
      </w:r>
    </w:p>
    <w:tbl>
      <w:tblPr>
        <w:tblW w:w="0" w:type="auto"/>
        <w:tblInd w:w="108" w:type="dxa"/>
        <w:tblLook w:val="04A0" w:firstRow="1" w:lastRow="0" w:firstColumn="1" w:lastColumn="0" w:noHBand="0" w:noVBand="1"/>
      </w:tblPr>
      <w:tblGrid>
        <w:gridCol w:w="2410"/>
        <w:gridCol w:w="6770"/>
      </w:tblGrid>
      <w:tr w:rsidR="00D21457" w:rsidRPr="00461C16" w14:paraId="0BADA147" w14:textId="77777777" w:rsidTr="00A76D14">
        <w:tc>
          <w:tcPr>
            <w:tcW w:w="2410" w:type="dxa"/>
            <w:shd w:val="clear" w:color="auto" w:fill="auto"/>
          </w:tcPr>
          <w:p w14:paraId="45B5D8F8" w14:textId="77777777" w:rsidR="00D21457" w:rsidRPr="00461C16" w:rsidRDefault="00D21457" w:rsidP="004B2D25">
            <w:pPr>
              <w:pStyle w:val="ListParagraph"/>
              <w:numPr>
                <w:ilvl w:val="0"/>
                <w:numId w:val="68"/>
              </w:numPr>
              <w:jc w:val="left"/>
              <w:rPr>
                <w:color w:val="000000"/>
                <w:sz w:val="20"/>
              </w:rPr>
            </w:pPr>
            <w:r w:rsidRPr="00461C16">
              <w:rPr>
                <w:color w:val="000000"/>
                <w:sz w:val="20"/>
              </w:rPr>
              <w:t>Horní Sedlo 1</w:t>
            </w:r>
          </w:p>
        </w:tc>
        <w:tc>
          <w:tcPr>
            <w:tcW w:w="6770" w:type="dxa"/>
            <w:shd w:val="clear" w:color="auto" w:fill="auto"/>
          </w:tcPr>
          <w:p w14:paraId="6C5172CA" w14:textId="77777777" w:rsidR="00D21457" w:rsidRPr="00461C16" w:rsidRDefault="00D21457" w:rsidP="00892A87">
            <w:pPr>
              <w:jc w:val="left"/>
              <w:rPr>
                <w:color w:val="000000"/>
                <w:sz w:val="20"/>
              </w:rPr>
            </w:pPr>
            <w:r w:rsidRPr="00461C16">
              <w:rPr>
                <w:color w:val="000000"/>
                <w:sz w:val="20"/>
              </w:rPr>
              <w:t>venkovské stavení s dřevěnou konstrukcí přízemí kombinovanou s břidlicovým obkladem, dekorativní vyřezávané šambrány oken</w:t>
            </w:r>
          </w:p>
        </w:tc>
      </w:tr>
      <w:tr w:rsidR="00D21457" w:rsidRPr="00461C16" w14:paraId="0C7102CE" w14:textId="77777777" w:rsidTr="00A76D14">
        <w:tc>
          <w:tcPr>
            <w:tcW w:w="2410" w:type="dxa"/>
            <w:shd w:val="clear" w:color="auto" w:fill="auto"/>
          </w:tcPr>
          <w:p w14:paraId="1F10D7DE" w14:textId="77777777" w:rsidR="00D21457" w:rsidRPr="00461C16" w:rsidRDefault="00D21457" w:rsidP="004B2D25">
            <w:pPr>
              <w:pStyle w:val="ListParagraph"/>
              <w:numPr>
                <w:ilvl w:val="0"/>
                <w:numId w:val="68"/>
              </w:numPr>
              <w:jc w:val="left"/>
              <w:rPr>
                <w:color w:val="000000"/>
                <w:sz w:val="20"/>
              </w:rPr>
            </w:pPr>
            <w:r w:rsidRPr="00461C16">
              <w:rPr>
                <w:color w:val="000000"/>
                <w:sz w:val="20"/>
              </w:rPr>
              <w:t>Horní Sedlo 18</w:t>
            </w:r>
          </w:p>
        </w:tc>
        <w:tc>
          <w:tcPr>
            <w:tcW w:w="6770" w:type="dxa"/>
            <w:shd w:val="clear" w:color="auto" w:fill="auto"/>
          </w:tcPr>
          <w:p w14:paraId="64362687" w14:textId="77777777" w:rsidR="00D21457" w:rsidRPr="00461C16" w:rsidRDefault="00D21457" w:rsidP="00D21457">
            <w:pPr>
              <w:jc w:val="left"/>
              <w:rPr>
                <w:color w:val="000000"/>
                <w:sz w:val="20"/>
              </w:rPr>
            </w:pPr>
            <w:r w:rsidRPr="00461C16">
              <w:rPr>
                <w:color w:val="000000"/>
                <w:sz w:val="20"/>
              </w:rPr>
              <w:t>venkovské stavení s dřevěnou konstrukcí, čelní průčelí v přízemí vertikálně děleno přímými sloupky, v patře štít s vertikálním bedněním, dekorativní vyřezávané šambrány oken</w:t>
            </w:r>
          </w:p>
        </w:tc>
      </w:tr>
      <w:tr w:rsidR="00D21457" w:rsidRPr="00461C16" w14:paraId="5AE5B064" w14:textId="77777777" w:rsidTr="00A76D14">
        <w:tc>
          <w:tcPr>
            <w:tcW w:w="2410" w:type="dxa"/>
            <w:shd w:val="clear" w:color="auto" w:fill="auto"/>
          </w:tcPr>
          <w:p w14:paraId="668552AE" w14:textId="77777777" w:rsidR="00D21457" w:rsidRPr="00461C16" w:rsidRDefault="00D21457" w:rsidP="004B2D25">
            <w:pPr>
              <w:pStyle w:val="ListParagraph"/>
              <w:numPr>
                <w:ilvl w:val="0"/>
                <w:numId w:val="68"/>
              </w:numPr>
              <w:jc w:val="left"/>
              <w:rPr>
                <w:color w:val="000000"/>
                <w:sz w:val="20"/>
              </w:rPr>
            </w:pPr>
            <w:r w:rsidRPr="00461C16">
              <w:rPr>
                <w:color w:val="000000"/>
                <w:sz w:val="20"/>
              </w:rPr>
              <w:t>Horní Sedlo 5</w:t>
            </w:r>
          </w:p>
        </w:tc>
        <w:tc>
          <w:tcPr>
            <w:tcW w:w="6770" w:type="dxa"/>
            <w:shd w:val="clear" w:color="auto" w:fill="auto"/>
          </w:tcPr>
          <w:p w14:paraId="23C1BFBE" w14:textId="77777777" w:rsidR="00D21457" w:rsidRPr="00461C16" w:rsidRDefault="00D21457" w:rsidP="00D21457">
            <w:pPr>
              <w:jc w:val="left"/>
              <w:rPr>
                <w:color w:val="000000"/>
                <w:sz w:val="20"/>
              </w:rPr>
            </w:pPr>
            <w:r w:rsidRPr="00461C16">
              <w:rPr>
                <w:color w:val="000000"/>
                <w:sz w:val="20"/>
              </w:rPr>
              <w:t>venkovské stavení s hrázděným patrem a dřevěným štítem s šikmým bedněním</w:t>
            </w:r>
          </w:p>
        </w:tc>
      </w:tr>
      <w:tr w:rsidR="00D21457" w:rsidRPr="00461C16" w14:paraId="6322921D" w14:textId="77777777" w:rsidTr="00A76D14">
        <w:tc>
          <w:tcPr>
            <w:tcW w:w="2410" w:type="dxa"/>
            <w:shd w:val="clear" w:color="auto" w:fill="auto"/>
          </w:tcPr>
          <w:p w14:paraId="38ACDA66" w14:textId="77777777" w:rsidR="00D21457" w:rsidRPr="00461C16" w:rsidRDefault="00D21457" w:rsidP="004B2D25">
            <w:pPr>
              <w:pStyle w:val="ListParagraph"/>
              <w:numPr>
                <w:ilvl w:val="0"/>
                <w:numId w:val="68"/>
              </w:numPr>
              <w:jc w:val="left"/>
              <w:rPr>
                <w:color w:val="000000"/>
                <w:sz w:val="20"/>
              </w:rPr>
            </w:pPr>
            <w:r w:rsidRPr="00461C16">
              <w:rPr>
                <w:color w:val="000000"/>
                <w:sz w:val="20"/>
              </w:rPr>
              <w:t>Horní Sedlo 6</w:t>
            </w:r>
          </w:p>
        </w:tc>
        <w:tc>
          <w:tcPr>
            <w:tcW w:w="6770" w:type="dxa"/>
            <w:shd w:val="clear" w:color="auto" w:fill="auto"/>
          </w:tcPr>
          <w:p w14:paraId="5A434E60" w14:textId="77777777" w:rsidR="00D21457" w:rsidRPr="00461C16" w:rsidRDefault="00D21457" w:rsidP="00D21457">
            <w:pPr>
              <w:jc w:val="left"/>
              <w:rPr>
                <w:color w:val="000000"/>
                <w:sz w:val="20"/>
              </w:rPr>
            </w:pPr>
            <w:r w:rsidRPr="00461C16">
              <w:rPr>
                <w:color w:val="000000"/>
                <w:sz w:val="20"/>
              </w:rPr>
              <w:t xml:space="preserve">venkovské stavení s roubeným přízemím, dřevěný štít s vertikálním bedněním, přízemí od </w:t>
            </w:r>
            <w:r w:rsidRPr="00461C16">
              <w:rPr>
                <w:color w:val="000000"/>
                <w:sz w:val="20"/>
              </w:rPr>
              <w:lastRenderedPageBreak/>
              <w:t>patra odděleno kabřincovým pásem</w:t>
            </w:r>
          </w:p>
        </w:tc>
      </w:tr>
      <w:tr w:rsidR="00D21457" w:rsidRPr="00461C16" w14:paraId="2EEB8F8E" w14:textId="77777777" w:rsidTr="00A76D14">
        <w:tc>
          <w:tcPr>
            <w:tcW w:w="2410" w:type="dxa"/>
            <w:shd w:val="clear" w:color="auto" w:fill="auto"/>
          </w:tcPr>
          <w:p w14:paraId="404C4930" w14:textId="77777777" w:rsidR="00D21457" w:rsidRPr="00461C16" w:rsidRDefault="00D21457" w:rsidP="004B2D25">
            <w:pPr>
              <w:pStyle w:val="ListParagraph"/>
              <w:numPr>
                <w:ilvl w:val="0"/>
                <w:numId w:val="68"/>
              </w:numPr>
              <w:jc w:val="left"/>
              <w:rPr>
                <w:color w:val="000000"/>
                <w:sz w:val="20"/>
              </w:rPr>
            </w:pPr>
            <w:r w:rsidRPr="00461C16">
              <w:rPr>
                <w:color w:val="000000"/>
                <w:sz w:val="20"/>
              </w:rPr>
              <w:lastRenderedPageBreak/>
              <w:t>Horní Sedlo 8</w:t>
            </w:r>
          </w:p>
        </w:tc>
        <w:tc>
          <w:tcPr>
            <w:tcW w:w="6770" w:type="dxa"/>
            <w:shd w:val="clear" w:color="auto" w:fill="auto"/>
          </w:tcPr>
          <w:p w14:paraId="49A08A6F" w14:textId="77777777" w:rsidR="00D21457" w:rsidRPr="00461C16" w:rsidRDefault="00D21457" w:rsidP="00D21457">
            <w:pPr>
              <w:jc w:val="left"/>
              <w:rPr>
                <w:color w:val="000000"/>
                <w:sz w:val="20"/>
              </w:rPr>
            </w:pPr>
            <w:r w:rsidRPr="00461C16">
              <w:rPr>
                <w:color w:val="000000"/>
                <w:sz w:val="20"/>
              </w:rPr>
              <w:t>vila s vloženým příčným traktem, zaobleným nadpražím oken a zvýrazněným nárožím</w:t>
            </w:r>
          </w:p>
        </w:tc>
      </w:tr>
      <w:tr w:rsidR="00D21457" w:rsidRPr="00461C16" w14:paraId="25D50AE2" w14:textId="77777777" w:rsidTr="00A76D14">
        <w:tc>
          <w:tcPr>
            <w:tcW w:w="2410" w:type="dxa"/>
            <w:shd w:val="clear" w:color="auto" w:fill="auto"/>
          </w:tcPr>
          <w:p w14:paraId="1DEEFC27"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Horní Sedlo č.ev. 5 </w:t>
            </w:r>
          </w:p>
        </w:tc>
        <w:tc>
          <w:tcPr>
            <w:tcW w:w="6770" w:type="dxa"/>
            <w:shd w:val="clear" w:color="auto" w:fill="auto"/>
          </w:tcPr>
          <w:p w14:paraId="744C152B" w14:textId="77777777" w:rsidR="00D21457" w:rsidRPr="00461C16" w:rsidRDefault="00D21457" w:rsidP="00D21457">
            <w:pPr>
              <w:jc w:val="left"/>
              <w:rPr>
                <w:color w:val="000000"/>
                <w:sz w:val="20"/>
              </w:rPr>
            </w:pPr>
            <w:r w:rsidRPr="00461C16">
              <w:rPr>
                <w:color w:val="000000"/>
                <w:sz w:val="20"/>
              </w:rPr>
              <w:t>venkovské stavení v části přízemí s roubenou konstrukcí, sloupky s naznačeným loubím na čelním průčelí, dřevěný štít s vertikálním bedněním</w:t>
            </w:r>
          </w:p>
        </w:tc>
      </w:tr>
      <w:tr w:rsidR="00D21457" w:rsidRPr="00461C16" w14:paraId="02A1A61F" w14:textId="77777777" w:rsidTr="00A76D14">
        <w:tc>
          <w:tcPr>
            <w:tcW w:w="2410" w:type="dxa"/>
            <w:shd w:val="clear" w:color="auto" w:fill="auto"/>
          </w:tcPr>
          <w:p w14:paraId="790F481B"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Horní Sedlo č.ev. 8 </w:t>
            </w:r>
          </w:p>
        </w:tc>
        <w:tc>
          <w:tcPr>
            <w:tcW w:w="6770" w:type="dxa"/>
            <w:shd w:val="clear" w:color="auto" w:fill="auto"/>
          </w:tcPr>
          <w:p w14:paraId="5A4E2300" w14:textId="77777777" w:rsidR="00D21457" w:rsidRPr="00461C16" w:rsidRDefault="00D21457" w:rsidP="00D21457">
            <w:pPr>
              <w:jc w:val="left"/>
              <w:rPr>
                <w:color w:val="000000"/>
                <w:sz w:val="20"/>
              </w:rPr>
            </w:pPr>
            <w:r w:rsidRPr="00461C16">
              <w:rPr>
                <w:color w:val="000000"/>
                <w:sz w:val="20"/>
              </w:rPr>
              <w:t>venkovské stavení a hrázděným patrem a výplní s režného zdiva, dřevěný štít s vertikálním bedněním</w:t>
            </w:r>
          </w:p>
        </w:tc>
      </w:tr>
      <w:tr w:rsidR="00D21457" w:rsidRPr="00461C16" w14:paraId="3A5B1864" w14:textId="77777777" w:rsidTr="00A76D14">
        <w:tc>
          <w:tcPr>
            <w:tcW w:w="2410" w:type="dxa"/>
            <w:shd w:val="clear" w:color="auto" w:fill="auto"/>
          </w:tcPr>
          <w:p w14:paraId="0E6EB50D" w14:textId="77777777" w:rsidR="00D21457" w:rsidRPr="00461C16" w:rsidRDefault="00D21457" w:rsidP="004B2D25">
            <w:pPr>
              <w:pStyle w:val="ListParagraph"/>
              <w:numPr>
                <w:ilvl w:val="0"/>
                <w:numId w:val="68"/>
              </w:numPr>
              <w:jc w:val="left"/>
              <w:rPr>
                <w:color w:val="000000"/>
                <w:sz w:val="20"/>
              </w:rPr>
            </w:pPr>
            <w:r w:rsidRPr="00461C16">
              <w:rPr>
                <w:color w:val="000000"/>
                <w:sz w:val="20"/>
              </w:rPr>
              <w:t>Horní Sedlo č.ev.4</w:t>
            </w:r>
            <w:r w:rsidR="00B345B4" w:rsidRPr="00461C16">
              <w:rPr>
                <w:color w:val="000000"/>
                <w:sz w:val="20"/>
              </w:rPr>
              <w:t xml:space="preserve"> </w:t>
            </w:r>
          </w:p>
        </w:tc>
        <w:tc>
          <w:tcPr>
            <w:tcW w:w="6770" w:type="dxa"/>
            <w:shd w:val="clear" w:color="auto" w:fill="auto"/>
          </w:tcPr>
          <w:p w14:paraId="482479A2" w14:textId="77777777" w:rsidR="00D21457" w:rsidRPr="00461C16" w:rsidRDefault="00D21457" w:rsidP="00D21457">
            <w:pPr>
              <w:jc w:val="left"/>
              <w:rPr>
                <w:color w:val="000000"/>
                <w:sz w:val="20"/>
              </w:rPr>
            </w:pPr>
            <w:r w:rsidRPr="00461C16">
              <w:rPr>
                <w:color w:val="000000"/>
                <w:sz w:val="20"/>
              </w:rPr>
              <w:t>venkovské stavení s dřevěnou konstrukcí, čelní průčelí v přízemí vertikálně děleno sloupky s naznačeným loubím, v patře štít s vertikálním bedněním, patro od přízemí oddělenou pásem s dolním ozubem</w:t>
            </w:r>
          </w:p>
        </w:tc>
      </w:tr>
    </w:tbl>
    <w:p w14:paraId="53C37451" w14:textId="77777777" w:rsidR="00D21457" w:rsidRPr="00461C16" w:rsidRDefault="00D21457" w:rsidP="00A76D14">
      <w:pPr>
        <w:pStyle w:val="b-pismeno"/>
        <w:numPr>
          <w:ilvl w:val="0"/>
          <w:numId w:val="0"/>
        </w:numPr>
        <w:tabs>
          <w:tab w:val="clear" w:pos="720"/>
          <w:tab w:val="left" w:pos="426"/>
        </w:tabs>
        <w:spacing w:before="240"/>
        <w:ind w:left="426"/>
      </w:pPr>
      <w:r w:rsidRPr="00461C16">
        <w:t>DOLNÍ SEDLO</w:t>
      </w:r>
    </w:p>
    <w:tbl>
      <w:tblPr>
        <w:tblW w:w="0" w:type="auto"/>
        <w:tblInd w:w="108" w:type="dxa"/>
        <w:tblLook w:val="04A0" w:firstRow="1" w:lastRow="0" w:firstColumn="1" w:lastColumn="0" w:noHBand="0" w:noVBand="1"/>
      </w:tblPr>
      <w:tblGrid>
        <w:gridCol w:w="2410"/>
        <w:gridCol w:w="6770"/>
      </w:tblGrid>
      <w:tr w:rsidR="00D21457" w:rsidRPr="00461C16" w14:paraId="7FA9847B" w14:textId="77777777" w:rsidTr="00D21457">
        <w:tc>
          <w:tcPr>
            <w:tcW w:w="2410" w:type="dxa"/>
            <w:shd w:val="clear" w:color="auto" w:fill="auto"/>
          </w:tcPr>
          <w:p w14:paraId="0C5225EA"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Sedlo 18</w:t>
            </w:r>
          </w:p>
        </w:tc>
        <w:tc>
          <w:tcPr>
            <w:tcW w:w="6770" w:type="dxa"/>
            <w:shd w:val="clear" w:color="auto" w:fill="auto"/>
          </w:tcPr>
          <w:p w14:paraId="4685375B" w14:textId="77777777" w:rsidR="00D21457" w:rsidRPr="00461C16" w:rsidRDefault="00D21457" w:rsidP="00D21457">
            <w:pPr>
              <w:jc w:val="left"/>
              <w:rPr>
                <w:color w:val="000000"/>
                <w:sz w:val="20"/>
              </w:rPr>
            </w:pPr>
            <w:r w:rsidRPr="00461C16">
              <w:rPr>
                <w:color w:val="000000"/>
                <w:sz w:val="20"/>
              </w:rPr>
              <w:t>venkovské stavení s hrázděnou částí a výplní z režného zdiva</w:t>
            </w:r>
          </w:p>
        </w:tc>
      </w:tr>
      <w:tr w:rsidR="00D21457" w:rsidRPr="00461C16" w14:paraId="7ED4A4E5" w14:textId="77777777" w:rsidTr="00D21457">
        <w:tc>
          <w:tcPr>
            <w:tcW w:w="2410" w:type="dxa"/>
            <w:shd w:val="clear" w:color="auto" w:fill="auto"/>
          </w:tcPr>
          <w:p w14:paraId="254C6E80"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Dolní Sedlo 36 </w:t>
            </w:r>
          </w:p>
        </w:tc>
        <w:tc>
          <w:tcPr>
            <w:tcW w:w="6770" w:type="dxa"/>
            <w:shd w:val="clear" w:color="auto" w:fill="auto"/>
          </w:tcPr>
          <w:p w14:paraId="0037FC3F" w14:textId="77777777" w:rsidR="00D21457" w:rsidRPr="00461C16" w:rsidRDefault="00D21457" w:rsidP="00D21457">
            <w:pPr>
              <w:jc w:val="left"/>
              <w:rPr>
                <w:color w:val="000000"/>
                <w:sz w:val="20"/>
              </w:rPr>
            </w:pPr>
            <w:r w:rsidRPr="00461C16">
              <w:rPr>
                <w:color w:val="000000"/>
                <w:sz w:val="20"/>
              </w:rPr>
              <w:t xml:space="preserve">dřevěné venkovské stavení se sloupky a naznačeným loubím a vertikálním bedněním štítu </w:t>
            </w:r>
          </w:p>
        </w:tc>
      </w:tr>
      <w:tr w:rsidR="00D21457" w:rsidRPr="00461C16" w14:paraId="3C532D6F" w14:textId="77777777" w:rsidTr="00D21457">
        <w:tc>
          <w:tcPr>
            <w:tcW w:w="2410" w:type="dxa"/>
            <w:shd w:val="clear" w:color="auto" w:fill="auto"/>
          </w:tcPr>
          <w:p w14:paraId="3EC6E53F"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Sedlo 44</w:t>
            </w:r>
          </w:p>
        </w:tc>
        <w:tc>
          <w:tcPr>
            <w:tcW w:w="6770" w:type="dxa"/>
            <w:shd w:val="clear" w:color="auto" w:fill="auto"/>
          </w:tcPr>
          <w:p w14:paraId="6F557415" w14:textId="77777777" w:rsidR="00D21457" w:rsidRPr="00461C16" w:rsidRDefault="00D21457" w:rsidP="00D21457">
            <w:pPr>
              <w:jc w:val="left"/>
              <w:rPr>
                <w:color w:val="000000"/>
                <w:sz w:val="20"/>
              </w:rPr>
            </w:pPr>
            <w:r w:rsidRPr="00461C16">
              <w:rPr>
                <w:color w:val="000000"/>
                <w:sz w:val="20"/>
              </w:rPr>
              <w:t>venkovský obytný dům z režného zdiva se zvýrazněným zaobleným nadpražím oken</w:t>
            </w:r>
          </w:p>
        </w:tc>
      </w:tr>
      <w:tr w:rsidR="00D21457" w:rsidRPr="00461C16" w14:paraId="0A1057EA" w14:textId="77777777" w:rsidTr="00D21457">
        <w:tc>
          <w:tcPr>
            <w:tcW w:w="2410" w:type="dxa"/>
            <w:shd w:val="clear" w:color="auto" w:fill="auto"/>
          </w:tcPr>
          <w:p w14:paraId="5E02D310"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Dolní Sedlo 79 </w:t>
            </w:r>
          </w:p>
        </w:tc>
        <w:tc>
          <w:tcPr>
            <w:tcW w:w="6770" w:type="dxa"/>
            <w:shd w:val="clear" w:color="auto" w:fill="auto"/>
          </w:tcPr>
          <w:p w14:paraId="2D68018D" w14:textId="77777777" w:rsidR="00D21457" w:rsidRPr="00461C16" w:rsidRDefault="00D21457" w:rsidP="00D21457">
            <w:pPr>
              <w:jc w:val="left"/>
              <w:rPr>
                <w:color w:val="000000"/>
                <w:sz w:val="20"/>
              </w:rPr>
            </w:pPr>
            <w:r w:rsidRPr="00461C16">
              <w:rPr>
                <w:color w:val="000000"/>
                <w:sz w:val="20"/>
              </w:rPr>
              <w:t>venkovské stavení s kombinovaným obkladem fasády (dřevo+kabřinec), vertikální členění přízemí sloupky s oblouky, v patře částečně zachovaná hrázděná konstrukce s výplní z režného zdiva</w:t>
            </w:r>
          </w:p>
        </w:tc>
      </w:tr>
      <w:tr w:rsidR="00D21457" w:rsidRPr="00461C16" w14:paraId="1BE2D382" w14:textId="77777777" w:rsidTr="00D21457">
        <w:tc>
          <w:tcPr>
            <w:tcW w:w="2410" w:type="dxa"/>
            <w:shd w:val="clear" w:color="auto" w:fill="auto"/>
          </w:tcPr>
          <w:p w14:paraId="30096FBF"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Sedlo 85</w:t>
            </w:r>
          </w:p>
        </w:tc>
        <w:tc>
          <w:tcPr>
            <w:tcW w:w="6770" w:type="dxa"/>
            <w:shd w:val="clear" w:color="auto" w:fill="auto"/>
          </w:tcPr>
          <w:p w14:paraId="7510ADA7" w14:textId="77777777" w:rsidR="00D21457" w:rsidRPr="00461C16" w:rsidRDefault="00D21457" w:rsidP="00D21457">
            <w:pPr>
              <w:jc w:val="left"/>
              <w:rPr>
                <w:color w:val="000000"/>
                <w:sz w:val="20"/>
              </w:rPr>
            </w:pPr>
            <w:r w:rsidRPr="00461C16">
              <w:rPr>
                <w:color w:val="000000"/>
                <w:sz w:val="20"/>
              </w:rPr>
              <w:t>venkovské obytný dům s plastickými zaoblenými šambránami zdobené centrálními klenáky</w:t>
            </w:r>
          </w:p>
        </w:tc>
      </w:tr>
    </w:tbl>
    <w:p w14:paraId="67D8F52C" w14:textId="77777777" w:rsidR="00D21457" w:rsidRPr="00461C16" w:rsidRDefault="00D21457" w:rsidP="00A76D14">
      <w:pPr>
        <w:pStyle w:val="b-pismeno"/>
        <w:numPr>
          <w:ilvl w:val="0"/>
          <w:numId w:val="0"/>
        </w:numPr>
        <w:tabs>
          <w:tab w:val="clear" w:pos="720"/>
          <w:tab w:val="left" w:pos="426"/>
        </w:tabs>
        <w:spacing w:before="240"/>
        <w:ind w:left="426"/>
      </w:pPr>
      <w:r w:rsidRPr="00461C16">
        <w:t>OLDŘICHOV NA HRANICÍCH</w:t>
      </w:r>
    </w:p>
    <w:tbl>
      <w:tblPr>
        <w:tblW w:w="0" w:type="auto"/>
        <w:tblInd w:w="107" w:type="dxa"/>
        <w:tblLook w:val="04A0" w:firstRow="1" w:lastRow="0" w:firstColumn="1" w:lastColumn="0" w:noHBand="0" w:noVBand="1"/>
      </w:tblPr>
      <w:tblGrid>
        <w:gridCol w:w="2410"/>
        <w:gridCol w:w="6771"/>
      </w:tblGrid>
      <w:tr w:rsidR="00D21457" w:rsidRPr="00461C16" w14:paraId="40ED9D47" w14:textId="77777777" w:rsidTr="00D21457">
        <w:tc>
          <w:tcPr>
            <w:tcW w:w="2410" w:type="dxa"/>
            <w:shd w:val="clear" w:color="auto" w:fill="auto"/>
          </w:tcPr>
          <w:p w14:paraId="094275C0"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3</w:t>
            </w:r>
          </w:p>
        </w:tc>
        <w:tc>
          <w:tcPr>
            <w:tcW w:w="6771" w:type="dxa"/>
            <w:shd w:val="clear" w:color="auto" w:fill="auto"/>
          </w:tcPr>
          <w:p w14:paraId="55ABF548" w14:textId="77777777" w:rsidR="00D21457" w:rsidRPr="00461C16" w:rsidRDefault="00D21457" w:rsidP="00D21457">
            <w:pPr>
              <w:jc w:val="left"/>
              <w:rPr>
                <w:color w:val="000000"/>
                <w:sz w:val="20"/>
              </w:rPr>
            </w:pPr>
            <w:r w:rsidRPr="00461C16">
              <w:rPr>
                <w:color w:val="000000"/>
                <w:sz w:val="20"/>
              </w:rPr>
              <w:t>venkovské stavení s hrázděnou konstrukcí patra</w:t>
            </w:r>
          </w:p>
        </w:tc>
      </w:tr>
      <w:tr w:rsidR="00D21457" w:rsidRPr="00461C16" w14:paraId="623167D8" w14:textId="77777777" w:rsidTr="00D21457">
        <w:tc>
          <w:tcPr>
            <w:tcW w:w="2410" w:type="dxa"/>
            <w:shd w:val="clear" w:color="auto" w:fill="auto"/>
          </w:tcPr>
          <w:p w14:paraId="76B789A0"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4</w:t>
            </w:r>
          </w:p>
        </w:tc>
        <w:tc>
          <w:tcPr>
            <w:tcW w:w="6771" w:type="dxa"/>
            <w:shd w:val="clear" w:color="auto" w:fill="auto"/>
          </w:tcPr>
          <w:p w14:paraId="7A27C159" w14:textId="77777777" w:rsidR="00D21457" w:rsidRPr="00461C16" w:rsidRDefault="00D21457" w:rsidP="00D21457">
            <w:pPr>
              <w:jc w:val="left"/>
              <w:rPr>
                <w:color w:val="000000"/>
                <w:sz w:val="20"/>
              </w:rPr>
            </w:pPr>
            <w:r w:rsidRPr="00461C16">
              <w:rPr>
                <w:color w:val="000000"/>
                <w:sz w:val="20"/>
              </w:rPr>
              <w:t>venkovské stavení s dřevěnými sloupky a naznačeným loubím v přízemí a dřevěným patrem s vertikálním bedněním</w:t>
            </w:r>
          </w:p>
        </w:tc>
      </w:tr>
      <w:tr w:rsidR="00D21457" w:rsidRPr="00461C16" w14:paraId="75180F88" w14:textId="77777777" w:rsidTr="00D21457">
        <w:tc>
          <w:tcPr>
            <w:tcW w:w="2410" w:type="dxa"/>
            <w:shd w:val="clear" w:color="auto" w:fill="auto"/>
          </w:tcPr>
          <w:p w14:paraId="1C69B4B2"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5</w:t>
            </w:r>
          </w:p>
        </w:tc>
        <w:tc>
          <w:tcPr>
            <w:tcW w:w="6771" w:type="dxa"/>
            <w:shd w:val="clear" w:color="auto" w:fill="auto"/>
          </w:tcPr>
          <w:p w14:paraId="1E45C15F" w14:textId="77777777" w:rsidR="00D21457" w:rsidRPr="00461C16" w:rsidRDefault="00D21457" w:rsidP="00D21457">
            <w:pPr>
              <w:jc w:val="left"/>
              <w:rPr>
                <w:color w:val="000000"/>
                <w:sz w:val="20"/>
              </w:rPr>
            </w:pPr>
            <w:r w:rsidRPr="00461C16">
              <w:rPr>
                <w:color w:val="000000"/>
                <w:sz w:val="20"/>
              </w:rPr>
              <w:t>venkovské stavení s hrázděnou konstrukcí patra a dřevěným štítem s vertikálním bedněním</w:t>
            </w:r>
          </w:p>
        </w:tc>
      </w:tr>
      <w:tr w:rsidR="00D21457" w:rsidRPr="00461C16" w14:paraId="6A74CB6F" w14:textId="77777777" w:rsidTr="00D21457">
        <w:tc>
          <w:tcPr>
            <w:tcW w:w="2410" w:type="dxa"/>
            <w:shd w:val="clear" w:color="auto" w:fill="auto"/>
          </w:tcPr>
          <w:p w14:paraId="3718D330"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8</w:t>
            </w:r>
          </w:p>
        </w:tc>
        <w:tc>
          <w:tcPr>
            <w:tcW w:w="6771" w:type="dxa"/>
            <w:shd w:val="clear" w:color="auto" w:fill="auto"/>
          </w:tcPr>
          <w:p w14:paraId="4E6A98CD" w14:textId="77777777" w:rsidR="00D21457" w:rsidRPr="00461C16" w:rsidRDefault="00D21457" w:rsidP="00D21457">
            <w:pPr>
              <w:jc w:val="left"/>
              <w:rPr>
                <w:color w:val="000000"/>
                <w:sz w:val="20"/>
              </w:rPr>
            </w:pPr>
            <w:r w:rsidRPr="00461C16">
              <w:rPr>
                <w:color w:val="000000"/>
                <w:sz w:val="20"/>
              </w:rPr>
              <w:t>bytový dům s</w:t>
            </w:r>
            <w:r w:rsidR="00023A6C">
              <w:rPr>
                <w:color w:val="000000"/>
                <w:sz w:val="20"/>
              </w:rPr>
              <w:t>e</w:t>
            </w:r>
            <w:r w:rsidRPr="00461C16">
              <w:rPr>
                <w:color w:val="000000"/>
                <w:sz w:val="20"/>
              </w:rPr>
              <w:t xml:space="preserve"> štukovým dekorem v okenním nadpraží</w:t>
            </w:r>
          </w:p>
        </w:tc>
      </w:tr>
      <w:tr w:rsidR="00D21457" w:rsidRPr="00461C16" w14:paraId="59EC6234" w14:textId="77777777" w:rsidTr="00D21457">
        <w:tc>
          <w:tcPr>
            <w:tcW w:w="2410" w:type="dxa"/>
            <w:shd w:val="clear" w:color="auto" w:fill="auto"/>
          </w:tcPr>
          <w:p w14:paraId="1DAD4ECC"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9</w:t>
            </w:r>
          </w:p>
        </w:tc>
        <w:tc>
          <w:tcPr>
            <w:tcW w:w="6771" w:type="dxa"/>
            <w:shd w:val="clear" w:color="auto" w:fill="auto"/>
          </w:tcPr>
          <w:p w14:paraId="1CB4AA0C" w14:textId="77777777" w:rsidR="00D21457" w:rsidRPr="00461C16" w:rsidRDefault="00D21457" w:rsidP="00D21457">
            <w:pPr>
              <w:jc w:val="left"/>
              <w:rPr>
                <w:color w:val="000000"/>
                <w:sz w:val="20"/>
              </w:rPr>
            </w:pPr>
            <w:r w:rsidRPr="00461C16">
              <w:rPr>
                <w:color w:val="000000"/>
                <w:sz w:val="20"/>
              </w:rPr>
              <w:t>venkovské stavení s hrázděným patrem zadního traktu a dřevěným štítem</w:t>
            </w:r>
          </w:p>
        </w:tc>
      </w:tr>
      <w:tr w:rsidR="00D21457" w:rsidRPr="00461C16" w14:paraId="07630C61" w14:textId="77777777" w:rsidTr="00D21457">
        <w:tc>
          <w:tcPr>
            <w:tcW w:w="2410" w:type="dxa"/>
            <w:shd w:val="clear" w:color="auto" w:fill="auto"/>
          </w:tcPr>
          <w:p w14:paraId="5C80488B"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Oldřichov 17 </w:t>
            </w:r>
          </w:p>
        </w:tc>
        <w:tc>
          <w:tcPr>
            <w:tcW w:w="6771" w:type="dxa"/>
            <w:shd w:val="clear" w:color="auto" w:fill="auto"/>
          </w:tcPr>
          <w:p w14:paraId="406BECAA" w14:textId="77777777" w:rsidR="00D21457" w:rsidRPr="00461C16" w:rsidRDefault="00D21457" w:rsidP="00D21457">
            <w:pPr>
              <w:jc w:val="left"/>
              <w:rPr>
                <w:color w:val="000000"/>
                <w:sz w:val="20"/>
              </w:rPr>
            </w:pPr>
            <w:r w:rsidRPr="00461C16">
              <w:rPr>
                <w:color w:val="000000"/>
                <w:sz w:val="20"/>
              </w:rPr>
              <w:t>patrová stodola s hrázděnou konstrukcí a výplní z režného zdiva</w:t>
            </w:r>
          </w:p>
        </w:tc>
      </w:tr>
      <w:tr w:rsidR="00D21457" w:rsidRPr="00461C16" w14:paraId="58959905" w14:textId="77777777" w:rsidTr="00D21457">
        <w:tc>
          <w:tcPr>
            <w:tcW w:w="2410" w:type="dxa"/>
            <w:shd w:val="clear" w:color="auto" w:fill="auto"/>
          </w:tcPr>
          <w:p w14:paraId="7DDE97D0"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38</w:t>
            </w:r>
          </w:p>
        </w:tc>
        <w:tc>
          <w:tcPr>
            <w:tcW w:w="6771" w:type="dxa"/>
            <w:shd w:val="clear" w:color="auto" w:fill="auto"/>
          </w:tcPr>
          <w:p w14:paraId="5F72F7B4" w14:textId="77777777" w:rsidR="00D21457" w:rsidRPr="00461C16" w:rsidRDefault="00D21457" w:rsidP="00D21457">
            <w:pPr>
              <w:jc w:val="left"/>
              <w:rPr>
                <w:color w:val="000000"/>
                <w:sz w:val="20"/>
              </w:rPr>
            </w:pPr>
            <w:r w:rsidRPr="00461C16">
              <w:rPr>
                <w:color w:val="000000"/>
                <w:sz w:val="20"/>
              </w:rPr>
              <w:t>venkovské stavení se zachovanou částí hrázděné konstrukce a dřevěným štítem</w:t>
            </w:r>
          </w:p>
        </w:tc>
      </w:tr>
      <w:tr w:rsidR="00D21457" w:rsidRPr="00461C16" w14:paraId="41C53807" w14:textId="77777777" w:rsidTr="00D21457">
        <w:tc>
          <w:tcPr>
            <w:tcW w:w="2410" w:type="dxa"/>
            <w:shd w:val="clear" w:color="auto" w:fill="auto"/>
          </w:tcPr>
          <w:p w14:paraId="7E1C2C7B"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39</w:t>
            </w:r>
          </w:p>
        </w:tc>
        <w:tc>
          <w:tcPr>
            <w:tcW w:w="6771" w:type="dxa"/>
            <w:shd w:val="clear" w:color="auto" w:fill="auto"/>
          </w:tcPr>
          <w:p w14:paraId="19E35875" w14:textId="77777777" w:rsidR="00D21457" w:rsidRPr="00461C16" w:rsidRDefault="00D21457" w:rsidP="00D21457">
            <w:pPr>
              <w:jc w:val="left"/>
              <w:rPr>
                <w:color w:val="000000"/>
                <w:sz w:val="20"/>
              </w:rPr>
            </w:pPr>
            <w:r w:rsidRPr="00461C16">
              <w:rPr>
                <w:color w:val="000000"/>
                <w:sz w:val="20"/>
              </w:rPr>
              <w:t>venkovské stavení s dřevěnými sloupky a naznačeným loubím v přízemí čelní i boční fasády, hrázděnou konstrukcí patra a dřevěným štítem</w:t>
            </w:r>
          </w:p>
        </w:tc>
      </w:tr>
      <w:tr w:rsidR="00D21457" w:rsidRPr="00461C16" w14:paraId="7D9D4273" w14:textId="77777777" w:rsidTr="00D21457">
        <w:tc>
          <w:tcPr>
            <w:tcW w:w="2410" w:type="dxa"/>
            <w:shd w:val="clear" w:color="auto" w:fill="auto"/>
          </w:tcPr>
          <w:p w14:paraId="46032EDF"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93</w:t>
            </w:r>
          </w:p>
        </w:tc>
        <w:tc>
          <w:tcPr>
            <w:tcW w:w="6771" w:type="dxa"/>
            <w:shd w:val="clear" w:color="auto" w:fill="auto"/>
          </w:tcPr>
          <w:p w14:paraId="032A020C" w14:textId="77777777" w:rsidR="00D21457" w:rsidRPr="00461C16" w:rsidRDefault="00D21457" w:rsidP="00D21457">
            <w:pPr>
              <w:jc w:val="left"/>
              <w:rPr>
                <w:color w:val="000000"/>
                <w:sz w:val="20"/>
              </w:rPr>
            </w:pPr>
            <w:r w:rsidRPr="00461C16">
              <w:rPr>
                <w:color w:val="000000"/>
                <w:sz w:val="20"/>
              </w:rPr>
              <w:t>venkovské stavení s roubeným přízemím,</w:t>
            </w:r>
            <w:r w:rsidR="00892A87" w:rsidRPr="00461C16">
              <w:rPr>
                <w:color w:val="000000"/>
                <w:sz w:val="20"/>
              </w:rPr>
              <w:t xml:space="preserve"> hrázděným patrem a dřevěným ští</w:t>
            </w:r>
            <w:r w:rsidRPr="00461C16">
              <w:rPr>
                <w:color w:val="000000"/>
                <w:sz w:val="20"/>
              </w:rPr>
              <w:t>tem s vertikálním bedněním</w:t>
            </w:r>
          </w:p>
        </w:tc>
      </w:tr>
      <w:tr w:rsidR="00D21457" w:rsidRPr="00461C16" w14:paraId="518B0C65" w14:textId="77777777" w:rsidTr="00D21457">
        <w:tc>
          <w:tcPr>
            <w:tcW w:w="2410" w:type="dxa"/>
            <w:shd w:val="clear" w:color="auto" w:fill="auto"/>
          </w:tcPr>
          <w:p w14:paraId="150B298C"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110</w:t>
            </w:r>
          </w:p>
        </w:tc>
        <w:tc>
          <w:tcPr>
            <w:tcW w:w="6771" w:type="dxa"/>
            <w:shd w:val="clear" w:color="auto" w:fill="auto"/>
          </w:tcPr>
          <w:p w14:paraId="68459C53" w14:textId="77777777" w:rsidR="00D21457" w:rsidRPr="00461C16" w:rsidRDefault="00D21457" w:rsidP="00D21457">
            <w:pPr>
              <w:jc w:val="left"/>
              <w:rPr>
                <w:color w:val="000000"/>
                <w:sz w:val="20"/>
              </w:rPr>
            </w:pPr>
            <w:r w:rsidRPr="00461C16">
              <w:rPr>
                <w:color w:val="000000"/>
                <w:sz w:val="20"/>
              </w:rPr>
              <w:t>venkovské stavení s dřevěným obložením patra a dekorativní řezbou pod korunní římsou</w:t>
            </w:r>
          </w:p>
        </w:tc>
      </w:tr>
      <w:tr w:rsidR="00D21457" w:rsidRPr="00461C16" w14:paraId="008E2631" w14:textId="77777777" w:rsidTr="00D21457">
        <w:tc>
          <w:tcPr>
            <w:tcW w:w="2410" w:type="dxa"/>
            <w:shd w:val="clear" w:color="auto" w:fill="auto"/>
          </w:tcPr>
          <w:p w14:paraId="5E675C46"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129</w:t>
            </w:r>
          </w:p>
        </w:tc>
        <w:tc>
          <w:tcPr>
            <w:tcW w:w="6771" w:type="dxa"/>
            <w:shd w:val="clear" w:color="auto" w:fill="auto"/>
          </w:tcPr>
          <w:p w14:paraId="3E4BE49D" w14:textId="77777777" w:rsidR="00D21457" w:rsidRPr="00461C16" w:rsidRDefault="00D21457" w:rsidP="00D21457">
            <w:pPr>
              <w:jc w:val="left"/>
              <w:rPr>
                <w:color w:val="000000"/>
                <w:sz w:val="20"/>
              </w:rPr>
            </w:pPr>
            <w:r w:rsidRPr="00461C16">
              <w:rPr>
                <w:color w:val="000000"/>
                <w:sz w:val="20"/>
              </w:rPr>
              <w:t xml:space="preserve">venkovské stavení s dřevěnými sloupky a lomenými oblouky v přízemí a vertikálně bedněným dřevěným patrem </w:t>
            </w:r>
          </w:p>
        </w:tc>
      </w:tr>
      <w:tr w:rsidR="00D21457" w:rsidRPr="00461C16" w14:paraId="0075E7B3" w14:textId="77777777" w:rsidTr="00D21457">
        <w:tc>
          <w:tcPr>
            <w:tcW w:w="2410" w:type="dxa"/>
            <w:shd w:val="clear" w:color="auto" w:fill="auto"/>
          </w:tcPr>
          <w:p w14:paraId="685BE064"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144</w:t>
            </w:r>
          </w:p>
        </w:tc>
        <w:tc>
          <w:tcPr>
            <w:tcW w:w="6771" w:type="dxa"/>
            <w:shd w:val="clear" w:color="auto" w:fill="auto"/>
          </w:tcPr>
          <w:p w14:paraId="27BC5E2F" w14:textId="77777777" w:rsidR="00D21457" w:rsidRPr="00461C16" w:rsidRDefault="00D21457" w:rsidP="00D21457">
            <w:pPr>
              <w:jc w:val="left"/>
              <w:rPr>
                <w:color w:val="000000"/>
                <w:sz w:val="20"/>
              </w:rPr>
            </w:pPr>
            <w:r w:rsidRPr="00461C16">
              <w:rPr>
                <w:color w:val="000000"/>
                <w:sz w:val="20"/>
              </w:rPr>
              <w:t>venkovské stavení s plasticky zvýrazněným nárožím s obloučkovými lizénami a ozdobnými šambránami oken s dekorativním centrálním klenákem</w:t>
            </w:r>
          </w:p>
        </w:tc>
      </w:tr>
      <w:tr w:rsidR="00D21457" w:rsidRPr="00461C16" w14:paraId="79C50E55" w14:textId="77777777" w:rsidTr="00D21457">
        <w:tc>
          <w:tcPr>
            <w:tcW w:w="2410" w:type="dxa"/>
            <w:shd w:val="clear" w:color="auto" w:fill="auto"/>
          </w:tcPr>
          <w:p w14:paraId="46468176"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150</w:t>
            </w:r>
          </w:p>
        </w:tc>
        <w:tc>
          <w:tcPr>
            <w:tcW w:w="6771" w:type="dxa"/>
            <w:shd w:val="clear" w:color="auto" w:fill="auto"/>
          </w:tcPr>
          <w:p w14:paraId="19E177FE" w14:textId="77777777" w:rsidR="00D21457" w:rsidRPr="00461C16" w:rsidRDefault="00D21457" w:rsidP="00D21457">
            <w:pPr>
              <w:jc w:val="left"/>
              <w:rPr>
                <w:color w:val="000000"/>
                <w:sz w:val="20"/>
              </w:rPr>
            </w:pPr>
            <w:r w:rsidRPr="00461C16">
              <w:rPr>
                <w:color w:val="000000"/>
                <w:sz w:val="20"/>
              </w:rPr>
              <w:t>vila s dekorativními prvky na fasádě z 30.let</w:t>
            </w:r>
          </w:p>
        </w:tc>
      </w:tr>
      <w:tr w:rsidR="00D21457" w:rsidRPr="00461C16" w14:paraId="44531F44" w14:textId="77777777" w:rsidTr="00D21457">
        <w:tc>
          <w:tcPr>
            <w:tcW w:w="2410" w:type="dxa"/>
            <w:shd w:val="clear" w:color="auto" w:fill="auto"/>
          </w:tcPr>
          <w:p w14:paraId="17C3C286" w14:textId="77777777" w:rsidR="00D21457" w:rsidRPr="00461C16" w:rsidRDefault="00D21457" w:rsidP="004B2D25">
            <w:pPr>
              <w:pStyle w:val="ListParagraph"/>
              <w:numPr>
                <w:ilvl w:val="0"/>
                <w:numId w:val="68"/>
              </w:numPr>
              <w:jc w:val="left"/>
              <w:rPr>
                <w:color w:val="000000"/>
                <w:sz w:val="20"/>
              </w:rPr>
            </w:pPr>
            <w:r w:rsidRPr="00461C16">
              <w:rPr>
                <w:color w:val="000000"/>
                <w:sz w:val="20"/>
              </w:rPr>
              <w:t>Oldřichov 163</w:t>
            </w:r>
          </w:p>
        </w:tc>
        <w:tc>
          <w:tcPr>
            <w:tcW w:w="6771" w:type="dxa"/>
            <w:shd w:val="clear" w:color="auto" w:fill="auto"/>
          </w:tcPr>
          <w:p w14:paraId="4C0A5B08" w14:textId="77777777" w:rsidR="00D21457" w:rsidRPr="00461C16" w:rsidRDefault="00D21457" w:rsidP="00D21457">
            <w:pPr>
              <w:jc w:val="left"/>
              <w:rPr>
                <w:color w:val="000000"/>
                <w:sz w:val="20"/>
              </w:rPr>
            </w:pPr>
            <w:r w:rsidRPr="00461C16">
              <w:rPr>
                <w:color w:val="000000"/>
                <w:sz w:val="20"/>
              </w:rPr>
              <w:t>statek s historickou branou v obvodové zdi</w:t>
            </w:r>
          </w:p>
        </w:tc>
      </w:tr>
    </w:tbl>
    <w:p w14:paraId="43E359FB" w14:textId="77777777" w:rsidR="00D21457" w:rsidRPr="00461C16" w:rsidRDefault="00D21457" w:rsidP="00A76D14">
      <w:pPr>
        <w:pStyle w:val="b-pismeno"/>
        <w:numPr>
          <w:ilvl w:val="0"/>
          <w:numId w:val="0"/>
        </w:numPr>
        <w:tabs>
          <w:tab w:val="clear" w:pos="720"/>
          <w:tab w:val="left" w:pos="426"/>
        </w:tabs>
        <w:spacing w:before="240"/>
        <w:ind w:left="426"/>
      </w:pPr>
      <w:r w:rsidRPr="00461C16">
        <w:t>VÁCLAVICE</w:t>
      </w:r>
    </w:p>
    <w:tbl>
      <w:tblPr>
        <w:tblW w:w="0" w:type="auto"/>
        <w:tblInd w:w="107" w:type="dxa"/>
        <w:tblLook w:val="04A0" w:firstRow="1" w:lastRow="0" w:firstColumn="1" w:lastColumn="0" w:noHBand="0" w:noVBand="1"/>
      </w:tblPr>
      <w:tblGrid>
        <w:gridCol w:w="2410"/>
        <w:gridCol w:w="6771"/>
      </w:tblGrid>
      <w:tr w:rsidR="00D21457" w:rsidRPr="00461C16" w14:paraId="4F3F58F9" w14:textId="77777777" w:rsidTr="00D21457">
        <w:tc>
          <w:tcPr>
            <w:tcW w:w="2410" w:type="dxa"/>
            <w:shd w:val="clear" w:color="auto" w:fill="auto"/>
          </w:tcPr>
          <w:p w14:paraId="03FFC9B4"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Václavice 25</w:t>
            </w:r>
          </w:p>
        </w:tc>
        <w:tc>
          <w:tcPr>
            <w:tcW w:w="6771" w:type="dxa"/>
            <w:shd w:val="clear" w:color="auto" w:fill="auto"/>
          </w:tcPr>
          <w:p w14:paraId="06E9B7DD" w14:textId="77777777" w:rsidR="00D21457" w:rsidRPr="00461C16" w:rsidRDefault="00D21457" w:rsidP="00D21457">
            <w:pPr>
              <w:jc w:val="left"/>
              <w:rPr>
                <w:color w:val="000000"/>
                <w:sz w:val="20"/>
              </w:rPr>
            </w:pPr>
            <w:r w:rsidRPr="00461C16">
              <w:rPr>
                <w:color w:val="000000"/>
                <w:sz w:val="20"/>
              </w:rPr>
              <w:t>venkovský obytný dům s hrázděnou konstrukcí patra</w:t>
            </w:r>
          </w:p>
        </w:tc>
      </w:tr>
      <w:tr w:rsidR="00D21457" w:rsidRPr="00461C16" w14:paraId="58B22475" w14:textId="77777777" w:rsidTr="00D21457">
        <w:tc>
          <w:tcPr>
            <w:tcW w:w="2410" w:type="dxa"/>
            <w:shd w:val="clear" w:color="auto" w:fill="auto"/>
          </w:tcPr>
          <w:p w14:paraId="4C45316E"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Václavice 49</w:t>
            </w:r>
          </w:p>
        </w:tc>
        <w:tc>
          <w:tcPr>
            <w:tcW w:w="6771" w:type="dxa"/>
            <w:shd w:val="clear" w:color="auto" w:fill="auto"/>
          </w:tcPr>
          <w:p w14:paraId="15863529" w14:textId="77777777" w:rsidR="00D21457" w:rsidRPr="00461C16" w:rsidRDefault="00D21457" w:rsidP="00D21457">
            <w:pPr>
              <w:jc w:val="left"/>
              <w:rPr>
                <w:color w:val="000000"/>
                <w:sz w:val="20"/>
              </w:rPr>
            </w:pPr>
            <w:r w:rsidRPr="00461C16">
              <w:rPr>
                <w:color w:val="000000"/>
                <w:sz w:val="20"/>
              </w:rPr>
              <w:t>obytný dům s dekorativním plastickým členěním fasády a trojúhelníkovým nadpražím oken</w:t>
            </w:r>
          </w:p>
        </w:tc>
      </w:tr>
      <w:tr w:rsidR="00D21457" w:rsidRPr="00461C16" w14:paraId="7AE55076" w14:textId="77777777" w:rsidTr="00D21457">
        <w:tc>
          <w:tcPr>
            <w:tcW w:w="2410" w:type="dxa"/>
            <w:shd w:val="clear" w:color="auto" w:fill="auto"/>
          </w:tcPr>
          <w:p w14:paraId="452D900B"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Václavice 97</w:t>
            </w:r>
          </w:p>
        </w:tc>
        <w:tc>
          <w:tcPr>
            <w:tcW w:w="6771" w:type="dxa"/>
            <w:shd w:val="clear" w:color="auto" w:fill="auto"/>
          </w:tcPr>
          <w:p w14:paraId="7FFBD347" w14:textId="77777777" w:rsidR="00D21457" w:rsidRPr="00461C16" w:rsidRDefault="00D21457" w:rsidP="00D21457">
            <w:pPr>
              <w:jc w:val="left"/>
              <w:rPr>
                <w:color w:val="000000"/>
                <w:sz w:val="20"/>
              </w:rPr>
            </w:pPr>
            <w:r w:rsidRPr="00461C16">
              <w:rPr>
                <w:color w:val="000000"/>
                <w:sz w:val="20"/>
              </w:rPr>
              <w:t>venkovské stavení s hrázděnou ko</w:t>
            </w:r>
            <w:r w:rsidR="00892A87" w:rsidRPr="00461C16">
              <w:rPr>
                <w:color w:val="000000"/>
                <w:sz w:val="20"/>
              </w:rPr>
              <w:t>n</w:t>
            </w:r>
            <w:r w:rsidRPr="00461C16">
              <w:rPr>
                <w:color w:val="000000"/>
                <w:sz w:val="20"/>
              </w:rPr>
              <w:t>strukcí patra</w:t>
            </w:r>
          </w:p>
        </w:tc>
      </w:tr>
      <w:tr w:rsidR="00D21457" w:rsidRPr="00461C16" w14:paraId="1431A942" w14:textId="77777777" w:rsidTr="00D21457">
        <w:tc>
          <w:tcPr>
            <w:tcW w:w="2410" w:type="dxa"/>
            <w:shd w:val="clear" w:color="auto" w:fill="auto"/>
          </w:tcPr>
          <w:p w14:paraId="4A4CC0DE"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Václavice 142</w:t>
            </w:r>
          </w:p>
        </w:tc>
        <w:tc>
          <w:tcPr>
            <w:tcW w:w="6771" w:type="dxa"/>
            <w:shd w:val="clear" w:color="auto" w:fill="auto"/>
          </w:tcPr>
          <w:p w14:paraId="7D8FE42E" w14:textId="77777777" w:rsidR="00D21457" w:rsidRPr="00461C16" w:rsidRDefault="00D21457" w:rsidP="00D21457">
            <w:pPr>
              <w:jc w:val="left"/>
              <w:rPr>
                <w:color w:val="000000"/>
                <w:sz w:val="20"/>
              </w:rPr>
            </w:pPr>
            <w:r w:rsidRPr="00461C16">
              <w:rPr>
                <w:color w:val="000000"/>
                <w:sz w:val="20"/>
              </w:rPr>
              <w:t>venkovské stavení s hrázděnou konstrukcí části patra a dřevěným štítem</w:t>
            </w:r>
          </w:p>
        </w:tc>
      </w:tr>
      <w:tr w:rsidR="00D21457" w:rsidRPr="00461C16" w14:paraId="1FBA0193" w14:textId="77777777" w:rsidTr="00D21457">
        <w:tc>
          <w:tcPr>
            <w:tcW w:w="2410" w:type="dxa"/>
            <w:shd w:val="clear" w:color="auto" w:fill="auto"/>
          </w:tcPr>
          <w:p w14:paraId="5036F5DC"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Václavice 160</w:t>
            </w:r>
          </w:p>
        </w:tc>
        <w:tc>
          <w:tcPr>
            <w:tcW w:w="6771" w:type="dxa"/>
            <w:shd w:val="clear" w:color="auto" w:fill="auto"/>
          </w:tcPr>
          <w:p w14:paraId="6782CB31" w14:textId="77777777" w:rsidR="00D21457" w:rsidRPr="00461C16" w:rsidRDefault="00D21457" w:rsidP="00D21457">
            <w:pPr>
              <w:jc w:val="left"/>
              <w:rPr>
                <w:color w:val="000000"/>
                <w:sz w:val="20"/>
              </w:rPr>
            </w:pPr>
            <w:r w:rsidRPr="00461C16">
              <w:rPr>
                <w:color w:val="000000"/>
                <w:sz w:val="20"/>
              </w:rPr>
              <w:t>venkovský obytný dům s roubeným přízemím a hrázděnou konstrukcí obou pater</w:t>
            </w:r>
          </w:p>
        </w:tc>
      </w:tr>
      <w:tr w:rsidR="00D21457" w:rsidRPr="00461C16" w14:paraId="2959DCA1" w14:textId="77777777" w:rsidTr="00D21457">
        <w:tc>
          <w:tcPr>
            <w:tcW w:w="2410" w:type="dxa"/>
            <w:shd w:val="clear" w:color="auto" w:fill="auto"/>
          </w:tcPr>
          <w:p w14:paraId="3DDB3806"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Václavice 177</w:t>
            </w:r>
          </w:p>
        </w:tc>
        <w:tc>
          <w:tcPr>
            <w:tcW w:w="6771" w:type="dxa"/>
            <w:shd w:val="clear" w:color="auto" w:fill="auto"/>
          </w:tcPr>
          <w:p w14:paraId="1E010CEF" w14:textId="77777777" w:rsidR="00D21457" w:rsidRPr="00461C16" w:rsidRDefault="00D21457" w:rsidP="00D21457">
            <w:pPr>
              <w:jc w:val="left"/>
              <w:rPr>
                <w:color w:val="000000"/>
                <w:sz w:val="20"/>
              </w:rPr>
            </w:pPr>
            <w:r w:rsidRPr="00461C16">
              <w:rPr>
                <w:color w:val="000000"/>
                <w:sz w:val="20"/>
              </w:rPr>
              <w:t>venkovské stavení s dřevěnou konstrukcí přízemí, vertikálními sloupky na čelním a podélném průčelí a částečně zachovanou hrázděnou konstrukcí</w:t>
            </w:r>
          </w:p>
        </w:tc>
      </w:tr>
      <w:tr w:rsidR="00D21457" w:rsidRPr="00461C16" w14:paraId="36066B2B" w14:textId="77777777" w:rsidTr="00D21457">
        <w:tc>
          <w:tcPr>
            <w:tcW w:w="2410" w:type="dxa"/>
            <w:shd w:val="clear" w:color="auto" w:fill="auto"/>
          </w:tcPr>
          <w:p w14:paraId="7771E1FA"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Václavice 235</w:t>
            </w:r>
          </w:p>
        </w:tc>
        <w:tc>
          <w:tcPr>
            <w:tcW w:w="6771" w:type="dxa"/>
            <w:shd w:val="clear" w:color="auto" w:fill="auto"/>
          </w:tcPr>
          <w:p w14:paraId="66F73DB0" w14:textId="77777777" w:rsidR="00D21457" w:rsidRPr="00461C16" w:rsidRDefault="00D21457" w:rsidP="00D21457">
            <w:pPr>
              <w:jc w:val="left"/>
              <w:rPr>
                <w:color w:val="000000"/>
                <w:sz w:val="20"/>
              </w:rPr>
            </w:pPr>
            <w:r w:rsidRPr="00461C16">
              <w:rPr>
                <w:color w:val="000000"/>
                <w:sz w:val="20"/>
              </w:rPr>
              <w:t xml:space="preserve">venkovský obytný dům s plastickým členěním fasády, mělkými rizality, na čelním průčelí </w:t>
            </w:r>
            <w:r w:rsidRPr="00461C16">
              <w:rPr>
                <w:color w:val="000000"/>
                <w:sz w:val="20"/>
              </w:rPr>
              <w:lastRenderedPageBreak/>
              <w:t>korunní římsa zdobená vlysem</w:t>
            </w:r>
          </w:p>
        </w:tc>
      </w:tr>
      <w:tr w:rsidR="00D21457" w:rsidRPr="00461C16" w14:paraId="10E0B833" w14:textId="77777777" w:rsidTr="00D21457">
        <w:tc>
          <w:tcPr>
            <w:tcW w:w="2410" w:type="dxa"/>
            <w:shd w:val="clear" w:color="auto" w:fill="auto"/>
          </w:tcPr>
          <w:p w14:paraId="2F4A2F7B" w14:textId="77777777" w:rsidR="00D21457" w:rsidRPr="00461C16" w:rsidRDefault="00D21457" w:rsidP="004B2D25">
            <w:pPr>
              <w:pStyle w:val="ListParagraph"/>
              <w:numPr>
                <w:ilvl w:val="0"/>
                <w:numId w:val="68"/>
              </w:numPr>
              <w:jc w:val="left"/>
              <w:rPr>
                <w:color w:val="000000"/>
                <w:sz w:val="20"/>
              </w:rPr>
            </w:pPr>
            <w:r w:rsidRPr="00461C16">
              <w:rPr>
                <w:color w:val="000000"/>
                <w:sz w:val="20"/>
              </w:rPr>
              <w:lastRenderedPageBreak/>
              <w:t>Václavice 320</w:t>
            </w:r>
          </w:p>
        </w:tc>
        <w:tc>
          <w:tcPr>
            <w:tcW w:w="6771" w:type="dxa"/>
            <w:shd w:val="clear" w:color="auto" w:fill="auto"/>
          </w:tcPr>
          <w:p w14:paraId="4C0C59E0" w14:textId="77777777" w:rsidR="00D21457" w:rsidRPr="00461C16" w:rsidRDefault="00D21457" w:rsidP="00D21457">
            <w:pPr>
              <w:jc w:val="left"/>
              <w:rPr>
                <w:color w:val="000000"/>
                <w:sz w:val="20"/>
              </w:rPr>
            </w:pPr>
            <w:r w:rsidRPr="00461C16">
              <w:rPr>
                <w:color w:val="000000"/>
                <w:sz w:val="20"/>
              </w:rPr>
              <w:t>vila s horizontálními a vertikálními lizénami a barevně zvýrazněným ostěním oken</w:t>
            </w:r>
          </w:p>
        </w:tc>
      </w:tr>
      <w:tr w:rsidR="00D21457" w:rsidRPr="00461C16" w14:paraId="612B6EFA" w14:textId="77777777" w:rsidTr="00D21457">
        <w:tc>
          <w:tcPr>
            <w:tcW w:w="2410" w:type="dxa"/>
            <w:shd w:val="clear" w:color="auto" w:fill="auto"/>
          </w:tcPr>
          <w:p w14:paraId="18073D7E"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Václavice 323</w:t>
            </w:r>
          </w:p>
        </w:tc>
        <w:tc>
          <w:tcPr>
            <w:tcW w:w="6771" w:type="dxa"/>
            <w:shd w:val="clear" w:color="auto" w:fill="auto"/>
          </w:tcPr>
          <w:p w14:paraId="68CED0C1" w14:textId="77777777" w:rsidR="00D21457" w:rsidRPr="00461C16" w:rsidRDefault="00D21457" w:rsidP="00D21457">
            <w:pPr>
              <w:jc w:val="left"/>
              <w:rPr>
                <w:color w:val="000000"/>
                <w:sz w:val="20"/>
              </w:rPr>
            </w:pPr>
            <w:r w:rsidRPr="00461C16">
              <w:rPr>
                <w:color w:val="000000"/>
                <w:sz w:val="20"/>
              </w:rPr>
              <w:t>vila se secesními dekorativními prvky na fasádě</w:t>
            </w:r>
          </w:p>
        </w:tc>
      </w:tr>
    </w:tbl>
    <w:p w14:paraId="5A4D581E" w14:textId="77777777" w:rsidR="00D21457" w:rsidRPr="00461C16" w:rsidRDefault="00D21457" w:rsidP="00A76D14">
      <w:pPr>
        <w:pStyle w:val="b-pismeno"/>
        <w:numPr>
          <w:ilvl w:val="0"/>
          <w:numId w:val="0"/>
        </w:numPr>
        <w:tabs>
          <w:tab w:val="clear" w:pos="720"/>
          <w:tab w:val="left" w:pos="426"/>
        </w:tabs>
        <w:spacing w:before="240"/>
        <w:ind w:left="426"/>
      </w:pPr>
      <w:r w:rsidRPr="00461C16">
        <w:t>UHELNÁ</w:t>
      </w:r>
    </w:p>
    <w:tbl>
      <w:tblPr>
        <w:tblW w:w="0" w:type="auto"/>
        <w:tblInd w:w="107" w:type="dxa"/>
        <w:tblLook w:val="04A0" w:firstRow="1" w:lastRow="0" w:firstColumn="1" w:lastColumn="0" w:noHBand="0" w:noVBand="1"/>
      </w:tblPr>
      <w:tblGrid>
        <w:gridCol w:w="2410"/>
        <w:gridCol w:w="6771"/>
      </w:tblGrid>
      <w:tr w:rsidR="00D21457" w:rsidRPr="00461C16" w14:paraId="22A3A426" w14:textId="77777777" w:rsidTr="00D21457">
        <w:tc>
          <w:tcPr>
            <w:tcW w:w="2410" w:type="dxa"/>
            <w:shd w:val="clear" w:color="auto" w:fill="auto"/>
          </w:tcPr>
          <w:p w14:paraId="643A54EE" w14:textId="77777777" w:rsidR="00D21457" w:rsidRPr="00461C16" w:rsidRDefault="00D21457" w:rsidP="004B2D25">
            <w:pPr>
              <w:pStyle w:val="ListParagraph"/>
              <w:numPr>
                <w:ilvl w:val="0"/>
                <w:numId w:val="68"/>
              </w:numPr>
              <w:rPr>
                <w:color w:val="000000"/>
                <w:sz w:val="20"/>
              </w:rPr>
            </w:pPr>
            <w:r w:rsidRPr="00461C16">
              <w:rPr>
                <w:color w:val="000000"/>
                <w:sz w:val="20"/>
              </w:rPr>
              <w:t>náves v Uhelné</w:t>
            </w:r>
          </w:p>
        </w:tc>
        <w:tc>
          <w:tcPr>
            <w:tcW w:w="6771" w:type="dxa"/>
            <w:shd w:val="clear" w:color="auto" w:fill="auto"/>
          </w:tcPr>
          <w:p w14:paraId="2CD92D17" w14:textId="77777777" w:rsidR="00D21457" w:rsidRPr="00461C16" w:rsidRDefault="00D21457" w:rsidP="00D21457">
            <w:pPr>
              <w:jc w:val="left"/>
              <w:rPr>
                <w:color w:val="000000"/>
                <w:sz w:val="20"/>
              </w:rPr>
            </w:pPr>
            <w:r w:rsidRPr="00461C16">
              <w:rPr>
                <w:color w:val="000000"/>
                <w:sz w:val="20"/>
              </w:rPr>
              <w:t>novorománská výklenková kaple P. Marie Pomocné - dnes jen pozůstatky obvodového zdiva</w:t>
            </w:r>
          </w:p>
        </w:tc>
      </w:tr>
      <w:tr w:rsidR="00D21457" w:rsidRPr="00461C16" w14:paraId="2E7822D0" w14:textId="77777777" w:rsidTr="00D21457">
        <w:tc>
          <w:tcPr>
            <w:tcW w:w="2410" w:type="dxa"/>
            <w:shd w:val="clear" w:color="auto" w:fill="auto"/>
          </w:tcPr>
          <w:p w14:paraId="7ADD02A5" w14:textId="77777777" w:rsidR="00D21457" w:rsidRPr="00461C16" w:rsidRDefault="00D21457" w:rsidP="004B2D25">
            <w:pPr>
              <w:pStyle w:val="ListParagraph"/>
              <w:numPr>
                <w:ilvl w:val="0"/>
                <w:numId w:val="68"/>
              </w:numPr>
              <w:rPr>
                <w:color w:val="000000"/>
                <w:sz w:val="20"/>
              </w:rPr>
            </w:pPr>
            <w:r w:rsidRPr="00461C16">
              <w:rPr>
                <w:color w:val="000000"/>
                <w:sz w:val="20"/>
              </w:rPr>
              <w:t>Uhelná 4</w:t>
            </w:r>
          </w:p>
        </w:tc>
        <w:tc>
          <w:tcPr>
            <w:tcW w:w="6771" w:type="dxa"/>
            <w:shd w:val="clear" w:color="auto" w:fill="auto"/>
          </w:tcPr>
          <w:p w14:paraId="0BBB60AA" w14:textId="77777777" w:rsidR="00D21457" w:rsidRPr="00461C16" w:rsidRDefault="00D21457" w:rsidP="00D21457">
            <w:pPr>
              <w:jc w:val="left"/>
              <w:rPr>
                <w:color w:val="000000"/>
                <w:sz w:val="20"/>
              </w:rPr>
            </w:pPr>
            <w:r w:rsidRPr="00461C16">
              <w:rPr>
                <w:color w:val="000000"/>
                <w:sz w:val="20"/>
              </w:rPr>
              <w:t>venkovský obytný dům s hrázděnou konstrukcí patra</w:t>
            </w:r>
          </w:p>
        </w:tc>
      </w:tr>
      <w:tr w:rsidR="00D21457" w:rsidRPr="00461C16" w14:paraId="772A982A" w14:textId="77777777" w:rsidTr="00D21457">
        <w:tc>
          <w:tcPr>
            <w:tcW w:w="2410" w:type="dxa"/>
            <w:shd w:val="clear" w:color="auto" w:fill="auto"/>
          </w:tcPr>
          <w:p w14:paraId="51DC6339" w14:textId="77777777" w:rsidR="00D21457" w:rsidRPr="00461C16" w:rsidRDefault="00D21457" w:rsidP="004B2D25">
            <w:pPr>
              <w:pStyle w:val="ListParagraph"/>
              <w:numPr>
                <w:ilvl w:val="0"/>
                <w:numId w:val="68"/>
              </w:numPr>
              <w:rPr>
                <w:color w:val="000000"/>
                <w:sz w:val="20"/>
              </w:rPr>
            </w:pPr>
            <w:r w:rsidRPr="00461C16">
              <w:rPr>
                <w:color w:val="000000"/>
                <w:sz w:val="20"/>
              </w:rPr>
              <w:t>Uhelná 17</w:t>
            </w:r>
          </w:p>
        </w:tc>
        <w:tc>
          <w:tcPr>
            <w:tcW w:w="6771" w:type="dxa"/>
            <w:shd w:val="clear" w:color="auto" w:fill="auto"/>
          </w:tcPr>
          <w:p w14:paraId="0ED75D7F" w14:textId="77777777" w:rsidR="00D21457" w:rsidRPr="00461C16" w:rsidRDefault="00D21457" w:rsidP="00D21457">
            <w:pPr>
              <w:jc w:val="left"/>
              <w:rPr>
                <w:color w:val="000000"/>
                <w:sz w:val="20"/>
              </w:rPr>
            </w:pPr>
            <w:r w:rsidRPr="00461C16">
              <w:rPr>
                <w:color w:val="000000"/>
                <w:sz w:val="20"/>
              </w:rPr>
              <w:t>průmyslový objekt se zaobleným čelním průčelím, zvýrazněním nároží v režném zdivu a horizontálními a vertikálními liniemi na čelní fasádě v režném zdivu</w:t>
            </w:r>
          </w:p>
        </w:tc>
      </w:tr>
      <w:tr w:rsidR="00D21457" w:rsidRPr="00461C16" w14:paraId="67D41F75" w14:textId="77777777" w:rsidTr="00D21457">
        <w:tc>
          <w:tcPr>
            <w:tcW w:w="2410" w:type="dxa"/>
            <w:shd w:val="clear" w:color="auto" w:fill="auto"/>
          </w:tcPr>
          <w:p w14:paraId="381C8AF4" w14:textId="77777777" w:rsidR="00D21457" w:rsidRPr="00461C16" w:rsidRDefault="00D21457" w:rsidP="004B2D25">
            <w:pPr>
              <w:pStyle w:val="ListParagraph"/>
              <w:numPr>
                <w:ilvl w:val="0"/>
                <w:numId w:val="68"/>
              </w:numPr>
              <w:rPr>
                <w:color w:val="000000"/>
                <w:sz w:val="20"/>
              </w:rPr>
            </w:pPr>
            <w:r w:rsidRPr="00461C16">
              <w:rPr>
                <w:color w:val="000000"/>
                <w:sz w:val="20"/>
              </w:rPr>
              <w:t>Uhelná 42</w:t>
            </w:r>
          </w:p>
        </w:tc>
        <w:tc>
          <w:tcPr>
            <w:tcW w:w="6771" w:type="dxa"/>
            <w:shd w:val="clear" w:color="auto" w:fill="auto"/>
          </w:tcPr>
          <w:p w14:paraId="3A0B8AAF" w14:textId="77777777" w:rsidR="00D21457" w:rsidRPr="00461C16" w:rsidRDefault="00D21457" w:rsidP="00D21457">
            <w:pPr>
              <w:jc w:val="left"/>
              <w:rPr>
                <w:color w:val="000000"/>
                <w:sz w:val="20"/>
              </w:rPr>
            </w:pPr>
            <w:r w:rsidRPr="00461C16">
              <w:rPr>
                <w:color w:val="000000"/>
                <w:sz w:val="20"/>
              </w:rPr>
              <w:t>obytný dům</w:t>
            </w:r>
            <w:r w:rsidR="00B345B4" w:rsidRPr="00461C16">
              <w:rPr>
                <w:color w:val="000000"/>
                <w:sz w:val="20"/>
              </w:rPr>
              <w:t xml:space="preserve"> </w:t>
            </w:r>
            <w:r w:rsidRPr="00461C16">
              <w:rPr>
                <w:color w:val="000000"/>
                <w:sz w:val="20"/>
              </w:rPr>
              <w:t>s plastickými šambránami a korunní římsou zdobenou vlysem</w:t>
            </w:r>
          </w:p>
        </w:tc>
      </w:tr>
      <w:tr w:rsidR="00D21457" w:rsidRPr="00461C16" w14:paraId="5F134B42" w14:textId="77777777" w:rsidTr="00D21457">
        <w:tc>
          <w:tcPr>
            <w:tcW w:w="2410" w:type="dxa"/>
            <w:shd w:val="clear" w:color="auto" w:fill="auto"/>
          </w:tcPr>
          <w:p w14:paraId="4FC7BB12" w14:textId="77777777" w:rsidR="00D21457" w:rsidRPr="00461C16" w:rsidRDefault="00D21457" w:rsidP="004B2D25">
            <w:pPr>
              <w:pStyle w:val="ListParagraph"/>
              <w:numPr>
                <w:ilvl w:val="0"/>
                <w:numId w:val="68"/>
              </w:numPr>
              <w:rPr>
                <w:color w:val="000000"/>
                <w:sz w:val="20"/>
              </w:rPr>
            </w:pPr>
            <w:r w:rsidRPr="00461C16">
              <w:rPr>
                <w:color w:val="000000"/>
                <w:sz w:val="20"/>
              </w:rPr>
              <w:t>Uhelná 44</w:t>
            </w:r>
          </w:p>
        </w:tc>
        <w:tc>
          <w:tcPr>
            <w:tcW w:w="6771" w:type="dxa"/>
            <w:shd w:val="clear" w:color="auto" w:fill="auto"/>
          </w:tcPr>
          <w:p w14:paraId="3C608D23" w14:textId="77777777" w:rsidR="00D21457" w:rsidRPr="00461C16" w:rsidRDefault="00D21457" w:rsidP="00D21457">
            <w:pPr>
              <w:jc w:val="left"/>
              <w:rPr>
                <w:color w:val="000000"/>
                <w:sz w:val="20"/>
              </w:rPr>
            </w:pPr>
            <w:r w:rsidRPr="00461C16">
              <w:rPr>
                <w:color w:val="000000"/>
                <w:sz w:val="20"/>
              </w:rPr>
              <w:t>venkovský obytný dům s hrázděnou konstrukcí a částečně roubeným přízemím</w:t>
            </w:r>
          </w:p>
        </w:tc>
      </w:tr>
    </w:tbl>
    <w:p w14:paraId="023B1120" w14:textId="77777777" w:rsidR="00D21457" w:rsidRPr="00461C16" w:rsidRDefault="00D21457" w:rsidP="00A76D14">
      <w:pPr>
        <w:pStyle w:val="b-pismeno"/>
        <w:numPr>
          <w:ilvl w:val="0"/>
          <w:numId w:val="0"/>
        </w:numPr>
        <w:tabs>
          <w:tab w:val="clear" w:pos="720"/>
          <w:tab w:val="left" w:pos="426"/>
        </w:tabs>
        <w:spacing w:before="240"/>
        <w:ind w:left="426" w:firstLine="11"/>
      </w:pPr>
      <w:r w:rsidRPr="00461C16">
        <w:t>HRÁDEK NAD NISOU</w:t>
      </w:r>
    </w:p>
    <w:tbl>
      <w:tblPr>
        <w:tblW w:w="0" w:type="auto"/>
        <w:tblInd w:w="107" w:type="dxa"/>
        <w:tblLook w:val="04A0" w:firstRow="1" w:lastRow="0" w:firstColumn="1" w:lastColumn="0" w:noHBand="0" w:noVBand="1"/>
      </w:tblPr>
      <w:tblGrid>
        <w:gridCol w:w="2410"/>
        <w:gridCol w:w="6771"/>
      </w:tblGrid>
      <w:tr w:rsidR="00D21457" w:rsidRPr="00461C16" w14:paraId="20E371A3" w14:textId="77777777" w:rsidTr="00D21457">
        <w:trPr>
          <w:cantSplit/>
        </w:trPr>
        <w:tc>
          <w:tcPr>
            <w:tcW w:w="2410" w:type="dxa"/>
            <w:shd w:val="clear" w:color="auto" w:fill="auto"/>
          </w:tcPr>
          <w:p w14:paraId="2F0CAC8D" w14:textId="77777777" w:rsidR="00D21457" w:rsidRPr="00461C16" w:rsidRDefault="00D21457" w:rsidP="004B2D25">
            <w:pPr>
              <w:pStyle w:val="ListParagraph"/>
              <w:numPr>
                <w:ilvl w:val="0"/>
                <w:numId w:val="68"/>
              </w:numPr>
              <w:jc w:val="left"/>
              <w:rPr>
                <w:color w:val="000000"/>
                <w:sz w:val="20"/>
              </w:rPr>
            </w:pPr>
            <w:r w:rsidRPr="00461C16">
              <w:rPr>
                <w:color w:val="000000"/>
                <w:sz w:val="20"/>
              </w:rPr>
              <w:t>1.máje 127+128</w:t>
            </w:r>
          </w:p>
        </w:tc>
        <w:tc>
          <w:tcPr>
            <w:tcW w:w="6771" w:type="dxa"/>
            <w:shd w:val="clear" w:color="auto" w:fill="auto"/>
          </w:tcPr>
          <w:p w14:paraId="14447259" w14:textId="77777777" w:rsidR="00D21457" w:rsidRPr="00461C16" w:rsidRDefault="00D21457" w:rsidP="00D21457">
            <w:pPr>
              <w:jc w:val="left"/>
              <w:rPr>
                <w:color w:val="000000"/>
                <w:sz w:val="20"/>
              </w:rPr>
            </w:pPr>
            <w:r w:rsidRPr="00461C16">
              <w:rPr>
                <w:color w:val="000000"/>
                <w:sz w:val="20"/>
              </w:rPr>
              <w:t>historické městské bytové domy, zvýrazněná nároží, plastické nadokenní římsy a trojúhelníkový štít na průčelí</w:t>
            </w:r>
          </w:p>
        </w:tc>
      </w:tr>
      <w:tr w:rsidR="00D21457" w:rsidRPr="00461C16" w14:paraId="751020C3" w14:textId="77777777" w:rsidTr="00D21457">
        <w:trPr>
          <w:cantSplit/>
        </w:trPr>
        <w:tc>
          <w:tcPr>
            <w:tcW w:w="2410" w:type="dxa"/>
            <w:shd w:val="clear" w:color="auto" w:fill="auto"/>
          </w:tcPr>
          <w:p w14:paraId="508B419F" w14:textId="77777777" w:rsidR="00D21457" w:rsidRPr="00461C16" w:rsidRDefault="00D21457" w:rsidP="004B2D25">
            <w:pPr>
              <w:pStyle w:val="ListParagraph"/>
              <w:numPr>
                <w:ilvl w:val="0"/>
                <w:numId w:val="68"/>
              </w:numPr>
              <w:jc w:val="left"/>
              <w:rPr>
                <w:color w:val="000000"/>
                <w:sz w:val="20"/>
              </w:rPr>
            </w:pPr>
            <w:r w:rsidRPr="00461C16">
              <w:rPr>
                <w:color w:val="000000"/>
                <w:sz w:val="20"/>
              </w:rPr>
              <w:t>1.máje 329</w:t>
            </w:r>
          </w:p>
        </w:tc>
        <w:tc>
          <w:tcPr>
            <w:tcW w:w="6771" w:type="dxa"/>
            <w:shd w:val="clear" w:color="auto" w:fill="auto"/>
          </w:tcPr>
          <w:p w14:paraId="09614E93" w14:textId="77777777" w:rsidR="00D21457" w:rsidRPr="00461C16" w:rsidRDefault="00D21457" w:rsidP="00D21457">
            <w:pPr>
              <w:jc w:val="left"/>
              <w:rPr>
                <w:color w:val="000000"/>
                <w:sz w:val="20"/>
              </w:rPr>
            </w:pPr>
            <w:r w:rsidRPr="00461C16">
              <w:rPr>
                <w:color w:val="000000"/>
                <w:sz w:val="20"/>
              </w:rPr>
              <w:t>historický obytný dům z 2.pol.19.stol, na čelním průčelí trojúhelníkový štít, plastické nadokenní římsy</w:t>
            </w:r>
          </w:p>
        </w:tc>
      </w:tr>
      <w:tr w:rsidR="00D21457" w:rsidRPr="00461C16" w14:paraId="5D5882B9" w14:textId="77777777" w:rsidTr="00D21457">
        <w:trPr>
          <w:cantSplit/>
        </w:trPr>
        <w:tc>
          <w:tcPr>
            <w:tcW w:w="2410" w:type="dxa"/>
            <w:shd w:val="clear" w:color="auto" w:fill="auto"/>
          </w:tcPr>
          <w:p w14:paraId="06C5BDFF" w14:textId="77777777" w:rsidR="00D21457" w:rsidRPr="00461C16" w:rsidRDefault="00D21457" w:rsidP="004B2D25">
            <w:pPr>
              <w:pStyle w:val="ListParagraph"/>
              <w:numPr>
                <w:ilvl w:val="0"/>
                <w:numId w:val="68"/>
              </w:numPr>
              <w:jc w:val="left"/>
              <w:rPr>
                <w:color w:val="000000"/>
                <w:sz w:val="20"/>
              </w:rPr>
            </w:pPr>
            <w:r w:rsidRPr="00461C16">
              <w:rPr>
                <w:color w:val="000000"/>
                <w:sz w:val="20"/>
              </w:rPr>
              <w:t>Dolní náměstí 35</w:t>
            </w:r>
          </w:p>
        </w:tc>
        <w:tc>
          <w:tcPr>
            <w:tcW w:w="6771" w:type="dxa"/>
            <w:shd w:val="clear" w:color="auto" w:fill="auto"/>
          </w:tcPr>
          <w:p w14:paraId="6B169B81" w14:textId="77777777" w:rsidR="00D21457" w:rsidRPr="00461C16" w:rsidRDefault="00D21457" w:rsidP="00D21457">
            <w:pPr>
              <w:jc w:val="left"/>
              <w:rPr>
                <w:color w:val="000000"/>
                <w:sz w:val="20"/>
              </w:rPr>
            </w:pPr>
            <w:r w:rsidRPr="00461C16">
              <w:rPr>
                <w:color w:val="000000"/>
                <w:sz w:val="20"/>
              </w:rPr>
              <w:t>historický obytný dům s nárožní věží, obloukovými a trojúhelníkovými frontony nad okny a bohatou štukovou výzdobou fasády</w:t>
            </w:r>
          </w:p>
        </w:tc>
      </w:tr>
      <w:tr w:rsidR="00D21457" w:rsidRPr="00461C16" w14:paraId="0FFE217C" w14:textId="77777777" w:rsidTr="00D21457">
        <w:trPr>
          <w:cantSplit/>
        </w:trPr>
        <w:tc>
          <w:tcPr>
            <w:tcW w:w="2410" w:type="dxa"/>
            <w:shd w:val="clear" w:color="auto" w:fill="auto"/>
          </w:tcPr>
          <w:p w14:paraId="279BCB8D" w14:textId="77777777" w:rsidR="00D21457" w:rsidRPr="00461C16" w:rsidRDefault="00D21457" w:rsidP="004B2D25">
            <w:pPr>
              <w:pStyle w:val="ListParagraph"/>
              <w:numPr>
                <w:ilvl w:val="0"/>
                <w:numId w:val="68"/>
              </w:numPr>
              <w:jc w:val="left"/>
              <w:rPr>
                <w:color w:val="000000"/>
                <w:sz w:val="20"/>
              </w:rPr>
            </w:pPr>
            <w:r w:rsidRPr="00461C16">
              <w:rPr>
                <w:color w:val="000000"/>
                <w:sz w:val="20"/>
              </w:rPr>
              <w:t>Francouzská 193</w:t>
            </w:r>
          </w:p>
        </w:tc>
        <w:tc>
          <w:tcPr>
            <w:tcW w:w="6771" w:type="dxa"/>
            <w:shd w:val="clear" w:color="auto" w:fill="auto"/>
          </w:tcPr>
          <w:p w14:paraId="1EDC999F" w14:textId="77777777" w:rsidR="00D21457" w:rsidRPr="00461C16" w:rsidRDefault="00D21457" w:rsidP="00D21457">
            <w:pPr>
              <w:jc w:val="left"/>
              <w:rPr>
                <w:color w:val="000000"/>
                <w:sz w:val="20"/>
              </w:rPr>
            </w:pPr>
            <w:r w:rsidRPr="00461C16">
              <w:rPr>
                <w:color w:val="000000"/>
                <w:sz w:val="20"/>
              </w:rPr>
              <w:t>obytný dům s barokním štítem</w:t>
            </w:r>
          </w:p>
        </w:tc>
      </w:tr>
      <w:tr w:rsidR="00D21457" w:rsidRPr="00461C16" w14:paraId="35585EFC" w14:textId="77777777" w:rsidTr="00D21457">
        <w:trPr>
          <w:cantSplit/>
        </w:trPr>
        <w:tc>
          <w:tcPr>
            <w:tcW w:w="2410" w:type="dxa"/>
            <w:shd w:val="clear" w:color="auto" w:fill="auto"/>
          </w:tcPr>
          <w:p w14:paraId="235758C8" w14:textId="77777777" w:rsidR="00D21457" w:rsidRPr="00461C16" w:rsidRDefault="00D21457" w:rsidP="004B2D25">
            <w:pPr>
              <w:pStyle w:val="ListParagraph"/>
              <w:numPr>
                <w:ilvl w:val="0"/>
                <w:numId w:val="68"/>
              </w:numPr>
              <w:jc w:val="left"/>
              <w:rPr>
                <w:color w:val="000000"/>
                <w:sz w:val="20"/>
              </w:rPr>
            </w:pPr>
            <w:r w:rsidRPr="00461C16">
              <w:rPr>
                <w:color w:val="000000"/>
                <w:sz w:val="20"/>
              </w:rPr>
              <w:t>Gen. Svobody 282</w:t>
            </w:r>
          </w:p>
        </w:tc>
        <w:tc>
          <w:tcPr>
            <w:tcW w:w="6771" w:type="dxa"/>
            <w:shd w:val="clear" w:color="auto" w:fill="auto"/>
          </w:tcPr>
          <w:p w14:paraId="68F5B61D" w14:textId="77777777" w:rsidR="00D21457" w:rsidRPr="00461C16" w:rsidRDefault="00D21457" w:rsidP="00D21457">
            <w:pPr>
              <w:jc w:val="left"/>
              <w:rPr>
                <w:color w:val="000000"/>
                <w:sz w:val="20"/>
              </w:rPr>
            </w:pPr>
            <w:r w:rsidRPr="00461C16">
              <w:rPr>
                <w:color w:val="000000"/>
                <w:sz w:val="20"/>
              </w:rPr>
              <w:t>městská vila na půdorysu kříže, trojúhelníková průčelí, plastické nadokenní římsy</w:t>
            </w:r>
          </w:p>
        </w:tc>
      </w:tr>
      <w:tr w:rsidR="00D21457" w:rsidRPr="00461C16" w14:paraId="21F2E504" w14:textId="77777777" w:rsidTr="00D21457">
        <w:trPr>
          <w:cantSplit/>
        </w:trPr>
        <w:tc>
          <w:tcPr>
            <w:tcW w:w="2410" w:type="dxa"/>
            <w:shd w:val="clear" w:color="auto" w:fill="auto"/>
          </w:tcPr>
          <w:p w14:paraId="1A40CB55" w14:textId="77777777" w:rsidR="00D21457" w:rsidRPr="00461C16" w:rsidRDefault="00D21457" w:rsidP="004B2D25">
            <w:pPr>
              <w:pStyle w:val="ListParagraph"/>
              <w:numPr>
                <w:ilvl w:val="0"/>
                <w:numId w:val="68"/>
              </w:numPr>
              <w:jc w:val="left"/>
              <w:rPr>
                <w:color w:val="000000"/>
                <w:sz w:val="20"/>
              </w:rPr>
            </w:pPr>
            <w:r w:rsidRPr="00461C16">
              <w:rPr>
                <w:color w:val="000000"/>
                <w:sz w:val="20"/>
              </w:rPr>
              <w:t>Gen. Svobody 344 (západní objekt)</w:t>
            </w:r>
          </w:p>
        </w:tc>
        <w:tc>
          <w:tcPr>
            <w:tcW w:w="6771" w:type="dxa"/>
            <w:shd w:val="clear" w:color="auto" w:fill="auto"/>
          </w:tcPr>
          <w:p w14:paraId="42C530EE" w14:textId="77777777" w:rsidR="00D21457" w:rsidRPr="00461C16" w:rsidRDefault="00D21457" w:rsidP="00D21457">
            <w:pPr>
              <w:jc w:val="left"/>
              <w:rPr>
                <w:color w:val="000000"/>
                <w:sz w:val="20"/>
              </w:rPr>
            </w:pPr>
            <w:r w:rsidRPr="00461C16">
              <w:rPr>
                <w:color w:val="000000"/>
                <w:sz w:val="20"/>
              </w:rPr>
              <w:t>historický bytový dům s plasticky zvýrazněným nárožím a nadokenními římsami</w:t>
            </w:r>
          </w:p>
        </w:tc>
      </w:tr>
      <w:tr w:rsidR="00D21457" w:rsidRPr="00461C16" w14:paraId="256F3FD1" w14:textId="77777777" w:rsidTr="00D21457">
        <w:trPr>
          <w:cantSplit/>
        </w:trPr>
        <w:tc>
          <w:tcPr>
            <w:tcW w:w="2410" w:type="dxa"/>
            <w:shd w:val="clear" w:color="auto" w:fill="auto"/>
          </w:tcPr>
          <w:p w14:paraId="7E489A06" w14:textId="77777777" w:rsidR="00D21457" w:rsidRPr="00461C16" w:rsidRDefault="00D21457" w:rsidP="004B2D25">
            <w:pPr>
              <w:pStyle w:val="ListParagraph"/>
              <w:numPr>
                <w:ilvl w:val="0"/>
                <w:numId w:val="68"/>
              </w:numPr>
              <w:jc w:val="left"/>
              <w:rPr>
                <w:color w:val="000000"/>
                <w:sz w:val="20"/>
              </w:rPr>
            </w:pPr>
            <w:r w:rsidRPr="00461C16">
              <w:rPr>
                <w:color w:val="000000"/>
                <w:sz w:val="20"/>
              </w:rPr>
              <w:t>Grabštejnská 430</w:t>
            </w:r>
          </w:p>
        </w:tc>
        <w:tc>
          <w:tcPr>
            <w:tcW w:w="6771" w:type="dxa"/>
            <w:shd w:val="clear" w:color="auto" w:fill="auto"/>
          </w:tcPr>
          <w:p w14:paraId="4249D4A3" w14:textId="77777777" w:rsidR="00D21457" w:rsidRPr="00461C16" w:rsidRDefault="00D21457" w:rsidP="00D21457">
            <w:pPr>
              <w:jc w:val="left"/>
              <w:rPr>
                <w:color w:val="000000"/>
                <w:sz w:val="20"/>
              </w:rPr>
            </w:pPr>
            <w:r w:rsidRPr="00461C16">
              <w:rPr>
                <w:color w:val="000000"/>
                <w:sz w:val="20"/>
              </w:rPr>
              <w:t>výrobní areál společnosti Propos - Prouza, dekorativní architektura přelomu 19. a 20.století</w:t>
            </w:r>
          </w:p>
        </w:tc>
      </w:tr>
      <w:tr w:rsidR="00D21457" w:rsidRPr="00461C16" w14:paraId="19CFA476" w14:textId="77777777" w:rsidTr="00D21457">
        <w:trPr>
          <w:cantSplit/>
        </w:trPr>
        <w:tc>
          <w:tcPr>
            <w:tcW w:w="2410" w:type="dxa"/>
            <w:shd w:val="clear" w:color="auto" w:fill="auto"/>
          </w:tcPr>
          <w:p w14:paraId="37EFFD28" w14:textId="77777777" w:rsidR="00D21457" w:rsidRPr="00461C16" w:rsidRDefault="00D21457" w:rsidP="004B2D25">
            <w:pPr>
              <w:pStyle w:val="ListParagraph"/>
              <w:numPr>
                <w:ilvl w:val="0"/>
                <w:numId w:val="68"/>
              </w:numPr>
              <w:jc w:val="left"/>
              <w:rPr>
                <w:color w:val="000000"/>
                <w:sz w:val="20"/>
              </w:rPr>
            </w:pPr>
            <w:r w:rsidRPr="00461C16">
              <w:rPr>
                <w:color w:val="000000"/>
                <w:sz w:val="20"/>
              </w:rPr>
              <w:t>Hradební 375</w:t>
            </w:r>
          </w:p>
        </w:tc>
        <w:tc>
          <w:tcPr>
            <w:tcW w:w="6771" w:type="dxa"/>
            <w:shd w:val="clear" w:color="auto" w:fill="auto"/>
          </w:tcPr>
          <w:p w14:paraId="0CCFC545" w14:textId="77777777" w:rsidR="00D21457" w:rsidRPr="00461C16" w:rsidRDefault="00D21457" w:rsidP="00D21457">
            <w:pPr>
              <w:jc w:val="left"/>
              <w:rPr>
                <w:color w:val="000000"/>
                <w:sz w:val="20"/>
              </w:rPr>
            </w:pPr>
            <w:r w:rsidRPr="00461C16">
              <w:rPr>
                <w:color w:val="000000"/>
                <w:sz w:val="20"/>
              </w:rPr>
              <w:t>městský dům se zvýrazněným nárožím i ostěním oken a plastickými nadokenními římsami</w:t>
            </w:r>
          </w:p>
        </w:tc>
      </w:tr>
      <w:tr w:rsidR="00D21457" w:rsidRPr="00461C16" w14:paraId="48CA2572" w14:textId="77777777" w:rsidTr="00D21457">
        <w:trPr>
          <w:cantSplit/>
        </w:trPr>
        <w:tc>
          <w:tcPr>
            <w:tcW w:w="2410" w:type="dxa"/>
            <w:shd w:val="clear" w:color="auto" w:fill="auto"/>
          </w:tcPr>
          <w:p w14:paraId="4DE505C7" w14:textId="77777777" w:rsidR="00D21457" w:rsidRPr="00461C16" w:rsidRDefault="00D21457" w:rsidP="004B2D25">
            <w:pPr>
              <w:pStyle w:val="ListParagraph"/>
              <w:numPr>
                <w:ilvl w:val="0"/>
                <w:numId w:val="68"/>
              </w:numPr>
              <w:jc w:val="left"/>
              <w:rPr>
                <w:color w:val="000000"/>
                <w:sz w:val="20"/>
              </w:rPr>
            </w:pPr>
            <w:r w:rsidRPr="00461C16">
              <w:rPr>
                <w:color w:val="000000"/>
                <w:sz w:val="20"/>
              </w:rPr>
              <w:t>Husova 196</w:t>
            </w:r>
          </w:p>
        </w:tc>
        <w:tc>
          <w:tcPr>
            <w:tcW w:w="6771" w:type="dxa"/>
            <w:shd w:val="clear" w:color="auto" w:fill="auto"/>
          </w:tcPr>
          <w:p w14:paraId="661B84FF" w14:textId="77777777" w:rsidR="00D21457" w:rsidRPr="00461C16" w:rsidRDefault="00D21457" w:rsidP="00D21457">
            <w:pPr>
              <w:jc w:val="left"/>
              <w:rPr>
                <w:color w:val="000000"/>
                <w:sz w:val="20"/>
              </w:rPr>
            </w:pPr>
            <w:r w:rsidRPr="00461C16">
              <w:rPr>
                <w:color w:val="000000"/>
                <w:sz w:val="20"/>
              </w:rPr>
              <w:t>městská vila s nárožní věží a rizalitem zakončeným stupňovitým obloučkovým štítem, režné zdivo s kamenným ostěním oken (dnes služebna Policie ČR)</w:t>
            </w:r>
          </w:p>
        </w:tc>
      </w:tr>
      <w:tr w:rsidR="00D21457" w:rsidRPr="00461C16" w14:paraId="29567B34" w14:textId="77777777" w:rsidTr="00D21457">
        <w:trPr>
          <w:cantSplit/>
        </w:trPr>
        <w:tc>
          <w:tcPr>
            <w:tcW w:w="2410" w:type="dxa"/>
            <w:shd w:val="clear" w:color="auto" w:fill="auto"/>
          </w:tcPr>
          <w:p w14:paraId="0E0B5518" w14:textId="77777777" w:rsidR="00D21457" w:rsidRPr="00461C16" w:rsidRDefault="00D21457" w:rsidP="004B2D25">
            <w:pPr>
              <w:pStyle w:val="ListParagraph"/>
              <w:numPr>
                <w:ilvl w:val="0"/>
                <w:numId w:val="68"/>
              </w:numPr>
              <w:jc w:val="left"/>
              <w:rPr>
                <w:color w:val="000000"/>
                <w:sz w:val="20"/>
              </w:rPr>
            </w:pPr>
            <w:r w:rsidRPr="00461C16">
              <w:rPr>
                <w:color w:val="000000"/>
                <w:sz w:val="20"/>
              </w:rPr>
              <w:t>Husova 312</w:t>
            </w:r>
          </w:p>
        </w:tc>
        <w:tc>
          <w:tcPr>
            <w:tcW w:w="6771" w:type="dxa"/>
            <w:shd w:val="clear" w:color="auto" w:fill="auto"/>
          </w:tcPr>
          <w:p w14:paraId="63CC228E" w14:textId="77777777" w:rsidR="00D21457" w:rsidRPr="00461C16" w:rsidRDefault="00D21457" w:rsidP="00D21457">
            <w:pPr>
              <w:jc w:val="left"/>
              <w:rPr>
                <w:color w:val="000000"/>
                <w:sz w:val="20"/>
              </w:rPr>
            </w:pPr>
            <w:r w:rsidRPr="00461C16">
              <w:rPr>
                <w:color w:val="000000"/>
                <w:sz w:val="20"/>
              </w:rPr>
              <w:t>městská vila s dřevěným štítem a dekorativní řezbou na předsazené sedlové střeše</w:t>
            </w:r>
          </w:p>
        </w:tc>
      </w:tr>
      <w:tr w:rsidR="00D21457" w:rsidRPr="00461C16" w14:paraId="023CDC46" w14:textId="77777777" w:rsidTr="00D21457">
        <w:trPr>
          <w:cantSplit/>
        </w:trPr>
        <w:tc>
          <w:tcPr>
            <w:tcW w:w="2410" w:type="dxa"/>
            <w:shd w:val="clear" w:color="auto" w:fill="auto"/>
          </w:tcPr>
          <w:p w14:paraId="75C136A8" w14:textId="77777777" w:rsidR="00D21457" w:rsidRPr="00461C16" w:rsidRDefault="00D21457" w:rsidP="004B2D25">
            <w:pPr>
              <w:pStyle w:val="ListParagraph"/>
              <w:numPr>
                <w:ilvl w:val="0"/>
                <w:numId w:val="68"/>
              </w:numPr>
              <w:jc w:val="left"/>
              <w:rPr>
                <w:color w:val="000000"/>
                <w:sz w:val="20"/>
              </w:rPr>
            </w:pPr>
            <w:r w:rsidRPr="00461C16">
              <w:rPr>
                <w:color w:val="000000"/>
                <w:sz w:val="20"/>
              </w:rPr>
              <w:t>Husova 387</w:t>
            </w:r>
          </w:p>
        </w:tc>
        <w:tc>
          <w:tcPr>
            <w:tcW w:w="6771" w:type="dxa"/>
            <w:shd w:val="clear" w:color="auto" w:fill="auto"/>
          </w:tcPr>
          <w:p w14:paraId="105AB0CA" w14:textId="77777777" w:rsidR="00D21457" w:rsidRPr="00461C16" w:rsidRDefault="00D21457" w:rsidP="00D21457">
            <w:pPr>
              <w:jc w:val="left"/>
              <w:rPr>
                <w:color w:val="000000"/>
                <w:sz w:val="20"/>
              </w:rPr>
            </w:pPr>
            <w:r w:rsidRPr="00461C16">
              <w:rPr>
                <w:color w:val="000000"/>
                <w:sz w:val="20"/>
              </w:rPr>
              <w:t>bývalý výrobní objekt s fasádou z režného zdiva (dnes bytový dům)</w:t>
            </w:r>
          </w:p>
        </w:tc>
      </w:tr>
      <w:tr w:rsidR="00D21457" w:rsidRPr="00461C16" w14:paraId="0A891CD7" w14:textId="77777777" w:rsidTr="00D21457">
        <w:trPr>
          <w:cantSplit/>
        </w:trPr>
        <w:tc>
          <w:tcPr>
            <w:tcW w:w="2410" w:type="dxa"/>
            <w:shd w:val="clear" w:color="auto" w:fill="auto"/>
          </w:tcPr>
          <w:p w14:paraId="73DB2751"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Husova 714 / Za poštou </w:t>
            </w:r>
          </w:p>
        </w:tc>
        <w:tc>
          <w:tcPr>
            <w:tcW w:w="6771" w:type="dxa"/>
            <w:shd w:val="clear" w:color="auto" w:fill="auto"/>
          </w:tcPr>
          <w:p w14:paraId="39804FFB" w14:textId="77777777" w:rsidR="00D21457" w:rsidRPr="00461C16" w:rsidRDefault="00D21457" w:rsidP="00D21457">
            <w:pPr>
              <w:jc w:val="left"/>
              <w:rPr>
                <w:color w:val="000000"/>
                <w:sz w:val="20"/>
              </w:rPr>
            </w:pPr>
            <w:r w:rsidRPr="00461C16">
              <w:rPr>
                <w:color w:val="000000"/>
                <w:sz w:val="20"/>
              </w:rPr>
              <w:t>historický výrobní objekt z 2. pol. 19. století s fasádou z režného zdiva a plastickým vlysem pod korunní římsou (dnešní areál firmy S.A.D.A.C.)</w:t>
            </w:r>
          </w:p>
        </w:tc>
      </w:tr>
      <w:tr w:rsidR="00D21457" w:rsidRPr="00461C16" w14:paraId="5A2A9A07" w14:textId="77777777" w:rsidTr="00D21457">
        <w:trPr>
          <w:cantSplit/>
        </w:trPr>
        <w:tc>
          <w:tcPr>
            <w:tcW w:w="2410" w:type="dxa"/>
            <w:shd w:val="clear" w:color="auto" w:fill="auto"/>
          </w:tcPr>
          <w:p w14:paraId="4924109D" w14:textId="77777777" w:rsidR="00D21457" w:rsidRPr="00461C16" w:rsidRDefault="00D21457" w:rsidP="004B2D25">
            <w:pPr>
              <w:pStyle w:val="ListParagraph"/>
              <w:numPr>
                <w:ilvl w:val="0"/>
                <w:numId w:val="68"/>
              </w:numPr>
              <w:jc w:val="left"/>
              <w:rPr>
                <w:color w:val="000000"/>
                <w:sz w:val="20"/>
              </w:rPr>
            </w:pPr>
            <w:r w:rsidRPr="00461C16">
              <w:rPr>
                <w:color w:val="000000"/>
                <w:sz w:val="20"/>
              </w:rPr>
              <w:t>Jílová 554</w:t>
            </w:r>
          </w:p>
        </w:tc>
        <w:tc>
          <w:tcPr>
            <w:tcW w:w="6771" w:type="dxa"/>
            <w:shd w:val="clear" w:color="auto" w:fill="auto"/>
          </w:tcPr>
          <w:p w14:paraId="079E2CD5" w14:textId="77777777" w:rsidR="00D21457" w:rsidRPr="00461C16" w:rsidRDefault="00D21457" w:rsidP="00D21457">
            <w:pPr>
              <w:jc w:val="left"/>
              <w:rPr>
                <w:color w:val="000000"/>
                <w:sz w:val="20"/>
              </w:rPr>
            </w:pPr>
            <w:r w:rsidRPr="00461C16">
              <w:rPr>
                <w:color w:val="000000"/>
                <w:sz w:val="20"/>
              </w:rPr>
              <w:t>rodinný dům s dřevěným štítem s šikmým barevně zdobeným bedněním</w:t>
            </w:r>
          </w:p>
        </w:tc>
      </w:tr>
      <w:tr w:rsidR="00D21457" w:rsidRPr="00461C16" w14:paraId="2436E7A6" w14:textId="77777777" w:rsidTr="00D21457">
        <w:trPr>
          <w:cantSplit/>
        </w:trPr>
        <w:tc>
          <w:tcPr>
            <w:tcW w:w="2410" w:type="dxa"/>
            <w:shd w:val="clear" w:color="auto" w:fill="auto"/>
          </w:tcPr>
          <w:p w14:paraId="2F63F6A8" w14:textId="77777777" w:rsidR="00D21457" w:rsidRPr="00461C16" w:rsidRDefault="00D21457" w:rsidP="004B2D25">
            <w:pPr>
              <w:pStyle w:val="ListParagraph"/>
              <w:numPr>
                <w:ilvl w:val="0"/>
                <w:numId w:val="68"/>
              </w:numPr>
              <w:jc w:val="left"/>
              <w:rPr>
                <w:color w:val="000000"/>
                <w:sz w:val="20"/>
              </w:rPr>
            </w:pPr>
            <w:r w:rsidRPr="00461C16">
              <w:rPr>
                <w:color w:val="000000"/>
                <w:sz w:val="20"/>
              </w:rPr>
              <w:t>Jiřího z Poděbrad 55</w:t>
            </w:r>
          </w:p>
        </w:tc>
        <w:tc>
          <w:tcPr>
            <w:tcW w:w="6771" w:type="dxa"/>
            <w:shd w:val="clear" w:color="auto" w:fill="auto"/>
          </w:tcPr>
          <w:p w14:paraId="28FA4507" w14:textId="77777777" w:rsidR="00D21457" w:rsidRPr="00461C16" w:rsidRDefault="00D21457" w:rsidP="00D21457">
            <w:pPr>
              <w:jc w:val="left"/>
              <w:rPr>
                <w:color w:val="000000"/>
                <w:sz w:val="20"/>
              </w:rPr>
            </w:pPr>
            <w:r w:rsidRPr="00461C16">
              <w:rPr>
                <w:color w:val="000000"/>
                <w:sz w:val="20"/>
              </w:rPr>
              <w:t>historický obytný dům se sdruženými okny, plastickými okenními římsami se štukovým dekorem</w:t>
            </w:r>
          </w:p>
        </w:tc>
      </w:tr>
      <w:tr w:rsidR="00D21457" w:rsidRPr="00461C16" w14:paraId="45B0D5EF" w14:textId="77777777" w:rsidTr="00D21457">
        <w:trPr>
          <w:cantSplit/>
        </w:trPr>
        <w:tc>
          <w:tcPr>
            <w:tcW w:w="2410" w:type="dxa"/>
            <w:shd w:val="clear" w:color="auto" w:fill="auto"/>
          </w:tcPr>
          <w:p w14:paraId="6961976E" w14:textId="77777777" w:rsidR="00D21457" w:rsidRPr="00461C16" w:rsidRDefault="00D21457" w:rsidP="004B2D25">
            <w:pPr>
              <w:pStyle w:val="ListParagraph"/>
              <w:numPr>
                <w:ilvl w:val="0"/>
                <w:numId w:val="68"/>
              </w:numPr>
              <w:jc w:val="left"/>
              <w:rPr>
                <w:color w:val="000000"/>
                <w:sz w:val="20"/>
              </w:rPr>
            </w:pPr>
            <w:r w:rsidRPr="00461C16">
              <w:rPr>
                <w:color w:val="000000"/>
                <w:sz w:val="20"/>
              </w:rPr>
              <w:t>Jižní 210</w:t>
            </w:r>
          </w:p>
        </w:tc>
        <w:tc>
          <w:tcPr>
            <w:tcW w:w="6771" w:type="dxa"/>
            <w:shd w:val="clear" w:color="auto" w:fill="auto"/>
          </w:tcPr>
          <w:p w14:paraId="5FFB45C7" w14:textId="77777777" w:rsidR="00D21457" w:rsidRPr="00461C16" w:rsidRDefault="00D21457" w:rsidP="00D21457">
            <w:pPr>
              <w:jc w:val="left"/>
              <w:rPr>
                <w:color w:val="000000"/>
                <w:sz w:val="20"/>
              </w:rPr>
            </w:pPr>
            <w:r w:rsidRPr="00461C16">
              <w:rPr>
                <w:color w:val="000000"/>
                <w:sz w:val="20"/>
              </w:rPr>
              <w:t>správní objekt výrobního areálu z 2. pol. 19.stol, režné zdivo, průběžné plastické dekorativní římsy mezi patry</w:t>
            </w:r>
          </w:p>
        </w:tc>
      </w:tr>
      <w:tr w:rsidR="00D21457" w:rsidRPr="00461C16" w14:paraId="05153062" w14:textId="77777777" w:rsidTr="00D21457">
        <w:trPr>
          <w:cantSplit/>
        </w:trPr>
        <w:tc>
          <w:tcPr>
            <w:tcW w:w="2410" w:type="dxa"/>
            <w:shd w:val="clear" w:color="auto" w:fill="auto"/>
          </w:tcPr>
          <w:p w14:paraId="2C0C0838" w14:textId="77777777" w:rsidR="00D21457" w:rsidRPr="00461C16" w:rsidRDefault="00D21457" w:rsidP="004B2D25">
            <w:pPr>
              <w:pStyle w:val="ListParagraph"/>
              <w:numPr>
                <w:ilvl w:val="0"/>
                <w:numId w:val="68"/>
              </w:numPr>
              <w:jc w:val="left"/>
              <w:rPr>
                <w:color w:val="000000"/>
                <w:sz w:val="20"/>
              </w:rPr>
            </w:pPr>
            <w:r w:rsidRPr="00461C16">
              <w:rPr>
                <w:color w:val="000000"/>
                <w:sz w:val="20"/>
              </w:rPr>
              <w:t>Jižní 320</w:t>
            </w:r>
          </w:p>
        </w:tc>
        <w:tc>
          <w:tcPr>
            <w:tcW w:w="6771" w:type="dxa"/>
            <w:shd w:val="clear" w:color="auto" w:fill="auto"/>
          </w:tcPr>
          <w:p w14:paraId="64A41060" w14:textId="77777777" w:rsidR="00D21457" w:rsidRPr="00461C16" w:rsidRDefault="00D21457" w:rsidP="00D21457">
            <w:pPr>
              <w:jc w:val="left"/>
              <w:rPr>
                <w:color w:val="000000"/>
                <w:sz w:val="20"/>
              </w:rPr>
            </w:pPr>
            <w:r w:rsidRPr="00461C16">
              <w:rPr>
                <w:color w:val="000000"/>
                <w:sz w:val="20"/>
              </w:rPr>
              <w:t>rodinný dům s dřevěným dekorem na předsazené střeše, plasticky členěnými vertikálními lizénami a zvýrazněnými šambránami oken s evokací centrálního klenáku</w:t>
            </w:r>
          </w:p>
        </w:tc>
      </w:tr>
      <w:tr w:rsidR="00D21457" w:rsidRPr="00461C16" w14:paraId="123F93B2" w14:textId="77777777" w:rsidTr="00D21457">
        <w:trPr>
          <w:cantSplit/>
        </w:trPr>
        <w:tc>
          <w:tcPr>
            <w:tcW w:w="2410" w:type="dxa"/>
            <w:shd w:val="clear" w:color="auto" w:fill="auto"/>
          </w:tcPr>
          <w:p w14:paraId="18EDDC99" w14:textId="77777777" w:rsidR="00D21457" w:rsidRPr="00461C16" w:rsidRDefault="00D21457" w:rsidP="004B2D25">
            <w:pPr>
              <w:pStyle w:val="ListParagraph"/>
              <w:numPr>
                <w:ilvl w:val="0"/>
                <w:numId w:val="68"/>
              </w:numPr>
              <w:jc w:val="left"/>
              <w:rPr>
                <w:color w:val="000000"/>
                <w:sz w:val="20"/>
              </w:rPr>
            </w:pPr>
            <w:r w:rsidRPr="00461C16">
              <w:rPr>
                <w:color w:val="000000"/>
                <w:sz w:val="20"/>
              </w:rPr>
              <w:t>K bytovkám 142+197</w:t>
            </w:r>
          </w:p>
        </w:tc>
        <w:tc>
          <w:tcPr>
            <w:tcW w:w="6771" w:type="dxa"/>
            <w:shd w:val="clear" w:color="auto" w:fill="auto"/>
          </w:tcPr>
          <w:p w14:paraId="78348783" w14:textId="77777777" w:rsidR="00D21457" w:rsidRPr="00461C16" w:rsidRDefault="00D21457" w:rsidP="00D21457">
            <w:pPr>
              <w:jc w:val="left"/>
              <w:rPr>
                <w:color w:val="000000"/>
                <w:sz w:val="20"/>
              </w:rPr>
            </w:pPr>
            <w:r w:rsidRPr="00461C16">
              <w:rPr>
                <w:color w:val="000000"/>
                <w:sz w:val="20"/>
              </w:rPr>
              <w:t>bytové domy s plastickou dekorativní fasádou z režného zdiva</w:t>
            </w:r>
          </w:p>
        </w:tc>
      </w:tr>
      <w:tr w:rsidR="00D21457" w:rsidRPr="00461C16" w14:paraId="0EDE3FA4" w14:textId="77777777" w:rsidTr="00D21457">
        <w:trPr>
          <w:cantSplit/>
        </w:trPr>
        <w:tc>
          <w:tcPr>
            <w:tcW w:w="2410" w:type="dxa"/>
            <w:shd w:val="clear" w:color="auto" w:fill="auto"/>
          </w:tcPr>
          <w:p w14:paraId="2C11C4BE" w14:textId="77777777" w:rsidR="00D21457" w:rsidRPr="00461C16" w:rsidRDefault="00D21457" w:rsidP="004B2D25">
            <w:pPr>
              <w:pStyle w:val="ListParagraph"/>
              <w:numPr>
                <w:ilvl w:val="0"/>
                <w:numId w:val="68"/>
              </w:numPr>
              <w:jc w:val="left"/>
              <w:rPr>
                <w:color w:val="000000"/>
                <w:sz w:val="20"/>
              </w:rPr>
            </w:pPr>
            <w:r w:rsidRPr="00461C16">
              <w:rPr>
                <w:color w:val="000000"/>
                <w:sz w:val="20"/>
              </w:rPr>
              <w:t>Kamenná 220</w:t>
            </w:r>
          </w:p>
        </w:tc>
        <w:tc>
          <w:tcPr>
            <w:tcW w:w="6771" w:type="dxa"/>
            <w:shd w:val="clear" w:color="auto" w:fill="auto"/>
          </w:tcPr>
          <w:p w14:paraId="40B585E4" w14:textId="77777777" w:rsidR="00D21457" w:rsidRPr="00461C16" w:rsidRDefault="00D21457" w:rsidP="00D21457">
            <w:pPr>
              <w:jc w:val="left"/>
              <w:rPr>
                <w:color w:val="000000"/>
                <w:sz w:val="20"/>
              </w:rPr>
            </w:pPr>
            <w:r w:rsidRPr="00461C16">
              <w:rPr>
                <w:color w:val="000000"/>
                <w:sz w:val="20"/>
              </w:rPr>
              <w:t>venkovské stavení s ornamentálním štítem z břidlicových šupin</w:t>
            </w:r>
          </w:p>
        </w:tc>
      </w:tr>
      <w:tr w:rsidR="00D21457" w:rsidRPr="00461C16" w14:paraId="29BF6467" w14:textId="77777777" w:rsidTr="00D21457">
        <w:trPr>
          <w:cantSplit/>
        </w:trPr>
        <w:tc>
          <w:tcPr>
            <w:tcW w:w="2410" w:type="dxa"/>
            <w:shd w:val="clear" w:color="auto" w:fill="auto"/>
          </w:tcPr>
          <w:p w14:paraId="7F3C38D0" w14:textId="77777777" w:rsidR="00D21457" w:rsidRPr="00461C16" w:rsidRDefault="00D21457" w:rsidP="004B2D25">
            <w:pPr>
              <w:pStyle w:val="ListParagraph"/>
              <w:numPr>
                <w:ilvl w:val="0"/>
                <w:numId w:val="68"/>
              </w:numPr>
              <w:jc w:val="left"/>
              <w:rPr>
                <w:color w:val="000000"/>
                <w:sz w:val="20"/>
              </w:rPr>
            </w:pPr>
            <w:r w:rsidRPr="00461C16">
              <w:rPr>
                <w:color w:val="000000"/>
                <w:sz w:val="20"/>
              </w:rPr>
              <w:t>Legionářská 26</w:t>
            </w:r>
          </w:p>
        </w:tc>
        <w:tc>
          <w:tcPr>
            <w:tcW w:w="6771" w:type="dxa"/>
            <w:shd w:val="clear" w:color="auto" w:fill="auto"/>
          </w:tcPr>
          <w:p w14:paraId="445C7348" w14:textId="77777777" w:rsidR="00D21457" w:rsidRPr="00461C16" w:rsidRDefault="00D21457" w:rsidP="00D21457">
            <w:pPr>
              <w:jc w:val="left"/>
              <w:rPr>
                <w:color w:val="000000"/>
                <w:sz w:val="20"/>
              </w:rPr>
            </w:pPr>
            <w:r w:rsidRPr="00461C16">
              <w:rPr>
                <w:color w:val="000000"/>
                <w:sz w:val="20"/>
              </w:rPr>
              <w:t>venkovské stavení s roubeným přízemím a hrázděnou konstrukcí patra</w:t>
            </w:r>
          </w:p>
        </w:tc>
      </w:tr>
      <w:tr w:rsidR="00D21457" w:rsidRPr="00461C16" w14:paraId="3472F8BD" w14:textId="77777777" w:rsidTr="00D21457">
        <w:trPr>
          <w:cantSplit/>
        </w:trPr>
        <w:tc>
          <w:tcPr>
            <w:tcW w:w="2410" w:type="dxa"/>
            <w:shd w:val="clear" w:color="auto" w:fill="auto"/>
          </w:tcPr>
          <w:p w14:paraId="2E7B95B1" w14:textId="77777777" w:rsidR="00D21457" w:rsidRPr="00461C16" w:rsidRDefault="00D21457" w:rsidP="004B2D25">
            <w:pPr>
              <w:pStyle w:val="ListParagraph"/>
              <w:numPr>
                <w:ilvl w:val="0"/>
                <w:numId w:val="68"/>
              </w:numPr>
              <w:jc w:val="left"/>
              <w:rPr>
                <w:color w:val="000000"/>
                <w:sz w:val="20"/>
              </w:rPr>
            </w:pPr>
            <w:r w:rsidRPr="00461C16">
              <w:rPr>
                <w:color w:val="000000"/>
                <w:sz w:val="20"/>
              </w:rPr>
              <w:t>Legionářská 803</w:t>
            </w:r>
          </w:p>
        </w:tc>
        <w:tc>
          <w:tcPr>
            <w:tcW w:w="6771" w:type="dxa"/>
            <w:shd w:val="clear" w:color="auto" w:fill="auto"/>
          </w:tcPr>
          <w:p w14:paraId="562A6BB6" w14:textId="77777777" w:rsidR="00D21457" w:rsidRPr="00461C16" w:rsidRDefault="00D21457" w:rsidP="00D21457">
            <w:pPr>
              <w:jc w:val="left"/>
              <w:rPr>
                <w:color w:val="000000"/>
                <w:sz w:val="20"/>
              </w:rPr>
            </w:pPr>
            <w:r w:rsidRPr="00461C16">
              <w:rPr>
                <w:color w:val="000000"/>
                <w:sz w:val="20"/>
              </w:rPr>
              <w:t>výrobní objekt z režného zdiva, dekorativní vlys pod korunní římsou, okenní otvory zakončené obloukem</w:t>
            </w:r>
          </w:p>
        </w:tc>
      </w:tr>
      <w:tr w:rsidR="00D21457" w:rsidRPr="00461C16" w14:paraId="41CC9D8E" w14:textId="77777777" w:rsidTr="00D21457">
        <w:trPr>
          <w:cantSplit/>
        </w:trPr>
        <w:tc>
          <w:tcPr>
            <w:tcW w:w="2410" w:type="dxa"/>
            <w:shd w:val="clear" w:color="auto" w:fill="auto"/>
          </w:tcPr>
          <w:p w14:paraId="39BD3969" w14:textId="77777777" w:rsidR="00D21457" w:rsidRPr="00461C16" w:rsidRDefault="00D21457" w:rsidP="004B2D25">
            <w:pPr>
              <w:pStyle w:val="ListParagraph"/>
              <w:numPr>
                <w:ilvl w:val="0"/>
                <w:numId w:val="68"/>
              </w:numPr>
              <w:jc w:val="left"/>
              <w:rPr>
                <w:color w:val="000000"/>
                <w:sz w:val="20"/>
              </w:rPr>
            </w:pPr>
            <w:r w:rsidRPr="00461C16">
              <w:rPr>
                <w:color w:val="000000"/>
                <w:sz w:val="20"/>
              </w:rPr>
              <w:t>Liberecká 275, 398 a objekt na parcele 567/8 bez čp.</w:t>
            </w:r>
          </w:p>
        </w:tc>
        <w:tc>
          <w:tcPr>
            <w:tcW w:w="6771" w:type="dxa"/>
            <w:shd w:val="clear" w:color="auto" w:fill="auto"/>
          </w:tcPr>
          <w:p w14:paraId="2B504750" w14:textId="2792B341" w:rsidR="00D21457" w:rsidRPr="00461C16" w:rsidRDefault="00D21457">
            <w:pPr>
              <w:jc w:val="left"/>
              <w:rPr>
                <w:color w:val="000000"/>
                <w:sz w:val="20"/>
              </w:rPr>
            </w:pPr>
            <w:r w:rsidRPr="00461C16">
              <w:rPr>
                <w:color w:val="000000"/>
                <w:sz w:val="20"/>
              </w:rPr>
              <w:t>městské vily s dekorativními štíty na průčelí</w:t>
            </w:r>
          </w:p>
        </w:tc>
      </w:tr>
      <w:tr w:rsidR="00D21457" w:rsidRPr="00461C16" w14:paraId="03C3B15B" w14:textId="77777777" w:rsidTr="00D21457">
        <w:trPr>
          <w:cantSplit/>
        </w:trPr>
        <w:tc>
          <w:tcPr>
            <w:tcW w:w="2410" w:type="dxa"/>
            <w:shd w:val="clear" w:color="auto" w:fill="auto"/>
          </w:tcPr>
          <w:p w14:paraId="61C53417" w14:textId="77777777" w:rsidR="00D21457" w:rsidRPr="00461C16" w:rsidRDefault="00D21457" w:rsidP="004B2D25">
            <w:pPr>
              <w:pStyle w:val="ListParagraph"/>
              <w:numPr>
                <w:ilvl w:val="0"/>
                <w:numId w:val="68"/>
              </w:numPr>
              <w:jc w:val="left"/>
              <w:rPr>
                <w:color w:val="000000"/>
                <w:sz w:val="20"/>
              </w:rPr>
            </w:pPr>
            <w:r w:rsidRPr="00461C16">
              <w:rPr>
                <w:color w:val="000000"/>
                <w:sz w:val="20"/>
              </w:rPr>
              <w:t>Liberecká 382</w:t>
            </w:r>
          </w:p>
        </w:tc>
        <w:tc>
          <w:tcPr>
            <w:tcW w:w="6771" w:type="dxa"/>
            <w:shd w:val="clear" w:color="auto" w:fill="auto"/>
          </w:tcPr>
          <w:p w14:paraId="656C3896" w14:textId="77777777" w:rsidR="00D21457" w:rsidRPr="00461C16" w:rsidRDefault="00D21457" w:rsidP="00892A87">
            <w:pPr>
              <w:jc w:val="left"/>
              <w:rPr>
                <w:color w:val="000000"/>
                <w:sz w:val="20"/>
              </w:rPr>
            </w:pPr>
            <w:r w:rsidRPr="00461C16">
              <w:rPr>
                <w:color w:val="000000"/>
                <w:sz w:val="20"/>
              </w:rPr>
              <w:t xml:space="preserve">bývalý výrobní objekt s barokním štítem na čelní </w:t>
            </w:r>
            <w:r w:rsidR="00892A87" w:rsidRPr="00461C16">
              <w:rPr>
                <w:color w:val="000000"/>
                <w:sz w:val="20"/>
              </w:rPr>
              <w:t>f</w:t>
            </w:r>
            <w:r w:rsidRPr="00461C16">
              <w:rPr>
                <w:color w:val="000000"/>
                <w:sz w:val="20"/>
              </w:rPr>
              <w:t>asádě</w:t>
            </w:r>
          </w:p>
        </w:tc>
      </w:tr>
      <w:tr w:rsidR="00D21457" w:rsidRPr="00461C16" w14:paraId="2AA9FED9" w14:textId="77777777" w:rsidTr="00D21457">
        <w:trPr>
          <w:cantSplit/>
        </w:trPr>
        <w:tc>
          <w:tcPr>
            <w:tcW w:w="2410" w:type="dxa"/>
            <w:shd w:val="clear" w:color="auto" w:fill="auto"/>
          </w:tcPr>
          <w:p w14:paraId="0577A1E4" w14:textId="77777777" w:rsidR="00D21457" w:rsidRPr="00461C16" w:rsidRDefault="00D21457" w:rsidP="004B2D25">
            <w:pPr>
              <w:pStyle w:val="ListParagraph"/>
              <w:numPr>
                <w:ilvl w:val="0"/>
                <w:numId w:val="68"/>
              </w:numPr>
              <w:jc w:val="left"/>
              <w:rPr>
                <w:color w:val="000000"/>
                <w:sz w:val="20"/>
              </w:rPr>
            </w:pPr>
            <w:r w:rsidRPr="00461C16">
              <w:rPr>
                <w:color w:val="000000"/>
                <w:sz w:val="20"/>
              </w:rPr>
              <w:t>Liberecká 389</w:t>
            </w:r>
          </w:p>
        </w:tc>
        <w:tc>
          <w:tcPr>
            <w:tcW w:w="6771" w:type="dxa"/>
            <w:shd w:val="clear" w:color="auto" w:fill="auto"/>
          </w:tcPr>
          <w:p w14:paraId="598A5349" w14:textId="77777777" w:rsidR="00D21457" w:rsidRPr="00461C16" w:rsidRDefault="00D21457" w:rsidP="00D21457">
            <w:pPr>
              <w:jc w:val="left"/>
              <w:rPr>
                <w:color w:val="000000"/>
                <w:sz w:val="20"/>
              </w:rPr>
            </w:pPr>
            <w:r w:rsidRPr="00461C16">
              <w:rPr>
                <w:color w:val="000000"/>
                <w:sz w:val="20"/>
              </w:rPr>
              <w:t>městská vila s čelním rizalitem, fasáda z režného zdiva, obloukové frontony, nároží zvýrazněné kamennými bloky</w:t>
            </w:r>
          </w:p>
        </w:tc>
      </w:tr>
      <w:tr w:rsidR="00D21457" w:rsidRPr="00461C16" w14:paraId="008B36E6" w14:textId="77777777" w:rsidTr="00D21457">
        <w:trPr>
          <w:cantSplit/>
        </w:trPr>
        <w:tc>
          <w:tcPr>
            <w:tcW w:w="2410" w:type="dxa"/>
            <w:shd w:val="clear" w:color="auto" w:fill="auto"/>
          </w:tcPr>
          <w:p w14:paraId="56A290D0" w14:textId="77777777" w:rsidR="00D21457" w:rsidRPr="00461C16" w:rsidRDefault="00D21457" w:rsidP="004B2D25">
            <w:pPr>
              <w:pStyle w:val="ListParagraph"/>
              <w:numPr>
                <w:ilvl w:val="0"/>
                <w:numId w:val="68"/>
              </w:numPr>
              <w:jc w:val="left"/>
              <w:rPr>
                <w:color w:val="000000"/>
                <w:sz w:val="20"/>
              </w:rPr>
            </w:pPr>
            <w:r w:rsidRPr="00461C16">
              <w:rPr>
                <w:color w:val="000000"/>
                <w:sz w:val="20"/>
              </w:rPr>
              <w:lastRenderedPageBreak/>
              <w:t>Liberecká 390</w:t>
            </w:r>
          </w:p>
        </w:tc>
        <w:tc>
          <w:tcPr>
            <w:tcW w:w="6771" w:type="dxa"/>
            <w:shd w:val="clear" w:color="auto" w:fill="auto"/>
          </w:tcPr>
          <w:p w14:paraId="359A6E6E" w14:textId="77777777" w:rsidR="00D21457" w:rsidRPr="00461C16" w:rsidRDefault="00D21457" w:rsidP="00D21457">
            <w:pPr>
              <w:jc w:val="left"/>
              <w:rPr>
                <w:color w:val="000000"/>
                <w:sz w:val="20"/>
              </w:rPr>
            </w:pPr>
            <w:r w:rsidRPr="00461C16">
              <w:rPr>
                <w:color w:val="000000"/>
                <w:sz w:val="20"/>
              </w:rPr>
              <w:t>historický bytový dům s barevně zvýrazněným nárožím a průběžnými patrovými římsami dekorovanými obloučkovým vlysem</w:t>
            </w:r>
          </w:p>
        </w:tc>
      </w:tr>
      <w:tr w:rsidR="00D21457" w:rsidRPr="00461C16" w14:paraId="29E98193" w14:textId="77777777" w:rsidTr="00D21457">
        <w:trPr>
          <w:cantSplit/>
        </w:trPr>
        <w:tc>
          <w:tcPr>
            <w:tcW w:w="2410" w:type="dxa"/>
            <w:shd w:val="clear" w:color="auto" w:fill="auto"/>
          </w:tcPr>
          <w:p w14:paraId="77C5CD39" w14:textId="77777777" w:rsidR="00D21457" w:rsidRPr="00461C16" w:rsidRDefault="00D21457" w:rsidP="004B2D25">
            <w:pPr>
              <w:pStyle w:val="ListParagraph"/>
              <w:numPr>
                <w:ilvl w:val="0"/>
                <w:numId w:val="68"/>
              </w:numPr>
              <w:jc w:val="left"/>
              <w:rPr>
                <w:color w:val="000000"/>
                <w:sz w:val="20"/>
              </w:rPr>
            </w:pPr>
            <w:r w:rsidRPr="00461C16">
              <w:rPr>
                <w:color w:val="000000"/>
                <w:sz w:val="20"/>
              </w:rPr>
              <w:t>Liberecká 392</w:t>
            </w:r>
          </w:p>
        </w:tc>
        <w:tc>
          <w:tcPr>
            <w:tcW w:w="6771" w:type="dxa"/>
            <w:shd w:val="clear" w:color="auto" w:fill="auto"/>
          </w:tcPr>
          <w:p w14:paraId="7A5F0255" w14:textId="77777777" w:rsidR="00D21457" w:rsidRPr="00461C16" w:rsidRDefault="00D21457" w:rsidP="00892A87">
            <w:pPr>
              <w:jc w:val="left"/>
              <w:rPr>
                <w:color w:val="000000"/>
                <w:sz w:val="20"/>
              </w:rPr>
            </w:pPr>
            <w:r w:rsidRPr="00461C16">
              <w:rPr>
                <w:color w:val="000000"/>
                <w:sz w:val="20"/>
              </w:rPr>
              <w:t>historický bytový dům z režného zdiva, s plast</w:t>
            </w:r>
            <w:r w:rsidR="00892A87" w:rsidRPr="00461C16">
              <w:rPr>
                <w:color w:val="000000"/>
                <w:sz w:val="20"/>
              </w:rPr>
              <w:t>i</w:t>
            </w:r>
            <w:r w:rsidRPr="00461C16">
              <w:rPr>
                <w:color w:val="000000"/>
                <w:sz w:val="20"/>
              </w:rPr>
              <w:t>cky zvýrazněným nárožím a nadokenními oblouky s centrálním klenákem</w:t>
            </w:r>
          </w:p>
        </w:tc>
      </w:tr>
      <w:tr w:rsidR="00D21457" w:rsidRPr="00461C16" w14:paraId="6B163D70" w14:textId="77777777" w:rsidTr="00D21457">
        <w:trPr>
          <w:cantSplit/>
        </w:trPr>
        <w:tc>
          <w:tcPr>
            <w:tcW w:w="2410" w:type="dxa"/>
            <w:shd w:val="clear" w:color="auto" w:fill="auto"/>
          </w:tcPr>
          <w:p w14:paraId="7E1CA044" w14:textId="77777777" w:rsidR="00D21457" w:rsidRPr="00461C16" w:rsidRDefault="00D21457" w:rsidP="004B2D25">
            <w:pPr>
              <w:pStyle w:val="ListParagraph"/>
              <w:numPr>
                <w:ilvl w:val="0"/>
                <w:numId w:val="68"/>
              </w:numPr>
              <w:jc w:val="left"/>
              <w:rPr>
                <w:color w:val="000000"/>
                <w:sz w:val="20"/>
              </w:rPr>
            </w:pPr>
            <w:r w:rsidRPr="00461C16">
              <w:rPr>
                <w:color w:val="000000"/>
                <w:sz w:val="20"/>
              </w:rPr>
              <w:t>Liberecká 412</w:t>
            </w:r>
          </w:p>
        </w:tc>
        <w:tc>
          <w:tcPr>
            <w:tcW w:w="6771" w:type="dxa"/>
            <w:shd w:val="clear" w:color="auto" w:fill="auto"/>
          </w:tcPr>
          <w:p w14:paraId="2B3D55ED" w14:textId="77777777" w:rsidR="00D21457" w:rsidRPr="00461C16" w:rsidRDefault="00D21457" w:rsidP="00D21457">
            <w:pPr>
              <w:jc w:val="left"/>
              <w:rPr>
                <w:color w:val="000000"/>
                <w:sz w:val="20"/>
              </w:rPr>
            </w:pPr>
            <w:r w:rsidRPr="00461C16">
              <w:rPr>
                <w:color w:val="000000"/>
                <w:sz w:val="20"/>
              </w:rPr>
              <w:t>městská vila s vertikálními lizénami na nárožích a plastickými šambránami oken, v patře sdružená šambrána s lomeným obloukem nad okny</w:t>
            </w:r>
          </w:p>
        </w:tc>
      </w:tr>
      <w:tr w:rsidR="00D21457" w:rsidRPr="00461C16" w14:paraId="2CA771FA" w14:textId="77777777" w:rsidTr="00D21457">
        <w:trPr>
          <w:cantSplit/>
        </w:trPr>
        <w:tc>
          <w:tcPr>
            <w:tcW w:w="2410" w:type="dxa"/>
            <w:shd w:val="clear" w:color="auto" w:fill="auto"/>
          </w:tcPr>
          <w:p w14:paraId="4F3FD172" w14:textId="77777777" w:rsidR="00D21457" w:rsidRPr="00461C16" w:rsidRDefault="00D21457" w:rsidP="004B2D25">
            <w:pPr>
              <w:pStyle w:val="ListParagraph"/>
              <w:numPr>
                <w:ilvl w:val="0"/>
                <w:numId w:val="68"/>
              </w:numPr>
              <w:jc w:val="left"/>
              <w:rPr>
                <w:color w:val="000000"/>
                <w:sz w:val="20"/>
              </w:rPr>
            </w:pPr>
            <w:r w:rsidRPr="00461C16">
              <w:rPr>
                <w:color w:val="000000"/>
                <w:sz w:val="20"/>
              </w:rPr>
              <w:t>Liberecká 440</w:t>
            </w:r>
          </w:p>
        </w:tc>
        <w:tc>
          <w:tcPr>
            <w:tcW w:w="6771" w:type="dxa"/>
            <w:shd w:val="clear" w:color="auto" w:fill="auto"/>
          </w:tcPr>
          <w:p w14:paraId="5E52E1A5" w14:textId="77777777" w:rsidR="00D21457" w:rsidRPr="00461C16" w:rsidRDefault="00D21457" w:rsidP="00D21457">
            <w:pPr>
              <w:jc w:val="left"/>
              <w:rPr>
                <w:color w:val="000000"/>
                <w:sz w:val="20"/>
              </w:rPr>
            </w:pPr>
            <w:r w:rsidRPr="00461C16">
              <w:rPr>
                <w:color w:val="000000"/>
                <w:sz w:val="20"/>
              </w:rPr>
              <w:t>historický bytový dům s nárožní věží a trojúhelníkovým štítem, s vertikálními lizénami a štukovým dekorem v meziokenním prostoru (dnes hotel Hrádecký Dvůr)</w:t>
            </w:r>
          </w:p>
        </w:tc>
      </w:tr>
      <w:tr w:rsidR="00D21457" w:rsidRPr="00461C16" w14:paraId="1674D956" w14:textId="77777777" w:rsidTr="00D21457">
        <w:trPr>
          <w:cantSplit/>
        </w:trPr>
        <w:tc>
          <w:tcPr>
            <w:tcW w:w="2410" w:type="dxa"/>
            <w:shd w:val="clear" w:color="auto" w:fill="auto"/>
          </w:tcPr>
          <w:p w14:paraId="2ECC410A" w14:textId="77777777" w:rsidR="00D21457" w:rsidRPr="00461C16" w:rsidRDefault="00D21457" w:rsidP="004B2D25">
            <w:pPr>
              <w:pStyle w:val="ListParagraph"/>
              <w:numPr>
                <w:ilvl w:val="0"/>
                <w:numId w:val="68"/>
              </w:numPr>
              <w:jc w:val="left"/>
              <w:rPr>
                <w:color w:val="000000"/>
                <w:sz w:val="20"/>
              </w:rPr>
            </w:pPr>
            <w:r w:rsidRPr="00461C16">
              <w:rPr>
                <w:color w:val="000000"/>
                <w:sz w:val="20"/>
              </w:rPr>
              <w:t>Liberecká X Gen. Svobody, parcela st. 555 (východní objekt)</w:t>
            </w:r>
          </w:p>
        </w:tc>
        <w:tc>
          <w:tcPr>
            <w:tcW w:w="6771" w:type="dxa"/>
            <w:shd w:val="clear" w:color="auto" w:fill="auto"/>
          </w:tcPr>
          <w:p w14:paraId="6CE7DF77" w14:textId="77777777" w:rsidR="00D21457" w:rsidRPr="00461C16" w:rsidRDefault="00D21457" w:rsidP="00D21457">
            <w:pPr>
              <w:jc w:val="left"/>
              <w:rPr>
                <w:color w:val="000000"/>
                <w:sz w:val="20"/>
              </w:rPr>
            </w:pPr>
            <w:r w:rsidRPr="00461C16">
              <w:rPr>
                <w:color w:val="000000"/>
                <w:sz w:val="20"/>
              </w:rPr>
              <w:t>výrobní (skladovací) objekt s hrázděnou konstrukcí</w:t>
            </w:r>
          </w:p>
        </w:tc>
      </w:tr>
      <w:tr w:rsidR="00D21457" w:rsidRPr="00461C16" w14:paraId="3CE35A18" w14:textId="77777777" w:rsidTr="00D21457">
        <w:trPr>
          <w:cantSplit/>
        </w:trPr>
        <w:tc>
          <w:tcPr>
            <w:tcW w:w="2410" w:type="dxa"/>
            <w:shd w:val="clear" w:color="auto" w:fill="auto"/>
          </w:tcPr>
          <w:p w14:paraId="1BC26A86"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Lidická 163, 227, 414 </w:t>
            </w:r>
          </w:p>
        </w:tc>
        <w:tc>
          <w:tcPr>
            <w:tcW w:w="6771" w:type="dxa"/>
            <w:shd w:val="clear" w:color="auto" w:fill="auto"/>
          </w:tcPr>
          <w:p w14:paraId="0C7D4597" w14:textId="77777777" w:rsidR="00D21457" w:rsidRPr="00461C16" w:rsidRDefault="00D21457" w:rsidP="00D21457">
            <w:pPr>
              <w:jc w:val="left"/>
              <w:rPr>
                <w:color w:val="000000"/>
                <w:sz w:val="20"/>
              </w:rPr>
            </w:pPr>
            <w:r w:rsidRPr="00461C16">
              <w:rPr>
                <w:color w:val="000000"/>
                <w:sz w:val="20"/>
              </w:rPr>
              <w:t xml:space="preserve">historický výrobní areál - průmyslové haly a doprovodné objekty z 2. pol. 19. století s fasádou z režného zdiva </w:t>
            </w:r>
          </w:p>
        </w:tc>
      </w:tr>
      <w:tr w:rsidR="00D21457" w:rsidRPr="00461C16" w14:paraId="40209FEC" w14:textId="77777777" w:rsidTr="00D21457">
        <w:trPr>
          <w:cantSplit/>
        </w:trPr>
        <w:tc>
          <w:tcPr>
            <w:tcW w:w="2410" w:type="dxa"/>
            <w:shd w:val="clear" w:color="auto" w:fill="auto"/>
          </w:tcPr>
          <w:p w14:paraId="790412F2" w14:textId="77777777" w:rsidR="00D21457" w:rsidRPr="00461C16" w:rsidRDefault="00D21457" w:rsidP="004B2D25">
            <w:pPr>
              <w:pStyle w:val="ListParagraph"/>
              <w:numPr>
                <w:ilvl w:val="0"/>
                <w:numId w:val="68"/>
              </w:numPr>
              <w:jc w:val="left"/>
              <w:rPr>
                <w:color w:val="000000"/>
                <w:sz w:val="20"/>
              </w:rPr>
            </w:pPr>
            <w:r w:rsidRPr="00461C16">
              <w:rPr>
                <w:color w:val="000000"/>
                <w:sz w:val="20"/>
              </w:rPr>
              <w:t>Lidická 236, 237, 239</w:t>
            </w:r>
          </w:p>
        </w:tc>
        <w:tc>
          <w:tcPr>
            <w:tcW w:w="6771" w:type="dxa"/>
            <w:shd w:val="clear" w:color="auto" w:fill="auto"/>
          </w:tcPr>
          <w:p w14:paraId="2C57D204" w14:textId="77777777" w:rsidR="00D21457" w:rsidRPr="00461C16" w:rsidRDefault="00D21457" w:rsidP="00D21457">
            <w:pPr>
              <w:jc w:val="left"/>
              <w:rPr>
                <w:color w:val="000000"/>
                <w:sz w:val="20"/>
              </w:rPr>
            </w:pPr>
            <w:r w:rsidRPr="00461C16">
              <w:rPr>
                <w:color w:val="000000"/>
                <w:sz w:val="20"/>
              </w:rPr>
              <w:t>bývalý výrobní objekt z přelomu 19.-20.století, nároží zvýrazněná průběžnými vertikálními lizénami, variace na obloučkový vlys pod korunní římsou</w:t>
            </w:r>
          </w:p>
        </w:tc>
      </w:tr>
      <w:tr w:rsidR="00D21457" w:rsidRPr="00461C16" w14:paraId="26A9B695" w14:textId="77777777" w:rsidTr="00D21457">
        <w:trPr>
          <w:cantSplit/>
        </w:trPr>
        <w:tc>
          <w:tcPr>
            <w:tcW w:w="2410" w:type="dxa"/>
            <w:shd w:val="clear" w:color="auto" w:fill="auto"/>
          </w:tcPr>
          <w:p w14:paraId="3EA3EA9D" w14:textId="77777777" w:rsidR="00D21457" w:rsidRPr="00461C16" w:rsidRDefault="00D21457" w:rsidP="004B2D25">
            <w:pPr>
              <w:pStyle w:val="ListParagraph"/>
              <w:numPr>
                <w:ilvl w:val="0"/>
                <w:numId w:val="68"/>
              </w:numPr>
              <w:jc w:val="left"/>
              <w:rPr>
                <w:color w:val="000000"/>
                <w:sz w:val="20"/>
              </w:rPr>
            </w:pPr>
            <w:r w:rsidRPr="00461C16">
              <w:rPr>
                <w:color w:val="000000"/>
                <w:sz w:val="20"/>
              </w:rPr>
              <w:t>Lidická 240</w:t>
            </w:r>
          </w:p>
        </w:tc>
        <w:tc>
          <w:tcPr>
            <w:tcW w:w="6771" w:type="dxa"/>
            <w:shd w:val="clear" w:color="auto" w:fill="auto"/>
          </w:tcPr>
          <w:p w14:paraId="316C669F" w14:textId="77777777" w:rsidR="00D21457" w:rsidRPr="00461C16" w:rsidRDefault="00D21457" w:rsidP="00D21457">
            <w:pPr>
              <w:jc w:val="left"/>
              <w:rPr>
                <w:color w:val="000000"/>
                <w:sz w:val="20"/>
              </w:rPr>
            </w:pPr>
            <w:r w:rsidRPr="00461C16">
              <w:rPr>
                <w:color w:val="000000"/>
                <w:sz w:val="20"/>
              </w:rPr>
              <w:t>bývalý správní objekt výrobního areálu, historizující styl pol. 19.století s plasticky zvýrazněním parterem, trojúhelníkovými a obloukovými okenními frontony a sloupkovou balustrádou na střeše</w:t>
            </w:r>
          </w:p>
        </w:tc>
      </w:tr>
      <w:tr w:rsidR="00D21457" w:rsidRPr="00461C16" w14:paraId="2D033806" w14:textId="77777777" w:rsidTr="00D21457">
        <w:trPr>
          <w:cantSplit/>
        </w:trPr>
        <w:tc>
          <w:tcPr>
            <w:tcW w:w="2410" w:type="dxa"/>
            <w:shd w:val="clear" w:color="auto" w:fill="auto"/>
          </w:tcPr>
          <w:p w14:paraId="57CE3D48"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Lidická 25 </w:t>
            </w:r>
          </w:p>
        </w:tc>
        <w:tc>
          <w:tcPr>
            <w:tcW w:w="6771" w:type="dxa"/>
            <w:shd w:val="clear" w:color="auto" w:fill="auto"/>
          </w:tcPr>
          <w:p w14:paraId="1E11D41E" w14:textId="77777777" w:rsidR="00D21457" w:rsidRPr="00461C16" w:rsidRDefault="00D21457" w:rsidP="00D21457">
            <w:pPr>
              <w:jc w:val="left"/>
              <w:rPr>
                <w:color w:val="000000"/>
                <w:sz w:val="20"/>
              </w:rPr>
            </w:pPr>
            <w:r w:rsidRPr="00461C16">
              <w:rPr>
                <w:color w:val="000000"/>
                <w:sz w:val="20"/>
              </w:rPr>
              <w:t>historický výrobní objekt s plasticky zvýrazněným nárožím, průběžnými horizontálními římsami a dekorativním nadpražím oken</w:t>
            </w:r>
          </w:p>
        </w:tc>
      </w:tr>
      <w:tr w:rsidR="00D21457" w:rsidRPr="00461C16" w14:paraId="53673003" w14:textId="77777777" w:rsidTr="00D21457">
        <w:trPr>
          <w:cantSplit/>
        </w:trPr>
        <w:tc>
          <w:tcPr>
            <w:tcW w:w="2410" w:type="dxa"/>
            <w:shd w:val="clear" w:color="auto" w:fill="auto"/>
          </w:tcPr>
          <w:p w14:paraId="6F890FB3" w14:textId="77777777" w:rsidR="00D21457" w:rsidRPr="00461C16" w:rsidRDefault="00D21457" w:rsidP="004B2D25">
            <w:pPr>
              <w:pStyle w:val="ListParagraph"/>
              <w:numPr>
                <w:ilvl w:val="0"/>
                <w:numId w:val="68"/>
              </w:numPr>
              <w:jc w:val="left"/>
              <w:rPr>
                <w:color w:val="000000"/>
                <w:sz w:val="20"/>
              </w:rPr>
            </w:pPr>
            <w:r w:rsidRPr="00461C16">
              <w:rPr>
                <w:color w:val="000000"/>
                <w:sz w:val="20"/>
              </w:rPr>
              <w:t xml:space="preserve">Lidická 321 </w:t>
            </w:r>
          </w:p>
        </w:tc>
        <w:tc>
          <w:tcPr>
            <w:tcW w:w="6771" w:type="dxa"/>
            <w:shd w:val="clear" w:color="auto" w:fill="auto"/>
          </w:tcPr>
          <w:p w14:paraId="782C37D7" w14:textId="77777777" w:rsidR="00D21457" w:rsidRPr="00461C16" w:rsidRDefault="00D21457" w:rsidP="00D21457">
            <w:pPr>
              <w:jc w:val="left"/>
              <w:rPr>
                <w:color w:val="000000"/>
                <w:sz w:val="20"/>
              </w:rPr>
            </w:pPr>
            <w:r w:rsidRPr="00461C16">
              <w:rPr>
                <w:color w:val="000000"/>
                <w:sz w:val="20"/>
              </w:rPr>
              <w:t>bývalý výrobní objekt se stupňovitým štítem a fasádou členěnou vertikálními lizénami (dnes bytový dům)</w:t>
            </w:r>
          </w:p>
        </w:tc>
      </w:tr>
      <w:tr w:rsidR="00D21457" w:rsidRPr="00461C16" w14:paraId="728C951C" w14:textId="77777777" w:rsidTr="00D21457">
        <w:trPr>
          <w:cantSplit/>
        </w:trPr>
        <w:tc>
          <w:tcPr>
            <w:tcW w:w="2410" w:type="dxa"/>
            <w:shd w:val="clear" w:color="auto" w:fill="auto"/>
          </w:tcPr>
          <w:p w14:paraId="38A9B523" w14:textId="77777777" w:rsidR="00D21457" w:rsidRPr="00461C16" w:rsidRDefault="00D21457" w:rsidP="004B2D25">
            <w:pPr>
              <w:pStyle w:val="ListParagraph"/>
              <w:numPr>
                <w:ilvl w:val="0"/>
                <w:numId w:val="68"/>
              </w:numPr>
              <w:jc w:val="left"/>
              <w:rPr>
                <w:color w:val="000000"/>
                <w:sz w:val="20"/>
              </w:rPr>
            </w:pPr>
            <w:r w:rsidRPr="00461C16">
              <w:rPr>
                <w:color w:val="000000"/>
                <w:sz w:val="20"/>
              </w:rPr>
              <w:t>Lidická 397</w:t>
            </w:r>
          </w:p>
        </w:tc>
        <w:tc>
          <w:tcPr>
            <w:tcW w:w="6771" w:type="dxa"/>
            <w:shd w:val="clear" w:color="auto" w:fill="auto"/>
          </w:tcPr>
          <w:p w14:paraId="6196D595" w14:textId="77777777" w:rsidR="00D21457" w:rsidRPr="00461C16" w:rsidRDefault="00D21457" w:rsidP="00D21457">
            <w:pPr>
              <w:jc w:val="left"/>
              <w:rPr>
                <w:color w:val="000000"/>
                <w:sz w:val="20"/>
              </w:rPr>
            </w:pPr>
            <w:r w:rsidRPr="00461C16">
              <w:rPr>
                <w:color w:val="000000"/>
                <w:sz w:val="20"/>
              </w:rPr>
              <w:t>obytný dům s dekorativní průběžnou mezipatrovou a korunní římsou s vlysem</w:t>
            </w:r>
          </w:p>
        </w:tc>
      </w:tr>
      <w:tr w:rsidR="00D21457" w:rsidRPr="00461C16" w14:paraId="67777712" w14:textId="77777777" w:rsidTr="00D21457">
        <w:trPr>
          <w:cantSplit/>
        </w:trPr>
        <w:tc>
          <w:tcPr>
            <w:tcW w:w="2410" w:type="dxa"/>
            <w:shd w:val="clear" w:color="auto" w:fill="auto"/>
          </w:tcPr>
          <w:p w14:paraId="1641472A" w14:textId="77777777" w:rsidR="00D21457" w:rsidRPr="00461C16" w:rsidRDefault="00D21457" w:rsidP="004B2D25">
            <w:pPr>
              <w:pStyle w:val="ListParagraph"/>
              <w:numPr>
                <w:ilvl w:val="0"/>
                <w:numId w:val="68"/>
              </w:numPr>
              <w:jc w:val="left"/>
              <w:rPr>
                <w:color w:val="000000"/>
                <w:sz w:val="20"/>
              </w:rPr>
            </w:pPr>
            <w:r w:rsidRPr="00461C16">
              <w:rPr>
                <w:color w:val="000000"/>
                <w:sz w:val="20"/>
              </w:rPr>
              <w:t>Loučná 220</w:t>
            </w:r>
          </w:p>
        </w:tc>
        <w:tc>
          <w:tcPr>
            <w:tcW w:w="6771" w:type="dxa"/>
            <w:shd w:val="clear" w:color="auto" w:fill="auto"/>
          </w:tcPr>
          <w:p w14:paraId="6153D0A0" w14:textId="77777777" w:rsidR="00D21457" w:rsidRPr="00461C16" w:rsidRDefault="00D21457" w:rsidP="00D21457">
            <w:pPr>
              <w:jc w:val="left"/>
              <w:rPr>
                <w:color w:val="000000"/>
                <w:sz w:val="20"/>
              </w:rPr>
            </w:pPr>
            <w:r w:rsidRPr="00461C16">
              <w:rPr>
                <w:color w:val="000000"/>
                <w:sz w:val="20"/>
              </w:rPr>
              <w:t>historická budova ZŠ (2.pol. 19.stol.) a plasticky zvýrazněným přízemím a nárožími, ozdobnými nadokenními římsami a frontony</w:t>
            </w:r>
          </w:p>
        </w:tc>
      </w:tr>
      <w:tr w:rsidR="00D21457" w:rsidRPr="00461C16" w14:paraId="63340B21" w14:textId="77777777" w:rsidTr="00D21457">
        <w:trPr>
          <w:cantSplit/>
        </w:trPr>
        <w:tc>
          <w:tcPr>
            <w:tcW w:w="2410" w:type="dxa"/>
            <w:shd w:val="clear" w:color="auto" w:fill="auto"/>
          </w:tcPr>
          <w:p w14:paraId="6D1FCB6C" w14:textId="77777777" w:rsidR="00D21457" w:rsidRPr="00461C16" w:rsidRDefault="00D21457" w:rsidP="004B2D25">
            <w:pPr>
              <w:pStyle w:val="ListParagraph"/>
              <w:numPr>
                <w:ilvl w:val="0"/>
                <w:numId w:val="68"/>
              </w:numPr>
              <w:jc w:val="left"/>
              <w:rPr>
                <w:color w:val="000000"/>
                <w:sz w:val="20"/>
              </w:rPr>
            </w:pPr>
            <w:r w:rsidRPr="00461C16">
              <w:rPr>
                <w:color w:val="000000"/>
                <w:sz w:val="20"/>
              </w:rPr>
              <w:t>Luční 192</w:t>
            </w:r>
          </w:p>
        </w:tc>
        <w:tc>
          <w:tcPr>
            <w:tcW w:w="6771" w:type="dxa"/>
            <w:shd w:val="clear" w:color="auto" w:fill="auto"/>
          </w:tcPr>
          <w:p w14:paraId="77CBDEEC" w14:textId="77777777" w:rsidR="00D21457" w:rsidRPr="00461C16" w:rsidRDefault="00D21457" w:rsidP="00D21457">
            <w:pPr>
              <w:jc w:val="left"/>
              <w:rPr>
                <w:color w:val="000000"/>
                <w:sz w:val="20"/>
              </w:rPr>
            </w:pPr>
            <w:r w:rsidRPr="00461C16">
              <w:rPr>
                <w:color w:val="000000"/>
                <w:sz w:val="20"/>
              </w:rPr>
              <w:t>obytné stavení s dřevěným štítem zakončeným obloučkovým dekorem, dřevěné dekorativní ostění oken</w:t>
            </w:r>
          </w:p>
        </w:tc>
      </w:tr>
      <w:tr w:rsidR="00D21457" w:rsidRPr="00461C16" w14:paraId="12F94CA6" w14:textId="77777777" w:rsidTr="00D21457">
        <w:trPr>
          <w:cantSplit/>
        </w:trPr>
        <w:tc>
          <w:tcPr>
            <w:tcW w:w="2410" w:type="dxa"/>
            <w:shd w:val="clear" w:color="auto" w:fill="auto"/>
          </w:tcPr>
          <w:p w14:paraId="5E9BD384" w14:textId="77777777" w:rsidR="00D21457" w:rsidRPr="00461C16" w:rsidRDefault="00D21457" w:rsidP="004B2D25">
            <w:pPr>
              <w:pStyle w:val="ListParagraph"/>
              <w:numPr>
                <w:ilvl w:val="0"/>
                <w:numId w:val="68"/>
              </w:numPr>
              <w:jc w:val="left"/>
              <w:rPr>
                <w:color w:val="000000"/>
                <w:sz w:val="20"/>
              </w:rPr>
            </w:pPr>
            <w:r w:rsidRPr="00461C16">
              <w:rPr>
                <w:color w:val="000000"/>
                <w:sz w:val="20"/>
              </w:rPr>
              <w:t>Luční 197</w:t>
            </w:r>
          </w:p>
        </w:tc>
        <w:tc>
          <w:tcPr>
            <w:tcW w:w="6771" w:type="dxa"/>
            <w:shd w:val="clear" w:color="auto" w:fill="auto"/>
          </w:tcPr>
          <w:p w14:paraId="1B0E69B0" w14:textId="77777777" w:rsidR="00D21457" w:rsidRPr="00461C16" w:rsidRDefault="00D21457" w:rsidP="00D21457">
            <w:pPr>
              <w:jc w:val="left"/>
              <w:rPr>
                <w:color w:val="000000"/>
                <w:sz w:val="20"/>
              </w:rPr>
            </w:pPr>
            <w:r w:rsidRPr="00461C16">
              <w:rPr>
                <w:color w:val="000000"/>
                <w:sz w:val="20"/>
              </w:rPr>
              <w:t>historický oby</w:t>
            </w:r>
            <w:r w:rsidR="00892A87" w:rsidRPr="00461C16">
              <w:rPr>
                <w:color w:val="000000"/>
                <w:sz w:val="20"/>
              </w:rPr>
              <w:t>tný dům s barevným dekorem na fa</w:t>
            </w:r>
            <w:r w:rsidRPr="00461C16">
              <w:rPr>
                <w:color w:val="000000"/>
                <w:sz w:val="20"/>
              </w:rPr>
              <w:t>sádě, vertikální linie kombinované se štukem v meziokenním prostoru</w:t>
            </w:r>
          </w:p>
        </w:tc>
      </w:tr>
      <w:tr w:rsidR="00D21457" w:rsidRPr="00461C16" w14:paraId="5AF8BC6B" w14:textId="77777777" w:rsidTr="00D21457">
        <w:trPr>
          <w:cantSplit/>
        </w:trPr>
        <w:tc>
          <w:tcPr>
            <w:tcW w:w="2410" w:type="dxa"/>
            <w:shd w:val="clear" w:color="auto" w:fill="auto"/>
          </w:tcPr>
          <w:p w14:paraId="00FE2944" w14:textId="77777777" w:rsidR="00D21457" w:rsidRPr="00461C16" w:rsidRDefault="00D21457" w:rsidP="004B2D25">
            <w:pPr>
              <w:pStyle w:val="ListParagraph"/>
              <w:numPr>
                <w:ilvl w:val="0"/>
                <w:numId w:val="68"/>
              </w:numPr>
              <w:jc w:val="left"/>
              <w:rPr>
                <w:color w:val="000000"/>
                <w:sz w:val="20"/>
              </w:rPr>
            </w:pPr>
            <w:r w:rsidRPr="00461C16">
              <w:rPr>
                <w:color w:val="000000"/>
                <w:sz w:val="20"/>
              </w:rPr>
              <w:t>Na Příkopech 477 (roh s ul. Zelená)</w:t>
            </w:r>
          </w:p>
        </w:tc>
        <w:tc>
          <w:tcPr>
            <w:tcW w:w="6771" w:type="dxa"/>
            <w:shd w:val="clear" w:color="auto" w:fill="auto"/>
          </w:tcPr>
          <w:p w14:paraId="3181C895" w14:textId="77777777" w:rsidR="00D21457" w:rsidRPr="00461C16" w:rsidRDefault="00D21457" w:rsidP="00D21457">
            <w:pPr>
              <w:jc w:val="left"/>
              <w:rPr>
                <w:color w:val="000000"/>
                <w:sz w:val="20"/>
              </w:rPr>
            </w:pPr>
            <w:r w:rsidRPr="00461C16">
              <w:rPr>
                <w:color w:val="000000"/>
                <w:sz w:val="20"/>
              </w:rPr>
              <w:t>dřevostavba rodinného domu, na štítech kombinované horizontální a šikmé bednění</w:t>
            </w:r>
          </w:p>
        </w:tc>
      </w:tr>
      <w:tr w:rsidR="00D21457" w:rsidRPr="00461C16" w14:paraId="3A2E4274" w14:textId="77777777" w:rsidTr="00D21457">
        <w:trPr>
          <w:cantSplit/>
        </w:trPr>
        <w:tc>
          <w:tcPr>
            <w:tcW w:w="2410" w:type="dxa"/>
            <w:shd w:val="clear" w:color="auto" w:fill="auto"/>
          </w:tcPr>
          <w:p w14:paraId="1361345F" w14:textId="77777777" w:rsidR="00D21457" w:rsidRPr="00461C16" w:rsidRDefault="00D21457" w:rsidP="004B2D25">
            <w:pPr>
              <w:pStyle w:val="ListParagraph"/>
              <w:numPr>
                <w:ilvl w:val="0"/>
                <w:numId w:val="68"/>
              </w:numPr>
              <w:jc w:val="left"/>
              <w:rPr>
                <w:color w:val="000000"/>
                <w:sz w:val="20"/>
              </w:rPr>
            </w:pPr>
            <w:r w:rsidRPr="00461C16">
              <w:rPr>
                <w:color w:val="000000"/>
                <w:sz w:val="20"/>
              </w:rPr>
              <w:t>hřbitov, nad ul. Liberecká</w:t>
            </w:r>
          </w:p>
        </w:tc>
        <w:tc>
          <w:tcPr>
            <w:tcW w:w="6771" w:type="dxa"/>
            <w:shd w:val="clear" w:color="auto" w:fill="auto"/>
          </w:tcPr>
          <w:p w14:paraId="1322D411" w14:textId="77777777" w:rsidR="00D21457" w:rsidRPr="00461C16" w:rsidRDefault="00D21457" w:rsidP="00D21457">
            <w:pPr>
              <w:jc w:val="left"/>
              <w:rPr>
                <w:color w:val="000000"/>
                <w:sz w:val="20"/>
              </w:rPr>
            </w:pPr>
            <w:r w:rsidRPr="00461C16">
              <w:rPr>
                <w:color w:val="000000"/>
                <w:sz w:val="20"/>
              </w:rPr>
              <w:t>historická hřbitovní zeď se vstupní branou a hřbitovní kaplí</w:t>
            </w:r>
          </w:p>
        </w:tc>
      </w:tr>
      <w:tr w:rsidR="00D21457" w:rsidRPr="00461C16" w14:paraId="7FCF029D" w14:textId="77777777" w:rsidTr="00D21457">
        <w:trPr>
          <w:cantSplit/>
        </w:trPr>
        <w:tc>
          <w:tcPr>
            <w:tcW w:w="2410" w:type="dxa"/>
            <w:shd w:val="clear" w:color="auto" w:fill="auto"/>
          </w:tcPr>
          <w:p w14:paraId="1BB83169" w14:textId="77777777" w:rsidR="00D21457" w:rsidRPr="00461C16" w:rsidRDefault="00D21457" w:rsidP="004B2D25">
            <w:pPr>
              <w:pStyle w:val="ListParagraph"/>
              <w:numPr>
                <w:ilvl w:val="0"/>
                <w:numId w:val="68"/>
              </w:numPr>
              <w:jc w:val="left"/>
              <w:rPr>
                <w:color w:val="000000"/>
                <w:sz w:val="20"/>
              </w:rPr>
            </w:pPr>
            <w:r w:rsidRPr="00461C16">
              <w:rPr>
                <w:color w:val="000000"/>
                <w:sz w:val="20"/>
              </w:rPr>
              <w:t>Nádražní X Husova (parcela st. 65)</w:t>
            </w:r>
          </w:p>
        </w:tc>
        <w:tc>
          <w:tcPr>
            <w:tcW w:w="6771" w:type="dxa"/>
            <w:shd w:val="clear" w:color="auto" w:fill="auto"/>
          </w:tcPr>
          <w:p w14:paraId="044C57C0" w14:textId="77777777" w:rsidR="00D21457" w:rsidRPr="00461C16" w:rsidRDefault="00D21457" w:rsidP="00D21457">
            <w:pPr>
              <w:jc w:val="left"/>
              <w:rPr>
                <w:color w:val="000000"/>
                <w:sz w:val="20"/>
              </w:rPr>
            </w:pPr>
            <w:r w:rsidRPr="00461C16">
              <w:rPr>
                <w:color w:val="000000"/>
                <w:sz w:val="20"/>
              </w:rPr>
              <w:t>historický výrobní objekt s fasádou z režného zdiva</w:t>
            </w:r>
          </w:p>
        </w:tc>
      </w:tr>
      <w:tr w:rsidR="00D21457" w:rsidRPr="00461C16" w14:paraId="79C930F3" w14:textId="77777777" w:rsidTr="00D21457">
        <w:trPr>
          <w:cantSplit/>
        </w:trPr>
        <w:tc>
          <w:tcPr>
            <w:tcW w:w="2410" w:type="dxa"/>
            <w:shd w:val="clear" w:color="auto" w:fill="auto"/>
          </w:tcPr>
          <w:p w14:paraId="43A44522" w14:textId="77777777" w:rsidR="00D21457" w:rsidRPr="00461C16" w:rsidRDefault="00D21457" w:rsidP="004B2D25">
            <w:pPr>
              <w:pStyle w:val="ListParagraph"/>
              <w:numPr>
                <w:ilvl w:val="0"/>
                <w:numId w:val="68"/>
              </w:numPr>
              <w:jc w:val="left"/>
              <w:rPr>
                <w:color w:val="000000"/>
                <w:sz w:val="20"/>
              </w:rPr>
            </w:pPr>
            <w:r w:rsidRPr="00461C16">
              <w:rPr>
                <w:color w:val="000000"/>
                <w:sz w:val="20"/>
              </w:rPr>
              <w:t>Nádražní 359</w:t>
            </w:r>
          </w:p>
        </w:tc>
        <w:tc>
          <w:tcPr>
            <w:tcW w:w="6771" w:type="dxa"/>
            <w:shd w:val="clear" w:color="auto" w:fill="auto"/>
          </w:tcPr>
          <w:p w14:paraId="0FFD0C2F" w14:textId="77777777" w:rsidR="00D21457" w:rsidRPr="00461C16" w:rsidRDefault="00D21457" w:rsidP="00D21457">
            <w:pPr>
              <w:jc w:val="left"/>
              <w:rPr>
                <w:color w:val="000000"/>
                <w:sz w:val="20"/>
              </w:rPr>
            </w:pPr>
            <w:r w:rsidRPr="00461C16">
              <w:rPr>
                <w:color w:val="000000"/>
                <w:sz w:val="20"/>
              </w:rPr>
              <w:t>historický bytový dům s plastickými šambránami oken a vertikálními podélnými lizénami na čelní fasádě (dnešní objekt lékařské pohotovosti)</w:t>
            </w:r>
          </w:p>
        </w:tc>
      </w:tr>
      <w:tr w:rsidR="00D21457" w:rsidRPr="00461C16" w14:paraId="2C3474DA" w14:textId="77777777" w:rsidTr="00D21457">
        <w:trPr>
          <w:cantSplit/>
        </w:trPr>
        <w:tc>
          <w:tcPr>
            <w:tcW w:w="2410" w:type="dxa"/>
            <w:shd w:val="clear" w:color="auto" w:fill="auto"/>
          </w:tcPr>
          <w:p w14:paraId="3667DE3A" w14:textId="77777777" w:rsidR="00D21457" w:rsidRPr="00461C16" w:rsidRDefault="00D21457" w:rsidP="004B2D25">
            <w:pPr>
              <w:pStyle w:val="ListParagraph"/>
              <w:numPr>
                <w:ilvl w:val="0"/>
                <w:numId w:val="68"/>
              </w:numPr>
              <w:jc w:val="left"/>
              <w:rPr>
                <w:color w:val="000000"/>
                <w:sz w:val="20"/>
              </w:rPr>
            </w:pPr>
            <w:r w:rsidRPr="00461C16">
              <w:rPr>
                <w:color w:val="000000"/>
                <w:sz w:val="20"/>
              </w:rPr>
              <w:t>Nádražní 420</w:t>
            </w:r>
          </w:p>
        </w:tc>
        <w:tc>
          <w:tcPr>
            <w:tcW w:w="6771" w:type="dxa"/>
            <w:shd w:val="clear" w:color="auto" w:fill="auto"/>
          </w:tcPr>
          <w:p w14:paraId="49C52BF7" w14:textId="77777777" w:rsidR="00D21457" w:rsidRPr="00461C16" w:rsidRDefault="00D21457" w:rsidP="00D21457">
            <w:pPr>
              <w:jc w:val="left"/>
              <w:rPr>
                <w:color w:val="000000"/>
                <w:sz w:val="20"/>
              </w:rPr>
            </w:pPr>
            <w:r w:rsidRPr="00461C16">
              <w:rPr>
                <w:color w:val="000000"/>
                <w:sz w:val="20"/>
              </w:rPr>
              <w:t>historická městská vila se štukově zdobeným štítem a vertikálními průběžnými lizénami (dnešní pošta)</w:t>
            </w:r>
          </w:p>
        </w:tc>
      </w:tr>
      <w:tr w:rsidR="00D21457" w:rsidRPr="00461C16" w14:paraId="652775B7" w14:textId="77777777" w:rsidTr="00D21457">
        <w:trPr>
          <w:cantSplit/>
        </w:trPr>
        <w:tc>
          <w:tcPr>
            <w:tcW w:w="2410" w:type="dxa"/>
            <w:shd w:val="clear" w:color="auto" w:fill="auto"/>
          </w:tcPr>
          <w:p w14:paraId="7373AC07" w14:textId="77777777" w:rsidR="00D21457" w:rsidRPr="00461C16" w:rsidRDefault="00D21457" w:rsidP="004B2D25">
            <w:pPr>
              <w:pStyle w:val="ListParagraph"/>
              <w:numPr>
                <w:ilvl w:val="0"/>
                <w:numId w:val="68"/>
              </w:numPr>
              <w:jc w:val="left"/>
              <w:rPr>
                <w:color w:val="000000"/>
                <w:sz w:val="20"/>
              </w:rPr>
            </w:pPr>
            <w:r w:rsidRPr="00461C16">
              <w:rPr>
                <w:color w:val="000000"/>
                <w:sz w:val="20"/>
              </w:rPr>
              <w:t>Růžová 11</w:t>
            </w:r>
          </w:p>
        </w:tc>
        <w:tc>
          <w:tcPr>
            <w:tcW w:w="6771" w:type="dxa"/>
            <w:shd w:val="clear" w:color="auto" w:fill="auto"/>
          </w:tcPr>
          <w:p w14:paraId="379B8AC5" w14:textId="77777777" w:rsidR="00D21457" w:rsidRPr="00461C16" w:rsidRDefault="00D21457" w:rsidP="00D21457">
            <w:pPr>
              <w:jc w:val="left"/>
              <w:rPr>
                <w:color w:val="000000"/>
                <w:sz w:val="20"/>
              </w:rPr>
            </w:pPr>
            <w:r w:rsidRPr="00461C16">
              <w:rPr>
                <w:color w:val="000000"/>
                <w:sz w:val="20"/>
              </w:rPr>
              <w:t>historický městský bytový dům s nárožním arkýřem, plasticky zvýrazněné nadokenní římsy s bohatým štukovým dekorem, okolo okenních otvorů sloupky zakončené volutami či maskarony</w:t>
            </w:r>
          </w:p>
        </w:tc>
      </w:tr>
      <w:tr w:rsidR="00D21457" w:rsidRPr="00461C16" w14:paraId="33432300" w14:textId="77777777" w:rsidTr="00D21457">
        <w:trPr>
          <w:cantSplit/>
        </w:trPr>
        <w:tc>
          <w:tcPr>
            <w:tcW w:w="2410" w:type="dxa"/>
            <w:shd w:val="clear" w:color="auto" w:fill="auto"/>
          </w:tcPr>
          <w:p w14:paraId="35DBD8A1" w14:textId="77777777" w:rsidR="00D21457" w:rsidRPr="00461C16" w:rsidRDefault="00D21457" w:rsidP="004B2D25">
            <w:pPr>
              <w:pStyle w:val="ListParagraph"/>
              <w:numPr>
                <w:ilvl w:val="0"/>
                <w:numId w:val="68"/>
              </w:numPr>
              <w:jc w:val="left"/>
              <w:rPr>
                <w:color w:val="000000"/>
                <w:sz w:val="20"/>
              </w:rPr>
            </w:pPr>
            <w:r w:rsidRPr="00461C16">
              <w:rPr>
                <w:color w:val="000000"/>
                <w:sz w:val="20"/>
              </w:rPr>
              <w:t>Smetanova 292</w:t>
            </w:r>
          </w:p>
        </w:tc>
        <w:tc>
          <w:tcPr>
            <w:tcW w:w="6771" w:type="dxa"/>
            <w:shd w:val="clear" w:color="auto" w:fill="auto"/>
          </w:tcPr>
          <w:p w14:paraId="4E126896" w14:textId="77777777" w:rsidR="00D21457" w:rsidRPr="00461C16" w:rsidRDefault="00D21457" w:rsidP="00D21457">
            <w:pPr>
              <w:jc w:val="left"/>
              <w:rPr>
                <w:color w:val="000000"/>
                <w:sz w:val="20"/>
              </w:rPr>
            </w:pPr>
            <w:r w:rsidRPr="00461C16">
              <w:rPr>
                <w:color w:val="000000"/>
                <w:sz w:val="20"/>
              </w:rPr>
              <w:t>historický bytový dům, rizalit na čelní fasádě s trojúhelníkovým frontonem, zdobené nadokenní římsy a meziokenní sloupky, nároží zvýrazněné vertikálními lizénami</w:t>
            </w:r>
          </w:p>
        </w:tc>
      </w:tr>
      <w:tr w:rsidR="00D21457" w:rsidRPr="00461C16" w14:paraId="4036134F" w14:textId="77777777" w:rsidTr="00D21457">
        <w:trPr>
          <w:cantSplit/>
        </w:trPr>
        <w:tc>
          <w:tcPr>
            <w:tcW w:w="2410" w:type="dxa"/>
            <w:shd w:val="clear" w:color="auto" w:fill="auto"/>
          </w:tcPr>
          <w:p w14:paraId="31A28F0B" w14:textId="77777777" w:rsidR="00D21457" w:rsidRPr="00461C16" w:rsidRDefault="00D21457" w:rsidP="004B2D25">
            <w:pPr>
              <w:pStyle w:val="ListParagraph"/>
              <w:numPr>
                <w:ilvl w:val="0"/>
                <w:numId w:val="68"/>
              </w:numPr>
              <w:jc w:val="left"/>
              <w:rPr>
                <w:color w:val="000000"/>
                <w:sz w:val="20"/>
              </w:rPr>
            </w:pPr>
            <w:r w:rsidRPr="00461C16">
              <w:rPr>
                <w:color w:val="000000"/>
                <w:sz w:val="20"/>
              </w:rPr>
              <w:t>Smetanova 324</w:t>
            </w:r>
          </w:p>
        </w:tc>
        <w:tc>
          <w:tcPr>
            <w:tcW w:w="6771" w:type="dxa"/>
            <w:shd w:val="clear" w:color="auto" w:fill="auto"/>
          </w:tcPr>
          <w:p w14:paraId="44565CE2" w14:textId="77777777" w:rsidR="00D21457" w:rsidRPr="00461C16" w:rsidRDefault="00D21457" w:rsidP="00D21457">
            <w:pPr>
              <w:jc w:val="left"/>
              <w:rPr>
                <w:color w:val="000000"/>
                <w:sz w:val="20"/>
              </w:rPr>
            </w:pPr>
            <w:r w:rsidRPr="00461C16">
              <w:rPr>
                <w:color w:val="000000"/>
                <w:sz w:val="20"/>
              </w:rPr>
              <w:t>historický bytový dům s nárožní věží, nadokenními římsami a štukovým dekorem v nadpraží oken (dnešní lékárna)</w:t>
            </w:r>
          </w:p>
        </w:tc>
      </w:tr>
      <w:tr w:rsidR="00D21457" w:rsidRPr="00461C16" w14:paraId="72C5AA5D" w14:textId="77777777" w:rsidTr="00D21457">
        <w:trPr>
          <w:cantSplit/>
        </w:trPr>
        <w:tc>
          <w:tcPr>
            <w:tcW w:w="2410" w:type="dxa"/>
            <w:shd w:val="clear" w:color="auto" w:fill="auto"/>
          </w:tcPr>
          <w:p w14:paraId="758F82EE" w14:textId="77777777" w:rsidR="00D21457" w:rsidRPr="00461C16" w:rsidRDefault="00D21457" w:rsidP="004B2D25">
            <w:pPr>
              <w:pStyle w:val="ListParagraph"/>
              <w:numPr>
                <w:ilvl w:val="0"/>
                <w:numId w:val="68"/>
              </w:numPr>
              <w:jc w:val="left"/>
              <w:rPr>
                <w:color w:val="000000"/>
                <w:sz w:val="20"/>
              </w:rPr>
            </w:pPr>
            <w:r w:rsidRPr="00461C16">
              <w:rPr>
                <w:color w:val="000000"/>
                <w:sz w:val="20"/>
              </w:rPr>
              <w:t>Smetanova 330</w:t>
            </w:r>
          </w:p>
        </w:tc>
        <w:tc>
          <w:tcPr>
            <w:tcW w:w="6771" w:type="dxa"/>
            <w:shd w:val="clear" w:color="auto" w:fill="auto"/>
          </w:tcPr>
          <w:p w14:paraId="1D9EDE5F" w14:textId="77777777" w:rsidR="00D21457" w:rsidRPr="00461C16" w:rsidRDefault="00D21457" w:rsidP="00D21457">
            <w:pPr>
              <w:jc w:val="left"/>
              <w:rPr>
                <w:color w:val="000000"/>
                <w:sz w:val="20"/>
              </w:rPr>
            </w:pPr>
            <w:r w:rsidRPr="00461C16">
              <w:rPr>
                <w:color w:val="000000"/>
                <w:sz w:val="20"/>
              </w:rPr>
              <w:t>historická městská vila, plastický zvýrazněné nároží, nadokenní oblouky se zdobným centrálním klenákem</w:t>
            </w:r>
          </w:p>
        </w:tc>
      </w:tr>
      <w:tr w:rsidR="00D21457" w:rsidRPr="00461C16" w14:paraId="6DD8C86F" w14:textId="77777777" w:rsidTr="00D21457">
        <w:trPr>
          <w:cantSplit/>
        </w:trPr>
        <w:tc>
          <w:tcPr>
            <w:tcW w:w="2410" w:type="dxa"/>
            <w:shd w:val="clear" w:color="auto" w:fill="auto"/>
          </w:tcPr>
          <w:p w14:paraId="2425B968" w14:textId="77777777" w:rsidR="00D21457" w:rsidRPr="00461C16" w:rsidRDefault="00D21457" w:rsidP="004B2D25">
            <w:pPr>
              <w:pStyle w:val="ListParagraph"/>
              <w:numPr>
                <w:ilvl w:val="0"/>
                <w:numId w:val="68"/>
              </w:numPr>
              <w:jc w:val="left"/>
              <w:rPr>
                <w:color w:val="000000"/>
                <w:sz w:val="20"/>
              </w:rPr>
            </w:pPr>
            <w:r w:rsidRPr="00461C16">
              <w:rPr>
                <w:color w:val="000000"/>
                <w:sz w:val="20"/>
              </w:rPr>
              <w:t>Smetanova 332+333</w:t>
            </w:r>
          </w:p>
        </w:tc>
        <w:tc>
          <w:tcPr>
            <w:tcW w:w="6771" w:type="dxa"/>
            <w:shd w:val="clear" w:color="auto" w:fill="auto"/>
          </w:tcPr>
          <w:p w14:paraId="56469BED" w14:textId="77777777" w:rsidR="00D21457" w:rsidRPr="00461C16" w:rsidRDefault="00D21457" w:rsidP="00D21457">
            <w:pPr>
              <w:jc w:val="left"/>
              <w:rPr>
                <w:color w:val="000000"/>
                <w:sz w:val="20"/>
              </w:rPr>
            </w:pPr>
            <w:r w:rsidRPr="00461C16">
              <w:rPr>
                <w:color w:val="000000"/>
                <w:sz w:val="20"/>
              </w:rPr>
              <w:t>historický obytný dům, režné zdivo, dekorativní obloučkový horizontální pás pod korunní římsou, nadokenní oblouky se zdobným centrálním klenákem</w:t>
            </w:r>
          </w:p>
        </w:tc>
      </w:tr>
      <w:tr w:rsidR="00D21457" w:rsidRPr="00461C16" w14:paraId="46BDF693" w14:textId="77777777" w:rsidTr="00D21457">
        <w:trPr>
          <w:cantSplit/>
        </w:trPr>
        <w:tc>
          <w:tcPr>
            <w:tcW w:w="2410" w:type="dxa"/>
            <w:shd w:val="clear" w:color="auto" w:fill="auto"/>
          </w:tcPr>
          <w:p w14:paraId="308E3566" w14:textId="77777777" w:rsidR="00D21457" w:rsidRPr="00461C16" w:rsidRDefault="00D21457" w:rsidP="004B2D25">
            <w:pPr>
              <w:pStyle w:val="ListParagraph"/>
              <w:numPr>
                <w:ilvl w:val="0"/>
                <w:numId w:val="68"/>
              </w:numPr>
              <w:jc w:val="left"/>
              <w:rPr>
                <w:color w:val="000000"/>
                <w:sz w:val="20"/>
              </w:rPr>
            </w:pPr>
            <w:r w:rsidRPr="00461C16">
              <w:rPr>
                <w:color w:val="000000"/>
                <w:sz w:val="20"/>
              </w:rPr>
              <w:t>Smetanova 334</w:t>
            </w:r>
          </w:p>
        </w:tc>
        <w:tc>
          <w:tcPr>
            <w:tcW w:w="6771" w:type="dxa"/>
            <w:shd w:val="clear" w:color="auto" w:fill="auto"/>
          </w:tcPr>
          <w:p w14:paraId="5AA35342" w14:textId="77777777" w:rsidR="00D21457" w:rsidRPr="00461C16" w:rsidRDefault="00D21457" w:rsidP="00D21457">
            <w:pPr>
              <w:jc w:val="left"/>
              <w:rPr>
                <w:color w:val="000000"/>
                <w:sz w:val="20"/>
              </w:rPr>
            </w:pPr>
            <w:r w:rsidRPr="00461C16">
              <w:rPr>
                <w:color w:val="000000"/>
                <w:sz w:val="20"/>
              </w:rPr>
              <w:t>historická městská vila, režné zdivo, nadokenní oblouky se zdobným centrálním klenákem, ostění zvýrazněné kamenným obkladem</w:t>
            </w:r>
          </w:p>
        </w:tc>
      </w:tr>
      <w:tr w:rsidR="00D21457" w:rsidRPr="00461C16" w14:paraId="048F3BBE" w14:textId="77777777" w:rsidTr="00D21457">
        <w:trPr>
          <w:cantSplit/>
        </w:trPr>
        <w:tc>
          <w:tcPr>
            <w:tcW w:w="2410" w:type="dxa"/>
            <w:shd w:val="clear" w:color="auto" w:fill="auto"/>
          </w:tcPr>
          <w:p w14:paraId="00A938F4" w14:textId="77777777" w:rsidR="00D21457" w:rsidRPr="00461C16" w:rsidRDefault="00D21457" w:rsidP="004B2D25">
            <w:pPr>
              <w:pStyle w:val="ListParagraph"/>
              <w:numPr>
                <w:ilvl w:val="0"/>
                <w:numId w:val="68"/>
              </w:numPr>
              <w:jc w:val="left"/>
              <w:rPr>
                <w:color w:val="000000"/>
                <w:sz w:val="20"/>
              </w:rPr>
            </w:pPr>
            <w:r w:rsidRPr="00461C16">
              <w:rPr>
                <w:color w:val="000000"/>
                <w:sz w:val="20"/>
              </w:rPr>
              <w:lastRenderedPageBreak/>
              <w:t>Smetanova 370</w:t>
            </w:r>
          </w:p>
        </w:tc>
        <w:tc>
          <w:tcPr>
            <w:tcW w:w="6771" w:type="dxa"/>
            <w:shd w:val="clear" w:color="auto" w:fill="auto"/>
          </w:tcPr>
          <w:p w14:paraId="76FA8A0E" w14:textId="77777777" w:rsidR="00D21457" w:rsidRPr="00461C16" w:rsidRDefault="00D21457" w:rsidP="00D21457">
            <w:pPr>
              <w:jc w:val="left"/>
              <w:rPr>
                <w:color w:val="000000"/>
                <w:sz w:val="20"/>
              </w:rPr>
            </w:pPr>
            <w:r w:rsidRPr="00461C16">
              <w:rPr>
                <w:color w:val="000000"/>
                <w:sz w:val="20"/>
              </w:rPr>
              <w:t>rodinný dům z režného zdiva, okna dekorována cihlovými oblouky v nadpraží s centrálním klenákem a bočními kamennými bloky v ostění</w:t>
            </w:r>
          </w:p>
        </w:tc>
      </w:tr>
      <w:tr w:rsidR="00D21457" w:rsidRPr="00461C16" w14:paraId="01B53252" w14:textId="77777777" w:rsidTr="00D21457">
        <w:trPr>
          <w:cantSplit/>
        </w:trPr>
        <w:tc>
          <w:tcPr>
            <w:tcW w:w="2410" w:type="dxa"/>
            <w:shd w:val="clear" w:color="auto" w:fill="auto"/>
          </w:tcPr>
          <w:p w14:paraId="05F3A265" w14:textId="77777777" w:rsidR="00D21457" w:rsidRPr="00461C16" w:rsidRDefault="00D21457" w:rsidP="004B2D25">
            <w:pPr>
              <w:pStyle w:val="ListParagraph"/>
              <w:numPr>
                <w:ilvl w:val="0"/>
                <w:numId w:val="68"/>
              </w:numPr>
              <w:jc w:val="left"/>
              <w:rPr>
                <w:color w:val="000000"/>
                <w:sz w:val="20"/>
              </w:rPr>
            </w:pPr>
            <w:r w:rsidRPr="00461C16">
              <w:rPr>
                <w:color w:val="000000"/>
                <w:sz w:val="20"/>
              </w:rPr>
              <w:t>Sokolská 356</w:t>
            </w:r>
          </w:p>
        </w:tc>
        <w:tc>
          <w:tcPr>
            <w:tcW w:w="6771" w:type="dxa"/>
            <w:shd w:val="clear" w:color="auto" w:fill="auto"/>
          </w:tcPr>
          <w:p w14:paraId="6EA9C345" w14:textId="77777777" w:rsidR="00D21457" w:rsidRPr="00461C16" w:rsidRDefault="00D21457" w:rsidP="00D21457">
            <w:pPr>
              <w:jc w:val="left"/>
              <w:rPr>
                <w:color w:val="000000"/>
                <w:sz w:val="20"/>
              </w:rPr>
            </w:pPr>
            <w:r w:rsidRPr="00461C16">
              <w:rPr>
                <w:color w:val="000000"/>
                <w:sz w:val="20"/>
              </w:rPr>
              <w:t>historický bytový dům z režného zdiva,</w:t>
            </w:r>
            <w:r w:rsidR="00B345B4" w:rsidRPr="00461C16">
              <w:rPr>
                <w:color w:val="000000"/>
                <w:sz w:val="20"/>
              </w:rPr>
              <w:t xml:space="preserve"> </w:t>
            </w:r>
            <w:r w:rsidRPr="00461C16">
              <w:rPr>
                <w:color w:val="000000"/>
                <w:sz w:val="20"/>
              </w:rPr>
              <w:t>s plastickými šambránami oken, průběžnými římsami a zvýrazněným nárožím</w:t>
            </w:r>
          </w:p>
        </w:tc>
      </w:tr>
      <w:tr w:rsidR="00D21457" w:rsidRPr="00461C16" w14:paraId="6A1B76CA" w14:textId="77777777" w:rsidTr="00D21457">
        <w:trPr>
          <w:cantSplit/>
        </w:trPr>
        <w:tc>
          <w:tcPr>
            <w:tcW w:w="2410" w:type="dxa"/>
            <w:shd w:val="clear" w:color="auto" w:fill="auto"/>
          </w:tcPr>
          <w:p w14:paraId="1F5817D5" w14:textId="77777777" w:rsidR="00D21457" w:rsidRPr="00461C16" w:rsidRDefault="00D21457" w:rsidP="004B2D25">
            <w:pPr>
              <w:pStyle w:val="ListParagraph"/>
              <w:numPr>
                <w:ilvl w:val="0"/>
                <w:numId w:val="68"/>
              </w:numPr>
              <w:jc w:val="left"/>
              <w:rPr>
                <w:color w:val="000000"/>
                <w:sz w:val="20"/>
              </w:rPr>
            </w:pPr>
            <w:r w:rsidRPr="00461C16">
              <w:rPr>
                <w:color w:val="000000"/>
                <w:sz w:val="20"/>
              </w:rPr>
              <w:t>Sokolská ul. – nad hasičskou zbrojnicí (parcela st. 564/2)</w:t>
            </w:r>
          </w:p>
        </w:tc>
        <w:tc>
          <w:tcPr>
            <w:tcW w:w="6771" w:type="dxa"/>
            <w:shd w:val="clear" w:color="auto" w:fill="auto"/>
          </w:tcPr>
          <w:p w14:paraId="11970806" w14:textId="77777777" w:rsidR="00D21457" w:rsidRPr="00461C16" w:rsidRDefault="00D21457" w:rsidP="00D21457">
            <w:pPr>
              <w:jc w:val="left"/>
              <w:rPr>
                <w:color w:val="000000"/>
                <w:sz w:val="20"/>
              </w:rPr>
            </w:pPr>
            <w:r w:rsidRPr="00461C16">
              <w:rPr>
                <w:color w:val="000000"/>
                <w:sz w:val="20"/>
              </w:rPr>
              <w:t>bývalý výrobní objekt, režné zdivo s dekorativním vlysem, naznačenými sdruženými okny a obloukovým portálem s centrálním zdobným klenákem</w:t>
            </w:r>
          </w:p>
        </w:tc>
      </w:tr>
      <w:tr w:rsidR="00D21457" w:rsidRPr="00461C16" w14:paraId="4540967B" w14:textId="77777777" w:rsidTr="00D21457">
        <w:trPr>
          <w:cantSplit/>
        </w:trPr>
        <w:tc>
          <w:tcPr>
            <w:tcW w:w="2410" w:type="dxa"/>
            <w:shd w:val="clear" w:color="auto" w:fill="auto"/>
          </w:tcPr>
          <w:p w14:paraId="3AA90E75" w14:textId="77777777" w:rsidR="00D21457" w:rsidRPr="00461C16" w:rsidRDefault="00D21457" w:rsidP="004B2D25">
            <w:pPr>
              <w:pStyle w:val="ListParagraph"/>
              <w:numPr>
                <w:ilvl w:val="0"/>
                <w:numId w:val="68"/>
              </w:numPr>
              <w:jc w:val="left"/>
              <w:rPr>
                <w:color w:val="000000"/>
                <w:sz w:val="20"/>
              </w:rPr>
            </w:pPr>
            <w:r w:rsidRPr="00461C16">
              <w:rPr>
                <w:color w:val="000000"/>
                <w:sz w:val="20"/>
              </w:rPr>
              <w:t>Stará 423</w:t>
            </w:r>
          </w:p>
        </w:tc>
        <w:tc>
          <w:tcPr>
            <w:tcW w:w="6771" w:type="dxa"/>
            <w:shd w:val="clear" w:color="auto" w:fill="auto"/>
          </w:tcPr>
          <w:p w14:paraId="029C67A3" w14:textId="77777777" w:rsidR="00D21457" w:rsidRPr="00461C16" w:rsidRDefault="00D21457" w:rsidP="00D21457">
            <w:pPr>
              <w:jc w:val="left"/>
              <w:rPr>
                <w:color w:val="000000"/>
                <w:sz w:val="20"/>
              </w:rPr>
            </w:pPr>
            <w:r w:rsidRPr="00461C16">
              <w:rPr>
                <w:color w:val="000000"/>
                <w:sz w:val="20"/>
              </w:rPr>
              <w:t>výrobní areál z 2.pol. 19.stol. - průmyslová hala z režného zdiva zdobená pilastry (dnešní areál H-therma)</w:t>
            </w:r>
          </w:p>
        </w:tc>
      </w:tr>
      <w:tr w:rsidR="00D21457" w:rsidRPr="00461C16" w14:paraId="6AD4D38D" w14:textId="77777777" w:rsidTr="00D21457">
        <w:trPr>
          <w:cantSplit/>
        </w:trPr>
        <w:tc>
          <w:tcPr>
            <w:tcW w:w="2410" w:type="dxa"/>
            <w:shd w:val="clear" w:color="auto" w:fill="auto"/>
          </w:tcPr>
          <w:p w14:paraId="59D9C45A" w14:textId="77777777" w:rsidR="00D21457" w:rsidRPr="00461C16" w:rsidRDefault="00D21457" w:rsidP="004B2D25">
            <w:pPr>
              <w:pStyle w:val="ListParagraph"/>
              <w:numPr>
                <w:ilvl w:val="0"/>
                <w:numId w:val="68"/>
              </w:numPr>
              <w:jc w:val="left"/>
              <w:rPr>
                <w:color w:val="000000"/>
                <w:sz w:val="20"/>
              </w:rPr>
            </w:pPr>
            <w:r w:rsidRPr="00461C16">
              <w:rPr>
                <w:color w:val="000000"/>
                <w:sz w:val="20"/>
              </w:rPr>
              <w:t>Tovární 216, 296</w:t>
            </w:r>
          </w:p>
        </w:tc>
        <w:tc>
          <w:tcPr>
            <w:tcW w:w="6771" w:type="dxa"/>
            <w:shd w:val="clear" w:color="auto" w:fill="auto"/>
          </w:tcPr>
          <w:p w14:paraId="124E8F1C" w14:textId="77777777" w:rsidR="00D21457" w:rsidRPr="00461C16" w:rsidRDefault="00D21457" w:rsidP="00D21457">
            <w:pPr>
              <w:jc w:val="left"/>
              <w:rPr>
                <w:color w:val="000000"/>
                <w:sz w:val="20"/>
              </w:rPr>
            </w:pPr>
            <w:r w:rsidRPr="00461C16">
              <w:rPr>
                <w:color w:val="000000"/>
                <w:sz w:val="20"/>
              </w:rPr>
              <w:t>historické městské bytové domy z 2.pol. 19.stol, plasticky zvýrazněné přízemí, dekorativní nadokenní římsy a postranní sloupky</w:t>
            </w:r>
          </w:p>
        </w:tc>
      </w:tr>
      <w:tr w:rsidR="00D21457" w:rsidRPr="00461C16" w14:paraId="2E2998CD" w14:textId="77777777" w:rsidTr="00D21457">
        <w:trPr>
          <w:cantSplit/>
        </w:trPr>
        <w:tc>
          <w:tcPr>
            <w:tcW w:w="2410" w:type="dxa"/>
            <w:shd w:val="clear" w:color="auto" w:fill="auto"/>
          </w:tcPr>
          <w:p w14:paraId="01C4B2C6" w14:textId="77777777" w:rsidR="00D21457" w:rsidRPr="00461C16" w:rsidRDefault="00D21457" w:rsidP="004B2D25">
            <w:pPr>
              <w:pStyle w:val="ListParagraph"/>
              <w:numPr>
                <w:ilvl w:val="0"/>
                <w:numId w:val="68"/>
              </w:numPr>
              <w:jc w:val="left"/>
              <w:rPr>
                <w:color w:val="000000"/>
                <w:sz w:val="20"/>
              </w:rPr>
            </w:pPr>
            <w:r w:rsidRPr="00461C16">
              <w:rPr>
                <w:color w:val="000000"/>
                <w:sz w:val="20"/>
              </w:rPr>
              <w:t>Tovární 78</w:t>
            </w:r>
          </w:p>
        </w:tc>
        <w:tc>
          <w:tcPr>
            <w:tcW w:w="6771" w:type="dxa"/>
            <w:shd w:val="clear" w:color="auto" w:fill="auto"/>
          </w:tcPr>
          <w:p w14:paraId="720B14CB" w14:textId="77777777" w:rsidR="00D21457" w:rsidRPr="00461C16" w:rsidRDefault="00D21457" w:rsidP="00D21457">
            <w:pPr>
              <w:jc w:val="left"/>
              <w:rPr>
                <w:color w:val="000000"/>
                <w:sz w:val="20"/>
              </w:rPr>
            </w:pPr>
            <w:r w:rsidRPr="00461C16">
              <w:rPr>
                <w:color w:val="000000"/>
                <w:sz w:val="20"/>
              </w:rPr>
              <w:t>rodinný dům, v</w:t>
            </w:r>
            <w:r w:rsidR="00892A87" w:rsidRPr="00461C16">
              <w:rPr>
                <w:color w:val="000000"/>
                <w:sz w:val="20"/>
              </w:rPr>
              <w:t xml:space="preserve"> </w:t>
            </w:r>
            <w:r w:rsidRPr="00461C16">
              <w:rPr>
                <w:color w:val="000000"/>
                <w:sz w:val="20"/>
              </w:rPr>
              <w:t>části dřevěná konstrukce s horizontálním bedněním a dřevěnými sloupky s oblouky nad okenními otvory</w:t>
            </w:r>
          </w:p>
        </w:tc>
      </w:tr>
      <w:tr w:rsidR="00D21457" w:rsidRPr="00461C16" w14:paraId="69571B03" w14:textId="77777777" w:rsidTr="00D21457">
        <w:trPr>
          <w:cantSplit/>
        </w:trPr>
        <w:tc>
          <w:tcPr>
            <w:tcW w:w="2410" w:type="dxa"/>
            <w:shd w:val="clear" w:color="auto" w:fill="auto"/>
          </w:tcPr>
          <w:p w14:paraId="0CD7ADFE" w14:textId="77777777" w:rsidR="00D21457" w:rsidRPr="00461C16" w:rsidRDefault="00D21457" w:rsidP="004B2D25">
            <w:pPr>
              <w:pStyle w:val="ListParagraph"/>
              <w:numPr>
                <w:ilvl w:val="0"/>
                <w:numId w:val="68"/>
              </w:numPr>
              <w:jc w:val="left"/>
              <w:rPr>
                <w:color w:val="000000"/>
                <w:sz w:val="20"/>
              </w:rPr>
            </w:pPr>
            <w:r w:rsidRPr="00461C16">
              <w:rPr>
                <w:color w:val="000000"/>
                <w:sz w:val="20"/>
              </w:rPr>
              <w:t>U Gumovky 354</w:t>
            </w:r>
          </w:p>
        </w:tc>
        <w:tc>
          <w:tcPr>
            <w:tcW w:w="6771" w:type="dxa"/>
            <w:shd w:val="clear" w:color="auto" w:fill="auto"/>
          </w:tcPr>
          <w:p w14:paraId="493AA19F" w14:textId="77777777" w:rsidR="00D21457" w:rsidRPr="00461C16" w:rsidRDefault="00D21457" w:rsidP="00D21457">
            <w:pPr>
              <w:jc w:val="left"/>
              <w:rPr>
                <w:color w:val="000000"/>
                <w:sz w:val="20"/>
              </w:rPr>
            </w:pPr>
            <w:r w:rsidRPr="00461C16">
              <w:rPr>
                <w:color w:val="000000"/>
                <w:sz w:val="20"/>
              </w:rPr>
              <w:t>obytný dům s fasádou z režného zdiva a obloukově zakončenými okenními otvory</w:t>
            </w:r>
          </w:p>
        </w:tc>
      </w:tr>
      <w:tr w:rsidR="00D21457" w:rsidRPr="00461C16" w14:paraId="2516366F" w14:textId="77777777" w:rsidTr="00D21457">
        <w:trPr>
          <w:cantSplit/>
        </w:trPr>
        <w:tc>
          <w:tcPr>
            <w:tcW w:w="2410" w:type="dxa"/>
            <w:shd w:val="clear" w:color="auto" w:fill="auto"/>
          </w:tcPr>
          <w:p w14:paraId="4DB44284" w14:textId="77777777" w:rsidR="00D21457" w:rsidRPr="00461C16" w:rsidRDefault="00D21457" w:rsidP="004B2D25">
            <w:pPr>
              <w:pStyle w:val="ListParagraph"/>
              <w:numPr>
                <w:ilvl w:val="0"/>
                <w:numId w:val="68"/>
              </w:numPr>
              <w:jc w:val="left"/>
              <w:rPr>
                <w:color w:val="000000"/>
                <w:sz w:val="20"/>
              </w:rPr>
            </w:pPr>
            <w:r w:rsidRPr="00461C16">
              <w:rPr>
                <w:color w:val="000000"/>
                <w:sz w:val="20"/>
              </w:rPr>
              <w:t>U Gumovky 379</w:t>
            </w:r>
          </w:p>
        </w:tc>
        <w:tc>
          <w:tcPr>
            <w:tcW w:w="6771" w:type="dxa"/>
            <w:shd w:val="clear" w:color="auto" w:fill="auto"/>
          </w:tcPr>
          <w:p w14:paraId="1768A888" w14:textId="77777777" w:rsidR="00D21457" w:rsidRPr="00461C16" w:rsidRDefault="00D21457" w:rsidP="00D21457">
            <w:pPr>
              <w:jc w:val="left"/>
              <w:rPr>
                <w:color w:val="000000"/>
                <w:sz w:val="20"/>
              </w:rPr>
            </w:pPr>
            <w:r w:rsidRPr="00461C16">
              <w:rPr>
                <w:color w:val="000000"/>
                <w:sz w:val="20"/>
              </w:rPr>
              <w:t xml:space="preserve">správní objekt výrobního areálu z 2. pol. 19.stol, režné zdivo, barevně zvýrazněné šambrány, v patře plastické nadokenní římsy a trojúhelníkové frontony oken </w:t>
            </w:r>
          </w:p>
        </w:tc>
      </w:tr>
      <w:tr w:rsidR="00D21457" w:rsidRPr="00461C16" w14:paraId="21193129" w14:textId="77777777" w:rsidTr="00D21457">
        <w:trPr>
          <w:cantSplit/>
        </w:trPr>
        <w:tc>
          <w:tcPr>
            <w:tcW w:w="2410" w:type="dxa"/>
            <w:shd w:val="clear" w:color="auto" w:fill="auto"/>
          </w:tcPr>
          <w:p w14:paraId="60330FAC" w14:textId="77777777" w:rsidR="00D21457" w:rsidRPr="00461C16" w:rsidRDefault="00D21457" w:rsidP="004B2D25">
            <w:pPr>
              <w:pStyle w:val="ListParagraph"/>
              <w:numPr>
                <w:ilvl w:val="0"/>
                <w:numId w:val="68"/>
              </w:numPr>
              <w:jc w:val="left"/>
              <w:rPr>
                <w:color w:val="000000"/>
                <w:sz w:val="20"/>
              </w:rPr>
            </w:pPr>
            <w:r w:rsidRPr="00461C16">
              <w:rPr>
                <w:color w:val="000000"/>
                <w:sz w:val="20"/>
              </w:rPr>
              <w:t>U koupaliště 465</w:t>
            </w:r>
          </w:p>
        </w:tc>
        <w:tc>
          <w:tcPr>
            <w:tcW w:w="6771" w:type="dxa"/>
            <w:shd w:val="clear" w:color="auto" w:fill="auto"/>
          </w:tcPr>
          <w:p w14:paraId="21ED210A" w14:textId="77777777" w:rsidR="00D21457" w:rsidRPr="00461C16" w:rsidRDefault="00D21457" w:rsidP="00D21457">
            <w:pPr>
              <w:jc w:val="left"/>
              <w:rPr>
                <w:color w:val="000000"/>
                <w:sz w:val="20"/>
              </w:rPr>
            </w:pPr>
            <w:r w:rsidRPr="00461C16">
              <w:rPr>
                <w:color w:val="000000"/>
                <w:sz w:val="20"/>
              </w:rPr>
              <w:t>bytový dům s mansardovou střechou a fasádou z režného zdiva</w:t>
            </w:r>
          </w:p>
        </w:tc>
      </w:tr>
      <w:tr w:rsidR="00D21457" w:rsidRPr="00461C16" w14:paraId="4E816EFC" w14:textId="77777777" w:rsidTr="00D21457">
        <w:trPr>
          <w:cantSplit/>
        </w:trPr>
        <w:tc>
          <w:tcPr>
            <w:tcW w:w="2410" w:type="dxa"/>
            <w:shd w:val="clear" w:color="auto" w:fill="auto"/>
          </w:tcPr>
          <w:p w14:paraId="5E7FB208" w14:textId="77777777" w:rsidR="00D21457" w:rsidRPr="00461C16" w:rsidRDefault="00D21457" w:rsidP="004B2D25">
            <w:pPr>
              <w:pStyle w:val="ListParagraph"/>
              <w:numPr>
                <w:ilvl w:val="0"/>
                <w:numId w:val="68"/>
              </w:numPr>
              <w:jc w:val="left"/>
              <w:rPr>
                <w:color w:val="000000"/>
                <w:sz w:val="20"/>
              </w:rPr>
            </w:pPr>
            <w:r w:rsidRPr="00461C16">
              <w:rPr>
                <w:color w:val="000000"/>
                <w:sz w:val="20"/>
              </w:rPr>
              <w:t>U lávky 17 (západní část)</w:t>
            </w:r>
          </w:p>
        </w:tc>
        <w:tc>
          <w:tcPr>
            <w:tcW w:w="6771" w:type="dxa"/>
            <w:shd w:val="clear" w:color="auto" w:fill="auto"/>
          </w:tcPr>
          <w:p w14:paraId="63DDC953" w14:textId="77777777" w:rsidR="00D21457" w:rsidRPr="00461C16" w:rsidRDefault="00D21457" w:rsidP="00D21457">
            <w:pPr>
              <w:jc w:val="left"/>
              <w:rPr>
                <w:color w:val="000000"/>
                <w:sz w:val="20"/>
              </w:rPr>
            </w:pPr>
            <w:r w:rsidRPr="00461C16">
              <w:rPr>
                <w:color w:val="000000"/>
                <w:sz w:val="20"/>
              </w:rPr>
              <w:t>restaurace Koruna - historický objekt</w:t>
            </w:r>
            <w:r w:rsidR="00B345B4" w:rsidRPr="00461C16">
              <w:rPr>
                <w:color w:val="000000"/>
                <w:sz w:val="20"/>
              </w:rPr>
              <w:t xml:space="preserve"> </w:t>
            </w:r>
            <w:r w:rsidRPr="00461C16">
              <w:rPr>
                <w:color w:val="000000"/>
                <w:sz w:val="20"/>
              </w:rPr>
              <w:t>s částečně zachovaným původním členěním fasády, vertikálními i horizontálními lizénami s oblouky nad okenními otvory</w:t>
            </w:r>
          </w:p>
        </w:tc>
      </w:tr>
      <w:tr w:rsidR="00D21457" w:rsidRPr="00461C16" w14:paraId="680DFD24" w14:textId="77777777" w:rsidTr="00D21457">
        <w:trPr>
          <w:cantSplit/>
        </w:trPr>
        <w:tc>
          <w:tcPr>
            <w:tcW w:w="2410" w:type="dxa"/>
            <w:shd w:val="clear" w:color="auto" w:fill="auto"/>
          </w:tcPr>
          <w:p w14:paraId="568BA0B9"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Václavská 405</w:t>
            </w:r>
          </w:p>
        </w:tc>
        <w:tc>
          <w:tcPr>
            <w:tcW w:w="6771" w:type="dxa"/>
            <w:shd w:val="clear" w:color="auto" w:fill="auto"/>
          </w:tcPr>
          <w:p w14:paraId="45A1B79E" w14:textId="77777777" w:rsidR="00D21457" w:rsidRPr="00461C16" w:rsidRDefault="00D21457" w:rsidP="00D21457">
            <w:pPr>
              <w:jc w:val="left"/>
              <w:rPr>
                <w:color w:val="000000"/>
                <w:sz w:val="20"/>
              </w:rPr>
            </w:pPr>
            <w:r w:rsidRPr="00461C16">
              <w:rPr>
                <w:color w:val="000000"/>
                <w:sz w:val="20"/>
              </w:rPr>
              <w:t>městská vila s boční věží, průběžná mezipatrová štuková římsa, štukový dekor v nadpraží oken</w:t>
            </w:r>
          </w:p>
        </w:tc>
      </w:tr>
      <w:tr w:rsidR="00D21457" w:rsidRPr="00461C16" w14:paraId="2434A115" w14:textId="77777777" w:rsidTr="00D21457">
        <w:trPr>
          <w:cantSplit/>
        </w:trPr>
        <w:tc>
          <w:tcPr>
            <w:tcW w:w="2410" w:type="dxa"/>
            <w:shd w:val="clear" w:color="auto" w:fill="auto"/>
          </w:tcPr>
          <w:p w14:paraId="7BB5389F" w14:textId="77777777" w:rsidR="00D21457" w:rsidRPr="00461C16" w:rsidRDefault="00D21457" w:rsidP="004B2D25">
            <w:pPr>
              <w:pStyle w:val="ListParagraph"/>
              <w:numPr>
                <w:ilvl w:val="0"/>
                <w:numId w:val="68"/>
              </w:numPr>
              <w:jc w:val="left"/>
              <w:rPr>
                <w:color w:val="000000"/>
                <w:sz w:val="20"/>
              </w:rPr>
            </w:pPr>
            <w:r w:rsidRPr="00461C16">
              <w:rPr>
                <w:color w:val="000000"/>
                <w:sz w:val="20"/>
              </w:rPr>
              <w:t>Václavská 9</w:t>
            </w:r>
          </w:p>
        </w:tc>
        <w:tc>
          <w:tcPr>
            <w:tcW w:w="6771" w:type="dxa"/>
            <w:shd w:val="clear" w:color="auto" w:fill="auto"/>
          </w:tcPr>
          <w:p w14:paraId="724A3733" w14:textId="77777777" w:rsidR="00D21457" w:rsidRPr="00461C16" w:rsidRDefault="00D21457" w:rsidP="00D21457">
            <w:pPr>
              <w:jc w:val="left"/>
              <w:rPr>
                <w:color w:val="000000"/>
                <w:sz w:val="20"/>
              </w:rPr>
            </w:pPr>
            <w:r w:rsidRPr="00461C16">
              <w:rPr>
                <w:color w:val="000000"/>
                <w:sz w:val="20"/>
              </w:rPr>
              <w:t>stavení s hrázděnou konstrukcí, v přízemí sloupky a naznačeným loubím</w:t>
            </w:r>
          </w:p>
        </w:tc>
      </w:tr>
      <w:tr w:rsidR="00D21457" w:rsidRPr="00461C16" w14:paraId="3CC37FCB" w14:textId="77777777" w:rsidTr="00D21457">
        <w:trPr>
          <w:cantSplit/>
        </w:trPr>
        <w:tc>
          <w:tcPr>
            <w:tcW w:w="2410" w:type="dxa"/>
            <w:shd w:val="clear" w:color="auto" w:fill="auto"/>
          </w:tcPr>
          <w:p w14:paraId="1214585B" w14:textId="77777777" w:rsidR="00D21457" w:rsidRPr="00461C16" w:rsidRDefault="00D21457" w:rsidP="004B2D25">
            <w:pPr>
              <w:pStyle w:val="ListParagraph"/>
              <w:numPr>
                <w:ilvl w:val="0"/>
                <w:numId w:val="68"/>
              </w:numPr>
              <w:jc w:val="left"/>
              <w:rPr>
                <w:color w:val="000000"/>
                <w:sz w:val="20"/>
              </w:rPr>
            </w:pPr>
            <w:r w:rsidRPr="00461C16">
              <w:rPr>
                <w:color w:val="000000"/>
                <w:sz w:val="20"/>
              </w:rPr>
              <w:t>Větrná 411</w:t>
            </w:r>
          </w:p>
        </w:tc>
        <w:tc>
          <w:tcPr>
            <w:tcW w:w="6771" w:type="dxa"/>
            <w:shd w:val="clear" w:color="auto" w:fill="auto"/>
          </w:tcPr>
          <w:p w14:paraId="318E579A" w14:textId="77777777" w:rsidR="00D21457" w:rsidRPr="00461C16" w:rsidRDefault="00D21457" w:rsidP="00D21457">
            <w:pPr>
              <w:jc w:val="left"/>
              <w:rPr>
                <w:color w:val="000000"/>
                <w:sz w:val="20"/>
              </w:rPr>
            </w:pPr>
            <w:r w:rsidRPr="00461C16">
              <w:rPr>
                <w:color w:val="000000"/>
                <w:sz w:val="20"/>
              </w:rPr>
              <w:t>dřevěná přístavba bytového domu s dekorativním vstupním portálem a vyřezávanými sloupky</w:t>
            </w:r>
          </w:p>
        </w:tc>
      </w:tr>
      <w:tr w:rsidR="00D21457" w:rsidRPr="00461C16" w14:paraId="66C15731" w14:textId="77777777" w:rsidTr="00D21457">
        <w:trPr>
          <w:cantSplit/>
        </w:trPr>
        <w:tc>
          <w:tcPr>
            <w:tcW w:w="2410" w:type="dxa"/>
            <w:shd w:val="clear" w:color="auto" w:fill="auto"/>
          </w:tcPr>
          <w:p w14:paraId="330A6836" w14:textId="77777777" w:rsidR="00D21457" w:rsidRPr="00461C16" w:rsidRDefault="00D21457" w:rsidP="004B2D25">
            <w:pPr>
              <w:pStyle w:val="ListParagraph"/>
              <w:numPr>
                <w:ilvl w:val="0"/>
                <w:numId w:val="68"/>
              </w:numPr>
              <w:jc w:val="left"/>
              <w:rPr>
                <w:color w:val="000000"/>
                <w:sz w:val="20"/>
              </w:rPr>
            </w:pPr>
            <w:r w:rsidRPr="00461C16">
              <w:rPr>
                <w:color w:val="000000"/>
                <w:sz w:val="20"/>
              </w:rPr>
              <w:t>Větrná 418</w:t>
            </w:r>
            <w:r w:rsidR="00B345B4" w:rsidRPr="00461C16">
              <w:rPr>
                <w:color w:val="000000"/>
                <w:sz w:val="20"/>
              </w:rPr>
              <w:t xml:space="preserve"> </w:t>
            </w:r>
            <w:r w:rsidRPr="00461C16">
              <w:rPr>
                <w:color w:val="000000"/>
                <w:sz w:val="20"/>
              </w:rPr>
              <w:t xml:space="preserve"> </w:t>
            </w:r>
          </w:p>
        </w:tc>
        <w:tc>
          <w:tcPr>
            <w:tcW w:w="6771" w:type="dxa"/>
            <w:shd w:val="clear" w:color="auto" w:fill="auto"/>
          </w:tcPr>
          <w:p w14:paraId="314CB4D0" w14:textId="77777777" w:rsidR="00D21457" w:rsidRPr="00461C16" w:rsidRDefault="00D21457" w:rsidP="00D21457">
            <w:pPr>
              <w:jc w:val="left"/>
              <w:rPr>
                <w:color w:val="000000"/>
                <w:sz w:val="20"/>
              </w:rPr>
            </w:pPr>
            <w:r w:rsidRPr="00461C16">
              <w:rPr>
                <w:color w:val="000000"/>
                <w:sz w:val="20"/>
              </w:rPr>
              <w:t>historický výrobní objekt s vertikálními lizénami v režném zdivu, zděným plasticky dekorovaným horizontálním pásem pod korunní římsou a obloukovými štíty na podélné fasádě</w:t>
            </w:r>
          </w:p>
        </w:tc>
      </w:tr>
      <w:tr w:rsidR="00D21457" w:rsidRPr="00461C16" w14:paraId="04C1A158" w14:textId="77777777" w:rsidTr="00D21457">
        <w:trPr>
          <w:cantSplit/>
        </w:trPr>
        <w:tc>
          <w:tcPr>
            <w:tcW w:w="2410" w:type="dxa"/>
            <w:shd w:val="clear" w:color="auto" w:fill="auto"/>
          </w:tcPr>
          <w:p w14:paraId="223AE585" w14:textId="77777777" w:rsidR="00D21457" w:rsidRPr="00461C16" w:rsidRDefault="00D21457" w:rsidP="004B2D25">
            <w:pPr>
              <w:pStyle w:val="ListParagraph"/>
              <w:numPr>
                <w:ilvl w:val="0"/>
                <w:numId w:val="68"/>
              </w:numPr>
              <w:jc w:val="left"/>
              <w:rPr>
                <w:color w:val="000000"/>
                <w:sz w:val="20"/>
              </w:rPr>
            </w:pPr>
            <w:r w:rsidRPr="00461C16">
              <w:rPr>
                <w:color w:val="000000"/>
                <w:sz w:val="20"/>
              </w:rPr>
              <w:t>Za poštou (parcela st. 144)</w:t>
            </w:r>
          </w:p>
        </w:tc>
        <w:tc>
          <w:tcPr>
            <w:tcW w:w="6771" w:type="dxa"/>
            <w:shd w:val="clear" w:color="auto" w:fill="auto"/>
          </w:tcPr>
          <w:p w14:paraId="4883D650" w14:textId="77777777" w:rsidR="00D21457" w:rsidRPr="00461C16" w:rsidRDefault="00D21457" w:rsidP="00D21457">
            <w:pPr>
              <w:jc w:val="left"/>
              <w:rPr>
                <w:color w:val="000000"/>
                <w:sz w:val="20"/>
              </w:rPr>
            </w:pPr>
            <w:r w:rsidRPr="00461C16">
              <w:rPr>
                <w:color w:val="000000"/>
                <w:sz w:val="20"/>
              </w:rPr>
              <w:t>vstupní objekt historického výrobního areálu z 2.pol. 19. století z režného zdiva (dnešní areál firmy S.A.D.A.C.)</w:t>
            </w:r>
          </w:p>
        </w:tc>
      </w:tr>
      <w:tr w:rsidR="00D21457" w:rsidRPr="00461C16" w14:paraId="5C2A9DC5" w14:textId="77777777" w:rsidTr="00D21457">
        <w:trPr>
          <w:cantSplit/>
        </w:trPr>
        <w:tc>
          <w:tcPr>
            <w:tcW w:w="2410" w:type="dxa"/>
            <w:shd w:val="clear" w:color="auto" w:fill="auto"/>
          </w:tcPr>
          <w:p w14:paraId="13575E20" w14:textId="77777777" w:rsidR="00D21457" w:rsidRPr="00461C16" w:rsidRDefault="00D21457" w:rsidP="004B2D25">
            <w:pPr>
              <w:pStyle w:val="ListParagraph"/>
              <w:numPr>
                <w:ilvl w:val="0"/>
                <w:numId w:val="68"/>
              </w:numPr>
              <w:jc w:val="left"/>
              <w:rPr>
                <w:color w:val="000000"/>
                <w:sz w:val="20"/>
              </w:rPr>
            </w:pPr>
            <w:r w:rsidRPr="00461C16">
              <w:rPr>
                <w:color w:val="000000"/>
                <w:sz w:val="20"/>
              </w:rPr>
              <w:t>Za poštou 288</w:t>
            </w:r>
          </w:p>
        </w:tc>
        <w:tc>
          <w:tcPr>
            <w:tcW w:w="6771" w:type="dxa"/>
            <w:shd w:val="clear" w:color="auto" w:fill="auto"/>
          </w:tcPr>
          <w:p w14:paraId="19C2AB19" w14:textId="77777777" w:rsidR="00D21457" w:rsidRPr="00461C16" w:rsidRDefault="00D21457" w:rsidP="00D21457">
            <w:pPr>
              <w:jc w:val="left"/>
              <w:rPr>
                <w:color w:val="000000"/>
                <w:sz w:val="20"/>
              </w:rPr>
            </w:pPr>
            <w:r w:rsidRPr="00461C16">
              <w:rPr>
                <w:color w:val="000000"/>
                <w:sz w:val="20"/>
              </w:rPr>
              <w:t>městská vila kombinující režné zdivo v přízemí se zvýrazněnými nárožími a hrázděnou konstrukci v patře</w:t>
            </w:r>
          </w:p>
        </w:tc>
      </w:tr>
      <w:tr w:rsidR="00D21457" w:rsidRPr="00461C16" w14:paraId="2B2DDC72" w14:textId="77777777" w:rsidTr="00D21457">
        <w:trPr>
          <w:cantSplit/>
        </w:trPr>
        <w:tc>
          <w:tcPr>
            <w:tcW w:w="2410" w:type="dxa"/>
            <w:shd w:val="clear" w:color="auto" w:fill="auto"/>
          </w:tcPr>
          <w:p w14:paraId="69F3778A" w14:textId="77777777" w:rsidR="00D21457" w:rsidRPr="00461C16" w:rsidRDefault="00D21457" w:rsidP="004B2D25">
            <w:pPr>
              <w:pStyle w:val="ListParagraph"/>
              <w:numPr>
                <w:ilvl w:val="0"/>
                <w:numId w:val="68"/>
              </w:numPr>
              <w:jc w:val="left"/>
              <w:rPr>
                <w:color w:val="000000"/>
                <w:sz w:val="20"/>
              </w:rPr>
            </w:pPr>
            <w:r w:rsidRPr="00461C16">
              <w:rPr>
                <w:color w:val="000000"/>
                <w:sz w:val="20"/>
              </w:rPr>
              <w:t>slepá ul. mezi ul. Za poštou a Husova</w:t>
            </w:r>
          </w:p>
        </w:tc>
        <w:tc>
          <w:tcPr>
            <w:tcW w:w="6771" w:type="dxa"/>
            <w:shd w:val="clear" w:color="auto" w:fill="auto"/>
          </w:tcPr>
          <w:p w14:paraId="3C3DD554" w14:textId="77777777" w:rsidR="00D21457" w:rsidRPr="00461C16" w:rsidRDefault="00D21457" w:rsidP="00D21457">
            <w:pPr>
              <w:jc w:val="left"/>
              <w:rPr>
                <w:color w:val="000000"/>
                <w:sz w:val="20"/>
              </w:rPr>
            </w:pPr>
            <w:r w:rsidRPr="00461C16">
              <w:rPr>
                <w:color w:val="000000"/>
                <w:sz w:val="20"/>
              </w:rPr>
              <w:t>řadové rodinné domy z režného zdiva odkazující na průmyslovou tradici 19. století</w:t>
            </w:r>
          </w:p>
        </w:tc>
      </w:tr>
      <w:tr w:rsidR="00D21457" w:rsidRPr="00461C16" w14:paraId="33C0C863" w14:textId="77777777" w:rsidTr="00D21457">
        <w:trPr>
          <w:cantSplit/>
        </w:trPr>
        <w:tc>
          <w:tcPr>
            <w:tcW w:w="2410" w:type="dxa"/>
            <w:shd w:val="clear" w:color="auto" w:fill="auto"/>
          </w:tcPr>
          <w:p w14:paraId="196ECE98" w14:textId="77777777" w:rsidR="00D21457" w:rsidRPr="00461C16" w:rsidRDefault="00D21457" w:rsidP="004B2D25">
            <w:pPr>
              <w:pStyle w:val="ListParagraph"/>
              <w:numPr>
                <w:ilvl w:val="0"/>
                <w:numId w:val="68"/>
              </w:numPr>
              <w:jc w:val="left"/>
              <w:rPr>
                <w:color w:val="000000"/>
                <w:sz w:val="20"/>
              </w:rPr>
            </w:pPr>
            <w:r w:rsidRPr="00461C16">
              <w:rPr>
                <w:color w:val="000000"/>
                <w:sz w:val="20"/>
              </w:rPr>
              <w:t>Zahradní 277</w:t>
            </w:r>
          </w:p>
        </w:tc>
        <w:tc>
          <w:tcPr>
            <w:tcW w:w="6771" w:type="dxa"/>
            <w:shd w:val="clear" w:color="auto" w:fill="auto"/>
          </w:tcPr>
          <w:p w14:paraId="4AF85424" w14:textId="77777777" w:rsidR="00D21457" w:rsidRPr="00461C16" w:rsidRDefault="00D21457" w:rsidP="00D21457">
            <w:pPr>
              <w:jc w:val="left"/>
              <w:rPr>
                <w:color w:val="000000"/>
                <w:sz w:val="20"/>
              </w:rPr>
            </w:pPr>
            <w:r w:rsidRPr="00461C16">
              <w:rPr>
                <w:color w:val="000000"/>
                <w:sz w:val="20"/>
              </w:rPr>
              <w:t>městská vila s nárožní věží, plastickými nadokenními římsami a frontony</w:t>
            </w:r>
          </w:p>
        </w:tc>
      </w:tr>
      <w:tr w:rsidR="00D21457" w:rsidRPr="00461C16" w14:paraId="0DAC80FF" w14:textId="77777777" w:rsidTr="00D21457">
        <w:trPr>
          <w:cantSplit/>
        </w:trPr>
        <w:tc>
          <w:tcPr>
            <w:tcW w:w="2410" w:type="dxa"/>
            <w:shd w:val="clear" w:color="auto" w:fill="auto"/>
          </w:tcPr>
          <w:p w14:paraId="05D4599B" w14:textId="77777777" w:rsidR="00D21457" w:rsidRPr="00461C16" w:rsidRDefault="00D21457" w:rsidP="004B2D25">
            <w:pPr>
              <w:pStyle w:val="ListParagraph"/>
              <w:numPr>
                <w:ilvl w:val="0"/>
                <w:numId w:val="68"/>
              </w:numPr>
              <w:jc w:val="left"/>
              <w:rPr>
                <w:color w:val="000000"/>
                <w:sz w:val="20"/>
              </w:rPr>
            </w:pPr>
            <w:r w:rsidRPr="00461C16">
              <w:rPr>
                <w:color w:val="000000"/>
                <w:sz w:val="20"/>
              </w:rPr>
              <w:t>Žitavská 215</w:t>
            </w:r>
          </w:p>
        </w:tc>
        <w:tc>
          <w:tcPr>
            <w:tcW w:w="6771" w:type="dxa"/>
            <w:shd w:val="clear" w:color="auto" w:fill="auto"/>
          </w:tcPr>
          <w:p w14:paraId="3E7E4868" w14:textId="77777777" w:rsidR="00D21457" w:rsidRPr="00461C16" w:rsidRDefault="00D21457" w:rsidP="00D21457">
            <w:pPr>
              <w:jc w:val="left"/>
              <w:rPr>
                <w:color w:val="000000"/>
                <w:sz w:val="20"/>
              </w:rPr>
            </w:pPr>
            <w:r w:rsidRPr="00461C16">
              <w:rPr>
                <w:color w:val="000000"/>
                <w:sz w:val="20"/>
              </w:rPr>
              <w:t>roubené venkovské stavení se sloupky a naznačeným loubím v přízemí, dřevěný štít s polovalbovou střechou</w:t>
            </w:r>
          </w:p>
        </w:tc>
      </w:tr>
      <w:tr w:rsidR="00D21457" w:rsidRPr="00461C16" w14:paraId="7906CC78" w14:textId="77777777" w:rsidTr="00D21457">
        <w:trPr>
          <w:cantSplit/>
        </w:trPr>
        <w:tc>
          <w:tcPr>
            <w:tcW w:w="2410" w:type="dxa"/>
            <w:shd w:val="clear" w:color="auto" w:fill="auto"/>
          </w:tcPr>
          <w:p w14:paraId="2DDD677E" w14:textId="77777777" w:rsidR="00D21457" w:rsidRPr="00461C16" w:rsidRDefault="00D21457" w:rsidP="004B2D25">
            <w:pPr>
              <w:pStyle w:val="ListParagraph"/>
              <w:numPr>
                <w:ilvl w:val="0"/>
                <w:numId w:val="68"/>
              </w:numPr>
              <w:jc w:val="left"/>
              <w:rPr>
                <w:color w:val="000000"/>
                <w:sz w:val="20"/>
              </w:rPr>
            </w:pPr>
            <w:r w:rsidRPr="00461C16">
              <w:rPr>
                <w:color w:val="000000"/>
                <w:sz w:val="20"/>
              </w:rPr>
              <w:t>Žitavská 407</w:t>
            </w:r>
          </w:p>
        </w:tc>
        <w:tc>
          <w:tcPr>
            <w:tcW w:w="6771" w:type="dxa"/>
            <w:shd w:val="clear" w:color="auto" w:fill="auto"/>
          </w:tcPr>
          <w:p w14:paraId="21D810BC" w14:textId="77777777" w:rsidR="00D21457" w:rsidRPr="00461C16" w:rsidRDefault="00D21457" w:rsidP="00D21457">
            <w:pPr>
              <w:jc w:val="left"/>
              <w:rPr>
                <w:color w:val="000000"/>
                <w:sz w:val="20"/>
              </w:rPr>
            </w:pPr>
            <w:r w:rsidRPr="00461C16">
              <w:rPr>
                <w:color w:val="000000"/>
                <w:sz w:val="20"/>
              </w:rPr>
              <w:t>městská vila, na průčelí i boční fasádě s rizality zakončenými obloukovým štítem, horizonální a vertikální lizény, štukový dekor v nadpraží oken</w:t>
            </w:r>
          </w:p>
        </w:tc>
      </w:tr>
      <w:tr w:rsidR="00D21457" w:rsidRPr="00461C16" w14:paraId="04023800" w14:textId="77777777" w:rsidTr="00D21457">
        <w:trPr>
          <w:cantSplit/>
        </w:trPr>
        <w:tc>
          <w:tcPr>
            <w:tcW w:w="2410" w:type="dxa"/>
            <w:shd w:val="clear" w:color="auto" w:fill="auto"/>
          </w:tcPr>
          <w:p w14:paraId="14DEFF13" w14:textId="77777777" w:rsidR="00D21457" w:rsidRPr="00461C16" w:rsidRDefault="00D21457" w:rsidP="004B2D25">
            <w:pPr>
              <w:pStyle w:val="ListParagraph"/>
              <w:numPr>
                <w:ilvl w:val="0"/>
                <w:numId w:val="68"/>
              </w:numPr>
              <w:jc w:val="left"/>
              <w:rPr>
                <w:color w:val="000000"/>
                <w:sz w:val="20"/>
              </w:rPr>
            </w:pPr>
            <w:r w:rsidRPr="00461C16">
              <w:rPr>
                <w:color w:val="000000"/>
                <w:sz w:val="20"/>
              </w:rPr>
              <w:t>Žitavská 417</w:t>
            </w:r>
          </w:p>
        </w:tc>
        <w:tc>
          <w:tcPr>
            <w:tcW w:w="6771" w:type="dxa"/>
            <w:shd w:val="clear" w:color="auto" w:fill="auto"/>
          </w:tcPr>
          <w:p w14:paraId="49EC2989" w14:textId="77777777" w:rsidR="00D21457" w:rsidRPr="00461C16" w:rsidRDefault="00D21457" w:rsidP="00D21457">
            <w:pPr>
              <w:jc w:val="left"/>
              <w:rPr>
                <w:color w:val="000000"/>
                <w:sz w:val="20"/>
              </w:rPr>
            </w:pPr>
            <w:r w:rsidRPr="00461C16">
              <w:rPr>
                <w:color w:val="000000"/>
                <w:sz w:val="20"/>
              </w:rPr>
              <w:t>městská vila z 30.let s dekorativní</w:t>
            </w:r>
            <w:r w:rsidR="00023A6C">
              <w:rPr>
                <w:color w:val="000000"/>
                <w:sz w:val="20"/>
              </w:rPr>
              <w:t>m</w:t>
            </w:r>
            <w:r w:rsidRPr="00461C16">
              <w:rPr>
                <w:color w:val="000000"/>
                <w:sz w:val="20"/>
              </w:rPr>
              <w:t xml:space="preserve"> vlysem pod korunní římsou a štukovým horizontálním páskem na fasádě </w:t>
            </w:r>
          </w:p>
        </w:tc>
      </w:tr>
      <w:tr w:rsidR="00D21457" w:rsidRPr="00461C16" w14:paraId="30D5651C" w14:textId="77777777" w:rsidTr="00D21457">
        <w:trPr>
          <w:cantSplit/>
        </w:trPr>
        <w:tc>
          <w:tcPr>
            <w:tcW w:w="2410" w:type="dxa"/>
            <w:shd w:val="clear" w:color="auto" w:fill="auto"/>
          </w:tcPr>
          <w:p w14:paraId="642B198F" w14:textId="77777777" w:rsidR="00D21457" w:rsidRPr="00461C16" w:rsidRDefault="00D21457" w:rsidP="004B2D25">
            <w:pPr>
              <w:pStyle w:val="ListParagraph"/>
              <w:numPr>
                <w:ilvl w:val="0"/>
                <w:numId w:val="68"/>
              </w:numPr>
              <w:jc w:val="left"/>
              <w:rPr>
                <w:color w:val="000000"/>
                <w:sz w:val="20"/>
              </w:rPr>
            </w:pPr>
            <w:r w:rsidRPr="00461C16">
              <w:rPr>
                <w:color w:val="000000"/>
                <w:sz w:val="20"/>
              </w:rPr>
              <w:t>Žitavská 99</w:t>
            </w:r>
          </w:p>
        </w:tc>
        <w:tc>
          <w:tcPr>
            <w:tcW w:w="6771" w:type="dxa"/>
            <w:shd w:val="clear" w:color="auto" w:fill="auto"/>
          </w:tcPr>
          <w:p w14:paraId="648080AD" w14:textId="77777777" w:rsidR="00D21457" w:rsidRPr="00461C16" w:rsidRDefault="00D21457" w:rsidP="00D21457">
            <w:pPr>
              <w:jc w:val="left"/>
              <w:rPr>
                <w:color w:val="000000"/>
                <w:sz w:val="20"/>
              </w:rPr>
            </w:pPr>
            <w:r w:rsidRPr="00461C16">
              <w:rPr>
                <w:color w:val="000000"/>
                <w:sz w:val="20"/>
              </w:rPr>
              <w:t>historický bytový dům, na průčelí rizalit zakončený tympanonem s bohatou štukovou výzdobou</w:t>
            </w:r>
          </w:p>
        </w:tc>
      </w:tr>
      <w:tr w:rsidR="00D21457" w:rsidRPr="00461C16" w14:paraId="27A84F5D" w14:textId="77777777" w:rsidTr="00D21457">
        <w:trPr>
          <w:cantSplit/>
        </w:trPr>
        <w:tc>
          <w:tcPr>
            <w:tcW w:w="2410" w:type="dxa"/>
            <w:shd w:val="clear" w:color="auto" w:fill="auto"/>
          </w:tcPr>
          <w:p w14:paraId="0594AB1B" w14:textId="77777777" w:rsidR="00D21457" w:rsidRPr="00461C16" w:rsidRDefault="00D21457" w:rsidP="004B2D25">
            <w:pPr>
              <w:pStyle w:val="ListParagraph"/>
              <w:numPr>
                <w:ilvl w:val="0"/>
                <w:numId w:val="68"/>
              </w:numPr>
              <w:jc w:val="left"/>
              <w:rPr>
                <w:color w:val="000000"/>
                <w:sz w:val="20"/>
              </w:rPr>
            </w:pPr>
            <w:r w:rsidRPr="00461C16">
              <w:rPr>
                <w:color w:val="000000"/>
                <w:sz w:val="20"/>
              </w:rPr>
              <w:t>Žitavská x Žižkova čp. 401</w:t>
            </w:r>
          </w:p>
        </w:tc>
        <w:tc>
          <w:tcPr>
            <w:tcW w:w="6771" w:type="dxa"/>
            <w:shd w:val="clear" w:color="auto" w:fill="auto"/>
          </w:tcPr>
          <w:p w14:paraId="3374ECAC" w14:textId="77777777" w:rsidR="00D21457" w:rsidRPr="00461C16" w:rsidRDefault="00D21457" w:rsidP="00D21457">
            <w:pPr>
              <w:jc w:val="left"/>
              <w:rPr>
                <w:color w:val="000000"/>
                <w:sz w:val="20"/>
              </w:rPr>
            </w:pPr>
            <w:r w:rsidRPr="00461C16">
              <w:rPr>
                <w:color w:val="000000"/>
                <w:sz w:val="20"/>
              </w:rPr>
              <w:t>městská vila s nárožním rizalitem a věží, nároží zvýrazněné pilastry s iónskými hlavicemi, nadokenní frontony</w:t>
            </w:r>
          </w:p>
        </w:tc>
      </w:tr>
    </w:tbl>
    <w:p w14:paraId="7EF96432" w14:textId="77777777" w:rsidR="00D21457" w:rsidRPr="00461C16" w:rsidRDefault="00D21457" w:rsidP="00A76D14">
      <w:pPr>
        <w:pStyle w:val="b-pismeno"/>
        <w:numPr>
          <w:ilvl w:val="0"/>
          <w:numId w:val="0"/>
        </w:numPr>
        <w:spacing w:before="240"/>
        <w:ind w:left="426"/>
      </w:pPr>
      <w:r w:rsidRPr="00461C16">
        <w:t>LOUČNÁ</w:t>
      </w:r>
    </w:p>
    <w:tbl>
      <w:tblPr>
        <w:tblW w:w="0" w:type="auto"/>
        <w:tblInd w:w="108" w:type="dxa"/>
        <w:tblLook w:val="04A0" w:firstRow="1" w:lastRow="0" w:firstColumn="1" w:lastColumn="0" w:noHBand="0" w:noVBand="1"/>
      </w:tblPr>
      <w:tblGrid>
        <w:gridCol w:w="2410"/>
        <w:gridCol w:w="6770"/>
      </w:tblGrid>
      <w:tr w:rsidR="00D21457" w:rsidRPr="00461C16" w14:paraId="3F1B88A0" w14:textId="77777777" w:rsidTr="00D21457">
        <w:tc>
          <w:tcPr>
            <w:tcW w:w="2410" w:type="dxa"/>
            <w:shd w:val="clear" w:color="auto" w:fill="auto"/>
          </w:tcPr>
          <w:p w14:paraId="4085C1F5" w14:textId="77777777" w:rsidR="00D21457" w:rsidRPr="00461C16" w:rsidRDefault="00D21457" w:rsidP="004B2D25">
            <w:pPr>
              <w:pStyle w:val="ListParagraph"/>
              <w:numPr>
                <w:ilvl w:val="0"/>
                <w:numId w:val="68"/>
              </w:numPr>
              <w:jc w:val="left"/>
              <w:rPr>
                <w:color w:val="000000"/>
                <w:sz w:val="20"/>
              </w:rPr>
            </w:pPr>
            <w:r w:rsidRPr="00461C16">
              <w:rPr>
                <w:color w:val="000000"/>
                <w:sz w:val="20"/>
              </w:rPr>
              <w:t>Lipová 34</w:t>
            </w:r>
            <w:r w:rsidR="00B345B4" w:rsidRPr="00461C16">
              <w:rPr>
                <w:color w:val="000000"/>
                <w:sz w:val="20"/>
              </w:rPr>
              <w:t xml:space="preserve"> </w:t>
            </w:r>
          </w:p>
        </w:tc>
        <w:tc>
          <w:tcPr>
            <w:tcW w:w="6770" w:type="dxa"/>
            <w:shd w:val="clear" w:color="auto" w:fill="auto"/>
          </w:tcPr>
          <w:p w14:paraId="666EAE24" w14:textId="77777777" w:rsidR="00D21457" w:rsidRPr="00461C16" w:rsidRDefault="00D21457" w:rsidP="00D21457">
            <w:pPr>
              <w:jc w:val="left"/>
              <w:rPr>
                <w:color w:val="000000"/>
                <w:sz w:val="20"/>
              </w:rPr>
            </w:pPr>
            <w:r w:rsidRPr="00461C16">
              <w:rPr>
                <w:color w:val="000000"/>
                <w:sz w:val="20"/>
              </w:rPr>
              <w:t>venkovský obytný dům s hrázděnou konstrukcí patra</w:t>
            </w:r>
          </w:p>
        </w:tc>
      </w:tr>
      <w:tr w:rsidR="00D21457" w:rsidRPr="00461C16" w14:paraId="4A258184" w14:textId="77777777" w:rsidTr="00D21457">
        <w:tc>
          <w:tcPr>
            <w:tcW w:w="2410" w:type="dxa"/>
            <w:shd w:val="clear" w:color="auto" w:fill="auto"/>
          </w:tcPr>
          <w:p w14:paraId="1E552B08" w14:textId="77777777" w:rsidR="00D21457" w:rsidRPr="00461C16" w:rsidRDefault="00D21457" w:rsidP="004B2D25">
            <w:pPr>
              <w:pStyle w:val="ListParagraph"/>
              <w:numPr>
                <w:ilvl w:val="0"/>
                <w:numId w:val="68"/>
              </w:numPr>
              <w:jc w:val="left"/>
              <w:rPr>
                <w:color w:val="000000"/>
                <w:sz w:val="20"/>
              </w:rPr>
            </w:pPr>
            <w:r w:rsidRPr="00461C16">
              <w:rPr>
                <w:color w:val="000000"/>
                <w:sz w:val="20"/>
              </w:rPr>
              <w:t>Hartavská 269</w:t>
            </w:r>
          </w:p>
        </w:tc>
        <w:tc>
          <w:tcPr>
            <w:tcW w:w="6770" w:type="dxa"/>
            <w:shd w:val="clear" w:color="auto" w:fill="auto"/>
          </w:tcPr>
          <w:p w14:paraId="4460A1A1" w14:textId="77777777" w:rsidR="00D21457" w:rsidRPr="00461C16" w:rsidRDefault="00D21457" w:rsidP="00D21457">
            <w:pPr>
              <w:jc w:val="left"/>
              <w:rPr>
                <w:color w:val="000000"/>
                <w:sz w:val="20"/>
              </w:rPr>
            </w:pPr>
            <w:r w:rsidRPr="00461C16">
              <w:rPr>
                <w:color w:val="000000"/>
                <w:sz w:val="20"/>
              </w:rPr>
              <w:t>rodinný dům s mansardovou střechou a fasádou z režného zdiva</w:t>
            </w:r>
          </w:p>
        </w:tc>
      </w:tr>
    </w:tbl>
    <w:p w14:paraId="1BE6919A" w14:textId="77777777" w:rsidR="00D21457" w:rsidRPr="00461C16" w:rsidRDefault="00D21457" w:rsidP="00A76D14">
      <w:pPr>
        <w:pStyle w:val="b-pismeno"/>
        <w:numPr>
          <w:ilvl w:val="0"/>
          <w:numId w:val="0"/>
        </w:numPr>
        <w:spacing w:before="240"/>
        <w:ind w:left="426"/>
      </w:pPr>
      <w:r w:rsidRPr="00461C16">
        <w:t>DONÍN</w:t>
      </w:r>
    </w:p>
    <w:tbl>
      <w:tblPr>
        <w:tblW w:w="0" w:type="auto"/>
        <w:tblInd w:w="108" w:type="dxa"/>
        <w:tblLook w:val="04A0" w:firstRow="1" w:lastRow="0" w:firstColumn="1" w:lastColumn="0" w:noHBand="0" w:noVBand="1"/>
      </w:tblPr>
      <w:tblGrid>
        <w:gridCol w:w="2410"/>
        <w:gridCol w:w="6770"/>
      </w:tblGrid>
      <w:tr w:rsidR="00D21457" w:rsidRPr="00461C16" w14:paraId="35DFF076" w14:textId="77777777" w:rsidTr="00D21457">
        <w:tc>
          <w:tcPr>
            <w:tcW w:w="2410" w:type="dxa"/>
            <w:shd w:val="clear" w:color="auto" w:fill="auto"/>
          </w:tcPr>
          <w:p w14:paraId="776C82F4" w14:textId="77777777" w:rsidR="00D21457" w:rsidRPr="00461C16" w:rsidRDefault="00D21457" w:rsidP="004B2D25">
            <w:pPr>
              <w:pStyle w:val="ListParagraph"/>
              <w:numPr>
                <w:ilvl w:val="0"/>
                <w:numId w:val="68"/>
              </w:numPr>
              <w:jc w:val="left"/>
              <w:rPr>
                <w:color w:val="000000"/>
                <w:sz w:val="20"/>
              </w:rPr>
            </w:pPr>
            <w:r w:rsidRPr="00461C16">
              <w:rPr>
                <w:color w:val="000000"/>
                <w:sz w:val="20"/>
              </w:rPr>
              <w:t>Donínská 3</w:t>
            </w:r>
          </w:p>
        </w:tc>
        <w:tc>
          <w:tcPr>
            <w:tcW w:w="6770" w:type="dxa"/>
            <w:shd w:val="clear" w:color="auto" w:fill="auto"/>
          </w:tcPr>
          <w:p w14:paraId="18E8CBD2" w14:textId="77777777" w:rsidR="00D21457" w:rsidRPr="00461C16" w:rsidRDefault="00D21457" w:rsidP="00D21457">
            <w:pPr>
              <w:jc w:val="left"/>
              <w:rPr>
                <w:color w:val="000000"/>
                <w:sz w:val="20"/>
              </w:rPr>
            </w:pPr>
            <w:r w:rsidRPr="00461C16">
              <w:rPr>
                <w:color w:val="000000"/>
                <w:sz w:val="20"/>
              </w:rPr>
              <w:t xml:space="preserve">venkovské stavení s částečně zachovanou hrázděnou konstrukcí a dřevěným štítem </w:t>
            </w:r>
          </w:p>
        </w:tc>
      </w:tr>
      <w:tr w:rsidR="00D21457" w:rsidRPr="00461C16" w14:paraId="7D29C0E9" w14:textId="77777777" w:rsidTr="00D21457">
        <w:tc>
          <w:tcPr>
            <w:tcW w:w="2410" w:type="dxa"/>
            <w:shd w:val="clear" w:color="auto" w:fill="auto"/>
          </w:tcPr>
          <w:p w14:paraId="6B18A90B" w14:textId="77777777" w:rsidR="00D21457" w:rsidRPr="00461C16" w:rsidRDefault="00D21457" w:rsidP="004B2D25">
            <w:pPr>
              <w:pStyle w:val="ListParagraph"/>
              <w:numPr>
                <w:ilvl w:val="0"/>
                <w:numId w:val="68"/>
              </w:numPr>
              <w:jc w:val="left"/>
              <w:rPr>
                <w:color w:val="000000"/>
                <w:sz w:val="20"/>
              </w:rPr>
            </w:pPr>
            <w:r w:rsidRPr="00461C16">
              <w:rPr>
                <w:color w:val="000000"/>
                <w:sz w:val="20"/>
              </w:rPr>
              <w:t>Donínská 83</w:t>
            </w:r>
          </w:p>
        </w:tc>
        <w:tc>
          <w:tcPr>
            <w:tcW w:w="6770" w:type="dxa"/>
            <w:shd w:val="clear" w:color="auto" w:fill="auto"/>
          </w:tcPr>
          <w:p w14:paraId="2C1A0475" w14:textId="77777777" w:rsidR="00D21457" w:rsidRPr="00461C16" w:rsidRDefault="00D21457" w:rsidP="00D21457">
            <w:pPr>
              <w:jc w:val="left"/>
              <w:rPr>
                <w:color w:val="000000"/>
                <w:sz w:val="20"/>
              </w:rPr>
            </w:pPr>
            <w:r w:rsidRPr="00461C16">
              <w:rPr>
                <w:color w:val="000000"/>
                <w:sz w:val="20"/>
              </w:rPr>
              <w:t>historický správní objekt výrobního areálu, s podloubím a zvýrazněným nárožím</w:t>
            </w:r>
          </w:p>
        </w:tc>
      </w:tr>
      <w:tr w:rsidR="00D21457" w:rsidRPr="00461C16" w14:paraId="12B99155" w14:textId="77777777" w:rsidTr="00D21457">
        <w:tc>
          <w:tcPr>
            <w:tcW w:w="2410" w:type="dxa"/>
            <w:shd w:val="clear" w:color="auto" w:fill="auto"/>
          </w:tcPr>
          <w:p w14:paraId="45DAA4A1" w14:textId="77777777" w:rsidR="00D21457" w:rsidRPr="00461C16" w:rsidRDefault="00D21457" w:rsidP="00B83AAD">
            <w:pPr>
              <w:pStyle w:val="ListParagraph"/>
              <w:numPr>
                <w:ilvl w:val="0"/>
                <w:numId w:val="68"/>
              </w:numPr>
              <w:jc w:val="left"/>
              <w:rPr>
                <w:color w:val="000000"/>
                <w:sz w:val="20"/>
              </w:rPr>
            </w:pPr>
            <w:r w:rsidRPr="00461C16">
              <w:rPr>
                <w:color w:val="000000"/>
                <w:sz w:val="20"/>
              </w:rPr>
              <w:t>Donínská 138</w:t>
            </w:r>
          </w:p>
        </w:tc>
        <w:tc>
          <w:tcPr>
            <w:tcW w:w="6770" w:type="dxa"/>
            <w:shd w:val="clear" w:color="auto" w:fill="auto"/>
          </w:tcPr>
          <w:p w14:paraId="6FEA833C" w14:textId="77777777" w:rsidR="00D21457" w:rsidRPr="00461C16" w:rsidRDefault="00D21457" w:rsidP="00D21457">
            <w:pPr>
              <w:jc w:val="left"/>
              <w:rPr>
                <w:color w:val="000000"/>
                <w:sz w:val="20"/>
              </w:rPr>
            </w:pPr>
            <w:r w:rsidRPr="00461C16">
              <w:rPr>
                <w:color w:val="000000"/>
                <w:sz w:val="20"/>
              </w:rPr>
              <w:t xml:space="preserve">výrobní areál společnosti NISAP - průmyslová architektura 2.pol. 19.stol, plastická </w:t>
            </w:r>
            <w:r w:rsidRPr="00461C16">
              <w:rPr>
                <w:color w:val="000000"/>
                <w:sz w:val="20"/>
              </w:rPr>
              <w:lastRenderedPageBreak/>
              <w:t>dekorace fasády v režném zdivu, zvýrazněná nároží, obloukovitě zakončená okna, vlys pod korunní římsou</w:t>
            </w:r>
          </w:p>
        </w:tc>
      </w:tr>
      <w:tr w:rsidR="00D21457" w:rsidRPr="00461C16" w14:paraId="3A269E99" w14:textId="77777777" w:rsidTr="00D21457">
        <w:tc>
          <w:tcPr>
            <w:tcW w:w="2410" w:type="dxa"/>
            <w:shd w:val="clear" w:color="auto" w:fill="auto"/>
          </w:tcPr>
          <w:p w14:paraId="74091928" w14:textId="77777777" w:rsidR="00D21457" w:rsidRPr="00461C16" w:rsidRDefault="00D21457" w:rsidP="004B2D25">
            <w:pPr>
              <w:pStyle w:val="ListParagraph"/>
              <w:numPr>
                <w:ilvl w:val="0"/>
                <w:numId w:val="68"/>
              </w:numPr>
              <w:jc w:val="left"/>
              <w:rPr>
                <w:color w:val="000000"/>
                <w:sz w:val="20"/>
              </w:rPr>
            </w:pPr>
            <w:r w:rsidRPr="00461C16">
              <w:rPr>
                <w:color w:val="000000"/>
                <w:sz w:val="20"/>
              </w:rPr>
              <w:lastRenderedPageBreak/>
              <w:t>Donínská 244</w:t>
            </w:r>
          </w:p>
        </w:tc>
        <w:tc>
          <w:tcPr>
            <w:tcW w:w="6770" w:type="dxa"/>
            <w:shd w:val="clear" w:color="auto" w:fill="auto"/>
          </w:tcPr>
          <w:p w14:paraId="1C1704FA" w14:textId="77777777" w:rsidR="00D21457" w:rsidRPr="00461C16" w:rsidRDefault="00D21457" w:rsidP="00D21457">
            <w:pPr>
              <w:jc w:val="left"/>
              <w:rPr>
                <w:color w:val="000000"/>
                <w:sz w:val="20"/>
              </w:rPr>
            </w:pPr>
            <w:r w:rsidRPr="00461C16">
              <w:rPr>
                <w:color w:val="000000"/>
                <w:sz w:val="20"/>
              </w:rPr>
              <w:t>historická budova ZŠ s dekorativními šambránami a štukově zdobenými meziokenními prostory</w:t>
            </w:r>
          </w:p>
        </w:tc>
      </w:tr>
      <w:tr w:rsidR="00D21457" w:rsidRPr="00461C16" w14:paraId="3A6EF3F9" w14:textId="77777777" w:rsidTr="00D21457">
        <w:tc>
          <w:tcPr>
            <w:tcW w:w="2410" w:type="dxa"/>
            <w:shd w:val="clear" w:color="auto" w:fill="auto"/>
          </w:tcPr>
          <w:p w14:paraId="769F1AC3" w14:textId="77777777" w:rsidR="00D21457" w:rsidRPr="00461C16" w:rsidRDefault="00D21457" w:rsidP="004B2D25">
            <w:pPr>
              <w:pStyle w:val="ListParagraph"/>
              <w:numPr>
                <w:ilvl w:val="0"/>
                <w:numId w:val="68"/>
              </w:numPr>
              <w:jc w:val="left"/>
              <w:rPr>
                <w:color w:val="000000"/>
                <w:sz w:val="20"/>
              </w:rPr>
            </w:pPr>
            <w:r w:rsidRPr="00461C16">
              <w:rPr>
                <w:color w:val="000000"/>
                <w:sz w:val="20"/>
              </w:rPr>
              <w:t>Sousedská 381</w:t>
            </w:r>
          </w:p>
        </w:tc>
        <w:tc>
          <w:tcPr>
            <w:tcW w:w="6770" w:type="dxa"/>
            <w:shd w:val="clear" w:color="auto" w:fill="auto"/>
          </w:tcPr>
          <w:p w14:paraId="50D29A1C" w14:textId="77777777" w:rsidR="00D21457" w:rsidRPr="00461C16" w:rsidRDefault="00D21457" w:rsidP="00D21457">
            <w:pPr>
              <w:jc w:val="left"/>
              <w:rPr>
                <w:color w:val="000000"/>
                <w:sz w:val="20"/>
              </w:rPr>
            </w:pPr>
            <w:r w:rsidRPr="00461C16">
              <w:rPr>
                <w:color w:val="000000"/>
                <w:sz w:val="20"/>
              </w:rPr>
              <w:t>moderní dřevostavba rodinného domu, citlivě zakomponovaná do okolní krajiny</w:t>
            </w:r>
          </w:p>
        </w:tc>
      </w:tr>
    </w:tbl>
    <w:p w14:paraId="4D925C17" w14:textId="77777777" w:rsidR="006A511E" w:rsidRPr="00461C16" w:rsidRDefault="006A511E" w:rsidP="00A76D14">
      <w:pPr>
        <w:pStyle w:val="b-pismeno"/>
        <w:numPr>
          <w:ilvl w:val="0"/>
          <w:numId w:val="20"/>
        </w:numPr>
        <w:spacing w:before="240"/>
        <w:ind w:left="426" w:hanging="426"/>
      </w:pPr>
      <w:r w:rsidRPr="00461C16">
        <w:t>území s archeologickými nálezy.</w:t>
      </w:r>
    </w:p>
    <w:p w14:paraId="02E3C6E2" w14:textId="77777777" w:rsidR="002A2AF3" w:rsidRPr="00461C16" w:rsidRDefault="002A2AF3" w:rsidP="00D21457">
      <w:pPr>
        <w:pStyle w:val="1text"/>
        <w:spacing w:before="240"/>
      </w:pPr>
      <w:r w:rsidRPr="00461C16">
        <w:t>Uvedené hodnoty jsou zakresleny ve výkresu II.1. Odůvodnění Návrhu ÚP - </w:t>
      </w:r>
      <w:r w:rsidRPr="00461C16">
        <w:rPr>
          <w:i/>
        </w:rPr>
        <w:t>Koordinační výkres</w:t>
      </w:r>
      <w:r w:rsidRPr="00461C16">
        <w:t>.</w:t>
      </w:r>
    </w:p>
    <w:p w14:paraId="77518E7C" w14:textId="77777777" w:rsidR="001B70CE" w:rsidRPr="00461C16" w:rsidRDefault="001B70CE" w:rsidP="00DE5263">
      <w:pPr>
        <w:pStyle w:val="1text"/>
        <w:spacing w:before="240"/>
      </w:pPr>
      <w:r w:rsidRPr="00461C16">
        <w:rPr>
          <w:rStyle w:val="NvrhP-text"/>
          <w:rFonts w:cs="Arial"/>
        </w:rPr>
        <w:t>O</w:t>
      </w:r>
      <w:r w:rsidRPr="00461C16">
        <w:t xml:space="preserve">chrana kulturně-historických hodnot se řídí výše uvedenými právními předpisy. V územním plánu je definován logický a principálně samozřejmý požadavek na hmotově a architektonicky odpovídají řešení staveb v prostředí městské památkové zóny a v území, které tvoří prostředí kulturních hodnot. </w:t>
      </w:r>
      <w:r w:rsidR="00860145" w:rsidRPr="00461C16">
        <w:t>Důvodem tohoto ustanovení je potřeba ochrany vzhledu jednotlivých objektů i rázu celého území tvořícího prostředí kulturních hodnot. Za prostředí kulturních hodnot se považuje ochranné pásmo památky, je-li vymezeno dle § 17 zákona č.20/1987 Sb., popř. území, v němž může výstavba výrazně ovlivnit vizuální vnímání památky, architektonicky významné stavby či stavební dominanty.</w:t>
      </w:r>
    </w:p>
    <w:p w14:paraId="0ED428B5" w14:textId="77777777" w:rsidR="001B70CE" w:rsidRPr="00461C16" w:rsidRDefault="00FF49C7" w:rsidP="001B70CE">
      <w:pPr>
        <w:pStyle w:val="1text"/>
      </w:pPr>
      <w:r w:rsidRPr="00461C16">
        <w:rPr>
          <w:rStyle w:val="NvrhP-text"/>
          <w:lang w:eastAsia="en-US"/>
        </w:rPr>
        <w:t>Pro jednotlivé NKP je stanovena podmínka zpracování architektonické části projektové dokumentace staveb výhradně autorizovaným architektem. Důvodem je potřeba zajištění vysoké kvality staveb s památkovou ochranou a zachování stávajících prostorových, stavebních a výtvarných kvalit jednotlivých staveb či souborů.</w:t>
      </w:r>
      <w:r w:rsidR="00B345B4" w:rsidRPr="00461C16">
        <w:rPr>
          <w:rStyle w:val="NvrhP-text"/>
          <w:lang w:eastAsia="en-US"/>
        </w:rPr>
        <w:t xml:space="preserve"> </w:t>
      </w:r>
    </w:p>
    <w:p w14:paraId="7C2A6352" w14:textId="77777777" w:rsidR="002A2AF3" w:rsidRPr="00461C16" w:rsidRDefault="00501553" w:rsidP="002A2AF3">
      <w:pPr>
        <w:pStyle w:val="Heading3"/>
        <w:rPr>
          <w:rStyle w:val="NvrhP-text"/>
        </w:rPr>
      </w:pPr>
      <w:bookmarkStart w:id="107" w:name="_Toc268687929"/>
      <w:bookmarkStart w:id="108" w:name="_Toc36116288"/>
      <w:r w:rsidRPr="00461C16">
        <w:rPr>
          <w:rStyle w:val="NvrhP-text"/>
        </w:rPr>
        <w:t>6</w:t>
      </w:r>
      <w:r w:rsidR="002A2AF3" w:rsidRPr="00461C16">
        <w:rPr>
          <w:rStyle w:val="NvrhP-text"/>
        </w:rPr>
        <w:t>.3.4</w:t>
      </w:r>
      <w:r w:rsidR="002A2AF3" w:rsidRPr="00461C16">
        <w:rPr>
          <w:rStyle w:val="NvrhP-text"/>
        </w:rPr>
        <w:tab/>
        <w:t>Základní koncepce ochrany a rozvoje civilizačních hodnot</w:t>
      </w:r>
      <w:bookmarkEnd w:id="107"/>
      <w:bookmarkEnd w:id="108"/>
    </w:p>
    <w:p w14:paraId="01312A24" w14:textId="77777777" w:rsidR="002A2AF3" w:rsidRPr="00461C16" w:rsidRDefault="002A2AF3" w:rsidP="002A2AF3">
      <w:pPr>
        <w:rPr>
          <w:rStyle w:val="NvrhP-text"/>
          <w:i/>
          <w:sz w:val="20"/>
          <w:szCs w:val="20"/>
        </w:rPr>
      </w:pPr>
      <w:r w:rsidRPr="00461C16">
        <w:rPr>
          <w:rStyle w:val="NvrhP-text"/>
          <w:i/>
          <w:sz w:val="20"/>
          <w:szCs w:val="20"/>
        </w:rPr>
        <w:t>(k bodu B07 ÚP)</w:t>
      </w:r>
    </w:p>
    <w:p w14:paraId="562A698A" w14:textId="77777777" w:rsidR="002F7D34" w:rsidRPr="00461C16" w:rsidRDefault="002F7D34" w:rsidP="00753F4E">
      <w:pPr>
        <w:pStyle w:val="4podnadpis"/>
      </w:pPr>
      <w:r w:rsidRPr="00461C16">
        <w:t>Podklady</w:t>
      </w:r>
    </w:p>
    <w:p w14:paraId="341FB165" w14:textId="77777777" w:rsidR="002F7D34" w:rsidRPr="00461C16" w:rsidRDefault="002F7D34" w:rsidP="002F7D34">
      <w:pPr>
        <w:pStyle w:val="1text"/>
      </w:pPr>
      <w:r w:rsidRPr="00461C16">
        <w:t>Vymezení a požadavky na ochranu uvedených civilizačních hodnot vyplývá z:</w:t>
      </w:r>
    </w:p>
    <w:p w14:paraId="3EE541F7" w14:textId="77777777" w:rsidR="002F7D34" w:rsidRPr="00461C16" w:rsidRDefault="002F7D34" w:rsidP="004B62B3">
      <w:pPr>
        <w:pStyle w:val="3pismeno"/>
        <w:numPr>
          <w:ilvl w:val="0"/>
          <w:numId w:val="25"/>
        </w:numPr>
      </w:pPr>
      <w:r w:rsidRPr="00461C16">
        <w:t xml:space="preserve">z priorit územního plánování definovaných Politikou územního rozvoje a ZÚR </w:t>
      </w:r>
      <w:r w:rsidR="00E60DE8" w:rsidRPr="00461C16">
        <w:t>Libereck</w:t>
      </w:r>
      <w:r w:rsidR="00291539" w:rsidRPr="00461C16">
        <w:t>ého</w:t>
      </w:r>
      <w:r w:rsidRPr="00461C16">
        <w:t xml:space="preserve"> kraje,</w:t>
      </w:r>
    </w:p>
    <w:p w14:paraId="7C206523" w14:textId="77777777" w:rsidR="002F7D34" w:rsidRPr="00461C16" w:rsidRDefault="002F7D34" w:rsidP="004B62B3">
      <w:pPr>
        <w:pStyle w:val="3pismeno"/>
        <w:numPr>
          <w:ilvl w:val="0"/>
          <w:numId w:val="25"/>
        </w:numPr>
      </w:pPr>
      <w:r w:rsidRPr="00461C16">
        <w:t xml:space="preserve">z rozboru udržitelného rozvoje území města dle ÚAP ORP </w:t>
      </w:r>
      <w:r w:rsidR="00E60DE8" w:rsidRPr="00461C16">
        <w:t>Liberec</w:t>
      </w:r>
      <w:r w:rsidRPr="00461C16">
        <w:t>,</w:t>
      </w:r>
    </w:p>
    <w:p w14:paraId="01D4E9B4" w14:textId="77777777" w:rsidR="002F7D34" w:rsidRPr="00461C16" w:rsidRDefault="002F7D34" w:rsidP="004B62B3">
      <w:pPr>
        <w:pStyle w:val="3pismeno"/>
        <w:numPr>
          <w:ilvl w:val="0"/>
          <w:numId w:val="25"/>
        </w:numPr>
      </w:pPr>
      <w:r w:rsidRPr="00461C16">
        <w:t xml:space="preserve">z vlastního vyhodnocení stavu území </w:t>
      </w:r>
      <w:r w:rsidR="00E60DE8" w:rsidRPr="00461C16">
        <w:t>města</w:t>
      </w:r>
      <w:r w:rsidRPr="00461C16">
        <w:t>.</w:t>
      </w:r>
    </w:p>
    <w:p w14:paraId="601646C6" w14:textId="77777777" w:rsidR="002F7D34" w:rsidRPr="00461C16" w:rsidRDefault="002F7D34" w:rsidP="002F7D34">
      <w:pPr>
        <w:pStyle w:val="1text"/>
        <w:rPr>
          <w:rStyle w:val="NvrhP-text"/>
          <w:rFonts w:cs="Arial"/>
        </w:rPr>
      </w:pPr>
      <w:r w:rsidRPr="00461C16">
        <w:rPr>
          <w:rStyle w:val="NvrhP-text"/>
          <w:rFonts w:cs="Arial"/>
        </w:rPr>
        <w:t xml:space="preserve">Ochrana jmenovaných civilizačních hodnot je zajištěna respektováním následujících právních předpisů, které definují podmínky ochrany a stanovují rovněž příslušná ochranná pásma jednotlivých staveb a zařízení: </w:t>
      </w:r>
    </w:p>
    <w:p w14:paraId="51A61676" w14:textId="77777777" w:rsidR="002F7D34" w:rsidRPr="00461C16" w:rsidRDefault="002F7D34" w:rsidP="002F7D34">
      <w:pPr>
        <w:pStyle w:val="5odrazka"/>
        <w:rPr>
          <w:rStyle w:val="Hyperlink"/>
          <w:rFonts w:cs="Arial"/>
          <w:color w:val="auto"/>
        </w:rPr>
      </w:pPr>
      <w:r w:rsidRPr="00461C16">
        <w:t>Zákon č. 13/1997 Sb., o pozemních komunikacích</w:t>
      </w:r>
      <w:r w:rsidR="00A53768" w:rsidRPr="00461C16">
        <w:t>, v platném znění</w:t>
      </w:r>
      <w:r w:rsidRPr="00461C16">
        <w:t>,</w:t>
      </w:r>
      <w:r w:rsidRPr="00461C16">
        <w:rPr>
          <w:rStyle w:val="Hyperlink"/>
          <w:rFonts w:cs="Arial"/>
          <w:color w:val="auto"/>
        </w:rPr>
        <w:t xml:space="preserve"> </w:t>
      </w:r>
    </w:p>
    <w:p w14:paraId="6BB8995C" w14:textId="77777777" w:rsidR="002F7D34" w:rsidRPr="00461C16" w:rsidRDefault="002F7D34" w:rsidP="002F7D34">
      <w:pPr>
        <w:pStyle w:val="5odrazka"/>
        <w:rPr>
          <w:rStyle w:val="Hyperlink"/>
          <w:rFonts w:cs="Arial"/>
          <w:color w:val="auto"/>
        </w:rPr>
      </w:pPr>
      <w:r w:rsidRPr="00461C16">
        <w:t>Vyhláška č. 104/1997 Sb., kterou se provádí zákon o pozemních komunikacích</w:t>
      </w:r>
      <w:r w:rsidR="00A53768" w:rsidRPr="00461C16">
        <w:t>, v platném znění</w:t>
      </w:r>
      <w:r w:rsidRPr="00461C16">
        <w:t>,</w:t>
      </w:r>
    </w:p>
    <w:p w14:paraId="23E05F3A" w14:textId="77777777" w:rsidR="002F7D34" w:rsidRPr="00461C16" w:rsidRDefault="002F7D34" w:rsidP="002F7D34">
      <w:pPr>
        <w:pStyle w:val="5odrazka"/>
      </w:pPr>
      <w:r w:rsidRPr="00461C16">
        <w:t>Zákon č. 266/1994 Sb., o drahách</w:t>
      </w:r>
      <w:r w:rsidR="00A53768" w:rsidRPr="00461C16">
        <w:t>, v platném znění</w:t>
      </w:r>
      <w:r w:rsidRPr="00461C16">
        <w:t>,</w:t>
      </w:r>
    </w:p>
    <w:p w14:paraId="71B1F0D6" w14:textId="77777777" w:rsidR="002F7D34" w:rsidRPr="00461C16" w:rsidRDefault="002F7D34" w:rsidP="002F7D34">
      <w:pPr>
        <w:pStyle w:val="5odrazka"/>
      </w:pPr>
      <w:r w:rsidRPr="00461C16">
        <w:t>Zákon č. 458/2000 Sb., o podmínkách podnikání a o výkonu státní správy v energetických odvětvích a o změně některých zákonů (energetický zákon)</w:t>
      </w:r>
      <w:r w:rsidR="00A53768" w:rsidRPr="00461C16">
        <w:t>, v platném znění</w:t>
      </w:r>
      <w:r w:rsidRPr="00461C16">
        <w:t>,</w:t>
      </w:r>
    </w:p>
    <w:p w14:paraId="5271277E" w14:textId="77777777" w:rsidR="002F7D34" w:rsidRPr="00461C16" w:rsidRDefault="002F7D34" w:rsidP="002F7D34">
      <w:pPr>
        <w:pStyle w:val="5odrazka"/>
      </w:pPr>
      <w:r w:rsidRPr="00461C16">
        <w:t>Zákon č. 406/2000 Sb., o hospodaření energií</w:t>
      </w:r>
      <w:r w:rsidR="00A53768" w:rsidRPr="00461C16">
        <w:t>, v platném znění</w:t>
      </w:r>
      <w:r w:rsidRPr="00461C16">
        <w:t>,</w:t>
      </w:r>
    </w:p>
    <w:p w14:paraId="5A050063" w14:textId="77777777" w:rsidR="002F7D34" w:rsidRPr="00461C16" w:rsidRDefault="002F7D34" w:rsidP="002F7D34">
      <w:pPr>
        <w:pStyle w:val="5odrazka"/>
      </w:pPr>
      <w:r w:rsidRPr="00461C16">
        <w:t>Zákon č. 274/2001 Sb., o vodovodech a kanalizacích pro veřejnou potřebu a o změně některých zákonů,</w:t>
      </w:r>
    </w:p>
    <w:p w14:paraId="0CECBA39" w14:textId="77777777" w:rsidR="002F7D34" w:rsidRPr="00461C16" w:rsidRDefault="002F7D34" w:rsidP="002F7D34">
      <w:pPr>
        <w:pStyle w:val="5odrazka"/>
        <w:rPr>
          <w:rFonts w:cs="Arial"/>
          <w:u w:val="single"/>
        </w:rPr>
      </w:pPr>
      <w:r w:rsidRPr="00461C16">
        <w:t>Zákon č. 127/2005 Sb., o elektronických komunikacích a o změně některých souvisejících zákonů (zákon o elektronických komunikacích)</w:t>
      </w:r>
      <w:r w:rsidR="00A53768" w:rsidRPr="00461C16">
        <w:t>, v platném znění</w:t>
      </w:r>
      <w:r w:rsidRPr="00461C16">
        <w:t>,</w:t>
      </w:r>
    </w:p>
    <w:p w14:paraId="70B0D187" w14:textId="77777777" w:rsidR="002F7D34" w:rsidRPr="00461C16" w:rsidRDefault="002F7D34" w:rsidP="002F7D34">
      <w:pPr>
        <w:pStyle w:val="5odrazka"/>
        <w:rPr>
          <w:rStyle w:val="Hyperlink"/>
          <w:rFonts w:cs="Arial"/>
          <w:color w:val="auto"/>
        </w:rPr>
      </w:pPr>
      <w:r w:rsidRPr="00461C16">
        <w:t>Zákon č. 256/2001 Sb., o pohřebnictví a o změně některých zákonů</w:t>
      </w:r>
      <w:r w:rsidR="00A53768" w:rsidRPr="00461C16">
        <w:t>, v platném znění</w:t>
      </w:r>
      <w:r w:rsidRPr="00461C16">
        <w:t>.</w:t>
      </w:r>
    </w:p>
    <w:p w14:paraId="4A632A6B" w14:textId="77777777" w:rsidR="002F7D34" w:rsidRPr="00461C16" w:rsidRDefault="002F7D34" w:rsidP="00753F4E">
      <w:pPr>
        <w:pStyle w:val="4podnadpis"/>
      </w:pPr>
      <w:r w:rsidRPr="00461C16">
        <w:t xml:space="preserve">Návrh řešení a jeho odůvodnění </w:t>
      </w:r>
    </w:p>
    <w:p w14:paraId="595F26CF" w14:textId="77777777" w:rsidR="002A2AF3" w:rsidRPr="00461C16" w:rsidRDefault="002A2AF3" w:rsidP="002A2AF3">
      <w:pPr>
        <w:rPr>
          <w:rStyle w:val="NvrhP-text"/>
        </w:rPr>
      </w:pPr>
      <w:r w:rsidRPr="00461C16">
        <w:rPr>
          <w:rStyle w:val="NvrhP-text"/>
        </w:rPr>
        <w:t xml:space="preserve">Na území </w:t>
      </w:r>
      <w:r w:rsidR="00D3012B" w:rsidRPr="00461C16">
        <w:rPr>
          <w:rStyle w:val="NvrhP-text"/>
        </w:rPr>
        <w:t>města</w:t>
      </w:r>
      <w:r w:rsidRPr="00461C16">
        <w:rPr>
          <w:rStyle w:val="NvrhP-text"/>
        </w:rPr>
        <w:t xml:space="preserve"> jsou identifikovány tyto civilizační hodnoty:</w:t>
      </w:r>
    </w:p>
    <w:p w14:paraId="3260A82B" w14:textId="77777777" w:rsidR="00153302" w:rsidRPr="00461C16" w:rsidRDefault="00153302" w:rsidP="00A06EB9">
      <w:pPr>
        <w:pStyle w:val="b-pismeno"/>
        <w:numPr>
          <w:ilvl w:val="0"/>
          <w:numId w:val="83"/>
        </w:numPr>
      </w:pPr>
      <w:r w:rsidRPr="00461C16">
        <w:t xml:space="preserve">síť silnic I. a III. třídy, </w:t>
      </w:r>
    </w:p>
    <w:p w14:paraId="412052B6" w14:textId="77777777" w:rsidR="00153302" w:rsidRPr="00461C16" w:rsidRDefault="00153302" w:rsidP="00153302">
      <w:pPr>
        <w:pStyle w:val="b-pismeno"/>
      </w:pPr>
      <w:r w:rsidRPr="00461C16">
        <w:t>železniční trať č. 089,</w:t>
      </w:r>
    </w:p>
    <w:p w14:paraId="1011E8D6" w14:textId="77777777" w:rsidR="00153302" w:rsidRPr="00461C16" w:rsidRDefault="00153302" w:rsidP="00153302">
      <w:pPr>
        <w:pStyle w:val="b-pismeno"/>
      </w:pPr>
      <w:r w:rsidRPr="00461C16">
        <w:t>místní a účelové komunikace,</w:t>
      </w:r>
    </w:p>
    <w:p w14:paraId="1A1E0F9E" w14:textId="77777777" w:rsidR="00153302" w:rsidRPr="00461C16" w:rsidRDefault="00153302" w:rsidP="00153302">
      <w:pPr>
        <w:pStyle w:val="b-pismeno"/>
      </w:pPr>
      <w:r w:rsidRPr="00461C16">
        <w:t>značené turistické trasy a naučné stezky,</w:t>
      </w:r>
    </w:p>
    <w:p w14:paraId="0E49EAE1" w14:textId="77777777" w:rsidR="00153302" w:rsidRPr="00461C16" w:rsidRDefault="00153302" w:rsidP="00153302">
      <w:pPr>
        <w:pStyle w:val="b-pismeno"/>
      </w:pPr>
      <w:r w:rsidRPr="00461C16">
        <w:lastRenderedPageBreak/>
        <w:t>značené cyklistické trasy,</w:t>
      </w:r>
    </w:p>
    <w:p w14:paraId="44C48258" w14:textId="77777777" w:rsidR="00153302" w:rsidRPr="00461C16" w:rsidRDefault="00153302" w:rsidP="00153302">
      <w:pPr>
        <w:pStyle w:val="b-pismeno"/>
      </w:pPr>
      <w:r w:rsidRPr="00461C16">
        <w:t>vodojemy a vodovodní řady,</w:t>
      </w:r>
    </w:p>
    <w:p w14:paraId="41C9442F" w14:textId="77777777" w:rsidR="00153302" w:rsidRPr="00461C16" w:rsidRDefault="00153302" w:rsidP="00153302">
      <w:pPr>
        <w:pStyle w:val="b-pismeno"/>
      </w:pPr>
      <w:r w:rsidRPr="00461C16">
        <w:t>kanalizační síť a čistírna odpadních vod,</w:t>
      </w:r>
    </w:p>
    <w:p w14:paraId="61498D39" w14:textId="77777777" w:rsidR="00153302" w:rsidRPr="00461C16" w:rsidRDefault="00153302" w:rsidP="00153302">
      <w:pPr>
        <w:pStyle w:val="b-pismeno"/>
      </w:pPr>
      <w:r w:rsidRPr="00461C16">
        <w:t>energetické rozvody a transformační stanice,</w:t>
      </w:r>
    </w:p>
    <w:p w14:paraId="5DBBAEDA" w14:textId="77777777" w:rsidR="00153302" w:rsidRPr="00461C16" w:rsidRDefault="00153302" w:rsidP="00153302">
      <w:pPr>
        <w:pStyle w:val="b-pismeno"/>
      </w:pPr>
      <w:r w:rsidRPr="00461C16">
        <w:t>plynovodní zařízení a rozvody,</w:t>
      </w:r>
    </w:p>
    <w:p w14:paraId="042FD7A9" w14:textId="77777777" w:rsidR="00153302" w:rsidRPr="00461C16" w:rsidRDefault="00153302" w:rsidP="00153302">
      <w:pPr>
        <w:pStyle w:val="b-pismeno"/>
      </w:pPr>
      <w:r w:rsidRPr="00461C16">
        <w:t>telekomunikační zařízení a vedení,</w:t>
      </w:r>
    </w:p>
    <w:p w14:paraId="3A71288A" w14:textId="77777777" w:rsidR="00153302" w:rsidRPr="00461C16" w:rsidRDefault="00153302" w:rsidP="00153302">
      <w:pPr>
        <w:pStyle w:val="b-pismeno"/>
      </w:pPr>
      <w:r w:rsidRPr="00461C16">
        <w:t>zařízení pro sběr a třídění odpadů,</w:t>
      </w:r>
    </w:p>
    <w:p w14:paraId="222D0E2D" w14:textId="77777777" w:rsidR="00D3012B" w:rsidRPr="00461C16" w:rsidRDefault="00D3012B" w:rsidP="00D550C3">
      <w:pPr>
        <w:pStyle w:val="b-pismeno"/>
      </w:pPr>
      <w:r w:rsidRPr="00461C16">
        <w:t>zařízení pro vzdělávání, tělovýchovu a sport,</w:t>
      </w:r>
    </w:p>
    <w:p w14:paraId="3585983C" w14:textId="77777777" w:rsidR="00D3012B" w:rsidRPr="00461C16" w:rsidRDefault="00D3012B" w:rsidP="00D550C3">
      <w:pPr>
        <w:pStyle w:val="b-pismeno"/>
      </w:pPr>
      <w:r w:rsidRPr="00461C16">
        <w:t>kulturní a církevní zařízení,</w:t>
      </w:r>
    </w:p>
    <w:p w14:paraId="612DFF00" w14:textId="77777777" w:rsidR="00D3012B" w:rsidRPr="00461C16" w:rsidRDefault="00D3012B" w:rsidP="00D550C3">
      <w:pPr>
        <w:pStyle w:val="b-pismeno"/>
      </w:pPr>
      <w:r w:rsidRPr="00461C16">
        <w:t>zařízení komerčního občanského vybavení,</w:t>
      </w:r>
    </w:p>
    <w:p w14:paraId="3C9C8E99" w14:textId="77777777" w:rsidR="00D3012B" w:rsidRPr="00461C16" w:rsidRDefault="00D3012B" w:rsidP="00D550C3">
      <w:pPr>
        <w:pStyle w:val="b-pismeno"/>
      </w:pPr>
      <w:r w:rsidRPr="00461C16">
        <w:t>areály hromadné rekreace,</w:t>
      </w:r>
    </w:p>
    <w:p w14:paraId="5D175720" w14:textId="77777777" w:rsidR="00D3012B" w:rsidRPr="00461C16" w:rsidRDefault="00D3012B" w:rsidP="00D550C3">
      <w:pPr>
        <w:pStyle w:val="b-pismeno"/>
      </w:pPr>
      <w:r w:rsidRPr="00461C16">
        <w:t>hřbitov,</w:t>
      </w:r>
    </w:p>
    <w:p w14:paraId="637654C5" w14:textId="77777777" w:rsidR="00D3012B" w:rsidRPr="00461C16" w:rsidRDefault="00D3012B" w:rsidP="00D550C3">
      <w:pPr>
        <w:pStyle w:val="b-pismeno"/>
      </w:pPr>
      <w:r w:rsidRPr="00461C16">
        <w:t>výrobní areály,</w:t>
      </w:r>
    </w:p>
    <w:p w14:paraId="4D9EE3DB" w14:textId="77777777" w:rsidR="002A2AF3" w:rsidRPr="00461C16" w:rsidRDefault="00D3012B" w:rsidP="00D550C3">
      <w:pPr>
        <w:pStyle w:val="b-pismeno"/>
      </w:pPr>
      <w:r w:rsidRPr="00461C16">
        <w:t>veřejná prostranství a dětská hřiště</w:t>
      </w:r>
      <w:r w:rsidRPr="00461C16">
        <w:rPr>
          <w:rFonts w:ascii="Calibri" w:eastAsia="Times New Roman" w:hAnsi="Calibri"/>
          <w:color w:val="000000"/>
        </w:rPr>
        <w:t>.</w:t>
      </w:r>
    </w:p>
    <w:p w14:paraId="63981DAD" w14:textId="77777777" w:rsidR="002A2AF3" w:rsidRPr="00461C16" w:rsidRDefault="002A2AF3" w:rsidP="002A2AF3">
      <w:pPr>
        <w:pStyle w:val="1text"/>
      </w:pPr>
      <w:r w:rsidRPr="00461C16">
        <w:t xml:space="preserve">Uvedené hodnoty jsou zakresleny ve výkresu II.1 </w:t>
      </w:r>
      <w:r w:rsidRPr="00461C16">
        <w:rPr>
          <w:i/>
        </w:rPr>
        <w:t>Koordinační výkres</w:t>
      </w:r>
      <w:r w:rsidRPr="00461C16">
        <w:t xml:space="preserve"> (1:5 000).</w:t>
      </w:r>
    </w:p>
    <w:p w14:paraId="5DB75CDF" w14:textId="77777777" w:rsidR="002A2AF3" w:rsidRPr="00461C16" w:rsidRDefault="00501553" w:rsidP="002A2AF3">
      <w:pPr>
        <w:pStyle w:val="Heading3"/>
      </w:pPr>
      <w:bookmarkStart w:id="109" w:name="_Toc239843550"/>
      <w:bookmarkStart w:id="110" w:name="_Toc268687923"/>
      <w:bookmarkStart w:id="111" w:name="_Toc36116289"/>
      <w:r w:rsidRPr="00461C16">
        <w:t>6</w:t>
      </w:r>
      <w:r w:rsidR="002A2AF3" w:rsidRPr="00461C16">
        <w:t>.3.5</w:t>
      </w:r>
      <w:r w:rsidR="002A2AF3" w:rsidRPr="00461C16">
        <w:tab/>
        <w:t>Limity využití území</w:t>
      </w:r>
      <w:bookmarkEnd w:id="109"/>
      <w:bookmarkEnd w:id="110"/>
      <w:bookmarkEnd w:id="111"/>
    </w:p>
    <w:p w14:paraId="5E72CDD9" w14:textId="77777777" w:rsidR="00D95069" w:rsidRPr="00461C16" w:rsidRDefault="00D95069" w:rsidP="00D95069">
      <w:pPr>
        <w:pStyle w:val="1text"/>
      </w:pPr>
      <w:r w:rsidRPr="00461C16">
        <w:t xml:space="preserve">V předchozím textu bylo několikrát uvedeno, že ochrana hodnot území je zajišťována řadou právních předpisů, které určují podmínky ochrany hodnot a v řadě případů i ochranná pásma. Z existence těchto právních předpisů vyplývají limity využití území, které významnou měrou omezují možnosti rozvoje města a jsou pro stanovení koncepce rozvoje města a ochrany jeho hodnot určující. </w:t>
      </w:r>
    </w:p>
    <w:p w14:paraId="754FDAD1" w14:textId="77777777" w:rsidR="00D95069" w:rsidRPr="00461C16" w:rsidRDefault="00D95069" w:rsidP="00D95069">
      <w:pPr>
        <w:pStyle w:val="1text"/>
        <w:spacing w:after="120"/>
      </w:pPr>
      <w:r w:rsidRPr="00461C16">
        <w:t>Na území města byly identifikovány dále uvedené limity, které jsou v konkrétním průmětu zakresleny ve výkresu II.1 </w:t>
      </w:r>
      <w:r w:rsidRPr="00461C16">
        <w:rPr>
          <w:i/>
        </w:rPr>
        <w:t>Koordinační výkres</w:t>
      </w:r>
      <w:r w:rsidRPr="00461C16">
        <w:t xml:space="preserve"> (1:5 000).</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2410"/>
        <w:gridCol w:w="4819"/>
      </w:tblGrid>
      <w:tr w:rsidR="00D95069" w:rsidRPr="00461C16" w14:paraId="082CEB9F" w14:textId="77777777" w:rsidTr="00A53768">
        <w:trPr>
          <w:tblHeader/>
        </w:trPr>
        <w:tc>
          <w:tcPr>
            <w:tcW w:w="209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38A6DBA" w14:textId="77777777" w:rsidR="00D95069" w:rsidRPr="00461C16" w:rsidRDefault="00D95069" w:rsidP="00A53768">
            <w:pPr>
              <w:pStyle w:val="Intabulka"/>
              <w:rPr>
                <w:rFonts w:ascii="Arial Narrow" w:hAnsi="Arial Narrow"/>
                <w:b/>
                <w:lang w:val="cs-CZ"/>
              </w:rPr>
            </w:pPr>
            <w:r w:rsidRPr="00461C16">
              <w:rPr>
                <w:rFonts w:ascii="Arial Narrow" w:hAnsi="Arial Narrow"/>
                <w:b/>
                <w:lang w:val="cs-CZ"/>
              </w:rPr>
              <w:t>Limit využití území</w:t>
            </w: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A03E54" w14:textId="77777777" w:rsidR="00D95069" w:rsidRPr="00461C16" w:rsidRDefault="00D95069" w:rsidP="00A53768">
            <w:pPr>
              <w:pStyle w:val="Intabulka"/>
              <w:rPr>
                <w:rFonts w:ascii="Arial Narrow" w:hAnsi="Arial Narrow"/>
                <w:b/>
                <w:lang w:val="cs-CZ"/>
              </w:rPr>
            </w:pPr>
            <w:r w:rsidRPr="00461C16">
              <w:rPr>
                <w:rFonts w:ascii="Arial Narrow" w:hAnsi="Arial Narrow"/>
                <w:b/>
                <w:lang w:val="cs-CZ"/>
              </w:rPr>
              <w:t>OP</w:t>
            </w:r>
          </w:p>
        </w:tc>
        <w:tc>
          <w:tcPr>
            <w:tcW w:w="4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83FA79" w14:textId="77777777" w:rsidR="00D95069" w:rsidRPr="00461C16" w:rsidRDefault="00D95069" w:rsidP="00A53768">
            <w:pPr>
              <w:pStyle w:val="Intabulka"/>
              <w:rPr>
                <w:rFonts w:ascii="Arial Narrow" w:hAnsi="Arial Narrow"/>
                <w:b/>
                <w:lang w:val="cs-CZ" w:eastAsia="cs-CZ"/>
              </w:rPr>
            </w:pPr>
            <w:r w:rsidRPr="00461C16">
              <w:rPr>
                <w:rFonts w:ascii="Arial Narrow" w:hAnsi="Arial Narrow"/>
                <w:b/>
                <w:lang w:val="cs-CZ" w:eastAsia="cs-CZ"/>
              </w:rPr>
              <w:t>Legislativní předpis</w:t>
            </w:r>
          </w:p>
        </w:tc>
      </w:tr>
      <w:tr w:rsidR="00D95069" w:rsidRPr="00461C16" w14:paraId="4D9E5E87" w14:textId="77777777" w:rsidTr="00A53768">
        <w:tc>
          <w:tcPr>
            <w:tcW w:w="9322" w:type="dxa"/>
            <w:gridSpan w:val="3"/>
            <w:shd w:val="clear" w:color="auto" w:fill="C2D69B" w:themeFill="accent3" w:themeFillTint="99"/>
          </w:tcPr>
          <w:p w14:paraId="3E57E94F" w14:textId="77777777" w:rsidR="00D95069" w:rsidRPr="00461C16" w:rsidRDefault="00D95069" w:rsidP="00A53768">
            <w:pPr>
              <w:spacing w:before="40" w:after="40"/>
              <w:jc w:val="left"/>
              <w:rPr>
                <w:rFonts w:cs="Arial"/>
                <w:sz w:val="20"/>
                <w:szCs w:val="20"/>
              </w:rPr>
            </w:pPr>
            <w:r w:rsidRPr="00461C16">
              <w:rPr>
                <w:b/>
                <w:i/>
                <w:sz w:val="20"/>
                <w:szCs w:val="20"/>
              </w:rPr>
              <w:t>Ochrana přírody a krajiny</w:t>
            </w:r>
          </w:p>
        </w:tc>
      </w:tr>
      <w:tr w:rsidR="00D95069" w:rsidRPr="00461C16" w14:paraId="00359543" w14:textId="77777777" w:rsidTr="00A53768">
        <w:tc>
          <w:tcPr>
            <w:tcW w:w="2093" w:type="dxa"/>
            <w:shd w:val="clear" w:color="auto" w:fill="auto"/>
          </w:tcPr>
          <w:p w14:paraId="4F9D5149" w14:textId="77777777" w:rsidR="00D95069" w:rsidRPr="00461C16" w:rsidRDefault="00D95069" w:rsidP="00A53768">
            <w:pPr>
              <w:pStyle w:val="Intabulka"/>
              <w:rPr>
                <w:rFonts w:ascii="Arial Narrow" w:hAnsi="Arial Narrow" w:cs="Arial"/>
                <w:lang w:val="cs-CZ" w:eastAsia="cs-CZ"/>
              </w:rPr>
            </w:pPr>
            <w:r w:rsidRPr="00461C16">
              <w:rPr>
                <w:rFonts w:ascii="Arial Narrow" w:hAnsi="Arial Narrow" w:cs="Arial"/>
                <w:lang w:val="cs-CZ" w:eastAsia="cs-CZ"/>
              </w:rPr>
              <w:t>c</w:t>
            </w:r>
            <w:r w:rsidRPr="00461C16">
              <w:rPr>
                <w:rFonts w:ascii="Arial Narrow" w:hAnsi="Arial Narrow" w:cs="Arial"/>
                <w:lang w:eastAsia="cs-CZ"/>
              </w:rPr>
              <w:t>hráněná krajinná oblast</w:t>
            </w:r>
          </w:p>
          <w:p w14:paraId="61443B1A" w14:textId="77777777" w:rsidR="00A53768" w:rsidRPr="00461C16" w:rsidRDefault="00A53768" w:rsidP="00A53768">
            <w:pPr>
              <w:pStyle w:val="Intabulka"/>
              <w:rPr>
                <w:rFonts w:ascii="Arial Narrow" w:hAnsi="Arial Narrow"/>
                <w:lang w:val="cs-CZ"/>
              </w:rPr>
            </w:pPr>
            <w:r w:rsidRPr="00461C16">
              <w:rPr>
                <w:rFonts w:ascii="Arial Narrow" w:hAnsi="Arial Narrow"/>
                <w:lang w:val="cs-CZ"/>
              </w:rPr>
              <w:t xml:space="preserve">I. – III. zóna </w:t>
            </w:r>
          </w:p>
        </w:tc>
        <w:tc>
          <w:tcPr>
            <w:tcW w:w="2410" w:type="dxa"/>
            <w:shd w:val="clear" w:color="auto" w:fill="auto"/>
          </w:tcPr>
          <w:p w14:paraId="119C4FA1" w14:textId="77777777" w:rsidR="00D95069" w:rsidRPr="00461C16" w:rsidRDefault="00D95069" w:rsidP="00A53768">
            <w:pPr>
              <w:pStyle w:val="Intabulka"/>
              <w:rPr>
                <w:rFonts w:ascii="Arial Narrow" w:hAnsi="Arial Narrow"/>
                <w:lang w:val="cs-CZ"/>
              </w:rPr>
            </w:pPr>
          </w:p>
        </w:tc>
        <w:tc>
          <w:tcPr>
            <w:tcW w:w="4819" w:type="dxa"/>
            <w:shd w:val="clear" w:color="auto" w:fill="auto"/>
          </w:tcPr>
          <w:p w14:paraId="34A79EA4" w14:textId="77777777" w:rsidR="00D95069" w:rsidRPr="00461C16" w:rsidRDefault="00D95069" w:rsidP="00A53768">
            <w:pPr>
              <w:spacing w:before="40" w:after="40"/>
              <w:jc w:val="left"/>
              <w:rPr>
                <w:rFonts w:cs="Arial"/>
                <w:sz w:val="20"/>
                <w:szCs w:val="20"/>
              </w:rPr>
            </w:pPr>
            <w:r w:rsidRPr="00461C16">
              <w:rPr>
                <w:rFonts w:cs="Arial"/>
                <w:sz w:val="20"/>
                <w:szCs w:val="20"/>
              </w:rPr>
              <w:t>Výnos Ministerstva kultury ČSR č.j. 6927/76 ze dne 19.3. 1976</w:t>
            </w:r>
          </w:p>
          <w:p w14:paraId="1D7DDA8A"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 14 zákona č. 114/1992 Sb., o ochraně přírody a krajiny, v</w:t>
            </w:r>
            <w:r w:rsidR="00A53768" w:rsidRPr="00461C16">
              <w:rPr>
                <w:rFonts w:cs="Arial"/>
                <w:sz w:val="20"/>
                <w:szCs w:val="20"/>
                <w:lang w:eastAsia="cs-CZ"/>
              </w:rPr>
              <w:t xml:space="preserve"> platném znění </w:t>
            </w:r>
          </w:p>
        </w:tc>
      </w:tr>
      <w:tr w:rsidR="00A53768" w:rsidRPr="00461C16" w14:paraId="4FEFFE58" w14:textId="77777777" w:rsidTr="00A53768">
        <w:tc>
          <w:tcPr>
            <w:tcW w:w="2093" w:type="dxa"/>
            <w:shd w:val="clear" w:color="auto" w:fill="auto"/>
          </w:tcPr>
          <w:p w14:paraId="22ABD680" w14:textId="77777777" w:rsidR="00A53768" w:rsidRPr="00461C16" w:rsidRDefault="00A53768" w:rsidP="00A53768">
            <w:pPr>
              <w:pStyle w:val="Intabulka"/>
              <w:rPr>
                <w:rFonts w:ascii="Arial Narrow" w:hAnsi="Arial Narrow"/>
                <w:lang w:val="cs-CZ"/>
              </w:rPr>
            </w:pPr>
            <w:r w:rsidRPr="00461C16">
              <w:rPr>
                <w:rFonts w:ascii="Arial Narrow" w:hAnsi="Arial Narrow"/>
                <w:lang w:val="cs-CZ"/>
              </w:rPr>
              <w:t xml:space="preserve">přechodně chráněná plocha </w:t>
            </w:r>
          </w:p>
        </w:tc>
        <w:tc>
          <w:tcPr>
            <w:tcW w:w="2410" w:type="dxa"/>
            <w:shd w:val="clear" w:color="auto" w:fill="auto"/>
          </w:tcPr>
          <w:p w14:paraId="3550B7F5" w14:textId="77777777" w:rsidR="00A53768" w:rsidRPr="00461C16" w:rsidRDefault="00A53768" w:rsidP="00A53768">
            <w:pPr>
              <w:pStyle w:val="Intabulka"/>
              <w:rPr>
                <w:rFonts w:ascii="Arial Narrow" w:hAnsi="Arial Narrow"/>
                <w:lang w:val="cs-CZ"/>
              </w:rPr>
            </w:pPr>
          </w:p>
        </w:tc>
        <w:tc>
          <w:tcPr>
            <w:tcW w:w="4819" w:type="dxa"/>
            <w:shd w:val="clear" w:color="auto" w:fill="auto"/>
          </w:tcPr>
          <w:p w14:paraId="74ADF07E" w14:textId="77777777" w:rsidR="00A53768" w:rsidRPr="00461C16" w:rsidRDefault="00A53768" w:rsidP="00A53768">
            <w:pPr>
              <w:spacing w:before="40" w:after="40"/>
              <w:jc w:val="left"/>
              <w:rPr>
                <w:rFonts w:cs="Arial"/>
                <w:sz w:val="20"/>
                <w:szCs w:val="20"/>
                <w:lang w:eastAsia="cs-CZ"/>
              </w:rPr>
            </w:pPr>
            <w:r w:rsidRPr="00461C16">
              <w:rPr>
                <w:rFonts w:cs="Arial"/>
                <w:sz w:val="20"/>
                <w:szCs w:val="20"/>
                <w:lang w:eastAsia="cs-CZ"/>
              </w:rPr>
              <w:t>§ 13 zákona č. 114/1992 Sb., o ochraně přírody a krajiny, v platném znění</w:t>
            </w:r>
          </w:p>
        </w:tc>
      </w:tr>
      <w:tr w:rsidR="00D95069" w:rsidRPr="00461C16" w14:paraId="617E7753" w14:textId="77777777" w:rsidTr="00A53768">
        <w:tc>
          <w:tcPr>
            <w:tcW w:w="2093" w:type="dxa"/>
            <w:shd w:val="clear" w:color="auto" w:fill="auto"/>
          </w:tcPr>
          <w:p w14:paraId="44FD5773"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významný krajinný prvek ze zákona</w:t>
            </w:r>
          </w:p>
        </w:tc>
        <w:tc>
          <w:tcPr>
            <w:tcW w:w="2410" w:type="dxa"/>
            <w:shd w:val="clear" w:color="auto" w:fill="auto"/>
          </w:tcPr>
          <w:p w14:paraId="4610BCAE" w14:textId="77777777" w:rsidR="00D95069" w:rsidRPr="00461C16" w:rsidRDefault="00D95069" w:rsidP="00A53768">
            <w:pPr>
              <w:pStyle w:val="Intabulka"/>
              <w:rPr>
                <w:rFonts w:ascii="Arial Narrow" w:hAnsi="Arial Narrow"/>
                <w:lang w:val="cs-CZ"/>
              </w:rPr>
            </w:pPr>
          </w:p>
        </w:tc>
        <w:tc>
          <w:tcPr>
            <w:tcW w:w="4819" w:type="dxa"/>
            <w:shd w:val="clear" w:color="auto" w:fill="auto"/>
          </w:tcPr>
          <w:p w14:paraId="0B233A41"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 3, odst. 1, písm. b) zákona č. 114/1992 Sb., o ochraně přírody a krajin</w:t>
            </w:r>
            <w:r w:rsidR="00A53768" w:rsidRPr="00461C16">
              <w:rPr>
                <w:rFonts w:cs="Arial"/>
                <w:sz w:val="20"/>
                <w:szCs w:val="20"/>
                <w:lang w:eastAsia="cs-CZ"/>
              </w:rPr>
              <w:t>y, v platném znění</w:t>
            </w:r>
          </w:p>
        </w:tc>
      </w:tr>
      <w:tr w:rsidR="00D95069" w:rsidRPr="00461C16" w14:paraId="2517808B" w14:textId="77777777" w:rsidTr="00A53768">
        <w:tc>
          <w:tcPr>
            <w:tcW w:w="2093" w:type="dxa"/>
            <w:shd w:val="clear" w:color="auto" w:fill="auto"/>
          </w:tcPr>
          <w:p w14:paraId="4BB48F55"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významný krajinný prvek registrovaný</w:t>
            </w:r>
          </w:p>
        </w:tc>
        <w:tc>
          <w:tcPr>
            <w:tcW w:w="2410" w:type="dxa"/>
            <w:shd w:val="clear" w:color="auto" w:fill="auto"/>
          </w:tcPr>
          <w:p w14:paraId="68EB8419" w14:textId="77777777" w:rsidR="00D95069" w:rsidRPr="00461C16" w:rsidRDefault="00D95069" w:rsidP="00A53768">
            <w:pPr>
              <w:pStyle w:val="Intabulka"/>
              <w:rPr>
                <w:rFonts w:ascii="Arial Narrow" w:hAnsi="Arial Narrow"/>
                <w:lang w:val="cs-CZ"/>
              </w:rPr>
            </w:pPr>
          </w:p>
        </w:tc>
        <w:tc>
          <w:tcPr>
            <w:tcW w:w="4819" w:type="dxa"/>
            <w:shd w:val="clear" w:color="auto" w:fill="auto"/>
          </w:tcPr>
          <w:p w14:paraId="2E379337"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 xml:space="preserve">§ 3, odst. 1, písm. b) a § 6 zákona č. 114/1992 Sb., o ochraně přírody a krajiny, </w:t>
            </w:r>
            <w:r w:rsidR="00A53768" w:rsidRPr="00461C16">
              <w:rPr>
                <w:rFonts w:cs="Arial"/>
                <w:sz w:val="20"/>
                <w:szCs w:val="20"/>
                <w:lang w:eastAsia="cs-CZ"/>
              </w:rPr>
              <w:t>v platném znění</w:t>
            </w:r>
          </w:p>
        </w:tc>
      </w:tr>
      <w:tr w:rsidR="00D95069" w:rsidRPr="00461C16" w14:paraId="683CAFB4" w14:textId="77777777" w:rsidTr="00A53768">
        <w:tc>
          <w:tcPr>
            <w:tcW w:w="2093" w:type="dxa"/>
            <w:shd w:val="clear" w:color="auto" w:fill="auto"/>
          </w:tcPr>
          <w:p w14:paraId="11AB2CFD"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nadregionální ÚSES</w:t>
            </w:r>
          </w:p>
        </w:tc>
        <w:tc>
          <w:tcPr>
            <w:tcW w:w="2410" w:type="dxa"/>
            <w:shd w:val="clear" w:color="auto" w:fill="auto"/>
          </w:tcPr>
          <w:p w14:paraId="6EE9AD3D" w14:textId="77777777" w:rsidR="00D95069" w:rsidRPr="00461C16" w:rsidRDefault="00D95069" w:rsidP="00A53768">
            <w:pPr>
              <w:pStyle w:val="Intabulka"/>
              <w:rPr>
                <w:rFonts w:ascii="Arial Narrow" w:hAnsi="Arial Narrow"/>
                <w:lang w:val="cs-CZ"/>
              </w:rPr>
            </w:pPr>
          </w:p>
        </w:tc>
        <w:tc>
          <w:tcPr>
            <w:tcW w:w="4819" w:type="dxa"/>
            <w:vMerge w:val="restart"/>
            <w:shd w:val="clear" w:color="auto" w:fill="auto"/>
          </w:tcPr>
          <w:p w14:paraId="15A7FA5E"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 xml:space="preserve">§ 3, odst. 1,. písm. a) a § 4 zákona č. 114/1992 Sb., o ochraně přírody a krajiny, </w:t>
            </w:r>
            <w:r w:rsidR="00A53768" w:rsidRPr="00461C16">
              <w:rPr>
                <w:rFonts w:cs="Arial"/>
                <w:sz w:val="20"/>
                <w:szCs w:val="20"/>
                <w:lang w:eastAsia="cs-CZ"/>
              </w:rPr>
              <w:t>v platném znění</w:t>
            </w:r>
          </w:p>
        </w:tc>
      </w:tr>
      <w:tr w:rsidR="00D95069" w:rsidRPr="00461C16" w14:paraId="50D11315" w14:textId="77777777" w:rsidTr="00A53768">
        <w:tc>
          <w:tcPr>
            <w:tcW w:w="2093" w:type="dxa"/>
            <w:shd w:val="clear" w:color="auto" w:fill="auto"/>
          </w:tcPr>
          <w:p w14:paraId="7B2D7822"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regionální ÚSES</w:t>
            </w:r>
          </w:p>
        </w:tc>
        <w:tc>
          <w:tcPr>
            <w:tcW w:w="2410" w:type="dxa"/>
            <w:shd w:val="clear" w:color="auto" w:fill="auto"/>
          </w:tcPr>
          <w:p w14:paraId="1A66B833" w14:textId="77777777" w:rsidR="00D95069" w:rsidRPr="00461C16" w:rsidRDefault="00D95069" w:rsidP="00A53768">
            <w:pPr>
              <w:pStyle w:val="Intabulka"/>
              <w:rPr>
                <w:rFonts w:ascii="Arial Narrow" w:hAnsi="Arial Narrow"/>
                <w:lang w:val="cs-CZ"/>
              </w:rPr>
            </w:pPr>
          </w:p>
        </w:tc>
        <w:tc>
          <w:tcPr>
            <w:tcW w:w="4819" w:type="dxa"/>
            <w:vMerge/>
            <w:shd w:val="clear" w:color="auto" w:fill="auto"/>
          </w:tcPr>
          <w:p w14:paraId="71B53C24" w14:textId="77777777" w:rsidR="00D95069" w:rsidRPr="00461C16" w:rsidRDefault="00D95069" w:rsidP="00A53768">
            <w:pPr>
              <w:pStyle w:val="Intabulka"/>
              <w:rPr>
                <w:rFonts w:ascii="Arial Narrow" w:hAnsi="Arial Narrow"/>
                <w:lang w:val="cs-CZ"/>
              </w:rPr>
            </w:pPr>
          </w:p>
        </w:tc>
      </w:tr>
      <w:tr w:rsidR="00D95069" w:rsidRPr="00461C16" w14:paraId="63C43883" w14:textId="77777777" w:rsidTr="00A53768">
        <w:tc>
          <w:tcPr>
            <w:tcW w:w="2093" w:type="dxa"/>
            <w:shd w:val="clear" w:color="auto" w:fill="auto"/>
          </w:tcPr>
          <w:p w14:paraId="7FD5FCF1"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lokální ÚSES </w:t>
            </w:r>
          </w:p>
        </w:tc>
        <w:tc>
          <w:tcPr>
            <w:tcW w:w="2410" w:type="dxa"/>
            <w:shd w:val="clear" w:color="auto" w:fill="auto"/>
          </w:tcPr>
          <w:p w14:paraId="4F55B478" w14:textId="77777777" w:rsidR="00D95069" w:rsidRPr="00461C16" w:rsidRDefault="00D95069" w:rsidP="00A53768">
            <w:pPr>
              <w:pStyle w:val="Intabulka"/>
              <w:rPr>
                <w:rFonts w:ascii="Arial Narrow" w:hAnsi="Arial Narrow"/>
                <w:lang w:val="cs-CZ"/>
              </w:rPr>
            </w:pPr>
          </w:p>
        </w:tc>
        <w:tc>
          <w:tcPr>
            <w:tcW w:w="4819" w:type="dxa"/>
            <w:vMerge/>
            <w:shd w:val="clear" w:color="auto" w:fill="auto"/>
          </w:tcPr>
          <w:p w14:paraId="25F93071" w14:textId="77777777" w:rsidR="00D95069" w:rsidRPr="00461C16" w:rsidRDefault="00D95069" w:rsidP="00A53768">
            <w:pPr>
              <w:pStyle w:val="Intabulka"/>
              <w:rPr>
                <w:rFonts w:ascii="Arial Narrow" w:hAnsi="Arial Narrow"/>
                <w:lang w:val="cs-CZ"/>
              </w:rPr>
            </w:pPr>
          </w:p>
        </w:tc>
      </w:tr>
      <w:tr w:rsidR="00D95069" w:rsidRPr="00461C16" w14:paraId="53C647FE" w14:textId="77777777" w:rsidTr="00A53768">
        <w:tc>
          <w:tcPr>
            <w:tcW w:w="2093" w:type="dxa"/>
            <w:shd w:val="clear" w:color="auto" w:fill="auto"/>
          </w:tcPr>
          <w:p w14:paraId="79B8F525" w14:textId="77777777" w:rsidR="00D95069" w:rsidRPr="00461C16" w:rsidRDefault="00D95069" w:rsidP="00A53768">
            <w:pPr>
              <w:pStyle w:val="Intabulka"/>
              <w:rPr>
                <w:rFonts w:ascii="Arial Narrow" w:hAnsi="Arial Narrow"/>
                <w:lang w:val="cs-CZ"/>
              </w:rPr>
            </w:pPr>
            <w:r w:rsidRPr="00461C16">
              <w:rPr>
                <w:rFonts w:ascii="Arial Narrow" w:hAnsi="Arial Narrow" w:cs="Arial"/>
                <w:lang w:val="cs-CZ" w:eastAsia="cs-CZ"/>
              </w:rPr>
              <w:t>l</w:t>
            </w:r>
            <w:r w:rsidRPr="00461C16">
              <w:rPr>
                <w:rFonts w:ascii="Arial Narrow" w:hAnsi="Arial Narrow" w:cs="Arial"/>
                <w:lang w:eastAsia="cs-CZ"/>
              </w:rPr>
              <w:t>okalit</w:t>
            </w:r>
            <w:r w:rsidRPr="00461C16">
              <w:rPr>
                <w:rFonts w:ascii="Arial Narrow" w:hAnsi="Arial Narrow" w:cs="Arial"/>
                <w:lang w:val="cs-CZ" w:eastAsia="cs-CZ"/>
              </w:rPr>
              <w:t>a</w:t>
            </w:r>
            <w:r w:rsidRPr="00461C16">
              <w:rPr>
                <w:rFonts w:ascii="Arial Narrow" w:hAnsi="Arial Narrow" w:cs="Arial"/>
                <w:lang w:eastAsia="cs-CZ"/>
              </w:rPr>
              <w:t xml:space="preserve"> výskytu zvláště chráněných druhů rostlin a živočichů s národním významem</w:t>
            </w:r>
          </w:p>
        </w:tc>
        <w:tc>
          <w:tcPr>
            <w:tcW w:w="2410" w:type="dxa"/>
            <w:shd w:val="clear" w:color="auto" w:fill="auto"/>
          </w:tcPr>
          <w:p w14:paraId="47A17A70" w14:textId="77777777" w:rsidR="00D95069" w:rsidRPr="00461C16" w:rsidRDefault="00D95069" w:rsidP="00A53768">
            <w:pPr>
              <w:pStyle w:val="Intabulka"/>
              <w:rPr>
                <w:rFonts w:ascii="Arial Narrow" w:hAnsi="Arial Narrow"/>
                <w:lang w:val="cs-CZ"/>
              </w:rPr>
            </w:pPr>
          </w:p>
        </w:tc>
        <w:tc>
          <w:tcPr>
            <w:tcW w:w="4819" w:type="dxa"/>
            <w:shd w:val="clear" w:color="auto" w:fill="auto"/>
          </w:tcPr>
          <w:p w14:paraId="18E2E70B"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 xml:space="preserve">§ 48 a § 50 zákona č. 114/1992 Sb., o ochraně přírody a krajiny, </w:t>
            </w:r>
            <w:r w:rsidR="00A53768" w:rsidRPr="00461C16">
              <w:rPr>
                <w:rFonts w:cs="Arial"/>
                <w:sz w:val="20"/>
                <w:szCs w:val="20"/>
                <w:lang w:eastAsia="cs-CZ"/>
              </w:rPr>
              <w:t>v platném znění</w:t>
            </w:r>
          </w:p>
        </w:tc>
      </w:tr>
      <w:tr w:rsidR="00D95069" w:rsidRPr="00461C16" w14:paraId="25E66ED4" w14:textId="77777777" w:rsidTr="00A53768">
        <w:tc>
          <w:tcPr>
            <w:tcW w:w="2093" w:type="dxa"/>
            <w:shd w:val="clear" w:color="auto" w:fill="auto"/>
          </w:tcPr>
          <w:p w14:paraId="78C4C18C"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památný strom</w:t>
            </w:r>
          </w:p>
        </w:tc>
        <w:tc>
          <w:tcPr>
            <w:tcW w:w="2410" w:type="dxa"/>
            <w:shd w:val="clear" w:color="auto" w:fill="auto"/>
          </w:tcPr>
          <w:p w14:paraId="2F4215BE"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tvar kruhu o poloměru desetinásobku průměru kmene měřeného ve výši 130 cm nad zemí</w:t>
            </w:r>
          </w:p>
        </w:tc>
        <w:tc>
          <w:tcPr>
            <w:tcW w:w="4819" w:type="dxa"/>
            <w:shd w:val="clear" w:color="auto" w:fill="auto"/>
          </w:tcPr>
          <w:p w14:paraId="1548D37F"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 xml:space="preserve">§ 46 zákona č. 114/1992 Sb., o ochraně přírody a krajiny, </w:t>
            </w:r>
            <w:r w:rsidR="00A53768" w:rsidRPr="00461C16">
              <w:rPr>
                <w:rFonts w:cs="Arial"/>
                <w:sz w:val="20"/>
                <w:szCs w:val="20"/>
                <w:lang w:eastAsia="cs-CZ"/>
              </w:rPr>
              <w:t>v platném znění</w:t>
            </w:r>
          </w:p>
        </w:tc>
      </w:tr>
      <w:tr w:rsidR="00D95069" w:rsidRPr="00461C16" w14:paraId="097E4F53" w14:textId="77777777" w:rsidTr="00A53768">
        <w:tc>
          <w:tcPr>
            <w:tcW w:w="9322" w:type="dxa"/>
            <w:gridSpan w:val="3"/>
            <w:shd w:val="clear" w:color="auto" w:fill="C2D69B" w:themeFill="accent3" w:themeFillTint="99"/>
          </w:tcPr>
          <w:p w14:paraId="14367DA1" w14:textId="77777777" w:rsidR="00D95069" w:rsidRPr="00461C16" w:rsidRDefault="00D95069" w:rsidP="00A53768">
            <w:pPr>
              <w:spacing w:before="40" w:after="40"/>
              <w:jc w:val="left"/>
              <w:rPr>
                <w:rFonts w:cs="Arial"/>
                <w:sz w:val="20"/>
                <w:szCs w:val="20"/>
                <w:lang w:eastAsia="cs-CZ"/>
              </w:rPr>
            </w:pPr>
            <w:r w:rsidRPr="00461C16">
              <w:rPr>
                <w:b/>
                <w:i/>
                <w:sz w:val="20"/>
                <w:szCs w:val="20"/>
                <w:lang w:eastAsia="cs-CZ"/>
              </w:rPr>
              <w:lastRenderedPageBreak/>
              <w:t>Ochrana nerostného bohatství</w:t>
            </w:r>
          </w:p>
        </w:tc>
      </w:tr>
      <w:tr w:rsidR="00D95069" w:rsidRPr="00461C16" w14:paraId="75DE9235" w14:textId="77777777" w:rsidTr="00A53768">
        <w:tc>
          <w:tcPr>
            <w:tcW w:w="2093" w:type="dxa"/>
            <w:shd w:val="clear" w:color="auto" w:fill="auto"/>
          </w:tcPr>
          <w:p w14:paraId="4DB5E1B8"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chráněné ložiskové území</w:t>
            </w:r>
          </w:p>
        </w:tc>
        <w:tc>
          <w:tcPr>
            <w:tcW w:w="2410" w:type="dxa"/>
            <w:shd w:val="clear" w:color="auto" w:fill="auto"/>
          </w:tcPr>
          <w:p w14:paraId="55A11D05"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shd w:val="clear" w:color="auto" w:fill="auto"/>
          </w:tcPr>
          <w:p w14:paraId="20E3261B"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44/1988 Sb., o ochraně a využití nerostného bohatství (horní zákon)</w:t>
            </w:r>
            <w:r w:rsidR="00A53768" w:rsidRPr="00461C16">
              <w:rPr>
                <w:rFonts w:cs="Arial"/>
                <w:sz w:val="20"/>
                <w:szCs w:val="20"/>
                <w:lang w:eastAsia="cs-CZ"/>
              </w:rPr>
              <w:t>, v platném znění</w:t>
            </w:r>
            <w:r w:rsidRPr="00461C16">
              <w:rPr>
                <w:rFonts w:cs="Arial"/>
                <w:sz w:val="20"/>
                <w:szCs w:val="20"/>
                <w:lang w:eastAsia="cs-CZ"/>
              </w:rPr>
              <w:t>;</w:t>
            </w:r>
          </w:p>
          <w:p w14:paraId="453992C1"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Vyhláška č. 364/1992 Sb., o chráněných ložiskových územích;</w:t>
            </w:r>
          </w:p>
          <w:p w14:paraId="4CBFD1C0"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62/1988 Sb., o geologických pracích a o Českém geologickém úřadu ve znění pozdějších předpisů</w:t>
            </w:r>
          </w:p>
        </w:tc>
      </w:tr>
      <w:tr w:rsidR="00D95069" w:rsidRPr="00461C16" w14:paraId="78CD54DF" w14:textId="77777777" w:rsidTr="00A53768">
        <w:tc>
          <w:tcPr>
            <w:tcW w:w="2093" w:type="dxa"/>
            <w:shd w:val="clear" w:color="auto" w:fill="auto"/>
          </w:tcPr>
          <w:p w14:paraId="769BE4D3"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výhradní ložisko nerostů</w:t>
            </w:r>
          </w:p>
        </w:tc>
        <w:tc>
          <w:tcPr>
            <w:tcW w:w="2410" w:type="dxa"/>
            <w:shd w:val="clear" w:color="auto" w:fill="auto"/>
          </w:tcPr>
          <w:p w14:paraId="55A6704E"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val="restart"/>
            <w:shd w:val="clear" w:color="auto" w:fill="auto"/>
          </w:tcPr>
          <w:p w14:paraId="6D2F51B3"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44/1988 Sb., o ochraně a využití nerostného bohatství (horní zákon)</w:t>
            </w:r>
            <w:r w:rsidR="00A53768" w:rsidRPr="00461C16">
              <w:rPr>
                <w:rFonts w:cs="Arial"/>
                <w:sz w:val="20"/>
                <w:szCs w:val="20"/>
                <w:lang w:eastAsia="cs-CZ"/>
              </w:rPr>
              <w:t>, v platném znění</w:t>
            </w:r>
            <w:r w:rsidRPr="00461C16">
              <w:rPr>
                <w:rFonts w:cs="Arial"/>
                <w:sz w:val="20"/>
                <w:szCs w:val="20"/>
                <w:lang w:eastAsia="cs-CZ"/>
              </w:rPr>
              <w:t>;</w:t>
            </w:r>
          </w:p>
          <w:p w14:paraId="4B5E3969"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Vyhláška č. 369/2004 Sb., o projektování, provádění a vyhodnocování geologických prací, oznamování rizikových geofaktorů a o postupu při výpočtu zásob výhradních ložisek</w:t>
            </w:r>
          </w:p>
        </w:tc>
      </w:tr>
      <w:tr w:rsidR="00D95069" w:rsidRPr="00461C16" w14:paraId="1E18AADE" w14:textId="77777777" w:rsidTr="00A53768">
        <w:tc>
          <w:tcPr>
            <w:tcW w:w="2093" w:type="dxa"/>
            <w:shd w:val="clear" w:color="auto" w:fill="auto"/>
          </w:tcPr>
          <w:p w14:paraId="783DE625"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prognózní zdroj nerostných surovin</w:t>
            </w:r>
          </w:p>
        </w:tc>
        <w:tc>
          <w:tcPr>
            <w:tcW w:w="2410" w:type="dxa"/>
            <w:shd w:val="clear" w:color="auto" w:fill="auto"/>
          </w:tcPr>
          <w:p w14:paraId="79B31273"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shd w:val="clear" w:color="auto" w:fill="auto"/>
          </w:tcPr>
          <w:p w14:paraId="65D7AD1A" w14:textId="77777777" w:rsidR="00D95069" w:rsidRPr="00461C16" w:rsidRDefault="00D95069" w:rsidP="00A53768">
            <w:pPr>
              <w:pStyle w:val="Intabulka"/>
              <w:rPr>
                <w:rFonts w:ascii="Arial Narrow" w:hAnsi="Arial Narrow"/>
                <w:lang w:val="cs-CZ" w:eastAsia="cs-CZ"/>
              </w:rPr>
            </w:pPr>
          </w:p>
        </w:tc>
      </w:tr>
      <w:tr w:rsidR="00D95069" w:rsidRPr="00461C16" w14:paraId="1DFC5DAF" w14:textId="77777777" w:rsidTr="00A53768">
        <w:tc>
          <w:tcPr>
            <w:tcW w:w="2093" w:type="dxa"/>
            <w:shd w:val="clear" w:color="auto" w:fill="auto"/>
          </w:tcPr>
          <w:p w14:paraId="335FDA1F"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dobývací prostor</w:t>
            </w:r>
          </w:p>
        </w:tc>
        <w:tc>
          <w:tcPr>
            <w:tcW w:w="2410" w:type="dxa"/>
            <w:shd w:val="clear" w:color="auto" w:fill="auto"/>
          </w:tcPr>
          <w:p w14:paraId="7F3F9812"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shd w:val="clear" w:color="auto" w:fill="auto"/>
          </w:tcPr>
          <w:p w14:paraId="45B9EF50"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44/1988 Sb., o ochraně a využití nerostného bohatství (horní zákon)</w:t>
            </w:r>
            <w:r w:rsidR="00A53768" w:rsidRPr="00461C16">
              <w:rPr>
                <w:rFonts w:cs="Arial"/>
                <w:sz w:val="20"/>
                <w:szCs w:val="20"/>
                <w:lang w:eastAsia="cs-CZ"/>
              </w:rPr>
              <w:t>, v platném znění</w:t>
            </w:r>
            <w:r w:rsidRPr="00461C16">
              <w:rPr>
                <w:rFonts w:cs="Arial"/>
                <w:sz w:val="20"/>
                <w:szCs w:val="20"/>
                <w:lang w:eastAsia="cs-CZ"/>
              </w:rPr>
              <w:t xml:space="preserve">; </w:t>
            </w:r>
          </w:p>
          <w:p w14:paraId="091EA4CF"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Vyhláška č. 172/1992 Sb., o dobývacích prostorech;</w:t>
            </w:r>
          </w:p>
          <w:p w14:paraId="77A55D62"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62/1988 Sb., o geologických pracích a o Českém geologickém úřadu</w:t>
            </w:r>
            <w:r w:rsidR="00A53768" w:rsidRPr="00461C16">
              <w:rPr>
                <w:rFonts w:cs="Arial"/>
                <w:sz w:val="20"/>
                <w:szCs w:val="20"/>
                <w:lang w:eastAsia="cs-CZ"/>
              </w:rPr>
              <w:t>, v platném znění</w:t>
            </w:r>
          </w:p>
        </w:tc>
      </w:tr>
      <w:tr w:rsidR="00D95069" w:rsidRPr="00461C16" w14:paraId="7E62A010" w14:textId="77777777" w:rsidTr="00A53768">
        <w:tc>
          <w:tcPr>
            <w:tcW w:w="9322" w:type="dxa"/>
            <w:gridSpan w:val="3"/>
            <w:tcBorders>
              <w:right w:val="single" w:sz="4" w:space="0" w:color="auto"/>
            </w:tcBorders>
            <w:shd w:val="clear" w:color="auto" w:fill="C2D69B" w:themeFill="accent3" w:themeFillTint="99"/>
          </w:tcPr>
          <w:p w14:paraId="75A2B765" w14:textId="77777777" w:rsidR="00D95069" w:rsidRPr="00461C16" w:rsidRDefault="00D95069" w:rsidP="00A53768">
            <w:pPr>
              <w:spacing w:before="40" w:after="40"/>
              <w:jc w:val="left"/>
              <w:rPr>
                <w:rFonts w:cs="Arial"/>
                <w:sz w:val="20"/>
                <w:szCs w:val="20"/>
                <w:lang w:eastAsia="cs-CZ"/>
              </w:rPr>
            </w:pPr>
            <w:r w:rsidRPr="00461C16">
              <w:rPr>
                <w:b/>
                <w:i/>
                <w:sz w:val="20"/>
                <w:szCs w:val="20"/>
              </w:rPr>
              <w:t>Ochrana lesa</w:t>
            </w:r>
          </w:p>
        </w:tc>
      </w:tr>
      <w:tr w:rsidR="00D95069" w:rsidRPr="00461C16" w14:paraId="51FD293F" w14:textId="77777777" w:rsidTr="00A53768">
        <w:tc>
          <w:tcPr>
            <w:tcW w:w="2093" w:type="dxa"/>
            <w:shd w:val="clear" w:color="auto" w:fill="auto"/>
          </w:tcPr>
          <w:p w14:paraId="28A3881D" w14:textId="77777777" w:rsidR="00D95069" w:rsidRPr="00461C16" w:rsidRDefault="00D95069" w:rsidP="00A53768">
            <w:pPr>
              <w:pStyle w:val="Intabulka"/>
              <w:rPr>
                <w:rFonts w:ascii="Arial Narrow" w:hAnsi="Arial Narrow"/>
                <w:lang w:val="cs-CZ"/>
              </w:rPr>
            </w:pPr>
            <w:r w:rsidRPr="00461C16">
              <w:rPr>
                <w:rFonts w:ascii="Arial Narrow" w:hAnsi="Arial Narrow" w:cs="Arial"/>
                <w:lang w:val="cs-CZ" w:eastAsia="cs-CZ"/>
              </w:rPr>
              <w:t>l</w:t>
            </w:r>
            <w:r w:rsidRPr="00461C16">
              <w:rPr>
                <w:rFonts w:ascii="Arial Narrow" w:hAnsi="Arial Narrow" w:cs="Arial"/>
                <w:lang w:eastAsia="cs-CZ"/>
              </w:rPr>
              <w:t>esy hospodářské</w:t>
            </w:r>
          </w:p>
        </w:tc>
        <w:tc>
          <w:tcPr>
            <w:tcW w:w="2410" w:type="dxa"/>
            <w:tcBorders>
              <w:right w:val="single" w:sz="4" w:space="0" w:color="auto"/>
            </w:tcBorders>
            <w:shd w:val="clear" w:color="auto" w:fill="auto"/>
          </w:tcPr>
          <w:p w14:paraId="24A99595"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val="restart"/>
            <w:tcBorders>
              <w:top w:val="single" w:sz="4" w:space="0" w:color="auto"/>
              <w:left w:val="single" w:sz="4" w:space="0" w:color="auto"/>
              <w:right w:val="single" w:sz="4" w:space="0" w:color="auto"/>
            </w:tcBorders>
            <w:shd w:val="clear" w:color="auto" w:fill="auto"/>
          </w:tcPr>
          <w:p w14:paraId="18DC2ED4"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 xml:space="preserve">Zákon č. 289/1995 Sb., o lesích a o změně </w:t>
            </w:r>
            <w:r w:rsidRPr="00461C16">
              <w:rPr>
                <w:rFonts w:cs="Arial"/>
                <w:sz w:val="20"/>
                <w:szCs w:val="20"/>
                <w:lang w:eastAsia="cs-CZ"/>
              </w:rPr>
              <w:br/>
              <w:t>a doplnění některých zákonů (lesní zákon)</w:t>
            </w:r>
            <w:r w:rsidR="00A53768" w:rsidRPr="00461C16">
              <w:rPr>
                <w:rFonts w:cs="Arial"/>
                <w:sz w:val="20"/>
                <w:szCs w:val="20"/>
                <w:lang w:eastAsia="cs-CZ"/>
              </w:rPr>
              <w:t>, v platném znění</w:t>
            </w:r>
          </w:p>
        </w:tc>
      </w:tr>
      <w:tr w:rsidR="00D95069" w:rsidRPr="00461C16" w14:paraId="7C83F19A" w14:textId="77777777" w:rsidTr="00A53768">
        <w:tc>
          <w:tcPr>
            <w:tcW w:w="2093" w:type="dxa"/>
            <w:shd w:val="clear" w:color="auto" w:fill="auto"/>
          </w:tcPr>
          <w:p w14:paraId="7824327F" w14:textId="77777777" w:rsidR="00D95069" w:rsidRPr="00461C16" w:rsidRDefault="00D95069" w:rsidP="00A53768">
            <w:pPr>
              <w:pStyle w:val="Intabulka"/>
              <w:rPr>
                <w:rFonts w:ascii="Arial Narrow" w:hAnsi="Arial Narrow"/>
                <w:lang w:val="cs-CZ"/>
              </w:rPr>
            </w:pPr>
            <w:r w:rsidRPr="00461C16">
              <w:rPr>
                <w:rFonts w:ascii="Arial Narrow" w:hAnsi="Arial Narrow" w:cs="Arial"/>
                <w:lang w:val="cs-CZ" w:eastAsia="cs-CZ"/>
              </w:rPr>
              <w:t>lesy ochranné</w:t>
            </w:r>
          </w:p>
        </w:tc>
        <w:tc>
          <w:tcPr>
            <w:tcW w:w="2410" w:type="dxa"/>
            <w:tcBorders>
              <w:right w:val="single" w:sz="4" w:space="0" w:color="auto"/>
            </w:tcBorders>
            <w:shd w:val="clear" w:color="auto" w:fill="auto"/>
          </w:tcPr>
          <w:p w14:paraId="1FB21F76"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tcBorders>
              <w:left w:val="single" w:sz="4" w:space="0" w:color="auto"/>
              <w:right w:val="single" w:sz="4" w:space="0" w:color="auto"/>
            </w:tcBorders>
            <w:shd w:val="clear" w:color="auto" w:fill="auto"/>
          </w:tcPr>
          <w:p w14:paraId="0F6DA5F2" w14:textId="77777777" w:rsidR="00D95069" w:rsidRPr="00461C16" w:rsidRDefault="00D95069" w:rsidP="00A53768">
            <w:pPr>
              <w:pStyle w:val="Intabulka"/>
              <w:rPr>
                <w:rFonts w:ascii="Arial Narrow" w:hAnsi="Arial Narrow"/>
                <w:lang w:val="cs-CZ"/>
              </w:rPr>
            </w:pPr>
          </w:p>
        </w:tc>
      </w:tr>
      <w:tr w:rsidR="00D95069" w:rsidRPr="00461C16" w14:paraId="1696087D" w14:textId="77777777" w:rsidTr="00A53768">
        <w:tc>
          <w:tcPr>
            <w:tcW w:w="2093" w:type="dxa"/>
            <w:shd w:val="clear" w:color="auto" w:fill="auto"/>
          </w:tcPr>
          <w:p w14:paraId="6CD8A617" w14:textId="77777777" w:rsidR="00D95069" w:rsidRPr="00461C16" w:rsidRDefault="00D95069" w:rsidP="00A53768">
            <w:pPr>
              <w:pStyle w:val="Intabulka"/>
              <w:rPr>
                <w:rFonts w:ascii="Arial Narrow" w:hAnsi="Arial Narrow"/>
                <w:lang w:val="cs-CZ"/>
              </w:rPr>
            </w:pPr>
            <w:r w:rsidRPr="00461C16">
              <w:rPr>
                <w:rFonts w:ascii="Arial Narrow" w:hAnsi="Arial Narrow" w:cs="Arial"/>
                <w:lang w:val="cs-CZ" w:eastAsia="cs-CZ"/>
              </w:rPr>
              <w:t>l</w:t>
            </w:r>
            <w:r w:rsidRPr="00461C16">
              <w:rPr>
                <w:rFonts w:ascii="Arial Narrow" w:hAnsi="Arial Narrow" w:cs="Arial"/>
                <w:lang w:eastAsia="cs-CZ"/>
              </w:rPr>
              <w:t>esy zvláštního určení</w:t>
            </w:r>
          </w:p>
        </w:tc>
        <w:tc>
          <w:tcPr>
            <w:tcW w:w="2410" w:type="dxa"/>
            <w:tcBorders>
              <w:right w:val="single" w:sz="4" w:space="0" w:color="auto"/>
            </w:tcBorders>
            <w:shd w:val="clear" w:color="auto" w:fill="auto"/>
          </w:tcPr>
          <w:p w14:paraId="4E68B804"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tcBorders>
              <w:left w:val="single" w:sz="4" w:space="0" w:color="auto"/>
              <w:right w:val="single" w:sz="4" w:space="0" w:color="auto"/>
            </w:tcBorders>
            <w:shd w:val="clear" w:color="auto" w:fill="auto"/>
          </w:tcPr>
          <w:p w14:paraId="22684E71" w14:textId="77777777" w:rsidR="00D95069" w:rsidRPr="00461C16" w:rsidRDefault="00D95069" w:rsidP="00A53768">
            <w:pPr>
              <w:pStyle w:val="Intabulka"/>
              <w:rPr>
                <w:rFonts w:ascii="Arial Narrow" w:hAnsi="Arial Narrow"/>
                <w:lang w:val="cs-CZ" w:eastAsia="cs-CZ"/>
              </w:rPr>
            </w:pPr>
          </w:p>
        </w:tc>
      </w:tr>
      <w:tr w:rsidR="00D95069" w:rsidRPr="00461C16" w14:paraId="67F5B782" w14:textId="77777777" w:rsidTr="00A53768">
        <w:tc>
          <w:tcPr>
            <w:tcW w:w="2093" w:type="dxa"/>
            <w:shd w:val="clear" w:color="auto" w:fill="auto"/>
          </w:tcPr>
          <w:p w14:paraId="14D0692C"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vzdálenost 50 m od okraje lesa</w:t>
            </w:r>
          </w:p>
        </w:tc>
        <w:tc>
          <w:tcPr>
            <w:tcW w:w="2410" w:type="dxa"/>
            <w:tcBorders>
              <w:right w:val="single" w:sz="4" w:space="0" w:color="auto"/>
            </w:tcBorders>
            <w:shd w:val="clear" w:color="auto" w:fill="auto"/>
          </w:tcPr>
          <w:p w14:paraId="1A5F7495"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tcBorders>
              <w:left w:val="single" w:sz="4" w:space="0" w:color="auto"/>
              <w:bottom w:val="single" w:sz="4" w:space="0" w:color="auto"/>
              <w:right w:val="single" w:sz="4" w:space="0" w:color="auto"/>
            </w:tcBorders>
            <w:shd w:val="clear" w:color="auto" w:fill="auto"/>
          </w:tcPr>
          <w:p w14:paraId="5B08496D" w14:textId="77777777" w:rsidR="00D95069" w:rsidRPr="00461C16" w:rsidRDefault="00D95069" w:rsidP="00A53768">
            <w:pPr>
              <w:pStyle w:val="Intabulka"/>
              <w:rPr>
                <w:rFonts w:ascii="Arial Narrow" w:hAnsi="Arial Narrow"/>
                <w:lang w:val="cs-CZ" w:eastAsia="cs-CZ"/>
              </w:rPr>
            </w:pPr>
          </w:p>
        </w:tc>
      </w:tr>
      <w:tr w:rsidR="00D95069" w:rsidRPr="00461C16" w14:paraId="54CCDE54" w14:textId="77777777" w:rsidTr="00A53768">
        <w:tc>
          <w:tcPr>
            <w:tcW w:w="9322" w:type="dxa"/>
            <w:gridSpan w:val="3"/>
            <w:shd w:val="clear" w:color="auto" w:fill="C2D69B" w:themeFill="accent3" w:themeFillTint="99"/>
          </w:tcPr>
          <w:p w14:paraId="588DD90E" w14:textId="77777777" w:rsidR="00D95069" w:rsidRPr="00461C16" w:rsidRDefault="00D95069" w:rsidP="00A53768">
            <w:pPr>
              <w:spacing w:before="40" w:after="40"/>
              <w:jc w:val="left"/>
              <w:rPr>
                <w:rFonts w:cs="Arial"/>
                <w:sz w:val="20"/>
                <w:szCs w:val="20"/>
                <w:lang w:eastAsia="cs-CZ"/>
              </w:rPr>
            </w:pPr>
            <w:r w:rsidRPr="00461C16">
              <w:rPr>
                <w:b/>
                <w:i/>
                <w:sz w:val="20"/>
                <w:szCs w:val="20"/>
              </w:rPr>
              <w:t>Ochrana půd</w:t>
            </w:r>
          </w:p>
        </w:tc>
      </w:tr>
      <w:tr w:rsidR="00D95069" w:rsidRPr="00461C16" w14:paraId="5C777D8B" w14:textId="77777777" w:rsidTr="00A53768">
        <w:tc>
          <w:tcPr>
            <w:tcW w:w="2093" w:type="dxa"/>
            <w:shd w:val="clear" w:color="auto" w:fill="auto"/>
          </w:tcPr>
          <w:p w14:paraId="527A1A1A"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I. a II. třída ochrany ZPF</w:t>
            </w:r>
          </w:p>
        </w:tc>
        <w:tc>
          <w:tcPr>
            <w:tcW w:w="2410" w:type="dxa"/>
            <w:shd w:val="clear" w:color="auto" w:fill="auto"/>
          </w:tcPr>
          <w:p w14:paraId="31482C44"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val="restart"/>
            <w:shd w:val="clear" w:color="auto" w:fill="auto"/>
          </w:tcPr>
          <w:p w14:paraId="38D6F7DB"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334/1992 Sb., o ochraně zemědělského půdního fondu</w:t>
            </w:r>
            <w:r w:rsidR="00A53768" w:rsidRPr="00461C16">
              <w:rPr>
                <w:rFonts w:cs="Arial"/>
                <w:sz w:val="20"/>
                <w:szCs w:val="20"/>
                <w:lang w:eastAsia="cs-CZ"/>
              </w:rPr>
              <w:t>, v platném znění</w:t>
            </w:r>
            <w:r w:rsidRPr="00461C16">
              <w:rPr>
                <w:rFonts w:cs="Arial"/>
                <w:sz w:val="20"/>
                <w:szCs w:val="20"/>
                <w:lang w:eastAsia="cs-CZ"/>
              </w:rPr>
              <w:t>;</w:t>
            </w:r>
          </w:p>
          <w:p w14:paraId="29EF6D84" w14:textId="41F38F64" w:rsidR="00D95069" w:rsidRDefault="00D95069" w:rsidP="00A53768">
            <w:pPr>
              <w:spacing w:before="40" w:after="40"/>
              <w:jc w:val="left"/>
              <w:rPr>
                <w:rFonts w:cs="Arial"/>
                <w:sz w:val="20"/>
                <w:szCs w:val="20"/>
                <w:lang w:eastAsia="cs-CZ"/>
              </w:rPr>
            </w:pPr>
            <w:r w:rsidRPr="00461C16">
              <w:rPr>
                <w:rFonts w:cs="Arial"/>
                <w:sz w:val="20"/>
                <w:szCs w:val="20"/>
                <w:lang w:eastAsia="cs-CZ"/>
              </w:rPr>
              <w:t>Vyhláška č. 13/1994 Sb., kterou se upravují některé podrobnosti ochrany zemědělského půdního fondu;</w:t>
            </w:r>
          </w:p>
          <w:p w14:paraId="61493C70" w14:textId="77777777" w:rsidR="005137E2" w:rsidRPr="00461C16" w:rsidRDefault="005137E2" w:rsidP="00A53768">
            <w:pPr>
              <w:spacing w:before="40" w:after="40"/>
              <w:jc w:val="left"/>
              <w:rPr>
                <w:rFonts w:cs="Arial"/>
                <w:sz w:val="20"/>
                <w:szCs w:val="20"/>
                <w:lang w:eastAsia="cs-CZ"/>
              </w:rPr>
            </w:pPr>
            <w:r>
              <w:rPr>
                <w:rFonts w:cs="Arial"/>
                <w:sz w:val="20"/>
                <w:szCs w:val="20"/>
                <w:lang w:eastAsia="cs-CZ"/>
              </w:rPr>
              <w:t>Vyhláška č. 271/201</w:t>
            </w:r>
            <w:r w:rsidR="005F3B96">
              <w:rPr>
                <w:rFonts w:cs="Arial"/>
                <w:sz w:val="20"/>
                <w:szCs w:val="20"/>
                <w:lang w:eastAsia="cs-CZ"/>
              </w:rPr>
              <w:t>9</w:t>
            </w:r>
            <w:r>
              <w:rPr>
                <w:rFonts w:cs="Arial"/>
                <w:sz w:val="20"/>
                <w:szCs w:val="20"/>
                <w:lang w:eastAsia="cs-CZ"/>
              </w:rPr>
              <w:t xml:space="preserve"> Sb., o stanovení postupů k zajištění ochrany zemědělského půdního fondu;</w:t>
            </w:r>
          </w:p>
          <w:p w14:paraId="173DAEDC" w14:textId="77777777" w:rsidR="00D95069" w:rsidRDefault="00D95069" w:rsidP="00A53768">
            <w:pPr>
              <w:spacing w:before="40" w:after="40"/>
              <w:jc w:val="left"/>
              <w:rPr>
                <w:rFonts w:cs="Arial"/>
                <w:sz w:val="20"/>
                <w:szCs w:val="20"/>
                <w:lang w:eastAsia="cs-CZ"/>
              </w:rPr>
            </w:pPr>
            <w:r w:rsidRPr="00461C16">
              <w:rPr>
                <w:rFonts w:cs="Arial"/>
                <w:sz w:val="20"/>
                <w:szCs w:val="20"/>
                <w:lang w:eastAsia="cs-CZ"/>
              </w:rPr>
              <w:t>Metodický pokyn Ministerstva životního prostředí OOLP/1067/96 ze dne 1. 10. 1996 k odnímání půdy ze zemědělského půdního fondu</w:t>
            </w:r>
            <w:r w:rsidR="00A41A8F">
              <w:rPr>
                <w:rFonts w:cs="Arial"/>
                <w:sz w:val="20"/>
                <w:szCs w:val="20"/>
                <w:lang w:eastAsia="cs-CZ"/>
              </w:rPr>
              <w:t>;</w:t>
            </w:r>
          </w:p>
          <w:p w14:paraId="3469DE07" w14:textId="77777777" w:rsidR="00A41A8F" w:rsidRPr="00461C16" w:rsidRDefault="00A41A8F" w:rsidP="00A53768">
            <w:pPr>
              <w:spacing w:before="40" w:after="40"/>
              <w:jc w:val="left"/>
              <w:rPr>
                <w:rFonts w:cs="Arial"/>
                <w:sz w:val="20"/>
                <w:szCs w:val="20"/>
                <w:lang w:eastAsia="cs-CZ"/>
              </w:rPr>
            </w:pPr>
            <w:r w:rsidRPr="00461C16">
              <w:rPr>
                <w:rFonts w:cs="Arial"/>
                <w:sz w:val="20"/>
                <w:szCs w:val="20"/>
                <w:lang w:eastAsia="cs-CZ"/>
              </w:rPr>
              <w:t>Zákon č. 254/2001 Sb., o vodách a o změně některých zákonů (vodní zákon), v platném znění</w:t>
            </w:r>
          </w:p>
        </w:tc>
      </w:tr>
      <w:tr w:rsidR="00D95069" w:rsidRPr="00461C16" w14:paraId="0445A585" w14:textId="77777777" w:rsidTr="00A53768">
        <w:tc>
          <w:tcPr>
            <w:tcW w:w="2093" w:type="dxa"/>
            <w:shd w:val="clear" w:color="auto" w:fill="auto"/>
          </w:tcPr>
          <w:p w14:paraId="6F1836E1"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investice do půdy za účelem zlepšení půdní úrodnosti</w:t>
            </w:r>
          </w:p>
        </w:tc>
        <w:tc>
          <w:tcPr>
            <w:tcW w:w="2410" w:type="dxa"/>
            <w:shd w:val="clear" w:color="auto" w:fill="auto"/>
          </w:tcPr>
          <w:p w14:paraId="0EFE3979"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shd w:val="clear" w:color="auto" w:fill="auto"/>
          </w:tcPr>
          <w:p w14:paraId="49EF8171" w14:textId="77777777" w:rsidR="00D95069" w:rsidRPr="00461C16" w:rsidRDefault="00D95069" w:rsidP="00A53768">
            <w:pPr>
              <w:pStyle w:val="Intabulka"/>
              <w:rPr>
                <w:rFonts w:ascii="Arial Narrow" w:hAnsi="Arial Narrow"/>
                <w:lang w:val="cs-CZ" w:eastAsia="cs-CZ"/>
              </w:rPr>
            </w:pPr>
          </w:p>
        </w:tc>
      </w:tr>
      <w:tr w:rsidR="00D95069" w:rsidRPr="00461C16" w14:paraId="2DB90F70" w14:textId="77777777" w:rsidTr="00A53768">
        <w:tc>
          <w:tcPr>
            <w:tcW w:w="9322" w:type="dxa"/>
            <w:gridSpan w:val="3"/>
            <w:shd w:val="clear" w:color="auto" w:fill="C2D69B" w:themeFill="accent3" w:themeFillTint="99"/>
          </w:tcPr>
          <w:p w14:paraId="7EEB8E25" w14:textId="77777777" w:rsidR="00D95069" w:rsidRPr="00461C16" w:rsidRDefault="00D95069" w:rsidP="00A53768">
            <w:pPr>
              <w:spacing w:before="40" w:after="40"/>
              <w:jc w:val="left"/>
              <w:rPr>
                <w:rFonts w:cs="Arial"/>
                <w:sz w:val="20"/>
                <w:szCs w:val="20"/>
                <w:lang w:eastAsia="cs-CZ"/>
              </w:rPr>
            </w:pPr>
            <w:r w:rsidRPr="00461C16">
              <w:rPr>
                <w:b/>
                <w:i/>
                <w:sz w:val="20"/>
                <w:szCs w:val="20"/>
              </w:rPr>
              <w:t>Ochrana podzemních a povrchových vod</w:t>
            </w:r>
          </w:p>
        </w:tc>
      </w:tr>
      <w:tr w:rsidR="00D95069" w:rsidRPr="00461C16" w14:paraId="2575BABE" w14:textId="77777777" w:rsidTr="00A53768">
        <w:tc>
          <w:tcPr>
            <w:tcW w:w="2093" w:type="dxa"/>
            <w:shd w:val="clear" w:color="auto" w:fill="auto"/>
          </w:tcPr>
          <w:p w14:paraId="2F92080A"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chráněná oblast přirozené akumulace vod</w:t>
            </w:r>
          </w:p>
        </w:tc>
        <w:tc>
          <w:tcPr>
            <w:tcW w:w="2410" w:type="dxa"/>
            <w:shd w:val="clear" w:color="auto" w:fill="auto"/>
          </w:tcPr>
          <w:p w14:paraId="104B44FF"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val="restart"/>
            <w:shd w:val="clear" w:color="auto" w:fill="auto"/>
          </w:tcPr>
          <w:p w14:paraId="32A2AA8D" w14:textId="615A75ED" w:rsidR="00D95069" w:rsidRPr="00461C16" w:rsidRDefault="00D95069" w:rsidP="00A41A8F">
            <w:pPr>
              <w:spacing w:before="40" w:after="40"/>
              <w:jc w:val="left"/>
              <w:rPr>
                <w:rFonts w:cs="Arial"/>
                <w:i/>
                <w:sz w:val="20"/>
                <w:szCs w:val="20"/>
                <w:lang w:eastAsia="cs-CZ"/>
              </w:rPr>
            </w:pPr>
            <w:r w:rsidRPr="00461C16">
              <w:rPr>
                <w:rFonts w:cs="Arial"/>
                <w:sz w:val="20"/>
                <w:szCs w:val="20"/>
                <w:lang w:eastAsia="cs-CZ"/>
              </w:rPr>
              <w:t>Zákon č. 254/2001 Sb., o vodách a o změně některých zákonů (vodní zákon)</w:t>
            </w:r>
            <w:r w:rsidR="00A53768" w:rsidRPr="00461C16">
              <w:rPr>
                <w:rFonts w:cs="Arial"/>
                <w:sz w:val="20"/>
                <w:szCs w:val="20"/>
                <w:lang w:eastAsia="cs-CZ"/>
              </w:rPr>
              <w:t>, v platném znění</w:t>
            </w:r>
            <w:r w:rsidR="00A41A8F">
              <w:rPr>
                <w:rFonts w:cs="Arial"/>
                <w:sz w:val="20"/>
                <w:szCs w:val="20"/>
                <w:lang w:eastAsia="cs-CZ"/>
              </w:rPr>
              <w:t>;</w:t>
            </w:r>
            <w:r w:rsidR="00A41A8F" w:rsidRPr="00461C16">
              <w:rPr>
                <w:rFonts w:cs="Arial"/>
                <w:sz w:val="20"/>
                <w:szCs w:val="20"/>
                <w:lang w:eastAsia="cs-CZ"/>
              </w:rPr>
              <w:t xml:space="preserve"> </w:t>
            </w:r>
            <w:r w:rsidRPr="00461C16">
              <w:rPr>
                <w:rFonts w:cs="Arial"/>
                <w:sz w:val="20"/>
                <w:szCs w:val="20"/>
                <w:lang w:eastAsia="cs-CZ"/>
              </w:rPr>
              <w:br/>
              <w:t xml:space="preserve">Vyhláška č. 137/1999 Sb., kterou se stanoví seznam vodárenských nádrží a zásady pro stanovení a změny </w:t>
            </w:r>
          </w:p>
        </w:tc>
      </w:tr>
      <w:tr w:rsidR="00D95069" w:rsidRPr="00461C16" w14:paraId="710B0452" w14:textId="77777777" w:rsidTr="00A53768">
        <w:tc>
          <w:tcPr>
            <w:tcW w:w="2093" w:type="dxa"/>
            <w:shd w:val="clear" w:color="auto" w:fill="auto"/>
          </w:tcPr>
          <w:p w14:paraId="3089C47F"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ochranné pásmo vodního zdroje I. stupně</w:t>
            </w:r>
          </w:p>
        </w:tc>
        <w:tc>
          <w:tcPr>
            <w:tcW w:w="2410" w:type="dxa"/>
            <w:shd w:val="clear" w:color="auto" w:fill="auto"/>
          </w:tcPr>
          <w:p w14:paraId="3043FBD4"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shd w:val="clear" w:color="auto" w:fill="auto"/>
          </w:tcPr>
          <w:p w14:paraId="3B20B6A1" w14:textId="77777777" w:rsidR="00D95069" w:rsidRPr="00461C16" w:rsidRDefault="00D95069" w:rsidP="00A53768">
            <w:pPr>
              <w:pStyle w:val="Intabulka"/>
              <w:rPr>
                <w:rFonts w:ascii="Arial Narrow" w:hAnsi="Arial Narrow"/>
                <w:lang w:val="cs-CZ" w:eastAsia="cs-CZ"/>
              </w:rPr>
            </w:pPr>
          </w:p>
        </w:tc>
      </w:tr>
      <w:tr w:rsidR="00D95069" w:rsidRPr="00461C16" w14:paraId="7A32C1A4" w14:textId="77777777" w:rsidTr="00A53768">
        <w:tc>
          <w:tcPr>
            <w:tcW w:w="2093" w:type="dxa"/>
            <w:shd w:val="clear" w:color="auto" w:fill="auto"/>
          </w:tcPr>
          <w:p w14:paraId="4EB1A2B8"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ochranné pásmo vodního zdroje </w:t>
            </w:r>
            <w:r w:rsidRPr="00461C16">
              <w:rPr>
                <w:rFonts w:ascii="Arial Narrow" w:hAnsi="Arial Narrow"/>
                <w:lang w:val="cs-CZ"/>
              </w:rPr>
              <w:br/>
              <w:t>II. stupně</w:t>
            </w:r>
          </w:p>
        </w:tc>
        <w:tc>
          <w:tcPr>
            <w:tcW w:w="2410" w:type="dxa"/>
            <w:shd w:val="clear" w:color="auto" w:fill="auto"/>
          </w:tcPr>
          <w:p w14:paraId="0FBC3A19"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shd w:val="clear" w:color="auto" w:fill="auto"/>
          </w:tcPr>
          <w:p w14:paraId="430D8EF9" w14:textId="77777777" w:rsidR="00D95069" w:rsidRPr="00461C16" w:rsidRDefault="00D95069" w:rsidP="00A53768">
            <w:pPr>
              <w:pStyle w:val="Intabulka"/>
              <w:rPr>
                <w:rFonts w:ascii="Arial Narrow" w:hAnsi="Arial Narrow"/>
                <w:lang w:val="cs-CZ" w:eastAsia="cs-CZ"/>
              </w:rPr>
            </w:pPr>
          </w:p>
        </w:tc>
      </w:tr>
      <w:tr w:rsidR="00D95069" w:rsidRPr="00461C16" w14:paraId="754D1693" w14:textId="77777777" w:rsidTr="00A53768">
        <w:tc>
          <w:tcPr>
            <w:tcW w:w="9322" w:type="dxa"/>
            <w:gridSpan w:val="3"/>
            <w:shd w:val="clear" w:color="auto" w:fill="C2D69B" w:themeFill="accent3" w:themeFillTint="99"/>
          </w:tcPr>
          <w:p w14:paraId="083BB2F5" w14:textId="77777777" w:rsidR="00D95069" w:rsidRPr="00461C16" w:rsidRDefault="00D95069" w:rsidP="00A53768">
            <w:pPr>
              <w:pStyle w:val="Intabulka"/>
              <w:rPr>
                <w:rFonts w:ascii="Arial Narrow" w:hAnsi="Arial Narrow" w:cs="Arial"/>
                <w:lang w:eastAsia="cs-CZ"/>
              </w:rPr>
            </w:pPr>
            <w:r w:rsidRPr="00461C16">
              <w:rPr>
                <w:rFonts w:ascii="Arial Narrow" w:hAnsi="Arial Narrow" w:cs="Arial"/>
                <w:b/>
                <w:i/>
                <w:lang w:eastAsia="cs-CZ"/>
              </w:rPr>
              <w:t>Ochrana před povodněmi</w:t>
            </w:r>
          </w:p>
        </w:tc>
      </w:tr>
      <w:tr w:rsidR="00D95069" w:rsidRPr="00461C16" w14:paraId="5283E63A" w14:textId="77777777" w:rsidTr="00A53768">
        <w:tc>
          <w:tcPr>
            <w:tcW w:w="2093" w:type="dxa"/>
            <w:shd w:val="clear" w:color="auto" w:fill="auto"/>
          </w:tcPr>
          <w:p w14:paraId="296800BC"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aktivní zóna záplavového území</w:t>
            </w:r>
          </w:p>
        </w:tc>
        <w:tc>
          <w:tcPr>
            <w:tcW w:w="2410" w:type="dxa"/>
            <w:shd w:val="clear" w:color="auto" w:fill="auto"/>
          </w:tcPr>
          <w:p w14:paraId="15F1058A"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val="restart"/>
            <w:shd w:val="clear" w:color="auto" w:fill="auto"/>
          </w:tcPr>
          <w:p w14:paraId="5A6E3F6C" w14:textId="77777777" w:rsidR="00D95069" w:rsidRPr="00461C16" w:rsidRDefault="00D95069" w:rsidP="00A53768">
            <w:pPr>
              <w:pStyle w:val="Intabulka"/>
              <w:rPr>
                <w:rFonts w:ascii="Arial Narrow" w:hAnsi="Arial Narrow"/>
                <w:lang w:val="cs-CZ" w:eastAsia="cs-CZ"/>
              </w:rPr>
            </w:pPr>
            <w:r w:rsidRPr="00461C16">
              <w:rPr>
                <w:rFonts w:ascii="Arial Narrow" w:hAnsi="Arial Narrow" w:cs="Arial"/>
                <w:lang w:eastAsia="cs-CZ"/>
              </w:rPr>
              <w:t>Zákon č. 254/2001 Sb., o vodách a o změně některých zákonů (vodní zákon)</w:t>
            </w:r>
            <w:r w:rsidR="00A53768" w:rsidRPr="00461C16">
              <w:rPr>
                <w:rFonts w:ascii="Arial Narrow" w:hAnsi="Arial Narrow" w:cs="Arial"/>
                <w:lang w:eastAsia="cs-CZ"/>
              </w:rPr>
              <w:t>, v platném znění</w:t>
            </w:r>
            <w:r w:rsidRPr="00461C16">
              <w:rPr>
                <w:rFonts w:ascii="Arial Narrow" w:hAnsi="Arial Narrow" w:cs="Arial"/>
                <w:lang w:val="cs-CZ" w:eastAsia="cs-CZ"/>
              </w:rPr>
              <w:t>;</w:t>
            </w:r>
            <w:r w:rsidRPr="00461C16">
              <w:rPr>
                <w:rFonts w:ascii="Arial Narrow" w:hAnsi="Arial Narrow" w:cs="Arial"/>
                <w:lang w:eastAsia="cs-CZ"/>
              </w:rPr>
              <w:br/>
              <w:t xml:space="preserve">Vyhláška č. 236/2002 Sb., o způsobu a rozsahu zpracování </w:t>
            </w:r>
            <w:r w:rsidRPr="00461C16">
              <w:rPr>
                <w:rFonts w:ascii="Arial Narrow" w:hAnsi="Arial Narrow" w:cs="Arial"/>
                <w:lang w:eastAsia="cs-CZ"/>
              </w:rPr>
              <w:lastRenderedPageBreak/>
              <w:t>návrhu a stanovení záplavového území</w:t>
            </w:r>
          </w:p>
        </w:tc>
      </w:tr>
      <w:tr w:rsidR="00D95069" w:rsidRPr="00461C16" w14:paraId="60E21093" w14:textId="77777777" w:rsidTr="00A53768">
        <w:tc>
          <w:tcPr>
            <w:tcW w:w="2093" w:type="dxa"/>
            <w:shd w:val="clear" w:color="auto" w:fill="auto"/>
          </w:tcPr>
          <w:p w14:paraId="292430AA"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záplavové území </w:t>
            </w:r>
            <w:r w:rsidRPr="00461C16">
              <w:rPr>
                <w:rFonts w:ascii="Arial Narrow" w:hAnsi="Arial Narrow"/>
                <w:lang w:val="cs-CZ"/>
              </w:rPr>
              <w:lastRenderedPageBreak/>
              <w:t>s periodicitou 100let</w:t>
            </w:r>
          </w:p>
        </w:tc>
        <w:tc>
          <w:tcPr>
            <w:tcW w:w="2410" w:type="dxa"/>
            <w:shd w:val="clear" w:color="auto" w:fill="auto"/>
          </w:tcPr>
          <w:p w14:paraId="6C6BAB51"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lastRenderedPageBreak/>
              <w:t>-</w:t>
            </w:r>
          </w:p>
        </w:tc>
        <w:tc>
          <w:tcPr>
            <w:tcW w:w="4819" w:type="dxa"/>
            <w:vMerge/>
            <w:shd w:val="clear" w:color="auto" w:fill="auto"/>
          </w:tcPr>
          <w:p w14:paraId="79984027" w14:textId="77777777" w:rsidR="00D95069" w:rsidRPr="00461C16" w:rsidRDefault="00D95069" w:rsidP="00A53768">
            <w:pPr>
              <w:pStyle w:val="Intabulka"/>
              <w:rPr>
                <w:rFonts w:ascii="Arial Narrow" w:hAnsi="Arial Narrow" w:cs="Arial"/>
                <w:lang w:eastAsia="cs-CZ"/>
              </w:rPr>
            </w:pPr>
          </w:p>
        </w:tc>
      </w:tr>
      <w:tr w:rsidR="00D95069" w:rsidRPr="00461C16" w14:paraId="10A0ADB5" w14:textId="77777777" w:rsidTr="00A53768">
        <w:tc>
          <w:tcPr>
            <w:tcW w:w="9322" w:type="dxa"/>
            <w:gridSpan w:val="3"/>
            <w:shd w:val="clear" w:color="auto" w:fill="C2D69B" w:themeFill="accent3" w:themeFillTint="99"/>
          </w:tcPr>
          <w:p w14:paraId="5BA2D3B5" w14:textId="77777777" w:rsidR="00D95069" w:rsidRPr="00461C16" w:rsidRDefault="00D95069" w:rsidP="00A53768">
            <w:pPr>
              <w:spacing w:before="40" w:after="40"/>
              <w:jc w:val="left"/>
              <w:rPr>
                <w:rFonts w:cs="Arial"/>
                <w:sz w:val="20"/>
                <w:szCs w:val="20"/>
                <w:lang w:eastAsia="cs-CZ"/>
              </w:rPr>
            </w:pPr>
            <w:r w:rsidRPr="00461C16">
              <w:rPr>
                <w:rFonts w:cs="Arial"/>
                <w:b/>
                <w:i/>
                <w:sz w:val="20"/>
                <w:szCs w:val="20"/>
                <w:lang w:eastAsia="cs-CZ"/>
              </w:rPr>
              <w:lastRenderedPageBreak/>
              <w:t>Ochrana území před nepříznivými geologickými vlivy</w:t>
            </w:r>
          </w:p>
        </w:tc>
      </w:tr>
      <w:tr w:rsidR="00D95069" w:rsidRPr="00461C16" w14:paraId="7B07CC5D" w14:textId="77777777" w:rsidTr="00A53768">
        <w:tc>
          <w:tcPr>
            <w:tcW w:w="2093" w:type="dxa"/>
            <w:shd w:val="clear" w:color="auto" w:fill="auto"/>
          </w:tcPr>
          <w:p w14:paraId="7F34C241"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poddolované území</w:t>
            </w:r>
          </w:p>
        </w:tc>
        <w:tc>
          <w:tcPr>
            <w:tcW w:w="2410" w:type="dxa"/>
            <w:shd w:val="clear" w:color="auto" w:fill="auto"/>
          </w:tcPr>
          <w:p w14:paraId="260D3F16" w14:textId="77777777" w:rsidR="00D95069" w:rsidRPr="00461C16" w:rsidRDefault="00D95069" w:rsidP="00A53768">
            <w:pPr>
              <w:pStyle w:val="Intabulka"/>
              <w:rPr>
                <w:rFonts w:ascii="Arial Narrow" w:hAnsi="Arial Narrow"/>
                <w:lang w:val="cs-CZ"/>
              </w:rPr>
            </w:pPr>
          </w:p>
        </w:tc>
        <w:tc>
          <w:tcPr>
            <w:tcW w:w="4819" w:type="dxa"/>
            <w:vMerge w:val="restart"/>
            <w:shd w:val="clear" w:color="auto" w:fill="auto"/>
          </w:tcPr>
          <w:p w14:paraId="6539F20D"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62/1988 Sb., o geologických pracích a o Českém geologickém úřadu ve znění pozdějších předpisů;</w:t>
            </w:r>
            <w:r w:rsidRPr="00461C16">
              <w:rPr>
                <w:rFonts w:cs="Arial"/>
                <w:sz w:val="20"/>
                <w:szCs w:val="20"/>
                <w:lang w:eastAsia="cs-CZ"/>
              </w:rPr>
              <w:br/>
              <w:t>ČSN 73 0039 Navrhování objektů na poddolovaném území</w:t>
            </w:r>
          </w:p>
        </w:tc>
      </w:tr>
      <w:tr w:rsidR="00D95069" w:rsidRPr="00461C16" w14:paraId="3D326467" w14:textId="77777777" w:rsidTr="00A53768">
        <w:tc>
          <w:tcPr>
            <w:tcW w:w="2093" w:type="dxa"/>
            <w:shd w:val="clear" w:color="auto" w:fill="auto"/>
          </w:tcPr>
          <w:p w14:paraId="7537FE59"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staré důlní dílo</w:t>
            </w:r>
          </w:p>
        </w:tc>
        <w:tc>
          <w:tcPr>
            <w:tcW w:w="2410" w:type="dxa"/>
            <w:shd w:val="clear" w:color="auto" w:fill="auto"/>
          </w:tcPr>
          <w:p w14:paraId="00259233" w14:textId="77777777" w:rsidR="00D95069" w:rsidRPr="00461C16" w:rsidRDefault="00D95069" w:rsidP="00A53768">
            <w:pPr>
              <w:pStyle w:val="Intabulka"/>
              <w:rPr>
                <w:rFonts w:ascii="Arial Narrow" w:hAnsi="Arial Narrow"/>
                <w:lang w:val="cs-CZ"/>
              </w:rPr>
            </w:pPr>
          </w:p>
        </w:tc>
        <w:tc>
          <w:tcPr>
            <w:tcW w:w="4819" w:type="dxa"/>
            <w:vMerge/>
            <w:shd w:val="clear" w:color="auto" w:fill="auto"/>
          </w:tcPr>
          <w:p w14:paraId="3C66575D" w14:textId="77777777" w:rsidR="00D95069" w:rsidRPr="00461C16" w:rsidRDefault="00D95069" w:rsidP="00A53768">
            <w:pPr>
              <w:pStyle w:val="Intabulka"/>
              <w:rPr>
                <w:rFonts w:ascii="Arial Narrow" w:hAnsi="Arial Narrow"/>
                <w:lang w:val="cs-CZ" w:eastAsia="cs-CZ"/>
              </w:rPr>
            </w:pPr>
          </w:p>
        </w:tc>
      </w:tr>
      <w:tr w:rsidR="00D95069" w:rsidRPr="00461C16" w14:paraId="01645800" w14:textId="77777777" w:rsidTr="00A53768">
        <w:tc>
          <w:tcPr>
            <w:tcW w:w="9322" w:type="dxa"/>
            <w:gridSpan w:val="3"/>
            <w:shd w:val="clear" w:color="auto" w:fill="C2D69B" w:themeFill="accent3" w:themeFillTint="99"/>
          </w:tcPr>
          <w:p w14:paraId="51428E92" w14:textId="77777777" w:rsidR="00D95069" w:rsidRPr="00461C16" w:rsidRDefault="00D95069" w:rsidP="00A53768">
            <w:pPr>
              <w:spacing w:before="40" w:after="40"/>
              <w:jc w:val="left"/>
              <w:rPr>
                <w:rFonts w:cs="Arial"/>
                <w:sz w:val="20"/>
                <w:szCs w:val="20"/>
                <w:lang w:eastAsia="cs-CZ"/>
              </w:rPr>
            </w:pPr>
            <w:r w:rsidRPr="00461C16">
              <w:rPr>
                <w:b/>
                <w:i/>
                <w:sz w:val="20"/>
                <w:szCs w:val="20"/>
                <w:lang w:eastAsia="cs-CZ"/>
              </w:rPr>
              <w:t>Ekologické zátěže</w:t>
            </w:r>
          </w:p>
        </w:tc>
      </w:tr>
      <w:tr w:rsidR="00D95069" w:rsidRPr="00461C16" w14:paraId="3BCDEE97" w14:textId="77777777" w:rsidTr="00A53768">
        <w:tc>
          <w:tcPr>
            <w:tcW w:w="2093" w:type="dxa"/>
            <w:shd w:val="clear" w:color="auto" w:fill="auto"/>
          </w:tcPr>
          <w:p w14:paraId="0190AD21" w14:textId="77777777" w:rsidR="00D95069" w:rsidRPr="00461C16" w:rsidRDefault="00D95069" w:rsidP="00A53768">
            <w:pPr>
              <w:pStyle w:val="Intabulka"/>
              <w:rPr>
                <w:rFonts w:ascii="Arial Narrow" w:hAnsi="Arial Narrow"/>
                <w:lang w:val="cs-CZ" w:eastAsia="cs-CZ"/>
              </w:rPr>
            </w:pPr>
            <w:r w:rsidRPr="00461C16">
              <w:rPr>
                <w:rFonts w:ascii="Arial Narrow" w:hAnsi="Arial Narrow"/>
                <w:lang w:val="cs-CZ" w:eastAsia="cs-CZ"/>
              </w:rPr>
              <w:t>staré zátěže území a kontaminované plochy</w:t>
            </w:r>
          </w:p>
        </w:tc>
        <w:tc>
          <w:tcPr>
            <w:tcW w:w="2410" w:type="dxa"/>
            <w:shd w:val="clear" w:color="auto" w:fill="auto"/>
          </w:tcPr>
          <w:p w14:paraId="264E7626" w14:textId="77777777" w:rsidR="00D95069" w:rsidRPr="00461C16" w:rsidRDefault="00D95069" w:rsidP="00A53768">
            <w:pPr>
              <w:pStyle w:val="Intabulka"/>
              <w:rPr>
                <w:rFonts w:ascii="Arial Narrow" w:hAnsi="Arial Narrow"/>
                <w:lang w:val="cs-CZ"/>
              </w:rPr>
            </w:pPr>
          </w:p>
        </w:tc>
        <w:tc>
          <w:tcPr>
            <w:tcW w:w="4819" w:type="dxa"/>
            <w:shd w:val="clear" w:color="auto" w:fill="auto"/>
          </w:tcPr>
          <w:p w14:paraId="2B1766C2"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254/2001 Sb., o vodách a o změně některých zákonů (vodní zákon)</w:t>
            </w:r>
            <w:r w:rsidR="00A53768" w:rsidRPr="00461C16">
              <w:rPr>
                <w:rFonts w:cs="Arial"/>
                <w:sz w:val="20"/>
                <w:szCs w:val="20"/>
                <w:lang w:eastAsia="cs-CZ"/>
              </w:rPr>
              <w:t>, v platném znění</w:t>
            </w:r>
            <w:r w:rsidRPr="00461C16">
              <w:rPr>
                <w:rFonts w:cs="Arial"/>
                <w:sz w:val="20"/>
                <w:szCs w:val="20"/>
                <w:lang w:eastAsia="cs-CZ"/>
              </w:rPr>
              <w:t>;</w:t>
            </w:r>
            <w:r w:rsidRPr="00461C16">
              <w:rPr>
                <w:rFonts w:cs="Arial"/>
                <w:sz w:val="20"/>
                <w:szCs w:val="20"/>
                <w:lang w:eastAsia="cs-CZ"/>
              </w:rPr>
              <w:br/>
              <w:t>Zákon č. 76/2002 Sb., o integrované prevenci</w:t>
            </w:r>
            <w:r w:rsidR="00A53768" w:rsidRPr="00461C16">
              <w:rPr>
                <w:rFonts w:cs="Arial"/>
                <w:sz w:val="20"/>
                <w:szCs w:val="20"/>
                <w:lang w:eastAsia="cs-CZ"/>
              </w:rPr>
              <w:t>, v platném znění</w:t>
            </w:r>
          </w:p>
        </w:tc>
      </w:tr>
      <w:tr w:rsidR="00D95069" w:rsidRPr="00461C16" w14:paraId="49BF278C" w14:textId="77777777" w:rsidTr="00A53768">
        <w:tc>
          <w:tcPr>
            <w:tcW w:w="9322" w:type="dxa"/>
            <w:gridSpan w:val="3"/>
            <w:shd w:val="clear" w:color="auto" w:fill="C2D69B" w:themeFill="accent3" w:themeFillTint="99"/>
          </w:tcPr>
          <w:p w14:paraId="6646EB56" w14:textId="77777777" w:rsidR="00D95069" w:rsidRPr="00461C16" w:rsidRDefault="00D95069" w:rsidP="00A53768">
            <w:pPr>
              <w:spacing w:before="40" w:after="40"/>
              <w:rPr>
                <w:rFonts w:cs="Arial"/>
                <w:sz w:val="20"/>
                <w:szCs w:val="20"/>
                <w:lang w:eastAsia="cs-CZ"/>
              </w:rPr>
            </w:pPr>
            <w:r w:rsidRPr="00461C16">
              <w:rPr>
                <w:b/>
                <w:i/>
                <w:sz w:val="20"/>
                <w:szCs w:val="20"/>
                <w:lang w:eastAsia="cs-CZ"/>
              </w:rPr>
              <w:t>Památková péče</w:t>
            </w:r>
          </w:p>
        </w:tc>
      </w:tr>
      <w:tr w:rsidR="00D95069" w:rsidRPr="00461C16" w14:paraId="24264F5E" w14:textId="77777777" w:rsidTr="00A53768">
        <w:tc>
          <w:tcPr>
            <w:tcW w:w="2093" w:type="dxa"/>
            <w:shd w:val="clear" w:color="auto" w:fill="auto"/>
          </w:tcPr>
          <w:p w14:paraId="455CEF84"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městská památková zóna</w:t>
            </w:r>
          </w:p>
        </w:tc>
        <w:tc>
          <w:tcPr>
            <w:tcW w:w="2410" w:type="dxa"/>
            <w:shd w:val="clear" w:color="auto" w:fill="auto"/>
          </w:tcPr>
          <w:p w14:paraId="195D63A3"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val="restart"/>
            <w:shd w:val="clear" w:color="auto" w:fill="auto"/>
          </w:tcPr>
          <w:p w14:paraId="2EC41F09" w14:textId="77777777" w:rsidR="00D95069" w:rsidRPr="00461C16" w:rsidRDefault="00D95069" w:rsidP="00A53768">
            <w:pPr>
              <w:spacing w:before="40" w:after="40"/>
              <w:rPr>
                <w:rFonts w:cs="Arial"/>
                <w:sz w:val="20"/>
                <w:szCs w:val="20"/>
                <w:lang w:eastAsia="cs-CZ"/>
              </w:rPr>
            </w:pPr>
            <w:r w:rsidRPr="00461C16">
              <w:rPr>
                <w:rFonts w:cs="Arial"/>
                <w:sz w:val="20"/>
                <w:szCs w:val="20"/>
                <w:lang w:eastAsia="cs-CZ"/>
              </w:rPr>
              <w:t>Zákon č. 20/1987 Sb., o státní památkové péči ve znění pozdějších předpisů;</w:t>
            </w:r>
          </w:p>
          <w:p w14:paraId="34E7664D" w14:textId="77777777" w:rsidR="00D95069" w:rsidRPr="00461C16" w:rsidRDefault="00D95069" w:rsidP="00A53768">
            <w:pPr>
              <w:spacing w:before="40" w:after="40"/>
              <w:rPr>
                <w:rFonts w:cs="Arial"/>
                <w:sz w:val="20"/>
                <w:szCs w:val="20"/>
                <w:lang w:eastAsia="cs-CZ"/>
              </w:rPr>
            </w:pPr>
            <w:r w:rsidRPr="00461C16">
              <w:rPr>
                <w:rFonts w:cs="Arial"/>
                <w:sz w:val="20"/>
                <w:szCs w:val="20"/>
                <w:lang w:eastAsia="cs-CZ"/>
              </w:rPr>
              <w:t>Vyhláška č. 66/1988 Sb., kterou se provádí zákon č. 20/1987 Sb.</w:t>
            </w:r>
            <w:r w:rsidR="00A53768" w:rsidRPr="00461C16">
              <w:rPr>
                <w:rFonts w:cs="Arial"/>
                <w:sz w:val="20"/>
                <w:szCs w:val="20"/>
                <w:lang w:eastAsia="cs-CZ"/>
              </w:rPr>
              <w:t>, v platném znění</w:t>
            </w:r>
          </w:p>
          <w:p w14:paraId="2C4C5D22" w14:textId="77777777" w:rsidR="00D95069" w:rsidRPr="00461C16" w:rsidRDefault="00D95069" w:rsidP="00A53768">
            <w:pPr>
              <w:spacing w:before="40" w:after="40"/>
              <w:jc w:val="left"/>
              <w:rPr>
                <w:rFonts w:cs="Arial"/>
                <w:sz w:val="20"/>
                <w:szCs w:val="20"/>
                <w:lang w:eastAsia="cs-CZ"/>
              </w:rPr>
            </w:pPr>
          </w:p>
          <w:p w14:paraId="089DADEF" w14:textId="77777777" w:rsidR="00D95069" w:rsidRPr="00461C16" w:rsidRDefault="00D95069" w:rsidP="00A53768">
            <w:pPr>
              <w:spacing w:before="40" w:after="40"/>
              <w:jc w:val="left"/>
              <w:rPr>
                <w:rFonts w:cs="Arial"/>
                <w:sz w:val="20"/>
                <w:szCs w:val="20"/>
                <w:lang w:eastAsia="cs-CZ"/>
              </w:rPr>
            </w:pPr>
          </w:p>
        </w:tc>
      </w:tr>
      <w:tr w:rsidR="00D95069" w:rsidRPr="00461C16" w14:paraId="4A76DACC" w14:textId="77777777" w:rsidTr="00A53768">
        <w:tc>
          <w:tcPr>
            <w:tcW w:w="2093" w:type="dxa"/>
            <w:shd w:val="clear" w:color="auto" w:fill="auto"/>
          </w:tcPr>
          <w:p w14:paraId="6CBF7CB2"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nemovitá kulturní památka</w:t>
            </w:r>
          </w:p>
        </w:tc>
        <w:tc>
          <w:tcPr>
            <w:tcW w:w="2410" w:type="dxa"/>
            <w:shd w:val="clear" w:color="auto" w:fill="auto"/>
          </w:tcPr>
          <w:p w14:paraId="091FB7AC"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shd w:val="clear" w:color="auto" w:fill="auto"/>
          </w:tcPr>
          <w:p w14:paraId="20D5F077" w14:textId="77777777" w:rsidR="00D95069" w:rsidRPr="00461C16" w:rsidRDefault="00D95069" w:rsidP="00A53768">
            <w:pPr>
              <w:pStyle w:val="Intabulka"/>
              <w:rPr>
                <w:rFonts w:ascii="Arial Narrow" w:hAnsi="Arial Narrow"/>
                <w:lang w:val="cs-CZ" w:eastAsia="cs-CZ"/>
              </w:rPr>
            </w:pPr>
          </w:p>
        </w:tc>
      </w:tr>
      <w:tr w:rsidR="00D95069" w:rsidRPr="00461C16" w14:paraId="6090B65C" w14:textId="77777777" w:rsidTr="00A53768">
        <w:tc>
          <w:tcPr>
            <w:tcW w:w="2093" w:type="dxa"/>
            <w:shd w:val="clear" w:color="auto" w:fill="auto"/>
          </w:tcPr>
          <w:p w14:paraId="4CB4AE95"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území s archeologickými nálezy</w:t>
            </w:r>
          </w:p>
        </w:tc>
        <w:tc>
          <w:tcPr>
            <w:tcW w:w="2410" w:type="dxa"/>
            <w:shd w:val="clear" w:color="auto" w:fill="auto"/>
          </w:tcPr>
          <w:p w14:paraId="4A9A683D"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shd w:val="clear" w:color="auto" w:fill="auto"/>
          </w:tcPr>
          <w:p w14:paraId="209DCB65" w14:textId="77777777" w:rsidR="00D95069" w:rsidRPr="00461C16" w:rsidRDefault="00D95069" w:rsidP="00A53768">
            <w:pPr>
              <w:pStyle w:val="Intabulka"/>
              <w:rPr>
                <w:rFonts w:ascii="Arial Narrow" w:hAnsi="Arial Narrow"/>
                <w:lang w:val="cs-CZ" w:eastAsia="cs-CZ"/>
              </w:rPr>
            </w:pPr>
          </w:p>
        </w:tc>
      </w:tr>
      <w:tr w:rsidR="00D95069" w:rsidRPr="00461C16" w14:paraId="5B68A833" w14:textId="77777777" w:rsidTr="00A53768">
        <w:tc>
          <w:tcPr>
            <w:tcW w:w="9322" w:type="dxa"/>
            <w:gridSpan w:val="3"/>
            <w:shd w:val="clear" w:color="auto" w:fill="C2D69B" w:themeFill="accent3" w:themeFillTint="99"/>
          </w:tcPr>
          <w:p w14:paraId="2AB0CB01" w14:textId="77777777" w:rsidR="00D95069" w:rsidRPr="00461C16" w:rsidRDefault="00D95069" w:rsidP="00A53768">
            <w:pPr>
              <w:spacing w:before="40" w:after="40"/>
              <w:jc w:val="left"/>
              <w:rPr>
                <w:rFonts w:cs="Arial"/>
                <w:sz w:val="20"/>
                <w:szCs w:val="20"/>
                <w:lang w:eastAsia="cs-CZ"/>
              </w:rPr>
            </w:pPr>
            <w:r w:rsidRPr="00461C16">
              <w:rPr>
                <w:b/>
                <w:i/>
                <w:sz w:val="20"/>
                <w:szCs w:val="20"/>
              </w:rPr>
              <w:t>Dopravní infrastruktura</w:t>
            </w:r>
          </w:p>
        </w:tc>
      </w:tr>
      <w:tr w:rsidR="00D95069" w:rsidRPr="00461C16" w14:paraId="4074EBDE" w14:textId="77777777" w:rsidTr="00A53768">
        <w:tc>
          <w:tcPr>
            <w:tcW w:w="2093" w:type="dxa"/>
            <w:shd w:val="clear" w:color="auto" w:fill="auto"/>
          </w:tcPr>
          <w:p w14:paraId="59098744" w14:textId="77777777" w:rsidR="00D95069" w:rsidRPr="00461C16" w:rsidRDefault="00D95069" w:rsidP="00A53768">
            <w:pPr>
              <w:pStyle w:val="Intabulka"/>
              <w:rPr>
                <w:rFonts w:ascii="Arial Narrow" w:hAnsi="Arial Narrow"/>
                <w:lang w:val="cs-CZ" w:eastAsia="cs-CZ"/>
              </w:rPr>
            </w:pPr>
            <w:r w:rsidRPr="00461C16">
              <w:rPr>
                <w:rFonts w:ascii="Arial Narrow" w:hAnsi="Arial Narrow"/>
                <w:lang w:val="cs-CZ" w:eastAsia="cs-CZ"/>
              </w:rPr>
              <w:t xml:space="preserve">silnice I. třídy </w:t>
            </w:r>
          </w:p>
        </w:tc>
        <w:tc>
          <w:tcPr>
            <w:tcW w:w="2410" w:type="dxa"/>
            <w:shd w:val="clear" w:color="auto" w:fill="auto"/>
          </w:tcPr>
          <w:p w14:paraId="5D971444" w14:textId="77777777" w:rsidR="00D95069" w:rsidRPr="00461C16" w:rsidRDefault="00D95069" w:rsidP="00A53768">
            <w:pPr>
              <w:pStyle w:val="Intabulka"/>
              <w:rPr>
                <w:rFonts w:ascii="Arial Narrow" w:hAnsi="Arial Narrow"/>
                <w:lang w:val="cs-CZ"/>
              </w:rPr>
            </w:pPr>
            <w:r w:rsidRPr="00461C16">
              <w:rPr>
                <w:rFonts w:ascii="Arial Narrow" w:hAnsi="Arial Narrow"/>
                <w:lang w:val="cs-CZ" w:eastAsia="cs-CZ"/>
              </w:rPr>
              <w:t xml:space="preserve">50 m od osy vozovky na každou stranu </w:t>
            </w:r>
          </w:p>
        </w:tc>
        <w:tc>
          <w:tcPr>
            <w:tcW w:w="4819" w:type="dxa"/>
            <w:vMerge w:val="restart"/>
            <w:shd w:val="clear" w:color="auto" w:fill="auto"/>
          </w:tcPr>
          <w:p w14:paraId="07F1695F"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13/1997 Sb., o pozemních komunikacích</w:t>
            </w:r>
            <w:r w:rsidR="00A53768" w:rsidRPr="00461C16">
              <w:rPr>
                <w:rFonts w:cs="Arial"/>
                <w:sz w:val="20"/>
                <w:szCs w:val="20"/>
                <w:lang w:eastAsia="cs-CZ"/>
              </w:rPr>
              <w:t>, v platném znění</w:t>
            </w:r>
            <w:r w:rsidRPr="00461C16">
              <w:rPr>
                <w:rFonts w:cs="Arial"/>
                <w:sz w:val="20"/>
                <w:szCs w:val="20"/>
                <w:lang w:eastAsia="cs-CZ"/>
              </w:rPr>
              <w:t>;</w:t>
            </w:r>
          </w:p>
          <w:p w14:paraId="53640DDE"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Vyhláška č. 104/1997 Sb., kterou se provádí zákon o pozemních komunikacích</w:t>
            </w:r>
            <w:r w:rsidR="00A53768" w:rsidRPr="00461C16">
              <w:rPr>
                <w:rFonts w:cs="Arial"/>
                <w:sz w:val="20"/>
                <w:szCs w:val="20"/>
                <w:lang w:eastAsia="cs-CZ"/>
              </w:rPr>
              <w:t>, v platném znění</w:t>
            </w:r>
          </w:p>
        </w:tc>
      </w:tr>
      <w:tr w:rsidR="00D95069" w:rsidRPr="00461C16" w14:paraId="33705B1E" w14:textId="77777777" w:rsidTr="00A53768">
        <w:tc>
          <w:tcPr>
            <w:tcW w:w="2093" w:type="dxa"/>
            <w:shd w:val="clear" w:color="auto" w:fill="auto"/>
          </w:tcPr>
          <w:p w14:paraId="608984E7" w14:textId="77777777" w:rsidR="00D95069" w:rsidRPr="00461C16" w:rsidRDefault="00D95069" w:rsidP="00A53768">
            <w:pPr>
              <w:pStyle w:val="Intabulka"/>
              <w:rPr>
                <w:rFonts w:ascii="Arial Narrow" w:hAnsi="Arial Narrow"/>
                <w:lang w:val="cs-CZ"/>
              </w:rPr>
            </w:pPr>
            <w:r w:rsidRPr="00461C16">
              <w:rPr>
                <w:rFonts w:ascii="Arial Narrow" w:hAnsi="Arial Narrow"/>
                <w:lang w:val="cs-CZ" w:eastAsia="cs-CZ"/>
              </w:rPr>
              <w:t>silnice III. třídy</w:t>
            </w:r>
          </w:p>
        </w:tc>
        <w:tc>
          <w:tcPr>
            <w:tcW w:w="2410" w:type="dxa"/>
            <w:shd w:val="clear" w:color="auto" w:fill="auto"/>
          </w:tcPr>
          <w:p w14:paraId="16BC8948" w14:textId="77777777" w:rsidR="00D95069" w:rsidRPr="00461C16" w:rsidRDefault="00D95069" w:rsidP="00A53768">
            <w:pPr>
              <w:pStyle w:val="Intabulka"/>
              <w:rPr>
                <w:rFonts w:ascii="Arial Narrow" w:hAnsi="Arial Narrow"/>
                <w:lang w:val="cs-CZ"/>
              </w:rPr>
            </w:pPr>
            <w:r w:rsidRPr="00461C16">
              <w:rPr>
                <w:rFonts w:ascii="Arial Narrow" w:hAnsi="Arial Narrow"/>
                <w:lang w:val="cs-CZ" w:eastAsia="cs-CZ"/>
              </w:rPr>
              <w:t>15 m od osy vozovky na každou stranu</w:t>
            </w:r>
          </w:p>
        </w:tc>
        <w:tc>
          <w:tcPr>
            <w:tcW w:w="4819" w:type="dxa"/>
            <w:vMerge/>
            <w:shd w:val="clear" w:color="auto" w:fill="auto"/>
          </w:tcPr>
          <w:p w14:paraId="59EB5031" w14:textId="77777777" w:rsidR="00D95069" w:rsidRPr="00461C16" w:rsidRDefault="00D95069" w:rsidP="00A53768">
            <w:pPr>
              <w:pStyle w:val="Intabulka"/>
              <w:rPr>
                <w:rFonts w:ascii="Arial Narrow" w:hAnsi="Arial Narrow"/>
                <w:lang w:val="cs-CZ" w:eastAsia="cs-CZ"/>
              </w:rPr>
            </w:pPr>
          </w:p>
        </w:tc>
      </w:tr>
      <w:tr w:rsidR="00D95069" w:rsidRPr="00461C16" w14:paraId="7D83CAEA" w14:textId="77777777" w:rsidTr="00A53768">
        <w:tc>
          <w:tcPr>
            <w:tcW w:w="2093" w:type="dxa"/>
            <w:shd w:val="clear" w:color="auto" w:fill="auto"/>
          </w:tcPr>
          <w:p w14:paraId="78645647"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železniční dráha celostátní </w:t>
            </w:r>
          </w:p>
        </w:tc>
        <w:tc>
          <w:tcPr>
            <w:tcW w:w="2410" w:type="dxa"/>
            <w:shd w:val="clear" w:color="auto" w:fill="auto"/>
          </w:tcPr>
          <w:p w14:paraId="3C4ECD77" w14:textId="77777777" w:rsidR="00D95069" w:rsidRPr="00461C16" w:rsidRDefault="00D95069" w:rsidP="00A53768">
            <w:pPr>
              <w:pStyle w:val="Intabulka"/>
              <w:rPr>
                <w:rFonts w:ascii="Arial Narrow" w:hAnsi="Arial Narrow"/>
                <w:lang w:val="cs-CZ"/>
              </w:rPr>
            </w:pPr>
            <w:r w:rsidRPr="00461C16">
              <w:rPr>
                <w:rFonts w:ascii="Arial Narrow" w:hAnsi="Arial Narrow"/>
                <w:lang w:val="cs-CZ" w:eastAsia="cs-CZ"/>
              </w:rPr>
              <w:t xml:space="preserve">60 m od osy krajní koleje po obou stranách </w:t>
            </w:r>
          </w:p>
        </w:tc>
        <w:tc>
          <w:tcPr>
            <w:tcW w:w="4819" w:type="dxa"/>
            <w:vMerge w:val="restart"/>
            <w:shd w:val="clear" w:color="auto" w:fill="auto"/>
          </w:tcPr>
          <w:p w14:paraId="362D28D2" w14:textId="77777777" w:rsidR="00D95069" w:rsidRPr="00461C16" w:rsidRDefault="00D95069" w:rsidP="00A53768">
            <w:pPr>
              <w:spacing w:before="40" w:after="40"/>
              <w:jc w:val="left"/>
              <w:rPr>
                <w:rFonts w:cs="Arial"/>
                <w:sz w:val="20"/>
                <w:szCs w:val="20"/>
              </w:rPr>
            </w:pPr>
            <w:r w:rsidRPr="00461C16">
              <w:rPr>
                <w:rFonts w:cs="Arial"/>
                <w:sz w:val="20"/>
                <w:szCs w:val="20"/>
              </w:rPr>
              <w:t>Zákon č. 266/1994 Sb., o drahách</w:t>
            </w:r>
            <w:r w:rsidR="00A53768" w:rsidRPr="00461C16">
              <w:rPr>
                <w:rFonts w:cs="Arial"/>
                <w:sz w:val="20"/>
                <w:szCs w:val="20"/>
              </w:rPr>
              <w:t>, v platném znění</w:t>
            </w:r>
          </w:p>
        </w:tc>
      </w:tr>
      <w:tr w:rsidR="00D95069" w:rsidRPr="00461C16" w14:paraId="3F184CA0" w14:textId="77777777" w:rsidTr="00A53768">
        <w:tc>
          <w:tcPr>
            <w:tcW w:w="2093" w:type="dxa"/>
            <w:shd w:val="clear" w:color="auto" w:fill="auto"/>
          </w:tcPr>
          <w:p w14:paraId="440C6FEA"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vlečka </w:t>
            </w:r>
          </w:p>
        </w:tc>
        <w:tc>
          <w:tcPr>
            <w:tcW w:w="2410" w:type="dxa"/>
            <w:shd w:val="clear" w:color="auto" w:fill="auto"/>
          </w:tcPr>
          <w:p w14:paraId="2C2E360E"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30 m od osy krajní koleje po obou stranách</w:t>
            </w:r>
          </w:p>
        </w:tc>
        <w:tc>
          <w:tcPr>
            <w:tcW w:w="4819" w:type="dxa"/>
            <w:vMerge/>
            <w:shd w:val="clear" w:color="auto" w:fill="auto"/>
          </w:tcPr>
          <w:p w14:paraId="03DC8CF5" w14:textId="77777777" w:rsidR="00D95069" w:rsidRPr="00461C16" w:rsidRDefault="00D95069" w:rsidP="00A53768">
            <w:pPr>
              <w:pStyle w:val="Intabulka"/>
              <w:rPr>
                <w:rFonts w:ascii="Arial Narrow" w:hAnsi="Arial Narrow"/>
                <w:lang w:val="cs-CZ" w:eastAsia="cs-CZ"/>
              </w:rPr>
            </w:pPr>
          </w:p>
        </w:tc>
      </w:tr>
      <w:tr w:rsidR="00D95069" w:rsidRPr="00461C16" w14:paraId="6DF2F747" w14:textId="77777777" w:rsidTr="00A53768">
        <w:tc>
          <w:tcPr>
            <w:tcW w:w="2093" w:type="dxa"/>
            <w:shd w:val="clear" w:color="auto" w:fill="auto"/>
          </w:tcPr>
          <w:p w14:paraId="224063C1"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cyklotrasa / cyklostezka</w:t>
            </w:r>
          </w:p>
        </w:tc>
        <w:tc>
          <w:tcPr>
            <w:tcW w:w="2410" w:type="dxa"/>
            <w:shd w:val="clear" w:color="auto" w:fill="auto"/>
          </w:tcPr>
          <w:p w14:paraId="1B3F9D7C"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shd w:val="clear" w:color="auto" w:fill="auto"/>
          </w:tcPr>
          <w:p w14:paraId="728964A0"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Zákon č. 13/1997 Sb., o pozemních komunikacích</w:t>
            </w:r>
            <w:r w:rsidR="00A53768" w:rsidRPr="00461C16">
              <w:rPr>
                <w:rFonts w:cs="Arial"/>
                <w:sz w:val="20"/>
                <w:szCs w:val="20"/>
                <w:lang w:eastAsia="cs-CZ"/>
              </w:rPr>
              <w:t>, v platném znění</w:t>
            </w:r>
            <w:r w:rsidRPr="00461C16">
              <w:rPr>
                <w:rFonts w:cs="Arial"/>
                <w:sz w:val="20"/>
                <w:szCs w:val="20"/>
                <w:lang w:eastAsia="cs-CZ"/>
              </w:rPr>
              <w:t>;</w:t>
            </w:r>
          </w:p>
          <w:p w14:paraId="1BE65260" w14:textId="77777777" w:rsidR="00D95069" w:rsidRPr="00461C16" w:rsidRDefault="00D95069" w:rsidP="00A53768">
            <w:pPr>
              <w:spacing w:before="40" w:after="40"/>
              <w:jc w:val="left"/>
              <w:rPr>
                <w:rFonts w:cs="Arial"/>
                <w:sz w:val="20"/>
                <w:szCs w:val="20"/>
                <w:lang w:eastAsia="cs-CZ"/>
              </w:rPr>
            </w:pPr>
            <w:r w:rsidRPr="00461C16">
              <w:rPr>
                <w:rFonts w:cs="Arial"/>
                <w:sz w:val="20"/>
                <w:szCs w:val="20"/>
                <w:lang w:eastAsia="cs-CZ"/>
              </w:rPr>
              <w:t>Vyhláška č. 104/1997 Sb., kterou se provádí zákon o pozemních komunikacích</w:t>
            </w:r>
            <w:r w:rsidR="00A53768" w:rsidRPr="00461C16">
              <w:rPr>
                <w:rFonts w:cs="Arial"/>
                <w:sz w:val="20"/>
                <w:szCs w:val="20"/>
                <w:lang w:eastAsia="cs-CZ"/>
              </w:rPr>
              <w:t>, v platném znění</w:t>
            </w:r>
          </w:p>
        </w:tc>
      </w:tr>
      <w:tr w:rsidR="00D95069" w:rsidRPr="00461C16" w14:paraId="6E79B814" w14:textId="77777777" w:rsidTr="00A53768">
        <w:tc>
          <w:tcPr>
            <w:tcW w:w="9322" w:type="dxa"/>
            <w:gridSpan w:val="3"/>
            <w:shd w:val="clear" w:color="auto" w:fill="C2D69B" w:themeFill="accent3" w:themeFillTint="99"/>
          </w:tcPr>
          <w:p w14:paraId="1D0546CC" w14:textId="77777777" w:rsidR="00D95069" w:rsidRPr="00461C16" w:rsidRDefault="00D95069" w:rsidP="00A53768">
            <w:pPr>
              <w:spacing w:before="40" w:after="40"/>
              <w:rPr>
                <w:rFonts w:cs="Arial"/>
                <w:sz w:val="20"/>
                <w:szCs w:val="20"/>
              </w:rPr>
            </w:pPr>
            <w:r w:rsidRPr="00461C16">
              <w:rPr>
                <w:b/>
                <w:i/>
                <w:sz w:val="20"/>
                <w:szCs w:val="20"/>
                <w:lang w:eastAsia="cs-CZ"/>
              </w:rPr>
              <w:t>Technická infrastruktura</w:t>
            </w:r>
          </w:p>
        </w:tc>
      </w:tr>
      <w:tr w:rsidR="00D95069" w:rsidRPr="00461C16" w14:paraId="286DADAA" w14:textId="77777777" w:rsidTr="00A53768">
        <w:tc>
          <w:tcPr>
            <w:tcW w:w="2093" w:type="dxa"/>
            <w:shd w:val="clear" w:color="auto" w:fill="auto"/>
          </w:tcPr>
          <w:p w14:paraId="4E97CB67"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výrobna elektřiny </w:t>
            </w:r>
          </w:p>
        </w:tc>
        <w:tc>
          <w:tcPr>
            <w:tcW w:w="2410" w:type="dxa"/>
            <w:shd w:val="clear" w:color="auto" w:fill="auto"/>
          </w:tcPr>
          <w:p w14:paraId="30631D3D" w14:textId="77777777" w:rsidR="00D95069" w:rsidRPr="00461C16" w:rsidRDefault="00D95069" w:rsidP="00A53768">
            <w:pPr>
              <w:pStyle w:val="Intabulka"/>
              <w:rPr>
                <w:rFonts w:ascii="Arial Narrow" w:hAnsi="Arial Narrow"/>
                <w:lang w:val="cs-CZ"/>
              </w:rPr>
            </w:pPr>
            <w:r w:rsidRPr="00461C16">
              <w:rPr>
                <w:rFonts w:ascii="Arial Narrow" w:hAnsi="Arial Narrow" w:cs="Arial"/>
                <w:lang w:eastAsia="cs-CZ"/>
              </w:rPr>
              <w:t xml:space="preserve">nad 52 kV </w:t>
            </w:r>
            <w:r w:rsidRPr="00461C16">
              <w:rPr>
                <w:rFonts w:ascii="Arial Narrow" w:hAnsi="Arial Narrow" w:cs="Arial"/>
                <w:lang w:val="cs-CZ" w:eastAsia="cs-CZ"/>
              </w:rPr>
              <w:t>-</w:t>
            </w:r>
            <w:r w:rsidRPr="00461C16">
              <w:rPr>
                <w:rFonts w:ascii="Arial Narrow" w:hAnsi="Arial Narrow" w:cs="Arial"/>
                <w:lang w:eastAsia="cs-CZ"/>
              </w:rPr>
              <w:t xml:space="preserve"> 20 m od oplocení nebo vnějšího líce zdi</w:t>
            </w:r>
          </w:p>
        </w:tc>
        <w:tc>
          <w:tcPr>
            <w:tcW w:w="4819" w:type="dxa"/>
            <w:vMerge w:val="restart"/>
            <w:shd w:val="clear" w:color="auto" w:fill="auto"/>
          </w:tcPr>
          <w:p w14:paraId="6565796F" w14:textId="77777777" w:rsidR="00D95069" w:rsidRPr="00461C16" w:rsidRDefault="00D95069" w:rsidP="00A53768">
            <w:pPr>
              <w:spacing w:before="40" w:after="40"/>
              <w:rPr>
                <w:rFonts w:cs="Arial"/>
                <w:sz w:val="20"/>
                <w:szCs w:val="20"/>
              </w:rPr>
            </w:pPr>
            <w:r w:rsidRPr="00461C16">
              <w:rPr>
                <w:rFonts w:cs="Arial"/>
                <w:sz w:val="20"/>
                <w:szCs w:val="20"/>
              </w:rPr>
              <w:t>Zákon č. 458/2000 Sb., o podmínkách podnikání a o výkonu státní správy v energetických odvětvích a o změně některých zákonů (energetický zákon)</w:t>
            </w:r>
            <w:r w:rsidR="00A53768" w:rsidRPr="00461C16">
              <w:rPr>
                <w:rFonts w:cs="Arial"/>
                <w:sz w:val="20"/>
                <w:szCs w:val="20"/>
              </w:rPr>
              <w:t>, v platném znění</w:t>
            </w:r>
            <w:r w:rsidRPr="00461C16">
              <w:rPr>
                <w:rFonts w:cs="Arial"/>
                <w:sz w:val="20"/>
                <w:szCs w:val="20"/>
              </w:rPr>
              <w:t>;</w:t>
            </w:r>
          </w:p>
          <w:p w14:paraId="00F09416" w14:textId="77777777" w:rsidR="00D95069" w:rsidRPr="00461C16" w:rsidRDefault="00D95069" w:rsidP="00A53768">
            <w:pPr>
              <w:spacing w:before="40" w:after="40"/>
              <w:rPr>
                <w:rFonts w:cs="Arial"/>
                <w:sz w:val="20"/>
                <w:szCs w:val="20"/>
              </w:rPr>
            </w:pPr>
            <w:r w:rsidRPr="00461C16">
              <w:rPr>
                <w:rFonts w:cs="Arial"/>
                <w:sz w:val="20"/>
                <w:szCs w:val="20"/>
              </w:rPr>
              <w:t>Zákon č. 406/2000 Sb., o hospodaření energií</w:t>
            </w:r>
            <w:r w:rsidR="00A53768" w:rsidRPr="00461C16">
              <w:rPr>
                <w:rFonts w:cs="Arial"/>
                <w:sz w:val="20"/>
                <w:szCs w:val="20"/>
              </w:rPr>
              <w:t>, v platném znění</w:t>
            </w:r>
          </w:p>
        </w:tc>
      </w:tr>
      <w:tr w:rsidR="00D95069" w:rsidRPr="00461C16" w14:paraId="30F8F3FF" w14:textId="77777777" w:rsidTr="00A53768">
        <w:tc>
          <w:tcPr>
            <w:tcW w:w="2093" w:type="dxa"/>
            <w:shd w:val="clear" w:color="auto" w:fill="auto"/>
          </w:tcPr>
          <w:p w14:paraId="12AC29E7"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elektrická stanice </w:t>
            </w:r>
          </w:p>
        </w:tc>
        <w:tc>
          <w:tcPr>
            <w:tcW w:w="2410" w:type="dxa"/>
            <w:shd w:val="clear" w:color="auto" w:fill="auto"/>
          </w:tcPr>
          <w:p w14:paraId="71D04B69" w14:textId="77777777" w:rsidR="00D95069" w:rsidRPr="0026749D" w:rsidRDefault="00D95069" w:rsidP="0026749D">
            <w:pPr>
              <w:spacing w:before="40" w:after="40"/>
              <w:jc w:val="left"/>
              <w:rPr>
                <w:rFonts w:cs="Arial"/>
                <w:sz w:val="20"/>
                <w:szCs w:val="20"/>
                <w:lang w:eastAsia="cs-CZ"/>
              </w:rPr>
            </w:pPr>
            <w:r w:rsidRPr="0026749D">
              <w:rPr>
                <w:rFonts w:cs="Arial"/>
                <w:sz w:val="20"/>
                <w:szCs w:val="20"/>
                <w:lang w:eastAsia="cs-CZ"/>
              </w:rPr>
              <w:t>rozvodné stanice nad 52 kV - 20 m od oplocení nebo vnějšího líce zdi;</w:t>
            </w:r>
          </w:p>
          <w:p w14:paraId="5EE9DE16" w14:textId="77777777" w:rsidR="00D95069" w:rsidRPr="0026749D" w:rsidRDefault="00D95069" w:rsidP="0026749D">
            <w:pPr>
              <w:spacing w:before="40" w:after="40"/>
              <w:jc w:val="left"/>
              <w:rPr>
                <w:rFonts w:cs="Arial"/>
                <w:sz w:val="20"/>
                <w:szCs w:val="20"/>
                <w:lang w:eastAsia="cs-CZ"/>
              </w:rPr>
            </w:pPr>
            <w:r w:rsidRPr="0026749D">
              <w:rPr>
                <w:rFonts w:cs="Arial"/>
                <w:sz w:val="20"/>
                <w:szCs w:val="20"/>
                <w:lang w:eastAsia="cs-CZ"/>
              </w:rPr>
              <w:t>stožárové stanice do 52 kV/nn - 7 m od obvodu stanice;</w:t>
            </w:r>
          </w:p>
          <w:p w14:paraId="4CF9D99E" w14:textId="77777777" w:rsidR="00D95069" w:rsidRPr="0026749D" w:rsidRDefault="00D95069" w:rsidP="0026749D">
            <w:pPr>
              <w:pStyle w:val="Intabulka"/>
              <w:rPr>
                <w:rFonts w:ascii="Arial Narrow" w:hAnsi="Arial Narrow"/>
                <w:lang w:val="cs-CZ"/>
              </w:rPr>
            </w:pPr>
            <w:r w:rsidRPr="0026749D">
              <w:rPr>
                <w:rFonts w:ascii="Arial Narrow" w:hAnsi="Arial Narrow" w:cs="Arial"/>
                <w:lang w:eastAsia="cs-CZ"/>
              </w:rPr>
              <w:t>kompaktní a zděn</w:t>
            </w:r>
            <w:r w:rsidRPr="0026749D">
              <w:rPr>
                <w:rFonts w:ascii="Arial Narrow" w:hAnsi="Arial Narrow" w:cs="Arial"/>
                <w:lang w:val="cs-CZ" w:eastAsia="cs-CZ"/>
              </w:rPr>
              <w:t>é</w:t>
            </w:r>
            <w:r w:rsidRPr="0026749D">
              <w:rPr>
                <w:rFonts w:ascii="Arial Narrow" w:hAnsi="Arial Narrow" w:cs="Arial"/>
                <w:lang w:eastAsia="cs-CZ"/>
              </w:rPr>
              <w:t xml:space="preserve"> stanic</w:t>
            </w:r>
            <w:r w:rsidRPr="0026749D">
              <w:rPr>
                <w:rFonts w:ascii="Arial Narrow" w:hAnsi="Arial Narrow" w:cs="Arial"/>
                <w:lang w:val="cs-CZ" w:eastAsia="cs-CZ"/>
              </w:rPr>
              <w:t>e</w:t>
            </w:r>
            <w:r w:rsidRPr="0026749D">
              <w:rPr>
                <w:rFonts w:ascii="Arial Narrow" w:hAnsi="Arial Narrow" w:cs="Arial"/>
                <w:lang w:eastAsia="cs-CZ"/>
              </w:rPr>
              <w:t xml:space="preserve"> </w:t>
            </w:r>
            <w:r w:rsidRPr="0026749D">
              <w:rPr>
                <w:rFonts w:ascii="Arial Narrow" w:hAnsi="Arial Narrow" w:cs="Arial"/>
                <w:lang w:val="cs-CZ" w:eastAsia="cs-CZ"/>
              </w:rPr>
              <w:t>-</w:t>
            </w:r>
            <w:r w:rsidRPr="0026749D">
              <w:rPr>
                <w:rFonts w:ascii="Arial Narrow" w:hAnsi="Arial Narrow" w:cs="Arial"/>
                <w:lang w:eastAsia="cs-CZ"/>
              </w:rPr>
              <w:t xml:space="preserve"> 2 m od obvodu stanice</w:t>
            </w:r>
          </w:p>
        </w:tc>
        <w:tc>
          <w:tcPr>
            <w:tcW w:w="4819" w:type="dxa"/>
            <w:vMerge/>
            <w:shd w:val="clear" w:color="auto" w:fill="auto"/>
          </w:tcPr>
          <w:p w14:paraId="281E6442" w14:textId="77777777" w:rsidR="00D95069" w:rsidRPr="00461C16" w:rsidRDefault="00D95069" w:rsidP="00A53768">
            <w:pPr>
              <w:spacing w:before="40" w:after="40"/>
              <w:rPr>
                <w:sz w:val="20"/>
                <w:szCs w:val="20"/>
              </w:rPr>
            </w:pPr>
          </w:p>
        </w:tc>
      </w:tr>
      <w:tr w:rsidR="00D95069" w:rsidRPr="00461C16" w14:paraId="01F30D56" w14:textId="77777777" w:rsidTr="00A53768">
        <w:tc>
          <w:tcPr>
            <w:tcW w:w="2093" w:type="dxa"/>
            <w:shd w:val="clear" w:color="auto" w:fill="auto"/>
          </w:tcPr>
          <w:p w14:paraId="59B54411"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nadzemní a podzemní vedení elektrizační soustavy </w:t>
            </w:r>
          </w:p>
        </w:tc>
        <w:tc>
          <w:tcPr>
            <w:tcW w:w="2410" w:type="dxa"/>
            <w:shd w:val="clear" w:color="auto" w:fill="auto"/>
          </w:tcPr>
          <w:p w14:paraId="1A01367D" w14:textId="77777777" w:rsidR="00D95069" w:rsidRPr="0026749D" w:rsidRDefault="00D95069" w:rsidP="0026749D">
            <w:pPr>
              <w:spacing w:before="40" w:after="40"/>
              <w:jc w:val="left"/>
              <w:rPr>
                <w:rFonts w:cs="Arial"/>
                <w:sz w:val="20"/>
                <w:szCs w:val="20"/>
                <w:lang w:eastAsia="cs-CZ"/>
              </w:rPr>
            </w:pPr>
            <w:r w:rsidRPr="0026749D">
              <w:rPr>
                <w:rFonts w:cs="Arial"/>
                <w:sz w:val="20"/>
                <w:szCs w:val="20"/>
              </w:rPr>
              <w:t>400 kV - 20 m od krajního vodiče po obou stranách;</w:t>
            </w:r>
          </w:p>
          <w:p w14:paraId="3B942BFB" w14:textId="77777777" w:rsidR="00D95069" w:rsidRPr="0026749D" w:rsidRDefault="00D95069" w:rsidP="0026749D">
            <w:pPr>
              <w:spacing w:before="40" w:after="40"/>
              <w:jc w:val="left"/>
              <w:rPr>
                <w:rFonts w:cs="Arial"/>
                <w:sz w:val="20"/>
                <w:szCs w:val="20"/>
              </w:rPr>
            </w:pPr>
            <w:r w:rsidRPr="0026749D">
              <w:rPr>
                <w:rFonts w:cs="Arial"/>
                <w:sz w:val="20"/>
                <w:szCs w:val="20"/>
              </w:rPr>
              <w:t>220 kV - 15 m od krajního vodiče po obou stranách;</w:t>
            </w:r>
          </w:p>
          <w:p w14:paraId="3E681C78" w14:textId="77777777" w:rsidR="00D95069" w:rsidRPr="0026749D" w:rsidRDefault="00D95069" w:rsidP="0026749D">
            <w:pPr>
              <w:spacing w:before="40" w:after="40"/>
              <w:jc w:val="left"/>
              <w:rPr>
                <w:rFonts w:cs="Arial"/>
                <w:sz w:val="20"/>
                <w:szCs w:val="20"/>
              </w:rPr>
            </w:pPr>
            <w:r w:rsidRPr="0026749D">
              <w:rPr>
                <w:rFonts w:cs="Arial"/>
                <w:sz w:val="20"/>
                <w:szCs w:val="20"/>
              </w:rPr>
              <w:t>110 kV - 12 m od krajního vodiče po obou stranách;</w:t>
            </w:r>
          </w:p>
          <w:p w14:paraId="3B18EABB" w14:textId="77777777" w:rsidR="00D95069" w:rsidRPr="0026749D" w:rsidRDefault="00D95069" w:rsidP="0026749D">
            <w:pPr>
              <w:spacing w:before="40" w:after="40"/>
              <w:jc w:val="left"/>
              <w:rPr>
                <w:rFonts w:cs="Arial"/>
                <w:sz w:val="20"/>
                <w:szCs w:val="20"/>
                <w:lang w:eastAsia="cs-CZ"/>
              </w:rPr>
            </w:pPr>
            <w:r w:rsidRPr="0026749D">
              <w:rPr>
                <w:rFonts w:cs="Arial"/>
                <w:sz w:val="20"/>
                <w:szCs w:val="20"/>
                <w:lang w:eastAsia="cs-CZ"/>
              </w:rPr>
              <w:lastRenderedPageBreak/>
              <w:t xml:space="preserve">35 kV - 2 m po obou stranách </w:t>
            </w:r>
            <w:r w:rsidRPr="0026749D">
              <w:rPr>
                <w:rFonts w:cs="Arial"/>
                <w:sz w:val="20"/>
                <w:szCs w:val="20"/>
                <w:lang w:eastAsia="cs-CZ"/>
              </w:rPr>
              <w:br/>
              <w:t>u vedení s izolací a 7 m u vedení bez izolace</w:t>
            </w:r>
          </w:p>
          <w:p w14:paraId="45F1D82F" w14:textId="77777777" w:rsidR="00D95069" w:rsidRPr="0026749D" w:rsidRDefault="00D95069" w:rsidP="0026749D">
            <w:pPr>
              <w:pStyle w:val="Intabulka"/>
              <w:rPr>
                <w:rFonts w:ascii="Arial Narrow" w:hAnsi="Arial Narrow"/>
                <w:lang w:val="cs-CZ"/>
              </w:rPr>
            </w:pPr>
          </w:p>
        </w:tc>
        <w:tc>
          <w:tcPr>
            <w:tcW w:w="4819" w:type="dxa"/>
            <w:vMerge/>
            <w:shd w:val="clear" w:color="auto" w:fill="auto"/>
          </w:tcPr>
          <w:p w14:paraId="69FF4B27" w14:textId="77777777" w:rsidR="00D95069" w:rsidRPr="00461C16" w:rsidRDefault="00D95069" w:rsidP="00A53768">
            <w:pPr>
              <w:spacing w:before="40" w:after="40"/>
              <w:rPr>
                <w:rFonts w:cs="Arial"/>
                <w:sz w:val="20"/>
                <w:szCs w:val="20"/>
              </w:rPr>
            </w:pPr>
          </w:p>
        </w:tc>
      </w:tr>
      <w:tr w:rsidR="00D95069" w:rsidRPr="00461C16" w14:paraId="3F901A13" w14:textId="77777777" w:rsidTr="00A53768">
        <w:tc>
          <w:tcPr>
            <w:tcW w:w="2093" w:type="dxa"/>
            <w:shd w:val="clear" w:color="auto" w:fill="auto"/>
          </w:tcPr>
          <w:p w14:paraId="64533A83"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lastRenderedPageBreak/>
              <w:t xml:space="preserve">technologický objekt zásobování plynem </w:t>
            </w:r>
          </w:p>
        </w:tc>
        <w:tc>
          <w:tcPr>
            <w:tcW w:w="2410" w:type="dxa"/>
            <w:shd w:val="clear" w:color="auto" w:fill="auto"/>
          </w:tcPr>
          <w:p w14:paraId="67F89C1D" w14:textId="77777777" w:rsidR="00D95069" w:rsidRPr="00461C16" w:rsidRDefault="00D95069" w:rsidP="00A53768">
            <w:pPr>
              <w:pStyle w:val="Intabulka"/>
              <w:rPr>
                <w:rFonts w:ascii="Arial Narrow" w:hAnsi="Arial Narrow"/>
                <w:lang w:val="cs-CZ"/>
              </w:rPr>
            </w:pPr>
            <w:r w:rsidRPr="00461C16">
              <w:rPr>
                <w:rFonts w:ascii="Arial Narrow" w:hAnsi="Arial Narrow" w:cs="Arial"/>
                <w:lang w:eastAsia="cs-CZ"/>
              </w:rPr>
              <w:t>4 m od obvodu objektu</w:t>
            </w:r>
          </w:p>
        </w:tc>
        <w:tc>
          <w:tcPr>
            <w:tcW w:w="4819" w:type="dxa"/>
            <w:vMerge w:val="restart"/>
            <w:shd w:val="clear" w:color="auto" w:fill="auto"/>
          </w:tcPr>
          <w:p w14:paraId="478A044A" w14:textId="77777777" w:rsidR="00D95069" w:rsidRPr="00461C16" w:rsidRDefault="00D95069" w:rsidP="00A53768">
            <w:pPr>
              <w:spacing w:before="40" w:after="40"/>
              <w:rPr>
                <w:rFonts w:cs="Arial"/>
                <w:sz w:val="20"/>
                <w:szCs w:val="20"/>
              </w:rPr>
            </w:pPr>
            <w:r w:rsidRPr="00461C16">
              <w:rPr>
                <w:rFonts w:cs="Arial"/>
                <w:sz w:val="20"/>
                <w:szCs w:val="20"/>
              </w:rPr>
              <w:t>Zákon č. 458/2000 Sb., o podmínkách podnikání a o výkonu státní správy v energetických odvětvích a o změně některých zákonů (energetický zákon)</w:t>
            </w:r>
            <w:r w:rsidR="00A53768" w:rsidRPr="00461C16">
              <w:rPr>
                <w:rFonts w:cs="Arial"/>
                <w:sz w:val="20"/>
                <w:szCs w:val="20"/>
              </w:rPr>
              <w:t>, v platném znění</w:t>
            </w:r>
            <w:r w:rsidRPr="00461C16">
              <w:rPr>
                <w:rFonts w:cs="Arial"/>
                <w:sz w:val="20"/>
                <w:szCs w:val="20"/>
              </w:rPr>
              <w:t>;</w:t>
            </w:r>
          </w:p>
          <w:p w14:paraId="14D3591C" w14:textId="77777777" w:rsidR="00D95069" w:rsidRPr="00461C16" w:rsidRDefault="00D95069" w:rsidP="00A53768">
            <w:pPr>
              <w:spacing w:before="40" w:after="40"/>
              <w:jc w:val="left"/>
              <w:rPr>
                <w:rFonts w:cs="Arial"/>
                <w:sz w:val="20"/>
                <w:szCs w:val="20"/>
              </w:rPr>
            </w:pPr>
            <w:r w:rsidRPr="00461C16">
              <w:rPr>
                <w:rFonts w:cs="Arial"/>
                <w:sz w:val="20"/>
                <w:szCs w:val="20"/>
              </w:rPr>
              <w:t>Zákon č. 406/2000 Sb., o hospodaření energií</w:t>
            </w:r>
            <w:r w:rsidR="00A53768" w:rsidRPr="00461C16">
              <w:rPr>
                <w:rFonts w:cs="Arial"/>
                <w:sz w:val="20"/>
                <w:szCs w:val="20"/>
              </w:rPr>
              <w:t>, v platném znění</w:t>
            </w:r>
          </w:p>
          <w:p w14:paraId="0B0E52EE" w14:textId="77777777" w:rsidR="00D95069" w:rsidRPr="00461C16" w:rsidRDefault="00D95069" w:rsidP="00A53768">
            <w:pPr>
              <w:pStyle w:val="Intabulka"/>
              <w:rPr>
                <w:rFonts w:ascii="Arial Narrow" w:hAnsi="Arial Narrow"/>
                <w:lang w:val="cs-CZ"/>
              </w:rPr>
            </w:pPr>
          </w:p>
        </w:tc>
      </w:tr>
      <w:tr w:rsidR="00D95069" w:rsidRPr="00461C16" w14:paraId="30DAD673" w14:textId="77777777" w:rsidTr="00A53768">
        <w:tc>
          <w:tcPr>
            <w:tcW w:w="2093" w:type="dxa"/>
            <w:vMerge w:val="restart"/>
            <w:shd w:val="clear" w:color="auto" w:fill="auto"/>
          </w:tcPr>
          <w:p w14:paraId="16452BCA"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plynovod</w:t>
            </w:r>
          </w:p>
        </w:tc>
        <w:tc>
          <w:tcPr>
            <w:tcW w:w="2410" w:type="dxa"/>
            <w:shd w:val="clear" w:color="auto" w:fill="auto"/>
          </w:tcPr>
          <w:p w14:paraId="76AD9289" w14:textId="77777777" w:rsidR="00D95069" w:rsidRPr="00461C16" w:rsidRDefault="00D95069" w:rsidP="00A53768">
            <w:pPr>
              <w:spacing w:before="40" w:after="40"/>
              <w:jc w:val="left"/>
              <w:rPr>
                <w:rFonts w:cs="Arial"/>
                <w:sz w:val="20"/>
                <w:szCs w:val="20"/>
              </w:rPr>
            </w:pPr>
            <w:r w:rsidRPr="00461C16">
              <w:rPr>
                <w:rFonts w:cs="Arial"/>
                <w:sz w:val="20"/>
                <w:szCs w:val="20"/>
              </w:rPr>
              <w:t>bezpečnostní pásmo po obou stranách od vnějšího okraje potrubí:</w:t>
            </w:r>
            <w:r w:rsidRPr="00461C16">
              <w:rPr>
                <w:rFonts w:cs="Arial"/>
                <w:sz w:val="20"/>
                <w:szCs w:val="20"/>
              </w:rPr>
              <w:br/>
              <w:t>do DN100 – 15m;</w:t>
            </w:r>
            <w:r w:rsidRPr="00461C16">
              <w:rPr>
                <w:rFonts w:cs="Arial"/>
                <w:sz w:val="20"/>
                <w:szCs w:val="20"/>
              </w:rPr>
              <w:br/>
              <w:t>do DN250 - 20m;</w:t>
            </w:r>
            <w:r w:rsidRPr="00461C16">
              <w:rPr>
                <w:rFonts w:cs="Arial"/>
                <w:sz w:val="20"/>
                <w:szCs w:val="20"/>
              </w:rPr>
              <w:br/>
              <w:t>nad DN250 – 40m</w:t>
            </w:r>
          </w:p>
        </w:tc>
        <w:tc>
          <w:tcPr>
            <w:tcW w:w="4819" w:type="dxa"/>
            <w:vMerge/>
            <w:shd w:val="clear" w:color="auto" w:fill="auto"/>
          </w:tcPr>
          <w:p w14:paraId="7BDB8DC6" w14:textId="77777777" w:rsidR="00D95069" w:rsidRPr="00461C16" w:rsidRDefault="00D95069" w:rsidP="00A53768">
            <w:pPr>
              <w:pStyle w:val="Intabulka"/>
              <w:rPr>
                <w:rFonts w:ascii="Arial Narrow" w:hAnsi="Arial Narrow"/>
                <w:lang w:val="cs-CZ"/>
              </w:rPr>
            </w:pPr>
          </w:p>
        </w:tc>
      </w:tr>
      <w:tr w:rsidR="00D95069" w:rsidRPr="00461C16" w14:paraId="4FBB8B0F" w14:textId="77777777" w:rsidTr="00A53768">
        <w:trPr>
          <w:trHeight w:val="309"/>
        </w:trPr>
        <w:tc>
          <w:tcPr>
            <w:tcW w:w="2093" w:type="dxa"/>
            <w:vMerge/>
            <w:shd w:val="clear" w:color="auto" w:fill="auto"/>
          </w:tcPr>
          <w:p w14:paraId="5661B472" w14:textId="77777777" w:rsidR="00D95069" w:rsidRPr="00461C16" w:rsidRDefault="00D95069" w:rsidP="00A53768">
            <w:pPr>
              <w:pStyle w:val="Intabulka"/>
              <w:rPr>
                <w:rFonts w:ascii="Arial Narrow" w:hAnsi="Arial Narrow"/>
                <w:lang w:val="cs-CZ"/>
              </w:rPr>
            </w:pPr>
          </w:p>
        </w:tc>
        <w:tc>
          <w:tcPr>
            <w:tcW w:w="2410" w:type="dxa"/>
            <w:vMerge w:val="restart"/>
            <w:shd w:val="clear" w:color="auto" w:fill="auto"/>
          </w:tcPr>
          <w:p w14:paraId="7D545BDE" w14:textId="77777777" w:rsidR="00D95069" w:rsidRPr="00461C16" w:rsidRDefault="00D95069" w:rsidP="00A53768">
            <w:pPr>
              <w:spacing w:before="40" w:after="40"/>
              <w:jc w:val="left"/>
              <w:rPr>
                <w:rFonts w:cs="Arial"/>
                <w:sz w:val="20"/>
                <w:szCs w:val="20"/>
              </w:rPr>
            </w:pPr>
            <w:r w:rsidRPr="00461C16">
              <w:rPr>
                <w:rFonts w:cs="Arial"/>
                <w:sz w:val="20"/>
                <w:szCs w:val="20"/>
              </w:rPr>
              <w:t>ochranné pásmo od okraje potrubí na obě strany v zastavěném území - 1m;</w:t>
            </w:r>
          </w:p>
          <w:p w14:paraId="2855476A" w14:textId="77777777" w:rsidR="00D95069" w:rsidRPr="00461C16" w:rsidRDefault="00D95069" w:rsidP="00A53768">
            <w:pPr>
              <w:spacing w:before="40" w:after="40"/>
              <w:jc w:val="left"/>
              <w:rPr>
                <w:rFonts w:cs="Arial"/>
                <w:sz w:val="20"/>
                <w:szCs w:val="20"/>
              </w:rPr>
            </w:pPr>
            <w:r w:rsidRPr="00461C16">
              <w:rPr>
                <w:rFonts w:cs="Arial"/>
                <w:sz w:val="20"/>
                <w:szCs w:val="20"/>
                <w:lang w:eastAsia="cs-CZ"/>
              </w:rPr>
              <w:t>mimo zastavěné území - 4m</w:t>
            </w:r>
          </w:p>
        </w:tc>
        <w:tc>
          <w:tcPr>
            <w:tcW w:w="4819" w:type="dxa"/>
            <w:vMerge/>
            <w:shd w:val="clear" w:color="auto" w:fill="auto"/>
          </w:tcPr>
          <w:p w14:paraId="6AA17968" w14:textId="77777777" w:rsidR="00D95069" w:rsidRPr="00461C16" w:rsidRDefault="00D95069" w:rsidP="00A53768">
            <w:pPr>
              <w:pStyle w:val="Intabulka"/>
              <w:rPr>
                <w:rFonts w:ascii="Arial Narrow" w:hAnsi="Arial Narrow"/>
                <w:lang w:val="cs-CZ"/>
              </w:rPr>
            </w:pPr>
          </w:p>
        </w:tc>
      </w:tr>
      <w:tr w:rsidR="00D95069" w:rsidRPr="00461C16" w14:paraId="317D01E1" w14:textId="77777777" w:rsidTr="00A53768">
        <w:trPr>
          <w:trHeight w:val="309"/>
        </w:trPr>
        <w:tc>
          <w:tcPr>
            <w:tcW w:w="2093" w:type="dxa"/>
            <w:vMerge/>
            <w:shd w:val="clear" w:color="auto" w:fill="auto"/>
          </w:tcPr>
          <w:p w14:paraId="68D29716" w14:textId="77777777" w:rsidR="00D95069" w:rsidRPr="00461C16" w:rsidRDefault="00D95069" w:rsidP="00A53768">
            <w:pPr>
              <w:pStyle w:val="Intabulka"/>
              <w:rPr>
                <w:rFonts w:ascii="Arial Narrow" w:hAnsi="Arial Narrow"/>
                <w:lang w:val="cs-CZ"/>
              </w:rPr>
            </w:pPr>
          </w:p>
        </w:tc>
        <w:tc>
          <w:tcPr>
            <w:tcW w:w="2410" w:type="dxa"/>
            <w:vMerge/>
            <w:shd w:val="clear" w:color="auto" w:fill="auto"/>
          </w:tcPr>
          <w:p w14:paraId="71FB229F" w14:textId="77777777" w:rsidR="00D95069" w:rsidRPr="00461C16" w:rsidRDefault="00D95069" w:rsidP="00A53768">
            <w:pPr>
              <w:spacing w:before="40" w:after="40"/>
              <w:jc w:val="left"/>
              <w:rPr>
                <w:rFonts w:cs="Arial"/>
                <w:sz w:val="20"/>
                <w:szCs w:val="20"/>
              </w:rPr>
            </w:pPr>
          </w:p>
        </w:tc>
        <w:tc>
          <w:tcPr>
            <w:tcW w:w="4819" w:type="dxa"/>
            <w:vMerge/>
            <w:shd w:val="clear" w:color="auto" w:fill="auto"/>
          </w:tcPr>
          <w:p w14:paraId="4A6C22B9" w14:textId="77777777" w:rsidR="00D95069" w:rsidRPr="00461C16" w:rsidRDefault="00D95069" w:rsidP="00A53768">
            <w:pPr>
              <w:pStyle w:val="Intabulka"/>
              <w:rPr>
                <w:rFonts w:ascii="Arial Narrow" w:hAnsi="Arial Narrow"/>
                <w:lang w:val="cs-CZ"/>
              </w:rPr>
            </w:pPr>
          </w:p>
        </w:tc>
      </w:tr>
      <w:tr w:rsidR="00D95069" w:rsidRPr="00461C16" w14:paraId="354CE12E" w14:textId="77777777" w:rsidTr="00A53768">
        <w:tc>
          <w:tcPr>
            <w:tcW w:w="2093" w:type="dxa"/>
            <w:shd w:val="clear" w:color="auto" w:fill="auto"/>
          </w:tcPr>
          <w:p w14:paraId="23BDD315" w14:textId="77777777" w:rsidR="00D95069" w:rsidRPr="00461C16" w:rsidRDefault="00D95069" w:rsidP="00A53768">
            <w:pPr>
              <w:pStyle w:val="Intabulka"/>
              <w:rPr>
                <w:rFonts w:ascii="Arial Narrow" w:hAnsi="Arial Narrow" w:cs="Calibri"/>
                <w:lang w:val="cs-CZ"/>
              </w:rPr>
            </w:pPr>
            <w:r w:rsidRPr="00461C16">
              <w:rPr>
                <w:rFonts w:ascii="Arial Narrow" w:hAnsi="Arial Narrow"/>
                <w:lang w:val="cs-CZ"/>
              </w:rPr>
              <w:t>technologický objekt odvádění a čištění odpadních vod</w:t>
            </w:r>
            <w:r w:rsidR="00B345B4" w:rsidRPr="00461C16">
              <w:rPr>
                <w:rFonts w:ascii="Arial Narrow" w:hAnsi="Arial Narrow"/>
                <w:lang w:val="cs-CZ"/>
              </w:rPr>
              <w:t xml:space="preserve"> </w:t>
            </w:r>
          </w:p>
        </w:tc>
        <w:tc>
          <w:tcPr>
            <w:tcW w:w="2410" w:type="dxa"/>
            <w:shd w:val="clear" w:color="auto" w:fill="auto"/>
          </w:tcPr>
          <w:p w14:paraId="445784E6"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val="restart"/>
            <w:shd w:val="clear" w:color="auto" w:fill="auto"/>
          </w:tcPr>
          <w:p w14:paraId="6C925534" w14:textId="77777777" w:rsidR="00D95069" w:rsidRPr="00461C16" w:rsidRDefault="00D95069" w:rsidP="00A53768">
            <w:pPr>
              <w:pStyle w:val="Intabulka"/>
              <w:rPr>
                <w:rFonts w:ascii="Arial Narrow" w:hAnsi="Arial Narrow"/>
              </w:rPr>
            </w:pPr>
            <w:r w:rsidRPr="00461C16">
              <w:rPr>
                <w:rFonts w:ascii="Arial Narrow" w:hAnsi="Arial Narrow"/>
              </w:rPr>
              <w:t xml:space="preserve">Zákon č. 274/2001 Sb., o vodovodech </w:t>
            </w:r>
          </w:p>
          <w:p w14:paraId="44DB8A13" w14:textId="77777777" w:rsidR="00D95069" w:rsidRPr="00461C16" w:rsidRDefault="00D95069" w:rsidP="00A53768">
            <w:pPr>
              <w:pStyle w:val="Intabulka"/>
              <w:rPr>
                <w:rFonts w:ascii="Arial Narrow" w:hAnsi="Arial Narrow"/>
                <w:lang w:val="cs-CZ"/>
              </w:rPr>
            </w:pPr>
            <w:r w:rsidRPr="00461C16">
              <w:rPr>
                <w:rFonts w:ascii="Arial Narrow" w:hAnsi="Arial Narrow"/>
                <w:lang w:eastAsia="cs-CZ"/>
              </w:rPr>
              <w:t>a kanalizacích pro veřejnou potřebu a o změně některých zákonů.</w:t>
            </w:r>
          </w:p>
        </w:tc>
      </w:tr>
      <w:tr w:rsidR="00D95069" w:rsidRPr="00461C16" w14:paraId="20B21712" w14:textId="77777777" w:rsidTr="00A53768">
        <w:tc>
          <w:tcPr>
            <w:tcW w:w="2093" w:type="dxa"/>
            <w:shd w:val="clear" w:color="auto" w:fill="auto"/>
          </w:tcPr>
          <w:p w14:paraId="6167793A" w14:textId="77777777" w:rsidR="00D95069" w:rsidRPr="00461C16" w:rsidRDefault="00D95069" w:rsidP="00A53768">
            <w:pPr>
              <w:pStyle w:val="Intabulka"/>
              <w:rPr>
                <w:rFonts w:ascii="Arial Narrow" w:hAnsi="Arial Narrow" w:cs="Calibri"/>
                <w:lang w:val="cs-CZ"/>
              </w:rPr>
            </w:pPr>
            <w:r w:rsidRPr="00461C16">
              <w:rPr>
                <w:rFonts w:ascii="Arial Narrow" w:hAnsi="Arial Narrow"/>
                <w:lang w:val="cs-CZ"/>
              </w:rPr>
              <w:t>kanalizační síť</w:t>
            </w:r>
          </w:p>
        </w:tc>
        <w:tc>
          <w:tcPr>
            <w:tcW w:w="2410" w:type="dxa"/>
            <w:shd w:val="clear" w:color="auto" w:fill="auto"/>
          </w:tcPr>
          <w:p w14:paraId="59A285E7" w14:textId="77777777" w:rsidR="00D95069" w:rsidRPr="00461C16" w:rsidRDefault="00D95069" w:rsidP="00A53768">
            <w:pPr>
              <w:pStyle w:val="Intabulka"/>
              <w:rPr>
                <w:rFonts w:ascii="Arial Narrow" w:hAnsi="Arial Narrow"/>
              </w:rPr>
            </w:pPr>
            <w:r w:rsidRPr="00461C16">
              <w:rPr>
                <w:rFonts w:ascii="Arial Narrow" w:hAnsi="Arial Narrow" w:cs="Arial"/>
              </w:rPr>
              <w:t>na obě strany od okraje potrubí:</w:t>
            </w:r>
            <w:r w:rsidRPr="00461C16">
              <w:rPr>
                <w:rFonts w:ascii="Arial Narrow" w:hAnsi="Arial Narrow" w:cs="Arial"/>
              </w:rPr>
              <w:br/>
              <w:t>do DN 500 mm – 1,5m;</w:t>
            </w:r>
            <w:r w:rsidRPr="00461C16">
              <w:rPr>
                <w:rFonts w:ascii="Arial Narrow" w:hAnsi="Arial Narrow" w:cs="Arial"/>
              </w:rPr>
              <w:br/>
              <w:t>nad DN 500 mm – 2,5m;</w:t>
            </w:r>
            <w:r w:rsidRPr="00461C16">
              <w:rPr>
                <w:rFonts w:ascii="Arial Narrow" w:hAnsi="Arial Narrow" w:cs="Arial"/>
              </w:rPr>
              <w:br/>
              <w:t>nad DN 200 mm při uložení v hloubce nad 2,5m se OP rozšiřuje o 1m (2,5 – 3,5 m).</w:t>
            </w:r>
          </w:p>
        </w:tc>
        <w:tc>
          <w:tcPr>
            <w:tcW w:w="4819" w:type="dxa"/>
            <w:vMerge/>
            <w:shd w:val="clear" w:color="auto" w:fill="auto"/>
          </w:tcPr>
          <w:p w14:paraId="4AF7D4F8" w14:textId="77777777" w:rsidR="00D95069" w:rsidRPr="00461C16" w:rsidRDefault="00D95069" w:rsidP="00A53768">
            <w:pPr>
              <w:pStyle w:val="Intabulka"/>
              <w:rPr>
                <w:rFonts w:ascii="Arial Narrow" w:hAnsi="Arial Narrow"/>
              </w:rPr>
            </w:pPr>
          </w:p>
        </w:tc>
      </w:tr>
      <w:tr w:rsidR="00D95069" w:rsidRPr="00461C16" w14:paraId="0B2AC23B" w14:textId="77777777" w:rsidTr="00A53768">
        <w:tc>
          <w:tcPr>
            <w:tcW w:w="2093" w:type="dxa"/>
            <w:shd w:val="clear" w:color="auto" w:fill="auto"/>
          </w:tcPr>
          <w:p w14:paraId="6B2BD35F"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technologický objekt zásobování vodou </w:t>
            </w:r>
          </w:p>
        </w:tc>
        <w:tc>
          <w:tcPr>
            <w:tcW w:w="2410" w:type="dxa"/>
            <w:shd w:val="clear" w:color="auto" w:fill="auto"/>
          </w:tcPr>
          <w:p w14:paraId="0B58C872"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vMerge w:val="restart"/>
            <w:shd w:val="clear" w:color="auto" w:fill="auto"/>
          </w:tcPr>
          <w:p w14:paraId="680E644D" w14:textId="77777777" w:rsidR="00D95069" w:rsidRPr="00461C16" w:rsidRDefault="00D95069" w:rsidP="00A53768">
            <w:pPr>
              <w:pStyle w:val="Intabulka"/>
              <w:rPr>
                <w:rFonts w:ascii="Arial Narrow" w:hAnsi="Arial Narrow"/>
                <w:lang w:val="cs-CZ"/>
              </w:rPr>
            </w:pPr>
            <w:r w:rsidRPr="00461C16">
              <w:rPr>
                <w:rFonts w:ascii="Arial Narrow" w:hAnsi="Arial Narrow"/>
              </w:rPr>
              <w:t xml:space="preserve">Zákon č. 274/2001 Sb., o vodovodech </w:t>
            </w:r>
            <w:r w:rsidRPr="00461C16">
              <w:rPr>
                <w:rFonts w:ascii="Arial Narrow" w:hAnsi="Arial Narrow"/>
                <w:lang w:val="cs-CZ"/>
              </w:rPr>
              <w:br/>
            </w:r>
            <w:r w:rsidRPr="00461C16">
              <w:rPr>
                <w:rFonts w:ascii="Arial Narrow" w:hAnsi="Arial Narrow"/>
                <w:lang w:eastAsia="cs-CZ"/>
              </w:rPr>
              <w:t>a kanalizacích pro veřejnou potřebu a o změně některých zákonů.</w:t>
            </w:r>
          </w:p>
        </w:tc>
      </w:tr>
      <w:tr w:rsidR="00D95069" w:rsidRPr="00461C16" w14:paraId="697E16CD" w14:textId="77777777" w:rsidTr="00A53768">
        <w:tc>
          <w:tcPr>
            <w:tcW w:w="2093" w:type="dxa"/>
            <w:shd w:val="clear" w:color="auto" w:fill="auto"/>
          </w:tcPr>
          <w:p w14:paraId="026A0643"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vodovodní síť včetně ochranného pásma</w:t>
            </w:r>
          </w:p>
        </w:tc>
        <w:tc>
          <w:tcPr>
            <w:tcW w:w="2410" w:type="dxa"/>
            <w:shd w:val="clear" w:color="auto" w:fill="auto"/>
          </w:tcPr>
          <w:p w14:paraId="387EEDFD" w14:textId="77777777" w:rsidR="00D95069" w:rsidRPr="00461C16" w:rsidRDefault="00D95069" w:rsidP="00A53768">
            <w:pPr>
              <w:pStyle w:val="Intabulka"/>
              <w:rPr>
                <w:rFonts w:ascii="Arial Narrow" w:hAnsi="Arial Narrow"/>
              </w:rPr>
            </w:pPr>
            <w:r w:rsidRPr="00461C16">
              <w:rPr>
                <w:rFonts w:ascii="Arial Narrow" w:hAnsi="Arial Narrow" w:cs="Arial"/>
              </w:rPr>
              <w:t>na obě strany od okraje potrubí:</w:t>
            </w:r>
            <w:r w:rsidRPr="00461C16">
              <w:rPr>
                <w:rFonts w:ascii="Arial Narrow" w:hAnsi="Arial Narrow" w:cs="Arial"/>
              </w:rPr>
              <w:br/>
              <w:t>do DN 500 mm – 1,5m;</w:t>
            </w:r>
            <w:r w:rsidRPr="00461C16">
              <w:rPr>
                <w:rFonts w:ascii="Arial Narrow" w:hAnsi="Arial Narrow" w:cs="Arial"/>
              </w:rPr>
              <w:br/>
              <w:t>nad DN 500 mm – 2,5m;</w:t>
            </w:r>
            <w:r w:rsidRPr="00461C16">
              <w:rPr>
                <w:rFonts w:ascii="Arial Narrow" w:hAnsi="Arial Narrow" w:cs="Arial"/>
              </w:rPr>
              <w:br/>
              <w:t>nad DN 200 mm při uložení v hloubce nad 2,5m se OP rozšiřuje o 1m (2,5 – 3,5 m).</w:t>
            </w:r>
          </w:p>
        </w:tc>
        <w:tc>
          <w:tcPr>
            <w:tcW w:w="4819" w:type="dxa"/>
            <w:vMerge/>
            <w:shd w:val="clear" w:color="auto" w:fill="auto"/>
          </w:tcPr>
          <w:p w14:paraId="787CDED9" w14:textId="77777777" w:rsidR="00D95069" w:rsidRPr="00461C16" w:rsidRDefault="00D95069" w:rsidP="00A53768">
            <w:pPr>
              <w:pStyle w:val="Intabulka"/>
              <w:rPr>
                <w:rFonts w:ascii="Arial Narrow" w:hAnsi="Arial Narrow"/>
                <w:lang w:val="cs-CZ"/>
              </w:rPr>
            </w:pPr>
          </w:p>
        </w:tc>
      </w:tr>
      <w:tr w:rsidR="00D95069" w:rsidRPr="00461C16" w14:paraId="62A8AEF7" w14:textId="77777777" w:rsidTr="00A53768">
        <w:tc>
          <w:tcPr>
            <w:tcW w:w="2093" w:type="dxa"/>
            <w:shd w:val="clear" w:color="auto" w:fill="auto"/>
          </w:tcPr>
          <w:p w14:paraId="253DACF0"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elektronické komunikační zařízení včetně ochranného pásma</w:t>
            </w:r>
          </w:p>
        </w:tc>
        <w:tc>
          <w:tcPr>
            <w:tcW w:w="2410" w:type="dxa"/>
            <w:shd w:val="clear" w:color="auto" w:fill="auto"/>
          </w:tcPr>
          <w:p w14:paraId="4A202D55" w14:textId="77777777" w:rsidR="00D95069" w:rsidRPr="00461C16" w:rsidRDefault="00D95069" w:rsidP="00A53768">
            <w:pPr>
              <w:spacing w:before="40" w:after="40"/>
              <w:jc w:val="left"/>
              <w:rPr>
                <w:rFonts w:cs="Arial"/>
                <w:sz w:val="20"/>
                <w:szCs w:val="20"/>
              </w:rPr>
            </w:pPr>
            <w:r w:rsidRPr="00461C16">
              <w:rPr>
                <w:rFonts w:cs="Arial"/>
                <w:sz w:val="20"/>
                <w:szCs w:val="20"/>
              </w:rPr>
              <w:t>radiokomunikační objekt, TV nebo rozhlasový vysílač - kruh R 500 – 1000 m;</w:t>
            </w:r>
          </w:p>
          <w:p w14:paraId="4F77EDEB" w14:textId="77777777" w:rsidR="00D95069" w:rsidRPr="00461C16" w:rsidRDefault="00D95069" w:rsidP="00A53768">
            <w:pPr>
              <w:pStyle w:val="Intabulka"/>
              <w:rPr>
                <w:rFonts w:ascii="Arial Narrow" w:hAnsi="Arial Narrow"/>
                <w:lang w:val="cs-CZ"/>
              </w:rPr>
            </w:pPr>
            <w:r w:rsidRPr="00461C16">
              <w:rPr>
                <w:rFonts w:ascii="Arial Narrow" w:hAnsi="Arial Narrow" w:cs="Arial"/>
              </w:rPr>
              <w:t>televizní převaděč</w:t>
            </w:r>
            <w:r w:rsidRPr="00461C16">
              <w:rPr>
                <w:rFonts w:ascii="Arial Narrow" w:hAnsi="Arial Narrow" w:cs="Arial"/>
                <w:lang w:val="cs-CZ"/>
              </w:rPr>
              <w:t xml:space="preserve"> -</w:t>
            </w:r>
            <w:r w:rsidRPr="00461C16">
              <w:rPr>
                <w:rFonts w:ascii="Arial Narrow" w:hAnsi="Arial Narrow" w:cs="Arial"/>
              </w:rPr>
              <w:t xml:space="preserve"> kruh R 30 m</w:t>
            </w:r>
          </w:p>
        </w:tc>
        <w:tc>
          <w:tcPr>
            <w:tcW w:w="4819" w:type="dxa"/>
            <w:vMerge w:val="restart"/>
            <w:shd w:val="clear" w:color="auto" w:fill="auto"/>
          </w:tcPr>
          <w:p w14:paraId="46EF3A9F" w14:textId="77777777" w:rsidR="00D95069" w:rsidRPr="00461C16" w:rsidRDefault="00D95069" w:rsidP="00A53768">
            <w:pPr>
              <w:pStyle w:val="Intabulka"/>
              <w:rPr>
                <w:rFonts w:ascii="Arial Narrow" w:hAnsi="Arial Narrow"/>
                <w:lang w:val="cs-CZ"/>
              </w:rPr>
            </w:pPr>
            <w:r w:rsidRPr="00461C16">
              <w:rPr>
                <w:rFonts w:ascii="Arial Narrow" w:hAnsi="Arial Narrow"/>
                <w:lang w:eastAsia="cs-CZ"/>
              </w:rPr>
              <w:t>Zákon č. 127/2005 Sb., o elektronických komunikacích a o změně některých souvisejících zákonů (zákon o elektronických komunikacích)</w:t>
            </w:r>
            <w:r w:rsidR="00A53768" w:rsidRPr="00461C16">
              <w:rPr>
                <w:rFonts w:ascii="Arial Narrow" w:hAnsi="Arial Narrow"/>
                <w:lang w:eastAsia="cs-CZ"/>
              </w:rPr>
              <w:t>, v platném znění</w:t>
            </w:r>
          </w:p>
        </w:tc>
      </w:tr>
      <w:tr w:rsidR="00D95069" w:rsidRPr="00461C16" w14:paraId="01F7CD62" w14:textId="77777777" w:rsidTr="00A53768">
        <w:tc>
          <w:tcPr>
            <w:tcW w:w="2093" w:type="dxa"/>
            <w:shd w:val="clear" w:color="auto" w:fill="auto"/>
          </w:tcPr>
          <w:p w14:paraId="7C4D2553" w14:textId="77777777" w:rsidR="00D95069" w:rsidRPr="00461C16" w:rsidRDefault="00D95069" w:rsidP="00A53768">
            <w:pPr>
              <w:pStyle w:val="Intabulka"/>
              <w:rPr>
                <w:rFonts w:ascii="Arial Narrow" w:hAnsi="Arial Narrow" w:cs="Calibri"/>
                <w:lang w:val="cs-CZ"/>
              </w:rPr>
            </w:pPr>
            <w:r w:rsidRPr="00461C16">
              <w:rPr>
                <w:rFonts w:ascii="Arial Narrow" w:hAnsi="Arial Narrow"/>
                <w:lang w:val="cs-CZ"/>
              </w:rPr>
              <w:t xml:space="preserve">komunikační vedení </w:t>
            </w:r>
          </w:p>
        </w:tc>
        <w:tc>
          <w:tcPr>
            <w:tcW w:w="2410" w:type="dxa"/>
            <w:shd w:val="clear" w:color="auto" w:fill="auto"/>
          </w:tcPr>
          <w:p w14:paraId="369DDB10" w14:textId="77777777" w:rsidR="00D95069" w:rsidRPr="00461C16" w:rsidRDefault="00D95069" w:rsidP="00A53768">
            <w:pPr>
              <w:pStyle w:val="Intabulka"/>
              <w:rPr>
                <w:rFonts w:ascii="Arial Narrow" w:hAnsi="Arial Narrow"/>
                <w:lang w:val="cs-CZ"/>
              </w:rPr>
            </w:pPr>
            <w:r w:rsidRPr="00461C16">
              <w:rPr>
                <w:rFonts w:ascii="Arial Narrow" w:hAnsi="Arial Narrow" w:cs="Arial"/>
              </w:rPr>
              <w:t>1,5 m po obou stranách</w:t>
            </w:r>
          </w:p>
        </w:tc>
        <w:tc>
          <w:tcPr>
            <w:tcW w:w="4819" w:type="dxa"/>
            <w:vMerge/>
            <w:shd w:val="clear" w:color="auto" w:fill="auto"/>
          </w:tcPr>
          <w:p w14:paraId="60E9BCAB" w14:textId="77777777" w:rsidR="00D95069" w:rsidRPr="00461C16" w:rsidRDefault="00D95069" w:rsidP="00A53768">
            <w:pPr>
              <w:pStyle w:val="Intabulka"/>
              <w:rPr>
                <w:rFonts w:ascii="Arial Narrow" w:hAnsi="Arial Narrow"/>
                <w:lang w:val="cs-CZ"/>
              </w:rPr>
            </w:pPr>
          </w:p>
        </w:tc>
      </w:tr>
      <w:tr w:rsidR="00D95069" w:rsidRPr="00461C16" w14:paraId="49A8A883" w14:textId="77777777" w:rsidTr="00A53768">
        <w:tc>
          <w:tcPr>
            <w:tcW w:w="2093" w:type="dxa"/>
            <w:shd w:val="clear" w:color="auto" w:fill="auto"/>
          </w:tcPr>
          <w:p w14:paraId="1A8ED33D"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 xml:space="preserve">radiové směrové spoje </w:t>
            </w:r>
          </w:p>
        </w:tc>
        <w:tc>
          <w:tcPr>
            <w:tcW w:w="2410" w:type="dxa"/>
            <w:shd w:val="clear" w:color="auto" w:fill="auto"/>
          </w:tcPr>
          <w:p w14:paraId="744A8C33"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pás o šířce 10 – 150 m</w:t>
            </w:r>
          </w:p>
        </w:tc>
        <w:tc>
          <w:tcPr>
            <w:tcW w:w="4819" w:type="dxa"/>
            <w:vMerge/>
            <w:shd w:val="clear" w:color="auto" w:fill="auto"/>
          </w:tcPr>
          <w:p w14:paraId="6AF1647B" w14:textId="77777777" w:rsidR="00D95069" w:rsidRPr="00461C16" w:rsidRDefault="00D95069" w:rsidP="00A53768">
            <w:pPr>
              <w:pStyle w:val="Intabulka"/>
              <w:rPr>
                <w:rFonts w:ascii="Arial Narrow" w:hAnsi="Arial Narrow"/>
                <w:lang w:val="cs-CZ"/>
              </w:rPr>
            </w:pPr>
          </w:p>
        </w:tc>
      </w:tr>
      <w:tr w:rsidR="00D95069" w:rsidRPr="00461C16" w14:paraId="78C56E75" w14:textId="77777777" w:rsidTr="00A53768">
        <w:tc>
          <w:tcPr>
            <w:tcW w:w="9322" w:type="dxa"/>
            <w:gridSpan w:val="3"/>
            <w:shd w:val="clear" w:color="auto" w:fill="C2D69B" w:themeFill="accent3" w:themeFillTint="99"/>
          </w:tcPr>
          <w:p w14:paraId="66557DBB" w14:textId="77777777" w:rsidR="00D95069" w:rsidRPr="00461C16" w:rsidRDefault="00D95069" w:rsidP="00A53768">
            <w:pPr>
              <w:spacing w:before="40" w:after="40"/>
              <w:jc w:val="left"/>
              <w:rPr>
                <w:rFonts w:cs="Arial"/>
                <w:sz w:val="20"/>
                <w:szCs w:val="20"/>
              </w:rPr>
            </w:pPr>
            <w:r w:rsidRPr="00461C16">
              <w:rPr>
                <w:b/>
                <w:i/>
                <w:sz w:val="20"/>
                <w:szCs w:val="20"/>
                <w:lang w:eastAsia="cs-CZ"/>
              </w:rPr>
              <w:t>Ostatní limity</w:t>
            </w:r>
          </w:p>
        </w:tc>
      </w:tr>
      <w:tr w:rsidR="00D95069" w:rsidRPr="00461C16" w14:paraId="19B9F6D8" w14:textId="77777777" w:rsidTr="00A53768">
        <w:tc>
          <w:tcPr>
            <w:tcW w:w="2093" w:type="dxa"/>
            <w:shd w:val="clear" w:color="auto" w:fill="auto"/>
          </w:tcPr>
          <w:p w14:paraId="492B848D"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hřbitov</w:t>
            </w:r>
          </w:p>
        </w:tc>
        <w:tc>
          <w:tcPr>
            <w:tcW w:w="2410" w:type="dxa"/>
            <w:shd w:val="clear" w:color="auto" w:fill="auto"/>
          </w:tcPr>
          <w:p w14:paraId="2588ED6A"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dle grafické dokumentace, nejméně 100 m</w:t>
            </w:r>
          </w:p>
        </w:tc>
        <w:tc>
          <w:tcPr>
            <w:tcW w:w="4819" w:type="dxa"/>
            <w:shd w:val="clear" w:color="auto" w:fill="auto"/>
          </w:tcPr>
          <w:p w14:paraId="1108CD55" w14:textId="77777777" w:rsidR="00D95069" w:rsidRPr="00461C16" w:rsidRDefault="00D95069" w:rsidP="00A53768">
            <w:pPr>
              <w:spacing w:before="40" w:after="40"/>
              <w:jc w:val="left"/>
              <w:rPr>
                <w:rFonts w:cs="Arial"/>
                <w:sz w:val="20"/>
                <w:szCs w:val="20"/>
              </w:rPr>
            </w:pPr>
            <w:r w:rsidRPr="00461C16">
              <w:rPr>
                <w:rFonts w:cs="Arial"/>
                <w:sz w:val="20"/>
                <w:szCs w:val="20"/>
              </w:rPr>
              <w:t>§ 17 (hřbitovy) a § 12 (krematoria) zákona č. 256/2001 Sb., o pohřebnictví a o změně některých zákonů</w:t>
            </w:r>
            <w:r w:rsidR="00A53768" w:rsidRPr="00461C16">
              <w:rPr>
                <w:rFonts w:cs="Arial"/>
                <w:sz w:val="20"/>
                <w:szCs w:val="20"/>
              </w:rPr>
              <w:t>, v platném znění</w:t>
            </w:r>
          </w:p>
        </w:tc>
      </w:tr>
      <w:tr w:rsidR="00D95069" w:rsidRPr="00461C16" w14:paraId="77F6DD68" w14:textId="77777777" w:rsidTr="00A53768">
        <w:tc>
          <w:tcPr>
            <w:tcW w:w="2093" w:type="dxa"/>
            <w:shd w:val="clear" w:color="auto" w:fill="auto"/>
          </w:tcPr>
          <w:p w14:paraId="0E3F8275"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objekt civilní ochrany</w:t>
            </w:r>
          </w:p>
        </w:tc>
        <w:tc>
          <w:tcPr>
            <w:tcW w:w="2410" w:type="dxa"/>
            <w:shd w:val="clear" w:color="auto" w:fill="auto"/>
          </w:tcPr>
          <w:p w14:paraId="357C68A5"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shd w:val="clear" w:color="auto" w:fill="auto"/>
          </w:tcPr>
          <w:p w14:paraId="00C746E1" w14:textId="77777777" w:rsidR="00D95069" w:rsidRPr="00461C16" w:rsidRDefault="00D95069" w:rsidP="00A53768">
            <w:pPr>
              <w:spacing w:before="40" w:after="40"/>
              <w:jc w:val="left"/>
              <w:rPr>
                <w:rFonts w:cs="Arial"/>
                <w:sz w:val="20"/>
                <w:szCs w:val="20"/>
              </w:rPr>
            </w:pPr>
            <w:r w:rsidRPr="00461C16">
              <w:rPr>
                <w:rFonts w:cs="Arial"/>
                <w:sz w:val="20"/>
                <w:szCs w:val="20"/>
              </w:rPr>
              <w:t xml:space="preserve">§2, §7, §10 a §15 zákona č. 239/2000 Sb., </w:t>
            </w:r>
            <w:r w:rsidRPr="00461C16">
              <w:rPr>
                <w:rFonts w:cs="Arial"/>
                <w:sz w:val="20"/>
                <w:szCs w:val="20"/>
              </w:rPr>
              <w:br/>
              <w:t xml:space="preserve">o integrovaném záchranném systému a o změně některých zákonů </w:t>
            </w:r>
          </w:p>
        </w:tc>
      </w:tr>
      <w:tr w:rsidR="00D95069" w:rsidRPr="00461C16" w14:paraId="162B956E" w14:textId="77777777" w:rsidTr="00A53768">
        <w:tc>
          <w:tcPr>
            <w:tcW w:w="2093" w:type="dxa"/>
            <w:shd w:val="clear" w:color="auto" w:fill="auto"/>
          </w:tcPr>
          <w:p w14:paraId="5498DD69"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t>objekt požární ochrany</w:t>
            </w:r>
          </w:p>
        </w:tc>
        <w:tc>
          <w:tcPr>
            <w:tcW w:w="2410" w:type="dxa"/>
            <w:shd w:val="clear" w:color="auto" w:fill="auto"/>
          </w:tcPr>
          <w:p w14:paraId="0772E97A"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shd w:val="clear" w:color="auto" w:fill="auto"/>
          </w:tcPr>
          <w:p w14:paraId="5E73A91D" w14:textId="77777777" w:rsidR="00D95069" w:rsidRPr="00461C16" w:rsidRDefault="00D95069" w:rsidP="00A53768">
            <w:pPr>
              <w:spacing w:before="40" w:after="40"/>
              <w:jc w:val="left"/>
              <w:rPr>
                <w:rFonts w:cs="Arial"/>
                <w:sz w:val="20"/>
                <w:szCs w:val="20"/>
              </w:rPr>
            </w:pPr>
            <w:r w:rsidRPr="00461C16">
              <w:rPr>
                <w:rFonts w:cs="Arial"/>
                <w:sz w:val="20"/>
                <w:szCs w:val="20"/>
              </w:rPr>
              <w:t xml:space="preserve">§ 26 odst. 2 zákona č. 133/1985 Sb., o požární ochraně ve </w:t>
            </w:r>
            <w:r w:rsidRPr="00461C16">
              <w:rPr>
                <w:rFonts w:cs="Arial"/>
                <w:sz w:val="20"/>
                <w:szCs w:val="20"/>
              </w:rPr>
              <w:lastRenderedPageBreak/>
              <w:t xml:space="preserve">znění pozdějších předpisů </w:t>
            </w:r>
          </w:p>
        </w:tc>
      </w:tr>
      <w:tr w:rsidR="00D95069" w:rsidRPr="00461C16" w14:paraId="337CA47B" w14:textId="77777777" w:rsidTr="00A53768">
        <w:tc>
          <w:tcPr>
            <w:tcW w:w="2093" w:type="dxa"/>
            <w:shd w:val="clear" w:color="auto" w:fill="auto"/>
          </w:tcPr>
          <w:p w14:paraId="211052E9" w14:textId="77777777" w:rsidR="00D95069" w:rsidRPr="00461C16" w:rsidRDefault="00D95069" w:rsidP="00A53768">
            <w:pPr>
              <w:pStyle w:val="Intabulka"/>
              <w:rPr>
                <w:rFonts w:ascii="Arial Narrow" w:hAnsi="Arial Narrow"/>
                <w:lang w:val="cs-CZ"/>
              </w:rPr>
            </w:pPr>
            <w:r w:rsidRPr="00461C16">
              <w:rPr>
                <w:rFonts w:ascii="Arial Narrow" w:hAnsi="Arial Narrow"/>
                <w:lang w:val="cs-CZ"/>
              </w:rPr>
              <w:lastRenderedPageBreak/>
              <w:t>objekt důležitý pro plnění úkolů Policie České republiky</w:t>
            </w:r>
          </w:p>
        </w:tc>
        <w:tc>
          <w:tcPr>
            <w:tcW w:w="2410" w:type="dxa"/>
            <w:shd w:val="clear" w:color="auto" w:fill="auto"/>
          </w:tcPr>
          <w:p w14:paraId="0A498618" w14:textId="77777777" w:rsidR="00D95069" w:rsidRPr="00461C16" w:rsidRDefault="00D95069" w:rsidP="00A53768">
            <w:pPr>
              <w:pStyle w:val="Intabulka"/>
              <w:jc w:val="center"/>
              <w:rPr>
                <w:rFonts w:ascii="Arial Narrow" w:hAnsi="Arial Narrow"/>
                <w:lang w:val="cs-CZ"/>
              </w:rPr>
            </w:pPr>
            <w:r w:rsidRPr="00461C16">
              <w:rPr>
                <w:rFonts w:ascii="Arial Narrow" w:hAnsi="Arial Narrow"/>
                <w:lang w:val="cs-CZ"/>
              </w:rPr>
              <w:t>-</w:t>
            </w:r>
          </w:p>
        </w:tc>
        <w:tc>
          <w:tcPr>
            <w:tcW w:w="4819" w:type="dxa"/>
            <w:shd w:val="clear" w:color="auto" w:fill="auto"/>
          </w:tcPr>
          <w:p w14:paraId="41AA0B34" w14:textId="77777777" w:rsidR="00D95069" w:rsidRPr="00461C16" w:rsidRDefault="00D95069" w:rsidP="00A53768">
            <w:pPr>
              <w:pStyle w:val="Intabulka"/>
              <w:rPr>
                <w:rFonts w:ascii="Arial Narrow" w:hAnsi="Arial Narrow" w:cs="Arial"/>
              </w:rPr>
            </w:pPr>
            <w:r w:rsidRPr="00461C16">
              <w:rPr>
                <w:rFonts w:ascii="Arial Narrow" w:hAnsi="Arial Narrow" w:cs="Arial"/>
              </w:rPr>
              <w:t>Zákon č. 273/2008 Sb. o Policii ČR.</w:t>
            </w:r>
          </w:p>
        </w:tc>
      </w:tr>
    </w:tbl>
    <w:p w14:paraId="4FBECD50" w14:textId="77777777" w:rsidR="004E1C7A" w:rsidRPr="00461C16" w:rsidRDefault="00501553" w:rsidP="00D829F9">
      <w:pPr>
        <w:pStyle w:val="Heading2"/>
        <w:ind w:left="709" w:hanging="709"/>
      </w:pPr>
      <w:bookmarkStart w:id="112" w:name="_Toc36116290"/>
      <w:r w:rsidRPr="00461C16">
        <w:t>6</w:t>
      </w:r>
      <w:r w:rsidR="000B0B91" w:rsidRPr="00461C16">
        <w:t>.4</w:t>
      </w:r>
      <w:r w:rsidR="004E1C7A" w:rsidRPr="00461C16">
        <w:tab/>
        <w:t xml:space="preserve">Urbanistická koncepce, včetně </w:t>
      </w:r>
      <w:r w:rsidR="00C521FE">
        <w:t xml:space="preserve">urbanistické kompozice, </w:t>
      </w:r>
      <w:r w:rsidR="004E1C7A" w:rsidRPr="00461C16">
        <w:t xml:space="preserve">vymezení </w:t>
      </w:r>
      <w:r w:rsidR="00C521FE">
        <w:t xml:space="preserve">ploch s rozdílným způsobem využití, </w:t>
      </w:r>
      <w:r w:rsidR="004E1C7A" w:rsidRPr="00461C16">
        <w:t>zastavitelných ploch, ploch přestavby a systému sídelní zeleně</w:t>
      </w:r>
      <w:bookmarkEnd w:id="98"/>
      <w:bookmarkEnd w:id="112"/>
    </w:p>
    <w:p w14:paraId="65D74C9A" w14:textId="77777777" w:rsidR="004E1C7A" w:rsidRPr="00461C16" w:rsidRDefault="00501553" w:rsidP="007F050A">
      <w:pPr>
        <w:pStyle w:val="Heading3"/>
      </w:pPr>
      <w:bookmarkStart w:id="113" w:name="_Toc384728042"/>
      <w:bookmarkStart w:id="114" w:name="_Toc36116291"/>
      <w:r w:rsidRPr="00461C16">
        <w:t>6</w:t>
      </w:r>
      <w:r w:rsidR="004E1C7A" w:rsidRPr="00461C16">
        <w:t>.4.1</w:t>
      </w:r>
      <w:r w:rsidR="004E1C7A" w:rsidRPr="00461C16">
        <w:tab/>
      </w:r>
      <w:r w:rsidR="0023499F" w:rsidRPr="00461C16">
        <w:t>Urbanistická koncepce</w:t>
      </w:r>
      <w:bookmarkEnd w:id="114"/>
      <w:r w:rsidR="0023499F" w:rsidRPr="00461C16">
        <w:t xml:space="preserve"> </w:t>
      </w:r>
      <w:bookmarkEnd w:id="113"/>
    </w:p>
    <w:p w14:paraId="0FA2A849" w14:textId="77777777" w:rsidR="0025648C" w:rsidRPr="00461C16" w:rsidRDefault="0025648C" w:rsidP="00A5090C">
      <w:pPr>
        <w:pStyle w:val="1text"/>
        <w:spacing w:before="240"/>
        <w:rPr>
          <w:b/>
        </w:rPr>
      </w:pPr>
      <w:r w:rsidRPr="00461C16">
        <w:rPr>
          <w:b/>
        </w:rPr>
        <w:t>I. Historický vývoj</w:t>
      </w:r>
    </w:p>
    <w:p w14:paraId="6E1EA10E" w14:textId="77777777" w:rsidR="00815118" w:rsidRPr="00461C16" w:rsidRDefault="00737E59"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t xml:space="preserve">První doložená písemná zmínka o Hrádku nad Nisou pochází z roku 1288. Vše ale nasvědčuje tomu, že je osídlení podstatně starší. Existuje dosud archeologicky nepodložená hypotéza, že se v místech dnešního tzv. Azylu (ul. Generála Svobody) nacházelo lužickosrbské hradiště Gród. </w:t>
      </w:r>
      <w:r w:rsidR="00891531" w:rsidRPr="00461C16">
        <w:rPr>
          <w:rFonts w:ascii="Arial Narrow" w:hAnsi="Arial Narrow" w:cs="Arial"/>
          <w:color w:val="252525"/>
          <w:sz w:val="22"/>
          <w:szCs w:val="22"/>
        </w:rPr>
        <w:t xml:space="preserve">Ověřeným faktem </w:t>
      </w:r>
      <w:r w:rsidR="00C25B26" w:rsidRPr="00461C16">
        <w:rPr>
          <w:rFonts w:ascii="Arial Narrow" w:hAnsi="Arial Narrow" w:cs="Arial"/>
          <w:color w:val="252525"/>
          <w:sz w:val="22"/>
          <w:szCs w:val="22"/>
        </w:rPr>
        <w:t>zůstává</w:t>
      </w:r>
      <w:r w:rsidR="00891531" w:rsidRPr="00461C16">
        <w:rPr>
          <w:rFonts w:ascii="Arial Narrow" w:hAnsi="Arial Narrow" w:cs="Arial"/>
          <w:color w:val="252525"/>
          <w:sz w:val="22"/>
          <w:szCs w:val="22"/>
        </w:rPr>
        <w:t>, že n</w:t>
      </w:r>
      <w:r w:rsidRPr="00461C16">
        <w:rPr>
          <w:rFonts w:ascii="Arial Narrow" w:hAnsi="Arial Narrow" w:cs="Arial"/>
          <w:color w:val="252525"/>
          <w:sz w:val="22"/>
          <w:szCs w:val="22"/>
        </w:rPr>
        <w:t>a tomto místě byl roku 1391 postaven Jindřichem z Donína hrad</w:t>
      </w:r>
      <w:r w:rsidR="00891531" w:rsidRPr="00461C16">
        <w:rPr>
          <w:rFonts w:ascii="Arial Narrow" w:hAnsi="Arial Narrow" w:cs="Arial"/>
          <w:color w:val="252525"/>
          <w:sz w:val="22"/>
          <w:szCs w:val="22"/>
        </w:rPr>
        <w:t xml:space="preserve">, který sloužil jako druhé sídlo pánů z Donína, jejichž hlavním centrem byl nedaleký hrad Grabštejn. Nejstarší osídlení se tedy rozvíjelo okolo dnešního horního náměstí, kde byly roku 2009 nalezeny základové trámy domů z let 1219 - 1236. </w:t>
      </w:r>
    </w:p>
    <w:p w14:paraId="28157A31" w14:textId="77777777" w:rsidR="00815118" w:rsidRPr="00461C16" w:rsidRDefault="00815118"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t>Vývoj města ve středověku není dobře zdokumentovaný, je doloženo, že h</w:t>
      </w:r>
      <w:r w:rsidR="00891531" w:rsidRPr="00461C16">
        <w:rPr>
          <w:rFonts w:ascii="Arial Narrow" w:hAnsi="Arial Narrow" w:cs="Arial"/>
          <w:color w:val="252525"/>
          <w:sz w:val="22"/>
          <w:szCs w:val="22"/>
        </w:rPr>
        <w:t xml:space="preserve">usité </w:t>
      </w:r>
      <w:r w:rsidRPr="00461C16">
        <w:rPr>
          <w:rFonts w:ascii="Arial Narrow" w:hAnsi="Arial Narrow" w:cs="Arial"/>
          <w:color w:val="252525"/>
          <w:sz w:val="22"/>
          <w:szCs w:val="22"/>
        </w:rPr>
        <w:t xml:space="preserve">vypálili </w:t>
      </w:r>
      <w:r w:rsidR="00891531" w:rsidRPr="00461C16">
        <w:rPr>
          <w:rFonts w:ascii="Arial Narrow" w:hAnsi="Arial Narrow" w:cs="Arial"/>
          <w:color w:val="252525"/>
          <w:sz w:val="22"/>
          <w:szCs w:val="22"/>
        </w:rPr>
        <w:t xml:space="preserve">původní kostel a městečko roku 1424. Na místě farního kostela byl </w:t>
      </w:r>
      <w:r w:rsidR="00C25B26" w:rsidRPr="00461C16">
        <w:rPr>
          <w:rFonts w:ascii="Arial Narrow" w:hAnsi="Arial Narrow" w:cs="Arial"/>
          <w:color w:val="252525"/>
          <w:sz w:val="22"/>
          <w:szCs w:val="22"/>
        </w:rPr>
        <w:t xml:space="preserve">později </w:t>
      </w:r>
      <w:r w:rsidR="00891531" w:rsidRPr="00461C16">
        <w:rPr>
          <w:rFonts w:ascii="Arial Narrow" w:hAnsi="Arial Narrow" w:cs="Arial"/>
          <w:color w:val="252525"/>
          <w:sz w:val="22"/>
          <w:szCs w:val="22"/>
        </w:rPr>
        <w:t>postaven kostel svatého Bartoloměje. Středověký rozvoj města byl limitován platností mí</w:t>
      </w:r>
      <w:r w:rsidRPr="00461C16">
        <w:rPr>
          <w:rFonts w:ascii="Arial Narrow" w:hAnsi="Arial Narrow" w:cs="Arial"/>
          <w:color w:val="252525"/>
          <w:sz w:val="22"/>
          <w:szCs w:val="22"/>
        </w:rPr>
        <w:t>lového práva královského města Ž</w:t>
      </w:r>
      <w:r w:rsidR="00891531" w:rsidRPr="00461C16">
        <w:rPr>
          <w:rFonts w:ascii="Arial Narrow" w:hAnsi="Arial Narrow" w:cs="Arial"/>
          <w:color w:val="252525"/>
          <w:sz w:val="22"/>
          <w:szCs w:val="22"/>
        </w:rPr>
        <w:t xml:space="preserve">itavy, které zakazovalo </w:t>
      </w:r>
      <w:r w:rsidR="00C25B26" w:rsidRPr="00461C16">
        <w:rPr>
          <w:rFonts w:ascii="Arial Narrow" w:hAnsi="Arial Narrow" w:cs="Arial"/>
          <w:color w:val="252525"/>
          <w:sz w:val="22"/>
          <w:szCs w:val="22"/>
        </w:rPr>
        <w:t xml:space="preserve">ve městě provozovat řemeslnou činnost. </w:t>
      </w:r>
    </w:p>
    <w:p w14:paraId="5AFD770D" w14:textId="77777777" w:rsidR="00815118" w:rsidRPr="00461C16" w:rsidRDefault="00C25B26"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t xml:space="preserve">Roku </w:t>
      </w:r>
      <w:r w:rsidR="00E47DB3" w:rsidRPr="00461C16">
        <w:rPr>
          <w:rFonts w:ascii="Arial Narrow" w:hAnsi="Arial Narrow" w:cs="Arial"/>
          <w:color w:val="252525"/>
          <w:sz w:val="22"/>
          <w:szCs w:val="22"/>
        </w:rPr>
        <w:t>1569 založil císařský vi</w:t>
      </w:r>
      <w:r w:rsidRPr="00461C16">
        <w:rPr>
          <w:rFonts w:ascii="Arial Narrow" w:hAnsi="Arial Narrow" w:cs="Arial"/>
          <w:color w:val="252525"/>
          <w:sz w:val="22"/>
          <w:szCs w:val="22"/>
        </w:rPr>
        <w:t xml:space="preserve">cekancléř a rada dr. Jiří Mehl ze Střelnic hospodářský dvůr, který byl barokně přestavěn a v roce 2012 pro havarijní stav zbořen. </w:t>
      </w:r>
    </w:p>
    <w:p w14:paraId="48CD11FA" w14:textId="77777777" w:rsidR="00815118" w:rsidRPr="00461C16" w:rsidRDefault="00E47DB3"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t>Období po roce 1635, po uzavření takzvaného pražského míru, kdy bylo od zemí koruny české odtrženo území Horní a Dolní Lužice, tedy i Žitavy, znamenalo pro Hrádek obrovský hospodářský rozmach. Do té doby bylo město nuceno žít ve stínu královského města Žitavy. Bylo založeno Dolní (také Nové) město jižně od nejstaršího středověkého osídlení. Jádrem se stalo dnešní Dolní náměstí, od kterého se odvíjí přísné ortogonální založení města.</w:t>
      </w:r>
      <w:r w:rsidR="000C7DE1" w:rsidRPr="00461C16">
        <w:rPr>
          <w:rFonts w:ascii="Arial Narrow" w:hAnsi="Arial Narrow" w:cs="Arial"/>
          <w:color w:val="252525"/>
          <w:sz w:val="22"/>
          <w:szCs w:val="22"/>
        </w:rPr>
        <w:t xml:space="preserve"> </w:t>
      </w:r>
    </w:p>
    <w:p w14:paraId="7E377F01" w14:textId="77777777" w:rsidR="00815118" w:rsidRPr="00461C16" w:rsidRDefault="000C7DE1"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t xml:space="preserve">Mezi lety 1654 – 1757 </w:t>
      </w:r>
      <w:r w:rsidR="00F571DF" w:rsidRPr="00461C16">
        <w:rPr>
          <w:rFonts w:ascii="Arial Narrow" w:hAnsi="Arial Narrow" w:cs="Arial"/>
          <w:color w:val="252525"/>
          <w:sz w:val="22"/>
          <w:szCs w:val="22"/>
        </w:rPr>
        <w:t>vzrostl počet domů z počtu</w:t>
      </w:r>
      <w:r w:rsidRPr="00461C16">
        <w:rPr>
          <w:rFonts w:ascii="Arial Narrow" w:hAnsi="Arial Narrow" w:cs="Arial"/>
          <w:color w:val="252525"/>
          <w:sz w:val="22"/>
          <w:szCs w:val="22"/>
        </w:rPr>
        <w:t xml:space="preserve"> 34 na 130, v roce 1843 již uvádí stabilní katastr počet 248 stavení. Většina hodnotných pozdně barokních a klasicistních staveb pochází právě z toho období. </w:t>
      </w:r>
    </w:p>
    <w:p w14:paraId="32104BBD" w14:textId="77777777" w:rsidR="00651A94" w:rsidRPr="00461C16" w:rsidRDefault="00F571DF"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t xml:space="preserve">V 19. století docházelo </w:t>
      </w:r>
      <w:r w:rsidR="00C0277C" w:rsidRPr="00461C16">
        <w:rPr>
          <w:rFonts w:ascii="Arial Narrow" w:hAnsi="Arial Narrow" w:cs="Arial"/>
          <w:color w:val="252525"/>
          <w:sz w:val="22"/>
          <w:szCs w:val="22"/>
        </w:rPr>
        <w:t>k </w:t>
      </w:r>
      <w:r w:rsidRPr="00461C16">
        <w:rPr>
          <w:rFonts w:ascii="Arial Narrow" w:hAnsi="Arial Narrow" w:cs="Arial"/>
          <w:color w:val="252525"/>
          <w:sz w:val="22"/>
          <w:szCs w:val="22"/>
        </w:rPr>
        <w:t>postupnému</w:t>
      </w:r>
      <w:r w:rsidR="00C0277C" w:rsidRPr="00461C16">
        <w:rPr>
          <w:rFonts w:ascii="Arial Narrow" w:hAnsi="Arial Narrow" w:cs="Arial"/>
          <w:color w:val="252525"/>
          <w:sz w:val="22"/>
          <w:szCs w:val="22"/>
        </w:rPr>
        <w:t xml:space="preserve"> </w:t>
      </w:r>
      <w:r w:rsidRPr="00461C16">
        <w:rPr>
          <w:rFonts w:ascii="Arial Narrow" w:hAnsi="Arial Narrow" w:cs="Arial"/>
          <w:color w:val="252525"/>
          <w:sz w:val="22"/>
          <w:szCs w:val="22"/>
        </w:rPr>
        <w:t xml:space="preserve">urbanistickému propojení přilehlých vesnic. V oblasti propojení Donína a Hrádku vznikaly díky blízkosti vodní síly první továrny. K industrializaci lokality přispěla stavba říšské silnice Liberec – Žitava (1846) a především dokončení železniční tratě (1859). Následně byla vybudována řada textilních průmyslových areálů s navazujícími </w:t>
      </w:r>
      <w:r w:rsidR="006F088E" w:rsidRPr="00461C16">
        <w:rPr>
          <w:rFonts w:ascii="Arial Narrow" w:hAnsi="Arial Narrow" w:cs="Arial"/>
          <w:color w:val="252525"/>
          <w:sz w:val="22"/>
          <w:szCs w:val="22"/>
        </w:rPr>
        <w:t xml:space="preserve">provozy, největším vznikl v Loučné, v době největšího rozkvětu přádelna a tkalcovna zaměstnávala 1500 lidí. </w:t>
      </w:r>
    </w:p>
    <w:p w14:paraId="36366D99" w14:textId="77777777" w:rsidR="006F088E" w:rsidRPr="00461C16" w:rsidRDefault="006F088E"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t>S rozmachem v oblasti průmyslu se pojí i rozvoj bytové výstavby</w:t>
      </w:r>
      <w:r w:rsidR="00657C44" w:rsidRPr="00461C16">
        <w:rPr>
          <w:rFonts w:ascii="Arial Narrow" w:hAnsi="Arial Narrow" w:cs="Arial"/>
          <w:color w:val="252525"/>
          <w:sz w:val="22"/>
          <w:szCs w:val="22"/>
        </w:rPr>
        <w:t>, ta se rozvíjela všemi směry od historického jádra. Nejmasivnější vilová zástavba vznikla</w:t>
      </w:r>
      <w:r w:rsidR="00815118" w:rsidRPr="00461C16">
        <w:rPr>
          <w:rFonts w:ascii="Arial Narrow" w:hAnsi="Arial Narrow" w:cs="Arial"/>
          <w:color w:val="252525"/>
          <w:sz w:val="22"/>
          <w:szCs w:val="22"/>
        </w:rPr>
        <w:t xml:space="preserve"> severně a</w:t>
      </w:r>
      <w:r w:rsidR="00657C44" w:rsidRPr="00461C16">
        <w:rPr>
          <w:rFonts w:ascii="Arial Narrow" w:hAnsi="Arial Narrow" w:cs="Arial"/>
          <w:color w:val="252525"/>
          <w:sz w:val="22"/>
          <w:szCs w:val="22"/>
        </w:rPr>
        <w:t xml:space="preserve"> severovýchod</w:t>
      </w:r>
      <w:r w:rsidR="00815118" w:rsidRPr="00461C16">
        <w:rPr>
          <w:rFonts w:ascii="Arial Narrow" w:hAnsi="Arial Narrow" w:cs="Arial"/>
          <w:color w:val="252525"/>
          <w:sz w:val="22"/>
          <w:szCs w:val="22"/>
        </w:rPr>
        <w:t>ně od centra</w:t>
      </w:r>
      <w:r w:rsidR="00657C44" w:rsidRPr="00461C16">
        <w:rPr>
          <w:rFonts w:ascii="Arial Narrow" w:hAnsi="Arial Narrow" w:cs="Arial"/>
          <w:color w:val="252525"/>
          <w:sz w:val="22"/>
          <w:szCs w:val="22"/>
        </w:rPr>
        <w:t xml:space="preserve"> směrem k</w:t>
      </w:r>
      <w:r w:rsidR="00815118" w:rsidRPr="00461C16">
        <w:rPr>
          <w:rFonts w:ascii="Arial Narrow" w:hAnsi="Arial Narrow" w:cs="Arial"/>
          <w:color w:val="252525"/>
          <w:sz w:val="22"/>
          <w:szCs w:val="22"/>
        </w:rPr>
        <w:t> nádraží, dále pak podél ulice Žitavská.</w:t>
      </w:r>
      <w:r w:rsidR="00651A94" w:rsidRPr="00461C16">
        <w:rPr>
          <w:rFonts w:ascii="Arial Narrow" w:hAnsi="Arial Narrow" w:cs="Arial"/>
          <w:color w:val="252525"/>
          <w:sz w:val="22"/>
          <w:szCs w:val="22"/>
        </w:rPr>
        <w:t xml:space="preserve"> Mezi lety 1938 – 1945 se Hrádek na Nisou stal součástí Německé říše, </w:t>
      </w:r>
      <w:r w:rsidR="00C0277C" w:rsidRPr="00461C16">
        <w:rPr>
          <w:rFonts w:ascii="Arial Narrow" w:hAnsi="Arial Narrow" w:cs="Arial"/>
          <w:color w:val="252525"/>
          <w:sz w:val="22"/>
          <w:szCs w:val="22"/>
        </w:rPr>
        <w:t xml:space="preserve">v </w:t>
      </w:r>
      <w:r w:rsidR="00651A94" w:rsidRPr="00461C16">
        <w:rPr>
          <w:rFonts w:ascii="Arial Narrow" w:hAnsi="Arial Narrow" w:cs="Arial"/>
          <w:color w:val="252525"/>
          <w:sz w:val="22"/>
          <w:szCs w:val="22"/>
        </w:rPr>
        <w:t>této době přešla většina zdejších průmyslových výrobních areálů na válečnou nebo zbrojní výrobu.</w:t>
      </w:r>
    </w:p>
    <w:p w14:paraId="61175B8D" w14:textId="77777777" w:rsidR="00651A94" w:rsidRPr="00461C16" w:rsidRDefault="00651A94"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t>Po poválečném odsunu Němců došlo k výraznému úbytku obyvatel, nikdy se pak nepovedl</w:t>
      </w:r>
      <w:r w:rsidR="00C0277C" w:rsidRPr="00461C16">
        <w:rPr>
          <w:rFonts w:ascii="Arial Narrow" w:hAnsi="Arial Narrow" w:cs="Arial"/>
          <w:color w:val="252525"/>
          <w:sz w:val="22"/>
          <w:szCs w:val="22"/>
        </w:rPr>
        <w:t>o dosáhnout jejich předválečného počtu</w:t>
      </w:r>
      <w:r w:rsidRPr="00461C16">
        <w:rPr>
          <w:rFonts w:ascii="Arial Narrow" w:hAnsi="Arial Narrow" w:cs="Arial"/>
          <w:color w:val="252525"/>
          <w:sz w:val="22"/>
          <w:szCs w:val="22"/>
        </w:rPr>
        <w:t>. V 70. a 80. letech byly obnovena některá průmyslová výroba</w:t>
      </w:r>
      <w:r w:rsidR="00D266E8" w:rsidRPr="00461C16">
        <w:rPr>
          <w:rFonts w:ascii="Arial Narrow" w:hAnsi="Arial Narrow" w:cs="Arial"/>
          <w:color w:val="252525"/>
          <w:sz w:val="22"/>
          <w:szCs w:val="22"/>
        </w:rPr>
        <w:t xml:space="preserve">, dominuje gumárenský průmysl. S tímto rozmachem souvisí opět nutnost výstavby nových bytů, prefabrikovaná panelová výstavba vznikla v ulici Žitavská a Liberecká. Vznikly stavby občanské vybavenosti – nákupní střediska v ulici Anglická a Liberecká. </w:t>
      </w:r>
    </w:p>
    <w:p w14:paraId="58200950" w14:textId="77777777" w:rsidR="00D266E8" w:rsidRPr="00461C16" w:rsidRDefault="00D266E8" w:rsidP="005C3486">
      <w:pPr>
        <w:pStyle w:val="NormalWeb"/>
        <w:shd w:val="clear" w:color="auto" w:fill="FFFFFF"/>
        <w:spacing w:before="120" w:beforeAutospacing="0" w:after="120" w:afterAutospacing="0"/>
        <w:jc w:val="both"/>
        <w:rPr>
          <w:rFonts w:ascii="Arial Narrow" w:hAnsi="Arial Narrow" w:cs="Arial"/>
          <w:color w:val="252525"/>
          <w:sz w:val="22"/>
          <w:szCs w:val="22"/>
        </w:rPr>
      </w:pPr>
      <w:r w:rsidRPr="00461C16">
        <w:rPr>
          <w:rFonts w:ascii="Arial Narrow" w:hAnsi="Arial Narrow" w:cs="Arial"/>
          <w:color w:val="252525"/>
          <w:sz w:val="22"/>
          <w:szCs w:val="22"/>
        </w:rPr>
        <w:lastRenderedPageBreak/>
        <w:t xml:space="preserve">Porevoluční vývoj města se nese v duchu rekonstrukcí, revitalizací a investic do infrastruktury. Byl obnoven domovní fond, vystavěn silniční obchvat. Některé významné objekty jako část Azylu a barokní hospodářská usedlost nebyly bohužel zachráněny. </w:t>
      </w:r>
    </w:p>
    <w:p w14:paraId="60121AC7" w14:textId="77777777" w:rsidR="0025648C" w:rsidRPr="00461C16" w:rsidRDefault="0025648C" w:rsidP="00A5090C">
      <w:pPr>
        <w:pStyle w:val="1text"/>
        <w:spacing w:before="240"/>
        <w:rPr>
          <w:b/>
        </w:rPr>
      </w:pPr>
      <w:r w:rsidRPr="00461C16">
        <w:rPr>
          <w:b/>
        </w:rPr>
        <w:t>II. Současný stav</w:t>
      </w:r>
    </w:p>
    <w:p w14:paraId="319A2088" w14:textId="77777777" w:rsidR="00234303" w:rsidRPr="00461C16" w:rsidRDefault="00234303" w:rsidP="00234303">
      <w:pPr>
        <w:pStyle w:val="1text"/>
      </w:pPr>
      <w:r w:rsidRPr="00461C16">
        <w:rPr>
          <w:rStyle w:val="NvrhP-text"/>
        </w:rPr>
        <w:t>Charakter a struktura sídla je výrazně ovlivněn polohou na státní hranici s Německem a Polskem a morfologií Lužických hor. Struktura města je značně r</w:t>
      </w:r>
      <w:r w:rsidR="009A3140" w:rsidRPr="00461C16">
        <w:rPr>
          <w:rStyle w:val="NvrhP-text"/>
        </w:rPr>
        <w:t xml:space="preserve">ozptýlená, </w:t>
      </w:r>
      <w:r w:rsidR="00051F06" w:rsidRPr="00461C16">
        <w:rPr>
          <w:rStyle w:val="NvrhP-text"/>
        </w:rPr>
        <w:t xml:space="preserve">tvořená </w:t>
      </w:r>
      <w:r w:rsidR="009A3140" w:rsidRPr="00461C16">
        <w:rPr>
          <w:rStyle w:val="NvrhP-text"/>
        </w:rPr>
        <w:t>dominantní část</w:t>
      </w:r>
      <w:r w:rsidR="00051F06" w:rsidRPr="00461C16">
        <w:rPr>
          <w:rStyle w:val="NvrhP-text"/>
        </w:rPr>
        <w:t>í</w:t>
      </w:r>
      <w:r w:rsidR="009A3140" w:rsidRPr="00461C16">
        <w:rPr>
          <w:rStyle w:val="NvrhP-text"/>
        </w:rPr>
        <w:t xml:space="preserve"> </w:t>
      </w:r>
      <w:r w:rsidRPr="00461C16">
        <w:rPr>
          <w:rStyle w:val="NvrhP-text"/>
        </w:rPr>
        <w:t>Hrádek nad Nisou</w:t>
      </w:r>
      <w:r w:rsidR="009A3140" w:rsidRPr="00461C16">
        <w:rPr>
          <w:rStyle w:val="NvrhP-text"/>
        </w:rPr>
        <w:t xml:space="preserve"> </w:t>
      </w:r>
      <w:r w:rsidR="00051F06" w:rsidRPr="00461C16">
        <w:rPr>
          <w:rStyle w:val="NvrhP-text"/>
        </w:rPr>
        <w:t xml:space="preserve">a </w:t>
      </w:r>
      <w:r w:rsidRPr="00461C16">
        <w:rPr>
          <w:rStyle w:val="NvrhP-text"/>
        </w:rPr>
        <w:t>8</w:t>
      </w:r>
      <w:r w:rsidR="00051F06" w:rsidRPr="00461C16">
        <w:rPr>
          <w:rStyle w:val="NvrhP-text"/>
        </w:rPr>
        <w:t xml:space="preserve"> menšími částmi</w:t>
      </w:r>
      <w:r w:rsidRPr="00461C16">
        <w:rPr>
          <w:rStyle w:val="NvrhP-text"/>
        </w:rPr>
        <w:t>, z nichž Loučná a Donín jsou prostorově prorostlé s částí Hrádek nad Nisou, ostatní –</w:t>
      </w:r>
      <w:r w:rsidR="00051F06" w:rsidRPr="00461C16">
        <w:rPr>
          <w:rStyle w:val="NvrhP-text"/>
        </w:rPr>
        <w:t xml:space="preserve"> </w:t>
      </w:r>
      <w:r w:rsidRPr="00461C16">
        <w:rPr>
          <w:rStyle w:val="NvrhP-text"/>
        </w:rPr>
        <w:t xml:space="preserve">Oldřichov na Hranicích, Václavice, Uhelná, Dolní Sedlo, Horní Sedlo a Dolní Suchá tvoří samostatná izolovaná sídla v krajině. </w:t>
      </w:r>
      <w:r w:rsidRPr="00461C16">
        <w:t>Nezastavěné území tvoří zejména okrajové části správního území - jižní část (CHKO Lužické hory s rozsáhlými lesními porosty) a dále část severní při hranici s Polskem, s převahou zemědělsky využívaných ploch. V severní části území nelze opomenout prostorově významný lom Václavice, na němž je provozována těžba písku.</w:t>
      </w:r>
    </w:p>
    <w:p w14:paraId="00DECBE4" w14:textId="77777777" w:rsidR="00234303" w:rsidRPr="00461C16" w:rsidRDefault="00234303" w:rsidP="00234303">
      <w:pPr>
        <w:pStyle w:val="1text"/>
      </w:pPr>
      <w:r w:rsidRPr="00461C16">
        <w:t>Celým územím prochází několik významných os, které tvoří základ urbanistické struktury města. Jedná se o tok Lužické Nisy, železniční trať č. 089 Liberec – Zittau a silnici I/35 (městský obchvat), v části Hrádek nad Nisou představují další osy ulice Liberecká, Žitavská a Oldřichovská.</w:t>
      </w:r>
    </w:p>
    <w:p w14:paraId="7E408C11" w14:textId="77777777" w:rsidR="00234303" w:rsidRPr="00461C16" w:rsidRDefault="00234303" w:rsidP="00234303">
      <w:pPr>
        <w:spacing w:before="120" w:after="120"/>
      </w:pPr>
      <w:r w:rsidRPr="00461C16">
        <w:t xml:space="preserve">Silnice I/35 odděluje vnitřní město Hrádek n.N. od samostatných severně položených částí Oldřichov na Hranicích, Václavice a Uhelná, na jižní straně je vnitřní město ohraničeno tokem Lužické Nisy, která odděluje části Loučná, Donín, Dolní Sedlo, Horní Sedlo a Dolní Suchá. Izolované části města jsou na centrum Hrádku n.N. napojeny sítí radiálních komunikací. </w:t>
      </w:r>
    </w:p>
    <w:p w14:paraId="0D4A68C2" w14:textId="77777777" w:rsidR="00234303" w:rsidRPr="00461C16" w:rsidRDefault="00234303" w:rsidP="00234303">
      <w:pPr>
        <w:spacing w:after="120"/>
      </w:pPr>
      <w:r w:rsidRPr="00461C16">
        <w:t xml:space="preserve">Samostatné části města si zachovávají svůj původní venkovský ráz s převažující nízkopodlažní zástavbou. Typický je zároveň ulicový charakter zástavby podél hlavní komunikace. Menší sídla se rozvinula lineárně a je pro ně typická pouze jedna řada zástavby (Oldřichov n.H., Uhelná, Václavice, Horní Sedlo, Loučná), u některých se rozsáhlejší rozvoj odklonil do nově založených kolmých ulic (Donín, Dolní Sedlo, Dolní Suchá). V půdorysu většiny částí města chybí zřetelné centrum v podobě návsi a těžiště zástavby není zřejmé ani z gradace či hustoty zástavby. Centrální prostor tak tvoří vesměs páteřní komunikace, která je osou zástavby. </w:t>
      </w:r>
    </w:p>
    <w:p w14:paraId="7AA18DCD" w14:textId="77777777" w:rsidR="00234303" w:rsidRPr="00461C16" w:rsidRDefault="00234303" w:rsidP="00234303">
      <w:pPr>
        <w:spacing w:after="120"/>
      </w:pPr>
      <w:r w:rsidRPr="00461C16">
        <w:t xml:space="preserve">Ve všech těchto částech převládá rezidenční funkce zástavby, s podílem rekreačního bydlení, některé části jsou doplněny lokální občanskou vybaveností, případně výrobou, soustředěnou do menších výrobních areálů či přidružené k objektům bydlení jako drobná řemeslná činnost. Rozsáhlejší výrobní areály jsou soustředěny zejména do částí Loučná a Donín, které jsou lépe dopravně dostupné a vykazují výhodnější parametry z hlediska napojení na technické sítě. </w:t>
      </w:r>
    </w:p>
    <w:p w14:paraId="22C9DB93" w14:textId="77777777" w:rsidR="00234303" w:rsidRPr="00461C16" w:rsidRDefault="00234303" w:rsidP="00234303">
      <w:pPr>
        <w:spacing w:before="120" w:after="120"/>
        <w:rPr>
          <w:b/>
        </w:rPr>
      </w:pPr>
      <w:r w:rsidRPr="00461C16">
        <w:rPr>
          <w:b/>
        </w:rPr>
        <w:t>Hrádek nad Nisou</w:t>
      </w:r>
    </w:p>
    <w:p w14:paraId="34F951AC" w14:textId="77777777" w:rsidR="00234303" w:rsidRPr="00461C16" w:rsidRDefault="00234303" w:rsidP="00234303">
      <w:pPr>
        <w:spacing w:before="120" w:after="120"/>
      </w:pPr>
      <w:r w:rsidRPr="00461C16">
        <w:t>Vlastní Hrádek nad Nisou je zřetelně poznamenán prudkým rozvojem průmyslové výroby v 2.</w:t>
      </w:r>
      <w:r w:rsidR="00D4213A" w:rsidRPr="00461C16">
        <w:t xml:space="preserve"> </w:t>
      </w:r>
      <w:r w:rsidRPr="00461C16">
        <w:t>polovině 19.</w:t>
      </w:r>
      <w:r w:rsidR="00D4213A" w:rsidRPr="00461C16">
        <w:t> </w:t>
      </w:r>
      <w:r w:rsidRPr="00461C16">
        <w:t>století. To je zřejmé z půdorysu města i z charakteru významné části staveb, zejména výrobních objektů. Dodnes si město uchovává průmyslový ráz, to však nesnižuje jeho historický význam ani rozsah a počet kulturních památek.</w:t>
      </w:r>
    </w:p>
    <w:p w14:paraId="5BBF00F5" w14:textId="77777777" w:rsidR="00234303" w:rsidRPr="00461C16" w:rsidRDefault="00234303" w:rsidP="00234303">
      <w:pPr>
        <w:spacing w:before="120" w:after="120"/>
      </w:pPr>
      <w:r w:rsidRPr="00461C16">
        <w:t xml:space="preserve">Historické centrum města tvoří území okolo Horního náměstí a radiálně navazujících ulic, s kompaktní zástavbou založenou již v období středověku. V současné době má toto území smíšený charakter a soustřeďuje většinu zařízení místní i nadmístní veřejné vybavenosti. Hranici centrálního území města dnes tvoří prstenec navazujících ulic Nádražní –Lidická –Okružní – Jiřího z Poděbrad – Generála Svobody – Liberecká. </w:t>
      </w:r>
    </w:p>
    <w:p w14:paraId="4994B02A" w14:textId="77777777" w:rsidR="00234303" w:rsidRPr="00461C16" w:rsidRDefault="00234303" w:rsidP="00234303">
      <w:pPr>
        <w:spacing w:before="120" w:after="120"/>
      </w:pPr>
      <w:r w:rsidRPr="00461C16">
        <w:t>Další zástavba, která se rozvinula v navazujícím území jižně až k toku Lužické Nisy a východně až k železniční trati ztrácí svoji hustou kompaktní strukturu a postupně se rozvolňuje od bytových domů až do solitérních městských vil či rodinných domů v zahradě. Zvyšuje se podíl bydlení na úkor jiných funkcí, přesto však stále najdeme vysoký počet monofunkčních prostorově náročnějších zařízení pro občanské vybavení či výrobu. Kromě Horního náměstí je za kompozičně významný prvek nutno považovat i městský park mezi ul. Hradební – Gen. Svobody – Kamenná.</w:t>
      </w:r>
    </w:p>
    <w:p w14:paraId="68370A15" w14:textId="77777777" w:rsidR="00234303" w:rsidRPr="00461C16" w:rsidRDefault="00234303" w:rsidP="00234303">
      <w:pPr>
        <w:spacing w:before="120" w:after="120"/>
      </w:pPr>
      <w:r w:rsidRPr="00461C16">
        <w:t xml:space="preserve">Do půdorysu města významně zasáhla výstavba průmyslových závodů v 2.pol. 20.století, zejména pro textilní průmysl. V historické části města se jednalo především o areál v dnešní ul. Václavská, v těsné blízkosti centra ještě o areál v dnešní ul. Legionářská – Tovární (bývalá Kolora). Areály se ve svém původním rozsahu zachovaly dodnes, svoji funkci však již neplní a jsou z velké části bez využití a ve špatném či havarijním stavebním stavu. Přesto jsou nedílnou součástí města, do kterého jsou přirozeně a harmonicky začleněny, a představují </w:t>
      </w:r>
      <w:r w:rsidRPr="00461C16">
        <w:lastRenderedPageBreak/>
        <w:t xml:space="preserve">jedinečnou urbanistickou i architektonickou hodnotu, kterou je nutno nadále chránit. Další průmyslové závody vznikly izolovaně od města, v části Loučná západně při toku Lužické Nisy (zejména bývalá Praga). Původní charakter výroby byl, stejně jako v případě výrobních areálů blíže městskému centru, postupem času nahrazen, některé objekty jsou využity pro bydlení, ostatní na rekonstrukci a nové využití stále čekají. </w:t>
      </w:r>
    </w:p>
    <w:p w14:paraId="228AA4C4" w14:textId="77777777" w:rsidR="00234303" w:rsidRPr="00461C16" w:rsidRDefault="00234303" w:rsidP="00234303">
      <w:pPr>
        <w:spacing w:before="120" w:after="120"/>
      </w:pPr>
      <w:r w:rsidRPr="00461C16">
        <w:t xml:space="preserve">Rozsah některých ploch výroby a jejich lokalizace jsou z urbanistického a dopravního hlediska problematické, protože v současné době je území roztříštěné a špatně prostupné. Nejmarkantnější je nedostatek </w:t>
      </w:r>
      <w:r w:rsidR="00023A6C">
        <w:t xml:space="preserve">dopravních propojení </w:t>
      </w:r>
      <w:r w:rsidRPr="00461C16">
        <w:t>v území západně od ul. Okružní, podél toku Lužické Nisy, ale i na východní straně historického centra, podél železniční trati.</w:t>
      </w:r>
    </w:p>
    <w:p w14:paraId="3BDFC493" w14:textId="77777777" w:rsidR="00234303" w:rsidRPr="00461C16" w:rsidRDefault="00234303" w:rsidP="00234303">
      <w:pPr>
        <w:spacing w:before="120" w:after="120"/>
      </w:pPr>
      <w:r w:rsidRPr="00461C16">
        <w:t>Ve 20.</w:t>
      </w:r>
      <w:r w:rsidR="00023A6C">
        <w:t> </w:t>
      </w:r>
      <w:r w:rsidRPr="00461C16">
        <w:t>století překročila výstavba severní hranici města, dosud tvořenou železniční tratí, a byla založena zástavba podél ulic Oldřichovská a Liberecká, které dnes tvoří významné radiální osy území. Zatímco v zástavbě okolo Liberecké ulice a navazující lokalitě Výšina převažuje bydlení, případně lokální zařízení občanského vybavení podél ul. Liberecká, v ulici Oldřichovské se soustředila areálová lehká výroba, a to zejména po její západní straně až k trati. Jednoznačným důvodem byla dostupnost železniční dopravy a možnost zavlečkování nově vznikajících areálů, později rovněž přeshraniční vazby a dopravní dostupnost silniční.</w:t>
      </w:r>
    </w:p>
    <w:p w14:paraId="12851F49" w14:textId="77777777" w:rsidR="00234303" w:rsidRPr="00461C16" w:rsidRDefault="00234303" w:rsidP="00234303">
      <w:pPr>
        <w:spacing w:before="120" w:after="120"/>
      </w:pPr>
      <w:r w:rsidRPr="00461C16">
        <w:t>V 2.pol. 20.století se Hrádek n.N. nevyhnul socialistické výstavbě panelových sídlišť. Naštěstí se nejednalo o masivní zásah do urbanistické struktury, na druhou stranu se bohužel panelové výstavbě nevyhnulo nejhodnotnější historické centrum. Vysokopodlažní zástavba byla realizována pod ulicí Liberecká, další panelové domy vznikly v centru mezi ulicemi Tichá a Žitavská. Stejně nevhodnou intervenci představuje založení obchodních středisek socialistického typu v těsné blízkosti Horního náměstí (ul. Anglická a Liberecká).</w:t>
      </w:r>
    </w:p>
    <w:p w14:paraId="180DEBDE" w14:textId="77777777" w:rsidR="00234303" w:rsidRPr="00461C16" w:rsidRDefault="00234303" w:rsidP="00234303">
      <w:pPr>
        <w:spacing w:before="120" w:after="120"/>
      </w:pPr>
      <w:r w:rsidRPr="00461C16">
        <w:t>Unikátním územím je rekreační areál Kristýna, založený na místě původního lignitového lomu v izolované poloze severozápadně od Hrádku n.N. Historická těžba byla ukončena v roce 1972, důl byl zatopen podzemní vodou a začal být využíván jako koupaliště. Okolo jeho břehů vzniklo rekreační zázemí v podobě chatového areálu a sportovišť. Kromě svého původu je rekreační území specifické i geografickou polohou přímo na hranici s Německem a zároveň v těsné blízkosti hranice s Polskem, které ho povyšují na zařízení nadmístního – mezinárodního významu.</w:t>
      </w:r>
    </w:p>
    <w:p w14:paraId="691E6DE6" w14:textId="77777777" w:rsidR="00234303" w:rsidRPr="00461C16" w:rsidRDefault="00234303" w:rsidP="00234303">
      <w:pPr>
        <w:pStyle w:val="1text"/>
        <w:spacing w:after="120"/>
        <w:rPr>
          <w:rStyle w:val="NvrhP-text"/>
        </w:rPr>
      </w:pPr>
      <w:r w:rsidRPr="00461C16">
        <w:t>Vnitřní území dosud vykazuje značné prostorové rezervy, zejména v rozsáhlých plochách brownfields, a není žádoucí překročení jeho stávajících hranic v podobě toku Lužické Nisy na jižní straně a silnice I/35 na straně severní.</w:t>
      </w:r>
    </w:p>
    <w:p w14:paraId="4F6B10FB" w14:textId="77777777" w:rsidR="00D4213A" w:rsidRPr="00461C16" w:rsidRDefault="00D4213A" w:rsidP="00D4213A">
      <w:pPr>
        <w:spacing w:before="120" w:after="120"/>
      </w:pPr>
      <w:r w:rsidRPr="00461C16">
        <w:t>Bydlení je zastoupeno ve všech částech města, v historickém centru města zejména v podobě kompaktních či solitérních středněpodlažních bytových domů s průměrnou výškou 3 nadzemních podlaží, vně centra v novější rozptýlené nízkopodlažní zástavbě městských vil a rodinných domů s přilehlou zahradou. Ojediněle má struktura charakter řadové zástavby (Starý Dvůr, zástavba mezi ulicemi Za poštou a Husova). Bytové domy v centru města vesměs kombinují rezidenční funkci s lokální vybaveností v parteru, výjimkou jsou čistě obytné objekty z 2.</w:t>
      </w:r>
      <w:r w:rsidR="00023A6C">
        <w:t> </w:t>
      </w:r>
      <w:r w:rsidRPr="00461C16">
        <w:t xml:space="preserve">poloviny 20.století. Jedinými příklady vysokopodlažního bydlení je panelové sídliště ve východní části města pod ul. Liberecká, kde objekty dosahují 9 nadzemních podlaží. </w:t>
      </w:r>
    </w:p>
    <w:p w14:paraId="597753C2" w14:textId="77777777" w:rsidR="00D4213A" w:rsidRPr="00461C16" w:rsidRDefault="00D4213A" w:rsidP="00D4213A">
      <w:pPr>
        <w:spacing w:before="120" w:after="120"/>
      </w:pPr>
      <w:r w:rsidRPr="00461C16">
        <w:t xml:space="preserve">Vybavenost je soustředěna především v historickém centru města, okolo Dolního náměstí a podél významných dopravních os – okružní ul. Lidická – Nádražní a radiální ul. Žitavská – Oldřichovská – Liberecká – Tovární. Drobnější vybavenost je soustředěna v parteru bytových domů, vybavenost nadmístního významu či s většími prostorovými nároky je lokalizována v samostatných objektech či areálech (zejména školské areály, nákupní centra Albert a Penny market, sportovní areál mezi ul. U Koupaliště a Lidická, sportovní hala v ul. Gen. Svobody nebo hřbitov nad ul. Liberecká). Rozsah i úroveň občanského vybavení odpovídá pozici Hrádku n.N. ve struktuře osídlení (mikroregionální centrum). </w:t>
      </w:r>
    </w:p>
    <w:p w14:paraId="51D52CDE" w14:textId="77777777" w:rsidR="00D4213A" w:rsidRPr="00461C16" w:rsidRDefault="00D4213A" w:rsidP="00D4213A">
      <w:pPr>
        <w:spacing w:before="120" w:after="120"/>
      </w:pPr>
      <w:r w:rsidRPr="00461C16">
        <w:t>Výrobní aktivity jsou soustředěny především podél železniční trati (ul. Větrná – Oldřichovská – Nádražní - Tovární)</w:t>
      </w:r>
      <w:r w:rsidR="00A76D14">
        <w:t>, silnice I/35</w:t>
      </w:r>
      <w:r w:rsidRPr="00461C16">
        <w:t xml:space="preserve"> a podél toku Lužické Nisy (ul. Lidická). Blíže centru města jsou plošně významnější areály lokalizovány v ul. Václavská. Historicky založené průmyslové areály v jižní části města jsou v současné době z velké části podvyužívány a mají charakter brownfield. Naopak severní průmyslová zóna vykazuje velkou dynamiku rozvoje, zejména z důvodu vynikajíci dopravní dostupnosti z nadřazené silnicí sítě (silnice I/35), možnosti využití železniční dopravy a zároveň strategické polohy na hranici s Polskem a Německem. Trendem posledních let je výstavba logistických areálů se značnými prostorovými nároky, jež je toto území kapacitně schopno plně uspokojit.</w:t>
      </w:r>
    </w:p>
    <w:p w14:paraId="7A270FFF" w14:textId="77777777" w:rsidR="00D4213A" w:rsidRPr="00461C16" w:rsidRDefault="00D4213A" w:rsidP="00D4213A">
      <w:pPr>
        <w:spacing w:before="120" w:after="120"/>
      </w:pPr>
      <w:r w:rsidRPr="00461C16">
        <w:lastRenderedPageBreak/>
        <w:t>Rekreace má zejména v samostatných částech obce podobu bydlení v rekreačních objektech (chaty, chalupy). V části Hrádek n.N. je rekreace soustředěna do zahrádkových osad, z nichž nejvýznamnější se nachází na východním okraji zástavby města, pod ul. Liberecká, další zahrádkové osady mají menší rozsah a jsou rozptýleny v okrajových polohách zastavěného území (mezi ul. Lidická – U Koupaliště, nad průmyslovým areálem v ul. Lidická u toku Lužické Nisy).</w:t>
      </w:r>
    </w:p>
    <w:p w14:paraId="479D9130" w14:textId="31303E3C" w:rsidR="00D4213A" w:rsidRPr="00461C16" w:rsidRDefault="00D4213A" w:rsidP="00D4213A">
      <w:pPr>
        <w:spacing w:before="120" w:after="120"/>
      </w:pPr>
      <w:r w:rsidRPr="00461C16">
        <w:t xml:space="preserve">Nejvýznamnější volnočasový areál města se nachází v izolované poloze mimo zastavěné území, na hranici s Německem. Původní lom Kristýna byl zatopen a je využíván jako přírodní koupaliště. Okolo vodní plochy bylo realizováno lanové centrum, jachtklub s půjčovnou lodí a westernové městečko, k dispozici je půjčovna kol. Pro volnočasové aktivity uvnitř města slouží především sportovní areál mezi ulicemi Lidická a </w:t>
      </w:r>
      <w:r w:rsidR="00023A6C">
        <w:t>U</w:t>
      </w:r>
      <w:r w:rsidR="00023A6C" w:rsidRPr="00461C16">
        <w:t xml:space="preserve"> </w:t>
      </w:r>
      <w:r w:rsidR="00023A6C">
        <w:t>K</w:t>
      </w:r>
      <w:r w:rsidR="00023A6C" w:rsidRPr="00461C16">
        <w:t>oupalištěm</w:t>
      </w:r>
      <w:r w:rsidRPr="00461C16">
        <w:t>, zahrnující sportovní centrum, tenisovou halu a kurty, minigolf a koupaliště. V ulici Generála Svobody se nachází sportovní hala, realizaci dalších sportovních aktivit nabízí skatepark v ul. Stará.</w:t>
      </w:r>
      <w:r w:rsidR="00B345B4" w:rsidRPr="00461C16">
        <w:t xml:space="preserve"> </w:t>
      </w:r>
      <w:r w:rsidRPr="00461C16">
        <w:t xml:space="preserve"> </w:t>
      </w:r>
    </w:p>
    <w:p w14:paraId="02D7B97B" w14:textId="77777777" w:rsidR="00D4213A" w:rsidRPr="00461C16" w:rsidRDefault="00D4213A" w:rsidP="00D4213A">
      <w:pPr>
        <w:spacing w:before="120" w:after="120"/>
      </w:pPr>
      <w:r w:rsidRPr="00461C16">
        <w:t>Nejvýznamnějším veřejným prostranstvím je Horní náměstí, které je zároveň nejvýznamnějším prostorem historického centra města, se společenskou funkcí. Je vymezen bloky historických budov se soustředěnou občanskou vybaveností celoměstského významu. Historický charakter náměstí zásadně degraduje socialistický objekt nákupního střediska, bez prostorových vazeb na okolí či adekvátního architektonického výrazu. V jižní části vnitřního města tvoří paralelu Horního náměstí Dolní náměstí. Významná veřejná prostranství představují rovněž uliční prostory s převahou či relevantním podílem pěší dopravy, tj. zejména ulice v historickém centru, ohraničená blokovou či kompaktní zástavbou.</w:t>
      </w:r>
    </w:p>
    <w:p w14:paraId="28F34B66" w14:textId="77777777" w:rsidR="00D4213A" w:rsidRPr="00461C16" w:rsidRDefault="00D4213A" w:rsidP="00D4213A">
      <w:pPr>
        <w:spacing w:before="120" w:after="120"/>
      </w:pPr>
      <w:r w:rsidRPr="00461C16">
        <w:t xml:space="preserve">V systému sídelní zeleně je nejcennější plochou městský park pod ul. Hradební, na který navazuje východním směrem pás krajinné zeleně mezi panelovým sídlištěm a výrobním areálem (vazba je přerušena objektem sportovní haly). Z urbanistického hlediska jsou jako nedílná součást historického centra významné plochy zeleně okolo kostela sv. Bartoloměje a Chrámu pokoje. Dalšími významnými plochami veřejně přístupné zeleně je území mezi ul. Kamenná – 1.máje – Krátká a dále Dolní náměstí. Tyto prvky mají nezastupitelný kompoziční význam a měly by být zachovány jako plochy veřejné zeleně. </w:t>
      </w:r>
    </w:p>
    <w:p w14:paraId="18A045E0" w14:textId="77777777" w:rsidR="00D4213A" w:rsidRPr="00461C16" w:rsidRDefault="00D4213A" w:rsidP="00D4213A">
      <w:pPr>
        <w:spacing w:before="120" w:after="120"/>
      </w:pPr>
      <w:r w:rsidRPr="00461C16">
        <w:t>Mezi plochy vyžadující přestavbu patří velká část výrobních areálů (ul. Lidická, Václavská, Tovární), dále nákupní středisko v Anglické ul. a Liberecké ul. (sídlištní vybavenost).</w:t>
      </w:r>
    </w:p>
    <w:p w14:paraId="57A5673C" w14:textId="77777777" w:rsidR="00D4213A" w:rsidRPr="00461C16" w:rsidRDefault="00D4213A" w:rsidP="00D4213A">
      <w:pPr>
        <w:pStyle w:val="Subtitle"/>
        <w:spacing w:after="120"/>
      </w:pPr>
      <w:r w:rsidRPr="00461C16">
        <w:t>Dolní Sedlo</w:t>
      </w:r>
    </w:p>
    <w:p w14:paraId="7F763FDC" w14:textId="77777777" w:rsidR="00D4213A" w:rsidRPr="00461C16" w:rsidRDefault="00D4213A" w:rsidP="00D4213A">
      <w:pPr>
        <w:spacing w:before="120" w:after="120"/>
      </w:pPr>
      <w:r w:rsidRPr="00461C16">
        <w:t>Část Dolní Sedlo se nachází na radiální komunikaci jižně od centra Hrádku n.N. Tato komunikace (silnice III/2716) je zároveň hlavní osou zástavby. Původní čistě lineární zástavba se postupně rozvinula zejména do vyvýšené polohy svahu západně od silnice podél kolmých komunikací a vychýlila těžiště sídla mimo tuto osu. Několik dalších volně stojících objektů vzniklo i na východní straně silnice III/2716. Zástavba je relativně hustá, avšak nekompaktní, roztroušená podél komunikací bez pravidelné orientace vůči uličnímu prostoru. Tradiční náves, stejně jako u většiny samostatných částí města Hrádek n.Nisou zcela chybí.</w:t>
      </w:r>
    </w:p>
    <w:p w14:paraId="767CDDAB" w14:textId="77777777" w:rsidR="00D4213A" w:rsidRPr="00461C16" w:rsidRDefault="00D4213A" w:rsidP="00D4213A">
      <w:pPr>
        <w:spacing w:before="120" w:after="120"/>
      </w:pPr>
      <w:r w:rsidRPr="00461C16">
        <w:t>Dolní Sedlo má ráz čistě venkovského sídla s bydlením ve venkovských staveních a chalupách, s maximální výškou 2NP a podkroví. Starší zástavba je doplněna novějšími rodinnými domy, které však respektují původní charakter a kontext sídla. S výjimkou přidružené drobné hospodářské činnosti se zde nejsou lokalizovány jiné funkce, s výjimkou požární zbrojnice ve střední části zástavby.</w:t>
      </w:r>
    </w:p>
    <w:p w14:paraId="2F50E7FA" w14:textId="77777777" w:rsidR="00D4213A" w:rsidRPr="00461C16" w:rsidRDefault="00D4213A" w:rsidP="00D4213A">
      <w:pPr>
        <w:pStyle w:val="Subtitle"/>
        <w:spacing w:after="120"/>
      </w:pPr>
      <w:r w:rsidRPr="00461C16">
        <w:t>Horní Sedlo</w:t>
      </w:r>
    </w:p>
    <w:p w14:paraId="4DE0293A" w14:textId="77777777" w:rsidR="00D4213A" w:rsidRPr="00461C16" w:rsidRDefault="00D4213A" w:rsidP="00D4213A">
      <w:pPr>
        <w:spacing w:before="120" w:after="120"/>
      </w:pPr>
      <w:r w:rsidRPr="00461C16">
        <w:t>Část Horní Sedlo se nachází těsně pod Dolním Sedlem, na stejné radiální komunikaci ve směru jižně od centra Hrádku nad Nisou. Stejné jako v případě Dolního Sedla je tato komunikace (silnice III/2716) páteří a urbanistickou osou roztroušené zástavby sídla. Hustota zástavby je výrazně determinována prudce svažitým terénem. Od silnice III/2716 se západně odklání sekundární osa, která je obklopena zástavbou se zcela jiným charakterem. Objekty jsou podél této komunikace orientovány podélně a víceméně respektují jednotný odstup od uličního prostoru, čímž posilují urbanistickou hodnotu tohoto území. Velká část z těchto staveb je navíc hodnotná i z hlediska architektonického a historického.</w:t>
      </w:r>
    </w:p>
    <w:p w14:paraId="2B9A73E2" w14:textId="77777777" w:rsidR="00D4213A" w:rsidRPr="00461C16" w:rsidRDefault="00D4213A" w:rsidP="00D4213A">
      <w:pPr>
        <w:spacing w:before="120" w:after="120"/>
      </w:pPr>
      <w:r w:rsidRPr="00461C16">
        <w:t>Sídlo nemá znatelné centrum a kromě kapličky na jižním okraji zástavby se jedná o čistě obytné území. Venkovské domy a chalupy zpravidla se sedlovou střechou dosahují maximální výšky 2NP a podkroví. Zajímavostí je dochovaný řopík, který je dokladem existence pohraničního opevnění 30. let 20. století.</w:t>
      </w:r>
    </w:p>
    <w:p w14:paraId="5F5C6876" w14:textId="77777777" w:rsidR="00D4213A" w:rsidRPr="00461C16" w:rsidRDefault="00D4213A" w:rsidP="00D4213A">
      <w:pPr>
        <w:pStyle w:val="Subtitle"/>
        <w:spacing w:after="120"/>
      </w:pPr>
      <w:r w:rsidRPr="00461C16">
        <w:lastRenderedPageBreak/>
        <w:t>Donín</w:t>
      </w:r>
    </w:p>
    <w:p w14:paraId="77205C04" w14:textId="77777777" w:rsidR="00D4213A" w:rsidRPr="00461C16" w:rsidRDefault="00D4213A" w:rsidP="00D4213A">
      <w:pPr>
        <w:spacing w:before="120" w:after="120"/>
      </w:pPr>
      <w:r w:rsidRPr="00461C16">
        <w:t>Zástavba Donína je ze severu ohraničena tokem Lužické Nisy, západně plynule prorůstá do části Loučná, východně do obce Chotyně. Osu zástavby tvoří ulice Donínská, na kterou jsou napojeny další kolmé osy se soustředěnou lineární zástavbou. Nejvýznamnější z nich je ul. Rynoltická, která zajišťuje napojení Donína na další části města – sídla Dolní Sedlo a Horní Sedlo</w:t>
      </w:r>
    </w:p>
    <w:p w14:paraId="2F770DE6" w14:textId="77777777" w:rsidR="00D4213A" w:rsidRPr="00461C16" w:rsidRDefault="00D4213A" w:rsidP="00D4213A">
      <w:pPr>
        <w:spacing w:before="120" w:after="120"/>
      </w:pPr>
      <w:r w:rsidRPr="00461C16">
        <w:t>Donínu chybí náves, nejvýznamnějším veřejným prostranstvím je vlastní ul. Donínská. Za zmínku stojí specifický (rovněž lineární) prostor s veřejnou zelení mezi ulicemi Rynoltická a Souběžná. Pozice tohoto veřejného prostranství v půdorysné struktuře sídla je zdůrazněna hustou zástavbou rodinných domů, jejichž uspořádání jednoznačně vymezuje hranu veřejného prostoru.</w:t>
      </w:r>
    </w:p>
    <w:p w14:paraId="055D018E" w14:textId="77777777" w:rsidR="00D4213A" w:rsidRPr="00461C16" w:rsidRDefault="00D4213A" w:rsidP="00D4213A">
      <w:pPr>
        <w:spacing w:before="120" w:after="120"/>
      </w:pPr>
      <w:r w:rsidRPr="00461C16">
        <w:t>Hustá zástavba rodinných domů je rozčleněna menšími samostatnými areály výroby a občanského vybavení. Výroba je přirozeně z důvodu požadavků na dopravní obsluhu situována výhradně podél ul. Donínská. Plošně nejvýznamnější jsou areály Agro Chomutice, a.s. a areál Hospodářského družstva Nisap, na východním okraji Donína. Donín vykazuje i relativně kvalitní infrastrukturu občanského vybavení – domov pro seniory Senior Park (zařízení nadmístního významu), mateřská škola, základní škola, 2 fotbalová hřiště.</w:t>
      </w:r>
    </w:p>
    <w:p w14:paraId="5C11659F" w14:textId="77777777" w:rsidR="00D4213A" w:rsidRPr="00461C16" w:rsidRDefault="00D4213A" w:rsidP="00D4213A">
      <w:pPr>
        <w:spacing w:before="120" w:after="120"/>
      </w:pPr>
      <w:r w:rsidRPr="00461C16">
        <w:t>Z hlediska objemového uspořádání je respektována výšková hladina 3NP, která ve směru od ul. Donínská ustupuje na 2NP.</w:t>
      </w:r>
    </w:p>
    <w:p w14:paraId="22747814" w14:textId="77777777" w:rsidR="00D4213A" w:rsidRPr="00461C16" w:rsidRDefault="00D4213A" w:rsidP="00D4213A">
      <w:pPr>
        <w:pStyle w:val="Subtitle"/>
        <w:spacing w:after="120"/>
      </w:pPr>
      <w:r w:rsidRPr="00461C16">
        <w:t>Dolní Suchá</w:t>
      </w:r>
    </w:p>
    <w:p w14:paraId="692F5FA5" w14:textId="22D04E34" w:rsidR="00D4213A" w:rsidRPr="00461C16" w:rsidRDefault="00D4213A" w:rsidP="00D4213A">
      <w:pPr>
        <w:spacing w:before="120" w:after="120"/>
      </w:pPr>
      <w:r w:rsidRPr="00461C16">
        <w:t>Dolní Suchá je od vlastního Hrádku oddělena obcí Chotyně, která je do správního území Hrádku nad Nisou vklíněna z jižní strany. Zástavba Dolní Suché je nekompaktní, je roztroušena v mírně zvlněné krajině podél silnic III.třídy a několika místních a účelových komunikací, které sídlem prochází. Hlavní komunikace zároveň sídlo ohraničují – silnice III/2711 ze severu (spolu s tokem Lužické Nisy), silnice III/</w:t>
      </w:r>
      <w:r w:rsidR="00FD3B4D" w:rsidRPr="00461C16">
        <w:t>271</w:t>
      </w:r>
      <w:r w:rsidR="00FD3B4D">
        <w:t>3</w:t>
      </w:r>
      <w:r w:rsidR="00FD3B4D" w:rsidRPr="00461C16">
        <w:t xml:space="preserve"> </w:t>
      </w:r>
      <w:r w:rsidRPr="00461C16">
        <w:t xml:space="preserve">ze západu a jihu. </w:t>
      </w:r>
    </w:p>
    <w:p w14:paraId="5975289D" w14:textId="77777777" w:rsidR="00D4213A" w:rsidRPr="00461C16" w:rsidRDefault="00D4213A" w:rsidP="00D4213A">
      <w:pPr>
        <w:spacing w:before="120" w:after="120"/>
      </w:pPr>
      <w:r w:rsidRPr="00461C16">
        <w:t>Vzhledem k lineárnímu charakteru zástavby a její rozptýlenosti v krajině sídlo nemá tradiční urbanistické uspořádání s návsí, za významové těžiště Dolní Suché lze považovat zástavbu podél silnice III/2711, kde je soustředěno jediné samostatné zařízení občanského vybavení (hospoda Na Suché) a zároveň je zde situována zástavba bytových domů (bývalé dělnické domy z počátku 20. století). Zástavba podél této osy je přimknuta těsně k hranici komunikace zpravidla s podélnou orientací domů.</w:t>
      </w:r>
    </w:p>
    <w:p w14:paraId="7EA3E98C" w14:textId="77777777" w:rsidR="00D4213A" w:rsidRPr="00461C16" w:rsidRDefault="00D4213A" w:rsidP="00D4213A">
      <w:pPr>
        <w:spacing w:before="120" w:after="120"/>
      </w:pPr>
      <w:r w:rsidRPr="00461C16">
        <w:t>V zástavbě jednoznačně dominuje bydlení, s vysokým podílem bydlení rekreačního ve venkovských chalupách. V Dolní Suché se zachoval značný počet hodnotných objektů, které jsou dokladem lidového stavitelství. Výška zástavby nepřesahuje 2NP a podkroví, ani u bytových domů, výjimkou je zděný obytných objekt v geografickém centru sídla s 3NP (dnes brownfield).</w:t>
      </w:r>
    </w:p>
    <w:p w14:paraId="714389E1" w14:textId="77777777" w:rsidR="00D4213A" w:rsidRPr="00461C16" w:rsidRDefault="00D4213A" w:rsidP="00D4213A">
      <w:pPr>
        <w:pStyle w:val="Subtitle"/>
        <w:spacing w:after="120"/>
      </w:pPr>
      <w:r w:rsidRPr="00461C16">
        <w:t>Loučná</w:t>
      </w:r>
    </w:p>
    <w:p w14:paraId="470D7DD7" w14:textId="77777777" w:rsidR="00D4213A" w:rsidRPr="00461C16" w:rsidRDefault="00D4213A" w:rsidP="00D4213A">
      <w:pPr>
        <w:spacing w:before="120" w:after="120"/>
      </w:pPr>
      <w:r w:rsidRPr="00461C16">
        <w:t xml:space="preserve">Loučná je ze správního hlediska samostatnou částí města, z geografického a urbanistického hlediska se však již jedná o nedílnou součást Hrádku nad Nisou, s jehož zástavbou je plynule srostlá, stejně jako s východně navazující částí Donín. Osami lineární zástavby jsou ulice Lipová a ulice Hartavská s paralelní osou – tok Lužické Nisy. Centrální ul. Hartavská je významově posílena vzrostlou alejí, která vytváří v území jedinečnou kompoziční linii. Na zástavbu podél těchto os navazuje zástavba v kolmých ulicích (U Koruny, Prostřední, Truhlářská, K Bytovkám, Spojovací, Jižní). Těžiště zástavby se </w:t>
      </w:r>
      <w:r w:rsidR="00023A6C">
        <w:t xml:space="preserve">nachází </w:t>
      </w:r>
      <w:r w:rsidRPr="00461C16">
        <w:t xml:space="preserve">u areálu základní a mateřské školy a bývalé prodejny smíšeného zboží (křížovatka ul. Hartavská a ul. Na Hrázi). </w:t>
      </w:r>
    </w:p>
    <w:p w14:paraId="6BA179BE" w14:textId="77777777" w:rsidR="00D4213A" w:rsidRPr="00461C16" w:rsidRDefault="00D4213A" w:rsidP="00D4213A">
      <w:pPr>
        <w:spacing w:before="120" w:after="120"/>
      </w:pPr>
      <w:r w:rsidRPr="00461C16">
        <w:t>Loučná je po Hrádku n.N. druhou částí s nejvýraznějším podílem výrobních ploch. Lze konstatovat, že území severně od Lužické Nisy bylo historicky využito pro průmysl, zatímco jižně bylo soustředěno bydlení a občanská vybavenost. Dnes, vzhledem k ekonomickému vývoji a postupné transformaci bývalých průmyslových areálů dochází k mísení funkcí. Zatímco v západním průmyslovém areálu nad ul. Lidická (lokalita Zatáčka) se výroba udržela, v průmyslovém areálu v ul. Lidická v severní části Loučné (bývalá Praga) došlo k rekonstrukci části výrobních objektů a jejich využití pro bydlení (bytové domy).</w:t>
      </w:r>
    </w:p>
    <w:p w14:paraId="2CC869A8" w14:textId="77777777" w:rsidR="00D4213A" w:rsidRPr="00461C16" w:rsidRDefault="00D4213A" w:rsidP="00D4213A">
      <w:pPr>
        <w:spacing w:before="120" w:after="120"/>
      </w:pPr>
      <w:r w:rsidRPr="00461C16">
        <w:t xml:space="preserve">Zástavba pod tokem Lužické Nisy si udržela venkovský ráz, v původních venkovských domech s hospodářským zázemím. Drobná obytná zástavba je doplněna objektem základní a mateřské školy a stravovacím zařízení (restaurace Koruna) a prodejnou potravin. Všechna tato zařízení jsou soustředěna podél ul. Hartavská. Jedinou </w:t>
      </w:r>
      <w:r w:rsidRPr="00461C16">
        <w:lastRenderedPageBreak/>
        <w:t>samostatnou plochou výroby v jižní části Loučné je areál společnosti Kortan, s.r.o., v současnosti však již nevyužívaný (brownfield).</w:t>
      </w:r>
      <w:r w:rsidR="00B345B4" w:rsidRPr="00461C16">
        <w:t xml:space="preserve"> </w:t>
      </w:r>
    </w:p>
    <w:p w14:paraId="1F8A20C8" w14:textId="2C54E288" w:rsidR="00D4213A" w:rsidRPr="00461C16" w:rsidRDefault="00D4213A" w:rsidP="00D4213A">
      <w:pPr>
        <w:spacing w:before="120" w:after="120"/>
      </w:pPr>
      <w:r w:rsidRPr="00461C16">
        <w:t xml:space="preserve">Zástavba je relativně hustá a </w:t>
      </w:r>
      <w:r w:rsidR="00023A6C" w:rsidRPr="00461C16">
        <w:t>těsn</w:t>
      </w:r>
      <w:r w:rsidR="00023A6C">
        <w:t>ě</w:t>
      </w:r>
      <w:r w:rsidR="00023A6C" w:rsidRPr="00461C16">
        <w:t xml:space="preserve"> </w:t>
      </w:r>
      <w:r w:rsidRPr="00461C16">
        <w:t>přiléhá k uličnímu prostoru. Obytné objekty dosahují výšky 2NP, tato výšková hladina je překročena u objektů občanského vybavení (ZŠ), výroby (halové a technologické stavby v areálu Kortan, s.r.o.) a u bytových domů v jižní části Loučné (3NP).</w:t>
      </w:r>
    </w:p>
    <w:p w14:paraId="11186ED4" w14:textId="77777777" w:rsidR="00D4213A" w:rsidRPr="00461C16" w:rsidRDefault="00D4213A" w:rsidP="00D4213A">
      <w:pPr>
        <w:pStyle w:val="Subtitle"/>
        <w:spacing w:after="120"/>
      </w:pPr>
      <w:r w:rsidRPr="00461C16">
        <w:t>Oldřichov na Hranicích</w:t>
      </w:r>
    </w:p>
    <w:p w14:paraId="71606A25" w14:textId="77777777" w:rsidR="00D4213A" w:rsidRPr="00461C16" w:rsidRDefault="00D4213A" w:rsidP="00D4213A">
      <w:pPr>
        <w:spacing w:before="120" w:after="120"/>
      </w:pPr>
      <w:r w:rsidRPr="00461C16">
        <w:t>Oldřichov na Hranicích je specifický svoji polohou přímo na státní hranici, která probíhá středem sídla. Paralelní osu tvoří v jižní části sídla Oldřichovský potok. Je založen podél páteřní silnice, zástavba má tak lineární charakter a teprve v severní části sídla se rozšiřuje do druhé řady s paralelní komunikací. Sídlu chybí náves či jiný centrální prostor a není zřejmá ani objemová gradace zástavby. Historické jádro Oldřichova dnes leží v polské části obce Kopaczów, okolo kostela sv. Jozefa, přirozené těžiště české části sídla je tak v blízkosti pěšího přechodu přes státní hranici. Oldřichov na Hranicích je z české strany dostupný po jediné přístupové komunikaci, zbývající dopravní vazby na okolí zprostředkovávají pěší a cyklistické stezky.</w:t>
      </w:r>
    </w:p>
    <w:p w14:paraId="1AD4F0F3" w14:textId="77777777" w:rsidR="00D4213A" w:rsidRPr="00461C16" w:rsidRDefault="00D4213A" w:rsidP="00D4213A">
      <w:pPr>
        <w:spacing w:before="120" w:after="120"/>
      </w:pPr>
      <w:r w:rsidRPr="00461C16">
        <w:t>Zástavba není kompaktní, spíše roztroušená, ve shlucích. Zpravidla se jedná o venkovská stavení a chalupy, případně statky. Dominantní bydlení venkovského typu s přidruženou drobnou výrobou je doplněno jediným samostatným zařízením občanského vybavení (pohostinství) a menšími areály zemědělské výroby v západní a severní části obce. V západní části Oldřichova se nachází menší travnaté hřiště s přidruženým dětským hřištěm.</w:t>
      </w:r>
    </w:p>
    <w:p w14:paraId="762C5624" w14:textId="77777777" w:rsidR="00D4213A" w:rsidRPr="00461C16" w:rsidRDefault="00D4213A" w:rsidP="00D4213A">
      <w:pPr>
        <w:spacing w:before="120" w:after="120"/>
      </w:pPr>
      <w:r w:rsidRPr="00461C16">
        <w:t>Samostatné objekty z velké části přiléhají těsně k páteřní komunikaci, avšak vzhledem k hustotě zástavby nevzniká souvislá hrana uličního prostoru. Zástavba zpravidla nepřesahuje 2NP.</w:t>
      </w:r>
    </w:p>
    <w:p w14:paraId="1DF1A84E" w14:textId="77777777" w:rsidR="00D4213A" w:rsidRPr="00461C16" w:rsidRDefault="00D4213A" w:rsidP="00D4213A">
      <w:pPr>
        <w:pStyle w:val="Subtitle"/>
        <w:spacing w:after="120"/>
      </w:pPr>
      <w:r w:rsidRPr="00461C16">
        <w:t>Václavice</w:t>
      </w:r>
    </w:p>
    <w:p w14:paraId="5AD26A50" w14:textId="77777777" w:rsidR="00D4213A" w:rsidRPr="00461C16" w:rsidRDefault="00D4213A" w:rsidP="00D4213A">
      <w:pPr>
        <w:spacing w:before="120" w:after="120"/>
      </w:pPr>
      <w:r w:rsidRPr="00461C16">
        <w:t>Václavice vznikly podél komunikace spojující Hrádek nad Nisou, Grabštejn a Chrastavu (dnešní silnice III/2712, III/2713 a III/27251) a do současnosti se udržel ryze lineární charakter zástavby, bez znatelného centrálního veřejného prostranství – návsi. Za ústřední prostranství Václavic lze považovat křižovatku silnic směr Chrastava a směr Bílý Kostel nad Nisou ve Václavicích, kde je prostor doplněn veřejnou zelení a obklopen lokálními zařízeními veřejného vybavení, která toto území významově povyšují na centrum sídla. V těsné blízkosti tohoto „centra“ jsou umístěny mateřská škola, dětské hřiště, požární zbrojnice, fotbalové hřiště, hostinec a budova bývalé školy (dnešní sídlo společnosti Hagal s.r.o.).</w:t>
      </w:r>
      <w:r w:rsidR="00B345B4" w:rsidRPr="00461C16">
        <w:t xml:space="preserve"> </w:t>
      </w:r>
      <w:r w:rsidRPr="00461C16">
        <w:t xml:space="preserve">Další zařízení občanského vybavení je situováno strategicky do polohy u druhé křižovatky ve Václavicích ve směru na Uhelnou – hostinec Pod Skalou. </w:t>
      </w:r>
    </w:p>
    <w:p w14:paraId="55455ED2" w14:textId="77777777" w:rsidR="00D4213A" w:rsidRPr="00461C16" w:rsidRDefault="00D4213A" w:rsidP="00D4213A">
      <w:pPr>
        <w:spacing w:before="120" w:after="120"/>
      </w:pPr>
      <w:r w:rsidRPr="00461C16">
        <w:t xml:space="preserve">Z hlediska výrobních aktivit převažuje zemědělská činnosti. Plošně nejrozsáhlejší je areál BRagro s.r.o., zaměřený na chov skotu, situovaný v blízkosti centra Václavic, v okrajových polohách se nachází menší areály – hipoareál v západní části a jezdecký areál JK Slunečná na východním okraji sídla. Tyto areály však nepředstavují významný zásah do urbanistické struktury a jsou harmonicky integrovány do okolní zástavby Václavic. Do jižní okraje správního území Václavic zasahuje areál společnosti ZAPA beton, jejíž výrobní činnost souvisí s provozem nedalekého lomu Václavice (těžba písku). </w:t>
      </w:r>
    </w:p>
    <w:p w14:paraId="61537D5F" w14:textId="77777777" w:rsidR="00D4213A" w:rsidRPr="00461C16" w:rsidRDefault="00D4213A" w:rsidP="00D4213A">
      <w:pPr>
        <w:spacing w:before="120" w:after="120"/>
      </w:pPr>
      <w:r w:rsidRPr="00461C16">
        <w:t>Ve zbývající zástavbě dominuje bydlení venkovského typu, v původních chalupách a rodinných domech</w:t>
      </w:r>
      <w:r w:rsidR="00B345B4" w:rsidRPr="00461C16">
        <w:t xml:space="preserve"> </w:t>
      </w:r>
      <w:r w:rsidRPr="00461C16">
        <w:t>se sedlovou střechou a výškou do 2NP (v centru sídla do 3NP). Jediný bytový dům se nachází v blízkosti centra sídla, výškou však respektuje okolní hladinu zástavby. Orientace vůči páteřní komunikaci je nepravidelná, objekty jsou podél silnice volně roztroušeny.</w:t>
      </w:r>
    </w:p>
    <w:p w14:paraId="5AFD929B" w14:textId="77777777" w:rsidR="00D4213A" w:rsidRPr="00461C16" w:rsidRDefault="00D4213A" w:rsidP="00D4213A">
      <w:pPr>
        <w:pStyle w:val="Subtitle"/>
        <w:spacing w:after="120"/>
      </w:pPr>
      <w:r w:rsidRPr="00461C16">
        <w:t>Uhelná</w:t>
      </w:r>
    </w:p>
    <w:p w14:paraId="4CEE3021" w14:textId="77777777" w:rsidR="00D4213A" w:rsidRPr="00461C16" w:rsidRDefault="00D4213A" w:rsidP="00D4213A">
      <w:pPr>
        <w:spacing w:before="120" w:after="120"/>
      </w:pPr>
      <w:r w:rsidRPr="00461C16">
        <w:t>Uhelná je menším venkovským sídlem v izolované poloze, dostupným pouze z části Václavice. Ze severu je ohraničena linií státní hranice s Polskem, z jihu rozsáhlou plochou lomu Václavice, na němž stále aktivně probíhá těžba. Od prostoru těžby je Uhelná oddělena rozsáhlou plochou krajinné zeleně., která představuje významnou přírodní hodnotu, cenná je zejména vzrostlá lipová alej, která spojuje zástavbu Uhelné s lomem. Vazby na okolí pak zprostředkovávají stezky pro pěší a cyklisty (směr Oldřichov na Hranicích a Václavice).</w:t>
      </w:r>
    </w:p>
    <w:p w14:paraId="68B94A70" w14:textId="77777777" w:rsidR="00D4213A" w:rsidRPr="00461C16" w:rsidRDefault="00D4213A" w:rsidP="00D4213A">
      <w:pPr>
        <w:spacing w:before="120" w:after="120"/>
      </w:pPr>
      <w:r w:rsidRPr="00461C16">
        <w:t xml:space="preserve">Izolovanost zástavby přispěla k zachování tradičního rázu zástavby s urbanistickými a architektonickými hodnotami původních staveb, byť v uplynulých letech došlo k doplnění sídla novodobými objekty, zejména v okrajových polohách. Lineární charakter zástavby je soustředěn podél páteřní komunikace, která se ve východní části Uhelné mírně rozšiřuje do prostoru návsi. Návsi dominuje několik hrázděných chalup a objekt </w:t>
      </w:r>
      <w:r w:rsidRPr="00461C16">
        <w:lastRenderedPageBreak/>
        <w:t>kaple, které připomínají historický a urbanistický význam</w:t>
      </w:r>
      <w:r w:rsidR="00B345B4" w:rsidRPr="00461C16">
        <w:t xml:space="preserve"> </w:t>
      </w:r>
      <w:r w:rsidRPr="00461C16">
        <w:t>tohoto veřejného prostranství. Náves je doplněna veřejnou zelení a dětským hřištěm.</w:t>
      </w:r>
    </w:p>
    <w:p w14:paraId="27698C79" w14:textId="77777777" w:rsidR="00D4213A" w:rsidRPr="00461C16" w:rsidRDefault="00D4213A" w:rsidP="00D4213A">
      <w:pPr>
        <w:spacing w:before="120" w:after="120"/>
      </w:pPr>
      <w:r w:rsidRPr="00461C16">
        <w:t>V zástavbě Uhelné se nenachází žádné samostatné plochy či zařízení výroby ani občanského vybavení. Bydlení venkovského typu je lokálně doplněno drobnými živnostenskými činnostmi, které jsou však vždy přidruženy k dominantnímu bydlení.</w:t>
      </w:r>
    </w:p>
    <w:p w14:paraId="173EB302" w14:textId="77777777" w:rsidR="00D4213A" w:rsidRPr="00461C16" w:rsidRDefault="00D4213A" w:rsidP="00D4213A">
      <w:pPr>
        <w:spacing w:before="120" w:after="120"/>
      </w:pPr>
      <w:r w:rsidRPr="00461C16">
        <w:t>Z hlediska objemového uspořádání opět převládá tradiční typ venkovských stavení se sedlovou střechou, s maximální výškou do 2NP. Objekty jsou vůči veřejnému prostranství návsi, ulice či silnice zpravidla orientovány podélně.</w:t>
      </w:r>
    </w:p>
    <w:p w14:paraId="5B661E47" w14:textId="77777777" w:rsidR="00BE7FC0" w:rsidRPr="00461C16" w:rsidRDefault="00D4213A" w:rsidP="00D4213A">
      <w:pPr>
        <w:pStyle w:val="1text"/>
        <w:spacing w:after="120"/>
        <w:rPr>
          <w:rFonts w:ascii="Arial" w:hAnsi="Arial" w:cs="Arial"/>
          <w:i/>
          <w:iCs/>
          <w:color w:val="313131"/>
          <w:sz w:val="19"/>
          <w:szCs w:val="19"/>
          <w:shd w:val="clear" w:color="auto" w:fill="F2E7DE"/>
        </w:rPr>
      </w:pPr>
      <w:r w:rsidRPr="00461C16">
        <w:t>Specifickou stavbou je bývalý větrný mlýn, stojící samostatně u silnice mezi Václavicemi a Uhelnou, který však již neplní svoji původní funkci a po rekonstrukci je využíván jako ubytovací objekt. K mlýnu přiléhá nezbytné zázemí v podobě drobnějších staveb.</w:t>
      </w:r>
      <w:r w:rsidR="004D5F41" w:rsidRPr="00461C16">
        <w:rPr>
          <w:rStyle w:val="NvrhP-text"/>
        </w:rPr>
        <w:t xml:space="preserve"> </w:t>
      </w:r>
    </w:p>
    <w:p w14:paraId="77A47FBA" w14:textId="77777777" w:rsidR="0025648C" w:rsidRPr="00461C16" w:rsidRDefault="0025648C" w:rsidP="00A5090C">
      <w:pPr>
        <w:pStyle w:val="1text"/>
        <w:numPr>
          <w:ilvl w:val="0"/>
          <w:numId w:val="5"/>
        </w:numPr>
        <w:spacing w:before="240"/>
        <w:ind w:left="284" w:hanging="284"/>
        <w:rPr>
          <w:b/>
        </w:rPr>
      </w:pPr>
      <w:r w:rsidRPr="00461C16">
        <w:rPr>
          <w:b/>
        </w:rPr>
        <w:t>Návrh řešení a jeho odůvodnění</w:t>
      </w:r>
    </w:p>
    <w:p w14:paraId="7CC4FF06" w14:textId="77777777" w:rsidR="004E1C7A" w:rsidRPr="00461C16" w:rsidRDefault="004E1C7A" w:rsidP="007F050A">
      <w:pPr>
        <w:pStyle w:val="1text"/>
        <w:rPr>
          <w:i/>
          <w:sz w:val="20"/>
          <w:szCs w:val="20"/>
        </w:rPr>
      </w:pPr>
      <w:r w:rsidRPr="00461C16">
        <w:rPr>
          <w:i/>
          <w:sz w:val="20"/>
          <w:szCs w:val="20"/>
        </w:rPr>
        <w:t>(k bod</w:t>
      </w:r>
      <w:r w:rsidR="00AE6EBC" w:rsidRPr="00461C16">
        <w:rPr>
          <w:i/>
          <w:sz w:val="20"/>
          <w:szCs w:val="20"/>
        </w:rPr>
        <w:t>ům</w:t>
      </w:r>
      <w:r w:rsidR="0023499F" w:rsidRPr="00461C16">
        <w:rPr>
          <w:i/>
          <w:sz w:val="20"/>
          <w:szCs w:val="20"/>
        </w:rPr>
        <w:t xml:space="preserve"> </w:t>
      </w:r>
      <w:r w:rsidRPr="00461C16">
        <w:rPr>
          <w:i/>
          <w:sz w:val="20"/>
          <w:szCs w:val="20"/>
        </w:rPr>
        <w:t>C01</w:t>
      </w:r>
      <w:r w:rsidR="00AE6EBC" w:rsidRPr="00461C16">
        <w:rPr>
          <w:i/>
          <w:sz w:val="20"/>
          <w:szCs w:val="20"/>
        </w:rPr>
        <w:t xml:space="preserve"> – C</w:t>
      </w:r>
      <w:r w:rsidR="00FB7C6D" w:rsidRPr="00461C16">
        <w:rPr>
          <w:i/>
          <w:sz w:val="20"/>
          <w:szCs w:val="20"/>
        </w:rPr>
        <w:t>11</w:t>
      </w:r>
      <w:r w:rsidR="00043400" w:rsidRPr="00461C16">
        <w:rPr>
          <w:i/>
          <w:sz w:val="20"/>
          <w:szCs w:val="20"/>
        </w:rPr>
        <w:t xml:space="preserve"> </w:t>
      </w:r>
      <w:r w:rsidR="000811A4" w:rsidRPr="00461C16">
        <w:rPr>
          <w:i/>
          <w:sz w:val="20"/>
          <w:szCs w:val="20"/>
        </w:rPr>
        <w:t>ÚP</w:t>
      </w:r>
      <w:r w:rsidR="005A0AC4" w:rsidRPr="00461C16">
        <w:rPr>
          <w:i/>
          <w:sz w:val="20"/>
          <w:szCs w:val="20"/>
        </w:rPr>
        <w:t>)</w:t>
      </w:r>
      <w:r w:rsidRPr="00461C16">
        <w:rPr>
          <w:i/>
          <w:sz w:val="20"/>
          <w:szCs w:val="20"/>
        </w:rPr>
        <w:t xml:space="preserve"> </w:t>
      </w:r>
    </w:p>
    <w:p w14:paraId="2C787E25" w14:textId="77777777" w:rsidR="00087CCC" w:rsidRPr="00461C16" w:rsidRDefault="00087CCC" w:rsidP="001C22D8">
      <w:pPr>
        <w:pStyle w:val="ListParagraph"/>
        <w:numPr>
          <w:ilvl w:val="0"/>
          <w:numId w:val="15"/>
        </w:numPr>
        <w:tabs>
          <w:tab w:val="num" w:pos="0"/>
        </w:tabs>
        <w:spacing w:before="240" w:after="120" w:line="240" w:lineRule="auto"/>
        <w:ind w:left="709" w:hanging="709"/>
        <w:rPr>
          <w:b/>
        </w:rPr>
      </w:pPr>
      <w:r w:rsidRPr="00461C16">
        <w:rPr>
          <w:b/>
        </w:rPr>
        <w:t>základní principy</w:t>
      </w:r>
    </w:p>
    <w:p w14:paraId="258C19C0" w14:textId="77777777" w:rsidR="00087CCC" w:rsidRPr="00461C16" w:rsidRDefault="00234303" w:rsidP="00234303">
      <w:pPr>
        <w:pStyle w:val="1text"/>
        <w:spacing w:before="240"/>
        <w:rPr>
          <w:rStyle w:val="NvrhP-text"/>
        </w:rPr>
      </w:pPr>
      <w:r w:rsidRPr="00461C16">
        <w:rPr>
          <w:rStyle w:val="NvrhP-text"/>
        </w:rPr>
        <w:t>Návrh urbanistické koncepce vychází z analýzy historického vývoje a současného stavu obce a jeho jednotlivých částí. V</w:t>
      </w:r>
      <w:r w:rsidR="00087CCC" w:rsidRPr="00461C16">
        <w:rPr>
          <w:rStyle w:val="NvrhP-text"/>
        </w:rPr>
        <w:t xml:space="preserve">ychází ze základních zásad koncepce rozvoje města a definuje podmínky pro rozvoj města jako celku a jeho částí. Koncepce je zaměřena zejména na stabilizaci a prostorové a funkční posílení centra a urbanistického těžiště města, kterým je část </w:t>
      </w:r>
      <w:r w:rsidR="00C0277C" w:rsidRPr="00461C16">
        <w:rPr>
          <w:rStyle w:val="NvrhP-text"/>
        </w:rPr>
        <w:t>Hrádek nad Nisou</w:t>
      </w:r>
      <w:r w:rsidR="00087CCC" w:rsidRPr="00461C16">
        <w:rPr>
          <w:rStyle w:val="NvrhP-text"/>
        </w:rPr>
        <w:t xml:space="preserve">. Zároveň je proporcionálně podpořen rozvoj bydlení v ostatních částech města, při zachování jejich původního rázu. </w:t>
      </w:r>
      <w:r w:rsidR="00F8340D" w:rsidRPr="00461C16">
        <w:rPr>
          <w:rStyle w:val="NvrhP-text"/>
        </w:rPr>
        <w:t>V rámci jednotlivých sídel je posilováno vždy jejich jádro, zvýšenou hustotou a výškou zástavby, s postupným rozvolňováním a snižováním hladiny ve směru do volné krajiny.</w:t>
      </w:r>
    </w:p>
    <w:p w14:paraId="0AC49918" w14:textId="77777777" w:rsidR="00D4213A" w:rsidRPr="00461C16" w:rsidRDefault="00D4213A" w:rsidP="00D4213A">
      <w:pPr>
        <w:pStyle w:val="Subtitle"/>
        <w:spacing w:after="120"/>
      </w:pPr>
      <w:r w:rsidRPr="00461C16">
        <w:t>Hrádek nad Nisou</w:t>
      </w:r>
    </w:p>
    <w:p w14:paraId="3331E5FE" w14:textId="77777777" w:rsidR="00EA3D72" w:rsidRPr="00461C16" w:rsidRDefault="00DB20A7" w:rsidP="00FE4277">
      <w:pPr>
        <w:spacing w:before="120" w:after="120"/>
      </w:pPr>
      <w:r w:rsidRPr="00461C16">
        <w:t>Část Hrádek nad Nisou je dále posilováno jako jádro celé městské struktury a zároveň i geografické těžiště území.</w:t>
      </w:r>
      <w:r w:rsidR="00B345B4" w:rsidRPr="00461C16">
        <w:t xml:space="preserve"> </w:t>
      </w:r>
      <w:r w:rsidRPr="00461C16">
        <w:t>Vnitřní historická část je dotvořena v prolukách a s využitím bývalého výrobního areálu Bekon</w:t>
      </w:r>
      <w:r w:rsidR="00FB7C6D" w:rsidRPr="00461C16">
        <w:t>, který je navržen</w:t>
      </w:r>
      <w:r w:rsidR="000063F6" w:rsidRPr="00461C16">
        <w:t xml:space="preserve"> k přestavbě na smíšené centrální území</w:t>
      </w:r>
      <w:r w:rsidRPr="00461C16">
        <w:t>. Do centra města je integrováno celé území až k vnitřnímu městskému okruhu</w:t>
      </w:r>
      <w:r w:rsidR="00FB7C6D" w:rsidRPr="00461C16">
        <w:t xml:space="preserve"> (ul. Okružní), vzhledem k aktivní zóně záplavového území je však jeho využití výhledové a je podmíněno realizací protipovodňových opatření na Lužické Nise. Cílem je zkompaktnění celého vnitřního území města a uzavření do souvislého celku.</w:t>
      </w:r>
      <w:r w:rsidR="008C6173" w:rsidRPr="00461C16">
        <w:t xml:space="preserve"> Jako významná součást vnitřního města jsou chráněny plochy veřejné zeleně parků, které jsou navrženy k doplnění pásem zeleně podél toku Lužické Nisy (územní rezerva), s cílem zatraktivnění nábřeží, jeho začlenění do městské struktury a posílení vazby na část Loučná.</w:t>
      </w:r>
      <w:r w:rsidR="00EA3D72" w:rsidRPr="00461C16">
        <w:t xml:space="preserve"> S funkční skladbou a kompaktní strukturou centra města koresponduje i zvýšená hladina zástavby (4NP), s dominantami věží obou kostelů.</w:t>
      </w:r>
    </w:p>
    <w:p w14:paraId="1C510490" w14:textId="77777777" w:rsidR="00FE4277" w:rsidRPr="00461C16" w:rsidRDefault="001A0122" w:rsidP="00FE4277">
      <w:pPr>
        <w:spacing w:before="120" w:after="120"/>
      </w:pPr>
      <w:r w:rsidRPr="00461C16">
        <w:t xml:space="preserve">Na centrum města navazuje smíšená městská zástavba, stabilizovaná rovněž podél významných urbanistických os území. Koncepce ÚP podporuje </w:t>
      </w:r>
      <w:r w:rsidR="00D66759" w:rsidRPr="00461C16">
        <w:t xml:space="preserve">intenzifikaci a </w:t>
      </w:r>
      <w:r w:rsidRPr="00461C16">
        <w:t>polyfunkčnost těchto ploch za účelem jejich oživení a posílení městotvorného charakteru. Výrobní areály v ul. Legionářská / ul. Tovární jsou navrženy k přestavbě a začlenění do okolního smíšeného městského území, v části, kde ještě částečně funguje výrobní provoz, je integrace výhledová. Cílem je vytvoření dynamického a atraktivního městského celku, bez zásadních rušivých vlivů – velkoprostorová výroba či jiné aktivity s negativními vlivy na okolí by měly být z centra zcela vymístěny.</w:t>
      </w:r>
      <w:r w:rsidR="00F8340D" w:rsidRPr="00461C16">
        <w:t xml:space="preserve"> Ve smíšené městské zástavbě a podél urbanistických os je preferována kompaktnost zástavby, stanovená maximální výšková hladina (zpravidla 3NP) reaguje na prostorové podmínky centra města a vytváří plynulý přechod ve směru do okrajových poloh zástavby s monofunkčními celky.</w:t>
      </w:r>
    </w:p>
    <w:p w14:paraId="6B28C022" w14:textId="77777777" w:rsidR="000B6EA5" w:rsidRPr="00461C16" w:rsidRDefault="000B6EA5" w:rsidP="00FE4277">
      <w:pPr>
        <w:spacing w:before="120" w:after="120"/>
      </w:pPr>
      <w:r w:rsidRPr="00461C16">
        <w:t>Nejvýznamnější podíl v rozvojových plochách představuje bydlení.</w:t>
      </w:r>
      <w:r w:rsidR="00D66759" w:rsidRPr="00461C16">
        <w:t xml:space="preserve"> Klíčový je záměr zastavění celého území mezi ul. Oldřichovská, dráhou, ul. Liberecká a silnicí I/35 (tzv. Severní město). Velikostně se toto rozvojové území přibližuje celému historickému jádru města a představuje naprosto zásadní příležitost pro vytvoření přitažlivé rezidenční lokality, která může přispět ke zlepšení image celého města. Toto rozvojové území mezi dvěma urbanistickými osami, včetně navazujícího obytného území Zlatá Výšina, je koncipováno jako „klidová zóna“ a určeno pro bydlení v rodinných domech, se zvýšeným podílem zeleně, bez výrobní činnosti a pouze s lokální </w:t>
      </w:r>
      <w:r w:rsidR="00D66759" w:rsidRPr="00461C16">
        <w:lastRenderedPageBreak/>
        <w:t>vybaveností.</w:t>
      </w:r>
      <w:r w:rsidR="00F8340D" w:rsidRPr="00461C16">
        <w:t xml:space="preserve"> Téměř všechny navržené plochy bydlení v části Hrádek nad Nisou jsou situovány na okraj zástavby, v návaznosti na stávající obytné celky, a jsou určeny pro rozvolněnou nízkopodlažní zástavbu s maximálně 2NP a podkroví.</w:t>
      </w:r>
    </w:p>
    <w:p w14:paraId="155FBE8F" w14:textId="77777777" w:rsidR="001A0122" w:rsidRPr="00461C16" w:rsidRDefault="001A0122" w:rsidP="00FE4277">
      <w:pPr>
        <w:spacing w:before="120" w:after="120"/>
      </w:pPr>
      <w:r w:rsidRPr="00461C16">
        <w:t xml:space="preserve">Stávající plochy a zařízení občanského vybavení jsou zachovány. Koncepce ÚP rozvíjí zejména vybavení sportovního charakteru, v reakci na současné trendy trávení volného času obyvatel a na jejich požadavky. Pro rozvoj sportu je využit prostor bývalé cihelny a navazující plocha současných zahrádek, která nepředstavuje </w:t>
      </w:r>
      <w:r w:rsidR="00ED02BE" w:rsidRPr="00461C16">
        <w:t>ve v blízkosti centra města vhodný způsob využití.</w:t>
      </w:r>
    </w:p>
    <w:p w14:paraId="151E1E23" w14:textId="77777777" w:rsidR="001A0122" w:rsidRPr="00461C16" w:rsidRDefault="001A0122" w:rsidP="00FE4277">
      <w:pPr>
        <w:spacing w:before="120" w:after="120"/>
      </w:pPr>
      <w:r w:rsidRPr="00461C16">
        <w:t xml:space="preserve">Výroba </w:t>
      </w:r>
      <w:r w:rsidR="00ED02BE" w:rsidRPr="00461C16">
        <w:t>je soustředěna do poloh navazujících na stávající průmyslové plochy. Jedná se především o dostavby a rozšíření Průmyslové zóny Hrádek nad Nisou a výrobního území západně od koridoru dráhy (nad ul. Větrná). Z hlediska plošného rozsahu je zásadní rozvoj průmyslu situovaný podél obchvatu města na silnici I/35, který tvoří páteř republikově významné rozvojové osy ve směru na Polsko a Německo. Tato strategická poloha tak představuje jedinečný potenciál pro rozvoj prostorově i dopravně náročných výrobních či skladovacích zařízení.</w:t>
      </w:r>
    </w:p>
    <w:p w14:paraId="3F76E24E" w14:textId="77777777" w:rsidR="00D66759" w:rsidRPr="00461C16" w:rsidRDefault="00D66759" w:rsidP="00FE4277">
      <w:pPr>
        <w:spacing w:before="120" w:after="120"/>
      </w:pPr>
      <w:r w:rsidRPr="00461C16">
        <w:t>Koncepce ÚP chrání a dále rozvíjí rekreační areál Kristýna, situovaný při státní hranici s Německem. Unikátní charakter</w:t>
      </w:r>
      <w:r w:rsidR="00EA3D72" w:rsidRPr="00461C16">
        <w:t xml:space="preserve"> a atraktivita území jsou základní předpoklady pro další úspěšný rozvoj organizované i individuální rekreace. Pro rekreační využití přírodní formou je potvrzeno celé území podél břehů vodní plochy a podél Lužické Nisy. Zařízení pro hromadnou rekreaci jsou situována do blízkosti stávající chatové osady</w:t>
      </w:r>
      <w:r w:rsidR="00F8340D" w:rsidRPr="00461C16">
        <w:t>, s maximální možnou podlažností 3NP</w:t>
      </w:r>
      <w:r w:rsidR="00EA3D72" w:rsidRPr="00461C16">
        <w:t>.</w:t>
      </w:r>
    </w:p>
    <w:p w14:paraId="4ED4B003" w14:textId="77777777" w:rsidR="001A0122" w:rsidRPr="00461C16" w:rsidRDefault="001A0122" w:rsidP="00FE4277">
      <w:pPr>
        <w:spacing w:before="120" w:after="120"/>
      </w:pPr>
      <w:r w:rsidRPr="00461C16">
        <w:t xml:space="preserve">Rekreace </w:t>
      </w:r>
      <w:r w:rsidR="00EA3D72" w:rsidRPr="00461C16">
        <w:t>v zahrádkových osadách je zachována pouze v okrajových polohách zastavěného území, není však dále rozvíjena.</w:t>
      </w:r>
    </w:p>
    <w:p w14:paraId="50714F96" w14:textId="77777777" w:rsidR="00D4213A" w:rsidRPr="00461C16" w:rsidRDefault="00D4213A" w:rsidP="00D4213A">
      <w:pPr>
        <w:pStyle w:val="Subtitle"/>
        <w:spacing w:after="120"/>
      </w:pPr>
      <w:r w:rsidRPr="00461C16">
        <w:t>Dolní Sedlo</w:t>
      </w:r>
    </w:p>
    <w:p w14:paraId="260707EF" w14:textId="77777777" w:rsidR="00D4213A" w:rsidRPr="00461C16" w:rsidRDefault="005606CB" w:rsidP="00D4213A">
      <w:pPr>
        <w:spacing w:before="120" w:after="120"/>
      </w:pPr>
      <w:r w:rsidRPr="00461C16">
        <w:t>Dolní Sedlo je rozvíjeno jako relativně dynamické rezidenční sídlo</w:t>
      </w:r>
      <w:r w:rsidR="00B055BD" w:rsidRPr="00461C16">
        <w:t xml:space="preserve"> venkovského charakteru</w:t>
      </w:r>
      <w:r w:rsidRPr="00461C16">
        <w:t xml:space="preserve">, osou a páteří zástavby sídla zůstává silnice III/2716. </w:t>
      </w:r>
      <w:r w:rsidR="00D4213A" w:rsidRPr="00461C16">
        <w:t xml:space="preserve">Centrální část Dolního Sedla, kterou se rozumí přiléhající k silnici III/2716 a území západně je potvrzeno jako těžiště zástavby sídla v plochách smíšených obytných venkovských, které předpokládají vyšší podíl obslužných funkcí k bydlení, zejména služeb. Je navrženo doplnění zástavby v prolukách, které doplní stávající fragmenty. </w:t>
      </w:r>
      <w:r w:rsidRPr="00461C16">
        <w:t xml:space="preserve">Součástí tohoto území je i stávající sportoviště, které je chráněno jako plocha pro sport. </w:t>
      </w:r>
      <w:r w:rsidR="00D4213A" w:rsidRPr="00461C16">
        <w:t xml:space="preserve">V centrální části sídla, </w:t>
      </w:r>
      <w:r w:rsidR="001A5C89">
        <w:t xml:space="preserve">zejména </w:t>
      </w:r>
      <w:r w:rsidR="00D4213A" w:rsidRPr="00461C16">
        <w:t xml:space="preserve">v první řadě zástavby podél silnice III/2716 </w:t>
      </w:r>
      <w:r w:rsidR="001A5C89" w:rsidRPr="00461C16">
        <w:t xml:space="preserve">je </w:t>
      </w:r>
      <w:r w:rsidR="001A5C89">
        <w:t>stabilizována</w:t>
      </w:r>
      <w:r w:rsidR="001A5C89" w:rsidRPr="00461C16">
        <w:t xml:space="preserve"> </w:t>
      </w:r>
      <w:r w:rsidR="001A5C89">
        <w:t>zá</w:t>
      </w:r>
      <w:r w:rsidR="001A5C89" w:rsidRPr="00461C16">
        <w:t xml:space="preserve">stavba </w:t>
      </w:r>
      <w:r w:rsidR="001A5C89">
        <w:t>s výškou</w:t>
      </w:r>
      <w:r w:rsidR="001A5C89" w:rsidRPr="00461C16">
        <w:t xml:space="preserve"> 2NP </w:t>
      </w:r>
      <w:r w:rsidR="001A5C89">
        <w:t>a</w:t>
      </w:r>
      <w:r w:rsidR="001A5C89" w:rsidRPr="00461C16">
        <w:t> podkroví</w:t>
      </w:r>
      <w:r w:rsidR="00D4213A" w:rsidRPr="00461C16">
        <w:t>, s cílem zvýraznění této kompoziční osy.</w:t>
      </w:r>
    </w:p>
    <w:p w14:paraId="76C81883" w14:textId="77777777" w:rsidR="00D4213A" w:rsidRPr="00461C16" w:rsidRDefault="00D4213A" w:rsidP="00D4213A">
      <w:pPr>
        <w:spacing w:before="120" w:after="120"/>
      </w:pPr>
      <w:r w:rsidRPr="00461C16">
        <w:t xml:space="preserve">Zástavba v okrajových </w:t>
      </w:r>
      <w:r w:rsidR="005606CB" w:rsidRPr="00461C16">
        <w:t xml:space="preserve">polohách, zpravidla tvořená solitérními objekty, </w:t>
      </w:r>
      <w:r w:rsidRPr="00461C16">
        <w:t xml:space="preserve">je </w:t>
      </w:r>
      <w:r w:rsidR="005606CB" w:rsidRPr="00461C16">
        <w:t xml:space="preserve">potvrzena a </w:t>
      </w:r>
      <w:r w:rsidRPr="00461C16">
        <w:t>stabilizována v plochách čistého bydlení – venkovské bydlení</w:t>
      </w:r>
      <w:r w:rsidR="005606CB" w:rsidRPr="00461C16">
        <w:t xml:space="preserve"> či plochách individuální rekreace</w:t>
      </w:r>
      <w:r w:rsidRPr="00461C16">
        <w:t xml:space="preserve">, se sníženou maximální možnou výškou pouze na </w:t>
      </w:r>
      <w:r w:rsidR="001A5C89">
        <w:t>1</w:t>
      </w:r>
      <w:r w:rsidR="001A5C89" w:rsidRPr="00461C16">
        <w:t>NP</w:t>
      </w:r>
      <w:r w:rsidR="001A5C89">
        <w:t xml:space="preserve"> s podkrovím</w:t>
      </w:r>
      <w:r w:rsidR="005606CB" w:rsidRPr="00461C16">
        <w:t>, u rekreace na 1NP a podkroví</w:t>
      </w:r>
      <w:r w:rsidRPr="00461C16">
        <w:t xml:space="preserve">. </w:t>
      </w:r>
      <w:r w:rsidR="005606CB" w:rsidRPr="00461C16">
        <w:t xml:space="preserve">Není dále rozvíjena, s výjimkou několika proluk, kde má doplnění zástavby racionální opodstatnění. </w:t>
      </w:r>
    </w:p>
    <w:p w14:paraId="75615EBC" w14:textId="77777777" w:rsidR="005606CB" w:rsidRPr="00461C16" w:rsidRDefault="005606CB" w:rsidP="005606CB">
      <w:pPr>
        <w:spacing w:before="120" w:after="120"/>
      </w:pPr>
      <w:r w:rsidRPr="00461C16">
        <w:t>Další rozvoj zástavby zároveň zohledňuje souvislý pás krajinné zeleně a lesů, procházející územím ve směru sever – jih, kde se napojuje na rozsáhlé pozemky lesů v CHKO Lužické hory. Ten je zachován jako významný prostorotvorný a ekologický prvek</w:t>
      </w:r>
      <w:r w:rsidR="00D10088">
        <w:t>.</w:t>
      </w:r>
    </w:p>
    <w:p w14:paraId="337C49F5" w14:textId="77777777" w:rsidR="00D4213A" w:rsidRPr="00461C16" w:rsidRDefault="00D4213A" w:rsidP="00D4213A">
      <w:pPr>
        <w:pStyle w:val="Subtitle"/>
        <w:spacing w:after="120"/>
      </w:pPr>
      <w:r w:rsidRPr="00461C16">
        <w:t>Horní Sedlo</w:t>
      </w:r>
    </w:p>
    <w:p w14:paraId="422E18FD" w14:textId="77777777" w:rsidR="00D4213A" w:rsidRPr="00461C16" w:rsidRDefault="00D4213A" w:rsidP="00D4213A">
      <w:pPr>
        <w:spacing w:before="120" w:after="120"/>
      </w:pPr>
      <w:r w:rsidRPr="00461C16">
        <w:t xml:space="preserve">Horní Sedlo </w:t>
      </w:r>
      <w:r w:rsidR="005606CB" w:rsidRPr="00461C16">
        <w:t>j</w:t>
      </w:r>
      <w:r w:rsidR="00773C01" w:rsidRPr="00461C16">
        <w:t>e stabilizováno jako čistě rezidenční sídlo</w:t>
      </w:r>
      <w:r w:rsidR="00B055BD" w:rsidRPr="00461C16">
        <w:t xml:space="preserve"> venkovského charakteru</w:t>
      </w:r>
      <w:r w:rsidR="00773C01" w:rsidRPr="00461C16">
        <w:t>, bez příměsi dalších funkcí. Trvalé a rekreační bydlení budou nadále utvářet převažující charakter zástavby. Vzhledem poloze v CHKO Lužické hory, velmi specifické morfologii, která výrazně svírá a omezuje zástavbu, a rozsáhlým lesním pozemkům, které na stávající zástavbu bezprostředně navazují, je další rozvoj navržen pouze lokálně a kopíruje silnici III/2716, tedy osu sídla. Navržené rozvojové plochy doplňují proluky a dotváří oboustranné obestavění této komunikace.</w:t>
      </w:r>
    </w:p>
    <w:p w14:paraId="7D818BB5" w14:textId="77777777" w:rsidR="00773C01" w:rsidRPr="00461C16" w:rsidRDefault="00773C01" w:rsidP="00D4213A">
      <w:pPr>
        <w:spacing w:before="120" w:after="120"/>
      </w:pPr>
      <w:r w:rsidRPr="00461C16">
        <w:t xml:space="preserve">Maximální podlažnost je stanovena na 2NP a podkroví </w:t>
      </w:r>
      <w:r w:rsidR="001A5C89">
        <w:t xml:space="preserve">v části zástavby </w:t>
      </w:r>
      <w:r w:rsidRPr="00461C16">
        <w:t xml:space="preserve">podél silnice III/2716, </w:t>
      </w:r>
      <w:r w:rsidR="001A5C89">
        <w:t xml:space="preserve">zástavba navazující a </w:t>
      </w:r>
      <w:r w:rsidRPr="00461C16">
        <w:t xml:space="preserve">v ul. Pod Lesem, která se od této komunikace odklání, je snížena na </w:t>
      </w:r>
      <w:r w:rsidR="001A5C89">
        <w:t>1</w:t>
      </w:r>
      <w:r w:rsidR="001A5C89" w:rsidRPr="00461C16">
        <w:t>NP</w:t>
      </w:r>
      <w:r w:rsidR="001A5C89">
        <w:t xml:space="preserve"> s podkrovím</w:t>
      </w:r>
      <w:r w:rsidR="001A5C89" w:rsidRPr="00461C16">
        <w:t xml:space="preserve"> </w:t>
      </w:r>
      <w:r w:rsidRPr="00461C16">
        <w:t>a tvoří tak plynulý přechod do lesní krajiny.</w:t>
      </w:r>
    </w:p>
    <w:p w14:paraId="6DD98ADF" w14:textId="77777777" w:rsidR="00D4213A" w:rsidRPr="00461C16" w:rsidRDefault="00D4213A" w:rsidP="00D4213A">
      <w:pPr>
        <w:pStyle w:val="Subtitle"/>
        <w:spacing w:after="120"/>
      </w:pPr>
      <w:r w:rsidRPr="00461C16">
        <w:t>Donín</w:t>
      </w:r>
    </w:p>
    <w:p w14:paraId="4DB19169" w14:textId="4F833361" w:rsidR="001668F3" w:rsidRPr="00461C16" w:rsidRDefault="0053529D" w:rsidP="001668F3">
      <w:pPr>
        <w:spacing w:before="120" w:after="120"/>
      </w:pPr>
      <w:r w:rsidRPr="00461C16">
        <w:t xml:space="preserve">Donín je z administrativního hlediska samostatnou částí, ale z prostorového a funkčního hlediska nedílnou součástí vnitřního města, tomu odpovídá i charakter zástavby. Z tohoto důvodu rovněž chybí přirozené centrum. </w:t>
      </w:r>
      <w:r w:rsidRPr="00461C16">
        <w:lastRenderedPageBreak/>
        <w:t xml:space="preserve">Koncepce ÚP se nesnaží o vytvoření nového náměstí či návsi, byť potvrzuje prostor mezi ul. Souběžná a ul. Rynoltická jako významné veřejné prostranství s veřejnou zelení a stanovuje podmínky pro jeho ochranu. Jádrem sídla je nicméně zástavba podél ul. Donínská, která tvoří jeho urbanistickou osu. Tato zástavba je stabilizována a dále rozvíjena jako smíšené městské území. V okrajových polohách je naopak zástavba stabilizována v plochách </w:t>
      </w:r>
      <w:r w:rsidR="00F440F6">
        <w:t xml:space="preserve"> </w:t>
      </w:r>
      <w:r w:rsidRPr="00461C16">
        <w:t xml:space="preserve">„čistého“ </w:t>
      </w:r>
      <w:r w:rsidR="00F440F6">
        <w:t xml:space="preserve">bydlení </w:t>
      </w:r>
      <w:r w:rsidRPr="00461C16">
        <w:t>městského a příměstského.</w:t>
      </w:r>
    </w:p>
    <w:p w14:paraId="3024417C" w14:textId="7756DE03" w:rsidR="0053529D" w:rsidRPr="00461C16" w:rsidRDefault="0053529D" w:rsidP="001668F3">
      <w:pPr>
        <w:spacing w:before="120" w:after="120"/>
      </w:pPr>
      <w:r w:rsidRPr="00461C16">
        <w:t xml:space="preserve">Nezbytným předpokladem pro zlepšení a posílení vazeb mezi částmi Donín a Hrádek nad Nisou je zmírnění bariérového efektu tLužické Nisy. Vodní tok sice představuje významný kompoziční a vysoce atraktivní prvek v zástavbě, riziko záplav a stanovená záplavová území včetně aktivní zóny </w:t>
      </w:r>
      <w:r w:rsidR="00023A6C" w:rsidRPr="00461C16">
        <w:t>znemožňuj</w:t>
      </w:r>
      <w:r w:rsidR="00023A6C">
        <w:t>í</w:t>
      </w:r>
      <w:r w:rsidR="00023A6C" w:rsidRPr="00461C16">
        <w:t xml:space="preserve"> </w:t>
      </w:r>
      <w:r w:rsidRPr="00461C16">
        <w:t>intenzifikaci a zkulturnění nábřeží. V ÚP je tedy navržena realizace protipovodňových opatření – v podstatě v celé délce toku.</w:t>
      </w:r>
    </w:p>
    <w:p w14:paraId="79F111CD" w14:textId="77777777" w:rsidR="0053529D" w:rsidRPr="00461C16" w:rsidRDefault="0053529D" w:rsidP="001668F3">
      <w:pPr>
        <w:spacing w:before="120" w:after="120"/>
      </w:pPr>
      <w:r w:rsidRPr="00461C16">
        <w:t>Jsou stabilizovány všechny areály občanského vybavení, tedy domov pro seniory, základní a mateřská škola, sportovní areál s fotbalovými hřišti, stejně jako areály drobné výroby podél ul. Donínská</w:t>
      </w:r>
      <w:r w:rsidR="004B3F87" w:rsidRPr="00461C16">
        <w:t>, v izolované poloze jižně také areál hřbitova</w:t>
      </w:r>
      <w:r w:rsidRPr="00461C16">
        <w:t xml:space="preserve">. Zemědělské areály na východním okraji Donína jsou v současné době provozovány a tedy v ÚP rovněž zachovány, avšak bez potřeby dalšího plošného rozvoje. Zahrádkové osady na </w:t>
      </w:r>
      <w:r w:rsidR="004B3F87" w:rsidRPr="00461C16">
        <w:t>vnitřní části</w:t>
      </w:r>
      <w:r w:rsidRPr="00461C16">
        <w:t xml:space="preserve"> sídla jsou navrženy k přestavbě na bydlení městské typu</w:t>
      </w:r>
      <w:r w:rsidR="004B3F87" w:rsidRPr="00461C16">
        <w:t>, z důvodu zefektivnění využití území a dosažení kompaktní obytné lokality, v okrajových polohách v kontaktu s volnou krajinou jsou zachovány.</w:t>
      </w:r>
    </w:p>
    <w:p w14:paraId="3044EAEC" w14:textId="77777777" w:rsidR="004B3F87" w:rsidRPr="00461C16" w:rsidRDefault="004B3F87" w:rsidP="004B3F87">
      <w:pPr>
        <w:spacing w:before="120" w:after="120"/>
      </w:pPr>
      <w:r w:rsidRPr="00461C16">
        <w:t>Izolované objekty v krajině jsou zohledněny, ale nejsou dále rozvíjeny.</w:t>
      </w:r>
    </w:p>
    <w:p w14:paraId="5EF5268A" w14:textId="77777777" w:rsidR="004B3F87" w:rsidRPr="00461C16" w:rsidRDefault="004B3F87" w:rsidP="001668F3">
      <w:pPr>
        <w:spacing w:before="120" w:after="120"/>
      </w:pPr>
      <w:r w:rsidRPr="00461C16">
        <w:t>Nejvýznamnější rozvojovou lokalitu v Doníně přestavuje rozsáhlá prostorová proluka mezi ul. Slunečná a ul. Strmá, která je již dlouhodobě sledována k zastavění. Koncepce ÚP potvrzuje tuto myšlenku a navrhuje využít celý prostor proluky až do hloubky stávající zástavby, čímž dojde k vytvoření plynulé jižní hranice zástavby. V pásu podél ul. Donínská návrh navazuje na smíšené městské území, dále jižně se již jedná o čisté bydlení.</w:t>
      </w:r>
    </w:p>
    <w:p w14:paraId="7DD46EEB" w14:textId="77777777" w:rsidR="004B3F87" w:rsidRPr="00461C16" w:rsidRDefault="004B3F87" w:rsidP="001668F3">
      <w:pPr>
        <w:spacing w:before="120" w:after="120"/>
      </w:pPr>
      <w:r w:rsidRPr="00461C16">
        <w:t xml:space="preserve">Podmínky prostorového uspořádání potvrzují význam osy ul. Donínské i příčné ul. Rynoltické, které soustřeďují zástavbu s maximální výškou 3NP. Tomu odpovídá stanovení </w:t>
      </w:r>
      <w:r w:rsidR="00023A6C">
        <w:t xml:space="preserve">výškové </w:t>
      </w:r>
      <w:r w:rsidRPr="00461C16">
        <w:t>hranice 12 / 15m ve výrobních areálech. V plochách čistého bydlení na okrajích zástavby se zástavba rozvolňuje a hladina je snížena na 2NP, případně 2NP s podkrovím, u zahrádkových osad na 1NP s podkrovím.</w:t>
      </w:r>
    </w:p>
    <w:p w14:paraId="59B03810" w14:textId="77777777" w:rsidR="00D4213A" w:rsidRPr="00461C16" w:rsidRDefault="00D4213A" w:rsidP="00D4213A">
      <w:pPr>
        <w:pStyle w:val="Subtitle"/>
        <w:spacing w:after="120"/>
      </w:pPr>
      <w:r w:rsidRPr="00461C16">
        <w:t>Dolní Suchá</w:t>
      </w:r>
    </w:p>
    <w:p w14:paraId="5863A00B" w14:textId="77777777" w:rsidR="00D4213A" w:rsidRPr="00461C16" w:rsidRDefault="00B055BD" w:rsidP="00D4213A">
      <w:pPr>
        <w:spacing w:before="120" w:after="120"/>
      </w:pPr>
      <w:r w:rsidRPr="00461C16">
        <w:t xml:space="preserve">Sídlo Dolní Suchá je stabilizováno a dále rozvíjeno jako venkovské rezidenční sídlo. Vzhledem k poloze v blízkosti toku Lužické Nisy a zároveň CHKO Lužické hory je </w:t>
      </w:r>
      <w:r w:rsidR="0024425C" w:rsidRPr="00461C16">
        <w:t xml:space="preserve">Dolní Suchá </w:t>
      </w:r>
      <w:r w:rsidRPr="00461C16">
        <w:t>velmi atraktivní a rozvoj bydlení je zde tedy přirozeně velmi žádaný.</w:t>
      </w:r>
    </w:p>
    <w:p w14:paraId="00FFA4DC" w14:textId="77777777" w:rsidR="005B6F0F" w:rsidRPr="00461C16" w:rsidRDefault="0024425C" w:rsidP="00D4213A">
      <w:pPr>
        <w:spacing w:before="120" w:after="120"/>
      </w:pPr>
      <w:r w:rsidRPr="00461C16">
        <w:t>Současná zástavba je extrémně fragmentovaná a lze jen obtížně určit, kde je centrum sídla. Koncepce ÚP</w:t>
      </w:r>
      <w:r w:rsidR="00B345B4" w:rsidRPr="00461C16">
        <w:t xml:space="preserve"> </w:t>
      </w:r>
      <w:r w:rsidRPr="00461C16">
        <w:t xml:space="preserve">stanovuje těžiště zástavby v severní části sídla, podél silnice III/2711, kde vymezuje plochy smíšené obytné, s předpokladem vyššího podílu obslužných funkcí, především služeb. </w:t>
      </w:r>
      <w:r w:rsidR="005B6F0F" w:rsidRPr="00461C16">
        <w:t>Ve zbývající části zástavby bude rozvíjeno čisté bydlení. Rozvoj jiných funkcí není navržen. Ve východní části koncepce zachovává stávající soubor bytových domů, zejména z důvodu jeho nezpochybnitelné urbanistické i architektonické hodnoty. Zachován je i areál hřbitova, bez intervencí.</w:t>
      </w:r>
    </w:p>
    <w:p w14:paraId="6A643DBF" w14:textId="5A9007C2" w:rsidR="0024425C" w:rsidRPr="00461C16" w:rsidRDefault="005B6F0F" w:rsidP="00D4213A">
      <w:pPr>
        <w:spacing w:before="120" w:after="120"/>
      </w:pPr>
      <w:r w:rsidRPr="00461C16">
        <w:t xml:space="preserve">Jsou maximálně využity </w:t>
      </w:r>
      <w:r w:rsidR="0024425C" w:rsidRPr="00461C16">
        <w:t>proluky v</w:t>
      </w:r>
      <w:r w:rsidRPr="00461C16">
        <w:t> </w:t>
      </w:r>
      <w:r w:rsidR="0024425C" w:rsidRPr="00461C16">
        <w:t>zástavbě</w:t>
      </w:r>
      <w:r w:rsidRPr="00461C16">
        <w:t xml:space="preserve">, avšak vzhledem k míře rozptýlenosti zástavby </w:t>
      </w:r>
      <w:r w:rsidR="001A5C89">
        <w:t xml:space="preserve">a typickému rozvolněnému charakteru </w:t>
      </w:r>
      <w:r w:rsidR="001A5C89" w:rsidRPr="00461C16">
        <w:t>ne</w:t>
      </w:r>
      <w:r w:rsidR="001A5C89">
        <w:t>ní žádoucí</w:t>
      </w:r>
      <w:r w:rsidR="001A5C89" w:rsidRPr="00461C16">
        <w:t xml:space="preserve"> </w:t>
      </w:r>
      <w:r w:rsidRPr="00461C16">
        <w:t>vytvořit kompaktní sídlo, nýbrž jen jeho části. Přednostně jsou doplněny proluky podél hlavních dopravních os sídla, tedy silnic III/2711 a III/</w:t>
      </w:r>
      <w:r w:rsidR="00FD3B4D" w:rsidRPr="00461C16">
        <w:t>271</w:t>
      </w:r>
      <w:r w:rsidR="00FD3B4D">
        <w:t>3</w:t>
      </w:r>
      <w:r w:rsidRPr="00461C16">
        <w:t>. Sídlo tak získá ucelenou tvář a urbanisticky bude čitelnější a srozumitelnější.</w:t>
      </w:r>
    </w:p>
    <w:p w14:paraId="22A1C093" w14:textId="62868241" w:rsidR="005B6F0F" w:rsidRPr="00461C16" w:rsidRDefault="005B6F0F" w:rsidP="00D4213A">
      <w:pPr>
        <w:spacing w:before="120" w:after="120"/>
      </w:pPr>
      <w:r w:rsidRPr="00461C16">
        <w:t xml:space="preserve">Podél silnice III/2711 (v centru sídla) je stanovena maximální výška </w:t>
      </w:r>
      <w:r w:rsidR="00DE6513">
        <w:t>2</w:t>
      </w:r>
      <w:r w:rsidR="00DE6513" w:rsidRPr="00461C16">
        <w:t>NP</w:t>
      </w:r>
      <w:r w:rsidR="00DE6513">
        <w:t xml:space="preserve"> s podkrovím</w:t>
      </w:r>
      <w:r w:rsidRPr="00461C16">
        <w:t>, potvrzující význam této části Dolní Suché, v navazujícím území se výška snižuje - podél silnice III/</w:t>
      </w:r>
      <w:r w:rsidR="00FD3B4D" w:rsidRPr="00461C16">
        <w:t>271</w:t>
      </w:r>
      <w:r w:rsidR="00FD3B4D">
        <w:t>3</w:t>
      </w:r>
      <w:r w:rsidR="00FD3B4D" w:rsidRPr="00461C16">
        <w:t xml:space="preserve"> </w:t>
      </w:r>
      <w:r w:rsidRPr="00461C16">
        <w:t xml:space="preserve">a dále do volné krajiny až na </w:t>
      </w:r>
      <w:r w:rsidR="00DE6513">
        <w:t>1</w:t>
      </w:r>
      <w:r w:rsidR="00DE6513" w:rsidRPr="00461C16">
        <w:t>NP</w:t>
      </w:r>
      <w:r w:rsidR="00DE6513">
        <w:t xml:space="preserve"> s podkrovím</w:t>
      </w:r>
      <w:r w:rsidRPr="00461C16">
        <w:t>, aby byl zajištěn plynulý přechod do ploch zeleně, lesa a zejména zemědělské půdy.</w:t>
      </w:r>
    </w:p>
    <w:p w14:paraId="326593D5" w14:textId="77777777" w:rsidR="00D4213A" w:rsidRPr="00461C16" w:rsidRDefault="00D4213A" w:rsidP="00D4213A">
      <w:pPr>
        <w:pStyle w:val="Subtitle"/>
        <w:spacing w:after="120"/>
      </w:pPr>
      <w:r w:rsidRPr="00461C16">
        <w:t>Loučná</w:t>
      </w:r>
    </w:p>
    <w:p w14:paraId="7DE51057" w14:textId="77777777" w:rsidR="006A043F" w:rsidRPr="00461C16" w:rsidRDefault="005669CF" w:rsidP="00D4213A">
      <w:pPr>
        <w:spacing w:before="120" w:after="120"/>
      </w:pPr>
      <w:r w:rsidRPr="00461C16">
        <w:t>Vzhledem k prostorovému propojení s částí Hrádek nad Nisou spáduje Loučná přirozeně do centra celého města bez potřeby vzniku samostatného centrálního prostoru. Těžištěm sídla je ulice Hartavská s navazující zástavbou, která se rozvinula do přilehlých ulic kolmých na ul. Hartavská. Tato zástavba je v ÚP stabilizována jako smíšená městská, protože vykazuje nejvýraznější potenciál pro další funkce nad rámec bydlení. K této tendenci přispívá i kompaktnost zástavby, která se zhušťuje ve směru do východně navazujícího Donína.</w:t>
      </w:r>
      <w:r w:rsidR="006A043F" w:rsidRPr="00461C16">
        <w:t xml:space="preserve"> </w:t>
      </w:r>
      <w:r w:rsidRPr="00461C16">
        <w:t xml:space="preserve">Prostorově samostatnou částí Loučné je zástavba okolo ul. Lipová, která </w:t>
      </w:r>
      <w:r w:rsidR="006A043F" w:rsidRPr="00461C16">
        <w:t xml:space="preserve">má více venkovský charakter a je tedy stabilizována jako území </w:t>
      </w:r>
      <w:r w:rsidR="006A043F" w:rsidRPr="00461C16">
        <w:lastRenderedPageBreak/>
        <w:t>venkovského bydlení.</w:t>
      </w:r>
      <w:r w:rsidR="00DF110F" w:rsidRPr="00461C16">
        <w:t xml:space="preserve"> </w:t>
      </w:r>
      <w:r w:rsidR="006A043F" w:rsidRPr="00461C16">
        <w:t>Stávající stavby a plochy občanského vybavení jsou v ÚP potvrzeny a zachovány, stejně jako plocha drobné výroby v ul. Lipová.</w:t>
      </w:r>
    </w:p>
    <w:p w14:paraId="57B0E220" w14:textId="77777777" w:rsidR="00DF110F" w:rsidRPr="00461C16" w:rsidRDefault="00DF110F" w:rsidP="00D4213A">
      <w:pPr>
        <w:spacing w:before="120" w:after="120"/>
      </w:pPr>
      <w:r w:rsidRPr="00461C16">
        <w:t>Ve velkoplošných průmyslových areálech v západní části Loučné dosud probíhá výroba, byť jiného charakteru než v době jejich založení. Koncepce ÚP zohledňuje realizované intervence v těchto územích (přestavby některých objektů uvnitř areálu), ale komplexní přestavby celých ploch nejsou navrženy. V souladu s požadavky vlastníků jsou navrženy dílčí úpravy několika dalších objektů, v areálu u západního břehu Lužické Nisy, ve prospěch občanského vybavení.</w:t>
      </w:r>
      <w:r w:rsidR="00B345B4" w:rsidRPr="00461C16">
        <w:t xml:space="preserve"> </w:t>
      </w:r>
      <w:r w:rsidRPr="00461C16">
        <w:t>V těsné blízkosti bývalé Pragovky je navrženo rozšíření stávající zahrádkové osady, které kompenzuje navržené přestavby zahrádkových osad v jiné části města.</w:t>
      </w:r>
    </w:p>
    <w:p w14:paraId="37DFBDAB" w14:textId="77777777" w:rsidR="00DF110F" w:rsidRPr="00461C16" w:rsidRDefault="00DF110F" w:rsidP="00D4213A">
      <w:pPr>
        <w:spacing w:before="120" w:after="120"/>
      </w:pPr>
      <w:r w:rsidRPr="00461C16">
        <w:t>Izolované objekty v krajině jsou zohledněny, ale nejsou dále rozvíjeny.</w:t>
      </w:r>
    </w:p>
    <w:p w14:paraId="1D7C0D02" w14:textId="77777777" w:rsidR="005669CF" w:rsidRPr="00461C16" w:rsidRDefault="005669CF" w:rsidP="00D4213A">
      <w:pPr>
        <w:spacing w:before="120" w:after="120"/>
      </w:pPr>
      <w:r w:rsidRPr="00461C16">
        <w:t xml:space="preserve">Hustota zástavby neumožňuje využití vnitřních rezerv pro další rozvoj. </w:t>
      </w:r>
      <w:r w:rsidR="00B83449" w:rsidRPr="00461C16">
        <w:t>V zájmu posílení prostorových vazeb na část Hrádek nad Nisou a posílení kompaktnosti zástavby je výhledově navrženo využití prostoru nábřeží Lužické Nisy, je však podmíněno nezbytnou realizací protipovodňových opatření. Další rozvoj</w:t>
      </w:r>
      <w:r w:rsidRPr="00461C16">
        <w:t xml:space="preserve"> </w:t>
      </w:r>
      <w:r w:rsidR="00B83449" w:rsidRPr="00461C16">
        <w:t xml:space="preserve">sídla Loučná </w:t>
      </w:r>
      <w:r w:rsidRPr="00461C16">
        <w:t xml:space="preserve">je soustředěn do okrajových poloh a je určen výhradně pro bydlení. Rozvojová koncepce Loučné předpokládá postupnou přestavbu </w:t>
      </w:r>
      <w:r w:rsidR="006A043F" w:rsidRPr="00461C16">
        <w:t xml:space="preserve">rozsáhlého </w:t>
      </w:r>
      <w:r w:rsidRPr="00461C16">
        <w:t>výrobního areálu Kortan, kde již došlo k ukončení výroby a areál má charakter brownfieldu. Vzhledem k reálnému předpokladu výskytu ekologických zátěží a tedy i nutnosti sanace území je plocha vymezena z větší části jako výhledová (územní rezerva). Nejvýznamnější rozvojové plochy pro bydlení</w:t>
      </w:r>
      <w:r w:rsidR="006A043F" w:rsidRPr="00461C16">
        <w:t xml:space="preserve"> jsou vymezeny do proluk v rozvolněné zástavbě podél ul. Lipová, při respektování charakteru okolního území. </w:t>
      </w:r>
    </w:p>
    <w:p w14:paraId="3B0BCEEF" w14:textId="77777777" w:rsidR="00DF110F" w:rsidRPr="00461C16" w:rsidRDefault="00DF110F" w:rsidP="00D4213A">
      <w:pPr>
        <w:spacing w:before="120" w:after="120"/>
      </w:pPr>
      <w:r w:rsidRPr="00461C16">
        <w:t>Plošně výrazný záměr představuje návrh rekreačního lesoparku v proluce pod ul. Hartavská, který nabídne obyvatelům Loučné možnosti krátkodobé rekreace a zároveň zlepší hydrologické poměry v území, které znemožňují zastavění této části sídla.</w:t>
      </w:r>
    </w:p>
    <w:p w14:paraId="4F0E6C0F" w14:textId="77777777" w:rsidR="006A043F" w:rsidRPr="00461C16" w:rsidRDefault="006A043F" w:rsidP="00D4213A">
      <w:pPr>
        <w:spacing w:before="120" w:after="120"/>
      </w:pPr>
      <w:r w:rsidRPr="00461C16">
        <w:t>Navržená prostorová regulace zohledňuje polohu zástavby vůči centrální části Hrádek. Ke stanovení struktury zástavby, která se ve směru k centru zhušťuje, je doplněno ještě výškové omezení, které rovněž koresponduje se snahou o gradaci výškového uspořádání ve směru do jádra sídla (3NP) a naopak snižování v okrajových polohách na 2NP, výjimečně 1NP.</w:t>
      </w:r>
      <w:r w:rsidR="00DF110F" w:rsidRPr="00461C16">
        <w:t xml:space="preserve"> Specifické výškové podmínky má zástavba výrobních areálů, kde jsou zohledněny stávající prostorově nároč</w:t>
      </w:r>
      <w:r w:rsidR="00B83449" w:rsidRPr="00461C16">
        <w:t>né průmyslové stavby a hranice je stanovena na 20m (Pragovka) a 12m (bývalá textilka).</w:t>
      </w:r>
    </w:p>
    <w:p w14:paraId="77544EFE" w14:textId="77777777" w:rsidR="00D4213A" w:rsidRPr="00461C16" w:rsidRDefault="00D4213A" w:rsidP="00D4213A">
      <w:pPr>
        <w:pStyle w:val="Subtitle"/>
        <w:spacing w:after="120"/>
      </w:pPr>
      <w:r w:rsidRPr="00461C16">
        <w:t>Oldřichov na Hranicích</w:t>
      </w:r>
    </w:p>
    <w:p w14:paraId="7867546A" w14:textId="77777777" w:rsidR="00D4213A" w:rsidRPr="00461C16" w:rsidRDefault="00F04B26" w:rsidP="00D4213A">
      <w:pPr>
        <w:spacing w:before="120" w:after="120"/>
      </w:pPr>
      <w:r w:rsidRPr="00461C16">
        <w:t>Oldřichov na Hranicích je geograficky nejspecifičtější částí města. Nachází se přímo na státní hranici, která prochází po západní hraně zástavby, osou Oldřichovského potoka. Za státní hranicí zástavba Oldřichova na Hra</w:t>
      </w:r>
      <w:r w:rsidR="00B83449" w:rsidRPr="00461C16">
        <w:t>n</w:t>
      </w:r>
      <w:r w:rsidRPr="00461C16">
        <w:t>icích plynule prorůstá do zástavby polského Kopaczowa. Při zohlednění souvislých celků zemědělské půdy a pásem krajinné zeleně (ÚSES) se zákonnou ochranou na východně straně sídla jsou tedy rozvojové možnosti sídla Oldřichov na Hranicích značně omezené.</w:t>
      </w:r>
    </w:p>
    <w:p w14:paraId="2F1E6750" w14:textId="77777777" w:rsidR="00D4213A" w:rsidRPr="00461C16" w:rsidRDefault="00F04B26" w:rsidP="00D4213A">
      <w:pPr>
        <w:spacing w:before="120" w:after="120"/>
      </w:pPr>
      <w:r w:rsidRPr="00461C16">
        <w:t>Sídlo je rozvíjeno jako smíšené venkovské území s dominující obytnou funkcí. Vzhledem k přeshraniční vazbě a volnému pohybu osob však sídlo vykazuje potenciál i pro další funkce, především komerční</w:t>
      </w:r>
      <w:r w:rsidR="00D4213A" w:rsidRPr="00461C16">
        <w:t>.</w:t>
      </w:r>
      <w:r w:rsidRPr="00461C16">
        <w:t xml:space="preserve"> Rozvoj je omezen na proluky a plochy určené k dotvoření plynulé jižní a východní hranice zástavby. Původní zemědělský statek v centrální části sídla je navržen k přestavbě a začlenění do okolní smíšené zástavby.</w:t>
      </w:r>
    </w:p>
    <w:p w14:paraId="3C6E24D4" w14:textId="77777777" w:rsidR="00F04B26" w:rsidRPr="00461C16" w:rsidRDefault="00F04B26" w:rsidP="00D4213A">
      <w:pPr>
        <w:spacing w:before="120" w:after="120"/>
      </w:pPr>
      <w:r w:rsidRPr="00461C16">
        <w:t xml:space="preserve">Koncepce ÚP zachovává současné sportoviště s navazující vodní plochou a prostranstvím s veřejnou zelení, které lze považovat za jádro sídla, protože tradiční náves či náměstí vzhledem ke stávajícímu </w:t>
      </w:r>
      <w:r w:rsidR="00FC17E7" w:rsidRPr="00461C16">
        <w:t xml:space="preserve">jednořadému uličnímu </w:t>
      </w:r>
      <w:r w:rsidRPr="00461C16">
        <w:t xml:space="preserve">uspořádání zástavby nelze vytvořit – tuto roli zčásti přebírá veřejné prostranství na polské straně zástavby. </w:t>
      </w:r>
    </w:p>
    <w:p w14:paraId="6887BEC4" w14:textId="77777777" w:rsidR="00F04B26" w:rsidRPr="00461C16" w:rsidRDefault="00F04B26" w:rsidP="00D4213A">
      <w:pPr>
        <w:spacing w:before="120" w:after="120"/>
      </w:pPr>
      <w:r w:rsidRPr="00461C16">
        <w:t xml:space="preserve">Toto jádro sídla je potvrzeno i stanovením </w:t>
      </w:r>
      <w:r w:rsidR="00FC17E7" w:rsidRPr="00461C16">
        <w:t xml:space="preserve">maximální výšky zástavby – 3NP, v rozsahu celé jižní části zástavby podél silnice III/27110. V dalších částech sídla se pak maximální možná výška zástavby snižuje na 2NP a podkroví, v biokoridoru podél Oldřichovského potoka je snížena na 2NP s ohledem na přírodní a krajinné hodnoty prostředí. </w:t>
      </w:r>
    </w:p>
    <w:p w14:paraId="3AAE58AB" w14:textId="77777777" w:rsidR="006D7400" w:rsidRPr="00461C16" w:rsidRDefault="006D7400" w:rsidP="006D7400">
      <w:pPr>
        <w:spacing w:before="120" w:after="120"/>
      </w:pPr>
      <w:r w:rsidRPr="00461C16">
        <w:t>Koncepce ÚP směřuje k ochraně rázu a identity jednotlivých sídel a k zamezení jejich vzájemného srůstání. V případě Oldřichova na Hranicích je tento cíl obtížně dosažitelný, vzhledem k již potvrzeném</w:t>
      </w:r>
      <w:r w:rsidR="00023A6C">
        <w:t>u</w:t>
      </w:r>
      <w:r w:rsidRPr="00461C16">
        <w:t xml:space="preserve"> záměru na rozvoj průmyslové zóny Hrádek nad Nisou podél silnice I/35, která je navržena až k západní hraně zástavby sídla </w:t>
      </w:r>
      <w:r w:rsidRPr="00461C16">
        <w:lastRenderedPageBreak/>
        <w:t>Oldřichov na Hranicích. Pro hygienickou izolaci obytného prostředí i jeho vizuální ochranu je navržen pás krajinné zeleně, oddělující tradiční zástavbu sídla od velkoprostorových hal průmyslové zóny.</w:t>
      </w:r>
    </w:p>
    <w:p w14:paraId="4D8C6E70" w14:textId="77777777" w:rsidR="00D4213A" w:rsidRPr="00461C16" w:rsidRDefault="00D4213A" w:rsidP="00D4213A">
      <w:pPr>
        <w:pStyle w:val="Subtitle"/>
        <w:spacing w:after="120"/>
      </w:pPr>
      <w:r w:rsidRPr="00461C16">
        <w:t>Václavice</w:t>
      </w:r>
    </w:p>
    <w:p w14:paraId="1F75A21F" w14:textId="77777777" w:rsidR="00CD48C7" w:rsidRPr="00461C16" w:rsidRDefault="00D4213A" w:rsidP="00D4213A">
      <w:pPr>
        <w:spacing w:before="120" w:after="120"/>
      </w:pPr>
      <w:r w:rsidRPr="00461C16">
        <w:t>Vác</w:t>
      </w:r>
      <w:r w:rsidR="00CD48C7" w:rsidRPr="00461C16">
        <w:t>lavice jsou rozvíjeny jako smíšené venkovské sídlo s převahou rezidenční funkce. Hustota a uspořádání zástavby podél páteřní komunikace (silnice III/2713 a III/27251) téměř neumožňuje rozvoj dále od této osy, vzhledem k nemožnosti zajistit dopravní přístup. Rozvoj je tedy orientován z většiny do proluk podél hlavní komunikace a je určen pro doplnění stávající zástavby, při respektování jejího charakteru a funkce.</w:t>
      </w:r>
      <w:r w:rsidR="008A3ACB" w:rsidRPr="00461C16">
        <w:t xml:space="preserve"> Několik izolovaných objektů v krajině okolo hlavní částí zástavby sídla je stabilizováno, avšak bez možnosti dalšího rozvoje.</w:t>
      </w:r>
    </w:p>
    <w:p w14:paraId="7ED93428" w14:textId="76166C81" w:rsidR="00D4213A" w:rsidRPr="00461C16" w:rsidRDefault="00CD48C7" w:rsidP="00D4213A">
      <w:pPr>
        <w:spacing w:before="120" w:after="120"/>
      </w:pPr>
      <w:r w:rsidRPr="00461C16">
        <w:t>Centrem sídla je křížení hlavních komunikací, tedy silnic III/2712, III/2713 a III/27251, kde je vymezeno veřejné prostranství</w:t>
      </w:r>
      <w:r w:rsidR="008A3ACB" w:rsidRPr="00461C16">
        <w:t>, plnící v současné době spíše dopravní či doplňkovou funkci, avšak do budoucna by</w:t>
      </w:r>
      <w:r w:rsidR="00023A6C">
        <w:t xml:space="preserve"> </w:t>
      </w:r>
      <w:r w:rsidR="008A3ACB" w:rsidRPr="00461C16">
        <w:t>mohlo převzít i sociální význam. V této částí sídla jsou umístěna významnější zařízení občanského vybavení, především areál mateřské školy, fotbalové hřiště a hřbitov, a jediný bytový dům ve Václavicích. Koncepce ÚP umožňuje posílení kompaktnosti centra Václavic dostavbami proluk, včetně rozšíření plochy pro sport.</w:t>
      </w:r>
    </w:p>
    <w:p w14:paraId="6DB2EBDF" w14:textId="77777777" w:rsidR="00CD48C7" w:rsidRPr="00461C16" w:rsidRDefault="008A3ACB" w:rsidP="00D4213A">
      <w:pPr>
        <w:spacing w:before="120" w:after="120"/>
      </w:pPr>
      <w:r w:rsidRPr="00461C16">
        <w:t>Významný podíl v půdorysu Václavic tvoří zemědělská výroba, jsou stabilizovány současné areály výroby v centru sídla a na jeho východním okraji (jezdecký areál)</w:t>
      </w:r>
      <w:r w:rsidR="0076488C">
        <w:t>, jižní významnější areál je navržen k rozvoji</w:t>
      </w:r>
      <w:r w:rsidRPr="00461C16">
        <w:t xml:space="preserve">. </w:t>
      </w:r>
    </w:p>
    <w:p w14:paraId="040FC845" w14:textId="77777777" w:rsidR="008A3ACB" w:rsidRPr="00461C16" w:rsidRDefault="008A3ACB" w:rsidP="00D4213A">
      <w:pPr>
        <w:spacing w:before="120" w:after="120"/>
      </w:pPr>
      <w:r w:rsidRPr="00461C16">
        <w:t>Stanovená výšková hladina koresponduje s funkčním významem zástavby. V centru Václavic je stanovena na 3NP a podkroví, v jeho nejbližším okolí 3NP a dále od centra se snižuje na 2NP a podkroví.</w:t>
      </w:r>
      <w:r w:rsidR="0076488C">
        <w:t xml:space="preserve"> Výjimkou jsou výrobní areály, kde je výška stanovena s ohledem na jiný charakter staveb.</w:t>
      </w:r>
    </w:p>
    <w:p w14:paraId="6C82B516" w14:textId="77777777" w:rsidR="00D4213A" w:rsidRPr="00461C16" w:rsidRDefault="00D4213A" w:rsidP="00D4213A">
      <w:pPr>
        <w:pStyle w:val="Subtitle"/>
        <w:spacing w:after="120"/>
      </w:pPr>
      <w:r w:rsidRPr="00461C16">
        <w:t>Uhelná</w:t>
      </w:r>
    </w:p>
    <w:p w14:paraId="6D6A0BC5" w14:textId="77777777" w:rsidR="004D5F41" w:rsidRPr="00461C16" w:rsidRDefault="00FC17E7" w:rsidP="007F050A">
      <w:pPr>
        <w:tabs>
          <w:tab w:val="num" w:pos="0"/>
        </w:tabs>
        <w:spacing w:before="120" w:after="120" w:line="240" w:lineRule="auto"/>
      </w:pPr>
      <w:r w:rsidRPr="00461C16">
        <w:t>Uhelná představuje prostorově izolované sídlo bez významného potenciálu pro další rozvoj</w:t>
      </w:r>
      <w:r w:rsidR="004D5F41" w:rsidRPr="00461C16">
        <w:t>.</w:t>
      </w:r>
      <w:r w:rsidRPr="00461C16">
        <w:t xml:space="preserve"> Poloha na státní hranici s Polskem, dopravní přístup po jediné slepě ukončené komunikaci a rozsáhlé plochy těžby jižně od Uhelné představují významné omezující faktory pro expanzi zástavby. </w:t>
      </w:r>
    </w:p>
    <w:p w14:paraId="18526B4C" w14:textId="77777777" w:rsidR="00FC17E7" w:rsidRPr="00461C16" w:rsidRDefault="00FC17E7" w:rsidP="007F050A">
      <w:pPr>
        <w:tabs>
          <w:tab w:val="num" w:pos="0"/>
        </w:tabs>
        <w:spacing w:before="120" w:after="120" w:line="240" w:lineRule="auto"/>
      </w:pPr>
      <w:r w:rsidRPr="00461C16">
        <w:t xml:space="preserve">Sídlo je stabilizováno jako čistě obytné, s podílem rekreační funkce. Jádrem sídla je prostorná náves, která z urbanistického hlediska tvoří významný prvek a jedinečnou hodnotu území. </w:t>
      </w:r>
      <w:r w:rsidR="009E16FB" w:rsidRPr="00461C16">
        <w:t xml:space="preserve">Součástí návsi je i jediná sakrální stavba sídla, výklenková kaple. </w:t>
      </w:r>
      <w:r w:rsidRPr="00461C16">
        <w:t xml:space="preserve">Tato náves, včetně přilehlé architektonicky cenné zástavby tradičních statků a roubených chalup </w:t>
      </w:r>
      <w:r w:rsidR="009E16FB" w:rsidRPr="00461C16">
        <w:t xml:space="preserve">by měla </w:t>
      </w:r>
      <w:r w:rsidRPr="00461C16">
        <w:t>být zachována. Pro další bydlení je navržena jediná plocha, která směřuje ke scelení zástavby a izolovaného jižně situovaného objektu.</w:t>
      </w:r>
    </w:p>
    <w:p w14:paraId="2CEAF749" w14:textId="77777777" w:rsidR="00CD48C7" w:rsidRPr="00461C16" w:rsidRDefault="00CD48C7" w:rsidP="007F050A">
      <w:pPr>
        <w:tabs>
          <w:tab w:val="num" w:pos="0"/>
        </w:tabs>
        <w:spacing w:before="120" w:after="120" w:line="240" w:lineRule="auto"/>
      </w:pPr>
      <w:r w:rsidRPr="00461C16">
        <w:t>Specifickou stavbou je Scholzeho mlýn, zcela mimo zástavbu sídla ve volné krajině, který tvoří dominantu v dálkových pohledech, zejména z důvodu rovinatého terénu a rozsáhlých zemědělských ploch bez vzrostlé zeleně v okolí stavby. Jedná se o rekreační objekt, který je koncepcí ÚP pro tuto funkci potvrzen.</w:t>
      </w:r>
    </w:p>
    <w:p w14:paraId="4D1D7998" w14:textId="77777777" w:rsidR="009E16FB" w:rsidRPr="00461C16" w:rsidRDefault="009E16FB" w:rsidP="007F050A">
      <w:pPr>
        <w:tabs>
          <w:tab w:val="num" w:pos="0"/>
        </w:tabs>
        <w:spacing w:before="120" w:after="120" w:line="240" w:lineRule="auto"/>
      </w:pPr>
      <w:r w:rsidRPr="00461C16">
        <w:t>Maximální výška zástavby je okolo návsi stanovena na 3NP, v navazujícím území jižně od návsi pak 2NP s podkrovím.</w:t>
      </w:r>
    </w:p>
    <w:p w14:paraId="7ECEA065" w14:textId="77777777" w:rsidR="009E16FB" w:rsidRPr="00461C16" w:rsidRDefault="009E16FB" w:rsidP="007F050A">
      <w:pPr>
        <w:tabs>
          <w:tab w:val="num" w:pos="0"/>
        </w:tabs>
        <w:spacing w:before="120" w:after="120" w:line="240" w:lineRule="auto"/>
      </w:pPr>
      <w:r w:rsidRPr="00461C16">
        <w:t>Plocha probíhající těžby je potvrzena a stabilizována, bez návrhů dalšího rozšiřování. Předpokládá se, že po ukončení těžby bude postupně docházet k rekultivaci území a postupnému navracení do krajinného prostředí, tím i ke zvyšování jeho atraktivity, které může vést ke zvýšenému zájmu zejména o rekreační bydlení.</w:t>
      </w:r>
    </w:p>
    <w:p w14:paraId="57EC3D46" w14:textId="77777777" w:rsidR="00087CCC" w:rsidRPr="00461C16" w:rsidRDefault="00087CCC" w:rsidP="00753F4E">
      <w:pPr>
        <w:pStyle w:val="4podnadpis"/>
        <w:rPr>
          <w:rStyle w:val="NvrhP-text"/>
          <w:i w:val="0"/>
          <w:sz w:val="22"/>
        </w:rPr>
      </w:pPr>
      <w:r w:rsidRPr="00461C16">
        <w:rPr>
          <w:rStyle w:val="NvrhP-text"/>
          <w:i w:val="0"/>
          <w:sz w:val="22"/>
        </w:rPr>
        <w:t>b)</w:t>
      </w:r>
      <w:r w:rsidRPr="00461C16">
        <w:rPr>
          <w:rStyle w:val="NvrhP-text"/>
          <w:i w:val="0"/>
          <w:sz w:val="22"/>
        </w:rPr>
        <w:tab/>
        <w:t>vstupy pro řešení</w:t>
      </w:r>
    </w:p>
    <w:p w14:paraId="1CF78691" w14:textId="77777777" w:rsidR="00087CCC" w:rsidRPr="00461C16" w:rsidRDefault="00087CCC" w:rsidP="00087CCC">
      <w:pPr>
        <w:pStyle w:val="1text"/>
        <w:spacing w:before="240"/>
        <w:rPr>
          <w:rStyle w:val="NvrhP-text"/>
        </w:rPr>
      </w:pPr>
      <w:r w:rsidRPr="00461C16">
        <w:rPr>
          <w:rStyle w:val="NvrhP-text"/>
        </w:rPr>
        <w:t>Urbanistická koncepce definovaná územním plánem je založena na analýze území města a zohledňuje dále:</w:t>
      </w:r>
    </w:p>
    <w:p w14:paraId="5EF21DE0" w14:textId="77777777" w:rsidR="00087CCC" w:rsidRPr="00461C16" w:rsidRDefault="00087CCC" w:rsidP="00F16BB8">
      <w:pPr>
        <w:pStyle w:val="5odrazka"/>
        <w:rPr>
          <w:rStyle w:val="NvrhP-text"/>
        </w:rPr>
      </w:pPr>
      <w:r w:rsidRPr="00461C16">
        <w:rPr>
          <w:rStyle w:val="NvrhP-text"/>
        </w:rPr>
        <w:t xml:space="preserve">požadavky zadání ÚP (viz kap. </w:t>
      </w:r>
      <w:r w:rsidR="00C0277C" w:rsidRPr="00461C16">
        <w:rPr>
          <w:rStyle w:val="NvrhP-text"/>
        </w:rPr>
        <w:t>3</w:t>
      </w:r>
      <w:r w:rsidRPr="00461C16">
        <w:rPr>
          <w:rStyle w:val="NvrhP-text"/>
        </w:rPr>
        <w:t>),</w:t>
      </w:r>
    </w:p>
    <w:p w14:paraId="0970F2DE" w14:textId="77777777" w:rsidR="00087CCC" w:rsidRPr="00461C16" w:rsidRDefault="00087CCC" w:rsidP="00F16BB8">
      <w:pPr>
        <w:pStyle w:val="5odrazka"/>
        <w:rPr>
          <w:rStyle w:val="NvrhP-text"/>
        </w:rPr>
      </w:pPr>
      <w:r w:rsidRPr="00461C16">
        <w:rPr>
          <w:rStyle w:val="NvrhP-text"/>
        </w:rPr>
        <w:t xml:space="preserve">požadavky na udržitelný rozvoj území definované stavebním zákonem a souvisejícími předpisy, </w:t>
      </w:r>
    </w:p>
    <w:p w14:paraId="4D21F5FB" w14:textId="77777777" w:rsidR="00087CCC" w:rsidRPr="00461C16" w:rsidRDefault="00087CCC" w:rsidP="00F16BB8">
      <w:pPr>
        <w:pStyle w:val="5odrazka"/>
        <w:rPr>
          <w:rStyle w:val="NvrhP-text"/>
        </w:rPr>
      </w:pPr>
      <w:r w:rsidRPr="00461C16">
        <w:rPr>
          <w:rStyle w:val="NvrhP-text"/>
        </w:rPr>
        <w:t xml:space="preserve">priority územního plánování stanovené Politikou územního rozvoje ČR a ZÚR </w:t>
      </w:r>
      <w:r w:rsidR="00C0277C" w:rsidRPr="00461C16">
        <w:rPr>
          <w:rStyle w:val="NvrhP-text"/>
        </w:rPr>
        <w:t>Liberec</w:t>
      </w:r>
      <w:r w:rsidR="000A7697" w:rsidRPr="00461C16">
        <w:rPr>
          <w:rStyle w:val="NvrhP-text"/>
        </w:rPr>
        <w:t>kého kraje</w:t>
      </w:r>
      <w:r w:rsidRPr="00461C16">
        <w:rPr>
          <w:rStyle w:val="NvrhP-text"/>
        </w:rPr>
        <w:t xml:space="preserve"> (</w:t>
      </w:r>
      <w:r w:rsidR="00AE6EBC" w:rsidRPr="00461C16">
        <w:rPr>
          <w:rStyle w:val="NvrhP-text"/>
        </w:rPr>
        <w:t>viz kap. 1.1.1 a 1</w:t>
      </w:r>
      <w:r w:rsidRPr="00461C16">
        <w:rPr>
          <w:rStyle w:val="NvrhP-text"/>
        </w:rPr>
        <w:t>.2.1),</w:t>
      </w:r>
    </w:p>
    <w:p w14:paraId="2AE67507" w14:textId="77777777" w:rsidR="00087CCC" w:rsidRPr="00461C16" w:rsidRDefault="00087CCC" w:rsidP="00F16BB8">
      <w:pPr>
        <w:pStyle w:val="5odrazka"/>
        <w:rPr>
          <w:rStyle w:val="NvrhP-text"/>
        </w:rPr>
      </w:pPr>
      <w:r w:rsidRPr="00461C16">
        <w:rPr>
          <w:rStyle w:val="NvrhP-text"/>
        </w:rPr>
        <w:t xml:space="preserve">další požadavky definované ZÚR </w:t>
      </w:r>
      <w:r w:rsidR="00C0277C" w:rsidRPr="00461C16">
        <w:rPr>
          <w:rStyle w:val="NvrhP-text"/>
        </w:rPr>
        <w:t>Libereck</w:t>
      </w:r>
      <w:r w:rsidRPr="00461C16">
        <w:rPr>
          <w:rStyle w:val="NvrhP-text"/>
        </w:rPr>
        <w:t xml:space="preserve">ého kraje (kap. </w:t>
      </w:r>
      <w:r w:rsidR="00AE6EBC" w:rsidRPr="00461C16">
        <w:rPr>
          <w:rStyle w:val="NvrhP-text"/>
        </w:rPr>
        <w:t>1.2</w:t>
      </w:r>
      <w:r w:rsidRPr="00461C16">
        <w:rPr>
          <w:rStyle w:val="NvrhP-text"/>
        </w:rPr>
        <w:t>),</w:t>
      </w:r>
    </w:p>
    <w:p w14:paraId="66245506" w14:textId="77777777" w:rsidR="00087CCC" w:rsidRPr="00461C16" w:rsidRDefault="00087CCC" w:rsidP="00F16BB8">
      <w:pPr>
        <w:pStyle w:val="5odrazka"/>
        <w:rPr>
          <w:rStyle w:val="NvrhP-text"/>
        </w:rPr>
      </w:pPr>
      <w:r w:rsidRPr="00461C16">
        <w:rPr>
          <w:rStyle w:val="NvrhP-text"/>
        </w:rPr>
        <w:t xml:space="preserve">výsledky rozboru udržitelného rozvoje obsaženého a vyhodnocení vztahu územních podmínek udržitelného rozvoje v ÚAP ORP </w:t>
      </w:r>
      <w:r w:rsidR="00C0277C" w:rsidRPr="00461C16">
        <w:rPr>
          <w:rStyle w:val="NvrhP-text"/>
        </w:rPr>
        <w:t>Liberec</w:t>
      </w:r>
      <w:r w:rsidRPr="00461C16">
        <w:rPr>
          <w:rStyle w:val="NvrhP-text"/>
        </w:rPr>
        <w:t xml:space="preserve"> (aktualizace 201</w:t>
      </w:r>
      <w:r w:rsidR="00C0277C" w:rsidRPr="00461C16">
        <w:rPr>
          <w:rStyle w:val="NvrhP-text"/>
        </w:rPr>
        <w:t>6</w:t>
      </w:r>
      <w:r w:rsidRPr="00461C16">
        <w:rPr>
          <w:rStyle w:val="NvrhP-text"/>
        </w:rPr>
        <w:t>),</w:t>
      </w:r>
    </w:p>
    <w:p w14:paraId="1ADEABF6" w14:textId="77777777" w:rsidR="00087CCC" w:rsidRPr="00461C16" w:rsidRDefault="00087CCC" w:rsidP="00F16BB8">
      <w:pPr>
        <w:pStyle w:val="5odrazka"/>
        <w:rPr>
          <w:rStyle w:val="NvrhP-text"/>
        </w:rPr>
      </w:pPr>
      <w:r w:rsidRPr="00461C16">
        <w:rPr>
          <w:rStyle w:val="NvrhP-text"/>
        </w:rPr>
        <w:lastRenderedPageBreak/>
        <w:t>základní koncepci rozvoje území obce a ochrany a rozvoje jeho hodnot (</w:t>
      </w:r>
      <w:r w:rsidR="00AE6EBC" w:rsidRPr="00461C16">
        <w:rPr>
          <w:rStyle w:val="NvrhP-text"/>
        </w:rPr>
        <w:t>viz kap. 6</w:t>
      </w:r>
      <w:r w:rsidRPr="00461C16">
        <w:rPr>
          <w:rStyle w:val="NvrhP-text"/>
        </w:rPr>
        <w:t>.</w:t>
      </w:r>
      <w:r w:rsidR="00C0277C" w:rsidRPr="00461C16">
        <w:rPr>
          <w:rStyle w:val="NvrhP-text"/>
        </w:rPr>
        <w:t>3</w:t>
      </w:r>
      <w:r w:rsidRPr="00461C16">
        <w:rPr>
          <w:rStyle w:val="NvrhP-text"/>
        </w:rPr>
        <w:t>),</w:t>
      </w:r>
    </w:p>
    <w:p w14:paraId="6B77BB9B" w14:textId="77777777" w:rsidR="00087CCC" w:rsidRPr="00461C16" w:rsidRDefault="00087CCC" w:rsidP="00F16BB8">
      <w:pPr>
        <w:pStyle w:val="5odrazka"/>
        <w:rPr>
          <w:rStyle w:val="NvrhP-text"/>
        </w:rPr>
      </w:pPr>
      <w:r w:rsidRPr="00461C16">
        <w:rPr>
          <w:rStyle w:val="NvrhP-text"/>
        </w:rPr>
        <w:t xml:space="preserve">limity využití území (viz kap. </w:t>
      </w:r>
      <w:r w:rsidR="00AE6EBC" w:rsidRPr="00461C16">
        <w:rPr>
          <w:rStyle w:val="NvrhP-text"/>
        </w:rPr>
        <w:t>6.3</w:t>
      </w:r>
      <w:r w:rsidRPr="00461C16">
        <w:rPr>
          <w:rStyle w:val="NvrhP-text"/>
        </w:rPr>
        <w:t>.5).</w:t>
      </w:r>
    </w:p>
    <w:p w14:paraId="6B650ED6" w14:textId="77777777" w:rsidR="00087CCC" w:rsidRPr="00461C16" w:rsidRDefault="00087CCC" w:rsidP="00F16BB8">
      <w:pPr>
        <w:pStyle w:val="5odrazka"/>
        <w:rPr>
          <w:rStyle w:val="NvrhP-text"/>
        </w:rPr>
      </w:pPr>
      <w:r w:rsidRPr="00461C16">
        <w:rPr>
          <w:rStyle w:val="NvrhP-text"/>
        </w:rPr>
        <w:t xml:space="preserve">návrhy vlastníků a </w:t>
      </w:r>
      <w:r w:rsidR="00C0277C" w:rsidRPr="00461C16">
        <w:rPr>
          <w:rStyle w:val="NvrhP-text"/>
        </w:rPr>
        <w:t>města</w:t>
      </w:r>
      <w:r w:rsidR="000A7697" w:rsidRPr="00461C16">
        <w:rPr>
          <w:rStyle w:val="NvrhP-text"/>
        </w:rPr>
        <w:t xml:space="preserve"> na změny využití pozemků.</w:t>
      </w:r>
    </w:p>
    <w:p w14:paraId="1EF70661" w14:textId="77777777" w:rsidR="004E1C7A" w:rsidRPr="00461C16" w:rsidRDefault="00501553" w:rsidP="007F050A">
      <w:pPr>
        <w:pStyle w:val="Heading3"/>
      </w:pPr>
      <w:bookmarkStart w:id="115" w:name="_Toc384728043"/>
      <w:bookmarkStart w:id="116" w:name="_Toc36116292"/>
      <w:bookmarkEnd w:id="99"/>
      <w:bookmarkEnd w:id="100"/>
      <w:r w:rsidRPr="00461C16">
        <w:t>6</w:t>
      </w:r>
      <w:r w:rsidR="004E1C7A" w:rsidRPr="00461C16">
        <w:t>.4.2</w:t>
      </w:r>
      <w:r w:rsidR="004E1C7A" w:rsidRPr="00461C16">
        <w:tab/>
      </w:r>
      <w:r w:rsidR="00581F4B" w:rsidRPr="00461C16">
        <w:t>Vymezení</w:t>
      </w:r>
      <w:r w:rsidR="000D2A60" w:rsidRPr="00461C16">
        <w:t xml:space="preserve"> </w:t>
      </w:r>
      <w:r w:rsidR="0023499F" w:rsidRPr="00461C16">
        <w:t>zastavitelných ploch</w:t>
      </w:r>
      <w:bookmarkEnd w:id="116"/>
      <w:r w:rsidR="0023499F" w:rsidRPr="00461C16">
        <w:t xml:space="preserve"> </w:t>
      </w:r>
      <w:bookmarkEnd w:id="115"/>
    </w:p>
    <w:p w14:paraId="05BC7A9A" w14:textId="77777777" w:rsidR="004E1C7A" w:rsidRPr="00461C16" w:rsidRDefault="004E1C7A" w:rsidP="007F050A">
      <w:pPr>
        <w:pStyle w:val="1text"/>
        <w:rPr>
          <w:i/>
          <w:sz w:val="20"/>
          <w:szCs w:val="20"/>
        </w:rPr>
      </w:pPr>
      <w:r w:rsidRPr="00461C16">
        <w:rPr>
          <w:i/>
          <w:sz w:val="20"/>
          <w:szCs w:val="20"/>
        </w:rPr>
        <w:t xml:space="preserve">(k </w:t>
      </w:r>
      <w:r w:rsidR="00AE6EBC" w:rsidRPr="00461C16">
        <w:rPr>
          <w:i/>
          <w:sz w:val="20"/>
          <w:szCs w:val="20"/>
        </w:rPr>
        <w:t xml:space="preserve">bodu </w:t>
      </w:r>
      <w:r w:rsidR="00157B9A" w:rsidRPr="00461C16">
        <w:rPr>
          <w:i/>
          <w:sz w:val="20"/>
          <w:szCs w:val="20"/>
        </w:rPr>
        <w:t>C</w:t>
      </w:r>
      <w:r w:rsidR="00AE6EBC" w:rsidRPr="00461C16">
        <w:rPr>
          <w:i/>
          <w:sz w:val="20"/>
          <w:szCs w:val="20"/>
        </w:rPr>
        <w:t>1</w:t>
      </w:r>
      <w:r w:rsidR="00F767B1" w:rsidRPr="00461C16">
        <w:rPr>
          <w:i/>
          <w:sz w:val="20"/>
          <w:szCs w:val="20"/>
        </w:rPr>
        <w:t>2</w:t>
      </w:r>
      <w:r w:rsidRPr="00461C16">
        <w:rPr>
          <w:i/>
          <w:sz w:val="20"/>
          <w:szCs w:val="20"/>
        </w:rPr>
        <w:t xml:space="preserve"> </w:t>
      </w:r>
      <w:r w:rsidR="00581F4B" w:rsidRPr="00461C16">
        <w:rPr>
          <w:i/>
          <w:sz w:val="20"/>
          <w:szCs w:val="20"/>
        </w:rPr>
        <w:t>ÚP</w:t>
      </w:r>
      <w:r w:rsidRPr="00461C16">
        <w:rPr>
          <w:i/>
          <w:sz w:val="20"/>
          <w:szCs w:val="20"/>
        </w:rPr>
        <w:t xml:space="preserve">) </w:t>
      </w:r>
    </w:p>
    <w:p w14:paraId="2AB824BD" w14:textId="77777777" w:rsidR="00D95069" w:rsidRPr="00461C16" w:rsidRDefault="00D95069" w:rsidP="00753F4E">
      <w:pPr>
        <w:pStyle w:val="4podnadpis"/>
        <w:rPr>
          <w:rStyle w:val="NvrhP-text"/>
          <w:i w:val="0"/>
          <w:sz w:val="22"/>
        </w:rPr>
      </w:pPr>
      <w:r w:rsidRPr="00461C16">
        <w:rPr>
          <w:rStyle w:val="NvrhP-text"/>
          <w:i w:val="0"/>
          <w:sz w:val="22"/>
        </w:rPr>
        <w:t xml:space="preserve">a) </w:t>
      </w:r>
      <w:r w:rsidRPr="00461C16">
        <w:rPr>
          <w:rStyle w:val="NvrhP-text"/>
          <w:i w:val="0"/>
          <w:sz w:val="22"/>
        </w:rPr>
        <w:tab/>
        <w:t>základní principy</w:t>
      </w:r>
    </w:p>
    <w:p w14:paraId="75662260" w14:textId="77777777" w:rsidR="00D95069" w:rsidRPr="00461C16" w:rsidRDefault="00D95069" w:rsidP="00D95069">
      <w:pPr>
        <w:pStyle w:val="1text"/>
      </w:pPr>
      <w:r w:rsidRPr="00461C16">
        <w:rPr>
          <w:rStyle w:val="NvrhP-text"/>
        </w:rPr>
        <w:t xml:space="preserve">Vymezení zastavitelných ploch je provedeno s ohledem na zásady rozvoje města a urbanistickou koncepci. </w:t>
      </w:r>
      <w:r w:rsidRPr="00461C16">
        <w:t xml:space="preserve">Zastavitelné plochy jsou vymezeny ve smyslu </w:t>
      </w:r>
      <w:r w:rsidRPr="00461C16">
        <w:rPr>
          <w:rStyle w:val="NvrhP-text"/>
          <w:lang w:eastAsia="en-US"/>
        </w:rPr>
        <w:t xml:space="preserve">§2, odst. 1, písm. j) zákona č. 183/2006 Sb., o územním plánování a stavebním řádu, v platném znění, a v souladu s § 43 tohoto zákona. </w:t>
      </w:r>
      <w:r w:rsidRPr="00461C16">
        <w:t>Vymezení zastavitelných ploch respektuje limity využití území, jejichž výčet je uveden v kap. 6.3.5.</w:t>
      </w:r>
      <w:r w:rsidRPr="00461C16">
        <w:rPr>
          <w:i/>
        </w:rPr>
        <w:t xml:space="preserve"> </w:t>
      </w:r>
    </w:p>
    <w:p w14:paraId="6A41B429" w14:textId="77777777" w:rsidR="00D95069" w:rsidRPr="00461C16" w:rsidRDefault="00D95069" w:rsidP="00D95069">
      <w:pPr>
        <w:pStyle w:val="1text"/>
        <w:rPr>
          <w:rStyle w:val="NvrhP-text"/>
        </w:rPr>
      </w:pPr>
      <w:r w:rsidRPr="00461C16">
        <w:rPr>
          <w:rStyle w:val="NvrhP-text"/>
        </w:rPr>
        <w:t>Zastavitelné plochy jsou vymezeny vně zastavěného území, avšak téměř vždy v návaznosti na jeho hranici.</w:t>
      </w:r>
    </w:p>
    <w:p w14:paraId="75A96953" w14:textId="77777777" w:rsidR="00D95069" w:rsidRPr="00023A6C" w:rsidRDefault="00D95069" w:rsidP="00753F4E">
      <w:pPr>
        <w:pStyle w:val="4podnadpis"/>
        <w:rPr>
          <w:i w:val="0"/>
          <w:sz w:val="22"/>
        </w:rPr>
      </w:pPr>
      <w:r w:rsidRPr="00023A6C">
        <w:rPr>
          <w:i w:val="0"/>
          <w:sz w:val="22"/>
        </w:rPr>
        <w:t>b)</w:t>
      </w:r>
      <w:r w:rsidRPr="00023A6C">
        <w:rPr>
          <w:i w:val="0"/>
          <w:sz w:val="22"/>
        </w:rPr>
        <w:tab/>
        <w:t xml:space="preserve">vstupy pro </w:t>
      </w:r>
      <w:r w:rsidRPr="00023A6C">
        <w:rPr>
          <w:rStyle w:val="NvrhP-text"/>
          <w:i w:val="0"/>
          <w:sz w:val="22"/>
        </w:rPr>
        <w:t>řešení</w:t>
      </w:r>
    </w:p>
    <w:p w14:paraId="7F3A8C96" w14:textId="77777777" w:rsidR="00D95069" w:rsidRPr="00461C16" w:rsidRDefault="00D95069" w:rsidP="00D95069">
      <w:pPr>
        <w:pStyle w:val="1text"/>
        <w:rPr>
          <w:rStyle w:val="NvrhP-text"/>
        </w:rPr>
      </w:pPr>
      <w:r w:rsidRPr="00461C16">
        <w:rPr>
          <w:rStyle w:val="NvrhP-text"/>
        </w:rPr>
        <w:t>Pro vymezení zastavitelných ploch byly vedle zásad koncepce územního rozvoje města a principů urbanistické koncepce stanovených územním plánem rozhodující tyto podklady:</w:t>
      </w:r>
    </w:p>
    <w:p w14:paraId="04304504" w14:textId="77777777" w:rsidR="00D95069" w:rsidRPr="00461C16" w:rsidRDefault="00D95069" w:rsidP="00D95069">
      <w:pPr>
        <w:pStyle w:val="5odrazka"/>
        <w:rPr>
          <w:rStyle w:val="NvrhP-text"/>
        </w:rPr>
      </w:pPr>
      <w:r w:rsidRPr="00461C16">
        <w:rPr>
          <w:rStyle w:val="NvrhP-text"/>
        </w:rPr>
        <w:t>zadání ÚP (viz kap. 3),</w:t>
      </w:r>
    </w:p>
    <w:p w14:paraId="4AD45AEE" w14:textId="77777777" w:rsidR="00D95069" w:rsidRPr="00461C16" w:rsidRDefault="00D95069" w:rsidP="00D95069">
      <w:pPr>
        <w:pStyle w:val="5odrazka"/>
        <w:rPr>
          <w:rStyle w:val="NvrhP-text"/>
        </w:rPr>
      </w:pPr>
      <w:r w:rsidRPr="00461C16">
        <w:rPr>
          <w:rStyle w:val="NvrhP-text"/>
        </w:rPr>
        <w:t xml:space="preserve">platná územně plánovací dokumentace města Hrádek nad Nisou, tj. Územní plán sídelního útvaru Hrádek nad Nisou (schválený </w:t>
      </w:r>
      <w:r w:rsidRPr="00461C16">
        <w:t>27.1.1998</w:t>
      </w:r>
      <w:r w:rsidRPr="00461C16">
        <w:rPr>
          <w:rStyle w:val="NvrhP-text"/>
        </w:rPr>
        <w:t>) a jeho změny č. 3, 4, 10, 12, 15 a 16,</w:t>
      </w:r>
    </w:p>
    <w:p w14:paraId="4FB14A4E" w14:textId="77777777" w:rsidR="00D95069" w:rsidRPr="00461C16" w:rsidRDefault="00D95069" w:rsidP="00D95069">
      <w:pPr>
        <w:pStyle w:val="5odrazka"/>
        <w:rPr>
          <w:rStyle w:val="NvrhP-text"/>
        </w:rPr>
      </w:pPr>
      <w:r w:rsidRPr="00461C16">
        <w:rPr>
          <w:rStyle w:val="NvrhP-text"/>
        </w:rPr>
        <w:t>průzkumy zpracovatele.</w:t>
      </w:r>
    </w:p>
    <w:p w14:paraId="5F7C771D" w14:textId="77777777" w:rsidR="00D95069" w:rsidRPr="00461C16" w:rsidRDefault="00D95069" w:rsidP="00753F4E">
      <w:pPr>
        <w:pStyle w:val="4podnadpis"/>
        <w:rPr>
          <w:rStyle w:val="NvrhP-text"/>
          <w:i w:val="0"/>
          <w:sz w:val="22"/>
        </w:rPr>
      </w:pPr>
      <w:r w:rsidRPr="00461C16">
        <w:rPr>
          <w:rStyle w:val="NvrhP-text"/>
          <w:i w:val="0"/>
          <w:sz w:val="22"/>
        </w:rPr>
        <w:t>c)</w:t>
      </w:r>
      <w:r w:rsidRPr="00461C16">
        <w:rPr>
          <w:rStyle w:val="NvrhP-text"/>
          <w:i w:val="0"/>
          <w:sz w:val="22"/>
        </w:rPr>
        <w:tab/>
        <w:t>zařazení záměrů ze Zadání ÚP</w:t>
      </w:r>
    </w:p>
    <w:p w14:paraId="44F27923" w14:textId="77777777" w:rsidR="00D95069" w:rsidRPr="00461C16" w:rsidRDefault="00D95069" w:rsidP="00C40AF8">
      <w:pPr>
        <w:spacing w:before="120" w:after="120"/>
      </w:pPr>
      <w:r w:rsidRPr="00461C16">
        <w:t>V ÚP byly prověřeny všechny záměry, vymezené v grafické příloze schváleného Zadání ÚP, z hlediska limitů využití území a cílů urbanistické koncepce.</w:t>
      </w:r>
      <w:r w:rsidR="00B345B4" w:rsidRPr="00461C16">
        <w:t xml:space="preserve"> </w:t>
      </w:r>
      <w:r w:rsidRPr="00461C16">
        <w:t xml:space="preserve">Do koncepce ÚP byly tyto plochy zařazeny s výjimkou odůvodněných případů. Výsledek posouzení zobrazuje následující tabulka: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21"/>
        <w:gridCol w:w="1234"/>
        <w:gridCol w:w="1277"/>
        <w:gridCol w:w="1134"/>
        <w:gridCol w:w="2025"/>
        <w:gridCol w:w="2621"/>
      </w:tblGrid>
      <w:tr w:rsidR="00D95069" w:rsidRPr="00461C16" w14:paraId="6A30D335" w14:textId="77777777" w:rsidTr="0008757A">
        <w:trPr>
          <w:trHeight w:val="300"/>
          <w:tblHeader/>
          <w:jc w:val="center"/>
        </w:trPr>
        <w:tc>
          <w:tcPr>
            <w:tcW w:w="921" w:type="dxa"/>
            <w:shd w:val="clear" w:color="auto" w:fill="F2F2F2" w:themeFill="background1" w:themeFillShade="F2"/>
            <w:noWrap/>
          </w:tcPr>
          <w:p w14:paraId="251E193F" w14:textId="77777777" w:rsidR="00D95069" w:rsidRPr="00461C16" w:rsidRDefault="00D95069" w:rsidP="00413CFE">
            <w:pPr>
              <w:pStyle w:val="Intabulka"/>
              <w:rPr>
                <w:rFonts w:ascii="Arial Narrow" w:hAnsi="Arial Narrow"/>
                <w:b/>
                <w:lang w:val="cs-CZ"/>
              </w:rPr>
            </w:pPr>
            <w:r w:rsidRPr="00461C16">
              <w:rPr>
                <w:rFonts w:ascii="Arial Narrow" w:hAnsi="Arial Narrow"/>
                <w:b/>
                <w:lang w:val="cs-CZ"/>
              </w:rPr>
              <w:t xml:space="preserve">Označení </w:t>
            </w:r>
          </w:p>
        </w:tc>
        <w:tc>
          <w:tcPr>
            <w:tcW w:w="1234" w:type="dxa"/>
            <w:shd w:val="clear" w:color="auto" w:fill="F2F2F2" w:themeFill="background1" w:themeFillShade="F2"/>
          </w:tcPr>
          <w:p w14:paraId="0EBB3E16" w14:textId="77777777" w:rsidR="00D95069" w:rsidRPr="00461C16" w:rsidRDefault="00D95069" w:rsidP="00413CFE">
            <w:pPr>
              <w:pStyle w:val="Intabulka"/>
              <w:rPr>
                <w:rFonts w:ascii="Arial Narrow" w:hAnsi="Arial Narrow"/>
                <w:b/>
                <w:lang w:val="cs-CZ"/>
              </w:rPr>
            </w:pPr>
            <w:r w:rsidRPr="00461C16">
              <w:rPr>
                <w:rFonts w:ascii="Arial Narrow" w:hAnsi="Arial Narrow"/>
                <w:b/>
                <w:lang w:val="cs-CZ"/>
              </w:rPr>
              <w:t>Lokalita</w:t>
            </w:r>
          </w:p>
        </w:tc>
        <w:tc>
          <w:tcPr>
            <w:tcW w:w="1277" w:type="dxa"/>
            <w:shd w:val="clear" w:color="auto" w:fill="F2F2F2" w:themeFill="background1" w:themeFillShade="F2"/>
            <w:noWrap/>
          </w:tcPr>
          <w:p w14:paraId="40498E4F" w14:textId="77777777" w:rsidR="00D95069" w:rsidRPr="00461C16" w:rsidRDefault="00D95069" w:rsidP="00413CFE">
            <w:pPr>
              <w:pStyle w:val="Intabulka"/>
              <w:rPr>
                <w:rFonts w:ascii="Arial Narrow" w:hAnsi="Arial Narrow"/>
                <w:b/>
                <w:lang w:val="cs-CZ"/>
              </w:rPr>
            </w:pPr>
            <w:r w:rsidRPr="00461C16">
              <w:rPr>
                <w:rFonts w:ascii="Arial Narrow" w:hAnsi="Arial Narrow"/>
                <w:b/>
                <w:lang w:val="cs-CZ"/>
              </w:rPr>
              <w:t xml:space="preserve">Navržený způsob využití </w:t>
            </w:r>
          </w:p>
        </w:tc>
        <w:tc>
          <w:tcPr>
            <w:tcW w:w="1134" w:type="dxa"/>
            <w:shd w:val="clear" w:color="auto" w:fill="F2F2F2" w:themeFill="background1" w:themeFillShade="F2"/>
            <w:noWrap/>
          </w:tcPr>
          <w:p w14:paraId="60E54F01" w14:textId="77777777" w:rsidR="00D95069" w:rsidRPr="00461C16" w:rsidRDefault="00D95069" w:rsidP="00413CFE">
            <w:pPr>
              <w:pStyle w:val="Intabulka"/>
              <w:rPr>
                <w:rFonts w:ascii="Arial Narrow" w:hAnsi="Arial Narrow"/>
                <w:b/>
              </w:rPr>
            </w:pPr>
            <w:r w:rsidRPr="00461C16">
              <w:rPr>
                <w:rFonts w:ascii="Arial Narrow" w:hAnsi="Arial Narrow"/>
                <w:b/>
                <w:lang w:val="cs-CZ"/>
              </w:rPr>
              <w:t>Podnět</w:t>
            </w:r>
          </w:p>
        </w:tc>
        <w:tc>
          <w:tcPr>
            <w:tcW w:w="2025" w:type="dxa"/>
            <w:shd w:val="clear" w:color="auto" w:fill="F2F2F2" w:themeFill="background1" w:themeFillShade="F2"/>
          </w:tcPr>
          <w:p w14:paraId="5814BF31" w14:textId="77777777" w:rsidR="00D95069" w:rsidRPr="00461C16" w:rsidRDefault="0008757A" w:rsidP="0008757A">
            <w:pPr>
              <w:pStyle w:val="7tabulka"/>
              <w:jc w:val="left"/>
              <w:rPr>
                <w:rStyle w:val="NvrhP-text"/>
                <w:b/>
                <w:sz w:val="20"/>
                <w:szCs w:val="20"/>
                <w:lang w:eastAsia="en-US"/>
              </w:rPr>
            </w:pPr>
            <w:r w:rsidRPr="00461C16">
              <w:rPr>
                <w:rStyle w:val="NvrhP-text"/>
                <w:b/>
                <w:sz w:val="20"/>
                <w:szCs w:val="20"/>
                <w:lang w:eastAsia="en-US"/>
              </w:rPr>
              <w:t>Způsob zohlednění</w:t>
            </w:r>
          </w:p>
        </w:tc>
        <w:tc>
          <w:tcPr>
            <w:tcW w:w="2621" w:type="dxa"/>
            <w:shd w:val="clear" w:color="auto" w:fill="F2F2F2" w:themeFill="background1" w:themeFillShade="F2"/>
            <w:noWrap/>
          </w:tcPr>
          <w:p w14:paraId="2EF78EDF" w14:textId="77777777" w:rsidR="00D95069" w:rsidRPr="00461C16" w:rsidRDefault="00D95069" w:rsidP="00413CFE">
            <w:pPr>
              <w:pStyle w:val="7tabulka"/>
              <w:jc w:val="left"/>
              <w:rPr>
                <w:rStyle w:val="NvrhP-text"/>
                <w:b/>
                <w:sz w:val="20"/>
                <w:szCs w:val="20"/>
                <w:lang w:eastAsia="en-US"/>
              </w:rPr>
            </w:pPr>
            <w:r w:rsidRPr="00461C16">
              <w:rPr>
                <w:rStyle w:val="NvrhP-text"/>
                <w:b/>
                <w:sz w:val="20"/>
                <w:szCs w:val="20"/>
                <w:lang w:eastAsia="en-US"/>
              </w:rPr>
              <w:t>Popis, odůvodnění</w:t>
            </w:r>
          </w:p>
        </w:tc>
      </w:tr>
      <w:tr w:rsidR="000666E0" w:rsidRPr="00461C16" w14:paraId="7E990B0D" w14:textId="77777777" w:rsidTr="0008757A">
        <w:trPr>
          <w:trHeight w:val="300"/>
          <w:jc w:val="center"/>
        </w:trPr>
        <w:tc>
          <w:tcPr>
            <w:tcW w:w="921" w:type="dxa"/>
            <w:shd w:val="clear" w:color="auto" w:fill="auto"/>
            <w:noWrap/>
            <w:hideMark/>
          </w:tcPr>
          <w:p w14:paraId="6E237C0E" w14:textId="77777777" w:rsidR="000666E0" w:rsidRPr="00461C16" w:rsidRDefault="000666E0" w:rsidP="00413CFE">
            <w:pPr>
              <w:spacing w:before="40" w:after="40"/>
              <w:rPr>
                <w:sz w:val="20"/>
              </w:rPr>
            </w:pPr>
            <w:r w:rsidRPr="00461C16">
              <w:rPr>
                <w:sz w:val="20"/>
              </w:rPr>
              <w:t>ZZ01</w:t>
            </w:r>
          </w:p>
          <w:p w14:paraId="625B2330" w14:textId="77777777" w:rsidR="000666E0" w:rsidRPr="00461C16" w:rsidRDefault="000666E0" w:rsidP="00413CFE">
            <w:pPr>
              <w:spacing w:before="40" w:after="40"/>
              <w:rPr>
                <w:sz w:val="20"/>
              </w:rPr>
            </w:pPr>
            <w:r w:rsidRPr="00461C16">
              <w:rPr>
                <w:sz w:val="20"/>
              </w:rPr>
              <w:t>ZZ02</w:t>
            </w:r>
          </w:p>
        </w:tc>
        <w:tc>
          <w:tcPr>
            <w:tcW w:w="1234" w:type="dxa"/>
          </w:tcPr>
          <w:p w14:paraId="5D61DD40"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Zlatá Výšina – Severní Město</w:t>
            </w:r>
          </w:p>
        </w:tc>
        <w:tc>
          <w:tcPr>
            <w:tcW w:w="1277" w:type="dxa"/>
            <w:shd w:val="clear" w:color="auto" w:fill="auto"/>
            <w:noWrap/>
            <w:hideMark/>
          </w:tcPr>
          <w:p w14:paraId="0E71C0E9"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zástavba obytná nízkopodlažní městská</w:t>
            </w:r>
          </w:p>
        </w:tc>
        <w:tc>
          <w:tcPr>
            <w:tcW w:w="1134" w:type="dxa"/>
            <w:shd w:val="clear" w:color="auto" w:fill="auto"/>
            <w:noWrap/>
            <w:hideMark/>
          </w:tcPr>
          <w:p w14:paraId="3D026A42"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20B347FC" w14:textId="77777777" w:rsidR="000666E0" w:rsidRPr="00461C16" w:rsidRDefault="00591DA0" w:rsidP="00C9725B">
            <w:pPr>
              <w:pStyle w:val="Intabulka"/>
              <w:rPr>
                <w:rFonts w:ascii="Arial Narrow" w:hAnsi="Arial Narrow"/>
                <w:lang w:val="cs-CZ"/>
              </w:rPr>
            </w:pPr>
            <w:r w:rsidRPr="00461C16">
              <w:rPr>
                <w:rFonts w:ascii="Arial Narrow" w:hAnsi="Arial Narrow"/>
                <w:lang w:val="cs-CZ"/>
              </w:rPr>
              <w:t>p</w:t>
            </w:r>
            <w:r w:rsidR="000666E0" w:rsidRPr="00461C16">
              <w:rPr>
                <w:rFonts w:ascii="Arial Narrow" w:hAnsi="Arial Narrow"/>
              </w:rPr>
              <w:t>řevzato</w:t>
            </w:r>
            <w:r w:rsidR="00C9725B">
              <w:rPr>
                <w:rFonts w:ascii="Arial Narrow" w:hAnsi="Arial Narrow"/>
                <w:lang w:val="cs-CZ"/>
              </w:rPr>
              <w:t xml:space="preserve"> zčásti jako </w:t>
            </w:r>
            <w:r w:rsidR="000666E0" w:rsidRPr="00461C16">
              <w:rPr>
                <w:rFonts w:ascii="Arial Narrow" w:hAnsi="Arial Narrow"/>
              </w:rPr>
              <w:t xml:space="preserve"> ploch</w:t>
            </w:r>
            <w:r w:rsidR="00C9725B">
              <w:rPr>
                <w:rFonts w:ascii="Arial Narrow" w:hAnsi="Arial Narrow"/>
                <w:lang w:val="cs-CZ"/>
              </w:rPr>
              <w:t>y</w:t>
            </w:r>
            <w:r w:rsidR="00130339" w:rsidRPr="00461C16">
              <w:rPr>
                <w:rFonts w:ascii="Arial Narrow" w:hAnsi="Arial Narrow"/>
                <w:lang w:val="cs-CZ"/>
              </w:rPr>
              <w:t xml:space="preserve"> pro městské a příměstské bydlení</w:t>
            </w:r>
            <w:r w:rsidRPr="00461C16">
              <w:rPr>
                <w:rFonts w:ascii="Arial Narrow" w:hAnsi="Arial Narrow"/>
                <w:lang w:val="cs-CZ"/>
              </w:rPr>
              <w:t xml:space="preserve"> </w:t>
            </w:r>
            <w:r w:rsidR="000666E0" w:rsidRPr="00461C16">
              <w:rPr>
                <w:rFonts w:ascii="Arial Narrow" w:hAnsi="Arial Narrow"/>
              </w:rPr>
              <w:t>Z44</w:t>
            </w:r>
            <w:r w:rsidR="00C9725B">
              <w:rPr>
                <w:rFonts w:ascii="Arial Narrow" w:hAnsi="Arial Narrow"/>
                <w:lang w:val="cs-CZ"/>
              </w:rPr>
              <w:t xml:space="preserve">A, Z44B, </w:t>
            </w:r>
            <w:r w:rsidRPr="00461C16">
              <w:rPr>
                <w:rFonts w:ascii="Arial Narrow" w:hAnsi="Arial Narrow"/>
                <w:lang w:val="cs-CZ"/>
              </w:rPr>
              <w:t xml:space="preserve"> Z45</w:t>
            </w:r>
            <w:r w:rsidR="00C9725B">
              <w:rPr>
                <w:rFonts w:ascii="Arial Narrow" w:hAnsi="Arial Narrow"/>
                <w:lang w:val="cs-CZ"/>
              </w:rPr>
              <w:t xml:space="preserve"> a Z47</w:t>
            </w:r>
          </w:p>
        </w:tc>
        <w:tc>
          <w:tcPr>
            <w:tcW w:w="2621" w:type="dxa"/>
            <w:shd w:val="clear" w:color="auto" w:fill="auto"/>
            <w:noWrap/>
            <w:hideMark/>
          </w:tcPr>
          <w:p w14:paraId="18DD5881" w14:textId="77777777" w:rsidR="000666E0" w:rsidRPr="00461C16" w:rsidRDefault="00591DA0" w:rsidP="00413CFE">
            <w:pPr>
              <w:pStyle w:val="Intabulka"/>
              <w:rPr>
                <w:rFonts w:ascii="Arial Narrow" w:hAnsi="Arial Narrow"/>
              </w:rPr>
            </w:pPr>
            <w:r w:rsidRPr="00461C16">
              <w:rPr>
                <w:rFonts w:ascii="Arial Narrow" w:hAnsi="Arial Narrow"/>
                <w:lang w:val="cs-CZ"/>
              </w:rPr>
              <w:t>využití rozsáhlé prostorové proluky, v souladu s koncepcí ÚP</w:t>
            </w:r>
          </w:p>
        </w:tc>
      </w:tr>
      <w:tr w:rsidR="000666E0" w:rsidRPr="00461C16" w14:paraId="443FE874" w14:textId="77777777" w:rsidTr="0008757A">
        <w:trPr>
          <w:trHeight w:val="300"/>
          <w:jc w:val="center"/>
        </w:trPr>
        <w:tc>
          <w:tcPr>
            <w:tcW w:w="921" w:type="dxa"/>
            <w:shd w:val="clear" w:color="auto" w:fill="auto"/>
            <w:noWrap/>
          </w:tcPr>
          <w:p w14:paraId="5049E8C8" w14:textId="77777777" w:rsidR="000666E0" w:rsidRPr="00461C16" w:rsidRDefault="000666E0" w:rsidP="00413CFE">
            <w:pPr>
              <w:spacing w:before="40" w:after="40"/>
              <w:rPr>
                <w:sz w:val="20"/>
              </w:rPr>
            </w:pPr>
            <w:r w:rsidRPr="00461C16">
              <w:rPr>
                <w:sz w:val="20"/>
              </w:rPr>
              <w:t>ZZ03</w:t>
            </w:r>
          </w:p>
        </w:tc>
        <w:tc>
          <w:tcPr>
            <w:tcW w:w="1234" w:type="dxa"/>
          </w:tcPr>
          <w:p w14:paraId="3E74329F"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dopravní koridor podél I/35 (východ), Oldřichov na Hranicích</w:t>
            </w:r>
          </w:p>
        </w:tc>
        <w:tc>
          <w:tcPr>
            <w:tcW w:w="1277" w:type="dxa"/>
            <w:shd w:val="clear" w:color="auto" w:fill="auto"/>
            <w:noWrap/>
          </w:tcPr>
          <w:p w14:paraId="0AC6E22B"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průmyslová výroba</w:t>
            </w:r>
          </w:p>
        </w:tc>
        <w:tc>
          <w:tcPr>
            <w:tcW w:w="1134" w:type="dxa"/>
            <w:shd w:val="clear" w:color="auto" w:fill="auto"/>
            <w:noWrap/>
          </w:tcPr>
          <w:p w14:paraId="0ADF4E63"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33CED95F" w14:textId="77777777" w:rsidR="000666E0" w:rsidRPr="00461C16" w:rsidRDefault="000666E0" w:rsidP="004336AE">
            <w:pPr>
              <w:pStyle w:val="Intabulka"/>
              <w:rPr>
                <w:rFonts w:ascii="Arial Narrow" w:hAnsi="Arial Narrow"/>
              </w:rPr>
            </w:pPr>
            <w:r w:rsidRPr="00461C16">
              <w:rPr>
                <w:rFonts w:ascii="Arial Narrow" w:hAnsi="Arial Narrow"/>
              </w:rPr>
              <w:t>převzato</w:t>
            </w:r>
            <w:r w:rsidR="004336AE" w:rsidRPr="00461C16">
              <w:rPr>
                <w:rFonts w:ascii="Arial Narrow" w:hAnsi="Arial Narrow"/>
                <w:lang w:val="cs-CZ"/>
              </w:rPr>
              <w:t xml:space="preserve"> zčásti – plocha </w:t>
            </w:r>
            <w:r w:rsidR="00130339" w:rsidRPr="00461C16">
              <w:rPr>
                <w:rFonts w:ascii="Arial Narrow" w:hAnsi="Arial Narrow"/>
                <w:lang w:val="cs-CZ"/>
              </w:rPr>
              <w:t xml:space="preserve">výroby a skladování </w:t>
            </w:r>
            <w:r w:rsidR="004336AE" w:rsidRPr="00461C16">
              <w:rPr>
                <w:rFonts w:ascii="Arial Narrow" w:hAnsi="Arial Narrow"/>
                <w:lang w:val="cs-CZ"/>
              </w:rPr>
              <w:t>Z41</w:t>
            </w:r>
          </w:p>
        </w:tc>
        <w:tc>
          <w:tcPr>
            <w:tcW w:w="2621" w:type="dxa"/>
            <w:shd w:val="clear" w:color="auto" w:fill="auto"/>
            <w:noWrap/>
          </w:tcPr>
          <w:p w14:paraId="2175EE33" w14:textId="77777777" w:rsidR="000666E0" w:rsidRPr="00461C16" w:rsidRDefault="004336AE" w:rsidP="004336AE">
            <w:pPr>
              <w:pStyle w:val="Intabulka"/>
              <w:rPr>
                <w:rFonts w:ascii="Arial Narrow" w:hAnsi="Arial Narrow"/>
                <w:lang w:val="cs-CZ"/>
              </w:rPr>
            </w:pPr>
            <w:r w:rsidRPr="00461C16">
              <w:rPr>
                <w:rFonts w:ascii="Arial Narrow" w:hAnsi="Arial Narrow"/>
                <w:lang w:val="cs-CZ"/>
              </w:rPr>
              <w:t>zastavitelná plocha omezena na část území bezprostředně přiléhající k obchvatu města</w:t>
            </w:r>
            <w:r w:rsidR="000A014B">
              <w:rPr>
                <w:rFonts w:ascii="Arial Narrow" w:hAnsi="Arial Narrow"/>
                <w:lang w:val="cs-CZ"/>
              </w:rPr>
              <w:t xml:space="preserve"> a okružní křižovatce</w:t>
            </w:r>
          </w:p>
        </w:tc>
      </w:tr>
      <w:tr w:rsidR="000666E0" w:rsidRPr="00461C16" w14:paraId="4DDBDFD8" w14:textId="77777777" w:rsidTr="0008757A">
        <w:trPr>
          <w:trHeight w:val="300"/>
          <w:jc w:val="center"/>
        </w:trPr>
        <w:tc>
          <w:tcPr>
            <w:tcW w:w="921" w:type="dxa"/>
            <w:shd w:val="clear" w:color="auto" w:fill="auto"/>
            <w:noWrap/>
            <w:hideMark/>
          </w:tcPr>
          <w:p w14:paraId="62C58062" w14:textId="77777777" w:rsidR="000666E0" w:rsidRPr="00461C16" w:rsidRDefault="000666E0" w:rsidP="00413CFE">
            <w:pPr>
              <w:spacing w:before="40" w:after="40"/>
              <w:rPr>
                <w:sz w:val="20"/>
              </w:rPr>
            </w:pPr>
            <w:r w:rsidRPr="00461C16">
              <w:rPr>
                <w:sz w:val="20"/>
              </w:rPr>
              <w:t>ZZ04</w:t>
            </w:r>
          </w:p>
        </w:tc>
        <w:tc>
          <w:tcPr>
            <w:tcW w:w="1234" w:type="dxa"/>
          </w:tcPr>
          <w:p w14:paraId="4DDB0C10"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dopravní koridor podél I/35 (západ), Hrádek nN.</w:t>
            </w:r>
          </w:p>
        </w:tc>
        <w:tc>
          <w:tcPr>
            <w:tcW w:w="1277" w:type="dxa"/>
            <w:shd w:val="clear" w:color="auto" w:fill="auto"/>
            <w:noWrap/>
            <w:hideMark/>
          </w:tcPr>
          <w:p w14:paraId="676AA132"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průmyslová výroba</w:t>
            </w:r>
          </w:p>
        </w:tc>
        <w:tc>
          <w:tcPr>
            <w:tcW w:w="1134" w:type="dxa"/>
            <w:shd w:val="clear" w:color="auto" w:fill="auto"/>
            <w:noWrap/>
            <w:hideMark/>
          </w:tcPr>
          <w:p w14:paraId="00B6DDC6"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0266A9E8" w14:textId="77777777" w:rsidR="000666E0" w:rsidRPr="00461C16" w:rsidRDefault="00130339" w:rsidP="00081E2A">
            <w:pPr>
              <w:pStyle w:val="Intabulka"/>
              <w:rPr>
                <w:rFonts w:ascii="Arial Narrow" w:hAnsi="Arial Narrow"/>
                <w:lang w:val="cs-CZ"/>
              </w:rPr>
            </w:pPr>
            <w:r w:rsidRPr="00461C16">
              <w:rPr>
                <w:rFonts w:ascii="Arial Narrow" w:hAnsi="Arial Narrow"/>
                <w:lang w:val="cs-CZ"/>
              </w:rPr>
              <w:t>převzato – plocha Z36</w:t>
            </w:r>
          </w:p>
        </w:tc>
        <w:tc>
          <w:tcPr>
            <w:tcW w:w="2621" w:type="dxa"/>
            <w:shd w:val="clear" w:color="auto" w:fill="auto"/>
            <w:noWrap/>
            <w:hideMark/>
          </w:tcPr>
          <w:p w14:paraId="3790ECDE" w14:textId="77777777" w:rsidR="000666E0" w:rsidRPr="00461C16" w:rsidRDefault="00130339" w:rsidP="00413CFE">
            <w:pPr>
              <w:pStyle w:val="Intabulka"/>
              <w:rPr>
                <w:rFonts w:ascii="Arial Narrow" w:hAnsi="Arial Narrow"/>
              </w:rPr>
            </w:pPr>
            <w:r w:rsidRPr="00461C16">
              <w:rPr>
                <w:rFonts w:ascii="Arial Narrow" w:hAnsi="Arial Narrow"/>
                <w:lang w:val="cs-CZ"/>
              </w:rPr>
              <w:t>využití proluky, zohlednění vydaného ÚR</w:t>
            </w:r>
          </w:p>
        </w:tc>
      </w:tr>
      <w:tr w:rsidR="000666E0" w:rsidRPr="00461C16" w14:paraId="336E6952" w14:textId="77777777" w:rsidTr="0008757A">
        <w:trPr>
          <w:trHeight w:val="300"/>
          <w:jc w:val="center"/>
        </w:trPr>
        <w:tc>
          <w:tcPr>
            <w:tcW w:w="921" w:type="dxa"/>
            <w:shd w:val="clear" w:color="auto" w:fill="auto"/>
            <w:noWrap/>
            <w:hideMark/>
          </w:tcPr>
          <w:p w14:paraId="07272EE0" w14:textId="77777777" w:rsidR="000666E0" w:rsidRPr="00461C16" w:rsidRDefault="000666E0" w:rsidP="00413CFE">
            <w:pPr>
              <w:spacing w:before="40" w:after="40"/>
              <w:rPr>
                <w:sz w:val="20"/>
              </w:rPr>
            </w:pPr>
            <w:r w:rsidRPr="00461C16">
              <w:rPr>
                <w:sz w:val="20"/>
              </w:rPr>
              <w:t>ZZ05</w:t>
            </w:r>
          </w:p>
        </w:tc>
        <w:tc>
          <w:tcPr>
            <w:tcW w:w="1234" w:type="dxa"/>
          </w:tcPr>
          <w:p w14:paraId="053DECD8"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ul. Oldřichovská, Hrádek nN.</w:t>
            </w:r>
          </w:p>
        </w:tc>
        <w:tc>
          <w:tcPr>
            <w:tcW w:w="1277" w:type="dxa"/>
            <w:shd w:val="clear" w:color="auto" w:fill="auto"/>
            <w:noWrap/>
            <w:hideMark/>
          </w:tcPr>
          <w:p w14:paraId="33B3C70D"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plocha smíšená městská (bydlení, služby)</w:t>
            </w:r>
          </w:p>
        </w:tc>
        <w:tc>
          <w:tcPr>
            <w:tcW w:w="1134" w:type="dxa"/>
            <w:shd w:val="clear" w:color="auto" w:fill="auto"/>
            <w:noWrap/>
            <w:hideMark/>
          </w:tcPr>
          <w:p w14:paraId="12E81A7D"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6D4CDBF0" w14:textId="77777777" w:rsidR="000666E0" w:rsidRPr="00461C16" w:rsidRDefault="00130339" w:rsidP="00081E2A">
            <w:pPr>
              <w:pStyle w:val="Intabulka"/>
              <w:rPr>
                <w:rFonts w:ascii="Arial Narrow" w:hAnsi="Arial Narrow"/>
                <w:lang w:val="cs-CZ"/>
              </w:rPr>
            </w:pPr>
            <w:r w:rsidRPr="00461C16">
              <w:rPr>
                <w:rFonts w:ascii="Arial Narrow" w:hAnsi="Arial Narrow"/>
                <w:lang w:val="cs-CZ"/>
              </w:rPr>
              <w:t>převzato – plocha P14, zčásti jako stabilizovaná plocha smíšená městská</w:t>
            </w:r>
          </w:p>
        </w:tc>
        <w:tc>
          <w:tcPr>
            <w:tcW w:w="2621" w:type="dxa"/>
            <w:shd w:val="clear" w:color="auto" w:fill="auto"/>
            <w:noWrap/>
            <w:hideMark/>
          </w:tcPr>
          <w:p w14:paraId="389E7EAC" w14:textId="77777777" w:rsidR="000666E0" w:rsidRPr="00461C16" w:rsidRDefault="00130339" w:rsidP="00413CFE">
            <w:pPr>
              <w:pStyle w:val="Intabulka"/>
              <w:rPr>
                <w:rFonts w:ascii="Arial Narrow" w:hAnsi="Arial Narrow"/>
              </w:rPr>
            </w:pPr>
            <w:r w:rsidRPr="00461C16">
              <w:rPr>
                <w:rFonts w:ascii="Arial Narrow" w:hAnsi="Arial Narrow"/>
                <w:lang w:val="cs-CZ"/>
              </w:rPr>
              <w:t>v souladu s koncepcí ÚP</w:t>
            </w:r>
          </w:p>
        </w:tc>
      </w:tr>
      <w:tr w:rsidR="00130339" w:rsidRPr="00461C16" w14:paraId="52853436" w14:textId="77777777" w:rsidTr="0008757A">
        <w:trPr>
          <w:trHeight w:val="300"/>
          <w:jc w:val="center"/>
        </w:trPr>
        <w:tc>
          <w:tcPr>
            <w:tcW w:w="921" w:type="dxa"/>
            <w:shd w:val="clear" w:color="auto" w:fill="auto"/>
            <w:noWrap/>
            <w:hideMark/>
          </w:tcPr>
          <w:p w14:paraId="2DCB4AA7" w14:textId="77777777" w:rsidR="00130339" w:rsidRPr="00461C16" w:rsidRDefault="00130339" w:rsidP="00413CFE">
            <w:pPr>
              <w:spacing w:before="40" w:after="40"/>
              <w:rPr>
                <w:sz w:val="20"/>
              </w:rPr>
            </w:pPr>
            <w:r w:rsidRPr="00461C16">
              <w:rPr>
                <w:sz w:val="20"/>
              </w:rPr>
              <w:t>ZZ06</w:t>
            </w:r>
          </w:p>
        </w:tc>
        <w:tc>
          <w:tcPr>
            <w:tcW w:w="1234" w:type="dxa"/>
          </w:tcPr>
          <w:p w14:paraId="6AFBB6AB" w14:textId="77777777" w:rsidR="00130339" w:rsidRPr="00461C16" w:rsidRDefault="00130339" w:rsidP="00413CFE">
            <w:pPr>
              <w:pStyle w:val="Intabulka"/>
              <w:rPr>
                <w:rFonts w:ascii="Arial Narrow" w:hAnsi="Arial Narrow"/>
                <w:lang w:val="cs-CZ"/>
              </w:rPr>
            </w:pPr>
            <w:r w:rsidRPr="00461C16">
              <w:rPr>
                <w:rFonts w:ascii="Arial Narrow" w:hAnsi="Arial Narrow"/>
                <w:lang w:val="cs-CZ"/>
              </w:rPr>
              <w:t>ul. U koupaliště, Hrádek nN.</w:t>
            </w:r>
          </w:p>
        </w:tc>
        <w:tc>
          <w:tcPr>
            <w:tcW w:w="1277" w:type="dxa"/>
            <w:shd w:val="clear" w:color="auto" w:fill="auto"/>
            <w:noWrap/>
            <w:hideMark/>
          </w:tcPr>
          <w:p w14:paraId="559B9B55" w14:textId="77777777" w:rsidR="00130339" w:rsidRPr="00461C16" w:rsidRDefault="00130339" w:rsidP="00413CFE">
            <w:pPr>
              <w:pStyle w:val="Intabulka"/>
              <w:rPr>
                <w:rFonts w:ascii="Arial Narrow" w:hAnsi="Arial Narrow"/>
                <w:lang w:val="cs-CZ"/>
              </w:rPr>
            </w:pPr>
            <w:r w:rsidRPr="00461C16">
              <w:rPr>
                <w:rFonts w:ascii="Arial Narrow" w:hAnsi="Arial Narrow"/>
                <w:lang w:val="cs-CZ"/>
              </w:rPr>
              <w:t>bydlení městské</w:t>
            </w:r>
          </w:p>
        </w:tc>
        <w:tc>
          <w:tcPr>
            <w:tcW w:w="1134" w:type="dxa"/>
            <w:shd w:val="clear" w:color="auto" w:fill="auto"/>
            <w:noWrap/>
            <w:hideMark/>
          </w:tcPr>
          <w:p w14:paraId="4DA2E438" w14:textId="77777777" w:rsidR="00130339" w:rsidRPr="00461C16" w:rsidRDefault="00130339"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7D1A1819" w14:textId="77777777" w:rsidR="00130339" w:rsidRPr="00461C16" w:rsidRDefault="00130339" w:rsidP="00081E2A">
            <w:pPr>
              <w:pStyle w:val="Intabulka"/>
              <w:rPr>
                <w:rFonts w:ascii="Arial Narrow" w:hAnsi="Arial Narrow"/>
              </w:rPr>
            </w:pPr>
            <w:r w:rsidRPr="00461C16">
              <w:rPr>
                <w:rFonts w:ascii="Arial Narrow" w:hAnsi="Arial Narrow"/>
                <w:lang w:val="cs-CZ"/>
              </w:rPr>
              <w:t>p</w:t>
            </w:r>
            <w:r w:rsidRPr="00461C16">
              <w:rPr>
                <w:rFonts w:ascii="Arial Narrow" w:hAnsi="Arial Narrow"/>
              </w:rPr>
              <w:t xml:space="preserve">řevzato, vymezeno </w:t>
            </w:r>
            <w:r w:rsidRPr="00461C16">
              <w:rPr>
                <w:rFonts w:ascii="Arial Narrow" w:hAnsi="Arial Narrow"/>
                <w:lang w:val="cs-CZ"/>
              </w:rPr>
              <w:t xml:space="preserve">jako </w:t>
            </w:r>
            <w:r w:rsidRPr="00461C16">
              <w:rPr>
                <w:rFonts w:ascii="Arial Narrow" w:hAnsi="Arial Narrow"/>
              </w:rPr>
              <w:t xml:space="preserve">plocha přestavby </w:t>
            </w:r>
            <w:r w:rsidRPr="00461C16">
              <w:rPr>
                <w:rFonts w:ascii="Arial Narrow" w:hAnsi="Arial Narrow"/>
                <w:lang w:val="cs-CZ"/>
              </w:rPr>
              <w:t xml:space="preserve">pro bydlení </w:t>
            </w:r>
            <w:r w:rsidRPr="00461C16">
              <w:rPr>
                <w:rFonts w:ascii="Arial Narrow" w:hAnsi="Arial Narrow"/>
              </w:rPr>
              <w:t>P08</w:t>
            </w:r>
          </w:p>
        </w:tc>
        <w:tc>
          <w:tcPr>
            <w:tcW w:w="2621" w:type="dxa"/>
            <w:shd w:val="clear" w:color="auto" w:fill="auto"/>
            <w:noWrap/>
            <w:hideMark/>
          </w:tcPr>
          <w:p w14:paraId="6D1B7C87" w14:textId="77777777" w:rsidR="00130339" w:rsidRPr="00461C16" w:rsidRDefault="00130339" w:rsidP="00321D30">
            <w:pPr>
              <w:pStyle w:val="Intabulka"/>
              <w:rPr>
                <w:rFonts w:ascii="Arial Narrow" w:hAnsi="Arial Narrow"/>
              </w:rPr>
            </w:pPr>
            <w:r w:rsidRPr="00461C16">
              <w:rPr>
                <w:rFonts w:ascii="Arial Narrow" w:hAnsi="Arial Narrow"/>
                <w:lang w:val="cs-CZ"/>
              </w:rPr>
              <w:t>racionalizace využití území, v souladu s koncepcí ÚP</w:t>
            </w:r>
          </w:p>
        </w:tc>
      </w:tr>
      <w:tr w:rsidR="000666E0" w:rsidRPr="00461C16" w14:paraId="7B34B433" w14:textId="77777777" w:rsidTr="0008757A">
        <w:trPr>
          <w:trHeight w:val="300"/>
          <w:jc w:val="center"/>
        </w:trPr>
        <w:tc>
          <w:tcPr>
            <w:tcW w:w="921" w:type="dxa"/>
            <w:shd w:val="clear" w:color="auto" w:fill="auto"/>
            <w:noWrap/>
            <w:hideMark/>
          </w:tcPr>
          <w:p w14:paraId="5B30EE7B" w14:textId="77777777" w:rsidR="000666E0" w:rsidRPr="00461C16" w:rsidRDefault="000666E0" w:rsidP="00413CFE">
            <w:pPr>
              <w:spacing w:before="40" w:after="40"/>
              <w:rPr>
                <w:sz w:val="20"/>
              </w:rPr>
            </w:pPr>
            <w:r w:rsidRPr="00461C16">
              <w:rPr>
                <w:sz w:val="20"/>
              </w:rPr>
              <w:t>ZZ07</w:t>
            </w:r>
          </w:p>
        </w:tc>
        <w:tc>
          <w:tcPr>
            <w:tcW w:w="1234" w:type="dxa"/>
          </w:tcPr>
          <w:p w14:paraId="7F39CFFA"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ul. Turistická – Jižní, Loučná</w:t>
            </w:r>
          </w:p>
        </w:tc>
        <w:tc>
          <w:tcPr>
            <w:tcW w:w="1277" w:type="dxa"/>
            <w:shd w:val="clear" w:color="auto" w:fill="auto"/>
            <w:noWrap/>
            <w:hideMark/>
          </w:tcPr>
          <w:p w14:paraId="67ECAE37" w14:textId="77777777" w:rsidR="000666E0" w:rsidRPr="00461C16" w:rsidRDefault="000666E0" w:rsidP="00413CFE">
            <w:pPr>
              <w:pStyle w:val="Intabulka"/>
              <w:rPr>
                <w:rFonts w:ascii="Arial Narrow" w:hAnsi="Arial Narrow"/>
                <w:lang w:val="cs-CZ"/>
              </w:rPr>
            </w:pPr>
            <w:r w:rsidRPr="00461C16">
              <w:rPr>
                <w:rFonts w:ascii="Arial Narrow" w:hAnsi="Arial Narrow"/>
              </w:rPr>
              <w:t>bydlení</w:t>
            </w:r>
            <w:r w:rsidRPr="00461C16">
              <w:rPr>
                <w:rFonts w:ascii="Arial Narrow" w:hAnsi="Arial Narrow"/>
                <w:lang w:val="cs-CZ"/>
              </w:rPr>
              <w:t xml:space="preserve"> městské </w:t>
            </w:r>
            <w:r w:rsidRPr="00461C16">
              <w:rPr>
                <w:rFonts w:ascii="Arial Narrow" w:hAnsi="Arial Narrow"/>
                <w:lang w:val="cs-CZ"/>
              </w:rPr>
              <w:lastRenderedPageBreak/>
              <w:t>nízkopodlažní</w:t>
            </w:r>
          </w:p>
        </w:tc>
        <w:tc>
          <w:tcPr>
            <w:tcW w:w="1134" w:type="dxa"/>
            <w:shd w:val="clear" w:color="auto" w:fill="auto"/>
            <w:noWrap/>
            <w:hideMark/>
          </w:tcPr>
          <w:p w14:paraId="7DE472AE"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lastRenderedPageBreak/>
              <w:t>město</w:t>
            </w:r>
          </w:p>
        </w:tc>
        <w:tc>
          <w:tcPr>
            <w:tcW w:w="2025" w:type="dxa"/>
          </w:tcPr>
          <w:p w14:paraId="40108355" w14:textId="77777777" w:rsidR="000666E0" w:rsidRPr="00461C16" w:rsidRDefault="00130339" w:rsidP="00081E2A">
            <w:pPr>
              <w:pStyle w:val="Intabulka"/>
              <w:rPr>
                <w:rFonts w:ascii="Arial Narrow" w:hAnsi="Arial Narrow"/>
                <w:lang w:val="cs-CZ"/>
              </w:rPr>
            </w:pPr>
            <w:r w:rsidRPr="00461C16">
              <w:rPr>
                <w:rFonts w:ascii="Arial Narrow" w:hAnsi="Arial Narrow"/>
                <w:lang w:val="cs-CZ"/>
              </w:rPr>
              <w:t>p</w:t>
            </w:r>
            <w:r w:rsidR="000666E0" w:rsidRPr="00461C16">
              <w:rPr>
                <w:rFonts w:ascii="Arial Narrow" w:hAnsi="Arial Narrow"/>
              </w:rPr>
              <w:t xml:space="preserve">řevzato, vymezeno </w:t>
            </w:r>
            <w:r w:rsidR="002127AE">
              <w:rPr>
                <w:rFonts w:ascii="Arial Narrow" w:hAnsi="Arial Narrow"/>
                <w:lang w:val="cs-CZ"/>
              </w:rPr>
              <w:t xml:space="preserve">jako </w:t>
            </w:r>
            <w:r w:rsidR="000666E0" w:rsidRPr="00461C16">
              <w:rPr>
                <w:rFonts w:ascii="Arial Narrow" w:hAnsi="Arial Narrow"/>
              </w:rPr>
              <w:t>plocha přestavby P30</w:t>
            </w:r>
            <w:r w:rsidRPr="00461C16">
              <w:rPr>
                <w:rFonts w:ascii="Arial Narrow" w:hAnsi="Arial Narrow"/>
                <w:lang w:val="cs-CZ"/>
              </w:rPr>
              <w:t xml:space="preserve"> a </w:t>
            </w:r>
            <w:r w:rsidRPr="00461C16">
              <w:rPr>
                <w:rFonts w:ascii="Arial Narrow" w:hAnsi="Arial Narrow"/>
                <w:lang w:val="cs-CZ"/>
              </w:rPr>
              <w:lastRenderedPageBreak/>
              <w:t>zastavitelná plocha Z66 – pro městské a příměstské bydlení</w:t>
            </w:r>
          </w:p>
        </w:tc>
        <w:tc>
          <w:tcPr>
            <w:tcW w:w="2621" w:type="dxa"/>
            <w:shd w:val="clear" w:color="auto" w:fill="auto"/>
            <w:noWrap/>
            <w:hideMark/>
          </w:tcPr>
          <w:p w14:paraId="548B331D" w14:textId="77777777" w:rsidR="000666E0" w:rsidRPr="00461C16" w:rsidRDefault="00130339" w:rsidP="00413CFE">
            <w:pPr>
              <w:pStyle w:val="Intabulka"/>
              <w:rPr>
                <w:rFonts w:ascii="Arial Narrow" w:hAnsi="Arial Narrow"/>
              </w:rPr>
            </w:pPr>
            <w:r w:rsidRPr="00461C16">
              <w:rPr>
                <w:rFonts w:ascii="Arial Narrow" w:hAnsi="Arial Narrow"/>
                <w:lang w:val="cs-CZ"/>
              </w:rPr>
              <w:lastRenderedPageBreak/>
              <w:t>využití proluky, v souladu s koncepcí ÚP</w:t>
            </w:r>
          </w:p>
        </w:tc>
      </w:tr>
      <w:tr w:rsidR="00130339" w:rsidRPr="00461C16" w14:paraId="57AA693C" w14:textId="77777777" w:rsidTr="0008757A">
        <w:trPr>
          <w:trHeight w:val="300"/>
          <w:jc w:val="center"/>
        </w:trPr>
        <w:tc>
          <w:tcPr>
            <w:tcW w:w="921" w:type="dxa"/>
            <w:shd w:val="clear" w:color="auto" w:fill="auto"/>
            <w:noWrap/>
            <w:hideMark/>
          </w:tcPr>
          <w:p w14:paraId="2FF21279" w14:textId="77777777" w:rsidR="00130339" w:rsidRPr="00461C16" w:rsidRDefault="00130339" w:rsidP="00413CFE">
            <w:pPr>
              <w:spacing w:before="40" w:after="40"/>
              <w:rPr>
                <w:sz w:val="20"/>
              </w:rPr>
            </w:pPr>
            <w:r w:rsidRPr="00461C16">
              <w:rPr>
                <w:sz w:val="20"/>
              </w:rPr>
              <w:lastRenderedPageBreak/>
              <w:t>ZZ08</w:t>
            </w:r>
          </w:p>
        </w:tc>
        <w:tc>
          <w:tcPr>
            <w:tcW w:w="1234" w:type="dxa"/>
          </w:tcPr>
          <w:p w14:paraId="74BB6EDD" w14:textId="77777777" w:rsidR="00130339" w:rsidRPr="00461C16" w:rsidRDefault="00130339" w:rsidP="00413CFE">
            <w:pPr>
              <w:pStyle w:val="Intabulka"/>
              <w:rPr>
                <w:rFonts w:ascii="Arial Narrow" w:hAnsi="Arial Narrow"/>
                <w:lang w:val="cs-CZ"/>
              </w:rPr>
            </w:pPr>
            <w:r w:rsidRPr="00461C16">
              <w:rPr>
                <w:rFonts w:ascii="Arial Narrow" w:hAnsi="Arial Narrow"/>
                <w:lang w:val="cs-CZ"/>
              </w:rPr>
              <w:t>ul. Lovecká, Loučná</w:t>
            </w:r>
          </w:p>
        </w:tc>
        <w:tc>
          <w:tcPr>
            <w:tcW w:w="1277" w:type="dxa"/>
            <w:shd w:val="clear" w:color="auto" w:fill="auto"/>
            <w:noWrap/>
            <w:hideMark/>
          </w:tcPr>
          <w:p w14:paraId="55991C5B" w14:textId="77777777" w:rsidR="00130339" w:rsidRPr="00461C16" w:rsidRDefault="00130339" w:rsidP="00413CFE">
            <w:pPr>
              <w:pStyle w:val="Intabulka"/>
              <w:rPr>
                <w:rFonts w:ascii="Arial Narrow" w:hAnsi="Arial Narrow"/>
                <w:lang w:val="cs-CZ"/>
              </w:rPr>
            </w:pPr>
            <w:r w:rsidRPr="00461C16">
              <w:rPr>
                <w:rFonts w:ascii="Arial Narrow" w:hAnsi="Arial Narrow"/>
              </w:rPr>
              <w:t>bydlení</w:t>
            </w:r>
            <w:r w:rsidRPr="00461C16">
              <w:rPr>
                <w:rFonts w:ascii="Arial Narrow" w:hAnsi="Arial Narrow"/>
                <w:lang w:val="cs-CZ"/>
              </w:rPr>
              <w:t xml:space="preserve"> městské nízkopodlažní</w:t>
            </w:r>
          </w:p>
        </w:tc>
        <w:tc>
          <w:tcPr>
            <w:tcW w:w="1134" w:type="dxa"/>
            <w:shd w:val="clear" w:color="auto" w:fill="auto"/>
            <w:noWrap/>
            <w:hideMark/>
          </w:tcPr>
          <w:p w14:paraId="6DE1A380" w14:textId="77777777" w:rsidR="00130339" w:rsidRPr="00461C16" w:rsidRDefault="00130339"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044A5A8B" w14:textId="77777777" w:rsidR="00130339" w:rsidRPr="00461C16" w:rsidRDefault="00130339" w:rsidP="00081E2A">
            <w:pPr>
              <w:pStyle w:val="Intabulka"/>
              <w:rPr>
                <w:rFonts w:ascii="Arial Narrow" w:hAnsi="Arial Narrow"/>
              </w:rPr>
            </w:pPr>
            <w:r w:rsidRPr="00461C16">
              <w:rPr>
                <w:rFonts w:ascii="Arial Narrow" w:hAnsi="Arial Narrow"/>
                <w:lang w:val="cs-CZ"/>
              </w:rPr>
              <w:t>p</w:t>
            </w:r>
            <w:r w:rsidRPr="00461C16">
              <w:rPr>
                <w:rFonts w:ascii="Arial Narrow" w:hAnsi="Arial Narrow"/>
              </w:rPr>
              <w:t xml:space="preserve">řevzato, vymezeno jako plochy </w:t>
            </w:r>
            <w:r w:rsidRPr="00461C16">
              <w:rPr>
                <w:rFonts w:ascii="Arial Narrow" w:hAnsi="Arial Narrow"/>
                <w:lang w:val="cs-CZ"/>
              </w:rPr>
              <w:t xml:space="preserve">pro venkovské bydlení </w:t>
            </w:r>
            <w:r w:rsidRPr="00461C16">
              <w:rPr>
                <w:rFonts w:ascii="Arial Narrow" w:hAnsi="Arial Narrow"/>
              </w:rPr>
              <w:t>Z60 a Z61</w:t>
            </w:r>
          </w:p>
        </w:tc>
        <w:tc>
          <w:tcPr>
            <w:tcW w:w="2621" w:type="dxa"/>
            <w:shd w:val="clear" w:color="auto" w:fill="auto"/>
            <w:noWrap/>
          </w:tcPr>
          <w:p w14:paraId="33802F7C" w14:textId="77777777" w:rsidR="00130339" w:rsidRPr="00461C16" w:rsidRDefault="00130339" w:rsidP="00321D30">
            <w:pPr>
              <w:pStyle w:val="Intabulka"/>
              <w:rPr>
                <w:rFonts w:ascii="Arial Narrow" w:hAnsi="Arial Narrow"/>
              </w:rPr>
            </w:pPr>
            <w:r w:rsidRPr="00461C16">
              <w:rPr>
                <w:rFonts w:ascii="Arial Narrow" w:hAnsi="Arial Narrow"/>
                <w:lang w:val="cs-CZ"/>
              </w:rPr>
              <w:t>scelení fragmentované zástavby, v souladu s koncepcí ÚP</w:t>
            </w:r>
          </w:p>
        </w:tc>
      </w:tr>
      <w:tr w:rsidR="00130339" w:rsidRPr="00461C16" w14:paraId="7E5CA653" w14:textId="77777777" w:rsidTr="0008757A">
        <w:trPr>
          <w:trHeight w:val="300"/>
          <w:jc w:val="center"/>
        </w:trPr>
        <w:tc>
          <w:tcPr>
            <w:tcW w:w="921" w:type="dxa"/>
            <w:shd w:val="clear" w:color="auto" w:fill="auto"/>
            <w:noWrap/>
            <w:hideMark/>
          </w:tcPr>
          <w:p w14:paraId="3F93FDAF" w14:textId="77777777" w:rsidR="00130339" w:rsidRPr="00461C16" w:rsidRDefault="00130339" w:rsidP="00413CFE">
            <w:pPr>
              <w:spacing w:before="40" w:after="40"/>
              <w:rPr>
                <w:sz w:val="20"/>
              </w:rPr>
            </w:pPr>
            <w:r w:rsidRPr="00461C16">
              <w:rPr>
                <w:sz w:val="20"/>
              </w:rPr>
              <w:t>ZZ09</w:t>
            </w:r>
          </w:p>
        </w:tc>
        <w:tc>
          <w:tcPr>
            <w:tcW w:w="1234" w:type="dxa"/>
          </w:tcPr>
          <w:p w14:paraId="2B780914" w14:textId="77777777" w:rsidR="00130339" w:rsidRPr="00461C16" w:rsidRDefault="00130339" w:rsidP="00413CFE">
            <w:pPr>
              <w:pStyle w:val="Intabulka"/>
              <w:rPr>
                <w:rFonts w:ascii="Arial Narrow" w:hAnsi="Arial Narrow"/>
                <w:lang w:val="cs-CZ"/>
              </w:rPr>
            </w:pPr>
            <w:r w:rsidRPr="00461C16">
              <w:rPr>
                <w:rFonts w:ascii="Arial Narrow" w:hAnsi="Arial Narrow"/>
                <w:lang w:val="cs-CZ"/>
              </w:rPr>
              <w:t>Nová Loučná – ul. Lipová – Na Hrázi, Loučná</w:t>
            </w:r>
          </w:p>
        </w:tc>
        <w:tc>
          <w:tcPr>
            <w:tcW w:w="1277" w:type="dxa"/>
            <w:shd w:val="clear" w:color="auto" w:fill="auto"/>
            <w:noWrap/>
            <w:hideMark/>
          </w:tcPr>
          <w:p w14:paraId="37010A53" w14:textId="77777777" w:rsidR="00130339" w:rsidRPr="00461C16" w:rsidRDefault="00130339"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hideMark/>
          </w:tcPr>
          <w:p w14:paraId="3DF5E59F" w14:textId="77777777" w:rsidR="00130339" w:rsidRPr="00461C16" w:rsidRDefault="00130339"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1D76EBF1" w14:textId="77777777" w:rsidR="00130339" w:rsidRPr="00461C16" w:rsidRDefault="00130339" w:rsidP="00495475">
            <w:pPr>
              <w:pStyle w:val="Intabulka"/>
              <w:rPr>
                <w:rFonts w:ascii="Arial Narrow" w:hAnsi="Arial Narrow"/>
              </w:rPr>
            </w:pPr>
            <w:r w:rsidRPr="00461C16">
              <w:rPr>
                <w:rFonts w:ascii="Arial Narrow" w:hAnsi="Arial Narrow"/>
                <w:lang w:val="cs-CZ"/>
              </w:rPr>
              <w:t>p</w:t>
            </w:r>
            <w:r w:rsidRPr="00461C16">
              <w:rPr>
                <w:rFonts w:ascii="Arial Narrow" w:hAnsi="Arial Narrow"/>
              </w:rPr>
              <w:t>řevzato</w:t>
            </w:r>
            <w:r w:rsidR="00495475">
              <w:rPr>
                <w:rFonts w:ascii="Arial Narrow" w:hAnsi="Arial Narrow"/>
                <w:lang w:val="cs-CZ"/>
              </w:rPr>
              <w:t xml:space="preserve"> v redukovaném rozsahu</w:t>
            </w:r>
            <w:r w:rsidRPr="00461C16">
              <w:rPr>
                <w:rFonts w:ascii="Arial Narrow" w:hAnsi="Arial Narrow"/>
              </w:rPr>
              <w:t>, vymezeno jako ploch</w:t>
            </w:r>
            <w:r w:rsidRPr="00461C16">
              <w:rPr>
                <w:rFonts w:ascii="Arial Narrow" w:hAnsi="Arial Narrow"/>
                <w:lang w:val="cs-CZ"/>
              </w:rPr>
              <w:t>y pro venkovské bydlení Z63, Z64 a</w:t>
            </w:r>
            <w:r w:rsidRPr="00461C16">
              <w:rPr>
                <w:rFonts w:ascii="Arial Narrow" w:hAnsi="Arial Narrow"/>
              </w:rPr>
              <w:t xml:space="preserve"> Z65</w:t>
            </w:r>
          </w:p>
        </w:tc>
        <w:tc>
          <w:tcPr>
            <w:tcW w:w="2621" w:type="dxa"/>
            <w:shd w:val="clear" w:color="auto" w:fill="auto"/>
            <w:noWrap/>
            <w:hideMark/>
          </w:tcPr>
          <w:p w14:paraId="76463498" w14:textId="77777777" w:rsidR="00130339" w:rsidRPr="00461C16" w:rsidRDefault="00130339" w:rsidP="00321D30">
            <w:pPr>
              <w:pStyle w:val="Intabulka"/>
              <w:rPr>
                <w:rFonts w:ascii="Arial Narrow" w:hAnsi="Arial Narrow"/>
              </w:rPr>
            </w:pPr>
            <w:r w:rsidRPr="00461C16">
              <w:rPr>
                <w:rFonts w:ascii="Arial Narrow" w:hAnsi="Arial Narrow"/>
                <w:lang w:val="cs-CZ"/>
              </w:rPr>
              <w:t>zčásti využití proluky, v souladu s koncepcí ÚP</w:t>
            </w:r>
          </w:p>
        </w:tc>
      </w:tr>
      <w:tr w:rsidR="000666E0" w:rsidRPr="00461C16" w14:paraId="25C1A58F" w14:textId="77777777" w:rsidTr="0008757A">
        <w:trPr>
          <w:trHeight w:val="300"/>
          <w:jc w:val="center"/>
        </w:trPr>
        <w:tc>
          <w:tcPr>
            <w:tcW w:w="921" w:type="dxa"/>
            <w:shd w:val="clear" w:color="auto" w:fill="auto"/>
            <w:noWrap/>
          </w:tcPr>
          <w:p w14:paraId="4365A8C7"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ZZ10</w:t>
            </w:r>
          </w:p>
        </w:tc>
        <w:tc>
          <w:tcPr>
            <w:tcW w:w="1234" w:type="dxa"/>
          </w:tcPr>
          <w:p w14:paraId="2E08A00D"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Donín – za hřištěm</w:t>
            </w:r>
          </w:p>
        </w:tc>
        <w:tc>
          <w:tcPr>
            <w:tcW w:w="1277" w:type="dxa"/>
            <w:shd w:val="clear" w:color="auto" w:fill="auto"/>
            <w:noWrap/>
          </w:tcPr>
          <w:p w14:paraId="1BF0F0AF"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dle způsobu využití navazujícího území</w:t>
            </w:r>
          </w:p>
        </w:tc>
        <w:tc>
          <w:tcPr>
            <w:tcW w:w="1134" w:type="dxa"/>
            <w:shd w:val="clear" w:color="auto" w:fill="auto"/>
            <w:noWrap/>
          </w:tcPr>
          <w:p w14:paraId="054E3AE0"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253559ED" w14:textId="77777777" w:rsidR="000666E0" w:rsidRPr="00461C16" w:rsidRDefault="0008757A" w:rsidP="0008757A">
            <w:pPr>
              <w:pStyle w:val="Intabulka"/>
              <w:rPr>
                <w:rFonts w:ascii="Arial Narrow" w:hAnsi="Arial Narrow"/>
              </w:rPr>
            </w:pPr>
            <w:r w:rsidRPr="00461C16">
              <w:rPr>
                <w:rFonts w:ascii="Arial Narrow" w:hAnsi="Arial Narrow"/>
                <w:lang w:val="cs-CZ"/>
              </w:rPr>
              <w:t>n</w:t>
            </w:r>
            <w:r w:rsidR="000666E0" w:rsidRPr="00461C16">
              <w:rPr>
                <w:rFonts w:ascii="Arial Narrow" w:hAnsi="Arial Narrow"/>
              </w:rPr>
              <w:t>epřevzato</w:t>
            </w:r>
            <w:r w:rsidRPr="00461C16">
              <w:rPr>
                <w:rFonts w:ascii="Arial Narrow" w:hAnsi="Arial Narrow"/>
                <w:lang w:val="cs-CZ"/>
              </w:rPr>
              <w:t xml:space="preserve">, území stabilizováno </w:t>
            </w:r>
            <w:r w:rsidR="000666E0" w:rsidRPr="00461C16">
              <w:rPr>
                <w:rFonts w:ascii="Arial Narrow" w:hAnsi="Arial Narrow"/>
              </w:rPr>
              <w:t>jako plochy nezastavěného území – zemědělské</w:t>
            </w:r>
          </w:p>
        </w:tc>
        <w:tc>
          <w:tcPr>
            <w:tcW w:w="2621" w:type="dxa"/>
            <w:shd w:val="clear" w:color="auto" w:fill="auto"/>
            <w:noWrap/>
          </w:tcPr>
          <w:p w14:paraId="0AC79592" w14:textId="77777777" w:rsidR="000666E0" w:rsidRPr="00461C16" w:rsidRDefault="0008757A" w:rsidP="00413CFE">
            <w:pPr>
              <w:pStyle w:val="Intabulka"/>
              <w:rPr>
                <w:rFonts w:ascii="Arial Narrow" w:hAnsi="Arial Narrow"/>
                <w:lang w:val="cs-CZ"/>
              </w:rPr>
            </w:pPr>
            <w:r w:rsidRPr="00461C16">
              <w:rPr>
                <w:rFonts w:ascii="Arial Narrow" w:hAnsi="Arial Narrow"/>
                <w:lang w:val="cs-CZ"/>
              </w:rPr>
              <w:t>nežádoucí rozpínání zástavby do volné krajiny</w:t>
            </w:r>
          </w:p>
        </w:tc>
      </w:tr>
      <w:tr w:rsidR="000666E0" w:rsidRPr="00461C16" w14:paraId="0859C066" w14:textId="77777777" w:rsidTr="0008757A">
        <w:trPr>
          <w:trHeight w:val="300"/>
          <w:jc w:val="center"/>
        </w:trPr>
        <w:tc>
          <w:tcPr>
            <w:tcW w:w="921" w:type="dxa"/>
            <w:shd w:val="clear" w:color="auto" w:fill="auto"/>
            <w:noWrap/>
          </w:tcPr>
          <w:p w14:paraId="10F9162D" w14:textId="77777777" w:rsidR="000666E0" w:rsidRPr="00461C16" w:rsidRDefault="000666E0" w:rsidP="00413CFE">
            <w:pPr>
              <w:spacing w:before="40" w:after="40"/>
              <w:rPr>
                <w:sz w:val="20"/>
              </w:rPr>
            </w:pPr>
            <w:r w:rsidRPr="00461C16">
              <w:rPr>
                <w:sz w:val="20"/>
              </w:rPr>
              <w:t>ZZ11</w:t>
            </w:r>
          </w:p>
        </w:tc>
        <w:tc>
          <w:tcPr>
            <w:tcW w:w="1234" w:type="dxa"/>
          </w:tcPr>
          <w:p w14:paraId="3ED46ACE"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Donín – pod ul. Donínská</w:t>
            </w:r>
          </w:p>
        </w:tc>
        <w:tc>
          <w:tcPr>
            <w:tcW w:w="1277" w:type="dxa"/>
            <w:shd w:val="clear" w:color="auto" w:fill="auto"/>
            <w:noWrap/>
          </w:tcPr>
          <w:p w14:paraId="76122BFC"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dle způsobu využití navazujícího území</w:t>
            </w:r>
          </w:p>
        </w:tc>
        <w:tc>
          <w:tcPr>
            <w:tcW w:w="1134" w:type="dxa"/>
            <w:shd w:val="clear" w:color="auto" w:fill="auto"/>
            <w:noWrap/>
          </w:tcPr>
          <w:p w14:paraId="322E69DE"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39A04549" w14:textId="77777777" w:rsidR="000666E0" w:rsidRPr="00571A8B" w:rsidRDefault="0008757A" w:rsidP="00571A8B">
            <w:pPr>
              <w:pStyle w:val="Intabulka"/>
              <w:rPr>
                <w:rFonts w:ascii="Arial Narrow" w:hAnsi="Arial Narrow"/>
                <w:lang w:val="cs-CZ"/>
              </w:rPr>
            </w:pPr>
            <w:r w:rsidRPr="00461C16">
              <w:rPr>
                <w:rFonts w:ascii="Arial Narrow" w:hAnsi="Arial Narrow"/>
                <w:lang w:val="cs-CZ"/>
              </w:rPr>
              <w:t>p</w:t>
            </w:r>
            <w:r w:rsidR="000666E0" w:rsidRPr="00461C16">
              <w:rPr>
                <w:rFonts w:ascii="Arial Narrow" w:hAnsi="Arial Narrow"/>
              </w:rPr>
              <w:t xml:space="preserve">řevzato </w:t>
            </w:r>
            <w:r w:rsidR="00571A8B">
              <w:rPr>
                <w:rFonts w:ascii="Arial Narrow" w:hAnsi="Arial Narrow"/>
                <w:lang w:val="cs-CZ"/>
              </w:rPr>
              <w:t xml:space="preserve">zčásti </w:t>
            </w:r>
            <w:r w:rsidR="000666E0" w:rsidRPr="00461C16">
              <w:rPr>
                <w:rFonts w:ascii="Arial Narrow" w:hAnsi="Arial Narrow"/>
              </w:rPr>
              <w:t>jako plochy Z70(BI)</w:t>
            </w:r>
            <w:r w:rsidR="00571A8B">
              <w:rPr>
                <w:rFonts w:ascii="Arial Narrow" w:hAnsi="Arial Narrow"/>
                <w:lang w:val="cs-CZ"/>
              </w:rPr>
              <w:t xml:space="preserve"> a</w:t>
            </w:r>
            <w:r w:rsidR="000666E0" w:rsidRPr="00461C16">
              <w:rPr>
                <w:rFonts w:ascii="Arial Narrow" w:hAnsi="Arial Narrow"/>
              </w:rPr>
              <w:t xml:space="preserve"> , Z71(BI)</w:t>
            </w:r>
            <w:r w:rsidR="00571A8B">
              <w:rPr>
                <w:rFonts w:ascii="Arial Narrow" w:hAnsi="Arial Narrow"/>
                <w:lang w:val="cs-CZ"/>
              </w:rPr>
              <w:t xml:space="preserve">, zbývající část stabilizována jako plochy </w:t>
            </w:r>
            <w:r w:rsidR="00571A8B" w:rsidRPr="00461C16">
              <w:rPr>
                <w:rFonts w:ascii="Arial Narrow" w:hAnsi="Arial Narrow"/>
              </w:rPr>
              <w:t>nezastavěného území – zemědělské</w:t>
            </w:r>
            <w:r w:rsidR="00571A8B">
              <w:rPr>
                <w:rFonts w:ascii="Arial Narrow" w:hAnsi="Arial Narrow"/>
                <w:lang w:val="cs-CZ"/>
              </w:rPr>
              <w:t xml:space="preserve"> </w:t>
            </w:r>
          </w:p>
        </w:tc>
        <w:tc>
          <w:tcPr>
            <w:tcW w:w="2621" w:type="dxa"/>
            <w:shd w:val="clear" w:color="auto" w:fill="auto"/>
            <w:noWrap/>
          </w:tcPr>
          <w:p w14:paraId="548EE0FA" w14:textId="77777777" w:rsidR="000666E0" w:rsidRPr="00461C16" w:rsidRDefault="0008757A" w:rsidP="0008757A">
            <w:pPr>
              <w:pStyle w:val="Intabulka"/>
              <w:rPr>
                <w:rFonts w:ascii="Arial Narrow" w:hAnsi="Arial Narrow"/>
                <w:lang w:val="cs-CZ"/>
              </w:rPr>
            </w:pPr>
            <w:r w:rsidRPr="00461C16">
              <w:rPr>
                <w:rFonts w:ascii="Arial Narrow" w:hAnsi="Arial Narrow"/>
                <w:lang w:val="cs-CZ"/>
              </w:rPr>
              <w:t xml:space="preserve">využití </w:t>
            </w:r>
            <w:r w:rsidR="00571A8B">
              <w:rPr>
                <w:rFonts w:ascii="Arial Narrow" w:hAnsi="Arial Narrow"/>
                <w:lang w:val="cs-CZ"/>
              </w:rPr>
              <w:t xml:space="preserve">části </w:t>
            </w:r>
            <w:r w:rsidRPr="00461C16">
              <w:rPr>
                <w:rFonts w:ascii="Arial Narrow" w:hAnsi="Arial Narrow"/>
                <w:lang w:val="cs-CZ"/>
              </w:rPr>
              <w:t xml:space="preserve">proluky, scelení zástavby, v souladu s koncepcí ÚP </w:t>
            </w:r>
          </w:p>
        </w:tc>
      </w:tr>
      <w:tr w:rsidR="000666E0" w:rsidRPr="00461C16" w14:paraId="35CC837E" w14:textId="77777777" w:rsidTr="0008757A">
        <w:trPr>
          <w:trHeight w:val="300"/>
          <w:jc w:val="center"/>
        </w:trPr>
        <w:tc>
          <w:tcPr>
            <w:tcW w:w="921" w:type="dxa"/>
            <w:shd w:val="clear" w:color="auto" w:fill="auto"/>
            <w:noWrap/>
          </w:tcPr>
          <w:p w14:paraId="7636B9E8" w14:textId="77777777" w:rsidR="000666E0" w:rsidRPr="00461C16" w:rsidRDefault="000666E0" w:rsidP="00413CFE">
            <w:pPr>
              <w:spacing w:before="40" w:after="40"/>
              <w:rPr>
                <w:sz w:val="20"/>
              </w:rPr>
            </w:pPr>
            <w:r w:rsidRPr="00461C16">
              <w:rPr>
                <w:sz w:val="20"/>
              </w:rPr>
              <w:t>ZZ12</w:t>
            </w:r>
          </w:p>
        </w:tc>
        <w:tc>
          <w:tcPr>
            <w:tcW w:w="1234" w:type="dxa"/>
          </w:tcPr>
          <w:p w14:paraId="2C86E39B"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Donín</w:t>
            </w:r>
          </w:p>
        </w:tc>
        <w:tc>
          <w:tcPr>
            <w:tcW w:w="1277" w:type="dxa"/>
            <w:shd w:val="clear" w:color="auto" w:fill="auto"/>
            <w:noWrap/>
          </w:tcPr>
          <w:p w14:paraId="4DD6818E"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39351308"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4427E9B4" w14:textId="77777777" w:rsidR="000666E0" w:rsidRPr="00461C16" w:rsidRDefault="0008757A" w:rsidP="0008757A">
            <w:pPr>
              <w:pStyle w:val="Intabulka"/>
              <w:rPr>
                <w:rFonts w:ascii="Arial Narrow" w:hAnsi="Arial Narrow"/>
                <w:lang w:val="cs-CZ"/>
              </w:rPr>
            </w:pPr>
            <w:r w:rsidRPr="00461C16">
              <w:rPr>
                <w:rFonts w:ascii="Arial Narrow" w:hAnsi="Arial Narrow"/>
                <w:lang w:val="cs-CZ"/>
              </w:rPr>
              <w:t>p</w:t>
            </w:r>
            <w:r w:rsidR="000666E0" w:rsidRPr="00461C16">
              <w:rPr>
                <w:rFonts w:ascii="Arial Narrow" w:hAnsi="Arial Narrow"/>
              </w:rPr>
              <w:t xml:space="preserve">řevzato, vymezeno jako plocha </w:t>
            </w:r>
            <w:r w:rsidRPr="00461C16">
              <w:rPr>
                <w:rFonts w:ascii="Arial Narrow" w:hAnsi="Arial Narrow"/>
                <w:lang w:val="cs-CZ"/>
              </w:rPr>
              <w:t xml:space="preserve">pro městské a příměstské bydlení </w:t>
            </w:r>
            <w:r w:rsidR="000666E0" w:rsidRPr="00461C16">
              <w:rPr>
                <w:rFonts w:ascii="Arial Narrow" w:hAnsi="Arial Narrow"/>
              </w:rPr>
              <w:t>Z67</w:t>
            </w:r>
            <w:r w:rsidRPr="00461C16">
              <w:rPr>
                <w:rFonts w:ascii="Arial Narrow" w:hAnsi="Arial Narrow"/>
                <w:lang w:val="cs-CZ"/>
              </w:rPr>
              <w:t>, zčásti stav</w:t>
            </w:r>
          </w:p>
        </w:tc>
        <w:tc>
          <w:tcPr>
            <w:tcW w:w="2621" w:type="dxa"/>
            <w:shd w:val="clear" w:color="auto" w:fill="auto"/>
            <w:noWrap/>
          </w:tcPr>
          <w:p w14:paraId="4A3D8963" w14:textId="77777777" w:rsidR="000666E0" w:rsidRPr="00461C16" w:rsidRDefault="0008757A" w:rsidP="00413CFE">
            <w:pPr>
              <w:pStyle w:val="Intabulka"/>
              <w:rPr>
                <w:rFonts w:ascii="Arial Narrow" w:hAnsi="Arial Narrow"/>
                <w:lang w:val="cs-CZ"/>
              </w:rPr>
            </w:pPr>
            <w:r w:rsidRPr="00461C16">
              <w:rPr>
                <w:rFonts w:ascii="Arial Narrow" w:hAnsi="Arial Narrow"/>
                <w:lang w:val="cs-CZ"/>
              </w:rPr>
              <w:t>v části zohlednění skutečného využití území, dotvoření jižní hrany zástavby</w:t>
            </w:r>
          </w:p>
        </w:tc>
      </w:tr>
      <w:tr w:rsidR="000666E0" w:rsidRPr="00461C16" w14:paraId="2D45E77C" w14:textId="77777777" w:rsidTr="0008757A">
        <w:trPr>
          <w:trHeight w:val="300"/>
          <w:jc w:val="center"/>
        </w:trPr>
        <w:tc>
          <w:tcPr>
            <w:tcW w:w="921" w:type="dxa"/>
            <w:shd w:val="clear" w:color="auto" w:fill="auto"/>
            <w:noWrap/>
          </w:tcPr>
          <w:p w14:paraId="01DD3B2A" w14:textId="77777777" w:rsidR="000666E0" w:rsidRPr="00461C16" w:rsidRDefault="000666E0" w:rsidP="00413CFE">
            <w:pPr>
              <w:spacing w:before="40" w:after="40"/>
              <w:rPr>
                <w:sz w:val="20"/>
              </w:rPr>
            </w:pPr>
            <w:r w:rsidRPr="00461C16">
              <w:rPr>
                <w:sz w:val="20"/>
              </w:rPr>
              <w:t>ZZ13</w:t>
            </w:r>
          </w:p>
        </w:tc>
        <w:tc>
          <w:tcPr>
            <w:tcW w:w="1234" w:type="dxa"/>
          </w:tcPr>
          <w:p w14:paraId="1F336B30"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Trojzemí</w:t>
            </w:r>
          </w:p>
        </w:tc>
        <w:tc>
          <w:tcPr>
            <w:tcW w:w="1277" w:type="dxa"/>
            <w:shd w:val="clear" w:color="auto" w:fill="auto"/>
            <w:noWrap/>
          </w:tcPr>
          <w:p w14:paraId="12A3DB5F"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rekreace, sport, veřejná zeleň</w:t>
            </w:r>
          </w:p>
        </w:tc>
        <w:tc>
          <w:tcPr>
            <w:tcW w:w="1134" w:type="dxa"/>
            <w:shd w:val="clear" w:color="auto" w:fill="auto"/>
            <w:noWrap/>
          </w:tcPr>
          <w:p w14:paraId="33238834"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752D11AC" w14:textId="77777777" w:rsidR="000666E0" w:rsidRPr="00461C16" w:rsidRDefault="00740216" w:rsidP="00081E2A">
            <w:pPr>
              <w:pStyle w:val="Intabulka"/>
              <w:rPr>
                <w:rFonts w:ascii="Arial Narrow" w:hAnsi="Arial Narrow"/>
              </w:rPr>
            </w:pPr>
            <w:r w:rsidRPr="00461C16">
              <w:rPr>
                <w:rFonts w:ascii="Arial Narrow" w:hAnsi="Arial Narrow"/>
                <w:lang w:val="cs-CZ"/>
              </w:rPr>
              <w:t>p</w:t>
            </w:r>
            <w:r w:rsidR="000666E0" w:rsidRPr="00461C16">
              <w:rPr>
                <w:rFonts w:ascii="Arial Narrow" w:hAnsi="Arial Narrow"/>
              </w:rPr>
              <w:t>řevzato, vymezeno jako plocha</w:t>
            </w:r>
            <w:r w:rsidRPr="00461C16">
              <w:rPr>
                <w:rFonts w:ascii="Arial Narrow" w:hAnsi="Arial Narrow"/>
                <w:lang w:val="cs-CZ"/>
              </w:rPr>
              <w:t xml:space="preserve"> veřejného prostranství – veřejná zeleň</w:t>
            </w:r>
            <w:r w:rsidR="000666E0" w:rsidRPr="00461C16">
              <w:rPr>
                <w:rFonts w:ascii="Arial Narrow" w:hAnsi="Arial Narrow"/>
              </w:rPr>
              <w:t xml:space="preserve"> Z31</w:t>
            </w:r>
          </w:p>
        </w:tc>
        <w:tc>
          <w:tcPr>
            <w:tcW w:w="2621" w:type="dxa"/>
            <w:shd w:val="clear" w:color="auto" w:fill="auto"/>
            <w:noWrap/>
          </w:tcPr>
          <w:p w14:paraId="5D0BEB12" w14:textId="77777777" w:rsidR="000666E0" w:rsidRPr="00461C16" w:rsidRDefault="00740216" w:rsidP="00413CFE">
            <w:pPr>
              <w:pStyle w:val="Intabulka"/>
              <w:rPr>
                <w:rFonts w:ascii="Arial Narrow" w:hAnsi="Arial Narrow"/>
                <w:lang w:val="cs-CZ"/>
              </w:rPr>
            </w:pPr>
            <w:r w:rsidRPr="00461C16">
              <w:rPr>
                <w:rFonts w:ascii="Arial Narrow" w:hAnsi="Arial Narrow"/>
                <w:lang w:val="cs-CZ"/>
              </w:rPr>
              <w:t>posílení významu lokality, zkvalitnění zázemí a podpora infrastruktury cestovního ruchu</w:t>
            </w:r>
          </w:p>
        </w:tc>
      </w:tr>
      <w:tr w:rsidR="00740216" w:rsidRPr="00461C16" w14:paraId="254122E2" w14:textId="77777777" w:rsidTr="0008757A">
        <w:trPr>
          <w:trHeight w:val="300"/>
          <w:jc w:val="center"/>
        </w:trPr>
        <w:tc>
          <w:tcPr>
            <w:tcW w:w="921" w:type="dxa"/>
            <w:shd w:val="clear" w:color="auto" w:fill="auto"/>
            <w:noWrap/>
          </w:tcPr>
          <w:p w14:paraId="6DCE40A2" w14:textId="77777777" w:rsidR="00740216" w:rsidRPr="00461C16" w:rsidRDefault="00740216" w:rsidP="00413CFE">
            <w:pPr>
              <w:spacing w:before="40" w:after="40"/>
              <w:rPr>
                <w:sz w:val="20"/>
              </w:rPr>
            </w:pPr>
            <w:r w:rsidRPr="00461C16">
              <w:rPr>
                <w:sz w:val="20"/>
              </w:rPr>
              <w:t>ZZ14</w:t>
            </w:r>
          </w:p>
        </w:tc>
        <w:tc>
          <w:tcPr>
            <w:tcW w:w="1234" w:type="dxa"/>
          </w:tcPr>
          <w:p w14:paraId="1C9276B9" w14:textId="77777777" w:rsidR="00740216" w:rsidRPr="00461C16" w:rsidRDefault="00740216" w:rsidP="00413CFE">
            <w:pPr>
              <w:pStyle w:val="Intabulka"/>
              <w:rPr>
                <w:rFonts w:ascii="Arial Narrow" w:hAnsi="Arial Narrow"/>
                <w:lang w:val="cs-CZ"/>
              </w:rPr>
            </w:pPr>
            <w:r w:rsidRPr="00461C16">
              <w:rPr>
                <w:rFonts w:ascii="Arial Narrow" w:hAnsi="Arial Narrow"/>
                <w:lang w:val="cs-CZ"/>
              </w:rPr>
              <w:t>Kristýna – bývalá skládka</w:t>
            </w:r>
          </w:p>
        </w:tc>
        <w:tc>
          <w:tcPr>
            <w:tcW w:w="1277" w:type="dxa"/>
            <w:shd w:val="clear" w:color="auto" w:fill="auto"/>
            <w:noWrap/>
          </w:tcPr>
          <w:p w14:paraId="39E15207" w14:textId="77777777" w:rsidR="00740216" w:rsidRPr="00461C16" w:rsidRDefault="00740216" w:rsidP="00413CFE">
            <w:pPr>
              <w:pStyle w:val="Intabulka"/>
              <w:rPr>
                <w:rFonts w:ascii="Arial Narrow" w:hAnsi="Arial Narrow"/>
                <w:lang w:val="cs-CZ"/>
              </w:rPr>
            </w:pPr>
            <w:r w:rsidRPr="00461C16">
              <w:rPr>
                <w:rFonts w:ascii="Arial Narrow" w:hAnsi="Arial Narrow"/>
                <w:lang w:val="cs-CZ"/>
              </w:rPr>
              <w:t>rekreace, sport</w:t>
            </w:r>
          </w:p>
        </w:tc>
        <w:tc>
          <w:tcPr>
            <w:tcW w:w="1134" w:type="dxa"/>
            <w:shd w:val="clear" w:color="auto" w:fill="auto"/>
            <w:noWrap/>
          </w:tcPr>
          <w:p w14:paraId="1414A093" w14:textId="77777777" w:rsidR="00740216" w:rsidRPr="00461C16" w:rsidRDefault="00740216"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7660EC8F" w14:textId="77777777" w:rsidR="00740216" w:rsidRPr="00461C16" w:rsidRDefault="00740216" w:rsidP="00740216">
            <w:pPr>
              <w:pStyle w:val="Intabulka"/>
              <w:rPr>
                <w:rFonts w:ascii="Arial Narrow" w:hAnsi="Arial Narrow"/>
              </w:rPr>
            </w:pPr>
            <w:r w:rsidRPr="00461C16">
              <w:rPr>
                <w:rFonts w:ascii="Arial Narrow" w:hAnsi="Arial Narrow"/>
                <w:lang w:val="cs-CZ"/>
              </w:rPr>
              <w:t>p</w:t>
            </w:r>
            <w:r w:rsidRPr="00461C16">
              <w:rPr>
                <w:rFonts w:ascii="Arial Narrow" w:hAnsi="Arial Narrow"/>
              </w:rPr>
              <w:t xml:space="preserve">řevzato </w:t>
            </w:r>
            <w:r w:rsidRPr="00461C16">
              <w:rPr>
                <w:rFonts w:ascii="Arial Narrow" w:hAnsi="Arial Narrow"/>
                <w:lang w:val="cs-CZ"/>
              </w:rPr>
              <w:t>-</w:t>
            </w:r>
            <w:r w:rsidRPr="00461C16">
              <w:rPr>
                <w:rFonts w:ascii="Arial Narrow" w:hAnsi="Arial Narrow"/>
              </w:rPr>
              <w:t xml:space="preserve"> vymezeno jako plocha </w:t>
            </w:r>
            <w:r w:rsidRPr="00461C16">
              <w:rPr>
                <w:rFonts w:ascii="Arial Narrow" w:hAnsi="Arial Narrow"/>
                <w:lang w:val="cs-CZ"/>
              </w:rPr>
              <w:t xml:space="preserve">rekreace </w:t>
            </w:r>
            <w:r w:rsidRPr="00461C16">
              <w:rPr>
                <w:rFonts w:ascii="Arial Narrow" w:hAnsi="Arial Narrow"/>
              </w:rPr>
              <w:t>Z32 (RN)</w:t>
            </w:r>
            <w:r w:rsidRPr="00461C16">
              <w:rPr>
                <w:rFonts w:ascii="Arial Narrow" w:hAnsi="Arial Narrow"/>
                <w:lang w:val="cs-CZ"/>
              </w:rPr>
              <w:t xml:space="preserve">, částečně jako stav - </w:t>
            </w:r>
            <w:r w:rsidRPr="00461C16">
              <w:rPr>
                <w:rFonts w:ascii="Arial Narrow" w:hAnsi="Arial Narrow"/>
              </w:rPr>
              <w:t>plocha rekreace hromadné</w:t>
            </w:r>
          </w:p>
        </w:tc>
        <w:tc>
          <w:tcPr>
            <w:tcW w:w="2621" w:type="dxa"/>
            <w:shd w:val="clear" w:color="auto" w:fill="auto"/>
            <w:noWrap/>
          </w:tcPr>
          <w:p w14:paraId="7F601CE3" w14:textId="77777777" w:rsidR="00740216" w:rsidRPr="00461C16" w:rsidRDefault="00740216" w:rsidP="00740216">
            <w:pPr>
              <w:pStyle w:val="Intabulka"/>
              <w:rPr>
                <w:rFonts w:ascii="Arial Narrow" w:hAnsi="Arial Narrow"/>
                <w:lang w:val="cs-CZ"/>
              </w:rPr>
            </w:pPr>
            <w:r w:rsidRPr="00461C16">
              <w:rPr>
                <w:rFonts w:ascii="Arial Narrow" w:hAnsi="Arial Narrow"/>
                <w:lang w:val="cs-CZ"/>
              </w:rPr>
              <w:t>využití potenciálu a posílení významu rekreačního areálu, zkvalitnění infrastruktury služeb, podpora rekreace a cestovního ruchu, v části zohlednění skutečného využití území</w:t>
            </w:r>
          </w:p>
        </w:tc>
      </w:tr>
      <w:tr w:rsidR="000666E0" w:rsidRPr="00461C16" w14:paraId="46A1469B" w14:textId="77777777" w:rsidTr="0008757A">
        <w:trPr>
          <w:trHeight w:val="300"/>
          <w:jc w:val="center"/>
        </w:trPr>
        <w:tc>
          <w:tcPr>
            <w:tcW w:w="921" w:type="dxa"/>
            <w:shd w:val="clear" w:color="auto" w:fill="auto"/>
            <w:noWrap/>
          </w:tcPr>
          <w:p w14:paraId="4EE3F9AA" w14:textId="77777777" w:rsidR="000666E0" w:rsidRPr="00461C16" w:rsidRDefault="000666E0" w:rsidP="00413CFE">
            <w:pPr>
              <w:spacing w:before="40" w:after="40"/>
              <w:rPr>
                <w:sz w:val="20"/>
              </w:rPr>
            </w:pPr>
            <w:r w:rsidRPr="00461C16">
              <w:rPr>
                <w:sz w:val="20"/>
              </w:rPr>
              <w:t>ZZ15</w:t>
            </w:r>
          </w:p>
        </w:tc>
        <w:tc>
          <w:tcPr>
            <w:tcW w:w="1234" w:type="dxa"/>
          </w:tcPr>
          <w:p w14:paraId="1AEDC620"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lokalita Zatáčka</w:t>
            </w:r>
          </w:p>
        </w:tc>
        <w:tc>
          <w:tcPr>
            <w:tcW w:w="1277" w:type="dxa"/>
            <w:shd w:val="clear" w:color="auto" w:fill="auto"/>
            <w:noWrap/>
          </w:tcPr>
          <w:p w14:paraId="2ED68B86"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občanská vybavenost, služby</w:t>
            </w:r>
          </w:p>
        </w:tc>
        <w:tc>
          <w:tcPr>
            <w:tcW w:w="1134" w:type="dxa"/>
            <w:shd w:val="clear" w:color="auto" w:fill="auto"/>
            <w:noWrap/>
          </w:tcPr>
          <w:p w14:paraId="77B35B9C"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36CE57E6" w14:textId="77777777" w:rsidR="000666E0" w:rsidRPr="00461C16" w:rsidRDefault="00740216" w:rsidP="00081E2A">
            <w:pPr>
              <w:pStyle w:val="Intabulka"/>
              <w:rPr>
                <w:rFonts w:ascii="Arial Narrow" w:hAnsi="Arial Narrow"/>
              </w:rPr>
            </w:pPr>
            <w:r w:rsidRPr="00461C16">
              <w:rPr>
                <w:rFonts w:ascii="Arial Narrow" w:hAnsi="Arial Narrow"/>
                <w:lang w:val="cs-CZ"/>
              </w:rPr>
              <w:t>z</w:t>
            </w:r>
            <w:r w:rsidR="000666E0" w:rsidRPr="00461C16">
              <w:rPr>
                <w:rFonts w:ascii="Arial Narrow" w:hAnsi="Arial Narrow"/>
              </w:rPr>
              <w:t>áměr potvrzen</w:t>
            </w:r>
            <w:r w:rsidRPr="00461C16">
              <w:rPr>
                <w:rFonts w:ascii="Arial Narrow" w:hAnsi="Arial Narrow"/>
                <w:lang w:val="cs-CZ"/>
              </w:rPr>
              <w:t xml:space="preserve"> výhledově</w:t>
            </w:r>
            <w:r w:rsidR="000666E0" w:rsidRPr="00461C16">
              <w:rPr>
                <w:rFonts w:ascii="Arial Narrow" w:hAnsi="Arial Narrow"/>
              </w:rPr>
              <w:t>, vymezeno jako územní rezerva R02</w:t>
            </w:r>
          </w:p>
        </w:tc>
        <w:tc>
          <w:tcPr>
            <w:tcW w:w="2621" w:type="dxa"/>
            <w:shd w:val="clear" w:color="auto" w:fill="auto"/>
            <w:noWrap/>
          </w:tcPr>
          <w:p w14:paraId="250EDF82" w14:textId="77777777" w:rsidR="000666E0" w:rsidRPr="00461C16" w:rsidRDefault="00740216" w:rsidP="00413CFE">
            <w:pPr>
              <w:pStyle w:val="Intabulka"/>
              <w:rPr>
                <w:rFonts w:ascii="Arial Narrow" w:hAnsi="Arial Narrow"/>
                <w:lang w:val="cs-CZ"/>
              </w:rPr>
            </w:pPr>
            <w:r w:rsidRPr="00461C16">
              <w:rPr>
                <w:rFonts w:ascii="Arial Narrow" w:hAnsi="Arial Narrow"/>
                <w:lang w:val="cs-CZ"/>
              </w:rPr>
              <w:t>nedoporučeno jako návrhová plocha z důvodu polohy v záplavovém území</w:t>
            </w:r>
          </w:p>
        </w:tc>
      </w:tr>
      <w:tr w:rsidR="000666E0" w:rsidRPr="00461C16" w14:paraId="5F9542B7" w14:textId="77777777" w:rsidTr="0008757A">
        <w:trPr>
          <w:trHeight w:val="300"/>
          <w:jc w:val="center"/>
        </w:trPr>
        <w:tc>
          <w:tcPr>
            <w:tcW w:w="921" w:type="dxa"/>
            <w:shd w:val="clear" w:color="auto" w:fill="auto"/>
            <w:noWrap/>
          </w:tcPr>
          <w:p w14:paraId="341E93FB" w14:textId="77777777" w:rsidR="000666E0" w:rsidRPr="00461C16" w:rsidRDefault="000666E0" w:rsidP="00413CFE">
            <w:pPr>
              <w:spacing w:before="40" w:after="40"/>
              <w:rPr>
                <w:sz w:val="20"/>
              </w:rPr>
            </w:pPr>
            <w:r w:rsidRPr="00461C16">
              <w:rPr>
                <w:sz w:val="20"/>
              </w:rPr>
              <w:t>ZZ16</w:t>
            </w:r>
          </w:p>
        </w:tc>
        <w:tc>
          <w:tcPr>
            <w:tcW w:w="1234" w:type="dxa"/>
          </w:tcPr>
          <w:p w14:paraId="141FDEB3"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Lužická Nisa – úsek mezi částí Hrádek n.N. a státní hranicí</w:t>
            </w:r>
          </w:p>
        </w:tc>
        <w:tc>
          <w:tcPr>
            <w:tcW w:w="1277" w:type="dxa"/>
            <w:shd w:val="clear" w:color="auto" w:fill="auto"/>
            <w:noWrap/>
          </w:tcPr>
          <w:p w14:paraId="25AF3CB1"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 xml:space="preserve">protipovodňová opatření </w:t>
            </w:r>
          </w:p>
        </w:tc>
        <w:tc>
          <w:tcPr>
            <w:tcW w:w="1134" w:type="dxa"/>
            <w:shd w:val="clear" w:color="auto" w:fill="auto"/>
            <w:noWrap/>
          </w:tcPr>
          <w:p w14:paraId="4EB8069A"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04E2138C" w14:textId="77777777" w:rsidR="000666E0" w:rsidRPr="00461C16" w:rsidRDefault="000666E0" w:rsidP="00081E2A">
            <w:pPr>
              <w:pStyle w:val="Intabulka"/>
              <w:rPr>
                <w:rFonts w:ascii="Arial Narrow" w:hAnsi="Arial Narrow"/>
                <w:lang w:val="cs-CZ"/>
              </w:rPr>
            </w:pPr>
            <w:r w:rsidRPr="00461C16">
              <w:rPr>
                <w:rFonts w:ascii="Arial Narrow" w:hAnsi="Arial Narrow"/>
              </w:rPr>
              <w:t>převzato</w:t>
            </w:r>
            <w:r w:rsidR="00740216" w:rsidRPr="00461C16">
              <w:rPr>
                <w:rFonts w:ascii="Arial Narrow" w:hAnsi="Arial Narrow"/>
                <w:lang w:val="cs-CZ"/>
              </w:rPr>
              <w:t>, vymezen koridor protipovodňových opatření X02</w:t>
            </w:r>
          </w:p>
        </w:tc>
        <w:tc>
          <w:tcPr>
            <w:tcW w:w="2621" w:type="dxa"/>
            <w:shd w:val="clear" w:color="auto" w:fill="auto"/>
            <w:noWrap/>
          </w:tcPr>
          <w:p w14:paraId="70148DEA" w14:textId="77777777" w:rsidR="000666E0" w:rsidRPr="00461C16" w:rsidRDefault="00740216" w:rsidP="00740216">
            <w:pPr>
              <w:pStyle w:val="Intabulka"/>
              <w:rPr>
                <w:rFonts w:ascii="Arial Narrow" w:hAnsi="Arial Narrow"/>
                <w:lang w:val="cs-CZ"/>
              </w:rPr>
            </w:pPr>
            <w:r w:rsidRPr="00461C16">
              <w:rPr>
                <w:rFonts w:ascii="Arial Narrow" w:hAnsi="Arial Narrow"/>
                <w:lang w:val="cs-CZ"/>
              </w:rPr>
              <w:t>nutnost ochrany zástavby města a vytvoření možnosti využití proluk zejména v centrální části</w:t>
            </w:r>
          </w:p>
        </w:tc>
      </w:tr>
      <w:tr w:rsidR="000666E0" w:rsidRPr="00461C16" w14:paraId="3D99209F" w14:textId="77777777" w:rsidTr="0008757A">
        <w:trPr>
          <w:trHeight w:val="300"/>
          <w:jc w:val="center"/>
        </w:trPr>
        <w:tc>
          <w:tcPr>
            <w:tcW w:w="921" w:type="dxa"/>
            <w:shd w:val="clear" w:color="auto" w:fill="auto"/>
            <w:noWrap/>
          </w:tcPr>
          <w:p w14:paraId="7C2D584B" w14:textId="77777777" w:rsidR="000666E0" w:rsidRPr="00461C16" w:rsidRDefault="000666E0" w:rsidP="00413CFE">
            <w:pPr>
              <w:spacing w:before="40" w:after="40"/>
              <w:rPr>
                <w:sz w:val="20"/>
              </w:rPr>
            </w:pPr>
            <w:r w:rsidRPr="00461C16">
              <w:rPr>
                <w:sz w:val="20"/>
              </w:rPr>
              <w:t>ZZ17</w:t>
            </w:r>
          </w:p>
        </w:tc>
        <w:tc>
          <w:tcPr>
            <w:tcW w:w="1234" w:type="dxa"/>
          </w:tcPr>
          <w:p w14:paraId="72A13213"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ul. Václavská, Hrádek nad Nisou (p.p.č.</w:t>
            </w:r>
            <w:r w:rsidR="00B345B4" w:rsidRPr="00461C16">
              <w:rPr>
                <w:rFonts w:ascii="Arial Narrow" w:hAnsi="Arial Narrow"/>
                <w:lang w:val="cs-CZ"/>
              </w:rPr>
              <w:t xml:space="preserve"> </w:t>
            </w:r>
            <w:r w:rsidRPr="00461C16">
              <w:rPr>
                <w:rFonts w:ascii="Arial Narrow" w:hAnsi="Arial Narrow"/>
                <w:lang w:val="cs-CZ"/>
              </w:rPr>
              <w:t>431/1, 391, 392, 393, 428, 429/1, 429/2)</w:t>
            </w:r>
          </w:p>
        </w:tc>
        <w:tc>
          <w:tcPr>
            <w:tcW w:w="1277" w:type="dxa"/>
            <w:shd w:val="clear" w:color="auto" w:fill="auto"/>
            <w:noWrap/>
          </w:tcPr>
          <w:p w14:paraId="2D0AF46C"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smíšená centrální zástavba</w:t>
            </w:r>
          </w:p>
        </w:tc>
        <w:tc>
          <w:tcPr>
            <w:tcW w:w="1134" w:type="dxa"/>
            <w:shd w:val="clear" w:color="auto" w:fill="auto"/>
            <w:noWrap/>
          </w:tcPr>
          <w:p w14:paraId="184F8DE8"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Bekon</w:t>
            </w:r>
          </w:p>
        </w:tc>
        <w:tc>
          <w:tcPr>
            <w:tcW w:w="2025" w:type="dxa"/>
          </w:tcPr>
          <w:p w14:paraId="3F03B960" w14:textId="77777777" w:rsidR="000666E0" w:rsidRPr="00461C16" w:rsidRDefault="00740216" w:rsidP="00081E2A">
            <w:pPr>
              <w:pStyle w:val="Intabulka"/>
              <w:rPr>
                <w:rFonts w:ascii="Arial Narrow" w:hAnsi="Arial Narrow"/>
                <w:lang w:val="cs-CZ"/>
              </w:rPr>
            </w:pPr>
            <w:r w:rsidRPr="00461C16">
              <w:rPr>
                <w:rFonts w:ascii="Arial Narrow" w:hAnsi="Arial Narrow"/>
                <w:lang w:val="cs-CZ"/>
              </w:rPr>
              <w:t>p</w:t>
            </w:r>
            <w:r w:rsidR="000666E0" w:rsidRPr="00461C16">
              <w:rPr>
                <w:rFonts w:ascii="Arial Narrow" w:hAnsi="Arial Narrow"/>
              </w:rPr>
              <w:t>řevzato, vymezeno jako plocha přestavby P16</w:t>
            </w:r>
            <w:r w:rsidRPr="00461C16">
              <w:rPr>
                <w:rFonts w:ascii="Arial Narrow" w:hAnsi="Arial Narrow"/>
                <w:lang w:val="cs-CZ"/>
              </w:rPr>
              <w:t xml:space="preserve"> (SC)</w:t>
            </w:r>
          </w:p>
        </w:tc>
        <w:tc>
          <w:tcPr>
            <w:tcW w:w="2621" w:type="dxa"/>
            <w:shd w:val="clear" w:color="auto" w:fill="auto"/>
            <w:noWrap/>
          </w:tcPr>
          <w:p w14:paraId="0CEB6548" w14:textId="77777777" w:rsidR="000666E0" w:rsidRPr="00461C16" w:rsidRDefault="00740216" w:rsidP="00740216">
            <w:pPr>
              <w:pStyle w:val="Intabulka"/>
              <w:rPr>
                <w:rFonts w:ascii="Arial Narrow" w:hAnsi="Arial Narrow"/>
                <w:lang w:val="cs-CZ"/>
              </w:rPr>
            </w:pPr>
            <w:r w:rsidRPr="00461C16">
              <w:rPr>
                <w:rFonts w:ascii="Arial Narrow" w:hAnsi="Arial Narrow"/>
                <w:lang w:val="cs-CZ"/>
              </w:rPr>
              <w:t xml:space="preserve">v souladu s koncepcí ÚP, nutnost </w:t>
            </w:r>
            <w:r w:rsidR="000666E0" w:rsidRPr="00461C16">
              <w:rPr>
                <w:rFonts w:ascii="Arial Narrow" w:hAnsi="Arial Narrow"/>
                <w:lang w:val="cs-CZ"/>
              </w:rPr>
              <w:t>nové</w:t>
            </w:r>
            <w:r w:rsidRPr="00461C16">
              <w:rPr>
                <w:rFonts w:ascii="Arial Narrow" w:hAnsi="Arial Narrow"/>
                <w:lang w:val="cs-CZ"/>
              </w:rPr>
              <w:t>ho</w:t>
            </w:r>
            <w:r w:rsidR="000666E0" w:rsidRPr="00461C16">
              <w:rPr>
                <w:rFonts w:ascii="Arial Narrow" w:hAnsi="Arial Narrow"/>
                <w:lang w:val="cs-CZ"/>
              </w:rPr>
              <w:t xml:space="preserve"> využití brownfield</w:t>
            </w:r>
            <w:r w:rsidRPr="00461C16">
              <w:rPr>
                <w:rFonts w:ascii="Arial Narrow" w:hAnsi="Arial Narrow"/>
                <w:lang w:val="cs-CZ"/>
              </w:rPr>
              <w:t>u</w:t>
            </w:r>
            <w:r w:rsidR="000666E0" w:rsidRPr="00461C16">
              <w:rPr>
                <w:rFonts w:ascii="Arial Narrow" w:hAnsi="Arial Narrow"/>
                <w:lang w:val="cs-CZ"/>
              </w:rPr>
              <w:t xml:space="preserve"> a </w:t>
            </w:r>
            <w:r w:rsidRPr="00461C16">
              <w:rPr>
                <w:rFonts w:ascii="Arial Narrow" w:hAnsi="Arial Narrow"/>
                <w:lang w:val="cs-CZ"/>
              </w:rPr>
              <w:t xml:space="preserve">podpora </w:t>
            </w:r>
            <w:r w:rsidR="000666E0" w:rsidRPr="00461C16">
              <w:rPr>
                <w:rFonts w:ascii="Arial Narrow" w:hAnsi="Arial Narrow"/>
                <w:lang w:val="cs-CZ"/>
              </w:rPr>
              <w:t>polyfunkčnost území</w:t>
            </w:r>
            <w:r w:rsidRPr="00461C16">
              <w:rPr>
                <w:rFonts w:ascii="Arial Narrow" w:hAnsi="Arial Narrow"/>
                <w:lang w:val="cs-CZ"/>
              </w:rPr>
              <w:t xml:space="preserve"> v historickém jádru</w:t>
            </w:r>
          </w:p>
        </w:tc>
      </w:tr>
      <w:tr w:rsidR="000666E0" w:rsidRPr="00461C16" w14:paraId="1B71AE14" w14:textId="77777777" w:rsidTr="0008757A">
        <w:trPr>
          <w:trHeight w:val="300"/>
          <w:jc w:val="center"/>
        </w:trPr>
        <w:tc>
          <w:tcPr>
            <w:tcW w:w="921" w:type="dxa"/>
            <w:shd w:val="clear" w:color="auto" w:fill="auto"/>
            <w:noWrap/>
          </w:tcPr>
          <w:p w14:paraId="368546B5" w14:textId="77777777" w:rsidR="000666E0" w:rsidRPr="00461C16" w:rsidRDefault="000666E0" w:rsidP="00413CFE">
            <w:pPr>
              <w:spacing w:before="40" w:after="40"/>
              <w:rPr>
                <w:sz w:val="20"/>
              </w:rPr>
            </w:pPr>
            <w:r w:rsidRPr="00461C16">
              <w:rPr>
                <w:sz w:val="20"/>
              </w:rPr>
              <w:t>ZZ18</w:t>
            </w:r>
          </w:p>
        </w:tc>
        <w:tc>
          <w:tcPr>
            <w:tcW w:w="1234" w:type="dxa"/>
          </w:tcPr>
          <w:p w14:paraId="31F66A84"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 xml:space="preserve">ul. Legionářská – bývalá Kolora, Hrádek nad </w:t>
            </w:r>
            <w:r w:rsidRPr="00461C16">
              <w:rPr>
                <w:rFonts w:ascii="Arial Narrow" w:hAnsi="Arial Narrow"/>
                <w:lang w:val="cs-CZ"/>
              </w:rPr>
              <w:lastRenderedPageBreak/>
              <w:t>Nisou (p.p.č. 1396/1, 1396/2, 1396/3)</w:t>
            </w:r>
          </w:p>
        </w:tc>
        <w:tc>
          <w:tcPr>
            <w:tcW w:w="1277" w:type="dxa"/>
            <w:shd w:val="clear" w:color="auto" w:fill="auto"/>
            <w:noWrap/>
          </w:tcPr>
          <w:p w14:paraId="55611ED9"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lastRenderedPageBreak/>
              <w:t>smíšená centrální zástavba</w:t>
            </w:r>
          </w:p>
        </w:tc>
        <w:tc>
          <w:tcPr>
            <w:tcW w:w="1134" w:type="dxa"/>
            <w:shd w:val="clear" w:color="auto" w:fill="auto"/>
            <w:noWrap/>
          </w:tcPr>
          <w:p w14:paraId="09E93CF5"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53D4397A" w14:textId="77777777" w:rsidR="000666E0" w:rsidRPr="00461C16" w:rsidRDefault="00740216" w:rsidP="00081E2A">
            <w:pPr>
              <w:pStyle w:val="Intabulka"/>
              <w:rPr>
                <w:rFonts w:ascii="Arial Narrow" w:hAnsi="Arial Narrow"/>
                <w:lang w:val="cs-CZ"/>
              </w:rPr>
            </w:pPr>
            <w:r w:rsidRPr="00461C16">
              <w:rPr>
                <w:rFonts w:ascii="Arial Narrow" w:hAnsi="Arial Narrow"/>
                <w:lang w:val="cs-CZ"/>
              </w:rPr>
              <w:t>z</w:t>
            </w:r>
            <w:r w:rsidR="000666E0" w:rsidRPr="00461C16">
              <w:rPr>
                <w:rFonts w:ascii="Arial Narrow" w:hAnsi="Arial Narrow"/>
              </w:rPr>
              <w:t>áměr potvzen</w:t>
            </w:r>
            <w:r w:rsidRPr="00461C16">
              <w:rPr>
                <w:rFonts w:ascii="Arial Narrow" w:hAnsi="Arial Narrow"/>
                <w:lang w:val="cs-CZ"/>
              </w:rPr>
              <w:t xml:space="preserve"> výhledově</w:t>
            </w:r>
            <w:r w:rsidR="000666E0" w:rsidRPr="00461C16">
              <w:rPr>
                <w:rFonts w:ascii="Arial Narrow" w:hAnsi="Arial Narrow"/>
              </w:rPr>
              <w:t>, vymezeno jako územní rezerva R01</w:t>
            </w:r>
            <w:r w:rsidRPr="00461C16">
              <w:rPr>
                <w:rFonts w:ascii="Arial Narrow" w:hAnsi="Arial Narrow"/>
                <w:lang w:val="cs-CZ"/>
              </w:rPr>
              <w:t xml:space="preserve"> (SM)</w:t>
            </w:r>
          </w:p>
        </w:tc>
        <w:tc>
          <w:tcPr>
            <w:tcW w:w="2621" w:type="dxa"/>
            <w:shd w:val="clear" w:color="auto" w:fill="auto"/>
            <w:noWrap/>
          </w:tcPr>
          <w:p w14:paraId="0FADD930" w14:textId="77777777" w:rsidR="000666E0" w:rsidRPr="00461C16" w:rsidRDefault="00740216" w:rsidP="00740216">
            <w:pPr>
              <w:pStyle w:val="Intabulka"/>
              <w:rPr>
                <w:rFonts w:ascii="Arial Narrow" w:hAnsi="Arial Narrow"/>
                <w:lang w:val="cs-CZ"/>
              </w:rPr>
            </w:pPr>
            <w:r w:rsidRPr="00461C16">
              <w:rPr>
                <w:rFonts w:ascii="Arial Narrow" w:hAnsi="Arial Narrow"/>
                <w:lang w:val="cs-CZ"/>
              </w:rPr>
              <w:t xml:space="preserve">nedoporučeno jako návrhová plocha z důvodu existence funkčních výrobních provozů, preference navazující části </w:t>
            </w:r>
            <w:r w:rsidRPr="00461C16">
              <w:rPr>
                <w:rFonts w:ascii="Arial Narrow" w:hAnsi="Arial Narrow"/>
                <w:lang w:val="cs-CZ"/>
              </w:rPr>
              <w:lastRenderedPageBreak/>
              <w:t xml:space="preserve">brownfields v návrhovém horizontu (P28), výhledově vhodné </w:t>
            </w:r>
            <w:r w:rsidR="000666E0" w:rsidRPr="00461C16">
              <w:rPr>
                <w:rFonts w:ascii="Arial Narrow" w:hAnsi="Arial Narrow"/>
                <w:lang w:val="cs-CZ"/>
              </w:rPr>
              <w:t>podpořit nové využití br</w:t>
            </w:r>
            <w:r w:rsidRPr="00461C16">
              <w:rPr>
                <w:rFonts w:ascii="Arial Narrow" w:hAnsi="Arial Narrow"/>
                <w:lang w:val="cs-CZ"/>
              </w:rPr>
              <w:t xml:space="preserve">ownfield a polyfunkčnost území a </w:t>
            </w:r>
            <w:r w:rsidR="000666E0" w:rsidRPr="00461C16">
              <w:rPr>
                <w:rFonts w:ascii="Arial Narrow" w:hAnsi="Arial Narrow"/>
                <w:lang w:val="cs-CZ"/>
              </w:rPr>
              <w:t>posílit kompaktnost zástavby vnitřního města</w:t>
            </w:r>
          </w:p>
        </w:tc>
      </w:tr>
      <w:tr w:rsidR="000666E0" w:rsidRPr="00461C16" w14:paraId="5497C11E" w14:textId="77777777" w:rsidTr="0008757A">
        <w:trPr>
          <w:trHeight w:val="300"/>
          <w:jc w:val="center"/>
        </w:trPr>
        <w:tc>
          <w:tcPr>
            <w:tcW w:w="921" w:type="dxa"/>
            <w:shd w:val="clear" w:color="auto" w:fill="auto"/>
            <w:noWrap/>
          </w:tcPr>
          <w:p w14:paraId="732FEC1C" w14:textId="77777777" w:rsidR="000666E0" w:rsidRPr="00461C16" w:rsidRDefault="000666E0" w:rsidP="00413CFE">
            <w:pPr>
              <w:spacing w:before="40" w:after="40"/>
              <w:rPr>
                <w:sz w:val="20"/>
              </w:rPr>
            </w:pPr>
            <w:r w:rsidRPr="00461C16">
              <w:rPr>
                <w:sz w:val="20"/>
              </w:rPr>
              <w:lastRenderedPageBreak/>
              <w:t>ZZ19</w:t>
            </w:r>
          </w:p>
        </w:tc>
        <w:tc>
          <w:tcPr>
            <w:tcW w:w="1234" w:type="dxa"/>
          </w:tcPr>
          <w:p w14:paraId="1081ECE1"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ul. Polní, Hrádek nad Nisou (p.p.č. 1153/1)</w:t>
            </w:r>
          </w:p>
        </w:tc>
        <w:tc>
          <w:tcPr>
            <w:tcW w:w="1277" w:type="dxa"/>
            <w:shd w:val="clear" w:color="auto" w:fill="auto"/>
            <w:noWrap/>
          </w:tcPr>
          <w:p w14:paraId="63692D35"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54F8304E"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5062094F" w14:textId="77777777" w:rsidR="000666E0" w:rsidRPr="00461C16" w:rsidRDefault="000666E0" w:rsidP="00081E2A">
            <w:pPr>
              <w:pStyle w:val="Intabulka"/>
              <w:rPr>
                <w:rFonts w:ascii="Arial Narrow" w:hAnsi="Arial Narrow"/>
              </w:rPr>
            </w:pPr>
            <w:r w:rsidRPr="00461C16">
              <w:rPr>
                <w:rFonts w:ascii="Arial Narrow" w:hAnsi="Arial Narrow"/>
              </w:rPr>
              <w:t>vymezeno jako stabilizovaná plocha BI</w:t>
            </w:r>
          </w:p>
        </w:tc>
        <w:tc>
          <w:tcPr>
            <w:tcW w:w="2621" w:type="dxa"/>
            <w:shd w:val="clear" w:color="auto" w:fill="auto"/>
            <w:noWrap/>
          </w:tcPr>
          <w:p w14:paraId="5C0C07E5"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 ohledem na polohu uvnitř zastavěného území a na již</w:t>
            </w:r>
            <w:r w:rsidR="00740216" w:rsidRPr="00461C16">
              <w:rPr>
                <w:rFonts w:ascii="Arial Narrow" w:hAnsi="Arial Narrow"/>
                <w:lang w:val="cs-CZ"/>
              </w:rPr>
              <w:t xml:space="preserve"> realizovanou stavbu RD začlěněno</w:t>
            </w:r>
            <w:r w:rsidRPr="00461C16">
              <w:rPr>
                <w:rFonts w:ascii="Arial Narrow" w:hAnsi="Arial Narrow"/>
                <w:lang w:val="cs-CZ"/>
              </w:rPr>
              <w:t xml:space="preserve"> do obytného území</w:t>
            </w:r>
          </w:p>
        </w:tc>
      </w:tr>
      <w:tr w:rsidR="000666E0" w:rsidRPr="00461C16" w14:paraId="4C9E8CAE" w14:textId="77777777" w:rsidTr="0008757A">
        <w:trPr>
          <w:trHeight w:val="300"/>
          <w:jc w:val="center"/>
        </w:trPr>
        <w:tc>
          <w:tcPr>
            <w:tcW w:w="921" w:type="dxa"/>
            <w:shd w:val="clear" w:color="auto" w:fill="auto"/>
            <w:noWrap/>
          </w:tcPr>
          <w:p w14:paraId="5CD88F70" w14:textId="77777777" w:rsidR="000666E0" w:rsidRPr="00461C16" w:rsidRDefault="000666E0" w:rsidP="00413CFE">
            <w:pPr>
              <w:spacing w:before="40" w:after="40"/>
              <w:rPr>
                <w:sz w:val="20"/>
              </w:rPr>
            </w:pPr>
            <w:r w:rsidRPr="00461C16">
              <w:rPr>
                <w:sz w:val="20"/>
              </w:rPr>
              <w:t>ZZ20</w:t>
            </w:r>
          </w:p>
        </w:tc>
        <w:tc>
          <w:tcPr>
            <w:tcW w:w="1234" w:type="dxa"/>
          </w:tcPr>
          <w:p w14:paraId="7B0398F8"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ul. Liberecká – pod MŠ, Hrádek nad Nisou (p.p.č. 1240/2 a 1241/2)</w:t>
            </w:r>
          </w:p>
        </w:tc>
        <w:tc>
          <w:tcPr>
            <w:tcW w:w="1277" w:type="dxa"/>
            <w:shd w:val="clear" w:color="auto" w:fill="auto"/>
            <w:noWrap/>
          </w:tcPr>
          <w:p w14:paraId="541067C4"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1469A5D8"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340C0891" w14:textId="77777777" w:rsidR="000666E0" w:rsidRPr="00461C16" w:rsidRDefault="00740216" w:rsidP="00E84619">
            <w:pPr>
              <w:pStyle w:val="Intabulka"/>
              <w:rPr>
                <w:rFonts w:ascii="Arial Narrow" w:hAnsi="Arial Narrow"/>
                <w:lang w:val="cs-CZ"/>
              </w:rPr>
            </w:pPr>
            <w:r w:rsidRPr="00461C16">
              <w:rPr>
                <w:rFonts w:ascii="Arial Narrow" w:hAnsi="Arial Narrow"/>
                <w:lang w:val="cs-CZ"/>
              </w:rPr>
              <w:t>n</w:t>
            </w:r>
            <w:r w:rsidR="000666E0" w:rsidRPr="00461C16">
              <w:rPr>
                <w:rFonts w:ascii="Arial Narrow" w:hAnsi="Arial Narrow"/>
              </w:rPr>
              <w:t xml:space="preserve">epřevzato, vymezeno jako stabilizovaná plocha </w:t>
            </w:r>
            <w:r w:rsidR="00E84619" w:rsidRPr="00461C16">
              <w:rPr>
                <w:rFonts w:ascii="Arial Narrow" w:hAnsi="Arial Narrow"/>
                <w:lang w:val="cs-CZ"/>
              </w:rPr>
              <w:t>krajinná</w:t>
            </w:r>
            <w:r w:rsidRPr="00461C16">
              <w:rPr>
                <w:rFonts w:ascii="Arial Narrow" w:hAnsi="Arial Narrow"/>
                <w:lang w:val="cs-CZ"/>
              </w:rPr>
              <w:t xml:space="preserve"> (</w:t>
            </w:r>
            <w:r w:rsidR="000666E0" w:rsidRPr="00461C16">
              <w:rPr>
                <w:rFonts w:ascii="Arial Narrow" w:hAnsi="Arial Narrow"/>
              </w:rPr>
              <w:t>NK</w:t>
            </w:r>
            <w:r w:rsidRPr="00461C16">
              <w:rPr>
                <w:rFonts w:ascii="Arial Narrow" w:hAnsi="Arial Narrow"/>
                <w:lang w:val="cs-CZ"/>
              </w:rPr>
              <w:t>)</w:t>
            </w:r>
          </w:p>
        </w:tc>
        <w:tc>
          <w:tcPr>
            <w:tcW w:w="2621" w:type="dxa"/>
            <w:shd w:val="clear" w:color="auto" w:fill="auto"/>
            <w:noWrap/>
          </w:tcPr>
          <w:p w14:paraId="4CB165E3" w14:textId="77777777" w:rsidR="000666E0" w:rsidRPr="00461C16" w:rsidRDefault="000666E0" w:rsidP="00955D9E">
            <w:pPr>
              <w:pStyle w:val="Intabulka"/>
              <w:rPr>
                <w:rFonts w:ascii="Arial Narrow" w:hAnsi="Arial Narrow"/>
                <w:lang w:val="cs-CZ"/>
              </w:rPr>
            </w:pPr>
            <w:r w:rsidRPr="00461C16">
              <w:rPr>
                <w:rFonts w:ascii="Arial Narrow" w:hAnsi="Arial Narrow"/>
                <w:lang w:val="cs-CZ"/>
              </w:rPr>
              <w:t>nepřízniv</w:t>
            </w:r>
            <w:r w:rsidR="00740216" w:rsidRPr="00461C16">
              <w:rPr>
                <w:rFonts w:ascii="Arial Narrow" w:hAnsi="Arial Narrow"/>
                <w:lang w:val="cs-CZ"/>
              </w:rPr>
              <w:t>á</w:t>
            </w:r>
            <w:r w:rsidRPr="00461C16">
              <w:rPr>
                <w:rFonts w:ascii="Arial Narrow" w:hAnsi="Arial Narrow"/>
                <w:lang w:val="cs-CZ"/>
              </w:rPr>
              <w:t xml:space="preserve"> morfologi</w:t>
            </w:r>
            <w:r w:rsidR="00740216" w:rsidRPr="00461C16">
              <w:rPr>
                <w:rFonts w:ascii="Arial Narrow" w:hAnsi="Arial Narrow"/>
                <w:lang w:val="cs-CZ"/>
              </w:rPr>
              <w:t>e</w:t>
            </w:r>
            <w:r w:rsidRPr="00461C16">
              <w:rPr>
                <w:rFonts w:ascii="Arial Narrow" w:hAnsi="Arial Narrow"/>
                <w:lang w:val="cs-CZ"/>
              </w:rPr>
              <w:t xml:space="preserve"> terénu, poloh</w:t>
            </w:r>
            <w:r w:rsidR="00740216" w:rsidRPr="00461C16">
              <w:rPr>
                <w:rFonts w:ascii="Arial Narrow" w:hAnsi="Arial Narrow"/>
                <w:lang w:val="cs-CZ"/>
              </w:rPr>
              <w:t>a</w:t>
            </w:r>
            <w:r w:rsidRPr="00461C16">
              <w:rPr>
                <w:rFonts w:ascii="Arial Narrow" w:hAnsi="Arial Narrow"/>
                <w:lang w:val="cs-CZ"/>
              </w:rPr>
              <w:t xml:space="preserve"> v OP dráhy a zejména </w:t>
            </w:r>
            <w:r w:rsidR="00955D9E" w:rsidRPr="00461C16">
              <w:rPr>
                <w:rFonts w:ascii="Arial Narrow" w:hAnsi="Arial Narrow"/>
                <w:lang w:val="cs-CZ"/>
              </w:rPr>
              <w:t>zájem na</w:t>
            </w:r>
            <w:r w:rsidR="00740216" w:rsidRPr="00461C16">
              <w:rPr>
                <w:rFonts w:ascii="Arial Narrow" w:hAnsi="Arial Narrow"/>
                <w:lang w:val="cs-CZ"/>
              </w:rPr>
              <w:t xml:space="preserve"> zachování </w:t>
            </w:r>
            <w:r w:rsidRPr="00461C16">
              <w:rPr>
                <w:rFonts w:ascii="Arial Narrow" w:hAnsi="Arial Narrow"/>
                <w:lang w:val="cs-CZ"/>
              </w:rPr>
              <w:t xml:space="preserve">rozsáhlé </w:t>
            </w:r>
            <w:r w:rsidR="00955D9E" w:rsidRPr="00461C16">
              <w:rPr>
                <w:rFonts w:ascii="Arial Narrow" w:hAnsi="Arial Narrow"/>
                <w:lang w:val="cs-CZ"/>
              </w:rPr>
              <w:t xml:space="preserve">souvislé </w:t>
            </w:r>
            <w:r w:rsidRPr="00461C16">
              <w:rPr>
                <w:rFonts w:ascii="Arial Narrow" w:hAnsi="Arial Narrow"/>
                <w:lang w:val="cs-CZ"/>
              </w:rPr>
              <w:t>plochy zeleně přírodního charakteru s navazujícími lesními pozemky</w:t>
            </w:r>
            <w:r w:rsidR="00955D9E" w:rsidRPr="00461C16">
              <w:rPr>
                <w:rFonts w:ascii="Arial Narrow" w:hAnsi="Arial Narrow"/>
                <w:lang w:val="cs-CZ"/>
              </w:rPr>
              <w:t xml:space="preserve"> – ochranný, izolační a prostorotvorný význam</w:t>
            </w:r>
          </w:p>
        </w:tc>
      </w:tr>
      <w:tr w:rsidR="000666E0" w:rsidRPr="00461C16" w14:paraId="4A117A85" w14:textId="77777777" w:rsidTr="0008757A">
        <w:trPr>
          <w:trHeight w:val="300"/>
          <w:jc w:val="center"/>
        </w:trPr>
        <w:tc>
          <w:tcPr>
            <w:tcW w:w="921" w:type="dxa"/>
            <w:shd w:val="clear" w:color="auto" w:fill="auto"/>
            <w:noWrap/>
          </w:tcPr>
          <w:p w14:paraId="7987D988" w14:textId="77777777" w:rsidR="000666E0" w:rsidRPr="00461C16" w:rsidRDefault="000666E0" w:rsidP="00413CFE">
            <w:pPr>
              <w:spacing w:before="40" w:after="40"/>
              <w:rPr>
                <w:sz w:val="20"/>
                <w:szCs w:val="20"/>
              </w:rPr>
            </w:pPr>
            <w:r w:rsidRPr="00461C16">
              <w:rPr>
                <w:sz w:val="20"/>
                <w:szCs w:val="20"/>
              </w:rPr>
              <w:t>ZZ21</w:t>
            </w:r>
          </w:p>
        </w:tc>
        <w:tc>
          <w:tcPr>
            <w:tcW w:w="1234" w:type="dxa"/>
          </w:tcPr>
          <w:p w14:paraId="6BB12CF1" w14:textId="77777777" w:rsidR="000666E0" w:rsidRPr="00461C16" w:rsidRDefault="000666E0" w:rsidP="00413CFE">
            <w:pPr>
              <w:autoSpaceDE w:val="0"/>
              <w:autoSpaceDN w:val="0"/>
              <w:adjustRightInd w:val="0"/>
              <w:spacing w:before="40" w:after="40" w:line="240" w:lineRule="auto"/>
              <w:jc w:val="left"/>
              <w:rPr>
                <w:bCs/>
                <w:sz w:val="20"/>
                <w:szCs w:val="20"/>
                <w:lang w:eastAsia="cs-CZ"/>
              </w:rPr>
            </w:pPr>
            <w:r w:rsidRPr="00461C16">
              <w:rPr>
                <w:sz w:val="20"/>
                <w:szCs w:val="20"/>
              </w:rPr>
              <w:t>Oldřichov na Hranicích (</w:t>
            </w:r>
            <w:r w:rsidRPr="00461C16">
              <w:rPr>
                <w:bCs/>
                <w:sz w:val="20"/>
                <w:szCs w:val="20"/>
                <w:lang w:eastAsia="cs-CZ"/>
              </w:rPr>
              <w:t>p.p.</w:t>
            </w:r>
            <w:r w:rsidRPr="00461C16">
              <w:rPr>
                <w:rFonts w:cs="TimesNewRoman,Bold"/>
                <w:bCs/>
                <w:sz w:val="20"/>
                <w:szCs w:val="20"/>
                <w:lang w:eastAsia="cs-CZ"/>
              </w:rPr>
              <w:t>č</w:t>
            </w:r>
            <w:r w:rsidRPr="00461C16">
              <w:rPr>
                <w:bCs/>
                <w:sz w:val="20"/>
                <w:szCs w:val="20"/>
                <w:lang w:eastAsia="cs-CZ"/>
              </w:rPr>
              <w:t>. 206, 193, 713/1, 688/5, 732/4, 688/1, 732/2, 732/1, 1271, 735, 1239/2, 746, 732/3,</w:t>
            </w:r>
          </w:p>
          <w:p w14:paraId="0716012E" w14:textId="77777777" w:rsidR="000666E0" w:rsidRPr="00461C16" w:rsidRDefault="000666E0" w:rsidP="00413CFE">
            <w:pPr>
              <w:pStyle w:val="Intabulka"/>
              <w:rPr>
                <w:rFonts w:ascii="Arial Narrow" w:hAnsi="Arial Narrow"/>
                <w:lang w:val="cs-CZ"/>
              </w:rPr>
            </w:pPr>
            <w:r w:rsidRPr="00461C16">
              <w:rPr>
                <w:rFonts w:ascii="Arial Narrow" w:hAnsi="Arial Narrow"/>
                <w:bCs/>
                <w:lang w:eastAsia="cs-CZ"/>
              </w:rPr>
              <w:t>747/3, 748, 761/2, 515/10</w:t>
            </w:r>
            <w:r w:rsidRPr="00461C16">
              <w:rPr>
                <w:rFonts w:ascii="Arial Narrow" w:hAnsi="Arial Narrow"/>
                <w:bCs/>
                <w:lang w:val="cs-CZ" w:eastAsia="cs-CZ"/>
              </w:rPr>
              <w:t>)</w:t>
            </w:r>
          </w:p>
        </w:tc>
        <w:tc>
          <w:tcPr>
            <w:tcW w:w="1277" w:type="dxa"/>
            <w:shd w:val="clear" w:color="auto" w:fill="auto"/>
            <w:noWrap/>
          </w:tcPr>
          <w:p w14:paraId="7237FD47"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68FC7624"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384D2BE7" w14:textId="77777777" w:rsidR="000666E0" w:rsidRPr="00461C16" w:rsidRDefault="00955D9E" w:rsidP="00955D9E">
            <w:pPr>
              <w:pStyle w:val="Intabulka"/>
              <w:rPr>
                <w:rFonts w:ascii="Arial Narrow" w:hAnsi="Arial Narrow"/>
              </w:rPr>
            </w:pPr>
            <w:r w:rsidRPr="00461C16">
              <w:rPr>
                <w:rFonts w:ascii="Arial Narrow" w:hAnsi="Arial Narrow"/>
                <w:lang w:val="cs-CZ"/>
              </w:rPr>
              <w:t>p</w:t>
            </w:r>
            <w:r w:rsidR="000666E0" w:rsidRPr="00461C16">
              <w:rPr>
                <w:rFonts w:ascii="Arial Narrow" w:hAnsi="Arial Narrow"/>
              </w:rPr>
              <w:t xml:space="preserve">řevzato </w:t>
            </w:r>
            <w:r w:rsidRPr="00461C16">
              <w:rPr>
                <w:rFonts w:ascii="Arial Narrow" w:hAnsi="Arial Narrow"/>
                <w:lang w:val="cs-CZ"/>
              </w:rPr>
              <w:t xml:space="preserve">pouze částečně – plocha pro smíšené venkovské bydlení – Z30, částečně vymezeno jako stav </w:t>
            </w:r>
          </w:p>
        </w:tc>
        <w:tc>
          <w:tcPr>
            <w:tcW w:w="2621" w:type="dxa"/>
            <w:shd w:val="clear" w:color="auto" w:fill="auto"/>
            <w:noWrap/>
          </w:tcPr>
          <w:p w14:paraId="039A1B2F" w14:textId="77777777" w:rsidR="000666E0" w:rsidRPr="00461C16" w:rsidRDefault="00955D9E" w:rsidP="006D5245">
            <w:pPr>
              <w:pStyle w:val="Intabulka"/>
              <w:rPr>
                <w:rFonts w:ascii="Arial Narrow" w:hAnsi="Arial Narrow"/>
                <w:lang w:val="cs-CZ"/>
              </w:rPr>
            </w:pPr>
            <w:r w:rsidRPr="00461C16">
              <w:rPr>
                <w:rFonts w:ascii="Arial Narrow" w:hAnsi="Arial Narrow"/>
                <w:lang w:val="cs-CZ"/>
              </w:rPr>
              <w:t>omezení zastavitelnosti jen na část navržené plochy, aby došlo k dotvoření plynulé hranice zástavby; ve zbývající části omezení OP vedení VN</w:t>
            </w:r>
            <w:r w:rsidR="006D5245">
              <w:rPr>
                <w:rFonts w:ascii="Arial Narrow" w:hAnsi="Arial Narrow"/>
                <w:lang w:val="cs-CZ"/>
              </w:rPr>
              <w:t xml:space="preserve"> a</w:t>
            </w:r>
            <w:r w:rsidRPr="00461C16">
              <w:rPr>
                <w:rFonts w:ascii="Arial Narrow" w:hAnsi="Arial Narrow"/>
                <w:lang w:val="cs-CZ"/>
              </w:rPr>
              <w:t xml:space="preserve"> ÚSES</w:t>
            </w:r>
            <w:r w:rsidR="006D5245">
              <w:rPr>
                <w:rFonts w:ascii="Arial Narrow" w:hAnsi="Arial Narrow"/>
                <w:lang w:val="cs-CZ"/>
              </w:rPr>
              <w:t xml:space="preserve">; </w:t>
            </w:r>
            <w:r w:rsidRPr="00461C16">
              <w:rPr>
                <w:rFonts w:ascii="Arial Narrow" w:hAnsi="Arial Narrow"/>
                <w:lang w:val="cs-CZ"/>
              </w:rPr>
              <w:t>v části zohlednění skutečného využití území</w:t>
            </w:r>
          </w:p>
        </w:tc>
      </w:tr>
      <w:tr w:rsidR="000666E0" w:rsidRPr="00461C16" w14:paraId="3BB986B8" w14:textId="77777777" w:rsidTr="0008757A">
        <w:trPr>
          <w:trHeight w:val="300"/>
          <w:jc w:val="center"/>
        </w:trPr>
        <w:tc>
          <w:tcPr>
            <w:tcW w:w="921" w:type="dxa"/>
            <w:shd w:val="clear" w:color="auto" w:fill="auto"/>
            <w:noWrap/>
          </w:tcPr>
          <w:p w14:paraId="1B960CBF" w14:textId="77777777" w:rsidR="000666E0" w:rsidRPr="00461C16" w:rsidRDefault="000666E0" w:rsidP="00413CFE">
            <w:pPr>
              <w:spacing w:before="40" w:after="40"/>
              <w:rPr>
                <w:sz w:val="20"/>
              </w:rPr>
            </w:pPr>
            <w:r w:rsidRPr="00461C16">
              <w:rPr>
                <w:sz w:val="20"/>
              </w:rPr>
              <w:t>ZZ22</w:t>
            </w:r>
          </w:p>
        </w:tc>
        <w:tc>
          <w:tcPr>
            <w:tcW w:w="1234" w:type="dxa"/>
          </w:tcPr>
          <w:p w14:paraId="6673B95A"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Dolní Suchá, (</w:t>
            </w:r>
            <w:r w:rsidRPr="00461C16">
              <w:rPr>
                <w:rFonts w:ascii="Arial Narrow" w:hAnsi="Arial Narrow"/>
                <w:bCs/>
                <w:lang w:eastAsia="cs-CZ"/>
              </w:rPr>
              <w:t>p.p.</w:t>
            </w:r>
            <w:r w:rsidRPr="00461C16">
              <w:rPr>
                <w:rFonts w:ascii="Arial Narrow" w:hAnsi="Arial Narrow" w:cs="TimesNewRoman,Bold"/>
                <w:bCs/>
                <w:lang w:eastAsia="cs-CZ"/>
              </w:rPr>
              <w:t>č</w:t>
            </w:r>
            <w:r w:rsidRPr="00461C16">
              <w:rPr>
                <w:rFonts w:ascii="Arial Narrow" w:hAnsi="Arial Narrow"/>
                <w:bCs/>
                <w:lang w:eastAsia="cs-CZ"/>
              </w:rPr>
              <w:t>. 59/13, 121/1, 59/7, 59/12</w:t>
            </w:r>
            <w:r w:rsidRPr="00461C16">
              <w:rPr>
                <w:rFonts w:ascii="Arial Narrow" w:hAnsi="Arial Narrow"/>
                <w:bCs/>
                <w:lang w:val="cs-CZ" w:eastAsia="cs-CZ"/>
              </w:rPr>
              <w:t>)</w:t>
            </w:r>
          </w:p>
        </w:tc>
        <w:tc>
          <w:tcPr>
            <w:tcW w:w="1277" w:type="dxa"/>
            <w:shd w:val="clear" w:color="auto" w:fill="auto"/>
            <w:noWrap/>
          </w:tcPr>
          <w:p w14:paraId="009A93DB"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4526EA16"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00EF2A4F" w14:textId="77777777" w:rsidR="000666E0" w:rsidRPr="00461C16" w:rsidRDefault="00955D9E" w:rsidP="00955D9E">
            <w:pPr>
              <w:pStyle w:val="Intabulka"/>
              <w:rPr>
                <w:rFonts w:ascii="Arial Narrow" w:hAnsi="Arial Narrow"/>
                <w:lang w:val="cs-CZ"/>
              </w:rPr>
            </w:pPr>
            <w:r w:rsidRPr="00461C16">
              <w:rPr>
                <w:rFonts w:ascii="Arial Narrow" w:hAnsi="Arial Narrow"/>
                <w:lang w:val="cs-CZ"/>
              </w:rPr>
              <w:t>p</w:t>
            </w:r>
            <w:r w:rsidR="000666E0" w:rsidRPr="00461C16">
              <w:rPr>
                <w:rFonts w:ascii="Arial Narrow" w:hAnsi="Arial Narrow"/>
              </w:rPr>
              <w:t xml:space="preserve">řevzato </w:t>
            </w:r>
            <w:r w:rsidRPr="00461C16">
              <w:rPr>
                <w:rFonts w:ascii="Arial Narrow" w:hAnsi="Arial Narrow"/>
                <w:lang w:val="cs-CZ"/>
              </w:rPr>
              <w:t>v redukovaném rozsahu – plocha smíšená obytná venkovská Z85</w:t>
            </w:r>
          </w:p>
        </w:tc>
        <w:tc>
          <w:tcPr>
            <w:tcW w:w="2621" w:type="dxa"/>
            <w:shd w:val="clear" w:color="auto" w:fill="auto"/>
            <w:noWrap/>
          </w:tcPr>
          <w:p w14:paraId="7236CF3F" w14:textId="77777777" w:rsidR="000666E0" w:rsidRPr="00461C16" w:rsidRDefault="00955D9E" w:rsidP="00413CFE">
            <w:pPr>
              <w:pStyle w:val="Intabulka"/>
              <w:rPr>
                <w:rFonts w:ascii="Arial Narrow" w:hAnsi="Arial Narrow"/>
                <w:lang w:val="cs-CZ"/>
              </w:rPr>
            </w:pPr>
            <w:r w:rsidRPr="00461C16">
              <w:rPr>
                <w:rFonts w:ascii="Arial Narrow" w:hAnsi="Arial Narrow"/>
                <w:lang w:val="cs-CZ"/>
              </w:rPr>
              <w:t>omezení zastavitelnosti jen na část přiléhající přímo k veřejné komunikaci – z důvodu zajištění dopravního přístupu a ochrany ZPF</w:t>
            </w:r>
          </w:p>
        </w:tc>
      </w:tr>
      <w:tr w:rsidR="000666E0" w:rsidRPr="00461C16" w14:paraId="59DD4A61" w14:textId="77777777" w:rsidTr="0008757A">
        <w:trPr>
          <w:trHeight w:val="300"/>
          <w:jc w:val="center"/>
        </w:trPr>
        <w:tc>
          <w:tcPr>
            <w:tcW w:w="921" w:type="dxa"/>
            <w:shd w:val="clear" w:color="auto" w:fill="auto"/>
            <w:noWrap/>
          </w:tcPr>
          <w:p w14:paraId="57721656" w14:textId="77777777" w:rsidR="000666E0" w:rsidRPr="00461C16" w:rsidRDefault="000666E0" w:rsidP="00413CFE">
            <w:pPr>
              <w:spacing w:before="40" w:after="40"/>
              <w:rPr>
                <w:sz w:val="20"/>
              </w:rPr>
            </w:pPr>
            <w:r w:rsidRPr="00461C16">
              <w:rPr>
                <w:sz w:val="20"/>
              </w:rPr>
              <w:t>ZZ23</w:t>
            </w:r>
          </w:p>
        </w:tc>
        <w:tc>
          <w:tcPr>
            <w:tcW w:w="1234" w:type="dxa"/>
          </w:tcPr>
          <w:p w14:paraId="4ECFC4BF"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Dolní Suchá (</w:t>
            </w:r>
            <w:r w:rsidRPr="00461C16">
              <w:rPr>
                <w:rFonts w:ascii="Arial Narrow" w:hAnsi="Arial Narrow"/>
                <w:bCs/>
                <w:lang w:eastAsia="cs-CZ"/>
              </w:rPr>
              <w:t>p.p.</w:t>
            </w:r>
            <w:r w:rsidRPr="00461C16">
              <w:rPr>
                <w:rFonts w:ascii="Arial Narrow" w:hAnsi="Arial Narrow" w:cs="TimesNewRoman,Bold"/>
                <w:bCs/>
                <w:lang w:eastAsia="cs-CZ"/>
              </w:rPr>
              <w:t>č</w:t>
            </w:r>
            <w:r w:rsidRPr="00461C16">
              <w:rPr>
                <w:rFonts w:ascii="Arial Narrow" w:hAnsi="Arial Narrow"/>
                <w:bCs/>
                <w:lang w:eastAsia="cs-CZ"/>
              </w:rPr>
              <w:t>. 148/1 a 144/1</w:t>
            </w:r>
            <w:r w:rsidRPr="00461C16">
              <w:rPr>
                <w:rFonts w:ascii="Arial Narrow" w:hAnsi="Arial Narrow"/>
                <w:bCs/>
                <w:lang w:val="cs-CZ" w:eastAsia="cs-CZ"/>
              </w:rPr>
              <w:t>)</w:t>
            </w:r>
          </w:p>
        </w:tc>
        <w:tc>
          <w:tcPr>
            <w:tcW w:w="1277" w:type="dxa"/>
            <w:shd w:val="clear" w:color="auto" w:fill="auto"/>
            <w:noWrap/>
          </w:tcPr>
          <w:p w14:paraId="13BBB59F"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23334D42"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0227B52C" w14:textId="77777777" w:rsidR="000666E0" w:rsidRPr="00461C16" w:rsidRDefault="001C67A3" w:rsidP="001C67A3">
            <w:pPr>
              <w:pStyle w:val="Intabulka"/>
              <w:rPr>
                <w:rFonts w:ascii="Arial Narrow" w:hAnsi="Arial Narrow"/>
              </w:rPr>
            </w:pPr>
            <w:r w:rsidRPr="00461C16">
              <w:rPr>
                <w:rFonts w:ascii="Arial Narrow" w:hAnsi="Arial Narrow"/>
                <w:lang w:val="cs-CZ"/>
              </w:rPr>
              <w:t xml:space="preserve">z části vymezeno jako stav, ve zbývající části záměr potvrzen výhledově - </w:t>
            </w:r>
            <w:r w:rsidR="000666E0" w:rsidRPr="00461C16">
              <w:rPr>
                <w:rFonts w:ascii="Arial Narrow" w:hAnsi="Arial Narrow"/>
              </w:rPr>
              <w:t xml:space="preserve">územní rezerva </w:t>
            </w:r>
            <w:r w:rsidRPr="00461C16">
              <w:rPr>
                <w:rFonts w:ascii="Arial Narrow" w:hAnsi="Arial Narrow"/>
                <w:lang w:val="cs-CZ"/>
              </w:rPr>
              <w:t xml:space="preserve">pro smíšené venkovské bydlení </w:t>
            </w:r>
            <w:r w:rsidR="000666E0" w:rsidRPr="00461C16">
              <w:rPr>
                <w:rFonts w:ascii="Arial Narrow" w:hAnsi="Arial Narrow"/>
              </w:rPr>
              <w:t>R09</w:t>
            </w:r>
          </w:p>
        </w:tc>
        <w:tc>
          <w:tcPr>
            <w:tcW w:w="2621" w:type="dxa"/>
            <w:shd w:val="clear" w:color="auto" w:fill="auto"/>
            <w:noWrap/>
          </w:tcPr>
          <w:p w14:paraId="485E0471" w14:textId="77777777" w:rsidR="000666E0" w:rsidRPr="00461C16" w:rsidRDefault="001C67A3" w:rsidP="00413CFE">
            <w:pPr>
              <w:pStyle w:val="Intabulka"/>
              <w:rPr>
                <w:rFonts w:ascii="Arial Narrow" w:hAnsi="Arial Narrow"/>
                <w:lang w:val="cs-CZ"/>
              </w:rPr>
            </w:pPr>
            <w:r w:rsidRPr="00461C16">
              <w:rPr>
                <w:rFonts w:ascii="Arial Narrow" w:hAnsi="Arial Narrow"/>
                <w:lang w:val="cs-CZ"/>
              </w:rPr>
              <w:t>v části zohlednění skutečného využití území, v části vymezené jako územní rezerva nelze vymezit zastavitelnou plochu z důvodu polohy v aktivní zóně záplavového území, pro prověření využití je nutná realizace protipovodňových opatření na Lužické Nise</w:t>
            </w:r>
          </w:p>
        </w:tc>
      </w:tr>
      <w:tr w:rsidR="000666E0" w:rsidRPr="00461C16" w14:paraId="55C88DAF" w14:textId="77777777" w:rsidTr="0008757A">
        <w:trPr>
          <w:trHeight w:val="300"/>
          <w:jc w:val="center"/>
        </w:trPr>
        <w:tc>
          <w:tcPr>
            <w:tcW w:w="921" w:type="dxa"/>
            <w:shd w:val="clear" w:color="auto" w:fill="auto"/>
            <w:noWrap/>
          </w:tcPr>
          <w:p w14:paraId="197B483A" w14:textId="77777777" w:rsidR="000666E0" w:rsidRPr="00461C16" w:rsidRDefault="000666E0" w:rsidP="00413CFE">
            <w:pPr>
              <w:spacing w:before="40" w:after="40"/>
              <w:rPr>
                <w:sz w:val="20"/>
              </w:rPr>
            </w:pPr>
            <w:r w:rsidRPr="00461C16">
              <w:rPr>
                <w:sz w:val="20"/>
              </w:rPr>
              <w:t>ZZ24</w:t>
            </w:r>
          </w:p>
        </w:tc>
        <w:tc>
          <w:tcPr>
            <w:tcW w:w="1234" w:type="dxa"/>
          </w:tcPr>
          <w:p w14:paraId="298E9C82"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Dolní Suchá (</w:t>
            </w:r>
            <w:r w:rsidRPr="00461C16">
              <w:rPr>
                <w:rFonts w:ascii="Arial Narrow" w:hAnsi="Arial Narrow"/>
                <w:bCs/>
                <w:lang w:eastAsia="cs-CZ"/>
              </w:rPr>
              <w:t>p.p.</w:t>
            </w:r>
            <w:r w:rsidRPr="00461C16">
              <w:rPr>
                <w:rFonts w:ascii="Arial Narrow" w:hAnsi="Arial Narrow" w:cs="TimesNewRoman,Bold"/>
                <w:bCs/>
                <w:lang w:eastAsia="cs-CZ"/>
              </w:rPr>
              <w:t>č</w:t>
            </w:r>
            <w:r w:rsidRPr="00461C16">
              <w:rPr>
                <w:rFonts w:ascii="Arial Narrow" w:hAnsi="Arial Narrow"/>
                <w:bCs/>
                <w:lang w:eastAsia="cs-CZ"/>
              </w:rPr>
              <w:t>. 12, 201/1, 201/2</w:t>
            </w:r>
            <w:r w:rsidRPr="00461C16">
              <w:rPr>
                <w:rFonts w:ascii="Arial Narrow" w:hAnsi="Arial Narrow"/>
                <w:bCs/>
                <w:lang w:val="cs-CZ" w:eastAsia="cs-CZ"/>
              </w:rPr>
              <w:t>)</w:t>
            </w:r>
          </w:p>
        </w:tc>
        <w:tc>
          <w:tcPr>
            <w:tcW w:w="1277" w:type="dxa"/>
            <w:shd w:val="clear" w:color="auto" w:fill="auto"/>
            <w:noWrap/>
          </w:tcPr>
          <w:p w14:paraId="5F16ECFC"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obytná zástavba nízkopodlažní</w:t>
            </w:r>
          </w:p>
        </w:tc>
        <w:tc>
          <w:tcPr>
            <w:tcW w:w="1134" w:type="dxa"/>
            <w:shd w:val="clear" w:color="auto" w:fill="auto"/>
            <w:noWrap/>
          </w:tcPr>
          <w:p w14:paraId="0D8E5D83"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29A61587" w14:textId="77777777" w:rsidR="000666E0" w:rsidRPr="00461C16" w:rsidRDefault="000666E0" w:rsidP="001C67A3">
            <w:pPr>
              <w:pStyle w:val="Intabulka"/>
              <w:rPr>
                <w:rFonts w:ascii="Arial Narrow" w:hAnsi="Arial Narrow"/>
                <w:lang w:val="cs-CZ"/>
              </w:rPr>
            </w:pPr>
            <w:r w:rsidRPr="00461C16">
              <w:rPr>
                <w:rFonts w:ascii="Arial Narrow" w:hAnsi="Arial Narrow"/>
              </w:rPr>
              <w:t xml:space="preserve">vymezeno jako </w:t>
            </w:r>
            <w:r w:rsidR="001C67A3" w:rsidRPr="00461C16">
              <w:rPr>
                <w:rFonts w:ascii="Arial Narrow" w:hAnsi="Arial Narrow"/>
                <w:lang w:val="cs-CZ"/>
              </w:rPr>
              <w:t xml:space="preserve">stav - </w:t>
            </w:r>
            <w:r w:rsidRPr="00461C16">
              <w:rPr>
                <w:rFonts w:ascii="Arial Narrow" w:hAnsi="Arial Narrow"/>
              </w:rPr>
              <w:t xml:space="preserve">plocha </w:t>
            </w:r>
            <w:r w:rsidR="001C67A3" w:rsidRPr="00461C16">
              <w:rPr>
                <w:rFonts w:ascii="Arial Narrow" w:hAnsi="Arial Narrow"/>
                <w:lang w:val="cs-CZ"/>
              </w:rPr>
              <w:t>smíšená obytná venkovská (</w:t>
            </w:r>
            <w:r w:rsidRPr="00461C16">
              <w:rPr>
                <w:rFonts w:ascii="Arial Narrow" w:hAnsi="Arial Narrow"/>
              </w:rPr>
              <w:t>SV</w:t>
            </w:r>
            <w:r w:rsidR="001C67A3" w:rsidRPr="00461C16">
              <w:rPr>
                <w:rFonts w:ascii="Arial Narrow" w:hAnsi="Arial Narrow"/>
                <w:lang w:val="cs-CZ"/>
              </w:rPr>
              <w:t>)</w:t>
            </w:r>
          </w:p>
        </w:tc>
        <w:tc>
          <w:tcPr>
            <w:tcW w:w="2621" w:type="dxa"/>
            <w:shd w:val="clear" w:color="auto" w:fill="auto"/>
            <w:noWrap/>
          </w:tcPr>
          <w:p w14:paraId="63949297" w14:textId="77777777" w:rsidR="000666E0" w:rsidRPr="00461C16" w:rsidRDefault="001C67A3" w:rsidP="00413CFE">
            <w:pPr>
              <w:pStyle w:val="Intabulka"/>
              <w:rPr>
                <w:rFonts w:ascii="Arial Narrow" w:hAnsi="Arial Narrow"/>
                <w:lang w:val="cs-CZ"/>
              </w:rPr>
            </w:pPr>
            <w:r w:rsidRPr="00461C16">
              <w:rPr>
                <w:rFonts w:ascii="Arial Narrow" w:hAnsi="Arial Narrow"/>
                <w:lang w:val="cs-CZ"/>
              </w:rPr>
              <w:t>součást zastavěného území, zohlednění skutečného využití území</w:t>
            </w:r>
          </w:p>
        </w:tc>
      </w:tr>
      <w:tr w:rsidR="000666E0" w:rsidRPr="00461C16" w14:paraId="3CF576AC" w14:textId="77777777" w:rsidTr="0008757A">
        <w:trPr>
          <w:trHeight w:val="300"/>
          <w:jc w:val="center"/>
        </w:trPr>
        <w:tc>
          <w:tcPr>
            <w:tcW w:w="921" w:type="dxa"/>
            <w:shd w:val="clear" w:color="auto" w:fill="auto"/>
            <w:noWrap/>
          </w:tcPr>
          <w:p w14:paraId="09F062D2" w14:textId="77777777" w:rsidR="000666E0" w:rsidRPr="00461C16" w:rsidRDefault="000666E0" w:rsidP="00413CFE">
            <w:pPr>
              <w:spacing w:before="40" w:after="40"/>
              <w:rPr>
                <w:sz w:val="20"/>
              </w:rPr>
            </w:pPr>
            <w:r w:rsidRPr="00461C16">
              <w:rPr>
                <w:sz w:val="20"/>
              </w:rPr>
              <w:t>ZZ25</w:t>
            </w:r>
          </w:p>
        </w:tc>
        <w:tc>
          <w:tcPr>
            <w:tcW w:w="1234" w:type="dxa"/>
          </w:tcPr>
          <w:p w14:paraId="660BC982"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Horní Suchá (</w:t>
            </w:r>
            <w:r w:rsidRPr="00461C16">
              <w:rPr>
                <w:rFonts w:ascii="Arial Narrow" w:hAnsi="Arial Narrow"/>
                <w:bCs/>
                <w:lang w:eastAsia="cs-CZ"/>
              </w:rPr>
              <w:t>p.p.</w:t>
            </w:r>
            <w:r w:rsidRPr="00461C16">
              <w:rPr>
                <w:rFonts w:ascii="Arial Narrow" w:hAnsi="Arial Narrow" w:cs="TimesNewRoman,Bold"/>
                <w:bCs/>
                <w:lang w:eastAsia="cs-CZ"/>
              </w:rPr>
              <w:t>č</w:t>
            </w:r>
            <w:r w:rsidRPr="00461C16">
              <w:rPr>
                <w:rFonts w:ascii="Arial Narrow" w:hAnsi="Arial Narrow"/>
                <w:bCs/>
                <w:lang w:eastAsia="cs-CZ"/>
              </w:rPr>
              <w:t>. 603/1, 594/2, 594/1, 594/5</w:t>
            </w:r>
            <w:r w:rsidRPr="00461C16">
              <w:rPr>
                <w:rFonts w:ascii="Arial Narrow" w:hAnsi="Arial Narrow"/>
                <w:bCs/>
                <w:lang w:val="cs-CZ" w:eastAsia="cs-CZ"/>
              </w:rPr>
              <w:t>)</w:t>
            </w:r>
          </w:p>
        </w:tc>
        <w:tc>
          <w:tcPr>
            <w:tcW w:w="1277" w:type="dxa"/>
            <w:shd w:val="clear" w:color="auto" w:fill="auto"/>
            <w:noWrap/>
          </w:tcPr>
          <w:p w14:paraId="6D3E7B68"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1111364D"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5C5CE2A4" w14:textId="77777777" w:rsidR="000666E0" w:rsidRPr="00461C16" w:rsidRDefault="001C67A3" w:rsidP="00081E2A">
            <w:pPr>
              <w:pStyle w:val="Intabulka"/>
              <w:rPr>
                <w:rFonts w:ascii="Arial Narrow" w:hAnsi="Arial Narrow"/>
              </w:rPr>
            </w:pPr>
            <w:r w:rsidRPr="00461C16">
              <w:rPr>
                <w:rFonts w:ascii="Arial Narrow" w:hAnsi="Arial Narrow"/>
                <w:lang w:val="cs-CZ"/>
              </w:rPr>
              <w:t>p</w:t>
            </w:r>
            <w:r w:rsidR="000666E0" w:rsidRPr="00461C16">
              <w:rPr>
                <w:rFonts w:ascii="Arial Narrow" w:hAnsi="Arial Narrow"/>
              </w:rPr>
              <w:t>řevzato</w:t>
            </w:r>
            <w:r w:rsidRPr="00461C16">
              <w:rPr>
                <w:rFonts w:ascii="Arial Narrow" w:hAnsi="Arial Narrow"/>
                <w:lang w:val="cs-CZ"/>
              </w:rPr>
              <w:t xml:space="preserve"> z části</w:t>
            </w:r>
            <w:r w:rsidR="000666E0" w:rsidRPr="00461C16">
              <w:rPr>
                <w:rFonts w:ascii="Arial Narrow" w:hAnsi="Arial Narrow"/>
              </w:rPr>
              <w:t xml:space="preserve">, vymezeno jako plocha </w:t>
            </w:r>
            <w:r w:rsidRPr="00461C16">
              <w:rPr>
                <w:rFonts w:ascii="Arial Narrow" w:hAnsi="Arial Narrow"/>
                <w:lang w:val="cs-CZ"/>
              </w:rPr>
              <w:t xml:space="preserve">pro venkovské bydlení </w:t>
            </w:r>
            <w:r w:rsidR="000666E0" w:rsidRPr="00461C16">
              <w:rPr>
                <w:rFonts w:ascii="Arial Narrow" w:hAnsi="Arial Narrow"/>
              </w:rPr>
              <w:t>Z92</w:t>
            </w:r>
          </w:p>
        </w:tc>
        <w:tc>
          <w:tcPr>
            <w:tcW w:w="2621" w:type="dxa"/>
            <w:shd w:val="clear" w:color="auto" w:fill="auto"/>
            <w:noWrap/>
          </w:tcPr>
          <w:p w14:paraId="726F9008" w14:textId="77777777" w:rsidR="000666E0" w:rsidRPr="00461C16" w:rsidRDefault="001C67A3" w:rsidP="007F7B6F">
            <w:pPr>
              <w:pStyle w:val="Intabulka"/>
              <w:rPr>
                <w:rFonts w:ascii="Arial Narrow" w:hAnsi="Arial Narrow"/>
                <w:lang w:val="cs-CZ"/>
              </w:rPr>
            </w:pPr>
            <w:r w:rsidRPr="00461C16">
              <w:rPr>
                <w:rFonts w:ascii="Arial Narrow" w:hAnsi="Arial Narrow"/>
                <w:lang w:val="cs-CZ"/>
              </w:rPr>
              <w:t xml:space="preserve">západní část – scelení fragmentované zástavby, doplnění oboustranného obestavění komunikace; východní část – nedoporučeno z důvodu </w:t>
            </w:r>
            <w:r w:rsidR="007F7B6F" w:rsidRPr="00461C16">
              <w:rPr>
                <w:rFonts w:ascii="Arial Narrow" w:hAnsi="Arial Narrow"/>
                <w:lang w:val="cs-CZ"/>
              </w:rPr>
              <w:t>existence dostatečného rozsahu jiných vhodnějších poloh pro rozvoj bydlení v sídle Dolní Suchá</w:t>
            </w:r>
          </w:p>
        </w:tc>
      </w:tr>
      <w:tr w:rsidR="000666E0" w:rsidRPr="00461C16" w14:paraId="789EF8A9" w14:textId="77777777" w:rsidTr="0008757A">
        <w:trPr>
          <w:trHeight w:val="300"/>
          <w:jc w:val="center"/>
        </w:trPr>
        <w:tc>
          <w:tcPr>
            <w:tcW w:w="921" w:type="dxa"/>
            <w:shd w:val="clear" w:color="auto" w:fill="auto"/>
            <w:noWrap/>
          </w:tcPr>
          <w:p w14:paraId="2FD67063" w14:textId="77777777" w:rsidR="000666E0" w:rsidRPr="00461C16" w:rsidRDefault="000666E0" w:rsidP="00413CFE">
            <w:pPr>
              <w:spacing w:before="40" w:after="40"/>
              <w:rPr>
                <w:sz w:val="20"/>
              </w:rPr>
            </w:pPr>
            <w:r w:rsidRPr="00461C16">
              <w:rPr>
                <w:sz w:val="20"/>
              </w:rPr>
              <w:lastRenderedPageBreak/>
              <w:t>ZZ26</w:t>
            </w:r>
          </w:p>
        </w:tc>
        <w:tc>
          <w:tcPr>
            <w:tcW w:w="1234" w:type="dxa"/>
          </w:tcPr>
          <w:p w14:paraId="50A25FE1"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Dolní Sedlo (</w:t>
            </w:r>
            <w:r w:rsidRPr="00461C16">
              <w:rPr>
                <w:rFonts w:ascii="Arial Narrow" w:hAnsi="Arial Narrow"/>
                <w:bCs/>
                <w:lang w:eastAsia="cs-CZ"/>
              </w:rPr>
              <w:t>p.p.</w:t>
            </w:r>
            <w:r w:rsidRPr="00461C16">
              <w:rPr>
                <w:rFonts w:ascii="Arial Narrow" w:hAnsi="Arial Narrow" w:cs="TimesNewRoman,Bold"/>
                <w:bCs/>
                <w:lang w:eastAsia="cs-CZ"/>
              </w:rPr>
              <w:t>č</w:t>
            </w:r>
            <w:r w:rsidRPr="00461C16">
              <w:rPr>
                <w:rFonts w:ascii="Arial Narrow" w:hAnsi="Arial Narrow"/>
                <w:bCs/>
                <w:lang w:eastAsia="cs-CZ"/>
              </w:rPr>
              <w:t>. 96, 89/33, 111, 110/1, 115. 134/2 a 103/1</w:t>
            </w:r>
            <w:r w:rsidRPr="00461C16">
              <w:rPr>
                <w:rFonts w:ascii="Arial Narrow" w:hAnsi="Arial Narrow"/>
                <w:bCs/>
                <w:lang w:val="cs-CZ" w:eastAsia="cs-CZ"/>
              </w:rPr>
              <w:t>)</w:t>
            </w:r>
          </w:p>
        </w:tc>
        <w:tc>
          <w:tcPr>
            <w:tcW w:w="1277" w:type="dxa"/>
            <w:shd w:val="clear" w:color="auto" w:fill="auto"/>
            <w:noWrap/>
          </w:tcPr>
          <w:p w14:paraId="00451362"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75054581"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66485AD3" w14:textId="77777777" w:rsidR="000666E0" w:rsidRPr="00961CD5" w:rsidRDefault="007F7B6F" w:rsidP="00961CD5">
            <w:pPr>
              <w:pStyle w:val="Intabulka"/>
              <w:rPr>
                <w:rFonts w:ascii="Arial Narrow" w:hAnsi="Arial Narrow"/>
                <w:lang w:val="cs-CZ"/>
              </w:rPr>
            </w:pPr>
            <w:r w:rsidRPr="00461C16">
              <w:rPr>
                <w:rFonts w:ascii="Arial Narrow" w:hAnsi="Arial Narrow"/>
                <w:lang w:val="cs-CZ"/>
              </w:rPr>
              <w:t>p</w:t>
            </w:r>
            <w:r w:rsidR="000666E0" w:rsidRPr="00461C16">
              <w:rPr>
                <w:rFonts w:ascii="Arial Narrow" w:hAnsi="Arial Narrow"/>
              </w:rPr>
              <w:t>řevzato</w:t>
            </w:r>
            <w:r w:rsidRPr="00461C16">
              <w:rPr>
                <w:rFonts w:ascii="Arial Narrow" w:hAnsi="Arial Narrow"/>
                <w:lang w:val="cs-CZ"/>
              </w:rPr>
              <w:t xml:space="preserve"> z  části</w:t>
            </w:r>
            <w:r w:rsidR="000666E0" w:rsidRPr="00461C16">
              <w:rPr>
                <w:rFonts w:ascii="Arial Narrow" w:hAnsi="Arial Narrow"/>
              </w:rPr>
              <w:t>, vymezeno</w:t>
            </w:r>
            <w:r w:rsidRPr="00461C16">
              <w:rPr>
                <w:rFonts w:ascii="Arial Narrow" w:hAnsi="Arial Narrow"/>
                <w:lang w:val="cs-CZ"/>
              </w:rPr>
              <w:t xml:space="preserve"> jako plocha smíšená obytná venkovská</w:t>
            </w:r>
            <w:r w:rsidR="000666E0" w:rsidRPr="00461C16">
              <w:rPr>
                <w:rFonts w:ascii="Arial Narrow" w:hAnsi="Arial Narrow"/>
              </w:rPr>
              <w:t xml:space="preserve"> Z79</w:t>
            </w:r>
            <w:r w:rsidR="00961CD5">
              <w:rPr>
                <w:rFonts w:ascii="Arial Narrow" w:hAnsi="Arial Narrow"/>
                <w:lang w:val="cs-CZ"/>
              </w:rPr>
              <w:t>, zbývající část jako plocha stabilizovaná NS</w:t>
            </w:r>
          </w:p>
        </w:tc>
        <w:tc>
          <w:tcPr>
            <w:tcW w:w="2621" w:type="dxa"/>
            <w:shd w:val="clear" w:color="auto" w:fill="auto"/>
            <w:noWrap/>
          </w:tcPr>
          <w:p w14:paraId="00D14DB6" w14:textId="77777777" w:rsidR="000666E0" w:rsidRPr="00461C16" w:rsidRDefault="0009738B" w:rsidP="007F7B6F">
            <w:pPr>
              <w:pStyle w:val="Intabulka"/>
              <w:rPr>
                <w:rFonts w:ascii="Arial Narrow" w:hAnsi="Arial Narrow"/>
                <w:lang w:val="cs-CZ"/>
              </w:rPr>
            </w:pPr>
            <w:r>
              <w:rPr>
                <w:rFonts w:ascii="Arial Narrow" w:hAnsi="Arial Narrow"/>
                <w:lang w:val="cs-CZ"/>
              </w:rPr>
              <w:t>podpora</w:t>
            </w:r>
            <w:r w:rsidRPr="00461C16">
              <w:rPr>
                <w:rFonts w:ascii="Arial Narrow" w:hAnsi="Arial Narrow"/>
                <w:lang w:val="cs-CZ"/>
              </w:rPr>
              <w:t xml:space="preserve"> </w:t>
            </w:r>
            <w:r w:rsidR="000666E0" w:rsidRPr="00461C16">
              <w:rPr>
                <w:rFonts w:ascii="Arial Narrow" w:hAnsi="Arial Narrow"/>
                <w:lang w:val="cs-CZ"/>
              </w:rPr>
              <w:t>scelování fragmentované zástavby</w:t>
            </w:r>
            <w:r w:rsidR="007F7B6F" w:rsidRPr="00461C16">
              <w:rPr>
                <w:rFonts w:ascii="Arial Narrow" w:hAnsi="Arial Narrow"/>
                <w:lang w:val="cs-CZ"/>
              </w:rPr>
              <w:t>, omezení v západní části z důvodu souvislých ploch krajinné zeleně a lesa – nutnost zajištění jejich ochrany</w:t>
            </w:r>
            <w:r>
              <w:rPr>
                <w:rFonts w:ascii="Arial Narrow" w:hAnsi="Arial Narrow"/>
                <w:lang w:val="cs-CZ"/>
              </w:rPr>
              <w:t>, rozsah částečně omezen z důvodu ochrany rozptýlené struktury zástavby (CHKO Lužické hory)</w:t>
            </w:r>
          </w:p>
        </w:tc>
      </w:tr>
      <w:tr w:rsidR="000666E0" w:rsidRPr="00461C16" w14:paraId="73FD9F08" w14:textId="77777777" w:rsidTr="0008757A">
        <w:trPr>
          <w:trHeight w:val="300"/>
          <w:jc w:val="center"/>
        </w:trPr>
        <w:tc>
          <w:tcPr>
            <w:tcW w:w="921" w:type="dxa"/>
            <w:shd w:val="clear" w:color="auto" w:fill="auto"/>
            <w:noWrap/>
          </w:tcPr>
          <w:p w14:paraId="05B6586C" w14:textId="77777777" w:rsidR="000666E0" w:rsidRPr="00461C16" w:rsidRDefault="000666E0" w:rsidP="00413CFE">
            <w:pPr>
              <w:spacing w:before="40" w:after="40"/>
              <w:rPr>
                <w:sz w:val="20"/>
              </w:rPr>
            </w:pPr>
            <w:r w:rsidRPr="00461C16">
              <w:rPr>
                <w:sz w:val="20"/>
              </w:rPr>
              <w:t>ZZ27</w:t>
            </w:r>
          </w:p>
        </w:tc>
        <w:tc>
          <w:tcPr>
            <w:tcW w:w="1234" w:type="dxa"/>
          </w:tcPr>
          <w:p w14:paraId="3F6ACAFA"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Dolní Sedlo (p.p. č. 215/3)</w:t>
            </w:r>
          </w:p>
        </w:tc>
        <w:tc>
          <w:tcPr>
            <w:tcW w:w="1277" w:type="dxa"/>
            <w:shd w:val="clear" w:color="auto" w:fill="auto"/>
            <w:noWrap/>
          </w:tcPr>
          <w:p w14:paraId="7EF9A4F2"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4A39C6BC"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2589E6A7" w14:textId="77777777" w:rsidR="000666E0" w:rsidRPr="00461C16" w:rsidRDefault="007F7B6F" w:rsidP="00081E2A">
            <w:pPr>
              <w:pStyle w:val="Intabulka"/>
              <w:rPr>
                <w:rFonts w:ascii="Arial Narrow" w:hAnsi="Arial Narrow"/>
              </w:rPr>
            </w:pPr>
            <w:r w:rsidRPr="00461C16">
              <w:rPr>
                <w:rFonts w:ascii="Arial Narrow" w:hAnsi="Arial Narrow"/>
                <w:lang w:val="cs-CZ"/>
              </w:rPr>
              <w:t>n</w:t>
            </w:r>
            <w:r w:rsidR="000666E0" w:rsidRPr="00461C16">
              <w:rPr>
                <w:rFonts w:ascii="Arial Narrow" w:hAnsi="Arial Narrow"/>
              </w:rPr>
              <w:t>epřevzato, vymezeno jako plocha stabilizovaná NK</w:t>
            </w:r>
          </w:p>
        </w:tc>
        <w:tc>
          <w:tcPr>
            <w:tcW w:w="2621" w:type="dxa"/>
            <w:shd w:val="clear" w:color="auto" w:fill="auto"/>
            <w:noWrap/>
          </w:tcPr>
          <w:p w14:paraId="36624BAB" w14:textId="77777777" w:rsidR="000666E0" w:rsidRPr="00461C16" w:rsidRDefault="000666E0" w:rsidP="007F7B6F">
            <w:pPr>
              <w:pStyle w:val="Intabulka"/>
              <w:rPr>
                <w:rFonts w:ascii="Arial Narrow" w:hAnsi="Arial Narrow"/>
                <w:lang w:val="cs-CZ"/>
              </w:rPr>
            </w:pPr>
            <w:r w:rsidRPr="00461C16">
              <w:rPr>
                <w:rFonts w:ascii="Arial Narrow" w:hAnsi="Arial Narrow"/>
                <w:lang w:val="cs-CZ"/>
              </w:rPr>
              <w:t xml:space="preserve">nevyhovující dopravní přístup, </w:t>
            </w:r>
            <w:r w:rsidR="007F7B6F" w:rsidRPr="00461C16">
              <w:rPr>
                <w:rFonts w:ascii="Arial Narrow" w:hAnsi="Arial Narrow"/>
                <w:lang w:val="cs-CZ"/>
              </w:rPr>
              <w:t xml:space="preserve">zásah do souvislých ploch krajinné zeleně a lesa, </w:t>
            </w:r>
            <w:r w:rsidRPr="00461C16">
              <w:rPr>
                <w:rFonts w:ascii="Arial Narrow" w:hAnsi="Arial Narrow"/>
                <w:lang w:val="cs-CZ"/>
              </w:rPr>
              <w:t>poloh</w:t>
            </w:r>
            <w:r w:rsidR="007F7B6F" w:rsidRPr="00461C16">
              <w:rPr>
                <w:rFonts w:ascii="Arial Narrow" w:hAnsi="Arial Narrow"/>
                <w:lang w:val="cs-CZ"/>
              </w:rPr>
              <w:t>a</w:t>
            </w:r>
            <w:r w:rsidRPr="00461C16">
              <w:rPr>
                <w:rFonts w:ascii="Arial Narrow" w:hAnsi="Arial Narrow"/>
                <w:lang w:val="cs-CZ"/>
              </w:rPr>
              <w:t xml:space="preserve"> v</w:t>
            </w:r>
            <w:r w:rsidR="007F7B6F" w:rsidRPr="00461C16">
              <w:rPr>
                <w:rFonts w:ascii="Arial Narrow" w:hAnsi="Arial Narrow"/>
                <w:lang w:val="cs-CZ"/>
              </w:rPr>
              <w:t> </w:t>
            </w:r>
            <w:r w:rsidRPr="00461C16">
              <w:rPr>
                <w:rFonts w:ascii="Arial Narrow" w:hAnsi="Arial Narrow"/>
                <w:lang w:val="cs-CZ"/>
              </w:rPr>
              <w:t>CHOPAV</w:t>
            </w:r>
            <w:r w:rsidR="007F7B6F" w:rsidRPr="00461C16">
              <w:rPr>
                <w:rFonts w:ascii="Arial Narrow" w:hAnsi="Arial Narrow"/>
                <w:lang w:val="cs-CZ"/>
              </w:rPr>
              <w:t>, střet s ÚSES</w:t>
            </w:r>
          </w:p>
        </w:tc>
      </w:tr>
      <w:tr w:rsidR="000666E0" w:rsidRPr="00461C16" w14:paraId="1E3D2C9A" w14:textId="77777777" w:rsidTr="0008757A">
        <w:trPr>
          <w:trHeight w:val="300"/>
          <w:jc w:val="center"/>
        </w:trPr>
        <w:tc>
          <w:tcPr>
            <w:tcW w:w="921" w:type="dxa"/>
            <w:shd w:val="clear" w:color="auto" w:fill="auto"/>
            <w:noWrap/>
          </w:tcPr>
          <w:p w14:paraId="63CAF3C9" w14:textId="77777777" w:rsidR="000666E0" w:rsidRPr="00461C16" w:rsidRDefault="000666E0" w:rsidP="00413CFE">
            <w:pPr>
              <w:spacing w:before="40" w:after="40"/>
              <w:rPr>
                <w:sz w:val="20"/>
              </w:rPr>
            </w:pPr>
            <w:r w:rsidRPr="00461C16">
              <w:rPr>
                <w:sz w:val="20"/>
              </w:rPr>
              <w:t>ZZ28</w:t>
            </w:r>
          </w:p>
        </w:tc>
        <w:tc>
          <w:tcPr>
            <w:tcW w:w="1234" w:type="dxa"/>
          </w:tcPr>
          <w:p w14:paraId="7BF745D9"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Václavice (</w:t>
            </w:r>
            <w:r w:rsidRPr="00461C16">
              <w:rPr>
                <w:rFonts w:ascii="Arial Narrow" w:hAnsi="Arial Narrow"/>
                <w:bCs/>
                <w:lang w:eastAsia="cs-CZ"/>
              </w:rPr>
              <w:t>p.p.</w:t>
            </w:r>
            <w:r w:rsidRPr="00461C16">
              <w:rPr>
                <w:rFonts w:ascii="Arial Narrow" w:hAnsi="Arial Narrow" w:cs="TimesNewRoman,Bold"/>
                <w:bCs/>
                <w:lang w:eastAsia="cs-CZ"/>
              </w:rPr>
              <w:t>č</w:t>
            </w:r>
            <w:r w:rsidRPr="00461C16">
              <w:rPr>
                <w:rFonts w:ascii="Arial Narrow" w:hAnsi="Arial Narrow"/>
                <w:bCs/>
                <w:lang w:eastAsia="cs-CZ"/>
              </w:rPr>
              <w:t>. 693/3, 681, 680/1</w:t>
            </w:r>
            <w:r w:rsidRPr="00461C16">
              <w:rPr>
                <w:rFonts w:ascii="Arial Narrow" w:hAnsi="Arial Narrow"/>
                <w:bCs/>
                <w:lang w:val="cs-CZ" w:eastAsia="cs-CZ"/>
              </w:rPr>
              <w:t>)</w:t>
            </w:r>
          </w:p>
        </w:tc>
        <w:tc>
          <w:tcPr>
            <w:tcW w:w="1277" w:type="dxa"/>
            <w:shd w:val="clear" w:color="auto" w:fill="auto"/>
            <w:noWrap/>
          </w:tcPr>
          <w:p w14:paraId="583FA23F"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1C403403"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66182ADC" w14:textId="77777777" w:rsidR="000666E0" w:rsidRPr="00461C16" w:rsidRDefault="007F7B6F" w:rsidP="007F7B6F">
            <w:pPr>
              <w:pStyle w:val="Intabulka"/>
              <w:rPr>
                <w:rFonts w:ascii="Arial Narrow" w:hAnsi="Arial Narrow"/>
                <w:lang w:val="cs-CZ"/>
              </w:rPr>
            </w:pPr>
            <w:r w:rsidRPr="00461C16">
              <w:rPr>
                <w:rFonts w:ascii="Arial Narrow" w:hAnsi="Arial Narrow"/>
                <w:lang w:val="cs-CZ"/>
              </w:rPr>
              <w:t>p</w:t>
            </w:r>
            <w:r w:rsidR="000666E0" w:rsidRPr="00461C16">
              <w:rPr>
                <w:rFonts w:ascii="Arial Narrow" w:hAnsi="Arial Narrow"/>
              </w:rPr>
              <w:t xml:space="preserve">řevzato, vymezeno </w:t>
            </w:r>
            <w:r w:rsidRPr="00461C16">
              <w:rPr>
                <w:rFonts w:ascii="Arial Narrow" w:hAnsi="Arial Narrow"/>
                <w:lang w:val="cs-CZ"/>
              </w:rPr>
              <w:t>jako plocha smíšená obytná venkovská</w:t>
            </w:r>
            <w:r w:rsidR="000666E0" w:rsidRPr="00461C16">
              <w:rPr>
                <w:rFonts w:ascii="Arial Narrow" w:hAnsi="Arial Narrow"/>
              </w:rPr>
              <w:t xml:space="preserve"> Z19</w:t>
            </w:r>
            <w:r w:rsidRPr="00461C16">
              <w:rPr>
                <w:rFonts w:ascii="Arial Narrow" w:hAnsi="Arial Narrow"/>
                <w:lang w:val="cs-CZ"/>
              </w:rPr>
              <w:t>, z části vymezeno jako stav</w:t>
            </w:r>
          </w:p>
        </w:tc>
        <w:tc>
          <w:tcPr>
            <w:tcW w:w="2621" w:type="dxa"/>
            <w:shd w:val="clear" w:color="auto" w:fill="auto"/>
            <w:noWrap/>
          </w:tcPr>
          <w:p w14:paraId="4831169C" w14:textId="77777777" w:rsidR="000666E0" w:rsidRPr="00461C16" w:rsidRDefault="007F7B6F" w:rsidP="00413CFE">
            <w:pPr>
              <w:pStyle w:val="Intabulka"/>
              <w:rPr>
                <w:rFonts w:ascii="Arial Narrow" w:hAnsi="Arial Narrow"/>
                <w:lang w:val="cs-CZ"/>
              </w:rPr>
            </w:pPr>
            <w:r w:rsidRPr="00461C16">
              <w:rPr>
                <w:rFonts w:ascii="Arial Narrow" w:hAnsi="Arial Narrow"/>
                <w:lang w:val="cs-CZ"/>
              </w:rPr>
              <w:t>z části zohlednění skutečného využití území, zarovnání zástavby a dotvoření plynulé severní hrany</w:t>
            </w:r>
          </w:p>
        </w:tc>
      </w:tr>
      <w:tr w:rsidR="000666E0" w:rsidRPr="00461C16" w14:paraId="2D88696A" w14:textId="77777777" w:rsidTr="0008757A">
        <w:trPr>
          <w:trHeight w:val="300"/>
          <w:jc w:val="center"/>
        </w:trPr>
        <w:tc>
          <w:tcPr>
            <w:tcW w:w="921" w:type="dxa"/>
            <w:shd w:val="clear" w:color="auto" w:fill="auto"/>
            <w:noWrap/>
          </w:tcPr>
          <w:p w14:paraId="2BE4BFD3" w14:textId="77777777" w:rsidR="000666E0" w:rsidRPr="00461C16" w:rsidRDefault="000666E0" w:rsidP="00413CFE">
            <w:pPr>
              <w:spacing w:before="40" w:after="40"/>
              <w:rPr>
                <w:sz w:val="20"/>
              </w:rPr>
            </w:pPr>
            <w:r w:rsidRPr="00461C16">
              <w:rPr>
                <w:sz w:val="20"/>
              </w:rPr>
              <w:t>ZZ29</w:t>
            </w:r>
          </w:p>
        </w:tc>
        <w:tc>
          <w:tcPr>
            <w:tcW w:w="1234" w:type="dxa"/>
          </w:tcPr>
          <w:p w14:paraId="019FDE1E"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Václavice (p.p.č. 2324/3)</w:t>
            </w:r>
          </w:p>
        </w:tc>
        <w:tc>
          <w:tcPr>
            <w:tcW w:w="1277" w:type="dxa"/>
            <w:shd w:val="clear" w:color="auto" w:fill="auto"/>
            <w:noWrap/>
          </w:tcPr>
          <w:p w14:paraId="6D18DDEB"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 nízkopodlažní</w:t>
            </w:r>
          </w:p>
        </w:tc>
        <w:tc>
          <w:tcPr>
            <w:tcW w:w="1134" w:type="dxa"/>
            <w:shd w:val="clear" w:color="auto" w:fill="auto"/>
            <w:noWrap/>
          </w:tcPr>
          <w:p w14:paraId="6E0662FA"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060FF7B3" w14:textId="77777777" w:rsidR="000666E0" w:rsidRPr="00461C16" w:rsidRDefault="007F7B6F" w:rsidP="00081E2A">
            <w:pPr>
              <w:pStyle w:val="Intabulka"/>
              <w:rPr>
                <w:rFonts w:ascii="Arial Narrow" w:hAnsi="Arial Narrow"/>
              </w:rPr>
            </w:pPr>
            <w:r w:rsidRPr="00461C16">
              <w:rPr>
                <w:rFonts w:ascii="Arial Narrow" w:hAnsi="Arial Narrow"/>
                <w:lang w:val="cs-CZ"/>
              </w:rPr>
              <w:t>p</w:t>
            </w:r>
            <w:r w:rsidR="000666E0" w:rsidRPr="00461C16">
              <w:rPr>
                <w:rFonts w:ascii="Arial Narrow" w:hAnsi="Arial Narrow"/>
              </w:rPr>
              <w:t>řevzato</w:t>
            </w:r>
            <w:r w:rsidRPr="00461C16">
              <w:rPr>
                <w:rFonts w:ascii="Arial Narrow" w:hAnsi="Arial Narrow"/>
                <w:lang w:val="cs-CZ"/>
              </w:rPr>
              <w:t xml:space="preserve"> z části</w:t>
            </w:r>
            <w:r w:rsidR="000666E0" w:rsidRPr="00461C16">
              <w:rPr>
                <w:rFonts w:ascii="Arial Narrow" w:hAnsi="Arial Narrow"/>
              </w:rPr>
              <w:t>, vymezeno jako plocha</w:t>
            </w:r>
            <w:r w:rsidR="00B345B4" w:rsidRPr="00461C16">
              <w:rPr>
                <w:rFonts w:ascii="Arial Narrow" w:hAnsi="Arial Narrow"/>
              </w:rPr>
              <w:t xml:space="preserve"> </w:t>
            </w:r>
            <w:r w:rsidRPr="00461C16">
              <w:rPr>
                <w:rFonts w:ascii="Arial Narrow" w:hAnsi="Arial Narrow"/>
                <w:lang w:val="cs-CZ"/>
              </w:rPr>
              <w:t xml:space="preserve">smíšená obytná venkovská </w:t>
            </w:r>
            <w:r w:rsidR="000666E0" w:rsidRPr="00461C16">
              <w:rPr>
                <w:rFonts w:ascii="Arial Narrow" w:hAnsi="Arial Narrow"/>
              </w:rPr>
              <w:t>Z22</w:t>
            </w:r>
          </w:p>
        </w:tc>
        <w:tc>
          <w:tcPr>
            <w:tcW w:w="2621" w:type="dxa"/>
            <w:shd w:val="clear" w:color="auto" w:fill="auto"/>
            <w:noWrap/>
          </w:tcPr>
          <w:p w14:paraId="2D9E50A4" w14:textId="77777777" w:rsidR="000666E0" w:rsidRPr="00461C16" w:rsidRDefault="007F7B6F" w:rsidP="007F7B6F">
            <w:pPr>
              <w:pStyle w:val="Intabulka"/>
              <w:rPr>
                <w:rFonts w:ascii="Arial Narrow" w:hAnsi="Arial Narrow"/>
                <w:lang w:val="cs-CZ"/>
              </w:rPr>
            </w:pPr>
            <w:r w:rsidRPr="00461C16">
              <w:rPr>
                <w:rFonts w:ascii="Arial Narrow" w:hAnsi="Arial Narrow"/>
                <w:lang w:val="cs-CZ"/>
              </w:rPr>
              <w:t xml:space="preserve">zastavitelnost omezena pouze na část těsně přiléhající ke stávající zástavbě, zbývající část chráněna pro zemědělské účely – narušení souvislých celků ZPF </w:t>
            </w:r>
            <w:r w:rsidR="000666E0" w:rsidRPr="00461C16">
              <w:rPr>
                <w:rFonts w:ascii="Arial Narrow" w:hAnsi="Arial Narrow"/>
                <w:lang w:val="cs-CZ"/>
              </w:rPr>
              <w:t>(orná půda)</w:t>
            </w:r>
          </w:p>
        </w:tc>
      </w:tr>
      <w:tr w:rsidR="000666E0" w:rsidRPr="00461C16" w14:paraId="2C126AFD" w14:textId="77777777" w:rsidTr="0008757A">
        <w:trPr>
          <w:trHeight w:val="300"/>
          <w:jc w:val="center"/>
        </w:trPr>
        <w:tc>
          <w:tcPr>
            <w:tcW w:w="921" w:type="dxa"/>
            <w:shd w:val="clear" w:color="auto" w:fill="auto"/>
            <w:noWrap/>
          </w:tcPr>
          <w:p w14:paraId="6540C612" w14:textId="77777777" w:rsidR="000666E0" w:rsidRPr="00461C16" w:rsidRDefault="000666E0" w:rsidP="00413CFE">
            <w:pPr>
              <w:spacing w:before="40" w:after="40"/>
              <w:rPr>
                <w:sz w:val="20"/>
              </w:rPr>
            </w:pPr>
            <w:r w:rsidRPr="00461C16">
              <w:rPr>
                <w:sz w:val="20"/>
              </w:rPr>
              <w:t>ZZ30</w:t>
            </w:r>
          </w:p>
        </w:tc>
        <w:tc>
          <w:tcPr>
            <w:tcW w:w="1234" w:type="dxa"/>
          </w:tcPr>
          <w:p w14:paraId="00FB9415"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Donín (</w:t>
            </w:r>
            <w:r w:rsidRPr="00461C16">
              <w:rPr>
                <w:rFonts w:ascii="Arial Narrow" w:hAnsi="Arial Narrow"/>
                <w:bCs/>
                <w:lang w:eastAsia="cs-CZ"/>
              </w:rPr>
              <w:t>p.p.</w:t>
            </w:r>
            <w:r w:rsidRPr="00461C16">
              <w:rPr>
                <w:rFonts w:ascii="Arial Narrow" w:hAnsi="Arial Narrow" w:cs="TimesNewRoman,Bold"/>
                <w:bCs/>
                <w:lang w:eastAsia="cs-CZ"/>
              </w:rPr>
              <w:t>č</w:t>
            </w:r>
            <w:r w:rsidRPr="00461C16">
              <w:rPr>
                <w:rFonts w:ascii="Arial Narrow" w:hAnsi="Arial Narrow"/>
                <w:bCs/>
                <w:lang w:eastAsia="cs-CZ"/>
              </w:rPr>
              <w:t>. 1037/2, 1038/3</w:t>
            </w:r>
            <w:r w:rsidRPr="00461C16">
              <w:rPr>
                <w:rFonts w:ascii="Arial Narrow" w:hAnsi="Arial Narrow"/>
                <w:bCs/>
                <w:lang w:val="cs-CZ" w:eastAsia="cs-CZ"/>
              </w:rPr>
              <w:t>)</w:t>
            </w:r>
          </w:p>
        </w:tc>
        <w:tc>
          <w:tcPr>
            <w:tcW w:w="1277" w:type="dxa"/>
            <w:shd w:val="clear" w:color="auto" w:fill="auto"/>
            <w:noWrap/>
          </w:tcPr>
          <w:p w14:paraId="4E6CA08D"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rekreace a sport (letní tábor)</w:t>
            </w:r>
          </w:p>
        </w:tc>
        <w:tc>
          <w:tcPr>
            <w:tcW w:w="1134" w:type="dxa"/>
            <w:shd w:val="clear" w:color="auto" w:fill="auto"/>
            <w:noWrap/>
          </w:tcPr>
          <w:p w14:paraId="38582089"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27E4E882" w14:textId="77777777" w:rsidR="000666E0" w:rsidRPr="00461C16" w:rsidRDefault="00D10088" w:rsidP="00D10088">
            <w:pPr>
              <w:pStyle w:val="Intabulka"/>
              <w:rPr>
                <w:rFonts w:ascii="Arial Narrow" w:hAnsi="Arial Narrow"/>
              </w:rPr>
            </w:pPr>
            <w:r>
              <w:rPr>
                <w:rFonts w:ascii="Arial Narrow" w:hAnsi="Arial Narrow"/>
                <w:lang w:val="cs-CZ"/>
              </w:rPr>
              <w:t>ne</w:t>
            </w:r>
            <w:r w:rsidR="007F7B6F" w:rsidRPr="00461C16">
              <w:rPr>
                <w:rFonts w:ascii="Arial Narrow" w:hAnsi="Arial Narrow"/>
                <w:lang w:val="cs-CZ"/>
              </w:rPr>
              <w:t>p</w:t>
            </w:r>
            <w:r w:rsidR="000666E0" w:rsidRPr="00461C16">
              <w:rPr>
                <w:rFonts w:ascii="Arial Narrow" w:hAnsi="Arial Narrow"/>
              </w:rPr>
              <w:t>řevzato</w:t>
            </w:r>
            <w:r>
              <w:rPr>
                <w:rFonts w:ascii="Arial Narrow" w:hAnsi="Arial Narrow"/>
                <w:lang w:val="cs-CZ"/>
              </w:rPr>
              <w:t xml:space="preserve"> z důvodu nesouhlasu dotčeného orgánu</w:t>
            </w:r>
          </w:p>
        </w:tc>
        <w:tc>
          <w:tcPr>
            <w:tcW w:w="2621" w:type="dxa"/>
            <w:shd w:val="clear" w:color="auto" w:fill="auto"/>
            <w:noWrap/>
          </w:tcPr>
          <w:p w14:paraId="13B89AAC" w14:textId="77777777" w:rsidR="000666E0" w:rsidRPr="00461C16" w:rsidRDefault="00D10088" w:rsidP="00413CFE">
            <w:pPr>
              <w:pStyle w:val="Intabulka"/>
              <w:rPr>
                <w:rFonts w:ascii="Arial Narrow" w:hAnsi="Arial Narrow"/>
                <w:lang w:val="cs-CZ"/>
              </w:rPr>
            </w:pPr>
            <w:r>
              <w:rPr>
                <w:rFonts w:ascii="Arial Narrow" w:hAnsi="Arial Narrow"/>
                <w:lang w:val="cs-CZ"/>
              </w:rPr>
              <w:t>ochrana volné krajiny a PUPFL</w:t>
            </w:r>
          </w:p>
        </w:tc>
      </w:tr>
      <w:tr w:rsidR="000666E0" w:rsidRPr="00461C16" w14:paraId="4061685A" w14:textId="77777777" w:rsidTr="0008757A">
        <w:trPr>
          <w:trHeight w:val="300"/>
          <w:jc w:val="center"/>
        </w:trPr>
        <w:tc>
          <w:tcPr>
            <w:tcW w:w="921" w:type="dxa"/>
            <w:shd w:val="clear" w:color="auto" w:fill="auto"/>
            <w:noWrap/>
          </w:tcPr>
          <w:p w14:paraId="599F2FB8" w14:textId="77777777" w:rsidR="000666E0" w:rsidRPr="00461C16" w:rsidRDefault="000666E0" w:rsidP="00413CFE">
            <w:pPr>
              <w:spacing w:before="40" w:after="40"/>
              <w:rPr>
                <w:sz w:val="20"/>
              </w:rPr>
            </w:pPr>
            <w:r w:rsidRPr="00461C16">
              <w:rPr>
                <w:sz w:val="20"/>
              </w:rPr>
              <w:t>ZZ31</w:t>
            </w:r>
          </w:p>
        </w:tc>
        <w:tc>
          <w:tcPr>
            <w:tcW w:w="1234" w:type="dxa"/>
          </w:tcPr>
          <w:p w14:paraId="4AF68E71" w14:textId="77777777" w:rsidR="000666E0" w:rsidRPr="00461C16" w:rsidRDefault="000666E0" w:rsidP="00413CFE">
            <w:pPr>
              <w:autoSpaceDE w:val="0"/>
              <w:autoSpaceDN w:val="0"/>
              <w:adjustRightInd w:val="0"/>
              <w:spacing w:before="40" w:after="40" w:line="240" w:lineRule="auto"/>
              <w:jc w:val="left"/>
              <w:rPr>
                <w:bCs/>
                <w:sz w:val="20"/>
                <w:szCs w:val="20"/>
                <w:lang w:eastAsia="cs-CZ"/>
              </w:rPr>
            </w:pPr>
            <w:r w:rsidRPr="00461C16">
              <w:rPr>
                <w:sz w:val="20"/>
                <w:szCs w:val="20"/>
              </w:rPr>
              <w:t>Donín (</w:t>
            </w:r>
            <w:r w:rsidRPr="00461C16">
              <w:rPr>
                <w:bCs/>
                <w:sz w:val="20"/>
                <w:szCs w:val="20"/>
                <w:lang w:eastAsia="cs-CZ"/>
              </w:rPr>
              <w:t>p.p.</w:t>
            </w:r>
            <w:r w:rsidRPr="00461C16">
              <w:rPr>
                <w:rFonts w:cs="TimesNewRoman,Bold"/>
                <w:bCs/>
                <w:sz w:val="20"/>
                <w:szCs w:val="20"/>
                <w:lang w:eastAsia="cs-CZ"/>
              </w:rPr>
              <w:t>č</w:t>
            </w:r>
            <w:r w:rsidRPr="00461C16">
              <w:rPr>
                <w:bCs/>
                <w:sz w:val="20"/>
                <w:szCs w:val="20"/>
                <w:lang w:eastAsia="cs-CZ"/>
              </w:rPr>
              <w:t>. 943/1, 944, 945, 946, 947, 948, 949, 950/1, 951/1,</w:t>
            </w:r>
          </w:p>
          <w:p w14:paraId="6FC374C4" w14:textId="77777777" w:rsidR="000666E0" w:rsidRPr="00461C16" w:rsidRDefault="000666E0" w:rsidP="00413CFE">
            <w:pPr>
              <w:autoSpaceDE w:val="0"/>
              <w:autoSpaceDN w:val="0"/>
              <w:adjustRightInd w:val="0"/>
              <w:spacing w:before="40" w:after="40" w:line="240" w:lineRule="auto"/>
              <w:jc w:val="left"/>
              <w:rPr>
                <w:bCs/>
                <w:sz w:val="20"/>
                <w:szCs w:val="20"/>
                <w:lang w:eastAsia="cs-CZ"/>
              </w:rPr>
            </w:pPr>
            <w:r w:rsidRPr="00461C16">
              <w:rPr>
                <w:bCs/>
                <w:sz w:val="20"/>
                <w:szCs w:val="20"/>
                <w:lang w:eastAsia="cs-CZ"/>
              </w:rPr>
              <w:t>951/2, 953/1, 953/6, 955/1, 988, 989, 992/2, 994/1, 994/2, 995/1, 995/2, 997/1, 997/2,</w:t>
            </w:r>
          </w:p>
          <w:p w14:paraId="38637CBD" w14:textId="77777777" w:rsidR="000666E0" w:rsidRPr="00461C16" w:rsidRDefault="000666E0" w:rsidP="00413CFE">
            <w:pPr>
              <w:pStyle w:val="Intabulka"/>
              <w:rPr>
                <w:rFonts w:ascii="Arial Narrow" w:hAnsi="Arial Narrow"/>
                <w:lang w:val="cs-CZ"/>
              </w:rPr>
            </w:pPr>
            <w:r w:rsidRPr="00461C16">
              <w:rPr>
                <w:rFonts w:ascii="Arial Narrow" w:hAnsi="Arial Narrow"/>
                <w:bCs/>
                <w:lang w:eastAsia="cs-CZ"/>
              </w:rPr>
              <w:t>1014/6</w:t>
            </w:r>
            <w:r w:rsidRPr="00461C16">
              <w:rPr>
                <w:rFonts w:ascii="Arial Narrow" w:hAnsi="Arial Narrow"/>
                <w:bCs/>
                <w:lang w:val="cs-CZ" w:eastAsia="cs-CZ"/>
              </w:rPr>
              <w:t>)</w:t>
            </w:r>
          </w:p>
        </w:tc>
        <w:tc>
          <w:tcPr>
            <w:tcW w:w="1277" w:type="dxa"/>
            <w:shd w:val="clear" w:color="auto" w:fill="auto"/>
            <w:noWrap/>
          </w:tcPr>
          <w:p w14:paraId="5BB52A1D"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501D7100" w14:textId="77777777" w:rsidR="000666E0" w:rsidRPr="00461C16" w:rsidRDefault="000666E0"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1484FE5F" w14:textId="77777777" w:rsidR="000666E0" w:rsidRPr="00461C16" w:rsidRDefault="007F7B6F" w:rsidP="007F7B6F">
            <w:pPr>
              <w:pStyle w:val="Intabulka"/>
              <w:rPr>
                <w:rFonts w:ascii="Arial Narrow" w:hAnsi="Arial Narrow"/>
              </w:rPr>
            </w:pPr>
            <w:r w:rsidRPr="00461C16">
              <w:rPr>
                <w:rFonts w:ascii="Arial Narrow" w:hAnsi="Arial Narrow"/>
                <w:lang w:val="cs-CZ"/>
              </w:rPr>
              <w:t>n</w:t>
            </w:r>
            <w:r w:rsidR="000666E0" w:rsidRPr="00461C16">
              <w:rPr>
                <w:rFonts w:ascii="Arial Narrow" w:hAnsi="Arial Narrow"/>
              </w:rPr>
              <w:t xml:space="preserve">epřevzato, </w:t>
            </w:r>
            <w:r w:rsidRPr="00461C16">
              <w:rPr>
                <w:rFonts w:ascii="Arial Narrow" w:hAnsi="Arial Narrow"/>
                <w:lang w:val="cs-CZ"/>
              </w:rPr>
              <w:t xml:space="preserve">území stabilizováno </w:t>
            </w:r>
            <w:r w:rsidR="000666E0" w:rsidRPr="00461C16">
              <w:rPr>
                <w:rFonts w:ascii="Arial Narrow" w:hAnsi="Arial Narrow"/>
              </w:rPr>
              <w:t xml:space="preserve">jako plocha stabilizovaná NS </w:t>
            </w:r>
          </w:p>
        </w:tc>
        <w:tc>
          <w:tcPr>
            <w:tcW w:w="2621" w:type="dxa"/>
            <w:shd w:val="clear" w:color="auto" w:fill="auto"/>
            <w:noWrap/>
          </w:tcPr>
          <w:p w14:paraId="4D1F2F2B" w14:textId="77777777" w:rsidR="000666E0" w:rsidRPr="00461C16" w:rsidRDefault="000666E0" w:rsidP="007F7B6F">
            <w:pPr>
              <w:pStyle w:val="Intabulka"/>
              <w:rPr>
                <w:rFonts w:ascii="Arial Narrow" w:hAnsi="Arial Narrow"/>
                <w:lang w:val="cs-CZ"/>
              </w:rPr>
            </w:pPr>
            <w:r w:rsidRPr="00461C16">
              <w:rPr>
                <w:rFonts w:ascii="Arial Narrow" w:hAnsi="Arial Narrow"/>
                <w:lang w:val="cs-CZ"/>
              </w:rPr>
              <w:t>nežádoucí rozpínání zástavby do volné krajiny a pozemků ZPF + PUPFL, n</w:t>
            </w:r>
            <w:r w:rsidR="007F7B6F" w:rsidRPr="00461C16">
              <w:rPr>
                <w:rFonts w:ascii="Arial Narrow" w:hAnsi="Arial Narrow"/>
                <w:lang w:val="cs-CZ"/>
              </w:rPr>
              <w:t>evyhovující</w:t>
            </w:r>
            <w:r w:rsidRPr="00461C16">
              <w:rPr>
                <w:rFonts w:ascii="Arial Narrow" w:hAnsi="Arial Narrow"/>
                <w:lang w:val="cs-CZ"/>
              </w:rPr>
              <w:t xml:space="preserve"> dopravní přístup a těsn</w:t>
            </w:r>
            <w:r w:rsidR="007F7B6F" w:rsidRPr="00461C16">
              <w:rPr>
                <w:rFonts w:ascii="Arial Narrow" w:hAnsi="Arial Narrow"/>
                <w:lang w:val="cs-CZ"/>
              </w:rPr>
              <w:t>á</w:t>
            </w:r>
            <w:r w:rsidRPr="00461C16">
              <w:rPr>
                <w:rFonts w:ascii="Arial Narrow" w:hAnsi="Arial Narrow"/>
                <w:lang w:val="cs-CZ"/>
              </w:rPr>
              <w:t xml:space="preserve"> vazb</w:t>
            </w:r>
            <w:r w:rsidR="007F7B6F" w:rsidRPr="00461C16">
              <w:rPr>
                <w:rFonts w:ascii="Arial Narrow" w:hAnsi="Arial Narrow"/>
                <w:lang w:val="cs-CZ"/>
              </w:rPr>
              <w:t>a</w:t>
            </w:r>
            <w:r w:rsidRPr="00461C16">
              <w:rPr>
                <w:rFonts w:ascii="Arial Narrow" w:hAnsi="Arial Narrow"/>
                <w:lang w:val="cs-CZ"/>
              </w:rPr>
              <w:t xml:space="preserve"> na funkční výrobní areál</w:t>
            </w:r>
            <w:r w:rsidR="007F7B6F" w:rsidRPr="00461C16">
              <w:rPr>
                <w:rFonts w:ascii="Arial Narrow" w:hAnsi="Arial Narrow"/>
                <w:lang w:val="cs-CZ"/>
              </w:rPr>
              <w:t xml:space="preserve"> – nevhodné z hygienického hlediska</w:t>
            </w:r>
          </w:p>
        </w:tc>
      </w:tr>
      <w:tr w:rsidR="007F7B6F" w:rsidRPr="00461C16" w14:paraId="09C9584F" w14:textId="77777777" w:rsidTr="0008757A">
        <w:trPr>
          <w:trHeight w:val="300"/>
          <w:jc w:val="center"/>
        </w:trPr>
        <w:tc>
          <w:tcPr>
            <w:tcW w:w="921" w:type="dxa"/>
            <w:shd w:val="clear" w:color="auto" w:fill="auto"/>
            <w:noWrap/>
          </w:tcPr>
          <w:p w14:paraId="73ED1577" w14:textId="77777777" w:rsidR="007F7B6F" w:rsidRPr="00461C16" w:rsidRDefault="007F7B6F" w:rsidP="00413CFE">
            <w:pPr>
              <w:spacing w:before="40" w:after="40"/>
              <w:rPr>
                <w:sz w:val="20"/>
              </w:rPr>
            </w:pPr>
            <w:r w:rsidRPr="00461C16">
              <w:rPr>
                <w:sz w:val="20"/>
              </w:rPr>
              <w:t>ZZ32</w:t>
            </w:r>
          </w:p>
        </w:tc>
        <w:tc>
          <w:tcPr>
            <w:tcW w:w="1234" w:type="dxa"/>
          </w:tcPr>
          <w:p w14:paraId="695D6F16" w14:textId="77777777" w:rsidR="007F7B6F" w:rsidRPr="00461C16" w:rsidRDefault="007F7B6F" w:rsidP="007F7B6F">
            <w:pPr>
              <w:pStyle w:val="Intabulka"/>
              <w:rPr>
                <w:rFonts w:ascii="Arial Narrow" w:hAnsi="Arial Narrow"/>
                <w:lang w:val="cs-CZ"/>
              </w:rPr>
            </w:pPr>
            <w:r w:rsidRPr="00461C16">
              <w:rPr>
                <w:rFonts w:ascii="Arial Narrow" w:hAnsi="Arial Narrow"/>
                <w:lang w:val="cs-CZ"/>
              </w:rPr>
              <w:t xml:space="preserve">Donín </w:t>
            </w:r>
          </w:p>
        </w:tc>
        <w:tc>
          <w:tcPr>
            <w:tcW w:w="1277" w:type="dxa"/>
            <w:shd w:val="clear" w:color="auto" w:fill="auto"/>
            <w:noWrap/>
          </w:tcPr>
          <w:p w14:paraId="407B9EBF" w14:textId="77777777" w:rsidR="007F7B6F" w:rsidRPr="00461C16" w:rsidRDefault="007F7B6F" w:rsidP="00413CFE">
            <w:pPr>
              <w:pStyle w:val="Intabulka"/>
              <w:rPr>
                <w:rFonts w:ascii="Arial Narrow" w:hAnsi="Arial Narrow"/>
                <w:lang w:val="cs-CZ"/>
              </w:rPr>
            </w:pPr>
            <w:r w:rsidRPr="00461C16">
              <w:rPr>
                <w:rFonts w:ascii="Arial Narrow" w:hAnsi="Arial Narrow"/>
                <w:lang w:val="cs-CZ"/>
              </w:rPr>
              <w:t>redukce záměru č. ZZ31</w:t>
            </w:r>
          </w:p>
        </w:tc>
        <w:tc>
          <w:tcPr>
            <w:tcW w:w="1134" w:type="dxa"/>
            <w:shd w:val="clear" w:color="auto" w:fill="auto"/>
            <w:noWrap/>
          </w:tcPr>
          <w:p w14:paraId="6185D39C" w14:textId="77777777" w:rsidR="007F7B6F" w:rsidRPr="00461C16" w:rsidRDefault="007F7B6F" w:rsidP="00413CFE">
            <w:pPr>
              <w:pStyle w:val="Intabulka"/>
              <w:rPr>
                <w:rFonts w:ascii="Arial Narrow" w:hAnsi="Arial Narrow"/>
                <w:lang w:val="cs-CZ"/>
              </w:rPr>
            </w:pPr>
            <w:r w:rsidRPr="00461C16">
              <w:rPr>
                <w:rFonts w:ascii="Arial Narrow" w:hAnsi="Arial Narrow"/>
                <w:lang w:val="cs-CZ"/>
              </w:rPr>
              <w:t>město</w:t>
            </w:r>
          </w:p>
        </w:tc>
        <w:tc>
          <w:tcPr>
            <w:tcW w:w="2025" w:type="dxa"/>
          </w:tcPr>
          <w:p w14:paraId="6613F9C9" w14:textId="77777777" w:rsidR="007F7B6F" w:rsidRPr="00461C16" w:rsidRDefault="007F7B6F" w:rsidP="007F7B6F">
            <w:pPr>
              <w:pStyle w:val="Intabulka"/>
              <w:rPr>
                <w:rFonts w:ascii="Arial Narrow" w:hAnsi="Arial Narrow"/>
                <w:lang w:val="cs-CZ"/>
              </w:rPr>
            </w:pPr>
            <w:r w:rsidRPr="00461C16">
              <w:rPr>
                <w:rFonts w:ascii="Arial Narrow" w:hAnsi="Arial Narrow"/>
                <w:lang w:val="cs-CZ"/>
              </w:rPr>
              <w:t xml:space="preserve">viz vyhodnocení záměru ZZ31 </w:t>
            </w:r>
          </w:p>
        </w:tc>
        <w:tc>
          <w:tcPr>
            <w:tcW w:w="2621" w:type="dxa"/>
            <w:shd w:val="clear" w:color="auto" w:fill="auto"/>
            <w:noWrap/>
          </w:tcPr>
          <w:p w14:paraId="2762865D" w14:textId="77777777" w:rsidR="007F7B6F" w:rsidRPr="00461C16" w:rsidRDefault="007F7B6F" w:rsidP="00413CFE">
            <w:pPr>
              <w:pStyle w:val="Intabulka"/>
              <w:rPr>
                <w:rFonts w:ascii="Arial Narrow" w:hAnsi="Arial Narrow"/>
                <w:lang w:val="cs-CZ"/>
              </w:rPr>
            </w:pPr>
            <w:r w:rsidRPr="00461C16">
              <w:rPr>
                <w:rFonts w:ascii="Arial Narrow" w:hAnsi="Arial Narrow"/>
                <w:lang w:val="cs-CZ"/>
              </w:rPr>
              <w:t xml:space="preserve">viz doporučení k záměru ZZ31 </w:t>
            </w:r>
          </w:p>
        </w:tc>
      </w:tr>
      <w:tr w:rsidR="007F7B6F" w:rsidRPr="00461C16" w14:paraId="33C903AD" w14:textId="77777777" w:rsidTr="0008757A">
        <w:trPr>
          <w:trHeight w:val="300"/>
          <w:jc w:val="center"/>
        </w:trPr>
        <w:tc>
          <w:tcPr>
            <w:tcW w:w="921" w:type="dxa"/>
            <w:shd w:val="clear" w:color="auto" w:fill="auto"/>
            <w:noWrap/>
          </w:tcPr>
          <w:p w14:paraId="0C4D7CDC" w14:textId="77777777" w:rsidR="007F7B6F" w:rsidRPr="00461C16" w:rsidRDefault="007F7B6F" w:rsidP="00413CFE">
            <w:pPr>
              <w:spacing w:before="40" w:after="40"/>
              <w:rPr>
                <w:sz w:val="20"/>
              </w:rPr>
            </w:pPr>
            <w:r w:rsidRPr="00461C16">
              <w:rPr>
                <w:sz w:val="20"/>
              </w:rPr>
              <w:t>ZZ33</w:t>
            </w:r>
          </w:p>
        </w:tc>
        <w:tc>
          <w:tcPr>
            <w:tcW w:w="1234" w:type="dxa"/>
          </w:tcPr>
          <w:p w14:paraId="13BBB334" w14:textId="77777777" w:rsidR="007F7B6F" w:rsidRPr="00461C16" w:rsidRDefault="007F7B6F" w:rsidP="00413CFE">
            <w:pPr>
              <w:pStyle w:val="Intabulka"/>
              <w:rPr>
                <w:rFonts w:ascii="Arial Narrow" w:hAnsi="Arial Narrow"/>
                <w:lang w:val="cs-CZ"/>
              </w:rPr>
            </w:pPr>
            <w:r w:rsidRPr="00461C16">
              <w:rPr>
                <w:rFonts w:ascii="Arial Narrow" w:hAnsi="Arial Narrow"/>
                <w:lang w:val="cs-CZ"/>
              </w:rPr>
              <w:t xml:space="preserve">Donín </w:t>
            </w:r>
            <w:r w:rsidRPr="00461C16">
              <w:rPr>
                <w:rFonts w:ascii="Arial Narrow" w:hAnsi="Arial Narrow"/>
              </w:rPr>
              <w:t>(</w:t>
            </w:r>
            <w:r w:rsidRPr="00461C16">
              <w:rPr>
                <w:rFonts w:ascii="Arial Narrow" w:hAnsi="Arial Narrow"/>
                <w:bCs/>
                <w:lang w:eastAsia="cs-CZ"/>
              </w:rPr>
              <w:t>p.p.</w:t>
            </w:r>
            <w:r w:rsidRPr="00461C16">
              <w:rPr>
                <w:rFonts w:ascii="Arial Narrow" w:hAnsi="Arial Narrow" w:cs="TimesNewRoman,Bold"/>
                <w:bCs/>
                <w:lang w:eastAsia="cs-CZ"/>
              </w:rPr>
              <w:t>č</w:t>
            </w:r>
            <w:r w:rsidRPr="00461C16">
              <w:rPr>
                <w:rFonts w:ascii="Arial Narrow" w:hAnsi="Arial Narrow"/>
                <w:bCs/>
                <w:lang w:eastAsia="cs-CZ"/>
              </w:rPr>
              <w:t>.914/3)</w:t>
            </w:r>
          </w:p>
        </w:tc>
        <w:tc>
          <w:tcPr>
            <w:tcW w:w="1277" w:type="dxa"/>
            <w:shd w:val="clear" w:color="auto" w:fill="auto"/>
            <w:noWrap/>
          </w:tcPr>
          <w:p w14:paraId="22D69CF9" w14:textId="77777777" w:rsidR="007F7B6F" w:rsidRPr="00461C16" w:rsidRDefault="007F7B6F"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1E50B016" w14:textId="77777777" w:rsidR="007F7B6F" w:rsidRPr="00461C16" w:rsidRDefault="007F7B6F"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187FF53D" w14:textId="77777777" w:rsidR="007F7B6F" w:rsidRPr="00461C16" w:rsidRDefault="00C86263" w:rsidP="00081E2A">
            <w:pPr>
              <w:pStyle w:val="Intabulka"/>
              <w:rPr>
                <w:rFonts w:ascii="Arial Narrow" w:hAnsi="Arial Narrow"/>
              </w:rPr>
            </w:pPr>
            <w:r w:rsidRPr="00461C16">
              <w:rPr>
                <w:rFonts w:ascii="Arial Narrow" w:hAnsi="Arial Narrow"/>
                <w:lang w:val="cs-CZ"/>
              </w:rPr>
              <w:t>n</w:t>
            </w:r>
            <w:r w:rsidR="007F7B6F" w:rsidRPr="00461C16">
              <w:rPr>
                <w:rFonts w:ascii="Arial Narrow" w:hAnsi="Arial Narrow"/>
              </w:rPr>
              <w:t>epřevzato, vymezeno jako plocha stabilizovaná NS</w:t>
            </w:r>
          </w:p>
        </w:tc>
        <w:tc>
          <w:tcPr>
            <w:tcW w:w="2621" w:type="dxa"/>
            <w:shd w:val="clear" w:color="auto" w:fill="auto"/>
            <w:noWrap/>
          </w:tcPr>
          <w:p w14:paraId="7FEFF64E" w14:textId="77777777" w:rsidR="007F7B6F" w:rsidRPr="00461C16" w:rsidRDefault="00C86263" w:rsidP="00413CFE">
            <w:pPr>
              <w:pStyle w:val="Intabulka"/>
              <w:rPr>
                <w:rFonts w:ascii="Arial Narrow" w:hAnsi="Arial Narrow"/>
                <w:lang w:val="cs-CZ"/>
              </w:rPr>
            </w:pPr>
            <w:r w:rsidRPr="00461C16">
              <w:rPr>
                <w:rFonts w:ascii="Arial Narrow" w:hAnsi="Arial Narrow"/>
                <w:lang w:val="cs-CZ"/>
              </w:rPr>
              <w:t xml:space="preserve">nevhodné, </w:t>
            </w:r>
            <w:r w:rsidR="007F7B6F" w:rsidRPr="00461C16">
              <w:rPr>
                <w:rFonts w:ascii="Arial Narrow" w:hAnsi="Arial Narrow"/>
                <w:lang w:val="cs-CZ"/>
              </w:rPr>
              <w:t>nežádoucí rozpínání zástavby do volné krajiny a pozemků ZPF</w:t>
            </w:r>
          </w:p>
        </w:tc>
      </w:tr>
      <w:tr w:rsidR="007F7B6F" w:rsidRPr="00461C16" w14:paraId="76338355" w14:textId="77777777" w:rsidTr="0008757A">
        <w:trPr>
          <w:trHeight w:val="300"/>
          <w:jc w:val="center"/>
        </w:trPr>
        <w:tc>
          <w:tcPr>
            <w:tcW w:w="921" w:type="dxa"/>
            <w:shd w:val="clear" w:color="auto" w:fill="auto"/>
            <w:noWrap/>
          </w:tcPr>
          <w:p w14:paraId="419EC8B5" w14:textId="77777777" w:rsidR="007F7B6F" w:rsidRPr="00461C16" w:rsidRDefault="007F7B6F" w:rsidP="00413CFE">
            <w:pPr>
              <w:spacing w:before="40" w:after="40"/>
              <w:rPr>
                <w:sz w:val="20"/>
              </w:rPr>
            </w:pPr>
            <w:r w:rsidRPr="00461C16">
              <w:rPr>
                <w:sz w:val="20"/>
              </w:rPr>
              <w:t>ZZ34</w:t>
            </w:r>
          </w:p>
        </w:tc>
        <w:tc>
          <w:tcPr>
            <w:tcW w:w="1234" w:type="dxa"/>
          </w:tcPr>
          <w:p w14:paraId="03869ED3" w14:textId="77777777" w:rsidR="007F7B6F" w:rsidRPr="00461C16" w:rsidRDefault="007F7B6F" w:rsidP="00413CFE">
            <w:pPr>
              <w:pStyle w:val="Intabulka"/>
              <w:rPr>
                <w:rFonts w:ascii="Arial Narrow" w:hAnsi="Arial Narrow"/>
                <w:lang w:val="cs-CZ"/>
              </w:rPr>
            </w:pPr>
            <w:r w:rsidRPr="00461C16">
              <w:rPr>
                <w:rFonts w:ascii="Arial Narrow" w:hAnsi="Arial Narrow"/>
                <w:lang w:val="cs-CZ"/>
              </w:rPr>
              <w:t>Václavice (</w:t>
            </w:r>
            <w:r w:rsidRPr="00461C16">
              <w:rPr>
                <w:rFonts w:ascii="Arial Narrow" w:hAnsi="Arial Narrow"/>
              </w:rPr>
              <w:t>p.p.č. 3208</w:t>
            </w:r>
            <w:r w:rsidRPr="00461C16">
              <w:rPr>
                <w:rFonts w:ascii="Arial Narrow" w:hAnsi="Arial Narrow"/>
                <w:lang w:val="cs-CZ"/>
              </w:rPr>
              <w:t>)</w:t>
            </w:r>
          </w:p>
        </w:tc>
        <w:tc>
          <w:tcPr>
            <w:tcW w:w="1277" w:type="dxa"/>
            <w:shd w:val="clear" w:color="auto" w:fill="auto"/>
            <w:noWrap/>
          </w:tcPr>
          <w:p w14:paraId="5E87BAAD" w14:textId="77777777" w:rsidR="007F7B6F" w:rsidRPr="00461C16" w:rsidRDefault="007F7B6F" w:rsidP="00413CFE">
            <w:pPr>
              <w:pStyle w:val="Intabulka"/>
              <w:rPr>
                <w:rFonts w:ascii="Arial Narrow" w:hAnsi="Arial Narrow"/>
                <w:lang w:val="cs-CZ"/>
              </w:rPr>
            </w:pPr>
            <w:r w:rsidRPr="00461C16">
              <w:rPr>
                <w:rFonts w:ascii="Arial Narrow" w:hAnsi="Arial Narrow"/>
                <w:lang w:val="cs-CZ"/>
              </w:rPr>
              <w:t>plocha luk a pastvin (vypustit návrh rekreace – lokalita č. 33)</w:t>
            </w:r>
          </w:p>
        </w:tc>
        <w:tc>
          <w:tcPr>
            <w:tcW w:w="1134" w:type="dxa"/>
            <w:shd w:val="clear" w:color="auto" w:fill="auto"/>
            <w:noWrap/>
          </w:tcPr>
          <w:p w14:paraId="18115744" w14:textId="77777777" w:rsidR="007F7B6F" w:rsidRPr="00461C16" w:rsidRDefault="007F7B6F" w:rsidP="00413CFE">
            <w:pPr>
              <w:pStyle w:val="Intabulka"/>
              <w:rPr>
                <w:rFonts w:ascii="Arial Narrow" w:hAnsi="Arial Narrow"/>
                <w:lang w:val="cs-CZ"/>
              </w:rPr>
            </w:pPr>
          </w:p>
        </w:tc>
        <w:tc>
          <w:tcPr>
            <w:tcW w:w="2025" w:type="dxa"/>
          </w:tcPr>
          <w:p w14:paraId="6C4D8C10" w14:textId="77777777" w:rsidR="007F7B6F" w:rsidRPr="00461C16" w:rsidRDefault="007F7B6F" w:rsidP="00081E2A">
            <w:pPr>
              <w:pStyle w:val="Intabulka"/>
              <w:rPr>
                <w:rFonts w:ascii="Arial Narrow" w:hAnsi="Arial Narrow"/>
              </w:rPr>
            </w:pPr>
            <w:r w:rsidRPr="00461C16">
              <w:rPr>
                <w:rFonts w:ascii="Arial Narrow" w:hAnsi="Arial Narrow"/>
              </w:rPr>
              <w:t>vymezeno jako plocha stabilizovaná BV</w:t>
            </w:r>
          </w:p>
        </w:tc>
        <w:tc>
          <w:tcPr>
            <w:tcW w:w="2621" w:type="dxa"/>
            <w:shd w:val="clear" w:color="auto" w:fill="auto"/>
            <w:noWrap/>
          </w:tcPr>
          <w:p w14:paraId="76034323" w14:textId="554D95C9" w:rsidR="007F7B6F" w:rsidRPr="00461C16" w:rsidRDefault="00C86263" w:rsidP="00F440F6">
            <w:pPr>
              <w:pStyle w:val="Intabulka"/>
              <w:rPr>
                <w:rFonts w:ascii="Arial Narrow" w:hAnsi="Arial Narrow"/>
                <w:lang w:val="cs-CZ"/>
              </w:rPr>
            </w:pPr>
            <w:r w:rsidRPr="00461C16">
              <w:rPr>
                <w:rFonts w:ascii="Arial Narrow" w:hAnsi="Arial Narrow"/>
                <w:lang w:val="cs-CZ"/>
              </w:rPr>
              <w:t>součást zastavěného území, začleněno do navazujících ploch bydlení</w:t>
            </w:r>
            <w:r w:rsidR="00F440F6" w:rsidRPr="00461C16">
              <w:rPr>
                <w:rFonts w:ascii="Arial Narrow" w:hAnsi="Arial Narrow"/>
                <w:lang w:val="cs-CZ"/>
              </w:rPr>
              <w:t xml:space="preserve"> venkovského</w:t>
            </w:r>
          </w:p>
        </w:tc>
      </w:tr>
      <w:tr w:rsidR="00C86263" w:rsidRPr="00461C16" w14:paraId="1C3A7CD1" w14:textId="77777777" w:rsidTr="0008757A">
        <w:trPr>
          <w:trHeight w:val="300"/>
          <w:jc w:val="center"/>
        </w:trPr>
        <w:tc>
          <w:tcPr>
            <w:tcW w:w="921" w:type="dxa"/>
            <w:shd w:val="clear" w:color="auto" w:fill="auto"/>
            <w:noWrap/>
          </w:tcPr>
          <w:p w14:paraId="31424A31" w14:textId="77777777" w:rsidR="00C86263" w:rsidRPr="00461C16" w:rsidRDefault="00C86263" w:rsidP="00413CFE">
            <w:pPr>
              <w:spacing w:before="40" w:after="40"/>
              <w:rPr>
                <w:sz w:val="20"/>
              </w:rPr>
            </w:pPr>
            <w:r w:rsidRPr="00461C16">
              <w:rPr>
                <w:sz w:val="20"/>
              </w:rPr>
              <w:t>ZZ35</w:t>
            </w:r>
          </w:p>
        </w:tc>
        <w:tc>
          <w:tcPr>
            <w:tcW w:w="1234" w:type="dxa"/>
          </w:tcPr>
          <w:p w14:paraId="57250C72"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 xml:space="preserve">Václavice </w:t>
            </w:r>
            <w:r w:rsidRPr="00461C16">
              <w:rPr>
                <w:rFonts w:ascii="Arial Narrow" w:hAnsi="Arial Narrow"/>
              </w:rPr>
              <w:t>(</w:t>
            </w:r>
            <w:r w:rsidRPr="00461C16">
              <w:rPr>
                <w:rFonts w:ascii="Arial Narrow" w:hAnsi="Arial Narrow"/>
                <w:lang w:val="cs-CZ"/>
              </w:rPr>
              <w:t xml:space="preserve">parc. </w:t>
            </w:r>
            <w:r w:rsidRPr="00461C16">
              <w:rPr>
                <w:rFonts w:ascii="Arial Narrow" w:hAnsi="Arial Narrow"/>
                <w:bCs/>
                <w:lang w:eastAsia="cs-CZ"/>
              </w:rPr>
              <w:t>st. 282/2, 282/3)</w:t>
            </w:r>
          </w:p>
        </w:tc>
        <w:tc>
          <w:tcPr>
            <w:tcW w:w="1277" w:type="dxa"/>
            <w:shd w:val="clear" w:color="auto" w:fill="auto"/>
            <w:noWrap/>
          </w:tcPr>
          <w:p w14:paraId="435B58AA"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bydlení</w:t>
            </w:r>
          </w:p>
        </w:tc>
        <w:tc>
          <w:tcPr>
            <w:tcW w:w="1134" w:type="dxa"/>
            <w:shd w:val="clear" w:color="auto" w:fill="auto"/>
            <w:noWrap/>
          </w:tcPr>
          <w:p w14:paraId="22655723"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24CCAA57" w14:textId="77777777" w:rsidR="00C86263" w:rsidRPr="00461C16" w:rsidRDefault="00C86263" w:rsidP="00081E2A">
            <w:pPr>
              <w:pStyle w:val="Intabulka"/>
              <w:rPr>
                <w:rFonts w:ascii="Arial Narrow" w:hAnsi="Arial Narrow"/>
              </w:rPr>
            </w:pPr>
            <w:r w:rsidRPr="00461C16">
              <w:rPr>
                <w:rFonts w:ascii="Arial Narrow" w:hAnsi="Arial Narrow"/>
                <w:lang w:val="cs-CZ"/>
              </w:rPr>
              <w:t>p</w:t>
            </w:r>
            <w:r w:rsidRPr="00461C16">
              <w:rPr>
                <w:rFonts w:ascii="Arial Narrow" w:hAnsi="Arial Narrow"/>
              </w:rPr>
              <w:t xml:space="preserve">řevzato, vymezeno jako plocha přestavby </w:t>
            </w:r>
            <w:r w:rsidRPr="00461C16">
              <w:rPr>
                <w:rFonts w:ascii="Arial Narrow" w:hAnsi="Arial Narrow"/>
                <w:lang w:val="cs-CZ"/>
              </w:rPr>
              <w:t xml:space="preserve">na smíšenou venkovskou zástavbu </w:t>
            </w:r>
            <w:r w:rsidRPr="00461C16">
              <w:rPr>
                <w:rFonts w:ascii="Arial Narrow" w:hAnsi="Arial Narrow"/>
              </w:rPr>
              <w:t>P01</w:t>
            </w:r>
          </w:p>
        </w:tc>
        <w:tc>
          <w:tcPr>
            <w:tcW w:w="2621" w:type="dxa"/>
            <w:shd w:val="clear" w:color="auto" w:fill="auto"/>
            <w:noWrap/>
          </w:tcPr>
          <w:p w14:paraId="5AAF902A" w14:textId="77777777" w:rsidR="00C86263" w:rsidRPr="00461C16" w:rsidRDefault="00C86263" w:rsidP="00C86263">
            <w:pPr>
              <w:pStyle w:val="Intabulka"/>
              <w:rPr>
                <w:rFonts w:ascii="Arial Narrow" w:hAnsi="Arial Narrow"/>
                <w:lang w:val="cs-CZ"/>
              </w:rPr>
            </w:pPr>
            <w:r w:rsidRPr="00461C16">
              <w:rPr>
                <w:rFonts w:ascii="Arial Narrow" w:hAnsi="Arial Narrow"/>
                <w:lang w:val="cs-CZ"/>
              </w:rPr>
              <w:t>součást zastavěného území, potvrzení dřívějšího stavu</w:t>
            </w:r>
          </w:p>
        </w:tc>
      </w:tr>
      <w:tr w:rsidR="00C86263" w:rsidRPr="00461C16" w14:paraId="75AD1289" w14:textId="77777777" w:rsidTr="0008757A">
        <w:trPr>
          <w:trHeight w:val="300"/>
          <w:jc w:val="center"/>
        </w:trPr>
        <w:tc>
          <w:tcPr>
            <w:tcW w:w="921" w:type="dxa"/>
            <w:shd w:val="clear" w:color="auto" w:fill="auto"/>
            <w:noWrap/>
          </w:tcPr>
          <w:p w14:paraId="0AD32470" w14:textId="77777777" w:rsidR="00C86263" w:rsidRPr="00461C16" w:rsidRDefault="00C86263" w:rsidP="00413CFE">
            <w:pPr>
              <w:spacing w:before="40" w:after="40"/>
              <w:rPr>
                <w:sz w:val="20"/>
              </w:rPr>
            </w:pPr>
            <w:r w:rsidRPr="00461C16">
              <w:rPr>
                <w:sz w:val="20"/>
              </w:rPr>
              <w:lastRenderedPageBreak/>
              <w:t>ZZ36</w:t>
            </w:r>
          </w:p>
        </w:tc>
        <w:tc>
          <w:tcPr>
            <w:tcW w:w="1234" w:type="dxa"/>
          </w:tcPr>
          <w:p w14:paraId="61298D3D"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 xml:space="preserve">Dolní Sedlo </w:t>
            </w:r>
            <w:r w:rsidRPr="00461C16">
              <w:rPr>
                <w:rFonts w:ascii="Arial Narrow" w:hAnsi="Arial Narrow"/>
              </w:rPr>
              <w:t>(p.p.č. 128/9)</w:t>
            </w:r>
          </w:p>
        </w:tc>
        <w:tc>
          <w:tcPr>
            <w:tcW w:w="1277" w:type="dxa"/>
            <w:shd w:val="clear" w:color="auto" w:fill="auto"/>
            <w:noWrap/>
          </w:tcPr>
          <w:p w14:paraId="121C51FA"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 xml:space="preserve">bydlení </w:t>
            </w:r>
          </w:p>
        </w:tc>
        <w:tc>
          <w:tcPr>
            <w:tcW w:w="1134" w:type="dxa"/>
            <w:shd w:val="clear" w:color="auto" w:fill="auto"/>
            <w:noWrap/>
          </w:tcPr>
          <w:p w14:paraId="63819E1D"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7E9BA482" w14:textId="77777777" w:rsidR="00C86263" w:rsidRPr="00461C16" w:rsidRDefault="0009738B" w:rsidP="00C86263">
            <w:pPr>
              <w:pStyle w:val="Intabulka"/>
              <w:rPr>
                <w:rFonts w:ascii="Arial Narrow" w:hAnsi="Arial Narrow"/>
              </w:rPr>
            </w:pPr>
            <w:r>
              <w:rPr>
                <w:rFonts w:ascii="Arial Narrow" w:hAnsi="Arial Narrow"/>
                <w:lang w:val="cs-CZ"/>
              </w:rPr>
              <w:t>nepřevzato, vymezeno jako stabilizovaná plocha NS</w:t>
            </w:r>
          </w:p>
        </w:tc>
        <w:tc>
          <w:tcPr>
            <w:tcW w:w="2621" w:type="dxa"/>
            <w:shd w:val="clear" w:color="auto" w:fill="auto"/>
            <w:noWrap/>
          </w:tcPr>
          <w:p w14:paraId="34031799" w14:textId="77777777" w:rsidR="00C86263" w:rsidRPr="00461C16" w:rsidRDefault="0009738B" w:rsidP="00C86263">
            <w:pPr>
              <w:pStyle w:val="Intabulka"/>
              <w:rPr>
                <w:rFonts w:ascii="Arial Narrow" w:hAnsi="Arial Narrow"/>
                <w:lang w:val="cs-CZ"/>
              </w:rPr>
            </w:pPr>
            <w:r>
              <w:rPr>
                <w:rFonts w:ascii="Arial Narrow" w:hAnsi="Arial Narrow"/>
                <w:lang w:val="cs-CZ"/>
              </w:rPr>
              <w:t>nesouhlas dotčeného orgánu (CHKO Lužické hory) z důvodu narušení rozptýlené struktury zástavby</w:t>
            </w:r>
          </w:p>
        </w:tc>
      </w:tr>
      <w:tr w:rsidR="00C86263" w:rsidRPr="00461C16" w14:paraId="5894A661" w14:textId="77777777" w:rsidTr="0008757A">
        <w:trPr>
          <w:trHeight w:val="300"/>
          <w:jc w:val="center"/>
        </w:trPr>
        <w:tc>
          <w:tcPr>
            <w:tcW w:w="921" w:type="dxa"/>
            <w:shd w:val="clear" w:color="auto" w:fill="auto"/>
            <w:noWrap/>
          </w:tcPr>
          <w:p w14:paraId="0BACF654" w14:textId="77777777" w:rsidR="00C86263" w:rsidRPr="00461C16" w:rsidRDefault="00C86263" w:rsidP="00413CFE">
            <w:pPr>
              <w:spacing w:before="40" w:after="40"/>
              <w:rPr>
                <w:sz w:val="20"/>
              </w:rPr>
            </w:pPr>
            <w:r w:rsidRPr="00461C16">
              <w:rPr>
                <w:sz w:val="20"/>
              </w:rPr>
              <w:t>ZZ37</w:t>
            </w:r>
          </w:p>
        </w:tc>
        <w:tc>
          <w:tcPr>
            <w:tcW w:w="1234" w:type="dxa"/>
          </w:tcPr>
          <w:p w14:paraId="05729F01"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 xml:space="preserve">Hrádek nad Nisou, ul. Větrná – Za Poštou </w:t>
            </w:r>
            <w:r w:rsidRPr="00461C16">
              <w:rPr>
                <w:rFonts w:ascii="Arial Narrow" w:hAnsi="Arial Narrow"/>
              </w:rPr>
              <w:t xml:space="preserve">(p.p.č. </w:t>
            </w:r>
            <w:r w:rsidRPr="00461C16">
              <w:rPr>
                <w:rFonts w:ascii="Arial Narrow" w:hAnsi="Arial Narrow"/>
                <w:bCs/>
                <w:lang w:eastAsia="cs-CZ"/>
              </w:rPr>
              <w:t>1689/1)</w:t>
            </w:r>
          </w:p>
        </w:tc>
        <w:tc>
          <w:tcPr>
            <w:tcW w:w="1277" w:type="dxa"/>
            <w:shd w:val="clear" w:color="auto" w:fill="auto"/>
            <w:noWrap/>
          </w:tcPr>
          <w:p w14:paraId="194A9C78"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bydlení nízkopodlažní</w:t>
            </w:r>
          </w:p>
        </w:tc>
        <w:tc>
          <w:tcPr>
            <w:tcW w:w="1134" w:type="dxa"/>
            <w:shd w:val="clear" w:color="auto" w:fill="auto"/>
            <w:noWrap/>
          </w:tcPr>
          <w:p w14:paraId="5E61566C"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573D5B3A" w14:textId="77777777" w:rsidR="00C86263" w:rsidRPr="00461C16" w:rsidRDefault="00C86263" w:rsidP="00081E2A">
            <w:pPr>
              <w:pStyle w:val="Intabulka"/>
              <w:rPr>
                <w:rFonts w:ascii="Arial Narrow" w:hAnsi="Arial Narrow"/>
              </w:rPr>
            </w:pPr>
            <w:r w:rsidRPr="00461C16">
              <w:rPr>
                <w:rFonts w:ascii="Arial Narrow" w:hAnsi="Arial Narrow"/>
              </w:rPr>
              <w:t xml:space="preserve">vymezeno jako stabilizovaná plocha </w:t>
            </w:r>
            <w:r w:rsidRPr="00461C16">
              <w:rPr>
                <w:rFonts w:ascii="Arial Narrow" w:hAnsi="Arial Narrow"/>
                <w:lang w:val="cs-CZ"/>
              </w:rPr>
              <w:t xml:space="preserve">smíšená obytná městská </w:t>
            </w:r>
            <w:r w:rsidRPr="00461C16">
              <w:rPr>
                <w:rFonts w:ascii="Arial Narrow" w:hAnsi="Arial Narrow"/>
              </w:rPr>
              <w:t>SM</w:t>
            </w:r>
          </w:p>
        </w:tc>
        <w:tc>
          <w:tcPr>
            <w:tcW w:w="2621" w:type="dxa"/>
            <w:shd w:val="clear" w:color="auto" w:fill="auto"/>
            <w:noWrap/>
          </w:tcPr>
          <w:p w14:paraId="67E1B2C9" w14:textId="77777777" w:rsidR="00C86263" w:rsidRPr="00461C16" w:rsidRDefault="00C86263" w:rsidP="00C86263">
            <w:pPr>
              <w:pStyle w:val="Intabulka"/>
              <w:rPr>
                <w:rFonts w:ascii="Arial Narrow" w:hAnsi="Arial Narrow"/>
                <w:lang w:val="cs-CZ"/>
              </w:rPr>
            </w:pPr>
            <w:r w:rsidRPr="00461C16">
              <w:rPr>
                <w:rFonts w:ascii="Arial Narrow" w:hAnsi="Arial Narrow"/>
                <w:lang w:val="cs-CZ"/>
              </w:rPr>
              <w:t>součást zastavěného území, potvrzení současného využití (zahrada rodinného domu), integrace do okolní obytné zástavby</w:t>
            </w:r>
          </w:p>
        </w:tc>
      </w:tr>
      <w:tr w:rsidR="00C86263" w:rsidRPr="00461C16" w14:paraId="6E442CD6" w14:textId="77777777" w:rsidTr="0008757A">
        <w:trPr>
          <w:trHeight w:val="300"/>
          <w:jc w:val="center"/>
        </w:trPr>
        <w:tc>
          <w:tcPr>
            <w:tcW w:w="921" w:type="dxa"/>
            <w:shd w:val="clear" w:color="auto" w:fill="auto"/>
            <w:noWrap/>
          </w:tcPr>
          <w:p w14:paraId="59BFBD84" w14:textId="77777777" w:rsidR="00C86263" w:rsidRPr="00461C16" w:rsidRDefault="00C86263" w:rsidP="00413CFE">
            <w:pPr>
              <w:spacing w:before="40" w:after="40"/>
              <w:rPr>
                <w:sz w:val="20"/>
              </w:rPr>
            </w:pPr>
            <w:r w:rsidRPr="00461C16">
              <w:rPr>
                <w:sz w:val="20"/>
              </w:rPr>
              <w:t>ZZ38</w:t>
            </w:r>
          </w:p>
        </w:tc>
        <w:tc>
          <w:tcPr>
            <w:tcW w:w="1234" w:type="dxa"/>
          </w:tcPr>
          <w:p w14:paraId="2BD64879"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 xml:space="preserve">Dolní Suchá </w:t>
            </w:r>
            <w:r w:rsidRPr="00461C16">
              <w:rPr>
                <w:rFonts w:ascii="Arial Narrow" w:hAnsi="Arial Narrow"/>
              </w:rPr>
              <w:t>(p.p.č. 572/2)</w:t>
            </w:r>
          </w:p>
        </w:tc>
        <w:tc>
          <w:tcPr>
            <w:tcW w:w="1277" w:type="dxa"/>
            <w:shd w:val="clear" w:color="auto" w:fill="auto"/>
            <w:noWrap/>
          </w:tcPr>
          <w:p w14:paraId="56A7036D"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bydlení venkovské</w:t>
            </w:r>
          </w:p>
        </w:tc>
        <w:tc>
          <w:tcPr>
            <w:tcW w:w="1134" w:type="dxa"/>
            <w:shd w:val="clear" w:color="auto" w:fill="auto"/>
            <w:noWrap/>
          </w:tcPr>
          <w:p w14:paraId="603B52A6"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5EDE9347" w14:textId="77777777" w:rsidR="00C86263" w:rsidRPr="00461C16" w:rsidRDefault="00656C04" w:rsidP="00656C04">
            <w:pPr>
              <w:pStyle w:val="Intabulka"/>
              <w:rPr>
                <w:rFonts w:ascii="Arial Narrow" w:hAnsi="Arial Narrow"/>
                <w:lang w:val="cs-CZ"/>
              </w:rPr>
            </w:pPr>
            <w:r w:rsidRPr="00461C16">
              <w:rPr>
                <w:rFonts w:ascii="Arial Narrow" w:hAnsi="Arial Narrow"/>
                <w:lang w:val="cs-CZ"/>
              </w:rPr>
              <w:t>nep</w:t>
            </w:r>
            <w:r w:rsidR="00C86263" w:rsidRPr="00461C16">
              <w:rPr>
                <w:rFonts w:ascii="Arial Narrow" w:hAnsi="Arial Narrow"/>
              </w:rPr>
              <w:t>řevzato</w:t>
            </w:r>
            <w:r w:rsidRPr="00461C16">
              <w:rPr>
                <w:rFonts w:ascii="Arial Narrow" w:hAnsi="Arial Narrow"/>
                <w:lang w:val="cs-CZ"/>
              </w:rPr>
              <w:t>, stabilizováno zemědělská využití v ploše NS</w:t>
            </w:r>
            <w:r w:rsidR="00B345B4" w:rsidRPr="00461C16">
              <w:rPr>
                <w:rFonts w:ascii="Arial Narrow" w:hAnsi="Arial Narrow"/>
                <w:lang w:val="cs-CZ"/>
              </w:rPr>
              <w:t xml:space="preserve"> </w:t>
            </w:r>
          </w:p>
        </w:tc>
        <w:tc>
          <w:tcPr>
            <w:tcW w:w="2621" w:type="dxa"/>
            <w:shd w:val="clear" w:color="auto" w:fill="auto"/>
            <w:noWrap/>
          </w:tcPr>
          <w:p w14:paraId="1BC4F6FE" w14:textId="77777777" w:rsidR="00C86263" w:rsidRPr="00461C16" w:rsidRDefault="00C86263" w:rsidP="00656C04">
            <w:pPr>
              <w:pStyle w:val="Intabulka"/>
              <w:rPr>
                <w:rFonts w:ascii="Arial Narrow" w:hAnsi="Arial Narrow"/>
                <w:lang w:val="cs-CZ"/>
              </w:rPr>
            </w:pPr>
            <w:r w:rsidRPr="00461C16">
              <w:rPr>
                <w:rFonts w:ascii="Arial Narrow" w:hAnsi="Arial Narrow"/>
                <w:lang w:val="cs-CZ"/>
              </w:rPr>
              <w:t>izolovan</w:t>
            </w:r>
            <w:r w:rsidR="00656C04" w:rsidRPr="00461C16">
              <w:rPr>
                <w:rFonts w:ascii="Arial Narrow" w:hAnsi="Arial Narrow"/>
                <w:lang w:val="cs-CZ"/>
              </w:rPr>
              <w:t>á</w:t>
            </w:r>
            <w:r w:rsidRPr="00461C16">
              <w:rPr>
                <w:rFonts w:ascii="Arial Narrow" w:hAnsi="Arial Narrow"/>
                <w:lang w:val="cs-CZ"/>
              </w:rPr>
              <w:t xml:space="preserve"> poloh</w:t>
            </w:r>
            <w:r w:rsidR="00656C04" w:rsidRPr="00461C16">
              <w:rPr>
                <w:rFonts w:ascii="Arial Narrow" w:hAnsi="Arial Narrow"/>
                <w:lang w:val="cs-CZ"/>
              </w:rPr>
              <w:t>a</w:t>
            </w:r>
            <w:r w:rsidRPr="00461C16">
              <w:rPr>
                <w:rFonts w:ascii="Arial Narrow" w:hAnsi="Arial Narrow"/>
                <w:lang w:val="cs-CZ"/>
              </w:rPr>
              <w:t xml:space="preserve"> bez vazby na zastavěné území, v pozemcích ZPF (orná půda)</w:t>
            </w:r>
          </w:p>
        </w:tc>
      </w:tr>
      <w:tr w:rsidR="00C86263" w:rsidRPr="00461C16" w14:paraId="70141A7A" w14:textId="77777777" w:rsidTr="0008757A">
        <w:trPr>
          <w:trHeight w:val="300"/>
          <w:jc w:val="center"/>
        </w:trPr>
        <w:tc>
          <w:tcPr>
            <w:tcW w:w="921" w:type="dxa"/>
            <w:shd w:val="clear" w:color="auto" w:fill="auto"/>
            <w:noWrap/>
          </w:tcPr>
          <w:p w14:paraId="48790148" w14:textId="77777777" w:rsidR="00C86263" w:rsidRPr="00461C16" w:rsidRDefault="00C86263" w:rsidP="00413CFE">
            <w:pPr>
              <w:spacing w:before="40" w:after="40"/>
              <w:rPr>
                <w:sz w:val="20"/>
              </w:rPr>
            </w:pPr>
            <w:r w:rsidRPr="00461C16">
              <w:rPr>
                <w:sz w:val="20"/>
              </w:rPr>
              <w:t>ZZ39</w:t>
            </w:r>
          </w:p>
        </w:tc>
        <w:tc>
          <w:tcPr>
            <w:tcW w:w="1234" w:type="dxa"/>
          </w:tcPr>
          <w:p w14:paraId="65330497"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 xml:space="preserve">Dolní Suchá </w:t>
            </w:r>
            <w:r w:rsidRPr="00461C16">
              <w:rPr>
                <w:rFonts w:ascii="Arial Narrow" w:hAnsi="Arial Narrow"/>
              </w:rPr>
              <w:t>(p.p.č. 318/16)</w:t>
            </w:r>
          </w:p>
        </w:tc>
        <w:tc>
          <w:tcPr>
            <w:tcW w:w="1277" w:type="dxa"/>
            <w:shd w:val="clear" w:color="auto" w:fill="auto"/>
            <w:noWrap/>
          </w:tcPr>
          <w:p w14:paraId="71440219"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bydlení venkovské</w:t>
            </w:r>
          </w:p>
        </w:tc>
        <w:tc>
          <w:tcPr>
            <w:tcW w:w="1134" w:type="dxa"/>
            <w:shd w:val="clear" w:color="auto" w:fill="auto"/>
            <w:noWrap/>
          </w:tcPr>
          <w:p w14:paraId="591172D7" w14:textId="77777777" w:rsidR="00C86263" w:rsidRPr="00461C16" w:rsidRDefault="00C86263" w:rsidP="00413CFE">
            <w:pPr>
              <w:pStyle w:val="Intabulka"/>
              <w:rPr>
                <w:rFonts w:ascii="Arial Narrow" w:hAnsi="Arial Narrow"/>
                <w:lang w:val="cs-CZ"/>
              </w:rPr>
            </w:pPr>
            <w:r w:rsidRPr="00461C16">
              <w:rPr>
                <w:rFonts w:ascii="Arial Narrow" w:hAnsi="Arial Narrow"/>
                <w:lang w:val="cs-CZ"/>
              </w:rPr>
              <w:t>soukromý vlastník</w:t>
            </w:r>
          </w:p>
        </w:tc>
        <w:tc>
          <w:tcPr>
            <w:tcW w:w="2025" w:type="dxa"/>
          </w:tcPr>
          <w:p w14:paraId="0D6F8264" w14:textId="77777777" w:rsidR="00C86263" w:rsidRPr="00461C16" w:rsidRDefault="00656C04" w:rsidP="00656C04">
            <w:pPr>
              <w:pStyle w:val="Intabulka"/>
              <w:rPr>
                <w:rFonts w:ascii="Arial Narrow" w:hAnsi="Arial Narrow"/>
              </w:rPr>
            </w:pPr>
            <w:r w:rsidRPr="00461C16">
              <w:rPr>
                <w:rFonts w:ascii="Arial Narrow" w:hAnsi="Arial Narrow"/>
                <w:lang w:val="cs-CZ"/>
              </w:rPr>
              <w:t>p</w:t>
            </w:r>
            <w:r w:rsidR="00C86263" w:rsidRPr="00461C16">
              <w:rPr>
                <w:rFonts w:ascii="Arial Narrow" w:hAnsi="Arial Narrow"/>
              </w:rPr>
              <w:t xml:space="preserve">řevzato </w:t>
            </w:r>
            <w:r w:rsidRPr="00461C16">
              <w:rPr>
                <w:rFonts w:ascii="Arial Narrow" w:hAnsi="Arial Narrow"/>
                <w:lang w:val="cs-CZ"/>
              </w:rPr>
              <w:t>s úpravou rozsahu jako plocha pro venkovské bydlení</w:t>
            </w:r>
            <w:r w:rsidR="00C86263" w:rsidRPr="00461C16">
              <w:rPr>
                <w:rFonts w:ascii="Arial Narrow" w:hAnsi="Arial Narrow"/>
              </w:rPr>
              <w:t xml:space="preserve"> Z94</w:t>
            </w:r>
          </w:p>
        </w:tc>
        <w:tc>
          <w:tcPr>
            <w:tcW w:w="2621" w:type="dxa"/>
            <w:shd w:val="clear" w:color="auto" w:fill="auto"/>
            <w:noWrap/>
          </w:tcPr>
          <w:p w14:paraId="09E9F978" w14:textId="77777777" w:rsidR="00C86263" w:rsidRPr="00461C16" w:rsidRDefault="00656C04" w:rsidP="00656C04">
            <w:pPr>
              <w:pStyle w:val="Intabulka"/>
              <w:rPr>
                <w:rFonts w:ascii="Arial Narrow" w:hAnsi="Arial Narrow"/>
                <w:lang w:val="cs-CZ"/>
              </w:rPr>
            </w:pPr>
            <w:r w:rsidRPr="00461C16">
              <w:rPr>
                <w:rFonts w:ascii="Arial Narrow" w:hAnsi="Arial Narrow"/>
                <w:lang w:val="cs-CZ"/>
              </w:rPr>
              <w:t xml:space="preserve">zastavitelnost omezena pouze na část přiléhající bezprostředně k veřejné komunikaci a zajišťující scelení fragmentované zástavby a dotvoření její plynulé hranice; zbývající část zachována pro zemědělské využití - </w:t>
            </w:r>
            <w:r w:rsidR="00C86263" w:rsidRPr="00461C16">
              <w:rPr>
                <w:rFonts w:ascii="Arial Narrow" w:hAnsi="Arial Narrow"/>
                <w:lang w:val="cs-CZ"/>
              </w:rPr>
              <w:t>nežádoucí rozpínání do volné krajiny a rozsáhlý zábor souvislých pozemků ZPF (orná půda)</w:t>
            </w:r>
          </w:p>
        </w:tc>
      </w:tr>
    </w:tbl>
    <w:p w14:paraId="4E48A8C4" w14:textId="77777777" w:rsidR="00D95069" w:rsidRPr="00461C16" w:rsidRDefault="00D95069" w:rsidP="00753F4E">
      <w:pPr>
        <w:pStyle w:val="4podnadpis"/>
        <w:rPr>
          <w:rStyle w:val="NvrhP-text"/>
          <w:i w:val="0"/>
          <w:sz w:val="22"/>
        </w:rPr>
      </w:pPr>
      <w:r w:rsidRPr="00461C16">
        <w:rPr>
          <w:rStyle w:val="NvrhP-text"/>
          <w:i w:val="0"/>
          <w:sz w:val="22"/>
        </w:rPr>
        <w:t>d)</w:t>
      </w:r>
      <w:r w:rsidRPr="00461C16">
        <w:rPr>
          <w:rStyle w:val="NvrhP-text"/>
          <w:i w:val="0"/>
          <w:sz w:val="22"/>
        </w:rPr>
        <w:tab/>
        <w:t>zařazení návrhových ploch z platné ÚPD</w:t>
      </w:r>
    </w:p>
    <w:p w14:paraId="547F3727" w14:textId="77777777" w:rsidR="00D95069" w:rsidRPr="00461C16" w:rsidRDefault="00D95069" w:rsidP="00D95069">
      <w:pPr>
        <w:pStyle w:val="1text"/>
        <w:rPr>
          <w:rStyle w:val="NvrhP-text"/>
        </w:rPr>
      </w:pPr>
      <w:r w:rsidRPr="00461C16">
        <w:rPr>
          <w:rStyle w:val="NvrhP-text"/>
        </w:rPr>
        <w:t>ÚP zahrnul na základě požadavku města a projednaného a schváleného zadání ÚP do svého řešení většinu zastavitelných ploch vymezených předchozí územně plánovací dokumentací a vymezil je jako:</w:t>
      </w:r>
    </w:p>
    <w:p w14:paraId="2F73A5BE" w14:textId="77777777" w:rsidR="00D95069" w:rsidRPr="00461C16" w:rsidRDefault="00D95069" w:rsidP="00D95069">
      <w:pPr>
        <w:pStyle w:val="5odrazka"/>
        <w:rPr>
          <w:rStyle w:val="NvrhP-text"/>
        </w:rPr>
      </w:pPr>
      <w:r w:rsidRPr="00461C16">
        <w:rPr>
          <w:rStyle w:val="NvrhP-text"/>
        </w:rPr>
        <w:t>stabilizované plochy, kam jsou zařazeny plochy již zastavěné nebo plochy, jež není z metodického hlediska správné vymezovat jako zastavitelné,</w:t>
      </w:r>
    </w:p>
    <w:p w14:paraId="02AA23F2" w14:textId="77777777" w:rsidR="00D95069" w:rsidRPr="00461C16" w:rsidRDefault="00D95069" w:rsidP="00D95069">
      <w:pPr>
        <w:pStyle w:val="5odrazka"/>
        <w:rPr>
          <w:rStyle w:val="NvrhP-text"/>
        </w:rPr>
      </w:pPr>
      <w:r w:rsidRPr="00461C16">
        <w:rPr>
          <w:rStyle w:val="NvrhP-text"/>
        </w:rPr>
        <w:t>zastavitelné plochy,</w:t>
      </w:r>
    </w:p>
    <w:p w14:paraId="5431BE0D" w14:textId="77777777" w:rsidR="00D95069" w:rsidRPr="00461C16" w:rsidRDefault="00D95069" w:rsidP="00D95069">
      <w:pPr>
        <w:pStyle w:val="5odrazka"/>
        <w:rPr>
          <w:rStyle w:val="NvrhP-text"/>
        </w:rPr>
      </w:pPr>
      <w:r w:rsidRPr="00461C16">
        <w:rPr>
          <w:rStyle w:val="NvrhP-text"/>
        </w:rPr>
        <w:t>plochy přestavby,</w:t>
      </w:r>
    </w:p>
    <w:p w14:paraId="1354C8FA" w14:textId="77777777" w:rsidR="00D95069" w:rsidRPr="00461C16" w:rsidRDefault="00D95069" w:rsidP="00D95069">
      <w:pPr>
        <w:pStyle w:val="5odrazka"/>
        <w:rPr>
          <w:rStyle w:val="NvrhP-text"/>
        </w:rPr>
      </w:pPr>
      <w:r w:rsidRPr="00461C16">
        <w:rPr>
          <w:rStyle w:val="NvrhP-text"/>
        </w:rPr>
        <w:t>plochy územní rezervy.</w:t>
      </w:r>
    </w:p>
    <w:p w14:paraId="36AED78B" w14:textId="77777777" w:rsidR="00D95069" w:rsidRPr="00461C16" w:rsidRDefault="00D95069" w:rsidP="00D95069">
      <w:pPr>
        <w:pStyle w:val="1text"/>
        <w:spacing w:after="120"/>
        <w:rPr>
          <w:rStyle w:val="NvrhP-text"/>
        </w:rPr>
      </w:pPr>
      <w:r w:rsidRPr="00461C16">
        <w:rPr>
          <w:rStyle w:val="NvrhP-text"/>
        </w:rPr>
        <w:t>Záměry vymezené v předchozí ÚPD</w:t>
      </w:r>
      <w:r w:rsidRPr="00461C16">
        <w:rPr>
          <w:rStyle w:val="FootnoteReference"/>
        </w:rPr>
        <w:footnoteReference w:id="5"/>
      </w:r>
      <w:r w:rsidRPr="00461C16">
        <w:rPr>
          <w:rStyle w:val="NvrhP-text"/>
        </w:rPr>
        <w:t xml:space="preserve"> byly posouzeny z hlediska platných limitů využití území a byla prověřena jejich potřeba dle aktuálních podmínek v území. Výsledek posouzení zobrazuje následující tabulka: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1"/>
        <w:gridCol w:w="1258"/>
        <w:gridCol w:w="1630"/>
        <w:gridCol w:w="2259"/>
        <w:gridCol w:w="2660"/>
      </w:tblGrid>
      <w:tr w:rsidR="00A509F7" w:rsidRPr="00461C16" w14:paraId="2819E180" w14:textId="77777777" w:rsidTr="0066453E">
        <w:trPr>
          <w:cantSplit/>
          <w:tblHeader/>
        </w:trPr>
        <w:tc>
          <w:tcPr>
            <w:tcW w:w="1481" w:type="dxa"/>
            <w:shd w:val="clear" w:color="auto" w:fill="F2F2F2" w:themeFill="background1" w:themeFillShade="F2"/>
          </w:tcPr>
          <w:p w14:paraId="6C8FB63A" w14:textId="77777777" w:rsidR="00A509F7" w:rsidRPr="00461C16" w:rsidRDefault="00A509F7" w:rsidP="003F68C9">
            <w:pPr>
              <w:pStyle w:val="7tabulka"/>
              <w:jc w:val="left"/>
              <w:rPr>
                <w:rStyle w:val="NvrhP-text"/>
                <w:b/>
                <w:sz w:val="20"/>
                <w:szCs w:val="20"/>
                <w:lang w:eastAsia="en-US"/>
              </w:rPr>
            </w:pPr>
            <w:r w:rsidRPr="00461C16">
              <w:rPr>
                <w:rStyle w:val="NvrhP-text"/>
                <w:b/>
                <w:sz w:val="20"/>
                <w:szCs w:val="20"/>
                <w:lang w:eastAsia="en-US"/>
              </w:rPr>
              <w:t>Označení</w:t>
            </w:r>
          </w:p>
          <w:p w14:paraId="604EBAE4" w14:textId="77777777" w:rsidR="00A509F7" w:rsidRPr="00461C16" w:rsidRDefault="00A509F7" w:rsidP="003F68C9">
            <w:pPr>
              <w:pStyle w:val="7tabulka"/>
              <w:jc w:val="left"/>
              <w:rPr>
                <w:rStyle w:val="NvrhP-text"/>
                <w:b/>
                <w:sz w:val="20"/>
                <w:szCs w:val="20"/>
                <w:lang w:eastAsia="en-US"/>
              </w:rPr>
            </w:pPr>
          </w:p>
        </w:tc>
        <w:tc>
          <w:tcPr>
            <w:tcW w:w="1258" w:type="dxa"/>
            <w:shd w:val="clear" w:color="auto" w:fill="F2F2F2" w:themeFill="background1" w:themeFillShade="F2"/>
          </w:tcPr>
          <w:p w14:paraId="4764A55A" w14:textId="77777777" w:rsidR="00A509F7" w:rsidRPr="00461C16" w:rsidRDefault="00A509F7" w:rsidP="003F68C9">
            <w:pPr>
              <w:pStyle w:val="7tabulka"/>
              <w:jc w:val="left"/>
              <w:rPr>
                <w:rStyle w:val="NvrhP-text"/>
                <w:b/>
                <w:sz w:val="20"/>
                <w:szCs w:val="20"/>
                <w:lang w:eastAsia="en-US"/>
              </w:rPr>
            </w:pPr>
            <w:r w:rsidRPr="00461C16">
              <w:rPr>
                <w:rStyle w:val="NvrhP-text"/>
                <w:b/>
                <w:sz w:val="20"/>
                <w:szCs w:val="20"/>
                <w:lang w:eastAsia="en-US"/>
              </w:rPr>
              <w:t>Část města</w:t>
            </w:r>
          </w:p>
        </w:tc>
        <w:tc>
          <w:tcPr>
            <w:tcW w:w="1630" w:type="dxa"/>
            <w:shd w:val="clear" w:color="auto" w:fill="F2F2F2" w:themeFill="background1" w:themeFillShade="F2"/>
          </w:tcPr>
          <w:p w14:paraId="7B285671" w14:textId="77777777" w:rsidR="00A509F7" w:rsidRPr="00461C16" w:rsidRDefault="00A509F7" w:rsidP="003F68C9">
            <w:pPr>
              <w:pStyle w:val="7tabulka"/>
              <w:jc w:val="left"/>
              <w:rPr>
                <w:rStyle w:val="NvrhP-text"/>
                <w:b/>
                <w:sz w:val="20"/>
                <w:szCs w:val="20"/>
                <w:lang w:eastAsia="en-US"/>
              </w:rPr>
            </w:pPr>
            <w:r w:rsidRPr="00461C16">
              <w:rPr>
                <w:rStyle w:val="NvrhP-text"/>
                <w:b/>
                <w:sz w:val="20"/>
                <w:szCs w:val="20"/>
                <w:lang w:eastAsia="en-US"/>
              </w:rPr>
              <w:t>Navrhovaný způsob využití</w:t>
            </w:r>
          </w:p>
        </w:tc>
        <w:tc>
          <w:tcPr>
            <w:tcW w:w="2259" w:type="dxa"/>
            <w:shd w:val="clear" w:color="auto" w:fill="F2F2F2" w:themeFill="background1" w:themeFillShade="F2"/>
          </w:tcPr>
          <w:p w14:paraId="55892AB4" w14:textId="77777777" w:rsidR="00A509F7" w:rsidRPr="00461C16" w:rsidRDefault="00A509F7" w:rsidP="003F68C9">
            <w:pPr>
              <w:pStyle w:val="7tabulka"/>
              <w:jc w:val="left"/>
              <w:rPr>
                <w:rStyle w:val="NvrhP-text"/>
                <w:b/>
                <w:sz w:val="20"/>
                <w:szCs w:val="20"/>
                <w:lang w:eastAsia="en-US"/>
              </w:rPr>
            </w:pPr>
            <w:r w:rsidRPr="00461C16">
              <w:rPr>
                <w:rStyle w:val="NvrhP-text"/>
                <w:b/>
                <w:sz w:val="20"/>
                <w:szCs w:val="20"/>
                <w:lang w:eastAsia="en-US"/>
              </w:rPr>
              <w:t>Výsledek posouzení</w:t>
            </w:r>
          </w:p>
        </w:tc>
        <w:tc>
          <w:tcPr>
            <w:tcW w:w="2660" w:type="dxa"/>
            <w:shd w:val="clear" w:color="auto" w:fill="F2F2F2" w:themeFill="background1" w:themeFillShade="F2"/>
          </w:tcPr>
          <w:p w14:paraId="0A382CC3" w14:textId="77777777" w:rsidR="00A509F7" w:rsidRPr="00461C16" w:rsidRDefault="00A509F7" w:rsidP="003F68C9">
            <w:pPr>
              <w:pStyle w:val="7tabulka"/>
              <w:jc w:val="left"/>
              <w:rPr>
                <w:rStyle w:val="NvrhP-text"/>
                <w:b/>
                <w:sz w:val="20"/>
                <w:szCs w:val="20"/>
                <w:lang w:eastAsia="en-US"/>
              </w:rPr>
            </w:pPr>
            <w:r w:rsidRPr="00461C16">
              <w:rPr>
                <w:rStyle w:val="NvrhP-text"/>
                <w:b/>
                <w:sz w:val="20"/>
                <w:szCs w:val="20"/>
                <w:lang w:eastAsia="en-US"/>
              </w:rPr>
              <w:t>Popis, odůvodnění</w:t>
            </w:r>
          </w:p>
        </w:tc>
      </w:tr>
      <w:tr w:rsidR="00096F41" w:rsidRPr="00461C16" w14:paraId="20D13A1A" w14:textId="77777777" w:rsidTr="0066453E">
        <w:trPr>
          <w:cantSplit/>
        </w:trPr>
        <w:tc>
          <w:tcPr>
            <w:tcW w:w="1481" w:type="dxa"/>
            <w:shd w:val="clear" w:color="auto" w:fill="auto"/>
          </w:tcPr>
          <w:p w14:paraId="03ECA8DF" w14:textId="77777777" w:rsidR="00096F41" w:rsidRPr="00461C16" w:rsidRDefault="00096F41" w:rsidP="003F68C9">
            <w:pPr>
              <w:spacing w:before="40" w:after="40" w:line="240" w:lineRule="auto"/>
              <w:jc w:val="left"/>
              <w:rPr>
                <w:sz w:val="20"/>
                <w:szCs w:val="20"/>
              </w:rPr>
            </w:pPr>
            <w:r w:rsidRPr="00461C16">
              <w:rPr>
                <w:sz w:val="20"/>
                <w:szCs w:val="20"/>
              </w:rPr>
              <w:t>1</w:t>
            </w:r>
          </w:p>
        </w:tc>
        <w:tc>
          <w:tcPr>
            <w:tcW w:w="1258" w:type="dxa"/>
          </w:tcPr>
          <w:p w14:paraId="29171D6C" w14:textId="77777777" w:rsidR="00096F41" w:rsidRPr="00461C16" w:rsidRDefault="00096F41"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6D08ABA" w14:textId="77777777" w:rsidR="00096F41" w:rsidRPr="00461C16" w:rsidRDefault="00096F41"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39670140" w14:textId="77777777" w:rsidR="00096F41" w:rsidRPr="00461C16" w:rsidRDefault="00096F41" w:rsidP="003F68C9">
            <w:pPr>
              <w:pStyle w:val="Intabulka"/>
              <w:rPr>
                <w:rFonts w:ascii="Arial Narrow" w:hAnsi="Arial Narrow"/>
              </w:rPr>
            </w:pPr>
            <w:r w:rsidRPr="00461C16">
              <w:rPr>
                <w:rFonts w:ascii="Arial Narrow" w:hAnsi="Arial Narrow"/>
              </w:rPr>
              <w:t>Nepřevzato, vymezeno jako PV</w:t>
            </w:r>
          </w:p>
        </w:tc>
        <w:tc>
          <w:tcPr>
            <w:tcW w:w="2660" w:type="dxa"/>
            <w:shd w:val="clear" w:color="auto" w:fill="auto"/>
          </w:tcPr>
          <w:p w14:paraId="3FA7BB82" w14:textId="77777777" w:rsidR="00096F41" w:rsidRPr="00461C16" w:rsidRDefault="00096F41" w:rsidP="003F68C9">
            <w:pPr>
              <w:pStyle w:val="Intabulka"/>
              <w:rPr>
                <w:rFonts w:ascii="Arial Narrow" w:hAnsi="Arial Narrow"/>
                <w:lang w:val="cs-CZ"/>
              </w:rPr>
            </w:pPr>
            <w:r w:rsidRPr="00461C16">
              <w:rPr>
                <w:rFonts w:ascii="Arial Narrow" w:hAnsi="Arial Narrow"/>
                <w:lang w:val="cs-CZ"/>
              </w:rPr>
              <w:t>zachováno stávající veřejné prostranství z kompozičních důvodů</w:t>
            </w:r>
          </w:p>
        </w:tc>
      </w:tr>
      <w:tr w:rsidR="00A509F7" w:rsidRPr="00461C16" w14:paraId="4CE41341" w14:textId="77777777" w:rsidTr="0066453E">
        <w:trPr>
          <w:cantSplit/>
        </w:trPr>
        <w:tc>
          <w:tcPr>
            <w:tcW w:w="1481" w:type="dxa"/>
            <w:shd w:val="clear" w:color="auto" w:fill="auto"/>
          </w:tcPr>
          <w:p w14:paraId="15AEC30D" w14:textId="77777777" w:rsidR="00A509F7" w:rsidRPr="00461C16" w:rsidRDefault="00A509F7" w:rsidP="003F68C9">
            <w:pPr>
              <w:spacing w:before="40" w:after="40" w:line="240" w:lineRule="auto"/>
              <w:jc w:val="left"/>
              <w:rPr>
                <w:sz w:val="20"/>
                <w:szCs w:val="20"/>
              </w:rPr>
            </w:pPr>
            <w:r w:rsidRPr="00461C16">
              <w:rPr>
                <w:sz w:val="20"/>
                <w:szCs w:val="20"/>
              </w:rPr>
              <w:t>3</w:t>
            </w:r>
          </w:p>
        </w:tc>
        <w:tc>
          <w:tcPr>
            <w:tcW w:w="1258" w:type="dxa"/>
          </w:tcPr>
          <w:p w14:paraId="6C7D87C3"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6CE2CF7" w14:textId="77777777" w:rsidR="00A509F7" w:rsidRPr="00461C16" w:rsidRDefault="00A509F7" w:rsidP="003F68C9">
            <w:pPr>
              <w:spacing w:before="40" w:after="40" w:line="240" w:lineRule="auto"/>
              <w:jc w:val="left"/>
              <w:rPr>
                <w:sz w:val="20"/>
                <w:szCs w:val="20"/>
              </w:rPr>
            </w:pPr>
            <w:r w:rsidRPr="00461C16">
              <w:rPr>
                <w:sz w:val="20"/>
                <w:szCs w:val="20"/>
              </w:rPr>
              <w:t>plocha smíšené zástavby centrální</w:t>
            </w:r>
          </w:p>
        </w:tc>
        <w:tc>
          <w:tcPr>
            <w:tcW w:w="2259" w:type="dxa"/>
            <w:shd w:val="clear" w:color="auto" w:fill="auto"/>
          </w:tcPr>
          <w:p w14:paraId="4E9FD393" w14:textId="77777777" w:rsidR="00A509F7" w:rsidRPr="00461C16" w:rsidRDefault="00A509F7" w:rsidP="003F68C9">
            <w:pPr>
              <w:pStyle w:val="Intabulka"/>
              <w:rPr>
                <w:rFonts w:ascii="Arial Narrow" w:hAnsi="Arial Narrow"/>
                <w:lang w:val="cs-CZ"/>
              </w:rPr>
            </w:pPr>
            <w:r w:rsidRPr="00461C16">
              <w:rPr>
                <w:rFonts w:ascii="Arial Narrow" w:hAnsi="Arial Narrow"/>
              </w:rPr>
              <w:t>Převzato</w:t>
            </w:r>
          </w:p>
        </w:tc>
        <w:tc>
          <w:tcPr>
            <w:tcW w:w="2660" w:type="dxa"/>
            <w:shd w:val="clear" w:color="auto" w:fill="auto"/>
          </w:tcPr>
          <w:p w14:paraId="6484920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74DFF96A" w14:textId="77777777" w:rsidTr="0066453E">
        <w:trPr>
          <w:cantSplit/>
        </w:trPr>
        <w:tc>
          <w:tcPr>
            <w:tcW w:w="1481" w:type="dxa"/>
            <w:shd w:val="clear" w:color="auto" w:fill="auto"/>
          </w:tcPr>
          <w:p w14:paraId="64C37B3A" w14:textId="77777777" w:rsidR="00A509F7" w:rsidRPr="00461C16" w:rsidRDefault="00A509F7" w:rsidP="003F68C9">
            <w:pPr>
              <w:spacing w:before="40" w:after="40" w:line="240" w:lineRule="auto"/>
              <w:jc w:val="left"/>
              <w:rPr>
                <w:sz w:val="20"/>
                <w:szCs w:val="20"/>
              </w:rPr>
            </w:pPr>
            <w:r w:rsidRPr="00461C16">
              <w:rPr>
                <w:sz w:val="20"/>
                <w:szCs w:val="20"/>
              </w:rPr>
              <w:t>4 (několik dílčích ploch)</w:t>
            </w:r>
          </w:p>
        </w:tc>
        <w:tc>
          <w:tcPr>
            <w:tcW w:w="1258" w:type="dxa"/>
          </w:tcPr>
          <w:p w14:paraId="3A5B5F6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E66B0A7"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2493DB26" w14:textId="77777777" w:rsidR="00A509F7" w:rsidRPr="00461C16" w:rsidRDefault="00A509F7" w:rsidP="003F68C9">
            <w:pPr>
              <w:pStyle w:val="Intabulka"/>
              <w:rPr>
                <w:rFonts w:ascii="Arial Narrow" w:hAnsi="Arial Narrow"/>
              </w:rPr>
            </w:pPr>
            <w:r w:rsidRPr="00461C16">
              <w:rPr>
                <w:rFonts w:ascii="Arial Narrow" w:hAnsi="Arial Narrow"/>
                <w:lang w:val="cs-CZ"/>
              </w:rPr>
              <w:t>P</w:t>
            </w:r>
            <w:r w:rsidRPr="00461C16">
              <w:rPr>
                <w:rFonts w:ascii="Arial Narrow" w:hAnsi="Arial Narrow"/>
              </w:rPr>
              <w:t>řevzato</w:t>
            </w:r>
            <w:r w:rsidRPr="00461C16">
              <w:rPr>
                <w:rFonts w:ascii="Arial Narrow" w:hAnsi="Arial Narrow"/>
                <w:lang w:val="cs-CZ"/>
              </w:rPr>
              <w:t xml:space="preserve"> z větší části</w:t>
            </w:r>
            <w:r w:rsidRPr="00461C16">
              <w:rPr>
                <w:rFonts w:ascii="Arial Narrow" w:hAnsi="Arial Narrow"/>
              </w:rPr>
              <w:t xml:space="preserve">, vymezeno jako ZV a SC </w:t>
            </w:r>
          </w:p>
        </w:tc>
        <w:tc>
          <w:tcPr>
            <w:tcW w:w="2660" w:type="dxa"/>
            <w:shd w:val="clear" w:color="auto" w:fill="auto"/>
          </w:tcPr>
          <w:p w14:paraId="574B0A8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72E9BC35" w14:textId="77777777" w:rsidTr="0066453E">
        <w:trPr>
          <w:cantSplit/>
        </w:trPr>
        <w:tc>
          <w:tcPr>
            <w:tcW w:w="1481" w:type="dxa"/>
            <w:shd w:val="clear" w:color="auto" w:fill="auto"/>
          </w:tcPr>
          <w:p w14:paraId="4F705AEE" w14:textId="77777777" w:rsidR="00A509F7" w:rsidRPr="00461C16" w:rsidRDefault="00A509F7" w:rsidP="003F68C9">
            <w:pPr>
              <w:spacing w:before="40" w:after="40" w:line="240" w:lineRule="auto"/>
              <w:jc w:val="left"/>
              <w:rPr>
                <w:sz w:val="20"/>
                <w:szCs w:val="20"/>
              </w:rPr>
            </w:pPr>
            <w:r w:rsidRPr="00461C16">
              <w:rPr>
                <w:sz w:val="20"/>
                <w:szCs w:val="20"/>
              </w:rPr>
              <w:lastRenderedPageBreak/>
              <w:t>5</w:t>
            </w:r>
          </w:p>
        </w:tc>
        <w:tc>
          <w:tcPr>
            <w:tcW w:w="1258" w:type="dxa"/>
          </w:tcPr>
          <w:p w14:paraId="245D4D61"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A6E51D0"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65456EA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Vymezeno jako územní rezerva</w:t>
            </w:r>
          </w:p>
        </w:tc>
        <w:tc>
          <w:tcPr>
            <w:tcW w:w="2660" w:type="dxa"/>
            <w:shd w:val="clear" w:color="auto" w:fill="auto"/>
          </w:tcPr>
          <w:p w14:paraId="33B2F18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poloha v aktivní zóně záplavového území</w:t>
            </w:r>
          </w:p>
        </w:tc>
      </w:tr>
      <w:tr w:rsidR="00A509F7" w:rsidRPr="00461C16" w14:paraId="412A6C0C" w14:textId="77777777" w:rsidTr="0066453E">
        <w:trPr>
          <w:cantSplit/>
        </w:trPr>
        <w:tc>
          <w:tcPr>
            <w:tcW w:w="1481" w:type="dxa"/>
            <w:shd w:val="clear" w:color="auto" w:fill="auto"/>
          </w:tcPr>
          <w:p w14:paraId="0BE6457A" w14:textId="77777777" w:rsidR="00A509F7" w:rsidRPr="00461C16" w:rsidRDefault="00A509F7" w:rsidP="003F68C9">
            <w:pPr>
              <w:spacing w:before="40" w:after="40" w:line="240" w:lineRule="auto"/>
              <w:jc w:val="left"/>
              <w:rPr>
                <w:sz w:val="20"/>
                <w:szCs w:val="20"/>
              </w:rPr>
            </w:pPr>
            <w:r w:rsidRPr="00461C16">
              <w:rPr>
                <w:sz w:val="20"/>
                <w:szCs w:val="20"/>
              </w:rPr>
              <w:t>8</w:t>
            </w:r>
          </w:p>
        </w:tc>
        <w:tc>
          <w:tcPr>
            <w:tcW w:w="1258" w:type="dxa"/>
          </w:tcPr>
          <w:p w14:paraId="1C04157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3B930C7" w14:textId="77777777" w:rsidR="00A509F7" w:rsidRPr="00461C16" w:rsidRDefault="00A509F7" w:rsidP="003F68C9">
            <w:pPr>
              <w:spacing w:before="40" w:after="40" w:line="240" w:lineRule="auto"/>
              <w:jc w:val="left"/>
              <w:rPr>
                <w:sz w:val="20"/>
                <w:szCs w:val="20"/>
              </w:rPr>
            </w:pPr>
            <w:r w:rsidRPr="00461C16">
              <w:rPr>
                <w:sz w:val="20"/>
                <w:szCs w:val="20"/>
              </w:rPr>
              <w:t>plocha dopravní vybavenosti</w:t>
            </w:r>
          </w:p>
        </w:tc>
        <w:tc>
          <w:tcPr>
            <w:tcW w:w="2259" w:type="dxa"/>
            <w:shd w:val="clear" w:color="auto" w:fill="auto"/>
          </w:tcPr>
          <w:p w14:paraId="5291305D" w14:textId="77777777" w:rsidR="00A509F7" w:rsidRPr="00E22D7F" w:rsidRDefault="00A509F7" w:rsidP="003F68C9">
            <w:pPr>
              <w:pStyle w:val="Intabulka"/>
              <w:rPr>
                <w:rFonts w:ascii="Arial Narrow" w:hAnsi="Arial Narrow"/>
                <w:lang w:val="cs-CZ"/>
              </w:rPr>
            </w:pPr>
            <w:r w:rsidRPr="00461C16">
              <w:rPr>
                <w:rFonts w:ascii="Arial Narrow" w:hAnsi="Arial Narrow"/>
              </w:rPr>
              <w:t>Převzato</w:t>
            </w:r>
            <w:r w:rsidR="00E22D7F">
              <w:rPr>
                <w:rFonts w:ascii="Arial Narrow" w:hAnsi="Arial Narrow"/>
                <w:lang w:val="cs-CZ"/>
              </w:rPr>
              <w:t xml:space="preserve"> jako součást plochy SM</w:t>
            </w:r>
          </w:p>
        </w:tc>
        <w:tc>
          <w:tcPr>
            <w:tcW w:w="2660" w:type="dxa"/>
            <w:shd w:val="clear" w:color="auto" w:fill="auto"/>
          </w:tcPr>
          <w:p w14:paraId="26F9331B"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realizováno</w:t>
            </w:r>
          </w:p>
        </w:tc>
      </w:tr>
      <w:tr w:rsidR="00A509F7" w:rsidRPr="00461C16" w14:paraId="62D96317" w14:textId="77777777" w:rsidTr="0066453E">
        <w:trPr>
          <w:cantSplit/>
        </w:trPr>
        <w:tc>
          <w:tcPr>
            <w:tcW w:w="1481" w:type="dxa"/>
            <w:shd w:val="clear" w:color="auto" w:fill="auto"/>
          </w:tcPr>
          <w:p w14:paraId="137FEF04" w14:textId="77777777" w:rsidR="00A509F7" w:rsidRPr="00461C16" w:rsidRDefault="00A509F7" w:rsidP="003F68C9">
            <w:pPr>
              <w:spacing w:before="40" w:after="40" w:line="240" w:lineRule="auto"/>
              <w:jc w:val="left"/>
              <w:rPr>
                <w:sz w:val="20"/>
                <w:szCs w:val="20"/>
              </w:rPr>
            </w:pPr>
            <w:r w:rsidRPr="00461C16">
              <w:rPr>
                <w:sz w:val="20"/>
                <w:szCs w:val="20"/>
              </w:rPr>
              <w:t>9</w:t>
            </w:r>
          </w:p>
        </w:tc>
        <w:tc>
          <w:tcPr>
            <w:tcW w:w="1258" w:type="dxa"/>
          </w:tcPr>
          <w:p w14:paraId="2E011A1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B528938" w14:textId="77777777" w:rsidR="00A509F7" w:rsidRPr="00461C16" w:rsidRDefault="00A509F7" w:rsidP="003F68C9">
            <w:pPr>
              <w:spacing w:before="40" w:after="40" w:line="240" w:lineRule="auto"/>
              <w:jc w:val="left"/>
              <w:rPr>
                <w:sz w:val="20"/>
                <w:szCs w:val="20"/>
              </w:rPr>
            </w:pPr>
            <w:r w:rsidRPr="00461C16">
              <w:rPr>
                <w:sz w:val="20"/>
                <w:szCs w:val="20"/>
              </w:rPr>
              <w:t>plocha dopravní vybavenosti</w:t>
            </w:r>
          </w:p>
        </w:tc>
        <w:tc>
          <w:tcPr>
            <w:tcW w:w="2259" w:type="dxa"/>
            <w:shd w:val="clear" w:color="auto" w:fill="auto"/>
          </w:tcPr>
          <w:p w14:paraId="28671145" w14:textId="77777777" w:rsidR="00A509F7" w:rsidRPr="00461C16" w:rsidRDefault="00A509F7" w:rsidP="003F68C9">
            <w:pPr>
              <w:pStyle w:val="Intabulka"/>
              <w:rPr>
                <w:rFonts w:ascii="Arial Narrow" w:hAnsi="Arial Narrow"/>
              </w:rPr>
            </w:pPr>
            <w:r w:rsidRPr="00461C16">
              <w:rPr>
                <w:rFonts w:ascii="Arial Narrow" w:hAnsi="Arial Narrow"/>
              </w:rPr>
              <w:t>Nepřevzato,</w:t>
            </w:r>
            <w:r w:rsidR="00B345B4" w:rsidRPr="00461C16">
              <w:rPr>
                <w:rFonts w:ascii="Arial Narrow" w:hAnsi="Arial Narrow"/>
              </w:rPr>
              <w:t xml:space="preserve"> </w:t>
            </w:r>
            <w:r w:rsidRPr="00461C16">
              <w:rPr>
                <w:rFonts w:ascii="Arial Narrow" w:hAnsi="Arial Narrow"/>
              </w:rPr>
              <w:t>součást plochy územní rezervy R06 - SM</w:t>
            </w:r>
          </w:p>
        </w:tc>
        <w:tc>
          <w:tcPr>
            <w:tcW w:w="2660" w:type="dxa"/>
            <w:shd w:val="clear" w:color="auto" w:fill="auto"/>
          </w:tcPr>
          <w:p w14:paraId="150E5B83"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neaktuálnost záměru, poloha v aktivní zóně záplavového území</w:t>
            </w:r>
          </w:p>
        </w:tc>
      </w:tr>
      <w:tr w:rsidR="00A509F7" w:rsidRPr="00461C16" w14:paraId="3D22DBE6" w14:textId="77777777" w:rsidTr="0066453E">
        <w:trPr>
          <w:cantSplit/>
        </w:trPr>
        <w:tc>
          <w:tcPr>
            <w:tcW w:w="1481" w:type="dxa"/>
            <w:shd w:val="clear" w:color="auto" w:fill="auto"/>
          </w:tcPr>
          <w:p w14:paraId="48BB5387" w14:textId="77777777" w:rsidR="00A509F7" w:rsidRPr="00461C16" w:rsidRDefault="00A509F7" w:rsidP="003F68C9">
            <w:pPr>
              <w:spacing w:before="40" w:after="40" w:line="240" w:lineRule="auto"/>
              <w:jc w:val="left"/>
              <w:rPr>
                <w:sz w:val="20"/>
                <w:szCs w:val="20"/>
              </w:rPr>
            </w:pPr>
            <w:r w:rsidRPr="00461C16">
              <w:rPr>
                <w:sz w:val="20"/>
                <w:szCs w:val="20"/>
              </w:rPr>
              <w:t>10</w:t>
            </w:r>
          </w:p>
        </w:tc>
        <w:tc>
          <w:tcPr>
            <w:tcW w:w="1258" w:type="dxa"/>
          </w:tcPr>
          <w:p w14:paraId="55804AA4"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5BC654C"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1786E7C8" w14:textId="77777777" w:rsidR="00A509F7" w:rsidRPr="00461C16" w:rsidRDefault="00A509F7" w:rsidP="003F68C9">
            <w:pPr>
              <w:pStyle w:val="Intabulka"/>
              <w:rPr>
                <w:rFonts w:ascii="Arial Narrow" w:hAnsi="Arial Narrow"/>
              </w:rPr>
            </w:pPr>
            <w:r w:rsidRPr="00461C16">
              <w:rPr>
                <w:rFonts w:ascii="Arial Narrow" w:hAnsi="Arial Narrow"/>
              </w:rPr>
              <w:t>Nepřevzato</w:t>
            </w:r>
          </w:p>
        </w:tc>
        <w:tc>
          <w:tcPr>
            <w:tcW w:w="2660" w:type="dxa"/>
            <w:shd w:val="clear" w:color="auto" w:fill="auto"/>
          </w:tcPr>
          <w:p w14:paraId="2D76AEF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neexistence podrobnějšího podkladu pro vymezení, neaktuálnost záměru</w:t>
            </w:r>
          </w:p>
        </w:tc>
      </w:tr>
      <w:tr w:rsidR="00A509F7" w:rsidRPr="00461C16" w14:paraId="745F7F25" w14:textId="77777777" w:rsidTr="0066453E">
        <w:trPr>
          <w:cantSplit/>
        </w:trPr>
        <w:tc>
          <w:tcPr>
            <w:tcW w:w="1481" w:type="dxa"/>
            <w:shd w:val="clear" w:color="auto" w:fill="auto"/>
          </w:tcPr>
          <w:p w14:paraId="7D5AD9CC" w14:textId="77777777" w:rsidR="00A509F7" w:rsidRPr="00461C16" w:rsidRDefault="00A509F7" w:rsidP="003F68C9">
            <w:pPr>
              <w:spacing w:before="40" w:after="40" w:line="240" w:lineRule="auto"/>
              <w:jc w:val="left"/>
              <w:rPr>
                <w:sz w:val="20"/>
                <w:szCs w:val="20"/>
              </w:rPr>
            </w:pPr>
            <w:r w:rsidRPr="00461C16">
              <w:rPr>
                <w:sz w:val="20"/>
                <w:szCs w:val="20"/>
              </w:rPr>
              <w:t>11</w:t>
            </w:r>
          </w:p>
        </w:tc>
        <w:tc>
          <w:tcPr>
            <w:tcW w:w="1258" w:type="dxa"/>
          </w:tcPr>
          <w:p w14:paraId="21625FB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5FFE6F2" w14:textId="77777777" w:rsidR="00A509F7" w:rsidRPr="00461C16" w:rsidRDefault="00A509F7" w:rsidP="003F68C9">
            <w:pPr>
              <w:spacing w:before="40" w:after="40" w:line="240" w:lineRule="auto"/>
              <w:jc w:val="left"/>
              <w:rPr>
                <w:sz w:val="20"/>
                <w:szCs w:val="20"/>
              </w:rPr>
            </w:pPr>
            <w:r w:rsidRPr="00461C16">
              <w:rPr>
                <w:sz w:val="20"/>
                <w:szCs w:val="20"/>
              </w:rPr>
              <w:t>plocha parků, hřbitovů, vyhrazené zeleně</w:t>
            </w:r>
          </w:p>
        </w:tc>
        <w:tc>
          <w:tcPr>
            <w:tcW w:w="2259" w:type="dxa"/>
            <w:shd w:val="clear" w:color="auto" w:fill="auto"/>
          </w:tcPr>
          <w:p w14:paraId="554BB378" w14:textId="77777777" w:rsidR="00A509F7" w:rsidRPr="00461C16" w:rsidRDefault="00A509F7" w:rsidP="003F68C9">
            <w:pPr>
              <w:pStyle w:val="Intabulka"/>
              <w:rPr>
                <w:rFonts w:ascii="Arial Narrow" w:hAnsi="Arial Narrow"/>
              </w:rPr>
            </w:pPr>
            <w:r w:rsidRPr="00461C16">
              <w:rPr>
                <w:rFonts w:ascii="Arial Narrow" w:hAnsi="Arial Narrow"/>
              </w:rPr>
              <w:t>Převzato v jiném plošném rozsahu</w:t>
            </w:r>
          </w:p>
        </w:tc>
        <w:tc>
          <w:tcPr>
            <w:tcW w:w="2660" w:type="dxa"/>
            <w:shd w:val="clear" w:color="auto" w:fill="auto"/>
          </w:tcPr>
          <w:p w14:paraId="5430EF7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54A6ED59" w14:textId="77777777" w:rsidTr="0066453E">
        <w:trPr>
          <w:cantSplit/>
        </w:trPr>
        <w:tc>
          <w:tcPr>
            <w:tcW w:w="1481" w:type="dxa"/>
            <w:shd w:val="clear" w:color="auto" w:fill="auto"/>
          </w:tcPr>
          <w:p w14:paraId="0E9DA342" w14:textId="77777777" w:rsidR="00A509F7" w:rsidRPr="00461C16" w:rsidRDefault="00A509F7" w:rsidP="003F68C9">
            <w:pPr>
              <w:spacing w:before="40" w:after="40" w:line="240" w:lineRule="auto"/>
              <w:jc w:val="left"/>
              <w:rPr>
                <w:sz w:val="20"/>
                <w:szCs w:val="20"/>
              </w:rPr>
            </w:pPr>
            <w:r w:rsidRPr="00461C16">
              <w:rPr>
                <w:sz w:val="20"/>
                <w:szCs w:val="20"/>
              </w:rPr>
              <w:t>12</w:t>
            </w:r>
          </w:p>
        </w:tc>
        <w:tc>
          <w:tcPr>
            <w:tcW w:w="1258" w:type="dxa"/>
          </w:tcPr>
          <w:p w14:paraId="508CD55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5E17DEA"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76A857E4" w14:textId="77777777" w:rsidR="00A509F7" w:rsidRPr="00976B42" w:rsidRDefault="00A509F7" w:rsidP="003F68C9">
            <w:pPr>
              <w:pStyle w:val="Intabulka"/>
              <w:rPr>
                <w:rFonts w:ascii="Arial Narrow" w:hAnsi="Arial Narrow"/>
                <w:lang w:val="cs-CZ"/>
              </w:rPr>
            </w:pPr>
            <w:r w:rsidRPr="00461C16">
              <w:rPr>
                <w:rFonts w:ascii="Arial Narrow" w:hAnsi="Arial Narrow"/>
              </w:rPr>
              <w:t>Převzato</w:t>
            </w:r>
            <w:r w:rsidRPr="00461C16">
              <w:rPr>
                <w:rFonts w:ascii="Arial Narrow" w:hAnsi="Arial Narrow"/>
                <w:lang w:val="cs-CZ"/>
              </w:rPr>
              <w:t>, vymezeno</w:t>
            </w:r>
            <w:r w:rsidRPr="00461C16">
              <w:rPr>
                <w:rFonts w:ascii="Arial Narrow" w:hAnsi="Arial Narrow"/>
              </w:rPr>
              <w:t xml:space="preserve"> jako </w:t>
            </w:r>
            <w:r w:rsidR="00976B42">
              <w:rPr>
                <w:rFonts w:ascii="Arial Narrow" w:hAnsi="Arial Narrow"/>
                <w:lang w:val="cs-CZ"/>
              </w:rPr>
              <w:t>stabilizovaná plochaDS</w:t>
            </w:r>
          </w:p>
        </w:tc>
        <w:tc>
          <w:tcPr>
            <w:tcW w:w="2660" w:type="dxa"/>
            <w:shd w:val="clear" w:color="auto" w:fill="auto"/>
          </w:tcPr>
          <w:p w14:paraId="3340B685"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r w:rsidR="00976B42">
              <w:rPr>
                <w:rFonts w:ascii="Arial Narrow" w:hAnsi="Arial Narrow"/>
                <w:lang w:val="cs-CZ"/>
              </w:rPr>
              <w:t>, realizováno</w:t>
            </w:r>
          </w:p>
        </w:tc>
      </w:tr>
      <w:tr w:rsidR="00A509F7" w:rsidRPr="00461C16" w14:paraId="25B01122" w14:textId="77777777" w:rsidTr="0066453E">
        <w:trPr>
          <w:cantSplit/>
        </w:trPr>
        <w:tc>
          <w:tcPr>
            <w:tcW w:w="1481" w:type="dxa"/>
            <w:shd w:val="clear" w:color="auto" w:fill="auto"/>
          </w:tcPr>
          <w:p w14:paraId="22EC51CA" w14:textId="77777777" w:rsidR="00A509F7" w:rsidRPr="00461C16" w:rsidRDefault="00A509F7" w:rsidP="003F68C9">
            <w:pPr>
              <w:spacing w:before="40" w:after="40" w:line="240" w:lineRule="auto"/>
              <w:jc w:val="left"/>
              <w:rPr>
                <w:sz w:val="20"/>
                <w:szCs w:val="20"/>
              </w:rPr>
            </w:pPr>
            <w:r w:rsidRPr="00461C16">
              <w:rPr>
                <w:sz w:val="20"/>
                <w:szCs w:val="20"/>
              </w:rPr>
              <w:t>20</w:t>
            </w:r>
          </w:p>
        </w:tc>
        <w:tc>
          <w:tcPr>
            <w:tcW w:w="1258" w:type="dxa"/>
          </w:tcPr>
          <w:p w14:paraId="5F0A7FC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0D50DD9"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788110C6" w14:textId="77777777" w:rsidR="00A509F7" w:rsidRPr="00461C16" w:rsidRDefault="00A509F7" w:rsidP="003F68C9">
            <w:pPr>
              <w:pStyle w:val="Intabulka"/>
              <w:rPr>
                <w:rFonts w:ascii="Arial Narrow" w:hAnsi="Arial Narrow"/>
              </w:rPr>
            </w:pPr>
            <w:r w:rsidRPr="00461C16">
              <w:rPr>
                <w:rFonts w:ascii="Arial Narrow" w:hAnsi="Arial Narrow"/>
              </w:rPr>
              <w:t>Převzato v jiném plošném rozsahu</w:t>
            </w:r>
          </w:p>
        </w:tc>
        <w:tc>
          <w:tcPr>
            <w:tcW w:w="2660" w:type="dxa"/>
            <w:shd w:val="clear" w:color="auto" w:fill="auto"/>
          </w:tcPr>
          <w:p w14:paraId="0A6D7F0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 xml:space="preserve">redukce jen na jednu řadu zástavby podél ul. Žitavská, další rozšiřování zástavby blíže výrobě je nežádoucí </w:t>
            </w:r>
          </w:p>
        </w:tc>
      </w:tr>
      <w:tr w:rsidR="00A509F7" w:rsidRPr="00461C16" w14:paraId="6A1302B5" w14:textId="77777777" w:rsidTr="0066453E">
        <w:trPr>
          <w:cantSplit/>
        </w:trPr>
        <w:tc>
          <w:tcPr>
            <w:tcW w:w="1481" w:type="dxa"/>
            <w:shd w:val="clear" w:color="auto" w:fill="auto"/>
          </w:tcPr>
          <w:p w14:paraId="6E8DFF0B" w14:textId="77777777" w:rsidR="00A509F7" w:rsidRPr="00461C16" w:rsidRDefault="00A509F7" w:rsidP="003F68C9">
            <w:pPr>
              <w:spacing w:before="40" w:after="40" w:line="240" w:lineRule="auto"/>
              <w:jc w:val="left"/>
              <w:rPr>
                <w:sz w:val="20"/>
                <w:szCs w:val="20"/>
              </w:rPr>
            </w:pPr>
            <w:r w:rsidRPr="00461C16">
              <w:rPr>
                <w:sz w:val="20"/>
                <w:szCs w:val="20"/>
              </w:rPr>
              <w:t>21 (několik dílčích ploch)</w:t>
            </w:r>
          </w:p>
        </w:tc>
        <w:tc>
          <w:tcPr>
            <w:tcW w:w="1258" w:type="dxa"/>
          </w:tcPr>
          <w:p w14:paraId="587E43F4"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F01C453" w14:textId="77777777" w:rsidR="00A509F7" w:rsidRPr="00461C16" w:rsidRDefault="00A509F7" w:rsidP="003F68C9">
            <w:pPr>
              <w:spacing w:before="40" w:after="40" w:line="240" w:lineRule="auto"/>
              <w:jc w:val="left"/>
              <w:rPr>
                <w:sz w:val="20"/>
                <w:szCs w:val="20"/>
              </w:rPr>
            </w:pPr>
            <w:r w:rsidRPr="00461C16">
              <w:rPr>
                <w:sz w:val="20"/>
                <w:szCs w:val="20"/>
              </w:rPr>
              <w:t>plochy výroby nečisté</w:t>
            </w:r>
          </w:p>
        </w:tc>
        <w:tc>
          <w:tcPr>
            <w:tcW w:w="2259" w:type="dxa"/>
            <w:shd w:val="clear" w:color="auto" w:fill="auto"/>
          </w:tcPr>
          <w:p w14:paraId="01D59872" w14:textId="77777777" w:rsidR="00A509F7" w:rsidRPr="00984FD2" w:rsidRDefault="00A509F7" w:rsidP="003F68C9">
            <w:pPr>
              <w:pStyle w:val="Intabulka"/>
              <w:rPr>
                <w:rFonts w:ascii="Arial Narrow" w:hAnsi="Arial Narrow"/>
                <w:lang w:val="cs-CZ"/>
              </w:rPr>
            </w:pPr>
            <w:r w:rsidRPr="00461C16">
              <w:rPr>
                <w:rFonts w:ascii="Arial Narrow" w:hAnsi="Arial Narrow"/>
              </w:rPr>
              <w:t>Převzato</w:t>
            </w:r>
            <w:r w:rsidR="00984FD2">
              <w:rPr>
                <w:rFonts w:ascii="Arial Narrow" w:hAnsi="Arial Narrow"/>
                <w:lang w:val="cs-CZ"/>
              </w:rPr>
              <w:t xml:space="preserve"> jako plochy lehkého průmyslu (Z48, Z49) a drobné a řemeslné výroby (Z50)</w:t>
            </w:r>
          </w:p>
        </w:tc>
        <w:tc>
          <w:tcPr>
            <w:tcW w:w="2660" w:type="dxa"/>
            <w:shd w:val="clear" w:color="auto" w:fill="auto"/>
          </w:tcPr>
          <w:p w14:paraId="7A45FD4A"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7A126EB9" w14:textId="77777777" w:rsidTr="0066453E">
        <w:trPr>
          <w:cantSplit/>
        </w:trPr>
        <w:tc>
          <w:tcPr>
            <w:tcW w:w="1481" w:type="dxa"/>
            <w:shd w:val="clear" w:color="auto" w:fill="auto"/>
          </w:tcPr>
          <w:p w14:paraId="765BD036" w14:textId="77777777" w:rsidR="00A509F7" w:rsidRPr="00461C16" w:rsidRDefault="00A509F7" w:rsidP="003F68C9">
            <w:pPr>
              <w:spacing w:before="40" w:after="40" w:line="240" w:lineRule="auto"/>
              <w:jc w:val="left"/>
              <w:rPr>
                <w:sz w:val="20"/>
                <w:szCs w:val="20"/>
              </w:rPr>
            </w:pPr>
            <w:r w:rsidRPr="00461C16">
              <w:rPr>
                <w:sz w:val="20"/>
                <w:szCs w:val="20"/>
              </w:rPr>
              <w:t>22</w:t>
            </w:r>
          </w:p>
        </w:tc>
        <w:tc>
          <w:tcPr>
            <w:tcW w:w="1258" w:type="dxa"/>
          </w:tcPr>
          <w:p w14:paraId="3B4FAE7D"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AE5C973" w14:textId="77777777" w:rsidR="00A509F7" w:rsidRPr="00461C16" w:rsidRDefault="00A509F7" w:rsidP="003F68C9">
            <w:pPr>
              <w:spacing w:before="40" w:after="40" w:line="240" w:lineRule="auto"/>
              <w:jc w:val="left"/>
              <w:rPr>
                <w:sz w:val="20"/>
                <w:szCs w:val="20"/>
              </w:rPr>
            </w:pPr>
            <w:r w:rsidRPr="00461C16">
              <w:rPr>
                <w:sz w:val="20"/>
                <w:szCs w:val="20"/>
              </w:rPr>
              <w:t>plocha výroby čisté a výrobních služeb</w:t>
            </w:r>
          </w:p>
        </w:tc>
        <w:tc>
          <w:tcPr>
            <w:tcW w:w="2259" w:type="dxa"/>
            <w:shd w:val="clear" w:color="auto" w:fill="auto"/>
          </w:tcPr>
          <w:p w14:paraId="5C6E2B06" w14:textId="1C7822B4" w:rsidR="00A509F7" w:rsidRPr="00566987" w:rsidRDefault="00A509F7" w:rsidP="00566987">
            <w:pPr>
              <w:pStyle w:val="Intabulka"/>
              <w:rPr>
                <w:rFonts w:ascii="Arial Narrow" w:hAnsi="Arial Narrow"/>
                <w:lang w:val="cs-CZ"/>
              </w:rPr>
            </w:pPr>
            <w:r w:rsidRPr="00461C16">
              <w:rPr>
                <w:rFonts w:ascii="Arial Narrow" w:hAnsi="Arial Narrow"/>
              </w:rPr>
              <w:t xml:space="preserve">Převzato, vymezeno jako </w:t>
            </w:r>
            <w:r w:rsidR="00566987">
              <w:rPr>
                <w:rFonts w:ascii="Arial Narrow" w:hAnsi="Arial Narrow"/>
                <w:lang w:val="cs-CZ"/>
              </w:rPr>
              <w:t xml:space="preserve">stabilizovaná </w:t>
            </w:r>
            <w:r w:rsidRPr="00461C16">
              <w:rPr>
                <w:rFonts w:ascii="Arial Narrow" w:hAnsi="Arial Narrow"/>
              </w:rPr>
              <w:t xml:space="preserve">plocha </w:t>
            </w:r>
            <w:r w:rsidR="00566987">
              <w:rPr>
                <w:rFonts w:ascii="Arial Narrow" w:hAnsi="Arial Narrow"/>
                <w:lang w:val="cs-CZ"/>
              </w:rPr>
              <w:t xml:space="preserve">VL </w:t>
            </w:r>
          </w:p>
        </w:tc>
        <w:tc>
          <w:tcPr>
            <w:tcW w:w="2660" w:type="dxa"/>
            <w:shd w:val="clear" w:color="auto" w:fill="auto"/>
          </w:tcPr>
          <w:p w14:paraId="097574E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r w:rsidR="00566987">
              <w:rPr>
                <w:rFonts w:ascii="Arial Narrow" w:hAnsi="Arial Narrow"/>
                <w:lang w:val="cs-CZ"/>
              </w:rPr>
              <w:t>, realizováno - stav</w:t>
            </w:r>
            <w:r w:rsidRPr="00461C16">
              <w:rPr>
                <w:rFonts w:ascii="Arial Narrow" w:hAnsi="Arial Narrow"/>
                <w:lang w:val="cs-CZ"/>
              </w:rPr>
              <w:t xml:space="preserve"> </w:t>
            </w:r>
          </w:p>
        </w:tc>
      </w:tr>
      <w:tr w:rsidR="00A509F7" w:rsidRPr="00461C16" w14:paraId="4CE8789A" w14:textId="77777777" w:rsidTr="0066453E">
        <w:trPr>
          <w:cantSplit/>
        </w:trPr>
        <w:tc>
          <w:tcPr>
            <w:tcW w:w="1481" w:type="dxa"/>
            <w:shd w:val="clear" w:color="auto" w:fill="auto"/>
          </w:tcPr>
          <w:p w14:paraId="302EA0E0" w14:textId="77777777" w:rsidR="00A509F7" w:rsidRPr="00461C16" w:rsidRDefault="00A509F7" w:rsidP="003F68C9">
            <w:pPr>
              <w:spacing w:before="40" w:after="40" w:line="240" w:lineRule="auto"/>
              <w:jc w:val="left"/>
              <w:rPr>
                <w:sz w:val="20"/>
                <w:szCs w:val="20"/>
              </w:rPr>
            </w:pPr>
            <w:r w:rsidRPr="00461C16">
              <w:rPr>
                <w:sz w:val="20"/>
                <w:szCs w:val="20"/>
              </w:rPr>
              <w:t>23 (několik dílčích ploch)</w:t>
            </w:r>
          </w:p>
        </w:tc>
        <w:tc>
          <w:tcPr>
            <w:tcW w:w="1258" w:type="dxa"/>
          </w:tcPr>
          <w:p w14:paraId="07DE79FC"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CFA6C65" w14:textId="77777777" w:rsidR="00A509F7" w:rsidRPr="00461C16" w:rsidRDefault="00A509F7" w:rsidP="003F68C9">
            <w:pPr>
              <w:spacing w:before="40" w:after="40" w:line="240" w:lineRule="auto"/>
              <w:jc w:val="left"/>
              <w:rPr>
                <w:sz w:val="20"/>
                <w:szCs w:val="20"/>
              </w:rPr>
            </w:pPr>
            <w:r w:rsidRPr="00461C16">
              <w:rPr>
                <w:sz w:val="20"/>
                <w:szCs w:val="20"/>
              </w:rPr>
              <w:t>plocha výroby nečisté</w:t>
            </w:r>
          </w:p>
        </w:tc>
        <w:tc>
          <w:tcPr>
            <w:tcW w:w="2259" w:type="dxa"/>
            <w:shd w:val="clear" w:color="auto" w:fill="auto"/>
          </w:tcPr>
          <w:p w14:paraId="2E1D5335" w14:textId="77777777" w:rsidR="00A509F7" w:rsidRPr="00461C16" w:rsidRDefault="00A509F7" w:rsidP="003F68C9">
            <w:pPr>
              <w:pStyle w:val="Intabulka"/>
              <w:rPr>
                <w:rFonts w:ascii="Arial Narrow" w:hAnsi="Arial Narrow"/>
              </w:rPr>
            </w:pPr>
            <w:r w:rsidRPr="00461C16">
              <w:rPr>
                <w:rFonts w:ascii="Arial Narrow" w:hAnsi="Arial Narrow"/>
              </w:rPr>
              <w:t>Převzato částečně</w:t>
            </w:r>
            <w:r w:rsidR="0007490E">
              <w:rPr>
                <w:rFonts w:ascii="Arial Narrow" w:hAnsi="Arial Narrow"/>
                <w:lang w:val="cs-CZ"/>
              </w:rPr>
              <w:t xml:space="preserve"> - vymezeno jako stabilizované plochy VL a VE</w:t>
            </w:r>
            <w:r w:rsidR="0007490E" w:rsidRPr="0007490E">
              <w:rPr>
                <w:rFonts w:ascii="Arial Narrow" w:hAnsi="Arial Narrow"/>
                <w:vertAlign w:val="subscript"/>
                <w:lang w:val="cs-CZ"/>
              </w:rPr>
              <w:t>F</w:t>
            </w:r>
          </w:p>
        </w:tc>
        <w:tc>
          <w:tcPr>
            <w:tcW w:w="2660" w:type="dxa"/>
            <w:shd w:val="clear" w:color="auto" w:fill="auto"/>
          </w:tcPr>
          <w:p w14:paraId="360DDD1D"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 xml:space="preserve">v souladu s koncepcí ÚP, zčásti realizováno – stav </w:t>
            </w:r>
          </w:p>
        </w:tc>
      </w:tr>
      <w:tr w:rsidR="00A509F7" w:rsidRPr="00461C16" w14:paraId="61A54EE7" w14:textId="77777777" w:rsidTr="0066453E">
        <w:trPr>
          <w:cantSplit/>
        </w:trPr>
        <w:tc>
          <w:tcPr>
            <w:tcW w:w="1481" w:type="dxa"/>
            <w:shd w:val="clear" w:color="auto" w:fill="auto"/>
          </w:tcPr>
          <w:p w14:paraId="0D678856" w14:textId="77777777" w:rsidR="00A509F7" w:rsidRPr="00461C16" w:rsidRDefault="00A509F7" w:rsidP="003F68C9">
            <w:pPr>
              <w:spacing w:before="40" w:after="40" w:line="240" w:lineRule="auto"/>
              <w:jc w:val="left"/>
              <w:rPr>
                <w:sz w:val="20"/>
                <w:szCs w:val="20"/>
              </w:rPr>
            </w:pPr>
            <w:r w:rsidRPr="00461C16">
              <w:rPr>
                <w:sz w:val="20"/>
                <w:szCs w:val="20"/>
              </w:rPr>
              <w:t>24 (několik dílčích ploch)</w:t>
            </w:r>
          </w:p>
        </w:tc>
        <w:tc>
          <w:tcPr>
            <w:tcW w:w="1258" w:type="dxa"/>
          </w:tcPr>
          <w:p w14:paraId="57E5FD4B"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D330CF9" w14:textId="77777777" w:rsidR="00A509F7" w:rsidRPr="00461C16" w:rsidRDefault="00A509F7" w:rsidP="003F68C9">
            <w:pPr>
              <w:spacing w:before="40" w:after="40" w:line="240" w:lineRule="auto"/>
              <w:jc w:val="left"/>
              <w:rPr>
                <w:sz w:val="20"/>
                <w:szCs w:val="20"/>
              </w:rPr>
            </w:pPr>
            <w:r w:rsidRPr="00461C16">
              <w:rPr>
                <w:sz w:val="20"/>
                <w:szCs w:val="20"/>
              </w:rPr>
              <w:t>plocha železničních tratí</w:t>
            </w:r>
          </w:p>
        </w:tc>
        <w:tc>
          <w:tcPr>
            <w:tcW w:w="2259" w:type="dxa"/>
            <w:shd w:val="clear" w:color="auto" w:fill="auto"/>
          </w:tcPr>
          <w:p w14:paraId="1A85876C" w14:textId="77777777" w:rsidR="00A509F7" w:rsidRPr="00461C16" w:rsidRDefault="00A509F7" w:rsidP="003F68C9">
            <w:pPr>
              <w:pStyle w:val="Intabulka"/>
              <w:rPr>
                <w:rFonts w:ascii="Arial Narrow" w:hAnsi="Arial Narrow"/>
              </w:rPr>
            </w:pPr>
            <w:r w:rsidRPr="00461C16">
              <w:rPr>
                <w:rFonts w:ascii="Arial Narrow" w:hAnsi="Arial Narrow"/>
              </w:rPr>
              <w:t>Převzato částečně, část vymezena jako plocha přestavby P17</w:t>
            </w:r>
            <w:r w:rsidR="00B345B4" w:rsidRPr="00461C16">
              <w:rPr>
                <w:rFonts w:ascii="Arial Narrow" w:hAnsi="Arial Narrow"/>
              </w:rPr>
              <w:t xml:space="preserve"> </w:t>
            </w:r>
            <w:r w:rsidRPr="00461C16">
              <w:rPr>
                <w:rFonts w:ascii="Arial Narrow" w:hAnsi="Arial Narrow"/>
              </w:rPr>
              <w:t>- SM a stabilizovaná plocha SM, část jako DZ</w:t>
            </w:r>
          </w:p>
        </w:tc>
        <w:tc>
          <w:tcPr>
            <w:tcW w:w="2660" w:type="dxa"/>
            <w:shd w:val="clear" w:color="auto" w:fill="auto"/>
          </w:tcPr>
          <w:p w14:paraId="0FA9015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neaktuálnost záměru</w:t>
            </w:r>
          </w:p>
        </w:tc>
      </w:tr>
      <w:tr w:rsidR="00A509F7" w:rsidRPr="00461C16" w14:paraId="05783B15" w14:textId="77777777" w:rsidTr="0066453E">
        <w:trPr>
          <w:cantSplit/>
        </w:trPr>
        <w:tc>
          <w:tcPr>
            <w:tcW w:w="1481" w:type="dxa"/>
            <w:shd w:val="clear" w:color="auto" w:fill="auto"/>
          </w:tcPr>
          <w:p w14:paraId="1DD0EE21" w14:textId="77777777" w:rsidR="00A509F7" w:rsidRPr="00461C16" w:rsidRDefault="00A509F7" w:rsidP="003F68C9">
            <w:pPr>
              <w:spacing w:before="40" w:after="40" w:line="240" w:lineRule="auto"/>
              <w:jc w:val="left"/>
              <w:rPr>
                <w:sz w:val="20"/>
                <w:szCs w:val="20"/>
              </w:rPr>
            </w:pPr>
            <w:r w:rsidRPr="00461C16">
              <w:rPr>
                <w:sz w:val="20"/>
                <w:szCs w:val="20"/>
              </w:rPr>
              <w:t>26</w:t>
            </w:r>
          </w:p>
        </w:tc>
        <w:tc>
          <w:tcPr>
            <w:tcW w:w="1258" w:type="dxa"/>
          </w:tcPr>
          <w:p w14:paraId="734C254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B3F04F6"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4BAE280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Nepřevzato, v</w:t>
            </w:r>
            <w:r w:rsidRPr="00461C16">
              <w:rPr>
                <w:rFonts w:ascii="Arial Narrow" w:hAnsi="Arial Narrow"/>
              </w:rPr>
              <w:t>ymezeno jako SM</w:t>
            </w:r>
          </w:p>
        </w:tc>
        <w:tc>
          <w:tcPr>
            <w:tcW w:w="2660" w:type="dxa"/>
            <w:shd w:val="clear" w:color="auto" w:fill="auto"/>
          </w:tcPr>
          <w:p w14:paraId="7343A75B"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chybějící podklad pro vymezení záměru, možnost realizace nezbytné dopravní infrastruktury i v plochách SM</w:t>
            </w:r>
          </w:p>
        </w:tc>
      </w:tr>
      <w:tr w:rsidR="00A509F7" w:rsidRPr="00461C16" w14:paraId="3B36D88F" w14:textId="77777777" w:rsidTr="0066453E">
        <w:trPr>
          <w:cantSplit/>
        </w:trPr>
        <w:tc>
          <w:tcPr>
            <w:tcW w:w="1481" w:type="dxa"/>
            <w:shd w:val="clear" w:color="auto" w:fill="auto"/>
          </w:tcPr>
          <w:p w14:paraId="707F5331" w14:textId="77777777" w:rsidR="00A509F7" w:rsidRPr="00461C16" w:rsidRDefault="00A509F7" w:rsidP="003F68C9">
            <w:pPr>
              <w:spacing w:before="40" w:after="40" w:line="240" w:lineRule="auto"/>
              <w:jc w:val="left"/>
              <w:rPr>
                <w:sz w:val="20"/>
                <w:szCs w:val="20"/>
              </w:rPr>
            </w:pPr>
            <w:r w:rsidRPr="00461C16">
              <w:rPr>
                <w:sz w:val="20"/>
                <w:szCs w:val="20"/>
              </w:rPr>
              <w:t>27</w:t>
            </w:r>
          </w:p>
        </w:tc>
        <w:tc>
          <w:tcPr>
            <w:tcW w:w="1258" w:type="dxa"/>
          </w:tcPr>
          <w:p w14:paraId="5FA7725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5DA510B"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1363D9E2" w14:textId="77777777" w:rsidR="00A509F7" w:rsidRPr="00461C16" w:rsidRDefault="00A509F7" w:rsidP="003F68C9">
            <w:pPr>
              <w:pStyle w:val="Intabulka"/>
              <w:rPr>
                <w:rFonts w:ascii="Arial Narrow" w:hAnsi="Arial Narrow"/>
              </w:rPr>
            </w:pPr>
            <w:r w:rsidRPr="00461C16">
              <w:rPr>
                <w:rFonts w:ascii="Arial Narrow" w:hAnsi="Arial Narrow"/>
                <w:lang w:val="cs-CZ"/>
              </w:rPr>
              <w:t>Nepřevzato, jiné trasování komunikace, vymezeno jako VL</w:t>
            </w:r>
          </w:p>
        </w:tc>
        <w:tc>
          <w:tcPr>
            <w:tcW w:w="2660" w:type="dxa"/>
            <w:shd w:val="clear" w:color="auto" w:fill="auto"/>
          </w:tcPr>
          <w:p w14:paraId="78AA6021"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přehodnoceno s ohledem na realizaci městského obchvatu na silnici I/35</w:t>
            </w:r>
          </w:p>
        </w:tc>
      </w:tr>
      <w:tr w:rsidR="00A509F7" w:rsidRPr="00461C16" w14:paraId="1C4E2C29" w14:textId="77777777" w:rsidTr="0066453E">
        <w:trPr>
          <w:cantSplit/>
        </w:trPr>
        <w:tc>
          <w:tcPr>
            <w:tcW w:w="1481" w:type="dxa"/>
            <w:shd w:val="clear" w:color="auto" w:fill="auto"/>
          </w:tcPr>
          <w:p w14:paraId="421EC87B" w14:textId="77777777" w:rsidR="00A509F7" w:rsidRPr="00461C16" w:rsidRDefault="00A509F7" w:rsidP="003F68C9">
            <w:pPr>
              <w:spacing w:before="40" w:after="40" w:line="240" w:lineRule="auto"/>
              <w:jc w:val="left"/>
              <w:rPr>
                <w:sz w:val="20"/>
                <w:szCs w:val="20"/>
              </w:rPr>
            </w:pPr>
            <w:r w:rsidRPr="00461C16">
              <w:rPr>
                <w:sz w:val="20"/>
                <w:szCs w:val="20"/>
              </w:rPr>
              <w:t>28 (několik dílčích ploch)</w:t>
            </w:r>
          </w:p>
        </w:tc>
        <w:tc>
          <w:tcPr>
            <w:tcW w:w="1258" w:type="dxa"/>
          </w:tcPr>
          <w:p w14:paraId="31FDEB0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52F3FCA" w14:textId="77777777" w:rsidR="00A509F7" w:rsidRPr="00461C16" w:rsidRDefault="00A509F7" w:rsidP="003F68C9">
            <w:pPr>
              <w:spacing w:before="40" w:after="40" w:line="240" w:lineRule="auto"/>
              <w:jc w:val="left"/>
              <w:rPr>
                <w:sz w:val="20"/>
                <w:szCs w:val="20"/>
              </w:rPr>
            </w:pPr>
            <w:r w:rsidRPr="00461C16">
              <w:rPr>
                <w:sz w:val="20"/>
                <w:szCs w:val="20"/>
              </w:rPr>
              <w:t>plocha smíšené zástavby centrální</w:t>
            </w:r>
            <w:r w:rsidR="005D4BF6">
              <w:rPr>
                <w:sz w:val="20"/>
                <w:szCs w:val="20"/>
              </w:rPr>
              <w:t xml:space="preserve">, </w:t>
            </w:r>
            <w:r w:rsidR="00F61608" w:rsidRPr="00461C16">
              <w:rPr>
                <w:sz w:val="20"/>
                <w:szCs w:val="20"/>
              </w:rPr>
              <w:t>plocha dopravní vybavenosti</w:t>
            </w:r>
          </w:p>
        </w:tc>
        <w:tc>
          <w:tcPr>
            <w:tcW w:w="2259" w:type="dxa"/>
            <w:shd w:val="clear" w:color="auto" w:fill="auto"/>
          </w:tcPr>
          <w:p w14:paraId="30AF2211" w14:textId="77777777" w:rsidR="00A509F7" w:rsidRPr="00461C16" w:rsidRDefault="00A509F7" w:rsidP="003F68C9">
            <w:pPr>
              <w:pStyle w:val="Intabulka"/>
              <w:rPr>
                <w:rFonts w:ascii="Arial Narrow" w:hAnsi="Arial Narrow"/>
              </w:rPr>
            </w:pPr>
            <w:r w:rsidRPr="00461C16">
              <w:rPr>
                <w:rFonts w:ascii="Arial Narrow" w:hAnsi="Arial Narrow"/>
                <w:lang w:val="cs-CZ"/>
              </w:rPr>
              <w:t>Převzato</w:t>
            </w:r>
            <w:r w:rsidR="005D4BF6">
              <w:rPr>
                <w:rFonts w:ascii="Arial Narrow" w:hAnsi="Arial Narrow"/>
                <w:lang w:val="cs-CZ"/>
              </w:rPr>
              <w:t xml:space="preserve"> zčásti</w:t>
            </w:r>
            <w:r w:rsidRPr="00461C16">
              <w:rPr>
                <w:rFonts w:ascii="Arial Narrow" w:hAnsi="Arial Narrow"/>
                <w:lang w:val="cs-CZ"/>
              </w:rPr>
              <w:t>, v</w:t>
            </w:r>
            <w:r w:rsidRPr="00461C16">
              <w:rPr>
                <w:rFonts w:ascii="Arial Narrow" w:hAnsi="Arial Narrow"/>
              </w:rPr>
              <w:t>ymezeno jako SM</w:t>
            </w:r>
          </w:p>
        </w:tc>
        <w:tc>
          <w:tcPr>
            <w:tcW w:w="2660" w:type="dxa"/>
            <w:shd w:val="clear" w:color="auto" w:fill="auto"/>
          </w:tcPr>
          <w:p w14:paraId="49BABF6A"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 zahrnuto do stabilizovaných ploch</w:t>
            </w:r>
          </w:p>
        </w:tc>
      </w:tr>
      <w:tr w:rsidR="00A509F7" w:rsidRPr="00461C16" w14:paraId="5505C259" w14:textId="77777777" w:rsidTr="0066453E">
        <w:trPr>
          <w:cantSplit/>
        </w:trPr>
        <w:tc>
          <w:tcPr>
            <w:tcW w:w="1481" w:type="dxa"/>
            <w:shd w:val="clear" w:color="auto" w:fill="auto"/>
          </w:tcPr>
          <w:p w14:paraId="7E00F4E3" w14:textId="77777777" w:rsidR="00A509F7" w:rsidRPr="00461C16" w:rsidRDefault="00A509F7" w:rsidP="003F68C9">
            <w:pPr>
              <w:spacing w:before="40" w:after="40" w:line="240" w:lineRule="auto"/>
              <w:jc w:val="left"/>
              <w:rPr>
                <w:sz w:val="20"/>
                <w:szCs w:val="20"/>
              </w:rPr>
            </w:pPr>
            <w:r w:rsidRPr="00461C16">
              <w:rPr>
                <w:sz w:val="20"/>
                <w:szCs w:val="20"/>
              </w:rPr>
              <w:t>29</w:t>
            </w:r>
          </w:p>
        </w:tc>
        <w:tc>
          <w:tcPr>
            <w:tcW w:w="1258" w:type="dxa"/>
          </w:tcPr>
          <w:p w14:paraId="05BF9A0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285F303" w14:textId="77777777" w:rsidR="00A509F7" w:rsidRPr="00461C16" w:rsidRDefault="00A509F7" w:rsidP="003F68C9">
            <w:pPr>
              <w:spacing w:before="40" w:after="40" w:line="240" w:lineRule="auto"/>
              <w:jc w:val="left"/>
              <w:rPr>
                <w:sz w:val="20"/>
                <w:szCs w:val="20"/>
              </w:rPr>
            </w:pPr>
            <w:r w:rsidRPr="00461C16">
              <w:rPr>
                <w:sz w:val="20"/>
                <w:szCs w:val="20"/>
              </w:rPr>
              <w:t>plocha smíšené zástavby centrální</w:t>
            </w:r>
          </w:p>
        </w:tc>
        <w:tc>
          <w:tcPr>
            <w:tcW w:w="2259" w:type="dxa"/>
            <w:shd w:val="clear" w:color="auto" w:fill="auto"/>
          </w:tcPr>
          <w:p w14:paraId="07C89176" w14:textId="77777777" w:rsidR="00A509F7" w:rsidRPr="00461C16" w:rsidRDefault="00A509F7" w:rsidP="003F68C9">
            <w:pPr>
              <w:pStyle w:val="Intabulka"/>
              <w:rPr>
                <w:rFonts w:ascii="Arial Narrow" w:hAnsi="Arial Narrow"/>
              </w:rPr>
            </w:pPr>
            <w:r w:rsidRPr="00461C16">
              <w:rPr>
                <w:rFonts w:ascii="Arial Narrow" w:hAnsi="Arial Narrow"/>
              </w:rPr>
              <w:t>Převzato, vymezeno jako SM</w:t>
            </w:r>
          </w:p>
        </w:tc>
        <w:tc>
          <w:tcPr>
            <w:tcW w:w="2660" w:type="dxa"/>
            <w:shd w:val="clear" w:color="auto" w:fill="auto"/>
          </w:tcPr>
          <w:p w14:paraId="3481076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 zahrnuto do stabilizovaných ploch</w:t>
            </w:r>
          </w:p>
        </w:tc>
      </w:tr>
      <w:tr w:rsidR="00A509F7" w:rsidRPr="00461C16" w14:paraId="2BC514C5" w14:textId="77777777" w:rsidTr="0066453E">
        <w:trPr>
          <w:cantSplit/>
        </w:trPr>
        <w:tc>
          <w:tcPr>
            <w:tcW w:w="1481" w:type="dxa"/>
            <w:shd w:val="clear" w:color="auto" w:fill="auto"/>
          </w:tcPr>
          <w:p w14:paraId="58FDB88E" w14:textId="77777777" w:rsidR="00A509F7" w:rsidRPr="00461C16" w:rsidRDefault="00A509F7" w:rsidP="003F68C9">
            <w:pPr>
              <w:spacing w:before="40" w:after="40" w:line="240" w:lineRule="auto"/>
              <w:jc w:val="left"/>
              <w:rPr>
                <w:sz w:val="20"/>
                <w:szCs w:val="20"/>
              </w:rPr>
            </w:pPr>
            <w:r w:rsidRPr="00461C16">
              <w:rPr>
                <w:sz w:val="20"/>
                <w:szCs w:val="20"/>
              </w:rPr>
              <w:lastRenderedPageBreak/>
              <w:t>30</w:t>
            </w:r>
          </w:p>
        </w:tc>
        <w:tc>
          <w:tcPr>
            <w:tcW w:w="1258" w:type="dxa"/>
          </w:tcPr>
          <w:p w14:paraId="189E12D4"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0345106F" w14:textId="77777777" w:rsidR="00A509F7" w:rsidRPr="00461C16" w:rsidRDefault="00A509F7" w:rsidP="003F68C9">
            <w:pPr>
              <w:spacing w:before="40" w:after="40" w:line="240" w:lineRule="auto"/>
              <w:jc w:val="left"/>
              <w:rPr>
                <w:sz w:val="20"/>
                <w:szCs w:val="20"/>
              </w:rPr>
            </w:pPr>
            <w:r w:rsidRPr="00461C16">
              <w:rPr>
                <w:sz w:val="20"/>
                <w:szCs w:val="20"/>
              </w:rPr>
              <w:t>plocha výroby čisté a výrobních služeb</w:t>
            </w:r>
          </w:p>
        </w:tc>
        <w:tc>
          <w:tcPr>
            <w:tcW w:w="2259" w:type="dxa"/>
            <w:shd w:val="clear" w:color="auto" w:fill="auto"/>
          </w:tcPr>
          <w:p w14:paraId="0B941565" w14:textId="77777777" w:rsidR="00A509F7" w:rsidRPr="00461C16" w:rsidRDefault="00A509F7" w:rsidP="003F68C9">
            <w:pPr>
              <w:pStyle w:val="Intabulka"/>
              <w:rPr>
                <w:rFonts w:ascii="Arial Narrow" w:hAnsi="Arial Narrow"/>
              </w:rPr>
            </w:pPr>
            <w:r w:rsidRPr="00461C16">
              <w:rPr>
                <w:rFonts w:ascii="Arial Narrow" w:hAnsi="Arial Narrow"/>
                <w:lang w:val="cs-CZ"/>
              </w:rPr>
              <w:t>P</w:t>
            </w:r>
            <w:r w:rsidRPr="00461C16">
              <w:rPr>
                <w:rFonts w:ascii="Arial Narrow" w:hAnsi="Arial Narrow"/>
              </w:rPr>
              <w:t xml:space="preserve">řevzato jako </w:t>
            </w:r>
            <w:r w:rsidR="007727F7">
              <w:rPr>
                <w:rFonts w:ascii="Arial Narrow" w:hAnsi="Arial Narrow"/>
                <w:lang w:val="cs-CZ"/>
              </w:rPr>
              <w:t xml:space="preserve">stabilizovaná plocha </w:t>
            </w:r>
            <w:r w:rsidRPr="00461C16">
              <w:rPr>
                <w:rFonts w:ascii="Arial Narrow" w:hAnsi="Arial Narrow"/>
              </w:rPr>
              <w:t>VD</w:t>
            </w:r>
          </w:p>
        </w:tc>
        <w:tc>
          <w:tcPr>
            <w:tcW w:w="2660" w:type="dxa"/>
            <w:shd w:val="clear" w:color="auto" w:fill="auto"/>
          </w:tcPr>
          <w:p w14:paraId="4B05777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 vymezeno jako stabilizovaná ploch dle skutečného stavu</w:t>
            </w:r>
          </w:p>
        </w:tc>
      </w:tr>
      <w:tr w:rsidR="00A509F7" w:rsidRPr="00461C16" w14:paraId="25416AF0" w14:textId="77777777" w:rsidTr="0066453E">
        <w:trPr>
          <w:cantSplit/>
        </w:trPr>
        <w:tc>
          <w:tcPr>
            <w:tcW w:w="1481" w:type="dxa"/>
            <w:shd w:val="clear" w:color="auto" w:fill="auto"/>
          </w:tcPr>
          <w:p w14:paraId="42BAA07C" w14:textId="77777777" w:rsidR="00A509F7" w:rsidRPr="00461C16" w:rsidRDefault="00A509F7" w:rsidP="003F68C9">
            <w:pPr>
              <w:spacing w:before="40" w:after="40" w:line="240" w:lineRule="auto"/>
              <w:jc w:val="left"/>
              <w:rPr>
                <w:sz w:val="20"/>
                <w:szCs w:val="20"/>
              </w:rPr>
            </w:pPr>
            <w:r w:rsidRPr="00461C16">
              <w:rPr>
                <w:sz w:val="20"/>
                <w:szCs w:val="20"/>
              </w:rPr>
              <w:t>31</w:t>
            </w:r>
          </w:p>
        </w:tc>
        <w:tc>
          <w:tcPr>
            <w:tcW w:w="1258" w:type="dxa"/>
          </w:tcPr>
          <w:p w14:paraId="0CAB838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AE07FCC"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019374BA"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10F1BF3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67E4CC3F" w14:textId="77777777" w:rsidTr="0066453E">
        <w:trPr>
          <w:cantSplit/>
        </w:trPr>
        <w:tc>
          <w:tcPr>
            <w:tcW w:w="1481" w:type="dxa"/>
            <w:shd w:val="clear" w:color="auto" w:fill="auto"/>
          </w:tcPr>
          <w:p w14:paraId="59B042E1" w14:textId="77777777" w:rsidR="00A509F7" w:rsidRPr="00461C16" w:rsidRDefault="00A509F7" w:rsidP="003F68C9">
            <w:pPr>
              <w:spacing w:before="40" w:after="40" w:line="240" w:lineRule="auto"/>
              <w:jc w:val="left"/>
              <w:rPr>
                <w:sz w:val="20"/>
                <w:szCs w:val="20"/>
              </w:rPr>
            </w:pPr>
            <w:r w:rsidRPr="00461C16">
              <w:rPr>
                <w:sz w:val="20"/>
                <w:szCs w:val="20"/>
              </w:rPr>
              <w:t>32</w:t>
            </w:r>
          </w:p>
        </w:tc>
        <w:tc>
          <w:tcPr>
            <w:tcW w:w="1258" w:type="dxa"/>
          </w:tcPr>
          <w:p w14:paraId="5A029115"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F84C4F9"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13853EFB" w14:textId="77777777" w:rsidR="00A509F7" w:rsidRPr="00461C16" w:rsidRDefault="00A509F7" w:rsidP="003F68C9">
            <w:pPr>
              <w:pStyle w:val="Intabulka"/>
              <w:rPr>
                <w:rFonts w:ascii="Arial Narrow" w:hAnsi="Arial Narrow"/>
              </w:rPr>
            </w:pPr>
            <w:r w:rsidRPr="00461C16">
              <w:rPr>
                <w:rFonts w:ascii="Arial Narrow" w:hAnsi="Arial Narrow"/>
              </w:rPr>
              <w:t>Převzato, vymezeno jako plocha změn Z46</w:t>
            </w:r>
          </w:p>
        </w:tc>
        <w:tc>
          <w:tcPr>
            <w:tcW w:w="2660" w:type="dxa"/>
            <w:shd w:val="clear" w:color="auto" w:fill="auto"/>
          </w:tcPr>
          <w:p w14:paraId="79CDD15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27E78766" w14:textId="77777777" w:rsidTr="0066453E">
        <w:trPr>
          <w:cantSplit/>
        </w:trPr>
        <w:tc>
          <w:tcPr>
            <w:tcW w:w="1481" w:type="dxa"/>
            <w:shd w:val="clear" w:color="auto" w:fill="auto"/>
          </w:tcPr>
          <w:p w14:paraId="4F7C7E67" w14:textId="77777777" w:rsidR="00A509F7" w:rsidRPr="00461C16" w:rsidRDefault="00A509F7" w:rsidP="003F68C9">
            <w:pPr>
              <w:spacing w:before="40" w:after="40" w:line="240" w:lineRule="auto"/>
              <w:jc w:val="left"/>
              <w:rPr>
                <w:sz w:val="20"/>
                <w:szCs w:val="20"/>
              </w:rPr>
            </w:pPr>
            <w:r w:rsidRPr="00461C16">
              <w:rPr>
                <w:sz w:val="20"/>
                <w:szCs w:val="20"/>
              </w:rPr>
              <w:t>33</w:t>
            </w:r>
          </w:p>
        </w:tc>
        <w:tc>
          <w:tcPr>
            <w:tcW w:w="1258" w:type="dxa"/>
          </w:tcPr>
          <w:p w14:paraId="760A165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C093C5C"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095D8D63" w14:textId="77777777" w:rsidR="00A509F7" w:rsidRPr="00461C16" w:rsidRDefault="00A509F7" w:rsidP="003F68C9">
            <w:pPr>
              <w:pStyle w:val="Intabulka"/>
              <w:rPr>
                <w:rFonts w:ascii="Arial Narrow" w:hAnsi="Arial Narrow"/>
              </w:rPr>
            </w:pPr>
            <w:r w:rsidRPr="00461C16">
              <w:rPr>
                <w:rFonts w:ascii="Arial Narrow" w:hAnsi="Arial Narrow"/>
              </w:rPr>
              <w:t>Převzato, vymezeno jako plocha změn Z46</w:t>
            </w:r>
          </w:p>
        </w:tc>
        <w:tc>
          <w:tcPr>
            <w:tcW w:w="2660" w:type="dxa"/>
            <w:shd w:val="clear" w:color="auto" w:fill="auto"/>
          </w:tcPr>
          <w:p w14:paraId="6505BB1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06827C02" w14:textId="77777777" w:rsidTr="0066453E">
        <w:trPr>
          <w:cantSplit/>
        </w:trPr>
        <w:tc>
          <w:tcPr>
            <w:tcW w:w="1481" w:type="dxa"/>
            <w:shd w:val="clear" w:color="auto" w:fill="auto"/>
          </w:tcPr>
          <w:p w14:paraId="78421B4F" w14:textId="77777777" w:rsidR="00A509F7" w:rsidRPr="00461C16" w:rsidRDefault="00A509F7" w:rsidP="003F68C9">
            <w:pPr>
              <w:spacing w:before="40" w:after="40" w:line="240" w:lineRule="auto"/>
              <w:jc w:val="left"/>
              <w:rPr>
                <w:sz w:val="20"/>
                <w:szCs w:val="20"/>
              </w:rPr>
            </w:pPr>
            <w:r w:rsidRPr="00461C16">
              <w:rPr>
                <w:sz w:val="20"/>
                <w:szCs w:val="20"/>
              </w:rPr>
              <w:t>34 (několik dílčích ploch)</w:t>
            </w:r>
          </w:p>
        </w:tc>
        <w:tc>
          <w:tcPr>
            <w:tcW w:w="1258" w:type="dxa"/>
          </w:tcPr>
          <w:p w14:paraId="1B1E9BF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005111F2"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412A1687"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06AF19E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 vymezeno jako stabilizovaná ploch dle skutečného stavu</w:t>
            </w:r>
          </w:p>
        </w:tc>
      </w:tr>
      <w:tr w:rsidR="00A509F7" w:rsidRPr="00461C16" w14:paraId="6F72145F" w14:textId="77777777" w:rsidTr="0066453E">
        <w:trPr>
          <w:cantSplit/>
        </w:trPr>
        <w:tc>
          <w:tcPr>
            <w:tcW w:w="1481" w:type="dxa"/>
            <w:shd w:val="clear" w:color="auto" w:fill="auto"/>
          </w:tcPr>
          <w:p w14:paraId="56DC0336" w14:textId="77777777" w:rsidR="00A509F7" w:rsidRPr="00461C16" w:rsidRDefault="00A509F7" w:rsidP="003F68C9">
            <w:pPr>
              <w:spacing w:before="40" w:after="40" w:line="240" w:lineRule="auto"/>
              <w:jc w:val="left"/>
              <w:rPr>
                <w:sz w:val="20"/>
                <w:szCs w:val="20"/>
              </w:rPr>
            </w:pPr>
            <w:r w:rsidRPr="00461C16">
              <w:rPr>
                <w:sz w:val="20"/>
                <w:szCs w:val="20"/>
              </w:rPr>
              <w:t>35 (několik dílčích ploch)</w:t>
            </w:r>
          </w:p>
        </w:tc>
        <w:tc>
          <w:tcPr>
            <w:tcW w:w="1258" w:type="dxa"/>
          </w:tcPr>
          <w:p w14:paraId="51740815"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B66E2D2"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65188048"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77FE3CD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 vymezeno jako stabilizovaná ploch dle skutečného stavu</w:t>
            </w:r>
          </w:p>
        </w:tc>
      </w:tr>
      <w:tr w:rsidR="00A509F7" w:rsidRPr="00461C16" w14:paraId="652671F9" w14:textId="77777777" w:rsidTr="0066453E">
        <w:trPr>
          <w:cantSplit/>
        </w:trPr>
        <w:tc>
          <w:tcPr>
            <w:tcW w:w="1481" w:type="dxa"/>
            <w:shd w:val="clear" w:color="auto" w:fill="auto"/>
          </w:tcPr>
          <w:p w14:paraId="068466F1" w14:textId="77777777" w:rsidR="00A509F7" w:rsidRPr="00461C16" w:rsidRDefault="00A509F7" w:rsidP="003F68C9">
            <w:pPr>
              <w:spacing w:before="40" w:after="40" w:line="240" w:lineRule="auto"/>
              <w:jc w:val="left"/>
              <w:rPr>
                <w:sz w:val="20"/>
                <w:szCs w:val="20"/>
              </w:rPr>
            </w:pPr>
            <w:r w:rsidRPr="00461C16">
              <w:rPr>
                <w:sz w:val="20"/>
                <w:szCs w:val="20"/>
              </w:rPr>
              <w:t>36 (několik dílčích ploch)</w:t>
            </w:r>
          </w:p>
        </w:tc>
        <w:tc>
          <w:tcPr>
            <w:tcW w:w="1258" w:type="dxa"/>
          </w:tcPr>
          <w:p w14:paraId="206DEAB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3D24D0B"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25E25B51" w14:textId="77777777" w:rsidR="00A509F7" w:rsidRPr="00461C16" w:rsidRDefault="00A509F7" w:rsidP="003F68C9">
            <w:pPr>
              <w:pStyle w:val="Intabulka"/>
              <w:rPr>
                <w:rFonts w:ascii="Arial Narrow" w:hAnsi="Arial Narrow"/>
              </w:rPr>
            </w:pPr>
            <w:r w:rsidRPr="00461C16">
              <w:rPr>
                <w:rFonts w:ascii="Arial Narrow" w:hAnsi="Arial Narrow"/>
              </w:rPr>
              <w:t>Převzato, vymezeno jako plocha změn Z43</w:t>
            </w:r>
          </w:p>
        </w:tc>
        <w:tc>
          <w:tcPr>
            <w:tcW w:w="2660" w:type="dxa"/>
            <w:shd w:val="clear" w:color="auto" w:fill="auto"/>
          </w:tcPr>
          <w:p w14:paraId="77D5EE5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0D3FE993" w14:textId="77777777" w:rsidTr="0066453E">
        <w:trPr>
          <w:cantSplit/>
        </w:trPr>
        <w:tc>
          <w:tcPr>
            <w:tcW w:w="1481" w:type="dxa"/>
            <w:shd w:val="clear" w:color="auto" w:fill="auto"/>
          </w:tcPr>
          <w:p w14:paraId="0EEF57F8" w14:textId="77777777" w:rsidR="00A509F7" w:rsidRPr="00461C16" w:rsidRDefault="00A509F7" w:rsidP="003F68C9">
            <w:pPr>
              <w:spacing w:before="40" w:after="40" w:line="240" w:lineRule="auto"/>
              <w:jc w:val="left"/>
              <w:rPr>
                <w:sz w:val="20"/>
                <w:szCs w:val="20"/>
              </w:rPr>
            </w:pPr>
            <w:r w:rsidRPr="00461C16">
              <w:rPr>
                <w:sz w:val="20"/>
                <w:szCs w:val="20"/>
              </w:rPr>
              <w:t>37</w:t>
            </w:r>
          </w:p>
        </w:tc>
        <w:tc>
          <w:tcPr>
            <w:tcW w:w="1258" w:type="dxa"/>
          </w:tcPr>
          <w:p w14:paraId="0F0E77E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91A6BE0" w14:textId="77777777" w:rsidR="00A509F7" w:rsidRPr="00461C16" w:rsidRDefault="00A509F7" w:rsidP="003F68C9">
            <w:pPr>
              <w:spacing w:before="40" w:after="40" w:line="240" w:lineRule="auto"/>
              <w:jc w:val="left"/>
              <w:rPr>
                <w:sz w:val="20"/>
                <w:szCs w:val="20"/>
              </w:rPr>
            </w:pPr>
            <w:r w:rsidRPr="00461C16">
              <w:rPr>
                <w:sz w:val="20"/>
                <w:szCs w:val="20"/>
              </w:rPr>
              <w:t>plocha občanské vybavenosti a nevýrobních služeb</w:t>
            </w:r>
            <w:r w:rsidR="0024290B">
              <w:rPr>
                <w:sz w:val="20"/>
                <w:szCs w:val="20"/>
              </w:rPr>
              <w:t xml:space="preserve">, </w:t>
            </w:r>
            <w:r w:rsidR="0024290B" w:rsidRPr="00461C16">
              <w:rPr>
                <w:sz w:val="20"/>
                <w:szCs w:val="20"/>
              </w:rPr>
              <w:t>plocha obytné zástavby nízkopodlažní městské</w:t>
            </w:r>
          </w:p>
        </w:tc>
        <w:tc>
          <w:tcPr>
            <w:tcW w:w="2259" w:type="dxa"/>
            <w:shd w:val="clear" w:color="auto" w:fill="auto"/>
          </w:tcPr>
          <w:p w14:paraId="45A9487E" w14:textId="77777777" w:rsidR="00A509F7" w:rsidRPr="0024290B" w:rsidRDefault="00A509F7" w:rsidP="003F68C9">
            <w:pPr>
              <w:pStyle w:val="Intabulka"/>
              <w:rPr>
                <w:rFonts w:ascii="Arial Narrow" w:hAnsi="Arial Narrow"/>
                <w:lang w:val="cs-CZ"/>
              </w:rPr>
            </w:pPr>
            <w:r w:rsidRPr="00461C16">
              <w:rPr>
                <w:rFonts w:ascii="Arial Narrow" w:hAnsi="Arial Narrow"/>
                <w:lang w:val="cs-CZ"/>
              </w:rPr>
              <w:t>P</w:t>
            </w:r>
            <w:r w:rsidRPr="00461C16">
              <w:rPr>
                <w:rFonts w:ascii="Arial Narrow" w:hAnsi="Arial Narrow"/>
              </w:rPr>
              <w:t xml:space="preserve">řevzato, vymezeno jako plocha přestavby </w:t>
            </w:r>
            <w:r w:rsidR="00837D4B" w:rsidRPr="00461C16">
              <w:rPr>
                <w:rFonts w:ascii="Arial Narrow" w:hAnsi="Arial Narrow"/>
              </w:rPr>
              <w:t>P2</w:t>
            </w:r>
            <w:r w:rsidR="00837D4B">
              <w:rPr>
                <w:rFonts w:ascii="Arial Narrow" w:hAnsi="Arial Narrow"/>
                <w:lang w:val="cs-CZ"/>
              </w:rPr>
              <w:t>2</w:t>
            </w:r>
            <w:r w:rsidR="00837D4B" w:rsidRPr="00461C16">
              <w:rPr>
                <w:rFonts w:ascii="Arial Narrow" w:hAnsi="Arial Narrow"/>
              </w:rPr>
              <w:t xml:space="preserve"> </w:t>
            </w:r>
            <w:r w:rsidR="0024290B">
              <w:rPr>
                <w:rFonts w:ascii="Arial Narrow" w:hAnsi="Arial Narrow"/>
              </w:rPr>
              <w:t>–</w:t>
            </w:r>
            <w:r w:rsidRPr="00461C16">
              <w:rPr>
                <w:rFonts w:ascii="Arial Narrow" w:hAnsi="Arial Narrow"/>
              </w:rPr>
              <w:t xml:space="preserve"> SM</w:t>
            </w:r>
            <w:r w:rsidR="0024290B">
              <w:rPr>
                <w:rFonts w:ascii="Arial Narrow" w:hAnsi="Arial Narrow"/>
                <w:lang w:val="cs-CZ"/>
              </w:rPr>
              <w:t xml:space="preserve"> a zčásti jako Z43</w:t>
            </w:r>
          </w:p>
        </w:tc>
        <w:tc>
          <w:tcPr>
            <w:tcW w:w="2660" w:type="dxa"/>
            <w:shd w:val="clear" w:color="auto" w:fill="auto"/>
          </w:tcPr>
          <w:p w14:paraId="0A4ED4A1"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59E733AA" w14:textId="77777777" w:rsidTr="0066453E">
        <w:trPr>
          <w:cantSplit/>
        </w:trPr>
        <w:tc>
          <w:tcPr>
            <w:tcW w:w="1481" w:type="dxa"/>
            <w:shd w:val="clear" w:color="auto" w:fill="auto"/>
          </w:tcPr>
          <w:p w14:paraId="67F07202" w14:textId="77777777" w:rsidR="00A509F7" w:rsidRPr="00461C16" w:rsidRDefault="00A509F7" w:rsidP="003F68C9">
            <w:pPr>
              <w:spacing w:before="40" w:after="40" w:line="240" w:lineRule="auto"/>
              <w:jc w:val="left"/>
              <w:rPr>
                <w:sz w:val="20"/>
                <w:szCs w:val="20"/>
              </w:rPr>
            </w:pPr>
            <w:r w:rsidRPr="00461C16">
              <w:rPr>
                <w:sz w:val="20"/>
                <w:szCs w:val="20"/>
              </w:rPr>
              <w:t>39</w:t>
            </w:r>
          </w:p>
        </w:tc>
        <w:tc>
          <w:tcPr>
            <w:tcW w:w="1258" w:type="dxa"/>
          </w:tcPr>
          <w:p w14:paraId="0E52AD1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14C80B14"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595DB41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Převzato</w:t>
            </w:r>
          </w:p>
        </w:tc>
        <w:tc>
          <w:tcPr>
            <w:tcW w:w="2660" w:type="dxa"/>
            <w:shd w:val="clear" w:color="auto" w:fill="auto"/>
          </w:tcPr>
          <w:p w14:paraId="7AD1B3A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realizováno</w:t>
            </w:r>
          </w:p>
        </w:tc>
      </w:tr>
      <w:tr w:rsidR="00A509F7" w:rsidRPr="00461C16" w14:paraId="5E841A8A" w14:textId="77777777" w:rsidTr="0066453E">
        <w:trPr>
          <w:cantSplit/>
        </w:trPr>
        <w:tc>
          <w:tcPr>
            <w:tcW w:w="1481" w:type="dxa"/>
            <w:shd w:val="clear" w:color="auto" w:fill="auto"/>
          </w:tcPr>
          <w:p w14:paraId="15B5DA9A" w14:textId="77777777" w:rsidR="00A509F7" w:rsidRPr="00461C16" w:rsidRDefault="00A509F7" w:rsidP="003F68C9">
            <w:pPr>
              <w:spacing w:before="40" w:after="40" w:line="240" w:lineRule="auto"/>
              <w:jc w:val="left"/>
              <w:rPr>
                <w:sz w:val="20"/>
                <w:szCs w:val="20"/>
              </w:rPr>
            </w:pPr>
            <w:r w:rsidRPr="00461C16">
              <w:rPr>
                <w:sz w:val="20"/>
                <w:szCs w:val="20"/>
              </w:rPr>
              <w:t>40</w:t>
            </w:r>
          </w:p>
        </w:tc>
        <w:tc>
          <w:tcPr>
            <w:tcW w:w="1258" w:type="dxa"/>
          </w:tcPr>
          <w:p w14:paraId="7C8FF14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9272401" w14:textId="77777777" w:rsidR="00A509F7" w:rsidRPr="00461C16" w:rsidRDefault="00A509F7" w:rsidP="003F68C9">
            <w:pPr>
              <w:spacing w:before="40" w:after="40" w:line="240" w:lineRule="auto"/>
              <w:jc w:val="left"/>
              <w:rPr>
                <w:sz w:val="20"/>
                <w:szCs w:val="20"/>
              </w:rPr>
            </w:pPr>
            <w:r w:rsidRPr="00461C16">
              <w:rPr>
                <w:sz w:val="20"/>
                <w:szCs w:val="20"/>
              </w:rPr>
              <w:t>plocha smíšené zástavby centrální</w:t>
            </w:r>
          </w:p>
        </w:tc>
        <w:tc>
          <w:tcPr>
            <w:tcW w:w="2259" w:type="dxa"/>
            <w:shd w:val="clear" w:color="auto" w:fill="auto"/>
          </w:tcPr>
          <w:p w14:paraId="2D9D08AA" w14:textId="77777777" w:rsidR="00A509F7" w:rsidRPr="00461C16" w:rsidRDefault="00A509F7" w:rsidP="003F68C9">
            <w:pPr>
              <w:pStyle w:val="Intabulka"/>
              <w:rPr>
                <w:rFonts w:ascii="Arial Narrow" w:hAnsi="Arial Narrow"/>
              </w:rPr>
            </w:pPr>
            <w:r w:rsidRPr="00461C16">
              <w:rPr>
                <w:rFonts w:ascii="Arial Narrow" w:hAnsi="Arial Narrow"/>
              </w:rPr>
              <w:t>Převzato</w:t>
            </w:r>
            <w:r w:rsidRPr="00461C16">
              <w:rPr>
                <w:rFonts w:ascii="Arial Narrow" w:hAnsi="Arial Narrow"/>
                <w:lang w:val="cs-CZ"/>
              </w:rPr>
              <w:t>,</w:t>
            </w:r>
            <w:r w:rsidRPr="00461C16">
              <w:rPr>
                <w:rFonts w:ascii="Arial Narrow" w:hAnsi="Arial Narrow"/>
              </w:rPr>
              <w:t xml:space="preserve"> vymezeno jako SM</w:t>
            </w:r>
          </w:p>
        </w:tc>
        <w:tc>
          <w:tcPr>
            <w:tcW w:w="2660" w:type="dxa"/>
            <w:shd w:val="clear" w:color="auto" w:fill="auto"/>
          </w:tcPr>
          <w:p w14:paraId="7C62347A"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19785F2C" w14:textId="77777777" w:rsidTr="0066453E">
        <w:trPr>
          <w:cantSplit/>
        </w:trPr>
        <w:tc>
          <w:tcPr>
            <w:tcW w:w="1481" w:type="dxa"/>
            <w:shd w:val="clear" w:color="auto" w:fill="auto"/>
          </w:tcPr>
          <w:p w14:paraId="0CFB0178" w14:textId="77777777" w:rsidR="00A509F7" w:rsidRPr="00461C16" w:rsidRDefault="00A509F7" w:rsidP="003F68C9">
            <w:pPr>
              <w:spacing w:before="40" w:after="40" w:line="240" w:lineRule="auto"/>
              <w:jc w:val="left"/>
              <w:rPr>
                <w:sz w:val="20"/>
                <w:szCs w:val="20"/>
              </w:rPr>
            </w:pPr>
            <w:r w:rsidRPr="00461C16">
              <w:rPr>
                <w:sz w:val="20"/>
                <w:szCs w:val="20"/>
              </w:rPr>
              <w:t>41</w:t>
            </w:r>
          </w:p>
        </w:tc>
        <w:tc>
          <w:tcPr>
            <w:tcW w:w="1258" w:type="dxa"/>
          </w:tcPr>
          <w:p w14:paraId="14740A33"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2B80372"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2868F9BE" w14:textId="77777777" w:rsidR="00A509F7" w:rsidRPr="00461C16" w:rsidRDefault="00A509F7" w:rsidP="003F68C9">
            <w:pPr>
              <w:pStyle w:val="Intabulka"/>
              <w:rPr>
                <w:rFonts w:ascii="Arial Narrow" w:hAnsi="Arial Narrow"/>
              </w:rPr>
            </w:pPr>
            <w:r w:rsidRPr="00461C16">
              <w:rPr>
                <w:rFonts w:ascii="Arial Narrow" w:hAnsi="Arial Narrow"/>
              </w:rPr>
              <w:t>Převzato</w:t>
            </w:r>
            <w:r w:rsidRPr="00461C16">
              <w:rPr>
                <w:rFonts w:ascii="Arial Narrow" w:hAnsi="Arial Narrow"/>
                <w:lang w:val="cs-CZ"/>
              </w:rPr>
              <w:t>,</w:t>
            </w:r>
            <w:r w:rsidRPr="00461C16">
              <w:rPr>
                <w:rFonts w:ascii="Arial Narrow" w:hAnsi="Arial Narrow"/>
              </w:rPr>
              <w:t xml:space="preserve"> vymezeno jako SM</w:t>
            </w:r>
          </w:p>
        </w:tc>
        <w:tc>
          <w:tcPr>
            <w:tcW w:w="2660" w:type="dxa"/>
            <w:shd w:val="clear" w:color="auto" w:fill="auto"/>
          </w:tcPr>
          <w:p w14:paraId="5E41B2E2"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1C6362CF" w14:textId="77777777" w:rsidTr="0066453E">
        <w:trPr>
          <w:cantSplit/>
        </w:trPr>
        <w:tc>
          <w:tcPr>
            <w:tcW w:w="1481" w:type="dxa"/>
            <w:shd w:val="clear" w:color="auto" w:fill="auto"/>
          </w:tcPr>
          <w:p w14:paraId="39E7D102" w14:textId="77777777" w:rsidR="00A509F7" w:rsidRPr="00461C16" w:rsidRDefault="00A509F7" w:rsidP="003F68C9">
            <w:pPr>
              <w:spacing w:before="40" w:after="40" w:line="240" w:lineRule="auto"/>
              <w:jc w:val="left"/>
              <w:rPr>
                <w:sz w:val="20"/>
                <w:szCs w:val="20"/>
              </w:rPr>
            </w:pPr>
            <w:r w:rsidRPr="00461C16">
              <w:rPr>
                <w:sz w:val="20"/>
                <w:szCs w:val="20"/>
              </w:rPr>
              <w:t>42</w:t>
            </w:r>
          </w:p>
        </w:tc>
        <w:tc>
          <w:tcPr>
            <w:tcW w:w="1258" w:type="dxa"/>
          </w:tcPr>
          <w:p w14:paraId="0D4A1225"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DA6D5CD" w14:textId="77777777" w:rsidR="00A509F7" w:rsidRPr="00461C16" w:rsidRDefault="00A509F7" w:rsidP="003F68C9">
            <w:pPr>
              <w:spacing w:before="40" w:after="40" w:line="240" w:lineRule="auto"/>
              <w:jc w:val="left"/>
              <w:rPr>
                <w:sz w:val="20"/>
                <w:szCs w:val="20"/>
              </w:rPr>
            </w:pPr>
            <w:r w:rsidRPr="00461C16">
              <w:rPr>
                <w:sz w:val="20"/>
                <w:szCs w:val="20"/>
              </w:rPr>
              <w:t>plocha dopravní vybavenosti</w:t>
            </w:r>
          </w:p>
        </w:tc>
        <w:tc>
          <w:tcPr>
            <w:tcW w:w="2259" w:type="dxa"/>
            <w:shd w:val="clear" w:color="auto" w:fill="auto"/>
          </w:tcPr>
          <w:p w14:paraId="34651ACD"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ZV</w:t>
            </w:r>
          </w:p>
        </w:tc>
        <w:tc>
          <w:tcPr>
            <w:tcW w:w="2660" w:type="dxa"/>
            <w:shd w:val="clear" w:color="auto" w:fill="auto"/>
          </w:tcPr>
          <w:p w14:paraId="25C1F1BB"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zachován souvislý pás veřejné zeleně pod sídlištěm – urbanistické, hygienické a sociální důvody</w:t>
            </w:r>
          </w:p>
        </w:tc>
      </w:tr>
      <w:tr w:rsidR="00A509F7" w:rsidRPr="00461C16" w14:paraId="12FFB30B" w14:textId="77777777" w:rsidTr="0066453E">
        <w:trPr>
          <w:cantSplit/>
        </w:trPr>
        <w:tc>
          <w:tcPr>
            <w:tcW w:w="1481" w:type="dxa"/>
            <w:shd w:val="clear" w:color="auto" w:fill="auto"/>
          </w:tcPr>
          <w:p w14:paraId="2BD26ACE" w14:textId="77777777" w:rsidR="00A509F7" w:rsidRPr="00461C16" w:rsidRDefault="00A509F7" w:rsidP="003F68C9">
            <w:pPr>
              <w:spacing w:before="40" w:after="40" w:line="240" w:lineRule="auto"/>
              <w:jc w:val="left"/>
              <w:rPr>
                <w:sz w:val="20"/>
                <w:szCs w:val="20"/>
              </w:rPr>
            </w:pPr>
            <w:r w:rsidRPr="00461C16">
              <w:rPr>
                <w:sz w:val="20"/>
                <w:szCs w:val="20"/>
              </w:rPr>
              <w:t>43</w:t>
            </w:r>
          </w:p>
        </w:tc>
        <w:tc>
          <w:tcPr>
            <w:tcW w:w="1258" w:type="dxa"/>
          </w:tcPr>
          <w:p w14:paraId="42581EE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9A56080"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6873E245" w14:textId="77777777" w:rsidR="00A509F7" w:rsidRPr="00461C16" w:rsidRDefault="00A509F7" w:rsidP="003F68C9">
            <w:pPr>
              <w:pStyle w:val="Intabulka"/>
              <w:rPr>
                <w:rFonts w:ascii="Arial Narrow" w:hAnsi="Arial Narrow"/>
              </w:rPr>
            </w:pPr>
            <w:r w:rsidRPr="00461C16">
              <w:rPr>
                <w:rFonts w:ascii="Arial Narrow" w:hAnsi="Arial Narrow"/>
              </w:rPr>
              <w:t>Záměr potvrzen, vymezeno jako plocha přestavby P26 - SM</w:t>
            </w:r>
          </w:p>
        </w:tc>
        <w:tc>
          <w:tcPr>
            <w:tcW w:w="2660" w:type="dxa"/>
            <w:shd w:val="clear" w:color="auto" w:fill="auto"/>
          </w:tcPr>
          <w:p w14:paraId="40BC4DC1"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0B6C35ED" w14:textId="77777777" w:rsidTr="0066453E">
        <w:trPr>
          <w:cantSplit/>
        </w:trPr>
        <w:tc>
          <w:tcPr>
            <w:tcW w:w="1481" w:type="dxa"/>
            <w:shd w:val="clear" w:color="auto" w:fill="auto"/>
          </w:tcPr>
          <w:p w14:paraId="76845CDF" w14:textId="77777777" w:rsidR="00A509F7" w:rsidRPr="00461C16" w:rsidRDefault="00A509F7" w:rsidP="003F68C9">
            <w:pPr>
              <w:spacing w:before="40" w:after="40" w:line="240" w:lineRule="auto"/>
              <w:jc w:val="left"/>
              <w:rPr>
                <w:sz w:val="20"/>
                <w:szCs w:val="20"/>
              </w:rPr>
            </w:pPr>
            <w:r w:rsidRPr="00461C16">
              <w:rPr>
                <w:sz w:val="20"/>
                <w:szCs w:val="20"/>
              </w:rPr>
              <w:lastRenderedPageBreak/>
              <w:t>44</w:t>
            </w:r>
          </w:p>
        </w:tc>
        <w:tc>
          <w:tcPr>
            <w:tcW w:w="1258" w:type="dxa"/>
          </w:tcPr>
          <w:p w14:paraId="4EEBD9D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910C647" w14:textId="77777777" w:rsidR="00A509F7" w:rsidRPr="00461C16" w:rsidRDefault="00A509F7" w:rsidP="003F68C9">
            <w:pPr>
              <w:spacing w:before="40" w:after="40" w:line="240" w:lineRule="auto"/>
              <w:jc w:val="left"/>
              <w:rPr>
                <w:sz w:val="20"/>
                <w:szCs w:val="20"/>
              </w:rPr>
            </w:pPr>
            <w:r w:rsidRPr="00461C16">
              <w:rPr>
                <w:sz w:val="20"/>
                <w:szCs w:val="20"/>
              </w:rPr>
              <w:t>plocha rekreace – zahrádkářské osady</w:t>
            </w:r>
          </w:p>
        </w:tc>
        <w:tc>
          <w:tcPr>
            <w:tcW w:w="2259" w:type="dxa"/>
            <w:shd w:val="clear" w:color="auto" w:fill="auto"/>
          </w:tcPr>
          <w:p w14:paraId="23935BF9"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673C328D"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560C89A3" w14:textId="77777777" w:rsidTr="0066453E">
        <w:trPr>
          <w:cantSplit/>
        </w:trPr>
        <w:tc>
          <w:tcPr>
            <w:tcW w:w="1481" w:type="dxa"/>
            <w:shd w:val="clear" w:color="auto" w:fill="auto"/>
          </w:tcPr>
          <w:p w14:paraId="515D6B63" w14:textId="77777777" w:rsidR="00A509F7" w:rsidRPr="00461C16" w:rsidRDefault="00A509F7" w:rsidP="003F68C9">
            <w:pPr>
              <w:spacing w:before="40" w:after="40" w:line="240" w:lineRule="auto"/>
              <w:jc w:val="left"/>
              <w:rPr>
                <w:sz w:val="20"/>
                <w:szCs w:val="20"/>
              </w:rPr>
            </w:pPr>
            <w:r w:rsidRPr="00461C16">
              <w:rPr>
                <w:sz w:val="20"/>
                <w:szCs w:val="20"/>
              </w:rPr>
              <w:t>45</w:t>
            </w:r>
          </w:p>
        </w:tc>
        <w:tc>
          <w:tcPr>
            <w:tcW w:w="1258" w:type="dxa"/>
          </w:tcPr>
          <w:p w14:paraId="07ED87D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E80F289" w14:textId="77777777" w:rsidR="00A509F7" w:rsidRPr="00461C16" w:rsidRDefault="00A509F7" w:rsidP="003F68C9">
            <w:pPr>
              <w:spacing w:before="40" w:after="40" w:line="240" w:lineRule="auto"/>
              <w:jc w:val="left"/>
              <w:rPr>
                <w:sz w:val="20"/>
                <w:szCs w:val="20"/>
              </w:rPr>
            </w:pPr>
            <w:r w:rsidRPr="00461C16">
              <w:rPr>
                <w:sz w:val="20"/>
                <w:szCs w:val="20"/>
              </w:rPr>
              <w:t>plocha rekreace – zahrádkářské osady</w:t>
            </w:r>
          </w:p>
        </w:tc>
        <w:tc>
          <w:tcPr>
            <w:tcW w:w="2259" w:type="dxa"/>
            <w:shd w:val="clear" w:color="auto" w:fill="auto"/>
          </w:tcPr>
          <w:p w14:paraId="73E54AC8"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3E72D2C4"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6560B1C8" w14:textId="77777777" w:rsidTr="0066453E">
        <w:trPr>
          <w:cantSplit/>
        </w:trPr>
        <w:tc>
          <w:tcPr>
            <w:tcW w:w="1481" w:type="dxa"/>
            <w:shd w:val="clear" w:color="auto" w:fill="auto"/>
          </w:tcPr>
          <w:p w14:paraId="3A09034A" w14:textId="77777777" w:rsidR="00A509F7" w:rsidRPr="00461C16" w:rsidRDefault="00A509F7" w:rsidP="003F68C9">
            <w:pPr>
              <w:spacing w:before="40" w:after="40" w:line="240" w:lineRule="auto"/>
              <w:jc w:val="left"/>
              <w:rPr>
                <w:sz w:val="20"/>
                <w:szCs w:val="20"/>
              </w:rPr>
            </w:pPr>
            <w:r w:rsidRPr="00461C16">
              <w:rPr>
                <w:sz w:val="20"/>
                <w:szCs w:val="20"/>
              </w:rPr>
              <w:t>46</w:t>
            </w:r>
          </w:p>
        </w:tc>
        <w:tc>
          <w:tcPr>
            <w:tcW w:w="1258" w:type="dxa"/>
          </w:tcPr>
          <w:p w14:paraId="06CFF5E5"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318F4A8"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1F6EC027" w14:textId="77777777" w:rsidR="00A509F7" w:rsidRPr="006863D3" w:rsidRDefault="00A509F7" w:rsidP="003F68C9">
            <w:pPr>
              <w:pStyle w:val="Intabulka"/>
              <w:rPr>
                <w:rFonts w:ascii="Arial Narrow" w:hAnsi="Arial Narrow"/>
                <w:lang w:val="cs-CZ"/>
              </w:rPr>
            </w:pPr>
            <w:r w:rsidRPr="00461C16">
              <w:rPr>
                <w:rFonts w:ascii="Arial Narrow" w:hAnsi="Arial Narrow"/>
              </w:rPr>
              <w:t xml:space="preserve">Převzato, vymezeno jako plochy změn </w:t>
            </w:r>
            <w:r w:rsidR="00A64C88" w:rsidRPr="00461C16">
              <w:rPr>
                <w:rFonts w:ascii="Arial Narrow" w:hAnsi="Arial Narrow"/>
              </w:rPr>
              <w:t>Z</w:t>
            </w:r>
            <w:r w:rsidR="00A64C88">
              <w:rPr>
                <w:rFonts w:ascii="Arial Narrow" w:hAnsi="Arial Narrow"/>
                <w:lang w:val="cs-CZ"/>
              </w:rPr>
              <w:t>54</w:t>
            </w:r>
            <w:r w:rsidR="00A64C88" w:rsidRPr="00461C16">
              <w:rPr>
                <w:rFonts w:ascii="Arial Narrow" w:hAnsi="Arial Narrow"/>
              </w:rPr>
              <w:t xml:space="preserve"> </w:t>
            </w:r>
            <w:r w:rsidRPr="00461C16">
              <w:rPr>
                <w:rFonts w:ascii="Arial Narrow" w:hAnsi="Arial Narrow"/>
              </w:rPr>
              <w:t>a Z55</w:t>
            </w:r>
            <w:r w:rsidR="006863D3">
              <w:rPr>
                <w:rFonts w:ascii="Arial Narrow" w:hAnsi="Arial Narrow"/>
                <w:lang w:val="cs-CZ"/>
              </w:rPr>
              <w:t>, zčásti realizováno</w:t>
            </w:r>
          </w:p>
        </w:tc>
        <w:tc>
          <w:tcPr>
            <w:tcW w:w="2660" w:type="dxa"/>
            <w:shd w:val="clear" w:color="auto" w:fill="auto"/>
          </w:tcPr>
          <w:p w14:paraId="76CE5A0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753B7A" w:rsidRPr="00461C16" w14:paraId="5E428410" w14:textId="77777777" w:rsidTr="0066453E">
        <w:trPr>
          <w:cantSplit/>
        </w:trPr>
        <w:tc>
          <w:tcPr>
            <w:tcW w:w="1481" w:type="dxa"/>
            <w:shd w:val="clear" w:color="auto" w:fill="auto"/>
          </w:tcPr>
          <w:p w14:paraId="49912D95" w14:textId="77777777" w:rsidR="00753B7A" w:rsidRPr="00461C16" w:rsidRDefault="00753B7A" w:rsidP="003F68C9">
            <w:pPr>
              <w:spacing w:before="40" w:after="40" w:line="240" w:lineRule="auto"/>
              <w:jc w:val="left"/>
              <w:rPr>
                <w:sz w:val="20"/>
                <w:szCs w:val="20"/>
              </w:rPr>
            </w:pPr>
            <w:r w:rsidRPr="00461C16">
              <w:rPr>
                <w:sz w:val="20"/>
                <w:szCs w:val="20"/>
              </w:rPr>
              <w:t>47</w:t>
            </w:r>
          </w:p>
        </w:tc>
        <w:tc>
          <w:tcPr>
            <w:tcW w:w="1258" w:type="dxa"/>
          </w:tcPr>
          <w:p w14:paraId="618E847E" w14:textId="77777777" w:rsidR="00753B7A" w:rsidRPr="00461C16" w:rsidRDefault="00753B7A"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37DCE09" w14:textId="77777777" w:rsidR="00753B7A" w:rsidRPr="00461C16" w:rsidRDefault="00753B7A"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7C55F733" w14:textId="77777777" w:rsidR="00753B7A" w:rsidRPr="00461C16" w:rsidRDefault="00753B7A" w:rsidP="003F68C9">
            <w:pPr>
              <w:pStyle w:val="Intabulka"/>
              <w:rPr>
                <w:rFonts w:ascii="Arial Narrow" w:hAnsi="Arial Narrow"/>
                <w:lang w:val="cs-CZ"/>
              </w:rPr>
            </w:pPr>
            <w:r w:rsidRPr="00461C16">
              <w:rPr>
                <w:rFonts w:ascii="Arial Narrow" w:hAnsi="Arial Narrow"/>
                <w:lang w:val="cs-CZ"/>
              </w:rPr>
              <w:t>Nepřevzato, jiné trasování komunikace</w:t>
            </w:r>
          </w:p>
        </w:tc>
        <w:tc>
          <w:tcPr>
            <w:tcW w:w="2660" w:type="dxa"/>
            <w:shd w:val="clear" w:color="auto" w:fill="auto"/>
          </w:tcPr>
          <w:p w14:paraId="08F947C2" w14:textId="77777777" w:rsidR="00753B7A" w:rsidRPr="00461C16" w:rsidRDefault="00753B7A" w:rsidP="003F68C9">
            <w:pPr>
              <w:pStyle w:val="Intabulka"/>
              <w:rPr>
                <w:rFonts w:ascii="Arial Narrow" w:hAnsi="Arial Narrow"/>
                <w:lang w:val="cs-CZ"/>
              </w:rPr>
            </w:pPr>
            <w:r w:rsidRPr="00461C16">
              <w:rPr>
                <w:rFonts w:ascii="Arial Narrow" w:hAnsi="Arial Narrow"/>
                <w:lang w:val="cs-CZ"/>
              </w:rPr>
              <w:t>Chybějící podklad pro vymezení záměru, možnost realizace nezbytné dopravní infrastruktury i v plochách SM</w:t>
            </w:r>
          </w:p>
        </w:tc>
      </w:tr>
      <w:tr w:rsidR="00A509F7" w:rsidRPr="00461C16" w14:paraId="02EC5583" w14:textId="77777777" w:rsidTr="0066453E">
        <w:trPr>
          <w:cantSplit/>
        </w:trPr>
        <w:tc>
          <w:tcPr>
            <w:tcW w:w="1481" w:type="dxa"/>
            <w:shd w:val="clear" w:color="auto" w:fill="auto"/>
          </w:tcPr>
          <w:p w14:paraId="38D1488F" w14:textId="77777777" w:rsidR="00A509F7" w:rsidRPr="00461C16" w:rsidRDefault="00A509F7" w:rsidP="003F68C9">
            <w:pPr>
              <w:spacing w:before="40" w:after="40" w:line="240" w:lineRule="auto"/>
              <w:jc w:val="left"/>
              <w:rPr>
                <w:sz w:val="20"/>
                <w:szCs w:val="20"/>
              </w:rPr>
            </w:pPr>
            <w:r w:rsidRPr="00461C16">
              <w:rPr>
                <w:sz w:val="20"/>
                <w:szCs w:val="20"/>
              </w:rPr>
              <w:t>50</w:t>
            </w:r>
          </w:p>
        </w:tc>
        <w:tc>
          <w:tcPr>
            <w:tcW w:w="1258" w:type="dxa"/>
          </w:tcPr>
          <w:p w14:paraId="4FD95B42"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08ECD7D" w14:textId="77777777" w:rsidR="00A509F7" w:rsidRPr="00461C16" w:rsidRDefault="00A509F7" w:rsidP="003F68C9">
            <w:pPr>
              <w:spacing w:before="40" w:after="40" w:line="240" w:lineRule="auto"/>
              <w:jc w:val="left"/>
              <w:rPr>
                <w:sz w:val="20"/>
                <w:szCs w:val="20"/>
              </w:rPr>
            </w:pPr>
            <w:r w:rsidRPr="00461C16">
              <w:rPr>
                <w:sz w:val="20"/>
                <w:szCs w:val="20"/>
              </w:rPr>
              <w:t>plocha dopravní vybavenosti</w:t>
            </w:r>
            <w:r w:rsidR="00B15AFB">
              <w:rPr>
                <w:sz w:val="20"/>
                <w:szCs w:val="20"/>
              </w:rPr>
              <w:t xml:space="preserve">, </w:t>
            </w:r>
            <w:r w:rsidR="00B15AFB" w:rsidRPr="00461C16">
              <w:rPr>
                <w:sz w:val="20"/>
                <w:szCs w:val="20"/>
              </w:rPr>
              <w:t>plocha občanské vybavenosti a nevýrobních služeb</w:t>
            </w:r>
          </w:p>
        </w:tc>
        <w:tc>
          <w:tcPr>
            <w:tcW w:w="2259" w:type="dxa"/>
            <w:shd w:val="clear" w:color="auto" w:fill="auto"/>
          </w:tcPr>
          <w:p w14:paraId="616E1E6F" w14:textId="77777777" w:rsidR="00A509F7" w:rsidRPr="009C0C3C" w:rsidRDefault="009C0C3C" w:rsidP="003F68C9">
            <w:pPr>
              <w:pStyle w:val="Intabulka"/>
              <w:rPr>
                <w:rFonts w:ascii="Arial Narrow" w:hAnsi="Arial Narrow"/>
                <w:lang w:val="cs-CZ"/>
              </w:rPr>
            </w:pPr>
            <w:r>
              <w:rPr>
                <w:rFonts w:ascii="Arial Narrow" w:hAnsi="Arial Narrow"/>
                <w:lang w:val="cs-CZ"/>
              </w:rPr>
              <w:t>P</w:t>
            </w:r>
            <w:r w:rsidRPr="00461C16">
              <w:rPr>
                <w:rFonts w:ascii="Arial Narrow" w:hAnsi="Arial Narrow"/>
              </w:rPr>
              <w:t xml:space="preserve">řevzato </w:t>
            </w:r>
            <w:r>
              <w:rPr>
                <w:rFonts w:ascii="Arial Narrow" w:hAnsi="Arial Narrow"/>
                <w:lang w:val="cs-CZ"/>
              </w:rPr>
              <w:t>zčásti jako ploch</w:t>
            </w:r>
            <w:r w:rsidR="00B15AFB">
              <w:rPr>
                <w:rFonts w:ascii="Arial Narrow" w:hAnsi="Arial Narrow"/>
                <w:lang w:val="cs-CZ"/>
              </w:rPr>
              <w:t>y</w:t>
            </w:r>
            <w:r>
              <w:rPr>
                <w:rFonts w:ascii="Arial Narrow" w:hAnsi="Arial Narrow"/>
                <w:lang w:val="cs-CZ"/>
              </w:rPr>
              <w:t xml:space="preserve"> PX</w:t>
            </w:r>
            <w:r w:rsidR="00B15AFB">
              <w:rPr>
                <w:rFonts w:ascii="Arial Narrow" w:hAnsi="Arial Narrow"/>
                <w:lang w:val="cs-CZ"/>
              </w:rPr>
              <w:t xml:space="preserve"> a OM</w:t>
            </w:r>
          </w:p>
        </w:tc>
        <w:tc>
          <w:tcPr>
            <w:tcW w:w="2660" w:type="dxa"/>
            <w:shd w:val="clear" w:color="auto" w:fill="auto"/>
          </w:tcPr>
          <w:p w14:paraId="589262FC" w14:textId="77777777" w:rsidR="00A509F7" w:rsidRPr="00461C16" w:rsidRDefault="009C0C3C" w:rsidP="003F68C9">
            <w:pPr>
              <w:pStyle w:val="Intabulka"/>
              <w:rPr>
                <w:rFonts w:ascii="Arial Narrow" w:hAnsi="Arial Narrow"/>
                <w:lang w:val="cs-CZ"/>
              </w:rPr>
            </w:pPr>
            <w:r>
              <w:rPr>
                <w:rFonts w:ascii="Arial Narrow" w:hAnsi="Arial Narrow"/>
                <w:lang w:val="cs-CZ"/>
              </w:rPr>
              <w:t>potvrzení skutečného stavu</w:t>
            </w:r>
          </w:p>
        </w:tc>
      </w:tr>
      <w:tr w:rsidR="00A509F7" w:rsidRPr="00461C16" w14:paraId="35B43725" w14:textId="77777777" w:rsidTr="0066453E">
        <w:trPr>
          <w:cantSplit/>
        </w:trPr>
        <w:tc>
          <w:tcPr>
            <w:tcW w:w="1481" w:type="dxa"/>
            <w:shd w:val="clear" w:color="auto" w:fill="auto"/>
          </w:tcPr>
          <w:p w14:paraId="3F992EA6" w14:textId="77777777" w:rsidR="00A509F7" w:rsidRPr="00461C16" w:rsidRDefault="00A509F7" w:rsidP="003F68C9">
            <w:pPr>
              <w:spacing w:before="40" w:after="40" w:line="240" w:lineRule="auto"/>
              <w:jc w:val="left"/>
              <w:rPr>
                <w:sz w:val="20"/>
                <w:szCs w:val="20"/>
              </w:rPr>
            </w:pPr>
            <w:r w:rsidRPr="00461C16">
              <w:rPr>
                <w:sz w:val="20"/>
                <w:szCs w:val="20"/>
              </w:rPr>
              <w:t>51</w:t>
            </w:r>
          </w:p>
        </w:tc>
        <w:tc>
          <w:tcPr>
            <w:tcW w:w="1258" w:type="dxa"/>
          </w:tcPr>
          <w:p w14:paraId="729F68A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87EB10C"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5F5B063B" w14:textId="77777777" w:rsidR="00A509F7" w:rsidRPr="00461C16" w:rsidRDefault="00A509F7" w:rsidP="003F68C9">
            <w:pPr>
              <w:pStyle w:val="Intabulka"/>
              <w:rPr>
                <w:rFonts w:ascii="Arial Narrow" w:hAnsi="Arial Narrow"/>
              </w:rPr>
            </w:pPr>
            <w:r w:rsidRPr="00461C16">
              <w:rPr>
                <w:rFonts w:ascii="Arial Narrow" w:hAnsi="Arial Narrow"/>
              </w:rPr>
              <w:t>Převzato</w:t>
            </w:r>
            <w:r w:rsidRPr="00461C16">
              <w:rPr>
                <w:rFonts w:ascii="Arial Narrow" w:hAnsi="Arial Narrow"/>
                <w:lang w:val="cs-CZ"/>
              </w:rPr>
              <w:t xml:space="preserve"> z větší části</w:t>
            </w:r>
            <w:r w:rsidRPr="00461C16">
              <w:rPr>
                <w:rFonts w:ascii="Arial Narrow" w:hAnsi="Arial Narrow"/>
              </w:rPr>
              <w:t>, vymezeno jako SM</w:t>
            </w:r>
          </w:p>
        </w:tc>
        <w:tc>
          <w:tcPr>
            <w:tcW w:w="2660" w:type="dxa"/>
            <w:shd w:val="clear" w:color="auto" w:fill="auto"/>
          </w:tcPr>
          <w:p w14:paraId="420ADC5A" w14:textId="77777777" w:rsidR="00A509F7" w:rsidRPr="00461C16" w:rsidRDefault="006A565E" w:rsidP="003F68C9">
            <w:pPr>
              <w:pStyle w:val="Intabulka"/>
              <w:rPr>
                <w:rFonts w:ascii="Arial Narrow" w:hAnsi="Arial Narrow"/>
                <w:lang w:val="cs-CZ"/>
              </w:rPr>
            </w:pPr>
            <w:r>
              <w:rPr>
                <w:rFonts w:ascii="Arial Narrow" w:hAnsi="Arial Narrow"/>
                <w:lang w:val="cs-CZ"/>
              </w:rPr>
              <w:t>zčásti realizováno</w:t>
            </w:r>
            <w:r w:rsidR="00A509F7" w:rsidRPr="00461C16">
              <w:rPr>
                <w:rFonts w:ascii="Arial Narrow" w:hAnsi="Arial Narrow"/>
                <w:lang w:val="cs-CZ"/>
              </w:rPr>
              <w:t>, ochrana před hlukem z dráhy</w:t>
            </w:r>
          </w:p>
        </w:tc>
      </w:tr>
      <w:tr w:rsidR="00A509F7" w:rsidRPr="00461C16" w14:paraId="0957C04D" w14:textId="77777777" w:rsidTr="0066453E">
        <w:trPr>
          <w:cantSplit/>
        </w:trPr>
        <w:tc>
          <w:tcPr>
            <w:tcW w:w="1481" w:type="dxa"/>
            <w:shd w:val="clear" w:color="auto" w:fill="auto"/>
          </w:tcPr>
          <w:p w14:paraId="5DB46719" w14:textId="77777777" w:rsidR="00A509F7" w:rsidRPr="00461C16" w:rsidRDefault="00A509F7" w:rsidP="003F68C9">
            <w:pPr>
              <w:spacing w:before="40" w:after="40" w:line="240" w:lineRule="auto"/>
              <w:jc w:val="left"/>
              <w:rPr>
                <w:sz w:val="20"/>
                <w:szCs w:val="20"/>
              </w:rPr>
            </w:pPr>
            <w:r w:rsidRPr="00461C16">
              <w:rPr>
                <w:sz w:val="20"/>
                <w:szCs w:val="20"/>
              </w:rPr>
              <w:t>52</w:t>
            </w:r>
          </w:p>
        </w:tc>
        <w:tc>
          <w:tcPr>
            <w:tcW w:w="1258" w:type="dxa"/>
          </w:tcPr>
          <w:p w14:paraId="6CE4100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0448F176"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7D63DF74"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NS</w:t>
            </w:r>
          </w:p>
        </w:tc>
        <w:tc>
          <w:tcPr>
            <w:tcW w:w="2660" w:type="dxa"/>
            <w:shd w:val="clear" w:color="auto" w:fill="auto"/>
          </w:tcPr>
          <w:p w14:paraId="7B80700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nepříznivá morfologie, omezení hlukem z dráhy</w:t>
            </w:r>
          </w:p>
        </w:tc>
      </w:tr>
      <w:tr w:rsidR="00D0684B" w:rsidRPr="00461C16" w14:paraId="0B1000D9" w14:textId="77777777" w:rsidTr="0066453E">
        <w:trPr>
          <w:cantSplit/>
        </w:trPr>
        <w:tc>
          <w:tcPr>
            <w:tcW w:w="1481" w:type="dxa"/>
            <w:shd w:val="clear" w:color="auto" w:fill="auto"/>
          </w:tcPr>
          <w:p w14:paraId="0678FD27" w14:textId="77777777" w:rsidR="00D0684B" w:rsidRPr="00461C16" w:rsidRDefault="00D0684B" w:rsidP="003F68C9">
            <w:pPr>
              <w:spacing w:before="40" w:after="40" w:line="240" w:lineRule="auto"/>
              <w:jc w:val="left"/>
              <w:rPr>
                <w:sz w:val="20"/>
                <w:szCs w:val="20"/>
              </w:rPr>
            </w:pPr>
            <w:r w:rsidRPr="00461C16">
              <w:rPr>
                <w:sz w:val="20"/>
                <w:szCs w:val="20"/>
              </w:rPr>
              <w:t>53</w:t>
            </w:r>
          </w:p>
        </w:tc>
        <w:tc>
          <w:tcPr>
            <w:tcW w:w="1258" w:type="dxa"/>
          </w:tcPr>
          <w:p w14:paraId="6A9476F7" w14:textId="77777777" w:rsidR="00D0684B" w:rsidRPr="00461C16" w:rsidRDefault="00D0684B"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CA4CB9A" w14:textId="77777777" w:rsidR="00D0684B" w:rsidRPr="00461C16" w:rsidRDefault="00D0684B"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3923C609" w14:textId="77777777" w:rsidR="00D0684B" w:rsidRPr="006863D3" w:rsidRDefault="00D0684B" w:rsidP="003F68C9">
            <w:pPr>
              <w:pStyle w:val="Intabulka"/>
              <w:rPr>
                <w:rFonts w:ascii="Arial Narrow" w:hAnsi="Arial Narrow"/>
                <w:lang w:val="cs-CZ"/>
              </w:rPr>
            </w:pPr>
            <w:r w:rsidRPr="00461C16">
              <w:rPr>
                <w:rFonts w:ascii="Arial Narrow" w:hAnsi="Arial Narrow"/>
              </w:rPr>
              <w:t>Nepřevzato, vymezeno jako NS</w:t>
            </w:r>
          </w:p>
        </w:tc>
        <w:tc>
          <w:tcPr>
            <w:tcW w:w="2660" w:type="dxa"/>
            <w:shd w:val="clear" w:color="auto" w:fill="auto"/>
          </w:tcPr>
          <w:p w14:paraId="2C71211C" w14:textId="77777777" w:rsidR="00D0684B" w:rsidRPr="00461C16" w:rsidRDefault="00D0684B" w:rsidP="003F68C9">
            <w:pPr>
              <w:pStyle w:val="Intabulka"/>
              <w:rPr>
                <w:rFonts w:ascii="Arial Narrow" w:hAnsi="Arial Narrow"/>
                <w:lang w:val="cs-CZ"/>
              </w:rPr>
            </w:pPr>
            <w:r w:rsidRPr="00461C16">
              <w:rPr>
                <w:rFonts w:ascii="Arial Narrow" w:hAnsi="Arial Narrow"/>
                <w:lang w:val="cs-CZ"/>
              </w:rPr>
              <w:t>nepříznivá morfologie, omezení hlukem z dráhy</w:t>
            </w:r>
          </w:p>
        </w:tc>
      </w:tr>
      <w:tr w:rsidR="00A509F7" w:rsidRPr="00461C16" w14:paraId="726F88B3" w14:textId="77777777" w:rsidTr="0066453E">
        <w:trPr>
          <w:cantSplit/>
        </w:trPr>
        <w:tc>
          <w:tcPr>
            <w:tcW w:w="1481" w:type="dxa"/>
            <w:shd w:val="clear" w:color="auto" w:fill="auto"/>
          </w:tcPr>
          <w:p w14:paraId="7FFD37DB" w14:textId="77777777" w:rsidR="00A509F7" w:rsidRPr="00461C16" w:rsidRDefault="00A509F7" w:rsidP="003F68C9">
            <w:pPr>
              <w:spacing w:before="40" w:after="40" w:line="240" w:lineRule="auto"/>
              <w:jc w:val="left"/>
              <w:rPr>
                <w:sz w:val="20"/>
                <w:szCs w:val="20"/>
              </w:rPr>
            </w:pPr>
            <w:r w:rsidRPr="00461C16">
              <w:rPr>
                <w:sz w:val="20"/>
                <w:szCs w:val="20"/>
              </w:rPr>
              <w:t>54</w:t>
            </w:r>
          </w:p>
        </w:tc>
        <w:tc>
          <w:tcPr>
            <w:tcW w:w="1258" w:type="dxa"/>
          </w:tcPr>
          <w:p w14:paraId="3054C12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E829A8F"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33702BED" w14:textId="77777777" w:rsidR="00A509F7" w:rsidRPr="00461C16" w:rsidRDefault="00A509F7" w:rsidP="003F68C9">
            <w:pPr>
              <w:pStyle w:val="Intabulka"/>
              <w:rPr>
                <w:rFonts w:ascii="Arial Narrow" w:hAnsi="Arial Narrow"/>
                <w:lang w:val="cs-CZ"/>
              </w:rPr>
            </w:pPr>
            <w:r w:rsidRPr="00461C16">
              <w:rPr>
                <w:rFonts w:ascii="Arial Narrow" w:hAnsi="Arial Narrow"/>
              </w:rPr>
              <w:t xml:space="preserve">Nepřevzato, </w:t>
            </w:r>
            <w:r w:rsidRPr="00461C16">
              <w:rPr>
                <w:rFonts w:ascii="Arial Narrow" w:hAnsi="Arial Narrow"/>
                <w:lang w:val="cs-CZ"/>
              </w:rPr>
              <w:t>zahrnuto do ploch</w:t>
            </w:r>
            <w:r w:rsidRPr="00461C16">
              <w:rPr>
                <w:rFonts w:ascii="Arial Narrow" w:hAnsi="Arial Narrow"/>
              </w:rPr>
              <w:t xml:space="preserve"> SM</w:t>
            </w:r>
            <w:r w:rsidRPr="00461C16">
              <w:rPr>
                <w:rFonts w:ascii="Arial Narrow" w:hAnsi="Arial Narrow"/>
                <w:lang w:val="cs-CZ"/>
              </w:rPr>
              <w:t xml:space="preserve"> </w:t>
            </w:r>
          </w:p>
        </w:tc>
        <w:tc>
          <w:tcPr>
            <w:tcW w:w="2660" w:type="dxa"/>
            <w:shd w:val="clear" w:color="auto" w:fill="auto"/>
          </w:tcPr>
          <w:p w14:paraId="715203FA"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nejasnost záměru, možnost realizace nezbytných ploch a zařízení dopravní infrastruktury i v plochách SM</w:t>
            </w:r>
          </w:p>
        </w:tc>
      </w:tr>
      <w:tr w:rsidR="00A509F7" w:rsidRPr="00461C16" w14:paraId="711A533B" w14:textId="77777777" w:rsidTr="0066453E">
        <w:trPr>
          <w:cantSplit/>
        </w:trPr>
        <w:tc>
          <w:tcPr>
            <w:tcW w:w="1481" w:type="dxa"/>
            <w:shd w:val="clear" w:color="auto" w:fill="auto"/>
          </w:tcPr>
          <w:p w14:paraId="3BDC3709" w14:textId="77777777" w:rsidR="00A509F7" w:rsidRPr="00461C16" w:rsidRDefault="00A509F7" w:rsidP="003F68C9">
            <w:pPr>
              <w:spacing w:before="40" w:after="40" w:line="240" w:lineRule="auto"/>
              <w:jc w:val="left"/>
              <w:rPr>
                <w:sz w:val="20"/>
                <w:szCs w:val="20"/>
              </w:rPr>
            </w:pPr>
            <w:r w:rsidRPr="00461C16">
              <w:rPr>
                <w:sz w:val="20"/>
                <w:szCs w:val="20"/>
              </w:rPr>
              <w:t>55</w:t>
            </w:r>
          </w:p>
        </w:tc>
        <w:tc>
          <w:tcPr>
            <w:tcW w:w="1258" w:type="dxa"/>
          </w:tcPr>
          <w:p w14:paraId="0A381F6D"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61A5332"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5AF65A49"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Nepřevzato, jiné trasování komunikace</w:t>
            </w:r>
          </w:p>
        </w:tc>
        <w:tc>
          <w:tcPr>
            <w:tcW w:w="2660" w:type="dxa"/>
            <w:shd w:val="clear" w:color="auto" w:fill="auto"/>
          </w:tcPr>
          <w:p w14:paraId="37F29A6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Chybějící podklad pro vymezení záměru, možnost realizace nezbytné dopravní infrastruktury i v plochách SM</w:t>
            </w:r>
          </w:p>
        </w:tc>
      </w:tr>
      <w:tr w:rsidR="00A509F7" w:rsidRPr="00461C16" w14:paraId="500451DB" w14:textId="77777777" w:rsidTr="0066453E">
        <w:trPr>
          <w:cantSplit/>
        </w:trPr>
        <w:tc>
          <w:tcPr>
            <w:tcW w:w="1481" w:type="dxa"/>
            <w:shd w:val="clear" w:color="auto" w:fill="auto"/>
          </w:tcPr>
          <w:p w14:paraId="19F7FB44" w14:textId="77777777" w:rsidR="00A509F7" w:rsidRPr="00461C16" w:rsidRDefault="00A509F7" w:rsidP="003F68C9">
            <w:pPr>
              <w:spacing w:before="40" w:after="40" w:line="240" w:lineRule="auto"/>
              <w:jc w:val="left"/>
              <w:rPr>
                <w:sz w:val="20"/>
                <w:szCs w:val="20"/>
              </w:rPr>
            </w:pPr>
            <w:r w:rsidRPr="00461C16">
              <w:rPr>
                <w:sz w:val="20"/>
                <w:szCs w:val="20"/>
              </w:rPr>
              <w:t>56</w:t>
            </w:r>
          </w:p>
        </w:tc>
        <w:tc>
          <w:tcPr>
            <w:tcW w:w="1258" w:type="dxa"/>
          </w:tcPr>
          <w:p w14:paraId="596F2ADB"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18CBF485" w14:textId="77777777" w:rsidR="00A509F7" w:rsidRPr="00461C16" w:rsidRDefault="00A509F7"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6370477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P</w:t>
            </w:r>
            <w:r w:rsidRPr="00461C16">
              <w:rPr>
                <w:rFonts w:ascii="Arial Narrow" w:hAnsi="Arial Narrow"/>
              </w:rPr>
              <w:t>řevzato, vymezeno jako plocha přestavby P28 -</w:t>
            </w:r>
            <w:r w:rsidR="00B345B4" w:rsidRPr="00461C16">
              <w:rPr>
                <w:rFonts w:ascii="Arial Narrow" w:hAnsi="Arial Narrow"/>
              </w:rPr>
              <w:t xml:space="preserve"> </w:t>
            </w:r>
            <w:r w:rsidRPr="00461C16">
              <w:rPr>
                <w:rFonts w:ascii="Arial Narrow" w:hAnsi="Arial Narrow"/>
              </w:rPr>
              <w:t>SM</w:t>
            </w:r>
            <w:r w:rsidRPr="00461C16">
              <w:rPr>
                <w:rFonts w:ascii="Arial Narrow" w:hAnsi="Arial Narrow"/>
                <w:lang w:val="cs-CZ"/>
              </w:rPr>
              <w:t>, s možností umisťování občanského vybavení a služeb</w:t>
            </w:r>
          </w:p>
        </w:tc>
        <w:tc>
          <w:tcPr>
            <w:tcW w:w="2660" w:type="dxa"/>
            <w:shd w:val="clear" w:color="auto" w:fill="auto"/>
          </w:tcPr>
          <w:p w14:paraId="65718B92"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2318B0A6" w14:textId="77777777" w:rsidTr="0066453E">
        <w:trPr>
          <w:cantSplit/>
        </w:trPr>
        <w:tc>
          <w:tcPr>
            <w:tcW w:w="1481" w:type="dxa"/>
            <w:shd w:val="clear" w:color="auto" w:fill="auto"/>
          </w:tcPr>
          <w:p w14:paraId="50C51506" w14:textId="77777777" w:rsidR="00A509F7" w:rsidRPr="00461C16" w:rsidRDefault="00A509F7" w:rsidP="003F68C9">
            <w:pPr>
              <w:spacing w:before="40" w:after="40" w:line="240" w:lineRule="auto"/>
              <w:jc w:val="left"/>
              <w:rPr>
                <w:sz w:val="20"/>
                <w:szCs w:val="20"/>
              </w:rPr>
            </w:pPr>
            <w:r w:rsidRPr="00461C16">
              <w:rPr>
                <w:sz w:val="20"/>
                <w:szCs w:val="20"/>
              </w:rPr>
              <w:t>57 (několik dílčích ploch)</w:t>
            </w:r>
          </w:p>
        </w:tc>
        <w:tc>
          <w:tcPr>
            <w:tcW w:w="1258" w:type="dxa"/>
          </w:tcPr>
          <w:p w14:paraId="33C4788C"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135165E2"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r w:rsidR="009D14CC">
              <w:rPr>
                <w:sz w:val="20"/>
                <w:szCs w:val="20"/>
              </w:rPr>
              <w:t xml:space="preserve">, </w:t>
            </w:r>
            <w:r w:rsidR="009D14CC" w:rsidRPr="00461C16">
              <w:rPr>
                <w:sz w:val="20"/>
                <w:szCs w:val="20"/>
              </w:rPr>
              <w:t>plocha obytné zástavby nízkopodlažní městské</w:t>
            </w:r>
          </w:p>
        </w:tc>
        <w:tc>
          <w:tcPr>
            <w:tcW w:w="2259" w:type="dxa"/>
            <w:shd w:val="clear" w:color="auto" w:fill="auto"/>
          </w:tcPr>
          <w:p w14:paraId="34BE4C78" w14:textId="77777777" w:rsidR="00A509F7" w:rsidRPr="00461C16" w:rsidRDefault="009D14CC" w:rsidP="003F68C9">
            <w:pPr>
              <w:pStyle w:val="Intabulka"/>
              <w:rPr>
                <w:rFonts w:ascii="Arial Narrow" w:hAnsi="Arial Narrow"/>
                <w:lang w:val="cs-CZ"/>
              </w:rPr>
            </w:pPr>
            <w:r>
              <w:rPr>
                <w:rFonts w:ascii="Arial Narrow" w:hAnsi="Arial Narrow"/>
                <w:lang w:val="cs-CZ"/>
              </w:rPr>
              <w:t>P</w:t>
            </w:r>
            <w:r w:rsidRPr="00461C16">
              <w:rPr>
                <w:rFonts w:ascii="Arial Narrow" w:hAnsi="Arial Narrow"/>
                <w:lang w:val="cs-CZ"/>
              </w:rPr>
              <w:t>řevzato</w:t>
            </w:r>
            <w:r w:rsidR="00A509F7" w:rsidRPr="00461C16">
              <w:rPr>
                <w:rFonts w:ascii="Arial Narrow" w:hAnsi="Arial Narrow"/>
                <w:lang w:val="cs-CZ"/>
              </w:rPr>
              <w:t xml:space="preserve"> </w:t>
            </w:r>
            <w:r>
              <w:rPr>
                <w:rFonts w:ascii="Arial Narrow" w:hAnsi="Arial Narrow"/>
                <w:lang w:val="cs-CZ"/>
              </w:rPr>
              <w:t>zčásti</w:t>
            </w:r>
            <w:r w:rsidRPr="00461C16">
              <w:rPr>
                <w:rFonts w:ascii="Arial Narrow" w:hAnsi="Arial Narrow"/>
              </w:rPr>
              <w:t xml:space="preserve"> </w:t>
            </w:r>
            <w:r w:rsidR="00A509F7" w:rsidRPr="00461C16">
              <w:rPr>
                <w:rFonts w:ascii="Arial Narrow" w:hAnsi="Arial Narrow"/>
              </w:rPr>
              <w:t>jako plocha SM</w:t>
            </w:r>
          </w:p>
        </w:tc>
        <w:tc>
          <w:tcPr>
            <w:tcW w:w="2660" w:type="dxa"/>
            <w:shd w:val="clear" w:color="auto" w:fill="auto"/>
          </w:tcPr>
          <w:p w14:paraId="0388685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chybějící podrobnější podklad pro vymezení záměru, nezbytnou dopravní infrastrukturu lze realizovat i v plochách SM</w:t>
            </w:r>
          </w:p>
        </w:tc>
      </w:tr>
      <w:tr w:rsidR="00A509F7" w:rsidRPr="00461C16" w14:paraId="433A00D1" w14:textId="77777777" w:rsidTr="0066453E">
        <w:trPr>
          <w:cantSplit/>
        </w:trPr>
        <w:tc>
          <w:tcPr>
            <w:tcW w:w="1481" w:type="dxa"/>
            <w:shd w:val="clear" w:color="auto" w:fill="auto"/>
          </w:tcPr>
          <w:p w14:paraId="053D8343" w14:textId="77777777" w:rsidR="00A509F7" w:rsidRPr="00461C16" w:rsidRDefault="00A509F7" w:rsidP="003F68C9">
            <w:pPr>
              <w:spacing w:before="40" w:after="40" w:line="240" w:lineRule="auto"/>
              <w:jc w:val="left"/>
              <w:rPr>
                <w:sz w:val="20"/>
                <w:szCs w:val="20"/>
              </w:rPr>
            </w:pPr>
            <w:r w:rsidRPr="00461C16">
              <w:rPr>
                <w:sz w:val="20"/>
                <w:szCs w:val="20"/>
              </w:rPr>
              <w:lastRenderedPageBreak/>
              <w:t>61</w:t>
            </w:r>
          </w:p>
        </w:tc>
        <w:tc>
          <w:tcPr>
            <w:tcW w:w="1258" w:type="dxa"/>
          </w:tcPr>
          <w:p w14:paraId="23E1423C"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Donín</w:t>
            </w:r>
          </w:p>
        </w:tc>
        <w:tc>
          <w:tcPr>
            <w:tcW w:w="1630" w:type="dxa"/>
            <w:shd w:val="clear" w:color="auto" w:fill="auto"/>
          </w:tcPr>
          <w:p w14:paraId="13B6C7AC"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6616DD1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P</w:t>
            </w:r>
            <w:r w:rsidRPr="00461C16">
              <w:rPr>
                <w:rFonts w:ascii="Arial Narrow" w:hAnsi="Arial Narrow"/>
              </w:rPr>
              <w:t>řevzato</w:t>
            </w:r>
            <w:r w:rsidRPr="00461C16">
              <w:rPr>
                <w:rFonts w:ascii="Arial Narrow" w:hAnsi="Arial Narrow"/>
                <w:lang w:val="cs-CZ"/>
              </w:rPr>
              <w:t xml:space="preserve"> z větší části</w:t>
            </w:r>
            <w:r w:rsidRPr="00461C16">
              <w:rPr>
                <w:rFonts w:ascii="Arial Narrow" w:hAnsi="Arial Narrow"/>
              </w:rPr>
              <w:t>, vymezeno jako plocha OV a SM</w:t>
            </w:r>
            <w:r w:rsidRPr="00461C16">
              <w:rPr>
                <w:rFonts w:ascii="Arial Narrow" w:hAnsi="Arial Narrow"/>
                <w:lang w:val="cs-CZ"/>
              </w:rPr>
              <w:t xml:space="preserve"> (plocha smíšená obytná)</w:t>
            </w:r>
          </w:p>
        </w:tc>
        <w:tc>
          <w:tcPr>
            <w:tcW w:w="2660" w:type="dxa"/>
            <w:shd w:val="clear" w:color="auto" w:fill="auto"/>
          </w:tcPr>
          <w:p w14:paraId="162C796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 vymezeno jako plocha stabilizovaná dle skutečného stavu</w:t>
            </w:r>
          </w:p>
        </w:tc>
      </w:tr>
      <w:tr w:rsidR="00A509F7" w:rsidRPr="00461C16" w14:paraId="40EE1DE8" w14:textId="77777777" w:rsidTr="0066453E">
        <w:trPr>
          <w:cantSplit/>
        </w:trPr>
        <w:tc>
          <w:tcPr>
            <w:tcW w:w="1481" w:type="dxa"/>
            <w:shd w:val="clear" w:color="auto" w:fill="auto"/>
          </w:tcPr>
          <w:p w14:paraId="233E25B3" w14:textId="77777777" w:rsidR="00A509F7" w:rsidRPr="00461C16" w:rsidRDefault="00A509F7" w:rsidP="003F68C9">
            <w:pPr>
              <w:spacing w:before="40" w:after="40" w:line="240" w:lineRule="auto"/>
              <w:rPr>
                <w:sz w:val="20"/>
                <w:szCs w:val="20"/>
              </w:rPr>
            </w:pPr>
            <w:r w:rsidRPr="00461C16">
              <w:rPr>
                <w:sz w:val="20"/>
                <w:szCs w:val="20"/>
              </w:rPr>
              <w:t>62</w:t>
            </w:r>
          </w:p>
        </w:tc>
        <w:tc>
          <w:tcPr>
            <w:tcW w:w="1258" w:type="dxa"/>
          </w:tcPr>
          <w:p w14:paraId="2238FA5A" w14:textId="77777777" w:rsidR="00A509F7" w:rsidRPr="00461C16" w:rsidRDefault="00A509F7" w:rsidP="003F68C9">
            <w:pPr>
              <w:spacing w:before="40" w:after="40" w:line="240" w:lineRule="auto"/>
              <w:rPr>
                <w:sz w:val="20"/>
                <w:szCs w:val="20"/>
              </w:rPr>
            </w:pPr>
            <w:r w:rsidRPr="00461C16">
              <w:rPr>
                <w:sz w:val="20"/>
                <w:szCs w:val="20"/>
              </w:rPr>
              <w:t>Donín</w:t>
            </w:r>
          </w:p>
        </w:tc>
        <w:tc>
          <w:tcPr>
            <w:tcW w:w="1630" w:type="dxa"/>
            <w:shd w:val="clear" w:color="auto" w:fill="auto"/>
          </w:tcPr>
          <w:p w14:paraId="7EE91C9E"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4FFBD601" w14:textId="77777777" w:rsidR="00A509F7" w:rsidRPr="00461C16" w:rsidRDefault="00A509F7" w:rsidP="003F68C9">
            <w:pPr>
              <w:pStyle w:val="Intabulka"/>
              <w:rPr>
                <w:rFonts w:ascii="Arial Narrow" w:hAnsi="Arial Narrow"/>
              </w:rPr>
            </w:pPr>
            <w:r w:rsidRPr="00461C16">
              <w:rPr>
                <w:rFonts w:ascii="Arial Narrow" w:hAnsi="Arial Narrow"/>
              </w:rPr>
              <w:t>Převzato, vymezeno jako plocha SM</w:t>
            </w:r>
          </w:p>
        </w:tc>
        <w:tc>
          <w:tcPr>
            <w:tcW w:w="2660" w:type="dxa"/>
            <w:shd w:val="clear" w:color="auto" w:fill="auto"/>
          </w:tcPr>
          <w:p w14:paraId="0B4DC0E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 vymezeno jako plocha stabilizovaná dle skutečného stavu</w:t>
            </w:r>
          </w:p>
        </w:tc>
      </w:tr>
      <w:tr w:rsidR="00A509F7" w:rsidRPr="00461C16" w14:paraId="2F7D8ECC" w14:textId="77777777" w:rsidTr="0066453E">
        <w:trPr>
          <w:cantSplit/>
        </w:trPr>
        <w:tc>
          <w:tcPr>
            <w:tcW w:w="1481" w:type="dxa"/>
            <w:shd w:val="clear" w:color="auto" w:fill="auto"/>
          </w:tcPr>
          <w:p w14:paraId="09FE2BC5" w14:textId="77777777" w:rsidR="00A509F7" w:rsidRPr="00461C16" w:rsidRDefault="00A509F7" w:rsidP="003F68C9">
            <w:pPr>
              <w:spacing w:before="40" w:after="40" w:line="240" w:lineRule="auto"/>
              <w:rPr>
                <w:sz w:val="20"/>
                <w:szCs w:val="20"/>
              </w:rPr>
            </w:pPr>
            <w:r w:rsidRPr="00461C16">
              <w:rPr>
                <w:sz w:val="20"/>
                <w:szCs w:val="20"/>
              </w:rPr>
              <w:t>63</w:t>
            </w:r>
          </w:p>
        </w:tc>
        <w:tc>
          <w:tcPr>
            <w:tcW w:w="1258" w:type="dxa"/>
          </w:tcPr>
          <w:p w14:paraId="76E1D9EA" w14:textId="77777777" w:rsidR="00A509F7" w:rsidRPr="00461C16" w:rsidRDefault="00A509F7" w:rsidP="003F68C9">
            <w:pPr>
              <w:spacing w:before="40" w:after="40" w:line="240" w:lineRule="auto"/>
              <w:rPr>
                <w:sz w:val="20"/>
                <w:szCs w:val="20"/>
              </w:rPr>
            </w:pPr>
            <w:r w:rsidRPr="00461C16">
              <w:rPr>
                <w:sz w:val="20"/>
                <w:szCs w:val="20"/>
              </w:rPr>
              <w:t>Donín</w:t>
            </w:r>
          </w:p>
        </w:tc>
        <w:tc>
          <w:tcPr>
            <w:tcW w:w="1630" w:type="dxa"/>
            <w:shd w:val="clear" w:color="auto" w:fill="auto"/>
          </w:tcPr>
          <w:p w14:paraId="5171CC6F"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15BCA3DB" w14:textId="77777777" w:rsidR="00A509F7" w:rsidRPr="00461C16" w:rsidRDefault="00A509F7" w:rsidP="003F68C9">
            <w:pPr>
              <w:pStyle w:val="Intabulka"/>
              <w:rPr>
                <w:rFonts w:ascii="Arial Narrow" w:hAnsi="Arial Narrow"/>
              </w:rPr>
            </w:pPr>
            <w:r w:rsidRPr="00461C16">
              <w:rPr>
                <w:rFonts w:ascii="Arial Narrow" w:hAnsi="Arial Narrow"/>
              </w:rPr>
              <w:t>Převzato, vymezeno jako plocha přestavby P29 - SM</w:t>
            </w:r>
          </w:p>
        </w:tc>
        <w:tc>
          <w:tcPr>
            <w:tcW w:w="2660" w:type="dxa"/>
            <w:shd w:val="clear" w:color="auto" w:fill="auto"/>
          </w:tcPr>
          <w:p w14:paraId="00E6C0C2"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4DA38ABE" w14:textId="77777777" w:rsidTr="0066453E">
        <w:trPr>
          <w:cantSplit/>
        </w:trPr>
        <w:tc>
          <w:tcPr>
            <w:tcW w:w="1481" w:type="dxa"/>
            <w:shd w:val="clear" w:color="auto" w:fill="auto"/>
          </w:tcPr>
          <w:p w14:paraId="7EDBE40D" w14:textId="77777777" w:rsidR="00A509F7" w:rsidRPr="00461C16" w:rsidRDefault="00A509F7" w:rsidP="003F68C9">
            <w:pPr>
              <w:spacing w:before="40" w:after="40" w:line="240" w:lineRule="auto"/>
              <w:rPr>
                <w:sz w:val="20"/>
                <w:szCs w:val="20"/>
              </w:rPr>
            </w:pPr>
            <w:r w:rsidRPr="00461C16">
              <w:rPr>
                <w:sz w:val="20"/>
                <w:szCs w:val="20"/>
              </w:rPr>
              <w:t>64</w:t>
            </w:r>
          </w:p>
        </w:tc>
        <w:tc>
          <w:tcPr>
            <w:tcW w:w="1258" w:type="dxa"/>
          </w:tcPr>
          <w:p w14:paraId="54C8B80D" w14:textId="77777777" w:rsidR="00A509F7" w:rsidRPr="00461C16" w:rsidRDefault="00A509F7" w:rsidP="003F68C9">
            <w:pPr>
              <w:spacing w:before="40" w:after="40" w:line="240" w:lineRule="auto"/>
              <w:rPr>
                <w:sz w:val="20"/>
                <w:szCs w:val="20"/>
              </w:rPr>
            </w:pPr>
            <w:r w:rsidRPr="00461C16">
              <w:rPr>
                <w:sz w:val="20"/>
                <w:szCs w:val="20"/>
              </w:rPr>
              <w:t>Donín</w:t>
            </w:r>
          </w:p>
        </w:tc>
        <w:tc>
          <w:tcPr>
            <w:tcW w:w="1630" w:type="dxa"/>
            <w:shd w:val="clear" w:color="auto" w:fill="auto"/>
          </w:tcPr>
          <w:p w14:paraId="3349AD8E"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2C93EA77"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4196B4D1"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 vymezeno jako plocha stabilizovaná dle skutečného stavu</w:t>
            </w:r>
          </w:p>
        </w:tc>
      </w:tr>
      <w:tr w:rsidR="00A509F7" w:rsidRPr="00461C16" w14:paraId="50010809" w14:textId="77777777" w:rsidTr="0066453E">
        <w:trPr>
          <w:cantSplit/>
        </w:trPr>
        <w:tc>
          <w:tcPr>
            <w:tcW w:w="1481" w:type="dxa"/>
            <w:shd w:val="clear" w:color="auto" w:fill="auto"/>
          </w:tcPr>
          <w:p w14:paraId="160E8C8B" w14:textId="77777777" w:rsidR="00A509F7" w:rsidRPr="00461C16" w:rsidRDefault="00A509F7" w:rsidP="003F68C9">
            <w:pPr>
              <w:spacing w:before="40" w:after="40" w:line="240" w:lineRule="auto"/>
              <w:rPr>
                <w:sz w:val="20"/>
                <w:szCs w:val="20"/>
              </w:rPr>
            </w:pPr>
            <w:r w:rsidRPr="00461C16">
              <w:rPr>
                <w:sz w:val="20"/>
                <w:szCs w:val="20"/>
              </w:rPr>
              <w:t>65</w:t>
            </w:r>
          </w:p>
        </w:tc>
        <w:tc>
          <w:tcPr>
            <w:tcW w:w="1258" w:type="dxa"/>
          </w:tcPr>
          <w:p w14:paraId="47326B17" w14:textId="77777777" w:rsidR="00A509F7" w:rsidRPr="00461C16" w:rsidRDefault="00A509F7" w:rsidP="003F68C9">
            <w:pPr>
              <w:spacing w:before="40" w:after="40" w:line="240" w:lineRule="auto"/>
              <w:rPr>
                <w:sz w:val="20"/>
                <w:szCs w:val="20"/>
              </w:rPr>
            </w:pPr>
            <w:r w:rsidRPr="00461C16">
              <w:rPr>
                <w:sz w:val="20"/>
                <w:szCs w:val="20"/>
              </w:rPr>
              <w:t>Donín</w:t>
            </w:r>
          </w:p>
        </w:tc>
        <w:tc>
          <w:tcPr>
            <w:tcW w:w="1630" w:type="dxa"/>
            <w:shd w:val="clear" w:color="auto" w:fill="auto"/>
          </w:tcPr>
          <w:p w14:paraId="74432CD7"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501C2BFD" w14:textId="77777777" w:rsidR="00A509F7" w:rsidRPr="00461C16" w:rsidRDefault="00A509F7" w:rsidP="003F68C9">
            <w:pPr>
              <w:pStyle w:val="Intabulka"/>
              <w:rPr>
                <w:rFonts w:ascii="Arial Narrow" w:hAnsi="Arial Narrow"/>
              </w:rPr>
            </w:pPr>
            <w:r w:rsidRPr="00461C16">
              <w:rPr>
                <w:rFonts w:ascii="Arial Narrow" w:hAnsi="Arial Narrow"/>
              </w:rPr>
              <w:t>Převzato částečně, část plochy vymezena jako RZ</w:t>
            </w:r>
          </w:p>
        </w:tc>
        <w:tc>
          <w:tcPr>
            <w:tcW w:w="2660" w:type="dxa"/>
            <w:shd w:val="clear" w:color="auto" w:fill="auto"/>
          </w:tcPr>
          <w:p w14:paraId="63D07AB9"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vymezeno jako plochy stabilizované dle skutečného stavu</w:t>
            </w:r>
          </w:p>
        </w:tc>
      </w:tr>
      <w:tr w:rsidR="00A509F7" w:rsidRPr="00461C16" w14:paraId="4C1F6E4A" w14:textId="77777777" w:rsidTr="0066453E">
        <w:trPr>
          <w:cantSplit/>
        </w:trPr>
        <w:tc>
          <w:tcPr>
            <w:tcW w:w="1481" w:type="dxa"/>
            <w:shd w:val="clear" w:color="auto" w:fill="auto"/>
          </w:tcPr>
          <w:p w14:paraId="529E32A3" w14:textId="77777777" w:rsidR="00A509F7" w:rsidRPr="00461C16" w:rsidRDefault="00A509F7" w:rsidP="003F68C9">
            <w:pPr>
              <w:spacing w:before="40" w:after="40" w:line="240" w:lineRule="auto"/>
              <w:rPr>
                <w:sz w:val="20"/>
                <w:szCs w:val="20"/>
              </w:rPr>
            </w:pPr>
            <w:r w:rsidRPr="00461C16">
              <w:rPr>
                <w:sz w:val="20"/>
                <w:szCs w:val="20"/>
              </w:rPr>
              <w:t>66</w:t>
            </w:r>
          </w:p>
        </w:tc>
        <w:tc>
          <w:tcPr>
            <w:tcW w:w="1258" w:type="dxa"/>
          </w:tcPr>
          <w:p w14:paraId="1A096A3D" w14:textId="77777777" w:rsidR="00A509F7" w:rsidRPr="00461C16" w:rsidRDefault="00A509F7" w:rsidP="003F68C9">
            <w:pPr>
              <w:spacing w:before="40" w:after="40" w:line="240" w:lineRule="auto"/>
              <w:rPr>
                <w:sz w:val="20"/>
                <w:szCs w:val="20"/>
              </w:rPr>
            </w:pPr>
            <w:r w:rsidRPr="00461C16">
              <w:rPr>
                <w:sz w:val="20"/>
                <w:szCs w:val="20"/>
              </w:rPr>
              <w:t>Donín</w:t>
            </w:r>
          </w:p>
        </w:tc>
        <w:tc>
          <w:tcPr>
            <w:tcW w:w="1630" w:type="dxa"/>
            <w:shd w:val="clear" w:color="auto" w:fill="auto"/>
          </w:tcPr>
          <w:p w14:paraId="763D6386" w14:textId="77777777" w:rsidR="00A509F7" w:rsidRPr="00461C16" w:rsidRDefault="00A509F7" w:rsidP="003F68C9">
            <w:pPr>
              <w:spacing w:before="40" w:after="40" w:line="240" w:lineRule="auto"/>
              <w:jc w:val="left"/>
              <w:rPr>
                <w:sz w:val="20"/>
                <w:szCs w:val="20"/>
              </w:rPr>
            </w:pPr>
            <w:r w:rsidRPr="00461C16">
              <w:rPr>
                <w:sz w:val="20"/>
                <w:szCs w:val="20"/>
              </w:rPr>
              <w:t>plocha rekreace – zahrádkářské osady</w:t>
            </w:r>
          </w:p>
        </w:tc>
        <w:tc>
          <w:tcPr>
            <w:tcW w:w="2259" w:type="dxa"/>
            <w:shd w:val="clear" w:color="auto" w:fill="auto"/>
          </w:tcPr>
          <w:p w14:paraId="2C2002D1"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NS</w:t>
            </w:r>
          </w:p>
        </w:tc>
        <w:tc>
          <w:tcPr>
            <w:tcW w:w="2660" w:type="dxa"/>
            <w:shd w:val="clear" w:color="auto" w:fill="auto"/>
          </w:tcPr>
          <w:p w14:paraId="6318DE92"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nežádoucí expanze zástavby do volné krajiny</w:t>
            </w:r>
          </w:p>
        </w:tc>
      </w:tr>
      <w:tr w:rsidR="00A509F7" w:rsidRPr="00461C16" w14:paraId="4A01A9DE" w14:textId="77777777" w:rsidTr="0066453E">
        <w:trPr>
          <w:cantSplit/>
        </w:trPr>
        <w:tc>
          <w:tcPr>
            <w:tcW w:w="1481" w:type="dxa"/>
            <w:shd w:val="clear" w:color="auto" w:fill="auto"/>
          </w:tcPr>
          <w:p w14:paraId="6CD6F242" w14:textId="77777777" w:rsidR="00A509F7" w:rsidRPr="00461C16" w:rsidRDefault="00A509F7" w:rsidP="003F68C9">
            <w:pPr>
              <w:spacing w:before="40" w:after="40" w:line="240" w:lineRule="auto"/>
              <w:rPr>
                <w:sz w:val="20"/>
                <w:szCs w:val="20"/>
              </w:rPr>
            </w:pPr>
            <w:r w:rsidRPr="00461C16">
              <w:rPr>
                <w:sz w:val="20"/>
                <w:szCs w:val="20"/>
              </w:rPr>
              <w:t>67</w:t>
            </w:r>
          </w:p>
        </w:tc>
        <w:tc>
          <w:tcPr>
            <w:tcW w:w="1258" w:type="dxa"/>
          </w:tcPr>
          <w:p w14:paraId="0D18C4F7" w14:textId="77777777" w:rsidR="00A509F7" w:rsidRPr="00461C16" w:rsidRDefault="00A509F7" w:rsidP="003F68C9">
            <w:pPr>
              <w:spacing w:before="40" w:after="40" w:line="240" w:lineRule="auto"/>
              <w:rPr>
                <w:sz w:val="20"/>
                <w:szCs w:val="20"/>
              </w:rPr>
            </w:pPr>
            <w:r w:rsidRPr="00461C16">
              <w:rPr>
                <w:sz w:val="20"/>
                <w:szCs w:val="20"/>
              </w:rPr>
              <w:t>Donín</w:t>
            </w:r>
          </w:p>
        </w:tc>
        <w:tc>
          <w:tcPr>
            <w:tcW w:w="1630" w:type="dxa"/>
            <w:shd w:val="clear" w:color="auto" w:fill="auto"/>
          </w:tcPr>
          <w:p w14:paraId="0A48FC4B"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2D038471" w14:textId="77777777" w:rsidR="00A509F7" w:rsidRPr="00461C16" w:rsidRDefault="00A509F7" w:rsidP="003F68C9">
            <w:pPr>
              <w:pStyle w:val="Intabulka"/>
              <w:rPr>
                <w:rFonts w:ascii="Arial Narrow" w:hAnsi="Arial Narrow"/>
              </w:rPr>
            </w:pPr>
            <w:r w:rsidRPr="00461C16">
              <w:rPr>
                <w:rFonts w:ascii="Arial Narrow" w:hAnsi="Arial Narrow"/>
              </w:rPr>
              <w:t>Převzato, částečně vymezeno jako plocha změn Z68</w:t>
            </w:r>
          </w:p>
        </w:tc>
        <w:tc>
          <w:tcPr>
            <w:tcW w:w="2660" w:type="dxa"/>
            <w:shd w:val="clear" w:color="auto" w:fill="auto"/>
          </w:tcPr>
          <w:p w14:paraId="7AFCA98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3F29C1F3" w14:textId="77777777" w:rsidTr="0066453E">
        <w:trPr>
          <w:cantSplit/>
        </w:trPr>
        <w:tc>
          <w:tcPr>
            <w:tcW w:w="1481" w:type="dxa"/>
            <w:shd w:val="clear" w:color="auto" w:fill="auto"/>
          </w:tcPr>
          <w:p w14:paraId="3CDE7819" w14:textId="77777777" w:rsidR="00A509F7" w:rsidRPr="00461C16" w:rsidRDefault="00A509F7" w:rsidP="003F68C9">
            <w:pPr>
              <w:spacing w:before="40" w:after="40" w:line="240" w:lineRule="auto"/>
              <w:rPr>
                <w:sz w:val="20"/>
                <w:szCs w:val="20"/>
              </w:rPr>
            </w:pPr>
            <w:r w:rsidRPr="00461C16">
              <w:rPr>
                <w:sz w:val="20"/>
                <w:szCs w:val="20"/>
              </w:rPr>
              <w:t>68</w:t>
            </w:r>
          </w:p>
        </w:tc>
        <w:tc>
          <w:tcPr>
            <w:tcW w:w="1258" w:type="dxa"/>
          </w:tcPr>
          <w:p w14:paraId="3DB237BD" w14:textId="77777777" w:rsidR="00A509F7" w:rsidRPr="00461C16" w:rsidRDefault="00A509F7" w:rsidP="003F68C9">
            <w:pPr>
              <w:spacing w:before="40" w:after="40" w:line="240" w:lineRule="auto"/>
              <w:rPr>
                <w:sz w:val="20"/>
                <w:szCs w:val="20"/>
              </w:rPr>
            </w:pPr>
            <w:r w:rsidRPr="00461C16">
              <w:rPr>
                <w:sz w:val="20"/>
                <w:szCs w:val="20"/>
              </w:rPr>
              <w:t>Donín</w:t>
            </w:r>
          </w:p>
        </w:tc>
        <w:tc>
          <w:tcPr>
            <w:tcW w:w="1630" w:type="dxa"/>
            <w:shd w:val="clear" w:color="auto" w:fill="auto"/>
          </w:tcPr>
          <w:p w14:paraId="791133A2"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3F6D639"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4F8512A9"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7E8A0330" w14:textId="77777777" w:rsidTr="0066453E">
        <w:trPr>
          <w:cantSplit/>
        </w:trPr>
        <w:tc>
          <w:tcPr>
            <w:tcW w:w="1481" w:type="dxa"/>
            <w:shd w:val="clear" w:color="auto" w:fill="auto"/>
          </w:tcPr>
          <w:p w14:paraId="400257FA" w14:textId="77777777" w:rsidR="00A509F7" w:rsidRPr="00461C16" w:rsidRDefault="00A509F7" w:rsidP="003F68C9">
            <w:pPr>
              <w:spacing w:before="40" w:after="40" w:line="240" w:lineRule="auto"/>
              <w:rPr>
                <w:sz w:val="20"/>
                <w:szCs w:val="20"/>
              </w:rPr>
            </w:pPr>
            <w:r w:rsidRPr="00461C16">
              <w:rPr>
                <w:sz w:val="20"/>
                <w:szCs w:val="20"/>
              </w:rPr>
              <w:t>69</w:t>
            </w:r>
          </w:p>
        </w:tc>
        <w:tc>
          <w:tcPr>
            <w:tcW w:w="1258" w:type="dxa"/>
          </w:tcPr>
          <w:p w14:paraId="34F5DD59" w14:textId="77777777" w:rsidR="00A509F7" w:rsidRPr="00461C16" w:rsidRDefault="00A509F7" w:rsidP="003F68C9">
            <w:pPr>
              <w:spacing w:before="40" w:after="40" w:line="240" w:lineRule="auto"/>
              <w:rPr>
                <w:sz w:val="20"/>
                <w:szCs w:val="20"/>
              </w:rPr>
            </w:pPr>
            <w:r w:rsidRPr="00461C16">
              <w:rPr>
                <w:sz w:val="20"/>
                <w:szCs w:val="20"/>
              </w:rPr>
              <w:t>Donín</w:t>
            </w:r>
          </w:p>
        </w:tc>
        <w:tc>
          <w:tcPr>
            <w:tcW w:w="1630" w:type="dxa"/>
            <w:shd w:val="clear" w:color="auto" w:fill="auto"/>
          </w:tcPr>
          <w:p w14:paraId="57397CC4" w14:textId="77777777" w:rsidR="00A509F7" w:rsidRPr="00461C16" w:rsidRDefault="00A509F7" w:rsidP="003F68C9">
            <w:pPr>
              <w:spacing w:before="40" w:after="40" w:line="240" w:lineRule="auto"/>
              <w:jc w:val="left"/>
              <w:rPr>
                <w:sz w:val="20"/>
                <w:szCs w:val="20"/>
              </w:rPr>
            </w:pPr>
            <w:r w:rsidRPr="00461C16">
              <w:rPr>
                <w:sz w:val="20"/>
                <w:szCs w:val="20"/>
              </w:rPr>
              <w:t>plocha zemědělských služeb</w:t>
            </w:r>
          </w:p>
        </w:tc>
        <w:tc>
          <w:tcPr>
            <w:tcW w:w="2259" w:type="dxa"/>
            <w:shd w:val="clear" w:color="auto" w:fill="auto"/>
          </w:tcPr>
          <w:p w14:paraId="53745873"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BI</w:t>
            </w:r>
          </w:p>
        </w:tc>
        <w:tc>
          <w:tcPr>
            <w:tcW w:w="2660" w:type="dxa"/>
            <w:shd w:val="clear" w:color="auto" w:fill="auto"/>
          </w:tcPr>
          <w:p w14:paraId="3172072C"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vymezeno dle skutečného stavu</w:t>
            </w:r>
          </w:p>
        </w:tc>
      </w:tr>
      <w:tr w:rsidR="00A509F7" w:rsidRPr="00461C16" w14:paraId="636B8100" w14:textId="77777777" w:rsidTr="0066453E">
        <w:trPr>
          <w:cantSplit/>
        </w:trPr>
        <w:tc>
          <w:tcPr>
            <w:tcW w:w="1481" w:type="dxa"/>
            <w:shd w:val="clear" w:color="auto" w:fill="auto"/>
          </w:tcPr>
          <w:p w14:paraId="0FA95156" w14:textId="77777777" w:rsidR="00A509F7" w:rsidRPr="00461C16" w:rsidRDefault="00A509F7" w:rsidP="003F68C9">
            <w:pPr>
              <w:spacing w:before="40" w:after="40" w:line="240" w:lineRule="auto"/>
              <w:jc w:val="left"/>
              <w:rPr>
                <w:sz w:val="20"/>
                <w:szCs w:val="20"/>
              </w:rPr>
            </w:pPr>
            <w:r w:rsidRPr="00461C16">
              <w:rPr>
                <w:sz w:val="20"/>
                <w:szCs w:val="20"/>
              </w:rPr>
              <w:t>71 (několik dílčích ploch)</w:t>
            </w:r>
          </w:p>
        </w:tc>
        <w:tc>
          <w:tcPr>
            <w:tcW w:w="1258" w:type="dxa"/>
          </w:tcPr>
          <w:p w14:paraId="6DA1FE52"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7AA684D3"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6142885D"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NS</w:t>
            </w:r>
          </w:p>
        </w:tc>
        <w:tc>
          <w:tcPr>
            <w:tcW w:w="2660" w:type="dxa"/>
            <w:shd w:val="clear" w:color="auto" w:fill="auto"/>
          </w:tcPr>
          <w:p w14:paraId="50763F69"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nežádoucí rozpínání zástavby do volné krajiny</w:t>
            </w:r>
          </w:p>
        </w:tc>
      </w:tr>
      <w:tr w:rsidR="00A509F7" w:rsidRPr="00461C16" w14:paraId="5036E962" w14:textId="77777777" w:rsidTr="0066453E">
        <w:trPr>
          <w:cantSplit/>
        </w:trPr>
        <w:tc>
          <w:tcPr>
            <w:tcW w:w="1481" w:type="dxa"/>
            <w:shd w:val="clear" w:color="auto" w:fill="auto"/>
          </w:tcPr>
          <w:p w14:paraId="2E40BF62" w14:textId="77777777" w:rsidR="00A509F7" w:rsidRPr="00461C16" w:rsidRDefault="00A509F7" w:rsidP="003F68C9">
            <w:pPr>
              <w:spacing w:before="40" w:after="40" w:line="240" w:lineRule="auto"/>
              <w:jc w:val="left"/>
              <w:rPr>
                <w:sz w:val="20"/>
                <w:szCs w:val="20"/>
              </w:rPr>
            </w:pPr>
            <w:r w:rsidRPr="00461C16">
              <w:rPr>
                <w:sz w:val="20"/>
                <w:szCs w:val="20"/>
              </w:rPr>
              <w:t>72 (několik dílčích ploch)</w:t>
            </w:r>
          </w:p>
        </w:tc>
        <w:tc>
          <w:tcPr>
            <w:tcW w:w="1258" w:type="dxa"/>
          </w:tcPr>
          <w:p w14:paraId="04FAD90A"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2664FE38"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0B797CEB"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NS</w:t>
            </w:r>
          </w:p>
        </w:tc>
        <w:tc>
          <w:tcPr>
            <w:tcW w:w="2660" w:type="dxa"/>
            <w:shd w:val="clear" w:color="auto" w:fill="auto"/>
          </w:tcPr>
          <w:p w14:paraId="4EB9FD4A"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nežádoucí rozpínání zástavby do volné krajiny</w:t>
            </w:r>
          </w:p>
        </w:tc>
      </w:tr>
      <w:tr w:rsidR="00A509F7" w:rsidRPr="00461C16" w14:paraId="17227B99" w14:textId="77777777" w:rsidTr="0066453E">
        <w:trPr>
          <w:cantSplit/>
        </w:trPr>
        <w:tc>
          <w:tcPr>
            <w:tcW w:w="1481" w:type="dxa"/>
            <w:shd w:val="clear" w:color="auto" w:fill="auto"/>
          </w:tcPr>
          <w:p w14:paraId="65A424D9" w14:textId="77777777" w:rsidR="00A509F7" w:rsidRPr="00461C16" w:rsidRDefault="00A509F7" w:rsidP="003F68C9">
            <w:pPr>
              <w:spacing w:before="40" w:after="40" w:line="240" w:lineRule="auto"/>
              <w:jc w:val="left"/>
              <w:rPr>
                <w:sz w:val="20"/>
                <w:szCs w:val="20"/>
              </w:rPr>
            </w:pPr>
            <w:r w:rsidRPr="00461C16">
              <w:rPr>
                <w:sz w:val="20"/>
                <w:szCs w:val="20"/>
              </w:rPr>
              <w:t>73 (několik dílčích ploch)</w:t>
            </w:r>
          </w:p>
        </w:tc>
        <w:tc>
          <w:tcPr>
            <w:tcW w:w="1258" w:type="dxa"/>
          </w:tcPr>
          <w:p w14:paraId="6526874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12207E98"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03A551DB"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RN</w:t>
            </w:r>
          </w:p>
        </w:tc>
        <w:tc>
          <w:tcPr>
            <w:tcW w:w="2660" w:type="dxa"/>
            <w:shd w:val="clear" w:color="auto" w:fill="auto"/>
          </w:tcPr>
          <w:p w14:paraId="784200B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neaktuálnost záměru, upřednostněn zájem na vybudování rekreačního lesoparku</w:t>
            </w:r>
          </w:p>
        </w:tc>
      </w:tr>
      <w:tr w:rsidR="00A509F7" w:rsidRPr="00461C16" w14:paraId="0F56B9E3" w14:textId="77777777" w:rsidTr="0066453E">
        <w:trPr>
          <w:cantSplit/>
        </w:trPr>
        <w:tc>
          <w:tcPr>
            <w:tcW w:w="1481" w:type="dxa"/>
            <w:shd w:val="clear" w:color="auto" w:fill="auto"/>
          </w:tcPr>
          <w:p w14:paraId="20EC4DAA" w14:textId="77777777" w:rsidR="00A509F7" w:rsidRPr="00461C16" w:rsidRDefault="00A509F7" w:rsidP="003F68C9">
            <w:pPr>
              <w:spacing w:before="40" w:after="40" w:line="240" w:lineRule="auto"/>
              <w:rPr>
                <w:sz w:val="20"/>
                <w:szCs w:val="20"/>
              </w:rPr>
            </w:pPr>
            <w:r w:rsidRPr="00461C16">
              <w:rPr>
                <w:sz w:val="20"/>
                <w:szCs w:val="20"/>
              </w:rPr>
              <w:t>74</w:t>
            </w:r>
          </w:p>
        </w:tc>
        <w:tc>
          <w:tcPr>
            <w:tcW w:w="1258" w:type="dxa"/>
          </w:tcPr>
          <w:p w14:paraId="246C2543"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63DE3F26"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60297D6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Nepřevzato, vymezeno jako územní rezerva R15 - BI</w:t>
            </w:r>
          </w:p>
        </w:tc>
        <w:tc>
          <w:tcPr>
            <w:tcW w:w="2660" w:type="dxa"/>
            <w:shd w:val="clear" w:color="auto" w:fill="auto"/>
          </w:tcPr>
          <w:p w14:paraId="32BCC823" w14:textId="47D80F55" w:rsidR="00A509F7" w:rsidRPr="00461C16" w:rsidRDefault="00A509F7">
            <w:pPr>
              <w:pStyle w:val="Intabulka"/>
              <w:rPr>
                <w:rFonts w:ascii="Arial Narrow" w:hAnsi="Arial Narrow"/>
                <w:lang w:val="cs-CZ"/>
              </w:rPr>
            </w:pPr>
            <w:r w:rsidRPr="00461C16">
              <w:rPr>
                <w:rFonts w:ascii="Arial Narrow" w:hAnsi="Arial Narrow"/>
                <w:lang w:val="cs-CZ"/>
              </w:rPr>
              <w:t xml:space="preserve">Součást výrobního brownfieldu, určeného k výhledové přestavbě. Případná nezbytná dopravní propojení a jejich trasy budou </w:t>
            </w:r>
            <w:r w:rsidR="006036D4" w:rsidRPr="00461C16">
              <w:rPr>
                <w:rFonts w:ascii="Arial Narrow" w:hAnsi="Arial Narrow"/>
                <w:lang w:val="cs-CZ"/>
              </w:rPr>
              <w:t>prověřen</w:t>
            </w:r>
            <w:r w:rsidR="006036D4">
              <w:rPr>
                <w:rFonts w:ascii="Arial Narrow" w:hAnsi="Arial Narrow"/>
                <w:lang w:val="cs-CZ"/>
              </w:rPr>
              <w:t>y</w:t>
            </w:r>
            <w:r w:rsidR="006036D4" w:rsidRPr="00461C16">
              <w:rPr>
                <w:rFonts w:ascii="Arial Narrow" w:hAnsi="Arial Narrow"/>
                <w:lang w:val="cs-CZ"/>
              </w:rPr>
              <w:t xml:space="preserve"> </w:t>
            </w:r>
            <w:r w:rsidRPr="00461C16">
              <w:rPr>
                <w:rFonts w:ascii="Arial Narrow" w:hAnsi="Arial Narrow"/>
                <w:lang w:val="cs-CZ"/>
              </w:rPr>
              <w:t>v rámci dalšího stupně dokumentace.</w:t>
            </w:r>
          </w:p>
        </w:tc>
      </w:tr>
      <w:tr w:rsidR="00A509F7" w:rsidRPr="00461C16" w14:paraId="0F4E685F" w14:textId="77777777" w:rsidTr="0066453E">
        <w:trPr>
          <w:cantSplit/>
        </w:trPr>
        <w:tc>
          <w:tcPr>
            <w:tcW w:w="1481" w:type="dxa"/>
            <w:shd w:val="clear" w:color="auto" w:fill="auto"/>
          </w:tcPr>
          <w:p w14:paraId="0D2604C5" w14:textId="77777777" w:rsidR="00A509F7" w:rsidRPr="00461C16" w:rsidRDefault="00A509F7" w:rsidP="003F68C9">
            <w:pPr>
              <w:spacing w:before="40" w:after="40" w:line="240" w:lineRule="auto"/>
              <w:rPr>
                <w:sz w:val="20"/>
                <w:szCs w:val="20"/>
              </w:rPr>
            </w:pPr>
            <w:r w:rsidRPr="00461C16">
              <w:rPr>
                <w:sz w:val="20"/>
                <w:szCs w:val="20"/>
              </w:rPr>
              <w:lastRenderedPageBreak/>
              <w:t>80</w:t>
            </w:r>
          </w:p>
        </w:tc>
        <w:tc>
          <w:tcPr>
            <w:tcW w:w="1258" w:type="dxa"/>
          </w:tcPr>
          <w:p w14:paraId="0691C21A"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20D00C54"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875C4C9" w14:textId="77777777" w:rsidR="00A509F7" w:rsidRPr="00461C16" w:rsidRDefault="00A509F7" w:rsidP="003F68C9">
            <w:pPr>
              <w:pStyle w:val="Intabulka"/>
              <w:rPr>
                <w:rFonts w:ascii="Arial Narrow" w:hAnsi="Arial Narrow"/>
              </w:rPr>
            </w:pPr>
            <w:r w:rsidRPr="00461C16">
              <w:rPr>
                <w:rFonts w:ascii="Arial Narrow" w:hAnsi="Arial Narrow"/>
              </w:rPr>
              <w:t>Nepřevzato, vymezeno částečně jako plocha změn</w:t>
            </w:r>
            <w:r w:rsidRPr="00461C16">
              <w:rPr>
                <w:rFonts w:ascii="Arial Narrow" w:hAnsi="Arial Narrow"/>
                <w:lang w:val="cs-CZ"/>
              </w:rPr>
              <w:t>y</w:t>
            </w:r>
            <w:r w:rsidRPr="00461C16">
              <w:rPr>
                <w:rFonts w:ascii="Arial Narrow" w:hAnsi="Arial Narrow"/>
              </w:rPr>
              <w:t xml:space="preserve"> Z58 – </w:t>
            </w:r>
            <w:r w:rsidR="007B0B07">
              <w:rPr>
                <w:rFonts w:ascii="Arial Narrow" w:hAnsi="Arial Narrow"/>
                <w:lang w:val="cs-CZ"/>
              </w:rPr>
              <w:t>ZV</w:t>
            </w:r>
            <w:r w:rsidRPr="00461C16">
              <w:rPr>
                <w:rFonts w:ascii="Arial Narrow" w:hAnsi="Arial Narrow"/>
                <w:lang w:val="cs-CZ"/>
              </w:rPr>
              <w:t xml:space="preserve">, zčásti stabilizováno v ploše </w:t>
            </w:r>
            <w:r w:rsidRPr="00461C16">
              <w:rPr>
                <w:rFonts w:ascii="Arial Narrow" w:hAnsi="Arial Narrow"/>
              </w:rPr>
              <w:t>NK</w:t>
            </w:r>
          </w:p>
        </w:tc>
        <w:tc>
          <w:tcPr>
            <w:tcW w:w="2660" w:type="dxa"/>
            <w:shd w:val="clear" w:color="auto" w:fill="auto"/>
          </w:tcPr>
          <w:p w14:paraId="090B3DCC"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neaktuálnost záměru, upřednostněn zájem na vybudování rekreačního lesoparku</w:t>
            </w:r>
          </w:p>
        </w:tc>
      </w:tr>
      <w:tr w:rsidR="00A509F7" w:rsidRPr="00461C16" w14:paraId="66CFD1F6" w14:textId="77777777" w:rsidTr="0066453E">
        <w:trPr>
          <w:cantSplit/>
        </w:trPr>
        <w:tc>
          <w:tcPr>
            <w:tcW w:w="1481" w:type="dxa"/>
            <w:shd w:val="clear" w:color="auto" w:fill="auto"/>
          </w:tcPr>
          <w:p w14:paraId="4E06ACE6" w14:textId="77777777" w:rsidR="00A509F7" w:rsidRPr="00461C16" w:rsidRDefault="00A509F7" w:rsidP="003F68C9">
            <w:pPr>
              <w:spacing w:before="40" w:after="40" w:line="240" w:lineRule="auto"/>
              <w:rPr>
                <w:sz w:val="20"/>
                <w:szCs w:val="20"/>
              </w:rPr>
            </w:pPr>
            <w:r w:rsidRPr="00461C16">
              <w:rPr>
                <w:sz w:val="20"/>
                <w:szCs w:val="20"/>
              </w:rPr>
              <w:t>81</w:t>
            </w:r>
          </w:p>
        </w:tc>
        <w:tc>
          <w:tcPr>
            <w:tcW w:w="1258" w:type="dxa"/>
          </w:tcPr>
          <w:p w14:paraId="7123C9B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04FE93B4"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35751D9C"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NK</w:t>
            </w:r>
          </w:p>
        </w:tc>
        <w:tc>
          <w:tcPr>
            <w:tcW w:w="2660" w:type="dxa"/>
            <w:shd w:val="clear" w:color="auto" w:fill="auto"/>
          </w:tcPr>
          <w:p w14:paraId="68FDAC81"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narušení souvislého pásu zeleně v návaznosti na navržený rekreační lesopark</w:t>
            </w:r>
          </w:p>
        </w:tc>
      </w:tr>
      <w:tr w:rsidR="00A509F7" w:rsidRPr="00461C16" w14:paraId="7ECD24A0" w14:textId="77777777" w:rsidTr="0066453E">
        <w:trPr>
          <w:cantSplit/>
        </w:trPr>
        <w:tc>
          <w:tcPr>
            <w:tcW w:w="1481" w:type="dxa"/>
            <w:shd w:val="clear" w:color="auto" w:fill="auto"/>
          </w:tcPr>
          <w:p w14:paraId="4DB6C94C" w14:textId="77777777" w:rsidR="00A509F7" w:rsidRPr="00461C16" w:rsidRDefault="00A509F7" w:rsidP="003F68C9">
            <w:pPr>
              <w:spacing w:before="40" w:after="40" w:line="240" w:lineRule="auto"/>
              <w:rPr>
                <w:sz w:val="20"/>
                <w:szCs w:val="20"/>
              </w:rPr>
            </w:pPr>
            <w:r w:rsidRPr="00461C16">
              <w:rPr>
                <w:sz w:val="20"/>
                <w:szCs w:val="20"/>
              </w:rPr>
              <w:t>82</w:t>
            </w:r>
          </w:p>
        </w:tc>
        <w:tc>
          <w:tcPr>
            <w:tcW w:w="1258" w:type="dxa"/>
          </w:tcPr>
          <w:p w14:paraId="785536E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78285B5D"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3F45ED01" w14:textId="77777777" w:rsidR="00A509F7" w:rsidRPr="00461C16" w:rsidRDefault="00A509F7" w:rsidP="003F68C9">
            <w:pPr>
              <w:pStyle w:val="Intabulka"/>
              <w:rPr>
                <w:rFonts w:ascii="Arial Narrow" w:hAnsi="Arial Narrow"/>
              </w:rPr>
            </w:pPr>
            <w:r w:rsidRPr="00461C16">
              <w:rPr>
                <w:rFonts w:ascii="Arial Narrow" w:hAnsi="Arial Narrow"/>
              </w:rPr>
              <w:t>Převzato, vymezeno jako plocha změn Z62</w:t>
            </w:r>
          </w:p>
        </w:tc>
        <w:tc>
          <w:tcPr>
            <w:tcW w:w="2660" w:type="dxa"/>
            <w:shd w:val="clear" w:color="auto" w:fill="auto"/>
          </w:tcPr>
          <w:p w14:paraId="78A220B1"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1C90342B" w14:textId="77777777" w:rsidTr="0066453E">
        <w:trPr>
          <w:cantSplit/>
        </w:trPr>
        <w:tc>
          <w:tcPr>
            <w:tcW w:w="1481" w:type="dxa"/>
            <w:shd w:val="clear" w:color="auto" w:fill="auto"/>
          </w:tcPr>
          <w:p w14:paraId="1F0317EC" w14:textId="77777777" w:rsidR="00A509F7" w:rsidRPr="00461C16" w:rsidRDefault="00A509F7" w:rsidP="003F68C9">
            <w:pPr>
              <w:spacing w:before="40" w:after="40" w:line="240" w:lineRule="auto"/>
              <w:rPr>
                <w:sz w:val="20"/>
                <w:szCs w:val="20"/>
              </w:rPr>
            </w:pPr>
            <w:r w:rsidRPr="00461C16">
              <w:rPr>
                <w:sz w:val="20"/>
                <w:szCs w:val="20"/>
              </w:rPr>
              <w:t>83</w:t>
            </w:r>
          </w:p>
        </w:tc>
        <w:tc>
          <w:tcPr>
            <w:tcW w:w="1258" w:type="dxa"/>
          </w:tcPr>
          <w:p w14:paraId="54B96DB5"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68B2A2B3"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818A716"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VD</w:t>
            </w:r>
          </w:p>
        </w:tc>
        <w:tc>
          <w:tcPr>
            <w:tcW w:w="2660" w:type="dxa"/>
            <w:shd w:val="clear" w:color="auto" w:fill="auto"/>
          </w:tcPr>
          <w:p w14:paraId="54CECCB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dle skutečného stavu</w:t>
            </w:r>
          </w:p>
        </w:tc>
      </w:tr>
      <w:tr w:rsidR="00A509F7" w:rsidRPr="00461C16" w14:paraId="087AE31D" w14:textId="77777777" w:rsidTr="0066453E">
        <w:trPr>
          <w:cantSplit/>
        </w:trPr>
        <w:tc>
          <w:tcPr>
            <w:tcW w:w="1481" w:type="dxa"/>
            <w:shd w:val="clear" w:color="auto" w:fill="auto"/>
          </w:tcPr>
          <w:p w14:paraId="632E0520" w14:textId="77777777" w:rsidR="00A509F7" w:rsidRPr="00461C16" w:rsidRDefault="00A509F7" w:rsidP="003F68C9">
            <w:pPr>
              <w:spacing w:before="40" w:after="40" w:line="240" w:lineRule="auto"/>
              <w:rPr>
                <w:sz w:val="20"/>
                <w:szCs w:val="20"/>
              </w:rPr>
            </w:pPr>
            <w:r w:rsidRPr="00461C16">
              <w:rPr>
                <w:sz w:val="20"/>
                <w:szCs w:val="20"/>
              </w:rPr>
              <w:t>84</w:t>
            </w:r>
          </w:p>
        </w:tc>
        <w:tc>
          <w:tcPr>
            <w:tcW w:w="1258" w:type="dxa"/>
          </w:tcPr>
          <w:p w14:paraId="77877C9B"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23C43A4D"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39FD5658" w14:textId="5E3A94D2" w:rsidR="00A509F7" w:rsidRPr="00461C16" w:rsidRDefault="00A509F7" w:rsidP="00310D4F">
            <w:pPr>
              <w:pStyle w:val="Intabulka"/>
              <w:rPr>
                <w:rFonts w:ascii="Arial Narrow" w:hAnsi="Arial Narrow"/>
              </w:rPr>
            </w:pPr>
            <w:r w:rsidRPr="00461C16">
              <w:rPr>
                <w:rFonts w:ascii="Arial Narrow" w:hAnsi="Arial Narrow"/>
              </w:rPr>
              <w:t>Převzato</w:t>
            </w:r>
            <w:r w:rsidR="00310D4F">
              <w:rPr>
                <w:rFonts w:ascii="Arial Narrow" w:hAnsi="Arial Narrow"/>
                <w:lang w:val="cs-CZ"/>
              </w:rPr>
              <w:t xml:space="preserve"> v realizované části jako plocha BV</w:t>
            </w:r>
            <w:r w:rsidRPr="00461C16">
              <w:rPr>
                <w:rFonts w:ascii="Arial Narrow" w:hAnsi="Arial Narrow"/>
              </w:rPr>
              <w:t>,</w:t>
            </w:r>
            <w:r w:rsidR="00310D4F">
              <w:rPr>
                <w:rFonts w:ascii="Arial Narrow" w:hAnsi="Arial Narrow"/>
                <w:lang w:val="cs-CZ"/>
              </w:rPr>
              <w:t xml:space="preserve"> zbývající rozsah</w:t>
            </w:r>
            <w:r w:rsidRPr="00461C16">
              <w:rPr>
                <w:rFonts w:ascii="Arial Narrow" w:hAnsi="Arial Narrow"/>
              </w:rPr>
              <w:t xml:space="preserve">vymezen jako </w:t>
            </w:r>
            <w:r w:rsidR="00495475">
              <w:rPr>
                <w:rFonts w:ascii="Arial Narrow" w:hAnsi="Arial Narrow"/>
                <w:lang w:val="cs-CZ"/>
              </w:rPr>
              <w:t xml:space="preserve">část </w:t>
            </w:r>
            <w:r w:rsidR="00495475" w:rsidRPr="00461C16">
              <w:rPr>
                <w:rFonts w:ascii="Arial Narrow" w:hAnsi="Arial Narrow"/>
              </w:rPr>
              <w:t>ploch</w:t>
            </w:r>
            <w:r w:rsidR="00495475">
              <w:rPr>
                <w:rFonts w:ascii="Arial Narrow" w:hAnsi="Arial Narrow"/>
                <w:lang w:val="cs-CZ"/>
              </w:rPr>
              <w:t>y</w:t>
            </w:r>
            <w:r w:rsidR="00495475" w:rsidRPr="00461C16">
              <w:rPr>
                <w:rFonts w:ascii="Arial Narrow" w:hAnsi="Arial Narrow"/>
              </w:rPr>
              <w:t xml:space="preserve"> </w:t>
            </w:r>
            <w:r w:rsidRPr="00461C16">
              <w:rPr>
                <w:rFonts w:ascii="Arial Narrow" w:hAnsi="Arial Narrow"/>
              </w:rPr>
              <w:t>změn Z64</w:t>
            </w:r>
          </w:p>
        </w:tc>
        <w:tc>
          <w:tcPr>
            <w:tcW w:w="2660" w:type="dxa"/>
            <w:shd w:val="clear" w:color="auto" w:fill="auto"/>
          </w:tcPr>
          <w:p w14:paraId="46E6348D"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720CA959" w14:textId="77777777" w:rsidTr="0066453E">
        <w:trPr>
          <w:cantSplit/>
        </w:trPr>
        <w:tc>
          <w:tcPr>
            <w:tcW w:w="1481" w:type="dxa"/>
            <w:shd w:val="clear" w:color="auto" w:fill="auto"/>
          </w:tcPr>
          <w:p w14:paraId="6D677380" w14:textId="77777777" w:rsidR="00A509F7" w:rsidRPr="00461C16" w:rsidRDefault="00A509F7" w:rsidP="003F68C9">
            <w:pPr>
              <w:spacing w:before="40" w:after="40" w:line="240" w:lineRule="auto"/>
              <w:rPr>
                <w:sz w:val="20"/>
                <w:szCs w:val="20"/>
              </w:rPr>
            </w:pPr>
            <w:r w:rsidRPr="00461C16">
              <w:rPr>
                <w:sz w:val="20"/>
                <w:szCs w:val="20"/>
              </w:rPr>
              <w:t>85</w:t>
            </w:r>
          </w:p>
        </w:tc>
        <w:tc>
          <w:tcPr>
            <w:tcW w:w="1258" w:type="dxa"/>
          </w:tcPr>
          <w:p w14:paraId="34C6D68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4B2101F0"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4C54288E"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53A4BDA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66B03F28" w14:textId="77777777" w:rsidTr="0066453E">
        <w:trPr>
          <w:cantSplit/>
        </w:trPr>
        <w:tc>
          <w:tcPr>
            <w:tcW w:w="1481" w:type="dxa"/>
            <w:shd w:val="clear" w:color="auto" w:fill="auto"/>
          </w:tcPr>
          <w:p w14:paraId="6AC9BAEF" w14:textId="77777777" w:rsidR="00A509F7" w:rsidRPr="00461C16" w:rsidRDefault="00A509F7" w:rsidP="003F68C9">
            <w:pPr>
              <w:spacing w:before="40" w:after="40" w:line="240" w:lineRule="auto"/>
              <w:rPr>
                <w:sz w:val="20"/>
                <w:szCs w:val="20"/>
              </w:rPr>
            </w:pPr>
            <w:r w:rsidRPr="00461C16">
              <w:rPr>
                <w:sz w:val="20"/>
                <w:szCs w:val="20"/>
              </w:rPr>
              <w:t>90</w:t>
            </w:r>
          </w:p>
        </w:tc>
        <w:tc>
          <w:tcPr>
            <w:tcW w:w="1258" w:type="dxa"/>
          </w:tcPr>
          <w:p w14:paraId="5815498D"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43B38143"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5872B56A"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43A687B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v souladu s koncepcí ÚP</w:t>
            </w:r>
          </w:p>
        </w:tc>
      </w:tr>
      <w:tr w:rsidR="00A509F7" w:rsidRPr="00461C16" w14:paraId="19808DFD" w14:textId="77777777" w:rsidTr="0066453E">
        <w:trPr>
          <w:cantSplit/>
        </w:trPr>
        <w:tc>
          <w:tcPr>
            <w:tcW w:w="1481" w:type="dxa"/>
            <w:shd w:val="clear" w:color="auto" w:fill="auto"/>
          </w:tcPr>
          <w:p w14:paraId="1273C1AB" w14:textId="77777777" w:rsidR="00A509F7" w:rsidRPr="00461C16" w:rsidRDefault="00A509F7" w:rsidP="003F68C9">
            <w:pPr>
              <w:spacing w:before="40" w:after="40" w:line="240" w:lineRule="auto"/>
              <w:rPr>
                <w:sz w:val="20"/>
                <w:szCs w:val="20"/>
              </w:rPr>
            </w:pPr>
            <w:r w:rsidRPr="00461C16">
              <w:rPr>
                <w:sz w:val="20"/>
                <w:szCs w:val="20"/>
              </w:rPr>
              <w:t>91</w:t>
            </w:r>
          </w:p>
        </w:tc>
        <w:tc>
          <w:tcPr>
            <w:tcW w:w="1258" w:type="dxa"/>
          </w:tcPr>
          <w:p w14:paraId="7DD97251"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1A038C48" w14:textId="77777777" w:rsidR="00A509F7" w:rsidRPr="00461C16" w:rsidRDefault="00A509F7"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15296D91" w14:textId="77777777" w:rsidR="00A509F7" w:rsidRPr="00461C16" w:rsidRDefault="00A509F7"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715D0B1F"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 xml:space="preserve">vymezeno jako stabilizovaná plocha dle skutečného stavu </w:t>
            </w:r>
          </w:p>
        </w:tc>
      </w:tr>
      <w:tr w:rsidR="00A509F7" w:rsidRPr="00461C16" w14:paraId="07847CD8" w14:textId="77777777" w:rsidTr="0066453E">
        <w:trPr>
          <w:cantSplit/>
        </w:trPr>
        <w:tc>
          <w:tcPr>
            <w:tcW w:w="1481" w:type="dxa"/>
            <w:shd w:val="clear" w:color="auto" w:fill="auto"/>
          </w:tcPr>
          <w:p w14:paraId="73D3E1C6" w14:textId="77777777" w:rsidR="00A509F7" w:rsidRPr="00461C16" w:rsidRDefault="00A509F7" w:rsidP="003F68C9">
            <w:pPr>
              <w:spacing w:before="40" w:after="40" w:line="240" w:lineRule="auto"/>
              <w:rPr>
                <w:sz w:val="20"/>
                <w:szCs w:val="20"/>
              </w:rPr>
            </w:pPr>
            <w:r w:rsidRPr="00461C16">
              <w:rPr>
                <w:sz w:val="20"/>
                <w:szCs w:val="20"/>
              </w:rPr>
              <w:t>92</w:t>
            </w:r>
          </w:p>
        </w:tc>
        <w:tc>
          <w:tcPr>
            <w:tcW w:w="1258" w:type="dxa"/>
          </w:tcPr>
          <w:p w14:paraId="228951FB"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091AD723"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65BC221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Nepřevzato, jiné trasování komunikace, vymezeno jako NS</w:t>
            </w:r>
          </w:p>
        </w:tc>
        <w:tc>
          <w:tcPr>
            <w:tcW w:w="2660" w:type="dxa"/>
            <w:shd w:val="clear" w:color="auto" w:fill="auto"/>
          </w:tcPr>
          <w:p w14:paraId="7D74DE63"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neaktuálnost záměru, vymezeno dle skutečného stavu</w:t>
            </w:r>
          </w:p>
        </w:tc>
      </w:tr>
      <w:tr w:rsidR="00A509F7" w:rsidRPr="00461C16" w14:paraId="0ED0030E" w14:textId="77777777" w:rsidTr="0066453E">
        <w:trPr>
          <w:cantSplit/>
        </w:trPr>
        <w:tc>
          <w:tcPr>
            <w:tcW w:w="1481" w:type="dxa"/>
            <w:shd w:val="clear" w:color="auto" w:fill="auto"/>
          </w:tcPr>
          <w:p w14:paraId="00B62E22" w14:textId="77777777" w:rsidR="00A509F7" w:rsidRPr="00461C16" w:rsidRDefault="00A509F7" w:rsidP="003F68C9">
            <w:pPr>
              <w:spacing w:before="40" w:after="40" w:line="240" w:lineRule="auto"/>
              <w:rPr>
                <w:sz w:val="20"/>
                <w:szCs w:val="20"/>
              </w:rPr>
            </w:pPr>
            <w:r w:rsidRPr="00461C16">
              <w:rPr>
                <w:sz w:val="20"/>
                <w:szCs w:val="20"/>
              </w:rPr>
              <w:t>93</w:t>
            </w:r>
          </w:p>
        </w:tc>
        <w:tc>
          <w:tcPr>
            <w:tcW w:w="1258" w:type="dxa"/>
          </w:tcPr>
          <w:p w14:paraId="681482A6"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Loučná</w:t>
            </w:r>
          </w:p>
        </w:tc>
        <w:tc>
          <w:tcPr>
            <w:tcW w:w="1630" w:type="dxa"/>
            <w:shd w:val="clear" w:color="auto" w:fill="auto"/>
          </w:tcPr>
          <w:p w14:paraId="75E51243"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6FFA9896" w14:textId="77777777" w:rsidR="00A509F7" w:rsidRPr="00461C16" w:rsidRDefault="00A509F7" w:rsidP="003F68C9">
            <w:pPr>
              <w:pStyle w:val="Intabulka"/>
              <w:rPr>
                <w:rFonts w:ascii="Arial Narrow" w:hAnsi="Arial Narrow"/>
              </w:rPr>
            </w:pPr>
            <w:r w:rsidRPr="00461C16">
              <w:rPr>
                <w:rFonts w:ascii="Arial Narrow" w:hAnsi="Arial Narrow"/>
                <w:lang w:val="cs-CZ"/>
              </w:rPr>
              <w:t>Nepřevzato, jiné trasování komunikace, vymezeno jako NS</w:t>
            </w:r>
          </w:p>
        </w:tc>
        <w:tc>
          <w:tcPr>
            <w:tcW w:w="2660" w:type="dxa"/>
            <w:shd w:val="clear" w:color="auto" w:fill="auto"/>
          </w:tcPr>
          <w:p w14:paraId="7BBCA342"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neaktuálnost záměru, vymezeno dle skutečného stavu</w:t>
            </w:r>
          </w:p>
        </w:tc>
      </w:tr>
      <w:tr w:rsidR="00A509F7" w:rsidRPr="00461C16" w14:paraId="736DA0FB" w14:textId="77777777" w:rsidTr="0066453E">
        <w:trPr>
          <w:cantSplit/>
        </w:trPr>
        <w:tc>
          <w:tcPr>
            <w:tcW w:w="1481" w:type="dxa"/>
            <w:shd w:val="clear" w:color="auto" w:fill="auto"/>
          </w:tcPr>
          <w:p w14:paraId="5D11EF19" w14:textId="77777777" w:rsidR="00A509F7" w:rsidRPr="00461C16" w:rsidRDefault="00A509F7" w:rsidP="003F68C9">
            <w:pPr>
              <w:spacing w:before="40" w:after="40" w:line="240" w:lineRule="auto"/>
              <w:jc w:val="left"/>
              <w:rPr>
                <w:sz w:val="20"/>
                <w:szCs w:val="20"/>
              </w:rPr>
            </w:pPr>
            <w:r w:rsidRPr="00461C16">
              <w:rPr>
                <w:sz w:val="20"/>
                <w:szCs w:val="20"/>
              </w:rPr>
              <w:t>101 (několik dílčích ploch)</w:t>
            </w:r>
          </w:p>
        </w:tc>
        <w:tc>
          <w:tcPr>
            <w:tcW w:w="1258" w:type="dxa"/>
          </w:tcPr>
          <w:p w14:paraId="140E8912"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0CAD3C1A" w14:textId="77777777" w:rsidR="00A509F7" w:rsidRPr="00461C16" w:rsidRDefault="00A509F7" w:rsidP="003F68C9">
            <w:pPr>
              <w:spacing w:before="40" w:after="40" w:line="240" w:lineRule="auto"/>
              <w:jc w:val="left"/>
              <w:rPr>
                <w:sz w:val="20"/>
                <w:szCs w:val="20"/>
              </w:rPr>
            </w:pPr>
            <w:r w:rsidRPr="00461C16">
              <w:rPr>
                <w:sz w:val="20"/>
                <w:szCs w:val="20"/>
              </w:rPr>
              <w:t>plocha sportu a tělovýchovy</w:t>
            </w:r>
          </w:p>
        </w:tc>
        <w:tc>
          <w:tcPr>
            <w:tcW w:w="2259" w:type="dxa"/>
            <w:shd w:val="clear" w:color="auto" w:fill="auto"/>
          </w:tcPr>
          <w:p w14:paraId="6CE76CA3" w14:textId="77777777" w:rsidR="00A509F7" w:rsidRPr="00461C16" w:rsidRDefault="00A509F7" w:rsidP="003F68C9">
            <w:pPr>
              <w:pStyle w:val="Intabulka"/>
              <w:rPr>
                <w:rFonts w:ascii="Arial Narrow" w:hAnsi="Arial Narrow"/>
              </w:rPr>
            </w:pPr>
            <w:r w:rsidRPr="00461C16">
              <w:rPr>
                <w:rFonts w:ascii="Arial Narrow" w:hAnsi="Arial Narrow"/>
                <w:lang w:val="cs-CZ"/>
              </w:rPr>
              <w:t>P</w:t>
            </w:r>
            <w:r w:rsidRPr="00461C16">
              <w:rPr>
                <w:rFonts w:ascii="Arial Narrow" w:hAnsi="Arial Narrow"/>
              </w:rPr>
              <w:t>řevzato</w:t>
            </w:r>
            <w:r w:rsidRPr="00461C16">
              <w:rPr>
                <w:rFonts w:ascii="Arial Narrow" w:hAnsi="Arial Narrow"/>
                <w:lang w:val="cs-CZ"/>
              </w:rPr>
              <w:t xml:space="preserve"> pouze v rozsahu realizované části</w:t>
            </w:r>
          </w:p>
        </w:tc>
        <w:tc>
          <w:tcPr>
            <w:tcW w:w="2660" w:type="dxa"/>
            <w:shd w:val="clear" w:color="auto" w:fill="auto"/>
          </w:tcPr>
          <w:p w14:paraId="053F9617"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Neaktuálnost záměru, zájem města na jiném způsobu využití území</w:t>
            </w:r>
          </w:p>
        </w:tc>
      </w:tr>
      <w:tr w:rsidR="00A509F7" w:rsidRPr="00461C16" w14:paraId="77C665F5" w14:textId="77777777" w:rsidTr="0066453E">
        <w:trPr>
          <w:cantSplit/>
        </w:trPr>
        <w:tc>
          <w:tcPr>
            <w:tcW w:w="1481" w:type="dxa"/>
            <w:shd w:val="clear" w:color="auto" w:fill="auto"/>
          </w:tcPr>
          <w:p w14:paraId="4FC5B8F7" w14:textId="77777777" w:rsidR="00A509F7" w:rsidRPr="00461C16" w:rsidRDefault="00A509F7" w:rsidP="003F68C9">
            <w:pPr>
              <w:spacing w:before="40" w:after="40" w:line="240" w:lineRule="auto"/>
              <w:jc w:val="left"/>
              <w:rPr>
                <w:sz w:val="20"/>
                <w:szCs w:val="20"/>
              </w:rPr>
            </w:pPr>
            <w:r w:rsidRPr="00461C16">
              <w:rPr>
                <w:sz w:val="20"/>
                <w:szCs w:val="20"/>
              </w:rPr>
              <w:t>102 (několik dílčích ploch)</w:t>
            </w:r>
          </w:p>
        </w:tc>
        <w:tc>
          <w:tcPr>
            <w:tcW w:w="1258" w:type="dxa"/>
          </w:tcPr>
          <w:p w14:paraId="6F55B844"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68AEF0E" w14:textId="77777777" w:rsidR="00A509F7" w:rsidRPr="00461C16" w:rsidRDefault="00A509F7" w:rsidP="003F68C9">
            <w:pPr>
              <w:spacing w:before="40" w:after="40" w:line="240" w:lineRule="auto"/>
              <w:jc w:val="left"/>
              <w:rPr>
                <w:color w:val="000000"/>
                <w:sz w:val="20"/>
                <w:szCs w:val="20"/>
              </w:rPr>
            </w:pPr>
            <w:r w:rsidRPr="00461C16">
              <w:rPr>
                <w:color w:val="000000"/>
                <w:sz w:val="20"/>
                <w:szCs w:val="20"/>
              </w:rPr>
              <w:t>plocha rekreace zahrádkářské osady</w:t>
            </w:r>
          </w:p>
        </w:tc>
        <w:tc>
          <w:tcPr>
            <w:tcW w:w="2259" w:type="dxa"/>
            <w:shd w:val="clear" w:color="auto" w:fill="auto"/>
          </w:tcPr>
          <w:p w14:paraId="5B01CAB8" w14:textId="77777777" w:rsidR="00A509F7" w:rsidRPr="00461C16" w:rsidRDefault="00A509F7" w:rsidP="003F68C9">
            <w:pPr>
              <w:pStyle w:val="Intabulka"/>
              <w:rPr>
                <w:rFonts w:ascii="Arial Narrow" w:hAnsi="Arial Narrow"/>
              </w:rPr>
            </w:pPr>
            <w:r w:rsidRPr="00461C16">
              <w:rPr>
                <w:rFonts w:ascii="Arial Narrow" w:hAnsi="Arial Narrow"/>
              </w:rPr>
              <w:t xml:space="preserve">Nepřevzato, vymezeno </w:t>
            </w:r>
            <w:r w:rsidRPr="00461C16">
              <w:rPr>
                <w:rFonts w:ascii="Arial Narrow" w:hAnsi="Arial Narrow"/>
                <w:lang w:val="cs-CZ"/>
              </w:rPr>
              <w:t xml:space="preserve">z části </w:t>
            </w:r>
            <w:r w:rsidRPr="00461C16">
              <w:rPr>
                <w:rFonts w:ascii="Arial Narrow" w:hAnsi="Arial Narrow"/>
              </w:rPr>
              <w:t>jako RN</w:t>
            </w:r>
          </w:p>
        </w:tc>
        <w:tc>
          <w:tcPr>
            <w:tcW w:w="2660" w:type="dxa"/>
            <w:shd w:val="clear" w:color="auto" w:fill="auto"/>
          </w:tcPr>
          <w:p w14:paraId="6ECADE7D"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Podpořena vhodnější forma rekreace – rozvoj stávajícího areálu Kristýna.</w:t>
            </w:r>
          </w:p>
        </w:tc>
      </w:tr>
      <w:tr w:rsidR="00A509F7" w:rsidRPr="00461C16" w14:paraId="11CDC3D1" w14:textId="77777777" w:rsidTr="0066453E">
        <w:trPr>
          <w:cantSplit/>
        </w:trPr>
        <w:tc>
          <w:tcPr>
            <w:tcW w:w="1481" w:type="dxa"/>
            <w:shd w:val="clear" w:color="auto" w:fill="auto"/>
          </w:tcPr>
          <w:p w14:paraId="11424E49" w14:textId="77777777" w:rsidR="00A509F7" w:rsidRPr="00461C16" w:rsidRDefault="00A509F7" w:rsidP="003F68C9">
            <w:pPr>
              <w:spacing w:before="40" w:after="40" w:line="240" w:lineRule="auto"/>
              <w:jc w:val="left"/>
              <w:rPr>
                <w:sz w:val="20"/>
                <w:szCs w:val="20"/>
              </w:rPr>
            </w:pPr>
            <w:r w:rsidRPr="00461C16">
              <w:rPr>
                <w:sz w:val="20"/>
                <w:szCs w:val="20"/>
              </w:rPr>
              <w:t>103</w:t>
            </w:r>
          </w:p>
        </w:tc>
        <w:tc>
          <w:tcPr>
            <w:tcW w:w="1258" w:type="dxa"/>
          </w:tcPr>
          <w:p w14:paraId="37C1F7C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74A4131" w14:textId="77777777" w:rsidR="00A509F7" w:rsidRPr="00461C16" w:rsidRDefault="00A509F7"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66B3B05E"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Nepřevzato, vymezeno jako RN, RH, PX</w:t>
            </w:r>
          </w:p>
        </w:tc>
        <w:tc>
          <w:tcPr>
            <w:tcW w:w="2660" w:type="dxa"/>
            <w:shd w:val="clear" w:color="auto" w:fill="auto"/>
          </w:tcPr>
          <w:p w14:paraId="1681EF80"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Chybějící bližší podklad pro vymezení záměru, podrobnější uspořádání celého území bude řešeno v územní studii.</w:t>
            </w:r>
          </w:p>
        </w:tc>
      </w:tr>
      <w:tr w:rsidR="00A509F7" w:rsidRPr="00461C16" w14:paraId="7BE3733D" w14:textId="77777777" w:rsidTr="0066453E">
        <w:trPr>
          <w:cantSplit/>
        </w:trPr>
        <w:tc>
          <w:tcPr>
            <w:tcW w:w="1481" w:type="dxa"/>
            <w:shd w:val="clear" w:color="auto" w:fill="auto"/>
          </w:tcPr>
          <w:p w14:paraId="1DDDD2E3" w14:textId="77777777" w:rsidR="00A509F7" w:rsidRPr="00461C16" w:rsidRDefault="00A509F7" w:rsidP="003F68C9">
            <w:pPr>
              <w:spacing w:before="40" w:after="40" w:line="240" w:lineRule="auto"/>
              <w:jc w:val="left"/>
              <w:rPr>
                <w:sz w:val="20"/>
                <w:szCs w:val="20"/>
              </w:rPr>
            </w:pPr>
            <w:r w:rsidRPr="00461C16">
              <w:rPr>
                <w:sz w:val="20"/>
                <w:szCs w:val="20"/>
              </w:rPr>
              <w:t>104</w:t>
            </w:r>
          </w:p>
        </w:tc>
        <w:tc>
          <w:tcPr>
            <w:tcW w:w="1258" w:type="dxa"/>
          </w:tcPr>
          <w:p w14:paraId="61F01D83"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3A91CA1" w14:textId="77777777" w:rsidR="00A509F7" w:rsidRPr="00461C16" w:rsidRDefault="00A509F7" w:rsidP="003F68C9">
            <w:pPr>
              <w:spacing w:before="40" w:after="40" w:line="240" w:lineRule="auto"/>
              <w:jc w:val="left"/>
              <w:rPr>
                <w:color w:val="000000"/>
                <w:sz w:val="20"/>
                <w:szCs w:val="20"/>
              </w:rPr>
            </w:pPr>
            <w:r w:rsidRPr="00461C16">
              <w:rPr>
                <w:color w:val="000000"/>
                <w:sz w:val="20"/>
                <w:szCs w:val="20"/>
              </w:rPr>
              <w:t>plocha rekreace zahrádkářské osady</w:t>
            </w:r>
          </w:p>
        </w:tc>
        <w:tc>
          <w:tcPr>
            <w:tcW w:w="2259" w:type="dxa"/>
            <w:shd w:val="clear" w:color="auto" w:fill="auto"/>
          </w:tcPr>
          <w:p w14:paraId="19BC37DD"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RH</w:t>
            </w:r>
          </w:p>
        </w:tc>
        <w:tc>
          <w:tcPr>
            <w:tcW w:w="2660" w:type="dxa"/>
            <w:shd w:val="clear" w:color="auto" w:fill="auto"/>
          </w:tcPr>
          <w:p w14:paraId="64B7D7EC"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Podpořena vhodnější forma rekreace – rozvoj stávajícího areálu Kristýna.</w:t>
            </w:r>
          </w:p>
        </w:tc>
      </w:tr>
      <w:tr w:rsidR="00A509F7" w:rsidRPr="00461C16" w14:paraId="2F185A8E" w14:textId="77777777" w:rsidTr="0066453E">
        <w:trPr>
          <w:cantSplit/>
        </w:trPr>
        <w:tc>
          <w:tcPr>
            <w:tcW w:w="1481" w:type="dxa"/>
            <w:shd w:val="clear" w:color="auto" w:fill="auto"/>
          </w:tcPr>
          <w:p w14:paraId="5FC8EAB0" w14:textId="77777777" w:rsidR="00A509F7" w:rsidRPr="00461C16" w:rsidRDefault="00A509F7" w:rsidP="003F68C9">
            <w:pPr>
              <w:spacing w:before="40" w:after="40" w:line="240" w:lineRule="auto"/>
              <w:jc w:val="left"/>
              <w:rPr>
                <w:sz w:val="20"/>
                <w:szCs w:val="20"/>
              </w:rPr>
            </w:pPr>
            <w:r w:rsidRPr="00461C16">
              <w:rPr>
                <w:sz w:val="20"/>
                <w:szCs w:val="20"/>
              </w:rPr>
              <w:lastRenderedPageBreak/>
              <w:t>105</w:t>
            </w:r>
          </w:p>
        </w:tc>
        <w:tc>
          <w:tcPr>
            <w:tcW w:w="1258" w:type="dxa"/>
          </w:tcPr>
          <w:p w14:paraId="39E041C5"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B48089E" w14:textId="77777777" w:rsidR="00A509F7" w:rsidRPr="00461C16" w:rsidRDefault="00A509F7" w:rsidP="003F68C9">
            <w:pPr>
              <w:spacing w:before="40" w:after="40" w:line="240" w:lineRule="auto"/>
              <w:jc w:val="left"/>
              <w:rPr>
                <w:color w:val="000000"/>
                <w:sz w:val="20"/>
                <w:szCs w:val="20"/>
              </w:rPr>
            </w:pPr>
            <w:r w:rsidRPr="00461C16">
              <w:rPr>
                <w:color w:val="000000"/>
                <w:sz w:val="20"/>
                <w:szCs w:val="20"/>
              </w:rPr>
              <w:t>plocha rekreace zahrádkářské osady</w:t>
            </w:r>
          </w:p>
        </w:tc>
        <w:tc>
          <w:tcPr>
            <w:tcW w:w="2259" w:type="dxa"/>
            <w:shd w:val="clear" w:color="auto" w:fill="auto"/>
          </w:tcPr>
          <w:p w14:paraId="457F7E5F" w14:textId="77777777" w:rsidR="00A509F7" w:rsidRPr="00461C16" w:rsidRDefault="00A509F7" w:rsidP="003F68C9">
            <w:pPr>
              <w:pStyle w:val="Intabulka"/>
              <w:rPr>
                <w:rFonts w:ascii="Arial Narrow" w:hAnsi="Arial Narrow"/>
              </w:rPr>
            </w:pPr>
            <w:r w:rsidRPr="00461C16">
              <w:rPr>
                <w:rFonts w:ascii="Arial Narrow" w:hAnsi="Arial Narrow"/>
              </w:rPr>
              <w:t>Nepřevzato, vymezeno jako plocha změn Z32 - RN</w:t>
            </w:r>
          </w:p>
        </w:tc>
        <w:tc>
          <w:tcPr>
            <w:tcW w:w="2660" w:type="dxa"/>
            <w:shd w:val="clear" w:color="auto" w:fill="auto"/>
          </w:tcPr>
          <w:p w14:paraId="471FEEC8" w14:textId="77777777" w:rsidR="00A509F7" w:rsidRPr="00461C16" w:rsidRDefault="00A509F7" w:rsidP="003F68C9">
            <w:pPr>
              <w:pStyle w:val="Intabulka"/>
              <w:rPr>
                <w:rFonts w:ascii="Arial Narrow" w:hAnsi="Arial Narrow"/>
                <w:lang w:val="cs-CZ"/>
              </w:rPr>
            </w:pPr>
            <w:r w:rsidRPr="00461C16">
              <w:rPr>
                <w:rFonts w:ascii="Arial Narrow" w:hAnsi="Arial Narrow"/>
                <w:lang w:val="cs-CZ"/>
              </w:rPr>
              <w:t>Podpořena vhodnější forma rekreace – rozvoj stávajícího areálu Kristýna.</w:t>
            </w:r>
          </w:p>
        </w:tc>
      </w:tr>
      <w:tr w:rsidR="00C87F96" w:rsidRPr="00461C16" w14:paraId="3C9D31DF" w14:textId="77777777" w:rsidTr="0066453E">
        <w:trPr>
          <w:cantSplit/>
        </w:trPr>
        <w:tc>
          <w:tcPr>
            <w:tcW w:w="1481" w:type="dxa"/>
            <w:shd w:val="clear" w:color="auto" w:fill="auto"/>
          </w:tcPr>
          <w:p w14:paraId="5456C2A4" w14:textId="77777777" w:rsidR="00C87F96" w:rsidRPr="00BE629C" w:rsidRDefault="00C87F96" w:rsidP="003F68C9">
            <w:pPr>
              <w:spacing w:before="40" w:after="40" w:line="240" w:lineRule="auto"/>
              <w:jc w:val="left"/>
              <w:rPr>
                <w:b/>
                <w:sz w:val="20"/>
                <w:szCs w:val="20"/>
              </w:rPr>
            </w:pPr>
            <w:r>
              <w:rPr>
                <w:sz w:val="20"/>
                <w:szCs w:val="20"/>
              </w:rPr>
              <w:t>106</w:t>
            </w:r>
            <w:r w:rsidR="00BE629C">
              <w:rPr>
                <w:sz w:val="20"/>
                <w:szCs w:val="20"/>
              </w:rPr>
              <w:t xml:space="preserve"> </w:t>
            </w:r>
            <w:r w:rsidR="00BE629C" w:rsidRPr="00461C16">
              <w:rPr>
                <w:sz w:val="20"/>
                <w:szCs w:val="20"/>
              </w:rPr>
              <w:t>(několik dílčích ploch)</w:t>
            </w:r>
          </w:p>
        </w:tc>
        <w:tc>
          <w:tcPr>
            <w:tcW w:w="1258" w:type="dxa"/>
          </w:tcPr>
          <w:p w14:paraId="1F75EB3E"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09CE5EF3" w14:textId="77777777" w:rsidR="00C87F96" w:rsidRPr="00461C16" w:rsidRDefault="00C87F96" w:rsidP="003F68C9">
            <w:pPr>
              <w:spacing w:before="40" w:after="40" w:line="240" w:lineRule="auto"/>
              <w:jc w:val="left"/>
              <w:rPr>
                <w:color w:val="000000"/>
                <w:sz w:val="20"/>
                <w:szCs w:val="20"/>
              </w:rPr>
            </w:pPr>
            <w:r>
              <w:rPr>
                <w:color w:val="000000"/>
                <w:sz w:val="20"/>
                <w:szCs w:val="20"/>
              </w:rPr>
              <w:t>plocha obytné zástavby středopodlažní</w:t>
            </w:r>
          </w:p>
        </w:tc>
        <w:tc>
          <w:tcPr>
            <w:tcW w:w="2259" w:type="dxa"/>
            <w:shd w:val="clear" w:color="auto" w:fill="auto"/>
          </w:tcPr>
          <w:p w14:paraId="4D1D574F" w14:textId="77777777" w:rsidR="00C87F96" w:rsidRPr="00C87F96" w:rsidRDefault="00C87F96" w:rsidP="003F68C9">
            <w:pPr>
              <w:pStyle w:val="Intabulka"/>
              <w:rPr>
                <w:rFonts w:ascii="Arial Narrow" w:hAnsi="Arial Narrow"/>
                <w:lang w:val="cs-CZ"/>
              </w:rPr>
            </w:pPr>
            <w:r>
              <w:rPr>
                <w:rFonts w:ascii="Arial Narrow" w:hAnsi="Arial Narrow"/>
                <w:lang w:val="cs-CZ"/>
              </w:rPr>
              <w:t>Převzato jako stabilizovaná plocha SC</w:t>
            </w:r>
          </w:p>
        </w:tc>
        <w:tc>
          <w:tcPr>
            <w:tcW w:w="2660" w:type="dxa"/>
            <w:shd w:val="clear" w:color="auto" w:fill="auto"/>
          </w:tcPr>
          <w:p w14:paraId="79AB5307" w14:textId="77777777" w:rsidR="00C87F96" w:rsidRPr="00461C16" w:rsidRDefault="00BE629C"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79D76811" w14:textId="77777777" w:rsidTr="0066453E">
        <w:trPr>
          <w:cantSplit/>
        </w:trPr>
        <w:tc>
          <w:tcPr>
            <w:tcW w:w="1481" w:type="dxa"/>
            <w:shd w:val="clear" w:color="auto" w:fill="auto"/>
          </w:tcPr>
          <w:p w14:paraId="758F1B70" w14:textId="77777777" w:rsidR="00C87F96" w:rsidRPr="00461C16" w:rsidRDefault="00C87F96" w:rsidP="003F68C9">
            <w:pPr>
              <w:spacing w:before="40" w:after="40" w:line="240" w:lineRule="auto"/>
              <w:jc w:val="left"/>
              <w:rPr>
                <w:sz w:val="20"/>
                <w:szCs w:val="20"/>
              </w:rPr>
            </w:pPr>
            <w:r w:rsidRPr="00461C16">
              <w:rPr>
                <w:sz w:val="20"/>
                <w:szCs w:val="20"/>
              </w:rPr>
              <w:t>108</w:t>
            </w:r>
          </w:p>
        </w:tc>
        <w:tc>
          <w:tcPr>
            <w:tcW w:w="1258" w:type="dxa"/>
          </w:tcPr>
          <w:p w14:paraId="0E1C995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A327530" w14:textId="77777777" w:rsidR="00C87F96" w:rsidRPr="00461C16" w:rsidRDefault="00C87F96"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7CC6BE8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Převzato</w:t>
            </w:r>
          </w:p>
        </w:tc>
        <w:tc>
          <w:tcPr>
            <w:tcW w:w="2660" w:type="dxa"/>
            <w:shd w:val="clear" w:color="auto" w:fill="auto"/>
          </w:tcPr>
          <w:p w14:paraId="6F891AD6"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realizováno</w:t>
            </w:r>
          </w:p>
        </w:tc>
      </w:tr>
      <w:tr w:rsidR="00C87F96" w:rsidRPr="00461C16" w14:paraId="06AD6BB3" w14:textId="77777777" w:rsidTr="0066453E">
        <w:trPr>
          <w:cantSplit/>
        </w:trPr>
        <w:tc>
          <w:tcPr>
            <w:tcW w:w="1481" w:type="dxa"/>
            <w:shd w:val="clear" w:color="auto" w:fill="auto"/>
          </w:tcPr>
          <w:p w14:paraId="57C05CC5" w14:textId="77777777" w:rsidR="00C87F96" w:rsidRPr="00461C16" w:rsidRDefault="00C87F96" w:rsidP="003F68C9">
            <w:pPr>
              <w:spacing w:before="40" w:after="40" w:line="240" w:lineRule="auto"/>
              <w:jc w:val="left"/>
              <w:rPr>
                <w:sz w:val="20"/>
                <w:szCs w:val="20"/>
              </w:rPr>
            </w:pPr>
            <w:r w:rsidRPr="00461C16">
              <w:rPr>
                <w:sz w:val="20"/>
                <w:szCs w:val="20"/>
              </w:rPr>
              <w:t>109</w:t>
            </w:r>
          </w:p>
        </w:tc>
        <w:tc>
          <w:tcPr>
            <w:tcW w:w="1258" w:type="dxa"/>
          </w:tcPr>
          <w:p w14:paraId="09B3D08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2529DA8" w14:textId="77777777" w:rsidR="00C87F96" w:rsidRPr="00461C16" w:rsidRDefault="00F74662" w:rsidP="003F68C9">
            <w:pPr>
              <w:spacing w:before="40" w:after="40" w:line="240" w:lineRule="auto"/>
              <w:jc w:val="left"/>
              <w:rPr>
                <w:sz w:val="20"/>
                <w:szCs w:val="20"/>
              </w:rPr>
            </w:pPr>
            <w:r w:rsidRPr="00461C16">
              <w:rPr>
                <w:sz w:val="20"/>
                <w:szCs w:val="20"/>
              </w:rPr>
              <w:t xml:space="preserve">plochy </w:t>
            </w:r>
            <w:r>
              <w:rPr>
                <w:sz w:val="20"/>
                <w:szCs w:val="20"/>
              </w:rPr>
              <w:t xml:space="preserve">komerční, výrobní služby, </w:t>
            </w:r>
            <w:r w:rsidRPr="00461C16">
              <w:rPr>
                <w:sz w:val="20"/>
                <w:szCs w:val="20"/>
              </w:rPr>
              <w:t>výrob</w:t>
            </w:r>
            <w:r>
              <w:rPr>
                <w:sz w:val="20"/>
                <w:szCs w:val="20"/>
              </w:rPr>
              <w:t>a drobná - čistá</w:t>
            </w:r>
            <w:r w:rsidRPr="00461C16">
              <w:rPr>
                <w:sz w:val="20"/>
                <w:szCs w:val="20"/>
              </w:rPr>
              <w:t xml:space="preserve"> nečisté</w:t>
            </w:r>
          </w:p>
        </w:tc>
        <w:tc>
          <w:tcPr>
            <w:tcW w:w="2259" w:type="dxa"/>
            <w:shd w:val="clear" w:color="auto" w:fill="auto"/>
          </w:tcPr>
          <w:p w14:paraId="46772A18"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územní rezerva R07 - SC</w:t>
            </w:r>
          </w:p>
        </w:tc>
        <w:tc>
          <w:tcPr>
            <w:tcW w:w="2660" w:type="dxa"/>
            <w:shd w:val="clear" w:color="auto" w:fill="auto"/>
          </w:tcPr>
          <w:p w14:paraId="6496C26B"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neaktuálnost záměru, chybějící podklad pro vymezení, aktivní zóna záplavového území</w:t>
            </w:r>
          </w:p>
        </w:tc>
      </w:tr>
      <w:tr w:rsidR="00C87F96" w:rsidRPr="00461C16" w14:paraId="08DBF4C9" w14:textId="77777777" w:rsidTr="0066453E">
        <w:trPr>
          <w:cantSplit/>
        </w:trPr>
        <w:tc>
          <w:tcPr>
            <w:tcW w:w="1481" w:type="dxa"/>
            <w:shd w:val="clear" w:color="auto" w:fill="auto"/>
          </w:tcPr>
          <w:p w14:paraId="460969EC" w14:textId="77777777" w:rsidR="00C87F96" w:rsidRPr="00461C16" w:rsidRDefault="00C87F96" w:rsidP="003F68C9">
            <w:pPr>
              <w:spacing w:before="40" w:after="40" w:line="240" w:lineRule="auto"/>
              <w:jc w:val="left"/>
              <w:rPr>
                <w:sz w:val="20"/>
                <w:szCs w:val="20"/>
              </w:rPr>
            </w:pPr>
            <w:r w:rsidRPr="00461C16">
              <w:rPr>
                <w:sz w:val="20"/>
                <w:szCs w:val="20"/>
              </w:rPr>
              <w:t>110</w:t>
            </w:r>
          </w:p>
        </w:tc>
        <w:tc>
          <w:tcPr>
            <w:tcW w:w="1258" w:type="dxa"/>
          </w:tcPr>
          <w:p w14:paraId="72316FE7"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D9EE3B5" w14:textId="77777777" w:rsidR="00C87F96" w:rsidRPr="00461C16" w:rsidRDefault="00C87F96"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03927B16"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plocha změn Z32 - RN</w:t>
            </w:r>
          </w:p>
        </w:tc>
        <w:tc>
          <w:tcPr>
            <w:tcW w:w="2660" w:type="dxa"/>
            <w:shd w:val="clear" w:color="auto" w:fill="auto"/>
          </w:tcPr>
          <w:p w14:paraId="2588B6D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Podpořena vhodnější a aktuální forma využití dle požadavku města – rozvoj stávajícího areálu Kristýna.</w:t>
            </w:r>
          </w:p>
        </w:tc>
      </w:tr>
      <w:tr w:rsidR="00C87F96" w:rsidRPr="00461C16" w14:paraId="66DEEC60" w14:textId="77777777" w:rsidTr="0066453E">
        <w:trPr>
          <w:cantSplit/>
        </w:trPr>
        <w:tc>
          <w:tcPr>
            <w:tcW w:w="1481" w:type="dxa"/>
            <w:shd w:val="clear" w:color="auto" w:fill="auto"/>
          </w:tcPr>
          <w:p w14:paraId="794A74D8" w14:textId="77777777" w:rsidR="00C87F96" w:rsidRPr="00461C16" w:rsidRDefault="00C87F96" w:rsidP="003F68C9">
            <w:pPr>
              <w:spacing w:before="40" w:after="40" w:line="240" w:lineRule="auto"/>
              <w:jc w:val="left"/>
              <w:rPr>
                <w:sz w:val="20"/>
                <w:szCs w:val="20"/>
              </w:rPr>
            </w:pPr>
            <w:r w:rsidRPr="00461C16">
              <w:rPr>
                <w:sz w:val="20"/>
                <w:szCs w:val="20"/>
              </w:rPr>
              <w:t>111</w:t>
            </w:r>
          </w:p>
        </w:tc>
        <w:tc>
          <w:tcPr>
            <w:tcW w:w="1258" w:type="dxa"/>
          </w:tcPr>
          <w:p w14:paraId="38717AA8"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747B3FFE" w14:textId="77777777" w:rsidR="00C87F96" w:rsidRPr="00461C16" w:rsidRDefault="00C87F96"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3752DF9F"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plocha NS</w:t>
            </w:r>
          </w:p>
        </w:tc>
        <w:tc>
          <w:tcPr>
            <w:tcW w:w="2660" w:type="dxa"/>
            <w:shd w:val="clear" w:color="auto" w:fill="auto"/>
          </w:tcPr>
          <w:p w14:paraId="0159A36B"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neaktuálnost záměru</w:t>
            </w:r>
          </w:p>
        </w:tc>
      </w:tr>
      <w:tr w:rsidR="00C87F96" w:rsidRPr="00461C16" w14:paraId="76250507" w14:textId="77777777" w:rsidTr="0066453E">
        <w:trPr>
          <w:cantSplit/>
        </w:trPr>
        <w:tc>
          <w:tcPr>
            <w:tcW w:w="1481" w:type="dxa"/>
            <w:shd w:val="clear" w:color="auto" w:fill="auto"/>
          </w:tcPr>
          <w:p w14:paraId="111F1B09" w14:textId="77777777" w:rsidR="00C87F96" w:rsidRPr="00461C16" w:rsidRDefault="00C87F96" w:rsidP="003F68C9">
            <w:pPr>
              <w:spacing w:before="40" w:after="40" w:line="240" w:lineRule="auto"/>
              <w:jc w:val="left"/>
              <w:rPr>
                <w:sz w:val="20"/>
                <w:szCs w:val="20"/>
              </w:rPr>
            </w:pPr>
            <w:r w:rsidRPr="00461C16">
              <w:rPr>
                <w:sz w:val="20"/>
                <w:szCs w:val="20"/>
              </w:rPr>
              <w:t>112</w:t>
            </w:r>
          </w:p>
        </w:tc>
        <w:tc>
          <w:tcPr>
            <w:tcW w:w="1258" w:type="dxa"/>
          </w:tcPr>
          <w:p w14:paraId="715CE662"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13FF2DB3" w14:textId="77777777" w:rsidR="00C87F96" w:rsidRPr="00461C16" w:rsidRDefault="00C87F96" w:rsidP="003F68C9">
            <w:pPr>
              <w:spacing w:before="40" w:after="40" w:line="240" w:lineRule="auto"/>
              <w:jc w:val="left"/>
              <w:rPr>
                <w:sz w:val="20"/>
                <w:szCs w:val="20"/>
              </w:rPr>
            </w:pPr>
            <w:r w:rsidRPr="00461C16">
              <w:rPr>
                <w:sz w:val="20"/>
                <w:szCs w:val="20"/>
              </w:rPr>
              <w:t>plocha výroby čisté a výrobních služeb</w:t>
            </w:r>
          </w:p>
        </w:tc>
        <w:tc>
          <w:tcPr>
            <w:tcW w:w="2259" w:type="dxa"/>
            <w:shd w:val="clear" w:color="auto" w:fill="auto"/>
          </w:tcPr>
          <w:p w14:paraId="3F88D550" w14:textId="77777777" w:rsidR="00C87F96" w:rsidRPr="00461C16" w:rsidRDefault="00C87F96" w:rsidP="003F68C9">
            <w:pPr>
              <w:pStyle w:val="Intabulka"/>
              <w:rPr>
                <w:rFonts w:ascii="Arial Narrow" w:hAnsi="Arial Narrow"/>
              </w:rPr>
            </w:pPr>
            <w:r w:rsidRPr="00461C16">
              <w:rPr>
                <w:rFonts w:ascii="Arial Narrow" w:hAnsi="Arial Narrow"/>
              </w:rPr>
              <w:t xml:space="preserve">Převzato, </w:t>
            </w:r>
            <w:r w:rsidR="006863D3">
              <w:rPr>
                <w:rFonts w:ascii="Arial Narrow" w:hAnsi="Arial Narrow"/>
                <w:lang w:val="cs-CZ"/>
              </w:rPr>
              <w:t xml:space="preserve">z větší části již realizováno, zbývající část </w:t>
            </w:r>
            <w:r w:rsidR="006863D3" w:rsidRPr="00461C16">
              <w:rPr>
                <w:rFonts w:ascii="Arial Narrow" w:hAnsi="Arial Narrow"/>
              </w:rPr>
              <w:t>vymezen</w:t>
            </w:r>
            <w:r w:rsidR="006863D3">
              <w:rPr>
                <w:rFonts w:ascii="Arial Narrow" w:hAnsi="Arial Narrow"/>
                <w:lang w:val="cs-CZ"/>
              </w:rPr>
              <w:t>a</w:t>
            </w:r>
            <w:r w:rsidR="006863D3" w:rsidRPr="00461C16">
              <w:rPr>
                <w:rFonts w:ascii="Arial Narrow" w:hAnsi="Arial Narrow"/>
              </w:rPr>
              <w:t xml:space="preserve"> </w:t>
            </w:r>
            <w:r w:rsidRPr="00461C16">
              <w:rPr>
                <w:rFonts w:ascii="Arial Narrow" w:hAnsi="Arial Narrow"/>
              </w:rPr>
              <w:t>jako plocha změn Z36 – VL</w:t>
            </w:r>
          </w:p>
        </w:tc>
        <w:tc>
          <w:tcPr>
            <w:tcW w:w="2660" w:type="dxa"/>
            <w:shd w:val="clear" w:color="auto" w:fill="auto"/>
          </w:tcPr>
          <w:p w14:paraId="7F6C3B1F"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 xml:space="preserve">v souladu s koncepcí ÚP </w:t>
            </w:r>
          </w:p>
        </w:tc>
      </w:tr>
      <w:tr w:rsidR="00C87F96" w:rsidRPr="00461C16" w14:paraId="103A3254" w14:textId="77777777" w:rsidTr="0066453E">
        <w:trPr>
          <w:cantSplit/>
        </w:trPr>
        <w:tc>
          <w:tcPr>
            <w:tcW w:w="1481" w:type="dxa"/>
            <w:shd w:val="clear" w:color="auto" w:fill="auto"/>
          </w:tcPr>
          <w:p w14:paraId="053EC59F" w14:textId="77777777" w:rsidR="00C87F96" w:rsidRPr="00461C16" w:rsidRDefault="00C87F96" w:rsidP="003F68C9">
            <w:pPr>
              <w:spacing w:before="40" w:after="40" w:line="240" w:lineRule="auto"/>
              <w:jc w:val="left"/>
              <w:rPr>
                <w:sz w:val="20"/>
                <w:szCs w:val="20"/>
              </w:rPr>
            </w:pPr>
            <w:r w:rsidRPr="00461C16">
              <w:rPr>
                <w:sz w:val="20"/>
                <w:szCs w:val="20"/>
              </w:rPr>
              <w:t>114</w:t>
            </w:r>
          </w:p>
        </w:tc>
        <w:tc>
          <w:tcPr>
            <w:tcW w:w="1258" w:type="dxa"/>
          </w:tcPr>
          <w:p w14:paraId="543023C7"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5D959EA" w14:textId="77777777" w:rsidR="00C87F96" w:rsidRPr="00461C16" w:rsidRDefault="00C87F96"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0E5B50EF"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Nepřevzato, jiné trasování komunikace, vymezeno jako NS</w:t>
            </w:r>
          </w:p>
        </w:tc>
        <w:tc>
          <w:tcPr>
            <w:tcW w:w="2660" w:type="dxa"/>
            <w:shd w:val="clear" w:color="auto" w:fill="auto"/>
          </w:tcPr>
          <w:p w14:paraId="603C9C04"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chybějící podrobnější podklad pro vymezení záměru, nezbytnou dopravní infrastrukturu lze realizovat i v plochách NS</w:t>
            </w:r>
          </w:p>
        </w:tc>
      </w:tr>
      <w:tr w:rsidR="00C87F96" w:rsidRPr="00461C16" w14:paraId="1F7AADCE" w14:textId="77777777" w:rsidTr="0066453E">
        <w:trPr>
          <w:cantSplit/>
        </w:trPr>
        <w:tc>
          <w:tcPr>
            <w:tcW w:w="1481" w:type="dxa"/>
            <w:shd w:val="clear" w:color="auto" w:fill="auto"/>
          </w:tcPr>
          <w:p w14:paraId="23A97112" w14:textId="77777777" w:rsidR="00C87F96" w:rsidRPr="00461C16" w:rsidRDefault="00C87F96" w:rsidP="003F68C9">
            <w:pPr>
              <w:spacing w:before="40" w:after="40" w:line="240" w:lineRule="auto"/>
              <w:jc w:val="left"/>
              <w:rPr>
                <w:sz w:val="20"/>
                <w:szCs w:val="20"/>
              </w:rPr>
            </w:pPr>
            <w:r w:rsidRPr="00461C16">
              <w:rPr>
                <w:sz w:val="20"/>
                <w:szCs w:val="20"/>
              </w:rPr>
              <w:t>120</w:t>
            </w:r>
          </w:p>
        </w:tc>
        <w:tc>
          <w:tcPr>
            <w:tcW w:w="1258" w:type="dxa"/>
          </w:tcPr>
          <w:p w14:paraId="36638DF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44B0392" w14:textId="77777777" w:rsidR="00C87F96" w:rsidRPr="00461C16" w:rsidRDefault="00C87F96" w:rsidP="003F68C9">
            <w:pPr>
              <w:spacing w:before="40" w:after="40" w:line="240" w:lineRule="auto"/>
              <w:jc w:val="left"/>
              <w:rPr>
                <w:sz w:val="20"/>
                <w:szCs w:val="20"/>
              </w:rPr>
            </w:pPr>
            <w:r w:rsidRPr="00461C16">
              <w:rPr>
                <w:sz w:val="20"/>
                <w:szCs w:val="20"/>
              </w:rPr>
              <w:t>plocha rekreace – zahrádkářské osady</w:t>
            </w:r>
          </w:p>
        </w:tc>
        <w:tc>
          <w:tcPr>
            <w:tcW w:w="2259" w:type="dxa"/>
            <w:shd w:val="clear" w:color="auto" w:fill="auto"/>
          </w:tcPr>
          <w:p w14:paraId="6CD4B7A7"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NS</w:t>
            </w:r>
          </w:p>
        </w:tc>
        <w:tc>
          <w:tcPr>
            <w:tcW w:w="2660" w:type="dxa"/>
            <w:shd w:val="clear" w:color="auto" w:fill="auto"/>
          </w:tcPr>
          <w:p w14:paraId="379663A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nežádoucí rozpínání zástavby do volné krajiny</w:t>
            </w:r>
          </w:p>
        </w:tc>
      </w:tr>
      <w:tr w:rsidR="00C87F96" w:rsidRPr="00461C16" w14:paraId="582F6DB0" w14:textId="77777777" w:rsidTr="0066453E">
        <w:trPr>
          <w:cantSplit/>
        </w:trPr>
        <w:tc>
          <w:tcPr>
            <w:tcW w:w="1481" w:type="dxa"/>
            <w:shd w:val="clear" w:color="auto" w:fill="auto"/>
          </w:tcPr>
          <w:p w14:paraId="406A7607" w14:textId="77777777" w:rsidR="00C87F96" w:rsidRPr="00461C16" w:rsidRDefault="00C87F96" w:rsidP="003F68C9">
            <w:pPr>
              <w:spacing w:before="40" w:after="40" w:line="240" w:lineRule="auto"/>
              <w:jc w:val="left"/>
              <w:rPr>
                <w:sz w:val="20"/>
                <w:szCs w:val="20"/>
              </w:rPr>
            </w:pPr>
            <w:r w:rsidRPr="00461C16">
              <w:rPr>
                <w:sz w:val="20"/>
                <w:szCs w:val="20"/>
              </w:rPr>
              <w:t>121</w:t>
            </w:r>
          </w:p>
        </w:tc>
        <w:tc>
          <w:tcPr>
            <w:tcW w:w="1258" w:type="dxa"/>
          </w:tcPr>
          <w:p w14:paraId="4F3EBB3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34A2050D" w14:textId="77777777" w:rsidR="00C87F96" w:rsidRPr="00461C16" w:rsidRDefault="00C87F96" w:rsidP="003F68C9">
            <w:pPr>
              <w:spacing w:before="40" w:after="40" w:line="240" w:lineRule="auto"/>
              <w:jc w:val="left"/>
              <w:rPr>
                <w:color w:val="000000"/>
                <w:sz w:val="20"/>
                <w:szCs w:val="20"/>
              </w:rPr>
            </w:pPr>
            <w:r w:rsidRPr="00461C16">
              <w:rPr>
                <w:color w:val="000000"/>
                <w:sz w:val="20"/>
                <w:szCs w:val="20"/>
              </w:rPr>
              <w:t>plocha sportu a tělovýchovy</w:t>
            </w:r>
          </w:p>
        </w:tc>
        <w:tc>
          <w:tcPr>
            <w:tcW w:w="2259" w:type="dxa"/>
            <w:shd w:val="clear" w:color="auto" w:fill="auto"/>
          </w:tcPr>
          <w:p w14:paraId="46A8A128"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NK</w:t>
            </w:r>
          </w:p>
        </w:tc>
        <w:tc>
          <w:tcPr>
            <w:tcW w:w="2660" w:type="dxa"/>
            <w:shd w:val="clear" w:color="auto" w:fill="auto"/>
          </w:tcPr>
          <w:p w14:paraId="4E3B68C7"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neaktuálnost záměru, zájem na zachování kontinuálního pásu zeleně</w:t>
            </w:r>
          </w:p>
        </w:tc>
      </w:tr>
      <w:tr w:rsidR="00C87F96" w:rsidRPr="00461C16" w14:paraId="6B827248" w14:textId="77777777" w:rsidTr="0066453E">
        <w:trPr>
          <w:cantSplit/>
        </w:trPr>
        <w:tc>
          <w:tcPr>
            <w:tcW w:w="1481" w:type="dxa"/>
            <w:shd w:val="clear" w:color="auto" w:fill="auto"/>
          </w:tcPr>
          <w:p w14:paraId="2E8FD926" w14:textId="77777777" w:rsidR="00C87F96" w:rsidRPr="00461C16" w:rsidRDefault="00C87F96" w:rsidP="003F68C9">
            <w:pPr>
              <w:spacing w:before="40" w:after="40" w:line="240" w:lineRule="auto"/>
              <w:rPr>
                <w:sz w:val="20"/>
                <w:szCs w:val="20"/>
              </w:rPr>
            </w:pPr>
            <w:r w:rsidRPr="00461C16">
              <w:rPr>
                <w:sz w:val="20"/>
                <w:szCs w:val="20"/>
              </w:rPr>
              <w:t>150</w:t>
            </w:r>
          </w:p>
        </w:tc>
        <w:tc>
          <w:tcPr>
            <w:tcW w:w="1258" w:type="dxa"/>
          </w:tcPr>
          <w:p w14:paraId="5F8A42F8"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56381ED3" w14:textId="77777777" w:rsidR="00C87F96" w:rsidRPr="00461C16" w:rsidRDefault="00C87F96"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420372B9"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Nepřevzato</w:t>
            </w:r>
          </w:p>
        </w:tc>
        <w:tc>
          <w:tcPr>
            <w:tcW w:w="2660" w:type="dxa"/>
            <w:shd w:val="clear" w:color="auto" w:fill="auto"/>
          </w:tcPr>
          <w:p w14:paraId="1954F688"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chybějící podrobnější podklad pro vymezení záměru</w:t>
            </w:r>
          </w:p>
        </w:tc>
      </w:tr>
      <w:tr w:rsidR="00C87F96" w:rsidRPr="00461C16" w14:paraId="24ED8DD2" w14:textId="77777777" w:rsidTr="0066453E">
        <w:trPr>
          <w:cantSplit/>
        </w:trPr>
        <w:tc>
          <w:tcPr>
            <w:tcW w:w="1481" w:type="dxa"/>
            <w:shd w:val="clear" w:color="auto" w:fill="auto"/>
          </w:tcPr>
          <w:p w14:paraId="06671AD0" w14:textId="77777777" w:rsidR="00C87F96" w:rsidRPr="00461C16" w:rsidRDefault="00C87F96" w:rsidP="003F68C9">
            <w:pPr>
              <w:spacing w:before="40" w:after="40" w:line="240" w:lineRule="auto"/>
              <w:jc w:val="left"/>
              <w:rPr>
                <w:sz w:val="20"/>
                <w:szCs w:val="20"/>
              </w:rPr>
            </w:pPr>
            <w:r w:rsidRPr="00461C16">
              <w:rPr>
                <w:sz w:val="20"/>
                <w:szCs w:val="20"/>
              </w:rPr>
              <w:t>151 (několik dílčích ploch)</w:t>
            </w:r>
          </w:p>
        </w:tc>
        <w:tc>
          <w:tcPr>
            <w:tcW w:w="1258" w:type="dxa"/>
          </w:tcPr>
          <w:p w14:paraId="3C7C4B58"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07634823"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06D3200A" w14:textId="77777777" w:rsidR="00C87F96" w:rsidRPr="00461C16" w:rsidRDefault="00C87F96" w:rsidP="003F68C9">
            <w:pPr>
              <w:pStyle w:val="Intabulka"/>
              <w:rPr>
                <w:rFonts w:ascii="Arial Narrow" w:hAnsi="Arial Narrow"/>
              </w:rPr>
            </w:pPr>
            <w:r>
              <w:rPr>
                <w:rFonts w:ascii="Arial Narrow" w:hAnsi="Arial Narrow"/>
                <w:lang w:val="cs-CZ"/>
              </w:rPr>
              <w:t>P</w:t>
            </w:r>
            <w:r w:rsidRPr="00461C16">
              <w:rPr>
                <w:rFonts w:ascii="Arial Narrow" w:hAnsi="Arial Narrow"/>
              </w:rPr>
              <w:t>řevzato</w:t>
            </w:r>
            <w:r>
              <w:rPr>
                <w:rFonts w:ascii="Arial Narrow" w:hAnsi="Arial Narrow"/>
                <w:lang w:val="cs-CZ"/>
              </w:rPr>
              <w:t xml:space="preserve"> částečně jako plochy změn Z73 a Z107</w:t>
            </w:r>
            <w:r w:rsidRPr="00461C16">
              <w:rPr>
                <w:rFonts w:ascii="Arial Narrow" w:hAnsi="Arial Narrow"/>
              </w:rPr>
              <w:t xml:space="preserve">, </w:t>
            </w:r>
            <w:r>
              <w:rPr>
                <w:rFonts w:ascii="Arial Narrow" w:hAnsi="Arial Narrow"/>
                <w:lang w:val="cs-CZ"/>
              </w:rPr>
              <w:t xml:space="preserve">část </w:t>
            </w:r>
            <w:r w:rsidRPr="00461C16">
              <w:rPr>
                <w:rFonts w:ascii="Arial Narrow" w:hAnsi="Arial Narrow"/>
              </w:rPr>
              <w:t>vymezen</w:t>
            </w:r>
            <w:r>
              <w:rPr>
                <w:rFonts w:ascii="Arial Narrow" w:hAnsi="Arial Narrow"/>
                <w:lang w:val="cs-CZ"/>
              </w:rPr>
              <w:t>a</w:t>
            </w:r>
            <w:r w:rsidRPr="00461C16">
              <w:rPr>
                <w:rFonts w:ascii="Arial Narrow" w:hAnsi="Arial Narrow"/>
              </w:rPr>
              <w:t xml:space="preserve"> jako NS</w:t>
            </w:r>
          </w:p>
        </w:tc>
        <w:tc>
          <w:tcPr>
            <w:tcW w:w="2660" w:type="dxa"/>
            <w:shd w:val="clear" w:color="auto" w:fill="auto"/>
          </w:tcPr>
          <w:p w14:paraId="6C80D162"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podpořeno pouze scelení fragmentované zástavby, nikoliv nežádoucí rozpínání zástavby do volné krajiny</w:t>
            </w:r>
          </w:p>
        </w:tc>
      </w:tr>
      <w:tr w:rsidR="00C87F96" w:rsidRPr="00461C16" w14:paraId="15A4DC61" w14:textId="77777777" w:rsidTr="0066453E">
        <w:trPr>
          <w:cantSplit/>
        </w:trPr>
        <w:tc>
          <w:tcPr>
            <w:tcW w:w="1481" w:type="dxa"/>
            <w:shd w:val="clear" w:color="auto" w:fill="auto"/>
          </w:tcPr>
          <w:p w14:paraId="48667673" w14:textId="77777777" w:rsidR="00C87F96" w:rsidRPr="00461C16" w:rsidRDefault="00C87F96" w:rsidP="003F68C9">
            <w:pPr>
              <w:spacing w:before="40" w:after="40" w:line="240" w:lineRule="auto"/>
              <w:rPr>
                <w:sz w:val="20"/>
                <w:szCs w:val="20"/>
              </w:rPr>
            </w:pPr>
            <w:r w:rsidRPr="00461C16">
              <w:rPr>
                <w:sz w:val="20"/>
                <w:szCs w:val="20"/>
              </w:rPr>
              <w:t>152</w:t>
            </w:r>
          </w:p>
        </w:tc>
        <w:tc>
          <w:tcPr>
            <w:tcW w:w="1258" w:type="dxa"/>
          </w:tcPr>
          <w:p w14:paraId="1DDAE65B"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71C3FCF5"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06CC4349" w14:textId="77777777" w:rsidR="00C87F96" w:rsidRPr="00461C16" w:rsidRDefault="00C87F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653DF9CB"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6DFFA6A0" w14:textId="77777777" w:rsidTr="0066453E">
        <w:trPr>
          <w:cantSplit/>
        </w:trPr>
        <w:tc>
          <w:tcPr>
            <w:tcW w:w="1481" w:type="dxa"/>
            <w:shd w:val="clear" w:color="auto" w:fill="auto"/>
          </w:tcPr>
          <w:p w14:paraId="70A743D6" w14:textId="77777777" w:rsidR="00C87F96" w:rsidRPr="00461C16" w:rsidRDefault="00C87F96" w:rsidP="003F68C9">
            <w:pPr>
              <w:spacing w:before="40" w:after="40" w:line="240" w:lineRule="auto"/>
              <w:jc w:val="left"/>
              <w:rPr>
                <w:sz w:val="20"/>
                <w:szCs w:val="20"/>
              </w:rPr>
            </w:pPr>
            <w:r w:rsidRPr="00461C16">
              <w:rPr>
                <w:sz w:val="20"/>
                <w:szCs w:val="20"/>
              </w:rPr>
              <w:t>153 (několik dílčích ploch)</w:t>
            </w:r>
          </w:p>
        </w:tc>
        <w:tc>
          <w:tcPr>
            <w:tcW w:w="1258" w:type="dxa"/>
          </w:tcPr>
          <w:p w14:paraId="5BE25756"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153D5BFB"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DFE6893" w14:textId="77777777" w:rsidR="00C87F96" w:rsidRPr="00461C16" w:rsidRDefault="00C87F96" w:rsidP="003F68C9">
            <w:pPr>
              <w:pStyle w:val="Intabulka"/>
              <w:rPr>
                <w:rFonts w:ascii="Arial Narrow" w:hAnsi="Arial Narrow"/>
              </w:rPr>
            </w:pPr>
            <w:r w:rsidRPr="00461C16">
              <w:rPr>
                <w:rFonts w:ascii="Arial Narrow" w:hAnsi="Arial Narrow"/>
              </w:rPr>
              <w:t xml:space="preserve">Převzato </w:t>
            </w:r>
            <w:r>
              <w:rPr>
                <w:rFonts w:ascii="Arial Narrow" w:hAnsi="Arial Narrow"/>
                <w:lang w:val="cs-CZ"/>
              </w:rPr>
              <w:t>jako plochy změn Z76 a Z109</w:t>
            </w:r>
          </w:p>
        </w:tc>
        <w:tc>
          <w:tcPr>
            <w:tcW w:w="2660" w:type="dxa"/>
            <w:shd w:val="clear" w:color="auto" w:fill="auto"/>
          </w:tcPr>
          <w:p w14:paraId="53FEB8AD" w14:textId="77777777" w:rsidR="00C87F96" w:rsidRPr="00461C16" w:rsidRDefault="00C87F96" w:rsidP="003F68C9">
            <w:pPr>
              <w:pStyle w:val="Intabulka"/>
              <w:rPr>
                <w:rFonts w:ascii="Arial Narrow" w:hAnsi="Arial Narrow"/>
                <w:lang w:val="cs-CZ"/>
              </w:rPr>
            </w:pPr>
            <w:r>
              <w:rPr>
                <w:rFonts w:ascii="Arial Narrow" w:hAnsi="Arial Narrow"/>
                <w:lang w:val="cs-CZ"/>
              </w:rPr>
              <w:t>dodatečný požadavek zadavatele na vymezení celé plochy v rámci úprav pro veřejné projednání</w:t>
            </w:r>
          </w:p>
        </w:tc>
      </w:tr>
      <w:tr w:rsidR="00C87F96" w:rsidRPr="00461C16" w14:paraId="42C017CE" w14:textId="77777777" w:rsidTr="0066453E">
        <w:trPr>
          <w:cantSplit/>
        </w:trPr>
        <w:tc>
          <w:tcPr>
            <w:tcW w:w="1481" w:type="dxa"/>
            <w:shd w:val="clear" w:color="auto" w:fill="auto"/>
          </w:tcPr>
          <w:p w14:paraId="03A849E8" w14:textId="77777777" w:rsidR="00C87F96" w:rsidRPr="00461C16" w:rsidRDefault="00C87F96" w:rsidP="003F68C9">
            <w:pPr>
              <w:spacing w:before="40" w:after="40" w:line="240" w:lineRule="auto"/>
              <w:rPr>
                <w:sz w:val="20"/>
                <w:szCs w:val="20"/>
              </w:rPr>
            </w:pPr>
            <w:r w:rsidRPr="00461C16">
              <w:rPr>
                <w:sz w:val="20"/>
                <w:szCs w:val="20"/>
              </w:rPr>
              <w:lastRenderedPageBreak/>
              <w:t>154</w:t>
            </w:r>
          </w:p>
        </w:tc>
        <w:tc>
          <w:tcPr>
            <w:tcW w:w="1258" w:type="dxa"/>
          </w:tcPr>
          <w:p w14:paraId="6A27ED78"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18CE0A89"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3376D980" w14:textId="77777777" w:rsidR="00C87F96" w:rsidRPr="005D25E0" w:rsidRDefault="00C87F96" w:rsidP="003F68C9">
            <w:pPr>
              <w:pStyle w:val="Intabulka"/>
              <w:rPr>
                <w:rFonts w:ascii="Arial Narrow" w:hAnsi="Arial Narrow"/>
                <w:lang w:val="cs-CZ"/>
              </w:rPr>
            </w:pPr>
            <w:r>
              <w:rPr>
                <w:rFonts w:ascii="Arial Narrow" w:hAnsi="Arial Narrow"/>
                <w:lang w:val="cs-CZ"/>
              </w:rPr>
              <w:t>Převzato z části jako plocha změn Z106, část vymezena jako stabilizovaná plocha BV, , zbývající část vymezena jako NS</w:t>
            </w:r>
          </w:p>
        </w:tc>
        <w:tc>
          <w:tcPr>
            <w:tcW w:w="2660" w:type="dxa"/>
            <w:shd w:val="clear" w:color="auto" w:fill="auto"/>
          </w:tcPr>
          <w:p w14:paraId="7182D206" w14:textId="77777777" w:rsidR="00C87F96" w:rsidRPr="00461C16" w:rsidRDefault="00C87F96" w:rsidP="003F68C9">
            <w:pPr>
              <w:pStyle w:val="Intabulka"/>
              <w:rPr>
                <w:rFonts w:ascii="Arial Narrow" w:hAnsi="Arial Narrow"/>
                <w:lang w:val="cs-CZ"/>
              </w:rPr>
            </w:pPr>
            <w:r>
              <w:rPr>
                <w:rFonts w:ascii="Arial Narrow" w:hAnsi="Arial Narrow"/>
                <w:lang w:val="cs-CZ"/>
              </w:rPr>
              <w:t>dodatečný požadavek zadavatele na vymezení plochy v rámci úprav pro veřejné projednání</w:t>
            </w:r>
          </w:p>
        </w:tc>
      </w:tr>
      <w:tr w:rsidR="00C87F96" w:rsidRPr="00461C16" w14:paraId="28A17210" w14:textId="77777777" w:rsidTr="0066453E">
        <w:trPr>
          <w:cantSplit/>
        </w:trPr>
        <w:tc>
          <w:tcPr>
            <w:tcW w:w="1481" w:type="dxa"/>
            <w:shd w:val="clear" w:color="auto" w:fill="auto"/>
          </w:tcPr>
          <w:p w14:paraId="5E5E1BC4" w14:textId="77777777" w:rsidR="00C87F96" w:rsidRPr="00461C16" w:rsidRDefault="00C87F96" w:rsidP="003F68C9">
            <w:pPr>
              <w:spacing w:before="40" w:after="40" w:line="240" w:lineRule="auto"/>
              <w:jc w:val="left"/>
              <w:rPr>
                <w:sz w:val="20"/>
                <w:szCs w:val="20"/>
              </w:rPr>
            </w:pPr>
            <w:r w:rsidRPr="00461C16">
              <w:rPr>
                <w:sz w:val="20"/>
                <w:szCs w:val="20"/>
              </w:rPr>
              <w:t>155 (několik dílčích ploch)</w:t>
            </w:r>
          </w:p>
        </w:tc>
        <w:tc>
          <w:tcPr>
            <w:tcW w:w="1258" w:type="dxa"/>
          </w:tcPr>
          <w:p w14:paraId="5B5C178D"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770064E5"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52B9BE0" w14:textId="77777777" w:rsidR="00C87F96" w:rsidRPr="00FB2658" w:rsidRDefault="00C87F96" w:rsidP="003F68C9">
            <w:pPr>
              <w:pStyle w:val="Intabulka"/>
              <w:rPr>
                <w:rFonts w:ascii="Arial Narrow" w:hAnsi="Arial Narrow"/>
                <w:lang w:val="cs-CZ"/>
              </w:rPr>
            </w:pPr>
            <w:r>
              <w:rPr>
                <w:rFonts w:ascii="Arial Narrow" w:hAnsi="Arial Narrow"/>
                <w:lang w:val="cs-CZ"/>
              </w:rPr>
              <w:t>Převzato z části jako plocha změn Z105, zbývající část vymezena jako NS</w:t>
            </w:r>
          </w:p>
        </w:tc>
        <w:tc>
          <w:tcPr>
            <w:tcW w:w="2660" w:type="dxa"/>
            <w:shd w:val="clear" w:color="auto" w:fill="auto"/>
          </w:tcPr>
          <w:p w14:paraId="5507D5C9" w14:textId="77777777" w:rsidR="00C87F96" w:rsidRPr="00461C16" w:rsidRDefault="00C87F96" w:rsidP="003F68C9">
            <w:pPr>
              <w:pStyle w:val="Intabulka"/>
              <w:rPr>
                <w:rFonts w:ascii="Arial Narrow" w:hAnsi="Arial Narrow"/>
                <w:lang w:val="cs-CZ"/>
              </w:rPr>
            </w:pPr>
            <w:r>
              <w:rPr>
                <w:rFonts w:ascii="Arial Narrow" w:hAnsi="Arial Narrow"/>
                <w:lang w:val="cs-CZ"/>
              </w:rPr>
              <w:t>dodatečný požadavek zadavatele na vymezení plochy v rámci úprav pro veřejné projednání</w:t>
            </w:r>
          </w:p>
        </w:tc>
      </w:tr>
      <w:tr w:rsidR="00C87F96" w:rsidRPr="00461C16" w14:paraId="071200A0" w14:textId="77777777" w:rsidTr="0066453E">
        <w:trPr>
          <w:cantSplit/>
        </w:trPr>
        <w:tc>
          <w:tcPr>
            <w:tcW w:w="1481" w:type="dxa"/>
            <w:shd w:val="clear" w:color="auto" w:fill="auto"/>
          </w:tcPr>
          <w:p w14:paraId="54A194D2" w14:textId="77777777" w:rsidR="00C87F96" w:rsidRPr="00461C16" w:rsidRDefault="00C87F96" w:rsidP="003F68C9">
            <w:pPr>
              <w:spacing w:before="40" w:after="40" w:line="240" w:lineRule="auto"/>
              <w:rPr>
                <w:sz w:val="20"/>
                <w:szCs w:val="20"/>
              </w:rPr>
            </w:pPr>
            <w:r w:rsidRPr="00461C16">
              <w:rPr>
                <w:sz w:val="20"/>
                <w:szCs w:val="20"/>
              </w:rPr>
              <w:t>156</w:t>
            </w:r>
          </w:p>
        </w:tc>
        <w:tc>
          <w:tcPr>
            <w:tcW w:w="1258" w:type="dxa"/>
          </w:tcPr>
          <w:p w14:paraId="55D7214B"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39250E64"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5DA5EB7E" w14:textId="77777777" w:rsidR="00C87F96" w:rsidRPr="00461C16" w:rsidRDefault="00C87F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41482075"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47577F49" w14:textId="77777777" w:rsidTr="0066453E">
        <w:trPr>
          <w:cantSplit/>
        </w:trPr>
        <w:tc>
          <w:tcPr>
            <w:tcW w:w="1481" w:type="dxa"/>
            <w:shd w:val="clear" w:color="auto" w:fill="auto"/>
          </w:tcPr>
          <w:p w14:paraId="58AE9E9D" w14:textId="77777777" w:rsidR="00C87F96" w:rsidRPr="00461C16" w:rsidRDefault="00C87F96" w:rsidP="003F68C9">
            <w:pPr>
              <w:spacing w:before="40" w:after="40" w:line="240" w:lineRule="auto"/>
              <w:rPr>
                <w:sz w:val="20"/>
                <w:szCs w:val="20"/>
              </w:rPr>
            </w:pPr>
            <w:r w:rsidRPr="00461C16">
              <w:rPr>
                <w:sz w:val="20"/>
                <w:szCs w:val="20"/>
              </w:rPr>
              <w:t>157</w:t>
            </w:r>
          </w:p>
        </w:tc>
        <w:tc>
          <w:tcPr>
            <w:tcW w:w="1258" w:type="dxa"/>
          </w:tcPr>
          <w:p w14:paraId="3E07D87C"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4E08D2A8" w14:textId="77777777" w:rsidR="00C87F96" w:rsidRPr="00461C16" w:rsidRDefault="00061701" w:rsidP="003F68C9">
            <w:pPr>
              <w:spacing w:before="40" w:after="40" w:line="240" w:lineRule="auto"/>
              <w:jc w:val="left"/>
              <w:rPr>
                <w:sz w:val="20"/>
                <w:szCs w:val="20"/>
              </w:rPr>
            </w:pPr>
            <w:r w:rsidRPr="00461C16">
              <w:rPr>
                <w:sz w:val="20"/>
                <w:szCs w:val="20"/>
              </w:rPr>
              <w:t>plocha obytné zástavby nízkopodlažní venkovské</w:t>
            </w:r>
            <w:r>
              <w:rPr>
                <w:sz w:val="20"/>
                <w:szCs w:val="20"/>
              </w:rPr>
              <w:t>,</w:t>
            </w:r>
            <w:r w:rsidRPr="00461C16">
              <w:rPr>
                <w:sz w:val="20"/>
                <w:szCs w:val="20"/>
              </w:rPr>
              <w:t xml:space="preserve"> </w:t>
            </w:r>
            <w:r w:rsidR="00C87F96" w:rsidRPr="00461C16">
              <w:rPr>
                <w:sz w:val="20"/>
                <w:szCs w:val="20"/>
              </w:rPr>
              <w:t>plocha občanské vybavenosti a nevýrobních služeb</w:t>
            </w:r>
          </w:p>
        </w:tc>
        <w:tc>
          <w:tcPr>
            <w:tcW w:w="2259" w:type="dxa"/>
            <w:shd w:val="clear" w:color="auto" w:fill="auto"/>
          </w:tcPr>
          <w:p w14:paraId="4386470E"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w:t>
            </w:r>
            <w:r w:rsidRPr="00461C16">
              <w:rPr>
                <w:rFonts w:ascii="Arial Narrow" w:hAnsi="Arial Narrow"/>
              </w:rPr>
              <w:t>řevzato, vymezeno jako</w:t>
            </w:r>
            <w:r w:rsidRPr="00461C16">
              <w:rPr>
                <w:rFonts w:ascii="Arial Narrow" w:hAnsi="Arial Narrow"/>
                <w:lang w:val="cs-CZ"/>
              </w:rPr>
              <w:t xml:space="preserve"> plocha smíšená</w:t>
            </w:r>
            <w:r w:rsidRPr="00461C16">
              <w:rPr>
                <w:rFonts w:ascii="Arial Narrow" w:hAnsi="Arial Narrow"/>
              </w:rPr>
              <w:t xml:space="preserve"> SV</w:t>
            </w:r>
            <w:r w:rsidRPr="00461C16">
              <w:rPr>
                <w:rFonts w:ascii="Arial Narrow" w:hAnsi="Arial Narrow"/>
                <w:lang w:val="cs-CZ"/>
              </w:rPr>
              <w:t>, s možností umístění občanského vybavení a služeb</w:t>
            </w:r>
          </w:p>
        </w:tc>
        <w:tc>
          <w:tcPr>
            <w:tcW w:w="2660" w:type="dxa"/>
            <w:shd w:val="clear" w:color="auto" w:fill="auto"/>
          </w:tcPr>
          <w:p w14:paraId="1160BDA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1F2E2D97" w14:textId="77777777" w:rsidTr="0066453E">
        <w:trPr>
          <w:cantSplit/>
        </w:trPr>
        <w:tc>
          <w:tcPr>
            <w:tcW w:w="1481" w:type="dxa"/>
            <w:shd w:val="clear" w:color="auto" w:fill="auto"/>
          </w:tcPr>
          <w:p w14:paraId="02BAFD66" w14:textId="77777777" w:rsidR="00C87F96" w:rsidRPr="00461C16" w:rsidRDefault="00C87F96" w:rsidP="003F68C9">
            <w:pPr>
              <w:spacing w:before="40" w:after="40" w:line="240" w:lineRule="auto"/>
              <w:jc w:val="left"/>
              <w:rPr>
                <w:sz w:val="20"/>
                <w:szCs w:val="20"/>
              </w:rPr>
            </w:pPr>
            <w:r w:rsidRPr="00461C16">
              <w:rPr>
                <w:sz w:val="20"/>
                <w:szCs w:val="20"/>
              </w:rPr>
              <w:t>158 (několik dílčích ploch)</w:t>
            </w:r>
          </w:p>
        </w:tc>
        <w:tc>
          <w:tcPr>
            <w:tcW w:w="1258" w:type="dxa"/>
          </w:tcPr>
          <w:p w14:paraId="5A97D86B"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0E565AB7" w14:textId="77777777" w:rsidR="00C87F96" w:rsidRPr="00461C16" w:rsidRDefault="00C87F96" w:rsidP="003F68C9">
            <w:pPr>
              <w:spacing w:before="40" w:after="40" w:line="240" w:lineRule="auto"/>
              <w:jc w:val="left"/>
              <w:rPr>
                <w:sz w:val="20"/>
                <w:szCs w:val="20"/>
              </w:rPr>
            </w:pPr>
            <w:r w:rsidRPr="00461C16">
              <w:rPr>
                <w:sz w:val="20"/>
                <w:szCs w:val="20"/>
              </w:rPr>
              <w:t>plochy obytné zástavby nízkopodlažní venkovské</w:t>
            </w:r>
          </w:p>
        </w:tc>
        <w:tc>
          <w:tcPr>
            <w:tcW w:w="2259" w:type="dxa"/>
            <w:shd w:val="clear" w:color="auto" w:fill="auto"/>
          </w:tcPr>
          <w:p w14:paraId="21E2E0CB" w14:textId="77777777" w:rsidR="00C87F96" w:rsidRPr="00902FB4" w:rsidRDefault="00C87F96" w:rsidP="003F68C9">
            <w:pPr>
              <w:pStyle w:val="Intabulka"/>
              <w:rPr>
                <w:rFonts w:ascii="Arial Narrow" w:hAnsi="Arial Narrow"/>
                <w:lang w:val="cs-CZ"/>
              </w:rPr>
            </w:pPr>
            <w:r w:rsidRPr="00461C16">
              <w:rPr>
                <w:rFonts w:ascii="Arial Narrow" w:hAnsi="Arial Narrow"/>
              </w:rPr>
              <w:t>Převzato, vymezeno jako plochy změn Z77, Z78</w:t>
            </w:r>
            <w:r w:rsidR="001A75E7">
              <w:rPr>
                <w:rFonts w:ascii="Arial Narrow" w:hAnsi="Arial Narrow"/>
                <w:lang w:val="cs-CZ"/>
              </w:rPr>
              <w:t>A, Z78B</w:t>
            </w:r>
            <w:r w:rsidRPr="00461C16">
              <w:rPr>
                <w:rFonts w:ascii="Arial Narrow" w:hAnsi="Arial Narrow"/>
              </w:rPr>
              <w:t xml:space="preserve"> </w:t>
            </w:r>
            <w:r>
              <w:rPr>
                <w:rFonts w:ascii="Arial Narrow" w:hAnsi="Arial Narrow"/>
              </w:rPr>
              <w:t>–</w:t>
            </w:r>
            <w:r w:rsidRPr="00461C16">
              <w:rPr>
                <w:rFonts w:ascii="Arial Narrow" w:hAnsi="Arial Narrow"/>
              </w:rPr>
              <w:t xml:space="preserve"> SV</w:t>
            </w:r>
            <w:r>
              <w:rPr>
                <w:rFonts w:ascii="Arial Narrow" w:hAnsi="Arial Narrow"/>
                <w:lang w:val="cs-CZ"/>
              </w:rPr>
              <w:t>, zčásti zahrnuto do stabilizovaných ploch SV</w:t>
            </w:r>
          </w:p>
        </w:tc>
        <w:tc>
          <w:tcPr>
            <w:tcW w:w="2660" w:type="dxa"/>
            <w:shd w:val="clear" w:color="auto" w:fill="auto"/>
          </w:tcPr>
          <w:p w14:paraId="17D69C12"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1FDE437B" w14:textId="77777777" w:rsidTr="0066453E">
        <w:trPr>
          <w:cantSplit/>
        </w:trPr>
        <w:tc>
          <w:tcPr>
            <w:tcW w:w="1481" w:type="dxa"/>
            <w:shd w:val="clear" w:color="auto" w:fill="auto"/>
          </w:tcPr>
          <w:p w14:paraId="4997C588" w14:textId="77777777" w:rsidR="00C87F96" w:rsidRPr="00461C16" w:rsidRDefault="00C87F96" w:rsidP="003F68C9">
            <w:pPr>
              <w:spacing w:before="40" w:after="40" w:line="240" w:lineRule="auto"/>
              <w:jc w:val="left"/>
              <w:rPr>
                <w:sz w:val="20"/>
                <w:szCs w:val="20"/>
              </w:rPr>
            </w:pPr>
            <w:r w:rsidRPr="00461C16">
              <w:rPr>
                <w:sz w:val="20"/>
                <w:szCs w:val="20"/>
              </w:rPr>
              <w:t>159 (několik dílčích ploch)</w:t>
            </w:r>
          </w:p>
        </w:tc>
        <w:tc>
          <w:tcPr>
            <w:tcW w:w="1258" w:type="dxa"/>
          </w:tcPr>
          <w:p w14:paraId="5E81DDC7" w14:textId="77777777" w:rsidR="00C87F96" w:rsidRPr="00461C16" w:rsidRDefault="00C87F96" w:rsidP="003F68C9">
            <w:pPr>
              <w:spacing w:before="40" w:after="40" w:line="240" w:lineRule="auto"/>
              <w:rPr>
                <w:sz w:val="20"/>
                <w:szCs w:val="20"/>
              </w:rPr>
            </w:pPr>
            <w:r w:rsidRPr="00461C16">
              <w:rPr>
                <w:sz w:val="20"/>
                <w:szCs w:val="20"/>
              </w:rPr>
              <w:t>Dolní Sedlo</w:t>
            </w:r>
          </w:p>
        </w:tc>
        <w:tc>
          <w:tcPr>
            <w:tcW w:w="1630" w:type="dxa"/>
            <w:shd w:val="clear" w:color="auto" w:fill="auto"/>
          </w:tcPr>
          <w:p w14:paraId="3726004C"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47E637C1" w14:textId="77777777" w:rsidR="00C87F96" w:rsidRPr="00461C16" w:rsidRDefault="00C87F96" w:rsidP="003F68C9">
            <w:pPr>
              <w:pStyle w:val="Intabulka"/>
              <w:rPr>
                <w:rFonts w:ascii="Arial Narrow" w:hAnsi="Arial Narrow"/>
              </w:rPr>
            </w:pPr>
            <w:r w:rsidRPr="00461C16">
              <w:rPr>
                <w:rFonts w:ascii="Arial Narrow" w:hAnsi="Arial Narrow"/>
              </w:rPr>
              <w:t>Převzato v jiném plošném rozsahu jako plochy změn Z74 a Z75 - SV</w:t>
            </w:r>
          </w:p>
        </w:tc>
        <w:tc>
          <w:tcPr>
            <w:tcW w:w="2660" w:type="dxa"/>
            <w:shd w:val="clear" w:color="auto" w:fill="auto"/>
          </w:tcPr>
          <w:p w14:paraId="65F5C047"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781A18FB" w14:textId="77777777" w:rsidTr="0066453E">
        <w:trPr>
          <w:cantSplit/>
        </w:trPr>
        <w:tc>
          <w:tcPr>
            <w:tcW w:w="1481" w:type="dxa"/>
            <w:shd w:val="clear" w:color="auto" w:fill="auto"/>
          </w:tcPr>
          <w:p w14:paraId="2CCF7770" w14:textId="77777777" w:rsidR="00C87F96" w:rsidRPr="00461C16" w:rsidRDefault="00C87F96" w:rsidP="003F68C9">
            <w:pPr>
              <w:spacing w:before="40" w:after="40" w:line="240" w:lineRule="auto"/>
              <w:rPr>
                <w:sz w:val="20"/>
                <w:szCs w:val="20"/>
              </w:rPr>
            </w:pPr>
            <w:r w:rsidRPr="00461C16">
              <w:rPr>
                <w:sz w:val="20"/>
                <w:szCs w:val="20"/>
              </w:rPr>
              <w:t>160</w:t>
            </w:r>
          </w:p>
        </w:tc>
        <w:tc>
          <w:tcPr>
            <w:tcW w:w="1258" w:type="dxa"/>
          </w:tcPr>
          <w:p w14:paraId="2E25CE8B"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Horní Sedlo</w:t>
            </w:r>
          </w:p>
        </w:tc>
        <w:tc>
          <w:tcPr>
            <w:tcW w:w="1630" w:type="dxa"/>
            <w:shd w:val="clear" w:color="auto" w:fill="auto"/>
          </w:tcPr>
          <w:p w14:paraId="7B716F94"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49D26CBD" w14:textId="77777777" w:rsidR="00C87F96" w:rsidRPr="00461C16" w:rsidRDefault="00C87F96" w:rsidP="003F68C9">
            <w:pPr>
              <w:pStyle w:val="Intabulka"/>
              <w:rPr>
                <w:rFonts w:ascii="Arial Narrow" w:hAnsi="Arial Narrow"/>
              </w:rPr>
            </w:pPr>
            <w:r w:rsidRPr="00461C16">
              <w:rPr>
                <w:rFonts w:ascii="Arial Narrow" w:hAnsi="Arial Narrow"/>
              </w:rPr>
              <w:t>Nepřevzato, vymezeno jako</w:t>
            </w:r>
            <w:r>
              <w:rPr>
                <w:rFonts w:ascii="Arial Narrow" w:hAnsi="Arial Narrow"/>
                <w:lang w:val="cs-CZ"/>
              </w:rPr>
              <w:t xml:space="preserve"> stabilizovaná plocha</w:t>
            </w:r>
            <w:r w:rsidRPr="00461C16">
              <w:rPr>
                <w:rFonts w:ascii="Arial Narrow" w:hAnsi="Arial Narrow"/>
              </w:rPr>
              <w:t xml:space="preserve"> NS</w:t>
            </w:r>
          </w:p>
        </w:tc>
        <w:tc>
          <w:tcPr>
            <w:tcW w:w="2660" w:type="dxa"/>
            <w:shd w:val="clear" w:color="auto" w:fill="auto"/>
          </w:tcPr>
          <w:p w14:paraId="28A25EC3"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nevyhovující morfologické a dopravní poměry</w:t>
            </w:r>
          </w:p>
        </w:tc>
      </w:tr>
      <w:tr w:rsidR="00C87F96" w:rsidRPr="00461C16" w14:paraId="52BA1B34" w14:textId="77777777" w:rsidTr="0066453E">
        <w:trPr>
          <w:cantSplit/>
        </w:trPr>
        <w:tc>
          <w:tcPr>
            <w:tcW w:w="1481" w:type="dxa"/>
            <w:shd w:val="clear" w:color="auto" w:fill="auto"/>
          </w:tcPr>
          <w:p w14:paraId="1C3D5397" w14:textId="77777777" w:rsidR="00C87F96" w:rsidRPr="00461C16" w:rsidRDefault="00C87F96" w:rsidP="003F68C9">
            <w:pPr>
              <w:spacing w:before="40" w:after="40" w:line="240" w:lineRule="auto"/>
              <w:rPr>
                <w:sz w:val="20"/>
                <w:szCs w:val="20"/>
              </w:rPr>
            </w:pPr>
            <w:r w:rsidRPr="00461C16">
              <w:rPr>
                <w:sz w:val="20"/>
                <w:szCs w:val="20"/>
              </w:rPr>
              <w:t>161</w:t>
            </w:r>
          </w:p>
        </w:tc>
        <w:tc>
          <w:tcPr>
            <w:tcW w:w="1258" w:type="dxa"/>
          </w:tcPr>
          <w:p w14:paraId="77BC8BD0"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Horní Sedlo</w:t>
            </w:r>
          </w:p>
        </w:tc>
        <w:tc>
          <w:tcPr>
            <w:tcW w:w="1630" w:type="dxa"/>
            <w:shd w:val="clear" w:color="auto" w:fill="auto"/>
          </w:tcPr>
          <w:p w14:paraId="174CA11A"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71CD23B5" w14:textId="77777777" w:rsidR="00C87F96" w:rsidRPr="005771DC" w:rsidRDefault="00C87F96" w:rsidP="003F68C9">
            <w:pPr>
              <w:pStyle w:val="Intabulka"/>
              <w:rPr>
                <w:rFonts w:ascii="Arial Narrow" w:hAnsi="Arial Narrow"/>
                <w:lang w:val="cs-CZ"/>
              </w:rPr>
            </w:pPr>
            <w:r>
              <w:rPr>
                <w:rFonts w:ascii="Arial Narrow" w:hAnsi="Arial Narrow"/>
                <w:lang w:val="cs-CZ"/>
              </w:rPr>
              <w:t>Nep</w:t>
            </w:r>
            <w:r w:rsidRPr="00461C16">
              <w:rPr>
                <w:rFonts w:ascii="Arial Narrow" w:hAnsi="Arial Narrow"/>
              </w:rPr>
              <w:t>řevzato</w:t>
            </w:r>
            <w:r>
              <w:rPr>
                <w:rFonts w:ascii="Arial Narrow" w:hAnsi="Arial Narrow"/>
                <w:lang w:val="cs-CZ"/>
              </w:rPr>
              <w:t xml:space="preserve"> - zčásti realizováno a vymezeno jako stabilizovaná plocha BV</w:t>
            </w:r>
            <w:r w:rsidRPr="00461C16">
              <w:rPr>
                <w:rFonts w:ascii="Arial Narrow" w:hAnsi="Arial Narrow"/>
              </w:rPr>
              <w:t>,</w:t>
            </w:r>
            <w:r>
              <w:rPr>
                <w:rFonts w:ascii="Arial Narrow" w:hAnsi="Arial Narrow"/>
                <w:lang w:val="cs-CZ"/>
              </w:rPr>
              <w:t xml:space="preserve"> část</w:t>
            </w:r>
            <w:r w:rsidRPr="00461C16">
              <w:rPr>
                <w:rFonts w:ascii="Arial Narrow" w:hAnsi="Arial Narrow"/>
              </w:rPr>
              <w:t xml:space="preserve"> vymezen</w:t>
            </w:r>
            <w:r>
              <w:rPr>
                <w:rFonts w:ascii="Arial Narrow" w:hAnsi="Arial Narrow"/>
                <w:lang w:val="cs-CZ"/>
              </w:rPr>
              <w:t>a</w:t>
            </w:r>
            <w:r w:rsidRPr="00461C16">
              <w:rPr>
                <w:rFonts w:ascii="Arial Narrow" w:hAnsi="Arial Narrow"/>
              </w:rPr>
              <w:t xml:space="preserve"> jako</w:t>
            </w:r>
            <w:r>
              <w:rPr>
                <w:rFonts w:ascii="Arial Narrow" w:hAnsi="Arial Narrow"/>
                <w:lang w:val="cs-CZ"/>
              </w:rPr>
              <w:t xml:space="preserve"> stabilizovaná plocha</w:t>
            </w:r>
            <w:r w:rsidRPr="00461C16">
              <w:rPr>
                <w:rFonts w:ascii="Arial Narrow" w:hAnsi="Arial Narrow"/>
              </w:rPr>
              <w:t xml:space="preserve"> NS</w:t>
            </w:r>
          </w:p>
        </w:tc>
        <w:tc>
          <w:tcPr>
            <w:tcW w:w="2660" w:type="dxa"/>
            <w:shd w:val="clear" w:color="auto" w:fill="auto"/>
          </w:tcPr>
          <w:p w14:paraId="65DFB89C" w14:textId="77777777" w:rsidR="00C87F96" w:rsidRPr="00461C16" w:rsidRDefault="00C87F96" w:rsidP="003F68C9">
            <w:pPr>
              <w:pStyle w:val="Intabulka"/>
              <w:rPr>
                <w:rFonts w:ascii="Arial Narrow" w:hAnsi="Arial Narrow"/>
                <w:lang w:val="cs-CZ"/>
              </w:rPr>
            </w:pPr>
            <w:r>
              <w:rPr>
                <w:rFonts w:ascii="Arial Narrow" w:hAnsi="Arial Narrow"/>
                <w:lang w:val="cs-CZ"/>
              </w:rPr>
              <w:t>nesouhlas dotčeného orgánu (CHKO Lužické hory) z důvodu ochrany rozptýleného charakteru zástavby</w:t>
            </w:r>
          </w:p>
        </w:tc>
      </w:tr>
      <w:tr w:rsidR="00C87F96" w:rsidRPr="00461C16" w14:paraId="38A74020" w14:textId="77777777" w:rsidTr="0066453E">
        <w:trPr>
          <w:cantSplit/>
        </w:trPr>
        <w:tc>
          <w:tcPr>
            <w:tcW w:w="1481" w:type="dxa"/>
            <w:shd w:val="clear" w:color="auto" w:fill="auto"/>
          </w:tcPr>
          <w:p w14:paraId="48B26E42" w14:textId="77777777" w:rsidR="00C87F96" w:rsidRPr="00461C16" w:rsidRDefault="00C87F96" w:rsidP="003F68C9">
            <w:pPr>
              <w:spacing w:before="40" w:after="40" w:line="240" w:lineRule="auto"/>
              <w:rPr>
                <w:sz w:val="20"/>
                <w:szCs w:val="20"/>
              </w:rPr>
            </w:pPr>
            <w:r w:rsidRPr="00461C16">
              <w:rPr>
                <w:sz w:val="20"/>
                <w:szCs w:val="20"/>
              </w:rPr>
              <w:t>162</w:t>
            </w:r>
          </w:p>
        </w:tc>
        <w:tc>
          <w:tcPr>
            <w:tcW w:w="1258" w:type="dxa"/>
          </w:tcPr>
          <w:p w14:paraId="003CC80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Horní Sedlo</w:t>
            </w:r>
          </w:p>
        </w:tc>
        <w:tc>
          <w:tcPr>
            <w:tcW w:w="1630" w:type="dxa"/>
            <w:shd w:val="clear" w:color="auto" w:fill="auto"/>
          </w:tcPr>
          <w:p w14:paraId="36D347AE"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271B773" w14:textId="77777777" w:rsidR="00C87F96" w:rsidRPr="00123910" w:rsidRDefault="00C87F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zčásti</w:t>
            </w:r>
            <w:r w:rsidRPr="00461C16">
              <w:rPr>
                <w:rFonts w:ascii="Arial Narrow" w:hAnsi="Arial Narrow"/>
              </w:rPr>
              <w:t>, vymezeno jako plocha změn Z84</w:t>
            </w:r>
            <w:r>
              <w:rPr>
                <w:rFonts w:ascii="Arial Narrow" w:hAnsi="Arial Narrow"/>
                <w:lang w:val="cs-CZ"/>
              </w:rPr>
              <w:t>, zbývající část zachována jako stabilizovaná plocha NS</w:t>
            </w:r>
          </w:p>
        </w:tc>
        <w:tc>
          <w:tcPr>
            <w:tcW w:w="2660" w:type="dxa"/>
            <w:shd w:val="clear" w:color="auto" w:fill="auto"/>
          </w:tcPr>
          <w:p w14:paraId="3F97ABD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21AAFBE4" w14:textId="77777777" w:rsidTr="0066453E">
        <w:trPr>
          <w:cantSplit/>
        </w:trPr>
        <w:tc>
          <w:tcPr>
            <w:tcW w:w="1481" w:type="dxa"/>
            <w:shd w:val="clear" w:color="auto" w:fill="auto"/>
          </w:tcPr>
          <w:p w14:paraId="0353E53E" w14:textId="77777777" w:rsidR="00C87F96" w:rsidRPr="00461C16" w:rsidRDefault="00C87F96" w:rsidP="003F68C9">
            <w:pPr>
              <w:spacing w:before="40" w:after="40" w:line="240" w:lineRule="auto"/>
              <w:jc w:val="left"/>
              <w:rPr>
                <w:sz w:val="20"/>
                <w:szCs w:val="20"/>
              </w:rPr>
            </w:pPr>
            <w:r w:rsidRPr="00461C16">
              <w:rPr>
                <w:sz w:val="20"/>
                <w:szCs w:val="20"/>
              </w:rPr>
              <w:t>170</w:t>
            </w:r>
          </w:p>
        </w:tc>
        <w:tc>
          <w:tcPr>
            <w:tcW w:w="1258" w:type="dxa"/>
          </w:tcPr>
          <w:p w14:paraId="448E384A"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1F1254A4" w14:textId="77777777" w:rsidR="00C87F96" w:rsidRPr="00461C16" w:rsidRDefault="00C87F96"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1D45D552"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Převzato</w:t>
            </w:r>
          </w:p>
        </w:tc>
        <w:tc>
          <w:tcPr>
            <w:tcW w:w="2660" w:type="dxa"/>
            <w:shd w:val="clear" w:color="auto" w:fill="auto"/>
          </w:tcPr>
          <w:p w14:paraId="1B15780B"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realizováno</w:t>
            </w:r>
          </w:p>
        </w:tc>
      </w:tr>
      <w:tr w:rsidR="00C87F96" w:rsidRPr="00461C16" w14:paraId="0DD84289" w14:textId="77777777" w:rsidTr="0066453E">
        <w:trPr>
          <w:cantSplit/>
        </w:trPr>
        <w:tc>
          <w:tcPr>
            <w:tcW w:w="1481" w:type="dxa"/>
            <w:shd w:val="clear" w:color="auto" w:fill="auto"/>
          </w:tcPr>
          <w:p w14:paraId="378E0EA7" w14:textId="77777777" w:rsidR="00C87F96" w:rsidRPr="00461C16" w:rsidRDefault="00C87F96" w:rsidP="003F68C9">
            <w:pPr>
              <w:spacing w:before="40" w:after="40" w:line="240" w:lineRule="auto"/>
              <w:jc w:val="left"/>
              <w:rPr>
                <w:sz w:val="20"/>
                <w:szCs w:val="20"/>
              </w:rPr>
            </w:pPr>
            <w:r w:rsidRPr="00461C16">
              <w:rPr>
                <w:sz w:val="20"/>
                <w:szCs w:val="20"/>
              </w:rPr>
              <w:t>171</w:t>
            </w:r>
          </w:p>
        </w:tc>
        <w:tc>
          <w:tcPr>
            <w:tcW w:w="1258" w:type="dxa"/>
          </w:tcPr>
          <w:p w14:paraId="5FD4F8AE" w14:textId="77777777" w:rsidR="00C87F96" w:rsidRPr="00461C16" w:rsidRDefault="00C87F96" w:rsidP="003F68C9">
            <w:pPr>
              <w:spacing w:before="40" w:after="40" w:line="240" w:lineRule="auto"/>
              <w:rPr>
                <w:sz w:val="20"/>
                <w:szCs w:val="20"/>
              </w:rPr>
            </w:pPr>
            <w:r w:rsidRPr="00461C16">
              <w:rPr>
                <w:sz w:val="20"/>
                <w:szCs w:val="20"/>
              </w:rPr>
              <w:t>Oldřichov na Hranicích</w:t>
            </w:r>
          </w:p>
        </w:tc>
        <w:tc>
          <w:tcPr>
            <w:tcW w:w="1630" w:type="dxa"/>
            <w:shd w:val="clear" w:color="auto" w:fill="auto"/>
          </w:tcPr>
          <w:p w14:paraId="08550727" w14:textId="77777777" w:rsidR="00C87F96" w:rsidRPr="00461C16" w:rsidRDefault="00C87F96" w:rsidP="003F68C9">
            <w:pPr>
              <w:spacing w:before="40" w:after="40" w:line="240" w:lineRule="auto"/>
              <w:jc w:val="left"/>
              <w:rPr>
                <w:sz w:val="20"/>
                <w:szCs w:val="20"/>
              </w:rPr>
            </w:pPr>
            <w:r w:rsidRPr="00461C16">
              <w:rPr>
                <w:sz w:val="20"/>
                <w:szCs w:val="20"/>
              </w:rPr>
              <w:t>plocha výroby čisté a výrobních služeb</w:t>
            </w:r>
          </w:p>
        </w:tc>
        <w:tc>
          <w:tcPr>
            <w:tcW w:w="2259" w:type="dxa"/>
            <w:shd w:val="clear" w:color="auto" w:fill="auto"/>
          </w:tcPr>
          <w:p w14:paraId="410011C6" w14:textId="77777777" w:rsidR="00C87F96" w:rsidRPr="00461C16" w:rsidRDefault="00C87F96" w:rsidP="003F68C9">
            <w:pPr>
              <w:pStyle w:val="Intabulka"/>
              <w:rPr>
                <w:rFonts w:ascii="Arial Narrow" w:hAnsi="Arial Narrow"/>
              </w:rPr>
            </w:pPr>
            <w:r w:rsidRPr="00461C16">
              <w:rPr>
                <w:rFonts w:ascii="Arial Narrow" w:hAnsi="Arial Narrow"/>
              </w:rPr>
              <w:t>Převzato, vymezeno jako plocha změn Z37</w:t>
            </w:r>
          </w:p>
        </w:tc>
        <w:tc>
          <w:tcPr>
            <w:tcW w:w="2660" w:type="dxa"/>
            <w:shd w:val="clear" w:color="auto" w:fill="auto"/>
          </w:tcPr>
          <w:p w14:paraId="3AB6B205"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0CFAF857" w14:textId="77777777" w:rsidTr="0066453E">
        <w:trPr>
          <w:cantSplit/>
        </w:trPr>
        <w:tc>
          <w:tcPr>
            <w:tcW w:w="1481" w:type="dxa"/>
            <w:shd w:val="clear" w:color="auto" w:fill="auto"/>
          </w:tcPr>
          <w:p w14:paraId="3C7D37A5" w14:textId="77777777" w:rsidR="00C87F96" w:rsidRPr="00461C16" w:rsidRDefault="00C87F96" w:rsidP="003F68C9">
            <w:pPr>
              <w:spacing w:before="40" w:after="40" w:line="240" w:lineRule="auto"/>
              <w:jc w:val="left"/>
              <w:rPr>
                <w:sz w:val="20"/>
                <w:szCs w:val="20"/>
              </w:rPr>
            </w:pPr>
            <w:r w:rsidRPr="00461C16">
              <w:rPr>
                <w:sz w:val="20"/>
                <w:szCs w:val="20"/>
              </w:rPr>
              <w:t>172</w:t>
            </w:r>
          </w:p>
        </w:tc>
        <w:tc>
          <w:tcPr>
            <w:tcW w:w="1258" w:type="dxa"/>
          </w:tcPr>
          <w:p w14:paraId="2ACC7F6C"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02411AD8" w14:textId="77777777" w:rsidR="00C87F96" w:rsidRPr="00461C16" w:rsidRDefault="00C87F96" w:rsidP="003F68C9">
            <w:pPr>
              <w:spacing w:before="40" w:after="40" w:line="240" w:lineRule="auto"/>
              <w:jc w:val="left"/>
              <w:rPr>
                <w:sz w:val="20"/>
                <w:szCs w:val="20"/>
              </w:rPr>
            </w:pPr>
            <w:r w:rsidRPr="00461C16">
              <w:rPr>
                <w:sz w:val="20"/>
                <w:szCs w:val="20"/>
              </w:rPr>
              <w:t>plocha dopravní vybavenosti</w:t>
            </w:r>
          </w:p>
        </w:tc>
        <w:tc>
          <w:tcPr>
            <w:tcW w:w="2259" w:type="dxa"/>
            <w:shd w:val="clear" w:color="auto" w:fill="auto"/>
          </w:tcPr>
          <w:p w14:paraId="16AF8452" w14:textId="77777777" w:rsidR="00C87F96" w:rsidRPr="00461C16" w:rsidRDefault="00C87F96" w:rsidP="003F68C9">
            <w:pPr>
              <w:pStyle w:val="Intabulka"/>
              <w:rPr>
                <w:rFonts w:ascii="Arial Narrow" w:hAnsi="Arial Narrow"/>
              </w:rPr>
            </w:pPr>
            <w:r w:rsidRPr="00461C16">
              <w:rPr>
                <w:rFonts w:ascii="Arial Narrow" w:hAnsi="Arial Narrow"/>
              </w:rPr>
              <w:t>Převzato v jiném plošném rozsahu</w:t>
            </w:r>
          </w:p>
        </w:tc>
        <w:tc>
          <w:tcPr>
            <w:tcW w:w="2660" w:type="dxa"/>
            <w:shd w:val="clear" w:color="auto" w:fill="auto"/>
          </w:tcPr>
          <w:p w14:paraId="66740BF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přehodnoceno s ohledem na realizaci přilehlého obchvatu města na silnici I/35</w:t>
            </w:r>
          </w:p>
        </w:tc>
      </w:tr>
      <w:tr w:rsidR="00C87F96" w:rsidRPr="00461C16" w14:paraId="0A95DC08" w14:textId="77777777" w:rsidTr="0066453E">
        <w:trPr>
          <w:cantSplit/>
        </w:trPr>
        <w:tc>
          <w:tcPr>
            <w:tcW w:w="1481" w:type="dxa"/>
            <w:shd w:val="clear" w:color="auto" w:fill="auto"/>
          </w:tcPr>
          <w:p w14:paraId="1315E8A4" w14:textId="77777777" w:rsidR="00C87F96" w:rsidRPr="00461C16" w:rsidRDefault="00C87F96" w:rsidP="003F68C9">
            <w:pPr>
              <w:spacing w:before="40" w:after="40" w:line="240" w:lineRule="auto"/>
              <w:jc w:val="left"/>
              <w:rPr>
                <w:sz w:val="20"/>
                <w:szCs w:val="20"/>
              </w:rPr>
            </w:pPr>
            <w:r w:rsidRPr="00461C16">
              <w:rPr>
                <w:sz w:val="20"/>
                <w:szCs w:val="20"/>
              </w:rPr>
              <w:lastRenderedPageBreak/>
              <w:t>173</w:t>
            </w:r>
          </w:p>
        </w:tc>
        <w:tc>
          <w:tcPr>
            <w:tcW w:w="1258" w:type="dxa"/>
          </w:tcPr>
          <w:p w14:paraId="4A8A968C" w14:textId="77777777" w:rsidR="00C87F96" w:rsidRPr="00461C16" w:rsidRDefault="00C87F96" w:rsidP="003F68C9">
            <w:pPr>
              <w:spacing w:before="40" w:after="40" w:line="240" w:lineRule="auto"/>
              <w:jc w:val="left"/>
              <w:rPr>
                <w:sz w:val="20"/>
                <w:szCs w:val="20"/>
              </w:rPr>
            </w:pPr>
            <w:r w:rsidRPr="00461C16">
              <w:rPr>
                <w:sz w:val="20"/>
                <w:szCs w:val="20"/>
              </w:rPr>
              <w:t>Oldřichov na Hranicích</w:t>
            </w:r>
          </w:p>
        </w:tc>
        <w:tc>
          <w:tcPr>
            <w:tcW w:w="1630" w:type="dxa"/>
            <w:shd w:val="clear" w:color="auto" w:fill="auto"/>
          </w:tcPr>
          <w:p w14:paraId="41BE50D3"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3D2F91EF" w14:textId="77777777" w:rsidR="00C87F96" w:rsidRPr="00461C16" w:rsidRDefault="00C87F96" w:rsidP="003F68C9">
            <w:pPr>
              <w:pStyle w:val="Intabulka"/>
              <w:rPr>
                <w:rFonts w:ascii="Arial Narrow" w:hAnsi="Arial Narrow"/>
              </w:rPr>
            </w:pPr>
            <w:r w:rsidRPr="00461C16">
              <w:rPr>
                <w:rFonts w:ascii="Arial Narrow" w:hAnsi="Arial Narrow"/>
              </w:rPr>
              <w:t>Převzato, vymezeno jako plocha změn Z38</w:t>
            </w:r>
          </w:p>
        </w:tc>
        <w:tc>
          <w:tcPr>
            <w:tcW w:w="2660" w:type="dxa"/>
            <w:shd w:val="clear" w:color="auto" w:fill="auto"/>
          </w:tcPr>
          <w:p w14:paraId="64FE4B26"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37A10632" w14:textId="77777777" w:rsidTr="0066453E">
        <w:trPr>
          <w:cantSplit/>
        </w:trPr>
        <w:tc>
          <w:tcPr>
            <w:tcW w:w="1481" w:type="dxa"/>
            <w:shd w:val="clear" w:color="auto" w:fill="auto"/>
          </w:tcPr>
          <w:p w14:paraId="3226CF9C" w14:textId="77777777" w:rsidR="00C87F96" w:rsidRPr="00461C16" w:rsidRDefault="00C87F96" w:rsidP="003F68C9">
            <w:pPr>
              <w:spacing w:before="40" w:after="40" w:line="240" w:lineRule="auto"/>
              <w:jc w:val="left"/>
              <w:rPr>
                <w:sz w:val="20"/>
                <w:szCs w:val="20"/>
              </w:rPr>
            </w:pPr>
            <w:r w:rsidRPr="00461C16">
              <w:rPr>
                <w:sz w:val="20"/>
                <w:szCs w:val="20"/>
              </w:rPr>
              <w:t>174</w:t>
            </w:r>
          </w:p>
        </w:tc>
        <w:tc>
          <w:tcPr>
            <w:tcW w:w="1258" w:type="dxa"/>
          </w:tcPr>
          <w:p w14:paraId="15F77010" w14:textId="77777777" w:rsidR="00C87F96" w:rsidRPr="00461C16" w:rsidRDefault="00C87F96" w:rsidP="003F68C9">
            <w:pPr>
              <w:spacing w:before="40" w:after="40" w:line="240" w:lineRule="auto"/>
              <w:jc w:val="left"/>
              <w:rPr>
                <w:sz w:val="20"/>
                <w:szCs w:val="20"/>
              </w:rPr>
            </w:pPr>
            <w:r w:rsidRPr="00461C16">
              <w:rPr>
                <w:sz w:val="20"/>
                <w:szCs w:val="20"/>
              </w:rPr>
              <w:t>Oldřichov na Hranicích</w:t>
            </w:r>
          </w:p>
        </w:tc>
        <w:tc>
          <w:tcPr>
            <w:tcW w:w="1630" w:type="dxa"/>
            <w:shd w:val="clear" w:color="auto" w:fill="auto"/>
          </w:tcPr>
          <w:p w14:paraId="5092C7DD"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A0A5003" w14:textId="77777777" w:rsidR="00C87F96" w:rsidRPr="00461C16" w:rsidRDefault="00C87F96" w:rsidP="003F68C9">
            <w:pPr>
              <w:pStyle w:val="Intabulka"/>
              <w:rPr>
                <w:rFonts w:ascii="Arial Narrow" w:hAnsi="Arial Narrow"/>
              </w:rPr>
            </w:pPr>
            <w:r w:rsidRPr="00461C16">
              <w:rPr>
                <w:rFonts w:ascii="Arial Narrow" w:hAnsi="Arial Narrow"/>
              </w:rPr>
              <w:t xml:space="preserve">Nepřevzato, vymezeno </w:t>
            </w:r>
            <w:r>
              <w:rPr>
                <w:rFonts w:ascii="Arial Narrow" w:hAnsi="Arial Narrow"/>
                <w:lang w:val="cs-CZ"/>
              </w:rPr>
              <w:t xml:space="preserve">zčásti jako stav SV, zbývající část </w:t>
            </w:r>
            <w:r w:rsidRPr="00461C16">
              <w:rPr>
                <w:rFonts w:ascii="Arial Narrow" w:hAnsi="Arial Narrow"/>
              </w:rPr>
              <w:t>jako NK</w:t>
            </w:r>
          </w:p>
        </w:tc>
        <w:tc>
          <w:tcPr>
            <w:tcW w:w="2660" w:type="dxa"/>
            <w:shd w:val="clear" w:color="auto" w:fill="auto"/>
          </w:tcPr>
          <w:p w14:paraId="68AC5E0D" w14:textId="77777777" w:rsidR="00C87F96" w:rsidRPr="00461C16" w:rsidRDefault="00764164" w:rsidP="003F68C9">
            <w:pPr>
              <w:pStyle w:val="Intabulka"/>
              <w:rPr>
                <w:rFonts w:ascii="Arial Narrow" w:hAnsi="Arial Narrow"/>
                <w:lang w:val="cs-CZ"/>
              </w:rPr>
            </w:pPr>
            <w:r>
              <w:rPr>
                <w:rFonts w:ascii="Arial Narrow" w:hAnsi="Arial Narrow"/>
                <w:lang w:val="cs-CZ"/>
              </w:rPr>
              <w:t>dle skutečného stavu, redukce z důvodu ochrany volné krajiny před rozpínáním zástavby</w:t>
            </w:r>
          </w:p>
        </w:tc>
      </w:tr>
      <w:tr w:rsidR="00C87F96" w:rsidRPr="00461C16" w14:paraId="7839348E" w14:textId="77777777" w:rsidTr="0066453E">
        <w:trPr>
          <w:cantSplit/>
        </w:trPr>
        <w:tc>
          <w:tcPr>
            <w:tcW w:w="1481" w:type="dxa"/>
            <w:shd w:val="clear" w:color="auto" w:fill="auto"/>
          </w:tcPr>
          <w:p w14:paraId="37776E1A" w14:textId="77777777" w:rsidR="00C87F96" w:rsidRPr="00461C16" w:rsidRDefault="00C87F96" w:rsidP="003F68C9">
            <w:pPr>
              <w:spacing w:before="40" w:after="40" w:line="240" w:lineRule="auto"/>
              <w:jc w:val="left"/>
              <w:rPr>
                <w:sz w:val="20"/>
                <w:szCs w:val="20"/>
              </w:rPr>
            </w:pPr>
            <w:r w:rsidRPr="00461C16">
              <w:rPr>
                <w:sz w:val="20"/>
                <w:szCs w:val="20"/>
              </w:rPr>
              <w:t>175</w:t>
            </w:r>
          </w:p>
        </w:tc>
        <w:tc>
          <w:tcPr>
            <w:tcW w:w="1258" w:type="dxa"/>
          </w:tcPr>
          <w:p w14:paraId="7BC7AF49" w14:textId="77777777" w:rsidR="00C87F96" w:rsidRPr="00461C16" w:rsidRDefault="00C87F96" w:rsidP="003F68C9">
            <w:pPr>
              <w:spacing w:before="40" w:after="40" w:line="240" w:lineRule="auto"/>
              <w:jc w:val="left"/>
              <w:rPr>
                <w:sz w:val="20"/>
                <w:szCs w:val="20"/>
              </w:rPr>
            </w:pPr>
            <w:r w:rsidRPr="00461C16">
              <w:rPr>
                <w:sz w:val="20"/>
                <w:szCs w:val="20"/>
              </w:rPr>
              <w:t>Oldřichov na Hranicích</w:t>
            </w:r>
          </w:p>
        </w:tc>
        <w:tc>
          <w:tcPr>
            <w:tcW w:w="1630" w:type="dxa"/>
            <w:shd w:val="clear" w:color="auto" w:fill="auto"/>
          </w:tcPr>
          <w:p w14:paraId="369C8D8A"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EEEB117"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NS</w:t>
            </w:r>
          </w:p>
        </w:tc>
        <w:tc>
          <w:tcPr>
            <w:tcW w:w="2660" w:type="dxa"/>
            <w:shd w:val="clear" w:color="auto" w:fill="auto"/>
          </w:tcPr>
          <w:p w14:paraId="160C7D8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nežádoucí rozpínání zástavby do volné krajiny</w:t>
            </w:r>
          </w:p>
        </w:tc>
      </w:tr>
      <w:tr w:rsidR="00C87F96" w:rsidRPr="00461C16" w14:paraId="5233BFD0" w14:textId="77777777" w:rsidTr="0066453E">
        <w:trPr>
          <w:cantSplit/>
        </w:trPr>
        <w:tc>
          <w:tcPr>
            <w:tcW w:w="1481" w:type="dxa"/>
            <w:shd w:val="clear" w:color="auto" w:fill="auto"/>
          </w:tcPr>
          <w:p w14:paraId="45A21D7A" w14:textId="77777777" w:rsidR="00C87F96" w:rsidRPr="00461C16" w:rsidRDefault="00C87F96" w:rsidP="003F68C9">
            <w:pPr>
              <w:spacing w:before="40" w:after="40" w:line="240" w:lineRule="auto"/>
              <w:jc w:val="left"/>
              <w:rPr>
                <w:sz w:val="20"/>
                <w:szCs w:val="20"/>
              </w:rPr>
            </w:pPr>
            <w:r w:rsidRPr="00461C16">
              <w:rPr>
                <w:sz w:val="20"/>
                <w:szCs w:val="20"/>
              </w:rPr>
              <w:t>176</w:t>
            </w:r>
          </w:p>
        </w:tc>
        <w:tc>
          <w:tcPr>
            <w:tcW w:w="1258" w:type="dxa"/>
          </w:tcPr>
          <w:p w14:paraId="7751AEC1" w14:textId="77777777" w:rsidR="00C87F96" w:rsidRPr="00461C16" w:rsidRDefault="00C87F96" w:rsidP="003F68C9">
            <w:pPr>
              <w:spacing w:before="40" w:after="40" w:line="240" w:lineRule="auto"/>
              <w:jc w:val="left"/>
              <w:rPr>
                <w:sz w:val="20"/>
                <w:szCs w:val="20"/>
              </w:rPr>
            </w:pPr>
            <w:r w:rsidRPr="00461C16">
              <w:rPr>
                <w:sz w:val="20"/>
                <w:szCs w:val="20"/>
              </w:rPr>
              <w:t>Oldřichov na Hranicích</w:t>
            </w:r>
          </w:p>
        </w:tc>
        <w:tc>
          <w:tcPr>
            <w:tcW w:w="1630" w:type="dxa"/>
            <w:shd w:val="clear" w:color="auto" w:fill="auto"/>
          </w:tcPr>
          <w:p w14:paraId="13AA0F5D"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7E1C0FF7" w14:textId="77777777" w:rsidR="00C87F96" w:rsidRPr="00461C16" w:rsidRDefault="00C87F96" w:rsidP="003F68C9">
            <w:pPr>
              <w:pStyle w:val="Intabulka"/>
              <w:rPr>
                <w:rFonts w:ascii="Arial Narrow" w:hAnsi="Arial Narrow"/>
              </w:rPr>
            </w:pPr>
            <w:r w:rsidRPr="00461C16">
              <w:rPr>
                <w:rFonts w:ascii="Arial Narrow" w:hAnsi="Arial Narrow"/>
              </w:rPr>
              <w:t>Převzato</w:t>
            </w:r>
            <w:r>
              <w:rPr>
                <w:rFonts w:ascii="Arial Narrow" w:hAnsi="Arial Narrow"/>
                <w:lang w:val="cs-CZ"/>
              </w:rPr>
              <w:t xml:space="preserve"> jako stabilizovaná plocha SV</w:t>
            </w:r>
          </w:p>
        </w:tc>
        <w:tc>
          <w:tcPr>
            <w:tcW w:w="2660" w:type="dxa"/>
            <w:shd w:val="clear" w:color="auto" w:fill="auto"/>
          </w:tcPr>
          <w:p w14:paraId="159D64E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42766601" w14:textId="77777777" w:rsidTr="0066453E">
        <w:trPr>
          <w:cantSplit/>
        </w:trPr>
        <w:tc>
          <w:tcPr>
            <w:tcW w:w="1481" w:type="dxa"/>
            <w:shd w:val="clear" w:color="auto" w:fill="auto"/>
          </w:tcPr>
          <w:p w14:paraId="2652719F" w14:textId="77777777" w:rsidR="00C87F96" w:rsidRPr="00461C16" w:rsidRDefault="00C87F96" w:rsidP="003F68C9">
            <w:pPr>
              <w:spacing w:before="40" w:after="40" w:line="240" w:lineRule="auto"/>
              <w:jc w:val="left"/>
              <w:rPr>
                <w:sz w:val="20"/>
                <w:szCs w:val="20"/>
              </w:rPr>
            </w:pPr>
            <w:r w:rsidRPr="00461C16">
              <w:rPr>
                <w:sz w:val="20"/>
                <w:szCs w:val="20"/>
              </w:rPr>
              <w:t>177</w:t>
            </w:r>
          </w:p>
        </w:tc>
        <w:tc>
          <w:tcPr>
            <w:tcW w:w="1258" w:type="dxa"/>
          </w:tcPr>
          <w:p w14:paraId="43DD992F" w14:textId="77777777" w:rsidR="00C87F96" w:rsidRPr="00461C16" w:rsidRDefault="00C87F96" w:rsidP="003F68C9">
            <w:pPr>
              <w:spacing w:before="40" w:after="40" w:line="240" w:lineRule="auto"/>
              <w:jc w:val="left"/>
              <w:rPr>
                <w:sz w:val="20"/>
                <w:szCs w:val="20"/>
              </w:rPr>
            </w:pPr>
            <w:r w:rsidRPr="00461C16">
              <w:rPr>
                <w:sz w:val="20"/>
                <w:szCs w:val="20"/>
              </w:rPr>
              <w:t>Oldřichov na Hranicích</w:t>
            </w:r>
          </w:p>
        </w:tc>
        <w:tc>
          <w:tcPr>
            <w:tcW w:w="1630" w:type="dxa"/>
            <w:shd w:val="clear" w:color="auto" w:fill="auto"/>
          </w:tcPr>
          <w:p w14:paraId="274A714C"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DE9468D" w14:textId="77777777" w:rsidR="00C87F96" w:rsidRPr="0082785A" w:rsidRDefault="00C87F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stabilizovaná plocha SV</w:t>
            </w:r>
          </w:p>
        </w:tc>
        <w:tc>
          <w:tcPr>
            <w:tcW w:w="2660" w:type="dxa"/>
            <w:shd w:val="clear" w:color="auto" w:fill="auto"/>
          </w:tcPr>
          <w:p w14:paraId="2944762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36D97192" w14:textId="77777777" w:rsidTr="0066453E">
        <w:trPr>
          <w:cantSplit/>
        </w:trPr>
        <w:tc>
          <w:tcPr>
            <w:tcW w:w="1481" w:type="dxa"/>
            <w:shd w:val="clear" w:color="auto" w:fill="auto"/>
          </w:tcPr>
          <w:p w14:paraId="5333FD0B" w14:textId="77777777" w:rsidR="00C87F96" w:rsidRPr="00461C16" w:rsidRDefault="00C87F96" w:rsidP="003F68C9">
            <w:pPr>
              <w:spacing w:before="40" w:after="40" w:line="240" w:lineRule="auto"/>
              <w:jc w:val="left"/>
              <w:rPr>
                <w:sz w:val="20"/>
                <w:szCs w:val="20"/>
              </w:rPr>
            </w:pPr>
            <w:r w:rsidRPr="00461C16">
              <w:rPr>
                <w:sz w:val="20"/>
                <w:szCs w:val="20"/>
              </w:rPr>
              <w:t>178</w:t>
            </w:r>
          </w:p>
        </w:tc>
        <w:tc>
          <w:tcPr>
            <w:tcW w:w="1258" w:type="dxa"/>
          </w:tcPr>
          <w:p w14:paraId="0C7F702E" w14:textId="77777777" w:rsidR="00C87F96" w:rsidRPr="00461C16" w:rsidRDefault="00C87F96" w:rsidP="003F68C9">
            <w:pPr>
              <w:spacing w:before="40" w:after="40" w:line="240" w:lineRule="auto"/>
              <w:jc w:val="left"/>
              <w:rPr>
                <w:sz w:val="20"/>
                <w:szCs w:val="20"/>
              </w:rPr>
            </w:pPr>
            <w:r w:rsidRPr="00461C16">
              <w:rPr>
                <w:sz w:val="20"/>
                <w:szCs w:val="20"/>
              </w:rPr>
              <w:t>Oldřichov na Hranicích</w:t>
            </w:r>
          </w:p>
        </w:tc>
        <w:tc>
          <w:tcPr>
            <w:tcW w:w="1630" w:type="dxa"/>
            <w:shd w:val="clear" w:color="auto" w:fill="auto"/>
          </w:tcPr>
          <w:p w14:paraId="0FFF5EBE"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52E2642E" w14:textId="77777777" w:rsidR="00C87F96" w:rsidRPr="0082785A" w:rsidRDefault="00C87F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stabilizovaná plocha SV</w:t>
            </w:r>
          </w:p>
        </w:tc>
        <w:tc>
          <w:tcPr>
            <w:tcW w:w="2660" w:type="dxa"/>
            <w:shd w:val="clear" w:color="auto" w:fill="auto"/>
          </w:tcPr>
          <w:p w14:paraId="522A2BA6"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28207F37" w14:textId="77777777" w:rsidTr="0066453E">
        <w:trPr>
          <w:cantSplit/>
        </w:trPr>
        <w:tc>
          <w:tcPr>
            <w:tcW w:w="1481" w:type="dxa"/>
            <w:shd w:val="clear" w:color="auto" w:fill="auto"/>
          </w:tcPr>
          <w:p w14:paraId="4EE6C7F4" w14:textId="77777777" w:rsidR="00C87F96" w:rsidRPr="00461C16" w:rsidRDefault="00C87F96" w:rsidP="003F68C9">
            <w:pPr>
              <w:spacing w:before="40" w:after="40" w:line="240" w:lineRule="auto"/>
              <w:jc w:val="left"/>
              <w:rPr>
                <w:sz w:val="20"/>
                <w:szCs w:val="20"/>
              </w:rPr>
            </w:pPr>
            <w:r w:rsidRPr="00461C16">
              <w:rPr>
                <w:sz w:val="20"/>
                <w:szCs w:val="20"/>
              </w:rPr>
              <w:t>180</w:t>
            </w:r>
          </w:p>
        </w:tc>
        <w:tc>
          <w:tcPr>
            <w:tcW w:w="1258" w:type="dxa"/>
          </w:tcPr>
          <w:p w14:paraId="0691B449"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Uhelná</w:t>
            </w:r>
          </w:p>
        </w:tc>
        <w:tc>
          <w:tcPr>
            <w:tcW w:w="1630" w:type="dxa"/>
            <w:shd w:val="clear" w:color="auto" w:fill="auto"/>
          </w:tcPr>
          <w:p w14:paraId="1EBE036D"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7A963B32" w14:textId="77777777" w:rsidR="00C87F96" w:rsidRPr="00C572F8" w:rsidRDefault="00C87F96" w:rsidP="003F68C9">
            <w:pPr>
              <w:pStyle w:val="Intabulka"/>
              <w:rPr>
                <w:rFonts w:ascii="Arial Narrow" w:hAnsi="Arial Narrow"/>
                <w:lang w:val="cs-CZ"/>
              </w:rPr>
            </w:pPr>
            <w:r w:rsidRPr="00461C16">
              <w:rPr>
                <w:rFonts w:ascii="Arial Narrow" w:hAnsi="Arial Narrow"/>
              </w:rPr>
              <w:t>Převzato jako plocha změn Z29</w:t>
            </w:r>
            <w:r>
              <w:rPr>
                <w:rFonts w:ascii="Arial Narrow" w:hAnsi="Arial Narrow"/>
                <w:lang w:val="cs-CZ"/>
              </w:rPr>
              <w:t xml:space="preserve">, </w:t>
            </w:r>
            <w:r w:rsidRPr="00461C16">
              <w:rPr>
                <w:rFonts w:ascii="Arial Narrow" w:hAnsi="Arial Narrow"/>
              </w:rPr>
              <w:t>částečně vymezeno jako</w:t>
            </w:r>
            <w:r>
              <w:rPr>
                <w:rFonts w:ascii="Arial Narrow" w:hAnsi="Arial Narrow"/>
                <w:lang w:val="cs-CZ"/>
              </w:rPr>
              <w:t xml:space="preserve"> stabilizovaná plocha bydlení BV</w:t>
            </w:r>
          </w:p>
        </w:tc>
        <w:tc>
          <w:tcPr>
            <w:tcW w:w="2660" w:type="dxa"/>
            <w:shd w:val="clear" w:color="auto" w:fill="auto"/>
          </w:tcPr>
          <w:p w14:paraId="7069DBC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1F542AAE" w14:textId="77777777" w:rsidTr="0066453E">
        <w:trPr>
          <w:cantSplit/>
        </w:trPr>
        <w:tc>
          <w:tcPr>
            <w:tcW w:w="1481" w:type="dxa"/>
            <w:shd w:val="clear" w:color="auto" w:fill="auto"/>
          </w:tcPr>
          <w:p w14:paraId="01BD1D74" w14:textId="77777777" w:rsidR="00C87F96" w:rsidRPr="00461C16" w:rsidRDefault="00C87F96" w:rsidP="003F68C9">
            <w:pPr>
              <w:spacing w:before="40" w:after="40" w:line="240" w:lineRule="auto"/>
              <w:jc w:val="left"/>
              <w:rPr>
                <w:sz w:val="20"/>
                <w:szCs w:val="20"/>
              </w:rPr>
            </w:pPr>
            <w:r w:rsidRPr="00461C16">
              <w:rPr>
                <w:sz w:val="20"/>
                <w:szCs w:val="20"/>
              </w:rPr>
              <w:t>181</w:t>
            </w:r>
          </w:p>
        </w:tc>
        <w:tc>
          <w:tcPr>
            <w:tcW w:w="1258" w:type="dxa"/>
          </w:tcPr>
          <w:p w14:paraId="4F1F8EA8" w14:textId="77777777" w:rsidR="00C87F96" w:rsidRPr="00461C16" w:rsidRDefault="00C87F96" w:rsidP="003F68C9">
            <w:pPr>
              <w:spacing w:before="40" w:after="40" w:line="240" w:lineRule="auto"/>
              <w:rPr>
                <w:sz w:val="20"/>
                <w:szCs w:val="20"/>
              </w:rPr>
            </w:pPr>
            <w:r w:rsidRPr="00461C16">
              <w:rPr>
                <w:sz w:val="20"/>
                <w:szCs w:val="20"/>
              </w:rPr>
              <w:t>Uhelná</w:t>
            </w:r>
          </w:p>
        </w:tc>
        <w:tc>
          <w:tcPr>
            <w:tcW w:w="1630" w:type="dxa"/>
            <w:shd w:val="clear" w:color="auto" w:fill="auto"/>
          </w:tcPr>
          <w:p w14:paraId="08B0A09F"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7B0EB938" w14:textId="77777777" w:rsidR="00C87F96" w:rsidRPr="002B113E" w:rsidRDefault="00C87F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stabilizovaná plocha BV</w:t>
            </w:r>
          </w:p>
        </w:tc>
        <w:tc>
          <w:tcPr>
            <w:tcW w:w="2660" w:type="dxa"/>
            <w:shd w:val="clear" w:color="auto" w:fill="auto"/>
          </w:tcPr>
          <w:p w14:paraId="7EE481CA"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52D23CE3" w14:textId="77777777" w:rsidTr="0066453E">
        <w:trPr>
          <w:cantSplit/>
        </w:trPr>
        <w:tc>
          <w:tcPr>
            <w:tcW w:w="1481" w:type="dxa"/>
            <w:shd w:val="clear" w:color="auto" w:fill="auto"/>
          </w:tcPr>
          <w:p w14:paraId="7AF61845" w14:textId="77777777" w:rsidR="00C87F96" w:rsidRPr="00461C16" w:rsidRDefault="00C87F96" w:rsidP="003F68C9">
            <w:pPr>
              <w:spacing w:before="40" w:after="40" w:line="240" w:lineRule="auto"/>
              <w:jc w:val="left"/>
              <w:rPr>
                <w:sz w:val="20"/>
                <w:szCs w:val="20"/>
              </w:rPr>
            </w:pPr>
            <w:r w:rsidRPr="00461C16">
              <w:rPr>
                <w:sz w:val="20"/>
                <w:szCs w:val="20"/>
              </w:rPr>
              <w:t>182</w:t>
            </w:r>
          </w:p>
        </w:tc>
        <w:tc>
          <w:tcPr>
            <w:tcW w:w="1258" w:type="dxa"/>
          </w:tcPr>
          <w:p w14:paraId="4E0DFEB6" w14:textId="77777777" w:rsidR="00C87F96" w:rsidRPr="00461C16" w:rsidRDefault="00C87F96" w:rsidP="003F68C9">
            <w:pPr>
              <w:spacing w:before="40" w:after="40" w:line="240" w:lineRule="auto"/>
              <w:rPr>
                <w:sz w:val="20"/>
                <w:szCs w:val="20"/>
              </w:rPr>
            </w:pPr>
            <w:r w:rsidRPr="00461C16">
              <w:rPr>
                <w:sz w:val="20"/>
                <w:szCs w:val="20"/>
              </w:rPr>
              <w:t>Uhelná</w:t>
            </w:r>
          </w:p>
        </w:tc>
        <w:tc>
          <w:tcPr>
            <w:tcW w:w="1630" w:type="dxa"/>
            <w:shd w:val="clear" w:color="auto" w:fill="auto"/>
          </w:tcPr>
          <w:p w14:paraId="09F15879"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0ADBD0F5" w14:textId="77777777" w:rsidR="00C87F96" w:rsidRPr="000A43D9" w:rsidRDefault="00C87F96" w:rsidP="003F68C9">
            <w:pPr>
              <w:pStyle w:val="Intabulka"/>
              <w:rPr>
                <w:rFonts w:ascii="Arial Narrow" w:hAnsi="Arial Narrow"/>
                <w:lang w:val="cs-CZ"/>
              </w:rPr>
            </w:pPr>
            <w:r w:rsidRPr="00461C16">
              <w:rPr>
                <w:rFonts w:ascii="Arial Narrow" w:hAnsi="Arial Narrow"/>
              </w:rPr>
              <w:t xml:space="preserve">Převzato </w:t>
            </w:r>
            <w:r>
              <w:rPr>
                <w:rFonts w:ascii="Arial Narrow" w:hAnsi="Arial Narrow"/>
                <w:lang w:val="cs-CZ"/>
              </w:rPr>
              <w:t>zčásti jako stabilizovaná plocha BV, zbývající část stav NS</w:t>
            </w:r>
          </w:p>
        </w:tc>
        <w:tc>
          <w:tcPr>
            <w:tcW w:w="2660" w:type="dxa"/>
            <w:shd w:val="clear" w:color="auto" w:fill="auto"/>
          </w:tcPr>
          <w:p w14:paraId="2DEC06EB"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7B8B197D" w14:textId="77777777" w:rsidTr="0066453E">
        <w:trPr>
          <w:cantSplit/>
        </w:trPr>
        <w:tc>
          <w:tcPr>
            <w:tcW w:w="1481" w:type="dxa"/>
            <w:shd w:val="clear" w:color="auto" w:fill="auto"/>
          </w:tcPr>
          <w:p w14:paraId="6676B04C" w14:textId="77777777" w:rsidR="00C87F96" w:rsidRPr="00461C16" w:rsidRDefault="00C87F96" w:rsidP="003F68C9">
            <w:pPr>
              <w:spacing w:before="40" w:after="40" w:line="240" w:lineRule="auto"/>
              <w:jc w:val="left"/>
              <w:rPr>
                <w:sz w:val="20"/>
                <w:szCs w:val="20"/>
              </w:rPr>
            </w:pPr>
            <w:r w:rsidRPr="00461C16">
              <w:rPr>
                <w:sz w:val="20"/>
                <w:szCs w:val="20"/>
              </w:rPr>
              <w:t>190</w:t>
            </w:r>
          </w:p>
        </w:tc>
        <w:tc>
          <w:tcPr>
            <w:tcW w:w="1258" w:type="dxa"/>
          </w:tcPr>
          <w:p w14:paraId="725639A9"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70EEF15E" w14:textId="77777777" w:rsidR="00C87F96" w:rsidRPr="00461C16" w:rsidRDefault="00C87F96" w:rsidP="003F68C9">
            <w:pPr>
              <w:spacing w:before="40" w:after="40" w:line="240" w:lineRule="auto"/>
              <w:jc w:val="left"/>
              <w:rPr>
                <w:sz w:val="20"/>
                <w:szCs w:val="20"/>
              </w:rPr>
            </w:pPr>
            <w:r w:rsidRPr="00461C16">
              <w:rPr>
                <w:sz w:val="20"/>
                <w:szCs w:val="20"/>
              </w:rPr>
              <w:t>plocha servisní zóny</w:t>
            </w:r>
          </w:p>
        </w:tc>
        <w:tc>
          <w:tcPr>
            <w:tcW w:w="2259" w:type="dxa"/>
            <w:shd w:val="clear" w:color="auto" w:fill="auto"/>
          </w:tcPr>
          <w:p w14:paraId="19AE8F6C"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NK, NS, NT</w:t>
            </w:r>
          </w:p>
        </w:tc>
        <w:tc>
          <w:tcPr>
            <w:tcW w:w="2660" w:type="dxa"/>
            <w:shd w:val="clear" w:color="auto" w:fill="auto"/>
          </w:tcPr>
          <w:p w14:paraId="58C0E7D7"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neaktuálnost záměru, zachována plocha krajinné zeleně</w:t>
            </w:r>
          </w:p>
        </w:tc>
      </w:tr>
      <w:tr w:rsidR="00C87F96" w:rsidRPr="00461C16" w14:paraId="20272E19" w14:textId="77777777" w:rsidTr="0066453E">
        <w:trPr>
          <w:cantSplit/>
        </w:trPr>
        <w:tc>
          <w:tcPr>
            <w:tcW w:w="1481" w:type="dxa"/>
            <w:shd w:val="clear" w:color="auto" w:fill="auto"/>
          </w:tcPr>
          <w:p w14:paraId="225DD051" w14:textId="77777777" w:rsidR="00C87F96" w:rsidRPr="00461C16" w:rsidRDefault="00C87F96" w:rsidP="003F68C9">
            <w:pPr>
              <w:spacing w:before="40" w:after="40" w:line="240" w:lineRule="auto"/>
              <w:jc w:val="left"/>
              <w:rPr>
                <w:sz w:val="20"/>
                <w:szCs w:val="20"/>
              </w:rPr>
            </w:pPr>
            <w:r w:rsidRPr="00461C16">
              <w:rPr>
                <w:sz w:val="20"/>
                <w:szCs w:val="20"/>
              </w:rPr>
              <w:t>191</w:t>
            </w:r>
          </w:p>
        </w:tc>
        <w:tc>
          <w:tcPr>
            <w:tcW w:w="1258" w:type="dxa"/>
          </w:tcPr>
          <w:p w14:paraId="040D694E"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118D7974"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7B791FBE" w14:textId="77777777" w:rsidR="00C87F96" w:rsidRPr="00461C16" w:rsidRDefault="00C87F96" w:rsidP="003F68C9">
            <w:pPr>
              <w:pStyle w:val="Intabulka"/>
              <w:rPr>
                <w:rFonts w:ascii="Arial Narrow" w:hAnsi="Arial Narrow"/>
              </w:rPr>
            </w:pPr>
            <w:r w:rsidRPr="00461C16">
              <w:rPr>
                <w:rFonts w:ascii="Arial Narrow" w:hAnsi="Arial Narrow"/>
              </w:rPr>
              <w:t>Převzato, vymezeno jako plocha změn Z28</w:t>
            </w:r>
          </w:p>
        </w:tc>
        <w:tc>
          <w:tcPr>
            <w:tcW w:w="2660" w:type="dxa"/>
            <w:shd w:val="clear" w:color="auto" w:fill="auto"/>
          </w:tcPr>
          <w:p w14:paraId="70C3BC99"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27C927B0" w14:textId="77777777" w:rsidTr="0066453E">
        <w:trPr>
          <w:cantSplit/>
        </w:trPr>
        <w:tc>
          <w:tcPr>
            <w:tcW w:w="1481" w:type="dxa"/>
            <w:shd w:val="clear" w:color="auto" w:fill="auto"/>
          </w:tcPr>
          <w:p w14:paraId="1A2039F2" w14:textId="77777777" w:rsidR="00C87F96" w:rsidRPr="00461C16" w:rsidRDefault="00C87F96" w:rsidP="003F68C9">
            <w:pPr>
              <w:spacing w:before="40" w:after="40" w:line="240" w:lineRule="auto"/>
              <w:jc w:val="left"/>
              <w:rPr>
                <w:sz w:val="20"/>
                <w:szCs w:val="20"/>
              </w:rPr>
            </w:pPr>
            <w:r w:rsidRPr="00461C16">
              <w:rPr>
                <w:sz w:val="20"/>
                <w:szCs w:val="20"/>
              </w:rPr>
              <w:t>192</w:t>
            </w:r>
          </w:p>
        </w:tc>
        <w:tc>
          <w:tcPr>
            <w:tcW w:w="1258" w:type="dxa"/>
          </w:tcPr>
          <w:p w14:paraId="615BA99E"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1486EECA"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17836D70" w14:textId="77777777" w:rsidR="00C87F96" w:rsidRPr="00461C16" w:rsidRDefault="00C87F96" w:rsidP="003F68C9">
            <w:pPr>
              <w:pStyle w:val="Intabulka"/>
              <w:rPr>
                <w:rFonts w:ascii="Arial Narrow" w:hAnsi="Arial Narrow"/>
              </w:rPr>
            </w:pPr>
            <w:r w:rsidRPr="00461C16">
              <w:rPr>
                <w:rFonts w:ascii="Arial Narrow" w:hAnsi="Arial Narrow"/>
              </w:rPr>
              <w:t>Převzato v jiném plošném rozsahu</w:t>
            </w:r>
          </w:p>
        </w:tc>
        <w:tc>
          <w:tcPr>
            <w:tcW w:w="2660" w:type="dxa"/>
            <w:shd w:val="clear" w:color="auto" w:fill="auto"/>
          </w:tcPr>
          <w:p w14:paraId="280A220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7CD9CE5D" w14:textId="77777777" w:rsidTr="0066453E">
        <w:trPr>
          <w:cantSplit/>
        </w:trPr>
        <w:tc>
          <w:tcPr>
            <w:tcW w:w="1481" w:type="dxa"/>
            <w:shd w:val="clear" w:color="auto" w:fill="auto"/>
          </w:tcPr>
          <w:p w14:paraId="6B04520B" w14:textId="77777777" w:rsidR="00C87F96" w:rsidRPr="00461C16" w:rsidRDefault="00C87F96" w:rsidP="003F68C9">
            <w:pPr>
              <w:spacing w:before="40" w:after="40" w:line="240" w:lineRule="auto"/>
              <w:jc w:val="left"/>
              <w:rPr>
                <w:sz w:val="20"/>
                <w:szCs w:val="20"/>
              </w:rPr>
            </w:pPr>
            <w:r w:rsidRPr="00461C16">
              <w:rPr>
                <w:sz w:val="20"/>
                <w:szCs w:val="20"/>
              </w:rPr>
              <w:t>193</w:t>
            </w:r>
          </w:p>
        </w:tc>
        <w:tc>
          <w:tcPr>
            <w:tcW w:w="1258" w:type="dxa"/>
          </w:tcPr>
          <w:p w14:paraId="1FCC584C"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7D642F73" w14:textId="77777777" w:rsidR="00C87F96" w:rsidRPr="00461C16" w:rsidRDefault="00C87F96" w:rsidP="003F68C9">
            <w:pPr>
              <w:spacing w:before="40" w:after="40" w:line="240" w:lineRule="auto"/>
              <w:jc w:val="left"/>
              <w:rPr>
                <w:sz w:val="20"/>
                <w:szCs w:val="20"/>
              </w:rPr>
            </w:pPr>
            <w:r w:rsidRPr="00461C16">
              <w:rPr>
                <w:sz w:val="20"/>
                <w:szCs w:val="20"/>
              </w:rPr>
              <w:t>plocha výroby čisté a výrobních služeb</w:t>
            </w:r>
          </w:p>
        </w:tc>
        <w:tc>
          <w:tcPr>
            <w:tcW w:w="2259" w:type="dxa"/>
            <w:shd w:val="clear" w:color="auto" w:fill="auto"/>
          </w:tcPr>
          <w:p w14:paraId="077D58CD" w14:textId="77777777" w:rsidR="00C87F96" w:rsidRPr="00C15DD3" w:rsidRDefault="00C15DD3" w:rsidP="003F68C9">
            <w:pPr>
              <w:pStyle w:val="Intabulka"/>
              <w:rPr>
                <w:rFonts w:ascii="Arial Narrow" w:hAnsi="Arial Narrow"/>
                <w:lang w:val="cs-CZ"/>
              </w:rPr>
            </w:pPr>
            <w:r>
              <w:rPr>
                <w:rFonts w:ascii="Arial Narrow" w:hAnsi="Arial Narrow"/>
                <w:lang w:val="cs-CZ"/>
              </w:rPr>
              <w:t>Převzato jako součást plochy změn Z101, změna využití na VZ</w:t>
            </w:r>
          </w:p>
        </w:tc>
        <w:tc>
          <w:tcPr>
            <w:tcW w:w="2660" w:type="dxa"/>
            <w:shd w:val="clear" w:color="auto" w:fill="auto"/>
          </w:tcPr>
          <w:p w14:paraId="6EC45410" w14:textId="77777777" w:rsidR="00C87F96" w:rsidRPr="00461C16" w:rsidRDefault="00C87F96" w:rsidP="003F68C9">
            <w:pPr>
              <w:pStyle w:val="Intabulka"/>
              <w:rPr>
                <w:rFonts w:ascii="Arial Narrow" w:hAnsi="Arial Narrow"/>
                <w:lang w:val="cs-CZ"/>
              </w:rPr>
            </w:pPr>
            <w:r>
              <w:rPr>
                <w:rFonts w:ascii="Arial Narrow" w:hAnsi="Arial Narrow"/>
                <w:lang w:val="cs-CZ"/>
              </w:rPr>
              <w:t xml:space="preserve">dodatečný požadavek zadavatele na vymezení plochy v rámci úprav pro veřejné projednání, požadavek vlastníka </w:t>
            </w:r>
          </w:p>
        </w:tc>
      </w:tr>
      <w:tr w:rsidR="00C87F96" w:rsidRPr="00461C16" w14:paraId="3A635A9B" w14:textId="77777777" w:rsidTr="0066453E">
        <w:trPr>
          <w:cantSplit/>
        </w:trPr>
        <w:tc>
          <w:tcPr>
            <w:tcW w:w="1481" w:type="dxa"/>
            <w:shd w:val="clear" w:color="auto" w:fill="auto"/>
          </w:tcPr>
          <w:p w14:paraId="4ACEBCFF" w14:textId="77777777" w:rsidR="00C87F96" w:rsidRPr="00461C16" w:rsidRDefault="00C87F96" w:rsidP="003F68C9">
            <w:pPr>
              <w:spacing w:before="40" w:after="40" w:line="240" w:lineRule="auto"/>
              <w:jc w:val="left"/>
              <w:rPr>
                <w:sz w:val="20"/>
                <w:szCs w:val="20"/>
              </w:rPr>
            </w:pPr>
            <w:r w:rsidRPr="00461C16">
              <w:rPr>
                <w:sz w:val="20"/>
                <w:szCs w:val="20"/>
              </w:rPr>
              <w:lastRenderedPageBreak/>
              <w:t>194</w:t>
            </w:r>
          </w:p>
        </w:tc>
        <w:tc>
          <w:tcPr>
            <w:tcW w:w="1258" w:type="dxa"/>
          </w:tcPr>
          <w:p w14:paraId="78355C2C"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321E0683" w14:textId="77777777" w:rsidR="00C87F96" w:rsidRPr="00461C16" w:rsidRDefault="00C87F96"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44EC9340"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Převzato</w:t>
            </w:r>
          </w:p>
        </w:tc>
        <w:tc>
          <w:tcPr>
            <w:tcW w:w="2660" w:type="dxa"/>
            <w:shd w:val="clear" w:color="auto" w:fill="auto"/>
          </w:tcPr>
          <w:p w14:paraId="42D9D8EA"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realizováno - vymezeno dle skutečného stavu</w:t>
            </w:r>
          </w:p>
        </w:tc>
      </w:tr>
      <w:tr w:rsidR="00C87F96" w:rsidRPr="00461C16" w14:paraId="03AA6E73" w14:textId="77777777" w:rsidTr="0066453E">
        <w:trPr>
          <w:cantSplit/>
        </w:trPr>
        <w:tc>
          <w:tcPr>
            <w:tcW w:w="1481" w:type="dxa"/>
            <w:shd w:val="clear" w:color="auto" w:fill="auto"/>
          </w:tcPr>
          <w:p w14:paraId="1097BEBC" w14:textId="77777777" w:rsidR="00C87F96" w:rsidRPr="00461C16" w:rsidRDefault="00C87F96" w:rsidP="003F68C9">
            <w:pPr>
              <w:spacing w:before="40" w:after="40" w:line="240" w:lineRule="auto"/>
              <w:jc w:val="left"/>
              <w:rPr>
                <w:sz w:val="20"/>
                <w:szCs w:val="20"/>
              </w:rPr>
            </w:pPr>
            <w:r w:rsidRPr="00461C16">
              <w:rPr>
                <w:sz w:val="20"/>
                <w:szCs w:val="20"/>
              </w:rPr>
              <w:t>200 (několik dílčích ploch)</w:t>
            </w:r>
          </w:p>
        </w:tc>
        <w:tc>
          <w:tcPr>
            <w:tcW w:w="1258" w:type="dxa"/>
          </w:tcPr>
          <w:p w14:paraId="287CDE48"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59683B88" w14:textId="77777777" w:rsidR="00C87F96" w:rsidRPr="00461C16" w:rsidRDefault="00C87F96"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0EC0C646" w14:textId="77777777" w:rsidR="00C87F96" w:rsidRPr="00461C16" w:rsidRDefault="00C87F96" w:rsidP="003F68C9">
            <w:pPr>
              <w:pStyle w:val="Intabulka"/>
              <w:rPr>
                <w:rFonts w:ascii="Arial Narrow" w:hAnsi="Arial Narrow"/>
              </w:rPr>
            </w:pPr>
            <w:r w:rsidRPr="00461C16">
              <w:rPr>
                <w:rFonts w:ascii="Arial Narrow" w:hAnsi="Arial Narrow"/>
                <w:lang w:val="cs-CZ"/>
              </w:rPr>
              <w:t>P</w:t>
            </w:r>
            <w:r w:rsidRPr="00461C16">
              <w:rPr>
                <w:rFonts w:ascii="Arial Narrow" w:hAnsi="Arial Narrow"/>
              </w:rPr>
              <w:t>řevzato, vymezeno jako plocha přestavby P04 – SV</w:t>
            </w:r>
            <w:r w:rsidRPr="00461C16">
              <w:rPr>
                <w:rFonts w:ascii="Arial Narrow" w:hAnsi="Arial Narrow"/>
                <w:lang w:val="cs-CZ"/>
              </w:rPr>
              <w:t>, s možností umístění občanského vybavení a služeb</w:t>
            </w:r>
            <w:r w:rsidRPr="00461C16">
              <w:rPr>
                <w:rFonts w:ascii="Arial Narrow" w:hAnsi="Arial Narrow"/>
              </w:rPr>
              <w:t xml:space="preserve"> a plocha změn Z24 – OS v jiném plošném rozsahu</w:t>
            </w:r>
          </w:p>
        </w:tc>
        <w:tc>
          <w:tcPr>
            <w:tcW w:w="2660" w:type="dxa"/>
            <w:shd w:val="clear" w:color="auto" w:fill="auto"/>
          </w:tcPr>
          <w:p w14:paraId="14831432"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2D7C964E" w14:textId="77777777" w:rsidTr="0066453E">
        <w:trPr>
          <w:cantSplit/>
        </w:trPr>
        <w:tc>
          <w:tcPr>
            <w:tcW w:w="1481" w:type="dxa"/>
            <w:shd w:val="clear" w:color="auto" w:fill="auto"/>
          </w:tcPr>
          <w:p w14:paraId="3C5BF2AA" w14:textId="77777777" w:rsidR="00C87F96" w:rsidRPr="00461C16" w:rsidRDefault="00C87F96" w:rsidP="003F68C9">
            <w:pPr>
              <w:spacing w:before="40" w:after="40" w:line="240" w:lineRule="auto"/>
              <w:jc w:val="left"/>
              <w:rPr>
                <w:sz w:val="20"/>
                <w:szCs w:val="20"/>
              </w:rPr>
            </w:pPr>
            <w:r w:rsidRPr="00461C16">
              <w:rPr>
                <w:sz w:val="20"/>
                <w:szCs w:val="20"/>
              </w:rPr>
              <w:t>201</w:t>
            </w:r>
          </w:p>
        </w:tc>
        <w:tc>
          <w:tcPr>
            <w:tcW w:w="1258" w:type="dxa"/>
          </w:tcPr>
          <w:p w14:paraId="2E794923"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7DF79456"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1E02922B" w14:textId="77777777" w:rsidR="00C87F96" w:rsidRPr="00461C16" w:rsidRDefault="00C87F96" w:rsidP="003F68C9">
            <w:pPr>
              <w:pStyle w:val="Intabulka"/>
              <w:rPr>
                <w:rFonts w:ascii="Arial Narrow" w:hAnsi="Arial Narrow"/>
              </w:rPr>
            </w:pPr>
            <w:r w:rsidRPr="00461C16">
              <w:rPr>
                <w:rFonts w:ascii="Arial Narrow" w:hAnsi="Arial Narrow"/>
              </w:rPr>
              <w:t>Převzato částečně, vymezeno jako ZV, NS a SV</w:t>
            </w:r>
          </w:p>
        </w:tc>
        <w:tc>
          <w:tcPr>
            <w:tcW w:w="2660" w:type="dxa"/>
            <w:shd w:val="clear" w:color="auto" w:fill="auto"/>
          </w:tcPr>
          <w:p w14:paraId="63AE36E3"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 xml:space="preserve">rozsah plochy </w:t>
            </w:r>
            <w:r w:rsidR="00BC333D">
              <w:rPr>
                <w:rFonts w:ascii="Arial Narrow" w:hAnsi="Arial Narrow"/>
                <w:lang w:val="cs-CZ"/>
              </w:rPr>
              <w:t>upraven s ohledem na nežádoucí rozpínání zástavby do volné krajiny</w:t>
            </w:r>
            <w:r w:rsidRPr="00461C16">
              <w:rPr>
                <w:rFonts w:ascii="Arial Narrow" w:hAnsi="Arial Narrow"/>
                <w:lang w:val="cs-CZ"/>
              </w:rPr>
              <w:t>, zachováno veřejné prostranství</w:t>
            </w:r>
          </w:p>
        </w:tc>
      </w:tr>
      <w:tr w:rsidR="00C87F96" w:rsidRPr="00461C16" w14:paraId="53A10175" w14:textId="77777777" w:rsidTr="0066453E">
        <w:trPr>
          <w:cantSplit/>
        </w:trPr>
        <w:tc>
          <w:tcPr>
            <w:tcW w:w="1481" w:type="dxa"/>
            <w:shd w:val="clear" w:color="auto" w:fill="auto"/>
          </w:tcPr>
          <w:p w14:paraId="1F9F0122" w14:textId="77777777" w:rsidR="00C87F96" w:rsidRPr="00461C16" w:rsidRDefault="00C87F96" w:rsidP="003F68C9">
            <w:pPr>
              <w:spacing w:before="40" w:after="40" w:line="240" w:lineRule="auto"/>
              <w:jc w:val="left"/>
              <w:rPr>
                <w:sz w:val="20"/>
                <w:szCs w:val="20"/>
              </w:rPr>
            </w:pPr>
            <w:r w:rsidRPr="00461C16">
              <w:rPr>
                <w:sz w:val="20"/>
                <w:szCs w:val="20"/>
              </w:rPr>
              <w:t xml:space="preserve">202 </w:t>
            </w:r>
          </w:p>
        </w:tc>
        <w:tc>
          <w:tcPr>
            <w:tcW w:w="1258" w:type="dxa"/>
          </w:tcPr>
          <w:p w14:paraId="31FB442D"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0F734F7D"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55BD196B" w14:textId="77777777" w:rsidR="00C87F96" w:rsidRPr="00461C16" w:rsidRDefault="00C87F96" w:rsidP="003F68C9">
            <w:pPr>
              <w:pStyle w:val="Intabulka"/>
              <w:rPr>
                <w:rFonts w:ascii="Arial Narrow" w:hAnsi="Arial Narrow"/>
              </w:rPr>
            </w:pPr>
            <w:r w:rsidRPr="00461C16">
              <w:rPr>
                <w:rFonts w:ascii="Arial Narrow" w:hAnsi="Arial Narrow"/>
              </w:rPr>
              <w:t>Převzato v jiném plošném rozsahu, vymezeno jako plocha změn Z23 a plocha přestavby P02</w:t>
            </w:r>
          </w:p>
        </w:tc>
        <w:tc>
          <w:tcPr>
            <w:tcW w:w="2660" w:type="dxa"/>
            <w:shd w:val="clear" w:color="auto" w:fill="auto"/>
          </w:tcPr>
          <w:p w14:paraId="528501C0"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727E2D07" w14:textId="77777777" w:rsidTr="0066453E">
        <w:trPr>
          <w:cantSplit/>
        </w:trPr>
        <w:tc>
          <w:tcPr>
            <w:tcW w:w="1481" w:type="dxa"/>
            <w:shd w:val="clear" w:color="auto" w:fill="auto"/>
          </w:tcPr>
          <w:p w14:paraId="62C1D61F" w14:textId="77777777" w:rsidR="00C87F96" w:rsidRPr="00461C16" w:rsidRDefault="00C87F96" w:rsidP="003F68C9">
            <w:pPr>
              <w:spacing w:before="40" w:after="40" w:line="240" w:lineRule="auto"/>
              <w:jc w:val="left"/>
              <w:rPr>
                <w:sz w:val="20"/>
                <w:szCs w:val="20"/>
              </w:rPr>
            </w:pPr>
            <w:r w:rsidRPr="00461C16">
              <w:rPr>
                <w:sz w:val="20"/>
                <w:szCs w:val="20"/>
              </w:rPr>
              <w:t>203</w:t>
            </w:r>
          </w:p>
        </w:tc>
        <w:tc>
          <w:tcPr>
            <w:tcW w:w="1258" w:type="dxa"/>
          </w:tcPr>
          <w:p w14:paraId="41403D53"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587D7FBA"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199F5F5"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NS</w:t>
            </w:r>
          </w:p>
        </w:tc>
        <w:tc>
          <w:tcPr>
            <w:tcW w:w="2660" w:type="dxa"/>
            <w:shd w:val="clear" w:color="auto" w:fill="auto"/>
          </w:tcPr>
          <w:p w14:paraId="6A7DADB7"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nežádoucí rozpínání zástavby do volné krajiny</w:t>
            </w:r>
          </w:p>
        </w:tc>
      </w:tr>
      <w:tr w:rsidR="00C87F96" w:rsidRPr="00461C16" w14:paraId="76F33B16" w14:textId="77777777" w:rsidTr="0066453E">
        <w:trPr>
          <w:cantSplit/>
        </w:trPr>
        <w:tc>
          <w:tcPr>
            <w:tcW w:w="1481" w:type="dxa"/>
            <w:shd w:val="clear" w:color="auto" w:fill="auto"/>
          </w:tcPr>
          <w:p w14:paraId="6D9266CB" w14:textId="77777777" w:rsidR="00C87F96" w:rsidRPr="00461C16" w:rsidRDefault="00C87F96" w:rsidP="003F68C9">
            <w:pPr>
              <w:spacing w:before="40" w:after="40" w:line="240" w:lineRule="auto"/>
              <w:jc w:val="left"/>
              <w:rPr>
                <w:sz w:val="20"/>
                <w:szCs w:val="20"/>
              </w:rPr>
            </w:pPr>
            <w:r w:rsidRPr="00461C16">
              <w:rPr>
                <w:sz w:val="20"/>
                <w:szCs w:val="20"/>
              </w:rPr>
              <w:t>204</w:t>
            </w:r>
          </w:p>
        </w:tc>
        <w:tc>
          <w:tcPr>
            <w:tcW w:w="1258" w:type="dxa"/>
          </w:tcPr>
          <w:p w14:paraId="247E6053"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1F421D42"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46691CEE" w14:textId="77777777" w:rsidR="00C87F96" w:rsidRPr="00461C16" w:rsidRDefault="00C87F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4987B9E4"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4EBD0473" w14:textId="77777777" w:rsidTr="0066453E">
        <w:trPr>
          <w:cantSplit/>
        </w:trPr>
        <w:tc>
          <w:tcPr>
            <w:tcW w:w="1481" w:type="dxa"/>
            <w:shd w:val="clear" w:color="auto" w:fill="auto"/>
          </w:tcPr>
          <w:p w14:paraId="6C2EC455" w14:textId="77777777" w:rsidR="00C87F96" w:rsidRPr="00461C16" w:rsidRDefault="00C87F96" w:rsidP="003F68C9">
            <w:pPr>
              <w:spacing w:before="40" w:after="40" w:line="240" w:lineRule="auto"/>
              <w:jc w:val="left"/>
              <w:rPr>
                <w:sz w:val="20"/>
                <w:szCs w:val="20"/>
              </w:rPr>
            </w:pPr>
            <w:r w:rsidRPr="00461C16">
              <w:rPr>
                <w:sz w:val="20"/>
                <w:szCs w:val="20"/>
              </w:rPr>
              <w:t>205</w:t>
            </w:r>
          </w:p>
        </w:tc>
        <w:tc>
          <w:tcPr>
            <w:tcW w:w="1258" w:type="dxa"/>
          </w:tcPr>
          <w:p w14:paraId="592EEF22"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7898C7BC" w14:textId="77777777" w:rsidR="00C87F96" w:rsidRPr="00461C16" w:rsidRDefault="00C87F96"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18337614"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Převzato</w:t>
            </w:r>
          </w:p>
        </w:tc>
        <w:tc>
          <w:tcPr>
            <w:tcW w:w="2660" w:type="dxa"/>
            <w:shd w:val="clear" w:color="auto" w:fill="auto"/>
          </w:tcPr>
          <w:p w14:paraId="09459DA2"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realizováno - vymezeno jako stav</w:t>
            </w:r>
          </w:p>
        </w:tc>
      </w:tr>
      <w:tr w:rsidR="00C87F96" w:rsidRPr="00461C16" w14:paraId="4FD7DDC4" w14:textId="77777777" w:rsidTr="0066453E">
        <w:trPr>
          <w:cantSplit/>
        </w:trPr>
        <w:tc>
          <w:tcPr>
            <w:tcW w:w="1481" w:type="dxa"/>
            <w:shd w:val="clear" w:color="auto" w:fill="auto"/>
          </w:tcPr>
          <w:p w14:paraId="44609D3F" w14:textId="77777777" w:rsidR="00C87F96" w:rsidRPr="00461C16" w:rsidRDefault="00C87F96" w:rsidP="003F68C9">
            <w:pPr>
              <w:spacing w:before="40" w:after="40" w:line="240" w:lineRule="auto"/>
              <w:jc w:val="left"/>
              <w:rPr>
                <w:sz w:val="20"/>
                <w:szCs w:val="20"/>
              </w:rPr>
            </w:pPr>
            <w:r w:rsidRPr="00461C16">
              <w:rPr>
                <w:sz w:val="20"/>
                <w:szCs w:val="20"/>
              </w:rPr>
              <w:t>218</w:t>
            </w:r>
          </w:p>
        </w:tc>
        <w:tc>
          <w:tcPr>
            <w:tcW w:w="1258" w:type="dxa"/>
          </w:tcPr>
          <w:p w14:paraId="497D6230" w14:textId="77777777" w:rsidR="00C87F96" w:rsidRPr="00461C16" w:rsidRDefault="00C87F96" w:rsidP="003F68C9">
            <w:pPr>
              <w:spacing w:before="40" w:after="40" w:line="240" w:lineRule="auto"/>
              <w:rPr>
                <w:sz w:val="20"/>
                <w:szCs w:val="20"/>
              </w:rPr>
            </w:pPr>
            <w:r w:rsidRPr="00461C16">
              <w:rPr>
                <w:sz w:val="20"/>
                <w:szCs w:val="20"/>
              </w:rPr>
              <w:t>Václavice</w:t>
            </w:r>
          </w:p>
        </w:tc>
        <w:tc>
          <w:tcPr>
            <w:tcW w:w="1630" w:type="dxa"/>
            <w:shd w:val="clear" w:color="auto" w:fill="auto"/>
          </w:tcPr>
          <w:p w14:paraId="6A2C9F48" w14:textId="77777777" w:rsidR="00C87F96" w:rsidRPr="00461C16" w:rsidRDefault="00C87F96" w:rsidP="003F68C9">
            <w:pPr>
              <w:spacing w:before="40" w:after="40" w:line="240" w:lineRule="auto"/>
              <w:jc w:val="left"/>
              <w:rPr>
                <w:sz w:val="20"/>
                <w:szCs w:val="20"/>
              </w:rPr>
            </w:pPr>
            <w:r w:rsidRPr="00461C16">
              <w:rPr>
                <w:sz w:val="20"/>
                <w:szCs w:val="20"/>
              </w:rPr>
              <w:t>plocha silničních motorových komunikací</w:t>
            </w:r>
          </w:p>
        </w:tc>
        <w:tc>
          <w:tcPr>
            <w:tcW w:w="2259" w:type="dxa"/>
            <w:shd w:val="clear" w:color="auto" w:fill="auto"/>
          </w:tcPr>
          <w:p w14:paraId="4CE770CF"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Převzato</w:t>
            </w:r>
          </w:p>
        </w:tc>
        <w:tc>
          <w:tcPr>
            <w:tcW w:w="2660" w:type="dxa"/>
            <w:shd w:val="clear" w:color="auto" w:fill="auto"/>
          </w:tcPr>
          <w:p w14:paraId="65DFA55D"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realizováno – vymezeno jako stav</w:t>
            </w:r>
          </w:p>
        </w:tc>
      </w:tr>
      <w:tr w:rsidR="00C87F96" w:rsidRPr="00461C16" w14:paraId="31AA4A50" w14:textId="77777777" w:rsidTr="0066453E">
        <w:trPr>
          <w:cantSplit/>
        </w:trPr>
        <w:tc>
          <w:tcPr>
            <w:tcW w:w="1481" w:type="dxa"/>
            <w:shd w:val="clear" w:color="auto" w:fill="auto"/>
          </w:tcPr>
          <w:p w14:paraId="27638125" w14:textId="77777777" w:rsidR="00C87F96" w:rsidRPr="00461C16" w:rsidRDefault="00C87F96" w:rsidP="003F68C9">
            <w:pPr>
              <w:spacing w:before="40" w:after="40" w:line="240" w:lineRule="auto"/>
              <w:rPr>
                <w:sz w:val="20"/>
                <w:szCs w:val="20"/>
              </w:rPr>
            </w:pPr>
            <w:r w:rsidRPr="00461C16">
              <w:rPr>
                <w:sz w:val="20"/>
                <w:szCs w:val="20"/>
              </w:rPr>
              <w:t>230</w:t>
            </w:r>
          </w:p>
        </w:tc>
        <w:tc>
          <w:tcPr>
            <w:tcW w:w="1258" w:type="dxa"/>
          </w:tcPr>
          <w:p w14:paraId="2F5E3339"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4BDFCFD2"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4349B61" w14:textId="77777777" w:rsidR="00C87F96" w:rsidRPr="00461C16" w:rsidRDefault="00C87F96" w:rsidP="003F68C9">
            <w:pPr>
              <w:pStyle w:val="Intabulka"/>
              <w:rPr>
                <w:rFonts w:ascii="Arial Narrow" w:hAnsi="Arial Narrow"/>
              </w:rPr>
            </w:pPr>
            <w:r w:rsidRPr="00461C16">
              <w:rPr>
                <w:rFonts w:ascii="Arial Narrow" w:hAnsi="Arial Narrow"/>
              </w:rPr>
              <w:t>Převzato, vymezeno jako plocha změn Z86</w:t>
            </w:r>
          </w:p>
        </w:tc>
        <w:tc>
          <w:tcPr>
            <w:tcW w:w="2660" w:type="dxa"/>
            <w:shd w:val="clear" w:color="auto" w:fill="auto"/>
          </w:tcPr>
          <w:p w14:paraId="5139CE40"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4EA5F022" w14:textId="77777777" w:rsidTr="0066453E">
        <w:trPr>
          <w:cantSplit/>
        </w:trPr>
        <w:tc>
          <w:tcPr>
            <w:tcW w:w="1481" w:type="dxa"/>
            <w:shd w:val="clear" w:color="auto" w:fill="auto"/>
          </w:tcPr>
          <w:p w14:paraId="6CF1A977" w14:textId="77777777" w:rsidR="00C87F96" w:rsidRPr="00461C16" w:rsidRDefault="00C87F96" w:rsidP="003F68C9">
            <w:pPr>
              <w:spacing w:before="40" w:after="40" w:line="240" w:lineRule="auto"/>
              <w:rPr>
                <w:sz w:val="20"/>
                <w:szCs w:val="20"/>
              </w:rPr>
            </w:pPr>
            <w:r w:rsidRPr="00461C16">
              <w:rPr>
                <w:sz w:val="20"/>
                <w:szCs w:val="20"/>
              </w:rPr>
              <w:t>231</w:t>
            </w:r>
          </w:p>
        </w:tc>
        <w:tc>
          <w:tcPr>
            <w:tcW w:w="1258" w:type="dxa"/>
          </w:tcPr>
          <w:p w14:paraId="0DFF223C"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0FD10FC6"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256C657" w14:textId="77777777" w:rsidR="00C87F96" w:rsidRPr="00461C16" w:rsidRDefault="00C87F96" w:rsidP="003F68C9">
            <w:pPr>
              <w:pStyle w:val="Intabulka"/>
              <w:rPr>
                <w:rFonts w:ascii="Arial Narrow" w:hAnsi="Arial Narrow"/>
              </w:rPr>
            </w:pPr>
            <w:r w:rsidRPr="00461C16">
              <w:rPr>
                <w:rFonts w:ascii="Arial Narrow" w:hAnsi="Arial Narrow"/>
              </w:rPr>
              <w:t>Převzato, vymezeno jako plocha přestavby P15</w:t>
            </w:r>
          </w:p>
        </w:tc>
        <w:tc>
          <w:tcPr>
            <w:tcW w:w="2660" w:type="dxa"/>
            <w:shd w:val="clear" w:color="auto" w:fill="auto"/>
          </w:tcPr>
          <w:p w14:paraId="3603E647"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622EBC45" w14:textId="77777777" w:rsidTr="0066453E">
        <w:trPr>
          <w:cantSplit/>
        </w:trPr>
        <w:tc>
          <w:tcPr>
            <w:tcW w:w="1481" w:type="dxa"/>
            <w:shd w:val="clear" w:color="auto" w:fill="auto"/>
          </w:tcPr>
          <w:p w14:paraId="4EFA26FC" w14:textId="77777777" w:rsidR="00C87F96" w:rsidRPr="00461C16" w:rsidRDefault="00C87F96" w:rsidP="003F68C9">
            <w:pPr>
              <w:spacing w:before="40" w:after="40" w:line="240" w:lineRule="auto"/>
              <w:rPr>
                <w:sz w:val="20"/>
                <w:szCs w:val="20"/>
              </w:rPr>
            </w:pPr>
            <w:r w:rsidRPr="00461C16">
              <w:rPr>
                <w:sz w:val="20"/>
                <w:szCs w:val="20"/>
              </w:rPr>
              <w:t>232</w:t>
            </w:r>
          </w:p>
        </w:tc>
        <w:tc>
          <w:tcPr>
            <w:tcW w:w="1258" w:type="dxa"/>
          </w:tcPr>
          <w:p w14:paraId="6DB67B3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0CA10B5A"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193D3B9D" w14:textId="77777777" w:rsidR="00C87F96" w:rsidRPr="00461C16" w:rsidRDefault="00C87F96" w:rsidP="003F68C9">
            <w:pPr>
              <w:pStyle w:val="Intabulka"/>
              <w:rPr>
                <w:rFonts w:ascii="Arial Narrow" w:hAnsi="Arial Narrow"/>
              </w:rPr>
            </w:pPr>
            <w:r w:rsidRPr="00461C16">
              <w:rPr>
                <w:rFonts w:ascii="Arial Narrow" w:hAnsi="Arial Narrow"/>
              </w:rPr>
              <w:t>Záměr potvrzen, vymezeno jako územní rezerva R10 –SV, jiný plošný rozsah</w:t>
            </w:r>
          </w:p>
        </w:tc>
        <w:tc>
          <w:tcPr>
            <w:tcW w:w="2660" w:type="dxa"/>
            <w:shd w:val="clear" w:color="auto" w:fill="auto"/>
          </w:tcPr>
          <w:p w14:paraId="5D24A730"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 avšak z důvodu polohy v aktivní zóně záplavového území nelze vymezit jako návrh</w:t>
            </w:r>
          </w:p>
        </w:tc>
      </w:tr>
      <w:tr w:rsidR="00C87F96" w:rsidRPr="00461C16" w14:paraId="73DB9188" w14:textId="77777777" w:rsidTr="0066453E">
        <w:trPr>
          <w:cantSplit/>
        </w:trPr>
        <w:tc>
          <w:tcPr>
            <w:tcW w:w="1481" w:type="dxa"/>
            <w:shd w:val="clear" w:color="auto" w:fill="auto"/>
          </w:tcPr>
          <w:p w14:paraId="35F9891F" w14:textId="77777777" w:rsidR="00C87F96" w:rsidRPr="00461C16" w:rsidRDefault="00C87F96" w:rsidP="003F68C9">
            <w:pPr>
              <w:spacing w:before="40" w:after="40" w:line="240" w:lineRule="auto"/>
              <w:rPr>
                <w:sz w:val="20"/>
                <w:szCs w:val="20"/>
              </w:rPr>
            </w:pPr>
            <w:r w:rsidRPr="00461C16">
              <w:rPr>
                <w:sz w:val="20"/>
                <w:szCs w:val="20"/>
              </w:rPr>
              <w:t>240</w:t>
            </w:r>
          </w:p>
        </w:tc>
        <w:tc>
          <w:tcPr>
            <w:tcW w:w="1258" w:type="dxa"/>
          </w:tcPr>
          <w:p w14:paraId="410E2CE0"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57DC5335"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3A70FD2F" w14:textId="77777777" w:rsidR="00C87F96" w:rsidRPr="00461C16" w:rsidRDefault="00C87F96" w:rsidP="003F68C9">
            <w:pPr>
              <w:pStyle w:val="Intabulka"/>
              <w:rPr>
                <w:rFonts w:ascii="Arial Narrow" w:hAnsi="Arial Narrow"/>
              </w:rPr>
            </w:pPr>
            <w:r w:rsidRPr="00461C16">
              <w:rPr>
                <w:rFonts w:ascii="Arial Narrow" w:hAnsi="Arial Narrow"/>
              </w:rPr>
              <w:t>Převzato, vymezeno jako plocha změn Z95</w:t>
            </w:r>
          </w:p>
        </w:tc>
        <w:tc>
          <w:tcPr>
            <w:tcW w:w="2660" w:type="dxa"/>
            <w:shd w:val="clear" w:color="auto" w:fill="auto"/>
          </w:tcPr>
          <w:p w14:paraId="1BADC141"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23641F99" w14:textId="77777777" w:rsidTr="0066453E">
        <w:trPr>
          <w:cantSplit/>
        </w:trPr>
        <w:tc>
          <w:tcPr>
            <w:tcW w:w="1481" w:type="dxa"/>
            <w:shd w:val="clear" w:color="auto" w:fill="auto"/>
          </w:tcPr>
          <w:p w14:paraId="496B1414" w14:textId="77777777" w:rsidR="00C87F96" w:rsidRPr="00461C16" w:rsidRDefault="00C87F96" w:rsidP="003F68C9">
            <w:pPr>
              <w:spacing w:before="40" w:after="40" w:line="240" w:lineRule="auto"/>
              <w:rPr>
                <w:sz w:val="20"/>
                <w:szCs w:val="20"/>
              </w:rPr>
            </w:pPr>
            <w:r w:rsidRPr="00461C16">
              <w:rPr>
                <w:sz w:val="20"/>
                <w:szCs w:val="20"/>
              </w:rPr>
              <w:lastRenderedPageBreak/>
              <w:t>241</w:t>
            </w:r>
          </w:p>
        </w:tc>
        <w:tc>
          <w:tcPr>
            <w:tcW w:w="1258" w:type="dxa"/>
          </w:tcPr>
          <w:p w14:paraId="2BEE1EE8"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69246360"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34054373" w14:textId="77777777" w:rsidR="00C87F96" w:rsidRPr="00461C16" w:rsidRDefault="00C87F96" w:rsidP="003F68C9">
            <w:pPr>
              <w:pStyle w:val="Intabulka"/>
              <w:rPr>
                <w:rFonts w:ascii="Arial Narrow" w:hAnsi="Arial Narrow"/>
              </w:rPr>
            </w:pPr>
            <w:r w:rsidRPr="00461C16">
              <w:rPr>
                <w:rFonts w:ascii="Arial Narrow" w:hAnsi="Arial Narrow"/>
              </w:rPr>
              <w:t xml:space="preserve">Převzato </w:t>
            </w:r>
            <w:r w:rsidRPr="00461C16">
              <w:rPr>
                <w:rFonts w:ascii="Arial Narrow" w:hAnsi="Arial Narrow"/>
                <w:lang w:val="cs-CZ"/>
              </w:rPr>
              <w:t>z větší části, zbývající plocha v</w:t>
            </w:r>
            <w:r w:rsidRPr="00461C16">
              <w:rPr>
                <w:rFonts w:ascii="Arial Narrow" w:hAnsi="Arial Narrow"/>
              </w:rPr>
              <w:t>ymezena jako NS</w:t>
            </w:r>
          </w:p>
        </w:tc>
        <w:tc>
          <w:tcPr>
            <w:tcW w:w="2660" w:type="dxa"/>
            <w:shd w:val="clear" w:color="auto" w:fill="auto"/>
          </w:tcPr>
          <w:p w14:paraId="48F969FE"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rozsahu zastavěného území vymezeno jako stabilizovaná plocha, zbývající část zachována pro zemědělské obhospodařování, s cílem nepodporovat rozvoj fragmentované zástavby</w:t>
            </w:r>
          </w:p>
        </w:tc>
      </w:tr>
      <w:tr w:rsidR="00C87F96" w:rsidRPr="00461C16" w14:paraId="28C6340F" w14:textId="77777777" w:rsidTr="0066453E">
        <w:trPr>
          <w:cantSplit/>
        </w:trPr>
        <w:tc>
          <w:tcPr>
            <w:tcW w:w="1481" w:type="dxa"/>
            <w:shd w:val="clear" w:color="auto" w:fill="auto"/>
          </w:tcPr>
          <w:p w14:paraId="531D00C1" w14:textId="77777777" w:rsidR="00C87F96" w:rsidRPr="00461C16" w:rsidRDefault="00C87F96" w:rsidP="003F68C9">
            <w:pPr>
              <w:spacing w:before="40" w:after="40" w:line="240" w:lineRule="auto"/>
              <w:rPr>
                <w:sz w:val="20"/>
                <w:szCs w:val="20"/>
              </w:rPr>
            </w:pPr>
            <w:r w:rsidRPr="00461C16">
              <w:rPr>
                <w:sz w:val="20"/>
                <w:szCs w:val="20"/>
              </w:rPr>
              <w:t>242</w:t>
            </w:r>
          </w:p>
        </w:tc>
        <w:tc>
          <w:tcPr>
            <w:tcW w:w="1258" w:type="dxa"/>
          </w:tcPr>
          <w:p w14:paraId="1AB2D398"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596C1BC6"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372658E" w14:textId="77777777" w:rsidR="00C87F96" w:rsidRPr="00461C16" w:rsidRDefault="00C87F96" w:rsidP="003F68C9">
            <w:pPr>
              <w:pStyle w:val="Intabulka"/>
              <w:rPr>
                <w:rFonts w:ascii="Arial Narrow" w:hAnsi="Arial Narrow"/>
              </w:rPr>
            </w:pPr>
            <w:r w:rsidRPr="00461C16">
              <w:rPr>
                <w:rFonts w:ascii="Arial Narrow" w:hAnsi="Arial Narrow"/>
              </w:rPr>
              <w:t>Převzato, vymezeno jako plocha změn Z96</w:t>
            </w:r>
          </w:p>
        </w:tc>
        <w:tc>
          <w:tcPr>
            <w:tcW w:w="2660" w:type="dxa"/>
            <w:shd w:val="clear" w:color="auto" w:fill="auto"/>
          </w:tcPr>
          <w:p w14:paraId="76AEBE44"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1DA4A1F1" w14:textId="77777777" w:rsidTr="0066453E">
        <w:trPr>
          <w:cantSplit/>
        </w:trPr>
        <w:tc>
          <w:tcPr>
            <w:tcW w:w="1481" w:type="dxa"/>
            <w:shd w:val="clear" w:color="auto" w:fill="auto"/>
          </w:tcPr>
          <w:p w14:paraId="56C7F8F1" w14:textId="77777777" w:rsidR="00C87F96" w:rsidRPr="00461C16" w:rsidRDefault="00C87F96" w:rsidP="003F68C9">
            <w:pPr>
              <w:spacing w:before="40" w:after="40" w:line="240" w:lineRule="auto"/>
              <w:rPr>
                <w:sz w:val="20"/>
                <w:szCs w:val="20"/>
              </w:rPr>
            </w:pPr>
            <w:r w:rsidRPr="00461C16">
              <w:rPr>
                <w:sz w:val="20"/>
                <w:szCs w:val="20"/>
              </w:rPr>
              <w:t>243</w:t>
            </w:r>
          </w:p>
        </w:tc>
        <w:tc>
          <w:tcPr>
            <w:tcW w:w="1258" w:type="dxa"/>
          </w:tcPr>
          <w:p w14:paraId="50A6190E"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0F1C1052"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42AAD249" w14:textId="77777777" w:rsidR="00C87F96" w:rsidRPr="00461C16" w:rsidRDefault="00C87F96" w:rsidP="003F68C9">
            <w:pPr>
              <w:pStyle w:val="Intabulka"/>
              <w:rPr>
                <w:rFonts w:ascii="Arial Narrow" w:hAnsi="Arial Narrow"/>
              </w:rPr>
            </w:pPr>
            <w:r w:rsidRPr="00461C16">
              <w:rPr>
                <w:rFonts w:ascii="Arial Narrow" w:hAnsi="Arial Narrow"/>
              </w:rPr>
              <w:t>Převzato, vymezeno jako plocha změn Z97</w:t>
            </w:r>
          </w:p>
        </w:tc>
        <w:tc>
          <w:tcPr>
            <w:tcW w:w="2660" w:type="dxa"/>
            <w:shd w:val="clear" w:color="auto" w:fill="auto"/>
          </w:tcPr>
          <w:p w14:paraId="2E5212B6"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C87F96" w:rsidRPr="00461C16" w14:paraId="719B60A5" w14:textId="77777777" w:rsidTr="0066453E">
        <w:trPr>
          <w:cantSplit/>
        </w:trPr>
        <w:tc>
          <w:tcPr>
            <w:tcW w:w="1481" w:type="dxa"/>
            <w:shd w:val="clear" w:color="auto" w:fill="auto"/>
          </w:tcPr>
          <w:p w14:paraId="4FE55B83" w14:textId="77777777" w:rsidR="00C87F96" w:rsidRPr="00461C16" w:rsidRDefault="00C87F96" w:rsidP="003F68C9">
            <w:pPr>
              <w:spacing w:before="40" w:after="40" w:line="240" w:lineRule="auto"/>
              <w:jc w:val="left"/>
              <w:rPr>
                <w:sz w:val="20"/>
                <w:szCs w:val="20"/>
              </w:rPr>
            </w:pPr>
            <w:r w:rsidRPr="00461C16">
              <w:rPr>
                <w:sz w:val="20"/>
                <w:szCs w:val="20"/>
              </w:rPr>
              <w:t>Z2/1</w:t>
            </w:r>
          </w:p>
        </w:tc>
        <w:tc>
          <w:tcPr>
            <w:tcW w:w="1258" w:type="dxa"/>
          </w:tcPr>
          <w:p w14:paraId="2CF49CF0" w14:textId="77777777" w:rsidR="00C87F96" w:rsidRPr="00461C16" w:rsidRDefault="00C87F96" w:rsidP="003F68C9">
            <w:pPr>
              <w:spacing w:before="40" w:after="40" w:line="240" w:lineRule="auto"/>
              <w:rPr>
                <w:sz w:val="20"/>
                <w:szCs w:val="20"/>
              </w:rPr>
            </w:pPr>
            <w:r w:rsidRPr="00461C16">
              <w:rPr>
                <w:sz w:val="20"/>
                <w:szCs w:val="20"/>
              </w:rPr>
              <w:t>Uhelná</w:t>
            </w:r>
          </w:p>
        </w:tc>
        <w:tc>
          <w:tcPr>
            <w:tcW w:w="1630" w:type="dxa"/>
            <w:shd w:val="clear" w:color="auto" w:fill="auto"/>
          </w:tcPr>
          <w:p w14:paraId="3F356FB1" w14:textId="77777777" w:rsidR="00C87F96" w:rsidRPr="00461C16" w:rsidRDefault="00C87F96" w:rsidP="003F68C9">
            <w:pPr>
              <w:spacing w:before="40" w:after="40" w:line="240" w:lineRule="auto"/>
              <w:jc w:val="left"/>
              <w:rPr>
                <w:sz w:val="20"/>
                <w:szCs w:val="20"/>
              </w:rPr>
            </w:pPr>
            <w:r w:rsidRPr="00461C16">
              <w:rPr>
                <w:sz w:val="20"/>
                <w:szCs w:val="20"/>
              </w:rPr>
              <w:t>plocha výroby nečisté</w:t>
            </w:r>
          </w:p>
        </w:tc>
        <w:tc>
          <w:tcPr>
            <w:tcW w:w="2259" w:type="dxa"/>
            <w:shd w:val="clear" w:color="auto" w:fill="auto"/>
          </w:tcPr>
          <w:p w14:paraId="000A9E3D" w14:textId="77777777" w:rsidR="00C87F96" w:rsidRPr="00461C16" w:rsidRDefault="00C87F96" w:rsidP="003F68C9">
            <w:pPr>
              <w:pStyle w:val="Intabulka"/>
              <w:rPr>
                <w:rFonts w:ascii="Arial Narrow" w:hAnsi="Arial Narrow"/>
              </w:rPr>
            </w:pPr>
            <w:r w:rsidRPr="00461C16">
              <w:rPr>
                <w:rFonts w:ascii="Arial Narrow" w:hAnsi="Arial Narrow"/>
              </w:rPr>
              <w:t>Převzato částečně</w:t>
            </w:r>
            <w:r>
              <w:rPr>
                <w:rFonts w:ascii="Arial Narrow" w:hAnsi="Arial Narrow"/>
                <w:lang w:val="cs-CZ"/>
              </w:rPr>
              <w:t xml:space="preserve"> jako stabilizovaná plocha NT</w:t>
            </w:r>
            <w:r w:rsidRPr="00461C16">
              <w:rPr>
                <w:rFonts w:ascii="Arial Narrow" w:hAnsi="Arial Narrow"/>
              </w:rPr>
              <w:t>, zbytek vymezen jako NS</w:t>
            </w:r>
          </w:p>
        </w:tc>
        <w:tc>
          <w:tcPr>
            <w:tcW w:w="2660" w:type="dxa"/>
            <w:shd w:val="clear" w:color="auto" w:fill="auto"/>
          </w:tcPr>
          <w:p w14:paraId="326541D5"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vymezeno dle skutečného stavu</w:t>
            </w:r>
          </w:p>
        </w:tc>
      </w:tr>
      <w:tr w:rsidR="00C87F96" w:rsidRPr="00461C16" w14:paraId="14D21505" w14:textId="77777777" w:rsidTr="0066453E">
        <w:trPr>
          <w:cantSplit/>
        </w:trPr>
        <w:tc>
          <w:tcPr>
            <w:tcW w:w="1481" w:type="dxa"/>
            <w:shd w:val="clear" w:color="auto" w:fill="auto"/>
          </w:tcPr>
          <w:p w14:paraId="70D7805E" w14:textId="77777777" w:rsidR="00C87F96" w:rsidRPr="00461C16" w:rsidRDefault="00C87F96" w:rsidP="003F68C9">
            <w:pPr>
              <w:spacing w:before="40" w:after="40" w:line="240" w:lineRule="auto"/>
              <w:jc w:val="left"/>
              <w:rPr>
                <w:sz w:val="20"/>
                <w:szCs w:val="20"/>
              </w:rPr>
            </w:pPr>
            <w:r w:rsidRPr="00461C16">
              <w:rPr>
                <w:sz w:val="20"/>
                <w:szCs w:val="20"/>
              </w:rPr>
              <w:t>Z2/2</w:t>
            </w:r>
          </w:p>
        </w:tc>
        <w:tc>
          <w:tcPr>
            <w:tcW w:w="1258" w:type="dxa"/>
          </w:tcPr>
          <w:p w14:paraId="16647BAE" w14:textId="77777777" w:rsidR="00C87F96" w:rsidRPr="00461C16" w:rsidRDefault="00C87F96" w:rsidP="003F68C9">
            <w:pPr>
              <w:spacing w:before="40" w:after="40" w:line="240" w:lineRule="auto"/>
              <w:rPr>
                <w:sz w:val="20"/>
                <w:szCs w:val="20"/>
              </w:rPr>
            </w:pPr>
            <w:r w:rsidRPr="00461C16">
              <w:rPr>
                <w:sz w:val="20"/>
                <w:szCs w:val="20"/>
              </w:rPr>
              <w:t>Uhelná</w:t>
            </w:r>
          </w:p>
        </w:tc>
        <w:tc>
          <w:tcPr>
            <w:tcW w:w="1630" w:type="dxa"/>
            <w:shd w:val="clear" w:color="auto" w:fill="auto"/>
          </w:tcPr>
          <w:p w14:paraId="27E97A7C" w14:textId="77777777" w:rsidR="00C87F96" w:rsidRPr="00461C16" w:rsidRDefault="00C87F96" w:rsidP="003F68C9">
            <w:pPr>
              <w:spacing w:before="40" w:after="40" w:line="240" w:lineRule="auto"/>
              <w:jc w:val="left"/>
              <w:rPr>
                <w:sz w:val="20"/>
                <w:szCs w:val="20"/>
              </w:rPr>
            </w:pPr>
            <w:r w:rsidRPr="00461C16">
              <w:rPr>
                <w:sz w:val="20"/>
                <w:szCs w:val="20"/>
              </w:rPr>
              <w:t>plocha výroby nečisté</w:t>
            </w:r>
          </w:p>
        </w:tc>
        <w:tc>
          <w:tcPr>
            <w:tcW w:w="2259" w:type="dxa"/>
            <w:shd w:val="clear" w:color="auto" w:fill="auto"/>
          </w:tcPr>
          <w:p w14:paraId="430CAA55" w14:textId="77777777" w:rsidR="00C87F96" w:rsidRPr="00461C16" w:rsidRDefault="00C87F96" w:rsidP="003F68C9">
            <w:pPr>
              <w:pStyle w:val="Intabulka"/>
              <w:rPr>
                <w:rFonts w:ascii="Arial Narrow" w:hAnsi="Arial Narrow"/>
              </w:rPr>
            </w:pPr>
            <w:r w:rsidRPr="00461C16">
              <w:rPr>
                <w:rFonts w:ascii="Arial Narrow" w:hAnsi="Arial Narrow"/>
              </w:rPr>
              <w:t>Nepřevzato, vymezeno jako NS, NL</w:t>
            </w:r>
          </w:p>
        </w:tc>
        <w:tc>
          <w:tcPr>
            <w:tcW w:w="2660" w:type="dxa"/>
            <w:shd w:val="clear" w:color="auto" w:fill="auto"/>
          </w:tcPr>
          <w:p w14:paraId="57EF5D10"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vymezeno dle skutečného stavu</w:t>
            </w:r>
          </w:p>
        </w:tc>
      </w:tr>
      <w:tr w:rsidR="00571A8B" w:rsidRPr="00461C16" w14:paraId="42806A1D" w14:textId="77777777" w:rsidTr="0066453E">
        <w:trPr>
          <w:cantSplit/>
        </w:trPr>
        <w:tc>
          <w:tcPr>
            <w:tcW w:w="1481" w:type="dxa"/>
            <w:shd w:val="clear" w:color="auto" w:fill="auto"/>
          </w:tcPr>
          <w:p w14:paraId="5A7D0B00" w14:textId="77777777" w:rsidR="00571A8B" w:rsidRPr="00461C16" w:rsidRDefault="00571A8B" w:rsidP="003F68C9">
            <w:pPr>
              <w:spacing w:before="40" w:after="40" w:line="240" w:lineRule="auto"/>
              <w:rPr>
                <w:sz w:val="20"/>
                <w:szCs w:val="20"/>
              </w:rPr>
            </w:pPr>
            <w:r w:rsidRPr="00461C16">
              <w:rPr>
                <w:sz w:val="20"/>
                <w:szCs w:val="20"/>
              </w:rPr>
              <w:t>Z3/1</w:t>
            </w:r>
          </w:p>
        </w:tc>
        <w:tc>
          <w:tcPr>
            <w:tcW w:w="1258" w:type="dxa"/>
          </w:tcPr>
          <w:p w14:paraId="0A1BE2F5" w14:textId="77777777" w:rsidR="00571A8B" w:rsidRPr="00461C16" w:rsidRDefault="00571A8B" w:rsidP="003F68C9">
            <w:pPr>
              <w:spacing w:before="40" w:after="40" w:line="240" w:lineRule="auto"/>
              <w:rPr>
                <w:sz w:val="20"/>
                <w:szCs w:val="20"/>
              </w:rPr>
            </w:pPr>
            <w:r w:rsidRPr="00461C16">
              <w:rPr>
                <w:sz w:val="20"/>
                <w:szCs w:val="20"/>
              </w:rPr>
              <w:t>Donín</w:t>
            </w:r>
          </w:p>
        </w:tc>
        <w:tc>
          <w:tcPr>
            <w:tcW w:w="1630" w:type="dxa"/>
            <w:shd w:val="clear" w:color="auto" w:fill="auto"/>
          </w:tcPr>
          <w:p w14:paraId="6ADE9051" w14:textId="77777777" w:rsidR="00571A8B" w:rsidRPr="00461C16" w:rsidRDefault="00571A8B"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77535FEB" w14:textId="77777777" w:rsidR="00571A8B" w:rsidRPr="00461C16" w:rsidRDefault="00571A8B" w:rsidP="003F68C9">
            <w:pPr>
              <w:pStyle w:val="Intabulka"/>
              <w:rPr>
                <w:rFonts w:ascii="Arial Narrow" w:hAnsi="Arial Narrow"/>
                <w:lang w:val="cs-CZ"/>
              </w:rPr>
            </w:pPr>
            <w:r w:rsidRPr="00461C16">
              <w:rPr>
                <w:rFonts w:ascii="Arial Narrow" w:hAnsi="Arial Narrow"/>
              </w:rPr>
              <w:t>Nepřevzato, vymezeno jako NS</w:t>
            </w:r>
          </w:p>
        </w:tc>
        <w:tc>
          <w:tcPr>
            <w:tcW w:w="2660" w:type="dxa"/>
            <w:shd w:val="clear" w:color="auto" w:fill="auto"/>
          </w:tcPr>
          <w:p w14:paraId="5493BB2C" w14:textId="77777777" w:rsidR="00571A8B" w:rsidRPr="00461C16" w:rsidRDefault="00571A8B" w:rsidP="003F68C9">
            <w:pPr>
              <w:pStyle w:val="Intabulka"/>
              <w:rPr>
                <w:rFonts w:ascii="Arial Narrow" w:hAnsi="Arial Narrow"/>
                <w:lang w:val="cs-CZ"/>
              </w:rPr>
            </w:pPr>
            <w:r w:rsidRPr="00461C16">
              <w:rPr>
                <w:rFonts w:ascii="Arial Narrow" w:hAnsi="Arial Narrow"/>
                <w:lang w:val="cs-CZ"/>
              </w:rPr>
              <w:t>vymezeno dle skutečného stavu</w:t>
            </w:r>
          </w:p>
        </w:tc>
      </w:tr>
      <w:tr w:rsidR="00571A8B" w:rsidRPr="00461C16" w14:paraId="08B40002" w14:textId="77777777" w:rsidTr="0066453E">
        <w:trPr>
          <w:cantSplit/>
        </w:trPr>
        <w:tc>
          <w:tcPr>
            <w:tcW w:w="1481" w:type="dxa"/>
            <w:shd w:val="clear" w:color="auto" w:fill="auto"/>
          </w:tcPr>
          <w:p w14:paraId="5373C049" w14:textId="77777777" w:rsidR="00571A8B" w:rsidRPr="00461C16" w:rsidRDefault="00571A8B" w:rsidP="003F68C9">
            <w:pPr>
              <w:spacing w:before="40" w:after="40" w:line="240" w:lineRule="auto"/>
              <w:rPr>
                <w:sz w:val="20"/>
                <w:szCs w:val="20"/>
              </w:rPr>
            </w:pPr>
            <w:r w:rsidRPr="00461C16">
              <w:rPr>
                <w:sz w:val="20"/>
                <w:szCs w:val="20"/>
              </w:rPr>
              <w:t>Z3/2</w:t>
            </w:r>
          </w:p>
        </w:tc>
        <w:tc>
          <w:tcPr>
            <w:tcW w:w="1258" w:type="dxa"/>
          </w:tcPr>
          <w:p w14:paraId="1AA4A3FD" w14:textId="77777777" w:rsidR="00571A8B" w:rsidRPr="00461C16" w:rsidRDefault="00571A8B" w:rsidP="003F68C9">
            <w:pPr>
              <w:spacing w:before="40" w:after="40" w:line="240" w:lineRule="auto"/>
              <w:rPr>
                <w:sz w:val="20"/>
                <w:szCs w:val="20"/>
              </w:rPr>
            </w:pPr>
            <w:r w:rsidRPr="00461C16">
              <w:rPr>
                <w:sz w:val="20"/>
                <w:szCs w:val="20"/>
              </w:rPr>
              <w:t>Donín</w:t>
            </w:r>
          </w:p>
        </w:tc>
        <w:tc>
          <w:tcPr>
            <w:tcW w:w="1630" w:type="dxa"/>
            <w:shd w:val="clear" w:color="auto" w:fill="auto"/>
          </w:tcPr>
          <w:p w14:paraId="3933D0DD" w14:textId="77777777" w:rsidR="00571A8B" w:rsidRPr="00461C16" w:rsidRDefault="00571A8B"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13E091B8" w14:textId="77777777" w:rsidR="00571A8B" w:rsidRPr="00461C16" w:rsidRDefault="00571A8B" w:rsidP="003F68C9">
            <w:pPr>
              <w:pStyle w:val="Intabulka"/>
              <w:rPr>
                <w:rFonts w:ascii="Arial Narrow" w:hAnsi="Arial Narrow"/>
              </w:rPr>
            </w:pPr>
            <w:r w:rsidRPr="00461C16">
              <w:rPr>
                <w:rFonts w:ascii="Arial Narrow" w:hAnsi="Arial Narrow"/>
              </w:rPr>
              <w:t>Nepřevzato, vymezeno jako NS</w:t>
            </w:r>
          </w:p>
        </w:tc>
        <w:tc>
          <w:tcPr>
            <w:tcW w:w="2660" w:type="dxa"/>
            <w:shd w:val="clear" w:color="auto" w:fill="auto"/>
          </w:tcPr>
          <w:p w14:paraId="2942F4BF" w14:textId="77777777" w:rsidR="00571A8B" w:rsidRPr="00461C16" w:rsidRDefault="00571A8B" w:rsidP="003F68C9">
            <w:pPr>
              <w:pStyle w:val="Intabulka"/>
              <w:rPr>
                <w:rFonts w:ascii="Arial Narrow" w:hAnsi="Arial Narrow"/>
                <w:lang w:val="cs-CZ"/>
              </w:rPr>
            </w:pPr>
            <w:r w:rsidRPr="00461C16">
              <w:rPr>
                <w:rFonts w:ascii="Arial Narrow" w:hAnsi="Arial Narrow"/>
                <w:lang w:val="cs-CZ"/>
              </w:rPr>
              <w:t>vymezeno dle skutečného stavu</w:t>
            </w:r>
          </w:p>
        </w:tc>
      </w:tr>
      <w:tr w:rsidR="00C87F96" w:rsidRPr="00461C16" w14:paraId="45FAA257" w14:textId="77777777" w:rsidTr="0066453E">
        <w:trPr>
          <w:cantSplit/>
        </w:trPr>
        <w:tc>
          <w:tcPr>
            <w:tcW w:w="1481" w:type="dxa"/>
            <w:shd w:val="clear" w:color="auto" w:fill="auto"/>
          </w:tcPr>
          <w:p w14:paraId="7C70FE2D" w14:textId="77777777" w:rsidR="00C87F96" w:rsidRPr="00461C16" w:rsidRDefault="00C87F96" w:rsidP="003F68C9">
            <w:pPr>
              <w:spacing w:before="40" w:after="40" w:line="240" w:lineRule="auto"/>
              <w:rPr>
                <w:sz w:val="20"/>
                <w:szCs w:val="20"/>
              </w:rPr>
            </w:pPr>
            <w:r w:rsidRPr="00461C16">
              <w:rPr>
                <w:sz w:val="20"/>
                <w:szCs w:val="20"/>
              </w:rPr>
              <w:t>Z3/3</w:t>
            </w:r>
          </w:p>
        </w:tc>
        <w:tc>
          <w:tcPr>
            <w:tcW w:w="1258" w:type="dxa"/>
          </w:tcPr>
          <w:p w14:paraId="15D4000F" w14:textId="77777777" w:rsidR="00C87F96" w:rsidRPr="00461C16" w:rsidRDefault="00C87F96" w:rsidP="003F68C9">
            <w:pPr>
              <w:spacing w:before="40" w:after="40" w:line="240" w:lineRule="auto"/>
              <w:rPr>
                <w:sz w:val="20"/>
                <w:szCs w:val="20"/>
              </w:rPr>
            </w:pPr>
            <w:r w:rsidRPr="00461C16">
              <w:rPr>
                <w:sz w:val="20"/>
                <w:szCs w:val="20"/>
              </w:rPr>
              <w:t>Donín</w:t>
            </w:r>
          </w:p>
        </w:tc>
        <w:tc>
          <w:tcPr>
            <w:tcW w:w="1630" w:type="dxa"/>
            <w:shd w:val="clear" w:color="auto" w:fill="auto"/>
          </w:tcPr>
          <w:p w14:paraId="0112EEBC" w14:textId="77777777" w:rsidR="00C87F96" w:rsidRPr="00461C16" w:rsidRDefault="00C87F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4E5D4703" w14:textId="77777777" w:rsidR="00C87F96" w:rsidRPr="00461C16" w:rsidRDefault="00C87F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6B7A1814" w14:textId="77777777" w:rsidR="00C87F96" w:rsidRPr="00461C16" w:rsidRDefault="00C87F96" w:rsidP="003F68C9">
            <w:pPr>
              <w:pStyle w:val="Intabulka"/>
              <w:rPr>
                <w:rFonts w:ascii="Arial Narrow" w:hAnsi="Arial Narrow"/>
                <w:lang w:val="cs-CZ"/>
              </w:rPr>
            </w:pPr>
            <w:r w:rsidRPr="00461C16">
              <w:rPr>
                <w:rFonts w:ascii="Arial Narrow" w:hAnsi="Arial Narrow"/>
                <w:lang w:val="cs-CZ"/>
              </w:rPr>
              <w:t>v souladu s koncepcí ÚP</w:t>
            </w:r>
          </w:p>
        </w:tc>
      </w:tr>
      <w:tr w:rsidR="00796F1C" w:rsidRPr="00461C16" w14:paraId="5B430A50" w14:textId="77777777" w:rsidTr="0066453E">
        <w:trPr>
          <w:cantSplit/>
        </w:trPr>
        <w:tc>
          <w:tcPr>
            <w:tcW w:w="1481" w:type="dxa"/>
            <w:shd w:val="clear" w:color="auto" w:fill="auto"/>
          </w:tcPr>
          <w:p w14:paraId="3B32ACD0" w14:textId="77777777" w:rsidR="00796F1C" w:rsidRPr="00461C16" w:rsidRDefault="00796F1C" w:rsidP="003F68C9">
            <w:pPr>
              <w:spacing w:before="40" w:after="40" w:line="240" w:lineRule="auto"/>
              <w:rPr>
                <w:sz w:val="20"/>
                <w:szCs w:val="20"/>
              </w:rPr>
            </w:pPr>
            <w:r w:rsidRPr="00461C16">
              <w:rPr>
                <w:sz w:val="20"/>
                <w:szCs w:val="20"/>
              </w:rPr>
              <w:t>Z4</w:t>
            </w:r>
          </w:p>
        </w:tc>
        <w:tc>
          <w:tcPr>
            <w:tcW w:w="1258" w:type="dxa"/>
          </w:tcPr>
          <w:p w14:paraId="221C6CCC" w14:textId="77777777" w:rsidR="00796F1C" w:rsidRPr="00461C16" w:rsidRDefault="00796F1C" w:rsidP="003F68C9">
            <w:pPr>
              <w:spacing w:before="40" w:after="40" w:line="240" w:lineRule="auto"/>
              <w:rPr>
                <w:sz w:val="20"/>
                <w:szCs w:val="20"/>
              </w:rPr>
            </w:pPr>
            <w:r w:rsidRPr="00461C16">
              <w:t>Hrádek nad Nisou</w:t>
            </w:r>
          </w:p>
        </w:tc>
        <w:tc>
          <w:tcPr>
            <w:tcW w:w="1630" w:type="dxa"/>
            <w:shd w:val="clear" w:color="auto" w:fill="auto"/>
          </w:tcPr>
          <w:p w14:paraId="3786A1A8" w14:textId="77777777" w:rsidR="00796F1C" w:rsidRPr="00461C16" w:rsidRDefault="00796F1C" w:rsidP="003F68C9">
            <w:pPr>
              <w:spacing w:before="40" w:after="40" w:line="240" w:lineRule="auto"/>
              <w:jc w:val="left"/>
              <w:rPr>
                <w:sz w:val="20"/>
                <w:szCs w:val="20"/>
              </w:rPr>
            </w:pPr>
            <w:r w:rsidRPr="00461C16">
              <w:rPr>
                <w:sz w:val="20"/>
                <w:szCs w:val="20"/>
              </w:rPr>
              <w:t>plochy výroby nečisté</w:t>
            </w:r>
          </w:p>
        </w:tc>
        <w:tc>
          <w:tcPr>
            <w:tcW w:w="2259" w:type="dxa"/>
            <w:shd w:val="clear" w:color="auto" w:fill="auto"/>
          </w:tcPr>
          <w:p w14:paraId="42F471D0" w14:textId="77777777" w:rsidR="00796F1C" w:rsidRPr="00461C16" w:rsidRDefault="00796F1C" w:rsidP="003F68C9">
            <w:pPr>
              <w:pStyle w:val="Intabulka"/>
              <w:rPr>
                <w:rFonts w:ascii="Arial Narrow" w:hAnsi="Arial Narrow"/>
              </w:rPr>
            </w:pPr>
            <w:r w:rsidRPr="00461C16">
              <w:rPr>
                <w:rFonts w:ascii="Arial Narrow" w:hAnsi="Arial Narrow"/>
              </w:rPr>
              <w:t>Převzato</w:t>
            </w:r>
            <w:r>
              <w:rPr>
                <w:rFonts w:ascii="Arial Narrow" w:hAnsi="Arial Narrow"/>
                <w:lang w:val="cs-CZ"/>
              </w:rPr>
              <w:t xml:space="preserve"> jako stabilizovaná plocha VL</w:t>
            </w:r>
          </w:p>
        </w:tc>
        <w:tc>
          <w:tcPr>
            <w:tcW w:w="2660" w:type="dxa"/>
            <w:shd w:val="clear" w:color="auto" w:fill="auto"/>
          </w:tcPr>
          <w:p w14:paraId="36BF12DA" w14:textId="77777777" w:rsidR="00796F1C" w:rsidRPr="00461C16" w:rsidRDefault="00796F1C" w:rsidP="003F68C9">
            <w:pPr>
              <w:pStyle w:val="Intabulka"/>
              <w:rPr>
                <w:rFonts w:ascii="Arial Narrow" w:hAnsi="Arial Narrow"/>
                <w:lang w:val="cs-CZ"/>
              </w:rPr>
            </w:pPr>
            <w:r w:rsidRPr="00461C16">
              <w:rPr>
                <w:rFonts w:ascii="Arial Narrow" w:hAnsi="Arial Narrow"/>
                <w:lang w:val="cs-CZ"/>
              </w:rPr>
              <w:t xml:space="preserve">v souladu s koncepcí ÚP </w:t>
            </w:r>
          </w:p>
        </w:tc>
      </w:tr>
      <w:tr w:rsidR="00796F1C" w:rsidRPr="00461C16" w14:paraId="43289D66" w14:textId="77777777" w:rsidTr="0066453E">
        <w:trPr>
          <w:cantSplit/>
        </w:trPr>
        <w:tc>
          <w:tcPr>
            <w:tcW w:w="1481" w:type="dxa"/>
            <w:shd w:val="clear" w:color="auto" w:fill="auto"/>
          </w:tcPr>
          <w:p w14:paraId="35EF8617" w14:textId="77777777" w:rsidR="00796F1C" w:rsidRPr="00461C16" w:rsidRDefault="00796F1C" w:rsidP="003F68C9">
            <w:pPr>
              <w:spacing w:before="40" w:after="40" w:line="240" w:lineRule="auto"/>
              <w:jc w:val="left"/>
              <w:rPr>
                <w:sz w:val="20"/>
                <w:szCs w:val="20"/>
              </w:rPr>
            </w:pPr>
            <w:r w:rsidRPr="00461C16">
              <w:rPr>
                <w:sz w:val="20"/>
                <w:szCs w:val="20"/>
              </w:rPr>
              <w:t>Z10/1</w:t>
            </w:r>
          </w:p>
        </w:tc>
        <w:tc>
          <w:tcPr>
            <w:tcW w:w="1258" w:type="dxa"/>
          </w:tcPr>
          <w:p w14:paraId="40F7F0D4" w14:textId="77777777" w:rsidR="00796F1C" w:rsidRPr="00461C16" w:rsidRDefault="00796F1C" w:rsidP="003F68C9">
            <w:pPr>
              <w:spacing w:before="40" w:after="40" w:line="240" w:lineRule="auto"/>
              <w:rPr>
                <w:sz w:val="20"/>
                <w:szCs w:val="20"/>
              </w:rPr>
            </w:pPr>
            <w:r w:rsidRPr="00461C16">
              <w:rPr>
                <w:sz w:val="20"/>
                <w:szCs w:val="20"/>
              </w:rPr>
              <w:t>Václavice</w:t>
            </w:r>
          </w:p>
        </w:tc>
        <w:tc>
          <w:tcPr>
            <w:tcW w:w="1630" w:type="dxa"/>
            <w:shd w:val="clear" w:color="auto" w:fill="auto"/>
          </w:tcPr>
          <w:p w14:paraId="02DED201" w14:textId="77777777" w:rsidR="00796F1C" w:rsidRPr="00461C16" w:rsidRDefault="00796F1C" w:rsidP="003F68C9">
            <w:pPr>
              <w:spacing w:before="40" w:after="40" w:line="240" w:lineRule="auto"/>
              <w:jc w:val="left"/>
              <w:rPr>
                <w:sz w:val="20"/>
                <w:szCs w:val="20"/>
              </w:rPr>
            </w:pPr>
            <w:r w:rsidRPr="00461C16">
              <w:rPr>
                <w:sz w:val="20"/>
                <w:szCs w:val="20"/>
              </w:rPr>
              <w:t>plocha pro umístění větrných elektráren</w:t>
            </w:r>
          </w:p>
        </w:tc>
        <w:tc>
          <w:tcPr>
            <w:tcW w:w="2259" w:type="dxa"/>
            <w:shd w:val="clear" w:color="auto" w:fill="auto"/>
          </w:tcPr>
          <w:p w14:paraId="392B33CD" w14:textId="77777777" w:rsidR="00796F1C" w:rsidRPr="00461C16" w:rsidRDefault="00796F1C" w:rsidP="003F68C9">
            <w:pPr>
              <w:pStyle w:val="Intabulka"/>
              <w:rPr>
                <w:rFonts w:ascii="Arial Narrow" w:hAnsi="Arial Narrow"/>
                <w:lang w:val="cs-CZ"/>
              </w:rPr>
            </w:pPr>
            <w:r>
              <w:rPr>
                <w:rFonts w:ascii="Arial Narrow" w:hAnsi="Arial Narrow"/>
                <w:lang w:val="cs-CZ"/>
              </w:rPr>
              <w:t>Převzato jako stabilizované plochy VE</w:t>
            </w:r>
            <w:r w:rsidRPr="0007490E">
              <w:rPr>
                <w:rFonts w:ascii="Arial Narrow" w:hAnsi="Arial Narrow"/>
                <w:vertAlign w:val="subscript"/>
                <w:lang w:val="cs-CZ"/>
              </w:rPr>
              <w:t>V</w:t>
            </w:r>
            <w:r>
              <w:rPr>
                <w:rFonts w:ascii="Arial Narrow" w:hAnsi="Arial Narrow"/>
                <w:lang w:val="cs-CZ"/>
              </w:rPr>
              <w:t xml:space="preserve"> dle skutečného stavu (poloha oproti ploše Z10/1 upravena).</w:t>
            </w:r>
          </w:p>
        </w:tc>
        <w:tc>
          <w:tcPr>
            <w:tcW w:w="2660" w:type="dxa"/>
            <w:shd w:val="clear" w:color="auto" w:fill="auto"/>
          </w:tcPr>
          <w:p w14:paraId="496F053C" w14:textId="77777777" w:rsidR="00796F1C" w:rsidRPr="00461C16" w:rsidRDefault="00796F1C" w:rsidP="003F68C9">
            <w:pPr>
              <w:pStyle w:val="Intabulka"/>
              <w:rPr>
                <w:rFonts w:ascii="Arial Narrow" w:hAnsi="Arial Narrow"/>
                <w:lang w:val="cs-CZ"/>
              </w:rPr>
            </w:pPr>
            <w:r>
              <w:rPr>
                <w:rFonts w:ascii="Arial Narrow" w:hAnsi="Arial Narrow"/>
                <w:lang w:val="cs-CZ"/>
              </w:rPr>
              <w:t>realizováno</w:t>
            </w:r>
          </w:p>
        </w:tc>
      </w:tr>
      <w:tr w:rsidR="00796F1C" w:rsidRPr="00461C16" w14:paraId="02E32CC8" w14:textId="77777777" w:rsidTr="0066453E">
        <w:trPr>
          <w:cantSplit/>
        </w:trPr>
        <w:tc>
          <w:tcPr>
            <w:tcW w:w="1481" w:type="dxa"/>
            <w:shd w:val="clear" w:color="auto" w:fill="auto"/>
          </w:tcPr>
          <w:p w14:paraId="082B1A4A" w14:textId="77777777" w:rsidR="00796F1C" w:rsidRPr="00461C16" w:rsidRDefault="00796F1C" w:rsidP="003F68C9">
            <w:pPr>
              <w:spacing w:before="40" w:after="40" w:line="240" w:lineRule="auto"/>
              <w:jc w:val="left"/>
              <w:rPr>
                <w:sz w:val="20"/>
                <w:szCs w:val="20"/>
              </w:rPr>
            </w:pPr>
            <w:r w:rsidRPr="00461C16">
              <w:rPr>
                <w:sz w:val="20"/>
                <w:szCs w:val="20"/>
              </w:rPr>
              <w:t>Z10/2</w:t>
            </w:r>
          </w:p>
        </w:tc>
        <w:tc>
          <w:tcPr>
            <w:tcW w:w="1258" w:type="dxa"/>
          </w:tcPr>
          <w:p w14:paraId="789C4040" w14:textId="77777777" w:rsidR="00796F1C" w:rsidRPr="00461C16" w:rsidRDefault="00796F1C" w:rsidP="003F68C9">
            <w:pPr>
              <w:spacing w:before="40" w:after="40" w:line="240" w:lineRule="auto"/>
              <w:rPr>
                <w:sz w:val="20"/>
                <w:szCs w:val="20"/>
              </w:rPr>
            </w:pPr>
            <w:r w:rsidRPr="00461C16">
              <w:rPr>
                <w:sz w:val="20"/>
                <w:szCs w:val="20"/>
              </w:rPr>
              <w:t>Václavice</w:t>
            </w:r>
          </w:p>
        </w:tc>
        <w:tc>
          <w:tcPr>
            <w:tcW w:w="1630" w:type="dxa"/>
            <w:shd w:val="clear" w:color="auto" w:fill="auto"/>
          </w:tcPr>
          <w:p w14:paraId="1D59E05F" w14:textId="77777777" w:rsidR="00796F1C" w:rsidRPr="00461C16" w:rsidRDefault="00796F1C" w:rsidP="003F68C9">
            <w:pPr>
              <w:spacing w:before="40" w:after="40" w:line="240" w:lineRule="auto"/>
              <w:jc w:val="left"/>
              <w:rPr>
                <w:sz w:val="20"/>
                <w:szCs w:val="20"/>
              </w:rPr>
            </w:pPr>
            <w:r w:rsidRPr="00461C16">
              <w:rPr>
                <w:sz w:val="20"/>
                <w:szCs w:val="20"/>
              </w:rPr>
              <w:t>plocha pro umístění větrných elektráren</w:t>
            </w:r>
          </w:p>
        </w:tc>
        <w:tc>
          <w:tcPr>
            <w:tcW w:w="2259" w:type="dxa"/>
            <w:shd w:val="clear" w:color="auto" w:fill="auto"/>
          </w:tcPr>
          <w:p w14:paraId="1C015F93" w14:textId="77777777" w:rsidR="00796F1C" w:rsidRPr="00461C16" w:rsidRDefault="00796F1C" w:rsidP="003F68C9">
            <w:pPr>
              <w:pStyle w:val="Intabulka"/>
              <w:rPr>
                <w:rFonts w:ascii="Arial Narrow" w:hAnsi="Arial Narrow"/>
              </w:rPr>
            </w:pPr>
            <w:r>
              <w:rPr>
                <w:rFonts w:ascii="Arial Narrow" w:hAnsi="Arial Narrow"/>
                <w:lang w:val="cs-CZ"/>
              </w:rPr>
              <w:t>Převzato jako stabilizované plochy VE</w:t>
            </w:r>
            <w:r w:rsidRPr="0007490E">
              <w:rPr>
                <w:rFonts w:ascii="Arial Narrow" w:hAnsi="Arial Narrow"/>
                <w:vertAlign w:val="subscript"/>
                <w:lang w:val="cs-CZ"/>
              </w:rPr>
              <w:t>V</w:t>
            </w:r>
            <w:r>
              <w:rPr>
                <w:rFonts w:ascii="Arial Narrow" w:hAnsi="Arial Narrow"/>
                <w:lang w:val="cs-CZ"/>
              </w:rPr>
              <w:t xml:space="preserve"> dle skutečného stavu (poloha oproti ploše Z10/2 upravena). </w:t>
            </w:r>
          </w:p>
        </w:tc>
        <w:tc>
          <w:tcPr>
            <w:tcW w:w="2660" w:type="dxa"/>
            <w:shd w:val="clear" w:color="auto" w:fill="auto"/>
          </w:tcPr>
          <w:p w14:paraId="7BBC53AE" w14:textId="77777777" w:rsidR="00796F1C" w:rsidRPr="00461C16" w:rsidRDefault="00796F1C" w:rsidP="003F68C9">
            <w:pPr>
              <w:pStyle w:val="Intabulka"/>
              <w:rPr>
                <w:rFonts w:ascii="Arial Narrow" w:hAnsi="Arial Narrow"/>
                <w:lang w:val="cs-CZ"/>
              </w:rPr>
            </w:pPr>
            <w:r>
              <w:rPr>
                <w:rFonts w:ascii="Arial Narrow" w:hAnsi="Arial Narrow"/>
                <w:lang w:val="cs-CZ"/>
              </w:rPr>
              <w:t>realizováno</w:t>
            </w:r>
          </w:p>
        </w:tc>
      </w:tr>
      <w:tr w:rsidR="00796F1C" w:rsidRPr="00461C16" w14:paraId="20B5B1A5" w14:textId="77777777" w:rsidTr="0066453E">
        <w:trPr>
          <w:cantSplit/>
        </w:trPr>
        <w:tc>
          <w:tcPr>
            <w:tcW w:w="1481" w:type="dxa"/>
            <w:shd w:val="clear" w:color="auto" w:fill="auto"/>
          </w:tcPr>
          <w:p w14:paraId="60399DCA" w14:textId="77777777" w:rsidR="00796F1C" w:rsidRPr="00461C16" w:rsidRDefault="00796F1C" w:rsidP="003F68C9">
            <w:pPr>
              <w:spacing w:before="40" w:after="40" w:line="240" w:lineRule="auto"/>
              <w:jc w:val="left"/>
              <w:rPr>
                <w:sz w:val="20"/>
                <w:szCs w:val="20"/>
              </w:rPr>
            </w:pPr>
            <w:r w:rsidRPr="00461C16">
              <w:rPr>
                <w:sz w:val="20"/>
                <w:szCs w:val="20"/>
              </w:rPr>
              <w:t>Z10/3</w:t>
            </w:r>
          </w:p>
        </w:tc>
        <w:tc>
          <w:tcPr>
            <w:tcW w:w="1258" w:type="dxa"/>
          </w:tcPr>
          <w:p w14:paraId="1D6743E0" w14:textId="77777777" w:rsidR="00796F1C" w:rsidRPr="00461C16" w:rsidRDefault="00796F1C" w:rsidP="003F68C9">
            <w:pPr>
              <w:spacing w:before="40" w:after="40" w:line="240" w:lineRule="auto"/>
              <w:rPr>
                <w:sz w:val="20"/>
                <w:szCs w:val="20"/>
              </w:rPr>
            </w:pPr>
            <w:r w:rsidRPr="00461C16">
              <w:rPr>
                <w:sz w:val="20"/>
                <w:szCs w:val="20"/>
              </w:rPr>
              <w:t>Václavice</w:t>
            </w:r>
          </w:p>
        </w:tc>
        <w:tc>
          <w:tcPr>
            <w:tcW w:w="1630" w:type="dxa"/>
            <w:shd w:val="clear" w:color="auto" w:fill="auto"/>
          </w:tcPr>
          <w:p w14:paraId="1DA3ABAA" w14:textId="77777777" w:rsidR="00796F1C" w:rsidRPr="00461C16" w:rsidRDefault="00796F1C" w:rsidP="003F68C9">
            <w:pPr>
              <w:spacing w:before="40" w:after="40" w:line="240" w:lineRule="auto"/>
              <w:jc w:val="left"/>
              <w:rPr>
                <w:sz w:val="20"/>
                <w:szCs w:val="20"/>
              </w:rPr>
            </w:pPr>
            <w:r w:rsidRPr="00461C16">
              <w:rPr>
                <w:sz w:val="20"/>
                <w:szCs w:val="20"/>
              </w:rPr>
              <w:t>plocha pro umístění větrných elektráren</w:t>
            </w:r>
          </w:p>
        </w:tc>
        <w:tc>
          <w:tcPr>
            <w:tcW w:w="2259" w:type="dxa"/>
            <w:shd w:val="clear" w:color="auto" w:fill="auto"/>
          </w:tcPr>
          <w:p w14:paraId="2AFD5095" w14:textId="77777777" w:rsidR="00796F1C" w:rsidRPr="00461C16" w:rsidRDefault="00796F1C" w:rsidP="003F68C9">
            <w:pPr>
              <w:pStyle w:val="Intabulka"/>
              <w:rPr>
                <w:rFonts w:ascii="Arial Narrow" w:hAnsi="Arial Narrow"/>
              </w:rPr>
            </w:pPr>
            <w:r>
              <w:rPr>
                <w:rFonts w:ascii="Arial Narrow" w:hAnsi="Arial Narrow"/>
                <w:lang w:val="cs-CZ"/>
              </w:rPr>
              <w:t>Převzato jako stabilizované plochy VE</w:t>
            </w:r>
            <w:r w:rsidRPr="0007490E">
              <w:rPr>
                <w:rFonts w:ascii="Arial Narrow" w:hAnsi="Arial Narrow"/>
                <w:vertAlign w:val="subscript"/>
                <w:lang w:val="cs-CZ"/>
              </w:rPr>
              <w:t>V</w:t>
            </w:r>
            <w:r>
              <w:rPr>
                <w:rFonts w:ascii="Arial Narrow" w:hAnsi="Arial Narrow"/>
                <w:lang w:val="cs-CZ"/>
              </w:rPr>
              <w:t xml:space="preserve"> dle skutečného stavu (poloha oproti ploše Z10/3 upravena). </w:t>
            </w:r>
          </w:p>
        </w:tc>
        <w:tc>
          <w:tcPr>
            <w:tcW w:w="2660" w:type="dxa"/>
            <w:shd w:val="clear" w:color="auto" w:fill="auto"/>
          </w:tcPr>
          <w:p w14:paraId="530923F8" w14:textId="77777777" w:rsidR="00796F1C" w:rsidRPr="00461C16" w:rsidRDefault="00796F1C" w:rsidP="003F68C9">
            <w:pPr>
              <w:pStyle w:val="Intabulka"/>
              <w:rPr>
                <w:rFonts w:ascii="Arial Narrow" w:hAnsi="Arial Narrow"/>
                <w:lang w:val="cs-CZ"/>
              </w:rPr>
            </w:pPr>
            <w:r>
              <w:rPr>
                <w:rFonts w:ascii="Arial Narrow" w:hAnsi="Arial Narrow"/>
                <w:lang w:val="cs-CZ"/>
              </w:rPr>
              <w:t>realizováno</w:t>
            </w:r>
          </w:p>
        </w:tc>
      </w:tr>
      <w:tr w:rsidR="00796F1C" w:rsidRPr="00461C16" w14:paraId="7CDEB6B5" w14:textId="77777777" w:rsidTr="0066453E">
        <w:trPr>
          <w:cantSplit/>
        </w:trPr>
        <w:tc>
          <w:tcPr>
            <w:tcW w:w="1481" w:type="dxa"/>
            <w:shd w:val="clear" w:color="auto" w:fill="auto"/>
          </w:tcPr>
          <w:p w14:paraId="756CC488" w14:textId="77777777" w:rsidR="00796F1C" w:rsidRPr="00461C16" w:rsidRDefault="00796F1C" w:rsidP="003F68C9">
            <w:pPr>
              <w:spacing w:before="40" w:after="40" w:line="240" w:lineRule="auto"/>
              <w:jc w:val="left"/>
              <w:rPr>
                <w:sz w:val="20"/>
                <w:szCs w:val="20"/>
              </w:rPr>
            </w:pPr>
            <w:r w:rsidRPr="00461C16">
              <w:rPr>
                <w:sz w:val="20"/>
                <w:szCs w:val="20"/>
              </w:rPr>
              <w:t>Z11/1</w:t>
            </w:r>
          </w:p>
        </w:tc>
        <w:tc>
          <w:tcPr>
            <w:tcW w:w="1258" w:type="dxa"/>
          </w:tcPr>
          <w:p w14:paraId="68BC7B15" w14:textId="77777777" w:rsidR="00796F1C" w:rsidRPr="00461C16" w:rsidRDefault="00796F1C"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1CAC134" w14:textId="77777777" w:rsidR="00796F1C" w:rsidRPr="00461C16" w:rsidRDefault="00796F1C" w:rsidP="003F68C9">
            <w:pPr>
              <w:spacing w:before="40" w:after="40" w:line="240" w:lineRule="auto"/>
              <w:jc w:val="left"/>
              <w:rPr>
                <w:sz w:val="20"/>
                <w:szCs w:val="20"/>
              </w:rPr>
            </w:pPr>
            <w:r w:rsidRPr="00461C16">
              <w:rPr>
                <w:sz w:val="20"/>
                <w:szCs w:val="20"/>
              </w:rPr>
              <w:t>plocha smíšené zástavby centrální</w:t>
            </w:r>
          </w:p>
        </w:tc>
        <w:tc>
          <w:tcPr>
            <w:tcW w:w="2259" w:type="dxa"/>
            <w:shd w:val="clear" w:color="auto" w:fill="auto"/>
          </w:tcPr>
          <w:p w14:paraId="7A62A2EE" w14:textId="77777777" w:rsidR="00796F1C" w:rsidRPr="00461C16" w:rsidRDefault="00796F1C"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351189C2" w14:textId="77777777" w:rsidR="00796F1C" w:rsidRPr="00461C16" w:rsidRDefault="00796F1C" w:rsidP="003F68C9">
            <w:pPr>
              <w:pStyle w:val="Intabulka"/>
              <w:rPr>
                <w:rFonts w:ascii="Arial Narrow" w:hAnsi="Arial Narrow"/>
                <w:lang w:val="cs-CZ"/>
              </w:rPr>
            </w:pPr>
            <w:r w:rsidRPr="00461C16">
              <w:rPr>
                <w:rFonts w:ascii="Arial Narrow" w:hAnsi="Arial Narrow"/>
                <w:lang w:val="cs-CZ"/>
              </w:rPr>
              <w:t>v souladu s koncepcí ÚP, součást stabilizovaného městského území</w:t>
            </w:r>
          </w:p>
        </w:tc>
      </w:tr>
      <w:tr w:rsidR="00523B96" w:rsidRPr="00461C16" w14:paraId="23D0E304" w14:textId="77777777" w:rsidTr="0066453E">
        <w:trPr>
          <w:cantSplit/>
        </w:trPr>
        <w:tc>
          <w:tcPr>
            <w:tcW w:w="1481" w:type="dxa"/>
            <w:shd w:val="clear" w:color="auto" w:fill="auto"/>
          </w:tcPr>
          <w:p w14:paraId="071438CA" w14:textId="77777777" w:rsidR="00523B96" w:rsidRPr="00461C16" w:rsidRDefault="00523B96" w:rsidP="003F68C9">
            <w:pPr>
              <w:spacing w:before="40" w:after="40" w:line="240" w:lineRule="auto"/>
              <w:jc w:val="left"/>
              <w:rPr>
                <w:sz w:val="20"/>
                <w:szCs w:val="20"/>
              </w:rPr>
            </w:pPr>
            <w:r w:rsidRPr="00461C16">
              <w:rPr>
                <w:sz w:val="20"/>
                <w:szCs w:val="20"/>
              </w:rPr>
              <w:t>Z11/2</w:t>
            </w:r>
          </w:p>
        </w:tc>
        <w:tc>
          <w:tcPr>
            <w:tcW w:w="1258" w:type="dxa"/>
          </w:tcPr>
          <w:p w14:paraId="2DD35AC0"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04D4886" w14:textId="77777777" w:rsidR="00523B96" w:rsidRPr="00461C16" w:rsidRDefault="00523B96" w:rsidP="003F68C9">
            <w:pPr>
              <w:spacing w:before="40" w:after="40" w:line="240" w:lineRule="auto"/>
              <w:jc w:val="left"/>
              <w:rPr>
                <w:sz w:val="20"/>
                <w:szCs w:val="20"/>
              </w:rPr>
            </w:pPr>
            <w:r w:rsidRPr="00461C16">
              <w:rPr>
                <w:sz w:val="20"/>
                <w:szCs w:val="20"/>
              </w:rPr>
              <w:t>plocha smíšené zástavby centrální</w:t>
            </w:r>
          </w:p>
        </w:tc>
        <w:tc>
          <w:tcPr>
            <w:tcW w:w="2259" w:type="dxa"/>
            <w:shd w:val="clear" w:color="auto" w:fill="auto"/>
          </w:tcPr>
          <w:p w14:paraId="4FE40F2D" w14:textId="77777777" w:rsidR="00523B96" w:rsidRPr="00523B96" w:rsidRDefault="00523B96" w:rsidP="003F68C9">
            <w:pPr>
              <w:pStyle w:val="Intabulka"/>
              <w:rPr>
                <w:rFonts w:ascii="Arial Narrow" w:hAnsi="Arial Narrow"/>
                <w:lang w:val="cs-CZ"/>
              </w:rPr>
            </w:pPr>
            <w:r w:rsidRPr="00461C16">
              <w:rPr>
                <w:rFonts w:ascii="Arial Narrow" w:hAnsi="Arial Narrow"/>
              </w:rPr>
              <w:t>Nepřevzato</w:t>
            </w:r>
            <w:r>
              <w:rPr>
                <w:rFonts w:ascii="Arial Narrow" w:hAnsi="Arial Narrow"/>
                <w:lang w:val="cs-CZ"/>
              </w:rPr>
              <w:t>, vymezeno jako ZV</w:t>
            </w:r>
          </w:p>
        </w:tc>
        <w:tc>
          <w:tcPr>
            <w:tcW w:w="2660" w:type="dxa"/>
            <w:shd w:val="clear" w:color="auto" w:fill="auto"/>
          </w:tcPr>
          <w:p w14:paraId="7B270AA9" w14:textId="77777777" w:rsidR="00523B96" w:rsidRPr="00461C16" w:rsidRDefault="00523B96" w:rsidP="003F68C9">
            <w:pPr>
              <w:pStyle w:val="Intabulka"/>
              <w:rPr>
                <w:rFonts w:ascii="Arial Narrow" w:hAnsi="Arial Narrow"/>
                <w:lang w:val="cs-CZ"/>
              </w:rPr>
            </w:pPr>
            <w:r>
              <w:rPr>
                <w:rFonts w:ascii="Arial Narrow" w:hAnsi="Arial Narrow"/>
                <w:lang w:val="cs-CZ"/>
              </w:rPr>
              <w:t>preference zachování souvislé plochy veřejné zeleně</w:t>
            </w:r>
          </w:p>
        </w:tc>
      </w:tr>
      <w:tr w:rsidR="00523B96" w:rsidRPr="00461C16" w14:paraId="039070CB" w14:textId="77777777" w:rsidTr="0066453E">
        <w:trPr>
          <w:cantSplit/>
        </w:trPr>
        <w:tc>
          <w:tcPr>
            <w:tcW w:w="1481" w:type="dxa"/>
            <w:shd w:val="clear" w:color="auto" w:fill="auto"/>
          </w:tcPr>
          <w:p w14:paraId="1FA1E067" w14:textId="77777777" w:rsidR="00523B96" w:rsidRPr="00461C16" w:rsidRDefault="00523B96" w:rsidP="003F68C9">
            <w:pPr>
              <w:spacing w:before="40" w:after="40" w:line="240" w:lineRule="auto"/>
              <w:jc w:val="left"/>
              <w:rPr>
                <w:sz w:val="20"/>
                <w:szCs w:val="20"/>
              </w:rPr>
            </w:pPr>
            <w:r w:rsidRPr="00461C16">
              <w:rPr>
                <w:sz w:val="20"/>
                <w:szCs w:val="20"/>
              </w:rPr>
              <w:lastRenderedPageBreak/>
              <w:t>Z11/2</w:t>
            </w:r>
          </w:p>
        </w:tc>
        <w:tc>
          <w:tcPr>
            <w:tcW w:w="1258" w:type="dxa"/>
          </w:tcPr>
          <w:p w14:paraId="202AA1FE"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1E954732" w14:textId="77777777" w:rsidR="00523B96" w:rsidRPr="00461C16" w:rsidRDefault="00523B96" w:rsidP="003F68C9">
            <w:pPr>
              <w:spacing w:before="40" w:after="40" w:line="240" w:lineRule="auto"/>
              <w:jc w:val="left"/>
              <w:rPr>
                <w:sz w:val="20"/>
                <w:szCs w:val="20"/>
              </w:rPr>
            </w:pPr>
            <w:r w:rsidRPr="00461C16">
              <w:rPr>
                <w:sz w:val="20"/>
                <w:szCs w:val="20"/>
              </w:rPr>
              <w:t>plocha parků, hřbitovů, vyhrazené zeleně</w:t>
            </w:r>
          </w:p>
        </w:tc>
        <w:tc>
          <w:tcPr>
            <w:tcW w:w="2259" w:type="dxa"/>
            <w:shd w:val="clear" w:color="auto" w:fill="auto"/>
          </w:tcPr>
          <w:p w14:paraId="5FD90C4C"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24B9B639"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 součást městského parku</w:t>
            </w:r>
          </w:p>
        </w:tc>
      </w:tr>
      <w:tr w:rsidR="00523B96" w:rsidRPr="00461C16" w14:paraId="5F87A34F" w14:textId="77777777" w:rsidTr="0066453E">
        <w:trPr>
          <w:cantSplit/>
        </w:trPr>
        <w:tc>
          <w:tcPr>
            <w:tcW w:w="1481" w:type="dxa"/>
            <w:shd w:val="clear" w:color="auto" w:fill="auto"/>
          </w:tcPr>
          <w:p w14:paraId="5743C52E" w14:textId="77777777" w:rsidR="00523B96" w:rsidRPr="00461C16" w:rsidRDefault="00523B96" w:rsidP="003F68C9">
            <w:pPr>
              <w:spacing w:before="40" w:after="40" w:line="240" w:lineRule="auto"/>
              <w:rPr>
                <w:sz w:val="20"/>
                <w:szCs w:val="20"/>
              </w:rPr>
            </w:pPr>
            <w:r w:rsidRPr="00461C16">
              <w:rPr>
                <w:sz w:val="20"/>
                <w:szCs w:val="20"/>
              </w:rPr>
              <w:t>Z12.01</w:t>
            </w:r>
          </w:p>
        </w:tc>
        <w:tc>
          <w:tcPr>
            <w:tcW w:w="1258" w:type="dxa"/>
          </w:tcPr>
          <w:p w14:paraId="5DF060B5" w14:textId="77777777" w:rsidR="00523B96" w:rsidRPr="00461C16" w:rsidRDefault="00523B96" w:rsidP="003F68C9">
            <w:pPr>
              <w:spacing w:before="40" w:after="40" w:line="240" w:lineRule="auto"/>
              <w:rPr>
                <w:sz w:val="20"/>
                <w:szCs w:val="20"/>
              </w:rPr>
            </w:pPr>
            <w:r w:rsidRPr="00461C16">
              <w:rPr>
                <w:sz w:val="20"/>
                <w:szCs w:val="20"/>
              </w:rPr>
              <w:t>Dolní Sedlo</w:t>
            </w:r>
          </w:p>
        </w:tc>
        <w:tc>
          <w:tcPr>
            <w:tcW w:w="1630" w:type="dxa"/>
            <w:shd w:val="clear" w:color="auto" w:fill="auto"/>
          </w:tcPr>
          <w:p w14:paraId="69BAE847"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426DD48B"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0A7FAFCB"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realizováno – vymezeno jako stav</w:t>
            </w:r>
          </w:p>
        </w:tc>
      </w:tr>
      <w:tr w:rsidR="00523B96" w:rsidRPr="00461C16" w14:paraId="1DF6017C" w14:textId="77777777" w:rsidTr="0066453E">
        <w:trPr>
          <w:cantSplit/>
        </w:trPr>
        <w:tc>
          <w:tcPr>
            <w:tcW w:w="1481" w:type="dxa"/>
            <w:shd w:val="clear" w:color="auto" w:fill="auto"/>
          </w:tcPr>
          <w:p w14:paraId="7191001D" w14:textId="77777777" w:rsidR="00523B96" w:rsidRPr="00461C16" w:rsidRDefault="00523B96" w:rsidP="003F68C9">
            <w:pPr>
              <w:spacing w:before="40" w:after="40" w:line="240" w:lineRule="auto"/>
              <w:rPr>
                <w:sz w:val="20"/>
                <w:szCs w:val="20"/>
              </w:rPr>
            </w:pPr>
            <w:r w:rsidRPr="00461C16">
              <w:rPr>
                <w:sz w:val="20"/>
                <w:szCs w:val="20"/>
              </w:rPr>
              <w:t>Z12.02</w:t>
            </w:r>
          </w:p>
        </w:tc>
        <w:tc>
          <w:tcPr>
            <w:tcW w:w="1258" w:type="dxa"/>
          </w:tcPr>
          <w:p w14:paraId="62BE4062" w14:textId="77777777" w:rsidR="00523B96" w:rsidRPr="00461C16" w:rsidRDefault="00523B96" w:rsidP="003F68C9">
            <w:pPr>
              <w:spacing w:before="40" w:after="40" w:line="240" w:lineRule="auto"/>
              <w:rPr>
                <w:sz w:val="20"/>
                <w:szCs w:val="20"/>
              </w:rPr>
            </w:pPr>
            <w:r w:rsidRPr="00461C16">
              <w:rPr>
                <w:sz w:val="20"/>
                <w:szCs w:val="20"/>
              </w:rPr>
              <w:t>Dolní Sedlo</w:t>
            </w:r>
          </w:p>
        </w:tc>
        <w:tc>
          <w:tcPr>
            <w:tcW w:w="1630" w:type="dxa"/>
            <w:shd w:val="clear" w:color="auto" w:fill="auto"/>
          </w:tcPr>
          <w:p w14:paraId="37B8E683"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4B70138B" w14:textId="77777777" w:rsidR="00523B96" w:rsidRPr="00461C16" w:rsidRDefault="00523B96" w:rsidP="003F68C9">
            <w:pPr>
              <w:pStyle w:val="Intabulka"/>
              <w:rPr>
                <w:rFonts w:ascii="Arial Narrow" w:hAnsi="Arial Narrow"/>
              </w:rPr>
            </w:pPr>
            <w:r w:rsidRPr="00461C16">
              <w:rPr>
                <w:rFonts w:ascii="Arial Narrow" w:hAnsi="Arial Narrow"/>
              </w:rPr>
              <w:t>Nepřevzato</w:t>
            </w:r>
          </w:p>
        </w:tc>
        <w:tc>
          <w:tcPr>
            <w:tcW w:w="2660" w:type="dxa"/>
            <w:shd w:val="clear" w:color="auto" w:fill="auto"/>
          </w:tcPr>
          <w:p w14:paraId="25AAA12D"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nežádoucí rozpínání zástavby do volné krajiny</w:t>
            </w:r>
          </w:p>
        </w:tc>
      </w:tr>
      <w:tr w:rsidR="00523B96" w:rsidRPr="00461C16" w14:paraId="1E55AE3D" w14:textId="77777777" w:rsidTr="0066453E">
        <w:trPr>
          <w:cantSplit/>
        </w:trPr>
        <w:tc>
          <w:tcPr>
            <w:tcW w:w="1481" w:type="dxa"/>
            <w:shd w:val="clear" w:color="auto" w:fill="auto"/>
          </w:tcPr>
          <w:p w14:paraId="01A3A620" w14:textId="77777777" w:rsidR="00523B96" w:rsidRPr="00461C16" w:rsidRDefault="00523B96" w:rsidP="003F68C9">
            <w:pPr>
              <w:spacing w:before="40" w:after="40" w:line="240" w:lineRule="auto"/>
              <w:rPr>
                <w:sz w:val="20"/>
                <w:szCs w:val="20"/>
              </w:rPr>
            </w:pPr>
            <w:r w:rsidRPr="00461C16">
              <w:rPr>
                <w:sz w:val="20"/>
                <w:szCs w:val="20"/>
              </w:rPr>
              <w:t>Z12.04</w:t>
            </w:r>
          </w:p>
        </w:tc>
        <w:tc>
          <w:tcPr>
            <w:tcW w:w="1258" w:type="dxa"/>
          </w:tcPr>
          <w:p w14:paraId="7E28D650" w14:textId="77777777" w:rsidR="00523B96" w:rsidRPr="00461C16" w:rsidRDefault="00523B96" w:rsidP="003F68C9">
            <w:pPr>
              <w:spacing w:before="40" w:after="40" w:line="240" w:lineRule="auto"/>
              <w:rPr>
                <w:sz w:val="20"/>
                <w:szCs w:val="20"/>
              </w:rPr>
            </w:pPr>
            <w:r w:rsidRPr="00461C16">
              <w:rPr>
                <w:sz w:val="20"/>
                <w:szCs w:val="20"/>
              </w:rPr>
              <w:t>Donín</w:t>
            </w:r>
          </w:p>
        </w:tc>
        <w:tc>
          <w:tcPr>
            <w:tcW w:w="1630" w:type="dxa"/>
            <w:shd w:val="clear" w:color="auto" w:fill="auto"/>
          </w:tcPr>
          <w:p w14:paraId="7FB2C035"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0784B475" w14:textId="77777777" w:rsidR="00523B96" w:rsidRPr="00461C16" w:rsidRDefault="00523B96" w:rsidP="003F68C9">
            <w:pPr>
              <w:pStyle w:val="Intabulka"/>
              <w:rPr>
                <w:rFonts w:ascii="Arial Narrow" w:hAnsi="Arial Narrow"/>
              </w:rPr>
            </w:pPr>
            <w:r w:rsidRPr="00461C16">
              <w:rPr>
                <w:rFonts w:ascii="Arial Narrow" w:hAnsi="Arial Narrow"/>
              </w:rPr>
              <w:t>Nepřevzato, vymezeno jako NL</w:t>
            </w:r>
          </w:p>
        </w:tc>
        <w:tc>
          <w:tcPr>
            <w:tcW w:w="2660" w:type="dxa"/>
            <w:shd w:val="clear" w:color="auto" w:fill="auto"/>
          </w:tcPr>
          <w:p w14:paraId="090BA215"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nežádoucí zábor pozemků lesa</w:t>
            </w:r>
          </w:p>
        </w:tc>
      </w:tr>
      <w:tr w:rsidR="00523B96" w:rsidRPr="00461C16" w14:paraId="147F6B96" w14:textId="77777777" w:rsidTr="0066453E">
        <w:trPr>
          <w:cantSplit/>
        </w:trPr>
        <w:tc>
          <w:tcPr>
            <w:tcW w:w="1481" w:type="dxa"/>
            <w:shd w:val="clear" w:color="auto" w:fill="auto"/>
          </w:tcPr>
          <w:p w14:paraId="580A0CE3" w14:textId="77777777" w:rsidR="00523B96" w:rsidRPr="00461C16" w:rsidRDefault="00523B96" w:rsidP="003F68C9">
            <w:pPr>
              <w:spacing w:before="40" w:after="40" w:line="240" w:lineRule="auto"/>
              <w:rPr>
                <w:sz w:val="20"/>
                <w:szCs w:val="20"/>
              </w:rPr>
            </w:pPr>
            <w:r w:rsidRPr="00461C16">
              <w:rPr>
                <w:sz w:val="20"/>
                <w:szCs w:val="20"/>
              </w:rPr>
              <w:t>Z12.05</w:t>
            </w:r>
          </w:p>
        </w:tc>
        <w:tc>
          <w:tcPr>
            <w:tcW w:w="1258" w:type="dxa"/>
          </w:tcPr>
          <w:p w14:paraId="149D392F" w14:textId="77777777" w:rsidR="00523B96" w:rsidRPr="00461C16" w:rsidRDefault="00523B96" w:rsidP="003F68C9">
            <w:pPr>
              <w:spacing w:before="40" w:after="40" w:line="240" w:lineRule="auto"/>
              <w:rPr>
                <w:sz w:val="20"/>
                <w:szCs w:val="20"/>
              </w:rPr>
            </w:pPr>
            <w:r w:rsidRPr="00461C16">
              <w:rPr>
                <w:sz w:val="20"/>
                <w:szCs w:val="20"/>
              </w:rPr>
              <w:t>Loučná</w:t>
            </w:r>
          </w:p>
        </w:tc>
        <w:tc>
          <w:tcPr>
            <w:tcW w:w="1630" w:type="dxa"/>
            <w:shd w:val="clear" w:color="auto" w:fill="auto"/>
          </w:tcPr>
          <w:p w14:paraId="6EA775F2"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964B5C2"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179D9C3C"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 zahrnuto do zastavěného území jako stabilizovaná plocha</w:t>
            </w:r>
          </w:p>
        </w:tc>
      </w:tr>
      <w:tr w:rsidR="00523B96" w:rsidRPr="00461C16" w14:paraId="2FDD7276" w14:textId="77777777" w:rsidTr="0066453E">
        <w:trPr>
          <w:cantSplit/>
        </w:trPr>
        <w:tc>
          <w:tcPr>
            <w:tcW w:w="1481" w:type="dxa"/>
            <w:shd w:val="clear" w:color="auto" w:fill="auto"/>
          </w:tcPr>
          <w:p w14:paraId="774F1F66" w14:textId="77777777" w:rsidR="00523B96" w:rsidRPr="00461C16" w:rsidRDefault="00523B96" w:rsidP="003F68C9">
            <w:pPr>
              <w:spacing w:before="40" w:after="40" w:line="240" w:lineRule="auto"/>
              <w:rPr>
                <w:sz w:val="20"/>
                <w:szCs w:val="20"/>
              </w:rPr>
            </w:pPr>
            <w:r w:rsidRPr="00461C16">
              <w:rPr>
                <w:sz w:val="20"/>
                <w:szCs w:val="20"/>
              </w:rPr>
              <w:t>Z12.07</w:t>
            </w:r>
          </w:p>
        </w:tc>
        <w:tc>
          <w:tcPr>
            <w:tcW w:w="1258" w:type="dxa"/>
          </w:tcPr>
          <w:p w14:paraId="317477F4" w14:textId="77777777" w:rsidR="00523B96" w:rsidRPr="00461C16" w:rsidRDefault="00523B96" w:rsidP="003F68C9">
            <w:pPr>
              <w:spacing w:before="40" w:after="40" w:line="240" w:lineRule="auto"/>
              <w:rPr>
                <w:sz w:val="20"/>
                <w:szCs w:val="20"/>
              </w:rPr>
            </w:pPr>
            <w:r w:rsidRPr="00461C16">
              <w:rPr>
                <w:sz w:val="20"/>
                <w:szCs w:val="20"/>
              </w:rPr>
              <w:t>Dolní Sedlo</w:t>
            </w:r>
          </w:p>
        </w:tc>
        <w:tc>
          <w:tcPr>
            <w:tcW w:w="1630" w:type="dxa"/>
            <w:shd w:val="clear" w:color="auto" w:fill="auto"/>
          </w:tcPr>
          <w:p w14:paraId="5C2A94B2"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8974E53" w14:textId="77777777" w:rsidR="00523B96" w:rsidRDefault="00523B96" w:rsidP="003F68C9">
            <w:pPr>
              <w:pStyle w:val="Intabulka"/>
              <w:rPr>
                <w:rFonts w:ascii="Arial Narrow" w:hAnsi="Arial Narrow"/>
                <w:lang w:val="cs-CZ"/>
              </w:rPr>
            </w:pPr>
            <w:r w:rsidRPr="00461C16">
              <w:rPr>
                <w:rFonts w:ascii="Arial Narrow" w:hAnsi="Arial Narrow"/>
                <w:lang w:val="cs-CZ"/>
              </w:rPr>
              <w:t>Nep</w:t>
            </w:r>
            <w:r w:rsidRPr="00461C16">
              <w:rPr>
                <w:rFonts w:ascii="Arial Narrow" w:hAnsi="Arial Narrow"/>
              </w:rPr>
              <w:t>řevzato</w:t>
            </w:r>
            <w:r w:rsidRPr="00461C16">
              <w:rPr>
                <w:rFonts w:ascii="Arial Narrow" w:hAnsi="Arial Narrow"/>
                <w:lang w:val="cs-CZ"/>
              </w:rPr>
              <w:t>,</w:t>
            </w:r>
            <w:r w:rsidRPr="00461C16">
              <w:rPr>
                <w:rFonts w:ascii="Arial Narrow" w:hAnsi="Arial Narrow"/>
              </w:rPr>
              <w:t xml:space="preserve"> vymezen</w:t>
            </w:r>
            <w:r w:rsidRPr="00461C16">
              <w:rPr>
                <w:rFonts w:ascii="Arial Narrow" w:hAnsi="Arial Narrow"/>
                <w:lang w:val="cs-CZ"/>
              </w:rPr>
              <w:t>o</w:t>
            </w:r>
            <w:r w:rsidRPr="00461C16">
              <w:rPr>
                <w:rFonts w:ascii="Arial Narrow" w:hAnsi="Arial Narrow"/>
              </w:rPr>
              <w:t xml:space="preserve"> jako NL</w:t>
            </w:r>
          </w:p>
          <w:p w14:paraId="0FA4A1F1" w14:textId="77777777" w:rsidR="00523B96" w:rsidRPr="00222D49" w:rsidRDefault="00523B96" w:rsidP="003F68C9">
            <w:pPr>
              <w:pStyle w:val="Intabulka"/>
              <w:rPr>
                <w:rFonts w:ascii="Arial Narrow" w:hAnsi="Arial Narrow"/>
                <w:lang w:val="cs-CZ"/>
              </w:rPr>
            </w:pPr>
          </w:p>
        </w:tc>
        <w:tc>
          <w:tcPr>
            <w:tcW w:w="2660" w:type="dxa"/>
            <w:shd w:val="clear" w:color="auto" w:fill="auto"/>
          </w:tcPr>
          <w:p w14:paraId="39E56195"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nežádoucí zásah do pozemků lesa, OP lesa a souvislého pásu krajinné zeleně</w:t>
            </w:r>
          </w:p>
        </w:tc>
      </w:tr>
      <w:tr w:rsidR="00523B96" w:rsidRPr="00461C16" w14:paraId="064F0A10" w14:textId="77777777" w:rsidTr="0066453E">
        <w:trPr>
          <w:cantSplit/>
        </w:trPr>
        <w:tc>
          <w:tcPr>
            <w:tcW w:w="1481" w:type="dxa"/>
            <w:shd w:val="clear" w:color="auto" w:fill="auto"/>
          </w:tcPr>
          <w:p w14:paraId="5D7CF0D5" w14:textId="77777777" w:rsidR="00523B96" w:rsidRPr="00461C16" w:rsidRDefault="00523B96" w:rsidP="003F68C9">
            <w:pPr>
              <w:spacing w:before="40" w:after="40" w:line="240" w:lineRule="auto"/>
              <w:jc w:val="left"/>
              <w:rPr>
                <w:sz w:val="20"/>
                <w:szCs w:val="20"/>
              </w:rPr>
            </w:pPr>
            <w:r w:rsidRPr="00461C16">
              <w:rPr>
                <w:sz w:val="20"/>
                <w:szCs w:val="20"/>
              </w:rPr>
              <w:t>Z12.08</w:t>
            </w:r>
          </w:p>
        </w:tc>
        <w:tc>
          <w:tcPr>
            <w:tcW w:w="1258" w:type="dxa"/>
          </w:tcPr>
          <w:p w14:paraId="1D2FFEA9" w14:textId="77777777" w:rsidR="00523B96" w:rsidRPr="00461C16" w:rsidRDefault="00523B96" w:rsidP="003F68C9">
            <w:pPr>
              <w:spacing w:before="40" w:after="40" w:line="240" w:lineRule="auto"/>
              <w:rPr>
                <w:sz w:val="20"/>
                <w:szCs w:val="20"/>
              </w:rPr>
            </w:pPr>
            <w:r w:rsidRPr="00461C16">
              <w:rPr>
                <w:sz w:val="20"/>
                <w:szCs w:val="20"/>
              </w:rPr>
              <w:t>Oldřichov na Hranicích</w:t>
            </w:r>
          </w:p>
        </w:tc>
        <w:tc>
          <w:tcPr>
            <w:tcW w:w="1630" w:type="dxa"/>
            <w:shd w:val="clear" w:color="auto" w:fill="auto"/>
          </w:tcPr>
          <w:p w14:paraId="554966B8"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7BF68C10" w14:textId="77777777" w:rsidR="00523B96" w:rsidRPr="006863D3" w:rsidRDefault="00523B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stabilizovaná plocha SV</w:t>
            </w:r>
          </w:p>
        </w:tc>
        <w:tc>
          <w:tcPr>
            <w:tcW w:w="2660" w:type="dxa"/>
            <w:shd w:val="clear" w:color="auto" w:fill="auto"/>
          </w:tcPr>
          <w:p w14:paraId="3C683F3E"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3DC255E3" w14:textId="77777777" w:rsidTr="0066453E">
        <w:trPr>
          <w:cantSplit/>
        </w:trPr>
        <w:tc>
          <w:tcPr>
            <w:tcW w:w="1481" w:type="dxa"/>
            <w:shd w:val="clear" w:color="auto" w:fill="auto"/>
          </w:tcPr>
          <w:p w14:paraId="2141C7CE" w14:textId="77777777" w:rsidR="00523B96" w:rsidRPr="00461C16" w:rsidRDefault="00523B96" w:rsidP="003F68C9">
            <w:pPr>
              <w:spacing w:before="40" w:after="40" w:line="240" w:lineRule="auto"/>
              <w:rPr>
                <w:sz w:val="20"/>
                <w:szCs w:val="20"/>
              </w:rPr>
            </w:pPr>
            <w:r w:rsidRPr="00461C16">
              <w:rPr>
                <w:sz w:val="20"/>
                <w:szCs w:val="20"/>
              </w:rPr>
              <w:t>Z12.09</w:t>
            </w:r>
          </w:p>
        </w:tc>
        <w:tc>
          <w:tcPr>
            <w:tcW w:w="1258" w:type="dxa"/>
          </w:tcPr>
          <w:p w14:paraId="739AE1F4"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17DB4FB8"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538E05E8" w14:textId="77777777" w:rsidR="00523B96" w:rsidRPr="005133D5" w:rsidRDefault="00523B96" w:rsidP="003F68C9">
            <w:pPr>
              <w:pStyle w:val="Intabulka"/>
              <w:rPr>
                <w:rFonts w:ascii="Arial Narrow" w:hAnsi="Arial Narrow"/>
                <w:lang w:val="cs-CZ"/>
              </w:rPr>
            </w:pPr>
            <w:r>
              <w:rPr>
                <w:rFonts w:ascii="Arial Narrow" w:hAnsi="Arial Narrow"/>
                <w:lang w:val="cs-CZ"/>
              </w:rPr>
              <w:t>Převzato jako plocha změn Z103 (BV)</w:t>
            </w:r>
          </w:p>
        </w:tc>
        <w:tc>
          <w:tcPr>
            <w:tcW w:w="2660" w:type="dxa"/>
            <w:shd w:val="clear" w:color="auto" w:fill="auto"/>
          </w:tcPr>
          <w:p w14:paraId="0A857ABD" w14:textId="77777777" w:rsidR="00523B96" w:rsidRPr="00461C16" w:rsidRDefault="00523B96" w:rsidP="003F68C9">
            <w:pPr>
              <w:pStyle w:val="Intabulka"/>
              <w:rPr>
                <w:rFonts w:ascii="Arial Narrow" w:hAnsi="Arial Narrow"/>
                <w:lang w:val="cs-CZ"/>
              </w:rPr>
            </w:pPr>
            <w:r>
              <w:rPr>
                <w:rFonts w:ascii="Arial Narrow" w:hAnsi="Arial Narrow"/>
                <w:lang w:val="cs-CZ"/>
              </w:rPr>
              <w:t>dodatečný požadavek zadavatele na vymezení plochy v rámci úprav pro veřejné projednání</w:t>
            </w:r>
          </w:p>
        </w:tc>
      </w:tr>
      <w:tr w:rsidR="00523B96" w:rsidRPr="00461C16" w14:paraId="5D2A8F07" w14:textId="77777777" w:rsidTr="0066453E">
        <w:trPr>
          <w:cantSplit/>
        </w:trPr>
        <w:tc>
          <w:tcPr>
            <w:tcW w:w="1481" w:type="dxa"/>
            <w:shd w:val="clear" w:color="auto" w:fill="auto"/>
          </w:tcPr>
          <w:p w14:paraId="6365CC44" w14:textId="77777777" w:rsidR="00523B96" w:rsidRPr="00461C16" w:rsidRDefault="00523B96" w:rsidP="003F68C9">
            <w:pPr>
              <w:spacing w:before="40" w:after="40" w:line="240" w:lineRule="auto"/>
              <w:rPr>
                <w:sz w:val="20"/>
                <w:szCs w:val="20"/>
              </w:rPr>
            </w:pPr>
            <w:r w:rsidRPr="00461C16">
              <w:rPr>
                <w:sz w:val="20"/>
                <w:szCs w:val="20"/>
              </w:rPr>
              <w:t>Z12.10</w:t>
            </w:r>
          </w:p>
        </w:tc>
        <w:tc>
          <w:tcPr>
            <w:tcW w:w="1258" w:type="dxa"/>
          </w:tcPr>
          <w:p w14:paraId="535A2EA2"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45BBE633"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547B1B34" w14:textId="77777777" w:rsidR="00523B96" w:rsidRPr="00461C16" w:rsidRDefault="00523B96" w:rsidP="003F68C9">
            <w:pPr>
              <w:pStyle w:val="Intabulka"/>
              <w:rPr>
                <w:rFonts w:ascii="Arial Narrow" w:hAnsi="Arial Narrow"/>
              </w:rPr>
            </w:pPr>
            <w:r w:rsidRPr="00461C16">
              <w:rPr>
                <w:rFonts w:ascii="Arial Narrow" w:hAnsi="Arial Narrow"/>
              </w:rPr>
              <w:t>Převzato, vymezeno jako plocha změn Z92</w:t>
            </w:r>
          </w:p>
        </w:tc>
        <w:tc>
          <w:tcPr>
            <w:tcW w:w="2660" w:type="dxa"/>
            <w:shd w:val="clear" w:color="auto" w:fill="auto"/>
          </w:tcPr>
          <w:p w14:paraId="11CF6A38"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686497A9" w14:textId="77777777" w:rsidTr="0066453E">
        <w:trPr>
          <w:cantSplit/>
        </w:trPr>
        <w:tc>
          <w:tcPr>
            <w:tcW w:w="1481" w:type="dxa"/>
            <w:shd w:val="clear" w:color="auto" w:fill="auto"/>
          </w:tcPr>
          <w:p w14:paraId="44BDF195" w14:textId="77777777" w:rsidR="00523B96" w:rsidRPr="00461C16" w:rsidRDefault="00523B96" w:rsidP="003F68C9">
            <w:pPr>
              <w:spacing w:before="40" w:after="40" w:line="240" w:lineRule="auto"/>
              <w:rPr>
                <w:sz w:val="20"/>
                <w:szCs w:val="20"/>
              </w:rPr>
            </w:pPr>
            <w:r w:rsidRPr="00461C16">
              <w:rPr>
                <w:sz w:val="20"/>
                <w:szCs w:val="20"/>
              </w:rPr>
              <w:t>Z12.11</w:t>
            </w:r>
          </w:p>
        </w:tc>
        <w:tc>
          <w:tcPr>
            <w:tcW w:w="1258" w:type="dxa"/>
          </w:tcPr>
          <w:p w14:paraId="45E9CC80"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Dolní Suchá</w:t>
            </w:r>
          </w:p>
        </w:tc>
        <w:tc>
          <w:tcPr>
            <w:tcW w:w="1630" w:type="dxa"/>
            <w:shd w:val="clear" w:color="auto" w:fill="auto"/>
          </w:tcPr>
          <w:p w14:paraId="35572F81"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CC63C01" w14:textId="77777777" w:rsidR="00523B96" w:rsidRPr="00FF0B06" w:rsidRDefault="00523B96" w:rsidP="003F68C9">
            <w:pPr>
              <w:pStyle w:val="Intabulka"/>
              <w:rPr>
                <w:rFonts w:ascii="Arial Narrow" w:hAnsi="Arial Narrow"/>
                <w:lang w:val="cs-CZ"/>
              </w:rPr>
            </w:pPr>
            <w:r>
              <w:rPr>
                <w:rFonts w:ascii="Arial Narrow" w:hAnsi="Arial Narrow"/>
                <w:lang w:val="cs-CZ"/>
              </w:rPr>
              <w:t>P</w:t>
            </w:r>
            <w:r w:rsidRPr="00461C16">
              <w:rPr>
                <w:rFonts w:ascii="Arial Narrow" w:hAnsi="Arial Narrow"/>
              </w:rPr>
              <w:t xml:space="preserve">řevzato, vymezeno jako </w:t>
            </w:r>
            <w:r>
              <w:rPr>
                <w:rFonts w:ascii="Arial Narrow" w:hAnsi="Arial Narrow"/>
                <w:lang w:val="cs-CZ"/>
              </w:rPr>
              <w:t>plocha změn Z104 (BV)</w:t>
            </w:r>
          </w:p>
        </w:tc>
        <w:tc>
          <w:tcPr>
            <w:tcW w:w="2660" w:type="dxa"/>
            <w:shd w:val="clear" w:color="auto" w:fill="auto"/>
          </w:tcPr>
          <w:p w14:paraId="0BF8F1E5" w14:textId="77777777" w:rsidR="00523B96" w:rsidRPr="00461C16" w:rsidRDefault="00523B96" w:rsidP="003F68C9">
            <w:pPr>
              <w:pStyle w:val="Intabulka"/>
              <w:rPr>
                <w:rFonts w:ascii="Arial Narrow" w:hAnsi="Arial Narrow"/>
                <w:lang w:val="cs-CZ"/>
              </w:rPr>
            </w:pPr>
            <w:r>
              <w:rPr>
                <w:rFonts w:ascii="Arial Narrow" w:hAnsi="Arial Narrow"/>
                <w:lang w:val="cs-CZ"/>
              </w:rPr>
              <w:t>dodatečný požadavek zadavatele na vymezení plochy v rámci úprav pro veřejné projednání</w:t>
            </w:r>
          </w:p>
        </w:tc>
      </w:tr>
      <w:tr w:rsidR="00523B96" w:rsidRPr="00461C16" w14:paraId="7F9F8E93" w14:textId="77777777" w:rsidTr="0066453E">
        <w:trPr>
          <w:cantSplit/>
        </w:trPr>
        <w:tc>
          <w:tcPr>
            <w:tcW w:w="1481" w:type="dxa"/>
            <w:shd w:val="clear" w:color="auto" w:fill="auto"/>
          </w:tcPr>
          <w:p w14:paraId="761B1472" w14:textId="77777777" w:rsidR="00523B96" w:rsidRPr="00461C16" w:rsidRDefault="00523B96" w:rsidP="003F68C9">
            <w:pPr>
              <w:spacing w:before="40" w:after="40" w:line="240" w:lineRule="auto"/>
              <w:rPr>
                <w:sz w:val="20"/>
                <w:szCs w:val="20"/>
              </w:rPr>
            </w:pPr>
            <w:r w:rsidRPr="00461C16">
              <w:rPr>
                <w:sz w:val="20"/>
                <w:szCs w:val="20"/>
              </w:rPr>
              <w:t>Z12.12</w:t>
            </w:r>
          </w:p>
        </w:tc>
        <w:tc>
          <w:tcPr>
            <w:tcW w:w="1258" w:type="dxa"/>
          </w:tcPr>
          <w:p w14:paraId="07EC4264" w14:textId="77777777" w:rsidR="00523B96" w:rsidRPr="00461C16" w:rsidRDefault="00523B96" w:rsidP="003F68C9">
            <w:pPr>
              <w:spacing w:before="40" w:after="40" w:line="240" w:lineRule="auto"/>
              <w:rPr>
                <w:sz w:val="20"/>
                <w:szCs w:val="20"/>
              </w:rPr>
            </w:pPr>
            <w:r w:rsidRPr="00461C16">
              <w:rPr>
                <w:sz w:val="20"/>
                <w:szCs w:val="20"/>
              </w:rPr>
              <w:t>Dolní Sedlo</w:t>
            </w:r>
          </w:p>
        </w:tc>
        <w:tc>
          <w:tcPr>
            <w:tcW w:w="1630" w:type="dxa"/>
            <w:shd w:val="clear" w:color="auto" w:fill="auto"/>
          </w:tcPr>
          <w:p w14:paraId="0DBBBC3D"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763135B1"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58E5B6B8"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51797A1B" w14:textId="77777777" w:rsidTr="0066453E">
        <w:trPr>
          <w:cantSplit/>
        </w:trPr>
        <w:tc>
          <w:tcPr>
            <w:tcW w:w="1481" w:type="dxa"/>
            <w:shd w:val="clear" w:color="auto" w:fill="auto"/>
          </w:tcPr>
          <w:p w14:paraId="272DA686" w14:textId="77777777" w:rsidR="00523B96" w:rsidRPr="00461C16" w:rsidRDefault="00523B96" w:rsidP="003F68C9">
            <w:pPr>
              <w:spacing w:before="40" w:after="40" w:line="240" w:lineRule="auto"/>
              <w:jc w:val="left"/>
              <w:rPr>
                <w:sz w:val="20"/>
                <w:szCs w:val="20"/>
              </w:rPr>
            </w:pPr>
            <w:r w:rsidRPr="00461C16">
              <w:rPr>
                <w:sz w:val="20"/>
                <w:szCs w:val="20"/>
              </w:rPr>
              <w:t>Z12.15</w:t>
            </w:r>
          </w:p>
        </w:tc>
        <w:tc>
          <w:tcPr>
            <w:tcW w:w="1258" w:type="dxa"/>
          </w:tcPr>
          <w:p w14:paraId="1D5A25BE"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666B34E"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4CF9838A" w14:textId="77777777" w:rsidR="00523B96" w:rsidRPr="00461C16" w:rsidRDefault="00523B96" w:rsidP="003F68C9">
            <w:pPr>
              <w:pStyle w:val="Intabulka"/>
              <w:rPr>
                <w:rFonts w:ascii="Arial Narrow" w:hAnsi="Arial Narrow"/>
              </w:rPr>
            </w:pPr>
            <w:r w:rsidRPr="00461C16">
              <w:rPr>
                <w:rFonts w:ascii="Arial Narrow" w:hAnsi="Arial Narrow"/>
              </w:rPr>
              <w:t>Nepřevzato, vymezeno jako ZS</w:t>
            </w:r>
          </w:p>
        </w:tc>
        <w:tc>
          <w:tcPr>
            <w:tcW w:w="2660" w:type="dxa"/>
            <w:shd w:val="clear" w:color="auto" w:fill="auto"/>
          </w:tcPr>
          <w:p w14:paraId="1B38148F"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zájem na zachování kontinuálního pásu zahrad pod rodinnými domy</w:t>
            </w:r>
          </w:p>
        </w:tc>
      </w:tr>
      <w:tr w:rsidR="00523B96" w:rsidRPr="00461C16" w14:paraId="0316AA86" w14:textId="77777777" w:rsidTr="0066453E">
        <w:trPr>
          <w:cantSplit/>
        </w:trPr>
        <w:tc>
          <w:tcPr>
            <w:tcW w:w="1481" w:type="dxa"/>
            <w:shd w:val="clear" w:color="auto" w:fill="auto"/>
          </w:tcPr>
          <w:p w14:paraId="3C4E3493" w14:textId="77777777" w:rsidR="00523B96" w:rsidRPr="00461C16" w:rsidRDefault="00523B96" w:rsidP="003F68C9">
            <w:pPr>
              <w:spacing w:before="40" w:after="40" w:line="240" w:lineRule="auto"/>
              <w:rPr>
                <w:sz w:val="20"/>
                <w:szCs w:val="20"/>
              </w:rPr>
            </w:pPr>
            <w:r w:rsidRPr="00461C16">
              <w:rPr>
                <w:sz w:val="20"/>
                <w:szCs w:val="20"/>
              </w:rPr>
              <w:t>Z12.16</w:t>
            </w:r>
          </w:p>
        </w:tc>
        <w:tc>
          <w:tcPr>
            <w:tcW w:w="1258" w:type="dxa"/>
          </w:tcPr>
          <w:p w14:paraId="1F43D248" w14:textId="77777777" w:rsidR="00523B96" w:rsidRPr="00461C16" w:rsidRDefault="00523B96" w:rsidP="003F68C9">
            <w:pPr>
              <w:spacing w:before="40" w:after="40" w:line="240" w:lineRule="auto"/>
              <w:rPr>
                <w:sz w:val="20"/>
                <w:szCs w:val="20"/>
              </w:rPr>
            </w:pPr>
            <w:r w:rsidRPr="00461C16">
              <w:rPr>
                <w:sz w:val="20"/>
                <w:szCs w:val="20"/>
              </w:rPr>
              <w:t>Loučná</w:t>
            </w:r>
          </w:p>
        </w:tc>
        <w:tc>
          <w:tcPr>
            <w:tcW w:w="1630" w:type="dxa"/>
            <w:shd w:val="clear" w:color="auto" w:fill="auto"/>
          </w:tcPr>
          <w:p w14:paraId="07E6D6B2"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3DC72988"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1C910918"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0BE3B8AA" w14:textId="77777777" w:rsidTr="0066453E">
        <w:trPr>
          <w:cantSplit/>
        </w:trPr>
        <w:tc>
          <w:tcPr>
            <w:tcW w:w="1481" w:type="dxa"/>
            <w:shd w:val="clear" w:color="auto" w:fill="auto"/>
          </w:tcPr>
          <w:p w14:paraId="17989120" w14:textId="77777777" w:rsidR="00523B96" w:rsidRPr="00461C16" w:rsidRDefault="00523B96" w:rsidP="003F68C9">
            <w:pPr>
              <w:spacing w:before="40" w:after="40" w:line="240" w:lineRule="auto"/>
              <w:jc w:val="left"/>
              <w:rPr>
                <w:sz w:val="20"/>
                <w:szCs w:val="20"/>
              </w:rPr>
            </w:pPr>
            <w:r w:rsidRPr="00461C16">
              <w:rPr>
                <w:sz w:val="20"/>
                <w:szCs w:val="20"/>
              </w:rPr>
              <w:lastRenderedPageBreak/>
              <w:t>Z12.17</w:t>
            </w:r>
          </w:p>
        </w:tc>
        <w:tc>
          <w:tcPr>
            <w:tcW w:w="1258" w:type="dxa"/>
          </w:tcPr>
          <w:p w14:paraId="5304462D"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6051D1D"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6D3AC988" w14:textId="77777777" w:rsidR="00523B96" w:rsidRPr="00FF0B06" w:rsidRDefault="00523B96" w:rsidP="003F68C9">
            <w:pPr>
              <w:pStyle w:val="Intabulka"/>
              <w:rPr>
                <w:rFonts w:ascii="Arial Narrow" w:hAnsi="Arial Narrow"/>
                <w:lang w:val="cs-CZ"/>
              </w:rPr>
            </w:pPr>
            <w:r>
              <w:rPr>
                <w:rFonts w:ascii="Arial Narrow" w:hAnsi="Arial Narrow"/>
                <w:lang w:val="cs-CZ"/>
              </w:rPr>
              <w:t>P</w:t>
            </w:r>
            <w:r w:rsidRPr="00461C16">
              <w:rPr>
                <w:rFonts w:ascii="Arial Narrow" w:hAnsi="Arial Narrow"/>
              </w:rPr>
              <w:t xml:space="preserve">řevzato, vymezeno jako </w:t>
            </w:r>
            <w:r>
              <w:rPr>
                <w:rFonts w:ascii="Arial Narrow" w:hAnsi="Arial Narrow"/>
                <w:lang w:val="cs-CZ"/>
              </w:rPr>
              <w:t>plocha změn Z99 (BI)</w:t>
            </w:r>
          </w:p>
        </w:tc>
        <w:tc>
          <w:tcPr>
            <w:tcW w:w="2660" w:type="dxa"/>
            <w:shd w:val="clear" w:color="auto" w:fill="auto"/>
          </w:tcPr>
          <w:p w14:paraId="03526B1C" w14:textId="77777777" w:rsidR="00523B96" w:rsidRPr="00461C16" w:rsidRDefault="00523B96" w:rsidP="003F68C9">
            <w:pPr>
              <w:pStyle w:val="Intabulka"/>
              <w:rPr>
                <w:rFonts w:ascii="Arial Narrow" w:hAnsi="Arial Narrow"/>
                <w:lang w:val="cs-CZ"/>
              </w:rPr>
            </w:pPr>
            <w:r>
              <w:rPr>
                <w:rFonts w:ascii="Arial Narrow" w:hAnsi="Arial Narrow"/>
                <w:lang w:val="cs-CZ"/>
              </w:rPr>
              <w:t>dodatečný požadavek zadavatele na vymezení plochy v rámci úprav pro veřejné projednání</w:t>
            </w:r>
          </w:p>
        </w:tc>
      </w:tr>
      <w:tr w:rsidR="00523B96" w:rsidRPr="00461C16" w14:paraId="0AEF911B" w14:textId="77777777" w:rsidTr="0066453E">
        <w:trPr>
          <w:cantSplit/>
        </w:trPr>
        <w:tc>
          <w:tcPr>
            <w:tcW w:w="1481" w:type="dxa"/>
            <w:shd w:val="clear" w:color="auto" w:fill="auto"/>
          </w:tcPr>
          <w:p w14:paraId="3A2FFAAC" w14:textId="77777777" w:rsidR="00523B96" w:rsidRPr="00461C16" w:rsidRDefault="00523B96" w:rsidP="003F68C9">
            <w:pPr>
              <w:spacing w:before="40" w:after="40" w:line="240" w:lineRule="auto"/>
              <w:rPr>
                <w:sz w:val="20"/>
                <w:szCs w:val="20"/>
              </w:rPr>
            </w:pPr>
            <w:r w:rsidRPr="00461C16">
              <w:rPr>
                <w:sz w:val="20"/>
                <w:szCs w:val="20"/>
              </w:rPr>
              <w:t>Z12.18</w:t>
            </w:r>
          </w:p>
        </w:tc>
        <w:tc>
          <w:tcPr>
            <w:tcW w:w="1258" w:type="dxa"/>
          </w:tcPr>
          <w:p w14:paraId="5DB069B2" w14:textId="77777777" w:rsidR="00523B96" w:rsidRPr="00461C16" w:rsidRDefault="00523B96" w:rsidP="003F68C9">
            <w:pPr>
              <w:spacing w:before="40" w:after="40" w:line="240" w:lineRule="auto"/>
              <w:rPr>
                <w:sz w:val="20"/>
                <w:szCs w:val="20"/>
              </w:rPr>
            </w:pPr>
            <w:r w:rsidRPr="00461C16">
              <w:rPr>
                <w:sz w:val="20"/>
                <w:szCs w:val="20"/>
              </w:rPr>
              <w:t>Loučná</w:t>
            </w:r>
          </w:p>
        </w:tc>
        <w:tc>
          <w:tcPr>
            <w:tcW w:w="1630" w:type="dxa"/>
            <w:shd w:val="clear" w:color="auto" w:fill="auto"/>
          </w:tcPr>
          <w:p w14:paraId="53D3BEAF"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7D47246D" w14:textId="77777777" w:rsidR="00523B96" w:rsidRPr="00461C16" w:rsidRDefault="00523B96" w:rsidP="003F68C9">
            <w:pPr>
              <w:pStyle w:val="Intabulka"/>
              <w:rPr>
                <w:rFonts w:ascii="Arial Narrow" w:hAnsi="Arial Narrow"/>
              </w:rPr>
            </w:pPr>
            <w:r w:rsidRPr="00461C16">
              <w:rPr>
                <w:rFonts w:ascii="Arial Narrow" w:hAnsi="Arial Narrow"/>
              </w:rPr>
              <w:t>Převzato, vymezeno jako plocha přestavby P30</w:t>
            </w:r>
          </w:p>
        </w:tc>
        <w:tc>
          <w:tcPr>
            <w:tcW w:w="2660" w:type="dxa"/>
            <w:shd w:val="clear" w:color="auto" w:fill="auto"/>
          </w:tcPr>
          <w:p w14:paraId="2D4D562C"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5979E486" w14:textId="77777777" w:rsidTr="0066453E">
        <w:trPr>
          <w:cantSplit/>
        </w:trPr>
        <w:tc>
          <w:tcPr>
            <w:tcW w:w="1481" w:type="dxa"/>
            <w:shd w:val="clear" w:color="auto" w:fill="auto"/>
          </w:tcPr>
          <w:p w14:paraId="239E785A" w14:textId="77777777" w:rsidR="00523B96" w:rsidRPr="00461C16" w:rsidRDefault="00523B96" w:rsidP="003F68C9">
            <w:pPr>
              <w:spacing w:before="40" w:after="40" w:line="240" w:lineRule="auto"/>
              <w:rPr>
                <w:sz w:val="20"/>
                <w:szCs w:val="20"/>
              </w:rPr>
            </w:pPr>
            <w:r w:rsidRPr="00461C16">
              <w:rPr>
                <w:sz w:val="20"/>
                <w:szCs w:val="20"/>
              </w:rPr>
              <w:t>Z12.19</w:t>
            </w:r>
          </w:p>
        </w:tc>
        <w:tc>
          <w:tcPr>
            <w:tcW w:w="1258" w:type="dxa"/>
          </w:tcPr>
          <w:p w14:paraId="117BC960" w14:textId="77777777" w:rsidR="00523B96" w:rsidRPr="00461C16" w:rsidRDefault="00523B96" w:rsidP="003F68C9">
            <w:pPr>
              <w:spacing w:before="40" w:after="40" w:line="240" w:lineRule="auto"/>
              <w:rPr>
                <w:sz w:val="20"/>
                <w:szCs w:val="20"/>
              </w:rPr>
            </w:pPr>
            <w:r w:rsidRPr="00461C16">
              <w:rPr>
                <w:sz w:val="20"/>
                <w:szCs w:val="20"/>
              </w:rPr>
              <w:t>Donín</w:t>
            </w:r>
          </w:p>
        </w:tc>
        <w:tc>
          <w:tcPr>
            <w:tcW w:w="1630" w:type="dxa"/>
            <w:shd w:val="clear" w:color="auto" w:fill="auto"/>
          </w:tcPr>
          <w:p w14:paraId="54E90F96"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0C07D1AD" w14:textId="77777777" w:rsidR="00523B96" w:rsidRPr="002127AE" w:rsidRDefault="00523B96" w:rsidP="003F68C9">
            <w:pPr>
              <w:pStyle w:val="Intabulka"/>
              <w:rPr>
                <w:rFonts w:ascii="Arial Narrow" w:hAnsi="Arial Narrow"/>
                <w:lang w:val="cs-CZ"/>
              </w:rPr>
            </w:pPr>
            <w:r w:rsidRPr="00461C16">
              <w:rPr>
                <w:rFonts w:ascii="Arial Narrow" w:hAnsi="Arial Narrow"/>
              </w:rPr>
              <w:t>Převzato, vymezeno jako plocha změn Z66</w:t>
            </w:r>
            <w:r>
              <w:rPr>
                <w:rFonts w:ascii="Arial Narrow" w:hAnsi="Arial Narrow"/>
                <w:lang w:val="cs-CZ"/>
              </w:rPr>
              <w:t>, částečně vymezeno jako stabilizovaná plocha BI</w:t>
            </w:r>
          </w:p>
        </w:tc>
        <w:tc>
          <w:tcPr>
            <w:tcW w:w="2660" w:type="dxa"/>
            <w:shd w:val="clear" w:color="auto" w:fill="auto"/>
          </w:tcPr>
          <w:p w14:paraId="230387B5"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48BFB8FB" w14:textId="77777777" w:rsidTr="0066453E">
        <w:trPr>
          <w:cantSplit/>
        </w:trPr>
        <w:tc>
          <w:tcPr>
            <w:tcW w:w="1481" w:type="dxa"/>
            <w:shd w:val="clear" w:color="auto" w:fill="auto"/>
          </w:tcPr>
          <w:p w14:paraId="3440C43E" w14:textId="77777777" w:rsidR="00523B96" w:rsidRPr="00461C16" w:rsidRDefault="00523B96" w:rsidP="003F68C9">
            <w:pPr>
              <w:spacing w:before="40" w:after="40" w:line="240" w:lineRule="auto"/>
              <w:jc w:val="left"/>
              <w:rPr>
                <w:sz w:val="20"/>
                <w:szCs w:val="20"/>
              </w:rPr>
            </w:pPr>
            <w:r w:rsidRPr="00461C16">
              <w:rPr>
                <w:sz w:val="20"/>
                <w:szCs w:val="20"/>
              </w:rPr>
              <w:t>Z12.20</w:t>
            </w:r>
          </w:p>
        </w:tc>
        <w:tc>
          <w:tcPr>
            <w:tcW w:w="1258" w:type="dxa"/>
          </w:tcPr>
          <w:p w14:paraId="33B55704"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ED7FBC9"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4EE324DC" w14:textId="77777777" w:rsidR="00523B96" w:rsidRPr="00461C16" w:rsidRDefault="00523B96" w:rsidP="003F68C9">
            <w:pPr>
              <w:pStyle w:val="Intabulka"/>
              <w:rPr>
                <w:rFonts w:ascii="Arial Narrow" w:hAnsi="Arial Narrow"/>
              </w:rPr>
            </w:pPr>
            <w:r w:rsidRPr="00461C16">
              <w:rPr>
                <w:rFonts w:ascii="Arial Narrow" w:hAnsi="Arial Narrow"/>
              </w:rPr>
              <w:t>Nepřevzato, vymezeno jako TI</w:t>
            </w:r>
          </w:p>
        </w:tc>
        <w:tc>
          <w:tcPr>
            <w:tcW w:w="2660" w:type="dxa"/>
            <w:shd w:val="clear" w:color="auto" w:fill="auto"/>
          </w:tcPr>
          <w:p w14:paraId="7B09F9C3"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vymezeno dle skutečného stavu pro potřeby technického vybavení města</w:t>
            </w:r>
          </w:p>
        </w:tc>
      </w:tr>
      <w:tr w:rsidR="00523B96" w:rsidRPr="00461C16" w14:paraId="1C2D3AAC" w14:textId="77777777" w:rsidTr="0066453E">
        <w:trPr>
          <w:cantSplit/>
        </w:trPr>
        <w:tc>
          <w:tcPr>
            <w:tcW w:w="1481" w:type="dxa"/>
            <w:shd w:val="clear" w:color="auto" w:fill="auto"/>
          </w:tcPr>
          <w:p w14:paraId="7E285ADC" w14:textId="77777777" w:rsidR="00523B96" w:rsidRPr="00461C16" w:rsidRDefault="00523B96" w:rsidP="003F68C9">
            <w:pPr>
              <w:spacing w:before="40" w:after="40" w:line="240" w:lineRule="auto"/>
              <w:rPr>
                <w:sz w:val="20"/>
                <w:szCs w:val="20"/>
              </w:rPr>
            </w:pPr>
            <w:r w:rsidRPr="00461C16">
              <w:rPr>
                <w:sz w:val="20"/>
                <w:szCs w:val="20"/>
              </w:rPr>
              <w:t>Z12.21</w:t>
            </w:r>
          </w:p>
        </w:tc>
        <w:tc>
          <w:tcPr>
            <w:tcW w:w="1258" w:type="dxa"/>
          </w:tcPr>
          <w:p w14:paraId="6D32966A" w14:textId="77777777" w:rsidR="00523B96" w:rsidRPr="00461C16" w:rsidRDefault="00523B96" w:rsidP="003F68C9">
            <w:pPr>
              <w:spacing w:before="40" w:after="40" w:line="240" w:lineRule="auto"/>
              <w:rPr>
                <w:sz w:val="20"/>
                <w:szCs w:val="20"/>
              </w:rPr>
            </w:pPr>
            <w:r w:rsidRPr="00461C16">
              <w:rPr>
                <w:sz w:val="20"/>
                <w:szCs w:val="20"/>
              </w:rPr>
              <w:t>Donín</w:t>
            </w:r>
          </w:p>
        </w:tc>
        <w:tc>
          <w:tcPr>
            <w:tcW w:w="1630" w:type="dxa"/>
            <w:shd w:val="clear" w:color="auto" w:fill="auto"/>
          </w:tcPr>
          <w:p w14:paraId="48C1614F"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3DBEF6D4"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621008C4"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5010BAED" w14:textId="77777777" w:rsidTr="0066453E">
        <w:trPr>
          <w:cantSplit/>
        </w:trPr>
        <w:tc>
          <w:tcPr>
            <w:tcW w:w="1481" w:type="dxa"/>
            <w:shd w:val="clear" w:color="auto" w:fill="auto"/>
          </w:tcPr>
          <w:p w14:paraId="0E308871" w14:textId="77777777" w:rsidR="00523B96" w:rsidRPr="00461C16" w:rsidRDefault="00523B96" w:rsidP="003F68C9">
            <w:pPr>
              <w:spacing w:before="40" w:after="40" w:line="240" w:lineRule="auto"/>
              <w:rPr>
                <w:sz w:val="20"/>
                <w:szCs w:val="20"/>
              </w:rPr>
            </w:pPr>
            <w:r w:rsidRPr="00461C16">
              <w:rPr>
                <w:sz w:val="20"/>
                <w:szCs w:val="20"/>
              </w:rPr>
              <w:t>Z12.23</w:t>
            </w:r>
          </w:p>
        </w:tc>
        <w:tc>
          <w:tcPr>
            <w:tcW w:w="1258" w:type="dxa"/>
          </w:tcPr>
          <w:p w14:paraId="76EF141D" w14:textId="77777777" w:rsidR="00523B96" w:rsidRPr="00461C16" w:rsidRDefault="00523B96" w:rsidP="003F68C9">
            <w:pPr>
              <w:pStyle w:val="Intabulka"/>
              <w:rPr>
                <w:rFonts w:ascii="Arial Narrow" w:hAnsi="Arial Narrow"/>
              </w:rPr>
            </w:pPr>
            <w:r w:rsidRPr="00461C16">
              <w:rPr>
                <w:rFonts w:ascii="Arial Narrow" w:hAnsi="Arial Narrow"/>
              </w:rPr>
              <w:t>Loučná</w:t>
            </w:r>
          </w:p>
        </w:tc>
        <w:tc>
          <w:tcPr>
            <w:tcW w:w="1630" w:type="dxa"/>
            <w:shd w:val="clear" w:color="auto" w:fill="auto"/>
          </w:tcPr>
          <w:p w14:paraId="4CE39E29"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53376E06" w14:textId="77777777" w:rsidR="00523B96" w:rsidRPr="007B783B" w:rsidRDefault="00523B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stabilizovaná plocha SM</w:t>
            </w:r>
          </w:p>
        </w:tc>
        <w:tc>
          <w:tcPr>
            <w:tcW w:w="2660" w:type="dxa"/>
            <w:shd w:val="clear" w:color="auto" w:fill="auto"/>
          </w:tcPr>
          <w:p w14:paraId="1084C1EF"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173B0D98" w14:textId="77777777" w:rsidTr="0066453E">
        <w:trPr>
          <w:cantSplit/>
        </w:trPr>
        <w:tc>
          <w:tcPr>
            <w:tcW w:w="1481" w:type="dxa"/>
            <w:shd w:val="clear" w:color="auto" w:fill="auto"/>
          </w:tcPr>
          <w:p w14:paraId="2CDFEC6B" w14:textId="77777777" w:rsidR="00523B96" w:rsidRPr="00461C16" w:rsidRDefault="00523B96" w:rsidP="003F68C9">
            <w:pPr>
              <w:spacing w:before="40" w:after="40" w:line="240" w:lineRule="auto"/>
              <w:jc w:val="left"/>
              <w:rPr>
                <w:sz w:val="20"/>
                <w:szCs w:val="20"/>
              </w:rPr>
            </w:pPr>
            <w:r w:rsidRPr="00461C16">
              <w:rPr>
                <w:sz w:val="20"/>
                <w:szCs w:val="20"/>
              </w:rPr>
              <w:t>Z12.24</w:t>
            </w:r>
          </w:p>
        </w:tc>
        <w:tc>
          <w:tcPr>
            <w:tcW w:w="1258" w:type="dxa"/>
          </w:tcPr>
          <w:p w14:paraId="257D81F1"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AEEAF73"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městské</w:t>
            </w:r>
          </w:p>
        </w:tc>
        <w:tc>
          <w:tcPr>
            <w:tcW w:w="2259" w:type="dxa"/>
            <w:shd w:val="clear" w:color="auto" w:fill="auto"/>
          </w:tcPr>
          <w:p w14:paraId="11CDB1C3" w14:textId="3A344CA3" w:rsidR="00523B96" w:rsidRPr="005F4497" w:rsidRDefault="00523B96" w:rsidP="000C5952">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w:t>
            </w:r>
            <w:r w:rsidR="000C5952">
              <w:rPr>
                <w:rFonts w:ascii="Arial Narrow" w:hAnsi="Arial Narrow"/>
                <w:lang w:val="cs-CZ"/>
              </w:rPr>
              <w:t xml:space="preserve">plocha </w:t>
            </w:r>
            <w:r>
              <w:rPr>
                <w:rFonts w:ascii="Arial Narrow" w:hAnsi="Arial Narrow"/>
                <w:lang w:val="cs-CZ"/>
              </w:rPr>
              <w:t>P11,</w:t>
            </w:r>
            <w:r w:rsidRPr="00461C16">
              <w:rPr>
                <w:rFonts w:ascii="Arial Narrow" w:hAnsi="Arial Narrow"/>
              </w:rPr>
              <w:t xml:space="preserve"> částečně</w:t>
            </w:r>
            <w:r>
              <w:rPr>
                <w:rFonts w:ascii="Arial Narrow" w:hAnsi="Arial Narrow"/>
                <w:lang w:val="cs-CZ"/>
              </w:rPr>
              <w:t xml:space="preserve"> vymezeno jako stabilizovaná plocha SM</w:t>
            </w:r>
          </w:p>
        </w:tc>
        <w:tc>
          <w:tcPr>
            <w:tcW w:w="2660" w:type="dxa"/>
            <w:shd w:val="clear" w:color="auto" w:fill="auto"/>
          </w:tcPr>
          <w:p w14:paraId="1B29374C"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 xml:space="preserve">v souladu s koncepcí ÚP </w:t>
            </w:r>
          </w:p>
        </w:tc>
      </w:tr>
      <w:tr w:rsidR="00523B96" w:rsidRPr="00461C16" w14:paraId="03DAA321" w14:textId="77777777" w:rsidTr="0066453E">
        <w:trPr>
          <w:cantSplit/>
        </w:trPr>
        <w:tc>
          <w:tcPr>
            <w:tcW w:w="1481" w:type="dxa"/>
            <w:shd w:val="clear" w:color="auto" w:fill="auto"/>
          </w:tcPr>
          <w:p w14:paraId="4F852F6C" w14:textId="77777777" w:rsidR="00523B96" w:rsidRPr="00461C16" w:rsidRDefault="00523B96" w:rsidP="003F68C9">
            <w:pPr>
              <w:spacing w:before="40" w:after="40" w:line="240" w:lineRule="auto"/>
              <w:jc w:val="left"/>
              <w:rPr>
                <w:sz w:val="20"/>
                <w:szCs w:val="20"/>
              </w:rPr>
            </w:pPr>
            <w:r w:rsidRPr="00461C16">
              <w:rPr>
                <w:sz w:val="20"/>
                <w:szCs w:val="20"/>
              </w:rPr>
              <w:t>Z12.25</w:t>
            </w:r>
          </w:p>
        </w:tc>
        <w:tc>
          <w:tcPr>
            <w:tcW w:w="1258" w:type="dxa"/>
          </w:tcPr>
          <w:p w14:paraId="43792CB5"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1AB4F9DE" w14:textId="77777777" w:rsidR="00523B96" w:rsidRPr="00461C16" w:rsidRDefault="00523B96" w:rsidP="003F68C9">
            <w:pPr>
              <w:spacing w:before="40" w:after="40" w:line="240" w:lineRule="auto"/>
              <w:jc w:val="left"/>
              <w:rPr>
                <w:sz w:val="20"/>
                <w:szCs w:val="20"/>
              </w:rPr>
            </w:pPr>
            <w:r w:rsidRPr="00461C16">
              <w:rPr>
                <w:sz w:val="20"/>
                <w:szCs w:val="20"/>
              </w:rPr>
              <w:t>plocha obytné smíšené zástavby centrální</w:t>
            </w:r>
          </w:p>
        </w:tc>
        <w:tc>
          <w:tcPr>
            <w:tcW w:w="2259" w:type="dxa"/>
            <w:shd w:val="clear" w:color="auto" w:fill="auto"/>
          </w:tcPr>
          <w:p w14:paraId="2BE27285" w14:textId="77777777" w:rsidR="00523B96" w:rsidRPr="00461C16" w:rsidRDefault="00523B96" w:rsidP="003F68C9">
            <w:pPr>
              <w:pStyle w:val="Intabulka"/>
              <w:rPr>
                <w:rFonts w:ascii="Arial Narrow" w:hAnsi="Arial Narrow"/>
              </w:rPr>
            </w:pPr>
            <w:r w:rsidRPr="00461C16">
              <w:rPr>
                <w:rFonts w:ascii="Arial Narrow" w:hAnsi="Arial Narrow"/>
                <w:lang w:val="cs-CZ"/>
              </w:rPr>
              <w:t>P</w:t>
            </w:r>
            <w:r w:rsidRPr="00461C16">
              <w:rPr>
                <w:rFonts w:ascii="Arial Narrow" w:hAnsi="Arial Narrow"/>
              </w:rPr>
              <w:t>řevzato</w:t>
            </w:r>
            <w:r w:rsidRPr="00461C16">
              <w:rPr>
                <w:rFonts w:ascii="Arial Narrow" w:hAnsi="Arial Narrow"/>
                <w:lang w:val="cs-CZ"/>
              </w:rPr>
              <w:t xml:space="preserve"> pouze zčásti</w:t>
            </w:r>
            <w:r>
              <w:rPr>
                <w:rFonts w:ascii="Arial Narrow" w:hAnsi="Arial Narrow"/>
                <w:lang w:val="cs-CZ"/>
              </w:rPr>
              <w:t xml:space="preserve"> jako plochy Z44A, Z45 (BI) a Z47 (SM)</w:t>
            </w:r>
            <w:r w:rsidRPr="00461C16">
              <w:rPr>
                <w:rFonts w:ascii="Arial Narrow" w:hAnsi="Arial Narrow"/>
              </w:rPr>
              <w:t>,</w:t>
            </w:r>
            <w:r w:rsidRPr="00461C16">
              <w:rPr>
                <w:rFonts w:ascii="Arial Narrow" w:hAnsi="Arial Narrow"/>
                <w:lang w:val="cs-CZ"/>
              </w:rPr>
              <w:t xml:space="preserve"> zbývající plocha</w:t>
            </w:r>
            <w:r w:rsidRPr="00461C16">
              <w:rPr>
                <w:rFonts w:ascii="Arial Narrow" w:hAnsi="Arial Narrow"/>
              </w:rPr>
              <w:t xml:space="preserve"> vymezen</w:t>
            </w:r>
            <w:r w:rsidRPr="00461C16">
              <w:rPr>
                <w:rFonts w:ascii="Arial Narrow" w:hAnsi="Arial Narrow"/>
                <w:lang w:val="cs-CZ"/>
              </w:rPr>
              <w:t>a</w:t>
            </w:r>
            <w:r w:rsidRPr="00461C16">
              <w:rPr>
                <w:rFonts w:ascii="Arial Narrow" w:hAnsi="Arial Narrow"/>
              </w:rPr>
              <w:t xml:space="preserve"> jako NK</w:t>
            </w:r>
          </w:p>
        </w:tc>
        <w:tc>
          <w:tcPr>
            <w:tcW w:w="2660" w:type="dxa"/>
            <w:shd w:val="clear" w:color="auto" w:fill="auto"/>
          </w:tcPr>
          <w:p w14:paraId="29502CFD"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Redukce rozsahu z důvodu zachování biotopu s výskytem chráněných živočichů</w:t>
            </w:r>
          </w:p>
        </w:tc>
      </w:tr>
      <w:tr w:rsidR="00523B96" w:rsidRPr="00461C16" w14:paraId="411716F0" w14:textId="77777777" w:rsidTr="0066453E">
        <w:trPr>
          <w:cantSplit/>
        </w:trPr>
        <w:tc>
          <w:tcPr>
            <w:tcW w:w="1481" w:type="dxa"/>
            <w:shd w:val="clear" w:color="auto" w:fill="auto"/>
          </w:tcPr>
          <w:p w14:paraId="75B0EBD2" w14:textId="77777777" w:rsidR="00523B96" w:rsidRPr="00461C16" w:rsidRDefault="00523B96" w:rsidP="003F68C9">
            <w:pPr>
              <w:spacing w:before="40" w:after="40" w:line="240" w:lineRule="auto"/>
              <w:jc w:val="left"/>
              <w:rPr>
                <w:sz w:val="20"/>
                <w:szCs w:val="20"/>
              </w:rPr>
            </w:pPr>
            <w:r w:rsidRPr="00461C16">
              <w:rPr>
                <w:sz w:val="20"/>
                <w:szCs w:val="20"/>
              </w:rPr>
              <w:t>Z12.26</w:t>
            </w:r>
          </w:p>
        </w:tc>
        <w:tc>
          <w:tcPr>
            <w:tcW w:w="1258" w:type="dxa"/>
          </w:tcPr>
          <w:p w14:paraId="1F53D865"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EA14CF7" w14:textId="77777777" w:rsidR="00523B96" w:rsidRPr="00461C16" w:rsidRDefault="00523B96" w:rsidP="003F68C9">
            <w:pPr>
              <w:spacing w:before="40" w:after="40" w:line="240" w:lineRule="auto"/>
              <w:jc w:val="left"/>
              <w:rPr>
                <w:sz w:val="20"/>
                <w:szCs w:val="20"/>
              </w:rPr>
            </w:pPr>
            <w:r w:rsidRPr="00461C16">
              <w:rPr>
                <w:sz w:val="20"/>
                <w:szCs w:val="20"/>
              </w:rPr>
              <w:t>plocha smíšené zástavby centrální</w:t>
            </w:r>
          </w:p>
        </w:tc>
        <w:tc>
          <w:tcPr>
            <w:tcW w:w="2259" w:type="dxa"/>
            <w:shd w:val="clear" w:color="auto" w:fill="auto"/>
          </w:tcPr>
          <w:p w14:paraId="3D129B5D"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Nepřevzato, vymezeno jako ZV</w:t>
            </w:r>
          </w:p>
        </w:tc>
        <w:tc>
          <w:tcPr>
            <w:tcW w:w="2660" w:type="dxa"/>
            <w:shd w:val="clear" w:color="auto" w:fill="auto"/>
          </w:tcPr>
          <w:p w14:paraId="0DDF0D8A"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Je chráněna stávající plocha veřejného prostranství jako významný kompoziční a krajinářský prvek vnitřního města.</w:t>
            </w:r>
          </w:p>
        </w:tc>
      </w:tr>
      <w:tr w:rsidR="00523B96" w:rsidRPr="00461C16" w14:paraId="60C699E9" w14:textId="77777777" w:rsidTr="0066453E">
        <w:trPr>
          <w:cantSplit/>
        </w:trPr>
        <w:tc>
          <w:tcPr>
            <w:tcW w:w="1481" w:type="dxa"/>
            <w:shd w:val="clear" w:color="auto" w:fill="auto"/>
          </w:tcPr>
          <w:p w14:paraId="2DD7CAAF" w14:textId="77777777" w:rsidR="00523B96" w:rsidRPr="00461C16" w:rsidRDefault="00523B96" w:rsidP="003F68C9">
            <w:pPr>
              <w:spacing w:before="40" w:after="40" w:line="240" w:lineRule="auto"/>
              <w:jc w:val="left"/>
              <w:rPr>
                <w:sz w:val="20"/>
                <w:szCs w:val="20"/>
              </w:rPr>
            </w:pPr>
            <w:r w:rsidRPr="00461C16">
              <w:rPr>
                <w:sz w:val="20"/>
                <w:szCs w:val="20"/>
              </w:rPr>
              <w:t>Z12.27</w:t>
            </w:r>
          </w:p>
        </w:tc>
        <w:tc>
          <w:tcPr>
            <w:tcW w:w="1258" w:type="dxa"/>
          </w:tcPr>
          <w:p w14:paraId="4A8758B7"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56346B6" w14:textId="77777777" w:rsidR="00523B96" w:rsidRPr="00461C16" w:rsidRDefault="00523B96" w:rsidP="003F68C9">
            <w:pPr>
              <w:spacing w:before="40" w:after="40" w:line="240" w:lineRule="auto"/>
              <w:jc w:val="left"/>
              <w:rPr>
                <w:sz w:val="20"/>
                <w:szCs w:val="20"/>
              </w:rPr>
            </w:pPr>
            <w:r w:rsidRPr="00461C16">
              <w:rPr>
                <w:sz w:val="20"/>
                <w:szCs w:val="20"/>
              </w:rPr>
              <w:t>plocha smíšené zástavby centrální</w:t>
            </w:r>
          </w:p>
        </w:tc>
        <w:tc>
          <w:tcPr>
            <w:tcW w:w="2259" w:type="dxa"/>
            <w:shd w:val="clear" w:color="auto" w:fill="auto"/>
          </w:tcPr>
          <w:p w14:paraId="0C9C92FB" w14:textId="77777777" w:rsidR="00523B96" w:rsidRPr="00461C16" w:rsidRDefault="00523B96" w:rsidP="003F68C9">
            <w:pPr>
              <w:pStyle w:val="Intabulka"/>
              <w:rPr>
                <w:rFonts w:ascii="Arial Narrow" w:hAnsi="Arial Narrow"/>
                <w:lang w:val="cs-CZ"/>
              </w:rPr>
            </w:pPr>
            <w:r>
              <w:rPr>
                <w:rFonts w:ascii="Arial Narrow" w:hAnsi="Arial Narrow"/>
                <w:lang w:val="cs-CZ"/>
              </w:rPr>
              <w:t>Ne</w:t>
            </w:r>
            <w:r w:rsidRPr="00461C16">
              <w:rPr>
                <w:rFonts w:ascii="Arial Narrow" w:hAnsi="Arial Narrow"/>
              </w:rPr>
              <w:t>řevzato</w:t>
            </w:r>
            <w:r w:rsidRPr="00461C16">
              <w:rPr>
                <w:rFonts w:ascii="Arial Narrow" w:hAnsi="Arial Narrow"/>
                <w:lang w:val="cs-CZ"/>
              </w:rPr>
              <w:t xml:space="preserve"> </w:t>
            </w:r>
            <w:r w:rsidRPr="00461C16">
              <w:rPr>
                <w:rFonts w:ascii="Arial Narrow" w:hAnsi="Arial Narrow"/>
              </w:rPr>
              <w:t xml:space="preserve">, </w:t>
            </w:r>
            <w:r w:rsidRPr="00461C16">
              <w:rPr>
                <w:rFonts w:ascii="Arial Narrow" w:hAnsi="Arial Narrow"/>
                <w:lang w:val="cs-CZ"/>
              </w:rPr>
              <w:t xml:space="preserve">plocha </w:t>
            </w:r>
            <w:r w:rsidRPr="00461C16">
              <w:rPr>
                <w:rFonts w:ascii="Arial Narrow" w:hAnsi="Arial Narrow"/>
              </w:rPr>
              <w:t>vymezen</w:t>
            </w:r>
            <w:r w:rsidRPr="00461C16">
              <w:rPr>
                <w:rFonts w:ascii="Arial Narrow" w:hAnsi="Arial Narrow"/>
                <w:lang w:val="cs-CZ"/>
              </w:rPr>
              <w:t>a</w:t>
            </w:r>
            <w:r w:rsidRPr="00461C16">
              <w:rPr>
                <w:rFonts w:ascii="Arial Narrow" w:hAnsi="Arial Narrow"/>
              </w:rPr>
              <w:t xml:space="preserve"> jako ZV</w:t>
            </w:r>
          </w:p>
        </w:tc>
        <w:tc>
          <w:tcPr>
            <w:tcW w:w="2660" w:type="dxa"/>
            <w:shd w:val="clear" w:color="auto" w:fill="auto"/>
          </w:tcPr>
          <w:p w14:paraId="6DBF5902" w14:textId="77777777" w:rsidR="00523B96" w:rsidRPr="00461C16" w:rsidRDefault="00523B96" w:rsidP="003F68C9">
            <w:pPr>
              <w:pStyle w:val="Intabulka"/>
              <w:rPr>
                <w:rFonts w:ascii="Arial Narrow" w:hAnsi="Arial Narrow"/>
                <w:lang w:val="cs-CZ"/>
              </w:rPr>
            </w:pPr>
            <w:r>
              <w:rPr>
                <w:rFonts w:ascii="Arial Narrow" w:hAnsi="Arial Narrow"/>
                <w:lang w:val="cs-CZ"/>
              </w:rPr>
              <w:t>P</w:t>
            </w:r>
            <w:r w:rsidRPr="00461C16">
              <w:rPr>
                <w:rFonts w:ascii="Arial Narrow" w:hAnsi="Arial Narrow"/>
                <w:lang w:val="cs-CZ"/>
              </w:rPr>
              <w:t>otvrzeno jako součást městského parku – nejvýznamnější plocha zeleně ve vnitřní části města</w:t>
            </w:r>
          </w:p>
        </w:tc>
      </w:tr>
      <w:tr w:rsidR="00523B96" w:rsidRPr="00461C16" w14:paraId="59C3E7F6" w14:textId="77777777" w:rsidTr="0066453E">
        <w:trPr>
          <w:cantSplit/>
        </w:trPr>
        <w:tc>
          <w:tcPr>
            <w:tcW w:w="1481" w:type="dxa"/>
            <w:shd w:val="clear" w:color="auto" w:fill="auto"/>
          </w:tcPr>
          <w:p w14:paraId="3E0B66F9" w14:textId="77777777" w:rsidR="00523B96" w:rsidRPr="00461C16" w:rsidRDefault="00523B96" w:rsidP="003F68C9">
            <w:pPr>
              <w:spacing w:before="40" w:after="40" w:line="240" w:lineRule="auto"/>
              <w:jc w:val="left"/>
              <w:rPr>
                <w:sz w:val="20"/>
                <w:szCs w:val="20"/>
              </w:rPr>
            </w:pPr>
            <w:r w:rsidRPr="00461C16">
              <w:rPr>
                <w:sz w:val="20"/>
                <w:szCs w:val="20"/>
              </w:rPr>
              <w:t>Z12.28</w:t>
            </w:r>
          </w:p>
        </w:tc>
        <w:tc>
          <w:tcPr>
            <w:tcW w:w="1258" w:type="dxa"/>
          </w:tcPr>
          <w:p w14:paraId="567A2470"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6D4CF8E" w14:textId="77777777" w:rsidR="00523B96" w:rsidRPr="00461C16" w:rsidRDefault="00523B96" w:rsidP="003F68C9">
            <w:pPr>
              <w:spacing w:before="40" w:after="40" w:line="240" w:lineRule="auto"/>
              <w:jc w:val="left"/>
              <w:rPr>
                <w:color w:val="000000"/>
                <w:sz w:val="20"/>
                <w:szCs w:val="20"/>
              </w:rPr>
            </w:pPr>
            <w:r w:rsidRPr="00461C16">
              <w:rPr>
                <w:color w:val="000000"/>
                <w:sz w:val="20"/>
                <w:szCs w:val="20"/>
              </w:rPr>
              <w:t>plochy rekreace – zahrádkářské osady</w:t>
            </w:r>
          </w:p>
        </w:tc>
        <w:tc>
          <w:tcPr>
            <w:tcW w:w="2259" w:type="dxa"/>
            <w:shd w:val="clear" w:color="auto" w:fill="auto"/>
          </w:tcPr>
          <w:p w14:paraId="4D2B3F85"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Nep</w:t>
            </w:r>
            <w:r w:rsidRPr="00461C16">
              <w:rPr>
                <w:rFonts w:ascii="Arial Narrow" w:hAnsi="Arial Narrow"/>
              </w:rPr>
              <w:t>řevzato, součást plochy změn Z32</w:t>
            </w:r>
            <w:r w:rsidRPr="00461C16">
              <w:rPr>
                <w:rFonts w:ascii="Arial Narrow" w:hAnsi="Arial Narrow"/>
                <w:lang w:val="cs-CZ"/>
              </w:rPr>
              <w:t xml:space="preserve"> - RN</w:t>
            </w:r>
          </w:p>
        </w:tc>
        <w:tc>
          <w:tcPr>
            <w:tcW w:w="2660" w:type="dxa"/>
            <w:shd w:val="clear" w:color="auto" w:fill="auto"/>
          </w:tcPr>
          <w:p w14:paraId="0F30AF5B"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Podpořena vhodnější forma rekreace – rozvoj stávajícího areálu Kristýna.</w:t>
            </w:r>
          </w:p>
        </w:tc>
      </w:tr>
      <w:tr w:rsidR="00523B96" w:rsidRPr="00461C16" w14:paraId="052D6376" w14:textId="77777777" w:rsidTr="0066453E">
        <w:trPr>
          <w:cantSplit/>
        </w:trPr>
        <w:tc>
          <w:tcPr>
            <w:tcW w:w="1481" w:type="dxa"/>
            <w:shd w:val="clear" w:color="auto" w:fill="auto"/>
          </w:tcPr>
          <w:p w14:paraId="4BA6A128" w14:textId="77777777" w:rsidR="00523B96" w:rsidRPr="00461C16" w:rsidRDefault="00523B96" w:rsidP="003F68C9">
            <w:pPr>
              <w:spacing w:before="40" w:after="40" w:line="240" w:lineRule="auto"/>
              <w:jc w:val="left"/>
              <w:rPr>
                <w:sz w:val="20"/>
                <w:szCs w:val="20"/>
              </w:rPr>
            </w:pPr>
            <w:r w:rsidRPr="00461C16">
              <w:rPr>
                <w:sz w:val="20"/>
                <w:szCs w:val="20"/>
              </w:rPr>
              <w:t>Z12.29</w:t>
            </w:r>
          </w:p>
        </w:tc>
        <w:tc>
          <w:tcPr>
            <w:tcW w:w="1258" w:type="dxa"/>
          </w:tcPr>
          <w:p w14:paraId="52815EBC"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81C3F05" w14:textId="77777777" w:rsidR="00523B96" w:rsidRPr="00461C16" w:rsidRDefault="00523B96" w:rsidP="003F68C9">
            <w:pPr>
              <w:spacing w:before="40" w:after="40" w:line="240" w:lineRule="auto"/>
              <w:jc w:val="left"/>
              <w:rPr>
                <w:color w:val="000000"/>
                <w:sz w:val="20"/>
                <w:szCs w:val="20"/>
              </w:rPr>
            </w:pPr>
            <w:r w:rsidRPr="00461C16">
              <w:rPr>
                <w:color w:val="000000"/>
                <w:sz w:val="20"/>
                <w:szCs w:val="20"/>
              </w:rPr>
              <w:t>plocha rekreace – zahrádkářské osady</w:t>
            </w:r>
          </w:p>
        </w:tc>
        <w:tc>
          <w:tcPr>
            <w:tcW w:w="2259" w:type="dxa"/>
            <w:shd w:val="clear" w:color="auto" w:fill="auto"/>
          </w:tcPr>
          <w:p w14:paraId="7EAA6BCB"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Ne</w:t>
            </w:r>
            <w:r>
              <w:rPr>
                <w:rFonts w:ascii="Arial Narrow" w:hAnsi="Arial Narrow"/>
                <w:lang w:val="cs-CZ"/>
              </w:rPr>
              <w:t>p</w:t>
            </w:r>
            <w:r w:rsidRPr="00461C16">
              <w:rPr>
                <w:rFonts w:ascii="Arial Narrow" w:hAnsi="Arial Narrow"/>
              </w:rPr>
              <w:t>řevzato, vymezeno jako plocha přestavby P19</w:t>
            </w:r>
            <w:r w:rsidRPr="00461C16">
              <w:rPr>
                <w:rFonts w:ascii="Arial Narrow" w:hAnsi="Arial Narrow"/>
                <w:lang w:val="cs-CZ"/>
              </w:rPr>
              <w:t xml:space="preserve"> – OS</w:t>
            </w:r>
          </w:p>
        </w:tc>
        <w:tc>
          <w:tcPr>
            <w:tcW w:w="2660" w:type="dxa"/>
            <w:shd w:val="clear" w:color="auto" w:fill="auto"/>
          </w:tcPr>
          <w:p w14:paraId="6AF647CD"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neaktuálnost záměru, zájem na rozšíření sportovní vybavenosti</w:t>
            </w:r>
          </w:p>
        </w:tc>
      </w:tr>
      <w:tr w:rsidR="00523B96" w:rsidRPr="00461C16" w14:paraId="78ADF4A0" w14:textId="77777777" w:rsidTr="0066453E">
        <w:trPr>
          <w:cantSplit/>
        </w:trPr>
        <w:tc>
          <w:tcPr>
            <w:tcW w:w="1481" w:type="dxa"/>
            <w:shd w:val="clear" w:color="auto" w:fill="auto"/>
          </w:tcPr>
          <w:p w14:paraId="394D4D35" w14:textId="77777777" w:rsidR="00523B96" w:rsidRPr="00461C16" w:rsidRDefault="00523B96" w:rsidP="003F68C9">
            <w:pPr>
              <w:spacing w:before="40" w:after="40" w:line="240" w:lineRule="auto"/>
              <w:rPr>
                <w:sz w:val="20"/>
                <w:szCs w:val="20"/>
              </w:rPr>
            </w:pPr>
            <w:r w:rsidRPr="00461C16">
              <w:rPr>
                <w:sz w:val="20"/>
                <w:szCs w:val="20"/>
              </w:rPr>
              <w:t>Z12.30</w:t>
            </w:r>
          </w:p>
        </w:tc>
        <w:tc>
          <w:tcPr>
            <w:tcW w:w="1258" w:type="dxa"/>
          </w:tcPr>
          <w:p w14:paraId="6597AB97" w14:textId="77777777" w:rsidR="00523B96" w:rsidRPr="00461C16" w:rsidRDefault="00523B96" w:rsidP="003F68C9">
            <w:pPr>
              <w:spacing w:before="40" w:after="40" w:line="240" w:lineRule="auto"/>
              <w:rPr>
                <w:sz w:val="20"/>
                <w:szCs w:val="20"/>
              </w:rPr>
            </w:pPr>
            <w:r w:rsidRPr="00461C16">
              <w:rPr>
                <w:sz w:val="20"/>
                <w:szCs w:val="20"/>
              </w:rPr>
              <w:t>Dolní Sedlo</w:t>
            </w:r>
          </w:p>
        </w:tc>
        <w:tc>
          <w:tcPr>
            <w:tcW w:w="1630" w:type="dxa"/>
            <w:shd w:val="clear" w:color="auto" w:fill="auto"/>
          </w:tcPr>
          <w:p w14:paraId="069EA8AF" w14:textId="77777777" w:rsidR="00523B96" w:rsidRPr="00461C16" w:rsidRDefault="00523B96" w:rsidP="003F68C9">
            <w:pPr>
              <w:spacing w:before="40" w:after="40" w:line="240" w:lineRule="auto"/>
              <w:jc w:val="left"/>
              <w:rPr>
                <w:sz w:val="20"/>
                <w:szCs w:val="20"/>
              </w:rPr>
            </w:pPr>
            <w:r w:rsidRPr="00461C16">
              <w:rPr>
                <w:sz w:val="20"/>
                <w:szCs w:val="20"/>
              </w:rPr>
              <w:t>plocha sportu a tělovýchovy</w:t>
            </w:r>
          </w:p>
        </w:tc>
        <w:tc>
          <w:tcPr>
            <w:tcW w:w="2259" w:type="dxa"/>
            <w:shd w:val="clear" w:color="auto" w:fill="auto"/>
          </w:tcPr>
          <w:p w14:paraId="0FB9F979" w14:textId="77777777" w:rsidR="00523B96" w:rsidRPr="00461C16" w:rsidRDefault="00523B96" w:rsidP="003F68C9">
            <w:pPr>
              <w:pStyle w:val="Intabulka"/>
              <w:rPr>
                <w:rFonts w:ascii="Arial Narrow" w:hAnsi="Arial Narrow"/>
              </w:rPr>
            </w:pPr>
            <w:r w:rsidRPr="00461C16">
              <w:rPr>
                <w:rFonts w:ascii="Arial Narrow" w:hAnsi="Arial Narrow"/>
                <w:lang w:val="cs-CZ"/>
              </w:rPr>
              <w:t>P</w:t>
            </w:r>
            <w:r w:rsidRPr="00461C16">
              <w:rPr>
                <w:rFonts w:ascii="Arial Narrow" w:hAnsi="Arial Narrow"/>
              </w:rPr>
              <w:t>řevzato</w:t>
            </w:r>
          </w:p>
        </w:tc>
        <w:tc>
          <w:tcPr>
            <w:tcW w:w="2660" w:type="dxa"/>
            <w:shd w:val="clear" w:color="auto" w:fill="auto"/>
          </w:tcPr>
          <w:p w14:paraId="6CA45DC3"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realizováno – vymezeno jako stav</w:t>
            </w:r>
          </w:p>
        </w:tc>
      </w:tr>
      <w:tr w:rsidR="00523B96" w:rsidRPr="00461C16" w14:paraId="214FA70B" w14:textId="77777777" w:rsidTr="0066453E">
        <w:trPr>
          <w:cantSplit/>
        </w:trPr>
        <w:tc>
          <w:tcPr>
            <w:tcW w:w="1481" w:type="dxa"/>
            <w:shd w:val="clear" w:color="auto" w:fill="auto"/>
          </w:tcPr>
          <w:p w14:paraId="448EA8D1" w14:textId="77777777" w:rsidR="00523B96" w:rsidRPr="00461C16" w:rsidRDefault="00523B96" w:rsidP="003F68C9">
            <w:pPr>
              <w:spacing w:before="40" w:after="40" w:line="240" w:lineRule="auto"/>
              <w:rPr>
                <w:sz w:val="20"/>
                <w:szCs w:val="20"/>
              </w:rPr>
            </w:pPr>
            <w:r w:rsidRPr="00461C16">
              <w:rPr>
                <w:sz w:val="20"/>
                <w:szCs w:val="20"/>
              </w:rPr>
              <w:lastRenderedPageBreak/>
              <w:t>Z12.31</w:t>
            </w:r>
          </w:p>
        </w:tc>
        <w:tc>
          <w:tcPr>
            <w:tcW w:w="1258" w:type="dxa"/>
          </w:tcPr>
          <w:p w14:paraId="2FEF3C28" w14:textId="77777777" w:rsidR="00523B96" w:rsidRPr="00461C16" w:rsidRDefault="00523B96" w:rsidP="003F68C9">
            <w:pPr>
              <w:pStyle w:val="Intabulka"/>
              <w:rPr>
                <w:rFonts w:ascii="Arial Narrow" w:hAnsi="Arial Narrow"/>
              </w:rPr>
            </w:pPr>
            <w:r w:rsidRPr="00461C16">
              <w:rPr>
                <w:rFonts w:ascii="Arial Narrow" w:hAnsi="Arial Narrow"/>
              </w:rPr>
              <w:t>Loučná</w:t>
            </w:r>
          </w:p>
        </w:tc>
        <w:tc>
          <w:tcPr>
            <w:tcW w:w="1630" w:type="dxa"/>
            <w:shd w:val="clear" w:color="auto" w:fill="auto"/>
          </w:tcPr>
          <w:p w14:paraId="07E3A965" w14:textId="77777777" w:rsidR="00523B96" w:rsidRPr="00461C16" w:rsidRDefault="00523B96"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43E63985"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P</w:t>
            </w:r>
            <w:r w:rsidRPr="00461C16">
              <w:rPr>
                <w:rFonts w:ascii="Arial Narrow" w:hAnsi="Arial Narrow"/>
              </w:rPr>
              <w:t xml:space="preserve">řevzato, vymezeno jako </w:t>
            </w:r>
            <w:r w:rsidRPr="00461C16">
              <w:rPr>
                <w:rFonts w:ascii="Arial Narrow" w:hAnsi="Arial Narrow"/>
                <w:lang w:val="cs-CZ"/>
              </w:rPr>
              <w:t xml:space="preserve">plocha smíšená městská </w:t>
            </w:r>
            <w:r w:rsidRPr="00461C16">
              <w:rPr>
                <w:rFonts w:ascii="Arial Narrow" w:hAnsi="Arial Narrow"/>
              </w:rPr>
              <w:t>SM</w:t>
            </w:r>
            <w:r w:rsidRPr="00461C16">
              <w:rPr>
                <w:rFonts w:ascii="Arial Narrow" w:hAnsi="Arial Narrow"/>
                <w:lang w:val="cs-CZ"/>
              </w:rPr>
              <w:t>, s možností umisťování občanského vybavení a služeb</w:t>
            </w:r>
          </w:p>
        </w:tc>
        <w:tc>
          <w:tcPr>
            <w:tcW w:w="2660" w:type="dxa"/>
            <w:shd w:val="clear" w:color="auto" w:fill="auto"/>
          </w:tcPr>
          <w:p w14:paraId="72397523"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5B1FC5D2" w14:textId="77777777" w:rsidTr="0066453E">
        <w:trPr>
          <w:cantSplit/>
        </w:trPr>
        <w:tc>
          <w:tcPr>
            <w:tcW w:w="1481" w:type="dxa"/>
            <w:shd w:val="clear" w:color="auto" w:fill="auto"/>
          </w:tcPr>
          <w:p w14:paraId="07C8170F" w14:textId="77777777" w:rsidR="00523B96" w:rsidRPr="00461C16" w:rsidRDefault="00523B96" w:rsidP="003F68C9">
            <w:pPr>
              <w:spacing w:before="40" w:after="40" w:line="240" w:lineRule="auto"/>
              <w:jc w:val="left"/>
              <w:rPr>
                <w:sz w:val="20"/>
                <w:szCs w:val="20"/>
              </w:rPr>
            </w:pPr>
            <w:r w:rsidRPr="00461C16">
              <w:rPr>
                <w:sz w:val="20"/>
                <w:szCs w:val="20"/>
              </w:rPr>
              <w:t>Z12.32</w:t>
            </w:r>
          </w:p>
        </w:tc>
        <w:tc>
          <w:tcPr>
            <w:tcW w:w="1258" w:type="dxa"/>
          </w:tcPr>
          <w:p w14:paraId="2229478F"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4AAF9C4" w14:textId="77777777" w:rsidR="00523B96" w:rsidRPr="00461C16" w:rsidRDefault="00523B96"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4E3C8C40"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P</w:t>
            </w:r>
            <w:r w:rsidRPr="00461C16">
              <w:rPr>
                <w:rFonts w:ascii="Arial Narrow" w:hAnsi="Arial Narrow"/>
              </w:rPr>
              <w:t>řevzato, vymezeno jako</w:t>
            </w:r>
            <w:r w:rsidRPr="00461C16">
              <w:rPr>
                <w:rFonts w:ascii="Arial Narrow" w:hAnsi="Arial Narrow"/>
                <w:lang w:val="cs-CZ"/>
              </w:rPr>
              <w:t xml:space="preserve"> plocha smíšená městská</w:t>
            </w:r>
            <w:r w:rsidRPr="00461C16">
              <w:rPr>
                <w:rFonts w:ascii="Arial Narrow" w:hAnsi="Arial Narrow"/>
              </w:rPr>
              <w:t xml:space="preserve"> SM</w:t>
            </w:r>
            <w:r w:rsidRPr="00461C16">
              <w:rPr>
                <w:rFonts w:ascii="Arial Narrow" w:hAnsi="Arial Narrow"/>
                <w:lang w:val="cs-CZ"/>
              </w:rPr>
              <w:t>, s možností umisťování občanského vybavení a služeb</w:t>
            </w:r>
          </w:p>
        </w:tc>
        <w:tc>
          <w:tcPr>
            <w:tcW w:w="2660" w:type="dxa"/>
            <w:shd w:val="clear" w:color="auto" w:fill="auto"/>
          </w:tcPr>
          <w:p w14:paraId="03DD47FF"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4037AA99" w14:textId="77777777" w:rsidTr="0066453E">
        <w:trPr>
          <w:cantSplit/>
        </w:trPr>
        <w:tc>
          <w:tcPr>
            <w:tcW w:w="1481" w:type="dxa"/>
            <w:shd w:val="clear" w:color="auto" w:fill="auto"/>
          </w:tcPr>
          <w:p w14:paraId="6CF4EE5D" w14:textId="77777777" w:rsidR="00523B96" w:rsidRPr="00461C16" w:rsidRDefault="00523B96" w:rsidP="003F68C9">
            <w:pPr>
              <w:spacing w:before="40" w:after="40" w:line="240" w:lineRule="auto"/>
              <w:jc w:val="left"/>
              <w:rPr>
                <w:sz w:val="20"/>
                <w:szCs w:val="20"/>
              </w:rPr>
            </w:pPr>
            <w:r w:rsidRPr="00461C16">
              <w:rPr>
                <w:sz w:val="20"/>
                <w:szCs w:val="20"/>
              </w:rPr>
              <w:t>Z12.33 (několik dílčích ploch)</w:t>
            </w:r>
          </w:p>
        </w:tc>
        <w:tc>
          <w:tcPr>
            <w:tcW w:w="1258" w:type="dxa"/>
          </w:tcPr>
          <w:p w14:paraId="0B696744"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5AB4A62" w14:textId="77777777" w:rsidR="00523B96" w:rsidRPr="00461C16" w:rsidRDefault="00523B96" w:rsidP="003F68C9">
            <w:pPr>
              <w:spacing w:before="40" w:after="40" w:line="240" w:lineRule="auto"/>
              <w:jc w:val="left"/>
              <w:rPr>
                <w:sz w:val="20"/>
                <w:szCs w:val="20"/>
              </w:rPr>
            </w:pPr>
            <w:r w:rsidRPr="00461C16">
              <w:rPr>
                <w:sz w:val="20"/>
                <w:szCs w:val="20"/>
              </w:rPr>
              <w:t>plocha občanské vybavenosti a nevýrobních služeb</w:t>
            </w:r>
          </w:p>
        </w:tc>
        <w:tc>
          <w:tcPr>
            <w:tcW w:w="2259" w:type="dxa"/>
            <w:shd w:val="clear" w:color="auto" w:fill="auto"/>
          </w:tcPr>
          <w:p w14:paraId="775171A8"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0A8234FE"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1562EFDE" w14:textId="77777777" w:rsidTr="0066453E">
        <w:trPr>
          <w:cantSplit/>
        </w:trPr>
        <w:tc>
          <w:tcPr>
            <w:tcW w:w="1481" w:type="dxa"/>
            <w:shd w:val="clear" w:color="auto" w:fill="auto"/>
          </w:tcPr>
          <w:p w14:paraId="32987D82" w14:textId="77777777" w:rsidR="00523B96" w:rsidRPr="00461C16" w:rsidRDefault="00523B96" w:rsidP="003F68C9">
            <w:pPr>
              <w:spacing w:before="40" w:after="40" w:line="240" w:lineRule="auto"/>
              <w:jc w:val="left"/>
              <w:rPr>
                <w:sz w:val="20"/>
                <w:szCs w:val="20"/>
              </w:rPr>
            </w:pPr>
            <w:r w:rsidRPr="00461C16">
              <w:rPr>
                <w:sz w:val="20"/>
                <w:szCs w:val="20"/>
              </w:rPr>
              <w:t>Z12.34</w:t>
            </w:r>
          </w:p>
        </w:tc>
        <w:tc>
          <w:tcPr>
            <w:tcW w:w="1258" w:type="dxa"/>
          </w:tcPr>
          <w:p w14:paraId="1F13BA79"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2E56A0E" w14:textId="77777777" w:rsidR="00523B96" w:rsidRPr="00461C16" w:rsidRDefault="00523B96" w:rsidP="003F68C9">
            <w:pPr>
              <w:spacing w:before="40" w:after="40" w:line="240" w:lineRule="auto"/>
              <w:jc w:val="left"/>
              <w:rPr>
                <w:sz w:val="20"/>
                <w:szCs w:val="20"/>
              </w:rPr>
            </w:pPr>
            <w:r w:rsidRPr="00461C16">
              <w:rPr>
                <w:sz w:val="20"/>
                <w:szCs w:val="20"/>
              </w:rPr>
              <w:t>plocha veřejné, ochranné a doprovodné zeleně</w:t>
            </w:r>
          </w:p>
        </w:tc>
        <w:tc>
          <w:tcPr>
            <w:tcW w:w="2259" w:type="dxa"/>
            <w:shd w:val="clear" w:color="auto" w:fill="auto"/>
          </w:tcPr>
          <w:p w14:paraId="46227A78" w14:textId="77777777" w:rsidR="00523B96" w:rsidRPr="00A34562" w:rsidRDefault="00523B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součást stabilizované plochy </w:t>
            </w:r>
            <w:r w:rsidRPr="00461C16">
              <w:rPr>
                <w:rFonts w:ascii="Arial Narrow" w:hAnsi="Arial Narrow"/>
              </w:rPr>
              <w:t xml:space="preserve"> SC</w:t>
            </w:r>
          </w:p>
        </w:tc>
        <w:tc>
          <w:tcPr>
            <w:tcW w:w="2660" w:type="dxa"/>
            <w:shd w:val="clear" w:color="auto" w:fill="auto"/>
          </w:tcPr>
          <w:p w14:paraId="33C13033"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009DB285" w14:textId="77777777" w:rsidTr="0066453E">
        <w:trPr>
          <w:cantSplit/>
        </w:trPr>
        <w:tc>
          <w:tcPr>
            <w:tcW w:w="1481" w:type="dxa"/>
            <w:shd w:val="clear" w:color="auto" w:fill="auto"/>
          </w:tcPr>
          <w:p w14:paraId="0F98DB3D" w14:textId="77777777" w:rsidR="00523B96" w:rsidRPr="00461C16" w:rsidRDefault="00523B96" w:rsidP="003F68C9">
            <w:pPr>
              <w:spacing w:before="40" w:after="40" w:line="240" w:lineRule="auto"/>
              <w:jc w:val="left"/>
              <w:rPr>
                <w:sz w:val="20"/>
                <w:szCs w:val="20"/>
              </w:rPr>
            </w:pPr>
            <w:r w:rsidRPr="00461C16">
              <w:rPr>
                <w:sz w:val="20"/>
                <w:szCs w:val="20"/>
              </w:rPr>
              <w:t>Z12.35</w:t>
            </w:r>
          </w:p>
        </w:tc>
        <w:tc>
          <w:tcPr>
            <w:tcW w:w="1258" w:type="dxa"/>
          </w:tcPr>
          <w:p w14:paraId="761F607D"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2CC5977E" w14:textId="77777777" w:rsidR="00523B96" w:rsidRPr="00461C16" w:rsidRDefault="00523B96" w:rsidP="003F68C9">
            <w:pPr>
              <w:spacing w:before="40" w:after="40" w:line="240" w:lineRule="auto"/>
              <w:jc w:val="left"/>
              <w:rPr>
                <w:sz w:val="20"/>
                <w:szCs w:val="20"/>
              </w:rPr>
            </w:pPr>
            <w:r w:rsidRPr="00461C16">
              <w:rPr>
                <w:sz w:val="20"/>
                <w:szCs w:val="20"/>
              </w:rPr>
              <w:t>plocha veřejné, ochranné a doprovodné zeleně</w:t>
            </w:r>
          </w:p>
        </w:tc>
        <w:tc>
          <w:tcPr>
            <w:tcW w:w="2259" w:type="dxa"/>
            <w:shd w:val="clear" w:color="auto" w:fill="auto"/>
          </w:tcPr>
          <w:p w14:paraId="33518ED2" w14:textId="77777777" w:rsidR="00523B96" w:rsidRPr="00461C16" w:rsidRDefault="00523B96" w:rsidP="003F68C9">
            <w:pPr>
              <w:pStyle w:val="Intabulka"/>
              <w:rPr>
                <w:rFonts w:ascii="Arial Narrow" w:hAnsi="Arial Narrow"/>
              </w:rPr>
            </w:pPr>
            <w:r w:rsidRPr="00461C16">
              <w:rPr>
                <w:rFonts w:ascii="Arial Narrow" w:hAnsi="Arial Narrow"/>
                <w:lang w:val="cs-CZ"/>
              </w:rPr>
              <w:t>P</w:t>
            </w:r>
            <w:r w:rsidRPr="00461C16">
              <w:rPr>
                <w:rFonts w:ascii="Arial Narrow" w:hAnsi="Arial Narrow"/>
              </w:rPr>
              <w:t>řevzato</w:t>
            </w:r>
            <w:r w:rsidRPr="00461C16">
              <w:rPr>
                <w:rFonts w:ascii="Arial Narrow" w:hAnsi="Arial Narrow"/>
                <w:lang w:val="cs-CZ"/>
              </w:rPr>
              <w:t xml:space="preserve"> zčásti</w:t>
            </w:r>
            <w:r w:rsidRPr="00461C16">
              <w:rPr>
                <w:rFonts w:ascii="Arial Narrow" w:hAnsi="Arial Narrow"/>
              </w:rPr>
              <w:t>, vymezeno jako RN, NK, NL</w:t>
            </w:r>
          </w:p>
        </w:tc>
        <w:tc>
          <w:tcPr>
            <w:tcW w:w="2660" w:type="dxa"/>
            <w:shd w:val="clear" w:color="auto" w:fill="auto"/>
          </w:tcPr>
          <w:p w14:paraId="5AE0E428"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Zčásti začleněno do rekreačního areálu Kristýna k souvislého využití celého břehu vodní ploch, zeleň v navazujících plochách je chráněna.</w:t>
            </w:r>
          </w:p>
        </w:tc>
      </w:tr>
      <w:tr w:rsidR="00523B96" w:rsidRPr="00461C16" w14:paraId="01550183" w14:textId="77777777" w:rsidTr="0066453E">
        <w:trPr>
          <w:cantSplit/>
        </w:trPr>
        <w:tc>
          <w:tcPr>
            <w:tcW w:w="1481" w:type="dxa"/>
            <w:shd w:val="clear" w:color="auto" w:fill="auto"/>
          </w:tcPr>
          <w:p w14:paraId="3CD63F94" w14:textId="77777777" w:rsidR="00523B96" w:rsidRPr="00461C16" w:rsidRDefault="00523B96" w:rsidP="003F68C9">
            <w:pPr>
              <w:spacing w:before="40" w:after="40" w:line="240" w:lineRule="auto"/>
              <w:jc w:val="left"/>
              <w:rPr>
                <w:sz w:val="20"/>
                <w:szCs w:val="20"/>
              </w:rPr>
            </w:pPr>
            <w:r>
              <w:rPr>
                <w:sz w:val="20"/>
                <w:szCs w:val="20"/>
              </w:rPr>
              <w:t>Z12.36</w:t>
            </w:r>
          </w:p>
        </w:tc>
        <w:tc>
          <w:tcPr>
            <w:tcW w:w="1258" w:type="dxa"/>
          </w:tcPr>
          <w:p w14:paraId="0251F181" w14:textId="77777777" w:rsidR="00523B96" w:rsidRPr="00461C1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1CAA8D8D" w14:textId="77777777" w:rsidR="00523B96" w:rsidRPr="00461C16" w:rsidRDefault="00523B96" w:rsidP="003F68C9">
            <w:pPr>
              <w:spacing w:before="40" w:after="40" w:line="240" w:lineRule="auto"/>
              <w:jc w:val="left"/>
              <w:rPr>
                <w:sz w:val="20"/>
                <w:szCs w:val="20"/>
              </w:rPr>
            </w:pPr>
            <w:r w:rsidRPr="00461C16">
              <w:rPr>
                <w:sz w:val="20"/>
                <w:szCs w:val="20"/>
              </w:rPr>
              <w:t>plocha veřejné, ochranné a doprovodné zeleně</w:t>
            </w:r>
          </w:p>
        </w:tc>
        <w:tc>
          <w:tcPr>
            <w:tcW w:w="2259" w:type="dxa"/>
            <w:shd w:val="clear" w:color="auto" w:fill="auto"/>
          </w:tcPr>
          <w:p w14:paraId="560509BB" w14:textId="77777777" w:rsidR="00523B96" w:rsidRPr="00461C16" w:rsidRDefault="00523B96" w:rsidP="003F68C9">
            <w:pPr>
              <w:pStyle w:val="Intabulka"/>
              <w:rPr>
                <w:rFonts w:ascii="Arial Narrow" w:hAnsi="Arial Narrow"/>
                <w:lang w:val="cs-CZ"/>
              </w:rPr>
            </w:pPr>
            <w:r w:rsidRPr="00461C16">
              <w:rPr>
                <w:rFonts w:ascii="Arial Narrow" w:hAnsi="Arial Narrow"/>
              </w:rPr>
              <w:t>Převzato</w:t>
            </w:r>
          </w:p>
        </w:tc>
        <w:tc>
          <w:tcPr>
            <w:tcW w:w="2660" w:type="dxa"/>
            <w:shd w:val="clear" w:color="auto" w:fill="auto"/>
          </w:tcPr>
          <w:p w14:paraId="1A531B8F"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r>
              <w:rPr>
                <w:rFonts w:ascii="Arial Narrow" w:hAnsi="Arial Narrow"/>
                <w:lang w:val="cs-CZ"/>
              </w:rPr>
              <w:t>, nezbytná ochrana bydlení před negativními vlivy výroby</w:t>
            </w:r>
          </w:p>
        </w:tc>
      </w:tr>
      <w:tr w:rsidR="00523B96" w:rsidRPr="00461C16" w14:paraId="36B7D807" w14:textId="77777777" w:rsidTr="0066453E">
        <w:trPr>
          <w:cantSplit/>
        </w:trPr>
        <w:tc>
          <w:tcPr>
            <w:tcW w:w="1481" w:type="dxa"/>
            <w:shd w:val="clear" w:color="auto" w:fill="auto"/>
          </w:tcPr>
          <w:p w14:paraId="3527B9C9" w14:textId="77777777" w:rsidR="00523B96" w:rsidRPr="00461C16" w:rsidRDefault="00523B96" w:rsidP="003F68C9">
            <w:pPr>
              <w:spacing w:before="40" w:after="40" w:line="240" w:lineRule="auto"/>
              <w:jc w:val="left"/>
              <w:rPr>
                <w:sz w:val="20"/>
                <w:szCs w:val="20"/>
              </w:rPr>
            </w:pPr>
            <w:r w:rsidRPr="00461C16">
              <w:rPr>
                <w:sz w:val="20"/>
                <w:szCs w:val="20"/>
              </w:rPr>
              <w:t>Z12.37</w:t>
            </w:r>
          </w:p>
        </w:tc>
        <w:tc>
          <w:tcPr>
            <w:tcW w:w="1258" w:type="dxa"/>
          </w:tcPr>
          <w:p w14:paraId="500F1A87"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E798F75" w14:textId="77777777" w:rsidR="00523B96" w:rsidRPr="00461C16" w:rsidRDefault="00523B96" w:rsidP="003F68C9">
            <w:pPr>
              <w:spacing w:before="40" w:after="40" w:line="240" w:lineRule="auto"/>
              <w:jc w:val="left"/>
              <w:rPr>
                <w:sz w:val="20"/>
                <w:szCs w:val="20"/>
              </w:rPr>
            </w:pPr>
            <w:r w:rsidRPr="00461C16">
              <w:rPr>
                <w:sz w:val="20"/>
                <w:szCs w:val="20"/>
              </w:rPr>
              <w:t>plocha parků, hřbitovů, vyhrazené zeleně</w:t>
            </w:r>
          </w:p>
        </w:tc>
        <w:tc>
          <w:tcPr>
            <w:tcW w:w="2259" w:type="dxa"/>
            <w:shd w:val="clear" w:color="auto" w:fill="auto"/>
          </w:tcPr>
          <w:p w14:paraId="48817EEE"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2AEF3B04"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 součást městského parku</w:t>
            </w:r>
          </w:p>
        </w:tc>
      </w:tr>
      <w:tr w:rsidR="00523B96" w:rsidRPr="00461C16" w14:paraId="62813C68" w14:textId="77777777" w:rsidTr="0066453E">
        <w:trPr>
          <w:cantSplit/>
        </w:trPr>
        <w:tc>
          <w:tcPr>
            <w:tcW w:w="1481" w:type="dxa"/>
            <w:shd w:val="clear" w:color="auto" w:fill="auto"/>
          </w:tcPr>
          <w:p w14:paraId="45E75AA3" w14:textId="77777777" w:rsidR="00523B96" w:rsidRPr="00461C16" w:rsidRDefault="00523B96" w:rsidP="003F68C9">
            <w:pPr>
              <w:spacing w:before="40" w:after="40" w:line="240" w:lineRule="auto"/>
              <w:jc w:val="left"/>
              <w:rPr>
                <w:sz w:val="20"/>
                <w:szCs w:val="20"/>
              </w:rPr>
            </w:pPr>
            <w:r w:rsidRPr="00461C16">
              <w:rPr>
                <w:sz w:val="20"/>
                <w:szCs w:val="20"/>
              </w:rPr>
              <w:t>Z12.38</w:t>
            </w:r>
          </w:p>
        </w:tc>
        <w:tc>
          <w:tcPr>
            <w:tcW w:w="1258" w:type="dxa"/>
          </w:tcPr>
          <w:p w14:paraId="578CEDBD"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54895349" w14:textId="77777777" w:rsidR="00523B96" w:rsidRPr="00461C16" w:rsidRDefault="00523B96" w:rsidP="003F68C9">
            <w:pPr>
              <w:spacing w:before="40" w:after="40" w:line="240" w:lineRule="auto"/>
              <w:jc w:val="left"/>
              <w:rPr>
                <w:sz w:val="20"/>
                <w:szCs w:val="20"/>
              </w:rPr>
            </w:pPr>
            <w:r w:rsidRPr="00461C16">
              <w:rPr>
                <w:sz w:val="20"/>
                <w:szCs w:val="20"/>
              </w:rPr>
              <w:t>plocha výroby čisté a výrobních služeb</w:t>
            </w:r>
          </w:p>
        </w:tc>
        <w:tc>
          <w:tcPr>
            <w:tcW w:w="2259" w:type="dxa"/>
            <w:shd w:val="clear" w:color="auto" w:fill="auto"/>
          </w:tcPr>
          <w:p w14:paraId="334CF961" w14:textId="77777777" w:rsidR="00523B96" w:rsidRPr="00461C16" w:rsidRDefault="00523B96" w:rsidP="003F68C9">
            <w:pPr>
              <w:pStyle w:val="Intabulka"/>
              <w:rPr>
                <w:rFonts w:ascii="Arial Narrow" w:hAnsi="Arial Narrow"/>
              </w:rPr>
            </w:pPr>
            <w:r w:rsidRPr="00461C16">
              <w:rPr>
                <w:rFonts w:ascii="Arial Narrow" w:hAnsi="Arial Narrow"/>
              </w:rPr>
              <w:t>Nepřevzato, vymezeno jako SM</w:t>
            </w:r>
          </w:p>
        </w:tc>
        <w:tc>
          <w:tcPr>
            <w:tcW w:w="2660" w:type="dxa"/>
            <w:shd w:val="clear" w:color="auto" w:fill="auto"/>
          </w:tcPr>
          <w:p w14:paraId="2B07BA42"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neaktuálnost záměru, nevhodné využití v blízkosti hřbitova a jedné z hlavních urbanistických os města</w:t>
            </w:r>
          </w:p>
        </w:tc>
      </w:tr>
      <w:tr w:rsidR="00523B96" w:rsidRPr="00461C16" w14:paraId="58E43BA6" w14:textId="77777777" w:rsidTr="0066453E">
        <w:trPr>
          <w:cantSplit/>
        </w:trPr>
        <w:tc>
          <w:tcPr>
            <w:tcW w:w="1481" w:type="dxa"/>
            <w:shd w:val="clear" w:color="auto" w:fill="auto"/>
          </w:tcPr>
          <w:p w14:paraId="12F75819" w14:textId="77777777" w:rsidR="00523B96" w:rsidRPr="00461C16" w:rsidRDefault="00523B96" w:rsidP="003F68C9">
            <w:pPr>
              <w:spacing w:before="40" w:after="40" w:line="240" w:lineRule="auto"/>
              <w:jc w:val="left"/>
              <w:rPr>
                <w:sz w:val="20"/>
                <w:szCs w:val="20"/>
              </w:rPr>
            </w:pPr>
            <w:r w:rsidRPr="00461C16">
              <w:rPr>
                <w:sz w:val="20"/>
                <w:szCs w:val="20"/>
              </w:rPr>
              <w:t>Z15.1</w:t>
            </w:r>
          </w:p>
        </w:tc>
        <w:tc>
          <w:tcPr>
            <w:tcW w:w="1258" w:type="dxa"/>
          </w:tcPr>
          <w:p w14:paraId="35FB634A" w14:textId="77777777" w:rsidR="00523B96" w:rsidRPr="00461C16" w:rsidRDefault="00523B96" w:rsidP="003F68C9">
            <w:pPr>
              <w:spacing w:before="40" w:after="40" w:line="240" w:lineRule="auto"/>
              <w:rPr>
                <w:sz w:val="20"/>
                <w:szCs w:val="20"/>
              </w:rPr>
            </w:pPr>
            <w:r w:rsidRPr="00461C16">
              <w:rPr>
                <w:sz w:val="20"/>
                <w:szCs w:val="20"/>
              </w:rPr>
              <w:t>Václavice</w:t>
            </w:r>
          </w:p>
        </w:tc>
        <w:tc>
          <w:tcPr>
            <w:tcW w:w="1630" w:type="dxa"/>
            <w:shd w:val="clear" w:color="auto" w:fill="auto"/>
          </w:tcPr>
          <w:p w14:paraId="081CEE2B"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58E9AAC1" w14:textId="77777777" w:rsidR="00523B96" w:rsidRPr="003B5ED5" w:rsidRDefault="00523B96" w:rsidP="003F68C9">
            <w:pPr>
              <w:pStyle w:val="Intabulka"/>
              <w:rPr>
                <w:rFonts w:ascii="Arial Narrow" w:hAnsi="Arial Narrow"/>
                <w:lang w:val="cs-CZ"/>
              </w:rPr>
            </w:pPr>
            <w:r>
              <w:rPr>
                <w:rFonts w:ascii="Arial Narrow" w:hAnsi="Arial Narrow"/>
                <w:lang w:val="cs-CZ"/>
              </w:rPr>
              <w:t>P</w:t>
            </w:r>
            <w:r w:rsidRPr="00461C16">
              <w:rPr>
                <w:rFonts w:ascii="Arial Narrow" w:hAnsi="Arial Narrow"/>
              </w:rPr>
              <w:t xml:space="preserve">řevzato, vymezeno jako </w:t>
            </w:r>
            <w:r>
              <w:rPr>
                <w:rFonts w:ascii="Arial Narrow" w:hAnsi="Arial Narrow"/>
                <w:lang w:val="cs-CZ"/>
              </w:rPr>
              <w:t>plocha změn P33 (SV)</w:t>
            </w:r>
          </w:p>
        </w:tc>
        <w:tc>
          <w:tcPr>
            <w:tcW w:w="2660" w:type="dxa"/>
            <w:shd w:val="clear" w:color="auto" w:fill="auto"/>
          </w:tcPr>
          <w:p w14:paraId="1748A4BA" w14:textId="77777777" w:rsidR="00523B96" w:rsidRPr="00461C16" w:rsidRDefault="00523B96" w:rsidP="003F68C9">
            <w:pPr>
              <w:pStyle w:val="Intabulka"/>
              <w:rPr>
                <w:rFonts w:ascii="Arial Narrow" w:hAnsi="Arial Narrow"/>
                <w:lang w:val="cs-CZ"/>
              </w:rPr>
            </w:pPr>
            <w:r>
              <w:rPr>
                <w:rFonts w:ascii="Arial Narrow" w:hAnsi="Arial Narrow"/>
                <w:lang w:val="cs-CZ"/>
              </w:rPr>
              <w:t>dodatečný požadavek zadavatele na vymezení plochy v rámci úprav pro veřejné projednání</w:t>
            </w:r>
          </w:p>
        </w:tc>
      </w:tr>
      <w:tr w:rsidR="00523B96" w:rsidRPr="00461C16" w14:paraId="4A5B02E5" w14:textId="77777777" w:rsidTr="0066453E">
        <w:trPr>
          <w:cantSplit/>
        </w:trPr>
        <w:tc>
          <w:tcPr>
            <w:tcW w:w="1481" w:type="dxa"/>
            <w:shd w:val="clear" w:color="auto" w:fill="auto"/>
          </w:tcPr>
          <w:p w14:paraId="46D14577" w14:textId="77777777" w:rsidR="00523B96" w:rsidRPr="00461C16" w:rsidRDefault="00523B96" w:rsidP="003F68C9">
            <w:pPr>
              <w:spacing w:before="40" w:after="40" w:line="240" w:lineRule="auto"/>
              <w:jc w:val="left"/>
              <w:rPr>
                <w:sz w:val="20"/>
                <w:szCs w:val="20"/>
              </w:rPr>
            </w:pPr>
            <w:r w:rsidRPr="00461C16">
              <w:rPr>
                <w:sz w:val="20"/>
                <w:szCs w:val="20"/>
              </w:rPr>
              <w:t>Z15.2</w:t>
            </w:r>
          </w:p>
        </w:tc>
        <w:tc>
          <w:tcPr>
            <w:tcW w:w="1258" w:type="dxa"/>
          </w:tcPr>
          <w:p w14:paraId="6562D13A" w14:textId="77777777" w:rsidR="00523B96" w:rsidRPr="00461C16" w:rsidRDefault="00523B96" w:rsidP="003F68C9">
            <w:pPr>
              <w:spacing w:before="40" w:after="40" w:line="240" w:lineRule="auto"/>
              <w:rPr>
                <w:sz w:val="20"/>
                <w:szCs w:val="20"/>
              </w:rPr>
            </w:pPr>
            <w:r w:rsidRPr="00461C16">
              <w:rPr>
                <w:sz w:val="20"/>
                <w:szCs w:val="20"/>
              </w:rPr>
              <w:t>Václavice</w:t>
            </w:r>
          </w:p>
        </w:tc>
        <w:tc>
          <w:tcPr>
            <w:tcW w:w="1630" w:type="dxa"/>
            <w:shd w:val="clear" w:color="auto" w:fill="auto"/>
          </w:tcPr>
          <w:p w14:paraId="1B018699"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4955DF8" w14:textId="77777777" w:rsidR="00523B96" w:rsidRPr="006C6B28" w:rsidRDefault="00523B96" w:rsidP="003F68C9">
            <w:pPr>
              <w:pStyle w:val="Intabulka"/>
              <w:rPr>
                <w:rFonts w:ascii="Arial Narrow" w:hAnsi="Arial Narrow"/>
                <w:lang w:val="cs-CZ"/>
              </w:rPr>
            </w:pPr>
            <w:r w:rsidRPr="00461C16">
              <w:rPr>
                <w:rFonts w:ascii="Arial Narrow" w:hAnsi="Arial Narrow"/>
                <w:lang w:val="cs-CZ"/>
              </w:rPr>
              <w:t>P</w:t>
            </w:r>
            <w:r w:rsidRPr="00461C16">
              <w:rPr>
                <w:rFonts w:ascii="Arial Narrow" w:hAnsi="Arial Narrow"/>
              </w:rPr>
              <w:t xml:space="preserve">řevzato, vymezeno jako plocha změn Z21 </w:t>
            </w:r>
            <w:r>
              <w:rPr>
                <w:rFonts w:ascii="Arial Narrow" w:hAnsi="Arial Narrow"/>
                <w:lang w:val="cs-CZ"/>
              </w:rPr>
              <w:t>(</w:t>
            </w:r>
            <w:r w:rsidRPr="00461C16">
              <w:rPr>
                <w:rFonts w:ascii="Arial Narrow" w:hAnsi="Arial Narrow"/>
              </w:rPr>
              <w:t>SV</w:t>
            </w:r>
            <w:r>
              <w:rPr>
                <w:rFonts w:ascii="Arial Narrow" w:hAnsi="Arial Narrow"/>
                <w:lang w:val="cs-CZ"/>
              </w:rPr>
              <w:t>)</w:t>
            </w:r>
          </w:p>
        </w:tc>
        <w:tc>
          <w:tcPr>
            <w:tcW w:w="2660" w:type="dxa"/>
            <w:shd w:val="clear" w:color="auto" w:fill="auto"/>
          </w:tcPr>
          <w:p w14:paraId="1142CA63"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2813C6A1" w14:textId="77777777" w:rsidTr="0066453E">
        <w:trPr>
          <w:cantSplit/>
        </w:trPr>
        <w:tc>
          <w:tcPr>
            <w:tcW w:w="1481" w:type="dxa"/>
            <w:shd w:val="clear" w:color="auto" w:fill="auto"/>
          </w:tcPr>
          <w:p w14:paraId="208AD73F" w14:textId="77777777" w:rsidR="00523B96" w:rsidRPr="00461C16" w:rsidRDefault="00523B96" w:rsidP="003F68C9">
            <w:pPr>
              <w:spacing w:before="40" w:after="40" w:line="240" w:lineRule="auto"/>
              <w:rPr>
                <w:sz w:val="20"/>
                <w:szCs w:val="20"/>
              </w:rPr>
            </w:pPr>
            <w:r w:rsidRPr="00461C16">
              <w:rPr>
                <w:sz w:val="20"/>
                <w:szCs w:val="20"/>
              </w:rPr>
              <w:t>Z15.3</w:t>
            </w:r>
          </w:p>
        </w:tc>
        <w:tc>
          <w:tcPr>
            <w:tcW w:w="1258" w:type="dxa"/>
          </w:tcPr>
          <w:p w14:paraId="09704D61" w14:textId="77777777" w:rsidR="00523B96" w:rsidRPr="00461C16" w:rsidRDefault="00523B96" w:rsidP="003F68C9">
            <w:pPr>
              <w:pStyle w:val="Intabulka"/>
              <w:rPr>
                <w:rFonts w:ascii="Arial Narrow" w:hAnsi="Arial Narrow"/>
              </w:rPr>
            </w:pPr>
            <w:r w:rsidRPr="00461C16">
              <w:rPr>
                <w:rFonts w:ascii="Arial Narrow" w:hAnsi="Arial Narrow"/>
              </w:rPr>
              <w:t>Loučná</w:t>
            </w:r>
          </w:p>
        </w:tc>
        <w:tc>
          <w:tcPr>
            <w:tcW w:w="1630" w:type="dxa"/>
            <w:shd w:val="clear" w:color="auto" w:fill="auto"/>
          </w:tcPr>
          <w:p w14:paraId="34552C46"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42904F73"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3544B656"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vymezeno jako plocha stabilizovaná v souladu se skutečným stavem</w:t>
            </w:r>
          </w:p>
        </w:tc>
      </w:tr>
      <w:tr w:rsidR="00523B96" w:rsidRPr="00461C16" w14:paraId="048C9322" w14:textId="77777777" w:rsidTr="0066453E">
        <w:trPr>
          <w:cantSplit/>
        </w:trPr>
        <w:tc>
          <w:tcPr>
            <w:tcW w:w="1481" w:type="dxa"/>
            <w:shd w:val="clear" w:color="auto" w:fill="auto"/>
          </w:tcPr>
          <w:p w14:paraId="19B7C99C" w14:textId="77777777" w:rsidR="00523B96" w:rsidRPr="00461C16" w:rsidRDefault="00523B96" w:rsidP="003F68C9">
            <w:pPr>
              <w:spacing w:before="40" w:after="40" w:line="240" w:lineRule="auto"/>
              <w:jc w:val="left"/>
              <w:rPr>
                <w:sz w:val="20"/>
                <w:szCs w:val="20"/>
              </w:rPr>
            </w:pPr>
            <w:r w:rsidRPr="00461C16">
              <w:rPr>
                <w:sz w:val="20"/>
                <w:szCs w:val="20"/>
              </w:rPr>
              <w:t>Z15.4</w:t>
            </w:r>
          </w:p>
        </w:tc>
        <w:tc>
          <w:tcPr>
            <w:tcW w:w="1258" w:type="dxa"/>
          </w:tcPr>
          <w:p w14:paraId="3ABE2536" w14:textId="77777777" w:rsidR="00523B96" w:rsidRPr="00461C16" w:rsidRDefault="00523B96" w:rsidP="003F68C9">
            <w:pPr>
              <w:spacing w:before="40" w:after="40" w:line="240" w:lineRule="auto"/>
              <w:rPr>
                <w:sz w:val="20"/>
                <w:szCs w:val="20"/>
              </w:rPr>
            </w:pPr>
            <w:r w:rsidRPr="00461C16">
              <w:rPr>
                <w:sz w:val="20"/>
                <w:szCs w:val="20"/>
              </w:rPr>
              <w:t>Václavice</w:t>
            </w:r>
          </w:p>
        </w:tc>
        <w:tc>
          <w:tcPr>
            <w:tcW w:w="1630" w:type="dxa"/>
            <w:shd w:val="clear" w:color="auto" w:fill="auto"/>
          </w:tcPr>
          <w:p w14:paraId="2BA663A8"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949F21C" w14:textId="77777777" w:rsidR="00523B96" w:rsidRPr="00461C16" w:rsidRDefault="00523B96" w:rsidP="003F68C9">
            <w:pPr>
              <w:pStyle w:val="Intabulka"/>
              <w:rPr>
                <w:rFonts w:ascii="Arial Narrow" w:hAnsi="Arial Narrow"/>
              </w:rPr>
            </w:pPr>
            <w:r w:rsidRPr="00461C16">
              <w:rPr>
                <w:rFonts w:ascii="Arial Narrow" w:hAnsi="Arial Narrow"/>
              </w:rPr>
              <w:t>Převzato</w:t>
            </w:r>
          </w:p>
        </w:tc>
        <w:tc>
          <w:tcPr>
            <w:tcW w:w="2660" w:type="dxa"/>
            <w:shd w:val="clear" w:color="auto" w:fill="auto"/>
          </w:tcPr>
          <w:p w14:paraId="14D9D9FE"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2655A77D" w14:textId="77777777" w:rsidTr="0066453E">
        <w:trPr>
          <w:cantSplit/>
        </w:trPr>
        <w:tc>
          <w:tcPr>
            <w:tcW w:w="1481" w:type="dxa"/>
            <w:shd w:val="clear" w:color="auto" w:fill="auto"/>
          </w:tcPr>
          <w:p w14:paraId="1FF53920" w14:textId="77777777" w:rsidR="00523B96" w:rsidRPr="00461C16" w:rsidRDefault="00523B96" w:rsidP="003F68C9">
            <w:pPr>
              <w:spacing w:before="40" w:after="40" w:line="240" w:lineRule="auto"/>
              <w:rPr>
                <w:sz w:val="20"/>
                <w:szCs w:val="20"/>
              </w:rPr>
            </w:pPr>
            <w:r w:rsidRPr="00461C16">
              <w:rPr>
                <w:sz w:val="20"/>
                <w:szCs w:val="20"/>
              </w:rPr>
              <w:t>Z15.5</w:t>
            </w:r>
          </w:p>
        </w:tc>
        <w:tc>
          <w:tcPr>
            <w:tcW w:w="1258" w:type="dxa"/>
          </w:tcPr>
          <w:p w14:paraId="1D9D35D4" w14:textId="77777777" w:rsidR="00523B96" w:rsidRPr="00461C16" w:rsidRDefault="00523B96" w:rsidP="003F68C9">
            <w:pPr>
              <w:spacing w:before="40" w:after="40" w:line="240" w:lineRule="auto"/>
              <w:rPr>
                <w:sz w:val="20"/>
                <w:szCs w:val="20"/>
              </w:rPr>
            </w:pPr>
            <w:r w:rsidRPr="00461C16">
              <w:rPr>
                <w:sz w:val="20"/>
                <w:szCs w:val="20"/>
              </w:rPr>
              <w:t>Dolní Sedlo</w:t>
            </w:r>
          </w:p>
        </w:tc>
        <w:tc>
          <w:tcPr>
            <w:tcW w:w="1630" w:type="dxa"/>
            <w:shd w:val="clear" w:color="auto" w:fill="auto"/>
          </w:tcPr>
          <w:p w14:paraId="3326B825"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6F732AC5" w14:textId="77777777" w:rsidR="00523B96" w:rsidRPr="00C11AA2" w:rsidRDefault="00523B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stabilizovaná plocha SV</w:t>
            </w:r>
          </w:p>
        </w:tc>
        <w:tc>
          <w:tcPr>
            <w:tcW w:w="2660" w:type="dxa"/>
            <w:shd w:val="clear" w:color="auto" w:fill="auto"/>
          </w:tcPr>
          <w:p w14:paraId="303CC4C6"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40B416CC" w14:textId="77777777" w:rsidTr="0066453E">
        <w:trPr>
          <w:cantSplit/>
        </w:trPr>
        <w:tc>
          <w:tcPr>
            <w:tcW w:w="1481" w:type="dxa"/>
            <w:shd w:val="clear" w:color="auto" w:fill="auto"/>
          </w:tcPr>
          <w:p w14:paraId="3F072BCB" w14:textId="77777777" w:rsidR="00523B96" w:rsidRPr="00461C16" w:rsidRDefault="00523B96" w:rsidP="003F68C9">
            <w:pPr>
              <w:spacing w:before="40" w:after="40" w:line="240" w:lineRule="auto"/>
              <w:rPr>
                <w:sz w:val="20"/>
                <w:szCs w:val="20"/>
              </w:rPr>
            </w:pPr>
            <w:r w:rsidRPr="00461C16">
              <w:rPr>
                <w:sz w:val="20"/>
                <w:szCs w:val="20"/>
              </w:rPr>
              <w:lastRenderedPageBreak/>
              <w:t>Z15.6</w:t>
            </w:r>
          </w:p>
        </w:tc>
        <w:tc>
          <w:tcPr>
            <w:tcW w:w="1258" w:type="dxa"/>
          </w:tcPr>
          <w:p w14:paraId="1127EC3B" w14:textId="77777777" w:rsidR="00523B96" w:rsidRPr="00461C16" w:rsidRDefault="00523B96" w:rsidP="003F68C9">
            <w:pPr>
              <w:spacing w:before="40" w:after="40" w:line="240" w:lineRule="auto"/>
              <w:rPr>
                <w:sz w:val="20"/>
                <w:szCs w:val="20"/>
              </w:rPr>
            </w:pPr>
            <w:r w:rsidRPr="00461C16">
              <w:rPr>
                <w:sz w:val="20"/>
                <w:szCs w:val="20"/>
              </w:rPr>
              <w:t>Dolní Sedlo</w:t>
            </w:r>
          </w:p>
        </w:tc>
        <w:tc>
          <w:tcPr>
            <w:tcW w:w="1630" w:type="dxa"/>
            <w:shd w:val="clear" w:color="auto" w:fill="auto"/>
          </w:tcPr>
          <w:p w14:paraId="439E52F9" w14:textId="77777777" w:rsidR="00523B96" w:rsidRPr="00461C16" w:rsidRDefault="00523B96" w:rsidP="003F68C9">
            <w:pPr>
              <w:spacing w:before="40" w:after="40" w:line="240" w:lineRule="auto"/>
              <w:jc w:val="left"/>
              <w:rPr>
                <w:sz w:val="20"/>
                <w:szCs w:val="20"/>
              </w:rPr>
            </w:pPr>
            <w:r w:rsidRPr="00461C16">
              <w:rPr>
                <w:sz w:val="20"/>
                <w:szCs w:val="20"/>
              </w:rPr>
              <w:t>plocha obytné zástavby nízkopodlažní venkovské</w:t>
            </w:r>
          </w:p>
        </w:tc>
        <w:tc>
          <w:tcPr>
            <w:tcW w:w="2259" w:type="dxa"/>
            <w:shd w:val="clear" w:color="auto" w:fill="auto"/>
          </w:tcPr>
          <w:p w14:paraId="2BE1F57F" w14:textId="77777777" w:rsidR="00523B96" w:rsidRPr="00D15C0B" w:rsidRDefault="00523B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stabilizovaná plocha SV</w:t>
            </w:r>
          </w:p>
        </w:tc>
        <w:tc>
          <w:tcPr>
            <w:tcW w:w="2660" w:type="dxa"/>
            <w:shd w:val="clear" w:color="auto" w:fill="auto"/>
          </w:tcPr>
          <w:p w14:paraId="1693D737"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557FE4FC" w14:textId="77777777" w:rsidTr="0066453E">
        <w:trPr>
          <w:cantSplit/>
        </w:trPr>
        <w:tc>
          <w:tcPr>
            <w:tcW w:w="1481" w:type="dxa"/>
            <w:shd w:val="clear" w:color="auto" w:fill="auto"/>
          </w:tcPr>
          <w:p w14:paraId="57DB6454" w14:textId="77777777" w:rsidR="00523B96" w:rsidRPr="00461C16" w:rsidRDefault="00523B96" w:rsidP="003F68C9">
            <w:pPr>
              <w:spacing w:before="40" w:after="40" w:line="240" w:lineRule="auto"/>
              <w:jc w:val="left"/>
              <w:rPr>
                <w:sz w:val="20"/>
                <w:szCs w:val="20"/>
              </w:rPr>
            </w:pPr>
            <w:r w:rsidRPr="00461C16">
              <w:rPr>
                <w:sz w:val="20"/>
                <w:szCs w:val="20"/>
              </w:rPr>
              <w:t>Z15.7</w:t>
            </w:r>
          </w:p>
        </w:tc>
        <w:tc>
          <w:tcPr>
            <w:tcW w:w="1258" w:type="dxa"/>
          </w:tcPr>
          <w:p w14:paraId="16A4CAA7"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4AFF1DDE" w14:textId="77777777" w:rsidR="00523B96" w:rsidRPr="00461C16" w:rsidRDefault="00523B96" w:rsidP="003F68C9">
            <w:pPr>
              <w:spacing w:before="40" w:after="40" w:line="240" w:lineRule="auto"/>
              <w:jc w:val="left"/>
              <w:rPr>
                <w:sz w:val="20"/>
                <w:szCs w:val="20"/>
              </w:rPr>
            </w:pPr>
            <w:r w:rsidRPr="00461C16">
              <w:rPr>
                <w:sz w:val="20"/>
                <w:szCs w:val="20"/>
              </w:rPr>
              <w:t>plocha obytné zástavby středopodlažní</w:t>
            </w:r>
          </w:p>
        </w:tc>
        <w:tc>
          <w:tcPr>
            <w:tcW w:w="2259" w:type="dxa"/>
            <w:shd w:val="clear" w:color="auto" w:fill="auto"/>
          </w:tcPr>
          <w:p w14:paraId="3829A624" w14:textId="77777777" w:rsidR="00523B96" w:rsidRPr="001D2F91" w:rsidRDefault="00523B96" w:rsidP="003F68C9">
            <w:pPr>
              <w:pStyle w:val="Intabulka"/>
              <w:rPr>
                <w:rFonts w:ascii="Arial Narrow" w:hAnsi="Arial Narrow"/>
                <w:lang w:val="cs-CZ"/>
              </w:rPr>
            </w:pPr>
            <w:r w:rsidRPr="00461C16">
              <w:rPr>
                <w:rFonts w:ascii="Arial Narrow" w:hAnsi="Arial Narrow"/>
              </w:rPr>
              <w:t>Převzato</w:t>
            </w:r>
            <w:r>
              <w:rPr>
                <w:rFonts w:ascii="Arial Narrow" w:hAnsi="Arial Narrow"/>
                <w:lang w:val="cs-CZ"/>
              </w:rPr>
              <w:t xml:space="preserve"> jako stabilizovaná plocha SC</w:t>
            </w:r>
          </w:p>
        </w:tc>
        <w:tc>
          <w:tcPr>
            <w:tcW w:w="2660" w:type="dxa"/>
            <w:shd w:val="clear" w:color="auto" w:fill="auto"/>
          </w:tcPr>
          <w:p w14:paraId="30D77A69"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realizováno - vymezeno jako stav</w:t>
            </w:r>
          </w:p>
        </w:tc>
      </w:tr>
      <w:tr w:rsidR="00523B96" w:rsidRPr="00461C16" w14:paraId="0C7E49A0" w14:textId="77777777" w:rsidTr="0066453E">
        <w:trPr>
          <w:cantSplit/>
        </w:trPr>
        <w:tc>
          <w:tcPr>
            <w:tcW w:w="1481" w:type="dxa"/>
            <w:shd w:val="clear" w:color="auto" w:fill="auto"/>
          </w:tcPr>
          <w:p w14:paraId="26808565" w14:textId="77777777" w:rsidR="00523B96" w:rsidRPr="00461C16" w:rsidRDefault="00523B96" w:rsidP="003F68C9">
            <w:pPr>
              <w:spacing w:before="40" w:after="40" w:line="240" w:lineRule="auto"/>
              <w:jc w:val="left"/>
              <w:rPr>
                <w:sz w:val="20"/>
                <w:szCs w:val="20"/>
              </w:rPr>
            </w:pPr>
            <w:r w:rsidRPr="00461C16">
              <w:rPr>
                <w:sz w:val="20"/>
                <w:szCs w:val="20"/>
              </w:rPr>
              <w:t>Z15.8</w:t>
            </w:r>
          </w:p>
        </w:tc>
        <w:tc>
          <w:tcPr>
            <w:tcW w:w="1258" w:type="dxa"/>
          </w:tcPr>
          <w:p w14:paraId="2B8A321C"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Hrádek nad Nisou</w:t>
            </w:r>
          </w:p>
        </w:tc>
        <w:tc>
          <w:tcPr>
            <w:tcW w:w="1630" w:type="dxa"/>
            <w:shd w:val="clear" w:color="auto" w:fill="auto"/>
          </w:tcPr>
          <w:p w14:paraId="6FB11B69" w14:textId="77777777" w:rsidR="00523B96" w:rsidRPr="00461C16" w:rsidRDefault="00523B96" w:rsidP="003F68C9">
            <w:pPr>
              <w:spacing w:before="40" w:after="40" w:line="240" w:lineRule="auto"/>
              <w:jc w:val="left"/>
              <w:rPr>
                <w:sz w:val="20"/>
                <w:szCs w:val="20"/>
              </w:rPr>
            </w:pPr>
            <w:r w:rsidRPr="00461C16">
              <w:rPr>
                <w:sz w:val="20"/>
                <w:szCs w:val="20"/>
              </w:rPr>
              <w:t>plochy občanské vybavenosti a nevýrobních služeb</w:t>
            </w:r>
          </w:p>
        </w:tc>
        <w:tc>
          <w:tcPr>
            <w:tcW w:w="2259" w:type="dxa"/>
            <w:shd w:val="clear" w:color="auto" w:fill="auto"/>
          </w:tcPr>
          <w:p w14:paraId="787570AB"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P</w:t>
            </w:r>
            <w:r w:rsidRPr="00461C16">
              <w:rPr>
                <w:rFonts w:ascii="Arial Narrow" w:hAnsi="Arial Narrow"/>
              </w:rPr>
              <w:t>řevzato, vymezeno jako SM</w:t>
            </w:r>
            <w:r w:rsidRPr="00461C16">
              <w:rPr>
                <w:rFonts w:ascii="Arial Narrow" w:hAnsi="Arial Narrow"/>
                <w:lang w:val="cs-CZ"/>
              </w:rPr>
              <w:t>, s možností umisťování občanského vybavení a služeb</w:t>
            </w:r>
          </w:p>
        </w:tc>
        <w:tc>
          <w:tcPr>
            <w:tcW w:w="2660" w:type="dxa"/>
            <w:shd w:val="clear" w:color="auto" w:fill="auto"/>
          </w:tcPr>
          <w:p w14:paraId="4C70551E"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7B705C72" w14:textId="77777777" w:rsidTr="0066453E">
        <w:trPr>
          <w:cantSplit/>
        </w:trPr>
        <w:tc>
          <w:tcPr>
            <w:tcW w:w="1481" w:type="dxa"/>
            <w:shd w:val="clear" w:color="auto" w:fill="auto"/>
          </w:tcPr>
          <w:p w14:paraId="63DB3DEA" w14:textId="77777777" w:rsidR="00523B96" w:rsidRPr="00461C16" w:rsidRDefault="00523B96" w:rsidP="003F68C9">
            <w:pPr>
              <w:spacing w:before="40" w:after="40" w:line="240" w:lineRule="auto"/>
              <w:jc w:val="left"/>
              <w:rPr>
                <w:sz w:val="20"/>
                <w:szCs w:val="20"/>
              </w:rPr>
            </w:pPr>
            <w:r w:rsidRPr="00461C16">
              <w:rPr>
                <w:sz w:val="20"/>
                <w:szCs w:val="20"/>
              </w:rPr>
              <w:t>Z15.9</w:t>
            </w:r>
          </w:p>
        </w:tc>
        <w:tc>
          <w:tcPr>
            <w:tcW w:w="1258" w:type="dxa"/>
          </w:tcPr>
          <w:p w14:paraId="6CE31C16" w14:textId="77777777" w:rsidR="00523B96" w:rsidRPr="00461C16" w:rsidRDefault="00523B96" w:rsidP="003F68C9">
            <w:pPr>
              <w:spacing w:before="40" w:after="40" w:line="240" w:lineRule="auto"/>
              <w:rPr>
                <w:sz w:val="20"/>
                <w:szCs w:val="20"/>
              </w:rPr>
            </w:pPr>
            <w:r w:rsidRPr="00461C16">
              <w:rPr>
                <w:sz w:val="20"/>
                <w:szCs w:val="20"/>
              </w:rPr>
              <w:t>Oldřichov na Hranicích</w:t>
            </w:r>
          </w:p>
        </w:tc>
        <w:tc>
          <w:tcPr>
            <w:tcW w:w="1630" w:type="dxa"/>
            <w:shd w:val="clear" w:color="auto" w:fill="auto"/>
          </w:tcPr>
          <w:p w14:paraId="5FB96F47" w14:textId="77777777" w:rsidR="00523B96" w:rsidRPr="00461C16" w:rsidRDefault="00523B96" w:rsidP="003F68C9">
            <w:pPr>
              <w:spacing w:before="40" w:after="40" w:line="240" w:lineRule="auto"/>
              <w:jc w:val="left"/>
              <w:rPr>
                <w:sz w:val="20"/>
                <w:szCs w:val="20"/>
              </w:rPr>
            </w:pPr>
            <w:r w:rsidRPr="00461C16">
              <w:rPr>
                <w:sz w:val="20"/>
                <w:szCs w:val="20"/>
              </w:rPr>
              <w:t>plocha výroby čisté a výrobních služeb</w:t>
            </w:r>
          </w:p>
        </w:tc>
        <w:tc>
          <w:tcPr>
            <w:tcW w:w="2259" w:type="dxa"/>
            <w:shd w:val="clear" w:color="auto" w:fill="auto"/>
          </w:tcPr>
          <w:p w14:paraId="67EED739" w14:textId="77777777" w:rsidR="00523B96" w:rsidRPr="00461C16" w:rsidRDefault="00523B96" w:rsidP="003F68C9">
            <w:pPr>
              <w:pStyle w:val="Intabulka"/>
              <w:rPr>
                <w:rFonts w:ascii="Arial Narrow" w:hAnsi="Arial Narrow"/>
              </w:rPr>
            </w:pPr>
            <w:r w:rsidRPr="00461C16">
              <w:rPr>
                <w:rFonts w:ascii="Arial Narrow" w:hAnsi="Arial Narrow"/>
              </w:rPr>
              <w:t>Převzato, součást plochy změn Z37</w:t>
            </w:r>
          </w:p>
        </w:tc>
        <w:tc>
          <w:tcPr>
            <w:tcW w:w="2660" w:type="dxa"/>
            <w:shd w:val="clear" w:color="auto" w:fill="auto"/>
          </w:tcPr>
          <w:p w14:paraId="50C39D24" w14:textId="77777777" w:rsidR="00523B96" w:rsidRPr="00461C16" w:rsidRDefault="00523B96" w:rsidP="003F68C9">
            <w:pPr>
              <w:pStyle w:val="Intabulka"/>
              <w:rPr>
                <w:rFonts w:ascii="Arial Narrow" w:hAnsi="Arial Narrow"/>
                <w:lang w:val="cs-CZ"/>
              </w:rPr>
            </w:pPr>
            <w:r w:rsidRPr="00461C16">
              <w:rPr>
                <w:rFonts w:ascii="Arial Narrow" w:hAnsi="Arial Narrow"/>
                <w:lang w:val="cs-CZ"/>
              </w:rPr>
              <w:t>v souladu s koncepcí ÚP</w:t>
            </w:r>
          </w:p>
        </w:tc>
      </w:tr>
      <w:tr w:rsidR="00523B96" w:rsidRPr="00461C16" w14:paraId="2E127C4C" w14:textId="77777777" w:rsidTr="0066453E">
        <w:trPr>
          <w:cantSplit/>
        </w:trPr>
        <w:tc>
          <w:tcPr>
            <w:tcW w:w="1481" w:type="dxa"/>
            <w:shd w:val="clear" w:color="auto" w:fill="auto"/>
          </w:tcPr>
          <w:p w14:paraId="2097709C" w14:textId="77777777" w:rsidR="00523B96" w:rsidRPr="00461C16" w:rsidRDefault="00523B96" w:rsidP="003F68C9">
            <w:pPr>
              <w:spacing w:before="40" w:after="40" w:line="240" w:lineRule="auto"/>
              <w:rPr>
                <w:sz w:val="20"/>
                <w:szCs w:val="20"/>
              </w:rPr>
            </w:pPr>
            <w:r>
              <w:rPr>
                <w:sz w:val="20"/>
                <w:szCs w:val="20"/>
              </w:rPr>
              <w:t>Z17.1a</w:t>
            </w:r>
          </w:p>
        </w:tc>
        <w:tc>
          <w:tcPr>
            <w:tcW w:w="1258" w:type="dxa"/>
          </w:tcPr>
          <w:p w14:paraId="6CC7D96D" w14:textId="77777777" w:rsidR="00523B96" w:rsidRPr="00461C1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49ED12BF" w14:textId="77777777" w:rsidR="00523B96" w:rsidRPr="00461C16" w:rsidRDefault="00523B96" w:rsidP="003F68C9">
            <w:pPr>
              <w:spacing w:before="40" w:after="40" w:line="240" w:lineRule="auto"/>
              <w:jc w:val="left"/>
              <w:rPr>
                <w:sz w:val="20"/>
                <w:szCs w:val="20"/>
              </w:rPr>
            </w:pPr>
            <w:r>
              <w:rPr>
                <w:sz w:val="20"/>
                <w:szCs w:val="20"/>
              </w:rPr>
              <w:t>plocha výroby čisté a výrobních služeb</w:t>
            </w:r>
          </w:p>
        </w:tc>
        <w:tc>
          <w:tcPr>
            <w:tcW w:w="2259" w:type="dxa"/>
            <w:shd w:val="clear" w:color="auto" w:fill="auto"/>
          </w:tcPr>
          <w:p w14:paraId="26F515CF"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VD</w:t>
            </w:r>
          </w:p>
        </w:tc>
        <w:tc>
          <w:tcPr>
            <w:tcW w:w="2660" w:type="dxa"/>
            <w:shd w:val="clear" w:color="auto" w:fill="auto"/>
          </w:tcPr>
          <w:p w14:paraId="235279AC" w14:textId="77777777" w:rsidR="00523B96" w:rsidRPr="00461C16" w:rsidRDefault="00523B96" w:rsidP="003F68C9">
            <w:pPr>
              <w:pStyle w:val="Intabulka"/>
              <w:rPr>
                <w:rFonts w:ascii="Arial Narrow" w:hAnsi="Arial Narrow"/>
                <w:lang w:val="cs-CZ"/>
              </w:rPr>
            </w:pPr>
            <w:r>
              <w:rPr>
                <w:rFonts w:ascii="Arial Narrow" w:hAnsi="Arial Narrow"/>
                <w:lang w:val="cs-CZ"/>
              </w:rPr>
              <w:t>skutečný stav v území</w:t>
            </w:r>
          </w:p>
        </w:tc>
      </w:tr>
      <w:tr w:rsidR="00523B96" w:rsidRPr="00461C16" w14:paraId="680639A2" w14:textId="77777777" w:rsidTr="0066453E">
        <w:trPr>
          <w:cantSplit/>
        </w:trPr>
        <w:tc>
          <w:tcPr>
            <w:tcW w:w="1481" w:type="dxa"/>
            <w:shd w:val="clear" w:color="auto" w:fill="auto"/>
          </w:tcPr>
          <w:p w14:paraId="16374E06" w14:textId="77777777" w:rsidR="00523B96" w:rsidRDefault="00523B96" w:rsidP="003F68C9">
            <w:pPr>
              <w:spacing w:before="40" w:after="40" w:line="240" w:lineRule="auto"/>
              <w:rPr>
                <w:sz w:val="20"/>
                <w:szCs w:val="20"/>
              </w:rPr>
            </w:pPr>
            <w:r>
              <w:rPr>
                <w:sz w:val="20"/>
                <w:szCs w:val="20"/>
              </w:rPr>
              <w:t>Z17.1b</w:t>
            </w:r>
          </w:p>
        </w:tc>
        <w:tc>
          <w:tcPr>
            <w:tcW w:w="1258" w:type="dxa"/>
          </w:tcPr>
          <w:p w14:paraId="62B8EA8F" w14:textId="77777777" w:rsidR="00523B96" w:rsidRPr="00461C1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6B0B5A7F" w14:textId="77777777" w:rsidR="00523B96" w:rsidRDefault="00523B96" w:rsidP="003F68C9">
            <w:pPr>
              <w:spacing w:line="240" w:lineRule="auto"/>
              <w:jc w:val="left"/>
            </w:pPr>
            <w:r>
              <w:rPr>
                <w:sz w:val="20"/>
                <w:szCs w:val="20"/>
              </w:rPr>
              <w:t>plocha obytné zástavby nízkopodlažní městské</w:t>
            </w:r>
          </w:p>
        </w:tc>
        <w:tc>
          <w:tcPr>
            <w:tcW w:w="2259" w:type="dxa"/>
            <w:shd w:val="clear" w:color="auto" w:fill="auto"/>
          </w:tcPr>
          <w:p w14:paraId="2D9B9F37"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SC (bydlení je hlavním využitím)</w:t>
            </w:r>
          </w:p>
        </w:tc>
        <w:tc>
          <w:tcPr>
            <w:tcW w:w="2660" w:type="dxa"/>
            <w:shd w:val="clear" w:color="auto" w:fill="auto"/>
          </w:tcPr>
          <w:p w14:paraId="4637DC2B" w14:textId="77777777" w:rsidR="00523B96" w:rsidRPr="00461C16" w:rsidRDefault="00523B96" w:rsidP="003F68C9">
            <w:pPr>
              <w:pStyle w:val="Intabulka"/>
              <w:rPr>
                <w:rFonts w:ascii="Arial Narrow" w:hAnsi="Arial Narrow"/>
                <w:lang w:val="cs-CZ"/>
              </w:rPr>
            </w:pPr>
            <w:r w:rsidRPr="00215D0E">
              <w:rPr>
                <w:rFonts w:ascii="Arial Narrow" w:hAnsi="Arial Narrow"/>
                <w:lang w:val="cs-CZ"/>
              </w:rPr>
              <w:t>v souladu s koncepcí ÚP</w:t>
            </w:r>
          </w:p>
        </w:tc>
      </w:tr>
      <w:tr w:rsidR="00523B96" w:rsidRPr="00461C16" w14:paraId="2B261740" w14:textId="77777777" w:rsidTr="0066453E">
        <w:trPr>
          <w:cantSplit/>
        </w:trPr>
        <w:tc>
          <w:tcPr>
            <w:tcW w:w="1481" w:type="dxa"/>
            <w:shd w:val="clear" w:color="auto" w:fill="auto"/>
          </w:tcPr>
          <w:p w14:paraId="51DDD7CA" w14:textId="77777777" w:rsidR="00523B96" w:rsidRDefault="00523B96" w:rsidP="003F68C9">
            <w:pPr>
              <w:spacing w:before="40" w:after="40" w:line="240" w:lineRule="auto"/>
              <w:rPr>
                <w:sz w:val="20"/>
                <w:szCs w:val="20"/>
              </w:rPr>
            </w:pPr>
            <w:r>
              <w:rPr>
                <w:sz w:val="20"/>
                <w:szCs w:val="20"/>
              </w:rPr>
              <w:t>Z17.1c</w:t>
            </w:r>
          </w:p>
        </w:tc>
        <w:tc>
          <w:tcPr>
            <w:tcW w:w="1258" w:type="dxa"/>
          </w:tcPr>
          <w:p w14:paraId="46AC355A" w14:textId="77777777" w:rsidR="00523B96" w:rsidRPr="00461C1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578796C9" w14:textId="77777777" w:rsidR="00523B96" w:rsidRDefault="00523B96" w:rsidP="003F68C9">
            <w:pPr>
              <w:spacing w:line="240" w:lineRule="auto"/>
              <w:jc w:val="left"/>
            </w:pPr>
            <w:r>
              <w:rPr>
                <w:sz w:val="20"/>
                <w:szCs w:val="20"/>
              </w:rPr>
              <w:t>plocha ostatních pozemních městských komunikací</w:t>
            </w:r>
          </w:p>
        </w:tc>
        <w:tc>
          <w:tcPr>
            <w:tcW w:w="2259" w:type="dxa"/>
            <w:shd w:val="clear" w:color="auto" w:fill="auto"/>
          </w:tcPr>
          <w:p w14:paraId="07B075BD"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PX</w:t>
            </w:r>
          </w:p>
        </w:tc>
        <w:tc>
          <w:tcPr>
            <w:tcW w:w="2660" w:type="dxa"/>
            <w:shd w:val="clear" w:color="auto" w:fill="auto"/>
          </w:tcPr>
          <w:p w14:paraId="17A18989" w14:textId="77777777" w:rsidR="00523B96" w:rsidRPr="00461C16" w:rsidRDefault="00523B96" w:rsidP="003F68C9">
            <w:pPr>
              <w:pStyle w:val="Intabulka"/>
              <w:rPr>
                <w:rFonts w:ascii="Arial Narrow" w:hAnsi="Arial Narrow"/>
                <w:lang w:val="cs-CZ"/>
              </w:rPr>
            </w:pPr>
            <w:r>
              <w:rPr>
                <w:rFonts w:ascii="Arial Narrow" w:hAnsi="Arial Narrow"/>
                <w:lang w:val="cs-CZ"/>
              </w:rPr>
              <w:t>skutečný stav v území</w:t>
            </w:r>
          </w:p>
        </w:tc>
      </w:tr>
      <w:tr w:rsidR="00523B96" w:rsidRPr="00461C16" w14:paraId="1FA2F794" w14:textId="77777777" w:rsidTr="0066453E">
        <w:trPr>
          <w:cantSplit/>
        </w:trPr>
        <w:tc>
          <w:tcPr>
            <w:tcW w:w="1481" w:type="dxa"/>
            <w:shd w:val="clear" w:color="auto" w:fill="auto"/>
          </w:tcPr>
          <w:p w14:paraId="6F56BADA" w14:textId="77777777" w:rsidR="00523B96" w:rsidRDefault="00523B96" w:rsidP="003F68C9">
            <w:pPr>
              <w:spacing w:before="40" w:after="40" w:line="240" w:lineRule="auto"/>
              <w:rPr>
                <w:sz w:val="20"/>
                <w:szCs w:val="20"/>
              </w:rPr>
            </w:pPr>
            <w:r>
              <w:rPr>
                <w:sz w:val="20"/>
                <w:szCs w:val="20"/>
              </w:rPr>
              <w:t>Z17.2</w:t>
            </w:r>
          </w:p>
        </w:tc>
        <w:tc>
          <w:tcPr>
            <w:tcW w:w="1258" w:type="dxa"/>
          </w:tcPr>
          <w:p w14:paraId="6D4B3DC5" w14:textId="77777777" w:rsidR="00523B96" w:rsidRPr="00461C16" w:rsidRDefault="00523B96" w:rsidP="003F68C9">
            <w:pPr>
              <w:pStyle w:val="Intabulka"/>
              <w:rPr>
                <w:rFonts w:ascii="Arial Narrow" w:hAnsi="Arial Narrow"/>
                <w:lang w:val="cs-CZ"/>
              </w:rPr>
            </w:pPr>
            <w:r>
              <w:rPr>
                <w:rFonts w:ascii="Arial Narrow" w:hAnsi="Arial Narrow"/>
                <w:lang w:val="cs-CZ"/>
              </w:rPr>
              <w:t xml:space="preserve">Donín </w:t>
            </w:r>
          </w:p>
        </w:tc>
        <w:tc>
          <w:tcPr>
            <w:tcW w:w="1630" w:type="dxa"/>
            <w:shd w:val="clear" w:color="auto" w:fill="auto"/>
          </w:tcPr>
          <w:p w14:paraId="7A8DA314" w14:textId="77777777" w:rsidR="00523B96" w:rsidRDefault="00523B96" w:rsidP="003F68C9">
            <w:pPr>
              <w:spacing w:line="240" w:lineRule="auto"/>
              <w:jc w:val="left"/>
            </w:pPr>
            <w:r>
              <w:rPr>
                <w:sz w:val="20"/>
                <w:szCs w:val="20"/>
              </w:rPr>
              <w:t>plocha obytné zástavby nízkopodlažní městské</w:t>
            </w:r>
          </w:p>
        </w:tc>
        <w:tc>
          <w:tcPr>
            <w:tcW w:w="2259" w:type="dxa"/>
            <w:shd w:val="clear" w:color="auto" w:fill="auto"/>
          </w:tcPr>
          <w:p w14:paraId="26B6217D"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SM (bydlení je hlavním využitím)</w:t>
            </w:r>
          </w:p>
        </w:tc>
        <w:tc>
          <w:tcPr>
            <w:tcW w:w="2660" w:type="dxa"/>
            <w:shd w:val="clear" w:color="auto" w:fill="auto"/>
          </w:tcPr>
          <w:p w14:paraId="342F8F8E" w14:textId="77777777" w:rsidR="00523B96" w:rsidRPr="00461C16" w:rsidRDefault="00523B96" w:rsidP="003F68C9">
            <w:pPr>
              <w:pStyle w:val="Intabulka"/>
              <w:rPr>
                <w:rFonts w:ascii="Arial Narrow" w:hAnsi="Arial Narrow"/>
                <w:lang w:val="cs-CZ"/>
              </w:rPr>
            </w:pPr>
            <w:r w:rsidRPr="00215D0E">
              <w:rPr>
                <w:rFonts w:ascii="Arial Narrow" w:hAnsi="Arial Narrow"/>
                <w:lang w:val="cs-CZ"/>
              </w:rPr>
              <w:t>v souladu s koncepcí ÚP</w:t>
            </w:r>
          </w:p>
        </w:tc>
      </w:tr>
      <w:tr w:rsidR="00523B96" w:rsidRPr="00461C16" w14:paraId="21C49B6D" w14:textId="77777777" w:rsidTr="0066453E">
        <w:trPr>
          <w:cantSplit/>
        </w:trPr>
        <w:tc>
          <w:tcPr>
            <w:tcW w:w="1481" w:type="dxa"/>
            <w:shd w:val="clear" w:color="auto" w:fill="auto"/>
          </w:tcPr>
          <w:p w14:paraId="4A00BD0F" w14:textId="77777777" w:rsidR="00523B96" w:rsidRDefault="00523B96" w:rsidP="003F68C9">
            <w:pPr>
              <w:spacing w:before="40" w:after="40" w:line="240" w:lineRule="auto"/>
              <w:rPr>
                <w:sz w:val="20"/>
                <w:szCs w:val="20"/>
              </w:rPr>
            </w:pPr>
            <w:r>
              <w:rPr>
                <w:sz w:val="20"/>
                <w:szCs w:val="20"/>
              </w:rPr>
              <w:t>Z17.3a</w:t>
            </w:r>
          </w:p>
        </w:tc>
        <w:tc>
          <w:tcPr>
            <w:tcW w:w="1258" w:type="dxa"/>
          </w:tcPr>
          <w:p w14:paraId="1961CF8E" w14:textId="77777777" w:rsidR="00523B96" w:rsidRPr="00461C16" w:rsidRDefault="00523B96" w:rsidP="003F68C9">
            <w:pPr>
              <w:pStyle w:val="Intabulka"/>
              <w:rPr>
                <w:rFonts w:ascii="Arial Narrow" w:hAnsi="Arial Narrow"/>
                <w:lang w:val="cs-CZ"/>
              </w:rPr>
            </w:pPr>
            <w:r>
              <w:rPr>
                <w:rFonts w:ascii="Arial Narrow" w:hAnsi="Arial Narrow"/>
                <w:lang w:val="cs-CZ"/>
              </w:rPr>
              <w:t>Oldřichov na Hranicích</w:t>
            </w:r>
          </w:p>
        </w:tc>
        <w:tc>
          <w:tcPr>
            <w:tcW w:w="1630" w:type="dxa"/>
            <w:shd w:val="clear" w:color="auto" w:fill="auto"/>
          </w:tcPr>
          <w:p w14:paraId="58642BAA" w14:textId="77777777" w:rsidR="00523B96" w:rsidRDefault="00523B96" w:rsidP="003F68C9">
            <w:pPr>
              <w:spacing w:line="240" w:lineRule="auto"/>
              <w:jc w:val="left"/>
            </w:pPr>
            <w:r>
              <w:rPr>
                <w:sz w:val="20"/>
                <w:szCs w:val="20"/>
              </w:rPr>
              <w:t>plocha obytné zástavby nízkopodlažní venkovské</w:t>
            </w:r>
          </w:p>
        </w:tc>
        <w:tc>
          <w:tcPr>
            <w:tcW w:w="2259" w:type="dxa"/>
            <w:shd w:val="clear" w:color="auto" w:fill="auto"/>
          </w:tcPr>
          <w:p w14:paraId="15EBF1A0"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SV</w:t>
            </w:r>
          </w:p>
        </w:tc>
        <w:tc>
          <w:tcPr>
            <w:tcW w:w="2660" w:type="dxa"/>
            <w:shd w:val="clear" w:color="auto" w:fill="auto"/>
          </w:tcPr>
          <w:p w14:paraId="17A14AF0" w14:textId="77777777" w:rsidR="00523B96" w:rsidRPr="00461C16" w:rsidRDefault="00523B96" w:rsidP="003F68C9">
            <w:pPr>
              <w:pStyle w:val="Intabulka"/>
              <w:rPr>
                <w:rFonts w:ascii="Arial Narrow" w:hAnsi="Arial Narrow"/>
                <w:lang w:val="cs-CZ"/>
              </w:rPr>
            </w:pPr>
            <w:r w:rsidRPr="00215D0E">
              <w:rPr>
                <w:rFonts w:ascii="Arial Narrow" w:hAnsi="Arial Narrow"/>
                <w:lang w:val="cs-CZ"/>
              </w:rPr>
              <w:t>v souladu s koncepcí ÚP</w:t>
            </w:r>
          </w:p>
        </w:tc>
      </w:tr>
      <w:tr w:rsidR="00523B96" w:rsidRPr="00461C16" w14:paraId="6D98C346" w14:textId="77777777" w:rsidTr="0066453E">
        <w:trPr>
          <w:cantSplit/>
        </w:trPr>
        <w:tc>
          <w:tcPr>
            <w:tcW w:w="1481" w:type="dxa"/>
            <w:shd w:val="clear" w:color="auto" w:fill="auto"/>
          </w:tcPr>
          <w:p w14:paraId="0E8B6DF5" w14:textId="77777777" w:rsidR="00523B96" w:rsidRDefault="00523B96" w:rsidP="003F68C9">
            <w:pPr>
              <w:spacing w:before="40" w:after="40" w:line="240" w:lineRule="auto"/>
              <w:rPr>
                <w:sz w:val="20"/>
                <w:szCs w:val="20"/>
              </w:rPr>
            </w:pPr>
            <w:r>
              <w:rPr>
                <w:sz w:val="20"/>
                <w:szCs w:val="20"/>
              </w:rPr>
              <w:t>Z17.3b</w:t>
            </w:r>
          </w:p>
        </w:tc>
        <w:tc>
          <w:tcPr>
            <w:tcW w:w="1258" w:type="dxa"/>
          </w:tcPr>
          <w:p w14:paraId="1605FCD0" w14:textId="77777777" w:rsidR="00523B96" w:rsidRPr="00461C16" w:rsidRDefault="00523B96" w:rsidP="003F68C9">
            <w:pPr>
              <w:pStyle w:val="Intabulka"/>
              <w:rPr>
                <w:rFonts w:ascii="Arial Narrow" w:hAnsi="Arial Narrow"/>
                <w:lang w:val="cs-CZ"/>
              </w:rPr>
            </w:pPr>
            <w:r>
              <w:rPr>
                <w:rFonts w:ascii="Arial Narrow" w:hAnsi="Arial Narrow"/>
                <w:lang w:val="cs-CZ"/>
              </w:rPr>
              <w:t>Oldřichov na Hranicích</w:t>
            </w:r>
          </w:p>
        </w:tc>
        <w:tc>
          <w:tcPr>
            <w:tcW w:w="1630" w:type="dxa"/>
            <w:shd w:val="clear" w:color="auto" w:fill="auto"/>
          </w:tcPr>
          <w:p w14:paraId="7EC082DD" w14:textId="77777777" w:rsidR="00523B96" w:rsidRDefault="00523B96" w:rsidP="003F68C9">
            <w:pPr>
              <w:spacing w:line="240" w:lineRule="auto"/>
              <w:jc w:val="left"/>
            </w:pPr>
            <w:r>
              <w:rPr>
                <w:sz w:val="20"/>
                <w:szCs w:val="20"/>
              </w:rPr>
              <w:t>plocha veřejné, ochranné a doprovodné zeleně</w:t>
            </w:r>
          </w:p>
        </w:tc>
        <w:tc>
          <w:tcPr>
            <w:tcW w:w="2259" w:type="dxa"/>
            <w:shd w:val="clear" w:color="auto" w:fill="auto"/>
          </w:tcPr>
          <w:p w14:paraId="3A69472E"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ZV</w:t>
            </w:r>
          </w:p>
        </w:tc>
        <w:tc>
          <w:tcPr>
            <w:tcW w:w="2660" w:type="dxa"/>
            <w:shd w:val="clear" w:color="auto" w:fill="auto"/>
          </w:tcPr>
          <w:p w14:paraId="73DC82F4" w14:textId="77777777" w:rsidR="00523B96" w:rsidRPr="00461C16" w:rsidRDefault="00523B96" w:rsidP="003F68C9">
            <w:pPr>
              <w:pStyle w:val="Intabulka"/>
              <w:rPr>
                <w:rFonts w:ascii="Arial Narrow" w:hAnsi="Arial Narrow"/>
                <w:lang w:val="cs-CZ"/>
              </w:rPr>
            </w:pPr>
            <w:r>
              <w:rPr>
                <w:rFonts w:ascii="Arial Narrow" w:hAnsi="Arial Narrow"/>
                <w:lang w:val="cs-CZ"/>
              </w:rPr>
              <w:t xml:space="preserve">skutečný stav v území, </w:t>
            </w:r>
            <w:r w:rsidRPr="00215D0E">
              <w:rPr>
                <w:rFonts w:ascii="Arial Narrow" w:hAnsi="Arial Narrow"/>
                <w:lang w:val="cs-CZ"/>
              </w:rPr>
              <w:t>v souladu s koncepcí ÚP</w:t>
            </w:r>
          </w:p>
        </w:tc>
      </w:tr>
      <w:tr w:rsidR="00523B96" w:rsidRPr="00461C16" w14:paraId="0F03E4ED" w14:textId="77777777" w:rsidTr="0066453E">
        <w:trPr>
          <w:cantSplit/>
        </w:trPr>
        <w:tc>
          <w:tcPr>
            <w:tcW w:w="1481" w:type="dxa"/>
            <w:shd w:val="clear" w:color="auto" w:fill="auto"/>
          </w:tcPr>
          <w:p w14:paraId="18883F5B" w14:textId="77777777" w:rsidR="00523B96" w:rsidRDefault="00523B96" w:rsidP="003F68C9">
            <w:pPr>
              <w:spacing w:before="40" w:after="40" w:line="240" w:lineRule="auto"/>
              <w:rPr>
                <w:sz w:val="20"/>
                <w:szCs w:val="20"/>
              </w:rPr>
            </w:pPr>
            <w:r>
              <w:rPr>
                <w:sz w:val="20"/>
                <w:szCs w:val="20"/>
              </w:rPr>
              <w:t>Z17.4a</w:t>
            </w:r>
          </w:p>
        </w:tc>
        <w:tc>
          <w:tcPr>
            <w:tcW w:w="1258" w:type="dxa"/>
          </w:tcPr>
          <w:p w14:paraId="3DF34154" w14:textId="77777777" w:rsidR="00523B96" w:rsidRPr="00461C1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381E00FE" w14:textId="77777777" w:rsidR="00523B96" w:rsidRDefault="00523B96" w:rsidP="003F68C9">
            <w:pPr>
              <w:spacing w:line="240" w:lineRule="auto"/>
              <w:jc w:val="left"/>
            </w:pPr>
            <w:r>
              <w:rPr>
                <w:sz w:val="20"/>
                <w:szCs w:val="20"/>
              </w:rPr>
              <w:t>plocha obytné zástavby nízkopodlažní městské</w:t>
            </w:r>
          </w:p>
        </w:tc>
        <w:tc>
          <w:tcPr>
            <w:tcW w:w="2259" w:type="dxa"/>
            <w:shd w:val="clear" w:color="auto" w:fill="auto"/>
          </w:tcPr>
          <w:p w14:paraId="7218E311" w14:textId="77777777" w:rsidR="00523B96" w:rsidRPr="00461C16" w:rsidRDefault="00523B96" w:rsidP="003F68C9">
            <w:pPr>
              <w:pStyle w:val="Intabulka"/>
              <w:rPr>
                <w:rFonts w:ascii="Arial Narrow" w:hAnsi="Arial Narrow"/>
                <w:lang w:val="cs-CZ"/>
              </w:rPr>
            </w:pPr>
            <w:r>
              <w:rPr>
                <w:rFonts w:ascii="Arial Narrow" w:hAnsi="Arial Narrow"/>
                <w:lang w:val="cs-CZ"/>
              </w:rPr>
              <w:t>převzato jako plocha změn P25 – SM (bydlení je hlavním využitím)</w:t>
            </w:r>
          </w:p>
        </w:tc>
        <w:tc>
          <w:tcPr>
            <w:tcW w:w="2660" w:type="dxa"/>
            <w:shd w:val="clear" w:color="auto" w:fill="auto"/>
          </w:tcPr>
          <w:p w14:paraId="3FCBF85D" w14:textId="77777777" w:rsidR="00523B96" w:rsidRPr="00461C16" w:rsidRDefault="00523B96" w:rsidP="003F68C9">
            <w:pPr>
              <w:pStyle w:val="Intabulka"/>
              <w:rPr>
                <w:rFonts w:ascii="Arial Narrow" w:hAnsi="Arial Narrow"/>
                <w:lang w:val="cs-CZ"/>
              </w:rPr>
            </w:pPr>
            <w:r w:rsidRPr="00215D0E">
              <w:rPr>
                <w:rFonts w:ascii="Arial Narrow" w:hAnsi="Arial Narrow"/>
                <w:lang w:val="cs-CZ"/>
              </w:rPr>
              <w:t>v souladu s koncepcí ÚP</w:t>
            </w:r>
          </w:p>
        </w:tc>
      </w:tr>
      <w:tr w:rsidR="00523B96" w:rsidRPr="00461C16" w14:paraId="2A3717AB" w14:textId="77777777" w:rsidTr="0066453E">
        <w:trPr>
          <w:cantSplit/>
        </w:trPr>
        <w:tc>
          <w:tcPr>
            <w:tcW w:w="1481" w:type="dxa"/>
            <w:shd w:val="clear" w:color="auto" w:fill="auto"/>
          </w:tcPr>
          <w:p w14:paraId="2372031C" w14:textId="77777777" w:rsidR="00523B96" w:rsidRDefault="00523B96" w:rsidP="003F68C9">
            <w:pPr>
              <w:spacing w:before="40" w:after="40" w:line="240" w:lineRule="auto"/>
              <w:rPr>
                <w:sz w:val="20"/>
                <w:szCs w:val="20"/>
              </w:rPr>
            </w:pPr>
            <w:r>
              <w:rPr>
                <w:sz w:val="20"/>
                <w:szCs w:val="20"/>
              </w:rPr>
              <w:t>Z17.4b</w:t>
            </w:r>
          </w:p>
        </w:tc>
        <w:tc>
          <w:tcPr>
            <w:tcW w:w="1258" w:type="dxa"/>
          </w:tcPr>
          <w:p w14:paraId="67EE06B0" w14:textId="77777777" w:rsidR="00523B96" w:rsidRPr="00461C1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31836CA6" w14:textId="77777777" w:rsidR="00523B96" w:rsidRDefault="00523B96" w:rsidP="003F68C9">
            <w:pPr>
              <w:spacing w:line="240" w:lineRule="auto"/>
              <w:jc w:val="left"/>
            </w:pPr>
            <w:r>
              <w:rPr>
                <w:sz w:val="20"/>
                <w:szCs w:val="20"/>
              </w:rPr>
              <w:t>plocha obytné zástavby nízkopodlažní městské</w:t>
            </w:r>
          </w:p>
        </w:tc>
        <w:tc>
          <w:tcPr>
            <w:tcW w:w="2259" w:type="dxa"/>
            <w:shd w:val="clear" w:color="auto" w:fill="auto"/>
          </w:tcPr>
          <w:p w14:paraId="19EBE690"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BI</w:t>
            </w:r>
          </w:p>
        </w:tc>
        <w:tc>
          <w:tcPr>
            <w:tcW w:w="2660" w:type="dxa"/>
            <w:shd w:val="clear" w:color="auto" w:fill="auto"/>
          </w:tcPr>
          <w:p w14:paraId="09F8D604" w14:textId="77777777" w:rsidR="00523B96" w:rsidRPr="00461C16" w:rsidRDefault="00523B96" w:rsidP="003F68C9">
            <w:pPr>
              <w:pStyle w:val="Intabulka"/>
              <w:rPr>
                <w:rFonts w:ascii="Arial Narrow" w:hAnsi="Arial Narrow"/>
                <w:lang w:val="cs-CZ"/>
              </w:rPr>
            </w:pPr>
            <w:r>
              <w:rPr>
                <w:rFonts w:ascii="Arial Narrow" w:hAnsi="Arial Narrow"/>
                <w:lang w:val="cs-CZ"/>
              </w:rPr>
              <w:t xml:space="preserve">skutečný stav v území, </w:t>
            </w:r>
            <w:r w:rsidRPr="00215D0E">
              <w:rPr>
                <w:rFonts w:ascii="Arial Narrow" w:hAnsi="Arial Narrow"/>
                <w:lang w:val="cs-CZ"/>
              </w:rPr>
              <w:t>v souladu s koncepcí ÚP</w:t>
            </w:r>
          </w:p>
        </w:tc>
      </w:tr>
      <w:tr w:rsidR="00523B96" w:rsidRPr="00461C16" w14:paraId="158213C0" w14:textId="77777777" w:rsidTr="0066453E">
        <w:trPr>
          <w:cantSplit/>
        </w:trPr>
        <w:tc>
          <w:tcPr>
            <w:tcW w:w="1481" w:type="dxa"/>
            <w:shd w:val="clear" w:color="auto" w:fill="auto"/>
          </w:tcPr>
          <w:p w14:paraId="1E93C826" w14:textId="77777777" w:rsidR="00523B96" w:rsidRDefault="00523B96" w:rsidP="003F68C9">
            <w:pPr>
              <w:spacing w:before="40" w:after="40" w:line="240" w:lineRule="auto"/>
              <w:rPr>
                <w:sz w:val="20"/>
                <w:szCs w:val="20"/>
              </w:rPr>
            </w:pPr>
            <w:r>
              <w:rPr>
                <w:sz w:val="20"/>
                <w:szCs w:val="20"/>
              </w:rPr>
              <w:t>Z18.1</w:t>
            </w:r>
          </w:p>
        </w:tc>
        <w:tc>
          <w:tcPr>
            <w:tcW w:w="1258" w:type="dxa"/>
          </w:tcPr>
          <w:p w14:paraId="26722928" w14:textId="77777777" w:rsidR="00523B96" w:rsidRPr="00461C1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04A1A4B9" w14:textId="77777777" w:rsidR="00523B96" w:rsidRPr="00461C16" w:rsidRDefault="00523B96" w:rsidP="003F68C9">
            <w:pPr>
              <w:spacing w:before="40" w:after="40" w:line="240" w:lineRule="auto"/>
              <w:jc w:val="left"/>
              <w:rPr>
                <w:sz w:val="20"/>
                <w:szCs w:val="20"/>
              </w:rPr>
            </w:pPr>
            <w:r>
              <w:rPr>
                <w:sz w:val="20"/>
                <w:szCs w:val="20"/>
              </w:rPr>
              <w:t>plocha smíšená obytná</w:t>
            </w:r>
          </w:p>
        </w:tc>
        <w:tc>
          <w:tcPr>
            <w:tcW w:w="2259" w:type="dxa"/>
            <w:shd w:val="clear" w:color="auto" w:fill="auto"/>
          </w:tcPr>
          <w:p w14:paraId="483901BB"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SM</w:t>
            </w:r>
          </w:p>
        </w:tc>
        <w:tc>
          <w:tcPr>
            <w:tcW w:w="2660" w:type="dxa"/>
            <w:shd w:val="clear" w:color="auto" w:fill="auto"/>
          </w:tcPr>
          <w:p w14:paraId="4E04496F" w14:textId="77777777" w:rsidR="00523B96" w:rsidRPr="00461C16" w:rsidRDefault="00523B96" w:rsidP="003F68C9">
            <w:pPr>
              <w:pStyle w:val="Intabulka"/>
              <w:rPr>
                <w:rFonts w:ascii="Arial Narrow" w:hAnsi="Arial Narrow"/>
                <w:lang w:val="cs-CZ"/>
              </w:rPr>
            </w:pPr>
            <w:r w:rsidRPr="00215D0E">
              <w:rPr>
                <w:rFonts w:ascii="Arial Narrow" w:hAnsi="Arial Narrow"/>
                <w:lang w:val="cs-CZ"/>
              </w:rPr>
              <w:t>v souladu s koncepcí ÚP, využití zastavěného území pro další rozvoj</w:t>
            </w:r>
          </w:p>
        </w:tc>
      </w:tr>
      <w:tr w:rsidR="00523B96" w:rsidRPr="00461C16" w14:paraId="35664B86" w14:textId="77777777" w:rsidTr="0066453E">
        <w:trPr>
          <w:cantSplit/>
        </w:trPr>
        <w:tc>
          <w:tcPr>
            <w:tcW w:w="1481" w:type="dxa"/>
            <w:shd w:val="clear" w:color="auto" w:fill="auto"/>
          </w:tcPr>
          <w:p w14:paraId="3A3C59DC" w14:textId="77777777" w:rsidR="00523B96" w:rsidRDefault="00523B96" w:rsidP="003F68C9">
            <w:pPr>
              <w:spacing w:before="40" w:after="40" w:line="240" w:lineRule="auto"/>
              <w:rPr>
                <w:sz w:val="20"/>
                <w:szCs w:val="20"/>
              </w:rPr>
            </w:pPr>
            <w:r>
              <w:rPr>
                <w:sz w:val="20"/>
                <w:szCs w:val="20"/>
              </w:rPr>
              <w:t>Z18.2</w:t>
            </w:r>
          </w:p>
        </w:tc>
        <w:tc>
          <w:tcPr>
            <w:tcW w:w="1258" w:type="dxa"/>
          </w:tcPr>
          <w:p w14:paraId="38500DBC" w14:textId="77777777" w:rsidR="00523B9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722BC3B4" w14:textId="77777777" w:rsidR="00523B96" w:rsidRPr="00461C16" w:rsidRDefault="00523B96" w:rsidP="003F68C9">
            <w:pPr>
              <w:spacing w:before="40" w:after="40" w:line="240" w:lineRule="auto"/>
              <w:jc w:val="left"/>
              <w:rPr>
                <w:sz w:val="20"/>
                <w:szCs w:val="20"/>
              </w:rPr>
            </w:pPr>
            <w:r>
              <w:rPr>
                <w:sz w:val="20"/>
                <w:szCs w:val="20"/>
              </w:rPr>
              <w:t>plocha občanské vybavenosti a nevýrobních služeb</w:t>
            </w:r>
          </w:p>
        </w:tc>
        <w:tc>
          <w:tcPr>
            <w:tcW w:w="2259" w:type="dxa"/>
            <w:shd w:val="clear" w:color="auto" w:fill="auto"/>
          </w:tcPr>
          <w:p w14:paraId="13FFCB80" w14:textId="77777777" w:rsidR="00523B96" w:rsidRPr="00461C16" w:rsidRDefault="00523B96" w:rsidP="003F68C9">
            <w:pPr>
              <w:pStyle w:val="Intabulka"/>
              <w:rPr>
                <w:rFonts w:ascii="Arial Narrow" w:hAnsi="Arial Narrow"/>
                <w:lang w:val="cs-CZ"/>
              </w:rPr>
            </w:pPr>
            <w:r>
              <w:rPr>
                <w:rFonts w:ascii="Arial Narrow" w:hAnsi="Arial Narrow"/>
                <w:lang w:val="cs-CZ"/>
              </w:rPr>
              <w:t>převzato jako plocha změn P14 - SM</w:t>
            </w:r>
          </w:p>
        </w:tc>
        <w:tc>
          <w:tcPr>
            <w:tcW w:w="2660" w:type="dxa"/>
            <w:shd w:val="clear" w:color="auto" w:fill="auto"/>
          </w:tcPr>
          <w:p w14:paraId="572EB1C2" w14:textId="77777777" w:rsidR="00523B96" w:rsidRPr="00461C16" w:rsidRDefault="00523B96" w:rsidP="003F68C9">
            <w:pPr>
              <w:pStyle w:val="Intabulka"/>
              <w:rPr>
                <w:rFonts w:ascii="Arial Narrow" w:hAnsi="Arial Narrow"/>
                <w:lang w:val="cs-CZ"/>
              </w:rPr>
            </w:pPr>
            <w:r w:rsidRPr="00215D0E">
              <w:rPr>
                <w:rFonts w:ascii="Arial Narrow" w:hAnsi="Arial Narrow"/>
                <w:lang w:val="cs-CZ"/>
              </w:rPr>
              <w:t>v souladu s koncepcí ÚP, využití zastavěného území pro další rozvoj</w:t>
            </w:r>
          </w:p>
        </w:tc>
      </w:tr>
      <w:tr w:rsidR="00523B96" w:rsidRPr="00461C16" w14:paraId="1927D6B1" w14:textId="77777777" w:rsidTr="0066453E">
        <w:trPr>
          <w:cantSplit/>
        </w:trPr>
        <w:tc>
          <w:tcPr>
            <w:tcW w:w="1481" w:type="dxa"/>
            <w:shd w:val="clear" w:color="auto" w:fill="auto"/>
          </w:tcPr>
          <w:p w14:paraId="306C2AAC" w14:textId="77777777" w:rsidR="00523B96" w:rsidRDefault="00523B96" w:rsidP="003F68C9">
            <w:pPr>
              <w:spacing w:before="40" w:after="40" w:line="240" w:lineRule="auto"/>
              <w:rPr>
                <w:sz w:val="20"/>
                <w:szCs w:val="20"/>
              </w:rPr>
            </w:pPr>
            <w:r w:rsidRPr="00F4301F">
              <w:rPr>
                <w:sz w:val="20"/>
                <w:szCs w:val="20"/>
              </w:rPr>
              <w:t>Z18.</w:t>
            </w:r>
            <w:r>
              <w:rPr>
                <w:sz w:val="20"/>
                <w:szCs w:val="20"/>
              </w:rPr>
              <w:t>3</w:t>
            </w:r>
          </w:p>
        </w:tc>
        <w:tc>
          <w:tcPr>
            <w:tcW w:w="1258" w:type="dxa"/>
          </w:tcPr>
          <w:p w14:paraId="40ADDDE7" w14:textId="77777777" w:rsidR="00523B96" w:rsidRDefault="00523B96" w:rsidP="003F68C9">
            <w:pPr>
              <w:pStyle w:val="Intabulka"/>
              <w:rPr>
                <w:rFonts w:ascii="Arial Narrow" w:hAnsi="Arial Narrow"/>
                <w:lang w:val="cs-CZ"/>
              </w:rPr>
            </w:pPr>
            <w:r>
              <w:rPr>
                <w:rFonts w:ascii="Arial Narrow" w:hAnsi="Arial Narrow"/>
                <w:lang w:val="cs-CZ"/>
              </w:rPr>
              <w:t>Hrádek nad Nisou</w:t>
            </w:r>
          </w:p>
        </w:tc>
        <w:tc>
          <w:tcPr>
            <w:tcW w:w="1630" w:type="dxa"/>
            <w:shd w:val="clear" w:color="auto" w:fill="auto"/>
          </w:tcPr>
          <w:p w14:paraId="6926C374" w14:textId="77777777" w:rsidR="00523B96" w:rsidRPr="00461C16" w:rsidRDefault="00523B96" w:rsidP="003F68C9">
            <w:pPr>
              <w:spacing w:before="40" w:after="40" w:line="240" w:lineRule="auto"/>
              <w:jc w:val="left"/>
              <w:rPr>
                <w:sz w:val="20"/>
                <w:szCs w:val="20"/>
              </w:rPr>
            </w:pPr>
            <w:r>
              <w:rPr>
                <w:sz w:val="20"/>
                <w:szCs w:val="20"/>
              </w:rPr>
              <w:t>plocha obytné zástavby nízkopodlažní městské</w:t>
            </w:r>
          </w:p>
        </w:tc>
        <w:tc>
          <w:tcPr>
            <w:tcW w:w="2259" w:type="dxa"/>
            <w:shd w:val="clear" w:color="auto" w:fill="auto"/>
          </w:tcPr>
          <w:p w14:paraId="0F251F7F"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SM</w:t>
            </w:r>
          </w:p>
        </w:tc>
        <w:tc>
          <w:tcPr>
            <w:tcW w:w="2660" w:type="dxa"/>
            <w:shd w:val="clear" w:color="auto" w:fill="auto"/>
          </w:tcPr>
          <w:p w14:paraId="1E360343" w14:textId="77777777" w:rsidR="00523B96" w:rsidRPr="00461C16" w:rsidRDefault="00523B96" w:rsidP="003F68C9">
            <w:pPr>
              <w:pStyle w:val="Intabulka"/>
              <w:rPr>
                <w:rFonts w:ascii="Arial Narrow" w:hAnsi="Arial Narrow"/>
                <w:lang w:val="cs-CZ"/>
              </w:rPr>
            </w:pPr>
            <w:r>
              <w:rPr>
                <w:rFonts w:ascii="Arial Narrow" w:hAnsi="Arial Narrow"/>
                <w:lang w:val="cs-CZ"/>
              </w:rPr>
              <w:t>skutečný stav v území</w:t>
            </w:r>
          </w:p>
        </w:tc>
      </w:tr>
      <w:tr w:rsidR="00523B96" w:rsidRPr="00461C16" w14:paraId="1F3C6498" w14:textId="77777777" w:rsidTr="0066453E">
        <w:trPr>
          <w:cantSplit/>
        </w:trPr>
        <w:tc>
          <w:tcPr>
            <w:tcW w:w="1481" w:type="dxa"/>
            <w:shd w:val="clear" w:color="auto" w:fill="auto"/>
          </w:tcPr>
          <w:p w14:paraId="2864045E" w14:textId="77777777" w:rsidR="00523B96" w:rsidRDefault="00523B96" w:rsidP="003F68C9">
            <w:pPr>
              <w:spacing w:before="40" w:after="40" w:line="240" w:lineRule="auto"/>
              <w:rPr>
                <w:sz w:val="20"/>
                <w:szCs w:val="20"/>
              </w:rPr>
            </w:pPr>
            <w:r w:rsidRPr="00F4301F">
              <w:rPr>
                <w:sz w:val="20"/>
                <w:szCs w:val="20"/>
              </w:rPr>
              <w:lastRenderedPageBreak/>
              <w:t>Z18.</w:t>
            </w:r>
            <w:r>
              <w:rPr>
                <w:sz w:val="20"/>
                <w:szCs w:val="20"/>
              </w:rPr>
              <w:t>6a</w:t>
            </w:r>
          </w:p>
        </w:tc>
        <w:tc>
          <w:tcPr>
            <w:tcW w:w="1258" w:type="dxa"/>
          </w:tcPr>
          <w:p w14:paraId="2008493E" w14:textId="77777777" w:rsidR="00523B96" w:rsidRPr="00D31498" w:rsidRDefault="00523B96" w:rsidP="003F68C9">
            <w:pPr>
              <w:pStyle w:val="Intabulka"/>
              <w:rPr>
                <w:rFonts w:ascii="Arial Narrow" w:hAnsi="Arial Narrow"/>
                <w:lang w:val="cs-CZ"/>
              </w:rPr>
            </w:pPr>
            <w:r w:rsidRPr="00D31498">
              <w:rPr>
                <w:rFonts w:ascii="Arial Narrow" w:hAnsi="Arial Narrow"/>
              </w:rPr>
              <w:t>Václavice</w:t>
            </w:r>
          </w:p>
        </w:tc>
        <w:tc>
          <w:tcPr>
            <w:tcW w:w="1630" w:type="dxa"/>
            <w:shd w:val="clear" w:color="auto" w:fill="auto"/>
          </w:tcPr>
          <w:p w14:paraId="78EE80C0" w14:textId="77777777" w:rsidR="00523B96" w:rsidRPr="00461C16" w:rsidRDefault="00523B96" w:rsidP="003F68C9">
            <w:pPr>
              <w:spacing w:before="40" w:after="40" w:line="240" w:lineRule="auto"/>
              <w:jc w:val="left"/>
              <w:rPr>
                <w:sz w:val="20"/>
                <w:szCs w:val="20"/>
              </w:rPr>
            </w:pPr>
            <w:r>
              <w:rPr>
                <w:sz w:val="20"/>
                <w:szCs w:val="20"/>
              </w:rPr>
              <w:t>plocha komerční, výrobní služby, výroba drobná</w:t>
            </w:r>
          </w:p>
        </w:tc>
        <w:tc>
          <w:tcPr>
            <w:tcW w:w="2259" w:type="dxa"/>
            <w:shd w:val="clear" w:color="auto" w:fill="auto"/>
          </w:tcPr>
          <w:p w14:paraId="70CE2C8D" w14:textId="77777777" w:rsidR="00523B96" w:rsidRPr="00461C16" w:rsidRDefault="00523B96" w:rsidP="003F68C9">
            <w:pPr>
              <w:pStyle w:val="Intabulka"/>
              <w:rPr>
                <w:rFonts w:ascii="Arial Narrow" w:hAnsi="Arial Narrow"/>
                <w:lang w:val="cs-CZ"/>
              </w:rPr>
            </w:pPr>
            <w:r>
              <w:rPr>
                <w:rFonts w:ascii="Arial Narrow" w:hAnsi="Arial Narrow"/>
                <w:lang w:val="cs-CZ"/>
              </w:rPr>
              <w:t>převzato jako plocha změn P32 (VD)</w:t>
            </w:r>
          </w:p>
        </w:tc>
        <w:tc>
          <w:tcPr>
            <w:tcW w:w="2660" w:type="dxa"/>
            <w:shd w:val="clear" w:color="auto" w:fill="auto"/>
          </w:tcPr>
          <w:p w14:paraId="308FFF28" w14:textId="77777777" w:rsidR="00523B96" w:rsidRPr="00461C16" w:rsidRDefault="00523B96" w:rsidP="003F68C9">
            <w:pPr>
              <w:pStyle w:val="Intabulka"/>
              <w:rPr>
                <w:rFonts w:ascii="Arial Narrow" w:hAnsi="Arial Narrow"/>
                <w:lang w:val="cs-CZ"/>
              </w:rPr>
            </w:pPr>
            <w:r>
              <w:rPr>
                <w:rFonts w:ascii="Arial Narrow" w:hAnsi="Arial Narrow"/>
                <w:lang w:val="cs-CZ"/>
              </w:rPr>
              <w:t>konkrétní záměr, přestavba nevyužívaného objektu</w:t>
            </w:r>
          </w:p>
        </w:tc>
      </w:tr>
      <w:tr w:rsidR="00523B96" w:rsidRPr="00461C16" w14:paraId="7244AF88" w14:textId="77777777" w:rsidTr="0066453E">
        <w:trPr>
          <w:cantSplit/>
        </w:trPr>
        <w:tc>
          <w:tcPr>
            <w:tcW w:w="1481" w:type="dxa"/>
            <w:shd w:val="clear" w:color="auto" w:fill="auto"/>
          </w:tcPr>
          <w:p w14:paraId="6AEBE47F" w14:textId="77777777" w:rsidR="00523B96" w:rsidRDefault="00523B96" w:rsidP="003F68C9">
            <w:pPr>
              <w:spacing w:before="40" w:after="40" w:line="240" w:lineRule="auto"/>
              <w:rPr>
                <w:sz w:val="20"/>
                <w:szCs w:val="20"/>
              </w:rPr>
            </w:pPr>
            <w:r w:rsidRPr="00F4301F">
              <w:rPr>
                <w:sz w:val="20"/>
                <w:szCs w:val="20"/>
              </w:rPr>
              <w:t>Z18.</w:t>
            </w:r>
            <w:r>
              <w:rPr>
                <w:sz w:val="20"/>
                <w:szCs w:val="20"/>
              </w:rPr>
              <w:t>6b</w:t>
            </w:r>
          </w:p>
        </w:tc>
        <w:tc>
          <w:tcPr>
            <w:tcW w:w="1258" w:type="dxa"/>
          </w:tcPr>
          <w:p w14:paraId="76A9CEB3" w14:textId="77777777" w:rsidR="00523B96" w:rsidRPr="00D31498" w:rsidRDefault="00523B96" w:rsidP="003F68C9">
            <w:pPr>
              <w:pStyle w:val="Intabulka"/>
              <w:rPr>
                <w:rFonts w:ascii="Arial Narrow" w:hAnsi="Arial Narrow"/>
                <w:lang w:val="cs-CZ"/>
              </w:rPr>
            </w:pPr>
            <w:r w:rsidRPr="00D31498">
              <w:rPr>
                <w:rFonts w:ascii="Arial Narrow" w:hAnsi="Arial Narrow"/>
              </w:rPr>
              <w:t>Václavice</w:t>
            </w:r>
          </w:p>
        </w:tc>
        <w:tc>
          <w:tcPr>
            <w:tcW w:w="1630" w:type="dxa"/>
            <w:shd w:val="clear" w:color="auto" w:fill="auto"/>
          </w:tcPr>
          <w:p w14:paraId="6B6B9EE3" w14:textId="77777777" w:rsidR="00523B96" w:rsidRPr="00461C16" w:rsidRDefault="00523B96" w:rsidP="003F68C9">
            <w:pPr>
              <w:spacing w:before="40" w:after="40" w:line="240" w:lineRule="auto"/>
              <w:jc w:val="left"/>
              <w:rPr>
                <w:sz w:val="20"/>
                <w:szCs w:val="20"/>
              </w:rPr>
            </w:pPr>
            <w:r>
              <w:rPr>
                <w:sz w:val="20"/>
                <w:szCs w:val="20"/>
              </w:rPr>
              <w:t>plocha obytné zástavby nízkopodlažní venkovské</w:t>
            </w:r>
          </w:p>
        </w:tc>
        <w:tc>
          <w:tcPr>
            <w:tcW w:w="2259" w:type="dxa"/>
            <w:shd w:val="clear" w:color="auto" w:fill="auto"/>
          </w:tcPr>
          <w:p w14:paraId="1ABB6008"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SV</w:t>
            </w:r>
          </w:p>
        </w:tc>
        <w:tc>
          <w:tcPr>
            <w:tcW w:w="2660" w:type="dxa"/>
            <w:shd w:val="clear" w:color="auto" w:fill="auto"/>
          </w:tcPr>
          <w:p w14:paraId="215FC63C" w14:textId="77777777" w:rsidR="00523B96" w:rsidRPr="00461C16" w:rsidRDefault="00523B96" w:rsidP="003F68C9">
            <w:pPr>
              <w:pStyle w:val="Intabulka"/>
              <w:rPr>
                <w:rFonts w:ascii="Arial Narrow" w:hAnsi="Arial Narrow"/>
                <w:lang w:val="cs-CZ"/>
              </w:rPr>
            </w:pPr>
            <w:r>
              <w:rPr>
                <w:rFonts w:ascii="Arial Narrow" w:hAnsi="Arial Narrow"/>
                <w:lang w:val="cs-CZ"/>
              </w:rPr>
              <w:t>v souladu s koncepcí ÚP</w:t>
            </w:r>
          </w:p>
        </w:tc>
      </w:tr>
      <w:tr w:rsidR="00523B96" w:rsidRPr="00461C16" w14:paraId="78852EF7" w14:textId="77777777" w:rsidTr="0066453E">
        <w:trPr>
          <w:cantSplit/>
        </w:trPr>
        <w:tc>
          <w:tcPr>
            <w:tcW w:w="1481" w:type="dxa"/>
            <w:shd w:val="clear" w:color="auto" w:fill="auto"/>
          </w:tcPr>
          <w:p w14:paraId="500ED60A" w14:textId="77777777" w:rsidR="00523B96" w:rsidRDefault="00523B96" w:rsidP="003F68C9">
            <w:pPr>
              <w:spacing w:before="40" w:after="40" w:line="240" w:lineRule="auto"/>
              <w:rPr>
                <w:sz w:val="20"/>
                <w:szCs w:val="20"/>
              </w:rPr>
            </w:pPr>
            <w:r w:rsidRPr="00F4301F">
              <w:rPr>
                <w:sz w:val="20"/>
                <w:szCs w:val="20"/>
              </w:rPr>
              <w:t>Z18.</w:t>
            </w:r>
            <w:r>
              <w:rPr>
                <w:sz w:val="20"/>
                <w:szCs w:val="20"/>
              </w:rPr>
              <w:t>7</w:t>
            </w:r>
          </w:p>
        </w:tc>
        <w:tc>
          <w:tcPr>
            <w:tcW w:w="1258" w:type="dxa"/>
          </w:tcPr>
          <w:p w14:paraId="64360B2F" w14:textId="77777777" w:rsidR="00523B96" w:rsidRPr="00D31498" w:rsidRDefault="00523B96" w:rsidP="003F68C9">
            <w:pPr>
              <w:pStyle w:val="Intabulka"/>
              <w:rPr>
                <w:rFonts w:ascii="Arial Narrow" w:hAnsi="Arial Narrow"/>
                <w:lang w:val="cs-CZ"/>
              </w:rPr>
            </w:pPr>
            <w:r w:rsidRPr="00D31498">
              <w:rPr>
                <w:rFonts w:ascii="Arial Narrow" w:hAnsi="Arial Narrow"/>
              </w:rPr>
              <w:t>Václavice</w:t>
            </w:r>
          </w:p>
        </w:tc>
        <w:tc>
          <w:tcPr>
            <w:tcW w:w="1630" w:type="dxa"/>
            <w:shd w:val="clear" w:color="auto" w:fill="auto"/>
          </w:tcPr>
          <w:p w14:paraId="0857E3D8" w14:textId="77777777" w:rsidR="00523B96" w:rsidRPr="00461C16" w:rsidRDefault="00523B96" w:rsidP="003F68C9">
            <w:pPr>
              <w:spacing w:before="40" w:after="40" w:line="240" w:lineRule="auto"/>
              <w:jc w:val="left"/>
              <w:rPr>
                <w:sz w:val="20"/>
                <w:szCs w:val="20"/>
              </w:rPr>
            </w:pPr>
            <w:r>
              <w:rPr>
                <w:sz w:val="20"/>
                <w:szCs w:val="20"/>
              </w:rPr>
              <w:t>plocha obytné zástavby nízkopodlažní venkovské</w:t>
            </w:r>
          </w:p>
        </w:tc>
        <w:tc>
          <w:tcPr>
            <w:tcW w:w="2259" w:type="dxa"/>
            <w:shd w:val="clear" w:color="auto" w:fill="auto"/>
          </w:tcPr>
          <w:p w14:paraId="2ECC79CF" w14:textId="77777777" w:rsidR="00523B96" w:rsidRPr="00461C16" w:rsidRDefault="00523B96" w:rsidP="003F68C9">
            <w:pPr>
              <w:pStyle w:val="Intabulka"/>
              <w:rPr>
                <w:rFonts w:ascii="Arial Narrow" w:hAnsi="Arial Narrow"/>
                <w:lang w:val="cs-CZ"/>
              </w:rPr>
            </w:pPr>
            <w:r>
              <w:rPr>
                <w:rFonts w:ascii="Arial Narrow" w:hAnsi="Arial Narrow"/>
                <w:lang w:val="cs-CZ"/>
              </w:rPr>
              <w:t>převzato jako plocha změn P01 (SV)</w:t>
            </w:r>
          </w:p>
        </w:tc>
        <w:tc>
          <w:tcPr>
            <w:tcW w:w="2660" w:type="dxa"/>
            <w:shd w:val="clear" w:color="auto" w:fill="auto"/>
          </w:tcPr>
          <w:p w14:paraId="7569D7B5" w14:textId="77777777" w:rsidR="00523B96" w:rsidRPr="00461C16" w:rsidRDefault="00523B96" w:rsidP="003F68C9">
            <w:pPr>
              <w:pStyle w:val="Intabulka"/>
              <w:rPr>
                <w:rFonts w:ascii="Arial Narrow" w:hAnsi="Arial Narrow"/>
                <w:lang w:val="cs-CZ"/>
              </w:rPr>
            </w:pPr>
            <w:r>
              <w:rPr>
                <w:rFonts w:ascii="Arial Narrow" w:hAnsi="Arial Narrow"/>
                <w:lang w:val="cs-CZ"/>
              </w:rPr>
              <w:t>v souladu s koncepcí ÚP, využití zastavěného území pro další rozvoj</w:t>
            </w:r>
          </w:p>
        </w:tc>
      </w:tr>
      <w:tr w:rsidR="00523B96" w:rsidRPr="00461C16" w14:paraId="7014DBBB" w14:textId="77777777" w:rsidTr="0066453E">
        <w:trPr>
          <w:cantSplit/>
        </w:trPr>
        <w:tc>
          <w:tcPr>
            <w:tcW w:w="1481" w:type="dxa"/>
            <w:shd w:val="clear" w:color="auto" w:fill="auto"/>
          </w:tcPr>
          <w:p w14:paraId="2867AF72" w14:textId="77777777" w:rsidR="00523B96" w:rsidRPr="00F4301F" w:rsidRDefault="00523B96" w:rsidP="003F68C9">
            <w:pPr>
              <w:spacing w:before="40" w:after="40" w:line="240" w:lineRule="auto"/>
              <w:rPr>
                <w:sz w:val="20"/>
                <w:szCs w:val="20"/>
              </w:rPr>
            </w:pPr>
            <w:r>
              <w:rPr>
                <w:sz w:val="20"/>
                <w:szCs w:val="20"/>
              </w:rPr>
              <w:t>Z18.8a-l</w:t>
            </w:r>
          </w:p>
        </w:tc>
        <w:tc>
          <w:tcPr>
            <w:tcW w:w="1258" w:type="dxa"/>
          </w:tcPr>
          <w:p w14:paraId="2CC269AE" w14:textId="77777777" w:rsidR="00523B96" w:rsidRPr="00D31498" w:rsidRDefault="00523B96" w:rsidP="003F68C9">
            <w:pPr>
              <w:pStyle w:val="Intabulka"/>
              <w:rPr>
                <w:rFonts w:ascii="Arial Narrow" w:hAnsi="Arial Narrow"/>
                <w:lang w:val="cs-CZ"/>
              </w:rPr>
            </w:pPr>
            <w:r w:rsidRPr="00D31498">
              <w:rPr>
                <w:rFonts w:ascii="Arial Narrow" w:hAnsi="Arial Narrow"/>
              </w:rPr>
              <w:t>Václavice</w:t>
            </w:r>
          </w:p>
        </w:tc>
        <w:tc>
          <w:tcPr>
            <w:tcW w:w="1630" w:type="dxa"/>
            <w:shd w:val="clear" w:color="auto" w:fill="auto"/>
          </w:tcPr>
          <w:p w14:paraId="395CF3B4" w14:textId="77777777" w:rsidR="00523B96" w:rsidRPr="00461C16" w:rsidRDefault="00523B96" w:rsidP="003F68C9">
            <w:pPr>
              <w:spacing w:before="40" w:after="40" w:line="240" w:lineRule="auto"/>
              <w:jc w:val="left"/>
              <w:rPr>
                <w:sz w:val="20"/>
                <w:szCs w:val="20"/>
              </w:rPr>
            </w:pPr>
            <w:r>
              <w:rPr>
                <w:sz w:val="20"/>
                <w:szCs w:val="20"/>
              </w:rPr>
              <w:t>plochy vodních toků a nádrží</w:t>
            </w:r>
          </w:p>
        </w:tc>
        <w:tc>
          <w:tcPr>
            <w:tcW w:w="2259" w:type="dxa"/>
            <w:shd w:val="clear" w:color="auto" w:fill="auto"/>
          </w:tcPr>
          <w:p w14:paraId="3DFE22C6" w14:textId="77777777" w:rsidR="00523B96" w:rsidRPr="00461C16" w:rsidRDefault="00523B96" w:rsidP="003F68C9">
            <w:pPr>
              <w:pStyle w:val="Intabulka"/>
              <w:rPr>
                <w:rFonts w:ascii="Arial Narrow" w:hAnsi="Arial Narrow"/>
                <w:lang w:val="cs-CZ"/>
              </w:rPr>
            </w:pPr>
            <w:r>
              <w:rPr>
                <w:rFonts w:ascii="Arial Narrow" w:hAnsi="Arial Narrow"/>
                <w:lang w:val="cs-CZ"/>
              </w:rPr>
              <w:t>převzato jako plochy změn K23 - K29 (W), z části jako plochy stabilizované (realizováno)</w:t>
            </w:r>
          </w:p>
        </w:tc>
        <w:tc>
          <w:tcPr>
            <w:tcW w:w="2660" w:type="dxa"/>
            <w:shd w:val="clear" w:color="auto" w:fill="auto"/>
          </w:tcPr>
          <w:p w14:paraId="5988CC5C" w14:textId="77777777" w:rsidR="00523B96" w:rsidRPr="00461C16" w:rsidRDefault="00523B96" w:rsidP="003F68C9">
            <w:pPr>
              <w:pStyle w:val="Intabulka"/>
              <w:rPr>
                <w:rFonts w:ascii="Arial Narrow" w:hAnsi="Arial Narrow"/>
                <w:lang w:val="cs-CZ"/>
              </w:rPr>
            </w:pPr>
            <w:r>
              <w:rPr>
                <w:rFonts w:ascii="Arial Narrow" w:hAnsi="Arial Narrow"/>
                <w:lang w:val="cs-CZ"/>
              </w:rPr>
              <w:t>zohlednění konkrétního záměru prověřeného podrobnější dokumentací</w:t>
            </w:r>
          </w:p>
        </w:tc>
      </w:tr>
      <w:tr w:rsidR="00523B96" w:rsidRPr="00461C16" w14:paraId="7E6A5F7F" w14:textId="77777777" w:rsidTr="0066453E">
        <w:trPr>
          <w:cantSplit/>
        </w:trPr>
        <w:tc>
          <w:tcPr>
            <w:tcW w:w="1481" w:type="dxa"/>
            <w:shd w:val="clear" w:color="auto" w:fill="auto"/>
          </w:tcPr>
          <w:p w14:paraId="6B3E8DDE" w14:textId="77777777" w:rsidR="00523B96" w:rsidRDefault="00523B96" w:rsidP="003F68C9">
            <w:pPr>
              <w:spacing w:before="40" w:after="40" w:line="240" w:lineRule="auto"/>
              <w:rPr>
                <w:sz w:val="20"/>
                <w:szCs w:val="20"/>
              </w:rPr>
            </w:pPr>
            <w:r>
              <w:rPr>
                <w:sz w:val="20"/>
                <w:szCs w:val="20"/>
              </w:rPr>
              <w:t>Z18.9</w:t>
            </w:r>
          </w:p>
        </w:tc>
        <w:tc>
          <w:tcPr>
            <w:tcW w:w="1258" w:type="dxa"/>
          </w:tcPr>
          <w:p w14:paraId="59D55E14" w14:textId="77777777" w:rsidR="00523B96" w:rsidRPr="00D31498" w:rsidRDefault="00523B96" w:rsidP="003F68C9">
            <w:pPr>
              <w:pStyle w:val="Intabulka"/>
              <w:rPr>
                <w:rFonts w:ascii="Arial Narrow" w:hAnsi="Arial Narrow"/>
                <w:lang w:val="cs-CZ"/>
              </w:rPr>
            </w:pPr>
            <w:r w:rsidRPr="00D31498">
              <w:rPr>
                <w:rFonts w:ascii="Arial Narrow" w:hAnsi="Arial Narrow"/>
              </w:rPr>
              <w:t>Václavice</w:t>
            </w:r>
          </w:p>
        </w:tc>
        <w:tc>
          <w:tcPr>
            <w:tcW w:w="1630" w:type="dxa"/>
            <w:shd w:val="clear" w:color="auto" w:fill="auto"/>
          </w:tcPr>
          <w:p w14:paraId="69871CC6" w14:textId="77777777" w:rsidR="00523B96" w:rsidRPr="00461C16" w:rsidRDefault="00523B96" w:rsidP="003F68C9">
            <w:pPr>
              <w:spacing w:before="40" w:after="40" w:line="240" w:lineRule="auto"/>
              <w:jc w:val="left"/>
              <w:rPr>
                <w:sz w:val="20"/>
                <w:szCs w:val="20"/>
              </w:rPr>
            </w:pPr>
            <w:r>
              <w:rPr>
                <w:sz w:val="20"/>
                <w:szCs w:val="20"/>
              </w:rPr>
              <w:t>plocha zemědělské živočišné výroby</w:t>
            </w:r>
          </w:p>
        </w:tc>
        <w:tc>
          <w:tcPr>
            <w:tcW w:w="2259" w:type="dxa"/>
            <w:shd w:val="clear" w:color="auto" w:fill="auto"/>
          </w:tcPr>
          <w:p w14:paraId="7F67CD44" w14:textId="77777777" w:rsidR="00523B96" w:rsidRPr="00461C16" w:rsidRDefault="00523B96" w:rsidP="003F68C9">
            <w:pPr>
              <w:pStyle w:val="Intabulka"/>
              <w:rPr>
                <w:rFonts w:ascii="Arial Narrow" w:hAnsi="Arial Narrow"/>
                <w:lang w:val="cs-CZ"/>
              </w:rPr>
            </w:pPr>
            <w:r>
              <w:rPr>
                <w:rFonts w:ascii="Arial Narrow" w:hAnsi="Arial Narrow"/>
                <w:lang w:val="cs-CZ"/>
              </w:rPr>
              <w:t>převzato jako plocha změn Z101  - VZ</w:t>
            </w:r>
          </w:p>
        </w:tc>
        <w:tc>
          <w:tcPr>
            <w:tcW w:w="2660" w:type="dxa"/>
            <w:shd w:val="clear" w:color="auto" w:fill="auto"/>
          </w:tcPr>
          <w:p w14:paraId="4C3A94C6" w14:textId="77777777" w:rsidR="00523B96" w:rsidRPr="00461C16" w:rsidRDefault="00523B96" w:rsidP="003F68C9">
            <w:pPr>
              <w:pStyle w:val="Intabulka"/>
              <w:rPr>
                <w:rFonts w:ascii="Arial Narrow" w:hAnsi="Arial Narrow"/>
                <w:lang w:val="cs-CZ"/>
              </w:rPr>
            </w:pPr>
            <w:r>
              <w:rPr>
                <w:rFonts w:ascii="Arial Narrow" w:hAnsi="Arial Narrow"/>
                <w:lang w:val="cs-CZ"/>
              </w:rPr>
              <w:t>zohlednění konkrétního záměru</w:t>
            </w:r>
          </w:p>
        </w:tc>
      </w:tr>
      <w:tr w:rsidR="00523B96" w:rsidRPr="00461C16" w14:paraId="1CFEF947" w14:textId="77777777" w:rsidTr="0066453E">
        <w:trPr>
          <w:cantSplit/>
        </w:trPr>
        <w:tc>
          <w:tcPr>
            <w:tcW w:w="1481" w:type="dxa"/>
            <w:shd w:val="clear" w:color="auto" w:fill="auto"/>
          </w:tcPr>
          <w:p w14:paraId="51DE76BC" w14:textId="77777777" w:rsidR="00523B96" w:rsidRDefault="00523B96" w:rsidP="003F68C9">
            <w:pPr>
              <w:spacing w:before="40" w:after="40" w:line="240" w:lineRule="auto"/>
              <w:rPr>
                <w:sz w:val="20"/>
                <w:szCs w:val="20"/>
              </w:rPr>
            </w:pPr>
            <w:r>
              <w:rPr>
                <w:sz w:val="20"/>
                <w:szCs w:val="20"/>
              </w:rPr>
              <w:t>Z18.11</w:t>
            </w:r>
          </w:p>
        </w:tc>
        <w:tc>
          <w:tcPr>
            <w:tcW w:w="1258" w:type="dxa"/>
          </w:tcPr>
          <w:p w14:paraId="5E7DDDD7" w14:textId="77777777" w:rsidR="00523B96" w:rsidRDefault="00523B96" w:rsidP="003F68C9">
            <w:pPr>
              <w:pStyle w:val="Intabulka"/>
              <w:rPr>
                <w:rFonts w:ascii="Arial Narrow" w:hAnsi="Arial Narrow"/>
                <w:lang w:val="cs-CZ"/>
              </w:rPr>
            </w:pPr>
            <w:r>
              <w:rPr>
                <w:rFonts w:ascii="Arial Narrow" w:hAnsi="Arial Narrow"/>
                <w:lang w:val="cs-CZ"/>
              </w:rPr>
              <w:t xml:space="preserve">Donín </w:t>
            </w:r>
          </w:p>
        </w:tc>
        <w:tc>
          <w:tcPr>
            <w:tcW w:w="1630" w:type="dxa"/>
            <w:shd w:val="clear" w:color="auto" w:fill="auto"/>
          </w:tcPr>
          <w:p w14:paraId="1DB46F41" w14:textId="77777777" w:rsidR="00523B96" w:rsidRPr="00461C16" w:rsidRDefault="00523B96" w:rsidP="003F68C9">
            <w:pPr>
              <w:spacing w:before="40" w:after="40" w:line="240" w:lineRule="auto"/>
              <w:jc w:val="left"/>
              <w:rPr>
                <w:sz w:val="20"/>
                <w:szCs w:val="20"/>
              </w:rPr>
            </w:pPr>
            <w:r>
              <w:rPr>
                <w:sz w:val="20"/>
                <w:szCs w:val="20"/>
              </w:rPr>
              <w:t>plocha obytné zástavby nízkopodlažní městské</w:t>
            </w:r>
          </w:p>
        </w:tc>
        <w:tc>
          <w:tcPr>
            <w:tcW w:w="2259" w:type="dxa"/>
            <w:shd w:val="clear" w:color="auto" w:fill="auto"/>
          </w:tcPr>
          <w:p w14:paraId="2E1CC48A" w14:textId="77777777" w:rsidR="00523B96" w:rsidRPr="00461C16" w:rsidRDefault="00523B96" w:rsidP="003F68C9">
            <w:pPr>
              <w:pStyle w:val="Intabulka"/>
              <w:rPr>
                <w:rFonts w:ascii="Arial Narrow" w:hAnsi="Arial Narrow"/>
                <w:lang w:val="cs-CZ"/>
              </w:rPr>
            </w:pPr>
            <w:r>
              <w:rPr>
                <w:rFonts w:ascii="Arial Narrow" w:hAnsi="Arial Narrow"/>
                <w:lang w:val="cs-CZ"/>
              </w:rPr>
              <w:t>převzato, vymezeno jako stabilizovaná plocha SM</w:t>
            </w:r>
          </w:p>
        </w:tc>
        <w:tc>
          <w:tcPr>
            <w:tcW w:w="2660" w:type="dxa"/>
            <w:shd w:val="clear" w:color="auto" w:fill="auto"/>
          </w:tcPr>
          <w:p w14:paraId="20ACB741" w14:textId="77777777" w:rsidR="00523B96" w:rsidRPr="00461C16" w:rsidRDefault="00523B96" w:rsidP="003F68C9">
            <w:pPr>
              <w:pStyle w:val="Intabulka"/>
              <w:rPr>
                <w:rFonts w:ascii="Arial Narrow" w:hAnsi="Arial Narrow"/>
                <w:lang w:val="cs-CZ"/>
              </w:rPr>
            </w:pPr>
            <w:r>
              <w:rPr>
                <w:rFonts w:ascii="Arial Narrow" w:hAnsi="Arial Narrow"/>
                <w:lang w:val="cs-CZ"/>
              </w:rPr>
              <w:t>skutečný stav v území</w:t>
            </w:r>
          </w:p>
        </w:tc>
      </w:tr>
    </w:tbl>
    <w:p w14:paraId="7CADE943" w14:textId="77777777" w:rsidR="00D95069" w:rsidRPr="005F3B96" w:rsidRDefault="00D95069" w:rsidP="00753F4E">
      <w:pPr>
        <w:pStyle w:val="4podnadpis"/>
      </w:pPr>
      <w:r w:rsidRPr="00461C16">
        <w:t>e)</w:t>
      </w:r>
      <w:r w:rsidRPr="00461C16">
        <w:tab/>
        <w:t xml:space="preserve">Přehled vymezených zastavitelných ploch s uvedením důvodu </w:t>
      </w:r>
      <w:r w:rsidRPr="005F3B96">
        <w:t xml:space="preserve">pro jejich zařazení </w:t>
      </w:r>
    </w:p>
    <w:p w14:paraId="36DAB2B1" w14:textId="02FEE562" w:rsidR="00D95069" w:rsidRPr="00461C16" w:rsidRDefault="00D95069" w:rsidP="00D95069">
      <w:pPr>
        <w:pStyle w:val="1text"/>
        <w:spacing w:after="120"/>
      </w:pPr>
      <w:r w:rsidRPr="005F3B96">
        <w:t xml:space="preserve">Územní plán vymezuje </w:t>
      </w:r>
      <w:r w:rsidR="00B40DF6" w:rsidRPr="005F3B96">
        <w:t>8</w:t>
      </w:r>
      <w:r w:rsidR="00720A3D" w:rsidRPr="005F3B96">
        <w:t>0</w:t>
      </w:r>
      <w:r w:rsidR="00B40DF6" w:rsidRPr="005F3B96">
        <w:t xml:space="preserve"> </w:t>
      </w:r>
      <w:r w:rsidRPr="005F3B96">
        <w:t xml:space="preserve">zastavitelných ploch o celkové rozloze </w:t>
      </w:r>
      <w:r w:rsidR="0076477F" w:rsidRPr="005F3B96">
        <w:t>111,</w:t>
      </w:r>
      <w:r w:rsidR="005F3B96" w:rsidRPr="005F3B96">
        <w:t>008ha</w:t>
      </w:r>
      <w:r w:rsidRPr="005F3B96">
        <w:t>.</w:t>
      </w:r>
      <w:r w:rsidRPr="00461C16">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6"/>
        <w:gridCol w:w="2515"/>
        <w:gridCol w:w="5657"/>
      </w:tblGrid>
      <w:tr w:rsidR="002D3E77" w:rsidRPr="00461C16" w14:paraId="3E0E31E1" w14:textId="77777777" w:rsidTr="005465A1">
        <w:trPr>
          <w:cantSplit/>
          <w:tblHeader/>
          <w:jc w:val="center"/>
        </w:trPr>
        <w:tc>
          <w:tcPr>
            <w:tcW w:w="1116" w:type="dxa"/>
            <w:shd w:val="clear" w:color="auto" w:fill="F2F2F2" w:themeFill="background1" w:themeFillShade="F2"/>
          </w:tcPr>
          <w:p w14:paraId="7F05F3CF" w14:textId="77777777" w:rsidR="00D95069" w:rsidRPr="00461C16" w:rsidRDefault="00D95069" w:rsidP="00413CFE">
            <w:pPr>
              <w:spacing w:before="40" w:after="40"/>
              <w:jc w:val="left"/>
              <w:rPr>
                <w:b/>
                <w:sz w:val="20"/>
                <w:szCs w:val="20"/>
                <w:lang w:eastAsia="en-US"/>
              </w:rPr>
            </w:pPr>
            <w:r w:rsidRPr="00461C16">
              <w:rPr>
                <w:b/>
                <w:sz w:val="20"/>
                <w:szCs w:val="20"/>
                <w:lang w:eastAsia="en-US"/>
              </w:rPr>
              <w:t>Označení</w:t>
            </w:r>
          </w:p>
        </w:tc>
        <w:tc>
          <w:tcPr>
            <w:tcW w:w="2515" w:type="dxa"/>
            <w:shd w:val="clear" w:color="auto" w:fill="F2F2F2" w:themeFill="background1" w:themeFillShade="F2"/>
          </w:tcPr>
          <w:p w14:paraId="22673F4B" w14:textId="77777777" w:rsidR="00D95069" w:rsidRPr="00461C16" w:rsidRDefault="00D95069" w:rsidP="00413CFE">
            <w:pPr>
              <w:spacing w:before="40" w:after="40"/>
              <w:jc w:val="left"/>
              <w:rPr>
                <w:b/>
                <w:sz w:val="20"/>
                <w:szCs w:val="20"/>
                <w:lang w:eastAsia="en-US"/>
              </w:rPr>
            </w:pPr>
            <w:r w:rsidRPr="00461C16">
              <w:rPr>
                <w:b/>
                <w:sz w:val="20"/>
                <w:szCs w:val="20"/>
                <w:lang w:eastAsia="en-US"/>
              </w:rPr>
              <w:t>Využití plochy</w:t>
            </w:r>
          </w:p>
        </w:tc>
        <w:tc>
          <w:tcPr>
            <w:tcW w:w="5657" w:type="dxa"/>
            <w:shd w:val="clear" w:color="auto" w:fill="F2F2F2" w:themeFill="background1" w:themeFillShade="F2"/>
          </w:tcPr>
          <w:p w14:paraId="6DF3D3B8" w14:textId="77777777" w:rsidR="00D95069" w:rsidRPr="00461C16" w:rsidRDefault="00D95069" w:rsidP="00413CFE">
            <w:pPr>
              <w:spacing w:before="40" w:after="40"/>
              <w:jc w:val="left"/>
              <w:rPr>
                <w:b/>
                <w:sz w:val="20"/>
                <w:szCs w:val="20"/>
                <w:lang w:eastAsia="en-US"/>
              </w:rPr>
            </w:pPr>
            <w:r w:rsidRPr="00461C16">
              <w:rPr>
                <w:b/>
                <w:sz w:val="20"/>
                <w:szCs w:val="20"/>
                <w:lang w:eastAsia="en-US"/>
              </w:rPr>
              <w:t>Důvod pro vymezení</w:t>
            </w:r>
          </w:p>
        </w:tc>
      </w:tr>
      <w:tr w:rsidR="002D3E77" w:rsidRPr="00461C16" w14:paraId="1EE973AF" w14:textId="77777777" w:rsidTr="005465A1">
        <w:trPr>
          <w:cantSplit/>
          <w:jc w:val="center"/>
        </w:trPr>
        <w:tc>
          <w:tcPr>
            <w:tcW w:w="1116" w:type="dxa"/>
            <w:shd w:val="clear" w:color="auto" w:fill="auto"/>
          </w:tcPr>
          <w:p w14:paraId="419C5E47" w14:textId="77777777" w:rsidR="00535F13" w:rsidRPr="00461C16" w:rsidRDefault="00535F13" w:rsidP="00413CFE">
            <w:pPr>
              <w:spacing w:before="40"/>
              <w:jc w:val="left"/>
              <w:rPr>
                <w:color w:val="000000"/>
                <w:sz w:val="20"/>
                <w:szCs w:val="20"/>
              </w:rPr>
            </w:pPr>
            <w:r w:rsidRPr="00461C16">
              <w:rPr>
                <w:color w:val="000000"/>
                <w:sz w:val="20"/>
                <w:szCs w:val="20"/>
              </w:rPr>
              <w:t>Z19</w:t>
            </w:r>
          </w:p>
        </w:tc>
        <w:tc>
          <w:tcPr>
            <w:tcW w:w="2515" w:type="dxa"/>
            <w:shd w:val="clear" w:color="auto" w:fill="auto"/>
          </w:tcPr>
          <w:p w14:paraId="26D9A5F5" w14:textId="77777777" w:rsidR="00535F13" w:rsidRPr="00461C16" w:rsidRDefault="00535F13"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06C06B85" w14:textId="77777777" w:rsidR="00535F13" w:rsidRPr="00461C16" w:rsidRDefault="00535F13" w:rsidP="00535F13">
            <w:pPr>
              <w:pStyle w:val="Intabulka"/>
              <w:rPr>
                <w:rFonts w:ascii="Arial Narrow" w:hAnsi="Arial Narrow"/>
                <w:color w:val="FF0000"/>
                <w:lang w:val="cs-CZ"/>
              </w:rPr>
            </w:pPr>
            <w:r w:rsidRPr="00461C16">
              <w:rPr>
                <w:rFonts w:ascii="Arial Narrow" w:hAnsi="Arial Narrow"/>
                <w:lang w:val="cs-CZ"/>
              </w:rPr>
              <w:t xml:space="preserve">Plocha je vymezena </w:t>
            </w:r>
            <w:r w:rsidRPr="00461C16">
              <w:rPr>
                <w:rFonts w:ascii="Arial Narrow" w:hAnsi="Arial Narrow"/>
              </w:rPr>
              <w:t>v souladu s požadavkem schváleného Zadání ÚP</w:t>
            </w:r>
            <w:r w:rsidRPr="00461C16">
              <w:rPr>
                <w:rFonts w:ascii="Arial Narrow" w:hAnsi="Arial Narrow"/>
                <w:lang w:val="cs-CZ"/>
              </w:rPr>
              <w:t xml:space="preserve">, na základě požadavku vlastníka pozemku. Plocha navazuje na stabilizovanou obytnou zástavbu v severní části Václavic a umožňuje její doplnění, čímž přispívá k uspokojení poptávky po nových plochách pro bydlení a zároveň umožňuje případnou lokalizaci služeb, s cílem zvýšení kvality podmínek pro život v sídle Václavice. </w:t>
            </w:r>
          </w:p>
        </w:tc>
      </w:tr>
      <w:tr w:rsidR="002D3E77" w:rsidRPr="00461C16" w14:paraId="4EBAA798" w14:textId="77777777" w:rsidTr="005465A1">
        <w:trPr>
          <w:cantSplit/>
          <w:jc w:val="center"/>
        </w:trPr>
        <w:tc>
          <w:tcPr>
            <w:tcW w:w="1116" w:type="dxa"/>
            <w:shd w:val="clear" w:color="auto" w:fill="auto"/>
          </w:tcPr>
          <w:p w14:paraId="7D07B40C" w14:textId="77777777" w:rsidR="00494DD5" w:rsidRPr="00461C16" w:rsidRDefault="00494DD5" w:rsidP="00413CFE">
            <w:pPr>
              <w:spacing w:before="40"/>
              <w:jc w:val="left"/>
              <w:rPr>
                <w:color w:val="000000"/>
                <w:sz w:val="20"/>
                <w:szCs w:val="20"/>
              </w:rPr>
            </w:pPr>
            <w:r w:rsidRPr="00461C16">
              <w:rPr>
                <w:color w:val="000000"/>
                <w:sz w:val="20"/>
                <w:szCs w:val="20"/>
              </w:rPr>
              <w:t>Z20</w:t>
            </w:r>
          </w:p>
        </w:tc>
        <w:tc>
          <w:tcPr>
            <w:tcW w:w="2515" w:type="dxa"/>
            <w:shd w:val="clear" w:color="auto" w:fill="auto"/>
          </w:tcPr>
          <w:p w14:paraId="2B932865" w14:textId="77777777" w:rsidR="00494DD5" w:rsidRPr="00461C16" w:rsidRDefault="00494DD5"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4781843B" w14:textId="77777777" w:rsidR="00494DD5" w:rsidRPr="00461C16" w:rsidRDefault="00494DD5" w:rsidP="00494DD5">
            <w:pPr>
              <w:pStyle w:val="Intabulka"/>
              <w:rPr>
                <w:rFonts w:ascii="Arial Narrow" w:hAnsi="Arial Narrow"/>
                <w:lang w:val="cs-CZ"/>
              </w:rPr>
            </w:pPr>
            <w:r w:rsidRPr="00461C16">
              <w:rPr>
                <w:rFonts w:ascii="Arial Narrow" w:hAnsi="Arial Narrow"/>
                <w:lang w:val="cs-CZ"/>
              </w:rPr>
              <w:t>Plocha je vymezena v prostorové proluce ve stávající zástavbě podél silnice III/27251, která tvoří páteř a urbanistickou osu části Václavice. Využití proluky směřuje k účelnému a hospodárnému využívání území, ke scelení zástavby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 Vymezení plochy sleduje legalizaci skutečného využití dle současně platného ÚP města.</w:t>
            </w:r>
          </w:p>
        </w:tc>
      </w:tr>
      <w:tr w:rsidR="002D3E77" w:rsidRPr="00461C16" w14:paraId="286E7B5D" w14:textId="77777777" w:rsidTr="005465A1">
        <w:trPr>
          <w:cantSplit/>
          <w:jc w:val="center"/>
        </w:trPr>
        <w:tc>
          <w:tcPr>
            <w:tcW w:w="1116" w:type="dxa"/>
            <w:shd w:val="clear" w:color="auto" w:fill="auto"/>
          </w:tcPr>
          <w:p w14:paraId="69BC5C17" w14:textId="77777777" w:rsidR="00FC3F8E" w:rsidRPr="00461C16" w:rsidRDefault="00FC3F8E" w:rsidP="00413CFE">
            <w:pPr>
              <w:spacing w:before="40"/>
              <w:jc w:val="left"/>
              <w:rPr>
                <w:color w:val="000000"/>
                <w:sz w:val="20"/>
                <w:szCs w:val="20"/>
              </w:rPr>
            </w:pPr>
            <w:r w:rsidRPr="00461C16">
              <w:rPr>
                <w:color w:val="000000"/>
                <w:sz w:val="20"/>
                <w:szCs w:val="20"/>
              </w:rPr>
              <w:t>Z21</w:t>
            </w:r>
          </w:p>
        </w:tc>
        <w:tc>
          <w:tcPr>
            <w:tcW w:w="2515" w:type="dxa"/>
            <w:shd w:val="clear" w:color="auto" w:fill="auto"/>
          </w:tcPr>
          <w:p w14:paraId="7A25D171" w14:textId="77777777" w:rsidR="00FC3F8E" w:rsidRPr="00461C16" w:rsidRDefault="00FC3F8E"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17E0DC42" w14:textId="77777777" w:rsidR="00FC3F8E" w:rsidRPr="00461C16" w:rsidRDefault="00FC3F8E" w:rsidP="00347912">
            <w:pPr>
              <w:pStyle w:val="Intabulka"/>
              <w:rPr>
                <w:rFonts w:ascii="Arial Narrow" w:hAnsi="Arial Narrow"/>
                <w:lang w:val="cs-CZ"/>
              </w:rPr>
            </w:pPr>
            <w:r w:rsidRPr="00461C16">
              <w:rPr>
                <w:rFonts w:ascii="Arial Narrow" w:hAnsi="Arial Narrow"/>
                <w:lang w:val="cs-CZ"/>
              </w:rPr>
              <w:t>Plocha je vymezena v prostorové proluce ve stávající zástavbě podél silnice III/27251, která tvoří páteř a urbanistickou osu části Václavice. Využití proluky směřuje k účelnému a hospodárnému využívání území, ke scelení zástavby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 Vymezení plochy z větší části sleduje legalizaci skutečného využití dle současně platného ÚP města.</w:t>
            </w:r>
          </w:p>
        </w:tc>
      </w:tr>
      <w:tr w:rsidR="002D3E77" w:rsidRPr="00461C16" w14:paraId="5616708C" w14:textId="77777777" w:rsidTr="005465A1">
        <w:trPr>
          <w:cantSplit/>
          <w:jc w:val="center"/>
        </w:trPr>
        <w:tc>
          <w:tcPr>
            <w:tcW w:w="1116" w:type="dxa"/>
            <w:shd w:val="clear" w:color="auto" w:fill="auto"/>
          </w:tcPr>
          <w:p w14:paraId="317F58C8" w14:textId="77777777" w:rsidR="00D95069" w:rsidRPr="00461C16" w:rsidRDefault="00D95069" w:rsidP="00413CFE">
            <w:pPr>
              <w:spacing w:before="40"/>
              <w:jc w:val="left"/>
              <w:rPr>
                <w:color w:val="000000"/>
                <w:sz w:val="20"/>
                <w:szCs w:val="20"/>
              </w:rPr>
            </w:pPr>
            <w:r w:rsidRPr="00461C16">
              <w:rPr>
                <w:color w:val="000000"/>
                <w:sz w:val="20"/>
                <w:szCs w:val="20"/>
              </w:rPr>
              <w:lastRenderedPageBreak/>
              <w:t>Z22</w:t>
            </w:r>
          </w:p>
        </w:tc>
        <w:tc>
          <w:tcPr>
            <w:tcW w:w="2515" w:type="dxa"/>
            <w:shd w:val="clear" w:color="auto" w:fill="auto"/>
          </w:tcPr>
          <w:p w14:paraId="7D7DBAC2" w14:textId="77777777" w:rsidR="00D95069" w:rsidRPr="00461C16" w:rsidRDefault="00D95069"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5B7296F7" w14:textId="77777777" w:rsidR="00D95069" w:rsidRPr="00461C16" w:rsidRDefault="001833AF" w:rsidP="00535F13">
            <w:pPr>
              <w:pStyle w:val="Intabulka"/>
              <w:rPr>
                <w:rFonts w:ascii="Arial Narrow" w:hAnsi="Arial Narrow"/>
                <w:color w:val="FF0000"/>
                <w:lang w:val="cs-CZ"/>
              </w:rPr>
            </w:pPr>
            <w:r w:rsidRPr="00461C16">
              <w:rPr>
                <w:rFonts w:ascii="Arial Narrow" w:hAnsi="Arial Narrow"/>
                <w:lang w:val="cs-CZ"/>
              </w:rPr>
              <w:t xml:space="preserve">Plocha je vymezena </w:t>
            </w:r>
            <w:r w:rsidRPr="00461C16">
              <w:rPr>
                <w:rFonts w:ascii="Arial Narrow" w:hAnsi="Arial Narrow"/>
              </w:rPr>
              <w:t>v souladu s požadavkem schváleného Zadání ÚP</w:t>
            </w:r>
            <w:r w:rsidRPr="00461C16">
              <w:rPr>
                <w:rFonts w:ascii="Arial Narrow" w:hAnsi="Arial Narrow"/>
                <w:lang w:val="cs-CZ"/>
              </w:rPr>
              <w:t xml:space="preserve">, na základě požadavku vlastníka pozemku. Plocha navazuje na stabilizovanou obytnou zástavbu v jižní části Václavic a umožňuje její doplnění, čímž přispívá k uspokojení poptávky po nových plochách pro bydlení a zároveň umožňuje případnou lokalizaci služeb, s cílem zvýšení kvality podmínek pro život v sídle Václavice. </w:t>
            </w:r>
          </w:p>
        </w:tc>
      </w:tr>
      <w:tr w:rsidR="002D3E77" w:rsidRPr="00461C16" w14:paraId="12985E37" w14:textId="77777777" w:rsidTr="005465A1">
        <w:trPr>
          <w:cantSplit/>
          <w:jc w:val="center"/>
        </w:trPr>
        <w:tc>
          <w:tcPr>
            <w:tcW w:w="1116" w:type="dxa"/>
            <w:shd w:val="clear" w:color="auto" w:fill="auto"/>
          </w:tcPr>
          <w:p w14:paraId="35E89D80" w14:textId="77777777" w:rsidR="00C524E5" w:rsidRPr="00461C16" w:rsidRDefault="00C524E5" w:rsidP="00413CFE">
            <w:pPr>
              <w:spacing w:before="40"/>
              <w:jc w:val="left"/>
              <w:rPr>
                <w:color w:val="000000"/>
                <w:sz w:val="20"/>
                <w:szCs w:val="20"/>
              </w:rPr>
            </w:pPr>
            <w:r w:rsidRPr="00461C16">
              <w:rPr>
                <w:color w:val="000000"/>
                <w:sz w:val="20"/>
                <w:szCs w:val="20"/>
              </w:rPr>
              <w:t>Z23</w:t>
            </w:r>
          </w:p>
        </w:tc>
        <w:tc>
          <w:tcPr>
            <w:tcW w:w="2515" w:type="dxa"/>
            <w:shd w:val="clear" w:color="auto" w:fill="auto"/>
          </w:tcPr>
          <w:p w14:paraId="37EF0DE5" w14:textId="77777777" w:rsidR="00C524E5" w:rsidRPr="00461C16" w:rsidRDefault="00C524E5"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68F4CE39" w14:textId="77777777" w:rsidR="00C524E5" w:rsidRPr="00461C16" w:rsidRDefault="00C524E5" w:rsidP="00C524E5">
            <w:pPr>
              <w:pStyle w:val="Intabulka"/>
              <w:rPr>
                <w:rFonts w:ascii="Arial Narrow" w:hAnsi="Arial Narrow"/>
                <w:lang w:val="cs-CZ"/>
              </w:rPr>
            </w:pPr>
            <w:r w:rsidRPr="00461C16">
              <w:rPr>
                <w:rFonts w:ascii="Arial Narrow" w:hAnsi="Arial Narrow"/>
                <w:lang w:val="cs-CZ"/>
              </w:rPr>
              <w:t>Plocha je vymezena v návaznosti na plochu P02 za účelem scelení prostorové proluky v zástavbě na severním okraji části Václavice. Využití proluky směřuje k účelnému a hospodárnému využívání území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 Vymezení plochy vychází ze současně platného ÚP města</w:t>
            </w:r>
            <w:r w:rsidR="007F1E07" w:rsidRPr="00461C16">
              <w:rPr>
                <w:rFonts w:ascii="Arial Narrow" w:hAnsi="Arial Narrow"/>
                <w:lang w:val="cs-CZ"/>
              </w:rPr>
              <w:t>, kde již byla řádně projednána a schválena</w:t>
            </w:r>
            <w:r w:rsidRPr="00461C16">
              <w:rPr>
                <w:rFonts w:ascii="Arial Narrow" w:hAnsi="Arial Narrow"/>
                <w:lang w:val="cs-CZ"/>
              </w:rPr>
              <w:t>.</w:t>
            </w:r>
          </w:p>
        </w:tc>
      </w:tr>
      <w:tr w:rsidR="002D3E77" w:rsidRPr="00461C16" w14:paraId="18BDC283" w14:textId="77777777" w:rsidTr="005465A1">
        <w:trPr>
          <w:cantSplit/>
          <w:jc w:val="center"/>
        </w:trPr>
        <w:tc>
          <w:tcPr>
            <w:tcW w:w="1116" w:type="dxa"/>
            <w:shd w:val="clear" w:color="auto" w:fill="auto"/>
          </w:tcPr>
          <w:p w14:paraId="7A6320F8" w14:textId="77777777" w:rsidR="00D95069" w:rsidRPr="00461C16" w:rsidRDefault="00D95069" w:rsidP="00413CFE">
            <w:pPr>
              <w:spacing w:before="40"/>
              <w:jc w:val="left"/>
              <w:rPr>
                <w:color w:val="000000"/>
                <w:sz w:val="20"/>
                <w:szCs w:val="20"/>
              </w:rPr>
            </w:pPr>
            <w:r w:rsidRPr="00461C16">
              <w:rPr>
                <w:color w:val="000000"/>
                <w:sz w:val="20"/>
                <w:szCs w:val="20"/>
              </w:rPr>
              <w:t>Z24</w:t>
            </w:r>
          </w:p>
        </w:tc>
        <w:tc>
          <w:tcPr>
            <w:tcW w:w="2515" w:type="dxa"/>
            <w:shd w:val="clear" w:color="auto" w:fill="auto"/>
          </w:tcPr>
          <w:p w14:paraId="47F4C4C0" w14:textId="77777777" w:rsidR="00D95069" w:rsidRPr="00461C16" w:rsidRDefault="00D95069" w:rsidP="00413CFE">
            <w:pPr>
              <w:spacing w:before="40"/>
              <w:jc w:val="left"/>
              <w:rPr>
                <w:color w:val="000000"/>
                <w:sz w:val="20"/>
                <w:szCs w:val="20"/>
              </w:rPr>
            </w:pPr>
            <w:r w:rsidRPr="00461C16">
              <w:rPr>
                <w:color w:val="000000"/>
                <w:sz w:val="20"/>
                <w:szCs w:val="20"/>
              </w:rPr>
              <w:t>OS – sport</w:t>
            </w:r>
          </w:p>
        </w:tc>
        <w:tc>
          <w:tcPr>
            <w:tcW w:w="5657" w:type="dxa"/>
            <w:shd w:val="clear" w:color="auto" w:fill="auto"/>
          </w:tcPr>
          <w:p w14:paraId="142CE0EE" w14:textId="77777777" w:rsidR="00D95069" w:rsidRPr="00461C16" w:rsidRDefault="00535F13" w:rsidP="00413CFE">
            <w:pPr>
              <w:pStyle w:val="Intabulka"/>
              <w:rPr>
                <w:rFonts w:ascii="Arial Narrow" w:hAnsi="Arial Narrow"/>
                <w:lang w:val="cs-CZ"/>
              </w:rPr>
            </w:pPr>
            <w:r w:rsidRPr="00461C16">
              <w:rPr>
                <w:rFonts w:ascii="Arial Narrow" w:hAnsi="Arial Narrow"/>
                <w:lang w:val="cs-CZ"/>
              </w:rPr>
              <w:t>Plocha využívá prostorovou proluku v zástavbě na jižním okraji části Václavice. Navazuje na stávající sportovní areál (fotbalové hřiště) a umožňuje jeho další rozvoj, případně lokalizaci nového zařízení. Využití proluky směřuje k účelnému a hospodárnému využívání území a k posílení kompaktnosti území. Vymezení plochy umožní zkvalitnění infrastruktury pro sport a volný čas, čímž přispěje ke zvýšení kvality života obyvatel sídla Václavice.</w:t>
            </w:r>
          </w:p>
        </w:tc>
      </w:tr>
      <w:tr w:rsidR="002D3E77" w:rsidRPr="00461C16" w14:paraId="74FB4124" w14:textId="77777777" w:rsidTr="005465A1">
        <w:trPr>
          <w:cantSplit/>
          <w:jc w:val="center"/>
        </w:trPr>
        <w:tc>
          <w:tcPr>
            <w:tcW w:w="1116" w:type="dxa"/>
            <w:shd w:val="clear" w:color="auto" w:fill="auto"/>
          </w:tcPr>
          <w:p w14:paraId="42DBC9F8" w14:textId="77777777" w:rsidR="00D95069" w:rsidRPr="00461C16" w:rsidRDefault="00D95069" w:rsidP="00413CFE">
            <w:pPr>
              <w:spacing w:before="40"/>
              <w:jc w:val="left"/>
              <w:rPr>
                <w:color w:val="000000"/>
                <w:sz w:val="20"/>
                <w:szCs w:val="20"/>
              </w:rPr>
            </w:pPr>
            <w:r w:rsidRPr="00461C16">
              <w:rPr>
                <w:color w:val="000000"/>
                <w:sz w:val="20"/>
                <w:szCs w:val="20"/>
              </w:rPr>
              <w:t>Z25</w:t>
            </w:r>
          </w:p>
        </w:tc>
        <w:tc>
          <w:tcPr>
            <w:tcW w:w="2515" w:type="dxa"/>
            <w:shd w:val="clear" w:color="auto" w:fill="auto"/>
          </w:tcPr>
          <w:p w14:paraId="04E019A5" w14:textId="77777777" w:rsidR="00D95069" w:rsidRPr="00461C16" w:rsidRDefault="00D95069"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24448DA9" w14:textId="77777777" w:rsidR="00D95069" w:rsidRPr="00461C16" w:rsidRDefault="00FF53D1" w:rsidP="00413CFE">
            <w:pPr>
              <w:pStyle w:val="Intabulka"/>
              <w:rPr>
                <w:rFonts w:ascii="Arial Narrow" w:hAnsi="Arial Narrow"/>
                <w:lang w:val="cs-CZ"/>
              </w:rPr>
            </w:pPr>
            <w:r w:rsidRPr="00461C16">
              <w:rPr>
                <w:rFonts w:ascii="Arial Narrow" w:hAnsi="Arial Narrow"/>
                <w:lang w:val="cs-CZ"/>
              </w:rPr>
              <w:t>Plocha navazuje na hranici zastavěného území a doplňuje oboustranné obestavění komunikace (silnice III/2712), která tvoří páteř a urbanistickou osu části Václavice. Oboustranné obestavění komunikace je výhodné z urbanistického i ekonomického hlediska (posílení uličního charakteru veřejného prostoru, dostupnost sítí veřejné infrastruktury). Realizace záměru umožní rozvoj smíšené obytné zástavby, čímž napomůže k uspokojení poptávky po nových plochách pro bydlení a případně i k lokalizaci služeb, jako základních předpokladů pro zvýšení kvality života obyvatel sídla Václavice. Vymezení plochy vychází ze současně platného ÚP města</w:t>
            </w:r>
            <w:r w:rsidR="007F1E07" w:rsidRPr="00461C16">
              <w:rPr>
                <w:rFonts w:ascii="Arial Narrow" w:hAnsi="Arial Narrow"/>
                <w:lang w:val="cs-CZ"/>
              </w:rPr>
              <w:t>, kde již byla řádně projednána a schválena</w:t>
            </w:r>
            <w:r w:rsidRPr="00461C16">
              <w:rPr>
                <w:rFonts w:ascii="Arial Narrow" w:hAnsi="Arial Narrow"/>
                <w:lang w:val="cs-CZ"/>
              </w:rPr>
              <w:t>.</w:t>
            </w:r>
          </w:p>
        </w:tc>
      </w:tr>
      <w:tr w:rsidR="002D3E77" w:rsidRPr="00461C16" w14:paraId="6A7AE3EC" w14:textId="77777777" w:rsidTr="005465A1">
        <w:trPr>
          <w:cantSplit/>
          <w:jc w:val="center"/>
        </w:trPr>
        <w:tc>
          <w:tcPr>
            <w:tcW w:w="1116" w:type="dxa"/>
            <w:shd w:val="clear" w:color="auto" w:fill="auto"/>
          </w:tcPr>
          <w:p w14:paraId="65FEFD7C" w14:textId="77777777" w:rsidR="0079590B" w:rsidRPr="00461C16" w:rsidRDefault="0079590B" w:rsidP="00413CFE">
            <w:pPr>
              <w:spacing w:before="40"/>
              <w:jc w:val="left"/>
              <w:rPr>
                <w:color w:val="000000"/>
                <w:sz w:val="20"/>
                <w:szCs w:val="20"/>
              </w:rPr>
            </w:pPr>
            <w:r w:rsidRPr="00461C16">
              <w:rPr>
                <w:color w:val="000000"/>
                <w:sz w:val="20"/>
                <w:szCs w:val="20"/>
              </w:rPr>
              <w:t>Z26</w:t>
            </w:r>
          </w:p>
        </w:tc>
        <w:tc>
          <w:tcPr>
            <w:tcW w:w="2515" w:type="dxa"/>
            <w:shd w:val="clear" w:color="auto" w:fill="auto"/>
          </w:tcPr>
          <w:p w14:paraId="024F5E2F" w14:textId="77777777" w:rsidR="0079590B" w:rsidRPr="00461C16" w:rsidRDefault="0079590B"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39DCE646" w14:textId="77777777" w:rsidR="0079590B" w:rsidRPr="00461C16" w:rsidRDefault="0079590B" w:rsidP="0079590B">
            <w:pPr>
              <w:pStyle w:val="Intabulka"/>
              <w:rPr>
                <w:rFonts w:ascii="Arial Narrow" w:hAnsi="Arial Narrow"/>
                <w:lang w:val="cs-CZ"/>
              </w:rPr>
            </w:pPr>
            <w:r w:rsidRPr="00461C16">
              <w:rPr>
                <w:rFonts w:ascii="Arial Narrow" w:hAnsi="Arial Narrow"/>
                <w:lang w:val="cs-CZ"/>
              </w:rPr>
              <w:t>Plocha je vymezena v prostorové proluce ve stávající zástavbě podél silnice III/2713, která tvoří páteř a urbanistickou osu části Václavice. Využití proluky směřuje k účelnému a hospodárnému využívání území, ke scelení zástavby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w:t>
            </w:r>
            <w:r w:rsidR="00B345B4" w:rsidRPr="00461C16">
              <w:rPr>
                <w:rFonts w:ascii="Arial Narrow" w:hAnsi="Arial Narrow"/>
                <w:lang w:val="cs-CZ"/>
              </w:rPr>
              <w:t xml:space="preserve"> </w:t>
            </w:r>
          </w:p>
        </w:tc>
      </w:tr>
      <w:tr w:rsidR="002D3E77" w:rsidRPr="00461C16" w14:paraId="413D48A3" w14:textId="77777777" w:rsidTr="005465A1">
        <w:trPr>
          <w:cantSplit/>
          <w:jc w:val="center"/>
        </w:trPr>
        <w:tc>
          <w:tcPr>
            <w:tcW w:w="1116" w:type="dxa"/>
            <w:shd w:val="clear" w:color="auto" w:fill="auto"/>
          </w:tcPr>
          <w:p w14:paraId="0786B313" w14:textId="77777777" w:rsidR="006724C2" w:rsidRPr="00461C16" w:rsidRDefault="006724C2" w:rsidP="00413CFE">
            <w:pPr>
              <w:spacing w:before="40"/>
              <w:jc w:val="left"/>
              <w:rPr>
                <w:color w:val="000000"/>
                <w:sz w:val="20"/>
                <w:szCs w:val="20"/>
              </w:rPr>
            </w:pPr>
            <w:r w:rsidRPr="00461C16">
              <w:rPr>
                <w:color w:val="000000"/>
                <w:sz w:val="20"/>
                <w:szCs w:val="20"/>
              </w:rPr>
              <w:t>Z28</w:t>
            </w:r>
          </w:p>
        </w:tc>
        <w:tc>
          <w:tcPr>
            <w:tcW w:w="2515" w:type="dxa"/>
            <w:shd w:val="clear" w:color="auto" w:fill="auto"/>
          </w:tcPr>
          <w:p w14:paraId="55908750" w14:textId="77777777" w:rsidR="006724C2" w:rsidRPr="00461C16" w:rsidRDefault="006724C2"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24A3F6BC" w14:textId="77777777" w:rsidR="006724C2" w:rsidRPr="00461C16" w:rsidRDefault="006724C2" w:rsidP="00347912">
            <w:pPr>
              <w:pStyle w:val="Intabulka"/>
              <w:rPr>
                <w:rFonts w:ascii="Arial Narrow" w:hAnsi="Arial Narrow"/>
                <w:lang w:val="cs-CZ"/>
              </w:rPr>
            </w:pPr>
            <w:r w:rsidRPr="00461C16">
              <w:rPr>
                <w:rFonts w:ascii="Arial Narrow" w:hAnsi="Arial Narrow"/>
                <w:lang w:val="cs-CZ"/>
              </w:rPr>
              <w:t>Plocha je vymezena v prostorové proluce ve stávající zástavbě podél silnice III/2713, která tvoří páteř a urbanistickou osu části Václavice. Využití proluky směřuje k účelnému a hospodárnému využívání území, ke scelení zástavby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w:t>
            </w:r>
            <w:r w:rsidR="00B345B4" w:rsidRPr="00461C16">
              <w:rPr>
                <w:rFonts w:ascii="Arial Narrow" w:hAnsi="Arial Narrow"/>
                <w:lang w:val="cs-CZ"/>
              </w:rPr>
              <w:t xml:space="preserve"> </w:t>
            </w:r>
            <w:r w:rsidRPr="00461C16">
              <w:rPr>
                <w:rFonts w:ascii="Arial Narrow" w:hAnsi="Arial Narrow"/>
                <w:lang w:val="cs-CZ"/>
              </w:rPr>
              <w:t>Vymezení plochy vychází ze současně platného ÚP města</w:t>
            </w:r>
            <w:r w:rsidR="007F1E07" w:rsidRPr="00461C16">
              <w:rPr>
                <w:rFonts w:ascii="Arial Narrow" w:hAnsi="Arial Narrow"/>
                <w:lang w:val="cs-CZ"/>
              </w:rPr>
              <w:t>, kde již byla řádně projednána a schválena</w:t>
            </w:r>
            <w:r w:rsidRPr="00461C16">
              <w:rPr>
                <w:rFonts w:ascii="Arial Narrow" w:hAnsi="Arial Narrow"/>
                <w:lang w:val="cs-CZ"/>
              </w:rPr>
              <w:t>.</w:t>
            </w:r>
          </w:p>
        </w:tc>
      </w:tr>
      <w:tr w:rsidR="002D3E77" w:rsidRPr="00461C16" w14:paraId="740863D9" w14:textId="77777777" w:rsidTr="005465A1">
        <w:trPr>
          <w:cantSplit/>
          <w:jc w:val="center"/>
        </w:trPr>
        <w:tc>
          <w:tcPr>
            <w:tcW w:w="1116" w:type="dxa"/>
            <w:shd w:val="clear" w:color="auto" w:fill="auto"/>
          </w:tcPr>
          <w:p w14:paraId="671873D9" w14:textId="77777777" w:rsidR="00D95069" w:rsidRPr="00461C16" w:rsidRDefault="00D95069" w:rsidP="00413CFE">
            <w:pPr>
              <w:spacing w:before="40"/>
              <w:jc w:val="left"/>
              <w:rPr>
                <w:color w:val="000000"/>
                <w:sz w:val="20"/>
                <w:szCs w:val="20"/>
              </w:rPr>
            </w:pPr>
            <w:r w:rsidRPr="00461C16">
              <w:rPr>
                <w:color w:val="000000"/>
                <w:sz w:val="20"/>
                <w:szCs w:val="20"/>
              </w:rPr>
              <w:t>Z29</w:t>
            </w:r>
          </w:p>
        </w:tc>
        <w:tc>
          <w:tcPr>
            <w:tcW w:w="2515" w:type="dxa"/>
            <w:shd w:val="clear" w:color="auto" w:fill="auto"/>
          </w:tcPr>
          <w:p w14:paraId="3021357B" w14:textId="77777777" w:rsidR="00D95069" w:rsidRPr="00461C16" w:rsidRDefault="00D95069" w:rsidP="00413CFE">
            <w:pPr>
              <w:spacing w:before="40"/>
              <w:jc w:val="left"/>
              <w:rPr>
                <w:color w:val="000000"/>
                <w:sz w:val="20"/>
                <w:szCs w:val="20"/>
              </w:rPr>
            </w:pPr>
            <w:r w:rsidRPr="00461C16">
              <w:rPr>
                <w:color w:val="000000"/>
                <w:sz w:val="20"/>
                <w:szCs w:val="20"/>
              </w:rPr>
              <w:t xml:space="preserve">BV – bydlení venkovské </w:t>
            </w:r>
          </w:p>
        </w:tc>
        <w:tc>
          <w:tcPr>
            <w:tcW w:w="5657" w:type="dxa"/>
            <w:shd w:val="clear" w:color="auto" w:fill="auto"/>
          </w:tcPr>
          <w:p w14:paraId="050D8DDF" w14:textId="77777777" w:rsidR="00D95069" w:rsidRPr="00461C16" w:rsidRDefault="007F1E07" w:rsidP="00C572F8">
            <w:pPr>
              <w:pStyle w:val="Intabulka"/>
              <w:rPr>
                <w:rFonts w:ascii="Arial Narrow" w:hAnsi="Arial Narrow"/>
                <w:lang w:val="cs-CZ"/>
              </w:rPr>
            </w:pPr>
            <w:r w:rsidRPr="00461C16">
              <w:rPr>
                <w:rFonts w:ascii="Arial Narrow" w:hAnsi="Arial Narrow"/>
                <w:lang w:val="cs-CZ"/>
              </w:rPr>
              <w:t xml:space="preserve">Plocha je vymezena na jižním okraji sídla Uhelná, navazuje na hranici zastavěného území. Využívá prostorovou proluku v zástavbě, čímž směřuje k hospodárnému a účelnému využívání území, zároveň přispívá ke scelení fragmentované zástavby. Je určena k rozvoji venkovské obytné zástavby, v souladu s charakterem navazujícího území. </w:t>
            </w:r>
            <w:r w:rsidR="00C572F8">
              <w:rPr>
                <w:rFonts w:ascii="Arial Narrow" w:hAnsi="Arial Narrow"/>
                <w:lang w:val="cs-CZ"/>
              </w:rPr>
              <w:t>P</w:t>
            </w:r>
            <w:r w:rsidRPr="00461C16">
              <w:rPr>
                <w:rFonts w:ascii="Arial Narrow" w:hAnsi="Arial Narrow"/>
                <w:lang w:val="cs-CZ"/>
              </w:rPr>
              <w:t>locha potvrzuje záměr ze současně platného ÚP města</w:t>
            </w:r>
            <w:r w:rsidR="00C572F8">
              <w:rPr>
                <w:rFonts w:ascii="Arial Narrow" w:hAnsi="Arial Narrow"/>
                <w:lang w:val="cs-CZ"/>
              </w:rPr>
              <w:t xml:space="preserve">. </w:t>
            </w:r>
            <w:r w:rsidRPr="00461C16">
              <w:rPr>
                <w:rFonts w:ascii="Arial Narrow" w:hAnsi="Arial Narrow"/>
                <w:lang w:val="cs-CZ"/>
              </w:rPr>
              <w:t>Jedná se o jedinou rozvojovou plochu v sídle Uhelná, je tedy jedinou příležitostí pro další stavební rozvoj sídla a uspokojení poptávky po dalších plochách bydlení.</w:t>
            </w:r>
          </w:p>
        </w:tc>
      </w:tr>
      <w:tr w:rsidR="002D3E77" w:rsidRPr="00461C16" w14:paraId="50684BFD" w14:textId="77777777" w:rsidTr="005465A1">
        <w:trPr>
          <w:cantSplit/>
          <w:jc w:val="center"/>
        </w:trPr>
        <w:tc>
          <w:tcPr>
            <w:tcW w:w="1116" w:type="dxa"/>
            <w:shd w:val="clear" w:color="auto" w:fill="auto"/>
          </w:tcPr>
          <w:p w14:paraId="00EB72BF" w14:textId="77777777" w:rsidR="00887ADB" w:rsidRPr="00461C16" w:rsidRDefault="00887ADB" w:rsidP="00413CFE">
            <w:pPr>
              <w:spacing w:before="40"/>
              <w:jc w:val="left"/>
              <w:rPr>
                <w:color w:val="000000"/>
                <w:sz w:val="20"/>
                <w:szCs w:val="20"/>
              </w:rPr>
            </w:pPr>
            <w:r w:rsidRPr="00461C16">
              <w:rPr>
                <w:color w:val="000000"/>
                <w:sz w:val="20"/>
                <w:szCs w:val="20"/>
              </w:rPr>
              <w:lastRenderedPageBreak/>
              <w:t>Z30</w:t>
            </w:r>
          </w:p>
        </w:tc>
        <w:tc>
          <w:tcPr>
            <w:tcW w:w="2515" w:type="dxa"/>
            <w:shd w:val="clear" w:color="auto" w:fill="auto"/>
          </w:tcPr>
          <w:p w14:paraId="639DC70D" w14:textId="77777777" w:rsidR="00887ADB" w:rsidRPr="00461C16" w:rsidRDefault="00887ADB"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36EA2A5F" w14:textId="77777777" w:rsidR="00887ADB" w:rsidRPr="00461C16" w:rsidRDefault="00887ADB" w:rsidP="00887ADB">
            <w:pPr>
              <w:pStyle w:val="Intabulka"/>
              <w:rPr>
                <w:rFonts w:ascii="Arial Narrow" w:hAnsi="Arial Narrow"/>
                <w:lang w:val="cs-CZ"/>
              </w:rPr>
            </w:pPr>
            <w:r w:rsidRPr="00461C16">
              <w:rPr>
                <w:rFonts w:ascii="Arial Narrow" w:hAnsi="Arial Narrow"/>
                <w:lang w:val="cs-CZ"/>
              </w:rPr>
              <w:t>Plocha je určena k doplnění smíšené obytné zástavby na jižním okraji části Oldřichov na Hranicích, v souladu s požadavkem schváleného Zadání ÚP. Záměr navazuje na stabilizovanou zástavbu a dotváří plynulou hranici zastavěného území v jižní části sídla.</w:t>
            </w:r>
            <w:r w:rsidR="00B345B4" w:rsidRPr="00461C16">
              <w:rPr>
                <w:rFonts w:ascii="Arial Narrow" w:hAnsi="Arial Narrow"/>
                <w:lang w:val="cs-CZ"/>
              </w:rPr>
              <w:t xml:space="preserve"> </w:t>
            </w:r>
          </w:p>
        </w:tc>
      </w:tr>
      <w:tr w:rsidR="002D3E77" w:rsidRPr="00461C16" w14:paraId="23A5D64B" w14:textId="77777777" w:rsidTr="005465A1">
        <w:trPr>
          <w:cantSplit/>
          <w:jc w:val="center"/>
        </w:trPr>
        <w:tc>
          <w:tcPr>
            <w:tcW w:w="1116" w:type="dxa"/>
            <w:shd w:val="clear" w:color="auto" w:fill="auto"/>
          </w:tcPr>
          <w:p w14:paraId="4C37FBB5" w14:textId="77777777" w:rsidR="00D95069" w:rsidRPr="00461C16" w:rsidRDefault="00D95069" w:rsidP="00413CFE">
            <w:pPr>
              <w:spacing w:before="40"/>
              <w:jc w:val="left"/>
              <w:rPr>
                <w:color w:val="000000"/>
                <w:sz w:val="20"/>
                <w:szCs w:val="20"/>
              </w:rPr>
            </w:pPr>
            <w:r w:rsidRPr="00461C16">
              <w:rPr>
                <w:color w:val="000000"/>
                <w:sz w:val="20"/>
                <w:szCs w:val="20"/>
              </w:rPr>
              <w:t>Z31</w:t>
            </w:r>
          </w:p>
        </w:tc>
        <w:tc>
          <w:tcPr>
            <w:tcW w:w="2515" w:type="dxa"/>
            <w:shd w:val="clear" w:color="auto" w:fill="auto"/>
          </w:tcPr>
          <w:p w14:paraId="1AC01D95" w14:textId="77777777" w:rsidR="00D95069" w:rsidRPr="00461C16" w:rsidRDefault="00D95069" w:rsidP="00413CFE">
            <w:pPr>
              <w:spacing w:before="40"/>
              <w:jc w:val="left"/>
              <w:rPr>
                <w:color w:val="000000"/>
                <w:sz w:val="20"/>
                <w:szCs w:val="20"/>
              </w:rPr>
            </w:pPr>
            <w:r w:rsidRPr="00461C16">
              <w:rPr>
                <w:color w:val="000000"/>
                <w:sz w:val="20"/>
                <w:szCs w:val="20"/>
              </w:rPr>
              <w:t>ZV – veřejné prostranství – veřejná zeleň</w:t>
            </w:r>
          </w:p>
        </w:tc>
        <w:tc>
          <w:tcPr>
            <w:tcW w:w="5657" w:type="dxa"/>
            <w:shd w:val="clear" w:color="auto" w:fill="auto"/>
          </w:tcPr>
          <w:p w14:paraId="573B93E7" w14:textId="77777777" w:rsidR="00D95069" w:rsidRPr="00461C16" w:rsidRDefault="00887ADB" w:rsidP="00413CFE">
            <w:pPr>
              <w:pStyle w:val="Intabulka"/>
              <w:rPr>
                <w:rFonts w:ascii="Arial Narrow" w:hAnsi="Arial Narrow"/>
                <w:lang w:val="cs-CZ"/>
              </w:rPr>
            </w:pPr>
            <w:r w:rsidRPr="00461C16">
              <w:rPr>
                <w:rFonts w:ascii="Arial Narrow" w:hAnsi="Arial Narrow"/>
                <w:lang w:val="cs-CZ"/>
              </w:rPr>
              <w:t>Plocha je vymezena za účelem zkvalitnění veřejného prostranství v lokalitě Trojzemí, která má strategický význam – nachází se na styku správního území 3 států. Tato poloha je předpokladem pro vysokou atraktivitu lokality a je tedy nezbytné zajištění nezbytného zázemí pro její návštěvníky, které v současné době chybí. Plocha je vymezena v souladu s požadavkem schváleného Zadání ÚP.</w:t>
            </w:r>
          </w:p>
        </w:tc>
      </w:tr>
      <w:tr w:rsidR="002D3E77" w:rsidRPr="00461C16" w14:paraId="73A02862" w14:textId="77777777" w:rsidTr="005465A1">
        <w:trPr>
          <w:cantSplit/>
          <w:jc w:val="center"/>
        </w:trPr>
        <w:tc>
          <w:tcPr>
            <w:tcW w:w="1116" w:type="dxa"/>
            <w:shd w:val="clear" w:color="auto" w:fill="auto"/>
          </w:tcPr>
          <w:p w14:paraId="2C1AB8C4" w14:textId="77777777" w:rsidR="00D95069" w:rsidRPr="00461C16" w:rsidRDefault="00D95069" w:rsidP="00413CFE">
            <w:pPr>
              <w:spacing w:before="40"/>
              <w:jc w:val="left"/>
              <w:rPr>
                <w:color w:val="000000"/>
                <w:sz w:val="20"/>
                <w:szCs w:val="20"/>
              </w:rPr>
            </w:pPr>
            <w:r w:rsidRPr="00461C16">
              <w:rPr>
                <w:color w:val="000000"/>
                <w:sz w:val="20"/>
                <w:szCs w:val="20"/>
              </w:rPr>
              <w:t>Z32</w:t>
            </w:r>
          </w:p>
        </w:tc>
        <w:tc>
          <w:tcPr>
            <w:tcW w:w="2515" w:type="dxa"/>
            <w:shd w:val="clear" w:color="auto" w:fill="auto"/>
          </w:tcPr>
          <w:p w14:paraId="182EEF8D" w14:textId="77777777" w:rsidR="00D95069" w:rsidRPr="00461C16" w:rsidRDefault="00D95069" w:rsidP="00413CFE">
            <w:pPr>
              <w:spacing w:before="40"/>
              <w:jc w:val="left"/>
              <w:rPr>
                <w:color w:val="000000"/>
                <w:sz w:val="20"/>
                <w:szCs w:val="20"/>
              </w:rPr>
            </w:pPr>
            <w:r w:rsidRPr="00461C16">
              <w:rPr>
                <w:color w:val="000000"/>
                <w:sz w:val="20"/>
                <w:szCs w:val="20"/>
              </w:rPr>
              <w:t>RN – rekreace na plochách přírodního charakteru</w:t>
            </w:r>
          </w:p>
        </w:tc>
        <w:tc>
          <w:tcPr>
            <w:tcW w:w="5657" w:type="dxa"/>
            <w:shd w:val="clear" w:color="auto" w:fill="auto"/>
          </w:tcPr>
          <w:p w14:paraId="5BA8BE7A" w14:textId="77777777" w:rsidR="00D95069" w:rsidRPr="00461C16" w:rsidRDefault="00887ADB" w:rsidP="00887ADB">
            <w:pPr>
              <w:pStyle w:val="Intabulka"/>
              <w:rPr>
                <w:rFonts w:ascii="Arial Narrow" w:hAnsi="Arial Narrow"/>
                <w:lang w:val="cs-CZ"/>
              </w:rPr>
            </w:pPr>
            <w:r w:rsidRPr="00461C16">
              <w:rPr>
                <w:rFonts w:ascii="Arial Narrow" w:hAnsi="Arial Narrow"/>
                <w:lang w:val="cs-CZ"/>
              </w:rPr>
              <w:t xml:space="preserve">Plocha je vymezena s cílem umožnit rozšíření rekreačního areálu Kristýna, které se nachází na státní hranici a i vzhledem k jeho rozsahu a vysoké atraktivitě přírodního prostředí a zázemí jej lze považovat za zařízení nadmístního – mezinárodního významu. Jeho rozvoj je žádoucí a zvyšování kvality a nabídky služeb pro návštěvníky je nezbytným prostředkem pro podporu rekreace a cestovního ruchu ve městě. Záměr předpokládá umísťování rekreačních ploch a zařízení přírodního charakteru, tedy bez zástavby a s maximálním ohledem vůči hodnotám přírodního prostředí. Plocha </w:t>
            </w:r>
            <w:r w:rsidR="00BB459B" w:rsidRPr="00461C16">
              <w:rPr>
                <w:rFonts w:ascii="Arial Narrow" w:hAnsi="Arial Narrow"/>
                <w:lang w:val="cs-CZ"/>
              </w:rPr>
              <w:t xml:space="preserve">je </w:t>
            </w:r>
            <w:r w:rsidRPr="00461C16">
              <w:rPr>
                <w:rFonts w:ascii="Arial Narrow" w:hAnsi="Arial Narrow"/>
                <w:lang w:val="cs-CZ"/>
              </w:rPr>
              <w:t>vymezena dle schváleného Zadání ÚP a v souladu se současně platným ÚP města</w:t>
            </w:r>
            <w:r w:rsidR="00A34102" w:rsidRPr="00461C16">
              <w:rPr>
                <w:rFonts w:ascii="Arial Narrow" w:hAnsi="Arial Narrow"/>
                <w:lang w:val="cs-CZ"/>
              </w:rPr>
              <w:t>, kde již byla řádně projednána a schválena</w:t>
            </w:r>
            <w:r w:rsidRPr="00461C16">
              <w:rPr>
                <w:rFonts w:ascii="Arial Narrow" w:hAnsi="Arial Narrow"/>
                <w:lang w:val="cs-CZ"/>
              </w:rPr>
              <w:t>.</w:t>
            </w:r>
          </w:p>
        </w:tc>
      </w:tr>
      <w:tr w:rsidR="002D3E77" w:rsidRPr="00461C16" w14:paraId="6A06872A" w14:textId="77777777" w:rsidTr="005465A1">
        <w:trPr>
          <w:cantSplit/>
          <w:jc w:val="center"/>
        </w:trPr>
        <w:tc>
          <w:tcPr>
            <w:tcW w:w="1116" w:type="dxa"/>
            <w:shd w:val="clear" w:color="auto" w:fill="auto"/>
          </w:tcPr>
          <w:p w14:paraId="623A1E2D" w14:textId="77777777" w:rsidR="00887ADB" w:rsidRPr="00461C16" w:rsidRDefault="00887ADB" w:rsidP="00413CFE">
            <w:pPr>
              <w:spacing w:before="40"/>
              <w:jc w:val="left"/>
              <w:rPr>
                <w:color w:val="000000"/>
                <w:sz w:val="20"/>
                <w:szCs w:val="20"/>
              </w:rPr>
            </w:pPr>
            <w:r w:rsidRPr="00461C16">
              <w:rPr>
                <w:color w:val="000000"/>
                <w:sz w:val="20"/>
                <w:szCs w:val="20"/>
              </w:rPr>
              <w:t>Z35</w:t>
            </w:r>
          </w:p>
        </w:tc>
        <w:tc>
          <w:tcPr>
            <w:tcW w:w="2515" w:type="dxa"/>
            <w:shd w:val="clear" w:color="auto" w:fill="auto"/>
          </w:tcPr>
          <w:p w14:paraId="6AA497CF" w14:textId="77777777" w:rsidR="00887ADB" w:rsidRPr="00461C16" w:rsidRDefault="00887ADB" w:rsidP="00413CFE">
            <w:pPr>
              <w:spacing w:before="40"/>
              <w:jc w:val="left"/>
              <w:rPr>
                <w:color w:val="000000"/>
                <w:sz w:val="20"/>
                <w:szCs w:val="20"/>
              </w:rPr>
            </w:pPr>
            <w:r w:rsidRPr="00461C16">
              <w:rPr>
                <w:color w:val="000000"/>
                <w:sz w:val="20"/>
                <w:szCs w:val="20"/>
              </w:rPr>
              <w:t>RN – rekreace na plochách přírodního charakteru</w:t>
            </w:r>
          </w:p>
        </w:tc>
        <w:tc>
          <w:tcPr>
            <w:tcW w:w="5657" w:type="dxa"/>
            <w:shd w:val="clear" w:color="auto" w:fill="auto"/>
          </w:tcPr>
          <w:p w14:paraId="4760DCE1" w14:textId="77777777" w:rsidR="00887ADB" w:rsidRPr="00461C16" w:rsidRDefault="00887ADB" w:rsidP="00BB459B">
            <w:pPr>
              <w:pStyle w:val="Intabulka"/>
              <w:rPr>
                <w:rFonts w:ascii="Arial Narrow" w:hAnsi="Arial Narrow"/>
                <w:lang w:val="cs-CZ"/>
              </w:rPr>
            </w:pPr>
            <w:r w:rsidRPr="00461C16">
              <w:rPr>
                <w:rFonts w:ascii="Arial Narrow" w:hAnsi="Arial Narrow"/>
                <w:lang w:val="cs-CZ"/>
              </w:rPr>
              <w:t xml:space="preserve">Plocha je vymezena s cílem umožnit rozšíření rekreačního areálu Kristýna, které se nachází na státní hranici a i vzhledem k jeho rozsahu a vysoké atraktivitě přírodního prostředí a zázemí jej lze považovat za zařízení nadmístního – mezinárodního významu. Jeho rozvoj je žádoucí a zvyšování kvality a nabídky služeb pro návštěvníky je nezbytným prostředkem pro podporu rekreace a cestovního ruchu ve městě. Záměr předpokládá umísťování rekreačních ploch a zařízení přírodního charakteru, tedy bez zástavby a s maximálním ohledem vůči hodnotám přírodního prostředí. Plocha </w:t>
            </w:r>
            <w:r w:rsidR="00BB459B" w:rsidRPr="00461C16">
              <w:rPr>
                <w:rFonts w:ascii="Arial Narrow" w:hAnsi="Arial Narrow"/>
                <w:lang w:val="cs-CZ"/>
              </w:rPr>
              <w:t xml:space="preserve">je </w:t>
            </w:r>
            <w:r w:rsidRPr="00461C16">
              <w:rPr>
                <w:rFonts w:ascii="Arial Narrow" w:hAnsi="Arial Narrow"/>
                <w:lang w:val="cs-CZ"/>
              </w:rPr>
              <w:t xml:space="preserve">vymezena </w:t>
            </w:r>
            <w:r w:rsidR="00BB459B" w:rsidRPr="00461C16">
              <w:rPr>
                <w:rFonts w:ascii="Arial Narrow" w:hAnsi="Arial Narrow"/>
                <w:lang w:val="cs-CZ"/>
              </w:rPr>
              <w:t>v souladu s požadavkem</w:t>
            </w:r>
            <w:r w:rsidRPr="00461C16">
              <w:rPr>
                <w:rFonts w:ascii="Arial Narrow" w:hAnsi="Arial Narrow"/>
                <w:lang w:val="cs-CZ"/>
              </w:rPr>
              <w:t xml:space="preserve"> města.</w:t>
            </w:r>
          </w:p>
        </w:tc>
      </w:tr>
      <w:tr w:rsidR="002D3E77" w:rsidRPr="00461C16" w14:paraId="6B505B0B" w14:textId="77777777" w:rsidTr="005465A1">
        <w:trPr>
          <w:cantSplit/>
          <w:jc w:val="center"/>
        </w:trPr>
        <w:tc>
          <w:tcPr>
            <w:tcW w:w="1116" w:type="dxa"/>
            <w:shd w:val="clear" w:color="auto" w:fill="auto"/>
          </w:tcPr>
          <w:p w14:paraId="177C57E3" w14:textId="77777777" w:rsidR="005E6CB7" w:rsidRPr="00461C16" w:rsidRDefault="005E6CB7" w:rsidP="00413CFE">
            <w:pPr>
              <w:spacing w:before="40"/>
              <w:jc w:val="left"/>
              <w:rPr>
                <w:color w:val="000000"/>
                <w:sz w:val="20"/>
                <w:szCs w:val="20"/>
              </w:rPr>
            </w:pPr>
            <w:r w:rsidRPr="00461C16">
              <w:rPr>
                <w:color w:val="000000"/>
                <w:sz w:val="20"/>
                <w:szCs w:val="20"/>
              </w:rPr>
              <w:t>Z36</w:t>
            </w:r>
          </w:p>
        </w:tc>
        <w:tc>
          <w:tcPr>
            <w:tcW w:w="2515" w:type="dxa"/>
            <w:shd w:val="clear" w:color="auto" w:fill="auto"/>
          </w:tcPr>
          <w:p w14:paraId="18445C16" w14:textId="77777777" w:rsidR="005E6CB7" w:rsidRPr="00461C16" w:rsidRDefault="005E6CB7" w:rsidP="00413CFE">
            <w:pPr>
              <w:spacing w:before="40"/>
              <w:jc w:val="left"/>
              <w:rPr>
                <w:color w:val="000000"/>
                <w:sz w:val="20"/>
                <w:szCs w:val="20"/>
              </w:rPr>
            </w:pPr>
            <w:r w:rsidRPr="00461C16">
              <w:rPr>
                <w:color w:val="000000"/>
                <w:sz w:val="20"/>
                <w:szCs w:val="20"/>
              </w:rPr>
              <w:t>VL – lehký průmysl</w:t>
            </w:r>
          </w:p>
        </w:tc>
        <w:tc>
          <w:tcPr>
            <w:tcW w:w="5657" w:type="dxa"/>
            <w:shd w:val="clear" w:color="auto" w:fill="auto"/>
          </w:tcPr>
          <w:p w14:paraId="118D6973" w14:textId="77777777" w:rsidR="00BD29BB" w:rsidRDefault="005E6CB7" w:rsidP="00ED2250">
            <w:pPr>
              <w:pStyle w:val="Intabulka"/>
              <w:rPr>
                <w:rFonts w:ascii="Arial Narrow" w:hAnsi="Arial Narrow"/>
                <w:lang w:val="cs-CZ"/>
              </w:rPr>
            </w:pPr>
            <w:r w:rsidRPr="00461C16">
              <w:rPr>
                <w:rFonts w:ascii="Arial Narrow" w:hAnsi="Arial Narrow"/>
                <w:lang w:val="cs-CZ"/>
              </w:rPr>
              <w:t>Plocha účelně využívá proluku v území mezi stávající průmyslovou zónou a obchvatem města. Je určena k rozšíření ploch výroby, jako součást průmyslové zóny Hrádek nad Nisou, která má strategickou polohu na mezinárodním dopravním tahu a tudíž i nezpochybnitelný nadmístní význam. Vymezení plochy respektuje požadavky na rozvoj města s ohledem na polohu v republikově významné rozvojové oblasti a rozvojové ose. Vzhledem k charakteru okolního území a hlukové zátěži z dopravních staveb představuje navržený způsob využití pro tuto plochu vhodné řešení. Záměr je v souladu se současně platným ÚP města</w:t>
            </w:r>
            <w:r w:rsidR="00A34102" w:rsidRPr="00461C16">
              <w:rPr>
                <w:rFonts w:ascii="Arial Narrow" w:hAnsi="Arial Narrow"/>
                <w:lang w:val="cs-CZ"/>
              </w:rPr>
              <w:t>, kde již byla plocha řádně projednána a schválena</w:t>
            </w:r>
            <w:r w:rsidRPr="00461C16">
              <w:rPr>
                <w:rFonts w:ascii="Arial Narrow" w:hAnsi="Arial Narrow"/>
                <w:lang w:val="cs-CZ"/>
              </w:rPr>
              <w:t>.</w:t>
            </w:r>
            <w:r w:rsidR="004764EF">
              <w:rPr>
                <w:rFonts w:ascii="Arial Narrow" w:hAnsi="Arial Narrow"/>
                <w:lang w:val="cs-CZ"/>
              </w:rPr>
              <w:t xml:space="preserve"> </w:t>
            </w:r>
          </w:p>
          <w:p w14:paraId="79130FC1" w14:textId="77777777" w:rsidR="005E6CB7" w:rsidRPr="00461C16" w:rsidRDefault="00E47C1D" w:rsidP="00E47C1D">
            <w:pPr>
              <w:pStyle w:val="Intabulka"/>
              <w:rPr>
                <w:rFonts w:ascii="Arial Narrow" w:hAnsi="Arial Narrow"/>
                <w:color w:val="FF0000"/>
                <w:lang w:val="cs-CZ"/>
              </w:rPr>
            </w:pPr>
            <w:r>
              <w:rPr>
                <w:rFonts w:ascii="Arial Narrow" w:hAnsi="Arial Narrow"/>
                <w:lang w:val="cs-CZ"/>
              </w:rPr>
              <w:t xml:space="preserve">Na zástavbu v jižně navazující ploše VL bylo dne </w:t>
            </w:r>
            <w:r w:rsidR="00ED2250">
              <w:rPr>
                <w:rFonts w:ascii="Arial Narrow" w:hAnsi="Arial Narrow"/>
                <w:lang w:val="cs-CZ"/>
              </w:rPr>
              <w:t>15.12.2017 bylo Městským úřadem Hrádek nad Nisou, odbor stavební a životního prostředí, pod č.j. OSŽP-8729/2017-LII vydáno stavební povolení na stavbu VGP Park Hrádek nad Nisou, hala H5</w:t>
            </w:r>
            <w:r>
              <w:rPr>
                <w:rFonts w:ascii="Arial Narrow" w:hAnsi="Arial Narrow"/>
                <w:lang w:val="cs-CZ"/>
              </w:rPr>
              <w:t xml:space="preserve"> (</w:t>
            </w:r>
            <w:r w:rsidR="00ED2250">
              <w:rPr>
                <w:rFonts w:ascii="Arial Narrow" w:hAnsi="Arial Narrow"/>
                <w:lang w:val="cs-CZ"/>
              </w:rPr>
              <w:t xml:space="preserve"> na pozemcích p.p.č. 1594/52, 1594/1, 1594/15, 1594/62 a 1594/39, k.ú. Hrádek nad Nisou</w:t>
            </w:r>
            <w:r>
              <w:rPr>
                <w:rFonts w:ascii="Arial Narrow" w:hAnsi="Arial Narrow"/>
                <w:lang w:val="cs-CZ"/>
              </w:rPr>
              <w:t>), vymezená plocha Z36 pouze umožňuje další budoucí rozvoj tohoto areálu.</w:t>
            </w:r>
            <w:r w:rsidR="00ED2250">
              <w:rPr>
                <w:rFonts w:ascii="Arial Narrow" w:hAnsi="Arial Narrow"/>
                <w:lang w:val="cs-CZ"/>
              </w:rPr>
              <w:t xml:space="preserve"> </w:t>
            </w:r>
          </w:p>
        </w:tc>
      </w:tr>
      <w:tr w:rsidR="002D3E77" w:rsidRPr="00461C16" w14:paraId="089AC845" w14:textId="77777777" w:rsidTr="005465A1">
        <w:trPr>
          <w:cantSplit/>
          <w:jc w:val="center"/>
        </w:trPr>
        <w:tc>
          <w:tcPr>
            <w:tcW w:w="1116" w:type="dxa"/>
            <w:shd w:val="clear" w:color="auto" w:fill="auto"/>
          </w:tcPr>
          <w:p w14:paraId="04C19F9F" w14:textId="77777777" w:rsidR="005E6CB7" w:rsidRPr="00461C16" w:rsidRDefault="005E6CB7" w:rsidP="00413CFE">
            <w:pPr>
              <w:spacing w:before="40"/>
              <w:jc w:val="left"/>
              <w:rPr>
                <w:color w:val="000000"/>
                <w:sz w:val="20"/>
                <w:szCs w:val="20"/>
              </w:rPr>
            </w:pPr>
            <w:r w:rsidRPr="00461C16">
              <w:rPr>
                <w:color w:val="000000"/>
                <w:sz w:val="20"/>
                <w:szCs w:val="20"/>
              </w:rPr>
              <w:lastRenderedPageBreak/>
              <w:t>Z37</w:t>
            </w:r>
          </w:p>
        </w:tc>
        <w:tc>
          <w:tcPr>
            <w:tcW w:w="2515" w:type="dxa"/>
            <w:shd w:val="clear" w:color="auto" w:fill="auto"/>
          </w:tcPr>
          <w:p w14:paraId="13155C86" w14:textId="77777777" w:rsidR="005E6CB7" w:rsidRPr="00461C16" w:rsidRDefault="005E6CB7" w:rsidP="00413CFE">
            <w:pPr>
              <w:spacing w:before="40"/>
              <w:jc w:val="left"/>
              <w:rPr>
                <w:color w:val="000000"/>
                <w:sz w:val="20"/>
                <w:szCs w:val="20"/>
              </w:rPr>
            </w:pPr>
            <w:r w:rsidRPr="00461C16">
              <w:rPr>
                <w:color w:val="000000"/>
                <w:sz w:val="20"/>
                <w:szCs w:val="20"/>
              </w:rPr>
              <w:t>VL – lehký průmysl</w:t>
            </w:r>
          </w:p>
        </w:tc>
        <w:tc>
          <w:tcPr>
            <w:tcW w:w="5657" w:type="dxa"/>
            <w:shd w:val="clear" w:color="auto" w:fill="auto"/>
          </w:tcPr>
          <w:p w14:paraId="358B3847" w14:textId="77777777" w:rsidR="005E6CB7" w:rsidRPr="00713973" w:rsidRDefault="005E6CB7" w:rsidP="00830828">
            <w:pPr>
              <w:pStyle w:val="Intabulka"/>
              <w:rPr>
                <w:rFonts w:ascii="Arial Narrow" w:hAnsi="Arial Narrow"/>
                <w:lang w:val="cs-CZ"/>
              </w:rPr>
            </w:pPr>
            <w:r w:rsidRPr="00713973">
              <w:rPr>
                <w:rFonts w:ascii="Arial Narrow" w:hAnsi="Arial Narrow"/>
                <w:lang w:val="cs-CZ"/>
              </w:rPr>
              <w:t>Plocha účelně využívá proluku v území mezi stávající průmyslovou zónou a obchvatem města. Je určena k rozšíření ploch výroby, jako součást průmyslové zóny Hrádek nad Nisou, která má strategickou polohu na mezinárodním dopravním tahu a tudíž i nezpochybnitelný nadmístní význam. Vymezení plochy respektuje požadavky na rozvoj města s ohledem na polohu v republikově významné rozvojové oblasti a rozvojové ose. Vzhledem k charakteru okolního území a hlukové zátěži z dopravních staveb představuje navržený způsob využití pro tuto plochu vhodné řešení. Záměr je v souladu se současně platným ÚP města</w:t>
            </w:r>
            <w:r w:rsidR="00A34102" w:rsidRPr="00713973">
              <w:rPr>
                <w:rFonts w:ascii="Arial Narrow" w:hAnsi="Arial Narrow"/>
                <w:lang w:val="cs-CZ"/>
              </w:rPr>
              <w:t>, kde již byla plocha řádně projednána a schválena</w:t>
            </w:r>
            <w:r w:rsidRPr="00713973">
              <w:rPr>
                <w:rFonts w:ascii="Arial Narrow" w:hAnsi="Arial Narrow"/>
                <w:lang w:val="cs-CZ"/>
              </w:rPr>
              <w:t>.</w:t>
            </w:r>
          </w:p>
          <w:p w14:paraId="38FACD17" w14:textId="07B293EE" w:rsidR="00BD29BB" w:rsidRPr="00713973" w:rsidRDefault="00BD29BB" w:rsidP="005F3B96">
            <w:pPr>
              <w:pStyle w:val="Intabulka"/>
              <w:rPr>
                <w:rFonts w:ascii="Arial Narrow" w:hAnsi="Arial Narrow"/>
                <w:lang w:val="cs-CZ"/>
              </w:rPr>
            </w:pPr>
            <w:r w:rsidRPr="00713973">
              <w:rPr>
                <w:rFonts w:ascii="Arial Narrow" w:hAnsi="Arial Narrow"/>
                <w:lang w:val="cs-CZ"/>
              </w:rPr>
              <w:t xml:space="preserve">Za účelem realizace záměru v ploše Z37 byla společností VGP CZ VI, a.s., jako budoucím investorem výstavby dne 20.8.2018 podána na Magistrátu města Liberec, oddělení ÚP, žádost o územně plánovací informaci. V současné době probíhá prodej předmětných pozemků tomuto investorovi, lze tedy usuzovat, že již byly nebo v nejbližší době budou uskutečněny další kroky směřující k upřesnění využití plochy a realizaci stavby formou podrobnější dokumentace. </w:t>
            </w:r>
            <w:r w:rsidRPr="005F3B96">
              <w:rPr>
                <w:rFonts w:ascii="Arial Narrow" w:hAnsi="Arial Narrow"/>
                <w:lang w:val="cs-CZ"/>
              </w:rPr>
              <w:t xml:space="preserve">Je tak </w:t>
            </w:r>
            <w:r w:rsidR="005F3B96">
              <w:rPr>
                <w:rFonts w:ascii="Arial Narrow" w:hAnsi="Arial Narrow"/>
                <w:lang w:val="cs-CZ"/>
              </w:rPr>
              <w:t>reálně možné</w:t>
            </w:r>
            <w:r w:rsidRPr="005F3B96">
              <w:rPr>
                <w:rFonts w:ascii="Arial Narrow" w:hAnsi="Arial Narrow"/>
                <w:lang w:val="cs-CZ"/>
              </w:rPr>
              <w:t>, že k zastavění plochy dojde ještě před dokončením a vydáním ÚP Hrádek nad Nisou.</w:t>
            </w:r>
          </w:p>
        </w:tc>
      </w:tr>
      <w:tr w:rsidR="002D3E77" w:rsidRPr="00461C16" w14:paraId="6B08E8A5" w14:textId="77777777" w:rsidTr="005465A1">
        <w:trPr>
          <w:cantSplit/>
          <w:jc w:val="center"/>
        </w:trPr>
        <w:tc>
          <w:tcPr>
            <w:tcW w:w="1116" w:type="dxa"/>
            <w:shd w:val="clear" w:color="auto" w:fill="auto"/>
          </w:tcPr>
          <w:p w14:paraId="3501BB89" w14:textId="77777777" w:rsidR="00D95069" w:rsidRPr="00461C16" w:rsidRDefault="00D95069" w:rsidP="00413CFE">
            <w:pPr>
              <w:spacing w:before="40"/>
              <w:jc w:val="left"/>
              <w:rPr>
                <w:color w:val="000000"/>
                <w:sz w:val="20"/>
                <w:szCs w:val="20"/>
              </w:rPr>
            </w:pPr>
            <w:r w:rsidRPr="00461C16">
              <w:rPr>
                <w:color w:val="000000"/>
                <w:sz w:val="20"/>
                <w:szCs w:val="20"/>
              </w:rPr>
              <w:t>Z38</w:t>
            </w:r>
          </w:p>
        </w:tc>
        <w:tc>
          <w:tcPr>
            <w:tcW w:w="2515" w:type="dxa"/>
            <w:shd w:val="clear" w:color="auto" w:fill="auto"/>
          </w:tcPr>
          <w:p w14:paraId="1E8440A7" w14:textId="77777777" w:rsidR="00D95069" w:rsidRPr="00461C16" w:rsidRDefault="00D95069"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52B0FDE4" w14:textId="77777777" w:rsidR="00D95069" w:rsidRPr="00461C16" w:rsidRDefault="006E0F27" w:rsidP="006E0F27">
            <w:pPr>
              <w:pStyle w:val="Intabulka"/>
              <w:rPr>
                <w:rFonts w:ascii="Arial Narrow" w:hAnsi="Arial Narrow"/>
                <w:lang w:val="cs-CZ"/>
              </w:rPr>
            </w:pPr>
            <w:r w:rsidRPr="00461C16">
              <w:rPr>
                <w:rFonts w:ascii="Arial Narrow" w:hAnsi="Arial Narrow"/>
                <w:lang w:val="cs-CZ"/>
              </w:rPr>
              <w:t>Plocha je určena k doplnění smíšené obytné zástavby na západním okraji části Oldřichov na Hranicích, v souladu se současně platným ÚP města. Plocha doplňuje oboustranné obestavění komunikace, které je výhodně z hlediska urbanistického (jednoznačné vymezení uličního veřejného prostoru) i ekonomického (dostupnost sítí veřejné infrastruktury) a zároveň sceluje zástavbu sídla do kompaktního útvaru.</w:t>
            </w:r>
            <w:r w:rsidR="00B345B4" w:rsidRPr="00461C16">
              <w:rPr>
                <w:rFonts w:ascii="Arial Narrow" w:hAnsi="Arial Narrow"/>
                <w:lang w:val="cs-CZ"/>
              </w:rPr>
              <w:t xml:space="preserve"> </w:t>
            </w:r>
          </w:p>
        </w:tc>
      </w:tr>
      <w:tr w:rsidR="002D3E77" w:rsidRPr="00461C16" w14:paraId="08EC5DDD" w14:textId="77777777" w:rsidTr="005465A1">
        <w:trPr>
          <w:cantSplit/>
          <w:jc w:val="center"/>
        </w:trPr>
        <w:tc>
          <w:tcPr>
            <w:tcW w:w="1116" w:type="dxa"/>
            <w:shd w:val="clear" w:color="auto" w:fill="auto"/>
          </w:tcPr>
          <w:p w14:paraId="4FD1F375" w14:textId="77777777" w:rsidR="00D95069" w:rsidRPr="00461C16" w:rsidRDefault="00D95069" w:rsidP="00413CFE">
            <w:pPr>
              <w:spacing w:before="40"/>
              <w:jc w:val="left"/>
              <w:rPr>
                <w:color w:val="000000"/>
                <w:sz w:val="20"/>
                <w:szCs w:val="20"/>
              </w:rPr>
            </w:pPr>
            <w:r w:rsidRPr="00461C16">
              <w:rPr>
                <w:color w:val="000000"/>
                <w:sz w:val="20"/>
                <w:szCs w:val="20"/>
              </w:rPr>
              <w:t>Z39</w:t>
            </w:r>
          </w:p>
        </w:tc>
        <w:tc>
          <w:tcPr>
            <w:tcW w:w="2515" w:type="dxa"/>
            <w:shd w:val="clear" w:color="auto" w:fill="auto"/>
          </w:tcPr>
          <w:p w14:paraId="4475B089" w14:textId="77777777" w:rsidR="00D95069" w:rsidRPr="00461C16" w:rsidRDefault="00D95069" w:rsidP="00413CFE">
            <w:pPr>
              <w:spacing w:before="40"/>
              <w:jc w:val="left"/>
              <w:rPr>
                <w:color w:val="000000"/>
                <w:sz w:val="20"/>
                <w:szCs w:val="20"/>
              </w:rPr>
            </w:pPr>
            <w:r w:rsidRPr="00461C16">
              <w:rPr>
                <w:color w:val="000000"/>
                <w:sz w:val="20"/>
                <w:szCs w:val="20"/>
              </w:rPr>
              <w:t>PX – veřejné prostranství - komunikace</w:t>
            </w:r>
          </w:p>
        </w:tc>
        <w:tc>
          <w:tcPr>
            <w:tcW w:w="5657" w:type="dxa"/>
            <w:shd w:val="clear" w:color="auto" w:fill="auto"/>
          </w:tcPr>
          <w:p w14:paraId="72025A39" w14:textId="77777777" w:rsidR="00722E04" w:rsidRPr="00461C16" w:rsidRDefault="00722E04" w:rsidP="00722E04">
            <w:pPr>
              <w:pStyle w:val="Intabulka"/>
              <w:rPr>
                <w:rFonts w:ascii="Arial Narrow" w:hAnsi="Arial Narrow"/>
                <w:lang w:val="cs-CZ"/>
              </w:rPr>
            </w:pPr>
            <w:r w:rsidRPr="00461C16">
              <w:rPr>
                <w:rFonts w:ascii="Arial Narrow" w:hAnsi="Arial Narrow"/>
                <w:lang w:val="cs-CZ"/>
              </w:rPr>
              <w:t>Plocha je vymezena pro dopravní propojení ulice Větrná se silnicí I/35L a zajištění přímého dopravního napojení výrobních areálů na silnici I/35L.</w:t>
            </w:r>
          </w:p>
          <w:p w14:paraId="5F4C3078" w14:textId="77777777" w:rsidR="00D95069" w:rsidRPr="00461C16" w:rsidRDefault="00722E04" w:rsidP="00722E04">
            <w:pPr>
              <w:pStyle w:val="Intabulka"/>
              <w:rPr>
                <w:rFonts w:ascii="Arial Narrow" w:hAnsi="Arial Narrow"/>
                <w:color w:val="FF0000"/>
                <w:lang w:val="cs-CZ"/>
              </w:rPr>
            </w:pPr>
            <w:r w:rsidRPr="00461C16">
              <w:rPr>
                <w:rFonts w:ascii="Arial Narrow" w:hAnsi="Arial Narrow"/>
                <w:lang w:val="cs-CZ"/>
              </w:rPr>
              <w:t>Vymezením plochy dojde ke snížení dopravních intenzit v ulici Žitavská a zvýšení bezpečnosti provozu v severovýchodní části sídla Hrádek nad Nisou. Prodloužením ulice Větrná bude zároveň zajištěna prostorová spojitost a kontinuita systému veřejných prostranství.</w:t>
            </w:r>
          </w:p>
        </w:tc>
      </w:tr>
      <w:tr w:rsidR="002D3E77" w:rsidRPr="00461C16" w14:paraId="375DC97C" w14:textId="77777777" w:rsidTr="005465A1">
        <w:trPr>
          <w:cantSplit/>
          <w:jc w:val="center"/>
        </w:trPr>
        <w:tc>
          <w:tcPr>
            <w:tcW w:w="1116" w:type="dxa"/>
            <w:shd w:val="clear" w:color="auto" w:fill="auto"/>
          </w:tcPr>
          <w:p w14:paraId="6ED99AD5" w14:textId="77777777" w:rsidR="00D95069" w:rsidRPr="00461C16" w:rsidRDefault="00D95069" w:rsidP="00413CFE">
            <w:pPr>
              <w:spacing w:before="40"/>
              <w:jc w:val="left"/>
              <w:rPr>
                <w:color w:val="000000"/>
                <w:sz w:val="20"/>
                <w:szCs w:val="20"/>
              </w:rPr>
            </w:pPr>
            <w:r w:rsidRPr="00461C16">
              <w:rPr>
                <w:color w:val="000000"/>
                <w:sz w:val="20"/>
                <w:szCs w:val="20"/>
              </w:rPr>
              <w:t>Z41</w:t>
            </w:r>
          </w:p>
        </w:tc>
        <w:tc>
          <w:tcPr>
            <w:tcW w:w="2515" w:type="dxa"/>
            <w:shd w:val="clear" w:color="auto" w:fill="auto"/>
          </w:tcPr>
          <w:p w14:paraId="2D15DC62" w14:textId="77777777" w:rsidR="00D95069" w:rsidRPr="00461C16" w:rsidRDefault="00D95069" w:rsidP="00413CFE">
            <w:pPr>
              <w:spacing w:before="40"/>
              <w:jc w:val="left"/>
              <w:rPr>
                <w:sz w:val="20"/>
                <w:szCs w:val="20"/>
              </w:rPr>
            </w:pPr>
            <w:r w:rsidRPr="00461C16">
              <w:rPr>
                <w:sz w:val="20"/>
                <w:szCs w:val="20"/>
              </w:rPr>
              <w:t>VX – výroba a skladování – se specifickým využitím</w:t>
            </w:r>
          </w:p>
        </w:tc>
        <w:tc>
          <w:tcPr>
            <w:tcW w:w="5657" w:type="dxa"/>
            <w:shd w:val="clear" w:color="auto" w:fill="auto"/>
          </w:tcPr>
          <w:p w14:paraId="3AB470F2" w14:textId="77777777" w:rsidR="00D95069" w:rsidRPr="00461C16" w:rsidRDefault="00B34E57" w:rsidP="00413CFE">
            <w:pPr>
              <w:pStyle w:val="Intabulka"/>
              <w:rPr>
                <w:rFonts w:ascii="Arial Narrow" w:hAnsi="Arial Narrow"/>
                <w:lang w:val="cs-CZ"/>
              </w:rPr>
            </w:pPr>
            <w:r w:rsidRPr="00461C16">
              <w:rPr>
                <w:rFonts w:ascii="Arial Narrow" w:hAnsi="Arial Narrow"/>
                <w:lang w:val="cs-CZ"/>
              </w:rPr>
              <w:t>Plocha využívá strategickou polohu podél obchvatu města - na mezinárodním dopravním tahu. Dotváří oboustranné obestavění komunikace a umožňuje rozšíření stávající průmyslové zóny Hrádek nad Nisou, s předpokladem umisťování skladovacích či logistických hal v kombinaci s velkoprostorovými komerčními zařízeními. Vymezení plochy respektuje požadavky na rozvoj města s ohledem na polohu v republikově významné rozvojové oblasti a rozvojové ose. Plocha je vymezena v souladu s požadavkem schváleného Zadání ÚP.</w:t>
            </w:r>
          </w:p>
        </w:tc>
      </w:tr>
      <w:tr w:rsidR="002D3E77" w:rsidRPr="00461C16" w14:paraId="4881FC3B" w14:textId="77777777" w:rsidTr="005465A1">
        <w:trPr>
          <w:cantSplit/>
          <w:jc w:val="center"/>
        </w:trPr>
        <w:tc>
          <w:tcPr>
            <w:tcW w:w="1116" w:type="dxa"/>
            <w:shd w:val="clear" w:color="auto" w:fill="auto"/>
          </w:tcPr>
          <w:p w14:paraId="24075E29" w14:textId="77777777" w:rsidR="00B34E57" w:rsidRPr="00461C16" w:rsidRDefault="00B34E57" w:rsidP="00413CFE">
            <w:pPr>
              <w:spacing w:before="40"/>
              <w:jc w:val="left"/>
              <w:rPr>
                <w:color w:val="000000"/>
                <w:sz w:val="20"/>
                <w:szCs w:val="20"/>
              </w:rPr>
            </w:pPr>
            <w:r w:rsidRPr="00461C16">
              <w:rPr>
                <w:color w:val="000000"/>
                <w:sz w:val="20"/>
                <w:szCs w:val="20"/>
              </w:rPr>
              <w:t>Z43</w:t>
            </w:r>
          </w:p>
        </w:tc>
        <w:tc>
          <w:tcPr>
            <w:tcW w:w="2515" w:type="dxa"/>
            <w:shd w:val="clear" w:color="auto" w:fill="auto"/>
          </w:tcPr>
          <w:p w14:paraId="49B402A4" w14:textId="77777777" w:rsidR="00B34E57" w:rsidRPr="00461C16" w:rsidRDefault="00B34E57"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19D62CD1" w14:textId="77777777" w:rsidR="00B34E57" w:rsidRPr="00461C16" w:rsidRDefault="00B34E57" w:rsidP="00CC6811">
            <w:pPr>
              <w:pStyle w:val="Intabulka"/>
              <w:rPr>
                <w:rFonts w:ascii="Arial Narrow" w:hAnsi="Arial Narrow"/>
                <w:lang w:val="cs-CZ"/>
              </w:rPr>
            </w:pPr>
            <w:r w:rsidRPr="00461C16">
              <w:rPr>
                <w:rFonts w:ascii="Arial Narrow" w:hAnsi="Arial Narrow"/>
                <w:lang w:val="cs-CZ"/>
              </w:rPr>
              <w:t>Plocha je součástí obytného území v lokalitě Zlatá Výšina, navazuje z východu na stabilizovanou zástavbu rodinných domů a tvoří přechod do rozsáhlé rozvojové plochy pro bydlení. Plocha využívá proluku mezi stávající obytnou zástavbou a pásem zeleně podél obchvatu města, čímž směřuje k účelnému a hospodárnému využívání území. Realizace záměru přispěje k uspokojení poptávky po nových plochách pro bydlení, ke zkvalitnění obytného komfortu a k celkovému zatraktivnění prostředí. Plocha je vymezena v souladu se současně platným ÚP města.</w:t>
            </w:r>
          </w:p>
        </w:tc>
      </w:tr>
      <w:tr w:rsidR="002D3E77" w:rsidRPr="00461C16" w14:paraId="600DD853" w14:textId="77777777" w:rsidTr="005465A1">
        <w:trPr>
          <w:cantSplit/>
          <w:jc w:val="center"/>
        </w:trPr>
        <w:tc>
          <w:tcPr>
            <w:tcW w:w="1116" w:type="dxa"/>
            <w:shd w:val="clear" w:color="auto" w:fill="auto"/>
          </w:tcPr>
          <w:p w14:paraId="3DB64704" w14:textId="77777777" w:rsidR="00D95069" w:rsidRPr="00461C16" w:rsidRDefault="00D95069" w:rsidP="00413CFE">
            <w:pPr>
              <w:spacing w:before="40"/>
              <w:jc w:val="left"/>
              <w:rPr>
                <w:color w:val="000000"/>
                <w:sz w:val="20"/>
                <w:szCs w:val="20"/>
              </w:rPr>
            </w:pPr>
            <w:r w:rsidRPr="00461C16">
              <w:rPr>
                <w:color w:val="000000"/>
                <w:sz w:val="20"/>
                <w:szCs w:val="20"/>
              </w:rPr>
              <w:t>Z44</w:t>
            </w:r>
            <w:r w:rsidR="00C9725B">
              <w:rPr>
                <w:color w:val="000000"/>
                <w:sz w:val="20"/>
                <w:szCs w:val="20"/>
              </w:rPr>
              <w:t>A</w:t>
            </w:r>
          </w:p>
        </w:tc>
        <w:tc>
          <w:tcPr>
            <w:tcW w:w="2515" w:type="dxa"/>
            <w:shd w:val="clear" w:color="auto" w:fill="auto"/>
          </w:tcPr>
          <w:p w14:paraId="14CF274B" w14:textId="77777777" w:rsidR="00D95069" w:rsidRPr="00461C16" w:rsidRDefault="00D95069"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6A231C9E" w14:textId="77777777" w:rsidR="00D95069" w:rsidRPr="00461C16" w:rsidRDefault="00830828" w:rsidP="00B83AAD">
            <w:pPr>
              <w:pStyle w:val="Intabulka"/>
              <w:rPr>
                <w:rFonts w:ascii="Arial Narrow" w:hAnsi="Arial Narrow"/>
                <w:lang w:val="cs-CZ"/>
              </w:rPr>
            </w:pPr>
            <w:r w:rsidRPr="00461C16">
              <w:rPr>
                <w:rFonts w:ascii="Arial Narrow" w:hAnsi="Arial Narrow"/>
                <w:lang w:val="cs-CZ"/>
              </w:rPr>
              <w:t xml:space="preserve">Plocha je vymezena </w:t>
            </w:r>
            <w:r w:rsidR="00912A28">
              <w:rPr>
                <w:rFonts w:ascii="Arial Narrow" w:hAnsi="Arial Narrow"/>
                <w:lang w:val="cs-CZ"/>
              </w:rPr>
              <w:t xml:space="preserve">v návaznosti na zástavbu podél ul. Oldřichovská, přičemž využívá rozsáhlý prostor až </w:t>
            </w:r>
            <w:r w:rsidR="00C2307A">
              <w:rPr>
                <w:rFonts w:ascii="Arial Narrow" w:hAnsi="Arial Narrow"/>
                <w:lang w:val="cs-CZ"/>
              </w:rPr>
              <w:t xml:space="preserve">k </w:t>
            </w:r>
            <w:r w:rsidR="00912A28">
              <w:rPr>
                <w:rFonts w:ascii="Arial Narrow" w:hAnsi="Arial Narrow"/>
                <w:lang w:val="cs-CZ"/>
              </w:rPr>
              <w:t>bývalé cihelně s významným biotopem</w:t>
            </w:r>
            <w:r w:rsidR="009C570A">
              <w:rPr>
                <w:rFonts w:ascii="Arial Narrow" w:hAnsi="Arial Narrow"/>
                <w:lang w:val="cs-CZ"/>
              </w:rPr>
              <w:t xml:space="preserve"> a jižně realizovanému ovocnému sadu</w:t>
            </w:r>
            <w:r w:rsidR="00912A28">
              <w:rPr>
                <w:rFonts w:ascii="Arial Narrow" w:hAnsi="Arial Narrow"/>
                <w:lang w:val="cs-CZ"/>
              </w:rPr>
              <w:t xml:space="preserve">. </w:t>
            </w:r>
            <w:r w:rsidRPr="00461C16">
              <w:rPr>
                <w:rFonts w:ascii="Arial Narrow" w:hAnsi="Arial Narrow"/>
                <w:lang w:val="cs-CZ"/>
              </w:rPr>
              <w:t xml:space="preserve">Plocha představuje </w:t>
            </w:r>
            <w:r w:rsidR="00912A28">
              <w:rPr>
                <w:rFonts w:ascii="Arial Narrow" w:hAnsi="Arial Narrow"/>
                <w:lang w:val="cs-CZ"/>
              </w:rPr>
              <w:t xml:space="preserve">jednu z </w:t>
            </w:r>
            <w:r w:rsidRPr="00461C16">
              <w:rPr>
                <w:rFonts w:ascii="Arial Narrow" w:hAnsi="Arial Narrow"/>
                <w:lang w:val="cs-CZ"/>
              </w:rPr>
              <w:t>nejvýznamnější</w:t>
            </w:r>
            <w:r w:rsidR="00912A28">
              <w:rPr>
                <w:rFonts w:ascii="Arial Narrow" w:hAnsi="Arial Narrow"/>
                <w:lang w:val="cs-CZ"/>
              </w:rPr>
              <w:t>ch</w:t>
            </w:r>
            <w:r w:rsidRPr="00461C16">
              <w:rPr>
                <w:rFonts w:ascii="Arial Narrow" w:hAnsi="Arial Narrow"/>
                <w:lang w:val="cs-CZ"/>
              </w:rPr>
              <w:t xml:space="preserve"> příležitost</w:t>
            </w:r>
            <w:r w:rsidR="00912A28">
              <w:rPr>
                <w:rFonts w:ascii="Arial Narrow" w:hAnsi="Arial Narrow"/>
                <w:lang w:val="cs-CZ"/>
              </w:rPr>
              <w:t>í</w:t>
            </w:r>
            <w:r w:rsidRPr="00461C16">
              <w:rPr>
                <w:rFonts w:ascii="Arial Narrow" w:hAnsi="Arial Narrow"/>
                <w:lang w:val="cs-CZ"/>
              </w:rPr>
              <w:t xml:space="preserve"> pro rozvoj bydlení ve městě Hrádek nad Nisou, přispěje ke zkvalitnění obytného komfortu a k celkovému zatraktivnění prostředí. Plocha je vymezena v souladu s </w:t>
            </w:r>
            <w:r w:rsidR="00B83AAD">
              <w:rPr>
                <w:rFonts w:ascii="Arial Narrow" w:hAnsi="Arial Narrow"/>
                <w:lang w:val="cs-CZ"/>
              </w:rPr>
              <w:t xml:space="preserve">platným </w:t>
            </w:r>
            <w:r w:rsidRPr="00461C16">
              <w:rPr>
                <w:rFonts w:ascii="Arial Narrow" w:hAnsi="Arial Narrow"/>
                <w:lang w:val="cs-CZ"/>
              </w:rPr>
              <w:t xml:space="preserve"> ÚP</w:t>
            </w:r>
            <w:r w:rsidR="00B83AAD">
              <w:rPr>
                <w:rFonts w:ascii="Arial Narrow" w:hAnsi="Arial Narrow"/>
                <w:lang w:val="cs-CZ"/>
              </w:rPr>
              <w:t>SÚ</w:t>
            </w:r>
            <w:r w:rsidR="00912A28">
              <w:rPr>
                <w:rFonts w:ascii="Arial Narrow" w:hAnsi="Arial Narrow"/>
                <w:lang w:val="cs-CZ"/>
              </w:rPr>
              <w:t>, jako součást tzv. Severního města</w:t>
            </w:r>
            <w:r w:rsidRPr="00461C16">
              <w:rPr>
                <w:rFonts w:ascii="Arial Narrow" w:hAnsi="Arial Narrow"/>
                <w:lang w:val="cs-CZ"/>
              </w:rPr>
              <w:t>.</w:t>
            </w:r>
          </w:p>
        </w:tc>
      </w:tr>
      <w:tr w:rsidR="00D42A52" w:rsidRPr="00461C16" w14:paraId="1DC19E27" w14:textId="77777777" w:rsidTr="005465A1">
        <w:trPr>
          <w:cantSplit/>
          <w:jc w:val="center"/>
        </w:trPr>
        <w:tc>
          <w:tcPr>
            <w:tcW w:w="1116" w:type="dxa"/>
            <w:shd w:val="clear" w:color="auto" w:fill="auto"/>
          </w:tcPr>
          <w:p w14:paraId="0E30DCD2" w14:textId="77777777" w:rsidR="00D42A52" w:rsidRPr="00461C16" w:rsidRDefault="00D42A52" w:rsidP="00C9725B">
            <w:pPr>
              <w:spacing w:before="40"/>
              <w:jc w:val="left"/>
              <w:rPr>
                <w:color w:val="000000"/>
                <w:sz w:val="20"/>
                <w:szCs w:val="20"/>
              </w:rPr>
            </w:pPr>
            <w:r w:rsidRPr="00461C16">
              <w:rPr>
                <w:color w:val="000000"/>
                <w:sz w:val="20"/>
                <w:szCs w:val="20"/>
              </w:rPr>
              <w:lastRenderedPageBreak/>
              <w:t>Z44</w:t>
            </w:r>
            <w:r>
              <w:rPr>
                <w:color w:val="000000"/>
                <w:sz w:val="20"/>
                <w:szCs w:val="20"/>
              </w:rPr>
              <w:t>B</w:t>
            </w:r>
          </w:p>
        </w:tc>
        <w:tc>
          <w:tcPr>
            <w:tcW w:w="2515" w:type="dxa"/>
            <w:shd w:val="clear" w:color="auto" w:fill="auto"/>
          </w:tcPr>
          <w:p w14:paraId="039410A7" w14:textId="77777777" w:rsidR="00D42A52" w:rsidRPr="00461C16" w:rsidRDefault="00D42A52"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624F7829" w14:textId="77777777" w:rsidR="00D42A52" w:rsidRPr="00461C16" w:rsidRDefault="00D42A52" w:rsidP="008D46CE">
            <w:pPr>
              <w:pStyle w:val="Intabulka"/>
              <w:rPr>
                <w:rFonts w:ascii="Arial Narrow" w:hAnsi="Arial Narrow"/>
                <w:lang w:val="cs-CZ"/>
              </w:rPr>
            </w:pPr>
            <w:r w:rsidRPr="00461C16">
              <w:rPr>
                <w:rFonts w:ascii="Arial Narrow" w:hAnsi="Arial Narrow"/>
                <w:lang w:val="cs-CZ"/>
              </w:rPr>
              <w:t>Plocha je vymezena v</w:t>
            </w:r>
            <w:r>
              <w:rPr>
                <w:rFonts w:ascii="Arial Narrow" w:hAnsi="Arial Narrow"/>
                <w:lang w:val="cs-CZ"/>
              </w:rPr>
              <w:t xml:space="preserve"> území mezi bývalou cihelnou s významným biotopem a </w:t>
            </w:r>
            <w:r w:rsidRPr="00461C16">
              <w:rPr>
                <w:rFonts w:ascii="Arial Narrow" w:hAnsi="Arial Narrow"/>
                <w:lang w:val="cs-CZ"/>
              </w:rPr>
              <w:t xml:space="preserve">obchvatem </w:t>
            </w:r>
            <w:r>
              <w:rPr>
                <w:rFonts w:ascii="Arial Narrow" w:hAnsi="Arial Narrow"/>
                <w:lang w:val="cs-CZ"/>
              </w:rPr>
              <w:t>města (</w:t>
            </w:r>
            <w:r w:rsidRPr="00461C16">
              <w:rPr>
                <w:rFonts w:ascii="Arial Narrow" w:hAnsi="Arial Narrow"/>
                <w:lang w:val="cs-CZ"/>
              </w:rPr>
              <w:t>silnic</w:t>
            </w:r>
            <w:r>
              <w:rPr>
                <w:rFonts w:ascii="Arial Narrow" w:hAnsi="Arial Narrow"/>
                <w:lang w:val="cs-CZ"/>
              </w:rPr>
              <w:t>e</w:t>
            </w:r>
            <w:r w:rsidRPr="00461C16">
              <w:rPr>
                <w:rFonts w:ascii="Arial Narrow" w:hAnsi="Arial Narrow"/>
                <w:lang w:val="cs-CZ"/>
              </w:rPr>
              <w:t xml:space="preserve"> I/35</w:t>
            </w:r>
            <w:r>
              <w:rPr>
                <w:rFonts w:ascii="Arial Narrow" w:hAnsi="Arial Narrow"/>
                <w:lang w:val="cs-CZ"/>
              </w:rPr>
              <w:t>)</w:t>
            </w:r>
            <w:r w:rsidRPr="00461C16">
              <w:rPr>
                <w:rFonts w:ascii="Arial Narrow" w:hAnsi="Arial Narrow"/>
                <w:lang w:val="cs-CZ"/>
              </w:rPr>
              <w:t>. Využitím území</w:t>
            </w:r>
            <w:r>
              <w:rPr>
                <w:rFonts w:ascii="Arial Narrow" w:hAnsi="Arial Narrow"/>
                <w:lang w:val="cs-CZ"/>
              </w:rPr>
              <w:t xml:space="preserve"> s integrací stávajícího objektu</w:t>
            </w:r>
            <w:r w:rsidRPr="00461C16">
              <w:rPr>
                <w:rFonts w:ascii="Arial Narrow" w:hAnsi="Arial Narrow"/>
                <w:lang w:val="cs-CZ"/>
              </w:rPr>
              <w:t xml:space="preserve"> dojde ke scelení a posílení kompaktnosti města. Plocha představuje</w:t>
            </w:r>
            <w:r>
              <w:rPr>
                <w:rFonts w:ascii="Arial Narrow" w:hAnsi="Arial Narrow"/>
                <w:lang w:val="cs-CZ"/>
              </w:rPr>
              <w:t xml:space="preserve"> spolu s navazujícími Z43 a Z45 </w:t>
            </w:r>
            <w:r w:rsidRPr="00461C16">
              <w:rPr>
                <w:rFonts w:ascii="Arial Narrow" w:hAnsi="Arial Narrow"/>
                <w:lang w:val="cs-CZ"/>
              </w:rPr>
              <w:t xml:space="preserve"> nejvýznamnější příležitost pro rozvoj bydlení ve městě Hrádek nad Nisou, přispěje ke zkvalitnění obytného komfortu a k celkovému zatraktivnění prostředí. Vzhledem k limitům využití území (zejména záplavové území s aktivní zónou záplavového území a souvislé celky ZPF) představuje tato poloha </w:t>
            </w:r>
            <w:r>
              <w:rPr>
                <w:rFonts w:ascii="Arial Narrow" w:hAnsi="Arial Narrow"/>
                <w:lang w:val="cs-CZ"/>
              </w:rPr>
              <w:t xml:space="preserve">jeden z </w:t>
            </w:r>
            <w:r w:rsidRPr="00461C16">
              <w:rPr>
                <w:rFonts w:ascii="Arial Narrow" w:hAnsi="Arial Narrow"/>
                <w:lang w:val="cs-CZ"/>
              </w:rPr>
              <w:t>nejšetrnější</w:t>
            </w:r>
            <w:r>
              <w:rPr>
                <w:rFonts w:ascii="Arial Narrow" w:hAnsi="Arial Narrow"/>
                <w:lang w:val="cs-CZ"/>
              </w:rPr>
              <w:t>ch</w:t>
            </w:r>
            <w:r w:rsidRPr="00461C16">
              <w:rPr>
                <w:rFonts w:ascii="Arial Narrow" w:hAnsi="Arial Narrow"/>
                <w:lang w:val="cs-CZ"/>
              </w:rPr>
              <w:t xml:space="preserve"> směr</w:t>
            </w:r>
            <w:r>
              <w:rPr>
                <w:rFonts w:ascii="Arial Narrow" w:hAnsi="Arial Narrow"/>
                <w:lang w:val="cs-CZ"/>
              </w:rPr>
              <w:t>ů</w:t>
            </w:r>
            <w:r w:rsidRPr="00461C16">
              <w:rPr>
                <w:rFonts w:ascii="Arial Narrow" w:hAnsi="Arial Narrow"/>
                <w:lang w:val="cs-CZ"/>
              </w:rPr>
              <w:t xml:space="preserve"> rozvoje pro obytnou funkci</w:t>
            </w:r>
            <w:r>
              <w:rPr>
                <w:rFonts w:ascii="Arial Narrow" w:hAnsi="Arial Narrow"/>
                <w:lang w:val="cs-CZ"/>
              </w:rPr>
              <w:t xml:space="preserve"> v celém Hrádku n</w:t>
            </w:r>
            <w:r w:rsidR="00021DC8">
              <w:rPr>
                <w:rFonts w:ascii="Arial Narrow" w:hAnsi="Arial Narrow"/>
                <w:lang w:val="cs-CZ"/>
              </w:rPr>
              <w:t>. </w:t>
            </w:r>
            <w:r>
              <w:rPr>
                <w:rFonts w:ascii="Arial Narrow" w:hAnsi="Arial Narrow"/>
                <w:lang w:val="cs-CZ"/>
              </w:rPr>
              <w:t>N</w:t>
            </w:r>
            <w:r w:rsidRPr="00461C16">
              <w:rPr>
                <w:rFonts w:ascii="Arial Narrow" w:hAnsi="Arial Narrow"/>
                <w:lang w:val="cs-CZ"/>
              </w:rPr>
              <w:t>. Plocha je vymezena v souladu s požadavkem schváleného Zadání ÚP</w:t>
            </w:r>
            <w:r>
              <w:rPr>
                <w:rFonts w:ascii="Arial Narrow" w:hAnsi="Arial Narrow"/>
                <w:lang w:val="cs-CZ"/>
              </w:rPr>
              <w:t>, jako součást tzv. Severního města</w:t>
            </w:r>
            <w:r w:rsidRPr="00461C16">
              <w:rPr>
                <w:rFonts w:ascii="Arial Narrow" w:hAnsi="Arial Narrow"/>
                <w:lang w:val="cs-CZ"/>
              </w:rPr>
              <w:t>.</w:t>
            </w:r>
          </w:p>
        </w:tc>
      </w:tr>
      <w:tr w:rsidR="002D3E77" w:rsidRPr="00461C16" w14:paraId="34B94BB7" w14:textId="77777777" w:rsidTr="005465A1">
        <w:trPr>
          <w:cantSplit/>
          <w:jc w:val="center"/>
        </w:trPr>
        <w:tc>
          <w:tcPr>
            <w:tcW w:w="1116" w:type="dxa"/>
            <w:shd w:val="clear" w:color="auto" w:fill="auto"/>
          </w:tcPr>
          <w:p w14:paraId="27DD0F2B" w14:textId="77777777" w:rsidR="00C9725B" w:rsidRPr="00461C16" w:rsidRDefault="00C9725B" w:rsidP="00413CFE">
            <w:pPr>
              <w:spacing w:before="40"/>
              <w:jc w:val="left"/>
              <w:rPr>
                <w:color w:val="000000"/>
                <w:sz w:val="20"/>
                <w:szCs w:val="20"/>
              </w:rPr>
            </w:pPr>
            <w:r w:rsidRPr="00461C16">
              <w:rPr>
                <w:color w:val="000000"/>
                <w:sz w:val="20"/>
                <w:szCs w:val="20"/>
              </w:rPr>
              <w:t>Z45</w:t>
            </w:r>
          </w:p>
        </w:tc>
        <w:tc>
          <w:tcPr>
            <w:tcW w:w="2515" w:type="dxa"/>
            <w:shd w:val="clear" w:color="auto" w:fill="auto"/>
          </w:tcPr>
          <w:p w14:paraId="669BA5A8" w14:textId="77777777" w:rsidR="00C9725B" w:rsidRPr="00461C16" w:rsidRDefault="00C9725B" w:rsidP="00413CFE">
            <w:pPr>
              <w:spacing w:before="40"/>
              <w:jc w:val="left"/>
              <w:rPr>
                <w:sz w:val="20"/>
                <w:szCs w:val="20"/>
              </w:rPr>
            </w:pPr>
            <w:r w:rsidRPr="00461C16">
              <w:rPr>
                <w:sz w:val="20"/>
                <w:szCs w:val="20"/>
              </w:rPr>
              <w:t>BI – bydlení městské a příměstské</w:t>
            </w:r>
          </w:p>
        </w:tc>
        <w:tc>
          <w:tcPr>
            <w:tcW w:w="5657" w:type="dxa"/>
            <w:shd w:val="clear" w:color="auto" w:fill="auto"/>
          </w:tcPr>
          <w:p w14:paraId="7C2F1158" w14:textId="77777777" w:rsidR="00C9725B" w:rsidRPr="00461C16" w:rsidRDefault="00C9725B" w:rsidP="00912A28">
            <w:pPr>
              <w:pStyle w:val="Intabulka"/>
              <w:rPr>
                <w:rFonts w:ascii="Arial Narrow" w:hAnsi="Arial Narrow"/>
                <w:lang w:val="cs-CZ"/>
              </w:rPr>
            </w:pPr>
            <w:r w:rsidRPr="00461C16">
              <w:rPr>
                <w:rFonts w:ascii="Arial Narrow" w:hAnsi="Arial Narrow"/>
                <w:lang w:val="cs-CZ"/>
              </w:rPr>
              <w:t xml:space="preserve">Plocha je vymezena v rozsáhlé proluce mezi současnou </w:t>
            </w:r>
            <w:r w:rsidR="00912A28">
              <w:rPr>
                <w:rFonts w:ascii="Arial Narrow" w:hAnsi="Arial Narrow"/>
                <w:lang w:val="cs-CZ"/>
              </w:rPr>
              <w:t>a navrhovanou (Z44B</w:t>
            </w:r>
            <w:r w:rsidR="009C570A">
              <w:rPr>
                <w:rFonts w:ascii="Arial Narrow" w:hAnsi="Arial Narrow"/>
                <w:lang w:val="cs-CZ"/>
              </w:rPr>
              <w:t>, Z46</w:t>
            </w:r>
            <w:r w:rsidR="00912A28">
              <w:rPr>
                <w:rFonts w:ascii="Arial Narrow" w:hAnsi="Arial Narrow"/>
                <w:lang w:val="cs-CZ"/>
              </w:rPr>
              <w:t xml:space="preserve">) </w:t>
            </w:r>
            <w:r w:rsidRPr="00461C16">
              <w:rPr>
                <w:rFonts w:ascii="Arial Narrow" w:hAnsi="Arial Narrow"/>
                <w:lang w:val="cs-CZ"/>
              </w:rPr>
              <w:t xml:space="preserve">zástavbou města a obchvatem na silnici I/35. Využitím území dojde ke scelení území a posílení kompaktnosti města. Plocha představuje nejvýznamnější příležitost pro rozvoj bydlení ve městě Hrádek nad Nisou, přispěje ke zkvalitnění obytného komfortu a k celkovému zatraktivnění prostředí. Vzhledem k limitům využití území (zejména záplavové území s aktivní zónou záplavového území a souvislé celky ZPF) představuje tato poloha </w:t>
            </w:r>
            <w:r w:rsidR="00912A28">
              <w:rPr>
                <w:rFonts w:ascii="Arial Narrow" w:hAnsi="Arial Narrow"/>
                <w:lang w:val="cs-CZ"/>
              </w:rPr>
              <w:t xml:space="preserve">jeden z </w:t>
            </w:r>
            <w:r w:rsidRPr="00461C16">
              <w:rPr>
                <w:rFonts w:ascii="Arial Narrow" w:hAnsi="Arial Narrow"/>
                <w:lang w:val="cs-CZ"/>
              </w:rPr>
              <w:t>nejšetrnější</w:t>
            </w:r>
            <w:r w:rsidR="00912A28">
              <w:rPr>
                <w:rFonts w:ascii="Arial Narrow" w:hAnsi="Arial Narrow"/>
                <w:lang w:val="cs-CZ"/>
              </w:rPr>
              <w:t>ch</w:t>
            </w:r>
            <w:r w:rsidRPr="00461C16">
              <w:rPr>
                <w:rFonts w:ascii="Arial Narrow" w:hAnsi="Arial Narrow"/>
                <w:lang w:val="cs-CZ"/>
              </w:rPr>
              <w:t xml:space="preserve"> směr</w:t>
            </w:r>
            <w:r w:rsidR="00912A28">
              <w:rPr>
                <w:rFonts w:ascii="Arial Narrow" w:hAnsi="Arial Narrow"/>
                <w:lang w:val="cs-CZ"/>
              </w:rPr>
              <w:t>ů</w:t>
            </w:r>
            <w:r w:rsidRPr="00461C16">
              <w:rPr>
                <w:rFonts w:ascii="Arial Narrow" w:hAnsi="Arial Narrow"/>
                <w:lang w:val="cs-CZ"/>
              </w:rPr>
              <w:t xml:space="preserve"> rozvoje pro obytnou funkci</w:t>
            </w:r>
            <w:r w:rsidR="00912A28">
              <w:rPr>
                <w:rFonts w:ascii="Arial Narrow" w:hAnsi="Arial Narrow"/>
                <w:lang w:val="cs-CZ"/>
              </w:rPr>
              <w:t xml:space="preserve"> v celém Hrádku n</w:t>
            </w:r>
            <w:r w:rsidR="00021DC8">
              <w:rPr>
                <w:rFonts w:ascii="Arial Narrow" w:hAnsi="Arial Narrow"/>
                <w:lang w:val="cs-CZ"/>
              </w:rPr>
              <w:t>. </w:t>
            </w:r>
            <w:r w:rsidR="00912A28">
              <w:rPr>
                <w:rFonts w:ascii="Arial Narrow" w:hAnsi="Arial Narrow"/>
                <w:lang w:val="cs-CZ"/>
              </w:rPr>
              <w:t>N</w:t>
            </w:r>
            <w:r w:rsidR="00912A28" w:rsidRPr="00461C16">
              <w:rPr>
                <w:rFonts w:ascii="Arial Narrow" w:hAnsi="Arial Narrow"/>
                <w:lang w:val="cs-CZ"/>
              </w:rPr>
              <w:t>.</w:t>
            </w:r>
            <w:r w:rsidRPr="00461C16">
              <w:rPr>
                <w:rFonts w:ascii="Arial Narrow" w:hAnsi="Arial Narrow"/>
                <w:lang w:val="cs-CZ"/>
              </w:rPr>
              <w:t xml:space="preserve">. Plocha je vymezena na základě požadavku schváleného Zadání ÚP </w:t>
            </w:r>
            <w:r w:rsidR="00912A28">
              <w:rPr>
                <w:rFonts w:ascii="Arial Narrow" w:hAnsi="Arial Narrow"/>
                <w:lang w:val="cs-CZ"/>
              </w:rPr>
              <w:t>jako součást tzv. Severního města</w:t>
            </w:r>
            <w:r w:rsidR="00912A28" w:rsidRPr="00461C16">
              <w:rPr>
                <w:rFonts w:ascii="Arial Narrow" w:hAnsi="Arial Narrow"/>
                <w:lang w:val="cs-CZ"/>
              </w:rPr>
              <w:t xml:space="preserve"> </w:t>
            </w:r>
            <w:r w:rsidRPr="00461C16">
              <w:rPr>
                <w:rFonts w:ascii="Arial Narrow" w:hAnsi="Arial Narrow"/>
                <w:lang w:val="cs-CZ"/>
              </w:rPr>
              <w:t>a v souladu se současně platným ÚP města, kde již byla řádně projednána a schválena.</w:t>
            </w:r>
          </w:p>
        </w:tc>
      </w:tr>
      <w:tr w:rsidR="002D3E77" w:rsidRPr="00461C16" w14:paraId="19DAAF0D" w14:textId="77777777" w:rsidTr="005465A1">
        <w:trPr>
          <w:cantSplit/>
          <w:jc w:val="center"/>
        </w:trPr>
        <w:tc>
          <w:tcPr>
            <w:tcW w:w="1116" w:type="dxa"/>
            <w:shd w:val="clear" w:color="auto" w:fill="auto"/>
          </w:tcPr>
          <w:p w14:paraId="439A70F0" w14:textId="77777777" w:rsidR="00C9725B" w:rsidRPr="00461C16" w:rsidRDefault="00C9725B" w:rsidP="00413CFE">
            <w:pPr>
              <w:spacing w:before="40"/>
              <w:jc w:val="left"/>
              <w:rPr>
                <w:color w:val="000000"/>
                <w:sz w:val="20"/>
                <w:szCs w:val="20"/>
              </w:rPr>
            </w:pPr>
            <w:r w:rsidRPr="00461C16">
              <w:rPr>
                <w:color w:val="000000"/>
                <w:sz w:val="20"/>
                <w:szCs w:val="20"/>
              </w:rPr>
              <w:t>Z46</w:t>
            </w:r>
          </w:p>
        </w:tc>
        <w:tc>
          <w:tcPr>
            <w:tcW w:w="2515" w:type="dxa"/>
            <w:shd w:val="clear" w:color="auto" w:fill="auto"/>
          </w:tcPr>
          <w:p w14:paraId="16EB8FA4"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65F241FF" w14:textId="77777777" w:rsidR="00C9725B" w:rsidRPr="00461C16" w:rsidRDefault="00C9725B" w:rsidP="00A2304D">
            <w:pPr>
              <w:pStyle w:val="Intabulka"/>
              <w:rPr>
                <w:rFonts w:ascii="Arial Narrow" w:hAnsi="Arial Narrow"/>
                <w:lang w:val="cs-CZ"/>
              </w:rPr>
            </w:pPr>
            <w:r w:rsidRPr="00461C16">
              <w:rPr>
                <w:rFonts w:ascii="Arial Narrow" w:hAnsi="Arial Narrow"/>
                <w:lang w:val="cs-CZ"/>
              </w:rPr>
              <w:t>Plocha je součástí obytného území v lokalitě Zlatá Výšina, navazuje na stabilizovanou zástavbu rodinných domů a tvoří přechod do rozsáhlé rozvojové plochy pro bydlení. Plocha uzavírá obytnou zástavbu v lokalitě Zlatá Výšina ze severu a umožňuje účelné využití stávající prostorové proluky a scelení zástavby. Využití plochy přispěje k uspokojení poptávky po nových plochách pro bydlení, ke zkvalitnění obytného komfortu a k celkovému zatraktivnění prostředí. Plocha je vymezena v souladu se současně platným ÚP města, kde již byla řádně projednána a schválena.</w:t>
            </w:r>
          </w:p>
        </w:tc>
      </w:tr>
      <w:tr w:rsidR="002D3E77" w:rsidRPr="00461C16" w14:paraId="1F1F6FDE" w14:textId="77777777" w:rsidTr="005465A1">
        <w:trPr>
          <w:cantSplit/>
          <w:jc w:val="center"/>
        </w:trPr>
        <w:tc>
          <w:tcPr>
            <w:tcW w:w="1116" w:type="dxa"/>
            <w:shd w:val="clear" w:color="auto" w:fill="auto"/>
          </w:tcPr>
          <w:p w14:paraId="757A5046" w14:textId="77777777" w:rsidR="00C9725B" w:rsidRPr="00461C16" w:rsidRDefault="00C9725B" w:rsidP="00413CFE">
            <w:pPr>
              <w:spacing w:before="40"/>
              <w:jc w:val="left"/>
              <w:rPr>
                <w:color w:val="000000"/>
                <w:sz w:val="20"/>
                <w:szCs w:val="20"/>
              </w:rPr>
            </w:pPr>
            <w:r w:rsidRPr="00461C16">
              <w:rPr>
                <w:color w:val="000000"/>
                <w:sz w:val="20"/>
                <w:szCs w:val="20"/>
              </w:rPr>
              <w:t>Z47</w:t>
            </w:r>
          </w:p>
        </w:tc>
        <w:tc>
          <w:tcPr>
            <w:tcW w:w="2515" w:type="dxa"/>
            <w:shd w:val="clear" w:color="auto" w:fill="auto"/>
          </w:tcPr>
          <w:p w14:paraId="7066835D" w14:textId="77777777" w:rsidR="00C9725B" w:rsidRPr="00461C16" w:rsidRDefault="00C9725B" w:rsidP="00413CFE">
            <w:pPr>
              <w:spacing w:before="40"/>
              <w:jc w:val="left"/>
              <w:rPr>
                <w:color w:val="000000"/>
                <w:sz w:val="20"/>
                <w:szCs w:val="20"/>
              </w:rPr>
            </w:pPr>
            <w:r w:rsidRPr="00461C16">
              <w:rPr>
                <w:color w:val="000000"/>
                <w:sz w:val="20"/>
                <w:szCs w:val="20"/>
              </w:rPr>
              <w:t>SM – plocha smíšené obytná - městská</w:t>
            </w:r>
          </w:p>
        </w:tc>
        <w:tc>
          <w:tcPr>
            <w:tcW w:w="5657" w:type="dxa"/>
            <w:shd w:val="clear" w:color="auto" w:fill="auto"/>
          </w:tcPr>
          <w:p w14:paraId="27CA8365" w14:textId="77777777" w:rsidR="00C9725B" w:rsidRPr="00461C16" w:rsidRDefault="00C9725B" w:rsidP="009C570A">
            <w:pPr>
              <w:pStyle w:val="Intabulka"/>
              <w:rPr>
                <w:rFonts w:ascii="Arial Narrow" w:hAnsi="Arial Narrow"/>
                <w:lang w:val="cs-CZ"/>
              </w:rPr>
            </w:pPr>
            <w:r w:rsidRPr="00461C16">
              <w:rPr>
                <w:rFonts w:ascii="Arial Narrow" w:hAnsi="Arial Narrow"/>
                <w:lang w:val="cs-CZ"/>
              </w:rPr>
              <w:t>Plocha je vymezena za účelem doplnění smíšené obytné zástavby podél ul. Oldřichovská, která je jednou z hlavních urbanistických os města. Dotváří oboustranné obestavění komunikace, které je výhodné z hlediska urbanistického (jednoznačné vymezení uličního veřejného prostoru) i ekonomického (dostupnost sítí veřejné infrastruktury).</w:t>
            </w:r>
            <w:r w:rsidR="009C570A">
              <w:rPr>
                <w:rFonts w:ascii="Arial Narrow" w:hAnsi="Arial Narrow"/>
                <w:lang w:val="cs-CZ"/>
              </w:rPr>
              <w:t xml:space="preserve"> </w:t>
            </w:r>
            <w:r w:rsidRPr="00461C16">
              <w:rPr>
                <w:rFonts w:ascii="Arial Narrow" w:hAnsi="Arial Narrow"/>
                <w:lang w:val="cs-CZ"/>
              </w:rPr>
              <w:t>Vymezení plochy je v souladu se současně platným ÚP města, přičemž zohledňuje záměr města na výstavbu Domova seniorů v této poloze jako řešení chybějících zařízení sociální péče ve městě Hrádek nad Nisou.</w:t>
            </w:r>
          </w:p>
        </w:tc>
      </w:tr>
      <w:tr w:rsidR="002D3E77" w:rsidRPr="00461C16" w14:paraId="5F670516" w14:textId="77777777" w:rsidTr="005465A1">
        <w:trPr>
          <w:cantSplit/>
          <w:jc w:val="center"/>
        </w:trPr>
        <w:tc>
          <w:tcPr>
            <w:tcW w:w="1116" w:type="dxa"/>
            <w:shd w:val="clear" w:color="auto" w:fill="auto"/>
          </w:tcPr>
          <w:p w14:paraId="141357A4" w14:textId="77777777" w:rsidR="00C9725B" w:rsidRPr="00461C16" w:rsidRDefault="00C9725B" w:rsidP="00413CFE">
            <w:pPr>
              <w:spacing w:before="40"/>
              <w:jc w:val="left"/>
              <w:rPr>
                <w:color w:val="000000"/>
                <w:sz w:val="20"/>
                <w:szCs w:val="20"/>
              </w:rPr>
            </w:pPr>
            <w:r w:rsidRPr="00461C16">
              <w:rPr>
                <w:color w:val="000000"/>
                <w:sz w:val="20"/>
                <w:szCs w:val="20"/>
              </w:rPr>
              <w:t>Z48</w:t>
            </w:r>
          </w:p>
        </w:tc>
        <w:tc>
          <w:tcPr>
            <w:tcW w:w="2515" w:type="dxa"/>
            <w:shd w:val="clear" w:color="auto" w:fill="auto"/>
          </w:tcPr>
          <w:p w14:paraId="4515E6B3" w14:textId="77777777" w:rsidR="00C9725B" w:rsidRPr="00461C16" w:rsidRDefault="00C9725B" w:rsidP="00413CFE">
            <w:pPr>
              <w:spacing w:before="40"/>
              <w:jc w:val="left"/>
              <w:rPr>
                <w:color w:val="000000"/>
                <w:sz w:val="20"/>
                <w:szCs w:val="20"/>
              </w:rPr>
            </w:pPr>
            <w:r w:rsidRPr="00461C16">
              <w:rPr>
                <w:color w:val="000000"/>
                <w:sz w:val="20"/>
                <w:szCs w:val="20"/>
              </w:rPr>
              <w:t>VL – lehký průmysl</w:t>
            </w:r>
          </w:p>
        </w:tc>
        <w:tc>
          <w:tcPr>
            <w:tcW w:w="5657" w:type="dxa"/>
            <w:shd w:val="clear" w:color="auto" w:fill="auto"/>
          </w:tcPr>
          <w:p w14:paraId="74403CBD" w14:textId="77777777" w:rsidR="00C9725B" w:rsidRPr="00461C16" w:rsidRDefault="00C9725B" w:rsidP="00F767B1">
            <w:pPr>
              <w:pStyle w:val="Intabulka"/>
              <w:rPr>
                <w:rFonts w:ascii="Arial Narrow" w:hAnsi="Arial Narrow"/>
                <w:lang w:val="cs-CZ"/>
              </w:rPr>
            </w:pPr>
            <w:r w:rsidRPr="00461C16">
              <w:rPr>
                <w:rFonts w:ascii="Arial Narrow" w:hAnsi="Arial Narrow"/>
                <w:lang w:val="cs-CZ"/>
              </w:rPr>
              <w:t>Plocha je vymezena za účelem doplnění prostorové proluky podél koridoru dráhy mezi stávajícím výrobním areálem společnosti EFTEC a kompaktní zástavbou města. Funkčně propojuje plochy výroby v ul. Jižní, je tedy vhodným a logickým doplněním území. Rozvoj výroby v této ploše byl již řádně projednán a schválen v platné ÚPD města.</w:t>
            </w:r>
          </w:p>
        </w:tc>
      </w:tr>
      <w:tr w:rsidR="002D3E77" w:rsidRPr="00461C16" w14:paraId="1E3A5565" w14:textId="77777777" w:rsidTr="005465A1">
        <w:trPr>
          <w:cantSplit/>
          <w:jc w:val="center"/>
        </w:trPr>
        <w:tc>
          <w:tcPr>
            <w:tcW w:w="1116" w:type="dxa"/>
            <w:shd w:val="clear" w:color="auto" w:fill="auto"/>
          </w:tcPr>
          <w:p w14:paraId="0E3B0286" w14:textId="77777777" w:rsidR="00C9725B" w:rsidRPr="00461C16" w:rsidRDefault="00C9725B" w:rsidP="00413CFE">
            <w:pPr>
              <w:spacing w:before="40"/>
              <w:jc w:val="left"/>
              <w:rPr>
                <w:color w:val="000000"/>
                <w:sz w:val="20"/>
                <w:szCs w:val="20"/>
              </w:rPr>
            </w:pPr>
            <w:r w:rsidRPr="00461C16">
              <w:rPr>
                <w:color w:val="000000"/>
                <w:sz w:val="20"/>
                <w:szCs w:val="20"/>
              </w:rPr>
              <w:t>Z49</w:t>
            </w:r>
          </w:p>
        </w:tc>
        <w:tc>
          <w:tcPr>
            <w:tcW w:w="2515" w:type="dxa"/>
            <w:shd w:val="clear" w:color="auto" w:fill="auto"/>
          </w:tcPr>
          <w:p w14:paraId="08DC86E1" w14:textId="77777777" w:rsidR="00C9725B" w:rsidRPr="00461C16" w:rsidRDefault="00C9725B" w:rsidP="00413CFE">
            <w:pPr>
              <w:spacing w:before="40"/>
              <w:jc w:val="left"/>
              <w:rPr>
                <w:color w:val="000000"/>
                <w:sz w:val="20"/>
                <w:szCs w:val="20"/>
              </w:rPr>
            </w:pPr>
            <w:r w:rsidRPr="00461C16">
              <w:rPr>
                <w:color w:val="000000"/>
                <w:sz w:val="20"/>
                <w:szCs w:val="20"/>
              </w:rPr>
              <w:t>VL – lehký průmysl</w:t>
            </w:r>
          </w:p>
        </w:tc>
        <w:tc>
          <w:tcPr>
            <w:tcW w:w="5657" w:type="dxa"/>
            <w:shd w:val="clear" w:color="auto" w:fill="auto"/>
          </w:tcPr>
          <w:p w14:paraId="0F2F220F" w14:textId="77777777" w:rsidR="00C9725B" w:rsidRPr="00461C16" w:rsidRDefault="00C9725B" w:rsidP="00F767B1">
            <w:pPr>
              <w:pStyle w:val="Intabulka"/>
              <w:rPr>
                <w:rFonts w:ascii="Arial Narrow" w:hAnsi="Arial Narrow"/>
                <w:lang w:val="cs-CZ"/>
              </w:rPr>
            </w:pPr>
            <w:r w:rsidRPr="00461C16">
              <w:rPr>
                <w:rFonts w:ascii="Arial Narrow" w:hAnsi="Arial Narrow"/>
                <w:lang w:val="cs-CZ"/>
              </w:rPr>
              <w:t>Plocha je vymezena za účelem doplnění prostorové proluky podél koridoru dráhy mezi stávajícím výrobním areálem společnosti EFTEC a kompaktní zástavbou města. Funkčně propojuje plochy výroby v ul. Jižní, je tedy vhodným a logickým doplněním území. Rozvoj výroby v této ploše byl již řádně projednán a schválen v platné ÚPD města.</w:t>
            </w:r>
          </w:p>
        </w:tc>
      </w:tr>
      <w:tr w:rsidR="002D3E77" w:rsidRPr="00461C16" w14:paraId="7BFF87E1" w14:textId="77777777" w:rsidTr="005465A1">
        <w:trPr>
          <w:cantSplit/>
          <w:jc w:val="center"/>
        </w:trPr>
        <w:tc>
          <w:tcPr>
            <w:tcW w:w="1116" w:type="dxa"/>
            <w:shd w:val="clear" w:color="auto" w:fill="auto"/>
          </w:tcPr>
          <w:p w14:paraId="3EEAC328" w14:textId="77777777" w:rsidR="00C9725B" w:rsidRPr="00461C16" w:rsidRDefault="00C9725B" w:rsidP="00413CFE">
            <w:pPr>
              <w:spacing w:before="40"/>
              <w:jc w:val="left"/>
              <w:rPr>
                <w:color w:val="000000"/>
                <w:sz w:val="20"/>
                <w:szCs w:val="20"/>
              </w:rPr>
            </w:pPr>
            <w:r w:rsidRPr="00461C16">
              <w:rPr>
                <w:color w:val="000000"/>
                <w:sz w:val="20"/>
                <w:szCs w:val="20"/>
              </w:rPr>
              <w:t>Z50</w:t>
            </w:r>
          </w:p>
        </w:tc>
        <w:tc>
          <w:tcPr>
            <w:tcW w:w="2515" w:type="dxa"/>
            <w:shd w:val="clear" w:color="auto" w:fill="auto"/>
          </w:tcPr>
          <w:p w14:paraId="4F4DA99A" w14:textId="77777777" w:rsidR="00C9725B" w:rsidRPr="00461C16" w:rsidRDefault="00C9725B" w:rsidP="00413CFE">
            <w:pPr>
              <w:spacing w:before="40"/>
              <w:jc w:val="left"/>
              <w:rPr>
                <w:color w:val="000000"/>
                <w:sz w:val="20"/>
                <w:szCs w:val="20"/>
              </w:rPr>
            </w:pPr>
            <w:r w:rsidRPr="00461C16">
              <w:rPr>
                <w:color w:val="000000"/>
                <w:sz w:val="20"/>
                <w:szCs w:val="20"/>
              </w:rPr>
              <w:t>VD – drobná a řemeslná výroba</w:t>
            </w:r>
          </w:p>
        </w:tc>
        <w:tc>
          <w:tcPr>
            <w:tcW w:w="5657" w:type="dxa"/>
            <w:shd w:val="clear" w:color="auto" w:fill="auto"/>
          </w:tcPr>
          <w:p w14:paraId="71704B24" w14:textId="77777777" w:rsidR="00C9725B" w:rsidRPr="00461C16" w:rsidRDefault="00C9725B" w:rsidP="00F767B1">
            <w:pPr>
              <w:pStyle w:val="Intabulka"/>
              <w:rPr>
                <w:rFonts w:ascii="Arial Narrow" w:hAnsi="Arial Narrow"/>
                <w:lang w:val="cs-CZ"/>
              </w:rPr>
            </w:pPr>
            <w:r w:rsidRPr="00461C16">
              <w:rPr>
                <w:rFonts w:ascii="Arial Narrow" w:hAnsi="Arial Narrow"/>
                <w:lang w:val="cs-CZ"/>
              </w:rPr>
              <w:t>Plocha využívá prostorovou proluku mezi souvislou obytnou zástavbou v ul. Žitavská a průmyslovou zástavbou areálů v ul. Jižní a ul. Za Poštou. Účelně sceluje území a přispívá tak k jeho hospodárnému využívání. Navržený způsob využití reaguje na charakter navazujícího území a blízkost dráhy, stejně jako na možnost optimálního dopravního napojení na komunikační síť. Rozvoj výroby v této ploše byl již řádně projednán a schválen v platné ÚPD města.</w:t>
            </w:r>
          </w:p>
        </w:tc>
      </w:tr>
      <w:tr w:rsidR="002D3E77" w:rsidRPr="00461C16" w14:paraId="4249F685" w14:textId="77777777" w:rsidTr="005465A1">
        <w:trPr>
          <w:cantSplit/>
          <w:jc w:val="center"/>
        </w:trPr>
        <w:tc>
          <w:tcPr>
            <w:tcW w:w="1116" w:type="dxa"/>
            <w:shd w:val="clear" w:color="auto" w:fill="auto"/>
          </w:tcPr>
          <w:p w14:paraId="150CC0D8" w14:textId="77777777" w:rsidR="00C9725B" w:rsidRPr="00461C16" w:rsidRDefault="00C9725B" w:rsidP="00413CFE">
            <w:pPr>
              <w:spacing w:before="40"/>
              <w:jc w:val="left"/>
              <w:rPr>
                <w:color w:val="000000"/>
                <w:sz w:val="20"/>
                <w:szCs w:val="20"/>
              </w:rPr>
            </w:pPr>
            <w:r w:rsidRPr="00461C16">
              <w:rPr>
                <w:color w:val="000000"/>
                <w:sz w:val="20"/>
                <w:szCs w:val="20"/>
              </w:rPr>
              <w:lastRenderedPageBreak/>
              <w:t>Z51</w:t>
            </w:r>
          </w:p>
        </w:tc>
        <w:tc>
          <w:tcPr>
            <w:tcW w:w="2515" w:type="dxa"/>
            <w:shd w:val="clear" w:color="auto" w:fill="auto"/>
          </w:tcPr>
          <w:p w14:paraId="254EECEC" w14:textId="77777777" w:rsidR="00C9725B" w:rsidRPr="00461C16" w:rsidRDefault="00C9725B" w:rsidP="00413CFE">
            <w:pPr>
              <w:spacing w:before="40"/>
              <w:jc w:val="left"/>
              <w:rPr>
                <w:color w:val="000000"/>
                <w:sz w:val="20"/>
                <w:szCs w:val="20"/>
              </w:rPr>
            </w:pPr>
            <w:r w:rsidRPr="00461C16">
              <w:rPr>
                <w:color w:val="000000"/>
                <w:sz w:val="20"/>
                <w:szCs w:val="20"/>
              </w:rPr>
              <w:t>SM – plocha smíšené obytná - městská</w:t>
            </w:r>
          </w:p>
        </w:tc>
        <w:tc>
          <w:tcPr>
            <w:tcW w:w="5657" w:type="dxa"/>
            <w:shd w:val="clear" w:color="auto" w:fill="auto"/>
          </w:tcPr>
          <w:p w14:paraId="5FE3D407" w14:textId="68E1D532" w:rsidR="00C9725B" w:rsidRPr="00461C16" w:rsidRDefault="00C9725B">
            <w:pPr>
              <w:pStyle w:val="Intabulka"/>
              <w:rPr>
                <w:rFonts w:ascii="Arial Narrow" w:hAnsi="Arial Narrow"/>
                <w:lang w:val="cs-CZ"/>
              </w:rPr>
            </w:pPr>
            <w:r w:rsidRPr="00461C16">
              <w:rPr>
                <w:rFonts w:ascii="Arial Narrow" w:hAnsi="Arial Narrow"/>
                <w:lang w:val="cs-CZ"/>
              </w:rPr>
              <w:t xml:space="preserve">Plocha navazuje na smíšenou obytnou zástavbu v ul. Žitavská a doplňuje ji až ke stávající veřejné komunikaci, která spojuje ul. Žitavská a ul. Větrná. Přirozeně dotváří uliční hranu podél jedné z nejvýznamnějších urbanistických os města a posiluje tak její kompoziční význam. Při zastavění navazujícího území východně by zde vznikla neopodstatněná proluka. Využití </w:t>
            </w:r>
            <w:r w:rsidR="00021DC8" w:rsidRPr="00461C16">
              <w:rPr>
                <w:rFonts w:ascii="Arial Narrow" w:hAnsi="Arial Narrow"/>
                <w:lang w:val="cs-CZ"/>
              </w:rPr>
              <w:t>t</w:t>
            </w:r>
            <w:r w:rsidR="00021DC8">
              <w:rPr>
                <w:rFonts w:ascii="Arial Narrow" w:hAnsi="Arial Narrow"/>
                <w:lang w:val="cs-CZ"/>
              </w:rPr>
              <w:t>é</w:t>
            </w:r>
            <w:r w:rsidR="00021DC8" w:rsidRPr="00461C16">
              <w:rPr>
                <w:rFonts w:ascii="Arial Narrow" w:hAnsi="Arial Narrow"/>
                <w:lang w:val="cs-CZ"/>
              </w:rPr>
              <w:t xml:space="preserve">to </w:t>
            </w:r>
            <w:r w:rsidRPr="00461C16">
              <w:rPr>
                <w:rFonts w:ascii="Arial Narrow" w:hAnsi="Arial Narrow"/>
                <w:lang w:val="cs-CZ"/>
              </w:rPr>
              <w:t>plochy pro bydlení bylo již řádně projednáno a schváleno v platné ÚPD města.</w:t>
            </w:r>
          </w:p>
        </w:tc>
      </w:tr>
      <w:tr w:rsidR="002D3E77" w:rsidRPr="00461C16" w14:paraId="5B02607B" w14:textId="77777777" w:rsidTr="005465A1">
        <w:trPr>
          <w:cantSplit/>
          <w:jc w:val="center"/>
        </w:trPr>
        <w:tc>
          <w:tcPr>
            <w:tcW w:w="1116" w:type="dxa"/>
            <w:shd w:val="clear" w:color="auto" w:fill="auto"/>
          </w:tcPr>
          <w:p w14:paraId="2A832E53" w14:textId="77777777" w:rsidR="00C9725B" w:rsidRPr="00461C16" w:rsidRDefault="00C9725B" w:rsidP="00413CFE">
            <w:pPr>
              <w:spacing w:before="40"/>
              <w:jc w:val="left"/>
              <w:rPr>
                <w:color w:val="000000"/>
                <w:sz w:val="20"/>
                <w:szCs w:val="20"/>
              </w:rPr>
            </w:pPr>
            <w:r w:rsidRPr="00461C16">
              <w:rPr>
                <w:color w:val="000000"/>
                <w:sz w:val="20"/>
                <w:szCs w:val="20"/>
              </w:rPr>
              <w:t>Z52</w:t>
            </w:r>
          </w:p>
        </w:tc>
        <w:tc>
          <w:tcPr>
            <w:tcW w:w="2515" w:type="dxa"/>
            <w:shd w:val="clear" w:color="auto" w:fill="auto"/>
          </w:tcPr>
          <w:p w14:paraId="0594F01C"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3DCC205D" w14:textId="77777777" w:rsidR="00C9725B" w:rsidRPr="00461C16" w:rsidRDefault="00C9725B" w:rsidP="004415C7">
            <w:pPr>
              <w:pStyle w:val="Intabulka"/>
              <w:rPr>
                <w:rFonts w:ascii="Arial Narrow" w:hAnsi="Arial Narrow"/>
                <w:lang w:val="cs-CZ"/>
              </w:rPr>
            </w:pPr>
            <w:r w:rsidRPr="00461C16">
              <w:rPr>
                <w:rFonts w:ascii="Arial Narrow" w:hAnsi="Arial Narrow"/>
                <w:lang w:val="cs-CZ"/>
              </w:rPr>
              <w:t>Plocha je vymezena za účelem umožnění rozvoje bydlení v západní části sídla Hrádek nad Nisou. V návaznosti na plochu P08 využívá prostorovou proluku mezi stabilizovanou zástavbou a veřejnou komunikací v prodloužení ul. Lidická. Z urbanistického hlediska je tato poloha velmi atraktivní, nachází se na okraji zástavby a otvírá se do volné krajiny s rekreačním areálem Kristýna. Využití plochy přispěje k uspokojení poptávky po nových plochách pro bydlení na území města a k celkovému zvýšení kvality a komfortu bydlení. Plocha je vymezena v souladu s požadavkem schváleného Zadání ÚP.</w:t>
            </w:r>
          </w:p>
        </w:tc>
      </w:tr>
      <w:tr w:rsidR="002D3E77" w:rsidRPr="00461C16" w14:paraId="41254775" w14:textId="77777777" w:rsidTr="005465A1">
        <w:trPr>
          <w:cantSplit/>
          <w:jc w:val="center"/>
        </w:trPr>
        <w:tc>
          <w:tcPr>
            <w:tcW w:w="1116" w:type="dxa"/>
            <w:shd w:val="clear" w:color="auto" w:fill="auto"/>
          </w:tcPr>
          <w:p w14:paraId="053C4094" w14:textId="77777777" w:rsidR="00C9725B" w:rsidRPr="00461C16" w:rsidRDefault="00C9725B" w:rsidP="00413CFE">
            <w:pPr>
              <w:spacing w:before="40"/>
              <w:jc w:val="left"/>
              <w:rPr>
                <w:color w:val="000000"/>
                <w:sz w:val="20"/>
                <w:szCs w:val="20"/>
              </w:rPr>
            </w:pPr>
            <w:r w:rsidRPr="00461C16">
              <w:rPr>
                <w:color w:val="000000"/>
                <w:sz w:val="20"/>
                <w:szCs w:val="20"/>
              </w:rPr>
              <w:t>Z54</w:t>
            </w:r>
          </w:p>
        </w:tc>
        <w:tc>
          <w:tcPr>
            <w:tcW w:w="2515" w:type="dxa"/>
            <w:shd w:val="clear" w:color="auto" w:fill="auto"/>
          </w:tcPr>
          <w:p w14:paraId="738624D6"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7C4012FC" w14:textId="77777777" w:rsidR="00C9725B" w:rsidRPr="00461C16" w:rsidRDefault="00C9725B" w:rsidP="00AA21AE">
            <w:pPr>
              <w:pStyle w:val="Intabulka"/>
              <w:rPr>
                <w:rFonts w:ascii="Arial Narrow" w:hAnsi="Arial Narrow"/>
                <w:lang w:val="cs-CZ"/>
              </w:rPr>
            </w:pPr>
            <w:r w:rsidRPr="00461C16">
              <w:rPr>
                <w:rFonts w:ascii="Arial Narrow" w:hAnsi="Arial Narrow"/>
                <w:lang w:val="cs-CZ"/>
              </w:rPr>
              <w:t xml:space="preserve">Plocha je vymezena v prostorové proluce mezi zahrádkovou osadou, stávající obytnou zástavbou v ul. Polní a koridorem dráhy. Využití proluky směřuje k účelnému a hospodárnému využívání území, k posílení kompaktnosti území a ke scelení zástavby. Plocha umožňuje rozšíření stabilizované zástavby rodinných domů podél ul. Polní a dotvoření jižní hrany zástavby, přispívá k uspokojení poptávky po nových plochách pro bydlení a zároveň ke zvýšení kvality a komfortu bydlení ve městě. Plocha je vymezena v souladu se současně platným ÚP města, kde již byla řádně projednána a schválena. </w:t>
            </w:r>
          </w:p>
        </w:tc>
      </w:tr>
      <w:tr w:rsidR="002D3E77" w:rsidRPr="00461C16" w14:paraId="4096ADA8" w14:textId="77777777" w:rsidTr="005465A1">
        <w:trPr>
          <w:cantSplit/>
          <w:jc w:val="center"/>
        </w:trPr>
        <w:tc>
          <w:tcPr>
            <w:tcW w:w="1116" w:type="dxa"/>
            <w:shd w:val="clear" w:color="auto" w:fill="auto"/>
          </w:tcPr>
          <w:p w14:paraId="4E331B5C" w14:textId="77777777" w:rsidR="00C9725B" w:rsidRPr="00461C16" w:rsidRDefault="00C9725B" w:rsidP="00413CFE">
            <w:pPr>
              <w:spacing w:before="40"/>
              <w:jc w:val="left"/>
              <w:rPr>
                <w:color w:val="000000"/>
                <w:sz w:val="20"/>
                <w:szCs w:val="20"/>
              </w:rPr>
            </w:pPr>
            <w:r w:rsidRPr="00461C16">
              <w:rPr>
                <w:color w:val="000000"/>
                <w:sz w:val="20"/>
                <w:szCs w:val="20"/>
              </w:rPr>
              <w:t>Z55</w:t>
            </w:r>
          </w:p>
        </w:tc>
        <w:tc>
          <w:tcPr>
            <w:tcW w:w="2515" w:type="dxa"/>
            <w:shd w:val="clear" w:color="auto" w:fill="auto"/>
          </w:tcPr>
          <w:p w14:paraId="19AD79AE"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2F21D936" w14:textId="77777777" w:rsidR="00C9725B" w:rsidRPr="00461C16" w:rsidRDefault="00C9725B" w:rsidP="0021686B">
            <w:pPr>
              <w:pStyle w:val="Intabulka"/>
              <w:rPr>
                <w:rFonts w:ascii="Arial Narrow" w:hAnsi="Arial Narrow"/>
                <w:lang w:val="cs-CZ"/>
              </w:rPr>
            </w:pPr>
            <w:r w:rsidRPr="00461C16">
              <w:rPr>
                <w:rFonts w:ascii="Arial Narrow" w:hAnsi="Arial Narrow"/>
                <w:lang w:val="cs-CZ"/>
              </w:rPr>
              <w:t xml:space="preserve">Plocha je vymezena v prostorové proluce mezi zahrádkovou osadou, stávající obytnou zástavbou v ul. Polní a koridorem dráhy. Využití proluky směřuje k účelnému a hospodárnému využívání území, k posílení kompaktnosti území a ke scelení zástavby. Plocha umožňuje rozšíření stabilizované zástavby rodinných domů podél ul. Polní a dotvoření jižní hrany zástavby, přispívá k uspokojení poptávky po nových plochách pro bydlení a zároveň ke zvýšení kvality a komfortu bydlení ve městě. Plocha je vymezena v souladu se současně platným ÚP města, kde již byla řádně projednána a schválena. </w:t>
            </w:r>
          </w:p>
        </w:tc>
      </w:tr>
      <w:tr w:rsidR="002D3E77" w:rsidRPr="00461C16" w14:paraId="7474AFD1" w14:textId="77777777" w:rsidTr="005465A1">
        <w:trPr>
          <w:cantSplit/>
          <w:jc w:val="center"/>
        </w:trPr>
        <w:tc>
          <w:tcPr>
            <w:tcW w:w="1116" w:type="dxa"/>
            <w:shd w:val="clear" w:color="auto" w:fill="auto"/>
          </w:tcPr>
          <w:p w14:paraId="6F90D2FB" w14:textId="77777777" w:rsidR="00C9725B" w:rsidRPr="00461C16" w:rsidRDefault="00C9725B" w:rsidP="00413CFE">
            <w:pPr>
              <w:spacing w:before="40"/>
              <w:jc w:val="left"/>
              <w:rPr>
                <w:color w:val="000000"/>
                <w:sz w:val="20"/>
                <w:szCs w:val="20"/>
              </w:rPr>
            </w:pPr>
            <w:r w:rsidRPr="00461C16">
              <w:rPr>
                <w:color w:val="000000"/>
                <w:sz w:val="20"/>
                <w:szCs w:val="20"/>
              </w:rPr>
              <w:t>Z56</w:t>
            </w:r>
          </w:p>
        </w:tc>
        <w:tc>
          <w:tcPr>
            <w:tcW w:w="2515" w:type="dxa"/>
            <w:shd w:val="clear" w:color="auto" w:fill="auto"/>
          </w:tcPr>
          <w:p w14:paraId="21FAD5EE" w14:textId="77777777" w:rsidR="00C9725B" w:rsidRPr="00461C16" w:rsidRDefault="00C9725B" w:rsidP="00413CFE">
            <w:pPr>
              <w:spacing w:before="40"/>
              <w:jc w:val="left"/>
              <w:rPr>
                <w:color w:val="000000"/>
                <w:sz w:val="20"/>
                <w:szCs w:val="20"/>
              </w:rPr>
            </w:pPr>
            <w:r w:rsidRPr="00461C16">
              <w:rPr>
                <w:color w:val="000000"/>
                <w:sz w:val="20"/>
                <w:szCs w:val="20"/>
              </w:rPr>
              <w:t>RZ – rekreace v zahrádkových osadách</w:t>
            </w:r>
          </w:p>
        </w:tc>
        <w:tc>
          <w:tcPr>
            <w:tcW w:w="5657" w:type="dxa"/>
            <w:shd w:val="clear" w:color="auto" w:fill="auto"/>
          </w:tcPr>
          <w:p w14:paraId="2EEDD0EC" w14:textId="77777777" w:rsidR="00C9725B" w:rsidRPr="00461C16" w:rsidRDefault="00C9725B" w:rsidP="002E74AC">
            <w:pPr>
              <w:pStyle w:val="Intabulka"/>
              <w:rPr>
                <w:rFonts w:ascii="Arial Narrow" w:hAnsi="Arial Narrow"/>
                <w:lang w:val="cs-CZ"/>
              </w:rPr>
            </w:pPr>
            <w:r w:rsidRPr="00461C16">
              <w:rPr>
                <w:rFonts w:ascii="Arial Narrow" w:hAnsi="Arial Narrow"/>
                <w:lang w:val="cs-CZ"/>
              </w:rPr>
              <w:t>Plocha je vymezena ve vazbě na stávající zahrádkovou osadu v ul. Lidická nad výrobním areálem (bývalá Praga). Umožňuje rozvoj zahrádkářských aktivit jako částečnou kompenzaci rušených zahrádkových osad v jiné části města blíže centru, kde je navržena přestavba na jiné využití. Vymezení plochy z části respektuje stávající způsob využití a legalizuje ho. Zároveň vychází ze současně platného ÚP města, kde je vymezena jako plocha stabilizovaná, byť ji v souladu s §58 stavebního zákona nelze zahrnout do zastavěného území.</w:t>
            </w:r>
          </w:p>
        </w:tc>
      </w:tr>
      <w:tr w:rsidR="002D3E77" w:rsidRPr="00461C16" w14:paraId="6CF31CA0" w14:textId="77777777" w:rsidTr="005465A1">
        <w:trPr>
          <w:cantSplit/>
          <w:jc w:val="center"/>
        </w:trPr>
        <w:tc>
          <w:tcPr>
            <w:tcW w:w="1116" w:type="dxa"/>
            <w:shd w:val="clear" w:color="auto" w:fill="auto"/>
          </w:tcPr>
          <w:p w14:paraId="3B89ED12" w14:textId="77777777" w:rsidR="00C9725B" w:rsidRPr="00461C16" w:rsidRDefault="00C9725B" w:rsidP="00413CFE">
            <w:pPr>
              <w:spacing w:before="40"/>
              <w:jc w:val="left"/>
              <w:rPr>
                <w:color w:val="000000"/>
                <w:sz w:val="20"/>
                <w:szCs w:val="20"/>
              </w:rPr>
            </w:pPr>
            <w:r w:rsidRPr="00461C16">
              <w:rPr>
                <w:color w:val="000000"/>
                <w:sz w:val="20"/>
                <w:szCs w:val="20"/>
              </w:rPr>
              <w:t>Z57</w:t>
            </w:r>
          </w:p>
        </w:tc>
        <w:tc>
          <w:tcPr>
            <w:tcW w:w="2515" w:type="dxa"/>
            <w:shd w:val="clear" w:color="auto" w:fill="auto"/>
          </w:tcPr>
          <w:p w14:paraId="3558A707"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250C8911" w14:textId="77777777" w:rsidR="00C9725B" w:rsidRPr="00461C16" w:rsidRDefault="00C9725B" w:rsidP="002E74AC">
            <w:pPr>
              <w:pStyle w:val="Intabulka"/>
              <w:rPr>
                <w:rFonts w:ascii="Arial Narrow" w:hAnsi="Arial Narrow"/>
                <w:lang w:val="cs-CZ"/>
              </w:rPr>
            </w:pPr>
            <w:r w:rsidRPr="00461C16">
              <w:rPr>
                <w:rFonts w:ascii="Arial Narrow" w:hAnsi="Arial Narrow"/>
                <w:lang w:val="cs-CZ"/>
              </w:rPr>
              <w:t xml:space="preserve">Plocha je vymezena na jižním okraji zástavby Loučné, v prostorové proluce podél ul. Hartavská, která je hlavní dopravní a urbanistickou osou sídla. Využití proluky směřuje k hospodárnému a účelnému využívání území a k posílení významu této osy. Vymezení plochy umožňuje rozvoj přilehlé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 </w:t>
            </w:r>
          </w:p>
        </w:tc>
      </w:tr>
      <w:tr w:rsidR="002D3E77" w:rsidRPr="00461C16" w14:paraId="48B02A14" w14:textId="77777777" w:rsidTr="005465A1">
        <w:trPr>
          <w:cantSplit/>
          <w:jc w:val="center"/>
        </w:trPr>
        <w:tc>
          <w:tcPr>
            <w:tcW w:w="1116" w:type="dxa"/>
            <w:shd w:val="clear" w:color="auto" w:fill="auto"/>
          </w:tcPr>
          <w:p w14:paraId="459E22F5" w14:textId="77777777" w:rsidR="00C9725B" w:rsidRPr="00461C16" w:rsidRDefault="00C9725B" w:rsidP="00413CFE">
            <w:pPr>
              <w:spacing w:before="40"/>
              <w:jc w:val="left"/>
              <w:rPr>
                <w:color w:val="000000"/>
                <w:sz w:val="20"/>
                <w:szCs w:val="20"/>
              </w:rPr>
            </w:pPr>
            <w:r w:rsidRPr="00461C16">
              <w:rPr>
                <w:color w:val="000000"/>
                <w:sz w:val="20"/>
                <w:szCs w:val="20"/>
              </w:rPr>
              <w:lastRenderedPageBreak/>
              <w:t>Z58</w:t>
            </w:r>
          </w:p>
        </w:tc>
        <w:tc>
          <w:tcPr>
            <w:tcW w:w="2515" w:type="dxa"/>
            <w:shd w:val="clear" w:color="auto" w:fill="auto"/>
          </w:tcPr>
          <w:p w14:paraId="5EAFDC28" w14:textId="77777777" w:rsidR="007B0B07" w:rsidRDefault="007B0B07" w:rsidP="007B0B07">
            <w:pPr>
              <w:spacing w:before="120" w:line="288" w:lineRule="auto"/>
              <w:jc w:val="left"/>
              <w:rPr>
                <w:color w:val="000000"/>
                <w:sz w:val="20"/>
                <w:szCs w:val="20"/>
                <w:highlight w:val="yellow"/>
              </w:rPr>
            </w:pPr>
            <w:r>
              <w:rPr>
                <w:color w:val="000000"/>
                <w:sz w:val="20"/>
                <w:szCs w:val="20"/>
              </w:rPr>
              <w:t>ZV – veřejné prostranství – veřejná zeleň</w:t>
            </w:r>
          </w:p>
          <w:p w14:paraId="1B9DCB7E" w14:textId="77777777" w:rsidR="00C9725B" w:rsidRPr="00461C16" w:rsidRDefault="00C9725B" w:rsidP="00413CFE">
            <w:pPr>
              <w:spacing w:before="40"/>
              <w:jc w:val="left"/>
              <w:rPr>
                <w:sz w:val="20"/>
                <w:szCs w:val="20"/>
              </w:rPr>
            </w:pPr>
          </w:p>
        </w:tc>
        <w:tc>
          <w:tcPr>
            <w:tcW w:w="5657" w:type="dxa"/>
            <w:shd w:val="clear" w:color="auto" w:fill="auto"/>
          </w:tcPr>
          <w:p w14:paraId="0F9455E7" w14:textId="77777777" w:rsidR="00C9725B" w:rsidRPr="00461C16" w:rsidRDefault="00C9725B" w:rsidP="007F3BF3">
            <w:pPr>
              <w:pStyle w:val="Intabulka"/>
              <w:rPr>
                <w:rFonts w:ascii="Arial Narrow" w:hAnsi="Arial Narrow"/>
                <w:lang w:val="cs-CZ"/>
              </w:rPr>
            </w:pPr>
            <w:r w:rsidRPr="00461C16">
              <w:rPr>
                <w:rFonts w:ascii="Arial Narrow" w:hAnsi="Arial Narrow"/>
                <w:lang w:val="cs-CZ"/>
              </w:rPr>
              <w:t>Plocha je vymezena za účelem založení rekreačního lesoparku, v souladu se zpracovanou studií (Atelier zahradní a krajinářské architektury, 08/2014). Plocha využívá proluku v zástavbě, která je z důvodu nepříznivých hydrogeologických poměrů nevhodná k zastavění, jak předpokládá současně platný ÚP města. Realizace lesoparku zvýší atraktivitu okolního území, zvýší pestrost krajiny a poskytne možnosti pro každodenní rekreaci obyvatel.</w:t>
            </w:r>
          </w:p>
        </w:tc>
      </w:tr>
      <w:tr w:rsidR="002D3E77" w:rsidRPr="00461C16" w14:paraId="73D6B432" w14:textId="77777777" w:rsidTr="005465A1">
        <w:trPr>
          <w:cantSplit/>
          <w:jc w:val="center"/>
        </w:trPr>
        <w:tc>
          <w:tcPr>
            <w:tcW w:w="1116" w:type="dxa"/>
            <w:shd w:val="clear" w:color="auto" w:fill="auto"/>
          </w:tcPr>
          <w:p w14:paraId="294B0CB8" w14:textId="77777777" w:rsidR="00C9725B" w:rsidRPr="00461C16" w:rsidRDefault="00C9725B" w:rsidP="00413CFE">
            <w:pPr>
              <w:spacing w:before="40"/>
              <w:jc w:val="left"/>
              <w:rPr>
                <w:color w:val="000000"/>
                <w:sz w:val="20"/>
                <w:szCs w:val="20"/>
              </w:rPr>
            </w:pPr>
            <w:r w:rsidRPr="00461C16">
              <w:rPr>
                <w:color w:val="000000"/>
                <w:sz w:val="20"/>
                <w:szCs w:val="20"/>
              </w:rPr>
              <w:t>Z59</w:t>
            </w:r>
          </w:p>
        </w:tc>
        <w:tc>
          <w:tcPr>
            <w:tcW w:w="2515" w:type="dxa"/>
            <w:shd w:val="clear" w:color="auto" w:fill="auto"/>
          </w:tcPr>
          <w:p w14:paraId="3F33C550" w14:textId="77777777" w:rsidR="00C9725B" w:rsidRPr="00461C16" w:rsidRDefault="00C9725B"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40255911" w14:textId="77777777" w:rsidR="00C9725B" w:rsidRPr="00461C16" w:rsidRDefault="00C9725B" w:rsidP="007507C5">
            <w:pPr>
              <w:pStyle w:val="Intabulka"/>
              <w:rPr>
                <w:rFonts w:ascii="Arial Narrow" w:hAnsi="Arial Narrow"/>
                <w:lang w:val="cs-CZ"/>
              </w:rPr>
            </w:pPr>
            <w:r w:rsidRPr="00461C16">
              <w:rPr>
                <w:rFonts w:ascii="Arial Narrow" w:hAnsi="Arial Narrow"/>
                <w:lang w:val="cs-CZ"/>
              </w:rPr>
              <w:t xml:space="preserve">Plocha je vymezena na jižním okraji zástavby Loučné, v prostorové proluce podél ul. Lipová, která je jednou z hlavních dopravních os sídla. Využití proluky směřuje k hospodárnému a účelnému využívání území.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 </w:t>
            </w:r>
          </w:p>
        </w:tc>
      </w:tr>
      <w:tr w:rsidR="002D3E77" w:rsidRPr="00461C16" w14:paraId="6D7B7446" w14:textId="77777777" w:rsidTr="005465A1">
        <w:trPr>
          <w:cantSplit/>
          <w:jc w:val="center"/>
        </w:trPr>
        <w:tc>
          <w:tcPr>
            <w:tcW w:w="1116" w:type="dxa"/>
            <w:shd w:val="clear" w:color="auto" w:fill="auto"/>
          </w:tcPr>
          <w:p w14:paraId="0ECBC5E6" w14:textId="77777777" w:rsidR="00C9725B" w:rsidRPr="00461C16" w:rsidRDefault="00C9725B" w:rsidP="00413CFE">
            <w:pPr>
              <w:spacing w:before="40"/>
              <w:jc w:val="left"/>
              <w:rPr>
                <w:color w:val="000000"/>
                <w:sz w:val="20"/>
                <w:szCs w:val="20"/>
              </w:rPr>
            </w:pPr>
            <w:r w:rsidRPr="00461C16">
              <w:rPr>
                <w:color w:val="000000"/>
                <w:sz w:val="20"/>
                <w:szCs w:val="20"/>
              </w:rPr>
              <w:t>Z60</w:t>
            </w:r>
          </w:p>
        </w:tc>
        <w:tc>
          <w:tcPr>
            <w:tcW w:w="2515" w:type="dxa"/>
            <w:shd w:val="clear" w:color="auto" w:fill="auto"/>
          </w:tcPr>
          <w:p w14:paraId="3A73B30A" w14:textId="77777777" w:rsidR="00C9725B" w:rsidRPr="00461C16" w:rsidRDefault="00C9725B"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03A8601A" w14:textId="77777777" w:rsidR="00C9725B" w:rsidRPr="00461C16" w:rsidRDefault="00C9725B" w:rsidP="000F36C6">
            <w:pPr>
              <w:pStyle w:val="Intabulka"/>
              <w:rPr>
                <w:rFonts w:ascii="Arial Narrow" w:hAnsi="Arial Narrow"/>
                <w:color w:val="FF0000"/>
                <w:lang w:val="cs-CZ"/>
              </w:rPr>
            </w:pPr>
            <w:r w:rsidRPr="00461C16">
              <w:rPr>
                <w:rFonts w:ascii="Arial Narrow" w:hAnsi="Arial Narrow"/>
                <w:lang w:val="cs-CZ"/>
              </w:rPr>
              <w:t>Plocha je vymezena na jižním okraji Loučné, v prostorové proluce v zástavbě podél ul. Pytlácká. Využití proluky směřuje k hospodárnému a účelnému využívání území. Vymezení plochy umožňuje rozvoj přilehlé venkovské obytné zástavby, spolu s přilehlou zastavitelnou plochou Z61 zajišťuje oboustranné obestavění komunikace, které je výhodné z urbanistického i ekonomického hlediska (jednoznačné vymezení uličního prostoru, napojení na sítě veřejné infrastruktury) a zároveň přispívá ke scelení fragmentované zástavby do kompaktního útvaru. Realizace záměru přispěje k uspokojení poptávky po nových plochách pro bydlení a ke zvýšení kvality a komfortu bydlení v sídle Loučná. Plocha je vymezena v souladu s požadavkem schváleného Zadání ÚP.</w:t>
            </w:r>
          </w:p>
        </w:tc>
      </w:tr>
      <w:tr w:rsidR="002D3E77" w:rsidRPr="00461C16" w14:paraId="4854D27E" w14:textId="77777777" w:rsidTr="005465A1">
        <w:trPr>
          <w:cantSplit/>
          <w:jc w:val="center"/>
        </w:trPr>
        <w:tc>
          <w:tcPr>
            <w:tcW w:w="1116" w:type="dxa"/>
            <w:shd w:val="clear" w:color="auto" w:fill="auto"/>
          </w:tcPr>
          <w:p w14:paraId="34288F6D" w14:textId="77777777" w:rsidR="00C9725B" w:rsidRPr="00461C16" w:rsidRDefault="00C9725B" w:rsidP="00413CFE">
            <w:pPr>
              <w:spacing w:before="40"/>
              <w:jc w:val="left"/>
              <w:rPr>
                <w:color w:val="000000"/>
                <w:sz w:val="20"/>
                <w:szCs w:val="20"/>
              </w:rPr>
            </w:pPr>
            <w:r w:rsidRPr="00461C16">
              <w:rPr>
                <w:color w:val="000000"/>
                <w:sz w:val="20"/>
                <w:szCs w:val="20"/>
              </w:rPr>
              <w:t>Z61</w:t>
            </w:r>
          </w:p>
        </w:tc>
        <w:tc>
          <w:tcPr>
            <w:tcW w:w="2515" w:type="dxa"/>
            <w:shd w:val="clear" w:color="auto" w:fill="auto"/>
          </w:tcPr>
          <w:p w14:paraId="131314F4" w14:textId="77777777" w:rsidR="00C9725B" w:rsidRPr="00461C16" w:rsidRDefault="00C9725B"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5E178BA3" w14:textId="77777777" w:rsidR="00C9725B" w:rsidRPr="00461C16" w:rsidRDefault="00C9725B" w:rsidP="000F36C6">
            <w:pPr>
              <w:pStyle w:val="Intabulka"/>
              <w:rPr>
                <w:rFonts w:ascii="Arial Narrow" w:hAnsi="Arial Narrow"/>
                <w:color w:val="FF0000"/>
                <w:lang w:val="cs-CZ"/>
              </w:rPr>
            </w:pPr>
            <w:r w:rsidRPr="00461C16">
              <w:rPr>
                <w:rFonts w:ascii="Arial Narrow" w:hAnsi="Arial Narrow"/>
                <w:lang w:val="cs-CZ"/>
              </w:rPr>
              <w:t>Plocha je vymezena na jižním okraji Loučné, v prostorové proluce v zástavbě podél ul. Pytlácká. Využití proluky směřuje k hospodárnému a účelnému využívání území. Vymezení plochy umožňuje rozvoj přilehlé venkovské obytné zástavby, spolu s přilehlou zastavitelnou plochou Z60 zajišťuje oboustranné obestavění komunikace, které je výhodné z urbanistického i ekonomického hlediska (jednoznačné vymezení uličního prostoru, napojení na sítě veřejné infrastruktury) a zároveň přispívá ke scelení fragmentované zástavby do kompaktního útvaru. Realizace záměru přispěje k uspokojení poptávky po nových plochách pro bydlení a ke zvýšení kvality a komfortu bydlení v sídle Loučná. Plocha je vymezena v souladu s požadavkem schváleného Zadání ÚP.</w:t>
            </w:r>
          </w:p>
        </w:tc>
      </w:tr>
      <w:tr w:rsidR="002D3E77" w:rsidRPr="00461C16" w14:paraId="2E482941" w14:textId="77777777" w:rsidTr="005465A1">
        <w:trPr>
          <w:cantSplit/>
          <w:jc w:val="center"/>
        </w:trPr>
        <w:tc>
          <w:tcPr>
            <w:tcW w:w="1116" w:type="dxa"/>
            <w:shd w:val="clear" w:color="auto" w:fill="auto"/>
          </w:tcPr>
          <w:p w14:paraId="791C0349" w14:textId="77777777" w:rsidR="00C9725B" w:rsidRPr="00461C16" w:rsidRDefault="00C9725B" w:rsidP="00413CFE">
            <w:pPr>
              <w:spacing w:before="40"/>
              <w:jc w:val="left"/>
              <w:rPr>
                <w:color w:val="000000"/>
                <w:sz w:val="20"/>
                <w:szCs w:val="20"/>
              </w:rPr>
            </w:pPr>
            <w:r w:rsidRPr="00461C16">
              <w:rPr>
                <w:color w:val="000000"/>
                <w:sz w:val="20"/>
                <w:szCs w:val="20"/>
              </w:rPr>
              <w:t>Z62</w:t>
            </w:r>
          </w:p>
        </w:tc>
        <w:tc>
          <w:tcPr>
            <w:tcW w:w="2515" w:type="dxa"/>
            <w:shd w:val="clear" w:color="auto" w:fill="auto"/>
          </w:tcPr>
          <w:p w14:paraId="42B70DB7" w14:textId="77777777" w:rsidR="00C9725B" w:rsidRPr="00461C16" w:rsidRDefault="00C9725B"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03960B9D" w14:textId="77777777" w:rsidR="00C9725B" w:rsidRPr="00461C16" w:rsidRDefault="00C9725B" w:rsidP="00575BD1">
            <w:pPr>
              <w:pStyle w:val="Intabulka"/>
              <w:rPr>
                <w:rFonts w:ascii="Arial Narrow" w:hAnsi="Arial Narrow"/>
                <w:lang w:val="cs-CZ"/>
              </w:rPr>
            </w:pPr>
            <w:r w:rsidRPr="00461C16">
              <w:rPr>
                <w:rFonts w:ascii="Arial Narrow" w:hAnsi="Arial Narrow"/>
                <w:lang w:val="cs-CZ"/>
              </w:rPr>
              <w:t xml:space="preserve">Plocha je vymezena na jižním okraji zástavby Loučné, v prostorové proluce podél ul. Lipová, která je jednou z hlavních dopravních os sídla. Využití proluky směřuje k hospodárnému a účelnému využívání území.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 Vymezení plochy je v souladu se současně platným ÚP města, kde již byla řádně projednána a schválena. </w:t>
            </w:r>
          </w:p>
        </w:tc>
      </w:tr>
      <w:tr w:rsidR="002D3E77" w:rsidRPr="00461C16" w14:paraId="13F868A7" w14:textId="77777777" w:rsidTr="005465A1">
        <w:trPr>
          <w:cantSplit/>
          <w:jc w:val="center"/>
        </w:trPr>
        <w:tc>
          <w:tcPr>
            <w:tcW w:w="1116" w:type="dxa"/>
            <w:shd w:val="clear" w:color="auto" w:fill="auto"/>
          </w:tcPr>
          <w:p w14:paraId="21636454" w14:textId="77777777" w:rsidR="00C9725B" w:rsidRPr="00461C16" w:rsidRDefault="00C9725B" w:rsidP="00413CFE">
            <w:pPr>
              <w:spacing w:before="40"/>
              <w:jc w:val="left"/>
              <w:rPr>
                <w:color w:val="000000"/>
                <w:sz w:val="20"/>
                <w:szCs w:val="20"/>
              </w:rPr>
            </w:pPr>
            <w:r w:rsidRPr="00461C16">
              <w:rPr>
                <w:color w:val="000000"/>
                <w:sz w:val="20"/>
                <w:szCs w:val="20"/>
              </w:rPr>
              <w:lastRenderedPageBreak/>
              <w:t>Z63</w:t>
            </w:r>
          </w:p>
        </w:tc>
        <w:tc>
          <w:tcPr>
            <w:tcW w:w="2515" w:type="dxa"/>
            <w:shd w:val="clear" w:color="auto" w:fill="auto"/>
          </w:tcPr>
          <w:p w14:paraId="7D0CA974" w14:textId="77777777" w:rsidR="00C9725B" w:rsidRPr="00461C16" w:rsidRDefault="00C9725B"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69CDB728" w14:textId="77777777" w:rsidR="00C9725B" w:rsidRPr="00461C16" w:rsidRDefault="00C9725B" w:rsidP="007507C5">
            <w:pPr>
              <w:pStyle w:val="Intabulka"/>
              <w:rPr>
                <w:rFonts w:ascii="Arial Narrow" w:hAnsi="Arial Narrow"/>
                <w:color w:val="FF0000"/>
                <w:lang w:val="cs-CZ"/>
              </w:rPr>
            </w:pPr>
            <w:r w:rsidRPr="00461C16">
              <w:rPr>
                <w:rFonts w:ascii="Arial Narrow" w:hAnsi="Arial Narrow"/>
                <w:lang w:val="cs-CZ"/>
              </w:rPr>
              <w:t>Plocha je vymezena na jižním okraji zástavby Loučné, v prostorové proluce podél ul. Lipová, která je jednou z hlavních dopravních os sídla. Využití proluky směřuje k hospodárnému a účelnému využívání území.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 Plocha je vymezena v souladu s požadavkem schváleného Zadání ÚP.</w:t>
            </w:r>
          </w:p>
        </w:tc>
      </w:tr>
      <w:tr w:rsidR="002D3E77" w:rsidRPr="00461C16" w14:paraId="356A850D" w14:textId="77777777" w:rsidTr="005465A1">
        <w:trPr>
          <w:cantSplit/>
          <w:jc w:val="center"/>
        </w:trPr>
        <w:tc>
          <w:tcPr>
            <w:tcW w:w="1116" w:type="dxa"/>
            <w:shd w:val="clear" w:color="auto" w:fill="auto"/>
          </w:tcPr>
          <w:p w14:paraId="3BD39075" w14:textId="77777777" w:rsidR="00C9725B" w:rsidRPr="00461C16" w:rsidRDefault="00C9725B" w:rsidP="00413CFE">
            <w:pPr>
              <w:spacing w:before="40"/>
              <w:jc w:val="left"/>
              <w:rPr>
                <w:color w:val="000000"/>
                <w:sz w:val="20"/>
                <w:szCs w:val="20"/>
              </w:rPr>
            </w:pPr>
            <w:r w:rsidRPr="00461C16">
              <w:rPr>
                <w:color w:val="000000"/>
                <w:sz w:val="20"/>
                <w:szCs w:val="20"/>
              </w:rPr>
              <w:t>Z64</w:t>
            </w:r>
          </w:p>
        </w:tc>
        <w:tc>
          <w:tcPr>
            <w:tcW w:w="2515" w:type="dxa"/>
            <w:shd w:val="clear" w:color="auto" w:fill="auto"/>
          </w:tcPr>
          <w:p w14:paraId="3E599E6A" w14:textId="77777777" w:rsidR="00C9725B" w:rsidRPr="00461C16" w:rsidRDefault="00C9725B"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0F1F0E0B" w14:textId="77777777" w:rsidR="00C9725B" w:rsidRPr="00461C16" w:rsidRDefault="00C9725B" w:rsidP="007507C5">
            <w:pPr>
              <w:pStyle w:val="Intabulka"/>
              <w:rPr>
                <w:rFonts w:ascii="Arial Narrow" w:hAnsi="Arial Narrow"/>
                <w:color w:val="FF0000"/>
                <w:lang w:val="cs-CZ"/>
              </w:rPr>
            </w:pPr>
            <w:r w:rsidRPr="00461C16">
              <w:rPr>
                <w:rFonts w:ascii="Arial Narrow" w:hAnsi="Arial Narrow"/>
                <w:lang w:val="cs-CZ"/>
              </w:rPr>
              <w:t>Plocha je vymezena na jižním okraji zástavby Loučné, v prostorové proluce podél ul. Lipová, která je jednou z hlavních dopravních os sídla. Využití proluky směřuje k hospodárnému a účelnému využívání území.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 Plocha je vymezena na základě požadavku schváleného Zadání ÚP a z části i v souladu se současně platným ÚP města, kde již byla řádně projednána a schválena.</w:t>
            </w:r>
            <w:r w:rsidR="00495475">
              <w:rPr>
                <w:rFonts w:ascii="Arial Narrow" w:hAnsi="Arial Narrow"/>
                <w:lang w:val="cs-CZ"/>
              </w:rPr>
              <w:t xml:space="preserve"> Oproti Zadání ÚP je v severní části redukována z důvodu ochrany památného stromu.</w:t>
            </w:r>
          </w:p>
        </w:tc>
      </w:tr>
      <w:tr w:rsidR="002D3E77" w:rsidRPr="00461C16" w14:paraId="07A549C2" w14:textId="77777777" w:rsidTr="005465A1">
        <w:trPr>
          <w:cantSplit/>
          <w:jc w:val="center"/>
        </w:trPr>
        <w:tc>
          <w:tcPr>
            <w:tcW w:w="1116" w:type="dxa"/>
            <w:shd w:val="clear" w:color="auto" w:fill="auto"/>
          </w:tcPr>
          <w:p w14:paraId="527F2162" w14:textId="77777777" w:rsidR="00C9725B" w:rsidRPr="00461C16" w:rsidRDefault="00C9725B" w:rsidP="00413CFE">
            <w:pPr>
              <w:spacing w:before="40"/>
              <w:jc w:val="left"/>
              <w:rPr>
                <w:color w:val="000000"/>
                <w:sz w:val="20"/>
                <w:szCs w:val="20"/>
              </w:rPr>
            </w:pPr>
            <w:r w:rsidRPr="00461C16">
              <w:rPr>
                <w:color w:val="000000"/>
                <w:sz w:val="20"/>
                <w:szCs w:val="20"/>
              </w:rPr>
              <w:t>Z65</w:t>
            </w:r>
          </w:p>
        </w:tc>
        <w:tc>
          <w:tcPr>
            <w:tcW w:w="2515" w:type="dxa"/>
            <w:shd w:val="clear" w:color="auto" w:fill="auto"/>
          </w:tcPr>
          <w:p w14:paraId="72308863" w14:textId="77777777" w:rsidR="00C9725B" w:rsidRPr="00461C16" w:rsidRDefault="00C9725B"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4AED2B5C" w14:textId="77777777" w:rsidR="00C9725B" w:rsidRPr="00461C16" w:rsidRDefault="00C9725B" w:rsidP="005C625B">
            <w:pPr>
              <w:pStyle w:val="Intabulka"/>
              <w:rPr>
                <w:rFonts w:ascii="Arial Narrow" w:hAnsi="Arial Narrow"/>
                <w:color w:val="FF0000"/>
                <w:lang w:val="cs-CZ"/>
              </w:rPr>
            </w:pPr>
            <w:r w:rsidRPr="00461C16">
              <w:rPr>
                <w:rFonts w:ascii="Arial Narrow" w:hAnsi="Arial Narrow"/>
                <w:lang w:val="cs-CZ"/>
              </w:rPr>
              <w:t>Plocha je vymezena na jižním okraji zástavby Loučné, podél ul. Lipová, která je jednou z hlavních dopravních os sídla.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přispívá ke scelení fragmentované zástavby do kompaktního útvaru. Realizace záměru přispěje k uspokojení poptávky po nových plochách pro bydlení a ke zvýšení kvality a komfortu bydlení v sídle Loučná. Plocha je vymezena v souladu s požadavkem schváleného Zadání ÚP.</w:t>
            </w:r>
          </w:p>
        </w:tc>
      </w:tr>
      <w:tr w:rsidR="002D3E77" w:rsidRPr="00461C16" w14:paraId="249F5D2B" w14:textId="77777777" w:rsidTr="005465A1">
        <w:trPr>
          <w:cantSplit/>
          <w:jc w:val="center"/>
        </w:trPr>
        <w:tc>
          <w:tcPr>
            <w:tcW w:w="1116" w:type="dxa"/>
            <w:shd w:val="clear" w:color="auto" w:fill="auto"/>
          </w:tcPr>
          <w:p w14:paraId="6B0B4914" w14:textId="77777777" w:rsidR="00C9725B" w:rsidRPr="00461C16" w:rsidRDefault="00C9725B" w:rsidP="00413CFE">
            <w:pPr>
              <w:spacing w:before="40"/>
              <w:jc w:val="left"/>
              <w:rPr>
                <w:color w:val="000000"/>
                <w:sz w:val="20"/>
                <w:szCs w:val="20"/>
              </w:rPr>
            </w:pPr>
            <w:r w:rsidRPr="00461C16">
              <w:rPr>
                <w:color w:val="000000"/>
                <w:sz w:val="20"/>
                <w:szCs w:val="20"/>
              </w:rPr>
              <w:t>Z66</w:t>
            </w:r>
          </w:p>
        </w:tc>
        <w:tc>
          <w:tcPr>
            <w:tcW w:w="2515" w:type="dxa"/>
            <w:shd w:val="clear" w:color="auto" w:fill="auto"/>
          </w:tcPr>
          <w:p w14:paraId="2AFF678C"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23343343" w14:textId="77777777" w:rsidR="00C9725B" w:rsidRPr="00461C16" w:rsidRDefault="00C9725B" w:rsidP="00D56CB1">
            <w:pPr>
              <w:pStyle w:val="Intabulka"/>
              <w:rPr>
                <w:rFonts w:ascii="Arial Narrow" w:hAnsi="Arial Narrow"/>
                <w:color w:val="FF0000"/>
                <w:lang w:val="cs-CZ"/>
              </w:rPr>
            </w:pPr>
            <w:r w:rsidRPr="00461C16">
              <w:rPr>
                <w:rFonts w:ascii="Arial Narrow" w:hAnsi="Arial Narrow"/>
                <w:lang w:val="cs-CZ"/>
              </w:rPr>
              <w:t xml:space="preserve">Plocha je vymezena v proluce mezi bývalým výrobním areálem Kortan a stabilizovanou nízkopodlažní obytnou zástavbou v jižní části Loučné a Donína. Spolu s navazující plochou přestavby P30 tvoří jeden funkční celek. Využití proluky směřuje k účelnému a hospodárnému využívání území, k posílení kompaktnosti území a ke scelení zástavby. Plocha je navržena k rozvoji bydlení, v souladu s charakterem navazujících ploch. Realizace záměru umožní uspokojit poptávku po nových plochách pro bydlení a přispěje ke zvýšení kvality a komfortu bydlení ve městě. Plocha je vymezena dle požadavku schváleného Zadání ÚP. </w:t>
            </w:r>
          </w:p>
        </w:tc>
      </w:tr>
      <w:tr w:rsidR="002D3E77" w:rsidRPr="00461C16" w14:paraId="1FDCFF41" w14:textId="77777777" w:rsidTr="005465A1">
        <w:trPr>
          <w:cantSplit/>
          <w:jc w:val="center"/>
        </w:trPr>
        <w:tc>
          <w:tcPr>
            <w:tcW w:w="1116" w:type="dxa"/>
            <w:shd w:val="clear" w:color="auto" w:fill="auto"/>
          </w:tcPr>
          <w:p w14:paraId="10C60D92" w14:textId="77777777" w:rsidR="00C9725B" w:rsidRPr="00461C16" w:rsidRDefault="00C9725B" w:rsidP="00413CFE">
            <w:pPr>
              <w:spacing w:before="40"/>
              <w:jc w:val="left"/>
              <w:rPr>
                <w:color w:val="000000"/>
                <w:sz w:val="20"/>
                <w:szCs w:val="20"/>
              </w:rPr>
            </w:pPr>
            <w:r w:rsidRPr="00461C16">
              <w:rPr>
                <w:color w:val="000000"/>
                <w:sz w:val="20"/>
                <w:szCs w:val="20"/>
              </w:rPr>
              <w:t>Z67</w:t>
            </w:r>
          </w:p>
        </w:tc>
        <w:tc>
          <w:tcPr>
            <w:tcW w:w="2515" w:type="dxa"/>
            <w:shd w:val="clear" w:color="auto" w:fill="auto"/>
          </w:tcPr>
          <w:p w14:paraId="19035071"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2F31AD95" w14:textId="77777777" w:rsidR="00C9725B" w:rsidRPr="00461C16" w:rsidRDefault="00C9725B" w:rsidP="00575BD1">
            <w:pPr>
              <w:pStyle w:val="Intabulka"/>
              <w:rPr>
                <w:rFonts w:ascii="Arial Narrow" w:hAnsi="Arial Narrow"/>
                <w:color w:val="FF0000"/>
                <w:lang w:val="cs-CZ"/>
              </w:rPr>
            </w:pPr>
            <w:r w:rsidRPr="00461C16">
              <w:rPr>
                <w:rFonts w:ascii="Arial Narrow" w:hAnsi="Arial Narrow"/>
                <w:lang w:val="cs-CZ"/>
              </w:rPr>
              <w:t>Plocha je vymezena na jižním okraji zástavby Donína, navazuje na hranici zastavěného území. Plocha je navržena k rozvoji bydlení, v souladu s charakterem navazujících ploch. Realizace záměru umožní uspokojit poptávku po nových plochách pro bydlení a přispěje ke zvýšení kvality a komfortu bydlení ve městě. Plocha je vymezena v souladu s požadavkem schváleného Zadání ÚP.</w:t>
            </w:r>
          </w:p>
        </w:tc>
      </w:tr>
      <w:tr w:rsidR="002D3E77" w:rsidRPr="00461C16" w14:paraId="01E3DFE8" w14:textId="77777777" w:rsidTr="005465A1">
        <w:trPr>
          <w:cantSplit/>
          <w:jc w:val="center"/>
        </w:trPr>
        <w:tc>
          <w:tcPr>
            <w:tcW w:w="1116" w:type="dxa"/>
            <w:shd w:val="clear" w:color="auto" w:fill="auto"/>
          </w:tcPr>
          <w:p w14:paraId="7C391715" w14:textId="77777777" w:rsidR="00C9725B" w:rsidRPr="00461C16" w:rsidRDefault="00C9725B" w:rsidP="00413CFE">
            <w:pPr>
              <w:spacing w:before="40"/>
              <w:jc w:val="left"/>
              <w:rPr>
                <w:color w:val="000000"/>
                <w:sz w:val="20"/>
                <w:szCs w:val="20"/>
              </w:rPr>
            </w:pPr>
            <w:r w:rsidRPr="00461C16">
              <w:rPr>
                <w:color w:val="000000"/>
                <w:sz w:val="20"/>
                <w:szCs w:val="20"/>
              </w:rPr>
              <w:lastRenderedPageBreak/>
              <w:t>Z68</w:t>
            </w:r>
          </w:p>
        </w:tc>
        <w:tc>
          <w:tcPr>
            <w:tcW w:w="2515" w:type="dxa"/>
            <w:shd w:val="clear" w:color="auto" w:fill="auto"/>
          </w:tcPr>
          <w:p w14:paraId="353782DB"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2DA3D9B6" w14:textId="77777777" w:rsidR="00C9725B" w:rsidRPr="00461C16" w:rsidRDefault="00C9725B" w:rsidP="00575BD1">
            <w:pPr>
              <w:pStyle w:val="Intabulka"/>
              <w:rPr>
                <w:rFonts w:ascii="Arial Narrow" w:hAnsi="Arial Narrow"/>
                <w:color w:val="FF0000"/>
                <w:lang w:val="cs-CZ"/>
              </w:rPr>
            </w:pPr>
            <w:r w:rsidRPr="00461C16">
              <w:rPr>
                <w:rFonts w:ascii="Arial Narrow" w:hAnsi="Arial Narrow"/>
                <w:lang w:val="cs-CZ"/>
              </w:rPr>
              <w:t>Plocha je vymezena v proluce v zástavbě v ul. Za Školou, na jižním okraji Donína. Využití proluky směřuje k účelnému a hospodárnému využívání území, k posílení kompaktnosti území a ke scelení zástavby. Plocha je navržena k rozvoji bydlení, v souladu s charakterem navazujících ploch. Realizace záměru umožní uspokojit poptávku po nových plochách pro bydlení a přispěje ke zvýšení kvality a komfortu bydlení ve městě. Vymezení plochy vychází ze současně platného ÚP města, kde již byla řádně projednána a schválena.</w:t>
            </w:r>
          </w:p>
        </w:tc>
      </w:tr>
      <w:tr w:rsidR="002D3E77" w:rsidRPr="00461C16" w14:paraId="3103EF54" w14:textId="77777777" w:rsidTr="005465A1">
        <w:trPr>
          <w:cantSplit/>
          <w:jc w:val="center"/>
        </w:trPr>
        <w:tc>
          <w:tcPr>
            <w:tcW w:w="1116" w:type="dxa"/>
            <w:shd w:val="clear" w:color="auto" w:fill="auto"/>
          </w:tcPr>
          <w:p w14:paraId="1E117105" w14:textId="77777777" w:rsidR="00C9725B" w:rsidRPr="00461C16" w:rsidRDefault="00C9725B" w:rsidP="00413CFE">
            <w:pPr>
              <w:spacing w:before="40"/>
              <w:jc w:val="left"/>
              <w:rPr>
                <w:color w:val="000000"/>
                <w:sz w:val="20"/>
                <w:szCs w:val="20"/>
              </w:rPr>
            </w:pPr>
            <w:r w:rsidRPr="00461C16">
              <w:rPr>
                <w:color w:val="000000"/>
                <w:sz w:val="20"/>
                <w:szCs w:val="20"/>
              </w:rPr>
              <w:t>Z70</w:t>
            </w:r>
          </w:p>
        </w:tc>
        <w:tc>
          <w:tcPr>
            <w:tcW w:w="2515" w:type="dxa"/>
            <w:shd w:val="clear" w:color="auto" w:fill="auto"/>
          </w:tcPr>
          <w:p w14:paraId="1E2986F7"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3A2B7A69" w14:textId="77777777" w:rsidR="00C9725B" w:rsidRPr="00461C16" w:rsidRDefault="00C9725B" w:rsidP="00E74936">
            <w:pPr>
              <w:pStyle w:val="Intabulka"/>
              <w:rPr>
                <w:rFonts w:ascii="Arial Narrow" w:hAnsi="Arial Narrow"/>
                <w:color w:val="FF0000"/>
                <w:lang w:val="cs-CZ"/>
              </w:rPr>
            </w:pPr>
            <w:r w:rsidRPr="00461C16">
              <w:rPr>
                <w:rFonts w:ascii="Arial Narrow" w:hAnsi="Arial Narrow"/>
                <w:lang w:val="cs-CZ"/>
              </w:rPr>
              <w:t>Plocha je vymezena v rozsáhlé prostorové proluce v zástavbě pod ul. Donínská, která je hlavní dopravní a urbanistickou osou sídla. Využití proluky směřuje k účelnému a hospodárnému využívání území, k posílení kompaktnosti území a ke scelení zástavby. Plocha je navržena k rozvoji obytné zástavby, v souladu s charakterem navazujících ploch podél ul. Sousedská, ul. Slunečná a ul. Strmá. Realizace záměru umožní uspokojit poptávku po nových plochách pro bydlení a přispěje ke zvýšení kvality a komfortu bydlení ve městě.</w:t>
            </w:r>
            <w:r w:rsidRPr="00461C16">
              <w:rPr>
                <w:rFonts w:ascii="Arial Narrow" w:hAnsi="Arial Narrow"/>
                <w:color w:val="FF0000"/>
                <w:lang w:val="cs-CZ"/>
              </w:rPr>
              <w:t xml:space="preserve"> </w:t>
            </w:r>
            <w:r w:rsidRPr="00461C16">
              <w:rPr>
                <w:rFonts w:ascii="Arial Narrow" w:hAnsi="Arial Narrow"/>
                <w:lang w:val="cs-CZ"/>
              </w:rPr>
              <w:t>Plocha je vymezena na základě požadavku schváleného Zadání ÚP a z větší části v souladu se současně platným ÚP města, kde již byla řádně projednána a schválena.</w:t>
            </w:r>
          </w:p>
        </w:tc>
      </w:tr>
      <w:tr w:rsidR="002D3E77" w:rsidRPr="00461C16" w14:paraId="5DF0698A" w14:textId="77777777" w:rsidTr="005465A1">
        <w:trPr>
          <w:cantSplit/>
          <w:jc w:val="center"/>
        </w:trPr>
        <w:tc>
          <w:tcPr>
            <w:tcW w:w="1116" w:type="dxa"/>
            <w:shd w:val="clear" w:color="auto" w:fill="auto"/>
          </w:tcPr>
          <w:p w14:paraId="7F01338B" w14:textId="77777777" w:rsidR="00C9725B" w:rsidRPr="00461C16" w:rsidRDefault="00C9725B" w:rsidP="00413CFE">
            <w:pPr>
              <w:spacing w:before="40"/>
              <w:jc w:val="left"/>
              <w:rPr>
                <w:color w:val="000000"/>
                <w:sz w:val="20"/>
                <w:szCs w:val="20"/>
              </w:rPr>
            </w:pPr>
            <w:r w:rsidRPr="00461C16">
              <w:rPr>
                <w:color w:val="000000"/>
                <w:sz w:val="20"/>
                <w:szCs w:val="20"/>
              </w:rPr>
              <w:t>Z71</w:t>
            </w:r>
          </w:p>
        </w:tc>
        <w:tc>
          <w:tcPr>
            <w:tcW w:w="2515" w:type="dxa"/>
            <w:shd w:val="clear" w:color="auto" w:fill="auto"/>
          </w:tcPr>
          <w:p w14:paraId="6C234704" w14:textId="77777777" w:rsidR="00C9725B" w:rsidRPr="00461C16" w:rsidRDefault="00C9725B" w:rsidP="00413CFE">
            <w:pPr>
              <w:spacing w:before="40"/>
              <w:jc w:val="left"/>
              <w:rPr>
                <w:color w:val="000000"/>
                <w:sz w:val="20"/>
                <w:szCs w:val="20"/>
              </w:rPr>
            </w:pPr>
            <w:r w:rsidRPr="00461C16">
              <w:rPr>
                <w:color w:val="000000"/>
                <w:sz w:val="20"/>
                <w:szCs w:val="20"/>
              </w:rPr>
              <w:t>BI – bydlení městské a příměstské</w:t>
            </w:r>
          </w:p>
        </w:tc>
        <w:tc>
          <w:tcPr>
            <w:tcW w:w="5657" w:type="dxa"/>
            <w:shd w:val="clear" w:color="auto" w:fill="auto"/>
          </w:tcPr>
          <w:p w14:paraId="20685778" w14:textId="77777777" w:rsidR="00C9725B" w:rsidRPr="00461C16" w:rsidRDefault="00C9725B" w:rsidP="00575BD1">
            <w:pPr>
              <w:pStyle w:val="Intabulka"/>
              <w:rPr>
                <w:rFonts w:ascii="Arial Narrow" w:hAnsi="Arial Narrow"/>
                <w:color w:val="FF0000"/>
                <w:lang w:val="cs-CZ"/>
              </w:rPr>
            </w:pPr>
            <w:r w:rsidRPr="00461C16">
              <w:rPr>
                <w:rFonts w:ascii="Arial Narrow" w:hAnsi="Arial Narrow"/>
                <w:lang w:val="cs-CZ"/>
              </w:rPr>
              <w:t xml:space="preserve">Plocha je vymezena v proluce v zástavbě v ul. Strmá, na jihovýchodním okraji Donína. Využití proluky směřuje k účelnému a hospodárnému využívání území, k posílení kompaktnosti území, ke scelení zástavby a k dotvoření oboustranného obestavění komunikace, které je výhodné z urbanistického i ekonomického hlediska (jednoznačné vymezení uličního prostoru, napojení na sítě veřejné infrastruktury). Plocha je navržena k rozvoji bydlení, v souladu s charakterem navazujících ploch. Realizace záměru umožní uspokojit poptávku po nových plochách pro bydlení a přispěje ke zvýšení kvality a komfortu bydlení ve městě.  </w:t>
            </w:r>
          </w:p>
        </w:tc>
      </w:tr>
      <w:tr w:rsidR="002D3E77" w:rsidRPr="00461C16" w14:paraId="5A723C3E" w14:textId="77777777" w:rsidTr="005465A1">
        <w:trPr>
          <w:cantSplit/>
          <w:jc w:val="center"/>
        </w:trPr>
        <w:tc>
          <w:tcPr>
            <w:tcW w:w="1116" w:type="dxa"/>
            <w:shd w:val="clear" w:color="auto" w:fill="auto"/>
          </w:tcPr>
          <w:p w14:paraId="6B0DAFE4" w14:textId="77777777" w:rsidR="00C9725B" w:rsidRPr="00461C16" w:rsidRDefault="00C9725B" w:rsidP="00413CFE">
            <w:pPr>
              <w:spacing w:before="40"/>
              <w:jc w:val="left"/>
              <w:rPr>
                <w:color w:val="000000"/>
                <w:sz w:val="20"/>
                <w:szCs w:val="20"/>
              </w:rPr>
            </w:pPr>
            <w:r w:rsidRPr="00461C16">
              <w:rPr>
                <w:color w:val="000000"/>
                <w:sz w:val="20"/>
                <w:szCs w:val="20"/>
              </w:rPr>
              <w:t>Z73</w:t>
            </w:r>
          </w:p>
        </w:tc>
        <w:tc>
          <w:tcPr>
            <w:tcW w:w="2515" w:type="dxa"/>
            <w:shd w:val="clear" w:color="auto" w:fill="auto"/>
          </w:tcPr>
          <w:p w14:paraId="0721B917" w14:textId="77777777" w:rsidR="00C9725B" w:rsidRPr="00461C16" w:rsidRDefault="00C9725B"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33C65331" w14:textId="77777777" w:rsidR="00C9725B" w:rsidRPr="00461C16" w:rsidRDefault="00C9725B" w:rsidP="00285D59">
            <w:pPr>
              <w:pStyle w:val="Intabulka"/>
              <w:rPr>
                <w:rFonts w:ascii="Arial Narrow" w:hAnsi="Arial Narrow"/>
                <w:lang w:val="cs-CZ"/>
              </w:rPr>
            </w:pPr>
            <w:r w:rsidRPr="00461C16">
              <w:rPr>
                <w:rFonts w:ascii="Arial Narrow" w:hAnsi="Arial Narrow"/>
                <w:lang w:val="cs-CZ"/>
              </w:rPr>
              <w:t xml:space="preserve">Plocha je vymezena na východním okraji zástavby Dolního Sedla, v prostorové proluce podél veřejné komunikace. Využití proluky směřuje k hospodárnému a účelnému využívání území. Vymezení plochy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Sedlo. Vymezení plochy je v souladu se současně platným ÚP města, kde již byla řádně projednána a schválena. </w:t>
            </w:r>
          </w:p>
        </w:tc>
      </w:tr>
      <w:tr w:rsidR="002D3E77" w:rsidRPr="00461C16" w14:paraId="6FBF8F7A" w14:textId="77777777" w:rsidTr="005465A1">
        <w:trPr>
          <w:cantSplit/>
          <w:jc w:val="center"/>
        </w:trPr>
        <w:tc>
          <w:tcPr>
            <w:tcW w:w="1116" w:type="dxa"/>
            <w:shd w:val="clear" w:color="auto" w:fill="auto"/>
          </w:tcPr>
          <w:p w14:paraId="6B7DEE43" w14:textId="77777777" w:rsidR="00C9725B" w:rsidRPr="00461C16" w:rsidRDefault="00C9725B" w:rsidP="00413CFE">
            <w:pPr>
              <w:spacing w:before="40"/>
              <w:jc w:val="left"/>
              <w:rPr>
                <w:color w:val="000000"/>
                <w:sz w:val="20"/>
                <w:szCs w:val="20"/>
              </w:rPr>
            </w:pPr>
            <w:r w:rsidRPr="00461C16">
              <w:rPr>
                <w:color w:val="000000"/>
                <w:sz w:val="20"/>
                <w:szCs w:val="20"/>
              </w:rPr>
              <w:t>Z74</w:t>
            </w:r>
          </w:p>
        </w:tc>
        <w:tc>
          <w:tcPr>
            <w:tcW w:w="2515" w:type="dxa"/>
            <w:shd w:val="clear" w:color="auto" w:fill="auto"/>
          </w:tcPr>
          <w:p w14:paraId="592A7514" w14:textId="77777777" w:rsidR="00C9725B" w:rsidRPr="00461C16" w:rsidRDefault="00C9725B"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4CDA5A1B" w14:textId="77777777" w:rsidR="00C9725B" w:rsidRPr="00461C16" w:rsidRDefault="00C9725B" w:rsidP="00285D59">
            <w:pPr>
              <w:pStyle w:val="Intabulka"/>
              <w:rPr>
                <w:rFonts w:ascii="Arial Narrow" w:hAnsi="Arial Narrow"/>
                <w:lang w:val="cs-CZ"/>
              </w:rPr>
            </w:pPr>
            <w:r w:rsidRPr="00461C16">
              <w:rPr>
                <w:rFonts w:ascii="Arial Narrow" w:hAnsi="Arial Narrow"/>
                <w:lang w:val="cs-CZ"/>
              </w:rPr>
              <w:t xml:space="preserve">Plocha je vymezena na západním okraji zástavby Dolního Sedla, v prostorové proluce podél veřejné komunikace. Využití proluky směřuje k hospodárnému a účelnému využívání území. Vymezení plochy umožňuje rozvoj přilehlé smíšené venkovské zástavby, doplňuje oboustranné obestavění komunikace, které je výhodné z urbanistického i ekonomického hlediska a zároveň zajišťuje scelení fragmentované zástavby do kompaktního útvaru. Realizace záměru přispěje k uspokojení poptávky po nových plochách pro bydlení a ke zvýšení kvality a komfortu bydlení v sídle Dolní Sedlo. Vymezení plochy je v souladu se současně platným ÚP města, kde již byla řádně projednána a schválena. </w:t>
            </w:r>
          </w:p>
        </w:tc>
      </w:tr>
      <w:tr w:rsidR="002D3E77" w:rsidRPr="00461C16" w14:paraId="654D9DE4" w14:textId="77777777" w:rsidTr="005465A1">
        <w:trPr>
          <w:cantSplit/>
          <w:jc w:val="center"/>
        </w:trPr>
        <w:tc>
          <w:tcPr>
            <w:tcW w:w="1116" w:type="dxa"/>
            <w:shd w:val="clear" w:color="auto" w:fill="auto"/>
          </w:tcPr>
          <w:p w14:paraId="22F03B13" w14:textId="77777777" w:rsidR="00C9725B" w:rsidRPr="00461C16" w:rsidRDefault="00C9725B" w:rsidP="00413CFE">
            <w:pPr>
              <w:spacing w:before="40"/>
              <w:jc w:val="left"/>
              <w:rPr>
                <w:color w:val="000000"/>
                <w:sz w:val="20"/>
                <w:szCs w:val="20"/>
              </w:rPr>
            </w:pPr>
            <w:r w:rsidRPr="00461C16">
              <w:rPr>
                <w:color w:val="000000"/>
                <w:sz w:val="20"/>
                <w:szCs w:val="20"/>
              </w:rPr>
              <w:lastRenderedPageBreak/>
              <w:t>Z75</w:t>
            </w:r>
          </w:p>
        </w:tc>
        <w:tc>
          <w:tcPr>
            <w:tcW w:w="2515" w:type="dxa"/>
            <w:shd w:val="clear" w:color="auto" w:fill="auto"/>
          </w:tcPr>
          <w:p w14:paraId="75171633" w14:textId="77777777" w:rsidR="00C9725B" w:rsidRPr="00461C16" w:rsidRDefault="00C9725B"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11BB9B9D" w14:textId="77777777" w:rsidR="00C9725B" w:rsidRPr="00461C16" w:rsidRDefault="00C9725B" w:rsidP="00575BD1">
            <w:pPr>
              <w:pStyle w:val="Intabulka"/>
              <w:rPr>
                <w:rFonts w:ascii="Arial Narrow" w:hAnsi="Arial Narrow"/>
                <w:lang w:val="cs-CZ"/>
              </w:rPr>
            </w:pPr>
            <w:r w:rsidRPr="00461C16">
              <w:rPr>
                <w:rFonts w:ascii="Arial Narrow" w:hAnsi="Arial Narrow"/>
                <w:lang w:val="cs-CZ"/>
              </w:rPr>
              <w:t xml:space="preserve">Plocha je vymezena na západním okraji zástavby Dolního Sedla, v prostorové proluce podél veřejné komunikace. Využití proluky směřuje k hospodárnému a účelnému využívání území. Vymezení plochy umožňuje rozvoj přilehlé smíšené venkovské zástavby, doplňuje oboustranné obestavění komunikace, které je výhodné z urbanistického i ekonomického hlediska a zároveň zajišťuje scelení fragmentované zástavby do kompaktního útvaru. Realizace záměru přispěje k uspokojení poptávky po nových plochách pro bydlení a ke zvýšení kvality a komfortu bydlení v sídle Dolní Sedlo. Vymezení plochy je v souladu se současně platným ÚP města, kde již byla řádně projednána a schválena. </w:t>
            </w:r>
          </w:p>
        </w:tc>
      </w:tr>
      <w:tr w:rsidR="002D3E77" w:rsidRPr="00461C16" w14:paraId="4BBCFBF6" w14:textId="77777777" w:rsidTr="005465A1">
        <w:trPr>
          <w:cantSplit/>
          <w:jc w:val="center"/>
        </w:trPr>
        <w:tc>
          <w:tcPr>
            <w:tcW w:w="1116" w:type="dxa"/>
            <w:shd w:val="clear" w:color="auto" w:fill="auto"/>
          </w:tcPr>
          <w:p w14:paraId="6DAF1515" w14:textId="77777777" w:rsidR="00C9725B" w:rsidRPr="00461C16" w:rsidRDefault="00C9725B" w:rsidP="00413CFE">
            <w:pPr>
              <w:spacing w:before="40"/>
              <w:jc w:val="left"/>
              <w:rPr>
                <w:color w:val="000000"/>
                <w:sz w:val="20"/>
                <w:szCs w:val="20"/>
              </w:rPr>
            </w:pPr>
            <w:r w:rsidRPr="00461C16">
              <w:rPr>
                <w:color w:val="000000"/>
                <w:sz w:val="20"/>
                <w:szCs w:val="20"/>
              </w:rPr>
              <w:t>Z76</w:t>
            </w:r>
          </w:p>
        </w:tc>
        <w:tc>
          <w:tcPr>
            <w:tcW w:w="2515" w:type="dxa"/>
            <w:shd w:val="clear" w:color="auto" w:fill="auto"/>
          </w:tcPr>
          <w:p w14:paraId="70C8BDFD" w14:textId="77777777" w:rsidR="00C9725B" w:rsidRPr="00461C16" w:rsidRDefault="00C9725B"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602D7A62" w14:textId="77777777" w:rsidR="00C9725B" w:rsidRPr="00461C16" w:rsidRDefault="00C9725B" w:rsidP="00285D59">
            <w:pPr>
              <w:pStyle w:val="Intabulka"/>
              <w:rPr>
                <w:rFonts w:ascii="Arial Narrow" w:hAnsi="Arial Narrow"/>
                <w:lang w:val="cs-CZ"/>
              </w:rPr>
            </w:pPr>
            <w:r w:rsidRPr="00461C16">
              <w:rPr>
                <w:rFonts w:ascii="Arial Narrow" w:hAnsi="Arial Narrow"/>
                <w:lang w:val="cs-CZ"/>
              </w:rPr>
              <w:t xml:space="preserve">Plocha je vymezena na východním okraji zástavby Dolního Sedla, v prostorové proluce podél silnice III/2716, která je páteří a urbanistickou osou sídla. Využití proluky směřuje k hospodárnému a účelnému využívání území. Vymezení plochy umožňuje rozvoj přilehlé smíšené venkovské zástavby, doplňuje oboustranné obestavění komunikace, které je výhodné z urbanistického i ekonomického hlediska a zároveň zajišťuje scelení fragmentované zástavby do kompaktního útvaru. Realizace záměru přispěje k uspokojení poptávky po nových plochách pro bydlení a ke zvýšení kvality a komfortu bydlení v sídle Dolní Sedlo. Vymezení plochy je v souladu se současně platným ÚP města, kde již byla řádně projednána a schválena. </w:t>
            </w:r>
          </w:p>
        </w:tc>
      </w:tr>
      <w:tr w:rsidR="002D3E77" w:rsidRPr="00461C16" w14:paraId="6D1B0B18" w14:textId="77777777" w:rsidTr="005465A1">
        <w:trPr>
          <w:cantSplit/>
          <w:jc w:val="center"/>
        </w:trPr>
        <w:tc>
          <w:tcPr>
            <w:tcW w:w="1116" w:type="dxa"/>
            <w:shd w:val="clear" w:color="auto" w:fill="auto"/>
          </w:tcPr>
          <w:p w14:paraId="2C1AD799" w14:textId="77777777" w:rsidR="00C9725B" w:rsidRPr="00461C16" w:rsidRDefault="00C9725B" w:rsidP="00413CFE">
            <w:pPr>
              <w:spacing w:before="40"/>
              <w:jc w:val="left"/>
              <w:rPr>
                <w:color w:val="000000"/>
                <w:sz w:val="20"/>
                <w:szCs w:val="20"/>
              </w:rPr>
            </w:pPr>
            <w:r w:rsidRPr="00461C16">
              <w:rPr>
                <w:color w:val="000000"/>
                <w:sz w:val="20"/>
                <w:szCs w:val="20"/>
              </w:rPr>
              <w:t>Z77</w:t>
            </w:r>
          </w:p>
        </w:tc>
        <w:tc>
          <w:tcPr>
            <w:tcW w:w="2515" w:type="dxa"/>
            <w:shd w:val="clear" w:color="auto" w:fill="auto"/>
          </w:tcPr>
          <w:p w14:paraId="1CCDCA26" w14:textId="77777777" w:rsidR="00C9725B" w:rsidRPr="00461C16" w:rsidRDefault="00C9725B"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1DD0C4CF" w14:textId="77777777" w:rsidR="00C9725B" w:rsidRPr="00461C16" w:rsidRDefault="00C9725B" w:rsidP="00902FB4">
            <w:pPr>
              <w:pStyle w:val="Intabulka"/>
              <w:rPr>
                <w:rFonts w:ascii="Arial Narrow" w:hAnsi="Arial Narrow"/>
                <w:lang w:val="cs-CZ"/>
              </w:rPr>
            </w:pPr>
            <w:r w:rsidRPr="00461C16">
              <w:rPr>
                <w:rFonts w:ascii="Arial Narrow" w:hAnsi="Arial Narrow"/>
                <w:lang w:val="cs-CZ"/>
              </w:rPr>
              <w:t xml:space="preserve">Plocha je vymezena v centru Dolního Sedla, v prostorové proluce mezi stabilizovanou zástavbou. Využití proluky směřuje k hospodárnému a účelnému využívání území. Vymezení plochy umožňuje rozvoj přilehlé smíšené venkovské zástavby a zároveň zajišťuje scelení fragmentované zástavby. Realizace záměru přispěje k uspokojení poptávky po nových plochách pro bydlení a ke zvýšení kvality a komfortu bydlení v sídle Dolní Sedlo. Vymezení plochy je v souladu se současně platným ÚP města, kde již byla řádně projednána a schválena. </w:t>
            </w:r>
          </w:p>
        </w:tc>
      </w:tr>
      <w:tr w:rsidR="002D3E77" w:rsidRPr="00461C16" w14:paraId="2FBEB2C0" w14:textId="77777777" w:rsidTr="005465A1">
        <w:trPr>
          <w:cantSplit/>
          <w:jc w:val="center"/>
        </w:trPr>
        <w:tc>
          <w:tcPr>
            <w:tcW w:w="1116" w:type="dxa"/>
            <w:shd w:val="clear" w:color="auto" w:fill="auto"/>
          </w:tcPr>
          <w:p w14:paraId="41858603" w14:textId="77777777" w:rsidR="00C9725B" w:rsidRPr="00461C16" w:rsidRDefault="00C9725B" w:rsidP="00413CFE">
            <w:pPr>
              <w:spacing w:before="40"/>
              <w:jc w:val="left"/>
              <w:rPr>
                <w:color w:val="000000"/>
                <w:sz w:val="20"/>
                <w:szCs w:val="20"/>
              </w:rPr>
            </w:pPr>
            <w:r w:rsidRPr="00461C16">
              <w:rPr>
                <w:color w:val="000000"/>
                <w:sz w:val="20"/>
                <w:szCs w:val="20"/>
              </w:rPr>
              <w:t>Z78</w:t>
            </w:r>
            <w:r w:rsidR="001A75E7">
              <w:rPr>
                <w:color w:val="000000"/>
                <w:sz w:val="20"/>
                <w:szCs w:val="20"/>
              </w:rPr>
              <w:t>A</w:t>
            </w:r>
          </w:p>
        </w:tc>
        <w:tc>
          <w:tcPr>
            <w:tcW w:w="2515" w:type="dxa"/>
            <w:shd w:val="clear" w:color="auto" w:fill="auto"/>
          </w:tcPr>
          <w:p w14:paraId="3A730951" w14:textId="77777777" w:rsidR="00C9725B" w:rsidRPr="00461C16" w:rsidRDefault="00C9725B"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6A39354D" w14:textId="77777777" w:rsidR="00C9725B" w:rsidRPr="00461C16" w:rsidRDefault="00C9725B" w:rsidP="001A75E7">
            <w:pPr>
              <w:pStyle w:val="Intabulka"/>
              <w:rPr>
                <w:rFonts w:ascii="Arial Narrow" w:hAnsi="Arial Narrow"/>
                <w:lang w:val="cs-CZ"/>
              </w:rPr>
            </w:pPr>
            <w:r w:rsidRPr="00461C16">
              <w:rPr>
                <w:rFonts w:ascii="Arial Narrow" w:hAnsi="Arial Narrow"/>
                <w:lang w:val="cs-CZ"/>
              </w:rPr>
              <w:t xml:space="preserve">Plocha je vymezena v centru Dolního Sedla, v prostorové proluce mezi stabilizovanou zástavbou, na </w:t>
            </w:r>
            <w:r w:rsidR="001A75E7">
              <w:rPr>
                <w:rFonts w:ascii="Arial Narrow" w:hAnsi="Arial Narrow"/>
                <w:lang w:val="cs-CZ"/>
              </w:rPr>
              <w:t>severní</w:t>
            </w:r>
            <w:r w:rsidR="001A75E7" w:rsidRPr="00461C16">
              <w:rPr>
                <w:rFonts w:ascii="Arial Narrow" w:hAnsi="Arial Narrow"/>
                <w:lang w:val="cs-CZ"/>
              </w:rPr>
              <w:t xml:space="preserve"> </w:t>
            </w:r>
            <w:r w:rsidRPr="00461C16">
              <w:rPr>
                <w:rFonts w:ascii="Arial Narrow" w:hAnsi="Arial Narrow"/>
                <w:lang w:val="cs-CZ"/>
              </w:rPr>
              <w:t>straně přiléhá k</w:t>
            </w:r>
            <w:r w:rsidR="001A75E7">
              <w:rPr>
                <w:rFonts w:ascii="Arial Narrow" w:hAnsi="Arial Narrow"/>
                <w:lang w:val="cs-CZ"/>
              </w:rPr>
              <w:t> místní komunikaci</w:t>
            </w:r>
            <w:r w:rsidRPr="00461C16">
              <w:rPr>
                <w:rFonts w:ascii="Arial Narrow" w:hAnsi="Arial Narrow"/>
                <w:lang w:val="cs-CZ"/>
              </w:rPr>
              <w:t xml:space="preserve">, která </w:t>
            </w:r>
            <w:r w:rsidR="001A75E7">
              <w:rPr>
                <w:rFonts w:ascii="Arial Narrow" w:hAnsi="Arial Narrow"/>
                <w:lang w:val="cs-CZ"/>
              </w:rPr>
              <w:t>zajišťuje dopravní přístup do</w:t>
            </w:r>
            <w:r w:rsidRPr="00461C16">
              <w:rPr>
                <w:rFonts w:ascii="Arial Narrow" w:hAnsi="Arial Narrow"/>
                <w:lang w:val="cs-CZ"/>
              </w:rPr>
              <w:t xml:space="preserve"> sídla. Využití proluky směřuje k hospodárnému a účelnému využívání území. Vymezení plochy umožňuje rozvoj přilehlé smíšené venkovské zástavby, doplňuje oboustranné obestavění komunikace, které je výhodné z urbanistického i ekonomického hlediska, a zároveň zajišťuje scelení fragmentované zástavby. Realizace záměru přispěje k uspokojení poptávky po nových plochách pro bydlení a ke zvýšení kvality a komfortu bydlení v sídle Dolní Sedlo. Vymezení plochy je v souladu se současně platným ÚP města, kde již byla řádně projednána a schválena. </w:t>
            </w:r>
          </w:p>
        </w:tc>
      </w:tr>
      <w:tr w:rsidR="002D3E77" w:rsidRPr="00461C16" w14:paraId="22250725" w14:textId="77777777" w:rsidTr="005465A1">
        <w:trPr>
          <w:cantSplit/>
          <w:jc w:val="center"/>
        </w:trPr>
        <w:tc>
          <w:tcPr>
            <w:tcW w:w="1116" w:type="dxa"/>
            <w:shd w:val="clear" w:color="auto" w:fill="auto"/>
          </w:tcPr>
          <w:p w14:paraId="41DC392E" w14:textId="77777777" w:rsidR="001A75E7" w:rsidRPr="00461C16" w:rsidRDefault="001A75E7" w:rsidP="00413CFE">
            <w:pPr>
              <w:spacing w:before="40"/>
              <w:jc w:val="left"/>
              <w:rPr>
                <w:color w:val="000000"/>
                <w:sz w:val="20"/>
                <w:szCs w:val="20"/>
              </w:rPr>
            </w:pPr>
            <w:r w:rsidRPr="00461C16">
              <w:rPr>
                <w:color w:val="000000"/>
                <w:sz w:val="20"/>
                <w:szCs w:val="20"/>
              </w:rPr>
              <w:t>Z78</w:t>
            </w:r>
            <w:r>
              <w:rPr>
                <w:color w:val="000000"/>
                <w:sz w:val="20"/>
                <w:szCs w:val="20"/>
              </w:rPr>
              <w:t>B</w:t>
            </w:r>
          </w:p>
        </w:tc>
        <w:tc>
          <w:tcPr>
            <w:tcW w:w="2515" w:type="dxa"/>
            <w:shd w:val="clear" w:color="auto" w:fill="auto"/>
          </w:tcPr>
          <w:p w14:paraId="388A73DA" w14:textId="77777777" w:rsidR="001A75E7" w:rsidRPr="00461C16" w:rsidRDefault="001A75E7"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328B3961" w14:textId="77777777" w:rsidR="001A75E7" w:rsidRPr="00461C16" w:rsidRDefault="001A75E7" w:rsidP="00902FB4">
            <w:pPr>
              <w:pStyle w:val="Intabulka"/>
              <w:rPr>
                <w:rFonts w:ascii="Arial Narrow" w:hAnsi="Arial Narrow"/>
                <w:lang w:val="cs-CZ"/>
              </w:rPr>
            </w:pPr>
            <w:r w:rsidRPr="00461C16">
              <w:rPr>
                <w:rFonts w:ascii="Arial Narrow" w:hAnsi="Arial Narrow"/>
                <w:lang w:val="cs-CZ"/>
              </w:rPr>
              <w:t xml:space="preserve">Plocha je vymezena v centru Dolního Sedla, v prostorové proluce mezi stabilizovanou zástavbou, na východní straně přiléhá k silnici III/2716, která je páteří a urbanistickou osou sídla. Využití proluky směřuje k hospodárnému a účelnému využívání území. Vymezení plochy umožňuje rozvoj přilehlé smíšené venkovské zástavby, doplňuje oboustranné obestavění komunikace, které je výhodné z urbanistického i ekonomického hlediska, a zároveň zajišťuje scelení fragmentované zástavby. Realizace záměru přispěje k uspokojení poptávky po nových plochách pro bydlení a ke zvýšení kvality a komfortu bydlení v sídle Dolní Sedlo. Vymezení plochy je v souladu se současně platným ÚP města, kde již byla řádně projednána a schválena. </w:t>
            </w:r>
          </w:p>
        </w:tc>
      </w:tr>
      <w:tr w:rsidR="002D3E77" w:rsidRPr="00461C16" w14:paraId="7FCEED21" w14:textId="77777777" w:rsidTr="005465A1">
        <w:trPr>
          <w:cantSplit/>
          <w:jc w:val="center"/>
        </w:trPr>
        <w:tc>
          <w:tcPr>
            <w:tcW w:w="1116" w:type="dxa"/>
            <w:shd w:val="clear" w:color="auto" w:fill="auto"/>
          </w:tcPr>
          <w:p w14:paraId="018FE62B" w14:textId="77777777" w:rsidR="001A75E7" w:rsidRPr="00461C16" w:rsidRDefault="001A75E7" w:rsidP="00413CFE">
            <w:pPr>
              <w:spacing w:before="40"/>
              <w:jc w:val="left"/>
              <w:rPr>
                <w:color w:val="000000"/>
                <w:sz w:val="20"/>
                <w:szCs w:val="20"/>
              </w:rPr>
            </w:pPr>
            <w:r w:rsidRPr="00461C16">
              <w:rPr>
                <w:color w:val="000000"/>
                <w:sz w:val="20"/>
                <w:szCs w:val="20"/>
              </w:rPr>
              <w:lastRenderedPageBreak/>
              <w:t>Z79</w:t>
            </w:r>
          </w:p>
        </w:tc>
        <w:tc>
          <w:tcPr>
            <w:tcW w:w="2515" w:type="dxa"/>
            <w:shd w:val="clear" w:color="auto" w:fill="auto"/>
          </w:tcPr>
          <w:p w14:paraId="087DBD4A" w14:textId="77777777" w:rsidR="001A75E7" w:rsidRPr="00461C16" w:rsidRDefault="001A75E7"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5AD3862A" w14:textId="77777777" w:rsidR="001A75E7" w:rsidRPr="00461C16" w:rsidRDefault="001A75E7" w:rsidP="00961CD5">
            <w:pPr>
              <w:pStyle w:val="Intabulka"/>
              <w:rPr>
                <w:rFonts w:ascii="Arial Narrow" w:hAnsi="Arial Narrow"/>
                <w:color w:val="FF0000"/>
                <w:lang w:val="cs-CZ"/>
              </w:rPr>
            </w:pPr>
            <w:r w:rsidRPr="00461C16">
              <w:rPr>
                <w:rFonts w:ascii="Arial Narrow" w:hAnsi="Arial Narrow"/>
                <w:lang w:val="cs-CZ"/>
              </w:rPr>
              <w:t>Plocha je vymezena na jižním okraji zástavby Dolního Sedla, v návaznosti na hranici zastavěného území. Vymezení plochy umožňuje rozvoj přilehlé smíšené venkovské zástavby, v souladu s</w:t>
            </w:r>
            <w:r>
              <w:rPr>
                <w:rFonts w:ascii="Arial Narrow" w:hAnsi="Arial Narrow"/>
                <w:lang w:val="cs-CZ"/>
              </w:rPr>
              <w:t>e současně platným ÚP města, kde již byl záměr řádně projednán a schválen, zčásti je potvrzen i</w:t>
            </w:r>
            <w:r w:rsidRPr="00461C16">
              <w:rPr>
                <w:rFonts w:ascii="Arial Narrow" w:hAnsi="Arial Narrow"/>
                <w:lang w:val="cs-CZ"/>
              </w:rPr>
              <w:t xml:space="preserve"> požadavkem schváleného Zadání ÚP – dle požadavku vlastníka pozemku. Realizace záměru přispěje k uspokojení poptávky po nových plochách pro bydlení a ke zvýšení kvality a komfortu bydlení v sídle Dolní Sedlo. </w:t>
            </w:r>
          </w:p>
        </w:tc>
      </w:tr>
      <w:tr w:rsidR="002D3E77" w:rsidRPr="00461C16" w14:paraId="37B835F0" w14:textId="77777777" w:rsidTr="005465A1">
        <w:trPr>
          <w:cantSplit/>
          <w:jc w:val="center"/>
        </w:trPr>
        <w:tc>
          <w:tcPr>
            <w:tcW w:w="1116" w:type="dxa"/>
            <w:shd w:val="clear" w:color="auto" w:fill="auto"/>
          </w:tcPr>
          <w:p w14:paraId="406C1ADA" w14:textId="77777777" w:rsidR="001A75E7" w:rsidRPr="00461C16" w:rsidRDefault="001A75E7" w:rsidP="00413CFE">
            <w:pPr>
              <w:spacing w:before="40"/>
              <w:jc w:val="left"/>
              <w:rPr>
                <w:color w:val="000000"/>
                <w:sz w:val="20"/>
                <w:szCs w:val="20"/>
              </w:rPr>
            </w:pPr>
            <w:r w:rsidRPr="00461C16">
              <w:rPr>
                <w:color w:val="000000"/>
                <w:sz w:val="20"/>
                <w:szCs w:val="20"/>
              </w:rPr>
              <w:t>Z82</w:t>
            </w:r>
          </w:p>
        </w:tc>
        <w:tc>
          <w:tcPr>
            <w:tcW w:w="2515" w:type="dxa"/>
            <w:shd w:val="clear" w:color="auto" w:fill="auto"/>
          </w:tcPr>
          <w:p w14:paraId="0E4EED72"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04F7F680" w14:textId="77777777" w:rsidR="001A75E7" w:rsidRPr="00461C16" w:rsidRDefault="001A75E7" w:rsidP="00547408">
            <w:pPr>
              <w:pStyle w:val="Intabulka"/>
              <w:rPr>
                <w:rFonts w:ascii="Arial Narrow" w:hAnsi="Arial Narrow"/>
                <w:lang w:val="cs-CZ"/>
              </w:rPr>
            </w:pPr>
            <w:r w:rsidRPr="00461C16">
              <w:rPr>
                <w:rFonts w:ascii="Arial Narrow" w:hAnsi="Arial Narrow"/>
                <w:lang w:val="cs-CZ"/>
              </w:rPr>
              <w:t xml:space="preserve">Plocha je vymezena na východním okraji zástavby Horního Sedla podél silnice III/2716, která je páteří a urbanistickou osou sídla. Umožňuje rozvoj přilehlé venkovské obytné zástavby, doplňuje oboustranné obestavění komunikace, které je výhodné z urbanistického i ekonomického hlediska a zároveň zajišťuje scelení fragmentované zástavby do kompaktního útvaru. Realizace záměru přispěje k uspokojení poptávky po nových plochách pro bydlení a ke zvýšení kvality a komfortu bydlení v sídle Horní Sedlo. </w:t>
            </w:r>
          </w:p>
        </w:tc>
      </w:tr>
      <w:tr w:rsidR="002D3E77" w:rsidRPr="00461C16" w14:paraId="338D645B" w14:textId="77777777" w:rsidTr="005465A1">
        <w:trPr>
          <w:cantSplit/>
          <w:jc w:val="center"/>
        </w:trPr>
        <w:tc>
          <w:tcPr>
            <w:tcW w:w="1116" w:type="dxa"/>
            <w:shd w:val="clear" w:color="auto" w:fill="auto"/>
          </w:tcPr>
          <w:p w14:paraId="30F9FCD3" w14:textId="77777777" w:rsidR="001A75E7" w:rsidRPr="00461C16" w:rsidRDefault="001A75E7" w:rsidP="00413CFE">
            <w:pPr>
              <w:spacing w:before="40"/>
              <w:jc w:val="left"/>
              <w:rPr>
                <w:color w:val="000000"/>
                <w:sz w:val="20"/>
                <w:szCs w:val="20"/>
              </w:rPr>
            </w:pPr>
            <w:r w:rsidRPr="00461C16">
              <w:rPr>
                <w:color w:val="000000"/>
                <w:sz w:val="20"/>
                <w:szCs w:val="20"/>
              </w:rPr>
              <w:t>Z84</w:t>
            </w:r>
          </w:p>
        </w:tc>
        <w:tc>
          <w:tcPr>
            <w:tcW w:w="2515" w:type="dxa"/>
            <w:shd w:val="clear" w:color="auto" w:fill="auto"/>
          </w:tcPr>
          <w:p w14:paraId="0164ECD1"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17DDD051" w14:textId="77777777" w:rsidR="001A75E7" w:rsidRPr="00461C16" w:rsidRDefault="001A75E7" w:rsidP="00123910">
            <w:pPr>
              <w:pStyle w:val="Intabulka"/>
              <w:rPr>
                <w:rFonts w:ascii="Arial Narrow" w:hAnsi="Arial Narrow"/>
                <w:lang w:val="cs-CZ"/>
              </w:rPr>
            </w:pPr>
            <w:r w:rsidRPr="00461C16">
              <w:rPr>
                <w:rFonts w:ascii="Arial Narrow" w:hAnsi="Arial Narrow"/>
                <w:lang w:val="cs-CZ"/>
              </w:rPr>
              <w:t>Plocha je vymezena na východním okraji zástavby Horního Sedla, v prostorové proluce podél silnice III/2716, která je páteří a urbanistickou osou sídla. Využití proluky směřuje k hospodárnému a účelnému využívání území. Vymezení plochy umožňuje rozvoj přilehlé venkovské obytné zástavby, doplňuje oboustranné obestavění komunikace, které je výhodné z urbanistického i ekonomického hlediska a zároveň zajišťuje scelení fragmentované zástavby. Realizace záměru přispěje k uspokojení poptávky po nových plochách pro bydlení a ke zvýšení kvality a komfortu bydlení v sídle Horní Sedlo. Vymezení plochy je v souladu se současně platným ÚP města, kde již byla řádně projednána a schválena</w:t>
            </w:r>
            <w:r>
              <w:rPr>
                <w:rFonts w:ascii="Arial Narrow" w:hAnsi="Arial Narrow"/>
                <w:lang w:val="cs-CZ"/>
              </w:rPr>
              <w:t>, oproti schválenému rozsahu je plocha redukována pouze na část přímo přiléhající ke komunikaci, v severní části</w:t>
            </w:r>
            <w:r w:rsidRPr="00461C16">
              <w:rPr>
                <w:rFonts w:ascii="Arial Narrow" w:hAnsi="Arial Narrow"/>
                <w:lang w:val="cs-CZ"/>
              </w:rPr>
              <w:t xml:space="preserve">. </w:t>
            </w:r>
          </w:p>
        </w:tc>
      </w:tr>
      <w:tr w:rsidR="002D3E77" w:rsidRPr="00461C16" w14:paraId="6C732ECD" w14:textId="77777777" w:rsidTr="005465A1">
        <w:trPr>
          <w:cantSplit/>
          <w:jc w:val="center"/>
        </w:trPr>
        <w:tc>
          <w:tcPr>
            <w:tcW w:w="1116" w:type="dxa"/>
            <w:shd w:val="clear" w:color="auto" w:fill="auto"/>
          </w:tcPr>
          <w:p w14:paraId="524FCD7D" w14:textId="77777777" w:rsidR="001A75E7" w:rsidRPr="00461C16" w:rsidRDefault="001A75E7" w:rsidP="00413CFE">
            <w:pPr>
              <w:spacing w:before="40"/>
              <w:jc w:val="left"/>
              <w:rPr>
                <w:color w:val="000000"/>
                <w:sz w:val="20"/>
                <w:szCs w:val="20"/>
              </w:rPr>
            </w:pPr>
            <w:r w:rsidRPr="00461C16">
              <w:rPr>
                <w:color w:val="000000"/>
                <w:sz w:val="20"/>
                <w:szCs w:val="20"/>
              </w:rPr>
              <w:t>Z85</w:t>
            </w:r>
          </w:p>
        </w:tc>
        <w:tc>
          <w:tcPr>
            <w:tcW w:w="2515" w:type="dxa"/>
            <w:shd w:val="clear" w:color="auto" w:fill="auto"/>
          </w:tcPr>
          <w:p w14:paraId="5A8B0F1C" w14:textId="77777777" w:rsidR="001A75E7" w:rsidRPr="00461C16" w:rsidRDefault="001A75E7"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23CF8D79" w14:textId="77777777" w:rsidR="001A75E7" w:rsidRPr="00461C16" w:rsidRDefault="001A75E7" w:rsidP="009D1265">
            <w:pPr>
              <w:pStyle w:val="Intabulka"/>
              <w:rPr>
                <w:rFonts w:ascii="Arial Narrow" w:hAnsi="Arial Narrow"/>
                <w:lang w:val="cs-CZ"/>
              </w:rPr>
            </w:pPr>
            <w:r w:rsidRPr="00461C16">
              <w:rPr>
                <w:rFonts w:ascii="Arial Narrow" w:hAnsi="Arial Narrow"/>
                <w:lang w:val="cs-CZ"/>
              </w:rPr>
              <w:t xml:space="preserve">Plocha je vymezena na jižním okraji zástavby centra Dolní Suché, na hranici zastavěného území, </w:t>
            </w:r>
            <w:r w:rsidRPr="00461C16">
              <w:rPr>
                <w:rFonts w:ascii="Arial Narrow" w:hAnsi="Arial Narrow"/>
              </w:rPr>
              <w:t>v souladu s požadavkem schváleného Zadání ÚP</w:t>
            </w:r>
            <w:r w:rsidRPr="00461C16">
              <w:rPr>
                <w:rFonts w:ascii="Arial Narrow" w:hAnsi="Arial Narrow"/>
                <w:lang w:val="cs-CZ"/>
              </w:rPr>
              <w:t xml:space="preserve"> – dle požadavku vlastníka. Umožňuje rozvoj přilehlé smíšené venkovské zástavby, přispívá k uspokojení poptávky po nových plochách pro bydlení a zároveň ke zvýšení kvality a komfortu bydlení v sídle Dolní Suchá.</w:t>
            </w:r>
          </w:p>
        </w:tc>
      </w:tr>
      <w:tr w:rsidR="002D3E77" w:rsidRPr="00461C16" w14:paraId="6E6A03A7" w14:textId="77777777" w:rsidTr="005465A1">
        <w:trPr>
          <w:cantSplit/>
          <w:jc w:val="center"/>
        </w:trPr>
        <w:tc>
          <w:tcPr>
            <w:tcW w:w="1116" w:type="dxa"/>
            <w:shd w:val="clear" w:color="auto" w:fill="auto"/>
          </w:tcPr>
          <w:p w14:paraId="19D75221" w14:textId="77777777" w:rsidR="001A75E7" w:rsidRPr="00461C16" w:rsidRDefault="001A75E7" w:rsidP="00413CFE">
            <w:pPr>
              <w:spacing w:before="40"/>
              <w:jc w:val="left"/>
              <w:rPr>
                <w:color w:val="000000"/>
                <w:sz w:val="20"/>
                <w:szCs w:val="20"/>
              </w:rPr>
            </w:pPr>
            <w:r w:rsidRPr="00461C16">
              <w:rPr>
                <w:color w:val="000000"/>
                <w:sz w:val="20"/>
                <w:szCs w:val="20"/>
              </w:rPr>
              <w:t>Z86</w:t>
            </w:r>
          </w:p>
        </w:tc>
        <w:tc>
          <w:tcPr>
            <w:tcW w:w="2515" w:type="dxa"/>
            <w:shd w:val="clear" w:color="auto" w:fill="auto"/>
          </w:tcPr>
          <w:p w14:paraId="747685F1" w14:textId="77777777" w:rsidR="001A75E7" w:rsidRPr="00461C16" w:rsidRDefault="001A75E7"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01FD531C" w14:textId="77777777" w:rsidR="001A75E7" w:rsidRPr="00461C16" w:rsidRDefault="001A75E7" w:rsidP="00D45FDB">
            <w:pPr>
              <w:pStyle w:val="Intabulka"/>
              <w:rPr>
                <w:rFonts w:ascii="Arial Narrow" w:hAnsi="Arial Narrow"/>
                <w:lang w:val="cs-CZ"/>
              </w:rPr>
            </w:pPr>
            <w:r w:rsidRPr="00461C16">
              <w:rPr>
                <w:rFonts w:ascii="Arial Narrow" w:hAnsi="Arial Narrow"/>
                <w:lang w:val="cs-CZ"/>
              </w:rPr>
              <w:t>Plocha je vymezena na jižním okraji zástavby centra Dolní Suché, podél silnice III/2711, která tvoří páteř a urbanistickou osu sídla. Umožňuje rozvoj přilehlé smíšené venkovské zástavby, doplňuje oboustranné obestavění komunikace, které je výhodné z urbanistického i ekonomického hlediska a zajišťuje scelení fragmentované zástavby. Realizace záměru přispěje k uspokojení poptávky po nových plochách pro bydlení a ke zvýšení kvality a komfortu bydlení v sídle Dolní Suchá. Vymezení plochy je v souladu se současně platným ÚP města, kde již byla řádně projednána a schválena.</w:t>
            </w:r>
          </w:p>
        </w:tc>
      </w:tr>
      <w:tr w:rsidR="002D3E77" w:rsidRPr="00461C16" w14:paraId="7914BE22" w14:textId="77777777" w:rsidTr="005465A1">
        <w:trPr>
          <w:cantSplit/>
          <w:jc w:val="center"/>
        </w:trPr>
        <w:tc>
          <w:tcPr>
            <w:tcW w:w="1116" w:type="dxa"/>
            <w:shd w:val="clear" w:color="auto" w:fill="auto"/>
          </w:tcPr>
          <w:p w14:paraId="741B1D7F" w14:textId="77777777" w:rsidR="001A75E7" w:rsidRPr="00461C16" w:rsidRDefault="001A75E7" w:rsidP="00413CFE">
            <w:pPr>
              <w:spacing w:before="40"/>
              <w:jc w:val="left"/>
              <w:rPr>
                <w:color w:val="000000"/>
                <w:sz w:val="20"/>
                <w:szCs w:val="20"/>
              </w:rPr>
            </w:pPr>
            <w:r w:rsidRPr="00461C16">
              <w:rPr>
                <w:color w:val="000000"/>
                <w:sz w:val="20"/>
                <w:szCs w:val="20"/>
              </w:rPr>
              <w:t>Z87</w:t>
            </w:r>
          </w:p>
        </w:tc>
        <w:tc>
          <w:tcPr>
            <w:tcW w:w="2515" w:type="dxa"/>
            <w:shd w:val="clear" w:color="auto" w:fill="auto"/>
          </w:tcPr>
          <w:p w14:paraId="4F477D68" w14:textId="77777777" w:rsidR="001A75E7" w:rsidRPr="00461C16" w:rsidRDefault="001A75E7" w:rsidP="00413CFE">
            <w:pPr>
              <w:spacing w:before="40"/>
              <w:jc w:val="left"/>
              <w:rPr>
                <w:sz w:val="20"/>
                <w:szCs w:val="20"/>
              </w:rPr>
            </w:pPr>
            <w:r w:rsidRPr="00461C16">
              <w:rPr>
                <w:sz w:val="20"/>
                <w:szCs w:val="20"/>
              </w:rPr>
              <w:t>BV – bydlení venkovské</w:t>
            </w:r>
          </w:p>
        </w:tc>
        <w:tc>
          <w:tcPr>
            <w:tcW w:w="5657" w:type="dxa"/>
            <w:shd w:val="clear" w:color="auto" w:fill="auto"/>
          </w:tcPr>
          <w:p w14:paraId="04A2EAC2" w14:textId="3ABCD7CA"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západním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w:t>
            </w:r>
          </w:p>
        </w:tc>
      </w:tr>
      <w:tr w:rsidR="002D3E77" w:rsidRPr="00461C16" w14:paraId="3936ED74" w14:textId="77777777" w:rsidTr="005465A1">
        <w:trPr>
          <w:cantSplit/>
          <w:jc w:val="center"/>
        </w:trPr>
        <w:tc>
          <w:tcPr>
            <w:tcW w:w="1116" w:type="dxa"/>
            <w:shd w:val="clear" w:color="auto" w:fill="auto"/>
          </w:tcPr>
          <w:p w14:paraId="2BCF1E41" w14:textId="77777777" w:rsidR="001A75E7" w:rsidRPr="00461C16" w:rsidRDefault="001A75E7" w:rsidP="00413CFE">
            <w:pPr>
              <w:spacing w:before="40"/>
              <w:jc w:val="left"/>
              <w:rPr>
                <w:color w:val="000000"/>
                <w:sz w:val="20"/>
                <w:szCs w:val="20"/>
              </w:rPr>
            </w:pPr>
            <w:r w:rsidRPr="00461C16">
              <w:rPr>
                <w:color w:val="000000"/>
                <w:sz w:val="20"/>
                <w:szCs w:val="20"/>
              </w:rPr>
              <w:lastRenderedPageBreak/>
              <w:t>Z88</w:t>
            </w:r>
          </w:p>
        </w:tc>
        <w:tc>
          <w:tcPr>
            <w:tcW w:w="2515" w:type="dxa"/>
            <w:shd w:val="clear" w:color="auto" w:fill="auto"/>
          </w:tcPr>
          <w:p w14:paraId="43C87FDA"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7DDD98AC" w14:textId="79AF3BDE"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západním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w:t>
            </w:r>
          </w:p>
        </w:tc>
      </w:tr>
      <w:tr w:rsidR="002D3E77" w:rsidRPr="00461C16" w14:paraId="337DDDB8" w14:textId="77777777" w:rsidTr="005465A1">
        <w:trPr>
          <w:cantSplit/>
          <w:jc w:val="center"/>
        </w:trPr>
        <w:tc>
          <w:tcPr>
            <w:tcW w:w="1116" w:type="dxa"/>
            <w:shd w:val="clear" w:color="auto" w:fill="auto"/>
          </w:tcPr>
          <w:p w14:paraId="0B40556F" w14:textId="77777777" w:rsidR="001A75E7" w:rsidRPr="00461C16" w:rsidRDefault="001A75E7" w:rsidP="00413CFE">
            <w:pPr>
              <w:spacing w:before="40"/>
              <w:jc w:val="left"/>
              <w:rPr>
                <w:color w:val="000000"/>
                <w:sz w:val="20"/>
                <w:szCs w:val="20"/>
              </w:rPr>
            </w:pPr>
            <w:r w:rsidRPr="00461C16">
              <w:rPr>
                <w:color w:val="000000"/>
                <w:sz w:val="20"/>
                <w:szCs w:val="20"/>
              </w:rPr>
              <w:t>Z89</w:t>
            </w:r>
          </w:p>
        </w:tc>
        <w:tc>
          <w:tcPr>
            <w:tcW w:w="2515" w:type="dxa"/>
            <w:shd w:val="clear" w:color="auto" w:fill="auto"/>
          </w:tcPr>
          <w:p w14:paraId="3E1A3214"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0E00104C" w14:textId="5298AB88"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západním okraji zástavby Dolní Suché,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v jižním směru až k veřejné komunikaci. Realizace záměru přispěje k uspokojení poptávky po nových plochách pro bydlení a ke zvýšení kvality a komfortu bydlení v sídle Dolní Suchá. Vymezení plochy vychází ze současně platného ÚP města, kde je plocha vymezena jako stabilizovaná, přestože reálně není zastavěná. </w:t>
            </w:r>
          </w:p>
        </w:tc>
      </w:tr>
      <w:tr w:rsidR="002D3E77" w:rsidRPr="00461C16" w14:paraId="134EA88A" w14:textId="77777777" w:rsidTr="005465A1">
        <w:trPr>
          <w:cantSplit/>
          <w:jc w:val="center"/>
        </w:trPr>
        <w:tc>
          <w:tcPr>
            <w:tcW w:w="1116" w:type="dxa"/>
            <w:shd w:val="clear" w:color="auto" w:fill="auto"/>
          </w:tcPr>
          <w:p w14:paraId="7EAFB8D4" w14:textId="77777777" w:rsidR="001A75E7" w:rsidRPr="00461C16" w:rsidRDefault="001A75E7" w:rsidP="00413CFE">
            <w:pPr>
              <w:spacing w:before="40"/>
              <w:jc w:val="left"/>
              <w:rPr>
                <w:color w:val="000000"/>
                <w:sz w:val="20"/>
                <w:szCs w:val="20"/>
              </w:rPr>
            </w:pPr>
            <w:r w:rsidRPr="00461C16">
              <w:rPr>
                <w:color w:val="000000"/>
                <w:sz w:val="20"/>
                <w:szCs w:val="20"/>
              </w:rPr>
              <w:t>Z90</w:t>
            </w:r>
          </w:p>
        </w:tc>
        <w:tc>
          <w:tcPr>
            <w:tcW w:w="2515" w:type="dxa"/>
            <w:shd w:val="clear" w:color="auto" w:fill="auto"/>
          </w:tcPr>
          <w:p w14:paraId="365286D1"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170AC5B0" w14:textId="45F97239"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západním okraji zástavby Dolní Suché,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venkovské obytné zástavby v souladu se současně platným ÚP města, kde je plocha vymezena jako stabilizovaná, přestože reálně není zastavěná. Realizace záměru přispěje k uspokojení poptávky po nových plochách pro bydlení a ke zvýšení kvality a komfortu bydlení v sídle Dolní Suchá. </w:t>
            </w:r>
          </w:p>
        </w:tc>
      </w:tr>
      <w:tr w:rsidR="002D3E77" w:rsidRPr="00461C16" w14:paraId="267D749C" w14:textId="77777777" w:rsidTr="005465A1">
        <w:trPr>
          <w:cantSplit/>
          <w:jc w:val="center"/>
        </w:trPr>
        <w:tc>
          <w:tcPr>
            <w:tcW w:w="1116" w:type="dxa"/>
            <w:shd w:val="clear" w:color="auto" w:fill="auto"/>
          </w:tcPr>
          <w:p w14:paraId="4BA46111" w14:textId="77777777" w:rsidR="001A75E7" w:rsidRPr="00461C16" w:rsidRDefault="001A75E7" w:rsidP="00413CFE">
            <w:pPr>
              <w:spacing w:before="40"/>
              <w:jc w:val="left"/>
              <w:rPr>
                <w:color w:val="000000"/>
                <w:sz w:val="20"/>
                <w:szCs w:val="20"/>
              </w:rPr>
            </w:pPr>
            <w:r w:rsidRPr="00461C16">
              <w:rPr>
                <w:color w:val="000000"/>
                <w:sz w:val="20"/>
                <w:szCs w:val="20"/>
              </w:rPr>
              <w:t>Z91</w:t>
            </w:r>
          </w:p>
        </w:tc>
        <w:tc>
          <w:tcPr>
            <w:tcW w:w="2515" w:type="dxa"/>
            <w:shd w:val="clear" w:color="auto" w:fill="auto"/>
          </w:tcPr>
          <w:p w14:paraId="7C2CA615"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57EC7CD2" w14:textId="0D9FCB2D"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jihozápadním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w:t>
            </w:r>
          </w:p>
        </w:tc>
      </w:tr>
      <w:tr w:rsidR="002D3E77" w:rsidRPr="00461C16" w14:paraId="2EA9D157" w14:textId="77777777" w:rsidTr="005465A1">
        <w:trPr>
          <w:cantSplit/>
          <w:jc w:val="center"/>
        </w:trPr>
        <w:tc>
          <w:tcPr>
            <w:tcW w:w="1116" w:type="dxa"/>
            <w:shd w:val="clear" w:color="auto" w:fill="auto"/>
          </w:tcPr>
          <w:p w14:paraId="35EF42DD" w14:textId="77777777" w:rsidR="001A75E7" w:rsidRPr="00461C16" w:rsidRDefault="001A75E7" w:rsidP="00413CFE">
            <w:pPr>
              <w:spacing w:before="40"/>
              <w:jc w:val="left"/>
              <w:rPr>
                <w:color w:val="000000"/>
                <w:sz w:val="20"/>
                <w:szCs w:val="20"/>
              </w:rPr>
            </w:pPr>
            <w:r w:rsidRPr="00461C16">
              <w:rPr>
                <w:color w:val="000000"/>
                <w:sz w:val="20"/>
                <w:szCs w:val="20"/>
              </w:rPr>
              <w:t>Z92</w:t>
            </w:r>
          </w:p>
        </w:tc>
        <w:tc>
          <w:tcPr>
            <w:tcW w:w="2515" w:type="dxa"/>
            <w:shd w:val="clear" w:color="auto" w:fill="auto"/>
          </w:tcPr>
          <w:p w14:paraId="36E4E8FC"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06CAD714" w14:textId="4642485A" w:rsidR="001A75E7" w:rsidRPr="00461C16" w:rsidRDefault="001A75E7" w:rsidP="009D47B0">
            <w:pPr>
              <w:pStyle w:val="Intabulka"/>
              <w:rPr>
                <w:rFonts w:ascii="Arial Narrow" w:hAnsi="Arial Narrow"/>
                <w:color w:val="FF0000"/>
                <w:lang w:val="cs-CZ"/>
              </w:rPr>
            </w:pPr>
            <w:r w:rsidRPr="00461C16">
              <w:rPr>
                <w:rFonts w:ascii="Arial Narrow" w:hAnsi="Arial Narrow"/>
                <w:lang w:val="cs-CZ"/>
              </w:rPr>
              <w:t>Plocha je vymezena na jihozápadním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Plocha je vymezena v souladu se současně platným ÚP města a </w:t>
            </w:r>
            <w:r w:rsidRPr="00461C16">
              <w:rPr>
                <w:rFonts w:ascii="Arial Narrow" w:hAnsi="Arial Narrow"/>
              </w:rPr>
              <w:t>z </w:t>
            </w:r>
            <w:r w:rsidRPr="00461C16">
              <w:rPr>
                <w:rFonts w:ascii="Arial Narrow" w:hAnsi="Arial Narrow"/>
                <w:lang w:val="cs-CZ"/>
              </w:rPr>
              <w:t xml:space="preserve">větší </w:t>
            </w:r>
            <w:r w:rsidRPr="00461C16">
              <w:rPr>
                <w:rFonts w:ascii="Arial Narrow" w:hAnsi="Arial Narrow"/>
              </w:rPr>
              <w:t xml:space="preserve">části </w:t>
            </w:r>
            <w:r w:rsidRPr="00461C16">
              <w:rPr>
                <w:rFonts w:ascii="Arial Narrow" w:hAnsi="Arial Narrow"/>
                <w:lang w:val="cs-CZ"/>
              </w:rPr>
              <w:t>dle</w:t>
            </w:r>
            <w:r w:rsidRPr="00461C16">
              <w:rPr>
                <w:rFonts w:ascii="Arial Narrow" w:hAnsi="Arial Narrow"/>
              </w:rPr>
              <w:t xml:space="preserve"> požadavk</w:t>
            </w:r>
            <w:r w:rsidRPr="00461C16">
              <w:rPr>
                <w:rFonts w:ascii="Arial Narrow" w:hAnsi="Arial Narrow"/>
                <w:lang w:val="cs-CZ"/>
              </w:rPr>
              <w:t>u</w:t>
            </w:r>
            <w:r w:rsidRPr="00461C16">
              <w:rPr>
                <w:rFonts w:ascii="Arial Narrow" w:hAnsi="Arial Narrow"/>
              </w:rPr>
              <w:t xml:space="preserve"> schváleného Zadání ÚP</w:t>
            </w:r>
            <w:r w:rsidRPr="00461C16">
              <w:rPr>
                <w:rFonts w:ascii="Arial Narrow" w:hAnsi="Arial Narrow"/>
                <w:lang w:val="cs-CZ"/>
              </w:rPr>
              <w:t>, resp. požadavku vlastníka pozemku.</w:t>
            </w:r>
          </w:p>
        </w:tc>
      </w:tr>
      <w:tr w:rsidR="002D3E77" w:rsidRPr="00461C16" w14:paraId="2FA51A87" w14:textId="77777777" w:rsidTr="005465A1">
        <w:trPr>
          <w:cantSplit/>
          <w:jc w:val="center"/>
        </w:trPr>
        <w:tc>
          <w:tcPr>
            <w:tcW w:w="1116" w:type="dxa"/>
            <w:shd w:val="clear" w:color="auto" w:fill="auto"/>
          </w:tcPr>
          <w:p w14:paraId="43D0BD7D" w14:textId="77777777" w:rsidR="001A75E7" w:rsidRPr="00461C16" w:rsidRDefault="001A75E7" w:rsidP="00413CFE">
            <w:pPr>
              <w:spacing w:before="40"/>
              <w:jc w:val="left"/>
              <w:rPr>
                <w:color w:val="000000"/>
                <w:sz w:val="20"/>
                <w:szCs w:val="20"/>
              </w:rPr>
            </w:pPr>
            <w:r w:rsidRPr="00461C16">
              <w:rPr>
                <w:color w:val="000000"/>
                <w:sz w:val="20"/>
                <w:szCs w:val="20"/>
              </w:rPr>
              <w:t>Z94</w:t>
            </w:r>
          </w:p>
        </w:tc>
        <w:tc>
          <w:tcPr>
            <w:tcW w:w="2515" w:type="dxa"/>
            <w:shd w:val="clear" w:color="auto" w:fill="auto"/>
          </w:tcPr>
          <w:p w14:paraId="3A0237CE"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0223BA0C" w14:textId="77777777" w:rsidR="001A75E7" w:rsidRPr="00461C16" w:rsidRDefault="001A75E7" w:rsidP="00A34102">
            <w:pPr>
              <w:pStyle w:val="Intabulka"/>
              <w:rPr>
                <w:rFonts w:ascii="Arial Narrow" w:hAnsi="Arial Narrow"/>
                <w:color w:val="FF0000"/>
                <w:lang w:val="cs-CZ"/>
              </w:rPr>
            </w:pPr>
            <w:r w:rsidRPr="00461C16">
              <w:rPr>
                <w:rFonts w:ascii="Arial Narrow" w:hAnsi="Arial Narrow"/>
                <w:lang w:val="cs-CZ"/>
              </w:rPr>
              <w:t>Plocha je vymezena ve vnitřní části Dolní Suché, v prostorové proluce podél veřejné komunikace.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Vymezení plochy vychází z</w:t>
            </w:r>
            <w:r w:rsidRPr="00461C16">
              <w:rPr>
                <w:rFonts w:ascii="Arial Narrow" w:hAnsi="Arial Narrow"/>
              </w:rPr>
              <w:t> požadavk</w:t>
            </w:r>
            <w:r w:rsidRPr="00461C16">
              <w:rPr>
                <w:rFonts w:ascii="Arial Narrow" w:hAnsi="Arial Narrow"/>
                <w:lang w:val="cs-CZ"/>
              </w:rPr>
              <w:t>u</w:t>
            </w:r>
            <w:r w:rsidRPr="00461C16">
              <w:rPr>
                <w:rFonts w:ascii="Arial Narrow" w:hAnsi="Arial Narrow"/>
              </w:rPr>
              <w:t xml:space="preserve"> schváleného Zadání ÚP</w:t>
            </w:r>
            <w:r w:rsidRPr="00461C16">
              <w:rPr>
                <w:rFonts w:ascii="Arial Narrow" w:hAnsi="Arial Narrow"/>
                <w:lang w:val="cs-CZ"/>
              </w:rPr>
              <w:t>, resp. požadavku vlastníka pozemku.</w:t>
            </w:r>
          </w:p>
        </w:tc>
      </w:tr>
      <w:tr w:rsidR="002D3E77" w:rsidRPr="00461C16" w14:paraId="65578BA5" w14:textId="77777777" w:rsidTr="005465A1">
        <w:trPr>
          <w:cantSplit/>
          <w:jc w:val="center"/>
        </w:trPr>
        <w:tc>
          <w:tcPr>
            <w:tcW w:w="1116" w:type="dxa"/>
            <w:shd w:val="clear" w:color="auto" w:fill="auto"/>
          </w:tcPr>
          <w:p w14:paraId="6BF7816A" w14:textId="77777777" w:rsidR="001A75E7" w:rsidRPr="00461C16" w:rsidRDefault="001A75E7" w:rsidP="00413CFE">
            <w:pPr>
              <w:spacing w:before="40"/>
              <w:jc w:val="left"/>
              <w:rPr>
                <w:color w:val="000000"/>
                <w:sz w:val="20"/>
                <w:szCs w:val="20"/>
              </w:rPr>
            </w:pPr>
            <w:r w:rsidRPr="00461C16">
              <w:rPr>
                <w:color w:val="000000"/>
                <w:sz w:val="20"/>
                <w:szCs w:val="20"/>
              </w:rPr>
              <w:t>Z95</w:t>
            </w:r>
          </w:p>
        </w:tc>
        <w:tc>
          <w:tcPr>
            <w:tcW w:w="2515" w:type="dxa"/>
            <w:shd w:val="clear" w:color="auto" w:fill="auto"/>
          </w:tcPr>
          <w:p w14:paraId="112C9E38"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77BE9498" w14:textId="77DE77B6"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Vymezení plochy je v souladu se současně platným ÚP města, kde již byla řádně projednána a schválena. </w:t>
            </w:r>
          </w:p>
        </w:tc>
      </w:tr>
      <w:tr w:rsidR="002D3E77" w:rsidRPr="00461C16" w14:paraId="73E0BC74" w14:textId="77777777" w:rsidTr="005465A1">
        <w:trPr>
          <w:cantSplit/>
          <w:jc w:val="center"/>
        </w:trPr>
        <w:tc>
          <w:tcPr>
            <w:tcW w:w="1116" w:type="dxa"/>
            <w:shd w:val="clear" w:color="auto" w:fill="auto"/>
          </w:tcPr>
          <w:p w14:paraId="6A951FAA" w14:textId="77777777" w:rsidR="001A75E7" w:rsidRPr="00461C16" w:rsidRDefault="001A75E7" w:rsidP="00413CFE">
            <w:pPr>
              <w:spacing w:before="40"/>
              <w:jc w:val="left"/>
              <w:rPr>
                <w:color w:val="000000"/>
                <w:sz w:val="20"/>
                <w:szCs w:val="20"/>
              </w:rPr>
            </w:pPr>
            <w:r w:rsidRPr="00461C16">
              <w:rPr>
                <w:color w:val="000000"/>
                <w:sz w:val="20"/>
                <w:szCs w:val="20"/>
              </w:rPr>
              <w:lastRenderedPageBreak/>
              <w:t>Z96</w:t>
            </w:r>
          </w:p>
        </w:tc>
        <w:tc>
          <w:tcPr>
            <w:tcW w:w="2515" w:type="dxa"/>
            <w:shd w:val="clear" w:color="auto" w:fill="auto"/>
          </w:tcPr>
          <w:p w14:paraId="75ECBE15"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1645191A" w14:textId="2CA38B36"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Vymezení plochy je v souladu se současně platným ÚP města, kde již byla řádně projednána a schválena. </w:t>
            </w:r>
          </w:p>
        </w:tc>
      </w:tr>
      <w:tr w:rsidR="002D3E77" w:rsidRPr="00461C16" w14:paraId="7A1F75F4" w14:textId="77777777" w:rsidTr="005465A1">
        <w:trPr>
          <w:cantSplit/>
          <w:jc w:val="center"/>
        </w:trPr>
        <w:tc>
          <w:tcPr>
            <w:tcW w:w="1116" w:type="dxa"/>
            <w:shd w:val="clear" w:color="auto" w:fill="auto"/>
          </w:tcPr>
          <w:p w14:paraId="0FAAAF52" w14:textId="77777777" w:rsidR="001A75E7" w:rsidRPr="00461C16" w:rsidRDefault="001A75E7" w:rsidP="00413CFE">
            <w:pPr>
              <w:spacing w:before="40"/>
              <w:jc w:val="left"/>
              <w:rPr>
                <w:color w:val="000000"/>
                <w:sz w:val="20"/>
                <w:szCs w:val="20"/>
              </w:rPr>
            </w:pPr>
            <w:r w:rsidRPr="00461C16">
              <w:rPr>
                <w:color w:val="000000"/>
                <w:sz w:val="20"/>
                <w:szCs w:val="20"/>
              </w:rPr>
              <w:t>Z97</w:t>
            </w:r>
          </w:p>
        </w:tc>
        <w:tc>
          <w:tcPr>
            <w:tcW w:w="2515" w:type="dxa"/>
            <w:shd w:val="clear" w:color="auto" w:fill="auto"/>
          </w:tcPr>
          <w:p w14:paraId="221495F6" w14:textId="77777777" w:rsidR="001A75E7" w:rsidRPr="00461C16" w:rsidRDefault="001A75E7" w:rsidP="00413CFE">
            <w:pPr>
              <w:spacing w:before="40"/>
              <w:jc w:val="left"/>
              <w:rPr>
                <w:color w:val="000000"/>
                <w:sz w:val="20"/>
                <w:szCs w:val="20"/>
              </w:rPr>
            </w:pPr>
            <w:r w:rsidRPr="00461C16">
              <w:rPr>
                <w:color w:val="000000"/>
                <w:sz w:val="20"/>
                <w:szCs w:val="20"/>
              </w:rPr>
              <w:t>BV – bydlení venkovské</w:t>
            </w:r>
          </w:p>
        </w:tc>
        <w:tc>
          <w:tcPr>
            <w:tcW w:w="5657" w:type="dxa"/>
            <w:shd w:val="clear" w:color="auto" w:fill="auto"/>
          </w:tcPr>
          <w:p w14:paraId="0AC9C88D" w14:textId="19206778"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Vymezení plochy je v souladu se současně platným ÚP města, kde již byla řádně projednána a schválena. </w:t>
            </w:r>
          </w:p>
        </w:tc>
      </w:tr>
      <w:tr w:rsidR="002D3E77" w:rsidRPr="00461C16" w14:paraId="62896AA0" w14:textId="77777777" w:rsidTr="005465A1">
        <w:trPr>
          <w:cantSplit/>
          <w:jc w:val="center"/>
        </w:trPr>
        <w:tc>
          <w:tcPr>
            <w:tcW w:w="1116" w:type="dxa"/>
            <w:shd w:val="clear" w:color="auto" w:fill="auto"/>
          </w:tcPr>
          <w:p w14:paraId="23FCFC57" w14:textId="77777777" w:rsidR="001A75E7" w:rsidRPr="00461C16" w:rsidRDefault="001A75E7" w:rsidP="00413CFE">
            <w:pPr>
              <w:spacing w:before="40"/>
              <w:jc w:val="left"/>
              <w:rPr>
                <w:color w:val="000000"/>
                <w:sz w:val="20"/>
                <w:szCs w:val="20"/>
              </w:rPr>
            </w:pPr>
            <w:r w:rsidRPr="00461C16">
              <w:rPr>
                <w:color w:val="000000"/>
                <w:sz w:val="20"/>
                <w:szCs w:val="20"/>
              </w:rPr>
              <w:t>Z98</w:t>
            </w:r>
          </w:p>
        </w:tc>
        <w:tc>
          <w:tcPr>
            <w:tcW w:w="2515" w:type="dxa"/>
            <w:shd w:val="clear" w:color="auto" w:fill="auto"/>
          </w:tcPr>
          <w:p w14:paraId="3B696242" w14:textId="77777777" w:rsidR="001A75E7" w:rsidRPr="00461C16" w:rsidRDefault="001A75E7" w:rsidP="00413CFE">
            <w:pPr>
              <w:spacing w:before="40"/>
              <w:jc w:val="left"/>
              <w:rPr>
                <w:color w:val="000000"/>
                <w:sz w:val="20"/>
                <w:szCs w:val="20"/>
              </w:rPr>
            </w:pPr>
            <w:r w:rsidRPr="00461C16">
              <w:rPr>
                <w:color w:val="000000"/>
                <w:sz w:val="20"/>
                <w:szCs w:val="20"/>
              </w:rPr>
              <w:t>PX – veřejné prostranství - komunikace</w:t>
            </w:r>
          </w:p>
        </w:tc>
        <w:tc>
          <w:tcPr>
            <w:tcW w:w="5657" w:type="dxa"/>
            <w:shd w:val="clear" w:color="auto" w:fill="auto"/>
          </w:tcPr>
          <w:p w14:paraId="54EB50D9" w14:textId="77777777" w:rsidR="001A75E7" w:rsidRPr="00461C16" w:rsidRDefault="001A75E7" w:rsidP="00413CFE">
            <w:pPr>
              <w:pStyle w:val="Intabulka"/>
              <w:rPr>
                <w:rFonts w:ascii="Arial Narrow" w:hAnsi="Arial Narrow"/>
                <w:color w:val="FF0000"/>
                <w:lang w:val="cs-CZ"/>
              </w:rPr>
            </w:pPr>
            <w:r w:rsidRPr="00461C16">
              <w:rPr>
                <w:rFonts w:ascii="Arial Narrow" w:hAnsi="Arial Narrow"/>
                <w:lang w:val="cs-CZ"/>
              </w:rPr>
              <w:t>Plocha je vymezena pro zlepšení prostupnosti krajiny pro pěší a cyklisty a zajištění koordinace s územím sousední obce Jablonné v Podještědí.</w:t>
            </w:r>
          </w:p>
        </w:tc>
      </w:tr>
      <w:tr w:rsidR="002D3E77" w:rsidRPr="00461C16" w14:paraId="43A16F32" w14:textId="77777777" w:rsidTr="005465A1">
        <w:trPr>
          <w:cantSplit/>
          <w:jc w:val="center"/>
        </w:trPr>
        <w:tc>
          <w:tcPr>
            <w:tcW w:w="1116" w:type="dxa"/>
            <w:shd w:val="clear" w:color="auto" w:fill="auto"/>
          </w:tcPr>
          <w:p w14:paraId="4CCC5524" w14:textId="77777777" w:rsidR="001A75E7" w:rsidRPr="009D002C" w:rsidRDefault="003A142B" w:rsidP="00413CFE">
            <w:pPr>
              <w:spacing w:before="40"/>
              <w:jc w:val="left"/>
              <w:rPr>
                <w:color w:val="000000"/>
                <w:sz w:val="20"/>
                <w:szCs w:val="20"/>
              </w:rPr>
            </w:pPr>
            <w:r w:rsidRPr="009D002C">
              <w:rPr>
                <w:color w:val="000000"/>
                <w:sz w:val="20"/>
                <w:szCs w:val="20"/>
              </w:rPr>
              <w:t>Z99</w:t>
            </w:r>
          </w:p>
        </w:tc>
        <w:tc>
          <w:tcPr>
            <w:tcW w:w="2515" w:type="dxa"/>
            <w:shd w:val="clear" w:color="auto" w:fill="auto"/>
          </w:tcPr>
          <w:p w14:paraId="55EB17D3" w14:textId="77777777" w:rsidR="001A75E7" w:rsidRPr="00461C16" w:rsidRDefault="001A75E7" w:rsidP="00413CFE">
            <w:pPr>
              <w:spacing w:before="40"/>
              <w:jc w:val="left"/>
              <w:rPr>
                <w:color w:val="000000"/>
                <w:sz w:val="20"/>
                <w:szCs w:val="20"/>
              </w:rPr>
            </w:pPr>
            <w:r>
              <w:rPr>
                <w:color w:val="000000"/>
                <w:sz w:val="20"/>
                <w:szCs w:val="20"/>
              </w:rPr>
              <w:t>BI – bydlení městské a příměstské</w:t>
            </w:r>
          </w:p>
        </w:tc>
        <w:tc>
          <w:tcPr>
            <w:tcW w:w="5657" w:type="dxa"/>
            <w:shd w:val="clear" w:color="auto" w:fill="auto"/>
          </w:tcPr>
          <w:p w14:paraId="36FDDA03" w14:textId="77777777" w:rsidR="001A75E7" w:rsidRPr="00461C16" w:rsidRDefault="001A75E7" w:rsidP="005465A1">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doplnění oboustranného obestavění ul. Lidická, které je urbanisticky vhodnější a zároveň hospodárnější z hlediska ochrany volné krajiny. Záměr umožňuje rozvoj bydlení v reakci na poptávku po nové výstavbě, zvýšení kvality obytného prostředí a tím i atraktivity města.</w:t>
            </w:r>
          </w:p>
        </w:tc>
      </w:tr>
      <w:tr w:rsidR="002D3E77" w:rsidRPr="00461C16" w14:paraId="060E0584" w14:textId="77777777" w:rsidTr="005465A1">
        <w:trPr>
          <w:cantSplit/>
          <w:jc w:val="center"/>
        </w:trPr>
        <w:tc>
          <w:tcPr>
            <w:tcW w:w="1116" w:type="dxa"/>
            <w:shd w:val="clear" w:color="auto" w:fill="auto"/>
          </w:tcPr>
          <w:p w14:paraId="23339D4B" w14:textId="77777777" w:rsidR="002D3E77" w:rsidRDefault="002D3E77" w:rsidP="00413CFE">
            <w:pPr>
              <w:spacing w:before="40"/>
              <w:jc w:val="left"/>
              <w:rPr>
                <w:color w:val="000000"/>
                <w:sz w:val="20"/>
                <w:szCs w:val="20"/>
              </w:rPr>
            </w:pPr>
            <w:r>
              <w:rPr>
                <w:color w:val="000000"/>
                <w:sz w:val="20"/>
                <w:szCs w:val="20"/>
              </w:rPr>
              <w:t>Z101</w:t>
            </w:r>
          </w:p>
        </w:tc>
        <w:tc>
          <w:tcPr>
            <w:tcW w:w="2515" w:type="dxa"/>
            <w:shd w:val="clear" w:color="auto" w:fill="auto"/>
          </w:tcPr>
          <w:p w14:paraId="0E260EB5" w14:textId="77777777" w:rsidR="002D3E77" w:rsidRPr="00F16814" w:rsidRDefault="002D3E77" w:rsidP="00413CFE">
            <w:pPr>
              <w:spacing w:before="40"/>
              <w:jc w:val="left"/>
              <w:rPr>
                <w:color w:val="000000"/>
                <w:sz w:val="20"/>
                <w:szCs w:val="20"/>
              </w:rPr>
            </w:pPr>
            <w:r>
              <w:rPr>
                <w:color w:val="000000"/>
                <w:sz w:val="20"/>
                <w:szCs w:val="20"/>
              </w:rPr>
              <w:t>VZ – zemědělská výroba</w:t>
            </w:r>
          </w:p>
        </w:tc>
        <w:tc>
          <w:tcPr>
            <w:tcW w:w="5657" w:type="dxa"/>
            <w:shd w:val="clear" w:color="auto" w:fill="auto"/>
          </w:tcPr>
          <w:p w14:paraId="650EDBAA" w14:textId="77777777" w:rsidR="002D3E77" w:rsidRPr="002D3E77" w:rsidRDefault="002D3E77" w:rsidP="005465A1">
            <w:pPr>
              <w:pStyle w:val="Intabulka"/>
              <w:rPr>
                <w:rFonts w:ascii="Arial Narrow" w:hAnsi="Arial Narrow"/>
                <w:highlight w:val="yellow"/>
                <w:lang w:val="cs-CZ"/>
              </w:rPr>
            </w:pPr>
            <w:r>
              <w:rPr>
                <w:rFonts w:ascii="Arial Narrow" w:hAnsi="Arial Narrow"/>
                <w:lang w:val="cs-CZ"/>
              </w:rPr>
              <w:t>Vymezení plochy zohledňuje záměr vlastníka na rozvoj stávajícího výrobního areálu, který je již v celém rozsahu využit (zastavěn). Rozvojem existující plochy zemědělské výroby v okrajové poloze sídla směřuje k hospodárnému využívání území a ke snížení případných negativních dopadů výrobní činnosti na okolní prostředí. Realizace záměru umožní vznik nových pracovních příležitostí v sídle Václavice, kde je pracovních možností pro místní obyvatele jen velmi málo, a zároveň přispěje k ekonomické stabilitě a rozvoji Václavic i celého města.</w:t>
            </w:r>
          </w:p>
        </w:tc>
      </w:tr>
      <w:tr w:rsidR="002D3E77" w:rsidRPr="00461C16" w14:paraId="303DE690" w14:textId="77777777" w:rsidTr="005465A1">
        <w:trPr>
          <w:cantSplit/>
          <w:jc w:val="center"/>
        </w:trPr>
        <w:tc>
          <w:tcPr>
            <w:tcW w:w="1116" w:type="dxa"/>
            <w:shd w:val="clear" w:color="auto" w:fill="auto"/>
          </w:tcPr>
          <w:p w14:paraId="62F65CFC" w14:textId="77777777" w:rsidR="002D3E77" w:rsidRDefault="002D3E77" w:rsidP="00413CFE">
            <w:pPr>
              <w:spacing w:before="40"/>
              <w:jc w:val="left"/>
              <w:rPr>
                <w:color w:val="000000"/>
                <w:sz w:val="20"/>
                <w:szCs w:val="20"/>
              </w:rPr>
            </w:pPr>
            <w:r>
              <w:rPr>
                <w:color w:val="000000"/>
                <w:sz w:val="20"/>
                <w:szCs w:val="20"/>
              </w:rPr>
              <w:t>Z102</w:t>
            </w:r>
          </w:p>
        </w:tc>
        <w:tc>
          <w:tcPr>
            <w:tcW w:w="2515" w:type="dxa"/>
            <w:shd w:val="clear" w:color="auto" w:fill="auto"/>
          </w:tcPr>
          <w:p w14:paraId="205A2D0E" w14:textId="77777777" w:rsidR="002D3E77" w:rsidRPr="00F16814" w:rsidRDefault="002D3E77" w:rsidP="00413CFE">
            <w:pPr>
              <w:spacing w:before="40"/>
              <w:jc w:val="left"/>
              <w:rPr>
                <w:color w:val="000000"/>
                <w:sz w:val="20"/>
                <w:szCs w:val="20"/>
              </w:rPr>
            </w:pPr>
            <w:r>
              <w:rPr>
                <w:color w:val="000000"/>
                <w:sz w:val="20"/>
                <w:szCs w:val="20"/>
              </w:rPr>
              <w:t>BV – bydlení venkovské</w:t>
            </w:r>
          </w:p>
        </w:tc>
        <w:tc>
          <w:tcPr>
            <w:tcW w:w="5657" w:type="dxa"/>
            <w:shd w:val="clear" w:color="auto" w:fill="auto"/>
          </w:tcPr>
          <w:p w14:paraId="3E7F2F14" w14:textId="77777777" w:rsidR="002D3E77" w:rsidRPr="002D3E77" w:rsidRDefault="002D3E77" w:rsidP="005465A1">
            <w:pPr>
              <w:pStyle w:val="Intabulka"/>
              <w:rPr>
                <w:rFonts w:ascii="Arial Narrow" w:hAnsi="Arial Narrow"/>
                <w:highlight w:val="yellow"/>
                <w:lang w:val="cs-CZ"/>
              </w:rPr>
            </w:pPr>
            <w:r>
              <w:rPr>
                <w:rFonts w:ascii="Arial Narrow" w:hAnsi="Arial Narrow"/>
                <w:lang w:val="cs-CZ"/>
              </w:rPr>
              <w:t>Vymezení plochy zohledňuje záměr vlastníka na výstavbu rodinného domu. Směřuje k využití proluky mezi fragmenty stávající zástavby, v zájmu hospodárného využití území a ochrany volné krajiny.</w:t>
            </w:r>
          </w:p>
        </w:tc>
      </w:tr>
      <w:tr w:rsidR="002D3E77" w:rsidRPr="00461C16" w14:paraId="1B42AC70" w14:textId="77777777" w:rsidTr="005465A1">
        <w:trPr>
          <w:cantSplit/>
          <w:jc w:val="center"/>
        </w:trPr>
        <w:tc>
          <w:tcPr>
            <w:tcW w:w="1116" w:type="dxa"/>
            <w:shd w:val="clear" w:color="auto" w:fill="auto"/>
          </w:tcPr>
          <w:p w14:paraId="51C2E30D" w14:textId="77777777" w:rsidR="002D3E77" w:rsidRDefault="002D3E77" w:rsidP="00413CFE">
            <w:pPr>
              <w:spacing w:before="40"/>
              <w:jc w:val="left"/>
              <w:rPr>
                <w:color w:val="000000"/>
                <w:sz w:val="20"/>
                <w:szCs w:val="20"/>
              </w:rPr>
            </w:pPr>
            <w:r w:rsidRPr="009D002C">
              <w:rPr>
                <w:color w:val="000000"/>
                <w:sz w:val="20"/>
                <w:szCs w:val="20"/>
              </w:rPr>
              <w:t>Z103</w:t>
            </w:r>
          </w:p>
        </w:tc>
        <w:tc>
          <w:tcPr>
            <w:tcW w:w="2515" w:type="dxa"/>
            <w:shd w:val="clear" w:color="auto" w:fill="auto"/>
          </w:tcPr>
          <w:p w14:paraId="3C8D412A" w14:textId="77777777" w:rsidR="002D3E77" w:rsidRDefault="002D3E77" w:rsidP="00413CFE">
            <w:pPr>
              <w:spacing w:before="40"/>
              <w:jc w:val="left"/>
              <w:rPr>
                <w:color w:val="000000"/>
                <w:sz w:val="20"/>
                <w:szCs w:val="20"/>
              </w:rPr>
            </w:pPr>
            <w:r>
              <w:rPr>
                <w:color w:val="000000"/>
                <w:sz w:val="20"/>
                <w:szCs w:val="20"/>
              </w:rPr>
              <w:t>BV – bydlení venkovské</w:t>
            </w:r>
          </w:p>
        </w:tc>
        <w:tc>
          <w:tcPr>
            <w:tcW w:w="5657" w:type="dxa"/>
            <w:shd w:val="clear" w:color="auto" w:fill="auto"/>
          </w:tcPr>
          <w:p w14:paraId="1209C120" w14:textId="0B2E19B3" w:rsidR="002D3E77" w:rsidRDefault="002D3E77" w:rsidP="009D47B0">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doplnění oboustranného obestavění silnice III/</w:t>
            </w:r>
            <w:r w:rsidR="009D47B0">
              <w:rPr>
                <w:rFonts w:ascii="Arial Narrow" w:hAnsi="Arial Narrow"/>
                <w:lang w:val="cs-CZ"/>
              </w:rPr>
              <w:t>2713</w:t>
            </w:r>
            <w:r>
              <w:rPr>
                <w:rFonts w:ascii="Arial Narrow" w:hAnsi="Arial Narrow"/>
                <w:lang w:val="cs-CZ"/>
              </w:rPr>
              <w:t>, které je hospodárnější z hlediska ochrany volné krajiny a nákladů na vedení sítí veřejné infrastruktury.</w:t>
            </w:r>
          </w:p>
        </w:tc>
      </w:tr>
      <w:tr w:rsidR="002D3E77" w:rsidRPr="00461C16" w14:paraId="53BB9C5D" w14:textId="77777777" w:rsidTr="005465A1">
        <w:trPr>
          <w:cantSplit/>
          <w:jc w:val="center"/>
        </w:trPr>
        <w:tc>
          <w:tcPr>
            <w:tcW w:w="1116" w:type="dxa"/>
            <w:shd w:val="clear" w:color="auto" w:fill="auto"/>
          </w:tcPr>
          <w:p w14:paraId="67DE06EC" w14:textId="77777777" w:rsidR="002D3E77" w:rsidRPr="009D002C" w:rsidRDefault="002D3E77" w:rsidP="003A142B">
            <w:pPr>
              <w:spacing w:before="40"/>
              <w:jc w:val="left"/>
              <w:rPr>
                <w:color w:val="000000"/>
                <w:sz w:val="20"/>
                <w:szCs w:val="20"/>
              </w:rPr>
            </w:pPr>
            <w:r w:rsidRPr="009D002C">
              <w:rPr>
                <w:color w:val="000000"/>
                <w:sz w:val="20"/>
                <w:szCs w:val="20"/>
              </w:rPr>
              <w:t>Z104</w:t>
            </w:r>
          </w:p>
        </w:tc>
        <w:tc>
          <w:tcPr>
            <w:tcW w:w="2515" w:type="dxa"/>
            <w:shd w:val="clear" w:color="auto" w:fill="auto"/>
          </w:tcPr>
          <w:p w14:paraId="4BBC7B74" w14:textId="77777777" w:rsidR="002D3E77" w:rsidRDefault="002D3E77" w:rsidP="00413CFE">
            <w:pPr>
              <w:spacing w:before="40"/>
              <w:jc w:val="left"/>
              <w:rPr>
                <w:color w:val="000000"/>
                <w:sz w:val="20"/>
                <w:szCs w:val="20"/>
              </w:rPr>
            </w:pPr>
            <w:r>
              <w:rPr>
                <w:color w:val="000000"/>
                <w:sz w:val="20"/>
                <w:szCs w:val="20"/>
              </w:rPr>
              <w:t>BV – bydlení venkovské</w:t>
            </w:r>
          </w:p>
        </w:tc>
        <w:tc>
          <w:tcPr>
            <w:tcW w:w="5657" w:type="dxa"/>
            <w:shd w:val="clear" w:color="auto" w:fill="auto"/>
          </w:tcPr>
          <w:p w14:paraId="18D8E450" w14:textId="77777777" w:rsidR="002D3E77" w:rsidRDefault="002D3E77" w:rsidP="002E2348">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Umožňuje rozvoj bydlení v izolovaném sídle Dolní Suchá k uspokojení poptávky po nové výstavby, přičemž však rozsah plochy zohledňuje rozptýlený charakter zástavby a umožňuje výstavbu pouze jediného RD.</w:t>
            </w:r>
          </w:p>
        </w:tc>
      </w:tr>
      <w:tr w:rsidR="002D3E77" w:rsidRPr="00461C16" w14:paraId="70CA90B3" w14:textId="77777777" w:rsidTr="005465A1">
        <w:trPr>
          <w:cantSplit/>
          <w:jc w:val="center"/>
        </w:trPr>
        <w:tc>
          <w:tcPr>
            <w:tcW w:w="1116" w:type="dxa"/>
            <w:shd w:val="clear" w:color="auto" w:fill="auto"/>
          </w:tcPr>
          <w:p w14:paraId="5F6A8AAD" w14:textId="77777777" w:rsidR="002D3E77" w:rsidRPr="009D002C" w:rsidRDefault="002D3E77" w:rsidP="003A142B">
            <w:pPr>
              <w:spacing w:before="40"/>
              <w:jc w:val="left"/>
              <w:rPr>
                <w:color w:val="000000"/>
                <w:sz w:val="20"/>
                <w:szCs w:val="20"/>
              </w:rPr>
            </w:pPr>
            <w:r w:rsidRPr="009D002C">
              <w:rPr>
                <w:color w:val="000000"/>
                <w:sz w:val="20"/>
                <w:szCs w:val="20"/>
              </w:rPr>
              <w:t>Z105</w:t>
            </w:r>
          </w:p>
        </w:tc>
        <w:tc>
          <w:tcPr>
            <w:tcW w:w="2515" w:type="dxa"/>
            <w:shd w:val="clear" w:color="auto" w:fill="auto"/>
          </w:tcPr>
          <w:p w14:paraId="15570876" w14:textId="77777777" w:rsidR="002D3E77" w:rsidRDefault="002D3E77" w:rsidP="00413CFE">
            <w:pPr>
              <w:spacing w:before="40"/>
              <w:jc w:val="left"/>
              <w:rPr>
                <w:color w:val="000000"/>
                <w:sz w:val="20"/>
                <w:szCs w:val="20"/>
              </w:rPr>
            </w:pPr>
            <w:r w:rsidRPr="00461C16">
              <w:rPr>
                <w:color w:val="000000"/>
                <w:sz w:val="20"/>
                <w:szCs w:val="20"/>
              </w:rPr>
              <w:t>SV – plocha smíšená obytná - venkovská</w:t>
            </w:r>
          </w:p>
        </w:tc>
        <w:tc>
          <w:tcPr>
            <w:tcW w:w="5657" w:type="dxa"/>
            <w:shd w:val="clear" w:color="auto" w:fill="auto"/>
          </w:tcPr>
          <w:p w14:paraId="46EC42C6" w14:textId="77777777" w:rsidR="002D3E77" w:rsidRDefault="002D3E77" w:rsidP="002E2348">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dotvoření oboustranného obestavění ul. Lužická, v zájmu hospodárného využití území a ochrany volné krajiny.</w:t>
            </w:r>
          </w:p>
        </w:tc>
      </w:tr>
      <w:tr w:rsidR="002D3E77" w:rsidRPr="00461C16" w14:paraId="5C2D0312" w14:textId="77777777" w:rsidTr="005465A1">
        <w:trPr>
          <w:cantSplit/>
          <w:jc w:val="center"/>
        </w:trPr>
        <w:tc>
          <w:tcPr>
            <w:tcW w:w="1116" w:type="dxa"/>
            <w:shd w:val="clear" w:color="auto" w:fill="auto"/>
          </w:tcPr>
          <w:p w14:paraId="261E1D03" w14:textId="77777777" w:rsidR="002D3E77" w:rsidRPr="009D002C" w:rsidRDefault="002D3E77" w:rsidP="003A142B">
            <w:pPr>
              <w:spacing w:before="40"/>
              <w:jc w:val="left"/>
              <w:rPr>
                <w:color w:val="000000"/>
                <w:sz w:val="20"/>
                <w:szCs w:val="20"/>
              </w:rPr>
            </w:pPr>
            <w:r w:rsidRPr="009D002C">
              <w:rPr>
                <w:color w:val="000000"/>
                <w:sz w:val="20"/>
                <w:szCs w:val="20"/>
              </w:rPr>
              <w:lastRenderedPageBreak/>
              <w:t>Z106</w:t>
            </w:r>
          </w:p>
        </w:tc>
        <w:tc>
          <w:tcPr>
            <w:tcW w:w="2515" w:type="dxa"/>
            <w:shd w:val="clear" w:color="auto" w:fill="auto"/>
          </w:tcPr>
          <w:p w14:paraId="6C4BCAD6" w14:textId="77777777" w:rsidR="002D3E77" w:rsidRPr="00461C16" w:rsidRDefault="002D3E77" w:rsidP="00413CFE">
            <w:pPr>
              <w:spacing w:before="40"/>
              <w:jc w:val="left"/>
              <w:rPr>
                <w:color w:val="000000"/>
                <w:sz w:val="20"/>
                <w:szCs w:val="20"/>
              </w:rPr>
            </w:pPr>
            <w:r>
              <w:rPr>
                <w:color w:val="000000"/>
                <w:sz w:val="20"/>
                <w:szCs w:val="20"/>
              </w:rPr>
              <w:t>BV – bydlení venkovské</w:t>
            </w:r>
          </w:p>
        </w:tc>
        <w:tc>
          <w:tcPr>
            <w:tcW w:w="5657" w:type="dxa"/>
            <w:shd w:val="clear" w:color="auto" w:fill="auto"/>
          </w:tcPr>
          <w:p w14:paraId="32B17046" w14:textId="77777777" w:rsidR="002D3E77" w:rsidRPr="00461C16" w:rsidRDefault="002D3E77" w:rsidP="005133D5">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využití proluky mezi fragmenty stávající zástavby, v zájmu hospodárného využití území a ochrany volné krajiny.</w:t>
            </w:r>
          </w:p>
        </w:tc>
      </w:tr>
      <w:tr w:rsidR="002D3E77" w:rsidRPr="00461C16" w14:paraId="0EF4E45F" w14:textId="77777777" w:rsidTr="005465A1">
        <w:trPr>
          <w:cantSplit/>
          <w:jc w:val="center"/>
        </w:trPr>
        <w:tc>
          <w:tcPr>
            <w:tcW w:w="1116" w:type="dxa"/>
            <w:shd w:val="clear" w:color="auto" w:fill="auto"/>
          </w:tcPr>
          <w:p w14:paraId="45DBBAFB" w14:textId="77777777" w:rsidR="002D3E77" w:rsidRPr="009D002C" w:rsidRDefault="002D3E77" w:rsidP="009D002C">
            <w:pPr>
              <w:spacing w:before="40"/>
              <w:jc w:val="left"/>
              <w:rPr>
                <w:color w:val="000000"/>
                <w:sz w:val="20"/>
                <w:szCs w:val="20"/>
              </w:rPr>
            </w:pPr>
            <w:r w:rsidRPr="009D002C">
              <w:rPr>
                <w:color w:val="000000"/>
                <w:sz w:val="20"/>
                <w:szCs w:val="20"/>
              </w:rPr>
              <w:t>Z107</w:t>
            </w:r>
          </w:p>
        </w:tc>
        <w:tc>
          <w:tcPr>
            <w:tcW w:w="2515" w:type="dxa"/>
            <w:shd w:val="clear" w:color="auto" w:fill="auto"/>
          </w:tcPr>
          <w:p w14:paraId="19A1092D" w14:textId="77777777" w:rsidR="002D3E77" w:rsidRDefault="002D3E77" w:rsidP="00413CFE">
            <w:pPr>
              <w:spacing w:before="40"/>
              <w:jc w:val="left"/>
              <w:rPr>
                <w:color w:val="000000"/>
                <w:sz w:val="20"/>
                <w:szCs w:val="20"/>
              </w:rPr>
            </w:pPr>
            <w:r>
              <w:rPr>
                <w:color w:val="000000"/>
                <w:sz w:val="20"/>
                <w:szCs w:val="20"/>
              </w:rPr>
              <w:t>BV – bydlení venkovské</w:t>
            </w:r>
          </w:p>
        </w:tc>
        <w:tc>
          <w:tcPr>
            <w:tcW w:w="5657" w:type="dxa"/>
            <w:shd w:val="clear" w:color="auto" w:fill="auto"/>
          </w:tcPr>
          <w:p w14:paraId="51E9BC98" w14:textId="77777777" w:rsidR="002D3E77" w:rsidRDefault="002D3E77" w:rsidP="00237B72">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využití proluky mezi fragmenty stávající zástavby, v zájmu hospodárného využití území a ochrany volné krajiny.</w:t>
            </w:r>
          </w:p>
        </w:tc>
      </w:tr>
      <w:tr w:rsidR="00E831E3" w:rsidRPr="00461C16" w14:paraId="72294A23" w14:textId="77777777" w:rsidTr="005465A1">
        <w:trPr>
          <w:cantSplit/>
          <w:jc w:val="center"/>
        </w:trPr>
        <w:tc>
          <w:tcPr>
            <w:tcW w:w="1116" w:type="dxa"/>
            <w:shd w:val="clear" w:color="auto" w:fill="auto"/>
          </w:tcPr>
          <w:p w14:paraId="63E9B91F" w14:textId="77777777" w:rsidR="00E831E3" w:rsidRPr="009D002C" w:rsidRDefault="00E831E3" w:rsidP="009D002C">
            <w:pPr>
              <w:spacing w:before="40"/>
              <w:jc w:val="left"/>
              <w:rPr>
                <w:color w:val="000000"/>
                <w:sz w:val="20"/>
                <w:szCs w:val="20"/>
              </w:rPr>
            </w:pPr>
            <w:r w:rsidRPr="009D002C">
              <w:rPr>
                <w:color w:val="000000"/>
                <w:sz w:val="20"/>
                <w:szCs w:val="20"/>
              </w:rPr>
              <w:t>Z109</w:t>
            </w:r>
          </w:p>
        </w:tc>
        <w:tc>
          <w:tcPr>
            <w:tcW w:w="2515" w:type="dxa"/>
            <w:shd w:val="clear" w:color="auto" w:fill="auto"/>
          </w:tcPr>
          <w:p w14:paraId="186FC556" w14:textId="77777777" w:rsidR="00E831E3" w:rsidRDefault="00E831E3" w:rsidP="00413CFE">
            <w:pPr>
              <w:spacing w:before="40"/>
              <w:jc w:val="left"/>
              <w:rPr>
                <w:color w:val="000000"/>
                <w:sz w:val="20"/>
                <w:szCs w:val="20"/>
              </w:rPr>
            </w:pPr>
            <w:r>
              <w:rPr>
                <w:color w:val="000000"/>
                <w:sz w:val="20"/>
                <w:szCs w:val="20"/>
              </w:rPr>
              <w:t>BV – bydlení venkovské</w:t>
            </w:r>
          </w:p>
        </w:tc>
        <w:tc>
          <w:tcPr>
            <w:tcW w:w="5657" w:type="dxa"/>
            <w:shd w:val="clear" w:color="auto" w:fill="auto"/>
          </w:tcPr>
          <w:p w14:paraId="12F23D60" w14:textId="77777777" w:rsidR="00E831E3" w:rsidRDefault="00E831E3" w:rsidP="00560DA7">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využití proluky mezi fragmenty stávající zástavby, v zájmu hospodárného využití území a ochrany volné krajiny.</w:t>
            </w:r>
          </w:p>
        </w:tc>
      </w:tr>
      <w:tr w:rsidR="00E831E3" w:rsidRPr="00461C16" w14:paraId="0BC4363F" w14:textId="77777777" w:rsidTr="005465A1">
        <w:trPr>
          <w:cantSplit/>
          <w:jc w:val="center"/>
        </w:trPr>
        <w:tc>
          <w:tcPr>
            <w:tcW w:w="1116" w:type="dxa"/>
            <w:shd w:val="clear" w:color="auto" w:fill="auto"/>
          </w:tcPr>
          <w:p w14:paraId="350E1EBF" w14:textId="77777777" w:rsidR="00E831E3" w:rsidRPr="009D002C" w:rsidRDefault="00E831E3" w:rsidP="009D002C">
            <w:pPr>
              <w:spacing w:before="40"/>
              <w:jc w:val="left"/>
              <w:rPr>
                <w:color w:val="000000"/>
                <w:sz w:val="20"/>
                <w:szCs w:val="20"/>
              </w:rPr>
            </w:pPr>
            <w:r>
              <w:rPr>
                <w:color w:val="000000"/>
                <w:sz w:val="20"/>
                <w:szCs w:val="20"/>
              </w:rPr>
              <w:t>Z111</w:t>
            </w:r>
          </w:p>
        </w:tc>
        <w:tc>
          <w:tcPr>
            <w:tcW w:w="2515" w:type="dxa"/>
            <w:shd w:val="clear" w:color="auto" w:fill="auto"/>
          </w:tcPr>
          <w:p w14:paraId="79BE4CF1" w14:textId="77777777" w:rsidR="00E831E3" w:rsidRPr="00461C16" w:rsidRDefault="00E831E3" w:rsidP="00413CFE">
            <w:pPr>
              <w:spacing w:before="40"/>
              <w:jc w:val="left"/>
              <w:rPr>
                <w:color w:val="000000"/>
                <w:sz w:val="20"/>
                <w:szCs w:val="20"/>
              </w:rPr>
            </w:pPr>
            <w:r>
              <w:rPr>
                <w:color w:val="000000"/>
                <w:sz w:val="20"/>
                <w:szCs w:val="20"/>
              </w:rPr>
              <w:t>BV – bydlení venkovské</w:t>
            </w:r>
          </w:p>
        </w:tc>
        <w:tc>
          <w:tcPr>
            <w:tcW w:w="5657" w:type="dxa"/>
            <w:shd w:val="clear" w:color="auto" w:fill="auto"/>
          </w:tcPr>
          <w:p w14:paraId="149AA54D" w14:textId="77777777" w:rsidR="00E831E3" w:rsidRDefault="00E831E3" w:rsidP="00237B72">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V platném ÚPSÚ je součástí zastavěného území, v souladu s §58 SZ ji však již nelze v novém ÚP do zastavěného území zahrnout. V ploše je v současné době plánována stavba RD, který doplní oboustranné obestavění stávající místní komunikace.</w:t>
            </w:r>
          </w:p>
        </w:tc>
      </w:tr>
    </w:tbl>
    <w:p w14:paraId="0161B601" w14:textId="77777777" w:rsidR="00157B9A" w:rsidRPr="00461C16" w:rsidRDefault="00501553" w:rsidP="00046A58">
      <w:pPr>
        <w:pStyle w:val="Heading3"/>
      </w:pPr>
      <w:bookmarkStart w:id="117" w:name="_Toc436749268"/>
      <w:bookmarkStart w:id="118" w:name="_Toc384728044"/>
      <w:bookmarkStart w:id="119" w:name="_Toc36116293"/>
      <w:r w:rsidRPr="00461C16">
        <w:rPr>
          <w:rFonts w:eastAsia="Arial Unicode MS"/>
        </w:rPr>
        <w:t>6</w:t>
      </w:r>
      <w:r w:rsidR="00046A58" w:rsidRPr="00461C16">
        <w:rPr>
          <w:rFonts w:eastAsia="Arial Unicode MS"/>
        </w:rPr>
        <w:t>.4</w:t>
      </w:r>
      <w:r w:rsidR="00157B9A" w:rsidRPr="00461C16">
        <w:rPr>
          <w:rStyle w:val="NvrhP-text"/>
        </w:rPr>
        <w:t>.3</w:t>
      </w:r>
      <w:r w:rsidR="00157B9A" w:rsidRPr="00461C16">
        <w:rPr>
          <w:rStyle w:val="NvrhP-text"/>
        </w:rPr>
        <w:tab/>
      </w:r>
      <w:r w:rsidR="00157B9A" w:rsidRPr="00461C16">
        <w:t>Vymezení ploch přestavby</w:t>
      </w:r>
      <w:bookmarkEnd w:id="117"/>
      <w:bookmarkEnd w:id="119"/>
    </w:p>
    <w:p w14:paraId="1C8FF0CC" w14:textId="77777777" w:rsidR="00046A58" w:rsidRPr="00461C16" w:rsidRDefault="004A75CD" w:rsidP="00046A58">
      <w:pPr>
        <w:pStyle w:val="1text"/>
        <w:rPr>
          <w:i/>
          <w:sz w:val="20"/>
          <w:szCs w:val="20"/>
        </w:rPr>
      </w:pPr>
      <w:r w:rsidRPr="00461C16">
        <w:rPr>
          <w:i/>
          <w:sz w:val="20"/>
          <w:szCs w:val="20"/>
        </w:rPr>
        <w:t>(k bodu C1</w:t>
      </w:r>
      <w:r w:rsidR="00F767B1" w:rsidRPr="00461C16">
        <w:rPr>
          <w:i/>
          <w:sz w:val="20"/>
          <w:szCs w:val="20"/>
        </w:rPr>
        <w:t>3</w:t>
      </w:r>
      <w:r w:rsidR="00046A58" w:rsidRPr="00461C16">
        <w:rPr>
          <w:i/>
          <w:sz w:val="20"/>
          <w:szCs w:val="20"/>
        </w:rPr>
        <w:t xml:space="preserve"> </w:t>
      </w:r>
      <w:r w:rsidR="00381669" w:rsidRPr="00461C16">
        <w:rPr>
          <w:i/>
          <w:sz w:val="20"/>
          <w:szCs w:val="20"/>
        </w:rPr>
        <w:t>ÚP</w:t>
      </w:r>
      <w:r w:rsidR="005A0AC4" w:rsidRPr="00461C16">
        <w:rPr>
          <w:i/>
          <w:sz w:val="20"/>
          <w:szCs w:val="20"/>
        </w:rPr>
        <w:t>)</w:t>
      </w:r>
      <w:r w:rsidR="00046A58" w:rsidRPr="00461C16">
        <w:rPr>
          <w:i/>
          <w:sz w:val="20"/>
          <w:szCs w:val="20"/>
        </w:rPr>
        <w:t xml:space="preserve"> </w:t>
      </w:r>
    </w:p>
    <w:p w14:paraId="591590EF" w14:textId="77777777" w:rsidR="00D95069" w:rsidRPr="00461C16" w:rsidRDefault="00D95069" w:rsidP="00753F4E">
      <w:pPr>
        <w:pStyle w:val="4podnadpis"/>
        <w:rPr>
          <w:rStyle w:val="NvrhP-text"/>
          <w:i w:val="0"/>
          <w:sz w:val="22"/>
        </w:rPr>
      </w:pPr>
      <w:r w:rsidRPr="00461C16">
        <w:rPr>
          <w:rStyle w:val="NvrhP-text"/>
          <w:i w:val="0"/>
          <w:sz w:val="22"/>
        </w:rPr>
        <w:t xml:space="preserve">a) </w:t>
      </w:r>
      <w:r w:rsidRPr="00461C16">
        <w:rPr>
          <w:rStyle w:val="NvrhP-text"/>
          <w:i w:val="0"/>
          <w:sz w:val="22"/>
        </w:rPr>
        <w:tab/>
        <w:t xml:space="preserve">základní principy </w:t>
      </w:r>
    </w:p>
    <w:p w14:paraId="2B660977" w14:textId="77777777" w:rsidR="00D95069" w:rsidRPr="00461C16" w:rsidRDefault="00D95069" w:rsidP="00D95069">
      <w:pPr>
        <w:pStyle w:val="1text"/>
      </w:pPr>
      <w:r w:rsidRPr="00461C16">
        <w:rPr>
          <w:rStyle w:val="NvrhP-text"/>
        </w:rPr>
        <w:t xml:space="preserve">Vymezení ploch přestavby je provedeno s ohledem na zásady rozvoje obce a urbanistickou koncepci. </w:t>
      </w:r>
      <w:r w:rsidRPr="00461C16">
        <w:rPr>
          <w:rStyle w:val="NvrhP-text"/>
          <w:lang w:eastAsia="en-US"/>
        </w:rPr>
        <w:t xml:space="preserve">Plochy přestavby jsou vymezeny v souladu s § 43 zákona č. 183/2006 Sb., o územním plánování a stavebním řádu, v platném znění. </w:t>
      </w:r>
      <w:r w:rsidRPr="00461C16">
        <w:t>Vymezení ploch přestavby respektuje limity využití území, jejichž výčet je uveden v kap. 6.3.5.</w:t>
      </w:r>
      <w:r w:rsidRPr="00461C16">
        <w:rPr>
          <w:i/>
        </w:rPr>
        <w:t xml:space="preserve"> </w:t>
      </w:r>
    </w:p>
    <w:p w14:paraId="0485D3EE" w14:textId="77777777" w:rsidR="00D95069" w:rsidRPr="00461C16" w:rsidRDefault="00D95069" w:rsidP="00D95069">
      <w:pPr>
        <w:spacing w:before="120"/>
        <w:rPr>
          <w:rStyle w:val="NvrhP-text"/>
          <w:lang w:eastAsia="en-US"/>
        </w:rPr>
      </w:pPr>
      <w:r w:rsidRPr="00461C16">
        <w:rPr>
          <w:rStyle w:val="NvrhP-text"/>
          <w:lang w:eastAsia="en-US"/>
        </w:rPr>
        <w:t>Jako plochy přestavby byly vymezeny plochy změn uvnitř zastavěného území, zpravidla proluky, případně nevyužívané, nevhodně nebo nedostatečně využívané plochy.</w:t>
      </w:r>
    </w:p>
    <w:p w14:paraId="1D1FFFB2" w14:textId="77777777" w:rsidR="00D95069" w:rsidRPr="00461C16" w:rsidRDefault="00D95069" w:rsidP="00753F4E">
      <w:pPr>
        <w:pStyle w:val="4podnadpis"/>
      </w:pPr>
      <w:r w:rsidRPr="00461C16">
        <w:t>b)</w:t>
      </w:r>
      <w:r w:rsidRPr="00461C16">
        <w:tab/>
        <w:t xml:space="preserve">vstupy pro </w:t>
      </w:r>
      <w:r w:rsidRPr="00461C16">
        <w:rPr>
          <w:rStyle w:val="NvrhP-text"/>
          <w:i w:val="0"/>
          <w:sz w:val="22"/>
        </w:rPr>
        <w:t>řešení</w:t>
      </w:r>
    </w:p>
    <w:p w14:paraId="6FA105E9" w14:textId="77777777" w:rsidR="00D95069" w:rsidRPr="00461C16" w:rsidRDefault="00D95069" w:rsidP="00D95069">
      <w:pPr>
        <w:pStyle w:val="1text"/>
        <w:rPr>
          <w:rStyle w:val="NvrhP-text"/>
        </w:rPr>
      </w:pPr>
      <w:r w:rsidRPr="00461C16">
        <w:rPr>
          <w:rStyle w:val="NvrhP-text"/>
        </w:rPr>
        <w:t>Pro vymezení ploch přestavby byly vedle zásad koncepce územního rozvoje města a principů urbanistické koncepce stanovených návrhem ÚP rozhodující tyto podklady:</w:t>
      </w:r>
    </w:p>
    <w:p w14:paraId="0F6CA8F8" w14:textId="77777777" w:rsidR="00D95069" w:rsidRPr="00461C16" w:rsidRDefault="00D95069" w:rsidP="00D95069">
      <w:pPr>
        <w:pStyle w:val="5odrazka"/>
        <w:rPr>
          <w:rStyle w:val="NvrhP-text"/>
        </w:rPr>
      </w:pPr>
      <w:r w:rsidRPr="00461C16">
        <w:rPr>
          <w:rStyle w:val="NvrhP-text"/>
        </w:rPr>
        <w:t>zadání ÚP (viz kap. 3),</w:t>
      </w:r>
    </w:p>
    <w:p w14:paraId="569AE62B" w14:textId="77777777" w:rsidR="00D95069" w:rsidRPr="00461C16" w:rsidRDefault="00D95069" w:rsidP="00D95069">
      <w:pPr>
        <w:pStyle w:val="5odrazka"/>
        <w:rPr>
          <w:rStyle w:val="NvrhP-text"/>
        </w:rPr>
      </w:pPr>
      <w:r w:rsidRPr="00461C16">
        <w:rPr>
          <w:rStyle w:val="NvrhP-text"/>
        </w:rPr>
        <w:t xml:space="preserve">platná územně plánovací dokumentace města Hrádek nad Nisou, tj. Územní plán sídelního útvaru Hrádek nad Nisou (schválený </w:t>
      </w:r>
      <w:r w:rsidRPr="00461C16">
        <w:t>27.1.1998</w:t>
      </w:r>
      <w:r w:rsidRPr="00461C16">
        <w:rPr>
          <w:rStyle w:val="NvrhP-text"/>
        </w:rPr>
        <w:t>) a jeho změny č. 3, 4, 10, 12, 15 a 16,</w:t>
      </w:r>
    </w:p>
    <w:p w14:paraId="0F7CE2AE" w14:textId="77777777" w:rsidR="00D95069" w:rsidRPr="00461C16" w:rsidRDefault="00D95069" w:rsidP="00D95069">
      <w:pPr>
        <w:pStyle w:val="5odrazka"/>
        <w:rPr>
          <w:rStyle w:val="NvrhP-text"/>
        </w:rPr>
      </w:pPr>
      <w:r w:rsidRPr="00461C16">
        <w:rPr>
          <w:rStyle w:val="NvrhP-text"/>
        </w:rPr>
        <w:t>průzkumy zpracovatele.</w:t>
      </w:r>
    </w:p>
    <w:p w14:paraId="4510E5A2" w14:textId="77777777" w:rsidR="00D95069" w:rsidRPr="005F3B96" w:rsidRDefault="00D95069" w:rsidP="00753F4E">
      <w:pPr>
        <w:pStyle w:val="4podnadpis"/>
      </w:pPr>
      <w:r w:rsidRPr="00461C16">
        <w:t>c)</w:t>
      </w:r>
      <w:r w:rsidRPr="00461C16">
        <w:tab/>
        <w:t>přehled vymezených ploch přestavby s </w:t>
      </w:r>
      <w:r w:rsidRPr="005F3B96">
        <w:t>uvedením důvodu pro jejich zařazení</w:t>
      </w:r>
    </w:p>
    <w:p w14:paraId="34464913" w14:textId="2790B78E" w:rsidR="00D95069" w:rsidRPr="00461C16" w:rsidRDefault="00D95069" w:rsidP="00D95069">
      <w:pPr>
        <w:pStyle w:val="1text"/>
        <w:spacing w:after="120"/>
      </w:pPr>
      <w:r w:rsidRPr="005F3B96">
        <w:t xml:space="preserve">Územní plán vymezuje </w:t>
      </w:r>
      <w:r w:rsidR="005F3B96" w:rsidRPr="005F3B96">
        <w:t xml:space="preserve">28 </w:t>
      </w:r>
      <w:r w:rsidRPr="005F3B96">
        <w:t xml:space="preserve">ploch přestavby o celkové výměře </w:t>
      </w:r>
      <w:r w:rsidR="005F3B96" w:rsidRPr="005F3B96">
        <w:t>22,706</w:t>
      </w:r>
      <w:r w:rsidR="00481434" w:rsidRPr="005F3B96">
        <w:t xml:space="preserve"> </w:t>
      </w:r>
      <w:r w:rsidRPr="005F3B96">
        <w:t>ha.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551"/>
        <w:gridCol w:w="5778"/>
      </w:tblGrid>
      <w:tr w:rsidR="00D95069" w:rsidRPr="00461C16" w14:paraId="44FA77C4" w14:textId="77777777" w:rsidTr="000F7CB8">
        <w:trPr>
          <w:cantSplit/>
          <w:tblHeader/>
        </w:trPr>
        <w:tc>
          <w:tcPr>
            <w:tcW w:w="959" w:type="dxa"/>
            <w:shd w:val="clear" w:color="auto" w:fill="F2F2F2" w:themeFill="background1" w:themeFillShade="F2"/>
          </w:tcPr>
          <w:p w14:paraId="076E33D9" w14:textId="77777777" w:rsidR="00D95069" w:rsidRPr="00461C16" w:rsidRDefault="00D95069" w:rsidP="00BB3AFF">
            <w:pPr>
              <w:spacing w:before="40" w:after="40"/>
              <w:jc w:val="left"/>
              <w:rPr>
                <w:b/>
                <w:sz w:val="20"/>
                <w:szCs w:val="20"/>
                <w:lang w:eastAsia="en-US"/>
              </w:rPr>
            </w:pPr>
            <w:r w:rsidRPr="00461C16">
              <w:rPr>
                <w:b/>
                <w:sz w:val="20"/>
                <w:szCs w:val="20"/>
                <w:lang w:eastAsia="en-US"/>
              </w:rPr>
              <w:t>Označení</w:t>
            </w:r>
          </w:p>
        </w:tc>
        <w:tc>
          <w:tcPr>
            <w:tcW w:w="2551" w:type="dxa"/>
            <w:shd w:val="clear" w:color="auto" w:fill="F2F2F2" w:themeFill="background1" w:themeFillShade="F2"/>
          </w:tcPr>
          <w:p w14:paraId="29C7CC6C" w14:textId="77777777" w:rsidR="00D95069" w:rsidRPr="00461C16" w:rsidRDefault="00D95069" w:rsidP="00BB3AFF">
            <w:pPr>
              <w:spacing w:before="40" w:after="40"/>
              <w:jc w:val="left"/>
              <w:rPr>
                <w:b/>
                <w:sz w:val="20"/>
                <w:szCs w:val="20"/>
                <w:lang w:eastAsia="en-US"/>
              </w:rPr>
            </w:pPr>
            <w:r w:rsidRPr="00461C16">
              <w:rPr>
                <w:b/>
                <w:sz w:val="20"/>
                <w:szCs w:val="20"/>
                <w:lang w:eastAsia="en-US"/>
              </w:rPr>
              <w:t>Využití plochy</w:t>
            </w:r>
          </w:p>
        </w:tc>
        <w:tc>
          <w:tcPr>
            <w:tcW w:w="5778" w:type="dxa"/>
            <w:shd w:val="clear" w:color="auto" w:fill="F2F2F2" w:themeFill="background1" w:themeFillShade="F2"/>
          </w:tcPr>
          <w:p w14:paraId="70FA14BD" w14:textId="77777777" w:rsidR="00D95069" w:rsidRPr="00461C16" w:rsidRDefault="00D95069" w:rsidP="00BB3AFF">
            <w:pPr>
              <w:spacing w:before="40" w:after="40"/>
              <w:jc w:val="left"/>
              <w:rPr>
                <w:b/>
                <w:sz w:val="20"/>
                <w:szCs w:val="20"/>
                <w:lang w:eastAsia="en-US"/>
              </w:rPr>
            </w:pPr>
            <w:r w:rsidRPr="00461C16">
              <w:rPr>
                <w:b/>
                <w:sz w:val="20"/>
                <w:szCs w:val="20"/>
                <w:lang w:eastAsia="en-US"/>
              </w:rPr>
              <w:t>Důvod pro vymezení</w:t>
            </w:r>
          </w:p>
        </w:tc>
      </w:tr>
      <w:tr w:rsidR="00D95069" w:rsidRPr="00461C16" w14:paraId="06FF41FF" w14:textId="77777777" w:rsidTr="000F7CB8">
        <w:trPr>
          <w:cantSplit/>
        </w:trPr>
        <w:tc>
          <w:tcPr>
            <w:tcW w:w="959" w:type="dxa"/>
            <w:shd w:val="clear" w:color="auto" w:fill="auto"/>
          </w:tcPr>
          <w:p w14:paraId="57D183A0" w14:textId="77777777" w:rsidR="00D95069" w:rsidRPr="00461C16" w:rsidRDefault="00D95069" w:rsidP="00BB3AFF">
            <w:pPr>
              <w:spacing w:before="40" w:after="40"/>
              <w:rPr>
                <w:sz w:val="20"/>
                <w:szCs w:val="20"/>
              </w:rPr>
            </w:pPr>
            <w:r w:rsidRPr="00461C16">
              <w:rPr>
                <w:sz w:val="20"/>
                <w:szCs w:val="20"/>
              </w:rPr>
              <w:t>P01</w:t>
            </w:r>
          </w:p>
        </w:tc>
        <w:tc>
          <w:tcPr>
            <w:tcW w:w="2551" w:type="dxa"/>
            <w:shd w:val="clear" w:color="auto" w:fill="auto"/>
          </w:tcPr>
          <w:p w14:paraId="1BB380C5" w14:textId="77777777" w:rsidR="00D95069" w:rsidRPr="00461C16" w:rsidRDefault="00D95069" w:rsidP="00993450">
            <w:pPr>
              <w:spacing w:before="40" w:after="40"/>
              <w:jc w:val="left"/>
              <w:rPr>
                <w:color w:val="000000"/>
                <w:sz w:val="20"/>
                <w:szCs w:val="20"/>
              </w:rPr>
            </w:pPr>
            <w:r w:rsidRPr="00461C16">
              <w:rPr>
                <w:color w:val="000000"/>
                <w:sz w:val="20"/>
                <w:szCs w:val="20"/>
              </w:rPr>
              <w:t>SV – plocha smíšená obytná - venkovská</w:t>
            </w:r>
          </w:p>
        </w:tc>
        <w:tc>
          <w:tcPr>
            <w:tcW w:w="5778" w:type="dxa"/>
            <w:shd w:val="clear" w:color="auto" w:fill="auto"/>
          </w:tcPr>
          <w:p w14:paraId="505FD1C5" w14:textId="77777777" w:rsidR="00D95069" w:rsidRPr="00461C16" w:rsidRDefault="008D21FD" w:rsidP="008D21FD">
            <w:pPr>
              <w:pStyle w:val="Intabulka"/>
              <w:rPr>
                <w:rFonts w:ascii="Arial Narrow" w:hAnsi="Arial Narrow"/>
                <w:lang w:val="cs-CZ"/>
              </w:rPr>
            </w:pPr>
            <w:r w:rsidRPr="00461C16">
              <w:rPr>
                <w:rFonts w:ascii="Arial Narrow" w:hAnsi="Arial Narrow"/>
                <w:lang w:val="cs-CZ"/>
              </w:rPr>
              <w:t xml:space="preserve">Plocha je vymezena za účelem realizace obytného objektu na místě současného zbořeniště, </w:t>
            </w:r>
            <w:r w:rsidRPr="00461C16">
              <w:rPr>
                <w:rFonts w:ascii="Arial Narrow" w:hAnsi="Arial Narrow"/>
              </w:rPr>
              <w:t>v souladu s požadavkem schváleného Zadání ÚP</w:t>
            </w:r>
            <w:r w:rsidRPr="00461C16">
              <w:rPr>
                <w:rFonts w:ascii="Arial Narrow" w:hAnsi="Arial Narrow"/>
                <w:lang w:val="cs-CZ"/>
              </w:rPr>
              <w:t xml:space="preserve"> – na základě požadavku vlastníka pozemku. Přednostní využití rezervy uvnitř zastavěného území směřuje k hospodárnému využívání území.</w:t>
            </w:r>
            <w:r w:rsidR="00C217AD" w:rsidRPr="00461C16">
              <w:rPr>
                <w:rFonts w:ascii="Arial Narrow" w:hAnsi="Arial Narrow"/>
                <w:lang w:val="cs-CZ"/>
              </w:rPr>
              <w:t xml:space="preserve"> </w:t>
            </w:r>
            <w:r w:rsidRPr="00461C16">
              <w:rPr>
                <w:rFonts w:ascii="Arial Narrow" w:hAnsi="Arial Narrow"/>
                <w:lang w:val="cs-CZ"/>
              </w:rPr>
              <w:t>Plocha doplňuje smíšenou obytnou zástavbu, přispívá k uspokojení poptávky po nových plochách pro bydlení a zároveň umožňuje případnou lokalizaci dalších služeb, s cílem zvýšení kvality podmínek pro život v sídle Václavice.</w:t>
            </w:r>
          </w:p>
        </w:tc>
      </w:tr>
      <w:tr w:rsidR="00D95069" w:rsidRPr="00461C16" w14:paraId="762A9763" w14:textId="77777777" w:rsidTr="000F7CB8">
        <w:trPr>
          <w:cantSplit/>
        </w:trPr>
        <w:tc>
          <w:tcPr>
            <w:tcW w:w="959" w:type="dxa"/>
            <w:shd w:val="clear" w:color="auto" w:fill="auto"/>
          </w:tcPr>
          <w:p w14:paraId="0993756F" w14:textId="77777777" w:rsidR="00D95069" w:rsidRPr="00461C16" w:rsidRDefault="00D95069" w:rsidP="00BB3AFF">
            <w:pPr>
              <w:spacing w:before="40" w:after="40"/>
              <w:rPr>
                <w:sz w:val="20"/>
                <w:szCs w:val="20"/>
              </w:rPr>
            </w:pPr>
            <w:r w:rsidRPr="00461C16">
              <w:rPr>
                <w:sz w:val="20"/>
                <w:szCs w:val="20"/>
              </w:rPr>
              <w:lastRenderedPageBreak/>
              <w:t>P02</w:t>
            </w:r>
          </w:p>
        </w:tc>
        <w:tc>
          <w:tcPr>
            <w:tcW w:w="2551" w:type="dxa"/>
            <w:shd w:val="clear" w:color="auto" w:fill="auto"/>
          </w:tcPr>
          <w:p w14:paraId="790CD3BA" w14:textId="77777777" w:rsidR="00D95069" w:rsidRPr="00461C16" w:rsidRDefault="00D95069" w:rsidP="00993450">
            <w:pPr>
              <w:spacing w:before="40" w:after="40"/>
              <w:jc w:val="left"/>
              <w:rPr>
                <w:color w:val="000000"/>
                <w:sz w:val="20"/>
                <w:szCs w:val="20"/>
              </w:rPr>
            </w:pPr>
            <w:r w:rsidRPr="00461C16">
              <w:rPr>
                <w:color w:val="000000"/>
                <w:sz w:val="20"/>
                <w:szCs w:val="20"/>
              </w:rPr>
              <w:t>SV – plocha smíšená obytná - venkovská</w:t>
            </w:r>
          </w:p>
        </w:tc>
        <w:tc>
          <w:tcPr>
            <w:tcW w:w="5778" w:type="dxa"/>
            <w:shd w:val="clear" w:color="auto" w:fill="auto"/>
          </w:tcPr>
          <w:p w14:paraId="7C236D72" w14:textId="77777777" w:rsidR="00D95069" w:rsidRPr="00461C16" w:rsidRDefault="00C524E5" w:rsidP="00C524E5">
            <w:pPr>
              <w:pStyle w:val="Intabulka"/>
              <w:rPr>
                <w:rFonts w:ascii="Arial Narrow" w:hAnsi="Arial Narrow"/>
                <w:lang w:val="cs-CZ"/>
              </w:rPr>
            </w:pPr>
            <w:r w:rsidRPr="00461C16">
              <w:rPr>
                <w:rFonts w:ascii="Arial Narrow" w:hAnsi="Arial Narrow"/>
                <w:lang w:val="cs-CZ"/>
              </w:rPr>
              <w:t>Plocha je vymezena za účelem scelení proluky v zástavbě na severním okraji části Václavice. Využití proluky směřuje k účelnému a hospodárnému využívání území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 Vymezení plochy vychází ze současně platného ÚP města</w:t>
            </w:r>
            <w:r w:rsidR="00A34102" w:rsidRPr="00461C16">
              <w:rPr>
                <w:rFonts w:ascii="Arial Narrow" w:hAnsi="Arial Narrow"/>
                <w:lang w:val="cs-CZ"/>
              </w:rPr>
              <w:t>, kde již byla řádně projednána a schválena</w:t>
            </w:r>
            <w:r w:rsidRPr="00461C16">
              <w:rPr>
                <w:rFonts w:ascii="Arial Narrow" w:hAnsi="Arial Narrow"/>
                <w:lang w:val="cs-CZ"/>
              </w:rPr>
              <w:t>.</w:t>
            </w:r>
          </w:p>
        </w:tc>
      </w:tr>
      <w:tr w:rsidR="00C524E5" w:rsidRPr="00461C16" w14:paraId="22FC5D66" w14:textId="77777777" w:rsidTr="000F7CB8">
        <w:trPr>
          <w:cantSplit/>
        </w:trPr>
        <w:tc>
          <w:tcPr>
            <w:tcW w:w="959" w:type="dxa"/>
            <w:shd w:val="clear" w:color="auto" w:fill="auto"/>
          </w:tcPr>
          <w:p w14:paraId="5AFE9D3C" w14:textId="77777777" w:rsidR="00C524E5" w:rsidRPr="00461C16" w:rsidRDefault="00C524E5" w:rsidP="00BB3AFF">
            <w:pPr>
              <w:spacing w:before="40" w:after="40"/>
              <w:rPr>
                <w:sz w:val="20"/>
                <w:szCs w:val="20"/>
              </w:rPr>
            </w:pPr>
            <w:r w:rsidRPr="00461C16">
              <w:rPr>
                <w:sz w:val="20"/>
                <w:szCs w:val="20"/>
              </w:rPr>
              <w:t>P03</w:t>
            </w:r>
          </w:p>
        </w:tc>
        <w:tc>
          <w:tcPr>
            <w:tcW w:w="2551" w:type="dxa"/>
            <w:shd w:val="clear" w:color="auto" w:fill="auto"/>
          </w:tcPr>
          <w:p w14:paraId="74E2F2C4" w14:textId="77777777" w:rsidR="00C524E5" w:rsidRPr="00461C16" w:rsidRDefault="00C524E5" w:rsidP="00993450">
            <w:pPr>
              <w:spacing w:before="40" w:after="40"/>
              <w:jc w:val="left"/>
              <w:rPr>
                <w:color w:val="000000"/>
                <w:sz w:val="20"/>
                <w:szCs w:val="20"/>
              </w:rPr>
            </w:pPr>
            <w:r w:rsidRPr="00461C16">
              <w:rPr>
                <w:color w:val="000000"/>
                <w:sz w:val="20"/>
                <w:szCs w:val="20"/>
              </w:rPr>
              <w:t>SV – plocha smíšená obytná - venkovská</w:t>
            </w:r>
          </w:p>
        </w:tc>
        <w:tc>
          <w:tcPr>
            <w:tcW w:w="5778" w:type="dxa"/>
            <w:shd w:val="clear" w:color="auto" w:fill="auto"/>
          </w:tcPr>
          <w:p w14:paraId="41883F97" w14:textId="77777777" w:rsidR="00C524E5" w:rsidRPr="00461C16" w:rsidRDefault="00C524E5" w:rsidP="00C524E5">
            <w:pPr>
              <w:pStyle w:val="Intabulka"/>
              <w:rPr>
                <w:rFonts w:ascii="Arial Narrow" w:hAnsi="Arial Narrow"/>
                <w:lang w:val="cs-CZ"/>
              </w:rPr>
            </w:pPr>
            <w:r w:rsidRPr="00461C16">
              <w:rPr>
                <w:rFonts w:ascii="Arial Narrow" w:hAnsi="Arial Narrow"/>
                <w:lang w:val="cs-CZ"/>
              </w:rPr>
              <w:t>Plocha je vymezena za účelem scelení proluky v zástavbě na jižním okraji části Václavice. Využití proluky směřuje k účelnému a hospodárnému využívání území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 Vymezení plochy vychází ze současně platného ÚP města</w:t>
            </w:r>
            <w:r w:rsidR="00A34102" w:rsidRPr="00461C16">
              <w:rPr>
                <w:rFonts w:ascii="Arial Narrow" w:hAnsi="Arial Narrow"/>
                <w:lang w:val="cs-CZ"/>
              </w:rPr>
              <w:t>, kde již byla řádně projednána a schválena</w:t>
            </w:r>
            <w:r w:rsidRPr="00461C16">
              <w:rPr>
                <w:rFonts w:ascii="Arial Narrow" w:hAnsi="Arial Narrow"/>
                <w:lang w:val="cs-CZ"/>
              </w:rPr>
              <w:t>.</w:t>
            </w:r>
          </w:p>
        </w:tc>
      </w:tr>
      <w:tr w:rsidR="00AA21AE" w:rsidRPr="00461C16" w14:paraId="5ECC0D8A" w14:textId="77777777" w:rsidTr="000F7CB8">
        <w:trPr>
          <w:cantSplit/>
        </w:trPr>
        <w:tc>
          <w:tcPr>
            <w:tcW w:w="959" w:type="dxa"/>
            <w:shd w:val="clear" w:color="auto" w:fill="auto"/>
          </w:tcPr>
          <w:p w14:paraId="4697C7DA" w14:textId="77777777" w:rsidR="00AA21AE" w:rsidRPr="00461C16" w:rsidRDefault="00AA21AE" w:rsidP="00BB3AFF">
            <w:pPr>
              <w:spacing w:before="40" w:after="40"/>
              <w:rPr>
                <w:sz w:val="20"/>
                <w:szCs w:val="20"/>
              </w:rPr>
            </w:pPr>
            <w:r w:rsidRPr="00461C16">
              <w:rPr>
                <w:sz w:val="20"/>
                <w:szCs w:val="20"/>
              </w:rPr>
              <w:t>P04</w:t>
            </w:r>
          </w:p>
        </w:tc>
        <w:tc>
          <w:tcPr>
            <w:tcW w:w="2551" w:type="dxa"/>
            <w:shd w:val="clear" w:color="auto" w:fill="auto"/>
          </w:tcPr>
          <w:p w14:paraId="47DAE012" w14:textId="77777777" w:rsidR="00AA21AE" w:rsidRPr="00461C16" w:rsidRDefault="00AA21AE" w:rsidP="00993450">
            <w:pPr>
              <w:spacing w:before="40" w:after="40"/>
              <w:jc w:val="left"/>
              <w:rPr>
                <w:color w:val="000000"/>
                <w:sz w:val="20"/>
                <w:szCs w:val="20"/>
              </w:rPr>
            </w:pPr>
            <w:r w:rsidRPr="00461C16">
              <w:rPr>
                <w:color w:val="000000"/>
                <w:sz w:val="20"/>
                <w:szCs w:val="20"/>
              </w:rPr>
              <w:t>SV – plocha smíšená obytná - venkovská</w:t>
            </w:r>
          </w:p>
        </w:tc>
        <w:tc>
          <w:tcPr>
            <w:tcW w:w="5778" w:type="dxa"/>
            <w:shd w:val="clear" w:color="auto" w:fill="auto"/>
          </w:tcPr>
          <w:p w14:paraId="32D2DF44" w14:textId="77777777" w:rsidR="00AA21AE" w:rsidRPr="00461C16" w:rsidRDefault="00AA21AE" w:rsidP="00AA21AE">
            <w:pPr>
              <w:pStyle w:val="Intabulka"/>
              <w:rPr>
                <w:rFonts w:ascii="Arial Narrow" w:hAnsi="Arial Narrow"/>
                <w:lang w:val="cs-CZ"/>
              </w:rPr>
            </w:pPr>
            <w:r w:rsidRPr="00461C16">
              <w:rPr>
                <w:rFonts w:ascii="Arial Narrow" w:hAnsi="Arial Narrow"/>
                <w:lang w:val="cs-CZ"/>
              </w:rPr>
              <w:t>Plocha je vymezena za účelem scelení proluky v zástavbě na jižním okraji části Václavice. Využití proluky směřuje k účelnému a hospodárnému využívání území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 Vymezení plochy vychází ze současně platného ÚP města</w:t>
            </w:r>
            <w:r w:rsidR="00A34102" w:rsidRPr="00461C16">
              <w:rPr>
                <w:rFonts w:ascii="Arial Narrow" w:hAnsi="Arial Narrow"/>
                <w:lang w:val="cs-CZ"/>
              </w:rPr>
              <w:t>, kde již byla řádně projednána a schválena</w:t>
            </w:r>
            <w:r w:rsidRPr="00461C16">
              <w:rPr>
                <w:rFonts w:ascii="Arial Narrow" w:hAnsi="Arial Narrow"/>
                <w:lang w:val="cs-CZ"/>
              </w:rPr>
              <w:t>.</w:t>
            </w:r>
          </w:p>
        </w:tc>
      </w:tr>
      <w:tr w:rsidR="006E0F27" w:rsidRPr="00461C16" w14:paraId="1D3E4A2E" w14:textId="77777777" w:rsidTr="000F7CB8">
        <w:trPr>
          <w:cantSplit/>
        </w:trPr>
        <w:tc>
          <w:tcPr>
            <w:tcW w:w="959" w:type="dxa"/>
            <w:shd w:val="clear" w:color="auto" w:fill="auto"/>
          </w:tcPr>
          <w:p w14:paraId="55305F2B" w14:textId="77777777" w:rsidR="006E0F27" w:rsidRPr="00461C16" w:rsidRDefault="006E0F27" w:rsidP="00BB3AFF">
            <w:pPr>
              <w:spacing w:before="40" w:after="40"/>
              <w:rPr>
                <w:sz w:val="20"/>
                <w:szCs w:val="20"/>
              </w:rPr>
            </w:pPr>
            <w:r w:rsidRPr="00461C16">
              <w:rPr>
                <w:sz w:val="20"/>
                <w:szCs w:val="20"/>
              </w:rPr>
              <w:t>P05</w:t>
            </w:r>
          </w:p>
        </w:tc>
        <w:tc>
          <w:tcPr>
            <w:tcW w:w="2551" w:type="dxa"/>
            <w:shd w:val="clear" w:color="auto" w:fill="auto"/>
          </w:tcPr>
          <w:p w14:paraId="3BBFCE03" w14:textId="77777777" w:rsidR="006E0F27" w:rsidRPr="00461C16" w:rsidRDefault="006E0F27" w:rsidP="00993450">
            <w:pPr>
              <w:spacing w:before="40" w:after="40"/>
              <w:jc w:val="left"/>
              <w:rPr>
                <w:color w:val="000000"/>
                <w:sz w:val="20"/>
                <w:szCs w:val="20"/>
              </w:rPr>
            </w:pPr>
            <w:r w:rsidRPr="00461C16">
              <w:rPr>
                <w:color w:val="000000"/>
                <w:sz w:val="20"/>
                <w:szCs w:val="20"/>
              </w:rPr>
              <w:t>SV – plocha smíšená obytná - venkovská</w:t>
            </w:r>
          </w:p>
        </w:tc>
        <w:tc>
          <w:tcPr>
            <w:tcW w:w="5778" w:type="dxa"/>
            <w:shd w:val="clear" w:color="auto" w:fill="auto"/>
          </w:tcPr>
          <w:p w14:paraId="484F1751" w14:textId="77777777" w:rsidR="006E0F27" w:rsidRPr="00461C16" w:rsidRDefault="006E0F27" w:rsidP="006E0F27">
            <w:pPr>
              <w:pStyle w:val="Intabulka"/>
              <w:rPr>
                <w:rFonts w:ascii="Arial Narrow" w:hAnsi="Arial Narrow"/>
                <w:lang w:val="cs-CZ"/>
              </w:rPr>
            </w:pPr>
            <w:r w:rsidRPr="00461C16">
              <w:rPr>
                <w:rFonts w:ascii="Arial Narrow" w:hAnsi="Arial Narrow"/>
                <w:lang w:val="cs-CZ"/>
              </w:rPr>
              <w:t>Plocha je určena k doplnění smíšené obytné zástavby na jižním okraji části Oldřichov na Hranicích, v souladu s požadavkem vlastníka pozemku. Záměr v severní části předpokládá přestavbu stávajícího hospodářského areálu a integraci obytné funkce, v jižní části plocha využívá proluku v zastavěném území a sceluje zástavbu sídla do kompaktního útvaru.</w:t>
            </w:r>
            <w:r w:rsidR="00B345B4" w:rsidRPr="00461C16">
              <w:rPr>
                <w:rFonts w:ascii="Arial Narrow" w:hAnsi="Arial Narrow"/>
                <w:lang w:val="cs-CZ"/>
              </w:rPr>
              <w:t xml:space="preserve"> </w:t>
            </w:r>
          </w:p>
        </w:tc>
      </w:tr>
      <w:tr w:rsidR="00D95069" w:rsidRPr="00461C16" w14:paraId="422270B7" w14:textId="77777777" w:rsidTr="000F7CB8">
        <w:trPr>
          <w:cantSplit/>
        </w:trPr>
        <w:tc>
          <w:tcPr>
            <w:tcW w:w="959" w:type="dxa"/>
            <w:shd w:val="clear" w:color="auto" w:fill="auto"/>
          </w:tcPr>
          <w:p w14:paraId="79B092AF" w14:textId="77777777" w:rsidR="00D95069" w:rsidRPr="00461C16" w:rsidRDefault="00D95069" w:rsidP="00BB3AFF">
            <w:pPr>
              <w:spacing w:before="40" w:after="40"/>
              <w:rPr>
                <w:sz w:val="20"/>
                <w:szCs w:val="20"/>
              </w:rPr>
            </w:pPr>
            <w:r w:rsidRPr="00461C16">
              <w:rPr>
                <w:sz w:val="20"/>
                <w:szCs w:val="20"/>
              </w:rPr>
              <w:t>P06</w:t>
            </w:r>
          </w:p>
        </w:tc>
        <w:tc>
          <w:tcPr>
            <w:tcW w:w="2551" w:type="dxa"/>
            <w:shd w:val="clear" w:color="auto" w:fill="auto"/>
          </w:tcPr>
          <w:p w14:paraId="05F84AD3" w14:textId="77777777" w:rsidR="00D95069" w:rsidRPr="00461C16" w:rsidRDefault="00D95069" w:rsidP="00993450">
            <w:pPr>
              <w:spacing w:before="40" w:after="40"/>
              <w:jc w:val="left"/>
              <w:rPr>
                <w:color w:val="000000"/>
                <w:sz w:val="20"/>
                <w:szCs w:val="20"/>
              </w:rPr>
            </w:pPr>
            <w:r w:rsidRPr="00461C16">
              <w:rPr>
                <w:color w:val="000000"/>
                <w:sz w:val="20"/>
                <w:szCs w:val="20"/>
              </w:rPr>
              <w:t>OS - sport</w:t>
            </w:r>
          </w:p>
        </w:tc>
        <w:tc>
          <w:tcPr>
            <w:tcW w:w="5778" w:type="dxa"/>
            <w:shd w:val="clear" w:color="auto" w:fill="auto"/>
          </w:tcPr>
          <w:p w14:paraId="215B2EE3" w14:textId="77777777" w:rsidR="00D95069" w:rsidRPr="00461C16" w:rsidRDefault="00AA21AE" w:rsidP="00895094">
            <w:pPr>
              <w:pStyle w:val="Intabulka"/>
              <w:rPr>
                <w:rFonts w:ascii="Arial Narrow" w:hAnsi="Arial Narrow"/>
                <w:lang w:val="cs-CZ"/>
              </w:rPr>
            </w:pPr>
            <w:r w:rsidRPr="00461C16">
              <w:rPr>
                <w:rFonts w:ascii="Arial Narrow" w:hAnsi="Arial Narrow"/>
                <w:lang w:val="cs-CZ"/>
              </w:rPr>
              <w:t>Plocha je vymezena v severní části výrobního areálu</w:t>
            </w:r>
            <w:r w:rsidR="00895094" w:rsidRPr="00461C16">
              <w:rPr>
                <w:rFonts w:ascii="Arial Narrow" w:hAnsi="Arial Narrow"/>
                <w:lang w:val="cs-CZ"/>
              </w:rPr>
              <w:t xml:space="preserve"> v ul. Lidická na břehu Lužické Nisy. Tento areál již není zcela využíván</w:t>
            </w:r>
            <w:r w:rsidRPr="00461C16">
              <w:rPr>
                <w:rFonts w:ascii="Arial Narrow" w:hAnsi="Arial Narrow"/>
                <w:lang w:val="cs-CZ"/>
              </w:rPr>
              <w:t xml:space="preserve"> pro svoji původní funkci</w:t>
            </w:r>
            <w:r w:rsidR="00895094" w:rsidRPr="00461C16">
              <w:rPr>
                <w:rFonts w:ascii="Arial Narrow" w:hAnsi="Arial Narrow"/>
                <w:lang w:val="cs-CZ"/>
              </w:rPr>
              <w:t xml:space="preserve"> a je funkčně i vlastnicky roztříštěn</w:t>
            </w:r>
            <w:r w:rsidRPr="00461C16">
              <w:rPr>
                <w:rFonts w:ascii="Arial Narrow" w:hAnsi="Arial Narrow"/>
                <w:lang w:val="cs-CZ"/>
              </w:rPr>
              <w:t>. Vymezení sleduje záměr vlastníka pozemku, který v této ploše zamýšlí realizaci sportovního zařízení.</w:t>
            </w:r>
            <w:r w:rsidR="00895094" w:rsidRPr="00461C16">
              <w:rPr>
                <w:rFonts w:ascii="Arial Narrow" w:hAnsi="Arial Narrow"/>
                <w:lang w:val="cs-CZ"/>
              </w:rPr>
              <w:t xml:space="preserve"> Přednostní využití proluky v zastavěném území zohledňuje požadavky na hospodárné využívání území a ochranu volné krajiny. Realizace záměru zároveň umožní rozšíření nabídky sportovních a volnočasových aktivit pro obyvatele města, čímž přispěje ke zvýšení kvality života.</w:t>
            </w:r>
          </w:p>
        </w:tc>
      </w:tr>
      <w:tr w:rsidR="00895094" w:rsidRPr="00461C16" w14:paraId="3C8B281B" w14:textId="77777777" w:rsidTr="000F7CB8">
        <w:trPr>
          <w:cantSplit/>
        </w:trPr>
        <w:tc>
          <w:tcPr>
            <w:tcW w:w="959" w:type="dxa"/>
            <w:shd w:val="clear" w:color="auto" w:fill="auto"/>
          </w:tcPr>
          <w:p w14:paraId="3E4AE370" w14:textId="77777777" w:rsidR="00895094" w:rsidRPr="00461C16" w:rsidRDefault="00895094" w:rsidP="00BB3AFF">
            <w:pPr>
              <w:spacing w:before="40" w:after="40"/>
              <w:rPr>
                <w:sz w:val="20"/>
                <w:szCs w:val="20"/>
              </w:rPr>
            </w:pPr>
            <w:r w:rsidRPr="00461C16">
              <w:rPr>
                <w:sz w:val="20"/>
                <w:szCs w:val="20"/>
              </w:rPr>
              <w:t>P07</w:t>
            </w:r>
          </w:p>
        </w:tc>
        <w:tc>
          <w:tcPr>
            <w:tcW w:w="2551" w:type="dxa"/>
            <w:shd w:val="clear" w:color="auto" w:fill="auto"/>
          </w:tcPr>
          <w:p w14:paraId="5A041A0D" w14:textId="77777777" w:rsidR="00895094" w:rsidRPr="00461C16" w:rsidRDefault="00895094" w:rsidP="00993450">
            <w:pPr>
              <w:spacing w:before="40" w:after="40"/>
              <w:jc w:val="left"/>
              <w:rPr>
                <w:color w:val="000000"/>
                <w:sz w:val="20"/>
                <w:szCs w:val="20"/>
              </w:rPr>
            </w:pPr>
            <w:r w:rsidRPr="00461C16">
              <w:rPr>
                <w:color w:val="000000"/>
                <w:sz w:val="20"/>
                <w:szCs w:val="20"/>
              </w:rPr>
              <w:t>OM – občanské vybavení komerční</w:t>
            </w:r>
          </w:p>
        </w:tc>
        <w:tc>
          <w:tcPr>
            <w:tcW w:w="5778" w:type="dxa"/>
            <w:shd w:val="clear" w:color="auto" w:fill="auto"/>
          </w:tcPr>
          <w:p w14:paraId="6A6840CF" w14:textId="77777777" w:rsidR="00895094" w:rsidRPr="00461C16" w:rsidRDefault="00895094" w:rsidP="00895094">
            <w:pPr>
              <w:pStyle w:val="Intabulka"/>
              <w:rPr>
                <w:rFonts w:ascii="Arial Narrow" w:hAnsi="Arial Narrow"/>
                <w:lang w:val="cs-CZ"/>
              </w:rPr>
            </w:pPr>
            <w:r w:rsidRPr="00461C16">
              <w:rPr>
                <w:rFonts w:ascii="Arial Narrow" w:hAnsi="Arial Narrow"/>
                <w:lang w:val="cs-CZ"/>
              </w:rPr>
              <w:t>Plocha je vymezena v jižní části výrobního areálu v ul. Lidická na břehu Lužické Nisy. Tento areál již není zcela využíván pro svoji původní funkci a je funkčně i vlastnicky roztříštěn. Vymezení sleduje záměr vlastníka pozemku, který v této ploše zamýšlí realizaci komerčního zařízení. Přednostní využití proluky v zastavěném území zohledňuje požadavky na hospodárné využívání území a ochranu volné krajiny. Realizace záměru zároveň umožní rozšíření nabídky služeb pro obyvatele města, čímž přispěje ke zvýšení kvality života. Vymezení plochy je v souladu se současně platným ÚP města</w:t>
            </w:r>
            <w:r w:rsidR="00A34102" w:rsidRPr="00461C16">
              <w:rPr>
                <w:rFonts w:ascii="Arial Narrow" w:hAnsi="Arial Narrow"/>
                <w:lang w:val="cs-CZ"/>
              </w:rPr>
              <w:t>, kde již byla řádně projednána a schválena</w:t>
            </w:r>
            <w:r w:rsidRPr="00461C16">
              <w:rPr>
                <w:rFonts w:ascii="Arial Narrow" w:hAnsi="Arial Narrow"/>
                <w:lang w:val="cs-CZ"/>
              </w:rPr>
              <w:t>.</w:t>
            </w:r>
          </w:p>
        </w:tc>
      </w:tr>
      <w:tr w:rsidR="00D95069" w:rsidRPr="00461C16" w14:paraId="7FAB7782" w14:textId="77777777" w:rsidTr="000F7CB8">
        <w:trPr>
          <w:cantSplit/>
        </w:trPr>
        <w:tc>
          <w:tcPr>
            <w:tcW w:w="959" w:type="dxa"/>
            <w:shd w:val="clear" w:color="auto" w:fill="auto"/>
          </w:tcPr>
          <w:p w14:paraId="418E64A8" w14:textId="77777777" w:rsidR="00D95069" w:rsidRPr="00461C16" w:rsidRDefault="00D95069" w:rsidP="00BB3AFF">
            <w:pPr>
              <w:spacing w:before="40" w:after="40"/>
              <w:rPr>
                <w:sz w:val="20"/>
                <w:szCs w:val="20"/>
              </w:rPr>
            </w:pPr>
            <w:r w:rsidRPr="00461C16">
              <w:rPr>
                <w:sz w:val="20"/>
                <w:szCs w:val="20"/>
              </w:rPr>
              <w:lastRenderedPageBreak/>
              <w:t>P08</w:t>
            </w:r>
          </w:p>
        </w:tc>
        <w:tc>
          <w:tcPr>
            <w:tcW w:w="2551" w:type="dxa"/>
            <w:shd w:val="clear" w:color="auto" w:fill="auto"/>
          </w:tcPr>
          <w:p w14:paraId="0EB85A80" w14:textId="77777777" w:rsidR="00D95069" w:rsidRPr="00461C16" w:rsidRDefault="00D95069" w:rsidP="00993450">
            <w:pPr>
              <w:spacing w:before="40" w:after="40"/>
              <w:jc w:val="left"/>
              <w:rPr>
                <w:color w:val="000000"/>
                <w:sz w:val="20"/>
                <w:szCs w:val="20"/>
              </w:rPr>
            </w:pPr>
            <w:r w:rsidRPr="00461C16">
              <w:rPr>
                <w:color w:val="000000"/>
                <w:sz w:val="20"/>
                <w:szCs w:val="20"/>
              </w:rPr>
              <w:t>BI – bydlení městské a příměstské</w:t>
            </w:r>
          </w:p>
        </w:tc>
        <w:tc>
          <w:tcPr>
            <w:tcW w:w="5778" w:type="dxa"/>
            <w:shd w:val="clear" w:color="auto" w:fill="auto"/>
          </w:tcPr>
          <w:p w14:paraId="51748F54" w14:textId="77777777" w:rsidR="00D95069" w:rsidRPr="00566987" w:rsidRDefault="004415C7" w:rsidP="004415C7">
            <w:pPr>
              <w:pStyle w:val="Intabulka"/>
              <w:rPr>
                <w:rFonts w:ascii="Arial Narrow" w:hAnsi="Arial Narrow"/>
                <w:color w:val="FF0000"/>
                <w:lang w:val="cs-CZ"/>
              </w:rPr>
            </w:pPr>
            <w:r w:rsidRPr="00566987">
              <w:rPr>
                <w:rFonts w:ascii="Arial Narrow" w:hAnsi="Arial Narrow"/>
                <w:lang w:val="cs-CZ"/>
              </w:rPr>
              <w:t>Plocha je vymezena za účelem umožnění rozvoje bydlení v západní části sídla Hrádek nad Nisou. Využívá proluku v zastavěném území mezi ul. U Koupaliště a ul. Lidická a vzhledem k minimálnímu omezení limity využití území představuje optimální polohu pro další zástavbu. Z urbanistického hlediska je tato poloha velmi atraktivní, nachází se na okraji zástavby a otvírá se do volné krajiny s rekreačním areálem Kristýna. Přednostní využití proluky v zastavěném území zohledňuje požadavky na hospodárné využívání území a ochranu volné krajiny.</w:t>
            </w:r>
            <w:r w:rsidR="00B345B4" w:rsidRPr="00566987">
              <w:rPr>
                <w:rFonts w:ascii="Arial Narrow" w:hAnsi="Arial Narrow"/>
                <w:lang w:val="cs-CZ"/>
              </w:rPr>
              <w:t xml:space="preserve"> </w:t>
            </w:r>
            <w:r w:rsidRPr="00566987">
              <w:rPr>
                <w:rFonts w:ascii="Arial Narrow" w:hAnsi="Arial Narrow"/>
                <w:lang w:val="cs-CZ"/>
              </w:rPr>
              <w:t>Využití plochy přispěje k uspokojení poptávky po nových plochách pro bydlení na území města a k celkovému zvýšení kvality a komfortu bydlení. Plocha je vymezena v souladu s požadavkem schváleného Zadání ÚP</w:t>
            </w:r>
            <w:r w:rsidR="0024153B" w:rsidRPr="00566987">
              <w:rPr>
                <w:rFonts w:ascii="Arial Narrow" w:hAnsi="Arial Narrow"/>
                <w:lang w:val="cs-CZ"/>
              </w:rPr>
              <w:t>.</w:t>
            </w:r>
          </w:p>
        </w:tc>
      </w:tr>
      <w:tr w:rsidR="00D95069" w:rsidRPr="00461C16" w14:paraId="41648355" w14:textId="77777777" w:rsidTr="000F7CB8">
        <w:trPr>
          <w:cantSplit/>
        </w:trPr>
        <w:tc>
          <w:tcPr>
            <w:tcW w:w="959" w:type="dxa"/>
            <w:shd w:val="clear" w:color="auto" w:fill="auto"/>
          </w:tcPr>
          <w:p w14:paraId="13DECC2E" w14:textId="77777777" w:rsidR="00D95069" w:rsidRPr="00461C16" w:rsidRDefault="00D95069" w:rsidP="00BB3AFF">
            <w:pPr>
              <w:spacing w:before="40" w:after="40"/>
              <w:rPr>
                <w:sz w:val="20"/>
                <w:szCs w:val="20"/>
              </w:rPr>
            </w:pPr>
            <w:r w:rsidRPr="00461C16">
              <w:rPr>
                <w:sz w:val="20"/>
                <w:szCs w:val="20"/>
              </w:rPr>
              <w:t>P10</w:t>
            </w:r>
          </w:p>
        </w:tc>
        <w:tc>
          <w:tcPr>
            <w:tcW w:w="2551" w:type="dxa"/>
            <w:shd w:val="clear" w:color="auto" w:fill="auto"/>
          </w:tcPr>
          <w:p w14:paraId="654BBD40" w14:textId="77777777" w:rsidR="00D95069" w:rsidRPr="00461C16" w:rsidRDefault="00D95069" w:rsidP="00993450">
            <w:pPr>
              <w:spacing w:before="40" w:after="40"/>
              <w:jc w:val="left"/>
              <w:rPr>
                <w:color w:val="000000"/>
                <w:sz w:val="20"/>
                <w:szCs w:val="20"/>
              </w:rPr>
            </w:pPr>
            <w:r w:rsidRPr="00461C16">
              <w:rPr>
                <w:color w:val="000000"/>
                <w:sz w:val="20"/>
                <w:szCs w:val="20"/>
              </w:rPr>
              <w:t>ZV – veřejné prostranství – veřejná zeleň</w:t>
            </w:r>
          </w:p>
        </w:tc>
        <w:tc>
          <w:tcPr>
            <w:tcW w:w="5778" w:type="dxa"/>
            <w:shd w:val="clear" w:color="auto" w:fill="auto"/>
          </w:tcPr>
          <w:p w14:paraId="25A83776" w14:textId="77777777" w:rsidR="00D95069" w:rsidRPr="00461C16" w:rsidRDefault="00330E05" w:rsidP="00330E05">
            <w:pPr>
              <w:pStyle w:val="Intabulka"/>
              <w:rPr>
                <w:rFonts w:ascii="Arial Narrow" w:hAnsi="Arial Narrow"/>
                <w:lang w:val="cs-CZ"/>
              </w:rPr>
            </w:pPr>
            <w:r w:rsidRPr="00461C16">
              <w:rPr>
                <w:rFonts w:ascii="Arial Narrow" w:hAnsi="Arial Narrow"/>
                <w:lang w:val="cs-CZ"/>
              </w:rPr>
              <w:t xml:space="preserve">Plocha je určena k realizaci izolačního pásu zeleně mezi plochami výroby v průmyslové zóně a smíšenou obytnou zástavbou podél ul. Oldřichovská, s cílem </w:t>
            </w:r>
            <w:r w:rsidR="002B177B" w:rsidRPr="00461C16">
              <w:rPr>
                <w:rFonts w:ascii="Arial Narrow" w:hAnsi="Arial Narrow"/>
                <w:lang w:val="cs-CZ"/>
              </w:rPr>
              <w:t xml:space="preserve">nezbytné </w:t>
            </w:r>
            <w:r w:rsidRPr="00461C16">
              <w:rPr>
                <w:rFonts w:ascii="Arial Narrow" w:hAnsi="Arial Narrow"/>
                <w:lang w:val="cs-CZ"/>
              </w:rPr>
              <w:t>ochrany a zajištění odpovídající kvality bydlení v navazujícím území. Záměr je v souladu se současně platným ÚP města</w:t>
            </w:r>
            <w:r w:rsidR="00A34102" w:rsidRPr="00461C16">
              <w:rPr>
                <w:rFonts w:ascii="Arial Narrow" w:hAnsi="Arial Narrow"/>
                <w:lang w:val="cs-CZ"/>
              </w:rPr>
              <w:t>, kde již byla plocha řádně projednána a schválena</w:t>
            </w:r>
            <w:r w:rsidRPr="00461C16">
              <w:rPr>
                <w:rFonts w:ascii="Arial Narrow" w:hAnsi="Arial Narrow"/>
                <w:lang w:val="cs-CZ"/>
              </w:rPr>
              <w:t>.</w:t>
            </w:r>
          </w:p>
        </w:tc>
      </w:tr>
      <w:tr w:rsidR="00D95069" w:rsidRPr="00461C16" w14:paraId="1C5D73A0" w14:textId="77777777" w:rsidTr="000F7CB8">
        <w:trPr>
          <w:cantSplit/>
        </w:trPr>
        <w:tc>
          <w:tcPr>
            <w:tcW w:w="959" w:type="dxa"/>
            <w:shd w:val="clear" w:color="auto" w:fill="auto"/>
          </w:tcPr>
          <w:p w14:paraId="480F2912" w14:textId="77777777" w:rsidR="00D95069" w:rsidRPr="00461C16" w:rsidRDefault="00D95069" w:rsidP="00BB3AFF">
            <w:pPr>
              <w:spacing w:before="40" w:after="40"/>
              <w:rPr>
                <w:sz w:val="20"/>
                <w:szCs w:val="20"/>
              </w:rPr>
            </w:pPr>
            <w:r w:rsidRPr="00461C16">
              <w:rPr>
                <w:sz w:val="20"/>
                <w:szCs w:val="20"/>
              </w:rPr>
              <w:t>P11</w:t>
            </w:r>
          </w:p>
        </w:tc>
        <w:tc>
          <w:tcPr>
            <w:tcW w:w="2551" w:type="dxa"/>
            <w:shd w:val="clear" w:color="auto" w:fill="auto"/>
          </w:tcPr>
          <w:p w14:paraId="08A7858A" w14:textId="77777777" w:rsidR="00D95069" w:rsidRPr="00461C16" w:rsidRDefault="00D95069" w:rsidP="00993450">
            <w:pPr>
              <w:spacing w:before="40" w:after="40"/>
              <w:jc w:val="left"/>
              <w:rPr>
                <w:sz w:val="20"/>
                <w:szCs w:val="20"/>
              </w:rPr>
            </w:pPr>
            <w:r w:rsidRPr="00461C16">
              <w:rPr>
                <w:sz w:val="20"/>
                <w:szCs w:val="20"/>
              </w:rPr>
              <w:t>SM – plocha smíšená obytná - městská</w:t>
            </w:r>
          </w:p>
        </w:tc>
        <w:tc>
          <w:tcPr>
            <w:tcW w:w="5778" w:type="dxa"/>
            <w:shd w:val="clear" w:color="auto" w:fill="auto"/>
          </w:tcPr>
          <w:p w14:paraId="1DBAA520" w14:textId="77777777" w:rsidR="00D95069" w:rsidRPr="00461C16" w:rsidRDefault="002B177B" w:rsidP="00BB3AFF">
            <w:pPr>
              <w:pStyle w:val="Intabulka"/>
              <w:rPr>
                <w:rFonts w:ascii="Arial Narrow" w:hAnsi="Arial Narrow"/>
                <w:lang w:val="cs-CZ"/>
              </w:rPr>
            </w:pPr>
            <w:r w:rsidRPr="00461C16">
              <w:rPr>
                <w:rFonts w:ascii="Arial Narrow" w:hAnsi="Arial Narrow"/>
                <w:lang w:val="cs-CZ"/>
              </w:rPr>
              <w:t>Plocha účelně využívá proluku v zástavbě podél ul. Oldřichovská a přispívá k jejímu scelení a posílení kompaktnosti zastavění území. Zároveň doplňuje oboustranné obestavění komunikace, které je výhodně z hlediska urbanistického (jednoznačné vymezení uličního veřejného prostoru) i ekonomického (dostupnost sítí veřejné infrastruktury). Záměr je v souladu se současně platným ÚP města</w:t>
            </w:r>
            <w:r w:rsidR="00A34102" w:rsidRPr="00461C16">
              <w:rPr>
                <w:rFonts w:ascii="Arial Narrow" w:hAnsi="Arial Narrow"/>
                <w:lang w:val="cs-CZ"/>
              </w:rPr>
              <w:t>, kde již byla plocha řádně projednána a schválena</w:t>
            </w:r>
            <w:r w:rsidRPr="00461C16">
              <w:rPr>
                <w:rFonts w:ascii="Arial Narrow" w:hAnsi="Arial Narrow"/>
                <w:lang w:val="cs-CZ"/>
              </w:rPr>
              <w:t>.</w:t>
            </w:r>
          </w:p>
        </w:tc>
      </w:tr>
      <w:tr w:rsidR="00D95069" w:rsidRPr="00461C16" w14:paraId="28F39C14" w14:textId="77777777" w:rsidTr="000F7CB8">
        <w:trPr>
          <w:cantSplit/>
        </w:trPr>
        <w:tc>
          <w:tcPr>
            <w:tcW w:w="959" w:type="dxa"/>
            <w:shd w:val="clear" w:color="auto" w:fill="auto"/>
          </w:tcPr>
          <w:p w14:paraId="0EAC4EA0" w14:textId="77777777" w:rsidR="00D95069" w:rsidRPr="00461C16" w:rsidRDefault="00D95069" w:rsidP="00BB3AFF">
            <w:pPr>
              <w:spacing w:before="40" w:after="40"/>
              <w:rPr>
                <w:sz w:val="20"/>
                <w:szCs w:val="20"/>
              </w:rPr>
            </w:pPr>
            <w:r w:rsidRPr="00461C16">
              <w:rPr>
                <w:sz w:val="20"/>
                <w:szCs w:val="20"/>
              </w:rPr>
              <w:t>P14</w:t>
            </w:r>
          </w:p>
        </w:tc>
        <w:tc>
          <w:tcPr>
            <w:tcW w:w="2551" w:type="dxa"/>
            <w:shd w:val="clear" w:color="auto" w:fill="auto"/>
          </w:tcPr>
          <w:p w14:paraId="03510AF3" w14:textId="77777777" w:rsidR="00D95069" w:rsidRPr="00461C16" w:rsidRDefault="00D95069" w:rsidP="00993450">
            <w:pPr>
              <w:spacing w:before="40" w:after="40"/>
              <w:jc w:val="left"/>
              <w:rPr>
                <w:color w:val="000000"/>
                <w:sz w:val="20"/>
                <w:szCs w:val="20"/>
              </w:rPr>
            </w:pPr>
            <w:r w:rsidRPr="00461C16">
              <w:rPr>
                <w:color w:val="000000"/>
                <w:sz w:val="20"/>
                <w:szCs w:val="20"/>
              </w:rPr>
              <w:t>SM – plocha smíšená obytná - městská</w:t>
            </w:r>
          </w:p>
        </w:tc>
        <w:tc>
          <w:tcPr>
            <w:tcW w:w="5778" w:type="dxa"/>
            <w:shd w:val="clear" w:color="auto" w:fill="auto"/>
          </w:tcPr>
          <w:p w14:paraId="571DAFF1" w14:textId="77777777" w:rsidR="00D95069" w:rsidRPr="00461C16" w:rsidRDefault="00751935" w:rsidP="00BB3AFF">
            <w:pPr>
              <w:pStyle w:val="Intabulka"/>
              <w:rPr>
                <w:rFonts w:ascii="Arial Narrow" w:hAnsi="Arial Narrow"/>
                <w:lang w:val="cs-CZ"/>
              </w:rPr>
            </w:pPr>
            <w:r w:rsidRPr="00461C16">
              <w:rPr>
                <w:rFonts w:ascii="Arial Narrow" w:hAnsi="Arial Narrow"/>
                <w:lang w:val="cs-CZ"/>
              </w:rPr>
              <w:t xml:space="preserve">Plocha je vymezena za účelem přestavby a funkčního scelení smíšené obytné zástavby podél ul. Oldřichovská. </w:t>
            </w:r>
            <w:r w:rsidR="000F7CB8" w:rsidRPr="00461C16">
              <w:rPr>
                <w:rFonts w:ascii="Arial Narrow" w:hAnsi="Arial Narrow"/>
                <w:lang w:val="cs-CZ"/>
              </w:rPr>
              <w:t xml:space="preserve">Návrh přestavby na smíšené obytné území reaguje na polohu na jedné z hlavních urbanistických os města a na charakter okolního území. </w:t>
            </w:r>
            <w:r w:rsidRPr="00461C16">
              <w:rPr>
                <w:rFonts w:ascii="Arial Narrow" w:hAnsi="Arial Narrow"/>
                <w:lang w:val="cs-CZ"/>
              </w:rPr>
              <w:t xml:space="preserve">Vymezení plochy </w:t>
            </w:r>
            <w:r w:rsidR="000F7CB8" w:rsidRPr="00461C16">
              <w:rPr>
                <w:rFonts w:ascii="Arial Narrow" w:hAnsi="Arial Narrow"/>
                <w:lang w:val="cs-CZ"/>
              </w:rPr>
              <w:t xml:space="preserve">zároveň </w:t>
            </w:r>
            <w:r w:rsidRPr="00461C16">
              <w:rPr>
                <w:rFonts w:ascii="Arial Narrow" w:hAnsi="Arial Narrow"/>
                <w:lang w:val="cs-CZ"/>
              </w:rPr>
              <w:t>vyplývá z požadavků schváleného Zadání ÚP.</w:t>
            </w:r>
          </w:p>
        </w:tc>
      </w:tr>
      <w:tr w:rsidR="008D21FD" w:rsidRPr="00461C16" w14:paraId="7B213FAB" w14:textId="77777777" w:rsidTr="000F7CB8">
        <w:trPr>
          <w:cantSplit/>
        </w:trPr>
        <w:tc>
          <w:tcPr>
            <w:tcW w:w="959" w:type="dxa"/>
            <w:shd w:val="clear" w:color="auto" w:fill="auto"/>
          </w:tcPr>
          <w:p w14:paraId="24B7687C" w14:textId="77777777" w:rsidR="008D21FD" w:rsidRPr="00461C16" w:rsidRDefault="008D21FD" w:rsidP="00BB3AFF">
            <w:pPr>
              <w:spacing w:before="40" w:after="40"/>
              <w:rPr>
                <w:sz w:val="20"/>
                <w:szCs w:val="20"/>
              </w:rPr>
            </w:pPr>
            <w:r w:rsidRPr="00461C16">
              <w:rPr>
                <w:sz w:val="20"/>
                <w:szCs w:val="20"/>
              </w:rPr>
              <w:t>P15</w:t>
            </w:r>
          </w:p>
        </w:tc>
        <w:tc>
          <w:tcPr>
            <w:tcW w:w="2551" w:type="dxa"/>
            <w:shd w:val="clear" w:color="auto" w:fill="auto"/>
          </w:tcPr>
          <w:p w14:paraId="2B301FE2" w14:textId="77777777" w:rsidR="008D21FD" w:rsidRPr="00461C16" w:rsidRDefault="008D21FD" w:rsidP="00993450">
            <w:pPr>
              <w:spacing w:before="40" w:after="40"/>
              <w:jc w:val="left"/>
              <w:rPr>
                <w:color w:val="000000"/>
                <w:sz w:val="20"/>
                <w:szCs w:val="20"/>
              </w:rPr>
            </w:pPr>
            <w:r w:rsidRPr="00461C16">
              <w:rPr>
                <w:color w:val="000000"/>
                <w:sz w:val="20"/>
                <w:szCs w:val="20"/>
              </w:rPr>
              <w:t>SV – plocha smíšená obytná - venkovská</w:t>
            </w:r>
          </w:p>
        </w:tc>
        <w:tc>
          <w:tcPr>
            <w:tcW w:w="5778" w:type="dxa"/>
            <w:shd w:val="clear" w:color="auto" w:fill="auto"/>
          </w:tcPr>
          <w:p w14:paraId="7043FBD6" w14:textId="77777777" w:rsidR="008D21FD" w:rsidRPr="00461C16" w:rsidRDefault="008D21FD" w:rsidP="008D21FD">
            <w:pPr>
              <w:pStyle w:val="Intabulka"/>
              <w:rPr>
                <w:rFonts w:ascii="Arial Narrow" w:hAnsi="Arial Narrow"/>
                <w:lang w:val="cs-CZ"/>
              </w:rPr>
            </w:pPr>
            <w:r w:rsidRPr="00461C16">
              <w:rPr>
                <w:rFonts w:ascii="Arial Narrow" w:hAnsi="Arial Narrow"/>
                <w:lang w:val="cs-CZ"/>
              </w:rPr>
              <w:t>Plocha je vymezena za účelem scelení proluky v zástavbě na severním okraji části Dolní Suchá. Využití proluky směřuje k účelnému a hospodárnému využívání území a k posílení kompaktnosti území. Plocha doplňuje smíšenou obytnou zástavbu, přispívá k uspokojení poptávky po nových plochách pro bydlení a zároveň umožňuje případnou lokalizaci dalších služeb, s cílem zvýšení kvality podmínek pro život v sídle Dolní Suchá. Vymezení plochy vychází ze současně platného ÚP města</w:t>
            </w:r>
            <w:r w:rsidR="00A34102" w:rsidRPr="00461C16">
              <w:rPr>
                <w:rFonts w:ascii="Arial Narrow" w:hAnsi="Arial Narrow"/>
                <w:lang w:val="cs-CZ"/>
              </w:rPr>
              <w:t>, kde již byla řádně projednána a schválena</w:t>
            </w:r>
            <w:r w:rsidRPr="00461C16">
              <w:rPr>
                <w:rFonts w:ascii="Arial Narrow" w:hAnsi="Arial Narrow"/>
                <w:lang w:val="cs-CZ"/>
              </w:rPr>
              <w:t>.</w:t>
            </w:r>
          </w:p>
        </w:tc>
      </w:tr>
      <w:tr w:rsidR="00D95069" w:rsidRPr="00461C16" w14:paraId="530C6F71" w14:textId="77777777" w:rsidTr="000F7CB8">
        <w:trPr>
          <w:cantSplit/>
        </w:trPr>
        <w:tc>
          <w:tcPr>
            <w:tcW w:w="959" w:type="dxa"/>
            <w:shd w:val="clear" w:color="auto" w:fill="auto"/>
          </w:tcPr>
          <w:p w14:paraId="459477EF" w14:textId="77777777" w:rsidR="00D95069" w:rsidRPr="00461C16" w:rsidRDefault="00D95069" w:rsidP="00BB3AFF">
            <w:pPr>
              <w:spacing w:before="40" w:after="40"/>
              <w:rPr>
                <w:sz w:val="20"/>
                <w:szCs w:val="20"/>
              </w:rPr>
            </w:pPr>
            <w:r w:rsidRPr="00461C16">
              <w:rPr>
                <w:sz w:val="20"/>
                <w:szCs w:val="20"/>
              </w:rPr>
              <w:t>P16</w:t>
            </w:r>
          </w:p>
        </w:tc>
        <w:tc>
          <w:tcPr>
            <w:tcW w:w="2551" w:type="dxa"/>
            <w:shd w:val="clear" w:color="auto" w:fill="auto"/>
          </w:tcPr>
          <w:p w14:paraId="6BC9EC8E" w14:textId="77777777" w:rsidR="00D95069" w:rsidRPr="00461C16" w:rsidRDefault="00D95069" w:rsidP="00993450">
            <w:pPr>
              <w:spacing w:before="40" w:after="40"/>
              <w:jc w:val="left"/>
              <w:rPr>
                <w:color w:val="000000"/>
                <w:sz w:val="20"/>
                <w:szCs w:val="20"/>
              </w:rPr>
            </w:pPr>
            <w:r w:rsidRPr="00461C16">
              <w:rPr>
                <w:color w:val="000000"/>
                <w:sz w:val="20"/>
                <w:szCs w:val="20"/>
              </w:rPr>
              <w:t>SC – plocha smíšená obytná – v centrech měst</w:t>
            </w:r>
          </w:p>
        </w:tc>
        <w:tc>
          <w:tcPr>
            <w:tcW w:w="5778" w:type="dxa"/>
            <w:shd w:val="clear" w:color="auto" w:fill="auto"/>
          </w:tcPr>
          <w:p w14:paraId="3C84F088" w14:textId="77777777" w:rsidR="00D95069" w:rsidRPr="00461C16" w:rsidRDefault="00AA0580" w:rsidP="00AA0580">
            <w:pPr>
              <w:pStyle w:val="Intabulka"/>
              <w:rPr>
                <w:rFonts w:ascii="Arial Narrow" w:hAnsi="Arial Narrow"/>
                <w:color w:val="FF0000"/>
                <w:lang w:val="cs-CZ"/>
              </w:rPr>
            </w:pPr>
            <w:r w:rsidRPr="00461C16">
              <w:rPr>
                <w:rFonts w:ascii="Arial Narrow" w:hAnsi="Arial Narrow"/>
                <w:lang w:val="cs-CZ"/>
              </w:rPr>
              <w:t xml:space="preserve">Plocha je vymezena v rozsahu bývalého výrobního areálu Bekon, v ul. Václavská. Tento areál již neplní svoji původní funkci a zčásti je nevyužívaný. Využití proluky v zastavěném území směřuje k účelnému a hospodárnému využívání území, vlastní záměr sleduje ozdravění území. Navržený způsob využití reaguje na polohu v historickém jádru, kde je kompaktnost zástavby a polyfunkčnost využití žádoucí, pro zajištění vysoké kvality a atraktivity prostředí. Realizace záměru zároveň umožní rozšíření nabídky bydlení a rozšíření infrastruktury služeb pro obyvatele města. </w:t>
            </w:r>
            <w:r w:rsidR="00993450" w:rsidRPr="00461C16">
              <w:rPr>
                <w:rFonts w:ascii="Arial Narrow" w:hAnsi="Arial Narrow"/>
                <w:lang w:val="cs-CZ"/>
              </w:rPr>
              <w:t xml:space="preserve">Plocha je vymezena v souladu s požadavkem schváleného Zadání ÚP </w:t>
            </w:r>
            <w:r w:rsidRPr="00461C16">
              <w:rPr>
                <w:rFonts w:ascii="Arial Narrow" w:hAnsi="Arial Narrow"/>
                <w:lang w:val="cs-CZ"/>
              </w:rPr>
              <w:t>na</w:t>
            </w:r>
            <w:r w:rsidR="00993450" w:rsidRPr="00461C16">
              <w:rPr>
                <w:rFonts w:ascii="Arial Narrow" w:hAnsi="Arial Narrow"/>
                <w:lang w:val="cs-CZ"/>
              </w:rPr>
              <w:t xml:space="preserve"> podnět vlastníka pozemku.</w:t>
            </w:r>
          </w:p>
        </w:tc>
      </w:tr>
      <w:tr w:rsidR="00D95069" w:rsidRPr="00461C16" w14:paraId="4F2D52CB" w14:textId="77777777" w:rsidTr="000F7CB8">
        <w:trPr>
          <w:cantSplit/>
        </w:trPr>
        <w:tc>
          <w:tcPr>
            <w:tcW w:w="959" w:type="dxa"/>
            <w:shd w:val="clear" w:color="auto" w:fill="auto"/>
          </w:tcPr>
          <w:p w14:paraId="1F1C1A52" w14:textId="77777777" w:rsidR="00D95069" w:rsidRPr="00461C16" w:rsidRDefault="00D95069" w:rsidP="00BB3AFF">
            <w:pPr>
              <w:spacing w:before="40" w:after="40"/>
              <w:rPr>
                <w:sz w:val="20"/>
                <w:szCs w:val="20"/>
              </w:rPr>
            </w:pPr>
            <w:r w:rsidRPr="00461C16">
              <w:rPr>
                <w:sz w:val="20"/>
                <w:szCs w:val="20"/>
              </w:rPr>
              <w:t>P17</w:t>
            </w:r>
          </w:p>
        </w:tc>
        <w:tc>
          <w:tcPr>
            <w:tcW w:w="2551" w:type="dxa"/>
            <w:shd w:val="clear" w:color="auto" w:fill="auto"/>
          </w:tcPr>
          <w:p w14:paraId="142A6E38" w14:textId="77777777" w:rsidR="00D95069" w:rsidRPr="00461C16" w:rsidRDefault="00D95069" w:rsidP="00993450">
            <w:pPr>
              <w:spacing w:before="40" w:after="40"/>
              <w:jc w:val="left"/>
              <w:rPr>
                <w:color w:val="000000"/>
                <w:sz w:val="20"/>
                <w:szCs w:val="20"/>
              </w:rPr>
            </w:pPr>
            <w:r w:rsidRPr="00461C16">
              <w:rPr>
                <w:color w:val="000000"/>
                <w:sz w:val="20"/>
                <w:szCs w:val="20"/>
              </w:rPr>
              <w:t>SM – plocha smíšená obytná - městská</w:t>
            </w:r>
          </w:p>
        </w:tc>
        <w:tc>
          <w:tcPr>
            <w:tcW w:w="5778" w:type="dxa"/>
            <w:shd w:val="clear" w:color="auto" w:fill="auto"/>
          </w:tcPr>
          <w:p w14:paraId="3AD31730" w14:textId="77777777" w:rsidR="00D95069" w:rsidRPr="00461C16" w:rsidRDefault="00885324" w:rsidP="00885324">
            <w:pPr>
              <w:pStyle w:val="Intabulka"/>
              <w:rPr>
                <w:rFonts w:ascii="Arial Narrow" w:hAnsi="Arial Narrow"/>
                <w:lang w:val="cs-CZ"/>
              </w:rPr>
            </w:pPr>
            <w:r w:rsidRPr="00461C16">
              <w:rPr>
                <w:rFonts w:ascii="Arial Narrow" w:hAnsi="Arial Narrow"/>
                <w:lang w:val="cs-CZ"/>
              </w:rPr>
              <w:t>Plocha doplňuje zástavbu v ul. Stará, kde využití proluky směřuje k účelnému a hospodárnému využívání území. Realizace záměru zároveň umožní rozšíření nabídky bydlení a zkvalitnění infrastruktury služeb pro obyvatele města. Záměr je v souladu se současně platným ÚP města</w:t>
            </w:r>
            <w:r w:rsidR="00A34102" w:rsidRPr="00461C16">
              <w:rPr>
                <w:rFonts w:ascii="Arial Narrow" w:hAnsi="Arial Narrow"/>
                <w:lang w:val="cs-CZ"/>
              </w:rPr>
              <w:t>, kde již byla plocha řádně projednána a schválena</w:t>
            </w:r>
            <w:r w:rsidRPr="00461C16">
              <w:rPr>
                <w:rFonts w:ascii="Arial Narrow" w:hAnsi="Arial Narrow"/>
                <w:lang w:val="cs-CZ"/>
              </w:rPr>
              <w:t>.</w:t>
            </w:r>
          </w:p>
        </w:tc>
      </w:tr>
      <w:tr w:rsidR="00D95069" w:rsidRPr="00461C16" w14:paraId="6190A3B9" w14:textId="77777777" w:rsidTr="000F7CB8">
        <w:trPr>
          <w:cantSplit/>
        </w:trPr>
        <w:tc>
          <w:tcPr>
            <w:tcW w:w="959" w:type="dxa"/>
            <w:shd w:val="clear" w:color="auto" w:fill="auto"/>
          </w:tcPr>
          <w:p w14:paraId="18CE2518" w14:textId="77777777" w:rsidR="00D95069" w:rsidRPr="00461C16" w:rsidRDefault="00D95069" w:rsidP="00BB3AFF">
            <w:pPr>
              <w:spacing w:before="40" w:after="40"/>
              <w:rPr>
                <w:sz w:val="20"/>
                <w:szCs w:val="20"/>
              </w:rPr>
            </w:pPr>
            <w:r w:rsidRPr="00461C16">
              <w:rPr>
                <w:sz w:val="20"/>
                <w:szCs w:val="20"/>
              </w:rPr>
              <w:lastRenderedPageBreak/>
              <w:t>P18</w:t>
            </w:r>
          </w:p>
        </w:tc>
        <w:tc>
          <w:tcPr>
            <w:tcW w:w="2551" w:type="dxa"/>
            <w:shd w:val="clear" w:color="auto" w:fill="auto"/>
          </w:tcPr>
          <w:p w14:paraId="3771BA0C" w14:textId="77777777" w:rsidR="00D95069" w:rsidRPr="00461C16" w:rsidRDefault="00D95069" w:rsidP="00993450">
            <w:pPr>
              <w:spacing w:before="40" w:after="40"/>
              <w:jc w:val="left"/>
              <w:rPr>
                <w:sz w:val="20"/>
                <w:szCs w:val="20"/>
              </w:rPr>
            </w:pPr>
            <w:r w:rsidRPr="00461C16">
              <w:rPr>
                <w:sz w:val="20"/>
                <w:szCs w:val="20"/>
              </w:rPr>
              <w:t>OS – plocha občanského vybavení - sport</w:t>
            </w:r>
          </w:p>
        </w:tc>
        <w:tc>
          <w:tcPr>
            <w:tcW w:w="5778" w:type="dxa"/>
            <w:shd w:val="clear" w:color="auto" w:fill="auto"/>
          </w:tcPr>
          <w:p w14:paraId="20FB3E45" w14:textId="77777777" w:rsidR="00D95069" w:rsidRPr="00461C16" w:rsidRDefault="00885324" w:rsidP="00885324">
            <w:pPr>
              <w:pStyle w:val="Intabulka"/>
              <w:rPr>
                <w:rFonts w:ascii="Arial Narrow" w:hAnsi="Arial Narrow"/>
                <w:lang w:val="cs-CZ"/>
              </w:rPr>
            </w:pPr>
            <w:r w:rsidRPr="00461C16">
              <w:rPr>
                <w:rFonts w:ascii="Arial Narrow" w:hAnsi="Arial Narrow"/>
                <w:lang w:val="cs-CZ"/>
              </w:rPr>
              <w:t>Plocha je vymezena za účelem přestavby současného brownfieldu pro potřeby sportu a volnočasov</w:t>
            </w:r>
            <w:r w:rsidR="00C524E5" w:rsidRPr="00461C16">
              <w:rPr>
                <w:rFonts w:ascii="Arial Narrow" w:hAnsi="Arial Narrow"/>
                <w:lang w:val="cs-CZ"/>
              </w:rPr>
              <w:t xml:space="preserve">ých aktivit. </w:t>
            </w:r>
            <w:r w:rsidRPr="00461C16">
              <w:rPr>
                <w:rFonts w:ascii="Arial Narrow" w:hAnsi="Arial Narrow"/>
                <w:lang w:val="cs-CZ"/>
              </w:rPr>
              <w:t>Záměr potvrzuje současný neoficiální způsob využití části plochy, kde je umístěn skatepark, a zároveň rozšiřuje stávající plochu sportu v přilehlém území. Realizace záměru nabídne obyvatelům města další možnosti trávení volného času a tím přispěje ke zkvalitnění podmínek pro život ve městě.</w:t>
            </w:r>
          </w:p>
        </w:tc>
      </w:tr>
      <w:tr w:rsidR="00885324" w:rsidRPr="00461C16" w14:paraId="71399BA4" w14:textId="77777777" w:rsidTr="000F7CB8">
        <w:trPr>
          <w:cantSplit/>
        </w:trPr>
        <w:tc>
          <w:tcPr>
            <w:tcW w:w="959" w:type="dxa"/>
            <w:shd w:val="clear" w:color="auto" w:fill="auto"/>
          </w:tcPr>
          <w:p w14:paraId="04E5D510" w14:textId="77777777" w:rsidR="00885324" w:rsidRPr="00461C16" w:rsidRDefault="00885324" w:rsidP="00BB3AFF">
            <w:pPr>
              <w:spacing w:before="40" w:after="40"/>
              <w:rPr>
                <w:sz w:val="20"/>
                <w:szCs w:val="20"/>
              </w:rPr>
            </w:pPr>
            <w:r w:rsidRPr="00461C16">
              <w:rPr>
                <w:sz w:val="20"/>
                <w:szCs w:val="20"/>
              </w:rPr>
              <w:t>P19</w:t>
            </w:r>
          </w:p>
        </w:tc>
        <w:tc>
          <w:tcPr>
            <w:tcW w:w="2551" w:type="dxa"/>
            <w:shd w:val="clear" w:color="auto" w:fill="auto"/>
          </w:tcPr>
          <w:p w14:paraId="002B8D06" w14:textId="77777777" w:rsidR="00885324" w:rsidRPr="00461C16" w:rsidRDefault="00885324" w:rsidP="00993450">
            <w:pPr>
              <w:spacing w:before="40" w:after="40"/>
              <w:jc w:val="left"/>
              <w:rPr>
                <w:sz w:val="20"/>
                <w:szCs w:val="20"/>
              </w:rPr>
            </w:pPr>
            <w:r w:rsidRPr="00461C16">
              <w:rPr>
                <w:sz w:val="20"/>
                <w:szCs w:val="20"/>
              </w:rPr>
              <w:t>OS – plocha občanského vybavení - sport</w:t>
            </w:r>
          </w:p>
        </w:tc>
        <w:tc>
          <w:tcPr>
            <w:tcW w:w="5778" w:type="dxa"/>
            <w:shd w:val="clear" w:color="auto" w:fill="auto"/>
          </w:tcPr>
          <w:p w14:paraId="21CDDA3A" w14:textId="77777777" w:rsidR="00885324" w:rsidRPr="00461C16" w:rsidRDefault="00885324" w:rsidP="00C524E5">
            <w:pPr>
              <w:pStyle w:val="Intabulka"/>
              <w:rPr>
                <w:rFonts w:ascii="Arial Narrow" w:hAnsi="Arial Narrow"/>
                <w:lang w:val="cs-CZ"/>
              </w:rPr>
            </w:pPr>
            <w:r w:rsidRPr="00461C16">
              <w:rPr>
                <w:rFonts w:ascii="Arial Narrow" w:hAnsi="Arial Narrow"/>
                <w:lang w:val="cs-CZ"/>
              </w:rPr>
              <w:t xml:space="preserve">Plocha je vymezena za účelem přestavby </w:t>
            </w:r>
            <w:r w:rsidR="00EF063F" w:rsidRPr="00461C16">
              <w:rPr>
                <w:rFonts w:ascii="Arial Narrow" w:hAnsi="Arial Narrow"/>
                <w:lang w:val="cs-CZ"/>
              </w:rPr>
              <w:t>současných zahrádek pro</w:t>
            </w:r>
            <w:r w:rsidRPr="00461C16">
              <w:rPr>
                <w:rFonts w:ascii="Arial Narrow" w:hAnsi="Arial Narrow"/>
                <w:lang w:val="cs-CZ"/>
              </w:rPr>
              <w:t xml:space="preserve"> potřeby</w:t>
            </w:r>
            <w:r w:rsidR="00EF063F" w:rsidRPr="00461C16">
              <w:rPr>
                <w:rFonts w:ascii="Arial Narrow" w:hAnsi="Arial Narrow"/>
                <w:lang w:val="cs-CZ"/>
              </w:rPr>
              <w:t xml:space="preserve"> sportu a volnočasových aktivit, v návaznosti na stávající plochu sportu.</w:t>
            </w:r>
            <w:r w:rsidRPr="00461C16">
              <w:rPr>
                <w:rFonts w:ascii="Arial Narrow" w:hAnsi="Arial Narrow"/>
                <w:lang w:val="cs-CZ"/>
              </w:rPr>
              <w:t xml:space="preserve"> Záměr potvrzuje </w:t>
            </w:r>
            <w:r w:rsidR="00EF063F" w:rsidRPr="00461C16">
              <w:rPr>
                <w:rFonts w:ascii="Arial Narrow" w:hAnsi="Arial Narrow"/>
                <w:lang w:val="cs-CZ"/>
              </w:rPr>
              <w:t>intenzivní zájem o sportovní vyžití, jeho realizace</w:t>
            </w:r>
            <w:r w:rsidRPr="00461C16">
              <w:rPr>
                <w:rFonts w:ascii="Arial Narrow" w:hAnsi="Arial Narrow"/>
                <w:lang w:val="cs-CZ"/>
              </w:rPr>
              <w:t xml:space="preserve"> nabídne obyvatelům města další možnosti trávení volného času a tím přispěje ke zkvalitnění podmínek pro život ve městě.</w:t>
            </w:r>
            <w:r w:rsidR="00EF063F" w:rsidRPr="00461C16">
              <w:rPr>
                <w:rFonts w:ascii="Arial Narrow" w:hAnsi="Arial Narrow"/>
                <w:lang w:val="cs-CZ"/>
              </w:rPr>
              <w:t xml:space="preserve"> Vymezení plochy je v souladu se současně platným ÚP města</w:t>
            </w:r>
            <w:r w:rsidR="00A34102" w:rsidRPr="00461C16">
              <w:rPr>
                <w:rFonts w:ascii="Arial Narrow" w:hAnsi="Arial Narrow"/>
                <w:lang w:val="cs-CZ"/>
              </w:rPr>
              <w:t>, kde již byla řádně projednána a schválena</w:t>
            </w:r>
            <w:r w:rsidR="00EF063F" w:rsidRPr="00461C16">
              <w:rPr>
                <w:rFonts w:ascii="Arial Narrow" w:hAnsi="Arial Narrow"/>
                <w:lang w:val="cs-CZ"/>
              </w:rPr>
              <w:t>.</w:t>
            </w:r>
          </w:p>
        </w:tc>
      </w:tr>
      <w:tr w:rsidR="000F4260" w:rsidRPr="00461C16" w14:paraId="0BECBACD" w14:textId="77777777" w:rsidTr="000F7CB8">
        <w:trPr>
          <w:cantSplit/>
        </w:trPr>
        <w:tc>
          <w:tcPr>
            <w:tcW w:w="959" w:type="dxa"/>
            <w:shd w:val="clear" w:color="auto" w:fill="auto"/>
          </w:tcPr>
          <w:p w14:paraId="4A14D01F" w14:textId="77777777" w:rsidR="000F4260" w:rsidRPr="00461C16" w:rsidRDefault="000F4260" w:rsidP="00BB3AFF">
            <w:pPr>
              <w:spacing w:before="40" w:after="40"/>
              <w:rPr>
                <w:sz w:val="20"/>
                <w:szCs w:val="20"/>
              </w:rPr>
            </w:pPr>
            <w:r w:rsidRPr="00461C16">
              <w:rPr>
                <w:sz w:val="20"/>
                <w:szCs w:val="20"/>
              </w:rPr>
              <w:t>P20</w:t>
            </w:r>
          </w:p>
        </w:tc>
        <w:tc>
          <w:tcPr>
            <w:tcW w:w="2551" w:type="dxa"/>
            <w:shd w:val="clear" w:color="auto" w:fill="auto"/>
          </w:tcPr>
          <w:p w14:paraId="1B8124AF" w14:textId="77777777" w:rsidR="000F4260" w:rsidRPr="00461C16" w:rsidRDefault="000F4260" w:rsidP="00993450">
            <w:pPr>
              <w:spacing w:before="40" w:after="40"/>
              <w:jc w:val="left"/>
              <w:rPr>
                <w:color w:val="000000"/>
                <w:sz w:val="20"/>
                <w:szCs w:val="20"/>
              </w:rPr>
            </w:pPr>
            <w:r w:rsidRPr="00461C16">
              <w:rPr>
                <w:color w:val="000000"/>
                <w:sz w:val="20"/>
                <w:szCs w:val="20"/>
              </w:rPr>
              <w:t>SC – plocha smíšená obytná – v centrech měst</w:t>
            </w:r>
          </w:p>
        </w:tc>
        <w:tc>
          <w:tcPr>
            <w:tcW w:w="5778" w:type="dxa"/>
            <w:shd w:val="clear" w:color="auto" w:fill="auto"/>
          </w:tcPr>
          <w:p w14:paraId="446904DF" w14:textId="77777777" w:rsidR="000F4260" w:rsidRPr="00461C16" w:rsidRDefault="000F4260" w:rsidP="00640E48">
            <w:pPr>
              <w:pStyle w:val="Intabulka"/>
              <w:rPr>
                <w:rFonts w:ascii="Arial Narrow" w:hAnsi="Arial Narrow"/>
                <w:lang w:val="cs-CZ"/>
              </w:rPr>
            </w:pPr>
            <w:r w:rsidRPr="00461C16">
              <w:rPr>
                <w:rFonts w:ascii="Arial Narrow" w:hAnsi="Arial Narrow"/>
                <w:lang w:val="cs-CZ"/>
              </w:rPr>
              <w:t xml:space="preserve">Plocha doplňuje zástavbu v ul. Nádražní, kde využití proluky směřuje k účelnému a hospodárnému využívání území. Navržený způsob využití reaguje na polohu v historickém jádru, kde je kompaktnost zástavby a polyfunkčnost využití žádoucí, pro zajištění vysoké kvality a atraktivity prostředí. Realizace záměru zároveň umožní rozšíření nabídky bydlení a </w:t>
            </w:r>
            <w:r w:rsidR="00640E48" w:rsidRPr="00461C16">
              <w:rPr>
                <w:rFonts w:ascii="Arial Narrow" w:hAnsi="Arial Narrow"/>
                <w:lang w:val="cs-CZ"/>
              </w:rPr>
              <w:t>rozšířen</w:t>
            </w:r>
            <w:r w:rsidRPr="00461C16">
              <w:rPr>
                <w:rFonts w:ascii="Arial Narrow" w:hAnsi="Arial Narrow"/>
                <w:lang w:val="cs-CZ"/>
              </w:rPr>
              <w:t>í infrastruktury služeb pro obyvatele města.</w:t>
            </w:r>
            <w:r w:rsidR="00B345B4" w:rsidRPr="00461C16">
              <w:rPr>
                <w:rFonts w:ascii="Arial Narrow" w:hAnsi="Arial Narrow"/>
                <w:lang w:val="cs-CZ"/>
              </w:rPr>
              <w:t xml:space="preserve"> </w:t>
            </w:r>
          </w:p>
        </w:tc>
      </w:tr>
      <w:tr w:rsidR="00D95069" w:rsidRPr="00461C16" w14:paraId="3F8CCE45" w14:textId="77777777" w:rsidTr="000F7CB8">
        <w:trPr>
          <w:cantSplit/>
        </w:trPr>
        <w:tc>
          <w:tcPr>
            <w:tcW w:w="959" w:type="dxa"/>
            <w:shd w:val="clear" w:color="auto" w:fill="auto"/>
          </w:tcPr>
          <w:p w14:paraId="13C71182" w14:textId="77777777" w:rsidR="00D95069" w:rsidRPr="00461C16" w:rsidRDefault="00D95069" w:rsidP="00BB3AFF">
            <w:pPr>
              <w:spacing w:before="40" w:after="40"/>
              <w:rPr>
                <w:sz w:val="20"/>
                <w:szCs w:val="20"/>
              </w:rPr>
            </w:pPr>
            <w:r w:rsidRPr="00461C16">
              <w:rPr>
                <w:sz w:val="20"/>
                <w:szCs w:val="20"/>
              </w:rPr>
              <w:t>P21</w:t>
            </w:r>
          </w:p>
        </w:tc>
        <w:tc>
          <w:tcPr>
            <w:tcW w:w="2551" w:type="dxa"/>
            <w:shd w:val="clear" w:color="auto" w:fill="auto"/>
          </w:tcPr>
          <w:p w14:paraId="56F76332" w14:textId="77777777" w:rsidR="00D95069" w:rsidRPr="00461C16" w:rsidRDefault="00D95069" w:rsidP="00993450">
            <w:pPr>
              <w:spacing w:before="40" w:after="40"/>
              <w:jc w:val="left"/>
              <w:rPr>
                <w:color w:val="000000"/>
                <w:sz w:val="20"/>
                <w:szCs w:val="20"/>
              </w:rPr>
            </w:pPr>
            <w:r w:rsidRPr="00461C16">
              <w:rPr>
                <w:color w:val="000000"/>
                <w:sz w:val="20"/>
                <w:szCs w:val="20"/>
              </w:rPr>
              <w:t>PX – veřejné prostranství - komunikace</w:t>
            </w:r>
          </w:p>
        </w:tc>
        <w:tc>
          <w:tcPr>
            <w:tcW w:w="5778" w:type="dxa"/>
            <w:shd w:val="clear" w:color="auto" w:fill="auto"/>
          </w:tcPr>
          <w:p w14:paraId="6BA54D21" w14:textId="77777777" w:rsidR="00D95069" w:rsidRPr="00461C16" w:rsidRDefault="0099414C" w:rsidP="00BB3AFF">
            <w:pPr>
              <w:pStyle w:val="Intabulka"/>
              <w:rPr>
                <w:rFonts w:ascii="Arial Narrow" w:hAnsi="Arial Narrow"/>
                <w:color w:val="FF0000"/>
                <w:lang w:val="cs-CZ"/>
              </w:rPr>
            </w:pPr>
            <w:r w:rsidRPr="00461C16">
              <w:rPr>
                <w:rFonts w:ascii="Arial Narrow" w:hAnsi="Arial Narrow"/>
                <w:lang w:val="cs-CZ"/>
              </w:rPr>
              <w:t xml:space="preserve">Plocha je vymezena </w:t>
            </w:r>
            <w:r w:rsidRPr="00461C16">
              <w:rPr>
                <w:rFonts w:ascii="Arial Narrow" w:hAnsi="Arial Narrow"/>
              </w:rPr>
              <w:t xml:space="preserve">pro veřejné parkoviště </w:t>
            </w:r>
            <w:r w:rsidRPr="00461C16">
              <w:rPr>
                <w:rFonts w:ascii="Arial Narrow" w:hAnsi="Arial Narrow"/>
                <w:lang w:val="cs-CZ"/>
              </w:rPr>
              <w:t>pro zajištění dostatečného počtu parkovacích míst v centrální části sídliště v Liberecké ulici.</w:t>
            </w:r>
          </w:p>
        </w:tc>
      </w:tr>
      <w:tr w:rsidR="00D95069" w:rsidRPr="00461C16" w14:paraId="50689C8C" w14:textId="77777777" w:rsidTr="000F7CB8">
        <w:trPr>
          <w:cantSplit/>
        </w:trPr>
        <w:tc>
          <w:tcPr>
            <w:tcW w:w="959" w:type="dxa"/>
            <w:shd w:val="clear" w:color="auto" w:fill="auto"/>
          </w:tcPr>
          <w:p w14:paraId="17D1FA78" w14:textId="77777777" w:rsidR="00D95069" w:rsidRPr="00461C16" w:rsidRDefault="00D95069" w:rsidP="00BB3AFF">
            <w:pPr>
              <w:spacing w:before="40" w:after="40"/>
              <w:rPr>
                <w:sz w:val="20"/>
                <w:szCs w:val="20"/>
              </w:rPr>
            </w:pPr>
            <w:r w:rsidRPr="00461C16">
              <w:rPr>
                <w:sz w:val="20"/>
                <w:szCs w:val="20"/>
              </w:rPr>
              <w:t>P22</w:t>
            </w:r>
          </w:p>
        </w:tc>
        <w:tc>
          <w:tcPr>
            <w:tcW w:w="2551" w:type="dxa"/>
            <w:shd w:val="clear" w:color="auto" w:fill="auto"/>
          </w:tcPr>
          <w:p w14:paraId="6D82996B" w14:textId="77777777" w:rsidR="00D95069" w:rsidRPr="00461C16" w:rsidRDefault="00D95069" w:rsidP="00993450">
            <w:pPr>
              <w:spacing w:before="40" w:after="40"/>
              <w:jc w:val="left"/>
              <w:rPr>
                <w:color w:val="000000"/>
                <w:sz w:val="20"/>
                <w:szCs w:val="20"/>
              </w:rPr>
            </w:pPr>
            <w:r w:rsidRPr="00461C16">
              <w:rPr>
                <w:color w:val="000000"/>
                <w:sz w:val="20"/>
                <w:szCs w:val="20"/>
              </w:rPr>
              <w:t>SM – plocha smíšená obytná - městská</w:t>
            </w:r>
          </w:p>
        </w:tc>
        <w:tc>
          <w:tcPr>
            <w:tcW w:w="5778" w:type="dxa"/>
            <w:shd w:val="clear" w:color="auto" w:fill="auto"/>
          </w:tcPr>
          <w:p w14:paraId="4644972E" w14:textId="77777777" w:rsidR="00D95069" w:rsidRPr="00461C16" w:rsidRDefault="001B34CD" w:rsidP="00837D4B">
            <w:pPr>
              <w:pStyle w:val="Intabulka"/>
              <w:rPr>
                <w:rFonts w:ascii="Arial Narrow" w:hAnsi="Arial Narrow"/>
                <w:lang w:val="cs-CZ"/>
              </w:rPr>
            </w:pPr>
            <w:r w:rsidRPr="00461C16">
              <w:rPr>
                <w:rFonts w:ascii="Arial Narrow" w:hAnsi="Arial Narrow"/>
                <w:lang w:val="cs-CZ"/>
              </w:rPr>
              <w:t>Plocha je vymezena v proluce mezi smíšenou zástavbou podél ul. Liberecká</w:t>
            </w:r>
            <w:r w:rsidR="00837D4B">
              <w:rPr>
                <w:rFonts w:ascii="Arial Narrow" w:hAnsi="Arial Narrow"/>
                <w:lang w:val="cs-CZ"/>
              </w:rPr>
              <w:t>, hřbitovem</w:t>
            </w:r>
            <w:r w:rsidRPr="00461C16">
              <w:rPr>
                <w:rFonts w:ascii="Arial Narrow" w:hAnsi="Arial Narrow"/>
                <w:lang w:val="cs-CZ"/>
              </w:rPr>
              <w:t xml:space="preserve"> a obytnou zástavbou v lokalitě Zlatá Výšina. Využití proluky směřuje k účelnému a hospodárnému využívání území a k posílení kompaktnosti území. Plocha doplňuje smíšenou obytnou zástavbu v navazujícím území podél ul. Liberecká, přispívá k uspokojení poptávky po nových plochách pro bydlení a zároveň umožňuje lokalizaci dalších služeb, s cílem zvýšení kvality podmínek pro život ve městě. </w:t>
            </w:r>
          </w:p>
        </w:tc>
      </w:tr>
      <w:tr w:rsidR="00D95069" w:rsidRPr="00461C16" w14:paraId="14C30C93" w14:textId="77777777" w:rsidTr="000F7CB8">
        <w:trPr>
          <w:cantSplit/>
        </w:trPr>
        <w:tc>
          <w:tcPr>
            <w:tcW w:w="959" w:type="dxa"/>
            <w:shd w:val="clear" w:color="auto" w:fill="auto"/>
          </w:tcPr>
          <w:p w14:paraId="584A82B8" w14:textId="77777777" w:rsidR="00D95069" w:rsidRPr="00461C16" w:rsidRDefault="00D95069" w:rsidP="00BB3AFF">
            <w:pPr>
              <w:spacing w:before="40" w:after="40"/>
              <w:rPr>
                <w:sz w:val="20"/>
                <w:szCs w:val="20"/>
              </w:rPr>
            </w:pPr>
            <w:r w:rsidRPr="00461C16">
              <w:rPr>
                <w:sz w:val="20"/>
                <w:szCs w:val="20"/>
              </w:rPr>
              <w:t>P25</w:t>
            </w:r>
          </w:p>
        </w:tc>
        <w:tc>
          <w:tcPr>
            <w:tcW w:w="2551" w:type="dxa"/>
            <w:shd w:val="clear" w:color="auto" w:fill="auto"/>
          </w:tcPr>
          <w:p w14:paraId="3D85C135" w14:textId="77777777" w:rsidR="00D95069" w:rsidRPr="00461C16" w:rsidRDefault="00D95069" w:rsidP="007F3BF3">
            <w:pPr>
              <w:spacing w:before="40" w:after="40"/>
              <w:jc w:val="left"/>
              <w:rPr>
                <w:sz w:val="20"/>
                <w:szCs w:val="20"/>
              </w:rPr>
            </w:pPr>
            <w:r w:rsidRPr="00461C16">
              <w:rPr>
                <w:sz w:val="20"/>
                <w:szCs w:val="20"/>
              </w:rPr>
              <w:t>SM – plocha smíšená obytná - městská</w:t>
            </w:r>
          </w:p>
        </w:tc>
        <w:tc>
          <w:tcPr>
            <w:tcW w:w="5778" w:type="dxa"/>
            <w:shd w:val="clear" w:color="auto" w:fill="auto"/>
          </w:tcPr>
          <w:p w14:paraId="4F51EB77" w14:textId="77777777" w:rsidR="00D95069" w:rsidRPr="00461C16" w:rsidRDefault="007F3BF3" w:rsidP="001D0B5A">
            <w:pPr>
              <w:pStyle w:val="Intabulka"/>
              <w:rPr>
                <w:rFonts w:ascii="Arial Narrow" w:hAnsi="Arial Narrow"/>
                <w:lang w:val="cs-CZ"/>
              </w:rPr>
            </w:pPr>
            <w:r w:rsidRPr="00461C16">
              <w:rPr>
                <w:rFonts w:ascii="Arial Narrow" w:hAnsi="Arial Narrow"/>
                <w:lang w:val="cs-CZ"/>
              </w:rPr>
              <w:t>Ploch</w:t>
            </w:r>
            <w:r w:rsidR="001D0B5A" w:rsidRPr="00461C16">
              <w:rPr>
                <w:rFonts w:ascii="Arial Narrow" w:hAnsi="Arial Narrow"/>
                <w:lang w:val="cs-CZ"/>
              </w:rPr>
              <w:t>a</w:t>
            </w:r>
            <w:r w:rsidRPr="00461C16">
              <w:rPr>
                <w:rFonts w:ascii="Arial Narrow" w:hAnsi="Arial Narrow"/>
                <w:lang w:val="cs-CZ"/>
              </w:rPr>
              <w:t xml:space="preserve"> využívá proluku v zástavbě ve východní části města, mezi ul. Liberecká a hřbitovem. V souladu se způsobem využití navazujícího území podél ul. Liberecká navrhuje doplnění smíšené obytné zástavby, čímž účelně využívá prostorovou rezervu a přispívá ke scelení a posílení kompaktnosti zástavby. Z</w:t>
            </w:r>
            <w:r w:rsidR="001D0B5A" w:rsidRPr="00461C16">
              <w:rPr>
                <w:rFonts w:ascii="Arial Narrow" w:hAnsi="Arial Narrow"/>
                <w:lang w:val="cs-CZ"/>
              </w:rPr>
              <w:t xml:space="preserve">větší </w:t>
            </w:r>
            <w:r w:rsidRPr="00461C16">
              <w:rPr>
                <w:rFonts w:ascii="Arial Narrow" w:hAnsi="Arial Narrow"/>
                <w:lang w:val="cs-CZ"/>
              </w:rPr>
              <w:t>části je plocha vymezena v souladu se zastavovací studií „Hrádek nad Nisou - Lokalita mezi ul. Libereckou a hřbitovem“ (Atelier 4 s.r.o., 09/2016).</w:t>
            </w:r>
          </w:p>
        </w:tc>
      </w:tr>
      <w:tr w:rsidR="00BB77AA" w:rsidRPr="00461C16" w14:paraId="04EB3604" w14:textId="77777777" w:rsidTr="000F7CB8">
        <w:trPr>
          <w:cantSplit/>
        </w:trPr>
        <w:tc>
          <w:tcPr>
            <w:tcW w:w="959" w:type="dxa"/>
            <w:shd w:val="clear" w:color="auto" w:fill="auto"/>
          </w:tcPr>
          <w:p w14:paraId="19C61CCD" w14:textId="77777777" w:rsidR="00BB77AA" w:rsidRPr="00461C16" w:rsidRDefault="00BB77AA" w:rsidP="00BB3AFF">
            <w:pPr>
              <w:spacing w:before="40" w:after="40"/>
              <w:rPr>
                <w:sz w:val="20"/>
                <w:szCs w:val="20"/>
              </w:rPr>
            </w:pPr>
            <w:r w:rsidRPr="00461C16">
              <w:rPr>
                <w:sz w:val="20"/>
                <w:szCs w:val="20"/>
              </w:rPr>
              <w:t>P26</w:t>
            </w:r>
          </w:p>
        </w:tc>
        <w:tc>
          <w:tcPr>
            <w:tcW w:w="2551" w:type="dxa"/>
            <w:shd w:val="clear" w:color="auto" w:fill="auto"/>
          </w:tcPr>
          <w:p w14:paraId="604B9D31" w14:textId="77777777" w:rsidR="00BB77AA" w:rsidRPr="00461C16" w:rsidRDefault="00BB77AA" w:rsidP="00993450">
            <w:pPr>
              <w:spacing w:before="40" w:after="40"/>
              <w:jc w:val="left"/>
              <w:rPr>
                <w:color w:val="000000"/>
                <w:sz w:val="20"/>
                <w:szCs w:val="20"/>
              </w:rPr>
            </w:pPr>
            <w:r w:rsidRPr="00461C16">
              <w:rPr>
                <w:color w:val="000000"/>
                <w:sz w:val="20"/>
                <w:szCs w:val="20"/>
              </w:rPr>
              <w:t>SM – plocha smíšená obytná - městská</w:t>
            </w:r>
          </w:p>
        </w:tc>
        <w:tc>
          <w:tcPr>
            <w:tcW w:w="5778" w:type="dxa"/>
            <w:shd w:val="clear" w:color="auto" w:fill="auto"/>
          </w:tcPr>
          <w:p w14:paraId="4FDA4DE5" w14:textId="77777777" w:rsidR="00BB77AA" w:rsidRPr="00461C16" w:rsidRDefault="00BB77AA" w:rsidP="003E1A9D">
            <w:pPr>
              <w:pStyle w:val="Intabulka"/>
              <w:rPr>
                <w:rFonts w:ascii="Arial Narrow" w:hAnsi="Arial Narrow"/>
                <w:lang w:val="cs-CZ"/>
              </w:rPr>
            </w:pPr>
            <w:r w:rsidRPr="00461C16">
              <w:rPr>
                <w:rFonts w:ascii="Arial Narrow" w:hAnsi="Arial Narrow"/>
                <w:lang w:val="cs-CZ"/>
              </w:rPr>
              <w:t>Plocha je vymezena v proluce mezi smíšenou zástavbou podél ul. Liberecká a</w:t>
            </w:r>
            <w:r w:rsidR="00E80B77" w:rsidRPr="00461C16">
              <w:rPr>
                <w:rFonts w:ascii="Arial Narrow" w:hAnsi="Arial Narrow"/>
                <w:lang w:val="cs-CZ"/>
              </w:rPr>
              <w:t xml:space="preserve"> stabilizovanou</w:t>
            </w:r>
            <w:r w:rsidRPr="00461C16">
              <w:rPr>
                <w:rFonts w:ascii="Arial Narrow" w:hAnsi="Arial Narrow"/>
                <w:lang w:val="cs-CZ"/>
              </w:rPr>
              <w:t xml:space="preserve"> zahrádkovou osadou na jižním okraji části Hrádek nad Nisou. Využití proluky směřuje k účelnému a hospodárnému využívání území a k posílení kompaktnosti území. Návrh přestavby </w:t>
            </w:r>
            <w:r w:rsidR="00E80B77" w:rsidRPr="00461C16">
              <w:rPr>
                <w:rFonts w:ascii="Arial Narrow" w:hAnsi="Arial Narrow"/>
                <w:lang w:val="cs-CZ"/>
              </w:rPr>
              <w:t xml:space="preserve">současné </w:t>
            </w:r>
            <w:r w:rsidRPr="00461C16">
              <w:rPr>
                <w:rFonts w:ascii="Arial Narrow" w:hAnsi="Arial Narrow"/>
                <w:lang w:val="cs-CZ"/>
              </w:rPr>
              <w:t>rekreační zástavby na smíšené městské území reaguje na polohu plochy na jedné z hlavních urbanistických os města a v blízkosti jeho centra. Plocha zároveň doplňuje již existující smíšenou obytnou zástavbu v navazujícím území podél ul. Liberecká. Realizace záměru přispěje k uspokojení poptávky po nových plochách pro bydlení a zároveň umožní lokalizaci dalších služeb, s cílem zvýšení kvality podmínek pro život ve městě. Plocha je vymezena v souladu se současně platným ÚP města</w:t>
            </w:r>
            <w:r w:rsidR="00A34102" w:rsidRPr="00461C16">
              <w:rPr>
                <w:rFonts w:ascii="Arial Narrow" w:hAnsi="Arial Narrow"/>
                <w:lang w:val="cs-CZ"/>
              </w:rPr>
              <w:t>, kde již byla řádně projednána a schválena</w:t>
            </w:r>
            <w:r w:rsidR="003E1A9D" w:rsidRPr="00461C16">
              <w:rPr>
                <w:rFonts w:ascii="Arial Narrow" w:hAnsi="Arial Narrow"/>
                <w:lang w:val="cs-CZ"/>
              </w:rPr>
              <w:t>.</w:t>
            </w:r>
            <w:r w:rsidRPr="00461C16">
              <w:rPr>
                <w:rFonts w:ascii="Arial Narrow" w:hAnsi="Arial Narrow"/>
                <w:lang w:val="cs-CZ"/>
              </w:rPr>
              <w:t xml:space="preserve"> </w:t>
            </w:r>
          </w:p>
        </w:tc>
      </w:tr>
      <w:tr w:rsidR="00840E6F" w:rsidRPr="00461C16" w14:paraId="3B95D9CA" w14:textId="77777777" w:rsidTr="000F7CB8">
        <w:trPr>
          <w:cantSplit/>
        </w:trPr>
        <w:tc>
          <w:tcPr>
            <w:tcW w:w="959" w:type="dxa"/>
            <w:shd w:val="clear" w:color="auto" w:fill="auto"/>
          </w:tcPr>
          <w:p w14:paraId="4E83F98A" w14:textId="77777777" w:rsidR="00840E6F" w:rsidRPr="00461C16" w:rsidRDefault="00840E6F" w:rsidP="00BB3AFF">
            <w:pPr>
              <w:spacing w:before="40" w:after="40"/>
              <w:rPr>
                <w:sz w:val="20"/>
                <w:szCs w:val="20"/>
              </w:rPr>
            </w:pPr>
            <w:r w:rsidRPr="00461C16">
              <w:rPr>
                <w:sz w:val="20"/>
                <w:szCs w:val="20"/>
              </w:rPr>
              <w:t>P27</w:t>
            </w:r>
          </w:p>
        </w:tc>
        <w:tc>
          <w:tcPr>
            <w:tcW w:w="2551" w:type="dxa"/>
            <w:shd w:val="clear" w:color="auto" w:fill="auto"/>
          </w:tcPr>
          <w:p w14:paraId="380904EA" w14:textId="77777777" w:rsidR="00840E6F" w:rsidRPr="00461C16" w:rsidRDefault="00840E6F" w:rsidP="00993450">
            <w:pPr>
              <w:spacing w:before="40" w:after="40"/>
              <w:jc w:val="left"/>
              <w:rPr>
                <w:color w:val="000000"/>
                <w:sz w:val="20"/>
                <w:szCs w:val="20"/>
              </w:rPr>
            </w:pPr>
            <w:r w:rsidRPr="00461C16">
              <w:rPr>
                <w:color w:val="000000"/>
                <w:sz w:val="20"/>
                <w:szCs w:val="20"/>
              </w:rPr>
              <w:t>BI – bydlení městské a příměstské</w:t>
            </w:r>
          </w:p>
        </w:tc>
        <w:tc>
          <w:tcPr>
            <w:tcW w:w="5778" w:type="dxa"/>
            <w:shd w:val="clear" w:color="auto" w:fill="auto"/>
          </w:tcPr>
          <w:p w14:paraId="4D0E606B" w14:textId="77777777" w:rsidR="00840E6F" w:rsidRPr="00461C16" w:rsidRDefault="00840E6F" w:rsidP="00840E6F">
            <w:pPr>
              <w:pStyle w:val="Intabulka"/>
              <w:rPr>
                <w:rFonts w:ascii="Arial Narrow" w:hAnsi="Arial Narrow"/>
                <w:lang w:val="cs-CZ"/>
              </w:rPr>
            </w:pPr>
            <w:r w:rsidRPr="00461C16">
              <w:rPr>
                <w:rFonts w:ascii="Arial Narrow" w:hAnsi="Arial Narrow"/>
                <w:lang w:val="cs-CZ"/>
              </w:rPr>
              <w:t>Plocha je vymezena v proluce mezi zahrádkovou osadou, stávající obytnou zástavbou v ul. Polní a koridorem dráhy. Využití proluky směřuje k účelnému a hospodárnému využívání území, k posílení kompaktnosti území a ke scelení zástavby. Plocha umožňuje rozšíření stabilizované zástavby rodinných domů podél ul. Polní a přispívá k uspokojení poptávky po nových plochách pro bydlení a zároveň ke zvýšení kvality a komfortu bydlení ve městě. Plocha je vymezena v souladu se současně platným ÚP města</w:t>
            </w:r>
            <w:r w:rsidR="00A34102" w:rsidRPr="00461C16">
              <w:rPr>
                <w:rFonts w:ascii="Arial Narrow" w:hAnsi="Arial Narrow"/>
                <w:lang w:val="cs-CZ"/>
              </w:rPr>
              <w:t>, kde již byla řádně projednána a schválena</w:t>
            </w:r>
            <w:r w:rsidRPr="00461C16">
              <w:rPr>
                <w:rFonts w:ascii="Arial Narrow" w:hAnsi="Arial Narrow"/>
                <w:lang w:val="cs-CZ"/>
              </w:rPr>
              <w:t xml:space="preserve">. </w:t>
            </w:r>
          </w:p>
        </w:tc>
      </w:tr>
      <w:tr w:rsidR="00D95069" w:rsidRPr="00461C16" w14:paraId="42357CCE" w14:textId="77777777" w:rsidTr="000F7CB8">
        <w:trPr>
          <w:cantSplit/>
        </w:trPr>
        <w:tc>
          <w:tcPr>
            <w:tcW w:w="959" w:type="dxa"/>
            <w:shd w:val="clear" w:color="auto" w:fill="auto"/>
          </w:tcPr>
          <w:p w14:paraId="7ED0E9F4" w14:textId="77777777" w:rsidR="00D95069" w:rsidRPr="00461C16" w:rsidRDefault="00D95069" w:rsidP="00BB3AFF">
            <w:pPr>
              <w:spacing w:before="40" w:after="40"/>
              <w:rPr>
                <w:sz w:val="20"/>
                <w:szCs w:val="20"/>
              </w:rPr>
            </w:pPr>
            <w:r w:rsidRPr="00461C16">
              <w:rPr>
                <w:sz w:val="20"/>
                <w:szCs w:val="20"/>
              </w:rPr>
              <w:lastRenderedPageBreak/>
              <w:t>P28</w:t>
            </w:r>
          </w:p>
        </w:tc>
        <w:tc>
          <w:tcPr>
            <w:tcW w:w="2551" w:type="dxa"/>
            <w:shd w:val="clear" w:color="auto" w:fill="auto"/>
          </w:tcPr>
          <w:p w14:paraId="2FAC3219" w14:textId="77777777" w:rsidR="00D95069" w:rsidRPr="00461C16" w:rsidRDefault="00D95069" w:rsidP="00993450">
            <w:pPr>
              <w:spacing w:before="40" w:after="40"/>
              <w:jc w:val="left"/>
              <w:rPr>
                <w:color w:val="000000"/>
                <w:sz w:val="20"/>
                <w:szCs w:val="20"/>
              </w:rPr>
            </w:pPr>
            <w:r w:rsidRPr="00461C16">
              <w:rPr>
                <w:color w:val="000000"/>
                <w:sz w:val="20"/>
                <w:szCs w:val="20"/>
              </w:rPr>
              <w:t>SM – plocha smíšená obytná - městská</w:t>
            </w:r>
          </w:p>
        </w:tc>
        <w:tc>
          <w:tcPr>
            <w:tcW w:w="5778" w:type="dxa"/>
            <w:shd w:val="clear" w:color="auto" w:fill="auto"/>
          </w:tcPr>
          <w:p w14:paraId="7C0AB7AE" w14:textId="77777777" w:rsidR="00D95069" w:rsidRPr="00461C16" w:rsidRDefault="00790BBE" w:rsidP="00790BBE">
            <w:pPr>
              <w:pStyle w:val="Intabulka"/>
              <w:rPr>
                <w:rFonts w:ascii="Arial Narrow" w:hAnsi="Arial Narrow"/>
                <w:lang w:val="cs-CZ"/>
              </w:rPr>
            </w:pPr>
            <w:r w:rsidRPr="00461C16">
              <w:rPr>
                <w:rFonts w:ascii="Arial Narrow" w:hAnsi="Arial Narrow"/>
                <w:lang w:val="cs-CZ"/>
              </w:rPr>
              <w:t>Plocha je vymezena za účelem přestavby současného brownfieldu po ukončené výrobě na smíšené městské území, s ohledem na polohu v blízkosti centra města a na charakter navazující zástavby. Přestavba z větší části nevyužívaného území a jeho integrace do smíšených městských ploch přispěje k ozdravění území, posílení kompaktnosti zástavby a celkovému zvýšení atraktivity území.</w:t>
            </w:r>
          </w:p>
        </w:tc>
      </w:tr>
      <w:tr w:rsidR="00E80B77" w:rsidRPr="00461C16" w14:paraId="16F4859A" w14:textId="77777777" w:rsidTr="000F7CB8">
        <w:trPr>
          <w:cantSplit/>
        </w:trPr>
        <w:tc>
          <w:tcPr>
            <w:tcW w:w="959" w:type="dxa"/>
            <w:shd w:val="clear" w:color="auto" w:fill="auto"/>
          </w:tcPr>
          <w:p w14:paraId="1901C893" w14:textId="77777777" w:rsidR="00E80B77" w:rsidRPr="00461C16" w:rsidRDefault="00E80B77" w:rsidP="00BB3AFF">
            <w:pPr>
              <w:spacing w:before="40" w:after="40"/>
              <w:rPr>
                <w:sz w:val="20"/>
                <w:szCs w:val="20"/>
              </w:rPr>
            </w:pPr>
            <w:r w:rsidRPr="00461C16">
              <w:rPr>
                <w:sz w:val="20"/>
                <w:szCs w:val="20"/>
              </w:rPr>
              <w:t>P29</w:t>
            </w:r>
          </w:p>
        </w:tc>
        <w:tc>
          <w:tcPr>
            <w:tcW w:w="2551" w:type="dxa"/>
            <w:shd w:val="clear" w:color="auto" w:fill="auto"/>
          </w:tcPr>
          <w:p w14:paraId="74786BCB" w14:textId="77777777" w:rsidR="00E80B77" w:rsidRPr="00461C16" w:rsidRDefault="00E80B77" w:rsidP="00993450">
            <w:pPr>
              <w:spacing w:before="40" w:after="40"/>
              <w:jc w:val="left"/>
              <w:rPr>
                <w:color w:val="000000"/>
                <w:sz w:val="20"/>
                <w:szCs w:val="20"/>
              </w:rPr>
            </w:pPr>
            <w:r w:rsidRPr="00461C16">
              <w:rPr>
                <w:color w:val="000000"/>
                <w:sz w:val="20"/>
                <w:szCs w:val="20"/>
              </w:rPr>
              <w:t>SM – plocha smíšená obytná - městská</w:t>
            </w:r>
          </w:p>
        </w:tc>
        <w:tc>
          <w:tcPr>
            <w:tcW w:w="5778" w:type="dxa"/>
            <w:shd w:val="clear" w:color="auto" w:fill="auto"/>
          </w:tcPr>
          <w:p w14:paraId="4ACC3405" w14:textId="77777777" w:rsidR="00E80B77" w:rsidRPr="00461C16" w:rsidRDefault="00E80B77" w:rsidP="000715C3">
            <w:pPr>
              <w:pStyle w:val="Intabulka"/>
              <w:rPr>
                <w:rFonts w:ascii="Arial Narrow" w:hAnsi="Arial Narrow"/>
                <w:lang w:val="cs-CZ"/>
              </w:rPr>
            </w:pPr>
            <w:r w:rsidRPr="00461C16">
              <w:rPr>
                <w:rFonts w:ascii="Arial Narrow" w:hAnsi="Arial Narrow"/>
                <w:lang w:val="cs-CZ"/>
              </w:rPr>
              <w:t>Plocha je vymezena v rozsahu zahrádkové osady mezi ulicemi Hladká – Železná – Souběžná – Příčná</w:t>
            </w:r>
            <w:r w:rsidR="000715C3" w:rsidRPr="00461C16">
              <w:rPr>
                <w:rFonts w:ascii="Arial Narrow" w:hAnsi="Arial Narrow"/>
                <w:lang w:val="cs-CZ"/>
              </w:rPr>
              <w:t>, v části Donín</w:t>
            </w:r>
            <w:r w:rsidRPr="00461C16">
              <w:rPr>
                <w:rFonts w:ascii="Arial Narrow" w:hAnsi="Arial Narrow"/>
                <w:lang w:val="cs-CZ"/>
              </w:rPr>
              <w:t xml:space="preserve">. Návrh přestavby rekreační zástavby na smíšené městské území reaguje na charakter navazujícího </w:t>
            </w:r>
            <w:r w:rsidR="000715C3" w:rsidRPr="00461C16">
              <w:rPr>
                <w:rFonts w:ascii="Arial Narrow" w:hAnsi="Arial Narrow"/>
                <w:lang w:val="cs-CZ"/>
              </w:rPr>
              <w:t xml:space="preserve">území a směřuje </w:t>
            </w:r>
            <w:r w:rsidRPr="00461C16">
              <w:rPr>
                <w:rFonts w:ascii="Arial Narrow" w:hAnsi="Arial Narrow"/>
                <w:lang w:val="cs-CZ"/>
              </w:rPr>
              <w:t>k</w:t>
            </w:r>
            <w:r w:rsidR="000715C3" w:rsidRPr="00461C16">
              <w:rPr>
                <w:rFonts w:ascii="Arial Narrow" w:hAnsi="Arial Narrow"/>
                <w:lang w:val="cs-CZ"/>
              </w:rPr>
              <w:t xml:space="preserve"> racionalizaci využití a </w:t>
            </w:r>
            <w:r w:rsidRPr="00461C16">
              <w:rPr>
                <w:rFonts w:ascii="Arial Narrow" w:hAnsi="Arial Narrow"/>
                <w:lang w:val="cs-CZ"/>
              </w:rPr>
              <w:t>posílení kompaktnosti území. Realizace záměru přispěje k uspokojení poptávky po nových plochách pro bydlení a zároveň umožní lokalizaci dalších služeb, s cílem zvýšení kvality podmínek pro život ve městě. Plocha je vymezena v souladu se současně platným ÚP města</w:t>
            </w:r>
            <w:r w:rsidR="00A34102" w:rsidRPr="00461C16">
              <w:rPr>
                <w:rFonts w:ascii="Arial Narrow" w:hAnsi="Arial Narrow"/>
                <w:lang w:val="cs-CZ"/>
              </w:rPr>
              <w:t>, kde již byla řádně projednána a schválena</w:t>
            </w:r>
            <w:r w:rsidRPr="00461C16">
              <w:rPr>
                <w:rFonts w:ascii="Arial Narrow" w:hAnsi="Arial Narrow"/>
                <w:lang w:val="cs-CZ"/>
              </w:rPr>
              <w:t xml:space="preserve">. </w:t>
            </w:r>
          </w:p>
        </w:tc>
      </w:tr>
      <w:tr w:rsidR="00D95069" w:rsidRPr="00461C16" w14:paraId="4416A9F8" w14:textId="77777777" w:rsidTr="000F7CB8">
        <w:trPr>
          <w:cantSplit/>
        </w:trPr>
        <w:tc>
          <w:tcPr>
            <w:tcW w:w="959" w:type="dxa"/>
            <w:shd w:val="clear" w:color="auto" w:fill="auto"/>
          </w:tcPr>
          <w:p w14:paraId="3DB619FF" w14:textId="77777777" w:rsidR="00D95069" w:rsidRPr="00461C16" w:rsidRDefault="00D95069" w:rsidP="00BB3AFF">
            <w:pPr>
              <w:spacing w:before="40" w:after="40"/>
              <w:rPr>
                <w:sz w:val="20"/>
                <w:szCs w:val="20"/>
              </w:rPr>
            </w:pPr>
            <w:r w:rsidRPr="00461C16">
              <w:rPr>
                <w:sz w:val="20"/>
                <w:szCs w:val="20"/>
              </w:rPr>
              <w:t>P30</w:t>
            </w:r>
          </w:p>
        </w:tc>
        <w:tc>
          <w:tcPr>
            <w:tcW w:w="2551" w:type="dxa"/>
            <w:shd w:val="clear" w:color="auto" w:fill="auto"/>
          </w:tcPr>
          <w:p w14:paraId="0E101632" w14:textId="77777777" w:rsidR="00D95069" w:rsidRPr="00461C16" w:rsidRDefault="00D95069" w:rsidP="00993450">
            <w:pPr>
              <w:spacing w:before="40" w:after="40"/>
              <w:jc w:val="left"/>
              <w:rPr>
                <w:color w:val="000000"/>
                <w:sz w:val="20"/>
                <w:szCs w:val="20"/>
              </w:rPr>
            </w:pPr>
            <w:r w:rsidRPr="00461C16">
              <w:rPr>
                <w:color w:val="000000"/>
                <w:sz w:val="20"/>
                <w:szCs w:val="20"/>
              </w:rPr>
              <w:t>BI – bydlení městské a příměstské</w:t>
            </w:r>
          </w:p>
        </w:tc>
        <w:tc>
          <w:tcPr>
            <w:tcW w:w="5778" w:type="dxa"/>
            <w:shd w:val="clear" w:color="auto" w:fill="auto"/>
          </w:tcPr>
          <w:p w14:paraId="1A302561" w14:textId="77777777" w:rsidR="00D95069" w:rsidRPr="00461C16" w:rsidRDefault="000715C3" w:rsidP="000715C3">
            <w:pPr>
              <w:pStyle w:val="Intabulka"/>
              <w:rPr>
                <w:rFonts w:ascii="Arial Narrow" w:hAnsi="Arial Narrow"/>
                <w:lang w:val="cs-CZ"/>
              </w:rPr>
            </w:pPr>
            <w:r w:rsidRPr="00461C16">
              <w:rPr>
                <w:rFonts w:ascii="Arial Narrow" w:hAnsi="Arial Narrow"/>
                <w:lang w:val="cs-CZ"/>
              </w:rPr>
              <w:t>Plocha je vymezena v části bývalého výrobního areálu Kortan, který je v současné době nevyužívaný a má charakter brownfield.</w:t>
            </w:r>
            <w:r w:rsidR="00B345B4" w:rsidRPr="00461C16">
              <w:rPr>
                <w:rFonts w:ascii="Arial Narrow" w:hAnsi="Arial Narrow"/>
                <w:lang w:val="cs-CZ"/>
              </w:rPr>
              <w:t xml:space="preserve"> </w:t>
            </w:r>
            <w:r w:rsidRPr="00461C16">
              <w:rPr>
                <w:rFonts w:ascii="Arial Narrow" w:hAnsi="Arial Narrow"/>
                <w:lang w:val="cs-CZ"/>
              </w:rPr>
              <w:t>Využití proluky směřuje k účelnému a hospodárnému využívání území, k posílení kompaktnosti území a ke scelení zástavby. Plocha je navržena k rozvoji bydlení, v souladu s charakterem navazujících ploch s nízkopodlažní obytnou zástavbou. Realizace záměru umožní uspokojit poptávku po nových plochách pro bydlení a přispěje ke zvýšení kvality a komfortu bydlení ve městě.</w:t>
            </w:r>
            <w:r w:rsidR="0024153B" w:rsidRPr="00461C16">
              <w:rPr>
                <w:rFonts w:ascii="Arial Narrow" w:hAnsi="Arial Narrow"/>
                <w:lang w:val="cs-CZ"/>
              </w:rPr>
              <w:t xml:space="preserve"> Plocha je vymezena </w:t>
            </w:r>
            <w:r w:rsidRPr="00461C16">
              <w:rPr>
                <w:rFonts w:ascii="Arial Narrow" w:hAnsi="Arial Narrow"/>
                <w:lang w:val="cs-CZ"/>
              </w:rPr>
              <w:t xml:space="preserve">dle </w:t>
            </w:r>
            <w:r w:rsidR="0024153B" w:rsidRPr="00461C16">
              <w:rPr>
                <w:rFonts w:ascii="Arial Narrow" w:hAnsi="Arial Narrow"/>
                <w:lang w:val="cs-CZ"/>
              </w:rPr>
              <w:t>požadavk</w:t>
            </w:r>
            <w:r w:rsidRPr="00461C16">
              <w:rPr>
                <w:rFonts w:ascii="Arial Narrow" w:hAnsi="Arial Narrow"/>
                <w:lang w:val="cs-CZ"/>
              </w:rPr>
              <w:t>u</w:t>
            </w:r>
            <w:r w:rsidR="0024153B" w:rsidRPr="00461C16">
              <w:rPr>
                <w:rFonts w:ascii="Arial Narrow" w:hAnsi="Arial Narrow"/>
                <w:lang w:val="cs-CZ"/>
              </w:rPr>
              <w:t xml:space="preserve"> schváleného Zadání ÚP</w:t>
            </w:r>
            <w:r w:rsidRPr="00461C16">
              <w:rPr>
                <w:rFonts w:ascii="Arial Narrow" w:hAnsi="Arial Narrow"/>
                <w:lang w:val="cs-CZ"/>
              </w:rPr>
              <w:t xml:space="preserve"> a v souladu se současně platným ÚP města</w:t>
            </w:r>
            <w:r w:rsidR="00A34102" w:rsidRPr="00461C16">
              <w:rPr>
                <w:rFonts w:ascii="Arial Narrow" w:hAnsi="Arial Narrow"/>
                <w:lang w:val="cs-CZ"/>
              </w:rPr>
              <w:t>, kde již byla řádně projednána a schválena</w:t>
            </w:r>
            <w:r w:rsidRPr="00461C16">
              <w:rPr>
                <w:rFonts w:ascii="Arial Narrow" w:hAnsi="Arial Narrow"/>
                <w:lang w:val="cs-CZ"/>
              </w:rPr>
              <w:t>.</w:t>
            </w:r>
          </w:p>
        </w:tc>
      </w:tr>
      <w:tr w:rsidR="008654A3" w:rsidRPr="00461C16" w14:paraId="45B2B1A6" w14:textId="77777777" w:rsidTr="000F7CB8">
        <w:trPr>
          <w:cantSplit/>
        </w:trPr>
        <w:tc>
          <w:tcPr>
            <w:tcW w:w="959" w:type="dxa"/>
            <w:shd w:val="clear" w:color="auto" w:fill="auto"/>
          </w:tcPr>
          <w:p w14:paraId="34835D9F" w14:textId="77777777" w:rsidR="008654A3" w:rsidRDefault="008654A3" w:rsidP="00BB3AFF">
            <w:pPr>
              <w:spacing w:before="40" w:after="40"/>
              <w:rPr>
                <w:sz w:val="20"/>
                <w:szCs w:val="20"/>
              </w:rPr>
            </w:pPr>
            <w:r>
              <w:rPr>
                <w:sz w:val="20"/>
                <w:szCs w:val="20"/>
              </w:rPr>
              <w:t>P31</w:t>
            </w:r>
          </w:p>
        </w:tc>
        <w:tc>
          <w:tcPr>
            <w:tcW w:w="2551" w:type="dxa"/>
            <w:shd w:val="clear" w:color="auto" w:fill="auto"/>
          </w:tcPr>
          <w:p w14:paraId="2EAB5E07" w14:textId="77777777" w:rsidR="008654A3" w:rsidRDefault="008654A3" w:rsidP="00993450">
            <w:pPr>
              <w:spacing w:before="40" w:after="40"/>
              <w:jc w:val="left"/>
              <w:rPr>
                <w:color w:val="000000"/>
                <w:sz w:val="20"/>
                <w:szCs w:val="20"/>
              </w:rPr>
            </w:pPr>
            <w:r w:rsidRPr="00461C16">
              <w:rPr>
                <w:color w:val="000000"/>
                <w:sz w:val="20"/>
                <w:szCs w:val="20"/>
              </w:rPr>
              <w:t>SV – plocha smíšená obytná - venkovská</w:t>
            </w:r>
          </w:p>
        </w:tc>
        <w:tc>
          <w:tcPr>
            <w:tcW w:w="5778" w:type="dxa"/>
            <w:shd w:val="clear" w:color="auto" w:fill="auto"/>
          </w:tcPr>
          <w:p w14:paraId="7F42EE08" w14:textId="77777777" w:rsidR="008654A3" w:rsidRDefault="008654A3" w:rsidP="00BB26BE">
            <w:pPr>
              <w:pStyle w:val="Intabulka"/>
              <w:rPr>
                <w:rFonts w:ascii="Arial Narrow" w:hAnsi="Arial Narrow"/>
                <w:lang w:val="cs-CZ"/>
              </w:rPr>
            </w:pPr>
            <w:r>
              <w:rPr>
                <w:rFonts w:ascii="Arial Narrow" w:hAnsi="Arial Narrow"/>
                <w:lang w:val="cs-CZ"/>
              </w:rPr>
              <w:t>Vymezení plochy zohledňuje záměr vlastníka na výstavbu rodinného domu. Záměr je situován na pozemek, vedený v katastru nemovitostí jako zbořeniště, tedy do zastavěného území.</w:t>
            </w:r>
          </w:p>
        </w:tc>
      </w:tr>
      <w:tr w:rsidR="00BB26BE" w:rsidRPr="00461C16" w14:paraId="31A6DAD4" w14:textId="77777777" w:rsidTr="000F7CB8">
        <w:trPr>
          <w:cantSplit/>
        </w:trPr>
        <w:tc>
          <w:tcPr>
            <w:tcW w:w="959" w:type="dxa"/>
            <w:shd w:val="clear" w:color="auto" w:fill="auto"/>
          </w:tcPr>
          <w:p w14:paraId="73561A2C" w14:textId="77777777" w:rsidR="00BB26BE" w:rsidRPr="00461C16" w:rsidRDefault="00BB26BE" w:rsidP="00E831E3">
            <w:pPr>
              <w:spacing w:before="40" w:after="40"/>
              <w:rPr>
                <w:sz w:val="20"/>
                <w:szCs w:val="20"/>
              </w:rPr>
            </w:pPr>
            <w:r>
              <w:rPr>
                <w:sz w:val="20"/>
                <w:szCs w:val="20"/>
              </w:rPr>
              <w:t>P3</w:t>
            </w:r>
            <w:r w:rsidR="00E831E3">
              <w:rPr>
                <w:sz w:val="20"/>
                <w:szCs w:val="20"/>
              </w:rPr>
              <w:t>2</w:t>
            </w:r>
          </w:p>
        </w:tc>
        <w:tc>
          <w:tcPr>
            <w:tcW w:w="2551" w:type="dxa"/>
            <w:shd w:val="clear" w:color="auto" w:fill="auto"/>
          </w:tcPr>
          <w:p w14:paraId="49370744" w14:textId="77777777" w:rsidR="00BB26BE" w:rsidRPr="00461C16" w:rsidRDefault="00BB26BE" w:rsidP="00993450">
            <w:pPr>
              <w:spacing w:before="40" w:after="40"/>
              <w:jc w:val="left"/>
              <w:rPr>
                <w:color w:val="000000"/>
                <w:sz w:val="20"/>
                <w:szCs w:val="20"/>
              </w:rPr>
            </w:pPr>
            <w:r>
              <w:rPr>
                <w:color w:val="000000"/>
                <w:sz w:val="20"/>
                <w:szCs w:val="20"/>
              </w:rPr>
              <w:t>VD – drobná a řemeslná výroba</w:t>
            </w:r>
          </w:p>
        </w:tc>
        <w:tc>
          <w:tcPr>
            <w:tcW w:w="5778" w:type="dxa"/>
            <w:shd w:val="clear" w:color="auto" w:fill="auto"/>
          </w:tcPr>
          <w:p w14:paraId="5F1E8A27" w14:textId="77777777" w:rsidR="00BB26BE" w:rsidRPr="00461C16" w:rsidRDefault="00BB26BE" w:rsidP="00BB26BE">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Záměr umožňuje přestavbu bývalé prodejny smíšeného zboží pro výrobu a výrobní služby, konkrétně je uvažována výroba a servis měřící techniky. Využití plochy zvýší možnosti pracovního uplatnění přímo v sídle Václavice a přispěje k jeho ekonomické stabilitě.</w:t>
            </w:r>
          </w:p>
        </w:tc>
      </w:tr>
      <w:tr w:rsidR="008654A3" w:rsidRPr="00461C16" w14:paraId="5540C0E9" w14:textId="77777777" w:rsidTr="000F7CB8">
        <w:trPr>
          <w:cantSplit/>
        </w:trPr>
        <w:tc>
          <w:tcPr>
            <w:tcW w:w="959" w:type="dxa"/>
            <w:shd w:val="clear" w:color="auto" w:fill="auto"/>
          </w:tcPr>
          <w:p w14:paraId="6925B6A1" w14:textId="77777777" w:rsidR="008654A3" w:rsidRDefault="008654A3" w:rsidP="00BB3AFF">
            <w:pPr>
              <w:spacing w:before="40" w:after="40"/>
              <w:rPr>
                <w:sz w:val="20"/>
                <w:szCs w:val="20"/>
              </w:rPr>
            </w:pPr>
            <w:r>
              <w:rPr>
                <w:sz w:val="20"/>
                <w:szCs w:val="20"/>
              </w:rPr>
              <w:t>P33</w:t>
            </w:r>
          </w:p>
        </w:tc>
        <w:tc>
          <w:tcPr>
            <w:tcW w:w="2551" w:type="dxa"/>
            <w:shd w:val="clear" w:color="auto" w:fill="auto"/>
          </w:tcPr>
          <w:p w14:paraId="66DC207E" w14:textId="77777777" w:rsidR="008654A3" w:rsidRDefault="008654A3" w:rsidP="00993450">
            <w:pPr>
              <w:spacing w:before="40" w:after="40"/>
              <w:jc w:val="left"/>
              <w:rPr>
                <w:color w:val="000000"/>
                <w:sz w:val="20"/>
                <w:szCs w:val="20"/>
              </w:rPr>
            </w:pPr>
            <w:r w:rsidRPr="00461C16">
              <w:rPr>
                <w:color w:val="000000"/>
                <w:sz w:val="20"/>
                <w:szCs w:val="20"/>
              </w:rPr>
              <w:t>SV – plocha smíšená obytná - venkovská</w:t>
            </w:r>
          </w:p>
        </w:tc>
        <w:tc>
          <w:tcPr>
            <w:tcW w:w="5778" w:type="dxa"/>
            <w:shd w:val="clear" w:color="auto" w:fill="auto"/>
          </w:tcPr>
          <w:p w14:paraId="25D77218" w14:textId="77777777" w:rsidR="008654A3" w:rsidRDefault="008654A3" w:rsidP="00BB26BE">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Záměr umožňuje rozvoj bydlení v reakci na poptávku po nové výstavbě.</w:t>
            </w:r>
          </w:p>
        </w:tc>
      </w:tr>
    </w:tbl>
    <w:p w14:paraId="30357B58" w14:textId="77777777" w:rsidR="00AD76AA" w:rsidRPr="00461C16" w:rsidRDefault="00501553" w:rsidP="007F050A">
      <w:pPr>
        <w:pStyle w:val="Heading3"/>
      </w:pPr>
      <w:bookmarkStart w:id="120" w:name="_Toc36116294"/>
      <w:r w:rsidRPr="00461C16">
        <w:rPr>
          <w:rFonts w:eastAsia="Arial Unicode MS"/>
        </w:rPr>
        <w:t>6</w:t>
      </w:r>
      <w:r w:rsidR="00AD76AA" w:rsidRPr="00461C16">
        <w:rPr>
          <w:rFonts w:eastAsia="Arial Unicode MS"/>
        </w:rPr>
        <w:t>.</w:t>
      </w:r>
      <w:r w:rsidR="00AD76AA" w:rsidRPr="00461C16">
        <w:t>4.4</w:t>
      </w:r>
      <w:r w:rsidR="00AD76AA" w:rsidRPr="00461C16">
        <w:tab/>
      </w:r>
      <w:r w:rsidR="00581F4B" w:rsidRPr="00461C16">
        <w:t>Vymezení koridorů dopravní infrastruktury</w:t>
      </w:r>
      <w:bookmarkEnd w:id="120"/>
    </w:p>
    <w:p w14:paraId="0EC9AA80" w14:textId="77777777" w:rsidR="00AD76AA" w:rsidRPr="00461C16" w:rsidRDefault="00AD76AA" w:rsidP="007F050A">
      <w:pPr>
        <w:pStyle w:val="1text"/>
        <w:rPr>
          <w:i/>
          <w:sz w:val="20"/>
          <w:szCs w:val="20"/>
        </w:rPr>
      </w:pPr>
      <w:r w:rsidRPr="00461C16">
        <w:rPr>
          <w:i/>
          <w:sz w:val="20"/>
          <w:szCs w:val="20"/>
        </w:rPr>
        <w:t xml:space="preserve">(k bodu </w:t>
      </w:r>
      <w:r w:rsidR="00046A58" w:rsidRPr="00461C16">
        <w:rPr>
          <w:i/>
          <w:sz w:val="20"/>
          <w:szCs w:val="20"/>
        </w:rPr>
        <w:t>C</w:t>
      </w:r>
      <w:r w:rsidR="00F767B1" w:rsidRPr="00461C16">
        <w:rPr>
          <w:i/>
          <w:sz w:val="20"/>
          <w:szCs w:val="20"/>
        </w:rPr>
        <w:t>14</w:t>
      </w:r>
      <w:r w:rsidRPr="00461C16">
        <w:rPr>
          <w:i/>
          <w:sz w:val="20"/>
          <w:szCs w:val="20"/>
        </w:rPr>
        <w:t xml:space="preserve"> </w:t>
      </w:r>
      <w:r w:rsidR="00381669" w:rsidRPr="00461C16">
        <w:rPr>
          <w:i/>
          <w:sz w:val="20"/>
          <w:szCs w:val="20"/>
        </w:rPr>
        <w:t>ÚP</w:t>
      </w:r>
      <w:r w:rsidR="005A0AC4" w:rsidRPr="00461C16">
        <w:rPr>
          <w:i/>
          <w:sz w:val="20"/>
          <w:szCs w:val="20"/>
        </w:rPr>
        <w:t>)</w:t>
      </w:r>
    </w:p>
    <w:p w14:paraId="699EA792" w14:textId="77777777" w:rsidR="00581F4B" w:rsidRPr="00461C16" w:rsidRDefault="00581F4B" w:rsidP="00753F4E">
      <w:pPr>
        <w:pStyle w:val="4podnadpis"/>
        <w:rPr>
          <w:rStyle w:val="NvrhP-text"/>
          <w:i w:val="0"/>
          <w:sz w:val="22"/>
        </w:rPr>
      </w:pPr>
      <w:r w:rsidRPr="00461C16">
        <w:rPr>
          <w:rStyle w:val="NvrhP-text"/>
          <w:i w:val="0"/>
          <w:sz w:val="22"/>
        </w:rPr>
        <w:t xml:space="preserve">a) </w:t>
      </w:r>
      <w:r w:rsidRPr="00461C16">
        <w:rPr>
          <w:rStyle w:val="NvrhP-text"/>
          <w:i w:val="0"/>
          <w:sz w:val="22"/>
        </w:rPr>
        <w:tab/>
        <w:t xml:space="preserve">základní principy řešení </w:t>
      </w:r>
    </w:p>
    <w:p w14:paraId="068F794A" w14:textId="77777777" w:rsidR="00581F4B" w:rsidRPr="00461C16" w:rsidRDefault="00EA3D09" w:rsidP="00581F4B">
      <w:pPr>
        <w:pStyle w:val="1text"/>
      </w:pPr>
      <w:r w:rsidRPr="00461C16">
        <w:t>Vymezení koridorů je provedeno s ohledem na zásady rozvoje obce a urbanistickou koncepci. Koridory pro umístění staveb dopravní infrastruktury jsou vymezeny v souladu s § 2 odst. 1, písm. i) a § 43 stavebního zákona. Vymezení koridorů respektuje limity využití území, jejichž výčet je uveden v kap. 6.3.5.</w:t>
      </w:r>
    </w:p>
    <w:p w14:paraId="492CB8EA" w14:textId="75DE796E" w:rsidR="00EA3D09" w:rsidRPr="00461C16" w:rsidRDefault="00EA3D09" w:rsidP="00EA3D09">
      <w:pPr>
        <w:pStyle w:val="1text"/>
      </w:pPr>
      <w:r w:rsidRPr="00461C16">
        <w:t xml:space="preserve">Koridory jsou vymezeny pro umístění liniových staveb dopravní infrastruktury v návrhovém období, pro něž v současné době není k dispozici projektová dokumentace v takovém stupni rozpracování, aby umožnila vymezit dopravní stavbu jako plochu. Přesné umístění stavby v rámci vymezeného koridoru vč. rozsahu ploch potřebných pro související objekty musí tedy být dále prověřeno podrobnější projektovou dokumentací. </w:t>
      </w:r>
    </w:p>
    <w:p w14:paraId="53BEC937" w14:textId="77777777" w:rsidR="00581F4B" w:rsidRPr="00461C16" w:rsidRDefault="00EA3D09" w:rsidP="00EA3D09">
      <w:pPr>
        <w:pStyle w:val="1text"/>
      </w:pPr>
      <w:r w:rsidRPr="00461C16">
        <w:t>Vymezení upřesněných vlastních ploch s rozdílným způsobem využití pro příslušnou infrastrukturu vč. ochranné a izolační zeleně v rámci koridoru může být provedeno bez změny územního plánu.</w:t>
      </w:r>
      <w:r w:rsidR="00581F4B" w:rsidRPr="00461C16">
        <w:t xml:space="preserve"> </w:t>
      </w:r>
    </w:p>
    <w:p w14:paraId="22F3D922" w14:textId="77777777" w:rsidR="00A06EB9" w:rsidRDefault="00A06EB9">
      <w:pPr>
        <w:spacing w:line="240" w:lineRule="auto"/>
        <w:jc w:val="left"/>
        <w:rPr>
          <w:b/>
          <w:i/>
          <w:sz w:val="24"/>
          <w:lang w:eastAsia="cs-CZ"/>
        </w:rPr>
      </w:pPr>
      <w:r>
        <w:br w:type="page"/>
      </w:r>
    </w:p>
    <w:p w14:paraId="593A2583" w14:textId="61CD7AFB" w:rsidR="00581F4B" w:rsidRPr="00461C16" w:rsidRDefault="00581F4B" w:rsidP="00753F4E">
      <w:pPr>
        <w:pStyle w:val="4podnadpis"/>
      </w:pPr>
      <w:r w:rsidRPr="00461C16">
        <w:lastRenderedPageBreak/>
        <w:t>b)</w:t>
      </w:r>
      <w:r w:rsidRPr="00461C16">
        <w:tab/>
        <w:t xml:space="preserve">vstupy pro </w:t>
      </w:r>
      <w:r w:rsidRPr="00461C16">
        <w:rPr>
          <w:rStyle w:val="NvrhP-text"/>
          <w:i w:val="0"/>
          <w:sz w:val="22"/>
        </w:rPr>
        <w:t>řešení</w:t>
      </w:r>
    </w:p>
    <w:p w14:paraId="26BDE6F6" w14:textId="77777777" w:rsidR="00581F4B" w:rsidRPr="00461C16" w:rsidRDefault="00581F4B" w:rsidP="00D05E70">
      <w:pPr>
        <w:pStyle w:val="1text"/>
        <w:rPr>
          <w:rStyle w:val="NvrhP-text"/>
        </w:rPr>
      </w:pPr>
      <w:r w:rsidRPr="00461C16">
        <w:rPr>
          <w:rStyle w:val="NvrhP-text"/>
        </w:rPr>
        <w:t>Vymezení koridorů je pro</w:t>
      </w:r>
      <w:r w:rsidR="00D05E70" w:rsidRPr="00461C16">
        <w:rPr>
          <w:rStyle w:val="NvrhP-text"/>
        </w:rPr>
        <w:t xml:space="preserve">vedeno na základě požadavku ZÚR </w:t>
      </w:r>
      <w:r w:rsidR="00EA3D09" w:rsidRPr="00461C16">
        <w:rPr>
          <w:rStyle w:val="NvrhP-text"/>
        </w:rPr>
        <w:t>Libereckého</w:t>
      </w:r>
      <w:r w:rsidR="00D05E70" w:rsidRPr="00461C16">
        <w:rPr>
          <w:rStyle w:val="NvrhP-text"/>
        </w:rPr>
        <w:t xml:space="preserve"> kraje</w:t>
      </w:r>
      <w:r w:rsidR="00EA3D09" w:rsidRPr="00461C16">
        <w:rPr>
          <w:rStyle w:val="NvrhP-text"/>
        </w:rPr>
        <w:t>, které dále popsaný koridor</w:t>
      </w:r>
      <w:r w:rsidRPr="00461C16">
        <w:rPr>
          <w:rStyle w:val="NvrhP-text"/>
        </w:rPr>
        <w:t xml:space="preserve"> X01 vymezují jak</w:t>
      </w:r>
      <w:r w:rsidR="00EA3D09" w:rsidRPr="00461C16">
        <w:rPr>
          <w:rStyle w:val="NvrhP-text"/>
        </w:rPr>
        <w:t>o záměr</w:t>
      </w:r>
      <w:r w:rsidR="00D05E70" w:rsidRPr="00461C16">
        <w:rPr>
          <w:rStyle w:val="NvrhP-text"/>
        </w:rPr>
        <w:t xml:space="preserve"> </w:t>
      </w:r>
      <w:r w:rsidR="00EA3D09" w:rsidRPr="00461C16">
        <w:rPr>
          <w:rStyle w:val="NvrhP-text"/>
        </w:rPr>
        <w:t>mezinárodního významu</w:t>
      </w:r>
      <w:r w:rsidR="00D05E70" w:rsidRPr="00461C16">
        <w:rPr>
          <w:rStyle w:val="NvrhP-text"/>
        </w:rPr>
        <w:t>.</w:t>
      </w:r>
    </w:p>
    <w:p w14:paraId="5E523312" w14:textId="77777777" w:rsidR="00581F4B" w:rsidRPr="00461C16" w:rsidRDefault="00581F4B" w:rsidP="00753F4E">
      <w:pPr>
        <w:pStyle w:val="4podnadpis"/>
      </w:pPr>
      <w:r w:rsidRPr="00461C16">
        <w:t>c)</w:t>
      </w:r>
      <w:r w:rsidRPr="00461C16">
        <w:tab/>
        <w:t>přehled vymezených koridorů s uvedením důvodu pro jejich zařazení</w:t>
      </w:r>
    </w:p>
    <w:p w14:paraId="127E333A" w14:textId="77777777" w:rsidR="00581F4B" w:rsidRPr="00461C16" w:rsidRDefault="00581F4B" w:rsidP="00581F4B">
      <w:r w:rsidRPr="00461C16">
        <w:t xml:space="preserve">ÚP vymezuje </w:t>
      </w:r>
      <w:r w:rsidR="00EA3D09" w:rsidRPr="00461C16">
        <w:t>1</w:t>
      </w:r>
      <w:r w:rsidRPr="00461C16">
        <w:t xml:space="preserve"> ko</w:t>
      </w:r>
      <w:r w:rsidR="00EA3D09" w:rsidRPr="00461C16">
        <w:t>ridor</w:t>
      </w:r>
      <w:r w:rsidRPr="00461C16">
        <w:t xml:space="preserve"> pro umístění staveb </w:t>
      </w:r>
      <w:r w:rsidR="00D05E70" w:rsidRPr="00461C16">
        <w:t>dopravní</w:t>
      </w:r>
      <w:r w:rsidRPr="00461C16">
        <w:t xml:space="preserve"> infrastruktury:</w:t>
      </w:r>
    </w:p>
    <w:p w14:paraId="0E7FEAF3" w14:textId="77777777" w:rsidR="00581F4B" w:rsidRPr="00461C16" w:rsidRDefault="008D21FD" w:rsidP="008D21FD">
      <w:pPr>
        <w:pStyle w:val="3pismeno"/>
      </w:pPr>
      <w:r w:rsidRPr="00461C16">
        <w:t>K</w:t>
      </w:r>
      <w:r w:rsidR="00581F4B" w:rsidRPr="00461C16">
        <w:t xml:space="preserve">oridor </w:t>
      </w:r>
      <w:r w:rsidR="00581F4B" w:rsidRPr="00461C16">
        <w:rPr>
          <w:b/>
        </w:rPr>
        <w:t>X0</w:t>
      </w:r>
      <w:r w:rsidR="00D05E70" w:rsidRPr="00461C16">
        <w:rPr>
          <w:b/>
        </w:rPr>
        <w:t>1</w:t>
      </w:r>
      <w:r w:rsidR="00581F4B" w:rsidRPr="00461C16">
        <w:t xml:space="preserve"> určený </w:t>
      </w:r>
      <w:r w:rsidR="00EA3D09" w:rsidRPr="00461C16">
        <w:t>pro optimalizaci a elektrizaci železniční trati č. 089</w:t>
      </w:r>
      <w:r w:rsidR="00581F4B" w:rsidRPr="00461C16">
        <w:t xml:space="preserve">, jehož vymezení a zpřesnění je provedeno v souladu s požadavky ZÚR </w:t>
      </w:r>
      <w:r w:rsidR="00EA3D09" w:rsidRPr="00461C16">
        <w:t>Libereckého</w:t>
      </w:r>
      <w:r w:rsidR="00D05E70" w:rsidRPr="00461C16">
        <w:t xml:space="preserve"> kraje (dle ZÚR </w:t>
      </w:r>
      <w:r w:rsidR="003B07D8">
        <w:t xml:space="preserve">LK </w:t>
      </w:r>
      <w:r w:rsidR="00D05E70" w:rsidRPr="00461C16">
        <w:t>se jedná o veřejně prospěšno</w:t>
      </w:r>
      <w:r w:rsidR="00EA3D09" w:rsidRPr="00461C16">
        <w:t>u stavbu DS28</w:t>
      </w:r>
      <w:r w:rsidR="00D05E70" w:rsidRPr="00461C16">
        <w:t>)</w:t>
      </w:r>
      <w:r w:rsidR="00EA3D09" w:rsidRPr="00461C16">
        <w:t>.</w:t>
      </w:r>
    </w:p>
    <w:p w14:paraId="5C652C90" w14:textId="77777777" w:rsidR="00EA3D09" w:rsidRPr="00461C16" w:rsidRDefault="00EA3D09" w:rsidP="00EA3D09">
      <w:pPr>
        <w:pStyle w:val="Heading3"/>
      </w:pPr>
      <w:bookmarkStart w:id="121" w:name="_Toc36116295"/>
      <w:r w:rsidRPr="00461C16">
        <w:rPr>
          <w:rFonts w:eastAsia="Arial Unicode MS"/>
        </w:rPr>
        <w:t>6.</w:t>
      </w:r>
      <w:r w:rsidRPr="00461C16">
        <w:t>4.5</w:t>
      </w:r>
      <w:r w:rsidRPr="00461C16">
        <w:tab/>
        <w:t>Vymezení koridorů technické infrastruktury</w:t>
      </w:r>
      <w:bookmarkEnd w:id="121"/>
    </w:p>
    <w:p w14:paraId="306B8AAC" w14:textId="77777777" w:rsidR="00EA3D09" w:rsidRPr="00461C16" w:rsidRDefault="00EA3D09" w:rsidP="00EA3D09">
      <w:pPr>
        <w:pStyle w:val="1text"/>
        <w:rPr>
          <w:i/>
          <w:sz w:val="20"/>
          <w:szCs w:val="20"/>
        </w:rPr>
      </w:pPr>
      <w:r w:rsidRPr="00461C16">
        <w:rPr>
          <w:i/>
          <w:sz w:val="20"/>
          <w:szCs w:val="20"/>
        </w:rPr>
        <w:t>(k bodu C1</w:t>
      </w:r>
      <w:r w:rsidR="00F767B1" w:rsidRPr="00461C16">
        <w:rPr>
          <w:i/>
          <w:sz w:val="20"/>
          <w:szCs w:val="20"/>
        </w:rPr>
        <w:t>5</w:t>
      </w:r>
      <w:r w:rsidRPr="00461C16">
        <w:rPr>
          <w:i/>
          <w:sz w:val="20"/>
          <w:szCs w:val="20"/>
        </w:rPr>
        <w:t xml:space="preserve"> ÚP)</w:t>
      </w:r>
    </w:p>
    <w:p w14:paraId="28B3B3B7" w14:textId="77777777" w:rsidR="00EA3D09" w:rsidRPr="00461C16" w:rsidRDefault="00EA3D09" w:rsidP="00753F4E">
      <w:pPr>
        <w:pStyle w:val="4podnadpis"/>
        <w:rPr>
          <w:rStyle w:val="NvrhP-text"/>
          <w:i w:val="0"/>
          <w:sz w:val="22"/>
        </w:rPr>
      </w:pPr>
      <w:r w:rsidRPr="00461C16">
        <w:rPr>
          <w:rStyle w:val="NvrhP-text"/>
          <w:i w:val="0"/>
          <w:sz w:val="22"/>
        </w:rPr>
        <w:t xml:space="preserve">a) </w:t>
      </w:r>
      <w:r w:rsidRPr="00461C16">
        <w:rPr>
          <w:rStyle w:val="NvrhP-text"/>
          <w:i w:val="0"/>
          <w:sz w:val="22"/>
        </w:rPr>
        <w:tab/>
        <w:t xml:space="preserve">základní principy řešení </w:t>
      </w:r>
    </w:p>
    <w:p w14:paraId="1102350C" w14:textId="77777777" w:rsidR="00EA3D09" w:rsidRPr="00461C16" w:rsidRDefault="00EA3D09" w:rsidP="00EA3D09">
      <w:pPr>
        <w:pStyle w:val="1text"/>
      </w:pPr>
      <w:r w:rsidRPr="00461C16">
        <w:t xml:space="preserve">Vymezení koridorů je provedeno s ohledem na zásady rozvoje obce a urbanistickou koncepci. Koridory pro umístění staveb </w:t>
      </w:r>
      <w:r w:rsidR="00B3002C">
        <w:t>technické</w:t>
      </w:r>
      <w:r w:rsidR="00B3002C" w:rsidRPr="00461C16">
        <w:t xml:space="preserve"> </w:t>
      </w:r>
      <w:r w:rsidRPr="00461C16">
        <w:t>infrastruktury jsou vymezeny v souladu s § 2 odst. 1, písm. i) a § 43 stavebního zákona. Vymezení koridorů respektuje limity využití území, jejichž výčet je uveden v kap. 6.3.5.</w:t>
      </w:r>
    </w:p>
    <w:p w14:paraId="1CB9BE5D" w14:textId="77777777" w:rsidR="00EA3D09" w:rsidRPr="00461C16" w:rsidRDefault="00EA3D09" w:rsidP="00EA3D09">
      <w:pPr>
        <w:pStyle w:val="1text"/>
      </w:pPr>
      <w:r w:rsidRPr="00461C16">
        <w:t xml:space="preserve">Koridory jsou vymezeny pro umístění pro umístění staveb technické infrastruktury v návrhovém období, pro něž v současné době není k dispozici projektová dokumentace v takovém stupni rozpracování, aby umožnila vymezit příslušnou stavbu jako plochu. Přesné umístění stavby v rámci vymezeného koridoru vč. rozsahu ploch potřebných pro související objekty musí tedy být dále prověřeno podrobnější projektovou dokumentací. </w:t>
      </w:r>
    </w:p>
    <w:p w14:paraId="1CC8C7AF" w14:textId="77777777" w:rsidR="00EA3D09" w:rsidRPr="00461C16" w:rsidRDefault="00EA3D09" w:rsidP="00EA3D09">
      <w:pPr>
        <w:pStyle w:val="1text"/>
      </w:pPr>
      <w:r w:rsidRPr="00461C16">
        <w:t xml:space="preserve">Vymezení upřesněných vlastních ploch s rozdílným způsobem využití pro příslušnou infrastrukturu vč. ochranné a izolační zeleně v rámci koridoru může být provedeno bez změny územního plánu. </w:t>
      </w:r>
    </w:p>
    <w:p w14:paraId="1000D917" w14:textId="77777777" w:rsidR="00EA3D09" w:rsidRPr="00461C16" w:rsidRDefault="00EA3D09" w:rsidP="00753F4E">
      <w:pPr>
        <w:pStyle w:val="4podnadpis"/>
      </w:pPr>
      <w:r w:rsidRPr="00461C16">
        <w:t>b)</w:t>
      </w:r>
      <w:r w:rsidRPr="00461C16">
        <w:tab/>
        <w:t xml:space="preserve">vstupy pro </w:t>
      </w:r>
      <w:r w:rsidRPr="00461C16">
        <w:rPr>
          <w:rStyle w:val="NvrhP-text"/>
          <w:i w:val="0"/>
          <w:sz w:val="22"/>
        </w:rPr>
        <w:t>řešení</w:t>
      </w:r>
    </w:p>
    <w:p w14:paraId="0B95143C" w14:textId="77777777" w:rsidR="00EA3D09" w:rsidRPr="00461C16" w:rsidRDefault="00EA3D09" w:rsidP="00EA3D09">
      <w:pPr>
        <w:pStyle w:val="1text"/>
        <w:rPr>
          <w:rStyle w:val="NvrhP-text"/>
        </w:rPr>
      </w:pPr>
      <w:r w:rsidRPr="00461C16">
        <w:rPr>
          <w:rStyle w:val="NvrhP-text"/>
        </w:rPr>
        <w:t xml:space="preserve">Vymezení </w:t>
      </w:r>
      <w:r w:rsidR="00B3002C" w:rsidRPr="00461C16">
        <w:rPr>
          <w:rStyle w:val="NvrhP-text"/>
        </w:rPr>
        <w:t>koridor</w:t>
      </w:r>
      <w:r w:rsidR="00B3002C">
        <w:rPr>
          <w:rStyle w:val="NvrhP-text"/>
        </w:rPr>
        <w:t>u</w:t>
      </w:r>
      <w:r w:rsidR="00B3002C" w:rsidRPr="00461C16">
        <w:rPr>
          <w:rStyle w:val="NvrhP-text"/>
        </w:rPr>
        <w:t xml:space="preserve"> </w:t>
      </w:r>
      <w:r w:rsidRPr="00461C16">
        <w:rPr>
          <w:rStyle w:val="NvrhP-text"/>
        </w:rPr>
        <w:t xml:space="preserve">je provedeno na základě požadavku ZÚR Libereckého kraje, které dále </w:t>
      </w:r>
      <w:r w:rsidR="00B3002C" w:rsidRPr="00461C16">
        <w:rPr>
          <w:rStyle w:val="NvrhP-text"/>
        </w:rPr>
        <w:t>popsan</w:t>
      </w:r>
      <w:r w:rsidR="00B3002C">
        <w:rPr>
          <w:rStyle w:val="NvrhP-text"/>
        </w:rPr>
        <w:t>ý</w:t>
      </w:r>
      <w:r w:rsidR="00B3002C" w:rsidRPr="00461C16">
        <w:rPr>
          <w:rStyle w:val="NvrhP-text"/>
        </w:rPr>
        <w:t xml:space="preserve"> </w:t>
      </w:r>
      <w:r w:rsidRPr="00461C16">
        <w:rPr>
          <w:rStyle w:val="NvrhP-text"/>
        </w:rPr>
        <w:t>koridor X</w:t>
      </w:r>
      <w:r w:rsidR="008067F6" w:rsidRPr="00461C16">
        <w:rPr>
          <w:rStyle w:val="NvrhP-text"/>
        </w:rPr>
        <w:t>02</w:t>
      </w:r>
      <w:r w:rsidRPr="00461C16">
        <w:rPr>
          <w:rStyle w:val="NvrhP-text"/>
        </w:rPr>
        <w:t xml:space="preserve"> vymezují jako </w:t>
      </w:r>
      <w:r w:rsidR="00B658C4" w:rsidRPr="00461C16">
        <w:t>koridor pro umístění staveb a opatření pro snižování ohrožení území povodněmi</w:t>
      </w:r>
      <w:r w:rsidRPr="00461C16">
        <w:rPr>
          <w:rStyle w:val="NvrhP-text"/>
        </w:rPr>
        <w:t>.</w:t>
      </w:r>
    </w:p>
    <w:p w14:paraId="71360335" w14:textId="77777777" w:rsidR="00EA3D09" w:rsidRPr="00461C16" w:rsidRDefault="00EA3D09" w:rsidP="00753F4E">
      <w:pPr>
        <w:pStyle w:val="4podnadpis"/>
      </w:pPr>
      <w:r w:rsidRPr="00461C16">
        <w:t>c)</w:t>
      </w:r>
      <w:r w:rsidRPr="00461C16">
        <w:tab/>
        <w:t>přehled vymezených koridorů s uvedením důvodu pro jejich zařazení</w:t>
      </w:r>
    </w:p>
    <w:p w14:paraId="4025F80C" w14:textId="77777777" w:rsidR="00EA3D09" w:rsidRPr="00461C16" w:rsidRDefault="00EA3D09" w:rsidP="00B3002C">
      <w:pPr>
        <w:spacing w:before="120"/>
      </w:pPr>
      <w:r w:rsidRPr="00461C16">
        <w:t xml:space="preserve">ÚP vymezuje 1 koridor pro umístění staveb </w:t>
      </w:r>
      <w:r w:rsidR="00B3002C">
        <w:t>technické</w:t>
      </w:r>
      <w:r w:rsidR="00B3002C" w:rsidRPr="00461C16">
        <w:t xml:space="preserve"> </w:t>
      </w:r>
      <w:r w:rsidRPr="00461C16">
        <w:t>infrastruktury:</w:t>
      </w:r>
    </w:p>
    <w:p w14:paraId="0BA9BE80" w14:textId="77777777" w:rsidR="00EA3D09" w:rsidRPr="00461C16" w:rsidRDefault="00EA3D09" w:rsidP="00B3002C">
      <w:pPr>
        <w:pStyle w:val="3pismeno"/>
        <w:spacing w:before="120"/>
      </w:pPr>
      <w:r w:rsidRPr="00461C16">
        <w:t xml:space="preserve">koridor </w:t>
      </w:r>
      <w:r w:rsidR="00B658C4" w:rsidRPr="00461C16">
        <w:t>X</w:t>
      </w:r>
      <w:r w:rsidR="008067F6" w:rsidRPr="00461C16">
        <w:t>02</w:t>
      </w:r>
      <w:r w:rsidRPr="00461C16">
        <w:t xml:space="preserve"> určený pro </w:t>
      </w:r>
      <w:r w:rsidR="00B658C4" w:rsidRPr="00461C16">
        <w:t>umístění protipovodňových opatření na Lužické Nise</w:t>
      </w:r>
      <w:r w:rsidRPr="00461C16">
        <w:t xml:space="preserve">, jehož vymezení a zpřesnění je provedeno v souladu s požadavky ZÚR Libereckého kraje (dle ZÚR </w:t>
      </w:r>
      <w:r w:rsidR="003B07D8">
        <w:t xml:space="preserve">LK </w:t>
      </w:r>
      <w:r w:rsidRPr="00461C16">
        <w:t>se jedná o veřejně prospěšno</w:t>
      </w:r>
      <w:r w:rsidR="00B658C4" w:rsidRPr="00461C16">
        <w:t>u stavbu P09</w:t>
      </w:r>
      <w:r w:rsidR="00E13D4F" w:rsidRPr="00461C16">
        <w:t>)</w:t>
      </w:r>
      <w:r w:rsidR="00E13D4F">
        <w:t>.</w:t>
      </w:r>
    </w:p>
    <w:p w14:paraId="09FDFBAF" w14:textId="77777777" w:rsidR="004E1C7A" w:rsidRPr="00461C16" w:rsidRDefault="00501553" w:rsidP="00581F4B">
      <w:pPr>
        <w:pStyle w:val="Heading3"/>
      </w:pPr>
      <w:bookmarkStart w:id="122" w:name="_Toc36116296"/>
      <w:r w:rsidRPr="00461C16">
        <w:t>6</w:t>
      </w:r>
      <w:r w:rsidR="00AD76AA" w:rsidRPr="00461C16">
        <w:t>.4.</w:t>
      </w:r>
      <w:r w:rsidR="00EA3D09" w:rsidRPr="00461C16">
        <w:t>6</w:t>
      </w:r>
      <w:r w:rsidR="00AD76AA" w:rsidRPr="00461C16">
        <w:tab/>
        <w:t xml:space="preserve">Vymezení systému </w:t>
      </w:r>
      <w:r w:rsidR="004E1C7A" w:rsidRPr="00461C16">
        <w:t>sídelní zeleně</w:t>
      </w:r>
      <w:bookmarkEnd w:id="118"/>
      <w:bookmarkEnd w:id="122"/>
    </w:p>
    <w:p w14:paraId="6FAD317A" w14:textId="77777777" w:rsidR="00DE42DF" w:rsidRPr="00461C16" w:rsidRDefault="00DE42DF" w:rsidP="00DE42DF">
      <w:pPr>
        <w:pStyle w:val="1text"/>
        <w:rPr>
          <w:b/>
        </w:rPr>
      </w:pPr>
      <w:r w:rsidRPr="00461C16">
        <w:rPr>
          <w:b/>
        </w:rPr>
        <w:t>Podklady</w:t>
      </w:r>
    </w:p>
    <w:p w14:paraId="62500B68" w14:textId="77777777" w:rsidR="00DE42DF" w:rsidRPr="00461C16" w:rsidRDefault="00DE42DF" w:rsidP="00DE42DF">
      <w:pPr>
        <w:pStyle w:val="1text"/>
      </w:pPr>
      <w:r w:rsidRPr="00461C16">
        <w:t>Vymezení systému sídlení zeleně je provedeno v souladu s vyhláškami č. 500/2006 Sb. a 501/2006 Sb. Výchozím podkladem je analýza území zhotovitelem.</w:t>
      </w:r>
      <w:r w:rsidR="00B345B4" w:rsidRPr="00461C16">
        <w:t xml:space="preserve"> </w:t>
      </w:r>
      <w:r w:rsidRPr="00461C16">
        <w:t xml:space="preserve"> </w:t>
      </w:r>
    </w:p>
    <w:p w14:paraId="33D278D0" w14:textId="77777777" w:rsidR="00DE42DF" w:rsidRPr="00461C16" w:rsidRDefault="00DE42DF" w:rsidP="00DE42DF">
      <w:pPr>
        <w:pStyle w:val="1text"/>
      </w:pPr>
      <w:r w:rsidRPr="00461C16">
        <w:t xml:space="preserve">Vymezení systému sídelní zeleně </w:t>
      </w:r>
      <w:r w:rsidR="009300DE" w:rsidRPr="00461C16">
        <w:t xml:space="preserve">zohledňuje </w:t>
      </w:r>
      <w:r w:rsidRPr="00461C16">
        <w:t>zásady rozvoje města a urbanistickou koncepci</w:t>
      </w:r>
      <w:r w:rsidR="009300DE" w:rsidRPr="00461C16">
        <w:t xml:space="preserve"> města</w:t>
      </w:r>
      <w:r w:rsidRPr="00461C16">
        <w:t>.</w:t>
      </w:r>
    </w:p>
    <w:p w14:paraId="2C7189D9" w14:textId="77777777" w:rsidR="00DE42DF" w:rsidRPr="00461C16" w:rsidRDefault="00DE42DF" w:rsidP="00DE42DF">
      <w:pPr>
        <w:pStyle w:val="1text"/>
        <w:rPr>
          <w:b/>
        </w:rPr>
      </w:pPr>
      <w:r w:rsidRPr="00461C16">
        <w:rPr>
          <w:b/>
        </w:rPr>
        <w:t>Návrh řešení a jeho odůvodnění</w:t>
      </w:r>
    </w:p>
    <w:p w14:paraId="1AC20BD9" w14:textId="77777777" w:rsidR="00236177" w:rsidRPr="00461C16" w:rsidRDefault="00236177" w:rsidP="007F050A">
      <w:pPr>
        <w:pStyle w:val="1text"/>
        <w:rPr>
          <w:i/>
          <w:sz w:val="20"/>
          <w:szCs w:val="20"/>
        </w:rPr>
      </w:pPr>
      <w:r w:rsidRPr="00461C16">
        <w:rPr>
          <w:i/>
          <w:sz w:val="20"/>
          <w:szCs w:val="20"/>
        </w:rPr>
        <w:t xml:space="preserve">(k bodu C16 ÚP) </w:t>
      </w:r>
    </w:p>
    <w:p w14:paraId="214D3849" w14:textId="77777777" w:rsidR="00236177" w:rsidRPr="00461C16" w:rsidRDefault="009300DE" w:rsidP="00DE42DF">
      <w:pPr>
        <w:pStyle w:val="1text"/>
      </w:pPr>
      <w:r w:rsidRPr="00461C16">
        <w:t xml:space="preserve">Základní kostru systému sídelní zeleně ve městě tvoří </w:t>
      </w:r>
      <w:r w:rsidR="0028185B" w:rsidRPr="00461C16">
        <w:t xml:space="preserve">plochy </w:t>
      </w:r>
      <w:r w:rsidRPr="00461C16">
        <w:t>veřejn</w:t>
      </w:r>
      <w:r w:rsidR="0028185B" w:rsidRPr="00461C16">
        <w:t xml:space="preserve">ých </w:t>
      </w:r>
      <w:r w:rsidRPr="00461C16">
        <w:t xml:space="preserve">prostranství </w:t>
      </w:r>
      <w:r w:rsidR="0028185B" w:rsidRPr="00461C16">
        <w:t xml:space="preserve">s využitím veřejné zeleň (ZV) </w:t>
      </w:r>
      <w:r w:rsidRPr="00461C16">
        <w:t>v jednotlivých částech města</w:t>
      </w:r>
      <w:r w:rsidR="00236177" w:rsidRPr="00461C16">
        <w:t xml:space="preserve">. </w:t>
      </w:r>
      <w:r w:rsidR="0028185B" w:rsidRPr="00461C16">
        <w:rPr>
          <w:rStyle w:val="NvrhP-text"/>
        </w:rPr>
        <w:t>Ploch veřejné zeleně je ve městě poměrně málo.</w:t>
      </w:r>
    </w:p>
    <w:p w14:paraId="2A7501B1" w14:textId="77777777" w:rsidR="00236177" w:rsidRPr="00461C16" w:rsidRDefault="00236177" w:rsidP="00236177">
      <w:pPr>
        <w:pStyle w:val="1text"/>
      </w:pPr>
      <w:r w:rsidRPr="00461C16">
        <w:t xml:space="preserve">V Hrádku nad Nisou je nejcennější plochou městský park pod ul. Hradební, na který navazuje východním směrem pás zeleně mezi panelovým sídlištěm a výrobním areálem (vazba je přerušena objektem sportovní haly). Z urbanistického hlediska jsou jako nedílná součást historického centra významné plochy zeleně okolo kostela sv. Bartoloměje a Chrámu pokoje. Dalšími významnými plochami veřejně přístupné zeleně je území mezi ul. </w:t>
      </w:r>
      <w:r w:rsidRPr="00461C16">
        <w:lastRenderedPageBreak/>
        <w:t xml:space="preserve">Kamenná – 1.máje – Krátká a dále Dolní náměstí. Tyto prvky mají nezastupitelný kompoziční význam a měly by být zachovány jako plochy veřejné zeleně. </w:t>
      </w:r>
    </w:p>
    <w:p w14:paraId="65CEAD7A" w14:textId="77777777" w:rsidR="0036771A" w:rsidRPr="00461C16" w:rsidRDefault="0036771A" w:rsidP="00236177">
      <w:pPr>
        <w:pStyle w:val="1text"/>
      </w:pPr>
      <w:r w:rsidRPr="00461C16">
        <w:t xml:space="preserve">V menších sídlech lze </w:t>
      </w:r>
      <w:r w:rsidR="008211C5" w:rsidRPr="00461C16">
        <w:t xml:space="preserve">o samostatných </w:t>
      </w:r>
      <w:r w:rsidRPr="00461C16">
        <w:t>plochách zeleně hovořit v</w:t>
      </w:r>
      <w:r w:rsidR="008211C5" w:rsidRPr="00461C16">
        <w:t> </w:t>
      </w:r>
      <w:r w:rsidRPr="00461C16">
        <w:t>Doníně</w:t>
      </w:r>
      <w:r w:rsidR="008211C5" w:rsidRPr="00461C16">
        <w:t xml:space="preserve"> (</w:t>
      </w:r>
      <w:r w:rsidRPr="00461C16">
        <w:t xml:space="preserve">pás zeleně podél ulice Donínská), Václavicích </w:t>
      </w:r>
      <w:r w:rsidR="008211C5" w:rsidRPr="00461C16">
        <w:t>(náves a plochy podél Václavického potoka)</w:t>
      </w:r>
      <w:r w:rsidR="0028185B" w:rsidRPr="00461C16">
        <w:t xml:space="preserve">, </w:t>
      </w:r>
      <w:r w:rsidR="008211C5" w:rsidRPr="00461C16">
        <w:t xml:space="preserve">v Uhelné </w:t>
      </w:r>
      <w:r w:rsidR="0028185B" w:rsidRPr="00461C16">
        <w:t xml:space="preserve">(náves) a v Oldřichově (plocha u rybníka). </w:t>
      </w:r>
    </w:p>
    <w:p w14:paraId="44E21AC7" w14:textId="77777777" w:rsidR="0028185B" w:rsidRPr="00461C16" w:rsidRDefault="0028185B" w:rsidP="009300DE">
      <w:pPr>
        <w:pStyle w:val="1text"/>
        <w:rPr>
          <w:rStyle w:val="NvrhP-text"/>
        </w:rPr>
      </w:pPr>
      <w:r w:rsidRPr="00461C16">
        <w:rPr>
          <w:rStyle w:val="NvrhP-text"/>
        </w:rPr>
        <w:t xml:space="preserve">Relativní nedostatek parkových ploch ve městě nahrazuje niva Lužické Nisy a na ni navazují rekreační areál s vodní plochou Kristýna. Velký význam má místo styku hranice tří států – Trojzemí, které je krajinářsky upraveno. </w:t>
      </w:r>
    </w:p>
    <w:p w14:paraId="312A2EFE" w14:textId="77777777" w:rsidR="00616B5A" w:rsidRPr="00461C16" w:rsidRDefault="009300DE" w:rsidP="009300DE">
      <w:pPr>
        <w:pStyle w:val="1text"/>
        <w:rPr>
          <w:rStyle w:val="NvrhP-text"/>
        </w:rPr>
      </w:pPr>
      <w:r w:rsidRPr="00461C16">
        <w:rPr>
          <w:rStyle w:val="NvrhP-text"/>
        </w:rPr>
        <w:t xml:space="preserve">Z krajinných ploch by mohl funkci „městského“ parku či přírodního volnočasového areálu převzít zalesněný vrchol </w:t>
      </w:r>
    </w:p>
    <w:p w14:paraId="3A5992ED" w14:textId="77777777" w:rsidR="009011AC" w:rsidRPr="00461C16" w:rsidRDefault="0028185B" w:rsidP="009300DE">
      <w:pPr>
        <w:pStyle w:val="1text"/>
        <w:rPr>
          <w:rStyle w:val="NvrhP-text"/>
        </w:rPr>
      </w:pPr>
      <w:r w:rsidRPr="00461C16">
        <w:rPr>
          <w:rStyle w:val="NvrhP-text"/>
        </w:rPr>
        <w:t xml:space="preserve">Nové plochy </w:t>
      </w:r>
      <w:r w:rsidR="00616B5A" w:rsidRPr="00461C16">
        <w:rPr>
          <w:rStyle w:val="NvrhP-text"/>
        </w:rPr>
        <w:t xml:space="preserve">veřejné zeleně jsou navrženy podél </w:t>
      </w:r>
      <w:r w:rsidRPr="00461C16">
        <w:rPr>
          <w:rStyle w:val="NvrhP-text"/>
        </w:rPr>
        <w:t xml:space="preserve">Lužické Nisy </w:t>
      </w:r>
      <w:r w:rsidR="009011AC" w:rsidRPr="00461C16">
        <w:rPr>
          <w:rStyle w:val="NvrhP-text"/>
        </w:rPr>
        <w:t xml:space="preserve">při hranicích se SRN a v okolí Trojzemí. Smyslem vymezení těchto ploch je vytvoření podmínek pro doplnění volnočasové vybavenosti </w:t>
      </w:r>
      <w:r w:rsidR="00B16DCE" w:rsidRPr="00461C16">
        <w:rPr>
          <w:rStyle w:val="NvrhP-text"/>
        </w:rPr>
        <w:t>prostoru</w:t>
      </w:r>
      <w:r w:rsidR="009011AC" w:rsidRPr="00461C16">
        <w:rPr>
          <w:rStyle w:val="NvrhP-text"/>
        </w:rPr>
        <w:t xml:space="preserve"> Trojzemí a jeho napojení na centrum Hrádku. </w:t>
      </w:r>
    </w:p>
    <w:p w14:paraId="196660F9" w14:textId="77777777" w:rsidR="009300DE" w:rsidRPr="00461C16" w:rsidRDefault="009011AC" w:rsidP="009300DE">
      <w:pPr>
        <w:pStyle w:val="1text"/>
        <w:rPr>
          <w:rStyle w:val="NvrhP-text"/>
        </w:rPr>
      </w:pPr>
      <w:r w:rsidRPr="00461C16">
        <w:rPr>
          <w:rStyle w:val="NvrhP-text"/>
        </w:rPr>
        <w:t xml:space="preserve">Menší plochy ZV jsou navrženy s funkcí odclonění navrhované výrobní plochy a parkoviště od stávající zástavby v ulici Oldřichovská. </w:t>
      </w:r>
    </w:p>
    <w:p w14:paraId="07A2DFE4" w14:textId="77777777" w:rsidR="00DE42DF" w:rsidRPr="00461C16" w:rsidRDefault="00DE42DF" w:rsidP="00DE42DF">
      <w:pPr>
        <w:pStyle w:val="1text"/>
      </w:pPr>
      <w:r w:rsidRPr="00461C16">
        <w:t>Doplňkovými plochami systému jsou zahrady, zeleň hřbitovů</w:t>
      </w:r>
      <w:r w:rsidR="009011AC" w:rsidRPr="00461C16">
        <w:t xml:space="preserve"> </w:t>
      </w:r>
      <w:r w:rsidRPr="00461C16">
        <w:t>a další menší plochy zeleně doprovodného, izolačního a estetického charakteru v zastavěném území v jednotlivých plochách s různým způsobem využití.</w:t>
      </w:r>
    </w:p>
    <w:p w14:paraId="0E73E07C" w14:textId="77777777" w:rsidR="004E1C7A" w:rsidRPr="00461C16" w:rsidRDefault="00501553" w:rsidP="00D829F9">
      <w:pPr>
        <w:pStyle w:val="Heading2"/>
        <w:ind w:left="709" w:hanging="709"/>
      </w:pPr>
      <w:bookmarkStart w:id="123" w:name="_Toc384728045"/>
      <w:bookmarkStart w:id="124" w:name="_Toc424191833"/>
      <w:bookmarkStart w:id="125" w:name="_Toc36116297"/>
      <w:r w:rsidRPr="00461C16">
        <w:t>6</w:t>
      </w:r>
      <w:r w:rsidR="004E1C7A" w:rsidRPr="00461C16">
        <w:t>.5</w:t>
      </w:r>
      <w:r w:rsidR="004E1C7A" w:rsidRPr="00461C16">
        <w:tab/>
        <w:t>Koncepce veřejné infrastruktury, včetně podmínek pro její umísťování</w:t>
      </w:r>
      <w:bookmarkEnd w:id="123"/>
      <w:bookmarkEnd w:id="124"/>
      <w:r w:rsidR="00C521FE">
        <w:t>, vymezení ploch a koridorů pro veřejnou infrastrukturu, včetně stanovení podmínek pro jejich využití</w:t>
      </w:r>
      <w:bookmarkEnd w:id="125"/>
    </w:p>
    <w:p w14:paraId="0E77A06F" w14:textId="77777777" w:rsidR="00AD76AA" w:rsidRPr="00461C16" w:rsidRDefault="00501553" w:rsidP="007F050A">
      <w:pPr>
        <w:pStyle w:val="Heading3"/>
      </w:pPr>
      <w:bookmarkStart w:id="126" w:name="_Toc36116298"/>
      <w:r w:rsidRPr="00461C16">
        <w:t>6</w:t>
      </w:r>
      <w:r w:rsidR="00AD76AA" w:rsidRPr="00461C16">
        <w:t>.5.1</w:t>
      </w:r>
      <w:r w:rsidR="00AD76AA" w:rsidRPr="00461C16">
        <w:tab/>
        <w:t>Dopravní infrastruktura</w:t>
      </w:r>
      <w:bookmarkEnd w:id="126"/>
      <w:r w:rsidR="00AD76AA" w:rsidRPr="00461C16">
        <w:t xml:space="preserve"> </w:t>
      </w:r>
    </w:p>
    <w:p w14:paraId="1E527C52" w14:textId="77777777" w:rsidR="00BA2B09" w:rsidRPr="00461C16" w:rsidRDefault="00BA2B09" w:rsidP="00BA2B09">
      <w:pPr>
        <w:rPr>
          <w:rFonts w:cs="Arial"/>
          <w:i/>
          <w:sz w:val="20"/>
          <w:szCs w:val="20"/>
          <w:lang w:eastAsia="en-US"/>
        </w:rPr>
      </w:pPr>
      <w:bookmarkStart w:id="127" w:name="_Toc384728050"/>
      <w:bookmarkStart w:id="128" w:name="_Toc424191834"/>
      <w:bookmarkStart w:id="129" w:name="_Toc239843556"/>
      <w:bookmarkStart w:id="130" w:name="_Toc268687966"/>
      <w:bookmarkStart w:id="131" w:name="_Toc360178623"/>
      <w:bookmarkEnd w:id="101"/>
      <w:r w:rsidRPr="00461C16">
        <w:rPr>
          <w:rStyle w:val="NvrhP-text"/>
          <w:rFonts w:cs="Arial"/>
          <w:i/>
          <w:sz w:val="20"/>
          <w:szCs w:val="20"/>
          <w:lang w:eastAsia="en-US"/>
        </w:rPr>
        <w:t>(k bodům D01 – D03 ÚP)</w:t>
      </w:r>
    </w:p>
    <w:p w14:paraId="5D781FE4" w14:textId="77777777" w:rsidR="00BA2B09" w:rsidRPr="00461C16" w:rsidRDefault="00BA2B09" w:rsidP="00BA2B09">
      <w:pPr>
        <w:spacing w:before="120" w:line="240" w:lineRule="auto"/>
      </w:pPr>
      <w:r w:rsidRPr="00461C16">
        <w:t xml:space="preserve">Předmětem řešení koncepce dopravní infrastruktury ÚP jsou všechny dopravní systémy přítomné nebo navrhované k umístění a řešení v rámci správního území města </w:t>
      </w:r>
      <w:r w:rsidR="002C6C01" w:rsidRPr="00461C16">
        <w:t>Hrádek nad Nisou</w:t>
      </w:r>
      <w:r w:rsidRPr="00461C16">
        <w:t xml:space="preserve"> resp. systémy, které na řešené území mají nebo mohou mít potenciální vliv s ohledem na chráněné zájmy příslušné dopravní infrastruktury vyplývající z platných právních předpisů (ochranná pásma apod.).</w:t>
      </w:r>
    </w:p>
    <w:p w14:paraId="646C6051" w14:textId="77777777" w:rsidR="00BA2B09" w:rsidRPr="00461C16" w:rsidRDefault="00BA2B09" w:rsidP="00BA2B09">
      <w:pPr>
        <w:spacing w:before="120" w:line="240" w:lineRule="auto"/>
      </w:pPr>
      <w:r w:rsidRPr="00461C16">
        <w:t>V rámci územního plánu jsou řešeny koncepce následujících dopravních systémů v území:</w:t>
      </w:r>
    </w:p>
    <w:p w14:paraId="2CB7F23F" w14:textId="77777777" w:rsidR="00BA2B09" w:rsidRPr="00461C16" w:rsidRDefault="00BA2B09" w:rsidP="006A71D4">
      <w:pPr>
        <w:pStyle w:val="CharChar2"/>
        <w:numPr>
          <w:ilvl w:val="0"/>
          <w:numId w:val="71"/>
        </w:numPr>
        <w:spacing w:before="60" w:after="60" w:line="240" w:lineRule="auto"/>
        <w:ind w:left="714" w:hanging="357"/>
        <w:jc w:val="both"/>
        <w:rPr>
          <w:rFonts w:ascii="Arial Narrow" w:hAnsi="Arial Narrow"/>
          <w:sz w:val="22"/>
          <w:szCs w:val="22"/>
          <w:lang w:val="cs-CZ"/>
        </w:rPr>
      </w:pPr>
      <w:r w:rsidRPr="00461C16">
        <w:rPr>
          <w:rFonts w:ascii="Arial Narrow" w:hAnsi="Arial Narrow"/>
          <w:sz w:val="22"/>
          <w:szCs w:val="22"/>
          <w:lang w:val="cs-CZ"/>
        </w:rPr>
        <w:t>komunikační systém města (pozemní komunikace pro provoz silničních motorových vozidel);</w:t>
      </w:r>
    </w:p>
    <w:p w14:paraId="27D5272A" w14:textId="77777777" w:rsidR="00BA2B09" w:rsidRPr="00461C16" w:rsidRDefault="00BA2B09" w:rsidP="006A71D4">
      <w:pPr>
        <w:pStyle w:val="CharChar2"/>
        <w:numPr>
          <w:ilvl w:val="0"/>
          <w:numId w:val="71"/>
        </w:numPr>
        <w:spacing w:before="60" w:after="60" w:line="240" w:lineRule="auto"/>
        <w:ind w:left="714" w:hanging="357"/>
        <w:jc w:val="both"/>
        <w:rPr>
          <w:rFonts w:ascii="Arial Narrow" w:hAnsi="Arial Narrow"/>
          <w:sz w:val="22"/>
          <w:szCs w:val="22"/>
          <w:lang w:val="cs-CZ"/>
        </w:rPr>
      </w:pPr>
      <w:r w:rsidRPr="00461C16">
        <w:rPr>
          <w:rFonts w:ascii="Arial Narrow" w:hAnsi="Arial Narrow"/>
          <w:sz w:val="22"/>
          <w:szCs w:val="22"/>
          <w:lang w:val="cs-CZ"/>
        </w:rPr>
        <w:t>doprava v klidu;</w:t>
      </w:r>
    </w:p>
    <w:p w14:paraId="374C4CA7" w14:textId="77777777" w:rsidR="00BA2B09" w:rsidRPr="00461C16" w:rsidRDefault="00BA2B09" w:rsidP="006A71D4">
      <w:pPr>
        <w:pStyle w:val="CharChar2"/>
        <w:numPr>
          <w:ilvl w:val="0"/>
          <w:numId w:val="71"/>
        </w:numPr>
        <w:spacing w:before="60" w:after="60" w:line="240" w:lineRule="auto"/>
        <w:ind w:left="714" w:hanging="357"/>
        <w:jc w:val="both"/>
        <w:rPr>
          <w:rFonts w:ascii="Arial Narrow" w:hAnsi="Arial Narrow"/>
          <w:sz w:val="22"/>
          <w:szCs w:val="22"/>
          <w:lang w:val="cs-CZ"/>
        </w:rPr>
      </w:pPr>
      <w:r w:rsidRPr="00461C16">
        <w:rPr>
          <w:rFonts w:ascii="Arial Narrow" w:hAnsi="Arial Narrow"/>
          <w:sz w:val="22"/>
          <w:szCs w:val="22"/>
          <w:lang w:val="cs-CZ"/>
        </w:rPr>
        <w:t>veřejná hromadná doprava;</w:t>
      </w:r>
    </w:p>
    <w:p w14:paraId="052566B5" w14:textId="77777777" w:rsidR="00BA2B09" w:rsidRPr="00461C16" w:rsidRDefault="00BA2B09" w:rsidP="006A71D4">
      <w:pPr>
        <w:pStyle w:val="CharChar2"/>
        <w:numPr>
          <w:ilvl w:val="0"/>
          <w:numId w:val="71"/>
        </w:numPr>
        <w:spacing w:before="60" w:after="60" w:line="240" w:lineRule="auto"/>
        <w:ind w:left="714" w:hanging="357"/>
        <w:jc w:val="both"/>
        <w:rPr>
          <w:rFonts w:ascii="Arial Narrow" w:hAnsi="Arial Narrow"/>
          <w:sz w:val="22"/>
          <w:szCs w:val="22"/>
          <w:lang w:val="cs-CZ"/>
        </w:rPr>
      </w:pPr>
      <w:r w:rsidRPr="00461C16">
        <w:rPr>
          <w:rFonts w:ascii="Arial Narrow" w:hAnsi="Arial Narrow"/>
          <w:sz w:val="22"/>
          <w:szCs w:val="22"/>
          <w:lang w:val="cs-CZ"/>
        </w:rPr>
        <w:t>pěší a cyklistická doprava;</w:t>
      </w:r>
    </w:p>
    <w:p w14:paraId="06E1DE89" w14:textId="77777777" w:rsidR="00BA2B09" w:rsidRPr="00461C16" w:rsidRDefault="00BA2B09" w:rsidP="006A71D4">
      <w:pPr>
        <w:pStyle w:val="CharChar2"/>
        <w:numPr>
          <w:ilvl w:val="0"/>
          <w:numId w:val="71"/>
        </w:numPr>
        <w:spacing w:before="60" w:after="60" w:line="240" w:lineRule="auto"/>
        <w:ind w:left="714" w:hanging="357"/>
        <w:jc w:val="both"/>
        <w:rPr>
          <w:rFonts w:ascii="Arial Narrow" w:hAnsi="Arial Narrow"/>
          <w:sz w:val="22"/>
          <w:szCs w:val="22"/>
          <w:lang w:val="cs-CZ"/>
        </w:rPr>
      </w:pPr>
      <w:r w:rsidRPr="00461C16">
        <w:rPr>
          <w:rFonts w:ascii="Arial Narrow" w:hAnsi="Arial Narrow"/>
          <w:sz w:val="22"/>
          <w:szCs w:val="22"/>
          <w:lang w:val="cs-CZ"/>
        </w:rPr>
        <w:t>železniční doprava;</w:t>
      </w:r>
    </w:p>
    <w:p w14:paraId="2222EAC3" w14:textId="77777777" w:rsidR="00BA2B09" w:rsidRPr="00461C16" w:rsidRDefault="00BA2B09" w:rsidP="006A71D4">
      <w:pPr>
        <w:pStyle w:val="CharChar2"/>
        <w:numPr>
          <w:ilvl w:val="0"/>
          <w:numId w:val="71"/>
        </w:numPr>
        <w:spacing w:before="60" w:after="60" w:line="240" w:lineRule="auto"/>
        <w:ind w:left="714" w:hanging="357"/>
        <w:jc w:val="both"/>
        <w:rPr>
          <w:rFonts w:ascii="Arial Narrow" w:hAnsi="Arial Narrow"/>
          <w:sz w:val="22"/>
          <w:szCs w:val="22"/>
          <w:lang w:val="cs-CZ"/>
        </w:rPr>
      </w:pPr>
      <w:r w:rsidRPr="00461C16">
        <w:rPr>
          <w:rFonts w:ascii="Arial Narrow" w:hAnsi="Arial Narrow"/>
          <w:sz w:val="22"/>
          <w:szCs w:val="22"/>
          <w:lang w:val="cs-CZ"/>
        </w:rPr>
        <w:t>letecká doprava;</w:t>
      </w:r>
    </w:p>
    <w:p w14:paraId="30950F23" w14:textId="77777777" w:rsidR="00BA2B09" w:rsidRPr="00461C16" w:rsidRDefault="00BA2B09" w:rsidP="006A71D4">
      <w:pPr>
        <w:pStyle w:val="CharChar2"/>
        <w:numPr>
          <w:ilvl w:val="0"/>
          <w:numId w:val="71"/>
        </w:numPr>
        <w:spacing w:before="60" w:after="60" w:line="240" w:lineRule="auto"/>
        <w:ind w:left="714" w:hanging="357"/>
        <w:jc w:val="both"/>
        <w:rPr>
          <w:rFonts w:ascii="Arial Narrow" w:hAnsi="Arial Narrow"/>
          <w:sz w:val="22"/>
          <w:szCs w:val="22"/>
          <w:lang w:val="cs-CZ"/>
        </w:rPr>
      </w:pPr>
      <w:r w:rsidRPr="00461C16">
        <w:rPr>
          <w:rFonts w:ascii="Arial Narrow" w:hAnsi="Arial Narrow"/>
          <w:sz w:val="22"/>
          <w:szCs w:val="22"/>
          <w:lang w:val="cs-CZ"/>
        </w:rPr>
        <w:t>vodní doprava.</w:t>
      </w:r>
    </w:p>
    <w:p w14:paraId="61727274" w14:textId="77777777" w:rsidR="00BA2B09" w:rsidRPr="00461C16" w:rsidRDefault="00BA2B09" w:rsidP="00BA2B09">
      <w:pPr>
        <w:spacing w:before="120" w:line="240" w:lineRule="auto"/>
      </w:pPr>
      <w:r w:rsidRPr="00461C16">
        <w:t xml:space="preserve">Řešení koncepce dopravní infrastruktury se zaměřuje na funkční a prostorové uspořádání systémů. Veškeré konkrétní plošné a prostorové nároky jednotlivých systémů a jejich prvků jsou důsledně zohledněny ve vymezení příslušných ploch nebo koridorů v rámci urbanistické koncepce zobrazené ve výkrese č. </w:t>
      </w:r>
      <w:r w:rsidRPr="00461C16">
        <w:rPr>
          <w:i/>
        </w:rPr>
        <w:t>I.2a Hlavní výkres – způsob využití území</w:t>
      </w:r>
      <w:r w:rsidRPr="00461C16">
        <w:t xml:space="preserve">. </w:t>
      </w:r>
    </w:p>
    <w:p w14:paraId="7E9DA394" w14:textId="66F9AC97" w:rsidR="00BA2B09" w:rsidRPr="00461C16" w:rsidRDefault="00BA2B09" w:rsidP="00BA2B09">
      <w:pPr>
        <w:spacing w:before="120" w:line="240" w:lineRule="auto"/>
      </w:pPr>
      <w:r w:rsidRPr="00461C16">
        <w:t xml:space="preserve">V rámci výkresu </w:t>
      </w:r>
      <w:r w:rsidRPr="00461C16">
        <w:rPr>
          <w:i/>
        </w:rPr>
        <w:t xml:space="preserve">č. I.2c Výkres koncepce </w:t>
      </w:r>
      <w:r w:rsidR="003B07D8">
        <w:rPr>
          <w:i/>
        </w:rPr>
        <w:t>veřejné</w:t>
      </w:r>
      <w:r w:rsidR="003B07D8" w:rsidRPr="00461C16">
        <w:rPr>
          <w:i/>
        </w:rPr>
        <w:t xml:space="preserve"> </w:t>
      </w:r>
      <w:r w:rsidRPr="00461C16">
        <w:rPr>
          <w:i/>
        </w:rPr>
        <w:t>infrastruktury</w:t>
      </w:r>
      <w:r w:rsidRPr="00461C16">
        <w:t xml:space="preserve"> jsou zobrazeny jednotlivé dopravní systémy a je zde objasněna koncepce jejich řešení včetně příslušných kategorizací prvků systému, dopravně-inženýrských charakteristik apod. Ve výkrese </w:t>
      </w:r>
      <w:r w:rsidRPr="00461C16">
        <w:rPr>
          <w:i/>
        </w:rPr>
        <w:t xml:space="preserve">č. I.2c Výkres koncepce </w:t>
      </w:r>
      <w:r w:rsidR="003B07D8">
        <w:rPr>
          <w:i/>
        </w:rPr>
        <w:t>veřejné</w:t>
      </w:r>
      <w:r w:rsidRPr="00461C16">
        <w:rPr>
          <w:i/>
        </w:rPr>
        <w:t xml:space="preserve"> infrastruktury </w:t>
      </w:r>
      <w:r w:rsidRPr="00461C16">
        <w:t>jsou zobrazena rovněž ta</w:t>
      </w:r>
      <w:r w:rsidRPr="00461C16">
        <w:rPr>
          <w:i/>
        </w:rPr>
        <w:t xml:space="preserve"> </w:t>
      </w:r>
      <w:r w:rsidRPr="00461C16">
        <w:t>koncepční řešení, která nevykazují konkrétní plošné a prostorové nároky, ale z nichž vyplývají konkrétní opatření řešitelná mimo rámec územního plánu (např. koncepce veřejné prostupnosti pro motorová vozidla, tzn. směry dopravních propojení, jejichž prostorové nároky korelují s plochami veřejných prostranství nebo dopravní infrastruktury silniční).</w:t>
      </w:r>
    </w:p>
    <w:p w14:paraId="00996400" w14:textId="77777777" w:rsidR="00BA2B09" w:rsidRPr="00461C16" w:rsidRDefault="005F6539" w:rsidP="00BA2B09">
      <w:pPr>
        <w:spacing w:before="300" w:after="60"/>
        <w:rPr>
          <w:b/>
          <w:sz w:val="24"/>
        </w:rPr>
      </w:pPr>
      <w:r w:rsidRPr="00461C16">
        <w:rPr>
          <w:b/>
          <w:sz w:val="24"/>
        </w:rPr>
        <w:t>Pozemní komunikace</w:t>
      </w:r>
    </w:p>
    <w:p w14:paraId="179DF199" w14:textId="77777777" w:rsidR="00BA2B09" w:rsidRPr="00461C16" w:rsidRDefault="00BA2B09" w:rsidP="00BA2B09">
      <w:pPr>
        <w:rPr>
          <w:rStyle w:val="NvrhP-text"/>
          <w:rFonts w:cs="Arial"/>
          <w:i/>
          <w:sz w:val="20"/>
          <w:szCs w:val="20"/>
          <w:lang w:eastAsia="en-US"/>
        </w:rPr>
      </w:pPr>
      <w:r w:rsidRPr="00461C16">
        <w:rPr>
          <w:rStyle w:val="NvrhP-text"/>
          <w:rFonts w:cs="Arial"/>
          <w:i/>
          <w:sz w:val="20"/>
          <w:szCs w:val="20"/>
          <w:lang w:eastAsia="en-US"/>
        </w:rPr>
        <w:lastRenderedPageBreak/>
        <w:t>(k bodům D04 – D06 ÚP)</w:t>
      </w:r>
    </w:p>
    <w:p w14:paraId="214A4AC2" w14:textId="77777777" w:rsidR="00BA2B09" w:rsidRPr="00461C16" w:rsidRDefault="005F6539" w:rsidP="00BA2B09">
      <w:pPr>
        <w:spacing w:before="120" w:line="240" w:lineRule="auto"/>
      </w:pPr>
      <w:r w:rsidRPr="00461C16">
        <w:rPr>
          <w:bCs/>
        </w:rPr>
        <w:t xml:space="preserve">Hlavní páteř tranzitní automobilové dopravy přes území města Hrádek nad Nisou tvoří silnice I/35, která je zároveň v úseku od Chrastavy směrem dále na Liberec součástí Evropské sítě mezinárodních silnic pod označením E442. Samotná silnice I/35 nepřenáší žádné vnitroměstské dopravní vztahy města Hrádek nad Nisou, slouží pouze pro dálkové cesty začínající či končící v Hrádku nad Nisou. Na území města Hrádek nad Nisou jsou na silnici I/35 situovány 2 úrovňové křižovatky, z toho jedna okružní v severní části při česko-polské hranici. Silnice I/35 má v úseku Bílý Kostel nad Nisou – </w:t>
      </w:r>
      <w:r w:rsidRPr="00461C16">
        <w:t>hraniční přechod Hrádek nad Nisou/Porajów (Polsko)</w:t>
      </w:r>
      <w:r w:rsidRPr="00461C16">
        <w:rPr>
          <w:bCs/>
        </w:rPr>
        <w:t xml:space="preserve"> 2-pruhové uspořádání, které zcela vyhovuje stávajícím intenzitám automobilové dopravy.</w:t>
      </w:r>
      <w:r w:rsidR="00BA2B09" w:rsidRPr="00461C16">
        <w:t xml:space="preserve"> </w:t>
      </w:r>
    </w:p>
    <w:p w14:paraId="3A22C117" w14:textId="135F02FC" w:rsidR="00BA2B09" w:rsidRPr="00461C16" w:rsidRDefault="00BA2B09" w:rsidP="00BA2B09">
      <w:pPr>
        <w:spacing w:before="120" w:line="240" w:lineRule="auto"/>
      </w:pPr>
      <w:r w:rsidRPr="00461C16">
        <w:t xml:space="preserve">Dalšími dopravními tahy na území města </w:t>
      </w:r>
      <w:r w:rsidR="005F6539" w:rsidRPr="00461C16">
        <w:rPr>
          <w:bCs/>
        </w:rPr>
        <w:t xml:space="preserve">Hrádek nad Nisou </w:t>
      </w:r>
      <w:r w:rsidRPr="00461C16">
        <w:t xml:space="preserve">jsou silnice </w:t>
      </w:r>
      <w:r w:rsidR="005F6539" w:rsidRPr="00461C16">
        <w:t>III/2711, III/2712, III/2713, III/2716, III/2719, III/27110, III/27251, které spolu se silnicí</w:t>
      </w:r>
      <w:r w:rsidRPr="00461C16">
        <w:t xml:space="preserve"> </w:t>
      </w:r>
      <w:r w:rsidR="005F6539" w:rsidRPr="00461C16">
        <w:t xml:space="preserve">I/35 </w:t>
      </w:r>
      <w:r w:rsidRPr="00461C16">
        <w:t xml:space="preserve">tvoří nadřazený komunikační systém města </w:t>
      </w:r>
      <w:r w:rsidR="005F6539" w:rsidRPr="00461C16">
        <w:rPr>
          <w:bCs/>
        </w:rPr>
        <w:t>Hrádek nad Nisou</w:t>
      </w:r>
      <w:r w:rsidRPr="00461C16">
        <w:t>.</w:t>
      </w:r>
    </w:p>
    <w:p w14:paraId="625671EC" w14:textId="77777777" w:rsidR="00BA2B09" w:rsidRPr="00461C16" w:rsidRDefault="00BA2B09" w:rsidP="00BA2B09">
      <w:pPr>
        <w:spacing w:before="240"/>
        <w:rPr>
          <w:rStyle w:val="NvrhP-text"/>
          <w:rFonts w:cs="Arial"/>
          <w:i/>
          <w:sz w:val="20"/>
          <w:szCs w:val="20"/>
          <w:lang w:eastAsia="en-US"/>
        </w:rPr>
      </w:pPr>
      <w:r w:rsidRPr="00461C16">
        <w:rPr>
          <w:rStyle w:val="NvrhP-text"/>
          <w:rFonts w:cs="Arial"/>
          <w:i/>
          <w:sz w:val="20"/>
          <w:szCs w:val="20"/>
          <w:lang w:eastAsia="en-US"/>
        </w:rPr>
        <w:t>(k bodu D07 ÚP)</w:t>
      </w:r>
    </w:p>
    <w:p w14:paraId="295D55BC" w14:textId="77777777" w:rsidR="00BA2B09" w:rsidRPr="00461C16" w:rsidRDefault="00BA2B09" w:rsidP="00BA2B09">
      <w:pPr>
        <w:spacing w:before="120" w:line="240" w:lineRule="auto"/>
      </w:pPr>
      <w:r w:rsidRPr="00461C16">
        <w:t>Jako plochy s rozdílným způsobem využití silniční doprava (DS) jsou v ÚP v hlavním výkrese vymezeny výhradně plochy těch komunikací, jejichž převažujícím využitím je právě automobilová doprava, zatímco všechny ostatní funkce ploch, jako je např. pěší a cyklistická doprava, obytná, pobytová či rekreační funkce nebo funkce obsluhy zemědělských, lesních a jiných pozemků ve volné krajině, jsou buď zcela vyloučeny, nebo mají jen marginální význam. Všechny ty plochy, ve kterých kromě funkce automobilové dopravy nabývá na významu zároveň také jiné využití, zejména pak využití pobytové, obytné či rekreační (ulice v obytné zástavbě, místní komunikace s nízkým dopravním významem obytné zóny, veřejně přístupné účelové komunikace, apod.), jsou v hlavním výkrese vymezeny jako plochy veřejných prostranství - komunikace (PX).</w:t>
      </w:r>
      <w:r w:rsidR="00B345B4" w:rsidRPr="00461C16">
        <w:t xml:space="preserve"> </w:t>
      </w:r>
    </w:p>
    <w:p w14:paraId="7CAECF75" w14:textId="77777777" w:rsidR="00BA2B09" w:rsidRPr="00461C16" w:rsidRDefault="00BA2B09" w:rsidP="00BA2B09">
      <w:pPr>
        <w:spacing w:before="120" w:line="240" w:lineRule="auto"/>
      </w:pPr>
      <w:r w:rsidRPr="00461C16">
        <w:t>Důvodem pro takové odlišení je jednoznačná deklarace převažujícího významu ploch pro automobilovou dopravu a cílená ochrana komunikací s nadřazeným dopravním významem jako významných civilizačních hodnot území, které je nezbytné chránit ve veřejném zájmu.</w:t>
      </w:r>
    </w:p>
    <w:p w14:paraId="5959A441" w14:textId="77777777" w:rsidR="00BA2B09" w:rsidRPr="00461C16" w:rsidRDefault="00BA2B09" w:rsidP="00BA2B09">
      <w:pPr>
        <w:spacing w:before="240"/>
        <w:rPr>
          <w:rStyle w:val="NvrhP-text"/>
          <w:rFonts w:cs="Arial"/>
          <w:i/>
          <w:sz w:val="20"/>
          <w:szCs w:val="20"/>
          <w:lang w:eastAsia="en-US"/>
        </w:rPr>
      </w:pPr>
      <w:r w:rsidRPr="00461C16">
        <w:rPr>
          <w:rStyle w:val="NvrhP-text"/>
          <w:rFonts w:cs="Arial"/>
          <w:i/>
          <w:sz w:val="20"/>
          <w:szCs w:val="20"/>
          <w:lang w:eastAsia="en-US"/>
        </w:rPr>
        <w:t>(k bodu D08 ÚP)</w:t>
      </w:r>
    </w:p>
    <w:p w14:paraId="5EFF290E" w14:textId="77777777" w:rsidR="002711B8" w:rsidRPr="002711B8" w:rsidRDefault="002711B8" w:rsidP="002711B8">
      <w:pPr>
        <w:spacing w:before="120" w:line="240" w:lineRule="auto"/>
      </w:pPr>
      <w:r w:rsidRPr="002711B8">
        <w:t xml:space="preserve">Koridor územní rezervy </w:t>
      </w:r>
      <w:r>
        <w:t xml:space="preserve">R16 </w:t>
      </w:r>
      <w:r w:rsidRPr="002711B8">
        <w:t>je vymezen na základě požadavku Ředitelství silnic a dálnic ČR uplatněného k návrhu ÚP.</w:t>
      </w:r>
    </w:p>
    <w:p w14:paraId="7DD6D6F3" w14:textId="77777777" w:rsidR="002711B8" w:rsidRDefault="002711B8" w:rsidP="002711B8">
      <w:pPr>
        <w:spacing w:before="120" w:line="240" w:lineRule="auto"/>
      </w:pPr>
      <w:r w:rsidRPr="002711B8">
        <w:rPr>
          <w:bCs/>
        </w:rPr>
        <w:t xml:space="preserve">V rámci modernizace silnic se v následujících letech plánuje rozšíření silnice I/35 v úseku </w:t>
      </w:r>
      <w:r w:rsidRPr="002711B8">
        <w:t xml:space="preserve">mezi Bílým Kostelem nad Nisou a Hrádkem nad Nisou na čtyřpruhové uspořádání. Rozšíření silnice I/35 na čtyřpruhové uspořádání je záměrem Ministerstva dopravy ČR, které ve spolupráci s Ředitelstvím silnic a dálnic ČR toto rozšíření plánují. </w:t>
      </w:r>
      <w:r w:rsidR="002F15EB">
        <w:t>Součástí záměru je rovněž úprava stávající okružní křižovatky.</w:t>
      </w:r>
    </w:p>
    <w:p w14:paraId="36011274" w14:textId="77777777" w:rsidR="002711B8" w:rsidRDefault="002711B8" w:rsidP="00D86AC0">
      <w:pPr>
        <w:keepNext/>
        <w:spacing w:before="120" w:line="240" w:lineRule="auto"/>
      </w:pPr>
      <w:r>
        <w:rPr>
          <w:noProof/>
          <w:lang w:eastAsia="cs-CZ"/>
        </w:rPr>
        <w:lastRenderedPageBreak/>
        <w:drawing>
          <wp:inline distT="0" distB="0" distL="0" distR="0" wp14:anchorId="3C92EA90" wp14:editId="6B3D6D4D">
            <wp:extent cx="5760720" cy="28911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2891155"/>
                    </a:xfrm>
                    <a:prstGeom prst="rect">
                      <a:avLst/>
                    </a:prstGeom>
                  </pic:spPr>
                </pic:pic>
              </a:graphicData>
            </a:graphic>
          </wp:inline>
        </w:drawing>
      </w:r>
    </w:p>
    <w:p w14:paraId="622DAE73" w14:textId="77777777" w:rsidR="002711B8" w:rsidRPr="002711B8" w:rsidRDefault="002711B8" w:rsidP="00D86AC0">
      <w:pPr>
        <w:pStyle w:val="Caption"/>
      </w:pPr>
      <w:r>
        <w:t xml:space="preserve">Obrázek </w:t>
      </w:r>
      <w:r w:rsidR="00D61E44">
        <w:rPr>
          <w:noProof/>
        </w:rPr>
        <w:fldChar w:fldCharType="begin"/>
      </w:r>
      <w:r w:rsidR="00D61E44">
        <w:rPr>
          <w:noProof/>
        </w:rPr>
        <w:instrText xml:space="preserve"> SEQ Obrázek \* ARABIC </w:instrText>
      </w:r>
      <w:r w:rsidR="00D61E44">
        <w:rPr>
          <w:noProof/>
        </w:rPr>
        <w:fldChar w:fldCharType="separate"/>
      </w:r>
      <w:r w:rsidR="002F15EB">
        <w:rPr>
          <w:noProof/>
        </w:rPr>
        <w:t>1</w:t>
      </w:r>
      <w:r w:rsidR="00D61E44">
        <w:rPr>
          <w:noProof/>
        </w:rPr>
        <w:fldChar w:fldCharType="end"/>
      </w:r>
      <w:r>
        <w:t xml:space="preserve">: </w:t>
      </w:r>
      <w:r w:rsidRPr="00401AE3">
        <w:t>Kategorizace dálnic a silnic I. třídy do roku 2040 (Zdroj: www.rsd.cz)</w:t>
      </w:r>
    </w:p>
    <w:p w14:paraId="0D8A6878" w14:textId="77777777" w:rsidR="002711B8" w:rsidRDefault="002711B8" w:rsidP="002711B8">
      <w:pPr>
        <w:spacing w:before="120" w:line="240" w:lineRule="auto"/>
      </w:pPr>
      <w:r w:rsidRPr="002711B8">
        <w:t>Koridor územní rezervy pro výhledové zkapacitnění silnice I/35, úsek Bílý Kostel nad Nisou – Hrádek nad Nisou – hranice ČR/Polsko je součástí projednávaného návrhu Aktualizace č. 1 ZÚR Libereckého kraje (návrh pro společné jednání, květen 2018).</w:t>
      </w:r>
    </w:p>
    <w:p w14:paraId="11D66C48" w14:textId="315C7E55" w:rsidR="00BA2B09" w:rsidRPr="00461C16" w:rsidRDefault="00BA2B09" w:rsidP="00BA2B09">
      <w:pPr>
        <w:spacing w:before="240"/>
        <w:rPr>
          <w:rStyle w:val="NvrhP-text"/>
          <w:rFonts w:cs="Arial"/>
          <w:i/>
          <w:sz w:val="20"/>
          <w:szCs w:val="20"/>
          <w:lang w:eastAsia="en-US"/>
        </w:rPr>
      </w:pPr>
      <w:r w:rsidRPr="00461C16">
        <w:rPr>
          <w:rStyle w:val="NvrhP-text"/>
          <w:rFonts w:cs="Arial"/>
          <w:i/>
          <w:sz w:val="20"/>
          <w:szCs w:val="20"/>
          <w:lang w:eastAsia="en-US"/>
        </w:rPr>
        <w:t>(k bod</w:t>
      </w:r>
      <w:r w:rsidR="000D2520" w:rsidRPr="00461C16">
        <w:rPr>
          <w:rStyle w:val="NvrhP-text"/>
          <w:rFonts w:cs="Arial"/>
          <w:i/>
          <w:sz w:val="20"/>
          <w:szCs w:val="20"/>
          <w:lang w:eastAsia="en-US"/>
        </w:rPr>
        <w:t xml:space="preserve">u </w:t>
      </w:r>
      <w:r w:rsidR="00566987" w:rsidRPr="00461C16">
        <w:rPr>
          <w:rStyle w:val="NvrhP-text"/>
          <w:rFonts w:cs="Arial"/>
          <w:i/>
          <w:sz w:val="20"/>
          <w:szCs w:val="20"/>
          <w:lang w:eastAsia="en-US"/>
        </w:rPr>
        <w:t>D0</w:t>
      </w:r>
      <w:r w:rsidR="00566987">
        <w:rPr>
          <w:rStyle w:val="NvrhP-text"/>
          <w:rFonts w:cs="Arial"/>
          <w:i/>
          <w:sz w:val="20"/>
          <w:szCs w:val="20"/>
          <w:lang w:eastAsia="en-US"/>
        </w:rPr>
        <w:t>9</w:t>
      </w:r>
      <w:r w:rsidR="00566987" w:rsidRPr="00461C16">
        <w:rPr>
          <w:rStyle w:val="NvrhP-text"/>
          <w:rFonts w:cs="Arial"/>
          <w:i/>
          <w:sz w:val="20"/>
          <w:szCs w:val="20"/>
          <w:lang w:eastAsia="en-US"/>
        </w:rPr>
        <w:t xml:space="preserve"> </w:t>
      </w:r>
      <w:r w:rsidRPr="00461C16">
        <w:rPr>
          <w:rStyle w:val="NvrhP-text"/>
          <w:rFonts w:cs="Arial"/>
          <w:i/>
          <w:sz w:val="20"/>
          <w:szCs w:val="20"/>
          <w:lang w:eastAsia="en-US"/>
        </w:rPr>
        <w:t>ÚP)</w:t>
      </w:r>
    </w:p>
    <w:p w14:paraId="6A04D1D5" w14:textId="77777777" w:rsidR="00BA2B09" w:rsidRPr="00461C16" w:rsidRDefault="00BA2B09" w:rsidP="00BA2B09">
      <w:pPr>
        <w:spacing w:before="120" w:line="240" w:lineRule="auto"/>
      </w:pPr>
      <w:r w:rsidRPr="00461C16">
        <w:t>Na nadřazený komunikační systém mě</w:t>
      </w:r>
      <w:r w:rsidR="000D2520" w:rsidRPr="00461C16">
        <w:t>sta, který je tvořen a silnicemi I.</w:t>
      </w:r>
      <w:r w:rsidRPr="00461C16">
        <w:t xml:space="preserve"> a III. třídy navazuje relativně hustá síť místních a veřejně přístupných účelových komunikací nižšího dopravního významu, které zajišťují lokální dopravní obslužnost jednotlivých území města, obytných souborů a částí obce, a které zajišťují dopravní napojení jednotlivých pozemků a objektů na nich. Účelové komunikace pak v rámci komunikačního systému zajišťují dopravní dostupnost vybraných lokalit, jako jsou například zahrádkářské kolonie, dostupnost zemědělských a lesních pozemků a zajišťují rovněž prostupnost krajiny. </w:t>
      </w:r>
    </w:p>
    <w:p w14:paraId="55F2C3C0" w14:textId="77777777" w:rsidR="00BA2B09" w:rsidRPr="00461C16" w:rsidRDefault="00BA2B09" w:rsidP="00BA2B09">
      <w:pPr>
        <w:spacing w:before="120" w:line="240" w:lineRule="auto"/>
      </w:pPr>
      <w:r w:rsidRPr="00461C16">
        <w:t xml:space="preserve">V rámci samotného jádrového města </w:t>
      </w:r>
      <w:r w:rsidR="000D2520" w:rsidRPr="00461C16">
        <w:t>Hrádek nad Nisou</w:t>
      </w:r>
      <w:r w:rsidRPr="00461C16">
        <w:t xml:space="preserve"> je systém místních komunikací nižšího dopravního významu determinován vlastní urbanistickou strukturou města, charakteristickou převládající relativně hustou uliční sítí.</w:t>
      </w:r>
    </w:p>
    <w:p w14:paraId="5D4C81C0" w14:textId="77777777" w:rsidR="00BA2B09" w:rsidRPr="00461C16" w:rsidRDefault="000D2520" w:rsidP="00BA2B09">
      <w:pPr>
        <w:spacing w:before="120" w:line="240" w:lineRule="auto"/>
      </w:pPr>
      <w:r w:rsidRPr="00461C16">
        <w:t>V</w:t>
      </w:r>
      <w:r w:rsidR="00BA2B09" w:rsidRPr="00461C16">
        <w:t xml:space="preserve"> oddělených částech </w:t>
      </w:r>
      <w:r w:rsidRPr="00461C16">
        <w:t>města</w:t>
      </w:r>
      <w:r w:rsidR="00BA2B09" w:rsidRPr="00461C16">
        <w:t xml:space="preserve"> </w:t>
      </w:r>
      <w:r w:rsidRPr="00461C16">
        <w:t>Václavice, Uhelná, Oldřichov na Hranicích, Dolní Sedlo, Horní Sedlo a Dolní Suchá</w:t>
      </w:r>
      <w:r w:rsidR="00BA2B09" w:rsidRPr="00461C16">
        <w:t xml:space="preserve"> je síť místních komunikací velmi omezená. Jedná se totiž </w:t>
      </w:r>
      <w:r w:rsidRPr="00461C16">
        <w:t>většinou</w:t>
      </w:r>
      <w:r w:rsidR="00BA2B09" w:rsidRPr="00461C16">
        <w:t xml:space="preserve"> o sídla s původní ulicovou strukturou uspořádání zástavby kolem hlavní komunikace (průjezdní úsek silnice) procházející středem sídla. Na průjezdní úsek silnice vždy navazují jen relativně krátké, často slepé, úseky místních resp. účelových komunikací.</w:t>
      </w:r>
    </w:p>
    <w:p w14:paraId="5B1A9D42" w14:textId="77777777" w:rsidR="00BA2B09" w:rsidRPr="00461C16" w:rsidRDefault="00BA2B09" w:rsidP="00BA2B09">
      <w:pPr>
        <w:spacing w:before="120" w:line="240" w:lineRule="auto"/>
      </w:pPr>
      <w:r w:rsidRPr="00461C16">
        <w:t>Součástí komunikačního systému města jsou také veřejně přístupné účelové komunikace, jednak komunikace sloužící pro vnitřní obsluhu rekreačních lokalit (zahrádkářských osad) a dále četné polní a lesní cesty propojující jednotlivá izolovaná sídla v krajině.</w:t>
      </w:r>
    </w:p>
    <w:p w14:paraId="270FC625" w14:textId="144ED8F6" w:rsidR="00BA2B09" w:rsidRPr="00461C16" w:rsidRDefault="000D2520" w:rsidP="00BA2B09">
      <w:pPr>
        <w:spacing w:before="240"/>
        <w:rPr>
          <w:rStyle w:val="NvrhP-text"/>
          <w:rFonts w:cs="Arial"/>
          <w:i/>
          <w:sz w:val="20"/>
          <w:szCs w:val="20"/>
          <w:lang w:eastAsia="en-US"/>
        </w:rPr>
      </w:pPr>
      <w:r w:rsidRPr="00461C16">
        <w:rPr>
          <w:rStyle w:val="NvrhP-text"/>
          <w:rFonts w:cs="Arial"/>
          <w:i/>
          <w:sz w:val="20"/>
          <w:szCs w:val="20"/>
          <w:lang w:eastAsia="en-US"/>
        </w:rPr>
        <w:t xml:space="preserve">(k bodu </w:t>
      </w:r>
      <w:r w:rsidR="00566987" w:rsidRPr="00461C16">
        <w:rPr>
          <w:rStyle w:val="NvrhP-text"/>
          <w:rFonts w:cs="Arial"/>
          <w:i/>
          <w:sz w:val="20"/>
          <w:szCs w:val="20"/>
          <w:lang w:eastAsia="en-US"/>
        </w:rPr>
        <w:t>D</w:t>
      </w:r>
      <w:r w:rsidR="00566987">
        <w:rPr>
          <w:rStyle w:val="NvrhP-text"/>
          <w:rFonts w:cs="Arial"/>
          <w:i/>
          <w:sz w:val="20"/>
          <w:szCs w:val="20"/>
          <w:lang w:eastAsia="en-US"/>
        </w:rPr>
        <w:t>10</w:t>
      </w:r>
      <w:r w:rsidR="00566987"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233132C3" w14:textId="77777777" w:rsidR="00BA2B09" w:rsidRPr="00461C16" w:rsidRDefault="00BA2B09" w:rsidP="00BA2B09">
      <w:pPr>
        <w:spacing w:before="120" w:line="240" w:lineRule="auto"/>
      </w:pPr>
      <w:r w:rsidRPr="00461C16">
        <w:t>Všechny ty plochy, ve kterých kromě funkce automobilové dopravy nabývá na významu zároveň také jiné využití, zejména pak využití pobytové, obytné či rekreační (ulice v obytné zástavbě, místní komunikace s nízkým dopravním významem obytné zóny, veřejně přístupné účelové komunikace, apod.), jsou v hlavním výkrese vymezeny jako plochy veřejných prostranství - komunikace (PX) nebo jsou vymezeny jako integrální součást ploch s jiným rozdílným způsobem využití.</w:t>
      </w:r>
    </w:p>
    <w:p w14:paraId="31753AF5" w14:textId="3FEB778F" w:rsidR="00BA2B09" w:rsidRPr="00461C16" w:rsidRDefault="000D2520" w:rsidP="00BA2B09">
      <w:pPr>
        <w:spacing w:before="240"/>
        <w:rPr>
          <w:rStyle w:val="NvrhP-text"/>
          <w:rFonts w:cs="Arial"/>
          <w:i/>
          <w:sz w:val="20"/>
          <w:szCs w:val="20"/>
          <w:lang w:eastAsia="en-US"/>
        </w:rPr>
      </w:pPr>
      <w:r w:rsidRPr="00461C16">
        <w:rPr>
          <w:rStyle w:val="NvrhP-text"/>
          <w:rFonts w:cs="Arial"/>
          <w:i/>
          <w:sz w:val="20"/>
          <w:szCs w:val="20"/>
          <w:lang w:eastAsia="en-US"/>
        </w:rPr>
        <w:t xml:space="preserve">(k bodu </w:t>
      </w:r>
      <w:r w:rsidR="00566987" w:rsidRPr="00461C16">
        <w:rPr>
          <w:rStyle w:val="NvrhP-text"/>
          <w:rFonts w:cs="Arial"/>
          <w:i/>
          <w:sz w:val="20"/>
          <w:szCs w:val="20"/>
          <w:lang w:eastAsia="en-US"/>
        </w:rPr>
        <w:t>D1</w:t>
      </w:r>
      <w:r w:rsidR="00566987">
        <w:rPr>
          <w:rStyle w:val="NvrhP-text"/>
          <w:rFonts w:cs="Arial"/>
          <w:i/>
          <w:sz w:val="20"/>
          <w:szCs w:val="20"/>
          <w:lang w:eastAsia="en-US"/>
        </w:rPr>
        <w:t>1</w:t>
      </w:r>
      <w:r w:rsidR="00566987"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796393DB" w14:textId="77777777" w:rsidR="00BA2B09" w:rsidRPr="00461C16" w:rsidRDefault="00BA2B09" w:rsidP="00BA2B09">
      <w:pPr>
        <w:spacing w:before="120" w:line="240" w:lineRule="auto"/>
      </w:pPr>
      <w:r w:rsidRPr="00461C16">
        <w:lastRenderedPageBreak/>
        <w:t xml:space="preserve">Důvodem výroku jsou některé nevyhovující technické parametry, především pak šířkové uspořádání, podélné sklony, rozhledové poměry apod. části stávajících místních komunikací na území města </w:t>
      </w:r>
      <w:r w:rsidR="000D2520" w:rsidRPr="00461C16">
        <w:t>Hrádek nad Nisou</w:t>
      </w:r>
      <w:r w:rsidRPr="00461C16">
        <w:t>, které neodpovídají platným právním předpisům, normám či jiným oborovým předpisům jako jsou například technické podmínky Ministerstva dopravy ČR. Příčinou je jednak historicky daná, hustá a prostorově omezená, uliční síť a dále pak zástavba ve svazích. Cílem výroku je dle konkrétních prostorových možností a potřeb jednotlivé místní komunikace postupně rekonstruovat dle normových parametrů, například v prostorově stísněných podmínkách jednopruhové komunikace alespoň vybavovat výhybnami apod. Zřízením obytných zón by měl být zajištěn větší uživatelský komfort veřejných uličních prostorů se zvýšením bezpečnosti pohybu chodců a cyklistů.</w:t>
      </w:r>
    </w:p>
    <w:p w14:paraId="7C2C2401" w14:textId="1EDD6FD0" w:rsidR="00BA2B09" w:rsidRPr="00461C16" w:rsidRDefault="00BA2B09" w:rsidP="00BA2B09">
      <w:pPr>
        <w:spacing w:before="240"/>
        <w:rPr>
          <w:rStyle w:val="NvrhP-text"/>
          <w:rFonts w:cs="Arial"/>
          <w:i/>
          <w:sz w:val="20"/>
          <w:szCs w:val="20"/>
          <w:lang w:eastAsia="en-US"/>
        </w:rPr>
      </w:pPr>
      <w:r w:rsidRPr="00461C16">
        <w:rPr>
          <w:rStyle w:val="NvrhP-text"/>
          <w:rFonts w:cs="Arial"/>
          <w:i/>
          <w:sz w:val="20"/>
          <w:szCs w:val="20"/>
          <w:lang w:eastAsia="en-US"/>
        </w:rPr>
        <w:t>(k b</w:t>
      </w:r>
      <w:r w:rsidR="000D2520" w:rsidRPr="00461C16">
        <w:rPr>
          <w:rStyle w:val="NvrhP-text"/>
          <w:rFonts w:cs="Arial"/>
          <w:i/>
          <w:sz w:val="20"/>
          <w:szCs w:val="20"/>
          <w:lang w:eastAsia="en-US"/>
        </w:rPr>
        <w:t xml:space="preserve">odu </w:t>
      </w:r>
      <w:r w:rsidR="00566987" w:rsidRPr="00461C16">
        <w:rPr>
          <w:rStyle w:val="NvrhP-text"/>
          <w:rFonts w:cs="Arial"/>
          <w:i/>
          <w:sz w:val="20"/>
          <w:szCs w:val="20"/>
          <w:lang w:eastAsia="en-US"/>
        </w:rPr>
        <w:t>D1</w:t>
      </w:r>
      <w:r w:rsidR="00566987">
        <w:rPr>
          <w:rStyle w:val="NvrhP-text"/>
          <w:rFonts w:cs="Arial"/>
          <w:i/>
          <w:sz w:val="20"/>
          <w:szCs w:val="20"/>
          <w:lang w:eastAsia="en-US"/>
        </w:rPr>
        <w:t>2</w:t>
      </w:r>
      <w:r w:rsidR="00566987" w:rsidRPr="00461C16">
        <w:rPr>
          <w:rStyle w:val="NvrhP-text"/>
          <w:rFonts w:cs="Arial"/>
          <w:i/>
          <w:sz w:val="20"/>
          <w:szCs w:val="20"/>
          <w:lang w:eastAsia="en-US"/>
        </w:rPr>
        <w:t xml:space="preserve"> </w:t>
      </w:r>
      <w:r w:rsidRPr="00461C16">
        <w:rPr>
          <w:rStyle w:val="NvrhP-text"/>
          <w:rFonts w:cs="Arial"/>
          <w:i/>
          <w:sz w:val="20"/>
          <w:szCs w:val="20"/>
          <w:lang w:eastAsia="en-US"/>
        </w:rPr>
        <w:t>ÚP)</w:t>
      </w:r>
    </w:p>
    <w:p w14:paraId="446E267C" w14:textId="301753D5" w:rsidR="002C4A82" w:rsidRPr="00461C16" w:rsidRDefault="00BA2B09" w:rsidP="00BA2B09">
      <w:pPr>
        <w:spacing w:before="120" w:line="240" w:lineRule="auto"/>
      </w:pPr>
      <w:r w:rsidRPr="00461C16">
        <w:t xml:space="preserve">Důvodem výroku je návrh na rozšíření komunikačního systému města </w:t>
      </w:r>
      <w:r w:rsidR="000D2520" w:rsidRPr="00461C16">
        <w:t xml:space="preserve">Hrádek nad Nisou </w:t>
      </w:r>
      <w:r w:rsidRPr="00461C16">
        <w:t xml:space="preserve">o nové komunikace pro zajištění dopravního napojení a/nebo dopravní obsluhy nově vymezovaných ploch </w:t>
      </w:r>
      <w:r w:rsidR="00566987">
        <w:t>změn</w:t>
      </w:r>
      <w:r w:rsidRPr="00461C16">
        <w:t xml:space="preserve"> vyžadujících dopravní obslužnost. Nové komunikace, které jsou integrální součástí vymezovaných navrhovaných ploch veřejných prostranství, jsou navrhovány přednostně v prodloužení stávajících komunikací a s ohledem na polohu stávajících křižovatek a vjezdů na komunikace.</w:t>
      </w:r>
    </w:p>
    <w:p w14:paraId="50C74115" w14:textId="77777777" w:rsidR="00BA2B09" w:rsidRPr="00461C16" w:rsidRDefault="007419EF" w:rsidP="00BA2B09">
      <w:pPr>
        <w:spacing w:before="240"/>
        <w:rPr>
          <w:rStyle w:val="NvrhP-text"/>
          <w:rFonts w:cs="Arial"/>
          <w:i/>
          <w:sz w:val="20"/>
          <w:szCs w:val="20"/>
          <w:lang w:eastAsia="en-US"/>
        </w:rPr>
      </w:pPr>
      <w:r w:rsidRPr="00461C16" w:rsidDel="007419EF">
        <w:rPr>
          <w:rStyle w:val="NvrhP-text"/>
          <w:rFonts w:cs="Arial"/>
          <w:i/>
          <w:sz w:val="20"/>
          <w:szCs w:val="20"/>
          <w:lang w:eastAsia="en-US"/>
        </w:rPr>
        <w:t xml:space="preserve"> </w:t>
      </w:r>
      <w:r w:rsidR="000D2520" w:rsidRPr="00461C16">
        <w:rPr>
          <w:rStyle w:val="NvrhP-text"/>
          <w:rFonts w:cs="Arial"/>
          <w:i/>
          <w:sz w:val="20"/>
          <w:szCs w:val="20"/>
          <w:lang w:eastAsia="en-US"/>
        </w:rPr>
        <w:t xml:space="preserve">(k bodům </w:t>
      </w:r>
      <w:r w:rsidR="00755B22" w:rsidRPr="00461C16">
        <w:rPr>
          <w:rStyle w:val="NvrhP-text"/>
          <w:rFonts w:cs="Arial"/>
          <w:i/>
          <w:sz w:val="20"/>
          <w:szCs w:val="20"/>
          <w:lang w:eastAsia="en-US"/>
        </w:rPr>
        <w:t>D1</w:t>
      </w:r>
      <w:r w:rsidR="00755B22">
        <w:rPr>
          <w:rStyle w:val="NvrhP-text"/>
          <w:rFonts w:cs="Arial"/>
          <w:i/>
          <w:sz w:val="20"/>
          <w:szCs w:val="20"/>
          <w:lang w:eastAsia="en-US"/>
        </w:rPr>
        <w:t>3</w:t>
      </w:r>
      <w:r w:rsidR="00755B22" w:rsidRPr="00461C16">
        <w:rPr>
          <w:rStyle w:val="NvrhP-text"/>
          <w:rFonts w:cs="Arial"/>
          <w:i/>
          <w:sz w:val="20"/>
          <w:szCs w:val="20"/>
          <w:lang w:eastAsia="en-US"/>
        </w:rPr>
        <w:t xml:space="preserve"> </w:t>
      </w:r>
      <w:r w:rsidR="000D2520" w:rsidRPr="00461C16">
        <w:rPr>
          <w:rStyle w:val="NvrhP-text"/>
          <w:rFonts w:cs="Arial"/>
          <w:i/>
          <w:sz w:val="20"/>
          <w:szCs w:val="20"/>
          <w:lang w:eastAsia="en-US"/>
        </w:rPr>
        <w:t xml:space="preserve">- </w:t>
      </w:r>
      <w:r w:rsidR="00755B22" w:rsidRPr="00461C16">
        <w:rPr>
          <w:rStyle w:val="NvrhP-text"/>
          <w:rFonts w:cs="Arial"/>
          <w:i/>
          <w:sz w:val="20"/>
          <w:szCs w:val="20"/>
          <w:lang w:eastAsia="en-US"/>
        </w:rPr>
        <w:t>D1</w:t>
      </w:r>
      <w:r w:rsidR="00755B22">
        <w:rPr>
          <w:rStyle w:val="NvrhP-text"/>
          <w:rFonts w:cs="Arial"/>
          <w:i/>
          <w:sz w:val="20"/>
          <w:szCs w:val="20"/>
          <w:lang w:eastAsia="en-US"/>
        </w:rPr>
        <w:t>4</w:t>
      </w:r>
      <w:r w:rsidR="00755B22"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07189AE6" w14:textId="77777777" w:rsidR="00BA2B09" w:rsidRPr="00461C16" w:rsidRDefault="00BA2B09" w:rsidP="00BA2B09">
      <w:pPr>
        <w:spacing w:before="120" w:line="240" w:lineRule="auto"/>
      </w:pPr>
      <w:r w:rsidRPr="00461C16">
        <w:t>S ohledem na podrobnost řešení ÚP nevymezuje ÚP konkrétní vnitřní uspořádání komunikačního systému uvnitř v rozvojových plochách.</w:t>
      </w:r>
      <w:r w:rsidR="00B345B4" w:rsidRPr="00461C16">
        <w:t xml:space="preserve"> </w:t>
      </w:r>
      <w:r w:rsidRPr="00461C16">
        <w:t>Pro určení konkrétního vnitřního uspořádání komunikačního systému rozvojových ploch chybějí na úrovni ÚP potřebné informace o konkrétních vybraných, zejména dopravně-inženýrských, podmínkách území a zejména chybí informace a povědomí o vnitřním uspořádání rozvojových ploch samotných.</w:t>
      </w:r>
    </w:p>
    <w:p w14:paraId="55FB1BFB" w14:textId="77777777" w:rsidR="00BA2B09" w:rsidRPr="00461C16" w:rsidRDefault="00BA2B09" w:rsidP="00BA2B09">
      <w:pPr>
        <w:spacing w:before="120" w:line="240" w:lineRule="auto"/>
      </w:pPr>
      <w:r w:rsidRPr="00461C16">
        <w:t>Podrobné řešení vnitřního uspořádání komunikačního systému rozvojových ploch musí být předmětem řešení podrobnějších dokumentací zpracovávaných v rozsahu předmětné rozvojové plochy nebo jejich souboru a to s ohledem na navrhovanou parcelaci, koncepci uspořádání veřejných prostranství, apod.</w:t>
      </w:r>
    </w:p>
    <w:p w14:paraId="1D6D4F64" w14:textId="77777777" w:rsidR="00BA2B09" w:rsidRPr="00461C16" w:rsidRDefault="00BA2B09" w:rsidP="00BA2B09">
      <w:pPr>
        <w:spacing w:before="120" w:line="240" w:lineRule="auto"/>
      </w:pPr>
      <w:r w:rsidRPr="00461C16">
        <w:t>Předmětem řešení územní studie, jejíž zpracování je podmínkou využití konkrétní rozvojové plochy nebo souboru rozvojových ploch, je mimo jiné řešení uspořádání systému veřejných prostranství v ploše a návrh dopravní obslužnosti plochy, tedy návrh systému komunikací.</w:t>
      </w:r>
    </w:p>
    <w:p w14:paraId="058B75B1" w14:textId="77777777" w:rsidR="00BA2B09" w:rsidRPr="00461C16" w:rsidRDefault="00BA2B09" w:rsidP="00BA2B09">
      <w:pPr>
        <w:spacing w:before="120" w:line="240" w:lineRule="auto"/>
      </w:pPr>
      <w:r w:rsidRPr="00461C16">
        <w:t>Územní plán s ohledem na měřítko a míru detailu řešení územního plánu nenavrhuje ve většině případů konkrétní vnitřní uspořádání zástavby, veřejných prostranství včetně komunikací, zeleně apod. v rámci jednotlivých dílčích návrhových ploch s rozdílným způsobem využití. K tomu účelu slouží regulační plán, územní studie a další podrobnější stupně projektové dokumentace, které v rámci širších urbanistických souvislostí navrhnou nejen nejvhodnější místo k připojení plochy na stávající komunikační systém, ale také novou strukturu komunikací vlastní návrhové plochy.</w:t>
      </w:r>
    </w:p>
    <w:p w14:paraId="63397310" w14:textId="77777777" w:rsidR="00BA2B09" w:rsidRPr="00461C16" w:rsidRDefault="00BA2B09" w:rsidP="00BA2B09">
      <w:pPr>
        <w:spacing w:before="300" w:after="60"/>
        <w:rPr>
          <w:b/>
          <w:sz w:val="24"/>
        </w:rPr>
      </w:pPr>
      <w:r w:rsidRPr="00461C16">
        <w:rPr>
          <w:b/>
          <w:sz w:val="24"/>
        </w:rPr>
        <w:t>Doprava v klidu</w:t>
      </w:r>
    </w:p>
    <w:p w14:paraId="2E000CB9" w14:textId="77777777" w:rsidR="00BA2B09" w:rsidRPr="00461C16" w:rsidRDefault="00693A09" w:rsidP="006A71D4">
      <w:pPr>
        <w:spacing w:before="240"/>
        <w:rPr>
          <w:rStyle w:val="NvrhP-text"/>
          <w:rFonts w:cs="Arial"/>
          <w:i/>
          <w:sz w:val="20"/>
          <w:szCs w:val="20"/>
          <w:lang w:eastAsia="en-US"/>
        </w:rPr>
      </w:pPr>
      <w:r w:rsidRPr="00461C16">
        <w:rPr>
          <w:rStyle w:val="NvrhP-text"/>
          <w:rFonts w:cs="Arial"/>
          <w:i/>
          <w:sz w:val="20"/>
          <w:szCs w:val="20"/>
          <w:lang w:eastAsia="en-US"/>
        </w:rPr>
        <w:t xml:space="preserve">(k bodům </w:t>
      </w:r>
      <w:r w:rsidR="00755B22" w:rsidRPr="00461C16">
        <w:rPr>
          <w:rStyle w:val="NvrhP-text"/>
          <w:rFonts w:cs="Arial"/>
          <w:i/>
          <w:sz w:val="20"/>
          <w:szCs w:val="20"/>
          <w:lang w:eastAsia="en-US"/>
        </w:rPr>
        <w:t>D1</w:t>
      </w:r>
      <w:r w:rsidR="00755B22">
        <w:rPr>
          <w:rStyle w:val="NvrhP-text"/>
          <w:rFonts w:cs="Arial"/>
          <w:i/>
          <w:sz w:val="20"/>
          <w:szCs w:val="20"/>
          <w:lang w:eastAsia="en-US"/>
        </w:rPr>
        <w:t>5</w:t>
      </w:r>
      <w:r w:rsidR="00755B22" w:rsidRPr="00461C16">
        <w:rPr>
          <w:rStyle w:val="NvrhP-text"/>
          <w:rFonts w:cs="Arial"/>
          <w:i/>
          <w:sz w:val="20"/>
          <w:szCs w:val="20"/>
          <w:lang w:eastAsia="en-US"/>
        </w:rPr>
        <w:t xml:space="preserve"> </w:t>
      </w:r>
      <w:r w:rsidRPr="00461C16">
        <w:rPr>
          <w:rStyle w:val="NvrhP-text"/>
          <w:rFonts w:cs="Arial"/>
          <w:i/>
          <w:sz w:val="20"/>
          <w:szCs w:val="20"/>
          <w:lang w:eastAsia="en-US"/>
        </w:rPr>
        <w:t xml:space="preserve">– </w:t>
      </w:r>
      <w:r w:rsidR="00755B22" w:rsidRPr="00461C16">
        <w:rPr>
          <w:rStyle w:val="NvrhP-text"/>
          <w:rFonts w:cs="Arial"/>
          <w:i/>
          <w:sz w:val="20"/>
          <w:szCs w:val="20"/>
          <w:lang w:eastAsia="en-US"/>
        </w:rPr>
        <w:t>D1</w:t>
      </w:r>
      <w:r w:rsidR="00755B22">
        <w:rPr>
          <w:rStyle w:val="NvrhP-text"/>
          <w:rFonts w:cs="Arial"/>
          <w:i/>
          <w:sz w:val="20"/>
          <w:szCs w:val="20"/>
          <w:lang w:eastAsia="en-US"/>
        </w:rPr>
        <w:t>7</w:t>
      </w:r>
      <w:r w:rsidR="00755B22"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52F4DBDD" w14:textId="77777777" w:rsidR="00BA2B09" w:rsidRPr="00461C16" w:rsidRDefault="00BA2B09" w:rsidP="00BA2B09">
      <w:pPr>
        <w:spacing w:before="120" w:line="240" w:lineRule="auto"/>
      </w:pPr>
      <w:r w:rsidRPr="00461C16">
        <w:t>Územní plán plně respektuje stávající plochy a objekty, které slouží pro parkování, odstavování a garážování vozidel obyvatel a návštěvníků města. Cílem koncepce územního plánu je nesnižovat stávající kapacitu parkovacích stání, ale naopak vytvářet podmínky pro její navýšení.</w:t>
      </w:r>
    </w:p>
    <w:p w14:paraId="16A39224" w14:textId="77777777" w:rsidR="00BA2B09" w:rsidRPr="00461C16" w:rsidRDefault="00BA2B09" w:rsidP="00BA2B09">
      <w:pPr>
        <w:spacing w:before="120" w:line="240" w:lineRule="auto"/>
      </w:pPr>
      <w:r w:rsidRPr="00461C16">
        <w:t xml:space="preserve">Vzhledem k převládající individuální obytné zástavbě na území města </w:t>
      </w:r>
      <w:r w:rsidR="00BD73FF" w:rsidRPr="00461C16">
        <w:t>Hrádek nad Nisou</w:t>
      </w:r>
      <w:r w:rsidRPr="00461C16">
        <w:t xml:space="preserve"> probíhá odstavování vozidel na území města převážně na vlastních pozemcích rodinných domů, případně na přilehlých veřejných prostranstvích</w:t>
      </w:r>
      <w:r w:rsidR="00BD73FF" w:rsidRPr="00461C16">
        <w:t xml:space="preserve"> (zejména v případě sídliště v Liberecké ulici). Plošně </w:t>
      </w:r>
      <w:r w:rsidRPr="00461C16">
        <w:t>rozsáhlejší plochy určené pro veřejné parkování osobních automobilů se nacházejí v přednostně v centrální části města, ve vazbě na historické jádro a jednotlivé stavby a zařízení občanského vybavení.</w:t>
      </w:r>
    </w:p>
    <w:p w14:paraId="1C2A354A" w14:textId="77777777" w:rsidR="00BA2B09" w:rsidRPr="00461C16" w:rsidRDefault="00BA2B09" w:rsidP="00BA2B09">
      <w:pPr>
        <w:spacing w:before="120" w:line="240" w:lineRule="auto"/>
      </w:pPr>
      <w:r w:rsidRPr="00461C16">
        <w:t>Optimální cestou ke zvýšení stávajících kapacit dopravy v klidu, je-li opravdu žádoucí, bez významného zásahu do urbanistické struktury území je změna organizace parkování na stávajících komunikacích, jako je např. změna podélných stání na šikmá nebo kolmá a dále pak postupné zřizování nových parkovacích pruhů podél komunikací v místech, kde to prostorové podmínky umožňují.</w:t>
      </w:r>
      <w:r w:rsidR="00B345B4" w:rsidRPr="00461C16">
        <w:t xml:space="preserve"> </w:t>
      </w:r>
      <w:r w:rsidRPr="00461C16">
        <w:t>Jedná se však o detail, který neodpovídá měřítku územního plánu, proto územní plán taková konkrétní opatření nenavrhuje.</w:t>
      </w:r>
    </w:p>
    <w:p w14:paraId="1A4B12EE" w14:textId="77777777" w:rsidR="00BA2B09" w:rsidRPr="00461C16" w:rsidRDefault="00BA2B09" w:rsidP="00BA2B09">
      <w:pPr>
        <w:spacing w:before="120" w:line="240" w:lineRule="auto"/>
      </w:pPr>
      <w:r w:rsidRPr="00461C16">
        <w:lastRenderedPageBreak/>
        <w:t>Cílem výroku je zajistit respektování veřejných parkovacích stání na území města jako jedné z civilizačních hodnot a zajistit zohlednění veřejných parkovacích kapacit při návrhu rozvoje města tak, aby například v případě zastavování ploch současných veřejných parkovišť zástavbou nedošlo bez náhrady k neuvážené redukci veřejných parkovacích stání a tím ke snížení dopravní dostupnosti zařízení občanského vybavení pro obyvatele města nebo znemožnění parkování návštěvníků města, zejména turistů.</w:t>
      </w:r>
    </w:p>
    <w:p w14:paraId="4D21ED08" w14:textId="77777777" w:rsidR="00BA2B09" w:rsidRPr="00461C16" w:rsidRDefault="00BA2B09" w:rsidP="00BA2B09">
      <w:pPr>
        <w:spacing w:before="120" w:line="240" w:lineRule="auto"/>
      </w:pPr>
      <w:r w:rsidRPr="00461C16">
        <w:t>V rámci ÚP je stanoven stupeň automobilizace, který vyjadřuje poměr počtu obyvatel určitého územního celku na jeden osobní automobil. Stupeň automobilizace se dlouhodobě zvyšuje (tzn. zvyšuje se počet evidovaných motorových vozidel), což významně ovlivňuje hustotu provozu na pozemních komunikacích.</w:t>
      </w:r>
      <w:r w:rsidR="00B345B4" w:rsidRPr="00461C16">
        <w:t xml:space="preserve"> </w:t>
      </w:r>
      <w:r w:rsidRPr="00461C16">
        <w:t>Dle prognóz a vývojových grafů stupeň automobilizace v ČR dlouhodobě roste.</w:t>
      </w:r>
    </w:p>
    <w:p w14:paraId="298F2B11" w14:textId="77777777" w:rsidR="00BA2B09" w:rsidRPr="00461C16" w:rsidRDefault="00BA2B09" w:rsidP="00BA2B09">
      <w:pPr>
        <w:keepNext/>
        <w:spacing w:before="120" w:line="240" w:lineRule="auto"/>
      </w:pPr>
      <w:r w:rsidRPr="00461C16">
        <w:rPr>
          <w:noProof/>
          <w:lang w:eastAsia="cs-CZ"/>
        </w:rPr>
        <w:drawing>
          <wp:inline distT="0" distB="0" distL="0" distR="0" wp14:anchorId="2E971EC1" wp14:editId="7683AEA6">
            <wp:extent cx="5760720" cy="28276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2827689"/>
                    </a:xfrm>
                    <a:prstGeom prst="rect">
                      <a:avLst/>
                    </a:prstGeom>
                  </pic:spPr>
                </pic:pic>
              </a:graphicData>
            </a:graphic>
          </wp:inline>
        </w:drawing>
      </w:r>
    </w:p>
    <w:p w14:paraId="7473F8E0" w14:textId="77777777" w:rsidR="00BA2B09" w:rsidRPr="00461C16" w:rsidRDefault="00BA2B09" w:rsidP="00BA2B09">
      <w:pPr>
        <w:pStyle w:val="Caption"/>
      </w:pPr>
      <w:r w:rsidRPr="00461C16">
        <w:t xml:space="preserve">Obrázek </w:t>
      </w:r>
      <w:r w:rsidR="00D61E44">
        <w:rPr>
          <w:noProof/>
        </w:rPr>
        <w:fldChar w:fldCharType="begin"/>
      </w:r>
      <w:r w:rsidR="00D61E44">
        <w:rPr>
          <w:noProof/>
        </w:rPr>
        <w:instrText xml:space="preserve"> SEQ Obrázek \* ARABIC </w:instrText>
      </w:r>
      <w:r w:rsidR="00D61E44">
        <w:rPr>
          <w:noProof/>
        </w:rPr>
        <w:fldChar w:fldCharType="separate"/>
      </w:r>
      <w:r w:rsidR="002F15EB">
        <w:rPr>
          <w:noProof/>
        </w:rPr>
        <w:t>2</w:t>
      </w:r>
      <w:r w:rsidR="00D61E44">
        <w:rPr>
          <w:noProof/>
        </w:rPr>
        <w:fldChar w:fldCharType="end"/>
      </w:r>
      <w:r w:rsidRPr="00461C16">
        <w:t>: Vývoj stupně automobiliazce ČR (Ročenka dopravy Praha 2016, TSK Hlavního města Prahy)</w:t>
      </w:r>
    </w:p>
    <w:p w14:paraId="201F9114" w14:textId="77777777" w:rsidR="00BA2B09" w:rsidRPr="00461C16" w:rsidRDefault="00BA2B09" w:rsidP="00BA2B09">
      <w:pPr>
        <w:spacing w:before="120" w:line="240" w:lineRule="auto"/>
      </w:pPr>
      <w:r w:rsidRPr="00461C16">
        <w:t>Rovněž vybrané výhledové prognózy potvrzují dlouhodobý nárůst počtu automobilů na tisíc obyvatel.</w:t>
      </w:r>
    </w:p>
    <w:p w14:paraId="760D6EB9" w14:textId="77777777" w:rsidR="00BA2B09" w:rsidRPr="00461C16" w:rsidRDefault="00BA2B09" w:rsidP="00BA2B09">
      <w:pPr>
        <w:keepNext/>
        <w:spacing w:before="120" w:line="240" w:lineRule="auto"/>
      </w:pPr>
      <w:r w:rsidRPr="00461C16">
        <w:rPr>
          <w:noProof/>
          <w:lang w:eastAsia="cs-CZ"/>
        </w:rPr>
        <w:lastRenderedPageBreak/>
        <w:drawing>
          <wp:inline distT="0" distB="0" distL="0" distR="0" wp14:anchorId="34CFFCA8" wp14:editId="2A1C97AB">
            <wp:extent cx="5760720" cy="3840684"/>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0720" cy="3840684"/>
                    </a:xfrm>
                    <a:prstGeom prst="rect">
                      <a:avLst/>
                    </a:prstGeom>
                  </pic:spPr>
                </pic:pic>
              </a:graphicData>
            </a:graphic>
          </wp:inline>
        </w:drawing>
      </w:r>
    </w:p>
    <w:p w14:paraId="7C5DB3D4" w14:textId="77777777" w:rsidR="00BA2B09" w:rsidRPr="00461C16" w:rsidRDefault="00BA2B09" w:rsidP="00BA2B09">
      <w:pPr>
        <w:pStyle w:val="Caption"/>
      </w:pPr>
      <w:r w:rsidRPr="00461C16">
        <w:t xml:space="preserve">Obrázek </w:t>
      </w:r>
      <w:r w:rsidR="00D61E44">
        <w:rPr>
          <w:noProof/>
        </w:rPr>
        <w:fldChar w:fldCharType="begin"/>
      </w:r>
      <w:r w:rsidR="00D61E44">
        <w:rPr>
          <w:noProof/>
        </w:rPr>
        <w:instrText xml:space="preserve"> SEQ Obrázek \* ARABIC </w:instrText>
      </w:r>
      <w:r w:rsidR="00D61E44">
        <w:rPr>
          <w:noProof/>
        </w:rPr>
        <w:fldChar w:fldCharType="separate"/>
      </w:r>
      <w:r w:rsidR="002F15EB">
        <w:rPr>
          <w:noProof/>
        </w:rPr>
        <w:t>3</w:t>
      </w:r>
      <w:r w:rsidR="00D61E44">
        <w:rPr>
          <w:noProof/>
        </w:rPr>
        <w:fldChar w:fldCharType="end"/>
      </w:r>
      <w:r w:rsidRPr="00461C16">
        <w:t>: Počet osobních automobilů na tisíc obyvatel v ČR – porovnání skutečného vývoje do roku 2011 a vybraných prognóz</w:t>
      </w:r>
    </w:p>
    <w:p w14:paraId="31C8B956" w14:textId="77777777" w:rsidR="00BA2B09" w:rsidRPr="00461C16" w:rsidRDefault="00BA2B09" w:rsidP="00BA2B09">
      <w:pPr>
        <w:spacing w:before="120" w:line="240" w:lineRule="auto"/>
      </w:pPr>
      <w:r w:rsidRPr="00461C16">
        <w:t>Dle aplikace APKO (Ateliér pozemních komunikací)</w:t>
      </w:r>
      <w:r w:rsidRPr="00461C16">
        <w:rPr>
          <w:rStyle w:val="FootnoteReference"/>
        </w:rPr>
        <w:footnoteReference w:id="6"/>
      </w:r>
      <w:r w:rsidRPr="00461C16">
        <w:t xml:space="preserve"> byl stupeň automobilizace ve městě </w:t>
      </w:r>
      <w:r w:rsidR="00BD73FF" w:rsidRPr="00461C16">
        <w:t xml:space="preserve">Hrádek nad Nisou </w:t>
      </w:r>
      <w:r w:rsidRPr="00461C16">
        <w:t xml:space="preserve">k 1.1.2015 </w:t>
      </w:r>
      <w:r w:rsidR="00BD73FF" w:rsidRPr="00461C16">
        <w:t>396</w:t>
      </w:r>
      <w:r w:rsidRPr="00461C16">
        <w:t xml:space="preserve"> osobních v</w:t>
      </w:r>
      <w:r w:rsidR="00BD73FF" w:rsidRPr="00461C16">
        <w:t>ozidel na 1000 obyvatel (tj. 2,53</w:t>
      </w:r>
      <w:r w:rsidRPr="00461C16">
        <w:t xml:space="preserve">). S ohledem na výše uvedený dlouhodobý celorepublikový nárůst stupně automobilizace, výhledové rostoucí tendence a s ohledem na charakter území byl stupeň automobilizace v ÚP </w:t>
      </w:r>
      <w:r w:rsidR="00BD73FF" w:rsidRPr="00461C16">
        <w:t>Hrádek nad Nisou stanoven na 2,2 (tj. 450</w:t>
      </w:r>
      <w:r w:rsidRPr="00461C16">
        <w:t xml:space="preserve"> osobních vozidel na 1000 obyvatel).</w:t>
      </w:r>
    </w:p>
    <w:p w14:paraId="7C7AF2AD" w14:textId="77777777" w:rsidR="00BA2B09" w:rsidRPr="00461C16" w:rsidRDefault="00BA2B09" w:rsidP="00BA2B09">
      <w:pPr>
        <w:spacing w:before="120" w:line="240" w:lineRule="auto"/>
      </w:pPr>
      <w:r w:rsidRPr="00461C16">
        <w:t>Pro zajištění dostatečného počtu parkovacích míst v</w:t>
      </w:r>
      <w:r w:rsidR="00BD73FF" w:rsidRPr="00461C16">
        <w:t> centrální části sídliště v Liberecké ulici</w:t>
      </w:r>
      <w:r w:rsidRPr="00461C16">
        <w:t xml:space="preserve"> </w:t>
      </w:r>
      <w:r w:rsidR="00BD73FF" w:rsidRPr="00461C16">
        <w:t>je vymezena plocha P21 pro veřejné</w:t>
      </w:r>
      <w:r w:rsidRPr="00461C16">
        <w:t xml:space="preserve"> parkoviště.</w:t>
      </w:r>
    </w:p>
    <w:p w14:paraId="13BCE045" w14:textId="77777777" w:rsidR="00BA2B09" w:rsidRPr="00461C16" w:rsidRDefault="00BA2B09" w:rsidP="00BA2B09">
      <w:pPr>
        <w:spacing w:before="300" w:after="60"/>
        <w:rPr>
          <w:b/>
          <w:sz w:val="24"/>
        </w:rPr>
      </w:pPr>
      <w:r w:rsidRPr="00461C16">
        <w:rPr>
          <w:b/>
          <w:sz w:val="24"/>
        </w:rPr>
        <w:t>Veřejná hromadná doprava</w:t>
      </w:r>
    </w:p>
    <w:p w14:paraId="4FF46FA3" w14:textId="77777777" w:rsidR="00BA2B09" w:rsidRPr="00461C16" w:rsidRDefault="00BD73FF" w:rsidP="00A43C87">
      <w:pPr>
        <w:spacing w:before="120"/>
        <w:rPr>
          <w:rStyle w:val="NvrhP-text"/>
          <w:rFonts w:cs="Arial"/>
          <w:i/>
          <w:sz w:val="20"/>
          <w:szCs w:val="20"/>
          <w:lang w:eastAsia="en-US"/>
        </w:rPr>
      </w:pPr>
      <w:r w:rsidRPr="00461C16">
        <w:rPr>
          <w:rStyle w:val="NvrhP-text"/>
          <w:rFonts w:cs="Arial"/>
          <w:i/>
          <w:sz w:val="20"/>
          <w:szCs w:val="20"/>
          <w:lang w:eastAsia="en-US"/>
        </w:rPr>
        <w:t xml:space="preserve">(k bodům </w:t>
      </w:r>
      <w:r w:rsidR="00755B22" w:rsidRPr="00461C16">
        <w:rPr>
          <w:rStyle w:val="NvrhP-text"/>
          <w:rFonts w:cs="Arial"/>
          <w:i/>
          <w:sz w:val="20"/>
          <w:szCs w:val="20"/>
          <w:lang w:eastAsia="en-US"/>
        </w:rPr>
        <w:t>D1</w:t>
      </w:r>
      <w:r w:rsidR="00755B22">
        <w:rPr>
          <w:rStyle w:val="NvrhP-text"/>
          <w:rFonts w:cs="Arial"/>
          <w:i/>
          <w:sz w:val="20"/>
          <w:szCs w:val="20"/>
          <w:lang w:eastAsia="en-US"/>
        </w:rPr>
        <w:t>8</w:t>
      </w:r>
      <w:r w:rsidR="00755B22" w:rsidRPr="00461C16">
        <w:rPr>
          <w:rStyle w:val="NvrhP-text"/>
          <w:rFonts w:cs="Arial"/>
          <w:i/>
          <w:sz w:val="20"/>
          <w:szCs w:val="20"/>
          <w:lang w:eastAsia="en-US"/>
        </w:rPr>
        <w:t xml:space="preserve"> </w:t>
      </w:r>
      <w:r w:rsidRPr="00461C16">
        <w:rPr>
          <w:rStyle w:val="NvrhP-text"/>
          <w:rFonts w:cs="Arial"/>
          <w:i/>
          <w:sz w:val="20"/>
          <w:szCs w:val="20"/>
          <w:lang w:eastAsia="en-US"/>
        </w:rPr>
        <w:t xml:space="preserve">– </w:t>
      </w:r>
      <w:r w:rsidR="00755B22" w:rsidRPr="00461C16">
        <w:rPr>
          <w:rStyle w:val="NvrhP-text"/>
          <w:rFonts w:cs="Arial"/>
          <w:i/>
          <w:sz w:val="20"/>
          <w:szCs w:val="20"/>
          <w:lang w:eastAsia="en-US"/>
        </w:rPr>
        <w:t>D</w:t>
      </w:r>
      <w:r w:rsidR="00755B22">
        <w:rPr>
          <w:rStyle w:val="NvrhP-text"/>
          <w:rFonts w:cs="Arial"/>
          <w:i/>
          <w:sz w:val="20"/>
          <w:szCs w:val="20"/>
          <w:lang w:eastAsia="en-US"/>
        </w:rPr>
        <w:t>19</w:t>
      </w:r>
      <w:r w:rsidR="00755B22"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6F6B9F5F" w14:textId="77777777" w:rsidR="00F44BDC" w:rsidRPr="00461C16" w:rsidRDefault="00BD73FF" w:rsidP="00F44BDC">
      <w:pPr>
        <w:spacing w:before="120" w:line="240" w:lineRule="auto"/>
      </w:pPr>
      <w:r w:rsidRPr="00461C16">
        <w:t>Dopravní obslužnost města je zajištěna v rámci Integrovaného systému veřejné dopravy Libereckého kraje (IDOL), který koordinuje činnost všech zapojených dopravců a zajišťuje tak bezproblémové fungování veřejné dopravy v kraji. Na většině linek na území města tak platí integrovaný tarif IDOL.</w:t>
      </w:r>
      <w:r w:rsidR="00F44BDC" w:rsidRPr="00461C16">
        <w:t xml:space="preserve"> Systém veřejné hromadné dopravy nevykazuje dlouhodobě žádné významné problémy.</w:t>
      </w:r>
    </w:p>
    <w:p w14:paraId="0ECDF394" w14:textId="77777777" w:rsidR="00BA2B09" w:rsidRPr="00461C16" w:rsidRDefault="00F44BDC" w:rsidP="00BA2B09">
      <w:pPr>
        <w:spacing w:before="120" w:line="240" w:lineRule="auto"/>
      </w:pPr>
      <w:r w:rsidRPr="00461C16">
        <w:t>Územní plán nenavrhuje konkrétní dílčí doplnění autobusových zastávek na území města Hrádek nad Nisou. V měřítku a podrobnosti řešení územního plánu není možné přesně bodem určit polohu autobusové zastávky. Její přesná poloha závisí na mnoha okolnostech, jako jsou např. konkrétní prostorové podmínky a příčné uspořádání daného úseku komunikace, rozhledové poměry na komunikaci, místa připojení okolních nemovitostí, možnost umístění přechodu pro chodce mezi zastávkami v opačných směrech jízdy apod. Konečné umístění nové zastávky určí až podrobnější projektová dokumentace.</w:t>
      </w:r>
    </w:p>
    <w:p w14:paraId="0E06362E" w14:textId="77777777" w:rsidR="00A43C87" w:rsidRDefault="00A43C87">
      <w:pPr>
        <w:spacing w:line="240" w:lineRule="auto"/>
        <w:jc w:val="left"/>
        <w:rPr>
          <w:b/>
          <w:sz w:val="24"/>
        </w:rPr>
      </w:pPr>
      <w:r>
        <w:rPr>
          <w:b/>
          <w:sz w:val="24"/>
        </w:rPr>
        <w:br w:type="page"/>
      </w:r>
    </w:p>
    <w:p w14:paraId="1F594C25" w14:textId="77777777" w:rsidR="00BA2B09" w:rsidRPr="00461C16" w:rsidRDefault="00BA2B09" w:rsidP="00BA2B09">
      <w:pPr>
        <w:spacing w:before="300" w:after="60"/>
        <w:rPr>
          <w:b/>
          <w:sz w:val="24"/>
        </w:rPr>
      </w:pPr>
      <w:r w:rsidRPr="00461C16">
        <w:rPr>
          <w:b/>
          <w:sz w:val="24"/>
        </w:rPr>
        <w:lastRenderedPageBreak/>
        <w:t>Pěší a cyklistická doprava</w:t>
      </w:r>
    </w:p>
    <w:p w14:paraId="3FCADB38" w14:textId="77777777" w:rsidR="00BA2B09" w:rsidRPr="00461C16" w:rsidRDefault="00F44BDC" w:rsidP="00A43C87">
      <w:pPr>
        <w:spacing w:before="120"/>
        <w:rPr>
          <w:rStyle w:val="NvrhP-text"/>
          <w:rFonts w:cs="Arial"/>
          <w:i/>
          <w:sz w:val="20"/>
          <w:szCs w:val="20"/>
          <w:lang w:eastAsia="en-US"/>
        </w:rPr>
      </w:pPr>
      <w:r w:rsidRPr="00461C16">
        <w:rPr>
          <w:rStyle w:val="NvrhP-text"/>
          <w:rFonts w:cs="Arial"/>
          <w:i/>
          <w:sz w:val="20"/>
          <w:szCs w:val="20"/>
          <w:lang w:eastAsia="en-US"/>
        </w:rPr>
        <w:t xml:space="preserve">(k bodům </w:t>
      </w:r>
      <w:r w:rsidR="00755B22" w:rsidRPr="00461C16">
        <w:rPr>
          <w:rStyle w:val="NvrhP-text"/>
          <w:rFonts w:cs="Arial"/>
          <w:i/>
          <w:sz w:val="20"/>
          <w:szCs w:val="20"/>
          <w:lang w:eastAsia="en-US"/>
        </w:rPr>
        <w:t>D2</w:t>
      </w:r>
      <w:r w:rsidR="00755B22">
        <w:rPr>
          <w:rStyle w:val="NvrhP-text"/>
          <w:rFonts w:cs="Arial"/>
          <w:i/>
          <w:sz w:val="20"/>
          <w:szCs w:val="20"/>
          <w:lang w:eastAsia="en-US"/>
        </w:rPr>
        <w:t>0</w:t>
      </w:r>
      <w:r w:rsidR="00755B22" w:rsidRPr="00461C16">
        <w:rPr>
          <w:rStyle w:val="NvrhP-text"/>
          <w:rFonts w:cs="Arial"/>
          <w:i/>
          <w:sz w:val="20"/>
          <w:szCs w:val="20"/>
          <w:lang w:eastAsia="en-US"/>
        </w:rPr>
        <w:t xml:space="preserve"> </w:t>
      </w:r>
      <w:r w:rsidRPr="00461C16">
        <w:rPr>
          <w:rStyle w:val="NvrhP-text"/>
          <w:rFonts w:cs="Arial"/>
          <w:i/>
          <w:sz w:val="20"/>
          <w:szCs w:val="20"/>
          <w:lang w:eastAsia="en-US"/>
        </w:rPr>
        <w:t xml:space="preserve">– </w:t>
      </w:r>
      <w:r w:rsidR="00755B22" w:rsidRPr="00461C16">
        <w:rPr>
          <w:rStyle w:val="NvrhP-text"/>
          <w:rFonts w:cs="Arial"/>
          <w:i/>
          <w:sz w:val="20"/>
          <w:szCs w:val="20"/>
          <w:lang w:eastAsia="en-US"/>
        </w:rPr>
        <w:t>D2</w:t>
      </w:r>
      <w:r w:rsidR="00755B22">
        <w:rPr>
          <w:rStyle w:val="NvrhP-text"/>
          <w:rFonts w:cs="Arial"/>
          <w:i/>
          <w:sz w:val="20"/>
          <w:szCs w:val="20"/>
          <w:lang w:eastAsia="en-US"/>
        </w:rPr>
        <w:t>1</w:t>
      </w:r>
      <w:r w:rsidR="00755B22"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6448BA86" w14:textId="77777777" w:rsidR="00BA2B09" w:rsidRPr="00461C16" w:rsidRDefault="00BA2B09" w:rsidP="00BA2B09">
      <w:pPr>
        <w:spacing w:before="120" w:line="240" w:lineRule="auto"/>
        <w:rPr>
          <w:rStyle w:val="NvrhP-text"/>
          <w:rFonts w:cs="Arial"/>
          <w:i/>
          <w:sz w:val="20"/>
          <w:szCs w:val="20"/>
          <w:lang w:eastAsia="en-US"/>
        </w:rPr>
      </w:pPr>
      <w:r w:rsidRPr="00461C16">
        <w:t>Základní prostupnost každého území pro chodce a cyklisty, a to jak území zastavěného (území sídel), tak volné krajiny, zabezpečuje ve veřejném zájmu systém veřejných prostranství, doplněný o úseky silnic a dalších dopravně významných komunikací umožňujících pohyb chodců a cyklistů v dopravním prostoru komunikace. Optimální podmínky pro bezpečný, rychlý, bezkolizní a bezbariérový pohyb chodců a cyklistů po celém území města jsou základním předpokladem pro zkvalitnění prostředí celého města, pro oživení a zvýšení atraktivity všech veřejných prostranství, snížení nároků na dopravní obslužnost území města automobilovou dopravou a s tím související zlepšení obytného a životního prostředí města.</w:t>
      </w:r>
      <w:r w:rsidRPr="00461C16">
        <w:rPr>
          <w:rStyle w:val="NvrhP-text"/>
          <w:rFonts w:cs="Arial"/>
          <w:i/>
          <w:sz w:val="20"/>
          <w:szCs w:val="20"/>
          <w:lang w:eastAsia="en-US"/>
        </w:rPr>
        <w:t xml:space="preserve"> </w:t>
      </w:r>
    </w:p>
    <w:p w14:paraId="552895F2" w14:textId="77777777" w:rsidR="007475B9" w:rsidRPr="00461C16" w:rsidRDefault="007475B9" w:rsidP="007475B9">
      <w:pPr>
        <w:spacing w:before="120" w:line="240" w:lineRule="auto"/>
        <w:rPr>
          <w:rStyle w:val="NvrhP-text"/>
          <w:rFonts w:cs="Arial"/>
          <w:i/>
          <w:sz w:val="20"/>
          <w:szCs w:val="20"/>
          <w:lang w:eastAsia="en-US"/>
        </w:rPr>
      </w:pPr>
      <w:r w:rsidRPr="00461C16">
        <w:t>Dobré podmínky pěší a cyklistické prostupnosti území města, zejména pak prostupnosti volné krajiny a v území krajinářsky nejatraktivnějších území (například území podél vodních toků), zvyšují atraktivitu území města jednak pro každodenní rekreaci obyvatel města, ale také pro cestovní ruch.</w:t>
      </w:r>
      <w:r w:rsidRPr="00461C16">
        <w:rPr>
          <w:rStyle w:val="NvrhP-text"/>
          <w:rFonts w:cs="Arial"/>
          <w:i/>
          <w:sz w:val="20"/>
          <w:szCs w:val="20"/>
          <w:lang w:eastAsia="en-US"/>
        </w:rPr>
        <w:t xml:space="preserve"> </w:t>
      </w:r>
    </w:p>
    <w:p w14:paraId="110D5B01" w14:textId="77777777" w:rsidR="007475B9" w:rsidRPr="00461C16" w:rsidRDefault="007475B9" w:rsidP="007475B9">
      <w:pPr>
        <w:spacing w:before="120" w:line="240" w:lineRule="auto"/>
      </w:pPr>
      <w:r w:rsidRPr="00461C16">
        <w:t xml:space="preserve">Město Hrádek nad Nisou je vzhledem ke své poloze v srdci trojzemí a vzhledem k poloze na okraji CHKO Lužické hory a blízkosti CHKO Jizerské hory turisticky velmi atraktivním územím. Celkově je území města Hrádek nad Nisou protkáno systémem značených pěších turistických tras, jejichž největší koncentrace je v jihozápadní části v návaznosti na CHKO Lužické hory. Další turistické trasy jsou vedeny podél toku Lužické Nisy na hraniční přechod k německé obci Hartau, odkud je vedeno mnoho turistických tras na německou stranu. </w:t>
      </w:r>
    </w:p>
    <w:p w14:paraId="4868F307" w14:textId="77777777" w:rsidR="007475B9" w:rsidRPr="00461C16" w:rsidRDefault="007475B9" w:rsidP="007475B9">
      <w:pPr>
        <w:spacing w:before="120" w:line="240" w:lineRule="auto"/>
      </w:pPr>
      <w:r w:rsidRPr="00461C16">
        <w:rPr>
          <w:bCs/>
        </w:rPr>
        <w:t>Hrádek nad Nisou je rovněž významným výchozím i cílovým bodem několika regionálních a místních cykloturistických tras, které zprostředkovávají dostupnost významných regionálních i celostátních atraktivit cestovního ruchu</w:t>
      </w:r>
      <w:r w:rsidRPr="00461C16">
        <w:t>. Řešeným územím prochází značené cyklotrasy č. 14, č. 25, č. 3039 a č. 3069. Většina z nich na územní přesah na území Německa a Polska, kde volně navazují na systém cyklotras v těchto zemích.</w:t>
      </w:r>
    </w:p>
    <w:p w14:paraId="7D404030" w14:textId="77777777" w:rsidR="007475B9" w:rsidRPr="00461C16" w:rsidRDefault="007475B9" w:rsidP="007475B9">
      <w:pPr>
        <w:spacing w:before="120" w:line="240" w:lineRule="auto"/>
      </w:pPr>
      <w:r w:rsidRPr="00461C16">
        <w:t>Všechny značené pěší i cyklistické turistické trasy ÚP respektuje.</w:t>
      </w:r>
    </w:p>
    <w:p w14:paraId="24EB59D1" w14:textId="77777777" w:rsidR="00BA2B09" w:rsidRPr="00461C16" w:rsidRDefault="007475B9" w:rsidP="007475B9">
      <w:pPr>
        <w:spacing w:before="120" w:line="240" w:lineRule="auto"/>
        <w:rPr>
          <w:rStyle w:val="NvrhP-text"/>
        </w:rPr>
      </w:pPr>
      <w:r w:rsidRPr="00461C16">
        <w:rPr>
          <w:rStyle w:val="NvrhP-text"/>
          <w:rFonts w:cs="Arial"/>
          <w:i/>
          <w:sz w:val="20"/>
          <w:szCs w:val="20"/>
          <w:lang w:eastAsia="en-US"/>
        </w:rPr>
        <w:t xml:space="preserve">(k bodům </w:t>
      </w:r>
      <w:r w:rsidR="00755B22" w:rsidRPr="00461C16">
        <w:rPr>
          <w:rStyle w:val="NvrhP-text"/>
          <w:rFonts w:cs="Arial"/>
          <w:i/>
          <w:sz w:val="20"/>
          <w:szCs w:val="20"/>
          <w:lang w:eastAsia="en-US"/>
        </w:rPr>
        <w:t>D2</w:t>
      </w:r>
      <w:r w:rsidR="00755B22">
        <w:rPr>
          <w:rStyle w:val="NvrhP-text"/>
          <w:rFonts w:cs="Arial"/>
          <w:i/>
          <w:sz w:val="20"/>
          <w:szCs w:val="20"/>
          <w:lang w:eastAsia="en-US"/>
        </w:rPr>
        <w:t>2</w:t>
      </w:r>
      <w:r w:rsidR="00755B22" w:rsidRPr="00461C16">
        <w:rPr>
          <w:rStyle w:val="NvrhP-text"/>
          <w:rFonts w:cs="Arial"/>
          <w:i/>
          <w:sz w:val="20"/>
          <w:szCs w:val="20"/>
          <w:lang w:eastAsia="en-US"/>
        </w:rPr>
        <w:t xml:space="preserve"> </w:t>
      </w:r>
      <w:r w:rsidRPr="00461C16">
        <w:rPr>
          <w:rStyle w:val="NvrhP-text"/>
          <w:rFonts w:cs="Arial"/>
          <w:i/>
          <w:sz w:val="20"/>
          <w:szCs w:val="20"/>
          <w:lang w:eastAsia="en-US"/>
        </w:rPr>
        <w:t xml:space="preserve">– </w:t>
      </w:r>
      <w:r w:rsidR="00755B22" w:rsidRPr="00461C16">
        <w:rPr>
          <w:rStyle w:val="NvrhP-text"/>
          <w:rFonts w:cs="Arial"/>
          <w:i/>
          <w:sz w:val="20"/>
          <w:szCs w:val="20"/>
          <w:lang w:eastAsia="en-US"/>
        </w:rPr>
        <w:t>D2</w:t>
      </w:r>
      <w:r w:rsidR="00755B22">
        <w:rPr>
          <w:rStyle w:val="NvrhP-text"/>
          <w:rFonts w:cs="Arial"/>
          <w:i/>
          <w:sz w:val="20"/>
          <w:szCs w:val="20"/>
          <w:lang w:eastAsia="en-US"/>
        </w:rPr>
        <w:t>3</w:t>
      </w:r>
      <w:r w:rsidR="00755B22"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73E15B73" w14:textId="77777777" w:rsidR="007475B9" w:rsidRPr="00461C16" w:rsidRDefault="007475B9" w:rsidP="00BA2B09">
      <w:pPr>
        <w:spacing w:before="120" w:line="240" w:lineRule="auto"/>
      </w:pPr>
      <w:r w:rsidRPr="00461C16">
        <w:t>ZÚR Libereckého kraje vymezují na území města Hrádek nad Nisou 2 multifunkční turistické koridory:</w:t>
      </w:r>
    </w:p>
    <w:p w14:paraId="277E3148" w14:textId="77777777" w:rsidR="007475B9" w:rsidRPr="00461C16" w:rsidRDefault="007475B9" w:rsidP="005F2F04">
      <w:pPr>
        <w:pStyle w:val="ListParagraph"/>
        <w:numPr>
          <w:ilvl w:val="0"/>
          <w:numId w:val="72"/>
        </w:numPr>
        <w:spacing w:before="120" w:line="240" w:lineRule="auto"/>
      </w:pPr>
      <w:r w:rsidRPr="00461C16">
        <w:t>multifunkční turistický koridor D40 – Lužická Nisa,</w:t>
      </w:r>
    </w:p>
    <w:p w14:paraId="2F355D37" w14:textId="77777777" w:rsidR="007475B9" w:rsidRPr="00461C16" w:rsidRDefault="007475B9" w:rsidP="005F2F04">
      <w:pPr>
        <w:pStyle w:val="ListParagraph"/>
        <w:numPr>
          <w:ilvl w:val="0"/>
          <w:numId w:val="72"/>
        </w:numPr>
        <w:spacing w:before="120" w:line="240" w:lineRule="auto"/>
      </w:pPr>
      <w:r w:rsidRPr="00461C16">
        <w:t>multifunkční turistický koridor D42 – Nová Hřebenovka (jižní a severní větev).</w:t>
      </w:r>
    </w:p>
    <w:p w14:paraId="2D45DA74" w14:textId="77777777" w:rsidR="007475B9" w:rsidRPr="00461C16" w:rsidRDefault="0057320F" w:rsidP="007475B9">
      <w:pPr>
        <w:spacing w:before="120" w:line="240" w:lineRule="auto"/>
      </w:pPr>
      <w:r w:rsidRPr="00461C16">
        <w:t>Koridor D40 na území města Hrádek nad Nisou sleduje tok Lužické Nisy od hranice s obcí Chotyně až na státní hranici. V rámci ÚP je z toho důvodu navrženo vedení dálkové cyklotrasy Odra-Nisa s cílem v maximální míře vést tuto cyklotrasu v režimu segregovaného provozu po cyklostezkách s vyloučením provozu motorových vozidel. Koridor cyklotrasy je vymezen v souladu s Územně technickou studií ověření páteřní cyklotrasy Odra-Nisa v úseku Nová Ves n. N. – Hrádek n. N. /státní hranice/ (Vaner s.r.o., 11/2010).</w:t>
      </w:r>
    </w:p>
    <w:p w14:paraId="6BDA54F4" w14:textId="77777777" w:rsidR="0057320F" w:rsidRPr="00461C16" w:rsidRDefault="0057320F" w:rsidP="007475B9">
      <w:pPr>
        <w:spacing w:before="120" w:line="240" w:lineRule="auto"/>
      </w:pPr>
      <w:r w:rsidRPr="00461C16">
        <w:t xml:space="preserve">Koridor D42 ÚP </w:t>
      </w:r>
      <w:r w:rsidR="00107431" w:rsidRPr="00461C16">
        <w:t>stabilizuje především respektováním všech značených turistických tras (pěší, cyklo, naučné) a stanovením zásad rozvoje pěší a cyklistické dopravy. Podstatná část multifunkčního turistického koridoru D42v této větvi již byla realizována.</w:t>
      </w:r>
    </w:p>
    <w:p w14:paraId="31F9F30D" w14:textId="77777777" w:rsidR="00BA2B09" w:rsidRPr="00461C16" w:rsidRDefault="00BA2B09" w:rsidP="00BA2B09">
      <w:pPr>
        <w:spacing w:before="120" w:line="240" w:lineRule="auto"/>
      </w:pPr>
      <w:r w:rsidRPr="00461C16">
        <w:t xml:space="preserve">Zajištění pěší resp. cyklistické prostupnosti území města je základním předpokladem jeho optimálního fungování a utvoření všech základních prostorových a provozních vazeb v území. </w:t>
      </w:r>
    </w:p>
    <w:p w14:paraId="5CEE0E77" w14:textId="77777777" w:rsidR="00BA2B09" w:rsidRPr="00461C16" w:rsidRDefault="00755B22" w:rsidP="00BA2B09">
      <w:pPr>
        <w:spacing w:before="300" w:after="60"/>
        <w:rPr>
          <w:b/>
          <w:sz w:val="24"/>
        </w:rPr>
      </w:pPr>
      <w:r>
        <w:rPr>
          <w:b/>
          <w:sz w:val="24"/>
        </w:rPr>
        <w:t>Drážní</w:t>
      </w:r>
      <w:r w:rsidRPr="00461C16">
        <w:rPr>
          <w:b/>
          <w:sz w:val="24"/>
        </w:rPr>
        <w:t xml:space="preserve"> </w:t>
      </w:r>
      <w:r w:rsidR="00BA2B09" w:rsidRPr="00461C16">
        <w:rPr>
          <w:b/>
          <w:sz w:val="24"/>
        </w:rPr>
        <w:t>doprava</w:t>
      </w:r>
    </w:p>
    <w:p w14:paraId="33ADD5C8" w14:textId="77777777" w:rsidR="00BA2B09" w:rsidRPr="00461C16" w:rsidRDefault="002C4A82" w:rsidP="00A43C87">
      <w:pPr>
        <w:spacing w:before="120"/>
        <w:rPr>
          <w:rStyle w:val="NvrhP-text"/>
          <w:rFonts w:cs="Arial"/>
          <w:i/>
          <w:sz w:val="20"/>
          <w:szCs w:val="20"/>
          <w:lang w:eastAsia="en-US"/>
        </w:rPr>
      </w:pPr>
      <w:r w:rsidRPr="00461C16">
        <w:rPr>
          <w:rStyle w:val="NvrhP-text"/>
          <w:rFonts w:cs="Arial"/>
          <w:i/>
          <w:sz w:val="20"/>
          <w:szCs w:val="20"/>
          <w:lang w:eastAsia="en-US"/>
        </w:rPr>
        <w:t xml:space="preserve">(k bodu </w:t>
      </w:r>
      <w:r w:rsidR="00755B22" w:rsidRPr="00461C16">
        <w:rPr>
          <w:rStyle w:val="NvrhP-text"/>
          <w:rFonts w:cs="Arial"/>
          <w:i/>
          <w:sz w:val="20"/>
          <w:szCs w:val="20"/>
          <w:lang w:eastAsia="en-US"/>
        </w:rPr>
        <w:t>D2</w:t>
      </w:r>
      <w:r w:rsidR="00755B22">
        <w:rPr>
          <w:rStyle w:val="NvrhP-text"/>
          <w:rFonts w:cs="Arial"/>
          <w:i/>
          <w:sz w:val="20"/>
          <w:szCs w:val="20"/>
          <w:lang w:eastAsia="en-US"/>
        </w:rPr>
        <w:t>5</w:t>
      </w:r>
      <w:r w:rsidR="00755B22"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2EEF185F" w14:textId="77777777" w:rsidR="002C4A82" w:rsidRPr="00461C16" w:rsidRDefault="002C4A82" w:rsidP="002C4A82">
      <w:pPr>
        <w:spacing w:before="120" w:line="240" w:lineRule="auto"/>
      </w:pPr>
      <w:r w:rsidRPr="00461C16">
        <w:t>Územím města Hrádek nad Nisou je vedena celostátní železniční trať č. 089 Liberec – Hrádek nad Nisou – Zittau – Varnsdorf (Seifhennersdorf) – Rybniště. Železniční stanice se nachází v sídle Hrádek nad Nisou. Železniční trať č. 089 z hlediska širších vztahů zajišťuje spojení severní části Libereckého kraje s nejen s Německem, ale i Ústeckým krajem.</w:t>
      </w:r>
    </w:p>
    <w:p w14:paraId="2586CFA0" w14:textId="77777777" w:rsidR="00BA2B09" w:rsidRPr="00461C16" w:rsidRDefault="002C4A82" w:rsidP="002C4A82">
      <w:pPr>
        <w:spacing w:before="120" w:line="240" w:lineRule="auto"/>
      </w:pPr>
      <w:r w:rsidRPr="00461C16">
        <w:t>V bezprostřední blízkosti vlakového nádraží se nachází přestupní terminál veřejné dopravy. Pro obyvatele sídel Uhelná, Václavice či Dolní Suchá je poměrně dobře dostupná i železniční stanice Chotyně, případně pak Bílý Kostel nad Nisou.</w:t>
      </w:r>
    </w:p>
    <w:p w14:paraId="3FD8022B" w14:textId="77777777" w:rsidR="002C4A82" w:rsidRPr="00461C16" w:rsidRDefault="002C4A82" w:rsidP="002C4A82">
      <w:pPr>
        <w:spacing w:before="120" w:line="240" w:lineRule="auto"/>
      </w:pPr>
      <w:r w:rsidRPr="00461C16">
        <w:lastRenderedPageBreak/>
        <w:t>Železniční trať č. 089 je vedena jako jednokolejná, neelektrifikovaná. Průměrná četnost ve všedních dnech 26 spojů za den ve směru Liberec a 19 spojů za den ve směru Zittau (Německo).</w:t>
      </w:r>
    </w:p>
    <w:p w14:paraId="5CD80BAD" w14:textId="77777777" w:rsidR="002C4A82" w:rsidRPr="00461C16" w:rsidRDefault="002C4A82" w:rsidP="002C4A82">
      <w:pPr>
        <w:spacing w:before="240"/>
        <w:rPr>
          <w:rFonts w:cs="Arial"/>
          <w:i/>
          <w:sz w:val="20"/>
          <w:szCs w:val="20"/>
          <w:lang w:eastAsia="en-US"/>
        </w:rPr>
      </w:pPr>
      <w:r w:rsidRPr="00461C16">
        <w:rPr>
          <w:rStyle w:val="NvrhP-text"/>
          <w:rFonts w:cs="Arial"/>
          <w:i/>
          <w:sz w:val="20"/>
          <w:szCs w:val="20"/>
          <w:lang w:eastAsia="en-US"/>
        </w:rPr>
        <w:t xml:space="preserve">(k bodu </w:t>
      </w:r>
      <w:r w:rsidR="00755B22" w:rsidRPr="00461C16">
        <w:rPr>
          <w:rStyle w:val="NvrhP-text"/>
          <w:rFonts w:cs="Arial"/>
          <w:i/>
          <w:sz w:val="20"/>
          <w:szCs w:val="20"/>
          <w:lang w:eastAsia="en-US"/>
        </w:rPr>
        <w:t>D2</w:t>
      </w:r>
      <w:r w:rsidR="00755B22">
        <w:rPr>
          <w:rStyle w:val="NvrhP-text"/>
          <w:rFonts w:cs="Arial"/>
          <w:i/>
          <w:sz w:val="20"/>
          <w:szCs w:val="20"/>
          <w:lang w:eastAsia="en-US"/>
        </w:rPr>
        <w:t>6</w:t>
      </w:r>
      <w:r w:rsidR="00755B22" w:rsidRPr="00461C16">
        <w:rPr>
          <w:rStyle w:val="NvrhP-text"/>
          <w:rFonts w:cs="Arial"/>
          <w:i/>
          <w:sz w:val="20"/>
          <w:szCs w:val="20"/>
          <w:lang w:eastAsia="en-US"/>
        </w:rPr>
        <w:t xml:space="preserve"> </w:t>
      </w:r>
      <w:r w:rsidRPr="00461C16">
        <w:rPr>
          <w:rStyle w:val="NvrhP-text"/>
          <w:rFonts w:cs="Arial"/>
          <w:i/>
          <w:sz w:val="20"/>
          <w:szCs w:val="20"/>
          <w:lang w:eastAsia="en-US"/>
        </w:rPr>
        <w:t>ÚP)</w:t>
      </w:r>
    </w:p>
    <w:p w14:paraId="6744E6CE" w14:textId="77777777" w:rsidR="00C06D6D" w:rsidRPr="00461C16" w:rsidRDefault="002C4A82" w:rsidP="002C4A82">
      <w:pPr>
        <w:spacing w:before="120" w:line="240" w:lineRule="auto"/>
      </w:pPr>
      <w:r w:rsidRPr="00461C16">
        <w:t xml:space="preserve">ZÚR Libereckého kraje vymezují na území města Hrádek nad Nisou koridor pro veřejně prospěšnou stavbu </w:t>
      </w:r>
      <w:r w:rsidR="002035C6" w:rsidRPr="00461C16">
        <w:t>„</w:t>
      </w:r>
      <w:r w:rsidRPr="00461C16">
        <w:t>D28 - úsek Liberec – Chrastava – Bílý Kostel nad Nisou – Hrádek nad Nisou – hranice ČR - optimalizace, elektrizace</w:t>
      </w:r>
      <w:r w:rsidR="002035C6" w:rsidRPr="00461C16">
        <w:t>“</w:t>
      </w:r>
      <w:r w:rsidRPr="00461C16">
        <w:t>.</w:t>
      </w:r>
      <w:r w:rsidR="00C06D6D" w:rsidRPr="00461C16">
        <w:t xml:space="preserve"> ÚP z toho důvodu </w:t>
      </w:r>
      <w:r w:rsidR="00C06D6D" w:rsidRPr="00461C16">
        <w:rPr>
          <w:rFonts w:cs="Arial"/>
        </w:rPr>
        <w:t>zpřesňuje v rámci správního území města Hrádek nad Nisou koridor železniční dopravy (DZ.k) X01 pro umístění vedení této stavby, včetně všech ploch staveb, součástí a příslušenství nezbytných k realizaci této stavby.</w:t>
      </w:r>
    </w:p>
    <w:p w14:paraId="59574972" w14:textId="77777777" w:rsidR="002C4A82" w:rsidRPr="00461C16" w:rsidRDefault="00C06D6D" w:rsidP="002C4A82">
      <w:pPr>
        <w:spacing w:before="120" w:line="240" w:lineRule="auto"/>
      </w:pPr>
      <w:r w:rsidRPr="00461C16">
        <w:t>Vzhledem k tomu, že v současné době neexistuje relevantní podklad, podle nějž by mohl být koridor zpřesněn v nezbytně nutném rozsahu, bylo vymezení koridoru v ÚP předběžně konzultováno se zástupcem SŽDC, s.o. Koridor X01 je v celé délce veden v proměnné šířce, přičemž v zastavěném území není tato šířka menší než 40 m a mimo zastavěné území větší než 100 m.</w:t>
      </w:r>
    </w:p>
    <w:p w14:paraId="04A987BD" w14:textId="77777777" w:rsidR="00C06D6D" w:rsidRPr="00461C16" w:rsidRDefault="00C06D6D" w:rsidP="00C06D6D">
      <w:pPr>
        <w:spacing w:before="240"/>
        <w:rPr>
          <w:rFonts w:cs="Arial"/>
          <w:i/>
          <w:sz w:val="20"/>
          <w:szCs w:val="20"/>
          <w:lang w:eastAsia="en-US"/>
        </w:rPr>
      </w:pPr>
      <w:r w:rsidRPr="00461C16">
        <w:rPr>
          <w:rStyle w:val="NvrhP-text"/>
          <w:rFonts w:cs="Arial"/>
          <w:i/>
          <w:sz w:val="20"/>
          <w:szCs w:val="20"/>
          <w:lang w:eastAsia="en-US"/>
        </w:rPr>
        <w:t xml:space="preserve">(k bodu </w:t>
      </w:r>
      <w:r w:rsidR="00755B22" w:rsidRPr="00461C16">
        <w:rPr>
          <w:rStyle w:val="NvrhP-text"/>
          <w:rFonts w:cs="Arial"/>
          <w:i/>
          <w:sz w:val="20"/>
          <w:szCs w:val="20"/>
          <w:lang w:eastAsia="en-US"/>
        </w:rPr>
        <w:t>D2</w:t>
      </w:r>
      <w:r w:rsidR="00755B22">
        <w:rPr>
          <w:rStyle w:val="NvrhP-text"/>
          <w:rFonts w:cs="Arial"/>
          <w:i/>
          <w:sz w:val="20"/>
          <w:szCs w:val="20"/>
          <w:lang w:eastAsia="en-US"/>
        </w:rPr>
        <w:t>7</w:t>
      </w:r>
      <w:r w:rsidR="00755B22" w:rsidRPr="00461C16">
        <w:rPr>
          <w:rStyle w:val="NvrhP-text"/>
          <w:rFonts w:cs="Arial"/>
          <w:i/>
          <w:sz w:val="20"/>
          <w:szCs w:val="20"/>
          <w:lang w:eastAsia="en-US"/>
        </w:rPr>
        <w:t xml:space="preserve"> </w:t>
      </w:r>
      <w:r w:rsidRPr="00461C16">
        <w:rPr>
          <w:rStyle w:val="NvrhP-text"/>
          <w:rFonts w:cs="Arial"/>
          <w:i/>
          <w:sz w:val="20"/>
          <w:szCs w:val="20"/>
          <w:lang w:eastAsia="en-US"/>
        </w:rPr>
        <w:t>ÚP)</w:t>
      </w:r>
    </w:p>
    <w:p w14:paraId="76C911A8" w14:textId="77777777" w:rsidR="00C06D6D" w:rsidRPr="00461C16" w:rsidRDefault="00C06D6D" w:rsidP="00C06D6D">
      <w:pPr>
        <w:spacing w:before="120" w:line="240" w:lineRule="auto"/>
      </w:pPr>
      <w:r w:rsidRPr="00461C16">
        <w:t xml:space="preserve">ZÚR Libereckého kraje vymezují na území města Hrádek nad Nisou koridor územní rezervy D33A „železniční spojení Liberec - Česká Lípa, úsek Bílý Kostel nad Nisou - Rynoltice, variantní řešení“. ÚP z toho důvodu </w:t>
      </w:r>
      <w:r w:rsidRPr="00461C16">
        <w:rPr>
          <w:rFonts w:cs="Arial"/>
        </w:rPr>
        <w:t>vymezuje v rámci správního území města Hrádek nad Nisou koridor územní rezervy železniční dopravy pro budoucí prověření železničního spojení Liberec – Česká Lípa, úsek Bílý Kostel nad Nisou – Rynoltice</w:t>
      </w:r>
      <w:r w:rsidR="002035C6" w:rsidRPr="00461C16">
        <w:rPr>
          <w:rFonts w:cs="Arial"/>
        </w:rPr>
        <w:t>.</w:t>
      </w:r>
    </w:p>
    <w:p w14:paraId="1AB75C7C" w14:textId="77777777" w:rsidR="00BA2B09" w:rsidRPr="00461C16" w:rsidRDefault="00BA2B09" w:rsidP="00BA2B09">
      <w:pPr>
        <w:spacing w:before="300" w:after="60"/>
        <w:rPr>
          <w:b/>
          <w:sz w:val="24"/>
        </w:rPr>
      </w:pPr>
      <w:r w:rsidRPr="00461C16">
        <w:rPr>
          <w:b/>
          <w:sz w:val="24"/>
        </w:rPr>
        <w:t>Letecká doprava</w:t>
      </w:r>
    </w:p>
    <w:p w14:paraId="0763BDAB" w14:textId="77777777" w:rsidR="00BA2B09" w:rsidRPr="00461C16" w:rsidRDefault="008C593D" w:rsidP="00BA2B09">
      <w:pPr>
        <w:spacing w:before="240"/>
        <w:rPr>
          <w:rStyle w:val="NvrhP-text"/>
          <w:rFonts w:cs="Arial"/>
          <w:i/>
          <w:sz w:val="20"/>
          <w:szCs w:val="20"/>
          <w:lang w:eastAsia="en-US"/>
        </w:rPr>
      </w:pPr>
      <w:r w:rsidRPr="00461C16">
        <w:rPr>
          <w:rStyle w:val="NvrhP-text"/>
          <w:rFonts w:cs="Arial"/>
          <w:i/>
          <w:sz w:val="20"/>
          <w:szCs w:val="20"/>
          <w:lang w:eastAsia="en-US"/>
        </w:rPr>
        <w:t xml:space="preserve">(k bodu </w:t>
      </w:r>
      <w:r w:rsidR="00755B22" w:rsidRPr="00461C16">
        <w:rPr>
          <w:rStyle w:val="NvrhP-text"/>
          <w:rFonts w:cs="Arial"/>
          <w:i/>
          <w:sz w:val="20"/>
          <w:szCs w:val="20"/>
          <w:lang w:eastAsia="en-US"/>
        </w:rPr>
        <w:t>D2</w:t>
      </w:r>
      <w:r w:rsidR="00755B22">
        <w:rPr>
          <w:rStyle w:val="NvrhP-text"/>
          <w:rFonts w:cs="Arial"/>
          <w:i/>
          <w:sz w:val="20"/>
          <w:szCs w:val="20"/>
          <w:lang w:eastAsia="en-US"/>
        </w:rPr>
        <w:t>8</w:t>
      </w:r>
      <w:r w:rsidR="00755B22"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186FFA94" w14:textId="77777777" w:rsidR="00BA2B09" w:rsidRPr="00461C16" w:rsidRDefault="002C4A82" w:rsidP="00BA2B09">
      <w:pPr>
        <w:spacing w:before="120" w:line="240" w:lineRule="auto"/>
      </w:pPr>
      <w:r w:rsidRPr="00461C16">
        <w:t>Na území města Hrádek nad Nisou se nenachází infrastruktura pro leteckou dopravu. Nejbližší regionálně významné letiště se statutem veřejného vnitrostátního letiště leží na území Hodkovic nad Mohelkou (cca 35 km). Nejbližší veřejné mezinárodní letiště je v Mnichově Hradišti (cca 55 km).</w:t>
      </w:r>
    </w:p>
    <w:p w14:paraId="1AECAEC0" w14:textId="77777777" w:rsidR="00BA2B09" w:rsidRPr="00461C16" w:rsidRDefault="00BA2B09" w:rsidP="00BA2B09">
      <w:pPr>
        <w:spacing w:before="300" w:after="60"/>
        <w:rPr>
          <w:b/>
          <w:sz w:val="24"/>
        </w:rPr>
      </w:pPr>
      <w:r w:rsidRPr="00461C16">
        <w:rPr>
          <w:b/>
          <w:sz w:val="24"/>
        </w:rPr>
        <w:t>Vodní doprava</w:t>
      </w:r>
    </w:p>
    <w:p w14:paraId="04F8AAF5" w14:textId="77777777" w:rsidR="00BA2B09" w:rsidRPr="00461C16" w:rsidRDefault="002C4A82" w:rsidP="00BA2B09">
      <w:pPr>
        <w:spacing w:before="240"/>
        <w:rPr>
          <w:rStyle w:val="NvrhP-text"/>
          <w:rFonts w:cs="Arial"/>
          <w:i/>
          <w:sz w:val="20"/>
          <w:szCs w:val="20"/>
          <w:lang w:eastAsia="en-US"/>
        </w:rPr>
      </w:pPr>
      <w:r w:rsidRPr="00461C16">
        <w:rPr>
          <w:rStyle w:val="NvrhP-text"/>
          <w:rFonts w:cs="Arial"/>
          <w:i/>
          <w:sz w:val="20"/>
          <w:szCs w:val="20"/>
          <w:lang w:eastAsia="en-US"/>
        </w:rPr>
        <w:t xml:space="preserve">(k bodu </w:t>
      </w:r>
      <w:r w:rsidR="00755B22" w:rsidRPr="00461C16">
        <w:rPr>
          <w:rStyle w:val="NvrhP-text"/>
          <w:rFonts w:cs="Arial"/>
          <w:i/>
          <w:sz w:val="20"/>
          <w:szCs w:val="20"/>
          <w:lang w:eastAsia="en-US"/>
        </w:rPr>
        <w:t>D</w:t>
      </w:r>
      <w:r w:rsidR="00755B22">
        <w:rPr>
          <w:rStyle w:val="NvrhP-text"/>
          <w:rFonts w:cs="Arial"/>
          <w:i/>
          <w:sz w:val="20"/>
          <w:szCs w:val="20"/>
          <w:lang w:eastAsia="en-US"/>
        </w:rPr>
        <w:t>29</w:t>
      </w:r>
      <w:r w:rsidR="00755B22" w:rsidRPr="00461C16">
        <w:rPr>
          <w:rStyle w:val="NvrhP-text"/>
          <w:rFonts w:cs="Arial"/>
          <w:i/>
          <w:sz w:val="20"/>
          <w:szCs w:val="20"/>
          <w:lang w:eastAsia="en-US"/>
        </w:rPr>
        <w:t xml:space="preserve"> </w:t>
      </w:r>
      <w:r w:rsidR="00BA2B09" w:rsidRPr="00461C16">
        <w:rPr>
          <w:rStyle w:val="NvrhP-text"/>
          <w:rFonts w:cs="Arial"/>
          <w:i/>
          <w:sz w:val="20"/>
          <w:szCs w:val="20"/>
          <w:lang w:eastAsia="en-US"/>
        </w:rPr>
        <w:t>ÚP)</w:t>
      </w:r>
    </w:p>
    <w:p w14:paraId="52C33D1D" w14:textId="77777777" w:rsidR="00BA2B09" w:rsidRPr="00461C16" w:rsidRDefault="002C4A82" w:rsidP="0013110C">
      <w:pPr>
        <w:spacing w:before="120" w:line="240" w:lineRule="auto"/>
        <w:rPr>
          <w:rFonts w:cs="Arial"/>
          <w:b/>
          <w:bCs/>
          <w:sz w:val="26"/>
          <w:szCs w:val="26"/>
        </w:rPr>
      </w:pPr>
      <w:r w:rsidRPr="00461C16">
        <w:t>Na území města Hrádek nad Nisou není vodní tok, který by byl dle zákona č. 114/1995 Sb., o vnitrozemské plavbě, v platném znění, vodní cestou. Tok řeky Lužické Nisy je využíván pro vodáckou turistiku, tedy pro splouvání řeky na kánoích, kajacích či raftech.</w:t>
      </w:r>
    </w:p>
    <w:p w14:paraId="270C5FA6" w14:textId="77777777" w:rsidR="00786322" w:rsidRPr="00461C16" w:rsidRDefault="00501553" w:rsidP="007F050A">
      <w:pPr>
        <w:pStyle w:val="Heading3"/>
      </w:pPr>
      <w:bookmarkStart w:id="132" w:name="_Toc36116299"/>
      <w:r w:rsidRPr="00461C16">
        <w:t>6</w:t>
      </w:r>
      <w:r w:rsidR="00BC4E8D" w:rsidRPr="00461C16">
        <w:t>.</w:t>
      </w:r>
      <w:r w:rsidR="00786322" w:rsidRPr="00461C16">
        <w:t>5.2</w:t>
      </w:r>
      <w:r w:rsidR="00786322" w:rsidRPr="00461C16">
        <w:tab/>
        <w:t>Technická infrastruktura</w:t>
      </w:r>
      <w:bookmarkEnd w:id="132"/>
      <w:r w:rsidR="00786322" w:rsidRPr="00461C16">
        <w:t xml:space="preserve"> </w:t>
      </w:r>
    </w:p>
    <w:p w14:paraId="20BE1C2D" w14:textId="77777777" w:rsidR="0013110C" w:rsidRPr="00461C16" w:rsidRDefault="0013110C" w:rsidP="0013110C">
      <w:pPr>
        <w:pStyle w:val="1text"/>
        <w:rPr>
          <w:i/>
          <w:sz w:val="20"/>
          <w:szCs w:val="20"/>
        </w:rPr>
      </w:pPr>
      <w:r w:rsidRPr="00461C16">
        <w:rPr>
          <w:i/>
          <w:sz w:val="20"/>
          <w:szCs w:val="20"/>
        </w:rPr>
        <w:t xml:space="preserve">(k bodům </w:t>
      </w:r>
      <w:r w:rsidR="00755B22" w:rsidRPr="00461C16">
        <w:rPr>
          <w:i/>
          <w:sz w:val="20"/>
          <w:szCs w:val="20"/>
        </w:rPr>
        <w:t>D3</w:t>
      </w:r>
      <w:r w:rsidR="00755B22">
        <w:rPr>
          <w:i/>
          <w:sz w:val="20"/>
          <w:szCs w:val="20"/>
        </w:rPr>
        <w:t>0</w:t>
      </w:r>
      <w:r w:rsidR="00755B22" w:rsidRPr="00461C16">
        <w:rPr>
          <w:i/>
          <w:sz w:val="20"/>
          <w:szCs w:val="20"/>
        </w:rPr>
        <w:t xml:space="preserve"> </w:t>
      </w:r>
      <w:r w:rsidRPr="00461C16">
        <w:rPr>
          <w:i/>
          <w:sz w:val="20"/>
          <w:szCs w:val="20"/>
        </w:rPr>
        <w:t xml:space="preserve">– </w:t>
      </w:r>
      <w:r w:rsidR="00755B22" w:rsidRPr="00461C16">
        <w:rPr>
          <w:i/>
          <w:sz w:val="20"/>
          <w:szCs w:val="20"/>
        </w:rPr>
        <w:t>D3</w:t>
      </w:r>
      <w:r w:rsidR="00755B22">
        <w:rPr>
          <w:i/>
          <w:sz w:val="20"/>
          <w:szCs w:val="20"/>
        </w:rPr>
        <w:t>4</w:t>
      </w:r>
      <w:r w:rsidR="00755B22" w:rsidRPr="00461C16">
        <w:rPr>
          <w:i/>
          <w:sz w:val="20"/>
          <w:szCs w:val="20"/>
        </w:rPr>
        <w:t xml:space="preserve"> </w:t>
      </w:r>
      <w:r w:rsidRPr="00461C16">
        <w:rPr>
          <w:i/>
          <w:sz w:val="20"/>
          <w:szCs w:val="20"/>
        </w:rPr>
        <w:t>ÚP)</w:t>
      </w:r>
    </w:p>
    <w:p w14:paraId="384BBF04" w14:textId="77777777" w:rsidR="0013110C" w:rsidRPr="00461C16" w:rsidRDefault="0013110C" w:rsidP="0013110C">
      <w:pPr>
        <w:pStyle w:val="1text"/>
      </w:pPr>
      <w:r w:rsidRPr="00461C16">
        <w:t xml:space="preserve">Na základě doplňujících průzkumů a rozborů, a konzultací s jednotlivými majiteli, správci nebo provozovateli systémů technické infrastruktury bylo zpracovateli vyhodnoceno, že pro návrh územního plánu není pro správní území města </w:t>
      </w:r>
      <w:r w:rsidR="003D4EBF" w:rsidRPr="00461C16">
        <w:t>Hrádek nad Nisou</w:t>
      </w:r>
      <w:r w:rsidRPr="00461C16">
        <w:t xml:space="preserve"> potřeba zakládat novou koncepci řešení technické infrastruktury. </w:t>
      </w:r>
    </w:p>
    <w:p w14:paraId="4CEBE008" w14:textId="77777777" w:rsidR="0013110C" w:rsidRPr="00461C16" w:rsidRDefault="0013110C" w:rsidP="0013110C">
      <w:pPr>
        <w:pStyle w:val="1text"/>
      </w:pPr>
      <w:r w:rsidRPr="00461C16">
        <w:t>Veškeré systémy technické infrastruktury jsou v území stabilizované a návrh územního plánu chrání a rozvíjí stavby a zařízení technické infrastruktury jako civilizační hodnoty území zajišťující uspokojování základních potřeb obyvatel z hlediska zásobování vodou, odvodnění území, likvidace tuhých odpadů, zásobování energiemi, přenosu informací a snižování ohrožení území živelními nebo jinými pohromami.</w:t>
      </w:r>
    </w:p>
    <w:p w14:paraId="0FFE7C1C" w14:textId="09F7E0FB" w:rsidR="0013110C" w:rsidRPr="00461C16" w:rsidRDefault="0013110C" w:rsidP="0013110C">
      <w:pPr>
        <w:pStyle w:val="1text"/>
      </w:pPr>
      <w:r w:rsidRPr="00461C16">
        <w:rPr>
          <w:u w:val="single"/>
        </w:rPr>
        <w:t xml:space="preserve">Umísťovaní technické infrastruktury v plochách změn v území je mimo působnost územního plánu a musí být </w:t>
      </w:r>
      <w:r w:rsidR="00021DC8" w:rsidRPr="00461C16">
        <w:rPr>
          <w:u w:val="single"/>
        </w:rPr>
        <w:t>řešen</w:t>
      </w:r>
      <w:r w:rsidR="00021DC8">
        <w:rPr>
          <w:u w:val="single"/>
        </w:rPr>
        <w:t>o</w:t>
      </w:r>
      <w:r w:rsidR="00021DC8" w:rsidRPr="00461C16">
        <w:rPr>
          <w:u w:val="single"/>
        </w:rPr>
        <w:t xml:space="preserve"> </w:t>
      </w:r>
      <w:r w:rsidRPr="00461C16">
        <w:rPr>
          <w:u w:val="single"/>
        </w:rPr>
        <w:t xml:space="preserve">v navazujících správních úkonech (v podrobnějších stupních projektových dokumentací) s hlavní zásadou umisťovat trasy inženýrských sítí </w:t>
      </w:r>
      <w:r w:rsidR="003D4EBF" w:rsidRPr="00461C16">
        <w:rPr>
          <w:u w:val="single"/>
        </w:rPr>
        <w:t>v plochách veřejných prostranství a dopravní infrastruktury</w:t>
      </w:r>
      <w:r w:rsidRPr="00461C16">
        <w:rPr>
          <w:u w:val="single"/>
        </w:rPr>
        <w:t>.</w:t>
      </w:r>
    </w:p>
    <w:p w14:paraId="30EBF28C" w14:textId="77777777" w:rsidR="0013110C" w:rsidRPr="00461C16" w:rsidRDefault="0013110C" w:rsidP="0013110C">
      <w:pPr>
        <w:pStyle w:val="1text"/>
      </w:pPr>
      <w:r w:rsidRPr="00461C16">
        <w:t xml:space="preserve">Návrh územního plánu klade velký důraz na respektování limitů využití území vyplývajících z existence staveb a zařízení technické infrastruktury za účelem ochrany civilizačních hodnot v území (ochranná pásma) a ochrany obyvatelstva a majetku (bezpečnostní pásma). Stejně velký důraz klade na respektování </w:t>
      </w:r>
      <w:r w:rsidRPr="006A71D4">
        <w:t>ČSN 73 6005</w:t>
      </w:r>
      <w:r w:rsidRPr="00461C16">
        <w:t xml:space="preserve"> a s ní </w:t>
      </w:r>
      <w:r w:rsidRPr="00461C16">
        <w:lastRenderedPageBreak/>
        <w:t xml:space="preserve">související předpisy zohledňující potřebu koordinace vedení technického vybavení území za účelem zajištění optimálního prostorového upořádání jednotlivých systémů veřejné infrastruktury s ohledem na provozní, bezpečnostní, ekonomické, ekologické a technické řešení. </w:t>
      </w:r>
    </w:p>
    <w:p w14:paraId="66C4BD6C" w14:textId="77777777" w:rsidR="0013110C" w:rsidRPr="00461C16" w:rsidRDefault="0013110C" w:rsidP="0013110C">
      <w:pPr>
        <w:pStyle w:val="1text"/>
      </w:pPr>
      <w:r w:rsidRPr="00461C16">
        <w:t>Na základě ekonomického a ekologického hodnocení zajišťování potřeb energií pro jednotlivé způsoby využití území se nepřipouští trojcestné zásobování energiemi a územní plán navrhuje založit koncepci na ekonomicky výhodnějším dvojcestném, které bude založeno především na využití dostupného systému zásobování elektrickou energií a zemním plynem s možností využít alternativních zdrojů.</w:t>
      </w:r>
    </w:p>
    <w:p w14:paraId="24A3CCE6" w14:textId="77777777" w:rsidR="0013110C" w:rsidRPr="00461C16" w:rsidRDefault="0013110C" w:rsidP="0013110C">
      <w:pPr>
        <w:spacing w:before="240" w:after="120"/>
        <w:ind w:left="720" w:hanging="720"/>
        <w:rPr>
          <w:rFonts w:cs="Arial"/>
          <w:b/>
          <w:i/>
        </w:rPr>
      </w:pPr>
      <w:r w:rsidRPr="00461C16">
        <w:rPr>
          <w:rFonts w:cs="Arial"/>
          <w:b/>
          <w:i/>
        </w:rPr>
        <w:t>Zásobování vodou</w:t>
      </w:r>
    </w:p>
    <w:p w14:paraId="3AF86647" w14:textId="77777777" w:rsidR="0013110C" w:rsidRPr="00D86AC0" w:rsidRDefault="00BF7C3B" w:rsidP="0013110C">
      <w:pPr>
        <w:spacing w:before="120" w:after="120"/>
        <w:rPr>
          <w:rFonts w:cs="Arial"/>
          <w:sz w:val="20"/>
          <w:szCs w:val="20"/>
          <w:u w:val="single"/>
        </w:rPr>
      </w:pPr>
      <w:r w:rsidRPr="00D86AC0">
        <w:rPr>
          <w:i/>
          <w:sz w:val="20"/>
          <w:szCs w:val="20"/>
        </w:rPr>
        <w:t xml:space="preserve">(k bodům </w:t>
      </w:r>
      <w:r w:rsidR="00755B22" w:rsidRPr="00D86AC0">
        <w:rPr>
          <w:i/>
          <w:sz w:val="20"/>
          <w:szCs w:val="20"/>
        </w:rPr>
        <w:t xml:space="preserve">D35 </w:t>
      </w:r>
      <w:r w:rsidRPr="00D86AC0">
        <w:rPr>
          <w:i/>
          <w:sz w:val="20"/>
          <w:szCs w:val="20"/>
        </w:rPr>
        <w:t xml:space="preserve">– </w:t>
      </w:r>
      <w:r w:rsidR="00755B22" w:rsidRPr="00D86AC0">
        <w:rPr>
          <w:i/>
          <w:sz w:val="20"/>
          <w:szCs w:val="20"/>
        </w:rPr>
        <w:t xml:space="preserve">D40 </w:t>
      </w:r>
      <w:r w:rsidR="0013110C" w:rsidRPr="00D86AC0">
        <w:rPr>
          <w:i/>
          <w:sz w:val="20"/>
          <w:szCs w:val="20"/>
        </w:rPr>
        <w:t>ÚP)</w:t>
      </w:r>
    </w:p>
    <w:p w14:paraId="667879A6" w14:textId="77777777" w:rsidR="00BF7C3B" w:rsidRPr="00461C16" w:rsidRDefault="00BF7C3B" w:rsidP="00BF7C3B">
      <w:pPr>
        <w:pStyle w:val="1text"/>
      </w:pPr>
      <w:r w:rsidRPr="00461C16">
        <w:t>Město Hrádek nad Nisou je zásobeno pitnou vodou z oblastního vodovodu a místních zdrojů. Oblastní vodovod Liberec – Jablonec nad Nisou je vodárenský systém, který zásobuje pitnou vodou podstatnou část Libereckého kraje, včetně Hrádku nad Nisou. Jedná se o společný vodárenský systém bývalých okresů Liberec a Jablonec nad Nisou, který je propojený takovým způsobem, aby se zdroje v případě nutnosti mohly v potřebné (i když částečně omezené) míře doplňovat.</w:t>
      </w:r>
    </w:p>
    <w:p w14:paraId="36DFB690" w14:textId="77777777" w:rsidR="00BF7C3B" w:rsidRPr="00461C16" w:rsidRDefault="00BF7C3B" w:rsidP="00BF7C3B">
      <w:pPr>
        <w:pStyle w:val="1text"/>
      </w:pPr>
      <w:r w:rsidRPr="00461C16">
        <w:t xml:space="preserve">Oblastní vodovod Liberec – Jablonec nad Nisou má 4 hlavní směry zásobení, přičemž město Hrádek nad Nisou je zásobeno systémem z prameniště Dolánky, který vede do vodojemu Jeřmanice, dále do Liberce do vodojemu Orion, kde se potkává s větví přivádějící vodu z úpravny Bedřichov a odtud vede dále do vodojemu Hrádek. </w:t>
      </w:r>
    </w:p>
    <w:p w14:paraId="3F6B834F" w14:textId="77777777" w:rsidR="00BF7C3B" w:rsidRPr="00461C16" w:rsidRDefault="00BF7C3B" w:rsidP="00BF7C3B">
      <w:pPr>
        <w:pStyle w:val="1text"/>
      </w:pPr>
      <w:r w:rsidRPr="00461C16">
        <w:t>Na veřejný vodovod jsou napojena všechna sídla kromě Dolního Sedla a Václavic. Oblastní vodovod je dotován ze zdrojů Pekařka a Vápenný Vrch (dolní centrum města). Zbylá část města a okolní sídla jsou zásobena z místních zdrojů (Uhelná, Loučná). Majitelem vodovodní sítě je SVS a.s. a provozovatelem jsou Severočeské vodovody a kanalizace, a.s. (dále jen „SČVaK“). V Dolním Sedle a Václavicích jsou samostatné vodovody. Dle údajů z aktuálního Plánu rozvoje vodovodů a kanalizací Libereckého kraje je na veřejný vodovod napojeno asi 94 % obyvatel města. Zbylých 6 % obyvatel využívá jako zdroj pitné vody vlastní studny. Celkově lze tedy současnou koncepci zásobování pitnou vodou města včetně všech jeho místních částí za vyhovující.</w:t>
      </w:r>
    </w:p>
    <w:p w14:paraId="1A99551A" w14:textId="77777777" w:rsidR="00BF7C3B" w:rsidRPr="00461C16" w:rsidRDefault="00BF7C3B" w:rsidP="00BF7C3B">
      <w:pPr>
        <w:pStyle w:val="1text"/>
      </w:pPr>
      <w:r w:rsidRPr="00461C16">
        <w:t>Vodovodní síť samotného sídla Hrádek nad Nisou je rozdělena do dvou tlakových pásem:</w:t>
      </w:r>
    </w:p>
    <w:p w14:paraId="07629367" w14:textId="77777777" w:rsidR="00BF7C3B" w:rsidRPr="00461C16" w:rsidRDefault="00BF7C3B" w:rsidP="00BF7C3B">
      <w:pPr>
        <w:overflowPunct w:val="0"/>
        <w:autoSpaceDE w:val="0"/>
        <w:autoSpaceDN w:val="0"/>
        <w:adjustRightInd w:val="0"/>
        <w:textAlignment w:val="baseline"/>
        <w:rPr>
          <w:rFonts w:eastAsia="Times New Roman"/>
          <w:lang w:eastAsia="cs-CZ"/>
        </w:rPr>
      </w:pPr>
      <w:r w:rsidRPr="00461C16">
        <w:rPr>
          <w:rFonts w:eastAsia="Times New Roman"/>
          <w:b/>
          <w:lang w:eastAsia="cs-CZ"/>
        </w:rPr>
        <w:t>1. tl. pásmo</w:t>
      </w:r>
      <w:r w:rsidRPr="00461C16">
        <w:rPr>
          <w:rFonts w:eastAsia="Times New Roman"/>
          <w:lang w:eastAsia="cs-CZ"/>
        </w:rPr>
        <w:t xml:space="preserve"> – Zásobení dolního tlakového pásma Hrádku (OL-M-49.1.1-HRN) je prakticky závislé na vdj. Hrádek 1000 m</w:t>
      </w:r>
      <w:r w:rsidRPr="00461C16">
        <w:rPr>
          <w:rFonts w:eastAsia="Times New Roman"/>
          <w:vertAlign w:val="superscript"/>
          <w:lang w:eastAsia="cs-CZ"/>
        </w:rPr>
        <w:t>3</w:t>
      </w:r>
      <w:r w:rsidRPr="00461C16">
        <w:rPr>
          <w:rFonts w:eastAsia="Times New Roman"/>
          <w:lang w:eastAsia="cs-CZ"/>
        </w:rPr>
        <w:t xml:space="preserve"> (321,30/318,20 m n. m.), do kterého jsou zaústěny všechny přiváděcí řady z hlavních zdrojů. Do vdj. Hrádek 1000 m</w:t>
      </w:r>
      <w:r w:rsidRPr="00461C16">
        <w:rPr>
          <w:rFonts w:eastAsia="Times New Roman"/>
          <w:vertAlign w:val="superscript"/>
          <w:lang w:eastAsia="cs-CZ"/>
        </w:rPr>
        <w:t>3</w:t>
      </w:r>
      <w:r w:rsidRPr="00461C16">
        <w:rPr>
          <w:rFonts w:eastAsia="Times New Roman"/>
          <w:lang w:eastAsia="cs-CZ"/>
        </w:rPr>
        <w:t xml:space="preserve"> jsou zaústěny všechny přiváděcí řady z hlavních zdrojů. Do vdj. Hrádek 1000 m</w:t>
      </w:r>
      <w:r w:rsidRPr="00461C16">
        <w:rPr>
          <w:rFonts w:eastAsia="Times New Roman"/>
          <w:vertAlign w:val="superscript"/>
          <w:lang w:eastAsia="cs-CZ"/>
        </w:rPr>
        <w:t>3</w:t>
      </w:r>
      <w:r w:rsidRPr="00461C16">
        <w:rPr>
          <w:rFonts w:eastAsia="Times New Roman"/>
          <w:lang w:eastAsia="cs-CZ"/>
        </w:rPr>
        <w:t xml:space="preserve"> je přítok PVC 200 z vdj. Sv. Ján – oblastní vodovod, dále voda ze zdroje pro Hrádek – vrtu Velká Pekařka (vydatnost 6 l/s) – je čerpána čerpací čerpací stanicí Pekařka a voda ze zdroje Vápenný Vrch řadem OC 125. </w:t>
      </w:r>
    </w:p>
    <w:p w14:paraId="6BBD786F" w14:textId="77777777" w:rsidR="00BF7C3B" w:rsidRPr="00461C16" w:rsidRDefault="00BF7C3B" w:rsidP="00BF7C3B">
      <w:pPr>
        <w:overflowPunct w:val="0"/>
        <w:autoSpaceDE w:val="0"/>
        <w:autoSpaceDN w:val="0"/>
        <w:adjustRightInd w:val="0"/>
        <w:textAlignment w:val="baseline"/>
        <w:rPr>
          <w:rFonts w:eastAsia="Times New Roman"/>
          <w:lang w:eastAsia="cs-CZ"/>
        </w:rPr>
      </w:pPr>
      <w:r w:rsidRPr="00461C16">
        <w:rPr>
          <w:rFonts w:eastAsia="Times New Roman"/>
          <w:lang w:eastAsia="cs-CZ"/>
        </w:rPr>
        <w:t>Vodojem Hrádek 1000 m</w:t>
      </w:r>
      <w:r w:rsidRPr="00461C16">
        <w:rPr>
          <w:rFonts w:eastAsia="Times New Roman"/>
          <w:vertAlign w:val="superscript"/>
          <w:lang w:eastAsia="cs-CZ"/>
        </w:rPr>
        <w:t xml:space="preserve">3 </w:t>
      </w:r>
      <w:r w:rsidRPr="00461C16">
        <w:rPr>
          <w:rFonts w:eastAsia="Times New Roman"/>
          <w:lang w:eastAsia="cs-CZ"/>
        </w:rPr>
        <w:t>je umístěn na východním okraji sídla Hrádek nad Nisou na konci Liberecké ulice.. Technický stav vodojemu je vyhovující.</w:t>
      </w:r>
    </w:p>
    <w:p w14:paraId="5EC225FF" w14:textId="77777777" w:rsidR="00BF7C3B" w:rsidRPr="00461C16" w:rsidRDefault="00BF7C3B" w:rsidP="00BF7C3B">
      <w:pPr>
        <w:overflowPunct w:val="0"/>
        <w:autoSpaceDE w:val="0"/>
        <w:autoSpaceDN w:val="0"/>
        <w:adjustRightInd w:val="0"/>
        <w:textAlignment w:val="baseline"/>
        <w:rPr>
          <w:rFonts w:eastAsia="Times New Roman"/>
          <w:lang w:eastAsia="cs-CZ"/>
        </w:rPr>
      </w:pPr>
      <w:r w:rsidRPr="00461C16">
        <w:rPr>
          <w:rFonts w:eastAsia="Times New Roman"/>
          <w:b/>
          <w:lang w:eastAsia="cs-CZ"/>
        </w:rPr>
        <w:t>2. tl. pásmo</w:t>
      </w:r>
      <w:r w:rsidRPr="00461C16">
        <w:rPr>
          <w:rFonts w:eastAsia="Times New Roman"/>
          <w:lang w:eastAsia="cs-CZ"/>
        </w:rPr>
        <w:t xml:space="preserve"> – Horní tlakové pásmo (OL-M-49.1.7-HRN) je zásobováno z vdj. Uhelná 100 m</w:t>
      </w:r>
      <w:r w:rsidRPr="00461C16">
        <w:rPr>
          <w:rFonts w:eastAsia="Times New Roman"/>
          <w:vertAlign w:val="superscript"/>
          <w:lang w:eastAsia="cs-CZ"/>
        </w:rPr>
        <w:t>3</w:t>
      </w:r>
      <w:r w:rsidRPr="00461C16">
        <w:rPr>
          <w:rFonts w:eastAsia="Times New Roman"/>
          <w:lang w:eastAsia="cs-CZ"/>
        </w:rPr>
        <w:t xml:space="preserve"> (343,70/341,20 m n. m.), který je zásobován vodou z vrtu Uhelná (vydatnost 10 l/s) řadem DN 150. </w:t>
      </w:r>
    </w:p>
    <w:p w14:paraId="59388239" w14:textId="77777777" w:rsidR="00BF7C3B" w:rsidRPr="00461C16" w:rsidRDefault="00BF7C3B" w:rsidP="00BF7C3B">
      <w:pPr>
        <w:overflowPunct w:val="0"/>
        <w:autoSpaceDE w:val="0"/>
        <w:autoSpaceDN w:val="0"/>
        <w:adjustRightInd w:val="0"/>
        <w:textAlignment w:val="baseline"/>
        <w:rPr>
          <w:rFonts w:eastAsia="Times New Roman"/>
          <w:lang w:eastAsia="cs-CZ"/>
        </w:rPr>
      </w:pPr>
      <w:r w:rsidRPr="00461C16">
        <w:rPr>
          <w:rFonts w:eastAsia="Times New Roman"/>
          <w:lang w:eastAsia="cs-CZ"/>
        </w:rPr>
        <w:t>Další vodojemy na území města zajišťující jeho zásobování pitnou vodou jsou:</w:t>
      </w:r>
    </w:p>
    <w:p w14:paraId="67E8B5B2" w14:textId="77777777" w:rsidR="00BF7C3B" w:rsidRPr="00461C16" w:rsidRDefault="00BF7C3B" w:rsidP="00755B22">
      <w:pPr>
        <w:numPr>
          <w:ilvl w:val="0"/>
          <w:numId w:val="73"/>
        </w:numPr>
        <w:overflowPunct w:val="0"/>
        <w:autoSpaceDE w:val="0"/>
        <w:autoSpaceDN w:val="0"/>
        <w:adjustRightInd w:val="0"/>
        <w:spacing w:before="120" w:line="264" w:lineRule="auto"/>
        <w:textAlignment w:val="baseline"/>
        <w:rPr>
          <w:rFonts w:eastAsia="Times New Roman"/>
          <w:lang w:eastAsia="cs-CZ"/>
        </w:rPr>
      </w:pPr>
      <w:r w:rsidRPr="00461C16">
        <w:rPr>
          <w:rFonts w:eastAsia="Times New Roman"/>
          <w:lang w:eastAsia="cs-CZ"/>
        </w:rPr>
        <w:t>vdj. Loučná 190 m</w:t>
      </w:r>
      <w:r w:rsidRPr="00461C16">
        <w:rPr>
          <w:rFonts w:eastAsia="Times New Roman"/>
          <w:vertAlign w:val="superscript"/>
          <w:lang w:eastAsia="cs-CZ"/>
        </w:rPr>
        <w:t>3</w:t>
      </w:r>
      <w:r w:rsidRPr="00461C16">
        <w:rPr>
          <w:rFonts w:eastAsia="Times New Roman"/>
          <w:lang w:eastAsia="cs-CZ"/>
        </w:rPr>
        <w:t xml:space="preserve"> (310,00/307,00 m n. m.) – zdroj v Loučné (zářez s vydatností 2 l/s)</w:t>
      </w:r>
    </w:p>
    <w:p w14:paraId="658F6A91" w14:textId="77777777" w:rsidR="00BF7C3B" w:rsidRPr="00461C16" w:rsidRDefault="00BF7C3B" w:rsidP="00755B22">
      <w:pPr>
        <w:numPr>
          <w:ilvl w:val="0"/>
          <w:numId w:val="73"/>
        </w:numPr>
        <w:overflowPunct w:val="0"/>
        <w:autoSpaceDE w:val="0"/>
        <w:autoSpaceDN w:val="0"/>
        <w:adjustRightInd w:val="0"/>
        <w:spacing w:before="120" w:line="264" w:lineRule="auto"/>
        <w:textAlignment w:val="baseline"/>
        <w:rPr>
          <w:rFonts w:eastAsia="Times New Roman"/>
          <w:lang w:eastAsia="cs-CZ"/>
        </w:rPr>
      </w:pPr>
      <w:r w:rsidRPr="00461C16">
        <w:rPr>
          <w:rFonts w:eastAsia="Times New Roman"/>
          <w:lang w:eastAsia="cs-CZ"/>
        </w:rPr>
        <w:t>vdj. Václavice 150 m</w:t>
      </w:r>
      <w:r w:rsidRPr="00461C16">
        <w:rPr>
          <w:rFonts w:eastAsia="Times New Roman"/>
          <w:vertAlign w:val="superscript"/>
          <w:lang w:eastAsia="cs-CZ"/>
        </w:rPr>
        <w:t>3</w:t>
      </w:r>
    </w:p>
    <w:p w14:paraId="49F83503" w14:textId="77777777" w:rsidR="00BF7C3B" w:rsidRPr="00461C16" w:rsidRDefault="00BF7C3B" w:rsidP="00755B22">
      <w:pPr>
        <w:numPr>
          <w:ilvl w:val="0"/>
          <w:numId w:val="73"/>
        </w:numPr>
        <w:overflowPunct w:val="0"/>
        <w:autoSpaceDE w:val="0"/>
        <w:autoSpaceDN w:val="0"/>
        <w:adjustRightInd w:val="0"/>
        <w:spacing w:before="120" w:line="264" w:lineRule="auto"/>
        <w:textAlignment w:val="baseline"/>
        <w:rPr>
          <w:rFonts w:eastAsia="Times New Roman"/>
          <w:lang w:eastAsia="cs-CZ"/>
        </w:rPr>
      </w:pPr>
      <w:r w:rsidRPr="00461C16">
        <w:rPr>
          <w:rFonts w:eastAsia="Times New Roman"/>
          <w:lang w:eastAsia="cs-CZ"/>
        </w:rPr>
        <w:t>vdj. Pekařka 25 m</w:t>
      </w:r>
      <w:r w:rsidRPr="00461C16">
        <w:rPr>
          <w:rFonts w:eastAsia="Times New Roman"/>
          <w:vertAlign w:val="superscript"/>
          <w:lang w:eastAsia="cs-CZ"/>
        </w:rPr>
        <w:t>3</w:t>
      </w:r>
      <w:r w:rsidRPr="00461C16">
        <w:rPr>
          <w:rFonts w:eastAsia="Times New Roman"/>
          <w:lang w:eastAsia="cs-CZ"/>
        </w:rPr>
        <w:t xml:space="preserve"> (340,00/338,00 m n. m.)</w:t>
      </w:r>
    </w:p>
    <w:p w14:paraId="521682FD" w14:textId="77777777" w:rsidR="00BF7C3B" w:rsidRPr="00461C16" w:rsidRDefault="00BF7C3B" w:rsidP="00755B22">
      <w:pPr>
        <w:numPr>
          <w:ilvl w:val="0"/>
          <w:numId w:val="73"/>
        </w:numPr>
        <w:overflowPunct w:val="0"/>
        <w:autoSpaceDE w:val="0"/>
        <w:autoSpaceDN w:val="0"/>
        <w:adjustRightInd w:val="0"/>
        <w:spacing w:before="120" w:line="264" w:lineRule="auto"/>
        <w:textAlignment w:val="baseline"/>
        <w:rPr>
          <w:rFonts w:eastAsia="Times New Roman"/>
          <w:lang w:eastAsia="cs-CZ"/>
        </w:rPr>
      </w:pPr>
      <w:r w:rsidRPr="00461C16">
        <w:rPr>
          <w:rFonts w:eastAsia="Times New Roman"/>
          <w:lang w:eastAsia="cs-CZ"/>
        </w:rPr>
        <w:t>vdj. Horní Suchá 16 m</w:t>
      </w:r>
      <w:r w:rsidRPr="00461C16">
        <w:rPr>
          <w:rFonts w:eastAsia="Times New Roman"/>
          <w:vertAlign w:val="superscript"/>
          <w:lang w:eastAsia="cs-CZ"/>
        </w:rPr>
        <w:t>3</w:t>
      </w:r>
      <w:r w:rsidRPr="00461C16">
        <w:rPr>
          <w:rFonts w:eastAsia="Times New Roman"/>
          <w:lang w:eastAsia="cs-CZ"/>
        </w:rPr>
        <w:t xml:space="preserve"> (410,00/408,00 m n. m.)</w:t>
      </w:r>
    </w:p>
    <w:p w14:paraId="44AC0804" w14:textId="77777777" w:rsidR="00BF7C3B" w:rsidRPr="00461C16" w:rsidRDefault="00BF7C3B" w:rsidP="00755B22">
      <w:pPr>
        <w:numPr>
          <w:ilvl w:val="0"/>
          <w:numId w:val="73"/>
        </w:numPr>
        <w:overflowPunct w:val="0"/>
        <w:autoSpaceDE w:val="0"/>
        <w:autoSpaceDN w:val="0"/>
        <w:adjustRightInd w:val="0"/>
        <w:spacing w:before="120" w:line="264" w:lineRule="auto"/>
        <w:textAlignment w:val="baseline"/>
        <w:rPr>
          <w:rFonts w:eastAsia="Times New Roman"/>
          <w:lang w:eastAsia="cs-CZ"/>
        </w:rPr>
      </w:pPr>
      <w:r w:rsidRPr="00461C16">
        <w:rPr>
          <w:rFonts w:eastAsia="Times New Roman"/>
          <w:lang w:eastAsia="cs-CZ"/>
        </w:rPr>
        <w:t>vdj. Horní Sedlo 10 m</w:t>
      </w:r>
      <w:r w:rsidRPr="00461C16">
        <w:rPr>
          <w:rFonts w:eastAsia="Times New Roman"/>
          <w:vertAlign w:val="superscript"/>
          <w:lang w:eastAsia="cs-CZ"/>
        </w:rPr>
        <w:t>3</w:t>
      </w:r>
      <w:r w:rsidRPr="00461C16">
        <w:rPr>
          <w:rFonts w:eastAsia="Times New Roman"/>
          <w:lang w:eastAsia="cs-CZ"/>
        </w:rPr>
        <w:t xml:space="preserve"> (480 m n. m.) – pramenní jímky</w:t>
      </w:r>
    </w:p>
    <w:p w14:paraId="16BC4EB5" w14:textId="77777777" w:rsidR="00BF7C3B" w:rsidRPr="00461C16" w:rsidRDefault="00BF7C3B" w:rsidP="00BF7C3B">
      <w:pPr>
        <w:pStyle w:val="1text"/>
      </w:pPr>
      <w:r w:rsidRPr="00461C16">
        <w:t>Mezi plánované záměry na zlepšení zásobování stavu v oblasti zásobování pitnou vodou dle Programu rozvoje města Hrádek nad Nisou (06/2016) patří zejména zkapacitnění přiváděcího řadu ze zdroje Machnín (úpravna vody Bedřichov) do vdj. Sv. Ján a poté do Hrádku a dále rekonstrukce vodovodu ve Václavicích, což navržená koncepce zásobování vodou samozřejmě umožňuje.</w:t>
      </w:r>
    </w:p>
    <w:p w14:paraId="512433A5" w14:textId="77777777" w:rsidR="00BF7C3B" w:rsidRPr="00461C16" w:rsidRDefault="00BF7C3B" w:rsidP="00BF7C3B">
      <w:pPr>
        <w:pStyle w:val="1text"/>
      </w:pPr>
      <w:r w:rsidRPr="00461C16">
        <w:t>Celkově je systém zásobování pitnou vodou na dobré úrovni.</w:t>
      </w:r>
    </w:p>
    <w:p w14:paraId="74DE1C20" w14:textId="77777777" w:rsidR="00BF7C3B" w:rsidRPr="00461C16" w:rsidRDefault="00647951" w:rsidP="00BF7C3B">
      <w:pPr>
        <w:pStyle w:val="1text"/>
      </w:pPr>
      <w:r w:rsidRPr="00461C16">
        <w:lastRenderedPageBreak/>
        <w:t xml:space="preserve">Koncepce zásobování požární vodou na území města Hrádek nad Nisou se řídí Požárním řádem obce (OZV č. 04/2006 ze dne 26.6.2006). </w:t>
      </w:r>
      <w:r w:rsidR="00BF7C3B" w:rsidRPr="00461C16">
        <w:t xml:space="preserve">Požární řád </w:t>
      </w:r>
      <w:r w:rsidRPr="00461C16">
        <w:t>města Hrádek nad Nisou města</w:t>
      </w:r>
      <w:r w:rsidR="00BF7C3B" w:rsidRPr="00461C16">
        <w:t xml:space="preserve"> vymezuje následující zdroje požární vody:</w:t>
      </w:r>
    </w:p>
    <w:p w14:paraId="07E9FA01" w14:textId="77777777" w:rsidR="00BF7C3B" w:rsidRPr="00461C16" w:rsidRDefault="00BF7C3B" w:rsidP="00BF7C3B">
      <w:pPr>
        <w:pStyle w:val="Caption"/>
      </w:pPr>
      <w:r w:rsidRPr="00461C16">
        <w:t xml:space="preserve">Tabulka </w:t>
      </w:r>
      <w:r w:rsidR="00D61E44">
        <w:rPr>
          <w:noProof/>
        </w:rPr>
        <w:fldChar w:fldCharType="begin"/>
      </w:r>
      <w:r w:rsidR="00D61E44">
        <w:rPr>
          <w:noProof/>
        </w:rPr>
        <w:instrText xml:space="preserve"> SEQ Tabulka \* ARABIC </w:instrText>
      </w:r>
      <w:r w:rsidR="00D61E44">
        <w:rPr>
          <w:noProof/>
        </w:rPr>
        <w:fldChar w:fldCharType="separate"/>
      </w:r>
      <w:r w:rsidR="002F15EB">
        <w:rPr>
          <w:noProof/>
        </w:rPr>
        <w:t>1</w:t>
      </w:r>
      <w:r w:rsidR="00D61E44">
        <w:rPr>
          <w:noProof/>
        </w:rPr>
        <w:fldChar w:fldCharType="end"/>
      </w:r>
      <w:r w:rsidRPr="00461C16">
        <w:t>: Zdroje požární vody</w:t>
      </w: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077"/>
        <w:gridCol w:w="2270"/>
        <w:gridCol w:w="1741"/>
      </w:tblGrid>
      <w:tr w:rsidR="00BF7C3B" w:rsidRPr="00461C16" w14:paraId="3DC6547A" w14:textId="77777777" w:rsidTr="00B154E6">
        <w:trPr>
          <w:jc w:val="center"/>
        </w:trPr>
        <w:tc>
          <w:tcPr>
            <w:tcW w:w="2793"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3628ADF0" w14:textId="77777777" w:rsidR="00BF7C3B" w:rsidRPr="00461C16" w:rsidRDefault="00BF7C3B" w:rsidP="008A0585">
            <w:pPr>
              <w:pStyle w:val="Intabulka"/>
              <w:ind w:left="57"/>
              <w:rPr>
                <w:rFonts w:ascii="Arial Narrow" w:hAnsi="Arial Narrow"/>
                <w:b/>
                <w:i/>
                <w:lang w:val="cs-CZ"/>
              </w:rPr>
            </w:pPr>
            <w:r w:rsidRPr="00461C16">
              <w:rPr>
                <w:rFonts w:ascii="Arial Narrow" w:hAnsi="Arial Narrow"/>
                <w:b/>
                <w:i/>
                <w:lang w:val="cs-CZ"/>
              </w:rPr>
              <w:t>Zdroj</w:t>
            </w:r>
          </w:p>
        </w:tc>
        <w:tc>
          <w:tcPr>
            <w:tcW w:w="1249"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1A5A528" w14:textId="77777777" w:rsidR="00BF7C3B" w:rsidRPr="00461C16" w:rsidRDefault="00BF7C3B" w:rsidP="008A0585">
            <w:pPr>
              <w:pStyle w:val="Intabulka"/>
              <w:ind w:left="57"/>
              <w:rPr>
                <w:rFonts w:ascii="Arial Narrow" w:hAnsi="Arial Narrow"/>
                <w:b/>
                <w:i/>
                <w:lang w:val="cs-CZ"/>
              </w:rPr>
            </w:pPr>
            <w:r w:rsidRPr="00461C16">
              <w:rPr>
                <w:rFonts w:ascii="Arial Narrow" w:hAnsi="Arial Narrow"/>
                <w:b/>
                <w:i/>
                <w:lang w:val="cs-CZ"/>
              </w:rPr>
              <w:t xml:space="preserve">Část města </w:t>
            </w:r>
          </w:p>
        </w:tc>
        <w:tc>
          <w:tcPr>
            <w:tcW w:w="0" w:type="auto"/>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hideMark/>
          </w:tcPr>
          <w:p w14:paraId="5ABDC89F" w14:textId="77777777" w:rsidR="00BF7C3B" w:rsidRPr="00461C16" w:rsidRDefault="00BF7C3B" w:rsidP="008A0585">
            <w:pPr>
              <w:pStyle w:val="Intabulka"/>
              <w:ind w:left="57"/>
              <w:rPr>
                <w:rFonts w:ascii="Arial Narrow" w:hAnsi="Arial Narrow"/>
                <w:b/>
                <w:i/>
                <w:lang w:val="cs-CZ"/>
              </w:rPr>
            </w:pPr>
            <w:r w:rsidRPr="00461C16">
              <w:rPr>
                <w:rFonts w:ascii="Arial Narrow" w:hAnsi="Arial Narrow"/>
                <w:b/>
                <w:i/>
                <w:lang w:val="cs-CZ"/>
              </w:rPr>
              <w:t>Použitelnost</w:t>
            </w:r>
          </w:p>
        </w:tc>
      </w:tr>
      <w:tr w:rsidR="00BF7C3B" w:rsidRPr="00461C16" w14:paraId="126284B8" w14:textId="77777777" w:rsidTr="00B154E6">
        <w:trPr>
          <w:jc w:val="center"/>
        </w:trPr>
        <w:tc>
          <w:tcPr>
            <w:tcW w:w="5000" w:type="pct"/>
            <w:gridSpan w:val="3"/>
            <w:tcBorders>
              <w:top w:val="outset" w:sz="6" w:space="0" w:color="auto"/>
              <w:left w:val="outset" w:sz="6" w:space="0" w:color="auto"/>
              <w:bottom w:val="outset" w:sz="6" w:space="0" w:color="auto"/>
              <w:right w:val="outset" w:sz="6" w:space="0" w:color="auto"/>
            </w:tcBorders>
            <w:shd w:val="clear" w:color="auto" w:fill="C2D69B" w:themeFill="accent3" w:themeFillTint="99"/>
            <w:vAlign w:val="center"/>
          </w:tcPr>
          <w:p w14:paraId="7CA3A88E" w14:textId="77777777" w:rsidR="00BF7C3B" w:rsidRPr="00461C16" w:rsidRDefault="00BF7C3B" w:rsidP="008A0585">
            <w:pPr>
              <w:pStyle w:val="Intabulka"/>
              <w:ind w:left="57"/>
              <w:rPr>
                <w:rFonts w:ascii="Arial Narrow" w:hAnsi="Arial Narrow"/>
                <w:b/>
                <w:i/>
                <w:lang w:val="cs-CZ"/>
              </w:rPr>
            </w:pPr>
            <w:r w:rsidRPr="00461C16">
              <w:rPr>
                <w:rFonts w:ascii="Arial Narrow" w:hAnsi="Arial Narrow"/>
                <w:b/>
                <w:i/>
                <w:lang w:val="cs-CZ"/>
              </w:rPr>
              <w:t>Zdroje přirozené</w:t>
            </w:r>
          </w:p>
          <w:p w14:paraId="2D86406E" w14:textId="77777777" w:rsidR="00BF7C3B" w:rsidRPr="00461C16" w:rsidRDefault="00BF7C3B" w:rsidP="008A0585">
            <w:pPr>
              <w:pStyle w:val="Intabulka"/>
              <w:ind w:left="57"/>
              <w:rPr>
                <w:rFonts w:ascii="Arial Narrow" w:hAnsi="Arial Narrow"/>
                <w:lang w:val="cs-CZ"/>
              </w:rPr>
            </w:pPr>
            <w:r w:rsidRPr="00461C16">
              <w:rPr>
                <w:rFonts w:ascii="Arial Narrow" w:hAnsi="Arial Narrow"/>
                <w:i/>
                <w:lang w:val="cs-CZ"/>
              </w:rPr>
              <w:t>- řeky, potoky, jezera, rybníky apod.</w:t>
            </w:r>
          </w:p>
        </w:tc>
      </w:tr>
      <w:tr w:rsidR="00BF7C3B" w:rsidRPr="00461C16" w14:paraId="3DF645EE"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688A48A1"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řeka Nisa – čerpací stanoviště za Pragovkou, u VVK</w:t>
            </w:r>
          </w:p>
        </w:tc>
        <w:tc>
          <w:tcPr>
            <w:tcW w:w="1249" w:type="pct"/>
            <w:tcBorders>
              <w:top w:val="outset" w:sz="6" w:space="0" w:color="auto"/>
              <w:left w:val="outset" w:sz="6" w:space="0" w:color="auto"/>
              <w:bottom w:val="outset" w:sz="6" w:space="0" w:color="auto"/>
              <w:right w:val="outset" w:sz="6" w:space="0" w:color="auto"/>
            </w:tcBorders>
            <w:vAlign w:val="center"/>
          </w:tcPr>
          <w:p w14:paraId="1C1134C3"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Hrádek nad Nisou</w:t>
            </w:r>
          </w:p>
        </w:tc>
        <w:tc>
          <w:tcPr>
            <w:tcW w:w="0" w:type="auto"/>
            <w:tcBorders>
              <w:top w:val="outset" w:sz="6" w:space="0" w:color="auto"/>
              <w:left w:val="outset" w:sz="6" w:space="0" w:color="auto"/>
              <w:bottom w:val="outset" w:sz="6" w:space="0" w:color="auto"/>
              <w:right w:val="outset" w:sz="6" w:space="0" w:color="auto"/>
            </w:tcBorders>
            <w:vAlign w:val="center"/>
          </w:tcPr>
          <w:p w14:paraId="5B21E25F"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60F84872"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2BE5991F"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jezero Kristýna – čerpací stanoviště střed</w:t>
            </w:r>
          </w:p>
        </w:tc>
        <w:tc>
          <w:tcPr>
            <w:tcW w:w="1249" w:type="pct"/>
            <w:tcBorders>
              <w:top w:val="outset" w:sz="6" w:space="0" w:color="auto"/>
              <w:left w:val="outset" w:sz="6" w:space="0" w:color="auto"/>
              <w:bottom w:val="outset" w:sz="6" w:space="0" w:color="auto"/>
              <w:right w:val="outset" w:sz="6" w:space="0" w:color="auto"/>
            </w:tcBorders>
            <w:vAlign w:val="center"/>
          </w:tcPr>
          <w:p w14:paraId="2230160D"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jezero Kristýna</w:t>
            </w:r>
          </w:p>
        </w:tc>
        <w:tc>
          <w:tcPr>
            <w:tcW w:w="0" w:type="auto"/>
            <w:tcBorders>
              <w:top w:val="outset" w:sz="6" w:space="0" w:color="auto"/>
              <w:left w:val="outset" w:sz="6" w:space="0" w:color="auto"/>
              <w:bottom w:val="outset" w:sz="6" w:space="0" w:color="auto"/>
              <w:right w:val="outset" w:sz="6" w:space="0" w:color="auto"/>
            </w:tcBorders>
            <w:vAlign w:val="center"/>
          </w:tcPr>
          <w:p w14:paraId="29CAB7C2"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3C77A2CD"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30001562"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rybník – Dolní Sedlo</w:t>
            </w:r>
          </w:p>
        </w:tc>
        <w:tc>
          <w:tcPr>
            <w:tcW w:w="1249" w:type="pct"/>
            <w:tcBorders>
              <w:top w:val="outset" w:sz="6" w:space="0" w:color="auto"/>
              <w:left w:val="outset" w:sz="6" w:space="0" w:color="auto"/>
              <w:bottom w:val="outset" w:sz="6" w:space="0" w:color="auto"/>
              <w:right w:val="outset" w:sz="6" w:space="0" w:color="auto"/>
            </w:tcBorders>
            <w:vAlign w:val="center"/>
          </w:tcPr>
          <w:p w14:paraId="0E410D86"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Dolní Sedlo</w:t>
            </w:r>
          </w:p>
        </w:tc>
        <w:tc>
          <w:tcPr>
            <w:tcW w:w="0" w:type="auto"/>
            <w:tcBorders>
              <w:top w:val="outset" w:sz="6" w:space="0" w:color="auto"/>
              <w:left w:val="outset" w:sz="6" w:space="0" w:color="auto"/>
              <w:bottom w:val="outset" w:sz="6" w:space="0" w:color="auto"/>
              <w:right w:val="outset" w:sz="6" w:space="0" w:color="auto"/>
            </w:tcBorders>
            <w:vAlign w:val="center"/>
          </w:tcPr>
          <w:p w14:paraId="70B074A4"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096391DE"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54AD699D"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rybník – Václavice za Lembergrem</w:t>
            </w:r>
          </w:p>
        </w:tc>
        <w:tc>
          <w:tcPr>
            <w:tcW w:w="1249" w:type="pct"/>
            <w:tcBorders>
              <w:top w:val="outset" w:sz="6" w:space="0" w:color="auto"/>
              <w:left w:val="outset" w:sz="6" w:space="0" w:color="auto"/>
              <w:bottom w:val="outset" w:sz="6" w:space="0" w:color="auto"/>
              <w:right w:val="outset" w:sz="6" w:space="0" w:color="auto"/>
            </w:tcBorders>
            <w:vAlign w:val="center"/>
          </w:tcPr>
          <w:p w14:paraId="1BB98F65"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Václavice</w:t>
            </w:r>
          </w:p>
        </w:tc>
        <w:tc>
          <w:tcPr>
            <w:tcW w:w="0" w:type="auto"/>
            <w:tcBorders>
              <w:top w:val="outset" w:sz="6" w:space="0" w:color="auto"/>
              <w:left w:val="outset" w:sz="6" w:space="0" w:color="auto"/>
              <w:bottom w:val="outset" w:sz="6" w:space="0" w:color="auto"/>
              <w:right w:val="outset" w:sz="6" w:space="0" w:color="auto"/>
            </w:tcBorders>
            <w:vAlign w:val="center"/>
          </w:tcPr>
          <w:p w14:paraId="38BEC3A0"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0F689680" w14:textId="77777777" w:rsidTr="00B154E6">
        <w:trPr>
          <w:jc w:val="center"/>
        </w:trPr>
        <w:tc>
          <w:tcPr>
            <w:tcW w:w="5000" w:type="pct"/>
            <w:gridSpan w:val="3"/>
            <w:tcBorders>
              <w:top w:val="outset" w:sz="6" w:space="0" w:color="auto"/>
              <w:left w:val="outset" w:sz="6" w:space="0" w:color="auto"/>
              <w:bottom w:val="outset" w:sz="6" w:space="0" w:color="auto"/>
              <w:right w:val="outset" w:sz="6" w:space="0" w:color="auto"/>
            </w:tcBorders>
            <w:shd w:val="clear" w:color="auto" w:fill="C2D69B" w:themeFill="accent3" w:themeFillTint="99"/>
            <w:vAlign w:val="center"/>
          </w:tcPr>
          <w:p w14:paraId="4BDFA2BA" w14:textId="77777777" w:rsidR="00BF7C3B" w:rsidRPr="00461C16" w:rsidRDefault="00BF7C3B" w:rsidP="008A0585">
            <w:pPr>
              <w:pStyle w:val="Intabulka"/>
              <w:ind w:left="57"/>
              <w:rPr>
                <w:rFonts w:ascii="Arial Narrow" w:hAnsi="Arial Narrow"/>
                <w:b/>
                <w:i/>
                <w:lang w:val="cs-CZ"/>
              </w:rPr>
            </w:pPr>
            <w:r w:rsidRPr="00461C16">
              <w:rPr>
                <w:rFonts w:ascii="Arial Narrow" w:hAnsi="Arial Narrow"/>
                <w:b/>
                <w:i/>
                <w:lang w:val="cs-CZ"/>
              </w:rPr>
              <w:t>Zdroje umělé</w:t>
            </w:r>
          </w:p>
          <w:p w14:paraId="5D72926F" w14:textId="77777777" w:rsidR="00BF7C3B" w:rsidRPr="00461C16" w:rsidRDefault="00BF7C3B" w:rsidP="008A0585">
            <w:pPr>
              <w:pStyle w:val="Intabulka"/>
              <w:ind w:left="57"/>
              <w:rPr>
                <w:rFonts w:ascii="Arial Narrow" w:hAnsi="Arial Narrow"/>
                <w:lang w:val="cs-CZ"/>
              </w:rPr>
            </w:pPr>
            <w:r w:rsidRPr="00461C16">
              <w:rPr>
                <w:rFonts w:ascii="Arial Narrow" w:hAnsi="Arial Narrow"/>
                <w:i/>
                <w:lang w:val="cs-CZ"/>
              </w:rPr>
              <w:t>- hydrantová síť, požární nádrže, požární studny, nádrže pro zachycení dešťové vody, apod.</w:t>
            </w:r>
          </w:p>
        </w:tc>
      </w:tr>
      <w:tr w:rsidR="00BF7C3B" w:rsidRPr="00461C16" w14:paraId="31DC2394"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3A626EBD"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studna pod Bekonem, Luční ul., Hrádek nad Nisou</w:t>
            </w:r>
          </w:p>
        </w:tc>
        <w:tc>
          <w:tcPr>
            <w:tcW w:w="1249" w:type="pct"/>
            <w:tcBorders>
              <w:top w:val="outset" w:sz="6" w:space="0" w:color="auto"/>
              <w:left w:val="outset" w:sz="6" w:space="0" w:color="auto"/>
              <w:bottom w:val="outset" w:sz="6" w:space="0" w:color="auto"/>
              <w:right w:val="outset" w:sz="6" w:space="0" w:color="auto"/>
            </w:tcBorders>
            <w:vAlign w:val="center"/>
          </w:tcPr>
          <w:p w14:paraId="6D3F1203"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Hrádek nad Nisou</w:t>
            </w:r>
          </w:p>
        </w:tc>
        <w:tc>
          <w:tcPr>
            <w:tcW w:w="0" w:type="auto"/>
            <w:tcBorders>
              <w:top w:val="outset" w:sz="6" w:space="0" w:color="auto"/>
              <w:left w:val="outset" w:sz="6" w:space="0" w:color="auto"/>
              <w:bottom w:val="outset" w:sz="6" w:space="0" w:color="auto"/>
              <w:right w:val="outset" w:sz="6" w:space="0" w:color="auto"/>
            </w:tcBorders>
            <w:vAlign w:val="center"/>
          </w:tcPr>
          <w:p w14:paraId="27A2F6A0"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56F1F380"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654DBB3B"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požární nádrž D-Plast Efftec, Větrná ul., Hrádek nad Nisou</w:t>
            </w:r>
          </w:p>
        </w:tc>
        <w:tc>
          <w:tcPr>
            <w:tcW w:w="1249" w:type="pct"/>
            <w:tcBorders>
              <w:top w:val="outset" w:sz="6" w:space="0" w:color="auto"/>
              <w:left w:val="outset" w:sz="6" w:space="0" w:color="auto"/>
              <w:bottom w:val="outset" w:sz="6" w:space="0" w:color="auto"/>
              <w:right w:val="outset" w:sz="6" w:space="0" w:color="auto"/>
            </w:tcBorders>
            <w:vAlign w:val="center"/>
          </w:tcPr>
          <w:p w14:paraId="7214B7CC"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Hrádek nad Nisou</w:t>
            </w:r>
          </w:p>
        </w:tc>
        <w:tc>
          <w:tcPr>
            <w:tcW w:w="0" w:type="auto"/>
            <w:tcBorders>
              <w:top w:val="outset" w:sz="6" w:space="0" w:color="auto"/>
              <w:left w:val="outset" w:sz="6" w:space="0" w:color="auto"/>
              <w:bottom w:val="outset" w:sz="6" w:space="0" w:color="auto"/>
              <w:right w:val="outset" w:sz="6" w:space="0" w:color="auto"/>
            </w:tcBorders>
            <w:vAlign w:val="center"/>
          </w:tcPr>
          <w:p w14:paraId="1FDC067F"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15E13F95"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1B176CA3"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požární nádrž v bývalém areálu Vulkan, U Gumovky, Hrádek nad Nisou</w:t>
            </w:r>
          </w:p>
        </w:tc>
        <w:tc>
          <w:tcPr>
            <w:tcW w:w="1249" w:type="pct"/>
            <w:tcBorders>
              <w:top w:val="outset" w:sz="6" w:space="0" w:color="auto"/>
              <w:left w:val="outset" w:sz="6" w:space="0" w:color="auto"/>
              <w:bottom w:val="outset" w:sz="6" w:space="0" w:color="auto"/>
              <w:right w:val="outset" w:sz="6" w:space="0" w:color="auto"/>
            </w:tcBorders>
            <w:vAlign w:val="center"/>
          </w:tcPr>
          <w:p w14:paraId="6CAF7BB5"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Hrádek nad Nisou</w:t>
            </w:r>
          </w:p>
        </w:tc>
        <w:tc>
          <w:tcPr>
            <w:tcW w:w="0" w:type="auto"/>
            <w:tcBorders>
              <w:top w:val="outset" w:sz="6" w:space="0" w:color="auto"/>
              <w:left w:val="outset" w:sz="6" w:space="0" w:color="auto"/>
              <w:bottom w:val="outset" w:sz="6" w:space="0" w:color="auto"/>
              <w:right w:val="outset" w:sz="6" w:space="0" w:color="auto"/>
            </w:tcBorders>
            <w:vAlign w:val="center"/>
          </w:tcPr>
          <w:p w14:paraId="2329CE6F"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03C9855A"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7D510700"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požární nádrž v bývalém areálu Kortan, Loučná, Hrádek nad Nisou</w:t>
            </w:r>
          </w:p>
        </w:tc>
        <w:tc>
          <w:tcPr>
            <w:tcW w:w="1249" w:type="pct"/>
            <w:tcBorders>
              <w:top w:val="outset" w:sz="6" w:space="0" w:color="auto"/>
              <w:left w:val="outset" w:sz="6" w:space="0" w:color="auto"/>
              <w:bottom w:val="outset" w:sz="6" w:space="0" w:color="auto"/>
              <w:right w:val="outset" w:sz="6" w:space="0" w:color="auto"/>
            </w:tcBorders>
            <w:vAlign w:val="center"/>
          </w:tcPr>
          <w:p w14:paraId="28867CF8"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Loučná</w:t>
            </w:r>
          </w:p>
        </w:tc>
        <w:tc>
          <w:tcPr>
            <w:tcW w:w="0" w:type="auto"/>
            <w:tcBorders>
              <w:top w:val="outset" w:sz="6" w:space="0" w:color="auto"/>
              <w:left w:val="outset" w:sz="6" w:space="0" w:color="auto"/>
              <w:bottom w:val="outset" w:sz="6" w:space="0" w:color="auto"/>
              <w:right w:val="outset" w:sz="6" w:space="0" w:color="auto"/>
            </w:tcBorders>
            <w:vAlign w:val="center"/>
          </w:tcPr>
          <w:p w14:paraId="4A74F436"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4C38334A" w14:textId="77777777" w:rsidTr="00B154E6">
        <w:trPr>
          <w:jc w:val="center"/>
        </w:trPr>
        <w:tc>
          <w:tcPr>
            <w:tcW w:w="5000" w:type="pct"/>
            <w:gridSpan w:val="3"/>
            <w:tcBorders>
              <w:top w:val="outset" w:sz="6" w:space="0" w:color="auto"/>
              <w:left w:val="outset" w:sz="6" w:space="0" w:color="auto"/>
              <w:bottom w:val="outset" w:sz="6" w:space="0" w:color="auto"/>
              <w:right w:val="outset" w:sz="6" w:space="0" w:color="auto"/>
            </w:tcBorders>
            <w:shd w:val="clear" w:color="auto" w:fill="C2D69B" w:themeFill="accent3" w:themeFillTint="99"/>
            <w:vAlign w:val="center"/>
          </w:tcPr>
          <w:p w14:paraId="650D76FB" w14:textId="77777777" w:rsidR="00BF7C3B" w:rsidRPr="00461C16" w:rsidRDefault="00BF7C3B" w:rsidP="008A0585">
            <w:pPr>
              <w:pStyle w:val="Intabulka"/>
              <w:ind w:left="57"/>
              <w:rPr>
                <w:rFonts w:ascii="Arial Narrow" w:hAnsi="Arial Narrow"/>
                <w:b/>
                <w:i/>
                <w:lang w:val="cs-CZ"/>
              </w:rPr>
            </w:pPr>
            <w:r w:rsidRPr="00461C16">
              <w:rPr>
                <w:rFonts w:ascii="Arial Narrow" w:hAnsi="Arial Narrow"/>
                <w:b/>
                <w:i/>
                <w:lang w:val="cs-CZ"/>
              </w:rPr>
              <w:t>Zdroje víceúčelové</w:t>
            </w:r>
          </w:p>
          <w:p w14:paraId="509A583E" w14:textId="77777777" w:rsidR="00BF7C3B" w:rsidRPr="00461C16" w:rsidRDefault="00BF7C3B" w:rsidP="008A0585">
            <w:pPr>
              <w:pStyle w:val="Intabulka"/>
              <w:ind w:left="57"/>
              <w:rPr>
                <w:rFonts w:ascii="Arial Narrow" w:hAnsi="Arial Narrow"/>
                <w:lang w:val="cs-CZ"/>
              </w:rPr>
            </w:pPr>
            <w:r w:rsidRPr="00461C16">
              <w:rPr>
                <w:rFonts w:ascii="Arial Narrow" w:hAnsi="Arial Narrow"/>
                <w:i/>
                <w:lang w:val="cs-CZ"/>
              </w:rPr>
              <w:t>- zásobníky technologické vody, nádrže na chladicí vodu, přehrady, hospodářské nádrže, koupaliště, plavecké bazény, vodojemy</w:t>
            </w:r>
          </w:p>
        </w:tc>
      </w:tr>
      <w:tr w:rsidR="00BF7C3B" w:rsidRPr="00461C16" w14:paraId="4BEE5089"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231485E3"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koupaliště – TJ Orel, U koupaliště, Hrádek nad Nisou</w:t>
            </w:r>
          </w:p>
        </w:tc>
        <w:tc>
          <w:tcPr>
            <w:tcW w:w="1249" w:type="pct"/>
            <w:tcBorders>
              <w:top w:val="outset" w:sz="6" w:space="0" w:color="auto"/>
              <w:left w:val="outset" w:sz="6" w:space="0" w:color="auto"/>
              <w:bottom w:val="outset" w:sz="6" w:space="0" w:color="auto"/>
              <w:right w:val="outset" w:sz="6" w:space="0" w:color="auto"/>
            </w:tcBorders>
            <w:vAlign w:val="center"/>
          </w:tcPr>
          <w:p w14:paraId="65610D6F"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Hrádek nad Nisou</w:t>
            </w:r>
          </w:p>
        </w:tc>
        <w:tc>
          <w:tcPr>
            <w:tcW w:w="0" w:type="auto"/>
            <w:tcBorders>
              <w:top w:val="outset" w:sz="6" w:space="0" w:color="auto"/>
              <w:left w:val="outset" w:sz="6" w:space="0" w:color="auto"/>
              <w:bottom w:val="outset" w:sz="6" w:space="0" w:color="auto"/>
              <w:right w:val="outset" w:sz="6" w:space="0" w:color="auto"/>
            </w:tcBorders>
            <w:vAlign w:val="center"/>
          </w:tcPr>
          <w:p w14:paraId="574D4F76"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r w:rsidR="00BF7C3B" w:rsidRPr="00461C16" w14:paraId="73A2C10C" w14:textId="77777777" w:rsidTr="008A0585">
        <w:trPr>
          <w:jc w:val="center"/>
        </w:trPr>
        <w:tc>
          <w:tcPr>
            <w:tcW w:w="2793" w:type="pct"/>
            <w:tcBorders>
              <w:top w:val="outset" w:sz="6" w:space="0" w:color="auto"/>
              <w:left w:val="outset" w:sz="6" w:space="0" w:color="auto"/>
              <w:bottom w:val="outset" w:sz="6" w:space="0" w:color="auto"/>
              <w:right w:val="outset" w:sz="6" w:space="0" w:color="auto"/>
            </w:tcBorders>
            <w:vAlign w:val="center"/>
          </w:tcPr>
          <w:p w14:paraId="10947C7A"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přehrada Václavice, Hrádek nad Nisou</w:t>
            </w:r>
          </w:p>
        </w:tc>
        <w:tc>
          <w:tcPr>
            <w:tcW w:w="1249" w:type="pct"/>
            <w:tcBorders>
              <w:top w:val="outset" w:sz="6" w:space="0" w:color="auto"/>
              <w:left w:val="outset" w:sz="6" w:space="0" w:color="auto"/>
              <w:bottom w:val="outset" w:sz="6" w:space="0" w:color="auto"/>
              <w:right w:val="outset" w:sz="6" w:space="0" w:color="auto"/>
            </w:tcBorders>
            <w:vAlign w:val="center"/>
          </w:tcPr>
          <w:p w14:paraId="2B780C98"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Václavice</w:t>
            </w:r>
          </w:p>
        </w:tc>
        <w:tc>
          <w:tcPr>
            <w:tcW w:w="0" w:type="auto"/>
            <w:tcBorders>
              <w:top w:val="outset" w:sz="6" w:space="0" w:color="auto"/>
              <w:left w:val="outset" w:sz="6" w:space="0" w:color="auto"/>
              <w:bottom w:val="outset" w:sz="6" w:space="0" w:color="auto"/>
              <w:right w:val="outset" w:sz="6" w:space="0" w:color="auto"/>
            </w:tcBorders>
            <w:vAlign w:val="center"/>
          </w:tcPr>
          <w:p w14:paraId="3787E681" w14:textId="77777777" w:rsidR="00BF7C3B" w:rsidRPr="00461C16" w:rsidRDefault="00BF7C3B" w:rsidP="008A0585">
            <w:pPr>
              <w:pStyle w:val="Intabulka"/>
              <w:ind w:left="57"/>
              <w:rPr>
                <w:rFonts w:ascii="Arial Narrow" w:hAnsi="Arial Narrow"/>
                <w:lang w:val="cs-CZ"/>
              </w:rPr>
            </w:pPr>
            <w:r w:rsidRPr="00461C16">
              <w:rPr>
                <w:rFonts w:ascii="Arial Narrow" w:hAnsi="Arial Narrow"/>
                <w:lang w:val="cs-CZ"/>
              </w:rPr>
              <w:t>celoroční</w:t>
            </w:r>
          </w:p>
        </w:tc>
      </w:tr>
    </w:tbl>
    <w:p w14:paraId="45D4CF90" w14:textId="77777777" w:rsidR="00647951" w:rsidRPr="00461C16" w:rsidRDefault="00647951" w:rsidP="00647951">
      <w:pPr>
        <w:pStyle w:val="1text"/>
      </w:pPr>
      <w:r w:rsidRPr="00461C16">
        <w:t>V rámci stanovení podmínek pro využití ploch s rozdílným způsobem lze požární nádrž, jakožto nezbytné zařízení technické infrastruktury, umístit v kterékoliv ploše s rozdílným způsobem využití.</w:t>
      </w:r>
    </w:p>
    <w:p w14:paraId="102B97DD" w14:textId="77777777" w:rsidR="00647951" w:rsidRPr="00461C16" w:rsidRDefault="00647951" w:rsidP="00647951">
      <w:pPr>
        <w:pStyle w:val="1text"/>
      </w:pPr>
      <w:r w:rsidRPr="00461C16">
        <w:t>V dalších krocích projektové přípravy výstavby v rozvojových plochách je nutno řešit požadavky na požární vodu – zajištění dostatečného zdroje požární ochrany staveb, dle §2 vyhlášky č. 23/2008 Sb., o technických podmínkách požární ochrany staveb, a § 20 vyhlášky č. 380/2002 Sb., k přípravě a provádění úkolů ochrany obyvatelstva.</w:t>
      </w:r>
    </w:p>
    <w:p w14:paraId="736DB6E0" w14:textId="77777777" w:rsidR="0013110C" w:rsidRPr="00461C16" w:rsidRDefault="0013110C" w:rsidP="0013110C">
      <w:pPr>
        <w:spacing w:before="240" w:after="120"/>
        <w:ind w:left="720" w:hanging="720"/>
        <w:rPr>
          <w:rFonts w:cs="Arial"/>
          <w:b/>
          <w:i/>
        </w:rPr>
      </w:pPr>
      <w:r w:rsidRPr="00461C16">
        <w:rPr>
          <w:rFonts w:cs="Arial"/>
          <w:b/>
          <w:i/>
        </w:rPr>
        <w:t>Odvádění a likvidace odpadních vod</w:t>
      </w:r>
    </w:p>
    <w:p w14:paraId="530D950D" w14:textId="77777777" w:rsidR="0013110C" w:rsidRPr="00461C16" w:rsidRDefault="0013110C" w:rsidP="0013110C">
      <w:pPr>
        <w:spacing w:before="120" w:after="120"/>
        <w:rPr>
          <w:rFonts w:cs="Arial"/>
          <w:sz w:val="20"/>
          <w:u w:val="single"/>
        </w:rPr>
      </w:pPr>
      <w:r w:rsidRPr="00461C16">
        <w:rPr>
          <w:i/>
          <w:szCs w:val="18"/>
        </w:rPr>
        <w:t>(k bod</w:t>
      </w:r>
      <w:r w:rsidR="00BF7C3B" w:rsidRPr="00461C16">
        <w:rPr>
          <w:i/>
          <w:szCs w:val="18"/>
        </w:rPr>
        <w:t xml:space="preserve">ům </w:t>
      </w:r>
      <w:r w:rsidR="00755B22" w:rsidRPr="00461C16">
        <w:rPr>
          <w:i/>
          <w:szCs w:val="18"/>
        </w:rPr>
        <w:t>D4</w:t>
      </w:r>
      <w:r w:rsidR="00755B22">
        <w:rPr>
          <w:i/>
          <w:szCs w:val="18"/>
        </w:rPr>
        <w:t>1</w:t>
      </w:r>
      <w:r w:rsidR="00755B22" w:rsidRPr="00461C16">
        <w:rPr>
          <w:i/>
          <w:szCs w:val="18"/>
        </w:rPr>
        <w:t xml:space="preserve"> </w:t>
      </w:r>
      <w:r w:rsidR="00BF7C3B" w:rsidRPr="00461C16">
        <w:rPr>
          <w:i/>
          <w:szCs w:val="18"/>
        </w:rPr>
        <w:t xml:space="preserve">– </w:t>
      </w:r>
      <w:r w:rsidR="00755B22" w:rsidRPr="00461C16">
        <w:rPr>
          <w:i/>
          <w:szCs w:val="18"/>
        </w:rPr>
        <w:t>D4</w:t>
      </w:r>
      <w:r w:rsidR="00755B22">
        <w:rPr>
          <w:i/>
          <w:szCs w:val="18"/>
        </w:rPr>
        <w:t>7</w:t>
      </w:r>
      <w:r w:rsidR="00755B22" w:rsidRPr="00461C16">
        <w:rPr>
          <w:i/>
          <w:szCs w:val="18"/>
        </w:rPr>
        <w:t xml:space="preserve"> </w:t>
      </w:r>
      <w:r w:rsidRPr="00461C16">
        <w:rPr>
          <w:i/>
          <w:szCs w:val="18"/>
        </w:rPr>
        <w:t>ÚP)</w:t>
      </w:r>
    </w:p>
    <w:p w14:paraId="4B1C004B" w14:textId="77777777" w:rsidR="00BF7C3B" w:rsidRPr="00461C16" w:rsidRDefault="00BF7C3B" w:rsidP="00BF7C3B">
      <w:pPr>
        <w:pStyle w:val="1text"/>
      </w:pPr>
      <w:r w:rsidRPr="00461C16">
        <w:t xml:space="preserve">Systém veřejné kanalizace města Hrádek nad Nisou je vybudován v sídlech Hrádek nad Nisou, Donín a Loučná. Kanalizační síť je v majetku SVS a.s. a jejím provozovatelem jsou SČVaK, a.s. Jedná se o souvislou jednotnou kanalizační síť, která je zaústěna do městské ČOV. Jedná se o centrální mechanicko-biologickou </w:t>
      </w:r>
      <w:r w:rsidRPr="00461C16">
        <w:rPr>
          <w:bCs/>
        </w:rPr>
        <w:t xml:space="preserve">ČOV, která </w:t>
      </w:r>
      <w:r w:rsidRPr="00461C16">
        <w:t xml:space="preserve">je umístěna v západní části města na pravém břehu Lužické Nisy v Lidické ulici. Je určena pro společné čištění splaškových vod z města, části připojených sídel a částečně rovněž odpadních vod z průmyslové výroby. </w:t>
      </w:r>
    </w:p>
    <w:p w14:paraId="0C441EA8" w14:textId="77777777" w:rsidR="00BF7C3B" w:rsidRPr="00461C16" w:rsidRDefault="00BF7C3B" w:rsidP="00BF7C3B">
      <w:pPr>
        <w:pStyle w:val="1text"/>
      </w:pPr>
      <w:r w:rsidRPr="00461C16">
        <w:t>Dle údajů z aktuálního Plánu rozvoje vodovodů a kanalizací Libereckého kraje je na veřejnou kanalizaci a ČOV napojeno cca 79% obyvatel města. V ostatních sídlech je likvidace odpadních vod řešena individuálně v septicích (s možností vsakování přepadů do terénu) nebo žumpách s odvozem na ČOV Hrádek nad Nisou, případně se částečně odpadní vody vyvážejí na zemědělsky využívané pozemky.</w:t>
      </w:r>
    </w:p>
    <w:p w14:paraId="2C58CB9B" w14:textId="77777777" w:rsidR="00BF7C3B" w:rsidRPr="00461C16" w:rsidRDefault="00BF7C3B" w:rsidP="00BF7C3B">
      <w:pPr>
        <w:pStyle w:val="1text"/>
      </w:pPr>
      <w:r w:rsidRPr="00461C16">
        <w:t>Dešťové vody jsou v sídlech napojených na kanalizační síť částečně odváděny jednotnou kanalizační sítí. Z ostatních částí a sídel bez napojení na kanalizační síť jsou dešťové vody odváděny pomocí příkopů a propustků do místních vodotečí nebo jsou vsakovány do terénu v místě spadu.</w:t>
      </w:r>
    </w:p>
    <w:p w14:paraId="6587B21A" w14:textId="77777777" w:rsidR="00BF7C3B" w:rsidRPr="00461C16" w:rsidRDefault="00BF7C3B" w:rsidP="00BF7C3B">
      <w:pPr>
        <w:pStyle w:val="1text"/>
      </w:pPr>
      <w:r w:rsidRPr="00461C16">
        <w:lastRenderedPageBreak/>
        <w:t>Mezi plánované záměry na zlepšení stavu likvidace odpadních vod dle Programu rozvoje města Hrádek nad Nisou (06/2016) patří zejména záměry na vybudování kanalizace v Oldřichově na Hranicích, ČOV ve Václavicích a nahrazení jednotné kanalizace v centru města kanalizací oddílnou, což navržená koncepce odvádění a likvidace odpadních vod samozřejmě umožňuje.</w:t>
      </w:r>
    </w:p>
    <w:p w14:paraId="21C88383" w14:textId="77777777" w:rsidR="0013110C" w:rsidRPr="00461C16" w:rsidRDefault="0013110C" w:rsidP="0013110C">
      <w:pPr>
        <w:pStyle w:val="1text"/>
      </w:pPr>
      <w:r w:rsidRPr="00461C16">
        <w:t xml:space="preserve">Kanalizace v rozvojových plochách bude řešena jako oddílná splašková. Dešťové vody z jednotlivých objektů budou zachycovány přímo na pozemcích jednotlivých nemovitostí. Dešťové vody z komunikací a ostatních veřejných ploch budou zasakovány ve vhodných plochách co nejblíže místu jejich spadu, nebo svedeny do vhodných recipientů. Ve výkresech zakresleny směry napojení rozvojových ploch. Detailní napojení jednotlivých ploch a objektů musí </w:t>
      </w:r>
      <w:r w:rsidR="00647951" w:rsidRPr="00461C16">
        <w:t>být upřesněno v územním řízení dle stanovených zásad pro odvádění a likvidace odpadních vod.</w:t>
      </w:r>
    </w:p>
    <w:p w14:paraId="2469F9EE" w14:textId="77777777" w:rsidR="0013110C" w:rsidRPr="00461C16" w:rsidRDefault="0013110C" w:rsidP="0013110C">
      <w:pPr>
        <w:pStyle w:val="1text"/>
      </w:pPr>
      <w:r w:rsidRPr="00461C16">
        <w:t xml:space="preserve">V rozsáhlejších výrobních provozech je </w:t>
      </w:r>
      <w:r w:rsidR="00647951" w:rsidRPr="00461C16">
        <w:t>navrženo</w:t>
      </w:r>
      <w:r w:rsidRPr="00461C16">
        <w:t xml:space="preserve"> vybudovat vlastní zachycovací nádrže na dešťovou vodu. Nutnost vybudování těchto nádrží je třeba posoudit a projednat se správcem kanalizace pro každý případ samostatně již v rámci projektového záměru.</w:t>
      </w:r>
    </w:p>
    <w:p w14:paraId="10A5E1ED" w14:textId="77777777" w:rsidR="0013110C" w:rsidRPr="00461C16" w:rsidRDefault="0013110C" w:rsidP="0013110C">
      <w:pPr>
        <w:spacing w:before="240" w:after="120"/>
        <w:ind w:left="720" w:hanging="720"/>
        <w:rPr>
          <w:rFonts w:cs="Arial"/>
          <w:b/>
          <w:i/>
        </w:rPr>
      </w:pPr>
      <w:r w:rsidRPr="00461C16">
        <w:rPr>
          <w:rFonts w:cs="Arial"/>
          <w:b/>
          <w:i/>
        </w:rPr>
        <w:t>Zásobování elektrickou energií</w:t>
      </w:r>
    </w:p>
    <w:p w14:paraId="46D8F8FE" w14:textId="77777777" w:rsidR="0013110C" w:rsidRPr="00461C16" w:rsidRDefault="00FF4C98" w:rsidP="0013110C">
      <w:pPr>
        <w:spacing w:before="120" w:after="120"/>
        <w:rPr>
          <w:rFonts w:cs="Arial"/>
          <w:sz w:val="20"/>
          <w:u w:val="single"/>
        </w:rPr>
      </w:pPr>
      <w:r w:rsidRPr="00461C16">
        <w:rPr>
          <w:i/>
          <w:szCs w:val="18"/>
        </w:rPr>
        <w:t xml:space="preserve">(k bodům </w:t>
      </w:r>
      <w:r w:rsidR="00755B22" w:rsidRPr="00461C16">
        <w:rPr>
          <w:i/>
          <w:szCs w:val="18"/>
        </w:rPr>
        <w:t>D4</w:t>
      </w:r>
      <w:r w:rsidR="00755B22">
        <w:rPr>
          <w:i/>
          <w:szCs w:val="18"/>
        </w:rPr>
        <w:t>8</w:t>
      </w:r>
      <w:r w:rsidR="00755B22" w:rsidRPr="00461C16">
        <w:rPr>
          <w:i/>
          <w:szCs w:val="18"/>
        </w:rPr>
        <w:t xml:space="preserve"> </w:t>
      </w:r>
      <w:r w:rsidRPr="00461C16">
        <w:rPr>
          <w:i/>
          <w:szCs w:val="18"/>
        </w:rPr>
        <w:t xml:space="preserve">– </w:t>
      </w:r>
      <w:r w:rsidR="00755B22" w:rsidRPr="00461C16">
        <w:rPr>
          <w:i/>
          <w:szCs w:val="18"/>
        </w:rPr>
        <w:t>D5</w:t>
      </w:r>
      <w:r w:rsidR="00755B22">
        <w:rPr>
          <w:i/>
          <w:szCs w:val="18"/>
        </w:rPr>
        <w:t>1</w:t>
      </w:r>
      <w:r w:rsidR="00755B22" w:rsidRPr="00461C16">
        <w:rPr>
          <w:i/>
          <w:szCs w:val="18"/>
        </w:rPr>
        <w:t xml:space="preserve"> </w:t>
      </w:r>
      <w:r w:rsidR="0013110C" w:rsidRPr="00461C16">
        <w:rPr>
          <w:i/>
          <w:szCs w:val="18"/>
        </w:rPr>
        <w:t>ÚP)</w:t>
      </w:r>
    </w:p>
    <w:p w14:paraId="0CD51573" w14:textId="77777777" w:rsidR="00FF4C98" w:rsidRPr="00461C16" w:rsidRDefault="00FF4C98" w:rsidP="00FF4C98">
      <w:pPr>
        <w:pStyle w:val="1text"/>
      </w:pPr>
      <w:r w:rsidRPr="00461C16">
        <w:t xml:space="preserve">Město Hrádek nad Nisou je zásobováno elektrickou energií z rozvodny TR Hrádek nad Nisou, která leží mimo správní území Hrádku nad Nisou. Rozvodna se nachází na území sousední obce Grabštejn (k.ú. Grabštejn) na hranici s územím města Hrádek nad Nisou a je napájena z nadřazené sítě VVN 110 kV, primárně z rozvodny TR Bezděčín (linka V 1541 TR Bezděčín – TR Hrádek nad Nisou). </w:t>
      </w:r>
    </w:p>
    <w:p w14:paraId="65A482D7" w14:textId="77777777" w:rsidR="00FF4C98" w:rsidRPr="00461C16" w:rsidRDefault="00FF4C98" w:rsidP="00FF4C98">
      <w:pPr>
        <w:pStyle w:val="1text"/>
      </w:pPr>
      <w:r w:rsidRPr="00461C16">
        <w:t>Správní území města je tedy zásobováno z rozvodny v Hrádku nad Nisou odkud vedou 4 hlavní vývody venkovního vedení VN 22 kV do několika desítek trafostanic na území města. Na síti je rozmístěno 70 distribučních trafostanic 22/0,4 kV různého výkonu a provedení. Rozvody NN jsou provedeny převážně jako podzemní.</w:t>
      </w:r>
    </w:p>
    <w:p w14:paraId="733C566F" w14:textId="77777777" w:rsidR="006175DF" w:rsidRPr="00461C16" w:rsidRDefault="006175DF" w:rsidP="006175DF">
      <w:pPr>
        <w:pStyle w:val="1text"/>
      </w:pPr>
      <w:r w:rsidRPr="00461C16">
        <w:t>Územní plán nenavrhuje konkrétní rozmístění nových distribučních trafostanic, ani jejich přívodních vedení. Územní plán umožňuje vybudování distribučních trafostanic včetně přívodního vedení pro skupiny návrhových ploch v jednotlivých lokalitách. Umístění těchto trafostanic včetně přívodních vedení musí být upřesněno v podrobnějších stupních projektové dokumentace.</w:t>
      </w:r>
    </w:p>
    <w:p w14:paraId="6CCCC27A" w14:textId="77777777" w:rsidR="006175DF" w:rsidRPr="00461C16" w:rsidRDefault="006175DF" w:rsidP="006175DF">
      <w:pPr>
        <w:pStyle w:val="1text"/>
      </w:pPr>
      <w:r w:rsidRPr="00461C16">
        <w:t xml:space="preserve">Územní plán nevymezuje plochy pro výstavbu </w:t>
      </w:r>
      <w:r w:rsidR="00796177">
        <w:t xml:space="preserve">nových </w:t>
      </w:r>
      <w:r w:rsidRPr="00461C16">
        <w:t>větrných nebo fotovoltaických elektráren</w:t>
      </w:r>
      <w:r w:rsidR="00796177">
        <w:t>, pouze stabilizuje jejich současný rozsah</w:t>
      </w:r>
      <w:r w:rsidRPr="00461C16">
        <w:t>. Přípustná je instalace fotovoltaických panelů na střechách výrobních objektů.</w:t>
      </w:r>
    </w:p>
    <w:p w14:paraId="064DC0BA" w14:textId="77777777" w:rsidR="0013110C" w:rsidRPr="00461C16" w:rsidRDefault="00FF4C98" w:rsidP="0013110C">
      <w:pPr>
        <w:pStyle w:val="1text"/>
      </w:pPr>
      <w:r w:rsidRPr="00461C16">
        <w:t>Veřejné osvětlení je vybudováno ve většině území včetně jednotlivých místních částí.</w:t>
      </w:r>
    </w:p>
    <w:p w14:paraId="6FE76387" w14:textId="77777777" w:rsidR="0013110C" w:rsidRPr="00461C16" w:rsidRDefault="0013110C" w:rsidP="0013110C">
      <w:pPr>
        <w:spacing w:before="240" w:after="120"/>
        <w:ind w:left="720" w:hanging="720"/>
        <w:rPr>
          <w:rFonts w:cs="Arial"/>
          <w:b/>
          <w:i/>
        </w:rPr>
      </w:pPr>
      <w:r w:rsidRPr="00461C16">
        <w:rPr>
          <w:rFonts w:cs="Arial"/>
          <w:b/>
          <w:i/>
        </w:rPr>
        <w:t>Zásobování zemním plynem</w:t>
      </w:r>
    </w:p>
    <w:p w14:paraId="1AE22895" w14:textId="77777777" w:rsidR="0013110C" w:rsidRPr="00461C16" w:rsidRDefault="006175DF" w:rsidP="0013110C">
      <w:pPr>
        <w:spacing w:before="120" w:after="120"/>
        <w:rPr>
          <w:rFonts w:cs="Arial"/>
          <w:sz w:val="20"/>
          <w:u w:val="single"/>
        </w:rPr>
      </w:pPr>
      <w:r w:rsidRPr="00461C16">
        <w:rPr>
          <w:i/>
          <w:szCs w:val="18"/>
        </w:rPr>
        <w:t xml:space="preserve">(k bodům </w:t>
      </w:r>
      <w:r w:rsidR="00755B22" w:rsidRPr="00461C16">
        <w:rPr>
          <w:i/>
          <w:szCs w:val="18"/>
        </w:rPr>
        <w:t>D5</w:t>
      </w:r>
      <w:r w:rsidR="00755B22">
        <w:rPr>
          <w:i/>
          <w:szCs w:val="18"/>
        </w:rPr>
        <w:t>2</w:t>
      </w:r>
      <w:r w:rsidR="00755B22" w:rsidRPr="00461C16">
        <w:rPr>
          <w:i/>
          <w:szCs w:val="18"/>
        </w:rPr>
        <w:t xml:space="preserve"> </w:t>
      </w:r>
      <w:r w:rsidRPr="00461C16">
        <w:rPr>
          <w:i/>
          <w:szCs w:val="18"/>
        </w:rPr>
        <w:t xml:space="preserve">– </w:t>
      </w:r>
      <w:r w:rsidR="00755B22" w:rsidRPr="00461C16">
        <w:rPr>
          <w:i/>
          <w:szCs w:val="18"/>
        </w:rPr>
        <w:t>D5</w:t>
      </w:r>
      <w:r w:rsidR="00755B22">
        <w:rPr>
          <w:i/>
          <w:szCs w:val="18"/>
        </w:rPr>
        <w:t>5</w:t>
      </w:r>
      <w:r w:rsidR="00755B22" w:rsidRPr="00461C16">
        <w:rPr>
          <w:i/>
          <w:szCs w:val="18"/>
        </w:rPr>
        <w:t xml:space="preserve"> </w:t>
      </w:r>
      <w:r w:rsidR="0013110C" w:rsidRPr="00461C16">
        <w:rPr>
          <w:i/>
          <w:szCs w:val="18"/>
        </w:rPr>
        <w:t>ÚP)</w:t>
      </w:r>
    </w:p>
    <w:p w14:paraId="713B9D64" w14:textId="77777777" w:rsidR="006175DF" w:rsidRPr="00461C16" w:rsidRDefault="006175DF" w:rsidP="006175DF">
      <w:pPr>
        <w:pStyle w:val="1text"/>
      </w:pPr>
      <w:r w:rsidRPr="00461C16">
        <w:t xml:space="preserve">Město Hrádek nad Nisou je zásobováno zemním plynem z VTL plynovodu ve správě RWE GasNet, s.r.o. Stupeň plynofikace města Hrádek nad Nisou je vysoký a síť plynových rozvodů pokrývá prakticky celé město. Kromě sídel Uhelná a Horní Sedlo jsou vždy alespoň částečně plynofikovány všechny sídla. Připojení je realizováno prostřednictvím VTL plynovodu, který je veden ve směru od Rynoltic. Na území města jsou 3 regulační stanice VTL/STL, ze kterých je plyn dále distribuován pomocí sítě STL plynovodů. </w:t>
      </w:r>
    </w:p>
    <w:p w14:paraId="1711E730" w14:textId="77777777" w:rsidR="006175DF" w:rsidRPr="00461C16" w:rsidRDefault="006175DF" w:rsidP="006175DF">
      <w:pPr>
        <w:pStyle w:val="1text"/>
      </w:pPr>
      <w:r w:rsidRPr="00461C16">
        <w:t>Plynovodní síť je v dobrém technickém stavu, nevykazuje závažné provozní problémy a nevyžaduje žádné koncepční změny.</w:t>
      </w:r>
    </w:p>
    <w:p w14:paraId="24DED89B" w14:textId="77777777" w:rsidR="0013110C" w:rsidRPr="00461C16" w:rsidRDefault="0013110C" w:rsidP="0013110C">
      <w:pPr>
        <w:pStyle w:val="BodyText2"/>
        <w:spacing w:before="120" w:line="240" w:lineRule="auto"/>
      </w:pPr>
      <w:r w:rsidRPr="00461C16">
        <w:t xml:space="preserve">Územní plán nenavrhuje konkrétní trasy plynovodů pro napojení rozvojových ploch. Tyto budou vedeny </w:t>
      </w:r>
      <w:r w:rsidR="006175DF" w:rsidRPr="00461C16">
        <w:t xml:space="preserve">v souladu se stanovenými podmínkami trasování inženýrských sítí a umisťování objektů a zařízení technické infrastruktury (v plochách veřejných prostranství a dopravní infrastruktury). Vždy je </w:t>
      </w:r>
      <w:r w:rsidRPr="00461C16">
        <w:t>potřeba posoudit ekonomickou efektivnost záměru připojení jednotlivých rozvojových ploch.</w:t>
      </w:r>
    </w:p>
    <w:p w14:paraId="142886AE" w14:textId="77777777" w:rsidR="00A43C87" w:rsidRDefault="00A43C87">
      <w:pPr>
        <w:spacing w:line="240" w:lineRule="auto"/>
        <w:jc w:val="left"/>
        <w:rPr>
          <w:rFonts w:cs="Arial"/>
          <w:b/>
          <w:i/>
        </w:rPr>
      </w:pPr>
      <w:r>
        <w:rPr>
          <w:rFonts w:cs="Arial"/>
          <w:b/>
          <w:i/>
        </w:rPr>
        <w:br w:type="page"/>
      </w:r>
    </w:p>
    <w:p w14:paraId="71C388EA" w14:textId="77777777" w:rsidR="0013110C" w:rsidRPr="00461C16" w:rsidRDefault="0013110C" w:rsidP="0013110C">
      <w:pPr>
        <w:spacing w:before="120" w:after="120"/>
        <w:rPr>
          <w:rFonts w:cs="Arial"/>
          <w:b/>
          <w:i/>
        </w:rPr>
      </w:pPr>
      <w:r w:rsidRPr="00461C16">
        <w:rPr>
          <w:rFonts w:cs="Arial"/>
          <w:b/>
          <w:i/>
        </w:rPr>
        <w:lastRenderedPageBreak/>
        <w:t xml:space="preserve">Zásobování teplem </w:t>
      </w:r>
    </w:p>
    <w:p w14:paraId="756872B0" w14:textId="77777777" w:rsidR="0013110C" w:rsidRPr="00461C16" w:rsidRDefault="00B85AC6" w:rsidP="0013110C">
      <w:pPr>
        <w:spacing w:before="120" w:after="120"/>
        <w:rPr>
          <w:rFonts w:cs="Arial"/>
          <w:sz w:val="20"/>
          <w:u w:val="single"/>
        </w:rPr>
      </w:pPr>
      <w:r w:rsidRPr="00461C16">
        <w:rPr>
          <w:i/>
          <w:szCs w:val="18"/>
        </w:rPr>
        <w:t xml:space="preserve">(k bodům </w:t>
      </w:r>
      <w:r w:rsidR="00755B22" w:rsidRPr="00461C16">
        <w:rPr>
          <w:i/>
          <w:szCs w:val="18"/>
        </w:rPr>
        <w:t>D5</w:t>
      </w:r>
      <w:r w:rsidR="00755B22">
        <w:rPr>
          <w:i/>
          <w:szCs w:val="18"/>
        </w:rPr>
        <w:t>6</w:t>
      </w:r>
      <w:r w:rsidR="00755B22" w:rsidRPr="00461C16">
        <w:rPr>
          <w:i/>
          <w:szCs w:val="18"/>
        </w:rPr>
        <w:t xml:space="preserve"> </w:t>
      </w:r>
      <w:r w:rsidRPr="00461C16">
        <w:rPr>
          <w:i/>
          <w:szCs w:val="18"/>
        </w:rPr>
        <w:t xml:space="preserve">– </w:t>
      </w:r>
      <w:r w:rsidR="00755B22" w:rsidRPr="00461C16">
        <w:rPr>
          <w:i/>
          <w:szCs w:val="18"/>
        </w:rPr>
        <w:t>D5</w:t>
      </w:r>
      <w:r w:rsidR="00755B22">
        <w:rPr>
          <w:i/>
          <w:szCs w:val="18"/>
        </w:rPr>
        <w:t>7</w:t>
      </w:r>
      <w:r w:rsidR="00755B22" w:rsidRPr="00461C16">
        <w:rPr>
          <w:i/>
          <w:szCs w:val="18"/>
        </w:rPr>
        <w:t xml:space="preserve"> </w:t>
      </w:r>
      <w:r w:rsidR="0013110C" w:rsidRPr="00461C16">
        <w:rPr>
          <w:i/>
          <w:szCs w:val="18"/>
        </w:rPr>
        <w:t>ÚP)</w:t>
      </w:r>
    </w:p>
    <w:p w14:paraId="4304C98A" w14:textId="77777777" w:rsidR="0013110C" w:rsidRPr="00461C16" w:rsidRDefault="008F6DFC" w:rsidP="00B85AC6">
      <w:pPr>
        <w:pStyle w:val="BodyText2"/>
        <w:spacing w:line="240" w:lineRule="auto"/>
      </w:pPr>
      <w:r w:rsidRPr="00461C16">
        <w:t>Hlavním topným médiem ve většině území je plyn, jelikož stupeň plynofikace města je poměrně vysoký. V některých sídlech je jako topné médium rovněž využíváno dřevo uhlí a elektrická energie. Sídliště v centru města, městská a školská zařízení jsou zásobeny teplovody z centrální kotelny H-therma s délkou rozvodných sítí 2,5 km, instalovaným tepelným výkonem 13,7 MW a roční dodávkou tepla 55 tis. GJ/rok. Další významné kotelny jsou v průmyslových areálech.</w:t>
      </w:r>
    </w:p>
    <w:p w14:paraId="29B499DC" w14:textId="77777777" w:rsidR="0013110C" w:rsidRPr="00461C16" w:rsidRDefault="0013110C" w:rsidP="0013110C">
      <w:pPr>
        <w:spacing w:before="120" w:after="120"/>
        <w:rPr>
          <w:rFonts w:cs="Arial"/>
          <w:b/>
          <w:i/>
        </w:rPr>
      </w:pPr>
      <w:r w:rsidRPr="00461C16">
        <w:rPr>
          <w:rFonts w:cs="Arial"/>
          <w:b/>
          <w:i/>
        </w:rPr>
        <w:t xml:space="preserve">Telekomunikace </w:t>
      </w:r>
    </w:p>
    <w:p w14:paraId="107F67E3" w14:textId="77777777" w:rsidR="0013110C" w:rsidRPr="00461C16" w:rsidRDefault="00B85AC6" w:rsidP="0013110C">
      <w:pPr>
        <w:spacing w:before="120" w:after="120"/>
        <w:rPr>
          <w:rFonts w:cs="Arial"/>
          <w:sz w:val="20"/>
          <w:u w:val="single"/>
        </w:rPr>
      </w:pPr>
      <w:r w:rsidRPr="00461C16">
        <w:rPr>
          <w:i/>
          <w:szCs w:val="18"/>
        </w:rPr>
        <w:t xml:space="preserve">(k bodu </w:t>
      </w:r>
      <w:r w:rsidR="00755B22" w:rsidRPr="00461C16">
        <w:rPr>
          <w:i/>
          <w:szCs w:val="18"/>
        </w:rPr>
        <w:t>D5</w:t>
      </w:r>
      <w:r w:rsidR="00755B22">
        <w:rPr>
          <w:i/>
          <w:szCs w:val="18"/>
        </w:rPr>
        <w:t>8</w:t>
      </w:r>
      <w:r w:rsidR="00755B22" w:rsidRPr="00461C16">
        <w:rPr>
          <w:i/>
          <w:szCs w:val="18"/>
        </w:rPr>
        <w:t xml:space="preserve"> </w:t>
      </w:r>
      <w:r w:rsidR="0013110C" w:rsidRPr="00461C16">
        <w:rPr>
          <w:i/>
          <w:szCs w:val="18"/>
        </w:rPr>
        <w:t>ÚP)</w:t>
      </w:r>
    </w:p>
    <w:p w14:paraId="02C13693" w14:textId="77777777" w:rsidR="00B85AC6" w:rsidRPr="00461C16" w:rsidRDefault="00B85AC6" w:rsidP="00B85AC6">
      <w:pPr>
        <w:pStyle w:val="1text"/>
        <w:rPr>
          <w:bCs/>
        </w:rPr>
      </w:pPr>
      <w:r w:rsidRPr="00461C16">
        <w:rPr>
          <w:bCs/>
        </w:rPr>
        <w:t>Zastavěné území města Hrádek nad Nisou je pokryto kabelovou telefonní sítí Telefonica O2 a ČEZ a jednotlivá sídla jsou připojena k telefonní síti. Vzhledem k poklesu zájmu obyvatel o pevné telefonní linky, je současný systém vyhovující a umožní i bezproblémové napojení rozvojových ploch.</w:t>
      </w:r>
    </w:p>
    <w:p w14:paraId="49576757" w14:textId="77777777" w:rsidR="0013110C" w:rsidRPr="00461C16" w:rsidRDefault="00B85AC6" w:rsidP="0013110C">
      <w:pPr>
        <w:pStyle w:val="1text"/>
        <w:rPr>
          <w:bCs/>
        </w:rPr>
      </w:pPr>
      <w:r w:rsidRPr="00461C16">
        <w:rPr>
          <w:bCs/>
        </w:rPr>
        <w:t>Rovněž pokrytí území signálem všech mobilních operátorů, rozhlasu a televize je vyhovující.</w:t>
      </w:r>
    </w:p>
    <w:p w14:paraId="39244874" w14:textId="77777777" w:rsidR="0013110C" w:rsidRPr="00461C16" w:rsidRDefault="0013110C" w:rsidP="0013110C">
      <w:pPr>
        <w:spacing w:before="120" w:after="120"/>
        <w:rPr>
          <w:rFonts w:cs="Arial"/>
          <w:b/>
          <w:i/>
        </w:rPr>
      </w:pPr>
      <w:r w:rsidRPr="00461C16">
        <w:rPr>
          <w:rFonts w:cs="Arial"/>
          <w:b/>
          <w:i/>
        </w:rPr>
        <w:t>Odpadové hospodářství</w:t>
      </w:r>
    </w:p>
    <w:p w14:paraId="3FFC5E6F" w14:textId="77777777" w:rsidR="0013110C" w:rsidRPr="00461C16" w:rsidRDefault="00B85AC6" w:rsidP="0013110C">
      <w:pPr>
        <w:spacing w:before="120" w:after="120"/>
        <w:rPr>
          <w:rFonts w:cs="Arial"/>
          <w:sz w:val="20"/>
          <w:u w:val="single"/>
        </w:rPr>
      </w:pPr>
      <w:r w:rsidRPr="00461C16">
        <w:rPr>
          <w:i/>
          <w:szCs w:val="18"/>
        </w:rPr>
        <w:t xml:space="preserve">(k bodům </w:t>
      </w:r>
      <w:r w:rsidR="00755B22" w:rsidRPr="00461C16">
        <w:rPr>
          <w:i/>
          <w:szCs w:val="18"/>
        </w:rPr>
        <w:t>D</w:t>
      </w:r>
      <w:r w:rsidR="00755B22">
        <w:rPr>
          <w:i/>
          <w:szCs w:val="18"/>
        </w:rPr>
        <w:t>59</w:t>
      </w:r>
      <w:r w:rsidR="00755B22" w:rsidRPr="00461C16">
        <w:rPr>
          <w:i/>
          <w:szCs w:val="18"/>
        </w:rPr>
        <w:t xml:space="preserve"> </w:t>
      </w:r>
      <w:r w:rsidRPr="00461C16">
        <w:rPr>
          <w:i/>
          <w:szCs w:val="18"/>
        </w:rPr>
        <w:t xml:space="preserve">– </w:t>
      </w:r>
      <w:r w:rsidR="00755B22" w:rsidRPr="00461C16">
        <w:rPr>
          <w:i/>
          <w:szCs w:val="18"/>
        </w:rPr>
        <w:t>D6</w:t>
      </w:r>
      <w:r w:rsidR="00755B22">
        <w:rPr>
          <w:i/>
          <w:szCs w:val="18"/>
        </w:rPr>
        <w:t>0</w:t>
      </w:r>
      <w:r w:rsidR="00755B22" w:rsidRPr="00461C16">
        <w:rPr>
          <w:i/>
          <w:szCs w:val="18"/>
        </w:rPr>
        <w:t xml:space="preserve"> </w:t>
      </w:r>
      <w:r w:rsidR="0013110C" w:rsidRPr="00461C16">
        <w:rPr>
          <w:i/>
          <w:szCs w:val="18"/>
        </w:rPr>
        <w:t>ÚP)</w:t>
      </w:r>
    </w:p>
    <w:p w14:paraId="4FBFAF6D" w14:textId="77777777" w:rsidR="00B85AC6" w:rsidRPr="00461C16" w:rsidRDefault="00B85AC6" w:rsidP="00B85AC6">
      <w:pPr>
        <w:pStyle w:val="1text"/>
        <w:rPr>
          <w:bCs/>
        </w:rPr>
      </w:pPr>
      <w:r w:rsidRPr="00461C16">
        <w:rPr>
          <w:bCs/>
        </w:rPr>
        <w:t>Odpadové hospodářství je upraveno Obecně závaznou vyhláškou Města Hrádek nad Nisou</w:t>
      </w:r>
      <w:r w:rsidR="00B345B4" w:rsidRPr="00461C16">
        <w:rPr>
          <w:bCs/>
        </w:rPr>
        <w:t xml:space="preserve"> </w:t>
      </w:r>
      <w:r w:rsidRPr="00461C16">
        <w:rPr>
          <w:bCs/>
        </w:rPr>
        <w:t>č. 3/2015, která stanoví systém shromažďování, sběru, přepravy, třídění, využívání a odstraňování komunálních odpadů, včetně nakládání se stavebním odpadem na území města Hrádek nad Nisou. Služby týkající se odpadového hospodářství v současné době zajišťují pro město Severočeské komunální služby s.r.o., konkrétně místní provozovna společnosti Marius Pedersen a.s. V rámci těchto služeb je zajištěn svoz komunálního odpadu, který se odváží do spalovny v Liberci, svoz tříděného odpadu, provoz sběrného dvora v Žitavské ulici, sběr nebezpečného, velkoobjemového a biologicky rozložitelného odpadu.</w:t>
      </w:r>
    </w:p>
    <w:p w14:paraId="07B9C00B" w14:textId="77777777" w:rsidR="0013110C" w:rsidRPr="00461C16" w:rsidRDefault="00B85AC6" w:rsidP="0013110C">
      <w:pPr>
        <w:pStyle w:val="1text"/>
        <w:rPr>
          <w:bCs/>
        </w:rPr>
      </w:pPr>
      <w:r w:rsidRPr="00461C16">
        <w:rPr>
          <w:bCs/>
        </w:rPr>
        <w:t>Stávající systém odpadového hospodářství vyhovuje a nevyžaduje zásadní změny. V územním řízení musí být v rozvojových plochách vymezena místa pro zřízení sběrných hnízd tříděného odpadu, tak aby byla zachována odpovídající docházková vzdálenost.</w:t>
      </w:r>
    </w:p>
    <w:p w14:paraId="7C09187F" w14:textId="77777777" w:rsidR="0013110C" w:rsidRPr="00461C16" w:rsidRDefault="0013110C" w:rsidP="0013110C">
      <w:pPr>
        <w:spacing w:before="120" w:after="120"/>
        <w:rPr>
          <w:rFonts w:cs="Arial"/>
          <w:b/>
          <w:i/>
        </w:rPr>
      </w:pPr>
      <w:r w:rsidRPr="00461C16">
        <w:rPr>
          <w:rFonts w:cs="Arial"/>
          <w:b/>
          <w:i/>
        </w:rPr>
        <w:t>Ochrana před povodněmi - snižování ohrožení území živelními a jinými pohromami</w:t>
      </w:r>
    </w:p>
    <w:p w14:paraId="03FDAA50" w14:textId="77777777" w:rsidR="0013110C" w:rsidRPr="00461C16" w:rsidRDefault="00B85AC6" w:rsidP="0013110C">
      <w:pPr>
        <w:spacing w:before="120" w:after="120"/>
        <w:rPr>
          <w:rFonts w:cs="Arial"/>
          <w:sz w:val="20"/>
          <w:u w:val="single"/>
        </w:rPr>
      </w:pPr>
      <w:r w:rsidRPr="00461C16">
        <w:rPr>
          <w:i/>
          <w:szCs w:val="18"/>
        </w:rPr>
        <w:t>(k bodům</w:t>
      </w:r>
      <w:r w:rsidR="0013110C" w:rsidRPr="00461C16">
        <w:rPr>
          <w:i/>
          <w:szCs w:val="18"/>
        </w:rPr>
        <w:t xml:space="preserve"> </w:t>
      </w:r>
      <w:r w:rsidR="00755B22" w:rsidRPr="00461C16">
        <w:rPr>
          <w:i/>
          <w:szCs w:val="18"/>
        </w:rPr>
        <w:t>D6</w:t>
      </w:r>
      <w:r w:rsidR="00755B22">
        <w:rPr>
          <w:i/>
          <w:szCs w:val="18"/>
        </w:rPr>
        <w:t>1</w:t>
      </w:r>
      <w:r w:rsidR="00755B22" w:rsidRPr="00461C16">
        <w:rPr>
          <w:i/>
          <w:szCs w:val="18"/>
        </w:rPr>
        <w:t xml:space="preserve"> </w:t>
      </w:r>
      <w:r w:rsidRPr="00461C16">
        <w:rPr>
          <w:i/>
          <w:szCs w:val="18"/>
        </w:rPr>
        <w:t xml:space="preserve">– </w:t>
      </w:r>
      <w:r w:rsidR="00755B22" w:rsidRPr="00461C16">
        <w:rPr>
          <w:i/>
          <w:szCs w:val="18"/>
        </w:rPr>
        <w:t>D6</w:t>
      </w:r>
      <w:r w:rsidR="00755B22">
        <w:rPr>
          <w:i/>
          <w:szCs w:val="18"/>
        </w:rPr>
        <w:t>2</w:t>
      </w:r>
      <w:r w:rsidR="00755B22" w:rsidRPr="00461C16">
        <w:rPr>
          <w:i/>
          <w:szCs w:val="18"/>
        </w:rPr>
        <w:t xml:space="preserve"> </w:t>
      </w:r>
      <w:r w:rsidR="0013110C" w:rsidRPr="00461C16">
        <w:rPr>
          <w:i/>
          <w:szCs w:val="18"/>
        </w:rPr>
        <w:t>ÚP)</w:t>
      </w:r>
    </w:p>
    <w:p w14:paraId="357B8160" w14:textId="77777777" w:rsidR="00484A08" w:rsidRPr="00461C16" w:rsidRDefault="00484A08" w:rsidP="00484A08">
      <w:pPr>
        <w:pStyle w:val="1text"/>
        <w:rPr>
          <w:bCs/>
        </w:rPr>
      </w:pPr>
      <w:r w:rsidRPr="00461C16">
        <w:rPr>
          <w:bCs/>
        </w:rPr>
        <w:t xml:space="preserve">Na území Hrádku nad Nisou je stanoveno záplavové území Lužické Nisy. Záplavové území a aktivní zóna záplavového území byly stanoveny Krajským úřadem Libereckého kraje – odborem životního prostředí prostřednictvím opatření obecné povahy ze dne 4. 2. 2016. </w:t>
      </w:r>
    </w:p>
    <w:p w14:paraId="5E1F1032" w14:textId="77777777" w:rsidR="00484A08" w:rsidRPr="00461C16" w:rsidRDefault="00484A08" w:rsidP="00484A08">
      <w:pPr>
        <w:pStyle w:val="1text"/>
        <w:rPr>
          <w:bCs/>
        </w:rPr>
      </w:pPr>
      <w:r w:rsidRPr="00461C16">
        <w:rPr>
          <w:bCs/>
        </w:rPr>
        <w:t xml:space="preserve">Aktivní zóna záplavového území i záplavové území Q100 Lužické Nisy zasahuje do zastavěného území Hrádku nad Nisou. Rozsah aktivní zóny záplavového území a záplavové území Q100 je graficky znázorněn ve výkrese </w:t>
      </w:r>
      <w:r w:rsidRPr="00461C16">
        <w:rPr>
          <w:bCs/>
          <w:i/>
        </w:rPr>
        <w:t>II.1 Koordinační výkres</w:t>
      </w:r>
      <w:r w:rsidRPr="00461C16">
        <w:rPr>
          <w:bCs/>
        </w:rPr>
        <w:t>.</w:t>
      </w:r>
    </w:p>
    <w:p w14:paraId="68BD4393" w14:textId="77777777" w:rsidR="00484A08" w:rsidRPr="00461C16" w:rsidRDefault="008A0585" w:rsidP="00B85AC6">
      <w:pPr>
        <w:pStyle w:val="1text"/>
      </w:pPr>
      <w:r w:rsidRPr="00461C16">
        <w:t>ZÚR Libereckého kraje vymezují na území města Hrádek nad Nisou dva koridory pro umístění staveb a opatření pro snižování ohrožení území povodněmi:</w:t>
      </w:r>
    </w:p>
    <w:p w14:paraId="3FD65072" w14:textId="77777777" w:rsidR="008A0585" w:rsidRPr="00461C16" w:rsidRDefault="008A0585" w:rsidP="00755B22">
      <w:pPr>
        <w:pStyle w:val="1text"/>
        <w:numPr>
          <w:ilvl w:val="0"/>
          <w:numId w:val="74"/>
        </w:numPr>
      </w:pPr>
      <w:r w:rsidRPr="00461C16">
        <w:t>P09 - Lužická Nisa, úsek Jablonec nad Nisou - Hrádek nad Nisou</w:t>
      </w:r>
    </w:p>
    <w:p w14:paraId="1BD8EA6D" w14:textId="77777777" w:rsidR="008A0585" w:rsidRPr="00461C16" w:rsidRDefault="008A0585" w:rsidP="00755B22">
      <w:pPr>
        <w:pStyle w:val="1text"/>
        <w:numPr>
          <w:ilvl w:val="0"/>
          <w:numId w:val="74"/>
        </w:numPr>
        <w:rPr>
          <w:bCs/>
        </w:rPr>
      </w:pPr>
      <w:r w:rsidRPr="00461C16">
        <w:t>P53 - Oldřichovský potok, Oldřichov na Hranicích</w:t>
      </w:r>
    </w:p>
    <w:p w14:paraId="6BA6163C" w14:textId="77777777" w:rsidR="00484A08" w:rsidRPr="00461C16" w:rsidRDefault="00B3002C" w:rsidP="00B85AC6">
      <w:pPr>
        <w:pStyle w:val="1text"/>
        <w:rPr>
          <w:rFonts w:cs="Arial"/>
        </w:rPr>
      </w:pPr>
      <w:r>
        <w:t xml:space="preserve">V souladu s vymezením koridoru P09 v ZÚR Libereckého kraje vymezuje </w:t>
      </w:r>
      <w:r w:rsidR="008A0585" w:rsidRPr="00461C16">
        <w:t xml:space="preserve">ÚP </w:t>
      </w:r>
      <w:r w:rsidR="008A0585" w:rsidRPr="00461C16">
        <w:rPr>
          <w:rFonts w:cs="Arial"/>
        </w:rPr>
        <w:t>v rámci správního území města Hrádek nad Nisou koridor protipovodňových opatření</w:t>
      </w:r>
      <w:r w:rsidR="00D514FC" w:rsidRPr="00461C16">
        <w:rPr>
          <w:rFonts w:cs="Arial"/>
        </w:rPr>
        <w:t xml:space="preserve"> X</w:t>
      </w:r>
      <w:r w:rsidR="008067F6" w:rsidRPr="00461C16">
        <w:rPr>
          <w:rFonts w:cs="Arial"/>
        </w:rPr>
        <w:t>02</w:t>
      </w:r>
      <w:r w:rsidR="008A0585" w:rsidRPr="00461C16">
        <w:rPr>
          <w:rFonts w:cs="Arial"/>
        </w:rPr>
        <w:t>, v </w:t>
      </w:r>
      <w:r w:rsidRPr="00461C16">
        <w:rPr>
          <w:rFonts w:cs="Arial"/>
        </w:rPr>
        <w:t>n</w:t>
      </w:r>
      <w:r>
        <w:rPr>
          <w:rFonts w:cs="Arial"/>
        </w:rPr>
        <w:t>ěm</w:t>
      </w:r>
      <w:r w:rsidRPr="00461C16">
        <w:rPr>
          <w:rFonts w:cs="Arial"/>
        </w:rPr>
        <w:t xml:space="preserve">ž </w:t>
      </w:r>
      <w:r w:rsidR="008A0585" w:rsidRPr="00461C16">
        <w:rPr>
          <w:rFonts w:cs="Arial"/>
        </w:rPr>
        <w:t>umožňuje dle potřeb realizovat konkrétní technická protipovodňové stavby. V současné době se zpracovává „Studie odtokových poměrů včetně návrhů možných protipovodňových opatření pro povodí Lužické Nisy“, z níž by měly vyplynout konkrétní záměry pro území města Hrádek nad Nisou.</w:t>
      </w:r>
      <w:r>
        <w:rPr>
          <w:rFonts w:cs="Arial"/>
        </w:rPr>
        <w:t xml:space="preserve"> </w:t>
      </w:r>
    </w:p>
    <w:p w14:paraId="5DAFF64E" w14:textId="057EC56B" w:rsidR="00223A66" w:rsidRPr="00461C16" w:rsidRDefault="00B3002C" w:rsidP="00B3002C">
      <w:pPr>
        <w:pStyle w:val="1text"/>
        <w:rPr>
          <w:bCs/>
        </w:rPr>
      </w:pPr>
      <w:r>
        <w:rPr>
          <w:rFonts w:cs="Arial"/>
        </w:rPr>
        <w:t xml:space="preserve">Koridor P53 nebyl do ÚP Hrádek nad Nisou převzat, z důvodu neaktuálnosti záměru. Koridor byl v ZÚR Libereckého kraje vymezen </w:t>
      </w:r>
      <w:r w:rsidRPr="00753ACE">
        <w:t>pro protipovodňové opatření „LA200150 Oldřichovský potok, Oldřichov na Hranicích – protipovodňová opatření“</w:t>
      </w:r>
      <w:r>
        <w:t xml:space="preserve"> </w:t>
      </w:r>
      <w:r>
        <w:rPr>
          <w:rFonts w:cs="Arial"/>
        </w:rPr>
        <w:t xml:space="preserve">dle již neaktuálního Plánu oblasti povodí Horního a Středního Labe 2009, kde bylo </w:t>
      </w:r>
      <w:r>
        <w:rPr>
          <w:rFonts w:cs="Arial"/>
        </w:rPr>
        <w:lastRenderedPageBreak/>
        <w:t>toto opatření specifikováno jako „</w:t>
      </w:r>
      <w:r w:rsidRPr="00B3002C">
        <w:rPr>
          <w:rFonts w:cs="Arial"/>
          <w:i/>
        </w:rPr>
        <w:t>Výstavba suchého poldru v místě bývalého rybníka na Oldřichovském potoce, který byl umístěn nad zástavbou obce Oldřichov na Hranicích</w:t>
      </w:r>
      <w:r>
        <w:rPr>
          <w:rFonts w:cs="Arial"/>
        </w:rPr>
        <w:t xml:space="preserve">“. V aktuálních protipovodňových koncepcích již není v koridoru P53 plánováno žádné konkrétní protipovodňové opatření. Dle kolaudačního </w:t>
      </w:r>
      <w:r w:rsidRPr="00753ACE">
        <w:t>souhlasu Magistrátu města Liberec č. j. ZPVU/4330/072816/14-Dol ze dne 25.</w:t>
      </w:r>
      <w:r>
        <w:t xml:space="preserve"> </w:t>
      </w:r>
      <w:r w:rsidRPr="00753ACE">
        <w:t>4.</w:t>
      </w:r>
      <w:r>
        <w:t xml:space="preserve"> </w:t>
      </w:r>
      <w:r w:rsidRPr="00753ACE">
        <w:t xml:space="preserve">2014 byl záměr </w:t>
      </w:r>
      <w:r>
        <w:t>„</w:t>
      </w:r>
      <w:r w:rsidRPr="00753ACE">
        <w:t>LA200150 Oldřichovský potok, Oldřichov na Hranicích – protipovodňová opatření</w:t>
      </w:r>
      <w:r>
        <w:t>“</w:t>
      </w:r>
      <w:r w:rsidRPr="00753ACE">
        <w:t xml:space="preserve"> již zrealizován jako „Zvodnělý poldr na p.</w:t>
      </w:r>
      <w:r>
        <w:t xml:space="preserve"> </w:t>
      </w:r>
      <w:r w:rsidRPr="00753ACE">
        <w:t>p.</w:t>
      </w:r>
      <w:r>
        <w:t xml:space="preserve"> </w:t>
      </w:r>
      <w:r w:rsidRPr="00753ACE">
        <w:t>č. 729/8, 761/2 v k.</w:t>
      </w:r>
      <w:r>
        <w:t xml:space="preserve"> </w:t>
      </w:r>
      <w:r w:rsidRPr="00753ACE">
        <w:t xml:space="preserve">ú. Oldřichov na Hranicích“, a proto územní ochrana koridoru P53 </w:t>
      </w:r>
      <w:r>
        <w:t xml:space="preserve">pro protipovodňové stavby a opatření na Oldřichovském potoce </w:t>
      </w:r>
      <w:r w:rsidRPr="00753ACE">
        <w:t>pozbyla smysl</w:t>
      </w:r>
      <w:r>
        <w:t>. Vzhledem k výše uvedeným skutečnostem je v</w:t>
      </w:r>
      <w:r w:rsidRPr="00753ACE">
        <w:t xml:space="preserve"> rámci probíhající Aktualizace č. 1 ZÚR </w:t>
      </w:r>
      <w:r w:rsidR="003B07D8">
        <w:t>Libereckého kraje</w:t>
      </w:r>
      <w:r w:rsidRPr="00753ACE">
        <w:t xml:space="preserve"> (Nový návrh Aktualizace č. 1 ZÚR LK pro společné jednání 9. srpna 2018) navrhováno vypuštění koridoru P53 ze ZÚR LK</w:t>
      </w:r>
      <w:r>
        <w:t>.</w:t>
      </w:r>
    </w:p>
    <w:p w14:paraId="4288E793" w14:textId="77777777" w:rsidR="008A0585" w:rsidRPr="00461C16" w:rsidRDefault="00B85AC6" w:rsidP="008A0585">
      <w:pPr>
        <w:pStyle w:val="1text"/>
      </w:pPr>
      <w:r w:rsidRPr="00461C16">
        <w:rPr>
          <w:bCs/>
        </w:rPr>
        <w:t>V zastavěném území obce jsou vybudovány strouhy a propustky pro odvod dešťových vo</w:t>
      </w:r>
      <w:r w:rsidR="008A0585" w:rsidRPr="00461C16">
        <w:rPr>
          <w:bCs/>
        </w:rPr>
        <w:t>d</w:t>
      </w:r>
      <w:r w:rsidRPr="00461C16">
        <w:rPr>
          <w:bCs/>
        </w:rPr>
        <w:t>. Tyto strouhy je třeba řádně udržovat a nepřipustit jejich rušení. Povinnost udržování a zachování struh plat</w:t>
      </w:r>
      <w:r w:rsidR="008A0585" w:rsidRPr="00461C16">
        <w:rPr>
          <w:bCs/>
        </w:rPr>
        <w:t>í i pro vlastníky pozemků.</w:t>
      </w:r>
    </w:p>
    <w:p w14:paraId="1928D90F" w14:textId="77777777" w:rsidR="0001237A" w:rsidRPr="00461C16" w:rsidRDefault="00501553" w:rsidP="007F050A">
      <w:pPr>
        <w:pStyle w:val="Heading3"/>
      </w:pPr>
      <w:bookmarkStart w:id="133" w:name="_Toc36116300"/>
      <w:r w:rsidRPr="00461C16">
        <w:t>6</w:t>
      </w:r>
      <w:r w:rsidR="00BC4E8D" w:rsidRPr="00461C16">
        <w:t>.</w:t>
      </w:r>
      <w:r w:rsidR="00786322" w:rsidRPr="00461C16">
        <w:t>5.3</w:t>
      </w:r>
      <w:r w:rsidR="00786322" w:rsidRPr="00461C16">
        <w:tab/>
        <w:t>Občansk</w:t>
      </w:r>
      <w:r w:rsidR="0001237A" w:rsidRPr="00461C16">
        <w:t>é</w:t>
      </w:r>
      <w:r w:rsidR="00786322" w:rsidRPr="00461C16">
        <w:t xml:space="preserve"> vybaven</w:t>
      </w:r>
      <w:r w:rsidR="0001237A" w:rsidRPr="00461C16">
        <w:t>í</w:t>
      </w:r>
      <w:bookmarkEnd w:id="133"/>
    </w:p>
    <w:p w14:paraId="4F1BC214" w14:textId="77777777" w:rsidR="00D95069" w:rsidRPr="00461C16" w:rsidRDefault="00D95069" w:rsidP="00A43C87">
      <w:pPr>
        <w:spacing w:before="240" w:after="120"/>
        <w:rPr>
          <w:b/>
          <w:i/>
          <w:sz w:val="24"/>
          <w:szCs w:val="24"/>
        </w:rPr>
      </w:pPr>
      <w:r w:rsidRPr="00461C16">
        <w:rPr>
          <w:b/>
          <w:i/>
          <w:sz w:val="24"/>
          <w:szCs w:val="24"/>
        </w:rPr>
        <w:t>Veřejné vybavení</w:t>
      </w:r>
    </w:p>
    <w:p w14:paraId="76F16ADB" w14:textId="77777777" w:rsidR="00D95069" w:rsidRPr="00461C16" w:rsidRDefault="00D95069" w:rsidP="00D95069">
      <w:pPr>
        <w:pStyle w:val="1text"/>
        <w:spacing w:after="120"/>
        <w:rPr>
          <w:i/>
          <w:sz w:val="20"/>
          <w:szCs w:val="20"/>
        </w:rPr>
      </w:pPr>
      <w:r w:rsidRPr="00461C16">
        <w:rPr>
          <w:i/>
          <w:sz w:val="20"/>
          <w:szCs w:val="20"/>
        </w:rPr>
        <w:t xml:space="preserve">(k bodům </w:t>
      </w:r>
      <w:r w:rsidR="00755B22" w:rsidRPr="00461C16">
        <w:rPr>
          <w:i/>
          <w:sz w:val="20"/>
          <w:szCs w:val="20"/>
        </w:rPr>
        <w:t>D6</w:t>
      </w:r>
      <w:r w:rsidR="00755B22">
        <w:rPr>
          <w:i/>
          <w:sz w:val="20"/>
          <w:szCs w:val="20"/>
        </w:rPr>
        <w:t>3</w:t>
      </w:r>
      <w:r w:rsidR="00755B22" w:rsidRPr="00461C16">
        <w:rPr>
          <w:i/>
          <w:sz w:val="20"/>
          <w:szCs w:val="20"/>
        </w:rPr>
        <w:t xml:space="preserve"> </w:t>
      </w:r>
      <w:r w:rsidRPr="00461C16">
        <w:rPr>
          <w:i/>
          <w:sz w:val="20"/>
          <w:szCs w:val="20"/>
        </w:rPr>
        <w:t xml:space="preserve">– </w:t>
      </w:r>
      <w:r w:rsidR="00755B22" w:rsidRPr="00461C16">
        <w:rPr>
          <w:i/>
          <w:sz w:val="20"/>
          <w:szCs w:val="20"/>
        </w:rPr>
        <w:t>D6</w:t>
      </w:r>
      <w:r w:rsidR="00755B22">
        <w:rPr>
          <w:i/>
          <w:sz w:val="20"/>
          <w:szCs w:val="20"/>
        </w:rPr>
        <w:t>5</w:t>
      </w:r>
      <w:r w:rsidR="00755B22" w:rsidRPr="00461C16">
        <w:rPr>
          <w:i/>
          <w:sz w:val="20"/>
          <w:szCs w:val="20"/>
        </w:rPr>
        <w:t xml:space="preserve"> </w:t>
      </w:r>
      <w:r w:rsidRPr="00461C16">
        <w:rPr>
          <w:i/>
          <w:sz w:val="20"/>
          <w:szCs w:val="20"/>
        </w:rPr>
        <w:t>ÚP)</w:t>
      </w:r>
    </w:p>
    <w:p w14:paraId="269D3B7C" w14:textId="77777777" w:rsidR="00D95069" w:rsidRPr="00461C16" w:rsidRDefault="00D95069" w:rsidP="00A43C87">
      <w:pPr>
        <w:spacing w:before="120"/>
      </w:pPr>
      <w:r w:rsidRPr="00461C16">
        <w:t>Veřejná vybavenost je soustředěna především v části Hrádek nad Nisou, která je těžištěm zástavby celého města. Je zde umístěna většina vzdělávacích a kulturních zařízení, zařízení zdravotní a sociální péče, pošta, městský úřad, služebna Městské policie a hasičská zbrojnice. Funkci vyššího spádového centra z hlediska nadmístní veřejné vybavenosti zastává město Liberec.</w:t>
      </w:r>
    </w:p>
    <w:p w14:paraId="78FFDB7C" w14:textId="77777777" w:rsidR="00D95069" w:rsidRPr="00461C16" w:rsidRDefault="00D95069" w:rsidP="00D95069">
      <w:pPr>
        <w:pStyle w:val="1text"/>
        <w:spacing w:after="120"/>
      </w:pPr>
      <w:r w:rsidRPr="00461C16">
        <w:t>Na území města se nachází 4 mateřské školy s jedním detašovaným pracovištěm (v části Hrádek n</w:t>
      </w:r>
      <w:r w:rsidR="00021DC8">
        <w:t>. </w:t>
      </w:r>
      <w:r w:rsidRPr="00461C16">
        <w:t>N MŠ Oldřichovská a MŠ Liberecká, v dalších částech města – MŠ Loučná, MŠ Donín, detašované pracoviště ve Václavicích). Kapacita předškolních zařízení je v současné době dostačující, případnou budoucí potřebu lze řešit intenzifikací využití stávajících areálů, případně výstavbou nového zařízení v navazujících smíšených obytných plochách. Vzhledem k povinnosti zajištění dostatečného počtu míst v mateřských školách i pro dvouleté děti od roku 2020 lze očekávat, že navýšení kapacity bude potřebné. ÚP nevymezuje pro tyto účely konkrétní plochu, zařízení lze vybudovat dle potřeby a možností města kdekoliv v plochách SM či SV, které tvoří převažující způsob využití zástavby města.</w:t>
      </w:r>
    </w:p>
    <w:p w14:paraId="0A942347" w14:textId="77777777" w:rsidR="00D95069" w:rsidRPr="00461C16" w:rsidRDefault="00D95069" w:rsidP="00D95069">
      <w:pPr>
        <w:pStyle w:val="1text"/>
        <w:spacing w:after="120"/>
      </w:pPr>
      <w:r w:rsidRPr="00461C16">
        <w:t xml:space="preserve">Základní školy jsou na území města celkem 4, v části Hrádek nN. ZŠ Lidická a ZŠ T.G.Masaryka, v dalších částech ZŠ Donín a ZŠ Loučná. Jejich kapacita není zcela naplněna a do budoucna vzhledem k rostoucímu indexu stáři lze očekávat, že v nejbližší době nebude docházet k růstu potřeby míst. </w:t>
      </w:r>
    </w:p>
    <w:p w14:paraId="701A1EC0" w14:textId="77777777" w:rsidR="00D95069" w:rsidRPr="00461C16" w:rsidRDefault="00D95069" w:rsidP="00D95069">
      <w:pPr>
        <w:pStyle w:val="1text"/>
        <w:spacing w:after="120"/>
      </w:pPr>
      <w:r w:rsidRPr="00461C16">
        <w:t>Zdravotní péče je soustředěna výhradně do ordinací samostatných lékařů, ve městě se nenachází nemocnice ani jiná centralizovaná forma zdravotnickéh</w:t>
      </w:r>
      <w:r w:rsidR="008F7B73" w:rsidRPr="00461C16">
        <w:t>o zařízení. Sociální péči zajišť</w:t>
      </w:r>
      <w:r w:rsidRPr="00461C16">
        <w:t xml:space="preserve">ují 2 domy s pečovatlelskou službou (ul. Nádražní a ul. Žitavská) a omezeně i Klub důchodců. </w:t>
      </w:r>
    </w:p>
    <w:p w14:paraId="351AA24A" w14:textId="77777777" w:rsidR="00D95069" w:rsidRPr="00461C16" w:rsidRDefault="00D95069" w:rsidP="00D95069">
      <w:pPr>
        <w:pStyle w:val="1text"/>
        <w:spacing w:after="120"/>
      </w:pPr>
      <w:r w:rsidRPr="00461C16">
        <w:t>Kulturní zařízení jsou rovněž soustředěna v části Hrádek nad Nisou, kde se nachází multifunkční centrum Brány Trojzemí s kinem a výstavním sálem, knihovna a technické muzeum.</w:t>
      </w:r>
    </w:p>
    <w:p w14:paraId="59D0B225" w14:textId="77777777" w:rsidR="00D95069" w:rsidRPr="00461C16" w:rsidRDefault="00D95069" w:rsidP="00D95069">
      <w:pPr>
        <w:pStyle w:val="1text"/>
        <w:spacing w:after="120"/>
      </w:pPr>
      <w:r w:rsidRPr="00461C16">
        <w:t>I stávající rozsah ostatního veřejného vybavení je vyhovující, v případě potřeby lze umístit další zařízení ve stabilizovaných či navrhovaných plochách smíšených obytných, v kterékoliv části města. Flexibilita využití smíšeného území a neprokázaná potřeba dalšího zařízení veřejného vybavení jsou hlavními důvody k nevymezení samostatné plochy veřejného vybavení.</w:t>
      </w:r>
      <w:r w:rsidR="00B345B4" w:rsidRPr="00461C16">
        <w:t xml:space="preserve"> </w:t>
      </w:r>
    </w:p>
    <w:p w14:paraId="364F174C" w14:textId="77777777" w:rsidR="008F7B73" w:rsidRPr="00461C16" w:rsidRDefault="008F7B73" w:rsidP="00D95069">
      <w:pPr>
        <w:pStyle w:val="1text"/>
        <w:spacing w:after="120"/>
      </w:pPr>
      <w:r w:rsidRPr="00461C16">
        <w:t>Koncepce ÚP zohledňuje ideový záměr města na výstavbu dalšího domova pro seniory v ul. Oldřichovská (plocha Z47), který by měl řešit do budoucna nedostatečnou kapacitu stávajících zařízení sociální péče na území města. Vzhledem k neexistenci bližší dokumentace, potvrzující tento záměr, je plocha vymezena jako smíšená obytná městská, přičemž v této ploše je možná výstavba zařízení veřejného občanského vybavení.</w:t>
      </w:r>
    </w:p>
    <w:p w14:paraId="133DA0FE" w14:textId="77777777" w:rsidR="00D95069" w:rsidRPr="00461C16" w:rsidRDefault="00D95069" w:rsidP="00D95069">
      <w:pPr>
        <w:spacing w:before="120" w:after="120"/>
        <w:rPr>
          <w:b/>
          <w:i/>
          <w:sz w:val="24"/>
          <w:szCs w:val="24"/>
        </w:rPr>
      </w:pPr>
      <w:r w:rsidRPr="00461C16">
        <w:rPr>
          <w:b/>
          <w:i/>
          <w:sz w:val="24"/>
          <w:szCs w:val="24"/>
        </w:rPr>
        <w:t xml:space="preserve">Komerční vybavení </w:t>
      </w:r>
    </w:p>
    <w:p w14:paraId="3E55F6B5" w14:textId="77777777" w:rsidR="00D95069" w:rsidRPr="00461C16" w:rsidRDefault="00D95069" w:rsidP="00D95069">
      <w:pPr>
        <w:pStyle w:val="1text"/>
        <w:spacing w:after="120"/>
        <w:rPr>
          <w:i/>
          <w:sz w:val="20"/>
          <w:szCs w:val="20"/>
        </w:rPr>
      </w:pPr>
      <w:r w:rsidRPr="00461C16">
        <w:rPr>
          <w:i/>
          <w:sz w:val="20"/>
          <w:szCs w:val="20"/>
        </w:rPr>
        <w:t xml:space="preserve">(k bodům </w:t>
      </w:r>
      <w:r w:rsidR="00755B22" w:rsidRPr="00461C16">
        <w:rPr>
          <w:i/>
          <w:sz w:val="20"/>
          <w:szCs w:val="20"/>
        </w:rPr>
        <w:t>D6</w:t>
      </w:r>
      <w:r w:rsidR="00755B22">
        <w:rPr>
          <w:i/>
          <w:sz w:val="20"/>
          <w:szCs w:val="20"/>
        </w:rPr>
        <w:t>6</w:t>
      </w:r>
      <w:r w:rsidR="00755B22" w:rsidRPr="00461C16">
        <w:rPr>
          <w:i/>
          <w:sz w:val="20"/>
          <w:szCs w:val="20"/>
        </w:rPr>
        <w:t xml:space="preserve"> </w:t>
      </w:r>
      <w:r w:rsidRPr="00461C16">
        <w:rPr>
          <w:i/>
          <w:sz w:val="20"/>
          <w:szCs w:val="20"/>
        </w:rPr>
        <w:t xml:space="preserve">– </w:t>
      </w:r>
      <w:r w:rsidR="00755B22" w:rsidRPr="00461C16">
        <w:rPr>
          <w:i/>
          <w:sz w:val="20"/>
          <w:szCs w:val="20"/>
        </w:rPr>
        <w:t>D6</w:t>
      </w:r>
      <w:r w:rsidR="00755B22">
        <w:rPr>
          <w:i/>
          <w:sz w:val="20"/>
          <w:szCs w:val="20"/>
        </w:rPr>
        <w:t>8</w:t>
      </w:r>
      <w:r w:rsidR="00755B22" w:rsidRPr="00461C16">
        <w:rPr>
          <w:i/>
          <w:sz w:val="20"/>
          <w:szCs w:val="20"/>
        </w:rPr>
        <w:t xml:space="preserve"> </w:t>
      </w:r>
      <w:r w:rsidRPr="00461C16">
        <w:rPr>
          <w:i/>
          <w:sz w:val="20"/>
          <w:szCs w:val="20"/>
        </w:rPr>
        <w:t>ÚP)</w:t>
      </w:r>
    </w:p>
    <w:p w14:paraId="02E64DB5" w14:textId="77777777" w:rsidR="00D95069" w:rsidRPr="00461C16" w:rsidRDefault="00D95069" w:rsidP="00D95069">
      <w:pPr>
        <w:pStyle w:val="1text"/>
        <w:spacing w:after="120"/>
      </w:pPr>
      <w:r w:rsidRPr="00461C16">
        <w:t xml:space="preserve">Stávající komerční vybavenost města je představována obchodními, ubytovacími a stravovacími zařízeními a je soustředěna především do části Hrádek nad Nisou, která má z hlediska kupní sily i atraktivity pro cestovní ruch </w:t>
      </w:r>
      <w:r w:rsidRPr="00461C16">
        <w:lastRenderedPageBreak/>
        <w:t>největší potenciál. Prostorově nejnáročnější zařízení představují supermarkety (Penny market a Albert podél ul. Liberecká, JIP na Horním náměstí), dále pak ubytovací zařízení (hotel Jimmy – Hrádecký Dvůr, sezónní ubytování a stravování v rekreačním areálu Kristýna). Specifickým ubytovacím zařízením je bývalý větrný v Uhelné – Scholzeho Mlýn.</w:t>
      </w:r>
    </w:p>
    <w:p w14:paraId="583FC4F6" w14:textId="77777777" w:rsidR="00D95069" w:rsidRPr="00461C16" w:rsidRDefault="00D95069" w:rsidP="00D95069">
      <w:pPr>
        <w:pStyle w:val="1text"/>
        <w:spacing w:after="120"/>
      </w:pPr>
      <w:r w:rsidRPr="00461C16">
        <w:t>Ostatní komerční vybavenost nemá větší plošné nároky a je integrována do smíšené obytné zástavby v samostatných objektech či přidružená k bydlení, především v centrální části Hrádku nad Nisou či podél hlavních dopravních os v dalších částech města, kde se jedná o drobné živnostenské provozy, z většiny řemeslné služby či lokální stravovací zařízení.</w:t>
      </w:r>
    </w:p>
    <w:p w14:paraId="2173F1A8" w14:textId="77777777" w:rsidR="00D95069" w:rsidRPr="00461C16" w:rsidRDefault="00D95069" w:rsidP="00D95069">
      <w:pPr>
        <w:pStyle w:val="1text"/>
        <w:spacing w:after="120"/>
      </w:pPr>
      <w:r w:rsidRPr="00461C16">
        <w:t xml:space="preserve">Vymezení stávající a navrhované obytné zástavby jako smíšené plochy umožňuje umísťování komerčních zařízení v těchto plochách téměř v celém zastavěném či zastavitelném území města, dle aktuálních potřeb. </w:t>
      </w:r>
    </w:p>
    <w:p w14:paraId="780A6DCE" w14:textId="77777777" w:rsidR="00D95069" w:rsidRPr="00461C16" w:rsidRDefault="00081E2A" w:rsidP="00D95069">
      <w:pPr>
        <w:pStyle w:val="1text"/>
        <w:spacing w:after="120"/>
      </w:pPr>
      <w:r w:rsidRPr="00461C16">
        <w:t>Plocha P07 doplňuje stávající komerční vybavenost (restaurace) v jižní části výrobního areálu v ul. Lidická, na levém břehu Lužické Nisy. Areál se nachází ve strategické poloze u významné dopravní osy a v blízkosti pěšího hraničního přechodu do Německa</w:t>
      </w:r>
      <w:r w:rsidR="00BB3689" w:rsidRPr="00461C16">
        <w:t xml:space="preserve"> (Hartau)</w:t>
      </w:r>
      <w:r w:rsidRPr="00461C16">
        <w:t xml:space="preserve">, </w:t>
      </w:r>
      <w:r w:rsidR="00EA67C9" w:rsidRPr="00461C16">
        <w:t>který je i v současné době intenzivně využíván pro přeshraniční pěší turistiku.</w:t>
      </w:r>
      <w:r w:rsidRPr="00461C16">
        <w:t xml:space="preserve"> </w:t>
      </w:r>
      <w:r w:rsidR="00EA67C9" w:rsidRPr="00461C16">
        <w:t>Využití plochy pro komerční účely nabídne návštěvníkům i obyvatelům města další služby a přispěje tak ke zlepšení jejich rozsahu a dostupnosti.</w:t>
      </w:r>
    </w:p>
    <w:p w14:paraId="43236562" w14:textId="77777777" w:rsidR="00D95069" w:rsidRPr="00461C16" w:rsidRDefault="00D95069" w:rsidP="00D95069">
      <w:pPr>
        <w:pStyle w:val="1text"/>
        <w:spacing w:after="120"/>
        <w:rPr>
          <w:color w:val="FF0000"/>
        </w:rPr>
      </w:pPr>
      <w:r w:rsidRPr="00461C16">
        <w:t>V rekreačním areálu Kristýna jsou vymezeny plochy pro jeho rozšíření a možné umístění dalších ubytovacích a stravovacích zařízení.</w:t>
      </w:r>
    </w:p>
    <w:p w14:paraId="3FF529A8" w14:textId="77777777" w:rsidR="00D95069" w:rsidRPr="00461C16" w:rsidRDefault="00D95069" w:rsidP="00D95069">
      <w:pPr>
        <w:spacing w:before="120" w:after="120"/>
        <w:rPr>
          <w:b/>
          <w:i/>
          <w:sz w:val="24"/>
          <w:szCs w:val="24"/>
        </w:rPr>
      </w:pPr>
      <w:r w:rsidRPr="00461C16">
        <w:rPr>
          <w:b/>
          <w:i/>
          <w:sz w:val="24"/>
          <w:szCs w:val="24"/>
        </w:rPr>
        <w:t>Sport a volný čas</w:t>
      </w:r>
    </w:p>
    <w:p w14:paraId="3B4BEFB1" w14:textId="77777777" w:rsidR="00D95069" w:rsidRPr="00461C16" w:rsidRDefault="00D95069" w:rsidP="00D95069">
      <w:pPr>
        <w:pStyle w:val="1text"/>
        <w:spacing w:after="120"/>
        <w:rPr>
          <w:i/>
          <w:sz w:val="20"/>
          <w:szCs w:val="20"/>
        </w:rPr>
      </w:pPr>
      <w:r w:rsidRPr="00461C16">
        <w:rPr>
          <w:i/>
          <w:sz w:val="20"/>
          <w:szCs w:val="20"/>
        </w:rPr>
        <w:t xml:space="preserve">(k bodům </w:t>
      </w:r>
      <w:r w:rsidR="00755B22" w:rsidRPr="00461C16">
        <w:rPr>
          <w:i/>
          <w:sz w:val="20"/>
          <w:szCs w:val="20"/>
        </w:rPr>
        <w:t>D</w:t>
      </w:r>
      <w:r w:rsidR="00755B22">
        <w:rPr>
          <w:i/>
          <w:sz w:val="20"/>
          <w:szCs w:val="20"/>
        </w:rPr>
        <w:t>69</w:t>
      </w:r>
      <w:r w:rsidR="00755B22" w:rsidRPr="00461C16">
        <w:rPr>
          <w:i/>
          <w:sz w:val="20"/>
          <w:szCs w:val="20"/>
        </w:rPr>
        <w:t xml:space="preserve"> </w:t>
      </w:r>
      <w:r w:rsidRPr="00461C16">
        <w:rPr>
          <w:i/>
          <w:sz w:val="20"/>
          <w:szCs w:val="20"/>
        </w:rPr>
        <w:t xml:space="preserve">– </w:t>
      </w:r>
      <w:r w:rsidR="00755B22" w:rsidRPr="00461C16">
        <w:rPr>
          <w:i/>
          <w:sz w:val="20"/>
          <w:szCs w:val="20"/>
        </w:rPr>
        <w:t>D7</w:t>
      </w:r>
      <w:r w:rsidR="00755B22">
        <w:rPr>
          <w:i/>
          <w:sz w:val="20"/>
          <w:szCs w:val="20"/>
        </w:rPr>
        <w:t>2</w:t>
      </w:r>
      <w:r w:rsidR="00755B22" w:rsidRPr="00461C16">
        <w:rPr>
          <w:i/>
          <w:sz w:val="20"/>
          <w:szCs w:val="20"/>
        </w:rPr>
        <w:t xml:space="preserve"> </w:t>
      </w:r>
      <w:r w:rsidRPr="00461C16">
        <w:rPr>
          <w:i/>
          <w:sz w:val="20"/>
          <w:szCs w:val="20"/>
        </w:rPr>
        <w:t>ÚP)</w:t>
      </w:r>
    </w:p>
    <w:p w14:paraId="6B373516" w14:textId="77777777" w:rsidR="00D95069" w:rsidRPr="00461C16" w:rsidRDefault="00D95069" w:rsidP="00D95069">
      <w:pPr>
        <w:rPr>
          <w:lang w:eastAsia="cs-CZ"/>
        </w:rPr>
      </w:pPr>
      <w:r w:rsidRPr="00461C16">
        <w:rPr>
          <w:lang w:eastAsia="cs-CZ"/>
        </w:rPr>
        <w:t>Na území města Hrádek nad Nisou se nachází několik sportovních a volnočasových zařízení, z nichž větší část je soustředěna do části Hrádek n</w:t>
      </w:r>
      <w:r w:rsidR="00021DC8">
        <w:rPr>
          <w:lang w:eastAsia="cs-CZ"/>
        </w:rPr>
        <w:t>. </w:t>
      </w:r>
      <w:r w:rsidRPr="00461C16">
        <w:rPr>
          <w:lang w:eastAsia="cs-CZ"/>
        </w:rPr>
        <w:t>N. s nejvyšším počtem obyvatel a tedy i největšími nároky na tento typ aktivit. Z hlediska různorodosti nabídky lze konstatovat, že město má velmi dobré zázemí pro sportovní vyžití</w:t>
      </w:r>
    </w:p>
    <w:p w14:paraId="3FFC7A63" w14:textId="77777777" w:rsidR="00D95069" w:rsidRPr="00461C16" w:rsidRDefault="00D95069" w:rsidP="00D95069">
      <w:pPr>
        <w:spacing w:before="120"/>
        <w:rPr>
          <w:lang w:eastAsia="cs-CZ"/>
        </w:rPr>
      </w:pPr>
      <w:r w:rsidRPr="00461C16">
        <w:rPr>
          <w:lang w:eastAsia="cs-CZ"/>
        </w:rPr>
        <w:t xml:space="preserve">Nejvýznamnějším zařízením pro sport a rekreaci je areál Kristýna, v blízkosti státních hranic (Německo, Polsko). Základem a hlavní atraktivitou areálu je vodní plocha bývalého lignitového dolu Kristýna, obklopená plochami pro rekreační ubytování (chatová osada, autokemp) a pro sportovní vyžití (kurty pro plážový volejbal, lanové centrum, jachtklub s půjčovnou lodí, půjčovna kol). </w:t>
      </w:r>
    </w:p>
    <w:p w14:paraId="53F0094C" w14:textId="77777777" w:rsidR="00D95069" w:rsidRPr="00461C16" w:rsidRDefault="00D95069" w:rsidP="00D95069">
      <w:pPr>
        <w:spacing w:before="120"/>
        <w:rPr>
          <w:lang w:eastAsia="cs-CZ"/>
        </w:rPr>
      </w:pPr>
      <w:r w:rsidRPr="00461C16">
        <w:rPr>
          <w:lang w:eastAsia="cs-CZ"/>
        </w:rPr>
        <w:t>V centrální části města se nachází sportovní areál TJ Orel, zahrnující tenisové kurty, koupaliště, hřiště pro minigolf, hřiště s umělým povrchem pro volejbal, florbal apod, v zimním období rovněž kluziště s umělou ledovou plochou. K areálu TJ přiléhá sportovní centrum North Point, které nabízí bowlingové dráhy, halu s tenisovými a badmintonovými kurty, kluziště či šipky.</w:t>
      </w:r>
    </w:p>
    <w:p w14:paraId="3AA18093" w14:textId="77777777" w:rsidR="00D95069" w:rsidRPr="00461C16" w:rsidRDefault="00D95069" w:rsidP="00D95069">
      <w:pPr>
        <w:spacing w:before="120"/>
        <w:rPr>
          <w:lang w:eastAsia="cs-CZ"/>
        </w:rPr>
      </w:pPr>
      <w:r w:rsidRPr="00461C16">
        <w:rPr>
          <w:lang w:eastAsia="cs-CZ"/>
        </w:rPr>
        <w:t xml:space="preserve">Hřiště u ZŠ T. G. Masaryka poskytuje multifunkční areál s umělým povrchem, který je možný využít pro malou kopanou. Zároveň je zde volejbalové hřiště, běžecký 200m ovál, doskočiště pro skok daleký, vrh koulí. </w:t>
      </w:r>
    </w:p>
    <w:p w14:paraId="60CE6AAE" w14:textId="77777777" w:rsidR="00D95069" w:rsidRPr="00461C16" w:rsidRDefault="00D95069" w:rsidP="00D95069">
      <w:pPr>
        <w:spacing w:before="120"/>
        <w:rPr>
          <w:lang w:eastAsia="cs-CZ"/>
        </w:rPr>
      </w:pPr>
      <w:r w:rsidRPr="00461C16">
        <w:rPr>
          <w:lang w:eastAsia="cs-CZ"/>
        </w:rPr>
        <w:t>V sídle Donín se nachází 2 fotbalová hřiště s travnatým a s umělým povrchem, ve Václavicích se rovněž nachází fotbalové hřiště s travnatým povrchem. Další menší zařízení pro sport se nachází i v částech Dolní Sedlo a Oldřichov na Hranicích, kde mají podobu neoficiálních travnatých hřišť pro fotbal.</w:t>
      </w:r>
    </w:p>
    <w:p w14:paraId="69DF88E6" w14:textId="77777777" w:rsidR="005E1992" w:rsidRPr="00461C16" w:rsidRDefault="005E1992" w:rsidP="005E1992">
      <w:pPr>
        <w:spacing w:before="120" w:after="120" w:line="240" w:lineRule="auto"/>
      </w:pPr>
      <w:r w:rsidRPr="00461C16">
        <w:t>Nejvýznamnější území pro rozvoj sportu v části Hrádek nad Nisou přestavují plochy P18 a P19. Plocha P18 je vymezena v rozsahu bývalého výrobního areálu, který již není funkční a došlo k demolici téměř všech staveb.</w:t>
      </w:r>
      <w:r w:rsidR="00B345B4" w:rsidRPr="00461C16">
        <w:t xml:space="preserve"> </w:t>
      </w:r>
      <w:r w:rsidRPr="00461C16">
        <w:t xml:space="preserve"> Zbývající objekt je využíván jako skatepark.</w:t>
      </w:r>
      <w:r w:rsidR="00B345B4" w:rsidRPr="00461C16">
        <w:t xml:space="preserve"> </w:t>
      </w:r>
      <w:r w:rsidRPr="00461C16">
        <w:t>Koncepce ÚP umožňuje nové využití celého areálu pro funkci, která je v současné době pro obyvatele města velmi žádoucí, tedy sport a volný čas. Plocha P19 na tento areál navazuje z</w:t>
      </w:r>
      <w:r w:rsidR="00C263F5" w:rsidRPr="00461C16">
        <w:t> </w:t>
      </w:r>
      <w:r w:rsidRPr="00461C16">
        <w:t>jihu</w:t>
      </w:r>
      <w:r w:rsidR="00C263F5" w:rsidRPr="00461C16">
        <w:t>, okolo stávajícího kynologického cvičiště</w:t>
      </w:r>
      <w:r w:rsidRPr="00461C16">
        <w:t>, přičemž předpokládá přestavbu současných zahrádek, které v poloze ve vnitřním území města a v blízkosti historického jádra představují funkčně a urbanisticky nevhodný a rušivý prvek, bez městotvorného efektu.</w:t>
      </w:r>
    </w:p>
    <w:p w14:paraId="3F93CAC7" w14:textId="77777777" w:rsidR="00EA67C9" w:rsidRPr="00461C16" w:rsidRDefault="00EA67C9" w:rsidP="00EA67C9">
      <w:pPr>
        <w:pStyle w:val="1text"/>
        <w:spacing w:after="120"/>
      </w:pPr>
      <w:r w:rsidRPr="00461C16">
        <w:t xml:space="preserve">Plocha P06 předpokládá přestavbu málo využívané severní části výrobního areálu v ul. Lidická, na levém břehu Lužické Nisy. Umístění sportovních zařízení v souladu se záměrem vlastníka pozemku zkvalitní infrastrukturu občanského vybavení města a možností sportovních a volnočasových aktivit. </w:t>
      </w:r>
    </w:p>
    <w:p w14:paraId="23D70B5D" w14:textId="77777777" w:rsidR="00D95069" w:rsidRPr="00461C16" w:rsidRDefault="00376BA4" w:rsidP="00D95069">
      <w:pPr>
        <w:spacing w:before="120" w:after="120" w:line="240" w:lineRule="auto"/>
      </w:pPr>
      <w:r w:rsidRPr="00461C16">
        <w:lastRenderedPageBreak/>
        <w:t>V části Václavice je navrženo rozšíření stávajícího sportoviště (fotbalové hřiště) na jižním okraji zástavby ve směru do centra sídla. Jedná se o jedinou plochu sportu na území Václavic i i blízké Uhelné, je žádoucí podpořit jeho další rozvoj, případně umístění dalšího zařízení pro sportovní vyžití.</w:t>
      </w:r>
    </w:p>
    <w:p w14:paraId="0BDBA4D0" w14:textId="77777777" w:rsidR="00376BA4" w:rsidRPr="00461C16" w:rsidRDefault="00376BA4" w:rsidP="00D95069">
      <w:pPr>
        <w:spacing w:before="120" w:after="120" w:line="240" w:lineRule="auto"/>
      </w:pPr>
      <w:r w:rsidRPr="00461C16">
        <w:t>Stavby a zařízení pro sport a volný čas jsou rovněž nedílnou součástí ploch pro rekreaci, zejména rekreaci hromadnou a přírodního charakteru. V současnosti je nejvýznamnějším rekreačním územím na území města areál Kristýna, přímo na státní hranici. Atraktivita prostředí, intenzita jeho využití a zájem i ze strany zahraničních návštěvníků vytváří obrovský potenciál tohoto území, na který koncepce ÚP reaguje vymezením ploch pro další rozvoj areálu – plochy Z32 a Z35</w:t>
      </w:r>
      <w:r w:rsidR="00D20526" w:rsidRPr="00461C16">
        <w:t xml:space="preserve">, </w:t>
      </w:r>
      <w:r w:rsidR="00C40AF8" w:rsidRPr="00461C16">
        <w:t>určen</w:t>
      </w:r>
      <w:r w:rsidR="00C40AF8">
        <w:t>é</w:t>
      </w:r>
      <w:r w:rsidR="00C40AF8" w:rsidRPr="00461C16">
        <w:t xml:space="preserve"> </w:t>
      </w:r>
      <w:r w:rsidR="00D20526" w:rsidRPr="00461C16">
        <w:t>pro rekreaci přírodního charakteru, s předpokladem umístění rozsáhlejších</w:t>
      </w:r>
      <w:r w:rsidR="00B345B4" w:rsidRPr="00461C16">
        <w:t xml:space="preserve"> </w:t>
      </w:r>
      <w:r w:rsidR="00D20526" w:rsidRPr="00461C16">
        <w:t>zařízení pro sport, jako jsou otevřená hřiště, rekreační louky a tábořiště, apod.</w:t>
      </w:r>
    </w:p>
    <w:p w14:paraId="044E719E" w14:textId="77777777" w:rsidR="00D95069" w:rsidRPr="00461C16" w:rsidRDefault="00D95069" w:rsidP="00D95069">
      <w:pPr>
        <w:spacing w:before="120"/>
        <w:rPr>
          <w:lang w:eastAsia="cs-CZ"/>
        </w:rPr>
      </w:pPr>
      <w:r w:rsidRPr="00461C16">
        <w:rPr>
          <w:rFonts w:cs="Arial"/>
          <w:lang w:eastAsia="en-US"/>
        </w:rPr>
        <w:t>Vznik dalších zařízení pro sport či volný čas je možný v současných plochách pro sport, případně jiných plochách s rozdílným způsobem využití, jako jejich doplňková funkce.</w:t>
      </w:r>
    </w:p>
    <w:p w14:paraId="50697AC3" w14:textId="77777777" w:rsidR="00D95069" w:rsidRPr="00461C16" w:rsidRDefault="00D95069" w:rsidP="00D95069">
      <w:pPr>
        <w:spacing w:before="120" w:after="120"/>
        <w:rPr>
          <w:b/>
          <w:i/>
          <w:sz w:val="24"/>
          <w:szCs w:val="24"/>
        </w:rPr>
      </w:pPr>
      <w:r w:rsidRPr="00461C16">
        <w:rPr>
          <w:b/>
          <w:i/>
          <w:sz w:val="24"/>
          <w:szCs w:val="24"/>
        </w:rPr>
        <w:t>Hřbitovy</w:t>
      </w:r>
    </w:p>
    <w:p w14:paraId="799765CD" w14:textId="77777777" w:rsidR="00D95069" w:rsidRPr="00461C16" w:rsidRDefault="00D95069" w:rsidP="00D95069">
      <w:pPr>
        <w:pStyle w:val="1text"/>
        <w:spacing w:after="120"/>
        <w:rPr>
          <w:i/>
          <w:sz w:val="20"/>
          <w:szCs w:val="20"/>
        </w:rPr>
      </w:pPr>
      <w:r w:rsidRPr="00461C16">
        <w:rPr>
          <w:i/>
          <w:sz w:val="20"/>
          <w:szCs w:val="20"/>
        </w:rPr>
        <w:t xml:space="preserve">(k bodům </w:t>
      </w:r>
      <w:r w:rsidR="00755B22" w:rsidRPr="00461C16">
        <w:rPr>
          <w:i/>
          <w:sz w:val="20"/>
          <w:szCs w:val="20"/>
        </w:rPr>
        <w:t>D7</w:t>
      </w:r>
      <w:r w:rsidR="00755B22">
        <w:rPr>
          <w:i/>
          <w:sz w:val="20"/>
          <w:szCs w:val="20"/>
        </w:rPr>
        <w:t>3</w:t>
      </w:r>
      <w:r w:rsidR="00755B22" w:rsidRPr="00461C16">
        <w:rPr>
          <w:i/>
          <w:sz w:val="20"/>
          <w:szCs w:val="20"/>
        </w:rPr>
        <w:t xml:space="preserve"> </w:t>
      </w:r>
      <w:r w:rsidRPr="00461C16">
        <w:rPr>
          <w:i/>
          <w:sz w:val="20"/>
          <w:szCs w:val="20"/>
        </w:rPr>
        <w:t xml:space="preserve">– </w:t>
      </w:r>
      <w:r w:rsidR="00755B22" w:rsidRPr="00461C16">
        <w:rPr>
          <w:i/>
          <w:sz w:val="20"/>
          <w:szCs w:val="20"/>
        </w:rPr>
        <w:t>D7</w:t>
      </w:r>
      <w:r w:rsidR="00755B22">
        <w:rPr>
          <w:i/>
          <w:sz w:val="20"/>
          <w:szCs w:val="20"/>
        </w:rPr>
        <w:t>4</w:t>
      </w:r>
      <w:r w:rsidR="00755B22" w:rsidRPr="00461C16">
        <w:rPr>
          <w:i/>
          <w:sz w:val="20"/>
          <w:szCs w:val="20"/>
        </w:rPr>
        <w:t xml:space="preserve"> </w:t>
      </w:r>
      <w:r w:rsidRPr="00461C16">
        <w:rPr>
          <w:i/>
          <w:sz w:val="20"/>
          <w:szCs w:val="20"/>
        </w:rPr>
        <w:t>ÚP)</w:t>
      </w:r>
    </w:p>
    <w:p w14:paraId="402956F1" w14:textId="77777777" w:rsidR="00D95069" w:rsidRPr="00461C16" w:rsidRDefault="00D95069" w:rsidP="00D95069">
      <w:r w:rsidRPr="00461C16">
        <w:t>Na území města Hrádek nad Nisou se nachází celkem 4 hřbitovy, v částech Hrádek nad Nisou, Václavice, Donín a Dolní Suchá. Kapacita hřbitovů je v současnosti i výhledově dostatečná, není nutné ji navyšovat.</w:t>
      </w:r>
    </w:p>
    <w:p w14:paraId="0CF943EE" w14:textId="77777777" w:rsidR="000B0B91" w:rsidRPr="00461C16" w:rsidRDefault="00501553" w:rsidP="007F050A">
      <w:pPr>
        <w:pStyle w:val="Heading3"/>
      </w:pPr>
      <w:bookmarkStart w:id="134" w:name="_Toc36116301"/>
      <w:r w:rsidRPr="00461C16">
        <w:t>6</w:t>
      </w:r>
      <w:r w:rsidR="00BC4E8D" w:rsidRPr="00461C16">
        <w:t>.</w:t>
      </w:r>
      <w:r w:rsidR="000B0B91" w:rsidRPr="00461C16">
        <w:t>5.4</w:t>
      </w:r>
      <w:r w:rsidR="000B0B91" w:rsidRPr="00461C16">
        <w:tab/>
        <w:t>Veřejná prostranství</w:t>
      </w:r>
      <w:bookmarkEnd w:id="134"/>
      <w:r w:rsidR="000B0B91" w:rsidRPr="00461C16">
        <w:t xml:space="preserve"> </w:t>
      </w:r>
    </w:p>
    <w:p w14:paraId="51AFB5E9" w14:textId="77777777" w:rsidR="000B0B91" w:rsidRPr="00461C16" w:rsidRDefault="000B0B91" w:rsidP="007F050A">
      <w:pPr>
        <w:pStyle w:val="1text"/>
        <w:rPr>
          <w:i/>
          <w:sz w:val="20"/>
          <w:szCs w:val="20"/>
        </w:rPr>
      </w:pPr>
      <w:r w:rsidRPr="00461C16">
        <w:rPr>
          <w:i/>
          <w:sz w:val="20"/>
          <w:szCs w:val="20"/>
        </w:rPr>
        <w:t>(k bod</w:t>
      </w:r>
      <w:r w:rsidR="0012694A" w:rsidRPr="00461C16">
        <w:rPr>
          <w:i/>
          <w:sz w:val="20"/>
          <w:szCs w:val="20"/>
        </w:rPr>
        <w:t>ům</w:t>
      </w:r>
      <w:r w:rsidRPr="00461C16">
        <w:rPr>
          <w:i/>
          <w:sz w:val="20"/>
          <w:szCs w:val="20"/>
        </w:rPr>
        <w:t xml:space="preserve"> </w:t>
      </w:r>
      <w:r w:rsidR="00755B22" w:rsidRPr="00461C16">
        <w:rPr>
          <w:i/>
          <w:sz w:val="20"/>
          <w:szCs w:val="20"/>
        </w:rPr>
        <w:t>D7</w:t>
      </w:r>
      <w:r w:rsidR="00755B22">
        <w:rPr>
          <w:i/>
          <w:sz w:val="20"/>
          <w:szCs w:val="20"/>
        </w:rPr>
        <w:t>5</w:t>
      </w:r>
      <w:r w:rsidR="00755B22" w:rsidRPr="00461C16">
        <w:rPr>
          <w:i/>
          <w:sz w:val="20"/>
          <w:szCs w:val="20"/>
        </w:rPr>
        <w:t xml:space="preserve"> </w:t>
      </w:r>
      <w:r w:rsidR="00BB1672" w:rsidRPr="00461C16">
        <w:rPr>
          <w:i/>
          <w:sz w:val="20"/>
          <w:szCs w:val="20"/>
        </w:rPr>
        <w:t xml:space="preserve">– </w:t>
      </w:r>
      <w:r w:rsidR="00755B22" w:rsidRPr="00461C16">
        <w:rPr>
          <w:i/>
          <w:sz w:val="20"/>
          <w:szCs w:val="20"/>
        </w:rPr>
        <w:t>D7</w:t>
      </w:r>
      <w:r w:rsidR="00755B22">
        <w:rPr>
          <w:i/>
          <w:sz w:val="20"/>
          <w:szCs w:val="20"/>
        </w:rPr>
        <w:t>7</w:t>
      </w:r>
      <w:r w:rsidR="00755B22" w:rsidRPr="00461C16">
        <w:rPr>
          <w:i/>
          <w:sz w:val="20"/>
          <w:szCs w:val="20"/>
        </w:rPr>
        <w:t xml:space="preserve"> </w:t>
      </w:r>
      <w:r w:rsidR="0012694A" w:rsidRPr="00461C16">
        <w:rPr>
          <w:i/>
          <w:sz w:val="20"/>
          <w:szCs w:val="20"/>
        </w:rPr>
        <w:t>ÚP)</w:t>
      </w:r>
    </w:p>
    <w:p w14:paraId="5CE28B2D" w14:textId="77777777" w:rsidR="00D95069" w:rsidRPr="00461C16" w:rsidRDefault="00D95069" w:rsidP="00D95069">
      <w:pPr>
        <w:pStyle w:val="1text"/>
        <w:spacing w:before="240"/>
      </w:pPr>
      <w:r w:rsidRPr="00461C16">
        <w:t xml:space="preserve">Veřejná prostranství na území města jsou představována: </w:t>
      </w:r>
    </w:p>
    <w:p w14:paraId="7A022DE3" w14:textId="77777777" w:rsidR="00D95069" w:rsidRPr="00461C16" w:rsidRDefault="00D95069" w:rsidP="004B62B3">
      <w:pPr>
        <w:pStyle w:val="1text"/>
        <w:numPr>
          <w:ilvl w:val="0"/>
          <w:numId w:val="23"/>
        </w:numPr>
        <w:spacing w:before="60"/>
      </w:pPr>
      <w:r w:rsidRPr="00461C16">
        <w:t>Horním náměstím a Dolním náměstím v historickém centru města;</w:t>
      </w:r>
    </w:p>
    <w:p w14:paraId="40A756ED" w14:textId="77777777" w:rsidR="00D95069" w:rsidRPr="00461C16" w:rsidRDefault="00D95069" w:rsidP="004B62B3">
      <w:pPr>
        <w:pStyle w:val="1text"/>
        <w:numPr>
          <w:ilvl w:val="0"/>
          <w:numId w:val="23"/>
        </w:numPr>
        <w:spacing w:before="60"/>
      </w:pPr>
      <w:r w:rsidRPr="00461C16">
        <w:t>prostranstvím před budovou ZŠ mezi ul. Školní – Smetanova;</w:t>
      </w:r>
    </w:p>
    <w:p w14:paraId="6EBE8681" w14:textId="6B68513E" w:rsidR="00D95069" w:rsidRPr="00461C16" w:rsidRDefault="00D95069" w:rsidP="004B62B3">
      <w:pPr>
        <w:pStyle w:val="1text"/>
        <w:numPr>
          <w:ilvl w:val="0"/>
          <w:numId w:val="23"/>
        </w:numPr>
        <w:spacing w:before="60"/>
      </w:pPr>
      <w:r w:rsidRPr="00461C16">
        <w:t>městským parkem mezi ul. Hradební – Gen. Svobody – 1</w:t>
      </w:r>
      <w:r w:rsidR="00021DC8">
        <w:t>.</w:t>
      </w:r>
      <w:r w:rsidR="00021DC8" w:rsidRPr="00461C16">
        <w:t xml:space="preserve"> </w:t>
      </w:r>
      <w:r w:rsidRPr="00461C16">
        <w:t>máje – Kamenná;</w:t>
      </w:r>
    </w:p>
    <w:p w14:paraId="1E3AFCD9" w14:textId="77777777" w:rsidR="00D95069" w:rsidRPr="00461C16" w:rsidRDefault="00D95069" w:rsidP="004B62B3">
      <w:pPr>
        <w:pStyle w:val="1text"/>
        <w:numPr>
          <w:ilvl w:val="0"/>
          <w:numId w:val="23"/>
        </w:numPr>
        <w:spacing w:before="60"/>
      </w:pPr>
      <w:r w:rsidRPr="00461C16">
        <w:t>plochou veřejné zeleně mezi Horním náměstím a městskou knihovnou;</w:t>
      </w:r>
    </w:p>
    <w:p w14:paraId="5802DF95" w14:textId="77777777" w:rsidR="00D95069" w:rsidRPr="00461C16" w:rsidRDefault="00D95069" w:rsidP="004B62B3">
      <w:pPr>
        <w:pStyle w:val="1text"/>
        <w:numPr>
          <w:ilvl w:val="0"/>
          <w:numId w:val="23"/>
        </w:numPr>
        <w:spacing w:before="60"/>
      </w:pPr>
      <w:r w:rsidRPr="00461C16">
        <w:t>plochou veřejné zeleně mezi sídlištěm v ul. Pod Tratí a výrobním areálem;</w:t>
      </w:r>
    </w:p>
    <w:p w14:paraId="01482D4D" w14:textId="77777777" w:rsidR="00D95069" w:rsidRPr="00461C16" w:rsidRDefault="00D95069" w:rsidP="004B62B3">
      <w:pPr>
        <w:pStyle w:val="1text"/>
        <w:numPr>
          <w:ilvl w:val="0"/>
          <w:numId w:val="23"/>
        </w:numPr>
        <w:spacing w:before="60"/>
      </w:pPr>
      <w:r w:rsidRPr="00461C16">
        <w:t>plochou veřejné zeleně na sídlišti v ul. Liberecká;</w:t>
      </w:r>
    </w:p>
    <w:p w14:paraId="48FE921A" w14:textId="77777777" w:rsidR="00D95069" w:rsidRPr="00461C16" w:rsidRDefault="00D95069" w:rsidP="004B62B3">
      <w:pPr>
        <w:pStyle w:val="1text"/>
        <w:numPr>
          <w:ilvl w:val="0"/>
          <w:numId w:val="23"/>
        </w:numPr>
        <w:spacing w:before="60"/>
      </w:pPr>
      <w:r w:rsidRPr="00461C16">
        <w:t>plochou veřejné zeleně mezi ul. Zahradní</w:t>
      </w:r>
      <w:r w:rsidR="00B345B4" w:rsidRPr="00461C16">
        <w:t xml:space="preserve"> </w:t>
      </w:r>
      <w:r w:rsidRPr="00461C16">
        <w:t xml:space="preserve">- Na Příkopech – Zelená v lokalitě Zlatá Výšina; </w:t>
      </w:r>
    </w:p>
    <w:p w14:paraId="6937D2F3" w14:textId="77777777" w:rsidR="00D95069" w:rsidRPr="00461C16" w:rsidRDefault="00D95069" w:rsidP="004B62B3">
      <w:pPr>
        <w:pStyle w:val="1text"/>
        <w:numPr>
          <w:ilvl w:val="0"/>
          <w:numId w:val="23"/>
        </w:numPr>
        <w:spacing w:before="60"/>
      </w:pPr>
      <w:r w:rsidRPr="00461C16">
        <w:t>parkem u Lidového domu v ul. Žitavská;</w:t>
      </w:r>
    </w:p>
    <w:p w14:paraId="1DA4A1FA" w14:textId="77777777" w:rsidR="00D95069" w:rsidRPr="00461C16" w:rsidRDefault="00D95069" w:rsidP="004B62B3">
      <w:pPr>
        <w:pStyle w:val="1text"/>
        <w:numPr>
          <w:ilvl w:val="0"/>
          <w:numId w:val="23"/>
        </w:numPr>
        <w:spacing w:before="60"/>
      </w:pPr>
      <w:r w:rsidRPr="00461C16">
        <w:t>prostranstvím mezi ul. Souběžná – Rynoltická v části Donín;</w:t>
      </w:r>
    </w:p>
    <w:p w14:paraId="4FE6A44C" w14:textId="77777777" w:rsidR="00D95069" w:rsidRPr="00461C16" w:rsidRDefault="00D95069" w:rsidP="004B62B3">
      <w:pPr>
        <w:pStyle w:val="1text"/>
        <w:numPr>
          <w:ilvl w:val="0"/>
          <w:numId w:val="23"/>
        </w:numPr>
        <w:spacing w:before="60"/>
      </w:pPr>
      <w:r w:rsidRPr="00461C16">
        <w:t xml:space="preserve">návesními prostory v dalších částech města, </w:t>
      </w:r>
    </w:p>
    <w:p w14:paraId="5E39E574" w14:textId="77777777" w:rsidR="00D95069" w:rsidRPr="00461C16" w:rsidRDefault="00D95069" w:rsidP="004B62B3">
      <w:pPr>
        <w:pStyle w:val="1text"/>
        <w:numPr>
          <w:ilvl w:val="0"/>
          <w:numId w:val="23"/>
        </w:numPr>
        <w:spacing w:before="60"/>
      </w:pPr>
      <w:r w:rsidRPr="00461C16">
        <w:t>dalšími veřejnými prostory umožňujícími pohyb a pobyt obyvatel i návštěvníků města.</w:t>
      </w:r>
      <w:r w:rsidR="00B345B4" w:rsidRPr="00461C16">
        <w:t xml:space="preserve"> </w:t>
      </w:r>
    </w:p>
    <w:p w14:paraId="6E2477EB" w14:textId="77777777" w:rsidR="00D95069" w:rsidRPr="00461C16" w:rsidRDefault="00D95069" w:rsidP="00D95069">
      <w:pPr>
        <w:pStyle w:val="1text"/>
      </w:pPr>
      <w:r w:rsidRPr="00461C16">
        <w:t>Uvedené plochy jsou vymezeny jako plochy veřejných prostranství (PV) či veřejné zeleně na veřejných prostranstvích (ZV) z důvodu zachování jejich kompoziční a sociální funkce, které je nezbytným předpokladem pro pohodu a kvalitu bydlení.</w:t>
      </w:r>
    </w:p>
    <w:p w14:paraId="081957FA" w14:textId="77777777" w:rsidR="00D95069" w:rsidRPr="00461C16" w:rsidRDefault="00D95069" w:rsidP="00D95069">
      <w:pPr>
        <w:pStyle w:val="1text"/>
      </w:pPr>
      <w:r w:rsidRPr="00461C16">
        <w:t xml:space="preserve">Za veřejná prostranství jsou považovány i místní komunikace a účelové polní a lesní cesty v krajině, které mají význam i pro zajištění prostupnosti krajiny. </w:t>
      </w:r>
    </w:p>
    <w:p w14:paraId="4F50D0FC" w14:textId="77777777" w:rsidR="00D95069" w:rsidRPr="00461C16" w:rsidRDefault="00D95069" w:rsidP="00D95069">
      <w:pPr>
        <w:pStyle w:val="1text"/>
        <w:rPr>
          <w:lang w:eastAsia="en-US"/>
        </w:rPr>
      </w:pPr>
      <w:r w:rsidRPr="00461C16">
        <w:t>Pro další rozvoj systému veřejných prostranství je podstatné, že jsou nedílnou součástí stabilizovaných i návrhových ploch, zejména ploch</w:t>
      </w:r>
      <w:r w:rsidRPr="00461C16">
        <w:rPr>
          <w:lang w:eastAsia="en-US"/>
        </w:rPr>
        <w:t xml:space="preserve"> smíšených obytných, ploch bydlení, ploch rekreace, ploch občanského vybavení či ploch výroby. Podrobné podmínky jsou uvedeny v kapitole F ÚP. </w:t>
      </w:r>
    </w:p>
    <w:p w14:paraId="6A6E321B" w14:textId="77777777" w:rsidR="0012694A" w:rsidRPr="00461C16" w:rsidRDefault="00D95069" w:rsidP="00D95069">
      <w:pPr>
        <w:pStyle w:val="1text"/>
      </w:pPr>
      <w:r w:rsidRPr="00461C16">
        <w:t>ÚP stanovuje závazný požadavek na vymezení veřejných prostranství v rámci zastavitelných ploch smíšených obytných, ploch bydlení, ploch občanského vybavení a ploch rekreace, a to v rozsahu 1000 m</w:t>
      </w:r>
      <w:r w:rsidRPr="00461C16">
        <w:rPr>
          <w:vertAlign w:val="superscript"/>
        </w:rPr>
        <w:t>2</w:t>
      </w:r>
      <w:r w:rsidRPr="00461C16">
        <w:t xml:space="preserve"> plochy veřejného prostranství na každé 2 ha zastavitelné plochy nebo plochy přestavby, přičemž do výměry veřejných prostranství se nezapočítávají pozemní komunikace. Tento požadavek vychází z ustanovení §7 odst. (2) vyhlášky č. 501/2006 Sb.</w:t>
      </w:r>
      <w:r w:rsidR="0012694A" w:rsidRPr="00461C16">
        <w:t xml:space="preserve"> </w:t>
      </w:r>
    </w:p>
    <w:p w14:paraId="2085187E" w14:textId="77777777" w:rsidR="006E3B0F" w:rsidRPr="00461C16" w:rsidRDefault="006E3B0F" w:rsidP="006E3B0F">
      <w:pPr>
        <w:pStyle w:val="Heading3"/>
      </w:pPr>
      <w:bookmarkStart w:id="135" w:name="_Toc36116302"/>
      <w:r w:rsidRPr="00461C16">
        <w:lastRenderedPageBreak/>
        <w:t>6.5.</w:t>
      </w:r>
      <w:r>
        <w:t>5</w:t>
      </w:r>
      <w:r w:rsidRPr="00461C16">
        <w:tab/>
      </w:r>
      <w:r>
        <w:t>Ochrana obyvatelstva</w:t>
      </w:r>
      <w:bookmarkEnd w:id="135"/>
      <w:r w:rsidRPr="00461C16">
        <w:t xml:space="preserve"> </w:t>
      </w:r>
    </w:p>
    <w:p w14:paraId="2D0955B8" w14:textId="77777777" w:rsidR="006E3B0F" w:rsidRPr="007D609B" w:rsidRDefault="006E3B0F" w:rsidP="006E3B0F">
      <w:pPr>
        <w:pStyle w:val="4podnadpis"/>
      </w:pPr>
      <w:r w:rsidRPr="007D609B">
        <w:t>Podklady</w:t>
      </w:r>
    </w:p>
    <w:p w14:paraId="5A2A334F" w14:textId="77777777" w:rsidR="006E3B0F" w:rsidRPr="00BC1E83" w:rsidRDefault="006E3B0F" w:rsidP="006E3B0F">
      <w:pPr>
        <w:spacing w:before="120"/>
      </w:pPr>
      <w:r w:rsidRPr="007D609B">
        <w:t>Pro stanovení podmínek ochrany obyvatelstva byly kromě průzkumu území a požadavků schváleného Zadání ÚP</w:t>
      </w:r>
      <w:r>
        <w:t xml:space="preserve"> </w:t>
      </w:r>
      <w:r w:rsidRPr="007D609B">
        <w:t>využity následující podklady:</w:t>
      </w:r>
    </w:p>
    <w:p w14:paraId="1FFF31C5" w14:textId="77777777" w:rsidR="006E3B0F" w:rsidRDefault="006E3B0F" w:rsidP="00D015E5">
      <w:pPr>
        <w:pStyle w:val="5odrazka"/>
        <w:spacing w:before="120"/>
      </w:pPr>
      <w:r w:rsidRPr="00BC1E83">
        <w:t xml:space="preserve">ÚAP ORP Liberec, v nichž jsou uvedeny jevy související s ochranou obyvatelstva, </w:t>
      </w:r>
    </w:p>
    <w:p w14:paraId="1C2524C4" w14:textId="77777777" w:rsidR="00D84C37" w:rsidRDefault="00D84C37" w:rsidP="00D84C37">
      <w:pPr>
        <w:pStyle w:val="5odrazka"/>
      </w:pPr>
      <w:r>
        <w:t>Program rozvoje města Hrádek nad Nisou na období 2017 – 2022 (schválen Zastupitelstvem města Hrádek nad Nisou dne 31.8.2016),</w:t>
      </w:r>
    </w:p>
    <w:p w14:paraId="580030A5" w14:textId="77777777" w:rsidR="00BC1E83" w:rsidRPr="00BC1E83" w:rsidRDefault="00BC1E83" w:rsidP="00BC1E83">
      <w:pPr>
        <w:pStyle w:val="5odrazka"/>
      </w:pPr>
      <w:r>
        <w:t>Havarijní plán Libereckého kraje,</w:t>
      </w:r>
    </w:p>
    <w:p w14:paraId="1A5701AF" w14:textId="77777777" w:rsidR="006E3B0F" w:rsidRPr="00BC1E83" w:rsidRDefault="006E3B0F" w:rsidP="006E3B0F">
      <w:pPr>
        <w:pStyle w:val="5odrazka"/>
      </w:pPr>
      <w:r w:rsidRPr="00BC1E83">
        <w:t xml:space="preserve">Požární </w:t>
      </w:r>
      <w:r w:rsidR="00BC1E83" w:rsidRPr="00BC1E83">
        <w:t xml:space="preserve">poplachový plán </w:t>
      </w:r>
      <w:r w:rsidRPr="00BC1E83">
        <w:t>města</w:t>
      </w:r>
      <w:r w:rsidR="00BC1E83" w:rsidRPr="00BC1E83">
        <w:t xml:space="preserve"> Hrádek nad Nisou, </w:t>
      </w:r>
    </w:p>
    <w:p w14:paraId="16E864F4" w14:textId="77777777" w:rsidR="006E3B0F" w:rsidRPr="00BC1E83" w:rsidRDefault="006E3B0F" w:rsidP="00BC1E83">
      <w:pPr>
        <w:pStyle w:val="5odrazka"/>
      </w:pPr>
      <w:r w:rsidRPr="00BC1E83">
        <w:t xml:space="preserve">Povodňový plán </w:t>
      </w:r>
      <w:r w:rsidR="00BC1E83" w:rsidRPr="00BC1E83">
        <w:t>města Hrádek nad Nisou.</w:t>
      </w:r>
      <w:r w:rsidRPr="00BC1E83">
        <w:t xml:space="preserve"> </w:t>
      </w:r>
    </w:p>
    <w:p w14:paraId="6C7597F7" w14:textId="77777777" w:rsidR="006E3B0F" w:rsidRPr="007D609B" w:rsidRDefault="006E3B0F" w:rsidP="006E3B0F">
      <w:pPr>
        <w:pStyle w:val="4podnadpis"/>
      </w:pPr>
      <w:r w:rsidRPr="00BC1E83">
        <w:t>Návrh řešení a jeho odůvodnění</w:t>
      </w:r>
    </w:p>
    <w:p w14:paraId="7653C8D3" w14:textId="77777777" w:rsidR="006E3B0F" w:rsidRPr="007D609B" w:rsidRDefault="006E3B0F" w:rsidP="006E3B0F">
      <w:pPr>
        <w:pStyle w:val="4podnadpis"/>
        <w:rPr>
          <w:i w:val="0"/>
        </w:rPr>
      </w:pPr>
      <w:r w:rsidRPr="007D609B">
        <w:rPr>
          <w:i w:val="0"/>
        </w:rPr>
        <w:t>Požární ochrana</w:t>
      </w:r>
    </w:p>
    <w:p w14:paraId="074C4EA7" w14:textId="77777777" w:rsidR="006E3B0F" w:rsidRPr="00AE63DA" w:rsidRDefault="006E3B0F" w:rsidP="006E3B0F">
      <w:pPr>
        <w:pStyle w:val="1text"/>
        <w:rPr>
          <w:i/>
          <w:sz w:val="20"/>
          <w:szCs w:val="20"/>
        </w:rPr>
      </w:pPr>
      <w:r w:rsidRPr="00BC1E83">
        <w:rPr>
          <w:i/>
          <w:sz w:val="20"/>
          <w:szCs w:val="20"/>
        </w:rPr>
        <w:t>(k bodům D</w:t>
      </w:r>
      <w:r w:rsidR="00BC1E83" w:rsidRPr="00BC1E83">
        <w:rPr>
          <w:i/>
          <w:sz w:val="20"/>
          <w:szCs w:val="20"/>
        </w:rPr>
        <w:t>7</w:t>
      </w:r>
      <w:r w:rsidR="00755B22">
        <w:rPr>
          <w:i/>
          <w:sz w:val="20"/>
          <w:szCs w:val="20"/>
        </w:rPr>
        <w:t>8</w:t>
      </w:r>
      <w:r w:rsidRPr="00BC1E83">
        <w:rPr>
          <w:i/>
          <w:sz w:val="20"/>
          <w:szCs w:val="20"/>
        </w:rPr>
        <w:t xml:space="preserve"> – D</w:t>
      </w:r>
      <w:r w:rsidR="00BC1E83" w:rsidRPr="00BC1E83">
        <w:rPr>
          <w:i/>
          <w:sz w:val="20"/>
          <w:szCs w:val="20"/>
        </w:rPr>
        <w:t>8</w:t>
      </w:r>
      <w:r w:rsidR="00755B22">
        <w:rPr>
          <w:i/>
          <w:sz w:val="20"/>
          <w:szCs w:val="20"/>
        </w:rPr>
        <w:t>0</w:t>
      </w:r>
      <w:r w:rsidRPr="00BC1E83">
        <w:rPr>
          <w:i/>
          <w:sz w:val="20"/>
          <w:szCs w:val="20"/>
        </w:rPr>
        <w:t xml:space="preserve"> ÚP)</w:t>
      </w:r>
    </w:p>
    <w:p w14:paraId="157203DC" w14:textId="77777777" w:rsidR="00346ED2" w:rsidRPr="00D24946" w:rsidRDefault="00346ED2" w:rsidP="006E3B0F">
      <w:pPr>
        <w:pStyle w:val="1text"/>
      </w:pPr>
      <w:r>
        <w:t xml:space="preserve">Problematika požární ochrany </w:t>
      </w:r>
      <w:r w:rsidRPr="00D24946">
        <w:t>je řešena v</w:t>
      </w:r>
      <w:r w:rsidR="00D24946" w:rsidRPr="00D24946">
        <w:t xml:space="preserve"> Požárním řádu a </w:t>
      </w:r>
      <w:r w:rsidRPr="00D24946">
        <w:t xml:space="preserve">Požárním poplachovém plánu města. </w:t>
      </w:r>
    </w:p>
    <w:p w14:paraId="520AC252" w14:textId="1C019A48" w:rsidR="006E3B0F" w:rsidRPr="00D24946" w:rsidRDefault="006E3B0F" w:rsidP="006E3B0F">
      <w:pPr>
        <w:pStyle w:val="1text"/>
      </w:pPr>
      <w:r w:rsidRPr="00D24946">
        <w:t>V</w:t>
      </w:r>
      <w:r w:rsidR="00346ED2" w:rsidRPr="00D24946">
        <w:t> ÚP jsou v</w:t>
      </w:r>
      <w:r w:rsidRPr="00D24946">
        <w:t xml:space="preserve"> oblasti požární ochrany definovány základní požadavky na zajištění a dostupnost zdrojů požární vody. V současné době jsou pro hašení požárů </w:t>
      </w:r>
      <w:r w:rsidR="00D24946" w:rsidRPr="00D24946">
        <w:t>Požárním řádem stanoveny</w:t>
      </w:r>
      <w:r w:rsidRPr="00D24946">
        <w:t xml:space="preserve"> následující zdroje:</w:t>
      </w:r>
    </w:p>
    <w:p w14:paraId="01CDB4DC" w14:textId="77777777" w:rsidR="00D24946" w:rsidRDefault="00D24946" w:rsidP="008B5164">
      <w:pPr>
        <w:pStyle w:val="NormalWeb"/>
        <w:shd w:val="clear" w:color="auto" w:fill="FFFFFF"/>
        <w:spacing w:before="120" w:beforeAutospacing="0" w:after="0" w:afterAutospacing="0"/>
        <w:rPr>
          <w:rFonts w:ascii="Arial Narrow" w:hAnsi="Arial Narrow"/>
          <w:color w:val="000000"/>
          <w:sz w:val="22"/>
          <w:szCs w:val="22"/>
        </w:rPr>
      </w:pPr>
      <w:r w:rsidRPr="00D24946">
        <w:rPr>
          <w:rFonts w:ascii="Arial Narrow" w:hAnsi="Arial Narrow"/>
          <w:color w:val="000000"/>
          <w:sz w:val="22"/>
          <w:szCs w:val="22"/>
        </w:rPr>
        <w:t>a) </w:t>
      </w:r>
      <w:r w:rsidRPr="00D24946">
        <w:rPr>
          <w:rFonts w:ascii="Arial Narrow" w:hAnsi="Arial Narrow"/>
          <w:color w:val="000000"/>
          <w:sz w:val="22"/>
          <w:szCs w:val="22"/>
        </w:rPr>
        <w:tab/>
        <w:t>přirozené</w:t>
      </w:r>
      <w:r w:rsidR="008B5164">
        <w:rPr>
          <w:rFonts w:ascii="Arial Narrow" w:hAnsi="Arial Narrow"/>
          <w:color w:val="000000"/>
          <w:sz w:val="22"/>
          <w:szCs w:val="22"/>
        </w:rPr>
        <w:t>:</w:t>
      </w:r>
    </w:p>
    <w:p w14:paraId="4BA01312" w14:textId="77777777" w:rsidR="00D24946" w:rsidRDefault="00D24946" w:rsidP="00A06EB9">
      <w:pPr>
        <w:pStyle w:val="NormalWeb"/>
        <w:numPr>
          <w:ilvl w:val="0"/>
          <w:numId w:val="93"/>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řeka Nisa – čerpací stanoviště za Pragovkou, u VVK</w:t>
      </w:r>
    </w:p>
    <w:p w14:paraId="57086764" w14:textId="77777777" w:rsidR="00D24946" w:rsidRDefault="00D24946" w:rsidP="00A06EB9">
      <w:pPr>
        <w:pStyle w:val="NormalWeb"/>
        <w:numPr>
          <w:ilvl w:val="0"/>
          <w:numId w:val="93"/>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jezero Kristýna – čerpací stanoviště střed</w:t>
      </w:r>
    </w:p>
    <w:p w14:paraId="78734D9A" w14:textId="77777777" w:rsidR="00D24946" w:rsidRDefault="00D24946" w:rsidP="00A06EB9">
      <w:pPr>
        <w:pStyle w:val="NormalWeb"/>
        <w:numPr>
          <w:ilvl w:val="0"/>
          <w:numId w:val="93"/>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rybník – Dolní Sedlo</w:t>
      </w:r>
    </w:p>
    <w:p w14:paraId="7A750AD2" w14:textId="77777777" w:rsidR="00D24946" w:rsidRDefault="00D24946" w:rsidP="00A06EB9">
      <w:pPr>
        <w:pStyle w:val="NormalWeb"/>
        <w:numPr>
          <w:ilvl w:val="0"/>
          <w:numId w:val="93"/>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rybník – Václavice za Lembergrem</w:t>
      </w:r>
    </w:p>
    <w:p w14:paraId="772D207C" w14:textId="77777777" w:rsidR="00D24946" w:rsidRDefault="00D24946" w:rsidP="008B5164">
      <w:pPr>
        <w:pStyle w:val="NormalWeb"/>
        <w:shd w:val="clear" w:color="auto" w:fill="FFFFFF"/>
        <w:spacing w:before="120" w:beforeAutospacing="0" w:after="0" w:afterAutospacing="0"/>
        <w:rPr>
          <w:rFonts w:ascii="Arial Narrow" w:hAnsi="Arial Narrow"/>
          <w:color w:val="000000"/>
          <w:sz w:val="22"/>
          <w:szCs w:val="22"/>
        </w:rPr>
      </w:pPr>
      <w:r w:rsidRPr="00D24946">
        <w:rPr>
          <w:rFonts w:ascii="Arial Narrow" w:hAnsi="Arial Narrow"/>
          <w:color w:val="000000"/>
          <w:sz w:val="22"/>
          <w:szCs w:val="22"/>
        </w:rPr>
        <w:t>b) </w:t>
      </w:r>
      <w:r>
        <w:rPr>
          <w:rFonts w:ascii="Arial Narrow" w:hAnsi="Arial Narrow"/>
          <w:color w:val="000000"/>
          <w:sz w:val="22"/>
          <w:szCs w:val="22"/>
        </w:rPr>
        <w:tab/>
      </w:r>
      <w:r w:rsidRPr="00D24946">
        <w:rPr>
          <w:rFonts w:ascii="Arial Narrow" w:hAnsi="Arial Narrow"/>
          <w:color w:val="000000"/>
          <w:sz w:val="22"/>
          <w:szCs w:val="22"/>
        </w:rPr>
        <w:t>umělé</w:t>
      </w:r>
      <w:r w:rsidR="008B5164">
        <w:rPr>
          <w:rFonts w:ascii="Arial Narrow" w:hAnsi="Arial Narrow"/>
          <w:color w:val="000000"/>
          <w:sz w:val="22"/>
          <w:szCs w:val="22"/>
        </w:rPr>
        <w:t>:</w:t>
      </w:r>
      <w:r w:rsidRPr="00D24946">
        <w:rPr>
          <w:rFonts w:ascii="Arial Narrow" w:hAnsi="Arial Narrow"/>
          <w:color w:val="000000"/>
          <w:sz w:val="22"/>
          <w:szCs w:val="22"/>
        </w:rPr>
        <w:t xml:space="preserve"> </w:t>
      </w:r>
    </w:p>
    <w:p w14:paraId="19441B2D" w14:textId="77777777" w:rsidR="00D24946" w:rsidRDefault="00D24946" w:rsidP="00A06EB9">
      <w:pPr>
        <w:pStyle w:val="NormalWeb"/>
        <w:numPr>
          <w:ilvl w:val="0"/>
          <w:numId w:val="95"/>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studna pod Bekonem, Luční ul., Hrádek nad Nisou</w:t>
      </w:r>
      <w:r>
        <w:rPr>
          <w:rFonts w:ascii="Arial Narrow" w:hAnsi="Arial Narrow"/>
          <w:color w:val="000000"/>
          <w:sz w:val="22"/>
          <w:szCs w:val="22"/>
        </w:rPr>
        <w:t xml:space="preserve"> </w:t>
      </w:r>
    </w:p>
    <w:p w14:paraId="64D35700" w14:textId="77777777" w:rsidR="00D24946" w:rsidRDefault="00D24946" w:rsidP="00A06EB9">
      <w:pPr>
        <w:pStyle w:val="NormalWeb"/>
        <w:numPr>
          <w:ilvl w:val="0"/>
          <w:numId w:val="95"/>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požární nádrž D-Plast Efftec, Větrná ul., Hrádek nad Nisou</w:t>
      </w:r>
    </w:p>
    <w:p w14:paraId="1ABD8A0C" w14:textId="77777777" w:rsidR="00D24946" w:rsidRDefault="00D24946" w:rsidP="00A06EB9">
      <w:pPr>
        <w:pStyle w:val="NormalWeb"/>
        <w:numPr>
          <w:ilvl w:val="0"/>
          <w:numId w:val="95"/>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požární nádrž v bývalém areálu Vulkan, U Gumovky, Hrádek nad Nisou</w:t>
      </w:r>
    </w:p>
    <w:p w14:paraId="7465A92D" w14:textId="77777777" w:rsidR="00D24946" w:rsidRPr="00D24946" w:rsidRDefault="00D24946" w:rsidP="00A06EB9">
      <w:pPr>
        <w:pStyle w:val="NormalWeb"/>
        <w:numPr>
          <w:ilvl w:val="0"/>
          <w:numId w:val="95"/>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požární nádrž v bývalém areálu Kortan, Loučná, Hrádek nad Nisou</w:t>
      </w:r>
    </w:p>
    <w:p w14:paraId="7B1813BD" w14:textId="77777777" w:rsidR="00D24946" w:rsidRDefault="00D24946" w:rsidP="008B5164">
      <w:pPr>
        <w:pStyle w:val="NormalWeb"/>
        <w:shd w:val="clear" w:color="auto" w:fill="FFFFFF"/>
        <w:spacing w:before="120" w:beforeAutospacing="0" w:after="0" w:afterAutospacing="0"/>
        <w:ind w:left="709" w:hanging="709"/>
        <w:rPr>
          <w:rFonts w:ascii="Arial Narrow" w:hAnsi="Arial Narrow"/>
          <w:color w:val="000000"/>
          <w:sz w:val="22"/>
          <w:szCs w:val="22"/>
        </w:rPr>
      </w:pPr>
      <w:r w:rsidRPr="00D24946">
        <w:rPr>
          <w:rFonts w:ascii="Arial Narrow" w:hAnsi="Arial Narrow"/>
          <w:color w:val="000000"/>
          <w:sz w:val="22"/>
          <w:szCs w:val="22"/>
        </w:rPr>
        <w:t>c) </w:t>
      </w:r>
      <w:r>
        <w:rPr>
          <w:rFonts w:ascii="Arial Narrow" w:hAnsi="Arial Narrow"/>
          <w:color w:val="000000"/>
          <w:sz w:val="22"/>
          <w:szCs w:val="22"/>
        </w:rPr>
        <w:tab/>
      </w:r>
      <w:r w:rsidRPr="00D24946">
        <w:rPr>
          <w:rFonts w:ascii="Arial Narrow" w:hAnsi="Arial Narrow"/>
          <w:color w:val="000000"/>
          <w:sz w:val="22"/>
          <w:szCs w:val="22"/>
        </w:rPr>
        <w:t>víceúčelové</w:t>
      </w:r>
      <w:r w:rsidR="008B5164">
        <w:rPr>
          <w:rFonts w:ascii="Arial Narrow" w:hAnsi="Arial Narrow"/>
          <w:color w:val="000000"/>
          <w:sz w:val="22"/>
          <w:szCs w:val="22"/>
        </w:rPr>
        <w:t>:</w:t>
      </w:r>
      <w:r w:rsidRPr="00D24946">
        <w:rPr>
          <w:rFonts w:ascii="Arial Narrow" w:hAnsi="Arial Narrow"/>
          <w:color w:val="000000"/>
          <w:sz w:val="22"/>
          <w:szCs w:val="22"/>
        </w:rPr>
        <w:t xml:space="preserve"> </w:t>
      </w:r>
    </w:p>
    <w:p w14:paraId="65BA252E" w14:textId="77777777" w:rsidR="00D24946" w:rsidRDefault="00D24946" w:rsidP="00A06EB9">
      <w:pPr>
        <w:pStyle w:val="NormalWeb"/>
        <w:numPr>
          <w:ilvl w:val="0"/>
          <w:numId w:val="94"/>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koupaliště – TJ Orel, U koupaliště, Hrádek nad Nisou</w:t>
      </w:r>
      <w:r>
        <w:rPr>
          <w:rFonts w:ascii="Arial Narrow" w:hAnsi="Arial Narrow"/>
          <w:color w:val="000000"/>
          <w:sz w:val="22"/>
          <w:szCs w:val="22"/>
        </w:rPr>
        <w:t xml:space="preserve"> </w:t>
      </w:r>
    </w:p>
    <w:p w14:paraId="313148BA" w14:textId="77777777" w:rsidR="00D24946" w:rsidRPr="00D24946" w:rsidRDefault="00D24946" w:rsidP="00A06EB9">
      <w:pPr>
        <w:pStyle w:val="NormalWeb"/>
        <w:numPr>
          <w:ilvl w:val="0"/>
          <w:numId w:val="94"/>
        </w:numPr>
        <w:shd w:val="clear" w:color="auto" w:fill="FFFFFF"/>
        <w:spacing w:before="60" w:beforeAutospacing="0" w:after="0" w:afterAutospacing="0"/>
        <w:rPr>
          <w:rFonts w:ascii="Arial Narrow" w:hAnsi="Arial Narrow"/>
          <w:color w:val="000000"/>
          <w:sz w:val="22"/>
          <w:szCs w:val="22"/>
        </w:rPr>
      </w:pPr>
      <w:r w:rsidRPr="00D24946">
        <w:rPr>
          <w:rFonts w:ascii="Arial Narrow" w:hAnsi="Arial Narrow"/>
          <w:color w:val="000000"/>
          <w:sz w:val="22"/>
          <w:szCs w:val="22"/>
        </w:rPr>
        <w:t>přehrada Václavice, Hrádek nad Nisou</w:t>
      </w:r>
    </w:p>
    <w:p w14:paraId="4ABFDA71" w14:textId="77777777" w:rsidR="006E3B0F" w:rsidRPr="006E3B0F" w:rsidRDefault="006E3B0F" w:rsidP="006E3B0F">
      <w:pPr>
        <w:pStyle w:val="1text"/>
      </w:pPr>
      <w:r w:rsidRPr="006E3B0F">
        <w:t>Pro rozsáhlé areály výroby je doporučeno vybudování akumulačních nádrží, které budou sloužit jako zdroje technologické vody a zároveň požární vody. Jedná se o preventivní opatření, s ohledem na zvýšené riziko požáru v těchto plochách i na jejich územní rozsah.</w:t>
      </w:r>
      <w:r w:rsidR="00346ED2">
        <w:t xml:space="preserve"> Důvodem je rovněž omezená kapacita stávajících zdrojů požární vody.</w:t>
      </w:r>
    </w:p>
    <w:p w14:paraId="3D2BF6D8" w14:textId="77777777" w:rsidR="006E3B0F" w:rsidRPr="006E3B0F" w:rsidRDefault="006E3B0F" w:rsidP="006E3B0F">
      <w:pPr>
        <w:pStyle w:val="1text"/>
      </w:pPr>
      <w:r w:rsidRPr="006E3B0F">
        <w:t>Dalším požadavkem je zajištění přístupu pro vozidla a další techniku hasičů a to ve všech zastavitelných plochách a plochách přestavby. Tento požadavek reaguje na nevhodnou praxi realizace provizorních nedostatečně širokých přístupových komunikací do rozvojových ploch, zejména pro bydlení.</w:t>
      </w:r>
    </w:p>
    <w:p w14:paraId="5AA9957B" w14:textId="77777777" w:rsidR="006E3B0F" w:rsidRPr="003E2A1D" w:rsidRDefault="006E3B0F" w:rsidP="006E3B0F">
      <w:pPr>
        <w:pStyle w:val="4podnadpis"/>
        <w:rPr>
          <w:i w:val="0"/>
        </w:rPr>
      </w:pPr>
      <w:r w:rsidRPr="003E2A1D">
        <w:rPr>
          <w:i w:val="0"/>
        </w:rPr>
        <w:t>Mimořádné události</w:t>
      </w:r>
    </w:p>
    <w:p w14:paraId="36D887CB" w14:textId="77777777" w:rsidR="006E3B0F" w:rsidRPr="00BC1E83" w:rsidRDefault="006E3B0F" w:rsidP="006E3B0F">
      <w:pPr>
        <w:pStyle w:val="1text"/>
        <w:rPr>
          <w:i/>
          <w:sz w:val="20"/>
          <w:szCs w:val="20"/>
        </w:rPr>
      </w:pPr>
      <w:r w:rsidRPr="00BC1E83">
        <w:rPr>
          <w:i/>
          <w:sz w:val="20"/>
          <w:szCs w:val="20"/>
        </w:rPr>
        <w:t>(k bod</w:t>
      </w:r>
      <w:r w:rsidR="00BC1E83" w:rsidRPr="00BC1E83">
        <w:rPr>
          <w:i/>
          <w:sz w:val="20"/>
          <w:szCs w:val="20"/>
        </w:rPr>
        <w:t>u</w:t>
      </w:r>
      <w:r w:rsidRPr="00BC1E83">
        <w:rPr>
          <w:i/>
          <w:sz w:val="20"/>
          <w:szCs w:val="20"/>
        </w:rPr>
        <w:t xml:space="preserve"> D</w:t>
      </w:r>
      <w:r w:rsidR="00BC1E83" w:rsidRPr="00BC1E83">
        <w:rPr>
          <w:i/>
          <w:sz w:val="20"/>
          <w:szCs w:val="20"/>
        </w:rPr>
        <w:t>8</w:t>
      </w:r>
      <w:r w:rsidR="007C72AA">
        <w:rPr>
          <w:i/>
          <w:sz w:val="20"/>
          <w:szCs w:val="20"/>
        </w:rPr>
        <w:t>1</w:t>
      </w:r>
      <w:r w:rsidR="00BC1E83" w:rsidRPr="00BC1E83">
        <w:rPr>
          <w:i/>
          <w:sz w:val="20"/>
          <w:szCs w:val="20"/>
        </w:rPr>
        <w:t xml:space="preserve"> </w:t>
      </w:r>
      <w:r w:rsidRPr="00BC1E83">
        <w:rPr>
          <w:i/>
          <w:sz w:val="20"/>
          <w:szCs w:val="20"/>
        </w:rPr>
        <w:t xml:space="preserve"> ÚP)</w:t>
      </w:r>
    </w:p>
    <w:p w14:paraId="2BDE571B" w14:textId="77777777" w:rsidR="006E3B0F" w:rsidRPr="00346ED2" w:rsidRDefault="00463071" w:rsidP="006E3B0F">
      <w:pPr>
        <w:pStyle w:val="1text"/>
      </w:pPr>
      <w:r>
        <w:t xml:space="preserve">Subjekty v řešeném území nespadají pod zákon č. 224/2015 Sb., o prevenci závažných havárií způsobených vybranými nebezpečnými chemickými látkami nebo chemickými směsmi, pro které by byla stanovena zóna havarijního plánování. </w:t>
      </w:r>
      <w:r w:rsidR="006E3B0F" w:rsidRPr="00346ED2">
        <w:t xml:space="preserve">Díky existenci území s objekty nebo zařízeními s umístěnými </w:t>
      </w:r>
      <w:r>
        <w:t xml:space="preserve">potenciálně </w:t>
      </w:r>
      <w:r w:rsidR="006E3B0F" w:rsidRPr="00346ED2">
        <w:t xml:space="preserve">nebezpečnými </w:t>
      </w:r>
      <w:r w:rsidR="006E3B0F" w:rsidRPr="00346ED2">
        <w:lastRenderedPageBreak/>
        <w:t xml:space="preserve">látkami </w:t>
      </w:r>
      <w:r>
        <w:t xml:space="preserve">nicméně určité riziko mimořádných událostí existuje. </w:t>
      </w:r>
      <w:r w:rsidR="006E3B0F" w:rsidRPr="00346ED2">
        <w:t xml:space="preserve">Z hlediska závažnosti vlivu na okolí a zdraví osob </w:t>
      </w:r>
      <w:r w:rsidR="00346ED2" w:rsidRPr="00346ED2">
        <w:t>představuje největší nebezpečí areál společnosti KORTAN. Nové výrobní areály včetně ploch v průmyslové zóně nejsou z bezpečnostního ani ekologického hlediska rizikové, případné řešení mimořádných situací na jejich území je řešeno havarijními plány.</w:t>
      </w:r>
      <w:r w:rsidR="00346ED2">
        <w:t xml:space="preserve"> </w:t>
      </w:r>
      <w:r>
        <w:t xml:space="preserve"> </w:t>
      </w:r>
    </w:p>
    <w:p w14:paraId="0BC070EB" w14:textId="77777777" w:rsidR="006E3B0F" w:rsidRDefault="006E3B0F" w:rsidP="006E3B0F">
      <w:pPr>
        <w:pStyle w:val="1text"/>
      </w:pPr>
      <w:r w:rsidRPr="00346ED2">
        <w:t xml:space="preserve">Kromě manipulace s nebezpečnými látkami patří mezi rizika i povodně, teroristické útoky apod. </w:t>
      </w:r>
    </w:p>
    <w:p w14:paraId="70B88D22" w14:textId="77777777" w:rsidR="006F1C0F" w:rsidRDefault="006F1C0F" w:rsidP="006F1C0F">
      <w:pPr>
        <w:pStyle w:val="1text"/>
      </w:pPr>
      <w:r w:rsidRPr="00BC1E83">
        <w:t>V ÚP nejsou stanoveny požadavky na vyvezení a uskladnění nebezpečných látek mimo současně zastavěné a zastavitelné území. To je povinností právnických a podnikajících fyzických osob.</w:t>
      </w:r>
    </w:p>
    <w:p w14:paraId="730B402B" w14:textId="77777777" w:rsidR="006E3B0F" w:rsidRPr="00346ED2" w:rsidRDefault="006E3B0F" w:rsidP="006E3B0F">
      <w:pPr>
        <w:pStyle w:val="1text"/>
      </w:pPr>
      <w:r w:rsidRPr="00346ED2">
        <w:t xml:space="preserve">S ohledem na výše uvedená nebezpečí jsou uvedeny požadavky na zajištění systému ochrany obyvatelstva, zejména na zajištění funkčnosti varovného systému (sirény, hlásiče), úkrytů obyvatelstva, únikových cest, shromažďovacích prostorů, objektů pro nouzové ubytování obyvatelstva. </w:t>
      </w:r>
    </w:p>
    <w:p w14:paraId="11A9A457" w14:textId="77777777" w:rsidR="00463071" w:rsidRPr="00BC1E83" w:rsidRDefault="00463071" w:rsidP="006E3B0F">
      <w:pPr>
        <w:pStyle w:val="1text"/>
      </w:pPr>
      <w:r w:rsidRPr="00BC1E83">
        <w:t>V případě vzniku mimořádné události vyžadující ukrytí budou v mírové době využity přirozené ochranné vlastnosti staveb a provádění úprav proti pronikání nebezpečných látek, v období válečného stavu se pro ukrytí obyvatelstva budou budovat improvizované úkryty.</w:t>
      </w:r>
    </w:p>
    <w:p w14:paraId="341254AE" w14:textId="77777777" w:rsidR="00463071" w:rsidRPr="00BC1E83" w:rsidRDefault="00463071" w:rsidP="006E3B0F">
      <w:pPr>
        <w:pStyle w:val="1text"/>
      </w:pPr>
      <w:r w:rsidRPr="00BC1E83">
        <w:t>Dle Havarijního plánu Libereckého kraje se dlouhodobá evakuace obyvatelstva plánuje provádět pouze ze záplavových území ohrožených přirozenými nebo zvláštními povodněmi. Evakuační plány pro případ povodní jsou součástí příslušných povodňových plánů. Pro města Hrádek nad Nisou jsou stanovena následující 4 přijímací střediska:</w:t>
      </w:r>
    </w:p>
    <w:p w14:paraId="3E475E18" w14:textId="77777777" w:rsidR="00463071" w:rsidRPr="00BC1E83" w:rsidRDefault="00463071" w:rsidP="00A06EB9">
      <w:pPr>
        <w:pStyle w:val="1text"/>
        <w:numPr>
          <w:ilvl w:val="0"/>
          <w:numId w:val="92"/>
        </w:numPr>
      </w:pPr>
      <w:r w:rsidRPr="00BC1E83">
        <w:t>Stadion TJ Slovan</w:t>
      </w:r>
    </w:p>
    <w:p w14:paraId="52F1921D" w14:textId="77777777" w:rsidR="00463071" w:rsidRPr="00BC1E83" w:rsidRDefault="00463071" w:rsidP="00A06EB9">
      <w:pPr>
        <w:pStyle w:val="1text"/>
        <w:numPr>
          <w:ilvl w:val="0"/>
          <w:numId w:val="92"/>
        </w:numPr>
      </w:pPr>
      <w:r w:rsidRPr="00BC1E83">
        <w:t>Klub osadního výboru Dolní Sedlo</w:t>
      </w:r>
    </w:p>
    <w:p w14:paraId="187F42BF" w14:textId="77777777" w:rsidR="00463071" w:rsidRPr="00BC1E83" w:rsidRDefault="00463071" w:rsidP="00A06EB9">
      <w:pPr>
        <w:pStyle w:val="1text"/>
        <w:numPr>
          <w:ilvl w:val="0"/>
          <w:numId w:val="92"/>
        </w:numPr>
      </w:pPr>
      <w:r w:rsidRPr="00BC1E83">
        <w:t>II. ZŠ T.G. Masaryka</w:t>
      </w:r>
    </w:p>
    <w:p w14:paraId="6530558D" w14:textId="77777777" w:rsidR="00463071" w:rsidRPr="00BC1E83" w:rsidRDefault="00463071" w:rsidP="00A06EB9">
      <w:pPr>
        <w:pStyle w:val="1text"/>
        <w:numPr>
          <w:ilvl w:val="0"/>
          <w:numId w:val="92"/>
        </w:numPr>
      </w:pPr>
      <w:r w:rsidRPr="00BC1E83">
        <w:t>sokolovna</w:t>
      </w:r>
    </w:p>
    <w:p w14:paraId="0A4EFCF5" w14:textId="77777777" w:rsidR="00463071" w:rsidRPr="00BC1E83" w:rsidRDefault="00463071" w:rsidP="006E3B0F">
      <w:pPr>
        <w:pStyle w:val="1text"/>
      </w:pPr>
      <w:r w:rsidRPr="00BC1E83">
        <w:t>Havarijní plán Libereckého kraje řeší rovněž postup záchranných, likvidačních a obnovovacích prací pro odstranění nebo snížení škodlivých účinků kontaminace, vzniklých při mimořádné události.</w:t>
      </w:r>
    </w:p>
    <w:p w14:paraId="134B0AB7" w14:textId="77777777" w:rsidR="00633DFB" w:rsidRDefault="00633DFB" w:rsidP="006E3B0F">
      <w:pPr>
        <w:pStyle w:val="1text"/>
      </w:pPr>
      <w:r>
        <w:t>Na území města se nachází 2 objekty pro skladování materiálů civilní ochrany a humanitární pomoci:</w:t>
      </w:r>
    </w:p>
    <w:p w14:paraId="40E6BB70" w14:textId="77777777" w:rsidR="00633DFB" w:rsidRDefault="00633DFB" w:rsidP="00A06EB9">
      <w:pPr>
        <w:pStyle w:val="1text"/>
        <w:numPr>
          <w:ilvl w:val="0"/>
          <w:numId w:val="96"/>
        </w:numPr>
      </w:pPr>
      <w:r>
        <w:t>ul. Oldřichovská 278</w:t>
      </w:r>
    </w:p>
    <w:p w14:paraId="6EB190ED" w14:textId="77777777" w:rsidR="00633DFB" w:rsidRPr="00BC1E83" w:rsidRDefault="00633DFB" w:rsidP="00A06EB9">
      <w:pPr>
        <w:pStyle w:val="1text"/>
        <w:numPr>
          <w:ilvl w:val="0"/>
          <w:numId w:val="96"/>
        </w:numPr>
      </w:pPr>
      <w:r>
        <w:t>ul. Sokolská 669</w:t>
      </w:r>
    </w:p>
    <w:p w14:paraId="2D11BAC0" w14:textId="77777777" w:rsidR="00BC1E83" w:rsidRDefault="00BC1E83" w:rsidP="006E3B0F">
      <w:pPr>
        <w:pStyle w:val="1text"/>
        <w:rPr>
          <w:highlight w:val="yellow"/>
        </w:rPr>
      </w:pPr>
      <w:r w:rsidRPr="00BC1E83">
        <w:t>Důležité je též zabezpečení nouzového zásobování</w:t>
      </w:r>
      <w:r w:rsidRPr="00346ED2">
        <w:t xml:space="preserve"> vody a elektrickou energií.</w:t>
      </w:r>
      <w:r>
        <w:t xml:space="preserve"> Při nouzovém zásobování obyvatelstva vodou bude postupováno v souladu s Metodickým pokynem Ministerstva zemědělství čj. 74020/2016-MZE-15000 ze dne 22.prosince 2016 k zajištění jednotného postupu orgánů krajů, hlavního města Prahy, orgánů obcí a městských částí v hlavním městě Praze k zajištění nouzového zásobování obyvatelstva pitnou vodou při mimořádných událostech a za krizových stavů Službou nouzového zásobování vodou.</w:t>
      </w:r>
    </w:p>
    <w:p w14:paraId="1C362BE6" w14:textId="034EEDF9" w:rsidR="00616B5A" w:rsidRPr="00461C16" w:rsidRDefault="00501553" w:rsidP="00616B5A">
      <w:pPr>
        <w:pStyle w:val="Heading2"/>
      </w:pPr>
      <w:bookmarkStart w:id="136" w:name="_Toc36116303"/>
      <w:r w:rsidRPr="00461C16">
        <w:t>6</w:t>
      </w:r>
      <w:r w:rsidR="00BC4E8D" w:rsidRPr="00461C16">
        <w:t>.</w:t>
      </w:r>
      <w:r w:rsidR="000B0B91" w:rsidRPr="00461C16">
        <w:t>6</w:t>
      </w:r>
      <w:r w:rsidR="004E1C7A" w:rsidRPr="00461C16">
        <w:tab/>
      </w:r>
      <w:bookmarkStart w:id="137" w:name="_Toc384728059"/>
      <w:bookmarkStart w:id="138" w:name="_Toc424191835"/>
      <w:bookmarkEnd w:id="127"/>
      <w:bookmarkEnd w:id="128"/>
      <w:bookmarkEnd w:id="129"/>
      <w:bookmarkEnd w:id="130"/>
      <w:bookmarkEnd w:id="131"/>
      <w:r w:rsidR="00616B5A" w:rsidRPr="00461C16">
        <w:t xml:space="preserve">Odůvodnění koncepce uspořádání krajiny, včetně vymezení ploch </w:t>
      </w:r>
      <w:r w:rsidR="00C521FE">
        <w:t xml:space="preserve">s rozdílným způsobem využití, ploch změn v krajině </w:t>
      </w:r>
      <w:r w:rsidR="00616B5A" w:rsidRPr="00461C16">
        <w:t>a stanovení podmínek pro jejich využití, územní</w:t>
      </w:r>
      <w:r w:rsidR="00C521FE">
        <w:t>ho</w:t>
      </w:r>
      <w:r w:rsidR="00616B5A" w:rsidRPr="00461C16">
        <w:t xml:space="preserve"> systém</w:t>
      </w:r>
      <w:r w:rsidR="00C521FE">
        <w:t>u</w:t>
      </w:r>
      <w:r w:rsidR="00616B5A" w:rsidRPr="00461C16">
        <w:t xml:space="preserve"> ekologické stability, prostupnost</w:t>
      </w:r>
      <w:r w:rsidR="00C521FE">
        <w:t>i</w:t>
      </w:r>
      <w:r w:rsidR="00616B5A" w:rsidRPr="00461C16">
        <w:t xml:space="preserve"> krajiny, protierozní</w:t>
      </w:r>
      <w:r w:rsidR="00C521FE">
        <w:t>ch</w:t>
      </w:r>
      <w:r w:rsidR="00616B5A" w:rsidRPr="00461C16">
        <w:t xml:space="preserve"> opatření, </w:t>
      </w:r>
      <w:r w:rsidR="00C521FE" w:rsidRPr="00461C16">
        <w:t>ochran</w:t>
      </w:r>
      <w:r w:rsidR="00C521FE">
        <w:t>y</w:t>
      </w:r>
      <w:r w:rsidR="00C521FE" w:rsidRPr="00461C16">
        <w:t xml:space="preserve"> </w:t>
      </w:r>
      <w:r w:rsidR="00616B5A" w:rsidRPr="00461C16">
        <w:t xml:space="preserve">před povodněmi, rekreace, dobývání </w:t>
      </w:r>
      <w:r w:rsidR="00C521FE">
        <w:t xml:space="preserve"> ložisek nerostných surovin</w:t>
      </w:r>
      <w:r w:rsidR="00616B5A" w:rsidRPr="00461C16">
        <w:t xml:space="preserve">, </w:t>
      </w:r>
      <w:r w:rsidR="00C521FE" w:rsidRPr="00461C16">
        <w:t>a</w:t>
      </w:r>
      <w:r w:rsidR="00C521FE">
        <w:t>pod</w:t>
      </w:r>
      <w:r w:rsidR="00616B5A" w:rsidRPr="00461C16">
        <w:t>.</w:t>
      </w:r>
      <w:bookmarkEnd w:id="136"/>
    </w:p>
    <w:p w14:paraId="653EC95B" w14:textId="77777777" w:rsidR="00616B5A" w:rsidRPr="00461C16" w:rsidRDefault="00616B5A" w:rsidP="00616B5A">
      <w:pPr>
        <w:pStyle w:val="Heading3"/>
      </w:pPr>
      <w:bookmarkStart w:id="139" w:name="_Toc268687968"/>
      <w:bookmarkStart w:id="140" w:name="_Toc36116304"/>
      <w:r w:rsidRPr="00461C16">
        <w:t xml:space="preserve">6.6.1 </w:t>
      </w:r>
      <w:r w:rsidR="007744BB" w:rsidRPr="00461C16">
        <w:t>Základní principy k</w:t>
      </w:r>
      <w:r w:rsidRPr="00461C16">
        <w:t>oncepce uspořádání krajiny</w:t>
      </w:r>
      <w:bookmarkEnd w:id="139"/>
      <w:bookmarkEnd w:id="140"/>
    </w:p>
    <w:p w14:paraId="34BF87BE" w14:textId="77777777" w:rsidR="00616B5A" w:rsidRPr="00461C16" w:rsidRDefault="008726B0" w:rsidP="00616B5A">
      <w:pPr>
        <w:rPr>
          <w:rStyle w:val="NvrhP-text"/>
          <w:i/>
          <w:sz w:val="20"/>
          <w:szCs w:val="20"/>
        </w:rPr>
      </w:pPr>
      <w:r w:rsidRPr="00461C16">
        <w:rPr>
          <w:rStyle w:val="NvrhP-text"/>
          <w:i/>
          <w:sz w:val="20"/>
          <w:szCs w:val="20"/>
        </w:rPr>
        <w:t xml:space="preserve"> (k bodům E01 – E02</w:t>
      </w:r>
      <w:r w:rsidR="00616B5A" w:rsidRPr="00461C16">
        <w:rPr>
          <w:rStyle w:val="NvrhP-text"/>
          <w:i/>
          <w:sz w:val="20"/>
          <w:szCs w:val="20"/>
        </w:rPr>
        <w:t xml:space="preserve"> ÚP)</w:t>
      </w:r>
    </w:p>
    <w:p w14:paraId="32C75C24" w14:textId="77777777" w:rsidR="00616B5A" w:rsidRPr="00461C16" w:rsidRDefault="00616B5A" w:rsidP="00753F4E">
      <w:pPr>
        <w:pStyle w:val="4podnadpis"/>
        <w:rPr>
          <w:rStyle w:val="NvrhP-text"/>
          <w:i w:val="0"/>
        </w:rPr>
      </w:pPr>
      <w:r w:rsidRPr="00461C16">
        <w:t>Podklady</w:t>
      </w:r>
    </w:p>
    <w:p w14:paraId="25269BEF" w14:textId="77777777" w:rsidR="00616B5A" w:rsidRPr="00461C16" w:rsidRDefault="00616B5A" w:rsidP="00616B5A">
      <w:pPr>
        <w:pStyle w:val="1odstavec"/>
      </w:pPr>
      <w:r w:rsidRPr="00461C16">
        <w:t xml:space="preserve">Při definici hlavních principů koncepce uspořádání krajiny vycházel zpracovatel z relevantních podkladů, kterými byly zejména úmluva o krajině (dokument Rady Evropy, k němuž Česká republika přistoupila), Politika územního </w:t>
      </w:r>
      <w:r w:rsidRPr="00461C16">
        <w:lastRenderedPageBreak/>
        <w:t xml:space="preserve">rozvoje ČR, Zásady územního rozvoje </w:t>
      </w:r>
      <w:r w:rsidR="00B345B4" w:rsidRPr="00461C16">
        <w:t xml:space="preserve">Libereckého </w:t>
      </w:r>
      <w:r w:rsidRPr="00461C16">
        <w:t xml:space="preserve">kraje, stavební zákon, </w:t>
      </w:r>
      <w:r w:rsidR="00B345B4" w:rsidRPr="00461C16">
        <w:t xml:space="preserve">právní přepisy týkající </w:t>
      </w:r>
      <w:r w:rsidR="00021DC8">
        <w:t>s</w:t>
      </w:r>
      <w:r w:rsidR="00B345B4" w:rsidRPr="00461C16">
        <w:t>e ochrany krajiny a jejích složek</w:t>
      </w:r>
      <w:r w:rsidRPr="00461C16">
        <w:t>, odborná literatura, průzkumy území a odborné zkušenosti zpracovatele. Požadavky na obsah koncepce uspořádání krajiny uvádí zadání ÚP.</w:t>
      </w:r>
    </w:p>
    <w:p w14:paraId="5538E4E8" w14:textId="77777777" w:rsidR="00616B5A" w:rsidRPr="00461C16" w:rsidRDefault="00616B5A" w:rsidP="00616B5A">
      <w:pPr>
        <w:pStyle w:val="1odstavec"/>
      </w:pPr>
      <w:r w:rsidRPr="00461C16">
        <w:rPr>
          <w:rStyle w:val="NvrhP-text"/>
        </w:rPr>
        <w:t xml:space="preserve">Právní předpisy týkající se ochrany krajiny a </w:t>
      </w:r>
      <w:r w:rsidR="00B345B4" w:rsidRPr="00461C16">
        <w:rPr>
          <w:rStyle w:val="NvrhP-text"/>
        </w:rPr>
        <w:t>jejích složek</w:t>
      </w:r>
      <w:r w:rsidRPr="00461C16">
        <w:rPr>
          <w:rStyle w:val="NvrhP-text"/>
        </w:rPr>
        <w:t>, které byly zváženy při definici koncepce uspořádání krajiny, jsou zejména:</w:t>
      </w:r>
      <w:r w:rsidRPr="00461C16">
        <w:t xml:space="preserve"> </w:t>
      </w:r>
    </w:p>
    <w:p w14:paraId="02B28442" w14:textId="77777777" w:rsidR="00616B5A" w:rsidRPr="00461C16" w:rsidRDefault="00616B5A" w:rsidP="00616B5A">
      <w:pPr>
        <w:pStyle w:val="5odrazka"/>
      </w:pPr>
      <w:r w:rsidRPr="00461C16">
        <w:t>zákon č. 114/1992 Sb., o ochraně přírody a krajiny</w:t>
      </w:r>
      <w:r w:rsidR="00A53768" w:rsidRPr="00461C16">
        <w:t>, v platném znění</w:t>
      </w:r>
      <w:r w:rsidRPr="00461C16">
        <w:t>,</w:t>
      </w:r>
    </w:p>
    <w:p w14:paraId="158881A4" w14:textId="77777777" w:rsidR="00616B5A" w:rsidRPr="00461C16" w:rsidRDefault="00616B5A" w:rsidP="00616B5A">
      <w:pPr>
        <w:pStyle w:val="5odrazka"/>
      </w:pPr>
      <w:r w:rsidRPr="00461C16">
        <w:t xml:space="preserve">vyhláška MŽP ČR č.395/1992 Sb., kterou se provádějí některá ustanovení zákona č.114/1992 Sb., </w:t>
      </w:r>
    </w:p>
    <w:p w14:paraId="30E223C2" w14:textId="77777777" w:rsidR="00616B5A" w:rsidRPr="00461C16" w:rsidRDefault="00616B5A" w:rsidP="00616B5A">
      <w:pPr>
        <w:pStyle w:val="5odrazka"/>
      </w:pPr>
      <w:r w:rsidRPr="00461C16">
        <w:t>zákon č. 289/1995 Sb., o lesích a o změně a doplnění některých zákonů (lesní zákon)</w:t>
      </w:r>
      <w:r w:rsidR="00A53768" w:rsidRPr="00461C16">
        <w:t>, v platném znění</w:t>
      </w:r>
      <w:r w:rsidRPr="00461C16">
        <w:t>,</w:t>
      </w:r>
    </w:p>
    <w:p w14:paraId="6E829647" w14:textId="77777777" w:rsidR="00616B5A" w:rsidRPr="00461C16" w:rsidRDefault="00616B5A" w:rsidP="00616B5A">
      <w:pPr>
        <w:pStyle w:val="5odrazka"/>
      </w:pPr>
      <w:r w:rsidRPr="00461C16">
        <w:t>zákon č. 44/1988 Sb., o ochraně a využití nerostného bohatství ve znění pozdějších předpisů,</w:t>
      </w:r>
    </w:p>
    <w:p w14:paraId="22CC029A" w14:textId="77777777" w:rsidR="00616B5A" w:rsidRPr="00461C16" w:rsidRDefault="00616B5A" w:rsidP="00616B5A">
      <w:pPr>
        <w:pStyle w:val="5odrazka"/>
      </w:pPr>
      <w:r w:rsidRPr="00461C16">
        <w:t xml:space="preserve">zákon č. 62/1988 Sb., o geologických pracích a o Českém geologickém úřadu ve znění pozdějších předpisů, </w:t>
      </w:r>
    </w:p>
    <w:p w14:paraId="078C9B80" w14:textId="77777777" w:rsidR="00616B5A" w:rsidRPr="00461C16" w:rsidRDefault="00616B5A" w:rsidP="00616B5A">
      <w:pPr>
        <w:pStyle w:val="5odrazka"/>
      </w:pPr>
      <w:r w:rsidRPr="00461C16">
        <w:t>zákon č. 254/2001 Sb., o vodách a o změně některých zákonů (vodní zákon)</w:t>
      </w:r>
      <w:r w:rsidR="00A53768" w:rsidRPr="00461C16">
        <w:t>, v platném znění</w:t>
      </w:r>
      <w:r w:rsidRPr="00461C16">
        <w:t>,</w:t>
      </w:r>
    </w:p>
    <w:p w14:paraId="383630E7" w14:textId="77777777" w:rsidR="00B345B4" w:rsidRPr="00461C16" w:rsidRDefault="00616B5A" w:rsidP="00616B5A">
      <w:pPr>
        <w:pStyle w:val="5odrazka"/>
      </w:pPr>
      <w:r w:rsidRPr="00461C16">
        <w:t>zákon č. 76/2002 Sb., o integrované prevenci</w:t>
      </w:r>
      <w:r w:rsidR="00A53768" w:rsidRPr="00461C16">
        <w:t>, v platném znění</w:t>
      </w:r>
      <w:r w:rsidRPr="00461C16">
        <w:t>;</w:t>
      </w:r>
    </w:p>
    <w:p w14:paraId="11FED8A0" w14:textId="77777777" w:rsidR="00616B5A" w:rsidRPr="00461C16" w:rsidRDefault="00616B5A" w:rsidP="00616B5A">
      <w:pPr>
        <w:pStyle w:val="5odrazka"/>
      </w:pPr>
      <w:r w:rsidRPr="00461C16">
        <w:t>vyhláška č. 137/1999 Sb., kterou se stanoví seznam vodárenských nádrží a zásady pro stanovení a změny ochranných pásem vodních zdrojů,</w:t>
      </w:r>
    </w:p>
    <w:p w14:paraId="78C92945" w14:textId="77777777" w:rsidR="00616B5A" w:rsidRPr="00461C16" w:rsidRDefault="00616B5A" w:rsidP="00616B5A">
      <w:pPr>
        <w:pStyle w:val="5odrazka"/>
      </w:pPr>
      <w:r w:rsidRPr="00461C16">
        <w:t>zákon č. 334/1992 Sb., o ochraně zemědělského půdního fondu</w:t>
      </w:r>
      <w:r w:rsidR="00A53768" w:rsidRPr="00461C16">
        <w:t>, v platném znění</w:t>
      </w:r>
      <w:r w:rsidRPr="00461C16">
        <w:t>,</w:t>
      </w:r>
    </w:p>
    <w:p w14:paraId="58413047" w14:textId="77777777" w:rsidR="00616B5A" w:rsidRPr="00461C16" w:rsidRDefault="00616B5A" w:rsidP="00616B5A">
      <w:pPr>
        <w:pStyle w:val="5odrazka"/>
      </w:pPr>
      <w:r w:rsidRPr="00461C16">
        <w:t>zákon č. 17/1992 Sb., o životním prostředí</w:t>
      </w:r>
      <w:r w:rsidR="00A53768" w:rsidRPr="00461C16">
        <w:t>, v platném znění</w:t>
      </w:r>
      <w:r w:rsidRPr="00461C16">
        <w:t>.</w:t>
      </w:r>
    </w:p>
    <w:p w14:paraId="57E60981" w14:textId="77777777" w:rsidR="00616B5A" w:rsidRPr="00461C16" w:rsidRDefault="00616B5A" w:rsidP="00753F4E">
      <w:pPr>
        <w:pStyle w:val="4podnadpis"/>
      </w:pPr>
      <w:r w:rsidRPr="00461C16">
        <w:t xml:space="preserve">Návrh řešení a jeho odůvodnění </w:t>
      </w:r>
    </w:p>
    <w:p w14:paraId="2F07816A" w14:textId="060C1CB6" w:rsidR="00B345B4" w:rsidRPr="00461C16" w:rsidRDefault="007744BB" w:rsidP="00B345B4">
      <w:pPr>
        <w:pStyle w:val="1odstavec"/>
      </w:pPr>
      <w:r w:rsidRPr="00461C16">
        <w:t xml:space="preserve">Základním </w:t>
      </w:r>
      <w:r w:rsidR="00B345B4" w:rsidRPr="00461C16">
        <w:t xml:space="preserve">principem </w:t>
      </w:r>
      <w:r w:rsidRPr="00461C16">
        <w:t xml:space="preserve">koncepce uspořádání krajiny </w:t>
      </w:r>
      <w:r w:rsidR="00B345B4" w:rsidRPr="00461C16">
        <w:t xml:space="preserve">je co nejvíce </w:t>
      </w:r>
      <w:r w:rsidR="00B345B4" w:rsidRPr="00461C16">
        <w:rPr>
          <w:b/>
        </w:rPr>
        <w:t>vyvážený vztah volné krajiny a zastavěného (urbanizovaného) území</w:t>
      </w:r>
      <w:r w:rsidR="00B345B4" w:rsidRPr="00461C16">
        <w:t xml:space="preserve">, který utváří komplexní obraz krajiny města v širším slova smyslu. Volná krajina je definována jako prostor pro ekonomickou činnost (zemědělství a lesnictví) a volnočasové aktivity. Na stejné úrovni jsou sledovány i funkce krajiny pro ochranu přírodního dědictví a pro zajištění přírodních procesů nezbytných pro obnovu přírodních zdrojů a zdravého životního prostředí. Poslední, stejně </w:t>
      </w:r>
      <w:r w:rsidRPr="00461C16">
        <w:t xml:space="preserve">důležitou </w:t>
      </w:r>
      <w:r w:rsidR="00B345B4" w:rsidRPr="00461C16">
        <w:t xml:space="preserve">oblastí, je </w:t>
      </w:r>
      <w:r w:rsidRPr="00461C16">
        <w:t xml:space="preserve">význam </w:t>
      </w:r>
      <w:r w:rsidR="00B345B4" w:rsidRPr="00461C16">
        <w:t xml:space="preserve">krajiny </w:t>
      </w:r>
      <w:r w:rsidRPr="00461C16">
        <w:t xml:space="preserve">pro určení charakteru místa, jeho </w:t>
      </w:r>
      <w:r w:rsidR="00B345B4" w:rsidRPr="00461C16">
        <w:t>autentičnost</w:t>
      </w:r>
      <w:r w:rsidRPr="00461C16">
        <w:t>i</w:t>
      </w:r>
      <w:r w:rsidR="00B345B4" w:rsidRPr="00461C16">
        <w:t>, image a obytnost</w:t>
      </w:r>
      <w:r w:rsidRPr="00461C16">
        <w:t>i</w:t>
      </w:r>
      <w:r w:rsidR="00B345B4" w:rsidRPr="00461C16">
        <w:t xml:space="preserve"> prostoru města.</w:t>
      </w:r>
    </w:p>
    <w:p w14:paraId="4DFC9A65" w14:textId="77777777" w:rsidR="00616B5A" w:rsidRPr="00461C16" w:rsidRDefault="007744BB" w:rsidP="00616B5A">
      <w:pPr>
        <w:pStyle w:val="1odstavec"/>
      </w:pPr>
      <w:r w:rsidRPr="00461C16">
        <w:t>Takto pojatá definice principů koncepce uspořádání krajiny vychází z obecně platné skutečnosti, že k</w:t>
      </w:r>
      <w:r w:rsidR="00616B5A" w:rsidRPr="00461C16">
        <w:t xml:space="preserve">rajina (myšlena její nezastavěná část, tedy „volná“ krajina) plní významné funkce nezbytné pro dlouhodobě udržitelnou existenci </w:t>
      </w:r>
      <w:r w:rsidRPr="00461C16">
        <w:t>lidské společnosti</w:t>
      </w:r>
      <w:r w:rsidR="00616B5A" w:rsidRPr="00461C16">
        <w:t>. Podoba a využívání krajiny bezprostředně ovlivňuje lidský a sociální kapitál.</w:t>
      </w:r>
    </w:p>
    <w:p w14:paraId="6EBBFB31" w14:textId="77777777" w:rsidR="00616B5A" w:rsidRPr="00461C16" w:rsidRDefault="00616B5A" w:rsidP="00616B5A">
      <w:pPr>
        <w:pStyle w:val="1odstavec"/>
      </w:pPr>
      <w:r w:rsidRPr="00461C16">
        <w:t>Z </w:t>
      </w:r>
      <w:r w:rsidRPr="00461C16">
        <w:rPr>
          <w:b/>
        </w:rPr>
        <w:t>Evropské úmluvy o krajině</w:t>
      </w:r>
      <w:r w:rsidRPr="00461C16">
        <w:t xml:space="preserve"> vyplývá, že péče o krajinu v její kulturní podobě stejně tak jako péče o přírodní a přírodě blízké prvky krajiny je nezastupitelnou povinností jejích obyvatel. Z toho lze dovodit roli samospráv měst a obcí při ochraně a rozumném (udržitelném) využívání krajiny a úloze plánovacích a řídících nástrojů v oblasti péče o krajinu. </w:t>
      </w:r>
    </w:p>
    <w:p w14:paraId="3CA07339" w14:textId="77777777" w:rsidR="00616B5A" w:rsidRPr="00461C16" w:rsidRDefault="00616B5A" w:rsidP="00616B5A">
      <w:pPr>
        <w:pStyle w:val="1odstavec"/>
      </w:pPr>
      <w:r w:rsidRPr="00461C16">
        <w:t>Územní plánování představuje v souladu s požadavky Evropské úmluvy o krajině jeden z hlavních nástrojů, kterým lze koncepčně ovlivňovat budoucí vzhled a parametry uspořádání krajiny. Územní plán je nástrojem, který stanovuje podmínky využívání a uspořádání krajiny zahrnující jak urbanizované plochy, tak volnou krajinu. Územní plánování má zásadní úkoly v oblasti ochrany přírodních (a tudíž i krajinných) hodnot území, krajinného rázu a krajinného rámce sídel jako celku.</w:t>
      </w:r>
    </w:p>
    <w:p w14:paraId="72712540" w14:textId="77777777" w:rsidR="00616B5A" w:rsidRPr="00461C16" w:rsidRDefault="00616B5A" w:rsidP="00616B5A">
      <w:pPr>
        <w:pStyle w:val="1odstavec"/>
      </w:pPr>
      <w:r w:rsidRPr="00461C16">
        <w:rPr>
          <w:b/>
        </w:rPr>
        <w:t xml:space="preserve">Krajina města </w:t>
      </w:r>
      <w:r w:rsidRPr="00461C16">
        <w:t xml:space="preserve">je dokladem dlouhodobého historického vývoje osídlení a rozvoje ekonomických činností na pozadí geomorfologicky </w:t>
      </w:r>
      <w:r w:rsidR="00B345B4" w:rsidRPr="00461C16">
        <w:t xml:space="preserve">rozmanitého </w:t>
      </w:r>
      <w:r w:rsidRPr="00461C16">
        <w:t xml:space="preserve">terénu. Současný stav krajiny na území města je výsledkem dlouhodobého intenzívního zemědělského hospodaření, poměrně výrazné urbanizace prostoru, těžební činnosti a průmyslové výroby. </w:t>
      </w:r>
    </w:p>
    <w:p w14:paraId="79AEF664" w14:textId="77777777" w:rsidR="007744BB" w:rsidRPr="00461C16" w:rsidRDefault="007744BB" w:rsidP="007744BB">
      <w:pPr>
        <w:pStyle w:val="Heading3"/>
      </w:pPr>
      <w:bookmarkStart w:id="141" w:name="_Toc36116305"/>
      <w:r w:rsidRPr="00461C16">
        <w:t>6.6.2</w:t>
      </w:r>
      <w:r w:rsidRPr="00461C16">
        <w:tab/>
        <w:t>Zásady ochrany krajiny a krajinného rázu</w:t>
      </w:r>
      <w:bookmarkEnd w:id="141"/>
    </w:p>
    <w:p w14:paraId="482F5B21" w14:textId="77777777" w:rsidR="00616B5A" w:rsidRPr="00461C16" w:rsidRDefault="00616B5A" w:rsidP="00753F4E">
      <w:pPr>
        <w:pStyle w:val="4podnadpis"/>
      </w:pPr>
      <w:r w:rsidRPr="00461C16">
        <w:t>Podklady</w:t>
      </w:r>
    </w:p>
    <w:p w14:paraId="5BC7E41E" w14:textId="77777777" w:rsidR="00D41213" w:rsidRPr="00461C16" w:rsidRDefault="007744BB" w:rsidP="00AC09B5">
      <w:pPr>
        <w:pStyle w:val="1text"/>
      </w:pPr>
      <w:r w:rsidRPr="00461C16">
        <w:t xml:space="preserve">Definice zásad ochrany krajiny a krajinného rázu </w:t>
      </w:r>
      <w:r w:rsidR="00D41213" w:rsidRPr="00461C16">
        <w:t>je provedena na základě zadání ÚP, zejména požadavku uvedených výše v kap. 3.4 pod body 383 a 384:</w:t>
      </w:r>
    </w:p>
    <w:p w14:paraId="1E8738A7" w14:textId="77777777" w:rsidR="00D41213" w:rsidRPr="00461C16" w:rsidRDefault="00D41213" w:rsidP="00D41213">
      <w:pPr>
        <w:autoSpaceDE w:val="0"/>
        <w:autoSpaceDN w:val="0"/>
        <w:adjustRightInd w:val="0"/>
        <w:spacing w:before="120" w:after="120" w:line="240" w:lineRule="auto"/>
        <w:rPr>
          <w:lang w:eastAsia="cs-CZ"/>
        </w:rPr>
      </w:pPr>
      <w:r w:rsidRPr="00461C16">
        <w:rPr>
          <w:lang w:eastAsia="cs-CZ"/>
        </w:rPr>
        <w:t xml:space="preserve">Stanovit podmínky prostorového uspořádání tak, aby nebyl narušen krajinný ráz. </w:t>
      </w:r>
    </w:p>
    <w:p w14:paraId="44952BC5" w14:textId="77777777" w:rsidR="00D41213" w:rsidRPr="00461C16" w:rsidRDefault="00D41213" w:rsidP="00D41213">
      <w:pPr>
        <w:autoSpaceDE w:val="0"/>
        <w:autoSpaceDN w:val="0"/>
        <w:adjustRightInd w:val="0"/>
        <w:spacing w:before="120" w:after="120" w:line="240" w:lineRule="auto"/>
        <w:rPr>
          <w:lang w:eastAsia="cs-CZ"/>
        </w:rPr>
      </w:pPr>
      <w:r w:rsidRPr="00461C16">
        <w:rPr>
          <w:lang w:eastAsia="cs-CZ"/>
        </w:rPr>
        <w:lastRenderedPageBreak/>
        <w:t>Respektovat veškeré přírodní hodnoty území – chráněná území přírody (část území je v CHKO LH), významné krajinné prvky, apod.</w:t>
      </w:r>
    </w:p>
    <w:p w14:paraId="29BCFAE3" w14:textId="77777777" w:rsidR="00B53218" w:rsidRPr="00461C16" w:rsidRDefault="00D41213" w:rsidP="00D41213">
      <w:pPr>
        <w:pStyle w:val="1odstavec"/>
      </w:pPr>
      <w:r w:rsidRPr="00461C16">
        <w:rPr>
          <w:b/>
        </w:rPr>
        <w:t>Ochrana přírodních hodnot města</w:t>
      </w:r>
      <w:r w:rsidRPr="00461C16">
        <w:t xml:space="preserve">. Jedná se o plochy a objekty, jejichž ochrana je dána předpisy v oblasti ochrany přírody a krajiny, zejména zákonem č. 114/1992 Sb., zákonem č. 44/1988 Sb., o ochraně a využití nerostného bohatství (horní zákon) v platném znění, zákonem č. 334/1992 Sb., o ochraně zemědělského půdního fondu v platném znění, zákonem č. 289/1995 Sb., o lesích a o změně a doplnění některých zákonů v platném znění a zákonem č. 254/2001Sb., o vodách a o změně některých zákonů, v platném znění. </w:t>
      </w:r>
    </w:p>
    <w:p w14:paraId="51F19388" w14:textId="77777777" w:rsidR="00D41213" w:rsidRPr="00461C16" w:rsidRDefault="00D41213" w:rsidP="00D41213">
      <w:pPr>
        <w:pStyle w:val="1odstavec"/>
      </w:pPr>
      <w:r w:rsidRPr="00461C16">
        <w:rPr>
          <w:b/>
        </w:rPr>
        <w:t>Ochrana krajinného rázu</w:t>
      </w:r>
      <w:r w:rsidRPr="00461C16">
        <w:t xml:space="preserve"> je jako institut ochrany krajinných hodnot zakotvena v § 12 zákona č. 114/1992 Sb., o ochraně přírody a krajiny. Zákon dává MŽP ČR možnost vydat prováděcí vyhlášku, která byla sice rozpracována, nikdy však nebyla projednána a vydána. To je důvodem, proč je aplikace ochrany významných rysů krajiny v ČR velmi rozpačitá a nedaří se ji úspěšně zakotvit do územně plánovací praxe. V oblasti práva územního plánování je krajinný ráz zakotven pouze jako požadavek na obsah ÚP a regulační plán v přílohách č. 5 a 7 vyhlášky č. 500/2006 Sb. a to u regulace prostorových parametrů staveb. </w:t>
      </w:r>
    </w:p>
    <w:p w14:paraId="3BB5A3AB" w14:textId="77777777" w:rsidR="00AC09B5" w:rsidRPr="00461C16" w:rsidRDefault="00D41213" w:rsidP="0029245D">
      <w:pPr>
        <w:pStyle w:val="1text"/>
      </w:pPr>
      <w:r w:rsidRPr="00461C16">
        <w:t xml:space="preserve">Při definici zásad ochrany krajiny a krajinného rázu vycházel zhotovitel </w:t>
      </w:r>
      <w:r w:rsidR="00AC09B5" w:rsidRPr="00461C16">
        <w:t>ze „základních společných kritérií a podmínek péče o krajinný ráz pro rozhodování o změnách v území“ a „specifických kritérií a podmínek péče o krajinný ráz pro rozhodování o změnách v území“ pro oblasti kr</w:t>
      </w:r>
      <w:r w:rsidRPr="00461C16">
        <w:t>a</w:t>
      </w:r>
      <w:r w:rsidR="00AC09B5" w:rsidRPr="00461C16">
        <w:t>jinného rázu 02 Liberecko a 12 Lužické hory uvedených v</w:t>
      </w:r>
      <w:r w:rsidRPr="00461C16">
        <w:t> </w:t>
      </w:r>
      <w:r w:rsidR="00AC09B5" w:rsidRPr="00461C16">
        <w:t>č</w:t>
      </w:r>
      <w:r w:rsidRPr="00461C16">
        <w:t>á</w:t>
      </w:r>
      <w:r w:rsidR="00AC09B5" w:rsidRPr="00461C16">
        <w:t>sti</w:t>
      </w:r>
      <w:r w:rsidRPr="00461C16">
        <w:t xml:space="preserve"> F</w:t>
      </w:r>
      <w:r w:rsidR="00AC09B5" w:rsidRPr="00461C16">
        <w:t xml:space="preserve"> </w:t>
      </w:r>
      <w:r w:rsidRPr="00461C16">
        <w:t xml:space="preserve">Vymezení cílových </w:t>
      </w:r>
      <w:r w:rsidR="00AC09B5" w:rsidRPr="00461C16">
        <w:t>ch</w:t>
      </w:r>
      <w:r w:rsidRPr="00461C16">
        <w:t>a</w:t>
      </w:r>
      <w:r w:rsidR="00AC09B5" w:rsidRPr="00461C16">
        <w:t>rakteristik kr</w:t>
      </w:r>
      <w:r w:rsidRPr="00461C16">
        <w:t>a</w:t>
      </w:r>
      <w:r w:rsidR="00AC09B5" w:rsidRPr="00461C16">
        <w:t xml:space="preserve">jiny </w:t>
      </w:r>
      <w:r w:rsidRPr="00461C16">
        <w:t>v Zásadách územního rozvoje Libereckého kraje (11/2011).</w:t>
      </w:r>
    </w:p>
    <w:p w14:paraId="4254BA1A" w14:textId="77777777" w:rsidR="00616B5A" w:rsidRPr="00461C16" w:rsidRDefault="00616B5A" w:rsidP="00616B5A">
      <w:pPr>
        <w:pStyle w:val="1odstavec"/>
      </w:pPr>
      <w:r w:rsidRPr="00461C16">
        <w:t xml:space="preserve">Hlavním podkladem pro </w:t>
      </w:r>
      <w:r w:rsidR="0029245D" w:rsidRPr="00461C16">
        <w:t xml:space="preserve">územní </w:t>
      </w:r>
      <w:r w:rsidRPr="00461C16">
        <w:t>stanovení požadavků na ochranu</w:t>
      </w:r>
      <w:r w:rsidR="00C175DE" w:rsidRPr="00461C16">
        <w:t xml:space="preserve"> krajiny a </w:t>
      </w:r>
      <w:r w:rsidRPr="00461C16">
        <w:t xml:space="preserve">krajinného rázu byla analýza stavu území při terénních průzkumech. </w:t>
      </w:r>
    </w:p>
    <w:p w14:paraId="47744F43" w14:textId="77777777" w:rsidR="00616B5A" w:rsidRPr="00CB15A2" w:rsidRDefault="00616B5A" w:rsidP="00753F4E">
      <w:pPr>
        <w:pStyle w:val="4podnadpis"/>
      </w:pPr>
      <w:r w:rsidRPr="00CB15A2">
        <w:t>Návrh řešení a jeho odůvodnění</w:t>
      </w:r>
    </w:p>
    <w:p w14:paraId="541192AF" w14:textId="77777777" w:rsidR="0029245D" w:rsidRPr="00461C16" w:rsidRDefault="0029245D" w:rsidP="00432121">
      <w:pPr>
        <w:spacing w:before="120"/>
        <w:rPr>
          <w:i/>
          <w:sz w:val="20"/>
          <w:szCs w:val="20"/>
        </w:rPr>
      </w:pPr>
      <w:r w:rsidRPr="00CB15A2">
        <w:rPr>
          <w:i/>
          <w:sz w:val="20"/>
          <w:szCs w:val="20"/>
        </w:rPr>
        <w:t>(k bodu E03 ÚP)</w:t>
      </w:r>
      <w:r w:rsidRPr="00461C16">
        <w:rPr>
          <w:i/>
          <w:sz w:val="20"/>
          <w:szCs w:val="20"/>
        </w:rPr>
        <w:t xml:space="preserve"> </w:t>
      </w:r>
    </w:p>
    <w:p w14:paraId="41351925" w14:textId="77777777" w:rsidR="0029245D" w:rsidRPr="005F3B96" w:rsidRDefault="0029245D" w:rsidP="00753F4E">
      <w:pPr>
        <w:pStyle w:val="4podnadpis"/>
        <w:rPr>
          <w:b w:val="0"/>
          <w:sz w:val="22"/>
        </w:rPr>
      </w:pPr>
      <w:r w:rsidRPr="005F3B96">
        <w:rPr>
          <w:b w:val="0"/>
          <w:sz w:val="22"/>
        </w:rPr>
        <w:t xml:space="preserve">Ad a) </w:t>
      </w:r>
    </w:p>
    <w:p w14:paraId="2D12648D" w14:textId="77777777" w:rsidR="0029245D" w:rsidRPr="00461C16" w:rsidRDefault="0029245D" w:rsidP="0029245D">
      <w:pPr>
        <w:pStyle w:val="1text"/>
      </w:pPr>
      <w:r w:rsidRPr="00461C16">
        <w:t>Respektování přírodních hodnot je východiskem udržitelného rozvoje území uvedeným ve stavebním zákoně, v Politice územního rozvoje ČR a v ZÚR Libereckého kraje. Přehled hodnot identifikovaných na území Hrádku nad Nisou je uveden v kap. 6.3.2 Odůvodnění.</w:t>
      </w:r>
    </w:p>
    <w:p w14:paraId="35A85355" w14:textId="77777777" w:rsidR="0029245D" w:rsidRPr="00461C16" w:rsidRDefault="0029245D" w:rsidP="0029245D">
      <w:pPr>
        <w:pStyle w:val="1odstavec"/>
        <w:rPr>
          <w:i/>
        </w:rPr>
      </w:pPr>
      <w:r w:rsidRPr="00461C16">
        <w:rPr>
          <w:i/>
        </w:rPr>
        <w:t>Ad b)</w:t>
      </w:r>
    </w:p>
    <w:p w14:paraId="1591C31E" w14:textId="77777777" w:rsidR="0029245D" w:rsidRPr="00461C16" w:rsidRDefault="0029245D" w:rsidP="0029245D">
      <w:pPr>
        <w:pStyle w:val="1text"/>
      </w:pPr>
      <w:r w:rsidRPr="00461C16">
        <w:t xml:space="preserve">Obecná deklarace uvedená z důvodu potřeby ochrany pozitivních znaků krajiny před stavbami, které by tyto znaky vizuálně poškodily. </w:t>
      </w:r>
    </w:p>
    <w:p w14:paraId="13F70435" w14:textId="77777777" w:rsidR="0029245D" w:rsidRPr="00461C16" w:rsidRDefault="0029245D" w:rsidP="00616B5A">
      <w:pPr>
        <w:pStyle w:val="1odstavec"/>
        <w:rPr>
          <w:i/>
        </w:rPr>
      </w:pPr>
      <w:r w:rsidRPr="00461C16">
        <w:rPr>
          <w:i/>
        </w:rPr>
        <w:t xml:space="preserve">Ad c) </w:t>
      </w:r>
    </w:p>
    <w:p w14:paraId="06692279" w14:textId="77777777" w:rsidR="00676F19" w:rsidRPr="00461C16" w:rsidRDefault="00616B5A" w:rsidP="00676F19">
      <w:pPr>
        <w:spacing w:before="120" w:after="120"/>
      </w:pPr>
      <w:r w:rsidRPr="00461C16">
        <w:t>Při analýze území zhotovitel identifikoval krajinářsky exponovaná území s vysokou hodnotou krajinného rázu</w:t>
      </w:r>
      <w:r w:rsidR="00676F19" w:rsidRPr="00461C16">
        <w:t>. Zároveň, s ohledem na požadavek ZÚR Libereckého kraje uvedený v kap. 1.2.9 pod bodem (215), jsou těmto území stanoveny stupně ochrany krajinného rázu.</w:t>
      </w:r>
    </w:p>
    <w:p w14:paraId="0A5C3ECC" w14:textId="77777777" w:rsidR="0029245D" w:rsidRPr="00461C16" w:rsidRDefault="00676F19" w:rsidP="00676F19">
      <w:pPr>
        <w:pStyle w:val="1text"/>
        <w:rPr>
          <w:rFonts w:cs="Arial"/>
          <w:szCs w:val="18"/>
        </w:rPr>
      </w:pPr>
      <w:r w:rsidRPr="00461C16">
        <w:rPr>
          <w:b/>
        </w:rPr>
        <w:t>H</w:t>
      </w:r>
      <w:r w:rsidR="0029245D" w:rsidRPr="00461C16">
        <w:rPr>
          <w:b/>
        </w:rPr>
        <w:t>orizont východního okraje CHKO Lužické hory</w:t>
      </w:r>
      <w:r w:rsidR="0029245D" w:rsidRPr="00461C16">
        <w:t xml:space="preserve"> s dominantami </w:t>
      </w:r>
      <w:r w:rsidR="00B154E6" w:rsidRPr="00461C16">
        <w:rPr>
          <w:rFonts w:cs="Arial"/>
          <w:szCs w:val="18"/>
        </w:rPr>
        <w:t xml:space="preserve">Sedlecký špičák (544 m n.m.), </w:t>
      </w:r>
      <w:r w:rsidR="0029245D" w:rsidRPr="00461C16">
        <w:t xml:space="preserve">Popova skála (565 m n.m.), </w:t>
      </w:r>
      <w:r w:rsidR="00B154E6" w:rsidRPr="00461C16">
        <w:t xml:space="preserve">Vraní skály (500 m n.m.), </w:t>
      </w:r>
      <w:r w:rsidR="0029245D" w:rsidRPr="00461C16">
        <w:t>Hřebeny (530 m n.m.)</w:t>
      </w:r>
      <w:r w:rsidR="00B154E6" w:rsidRPr="00461C16">
        <w:t xml:space="preserve">, </w:t>
      </w:r>
      <w:r w:rsidR="0029245D" w:rsidRPr="00461C16">
        <w:t>Ostrý</w:t>
      </w:r>
      <w:r w:rsidR="0029245D" w:rsidRPr="00461C16">
        <w:rPr>
          <w:rFonts w:cs="Arial"/>
          <w:szCs w:val="18"/>
        </w:rPr>
        <w:t xml:space="preserve"> vrch (507 m n.m.)</w:t>
      </w:r>
      <w:r w:rsidR="00B154E6" w:rsidRPr="00461C16">
        <w:rPr>
          <w:rFonts w:cs="Arial"/>
          <w:szCs w:val="18"/>
        </w:rPr>
        <w:t>, Vysoká (545 m n. m.) a Pískový vrch (547 m n.m.)</w:t>
      </w:r>
      <w:r w:rsidRPr="00461C16">
        <w:rPr>
          <w:rFonts w:cs="Arial"/>
          <w:szCs w:val="18"/>
        </w:rPr>
        <w:t>. J</w:t>
      </w:r>
      <w:r w:rsidR="00CD7BFE" w:rsidRPr="00461C16">
        <w:rPr>
          <w:rFonts w:cs="Arial"/>
          <w:szCs w:val="18"/>
        </w:rPr>
        <w:t>de o pohledově nejexponovanější část krajiny města</w:t>
      </w:r>
      <w:r w:rsidRPr="00461C16">
        <w:rPr>
          <w:rFonts w:cs="Arial"/>
          <w:szCs w:val="18"/>
        </w:rPr>
        <w:t xml:space="preserve">, která definuje charakter jihozápadní části města. Význam tohoto území je nadmístní. </w:t>
      </w:r>
    </w:p>
    <w:p w14:paraId="0FE1CC7D" w14:textId="77777777" w:rsidR="00676F19" w:rsidRPr="00461C16" w:rsidRDefault="00676F19" w:rsidP="00676F19">
      <w:pPr>
        <w:spacing w:before="120" w:after="120"/>
        <w:rPr>
          <w:rFonts w:cs="Arial"/>
          <w:lang w:eastAsia="cs-CZ"/>
        </w:rPr>
      </w:pPr>
      <w:r w:rsidRPr="00461C16">
        <w:t xml:space="preserve">Pro toto území je stanoven </w:t>
      </w:r>
      <w:r w:rsidRPr="00461C16">
        <w:rPr>
          <w:rFonts w:cs="Arial"/>
          <w:lang w:eastAsia="cs-CZ"/>
        </w:rPr>
        <w:t>II. stupeň ochrany (vysoká ochrana krajinného rázu) charakterizovaný ZÚR</w:t>
      </w:r>
      <w:r w:rsidR="003B07D8">
        <w:rPr>
          <w:rFonts w:cs="Arial"/>
          <w:lang w:eastAsia="cs-CZ"/>
        </w:rPr>
        <w:t xml:space="preserve"> LK</w:t>
      </w:r>
      <w:r w:rsidRPr="00461C16">
        <w:rPr>
          <w:rFonts w:cs="Arial"/>
          <w:lang w:eastAsia="cs-CZ"/>
        </w:rPr>
        <w:t xml:space="preserve"> následovně: </w:t>
      </w:r>
    </w:p>
    <w:p w14:paraId="646E899C" w14:textId="77777777" w:rsidR="00676F19" w:rsidRPr="00461C16" w:rsidRDefault="00676F19" w:rsidP="00B50F86">
      <w:pPr>
        <w:pStyle w:val="ListParagraph"/>
        <w:numPr>
          <w:ilvl w:val="0"/>
          <w:numId w:val="58"/>
        </w:numPr>
        <w:spacing w:before="120" w:after="120"/>
        <w:rPr>
          <w:rFonts w:cs="Arial"/>
          <w:lang w:eastAsia="cs-CZ"/>
        </w:rPr>
      </w:pPr>
      <w:r w:rsidRPr="00461C16">
        <w:rPr>
          <w:rFonts w:cs="Arial"/>
          <w:lang w:eastAsia="cs-CZ"/>
        </w:rPr>
        <w:t xml:space="preserve">ostatní přírodně a krajinářsky cenná území, tvořená zejména územím nižších zón odstupňované ochrany přírody a krajiny V-ZCHÚ, kulturními částmi přírodních parků, ale i dalšími aspekty – krajinnými a sídelními památkovými zónami, ochrannými pásmy kulturních památek či ZCHÚ, částmi význačných a unikátních krajinných typů apod. </w:t>
      </w:r>
    </w:p>
    <w:p w14:paraId="7FA21A55" w14:textId="77777777" w:rsidR="00676F19" w:rsidRPr="00461C16" w:rsidRDefault="00676F19" w:rsidP="00B50F86">
      <w:pPr>
        <w:pStyle w:val="ListParagraph"/>
        <w:numPr>
          <w:ilvl w:val="0"/>
          <w:numId w:val="58"/>
        </w:numPr>
        <w:spacing w:before="120" w:after="120"/>
        <w:rPr>
          <w:rFonts w:cs="Arial"/>
          <w:lang w:eastAsia="cs-CZ"/>
        </w:rPr>
      </w:pPr>
      <w:r w:rsidRPr="00461C16">
        <w:rPr>
          <w:rFonts w:cs="Arial"/>
          <w:lang w:eastAsia="cs-CZ"/>
        </w:rPr>
        <w:t>jsou chráněny typické znaky, kdy některé doplňující znaky, které brání současnému životu v krajině, lze operativně i pominout</w:t>
      </w:r>
    </w:p>
    <w:p w14:paraId="08D927F7" w14:textId="77777777" w:rsidR="00676F19" w:rsidRPr="00461C16" w:rsidRDefault="00676F19" w:rsidP="00B50F86">
      <w:pPr>
        <w:pStyle w:val="ListParagraph"/>
        <w:numPr>
          <w:ilvl w:val="0"/>
          <w:numId w:val="58"/>
        </w:numPr>
        <w:spacing w:before="120" w:after="120"/>
        <w:rPr>
          <w:rFonts w:cs="Arial"/>
          <w:lang w:eastAsia="cs-CZ"/>
        </w:rPr>
      </w:pPr>
      <w:r w:rsidRPr="00461C16">
        <w:rPr>
          <w:rFonts w:cs="Arial"/>
          <w:lang w:eastAsia="cs-CZ"/>
        </w:rPr>
        <w:lastRenderedPageBreak/>
        <w:t>tento stupeň ochrany je stále výrazně konzervační, umožňuje však určité změny, v částech území s významnějším podílem výše jmenovaných zájmů památkové péče pak tento stupeň ochrany platí i pro část urbanizované krajiny</w:t>
      </w:r>
    </w:p>
    <w:p w14:paraId="0DDEF697" w14:textId="77777777" w:rsidR="0029245D" w:rsidRPr="00461C16" w:rsidRDefault="00676F19" w:rsidP="00676F19">
      <w:pPr>
        <w:pStyle w:val="1text"/>
      </w:pPr>
      <w:r w:rsidRPr="00461C16">
        <w:rPr>
          <w:b/>
        </w:rPr>
        <w:t>V</w:t>
      </w:r>
      <w:r w:rsidR="0029245D" w:rsidRPr="00461C16">
        <w:rPr>
          <w:b/>
        </w:rPr>
        <w:t>odní tok Lužická Nisa a jeho údolí</w:t>
      </w:r>
      <w:r w:rsidR="0029245D" w:rsidRPr="00461C16">
        <w:t xml:space="preserve"> </w:t>
      </w:r>
      <w:r w:rsidRPr="00461C16">
        <w:t xml:space="preserve">tvoří </w:t>
      </w:r>
      <w:r w:rsidR="0029245D" w:rsidRPr="00461C16">
        <w:t xml:space="preserve">hlavní krajinnou </w:t>
      </w:r>
      <w:r w:rsidRPr="00461C16">
        <w:t xml:space="preserve">a zčásti i urbanistickou osu </w:t>
      </w:r>
      <w:r w:rsidR="0029245D" w:rsidRPr="00461C16">
        <w:t xml:space="preserve">území </w:t>
      </w:r>
      <w:r w:rsidRPr="00461C16">
        <w:t xml:space="preserve">vlastního Hrádku nad Nisou. Významná je i hraniční poloha řeky v severozápadní části území. </w:t>
      </w:r>
    </w:p>
    <w:p w14:paraId="3DA6B9C0" w14:textId="77777777" w:rsidR="00676F19" w:rsidRPr="00461C16" w:rsidRDefault="00676F19" w:rsidP="00676F19">
      <w:pPr>
        <w:spacing w:before="120" w:after="120"/>
        <w:rPr>
          <w:rFonts w:cs="Arial"/>
          <w:lang w:eastAsia="cs-CZ"/>
        </w:rPr>
      </w:pPr>
      <w:r w:rsidRPr="00461C16">
        <w:rPr>
          <w:rFonts w:cs="Arial"/>
          <w:lang w:eastAsia="cs-CZ"/>
        </w:rPr>
        <w:t xml:space="preserve">Pro Lužickou Nisu a její údolí je stanoven III. stupeň ochrany (zvýšená ochrana krajinného rázu) charakterizovaný ZÚR </w:t>
      </w:r>
      <w:r w:rsidR="003B07D8">
        <w:t xml:space="preserve">Libereckého kraje </w:t>
      </w:r>
      <w:r w:rsidRPr="00461C16">
        <w:rPr>
          <w:rFonts w:cs="Arial"/>
          <w:lang w:eastAsia="cs-CZ"/>
        </w:rPr>
        <w:t>následovně:</w:t>
      </w:r>
    </w:p>
    <w:p w14:paraId="4030CBBF" w14:textId="77777777" w:rsidR="00676F19" w:rsidRPr="00461C16" w:rsidRDefault="00676F19" w:rsidP="00B50F86">
      <w:pPr>
        <w:pStyle w:val="ListParagraph"/>
        <w:numPr>
          <w:ilvl w:val="0"/>
          <w:numId w:val="59"/>
        </w:numPr>
        <w:spacing w:before="120" w:after="120"/>
        <w:rPr>
          <w:rFonts w:cs="Arial"/>
          <w:lang w:eastAsia="cs-CZ"/>
        </w:rPr>
      </w:pPr>
      <w:r w:rsidRPr="00461C16">
        <w:rPr>
          <w:rFonts w:cs="Arial"/>
          <w:lang w:eastAsia="cs-CZ"/>
        </w:rPr>
        <w:t>uplatňován z jiných zájmů vyplývajících z územního konsensu a legislativních ustanovení (příměstské lesy, rekreační areály aj.)</w:t>
      </w:r>
    </w:p>
    <w:p w14:paraId="2B0545CA" w14:textId="77777777" w:rsidR="00676F19" w:rsidRPr="00461C16" w:rsidRDefault="00676F19" w:rsidP="00B50F86">
      <w:pPr>
        <w:pStyle w:val="ListParagraph"/>
        <w:numPr>
          <w:ilvl w:val="0"/>
          <w:numId w:val="59"/>
        </w:numPr>
        <w:spacing w:before="120" w:after="120"/>
        <w:rPr>
          <w:rFonts w:cs="Arial"/>
          <w:lang w:eastAsia="cs-CZ"/>
        </w:rPr>
      </w:pPr>
      <w:r w:rsidRPr="00461C16">
        <w:rPr>
          <w:rFonts w:cs="Arial"/>
          <w:lang w:eastAsia="cs-CZ"/>
        </w:rPr>
        <w:t>chráněny jsou zejména krajinné dominantní znaky, ale některé hlavní typické znaky, pokud brání rozvoji území, lze i pominout, tvorba krajiny je v rovnováze s ochranou jejich dochovaných hodnot</w:t>
      </w:r>
    </w:p>
    <w:p w14:paraId="04532357" w14:textId="77777777" w:rsidR="00772A36" w:rsidRPr="00461C16" w:rsidRDefault="00676F19" w:rsidP="00772A36">
      <w:pPr>
        <w:spacing w:before="120" w:after="120"/>
      </w:pPr>
      <w:r w:rsidRPr="00461C16">
        <w:rPr>
          <w:b/>
        </w:rPr>
        <w:t>P</w:t>
      </w:r>
      <w:r w:rsidR="00CD7BFE" w:rsidRPr="00461C16">
        <w:rPr>
          <w:b/>
        </w:rPr>
        <w:t>rostor Trojzemí</w:t>
      </w:r>
      <w:r w:rsidR="00772A36" w:rsidRPr="00461C16">
        <w:rPr>
          <w:b/>
        </w:rPr>
        <w:t xml:space="preserve">, </w:t>
      </w:r>
      <w:r w:rsidR="00772A36" w:rsidRPr="00461C16">
        <w:t>který má velký komunitní význam a zároveň je turisticky atraktivním bodem. J</w:t>
      </w:r>
      <w:r w:rsidR="00772A36" w:rsidRPr="00461C16">
        <w:rPr>
          <w:rFonts w:cs="Arial"/>
          <w:lang w:eastAsia="cs-CZ"/>
        </w:rPr>
        <w:t xml:space="preserve">e pro něj stanoven III. stupeň ochrany (zvýšená ochrana krajinného rázu - viz výše) </w:t>
      </w:r>
    </w:p>
    <w:p w14:paraId="047F62A0" w14:textId="77777777" w:rsidR="00772A36" w:rsidRPr="00461C16" w:rsidRDefault="00772A36" w:rsidP="00772A36">
      <w:pPr>
        <w:spacing w:before="120" w:after="120"/>
      </w:pPr>
      <w:r w:rsidRPr="00461C16">
        <w:rPr>
          <w:b/>
        </w:rPr>
        <w:t>H</w:t>
      </w:r>
      <w:r w:rsidR="0029245D" w:rsidRPr="00461C16">
        <w:rPr>
          <w:b/>
        </w:rPr>
        <w:t>orizont hraničních lesů severně od Václavic</w:t>
      </w:r>
      <w:r w:rsidRPr="00461C16">
        <w:rPr>
          <w:b/>
        </w:rPr>
        <w:t xml:space="preserve">. </w:t>
      </w:r>
      <w:r w:rsidRPr="00461C16">
        <w:t>Jde o souvislý zalesněný horizont s reliéfem zvyšujícím se od severozápadu (cca 280 m n.m. v údolí Jašnice) k jihovýchodu (569 m n.m. na vrcholu špičáku mimo území města). P</w:t>
      </w:r>
      <w:r w:rsidRPr="00461C16">
        <w:rPr>
          <w:rFonts w:cs="Arial"/>
          <w:lang w:eastAsia="cs-CZ"/>
        </w:rPr>
        <w:t>ro tento horizont je stanoven III. stupeň ochrany (viz výše).</w:t>
      </w:r>
    </w:p>
    <w:p w14:paraId="25F75970" w14:textId="77777777" w:rsidR="00B00E4B" w:rsidRPr="00461C16" w:rsidRDefault="00772A36" w:rsidP="00676F19">
      <w:pPr>
        <w:pStyle w:val="1text"/>
      </w:pPr>
      <w:r w:rsidRPr="00461C16">
        <w:rPr>
          <w:b/>
        </w:rPr>
        <w:t>D</w:t>
      </w:r>
      <w:r w:rsidR="0029245D" w:rsidRPr="00461C16">
        <w:rPr>
          <w:b/>
        </w:rPr>
        <w:t>ubové aleje podél silnic</w:t>
      </w:r>
      <w:r w:rsidR="0051579D" w:rsidRPr="00461C16">
        <w:rPr>
          <w:b/>
        </w:rPr>
        <w:t xml:space="preserve">, </w:t>
      </w:r>
      <w:r w:rsidR="0051579D" w:rsidRPr="00461C16">
        <w:t>které</w:t>
      </w:r>
      <w:r w:rsidR="00B154E6" w:rsidRPr="00461C16">
        <w:t xml:space="preserve"> </w:t>
      </w:r>
      <w:r w:rsidRPr="00461C16">
        <w:t>tvoří významné krajinné a urbanistické osy. Jde o aleje</w:t>
      </w:r>
    </w:p>
    <w:p w14:paraId="1D2ED1D7" w14:textId="77777777" w:rsidR="0051579D" w:rsidRPr="00461C16" w:rsidRDefault="0051579D" w:rsidP="0051579D">
      <w:pPr>
        <w:pStyle w:val="2cislo"/>
        <w:rPr>
          <w:rFonts w:eastAsia="Times New Roman" w:cs="Arial"/>
          <w:lang w:eastAsia="cs-CZ"/>
        </w:rPr>
      </w:pPr>
      <w:r w:rsidRPr="00461C16">
        <w:t>Alej podél ulice Lidická</w:t>
      </w:r>
    </w:p>
    <w:p w14:paraId="2834E8C4" w14:textId="77777777" w:rsidR="0051579D" w:rsidRPr="00461C16" w:rsidRDefault="0051579D" w:rsidP="0051579D">
      <w:pPr>
        <w:pStyle w:val="2cislo"/>
        <w:rPr>
          <w:rFonts w:eastAsia="Times New Roman" w:cs="Arial"/>
          <w:lang w:eastAsia="cs-CZ"/>
        </w:rPr>
      </w:pPr>
      <w:r w:rsidRPr="00461C16">
        <w:t xml:space="preserve">Jednořadá alej u Speciální školy v ulici Hartavská </w:t>
      </w:r>
    </w:p>
    <w:p w14:paraId="10D281DF" w14:textId="77777777" w:rsidR="0051579D" w:rsidRPr="00461C16" w:rsidRDefault="0051579D" w:rsidP="0051579D">
      <w:pPr>
        <w:pStyle w:val="2cislo"/>
        <w:rPr>
          <w:rFonts w:eastAsia="Times New Roman" w:cs="Arial"/>
          <w:lang w:eastAsia="cs-CZ"/>
        </w:rPr>
      </w:pPr>
      <w:r w:rsidRPr="00461C16">
        <w:t>Dvouřadá alej v Žitavské ul. Směrem k nádrži Kristýna</w:t>
      </w:r>
    </w:p>
    <w:p w14:paraId="76CCF33E" w14:textId="77777777" w:rsidR="0051579D" w:rsidRPr="00461C16" w:rsidRDefault="0051579D" w:rsidP="0051579D">
      <w:pPr>
        <w:pStyle w:val="2cislo"/>
      </w:pPr>
      <w:r w:rsidRPr="00461C16">
        <w:t xml:space="preserve">Alej podél </w:t>
      </w:r>
      <w:r w:rsidR="00C175DE" w:rsidRPr="00461C16">
        <w:t>h</w:t>
      </w:r>
      <w:r w:rsidRPr="00461C16">
        <w:t xml:space="preserve">lavní komunikace </w:t>
      </w:r>
    </w:p>
    <w:p w14:paraId="2F9C8A4F" w14:textId="77777777" w:rsidR="0029245D" w:rsidRPr="00461C16" w:rsidRDefault="0051579D" w:rsidP="00676F19">
      <w:pPr>
        <w:pStyle w:val="1text"/>
      </w:pPr>
      <w:r w:rsidRPr="00461C16">
        <w:t>Aleje j</w:t>
      </w:r>
      <w:r w:rsidR="00772A36" w:rsidRPr="00461C16">
        <w:t xml:space="preserve">sou </w:t>
      </w:r>
      <w:r w:rsidR="00B154E6" w:rsidRPr="00461C16">
        <w:t>chráněn</w:t>
      </w:r>
      <w:r w:rsidR="00772A36" w:rsidRPr="00461C16">
        <w:t xml:space="preserve">é </w:t>
      </w:r>
      <w:r w:rsidR="00B154E6" w:rsidRPr="00461C16">
        <w:t xml:space="preserve">zároveň jako </w:t>
      </w:r>
      <w:r w:rsidR="00772A36" w:rsidRPr="00461C16">
        <w:t>registr</w:t>
      </w:r>
      <w:r w:rsidRPr="00461C16">
        <w:t>o</w:t>
      </w:r>
      <w:r w:rsidR="00772A36" w:rsidRPr="00461C16">
        <w:t xml:space="preserve">vané </w:t>
      </w:r>
      <w:r w:rsidR="00B154E6" w:rsidRPr="00461C16">
        <w:t>VKP</w:t>
      </w:r>
      <w:r w:rsidR="00C175DE" w:rsidRPr="00461C16">
        <w:t>, z tohoto důvodu jim není přiřazen s</w:t>
      </w:r>
      <w:r w:rsidRPr="00461C16">
        <w:t xml:space="preserve">tupeň </w:t>
      </w:r>
      <w:r w:rsidR="00C175DE" w:rsidRPr="00461C16">
        <w:t>ochrany krajinného rázu.</w:t>
      </w:r>
    </w:p>
    <w:p w14:paraId="2372CB0C" w14:textId="77777777" w:rsidR="00CD7BFE" w:rsidRPr="00461C16" w:rsidRDefault="00826ED9" w:rsidP="00772A36">
      <w:pPr>
        <w:spacing w:before="120" w:after="120"/>
        <w:rPr>
          <w:rStyle w:val="NvrhP-text"/>
        </w:rPr>
      </w:pPr>
      <w:r w:rsidRPr="00461C16">
        <w:t xml:space="preserve">Výše uvedená území s vysokou </w:t>
      </w:r>
      <w:r w:rsidR="00CD7BFE" w:rsidRPr="00461C16">
        <w:t>hodnot</w:t>
      </w:r>
      <w:r w:rsidRPr="00461C16">
        <w:t xml:space="preserve">ou krajinného rázu </w:t>
      </w:r>
      <w:r w:rsidR="00CD7BFE" w:rsidRPr="00461C16">
        <w:t>byl</w:t>
      </w:r>
      <w:r w:rsidRPr="00461C16">
        <w:t>a</w:t>
      </w:r>
      <w:r w:rsidR="00CD7BFE" w:rsidRPr="00461C16">
        <w:t xml:space="preserve"> respektován</w:t>
      </w:r>
      <w:r w:rsidRPr="00461C16">
        <w:t>a</w:t>
      </w:r>
      <w:r w:rsidR="00CD7BFE" w:rsidRPr="00461C16">
        <w:t xml:space="preserve"> při samotném návrhu územního plánu. K jejich ochraně přispívá zejména výšková regulace stanovená v územním plánu pro zastavěná území a zastavitelné plochy. Při důsledném uplatnění ÚP tedy nemůže dojít k narušení hodnot krajinného rázu.</w:t>
      </w:r>
      <w:r w:rsidR="00772A36" w:rsidRPr="00461C16">
        <w:t xml:space="preserve"> </w:t>
      </w:r>
    </w:p>
    <w:p w14:paraId="05E456BE" w14:textId="77777777" w:rsidR="00826ED9" w:rsidRPr="00461C16" w:rsidRDefault="00826ED9" w:rsidP="00826ED9">
      <w:pPr>
        <w:pStyle w:val="1text"/>
        <w:rPr>
          <w:i/>
        </w:rPr>
      </w:pPr>
      <w:bookmarkStart w:id="142" w:name="_Toc268687969"/>
      <w:r w:rsidRPr="00461C16">
        <w:rPr>
          <w:i/>
        </w:rPr>
        <w:t>Ad d)</w:t>
      </w:r>
    </w:p>
    <w:p w14:paraId="23E06029" w14:textId="77777777" w:rsidR="00D2631E" w:rsidRPr="00461C16" w:rsidRDefault="00826ED9" w:rsidP="00D2631E">
      <w:pPr>
        <w:pStyle w:val="1text"/>
      </w:pPr>
      <w:r w:rsidRPr="00461C16">
        <w:t>B</w:t>
      </w:r>
      <w:r w:rsidR="00320223" w:rsidRPr="00461C16">
        <w:t>o</w:t>
      </w:r>
      <w:r w:rsidRPr="00461C16">
        <w:t>d je uveden z</w:t>
      </w:r>
      <w:r w:rsidR="00320223" w:rsidRPr="00461C16">
        <w:t> </w:t>
      </w:r>
      <w:r w:rsidRPr="00461C16">
        <w:t>d</w:t>
      </w:r>
      <w:r w:rsidR="00320223" w:rsidRPr="00461C16">
        <w:t xml:space="preserve">ůvodu </w:t>
      </w:r>
      <w:r w:rsidRPr="00461C16">
        <w:t xml:space="preserve">upřesnění </w:t>
      </w:r>
      <w:r w:rsidR="00320223" w:rsidRPr="00461C16">
        <w:t xml:space="preserve">požadavků </w:t>
      </w:r>
      <w:r w:rsidRPr="00461C16">
        <w:t xml:space="preserve">na ochranu </w:t>
      </w:r>
      <w:r w:rsidR="00320223" w:rsidRPr="00461C16">
        <w:t xml:space="preserve">krajinného </w:t>
      </w:r>
      <w:r w:rsidRPr="00461C16">
        <w:t>rázu v</w:t>
      </w:r>
      <w:r w:rsidR="00320223" w:rsidRPr="00461C16">
        <w:t> </w:t>
      </w:r>
      <w:r w:rsidRPr="00461C16">
        <w:t>řízen</w:t>
      </w:r>
      <w:r w:rsidR="00320223" w:rsidRPr="00461C16">
        <w:t>ích</w:t>
      </w:r>
      <w:r w:rsidRPr="00461C16">
        <w:t xml:space="preserve"> </w:t>
      </w:r>
      <w:r w:rsidR="00320223" w:rsidRPr="00461C16">
        <w:t xml:space="preserve">dle stavebního zákona. </w:t>
      </w:r>
      <w:r w:rsidR="00D2631E" w:rsidRPr="00461C16">
        <w:t>Ochrana krajinného rázu je při výstavbě implementována formou vyhodnocení vlivu stavby na krajinný ráz, které provádí příslušný orgán ochrany přírody a krajiny většinou na základě odborného posudku. U výše uvedených území s vysokou hodnotou krajinného rázu by mohlo umístěním výškových či plošně rozsáhlých staveb dojít k negativnímu ovlivnění vizuálního vnímání těchto území. Proto je v rámci územního řízení nebo obdobného postupu nutné provést vyhodnocení vlivu takových staveb na krajinný ráz.</w:t>
      </w:r>
    </w:p>
    <w:p w14:paraId="71D5D404" w14:textId="77777777" w:rsidR="00826ED9" w:rsidRPr="00461C16" w:rsidRDefault="00D2631E" w:rsidP="00D2631E">
      <w:pPr>
        <w:pStyle w:val="1text"/>
        <w:rPr>
          <w:i/>
        </w:rPr>
      </w:pPr>
      <w:r w:rsidRPr="00461C16">
        <w:rPr>
          <w:i/>
        </w:rPr>
        <w:t>Ad e)</w:t>
      </w:r>
    </w:p>
    <w:p w14:paraId="33339677" w14:textId="77777777" w:rsidR="00D2631E" w:rsidRPr="00461C16" w:rsidRDefault="00D2631E" w:rsidP="00D2631E">
      <w:pPr>
        <w:pStyle w:val="1text"/>
      </w:pPr>
      <w:r w:rsidRPr="00461C16">
        <w:t xml:space="preserve">Požadavek se týká výhledů z krajinných dominant v oblasti Lužických hor. </w:t>
      </w:r>
      <w:r w:rsidR="001E73F5" w:rsidRPr="00461C16">
        <w:t xml:space="preserve">Předmětem ochrany z hlediska krajinného rázu jsou zde místa, která jsou z uvedených dominant dobře viditelná. </w:t>
      </w:r>
      <w:r w:rsidR="00B53218" w:rsidRPr="00461C16">
        <w:t>Pro umisťování staveb v těchto prostorech je rovněž stanovena podmínka, že stavby, které by mohly negativně ovlivnit výhledy na tyto prostory z dominant v Lužických horách lze na území města povolit pouze na základě kladného vyhodnocení vlivu těchto staveb na krajinný ráz.</w:t>
      </w:r>
    </w:p>
    <w:p w14:paraId="5D201431" w14:textId="77777777" w:rsidR="00B53218" w:rsidRPr="00461C16" w:rsidRDefault="00B53218" w:rsidP="00D2631E">
      <w:pPr>
        <w:pStyle w:val="1text"/>
        <w:rPr>
          <w:i/>
        </w:rPr>
      </w:pPr>
      <w:r w:rsidRPr="00461C16">
        <w:rPr>
          <w:i/>
        </w:rPr>
        <w:t xml:space="preserve">Ad f) </w:t>
      </w:r>
    </w:p>
    <w:p w14:paraId="32B38826" w14:textId="77777777" w:rsidR="00B53218" w:rsidRPr="00461C16" w:rsidRDefault="00B53218" w:rsidP="00D2631E">
      <w:pPr>
        <w:pStyle w:val="1text"/>
      </w:pPr>
      <w:r w:rsidRPr="00461C16">
        <w:t xml:space="preserve">Požadavek je převzatý z podmínek </w:t>
      </w:r>
      <w:r w:rsidR="009A17D3" w:rsidRPr="00461C16">
        <w:t xml:space="preserve">ochrany krajiny a krajinného rázu </w:t>
      </w:r>
      <w:r w:rsidRPr="00461C16">
        <w:t xml:space="preserve">uvedených v ZÚR Libereckého kraje </w:t>
      </w:r>
      <w:r w:rsidR="009A17D3" w:rsidRPr="00461C16">
        <w:t xml:space="preserve">(viz kap. 1.2.9 Odůvodnění) </w:t>
      </w:r>
      <w:r w:rsidRPr="00461C16">
        <w:t>a je upřesněn na podmínky města. Jako základní urbanistické a architektonické znaky sídel, uplatňující se ve vizuálních charakteristikách krajiny byly identifikovány:</w:t>
      </w:r>
    </w:p>
    <w:p w14:paraId="2C7AE64F" w14:textId="77777777" w:rsidR="00B53218" w:rsidRPr="00461C16" w:rsidRDefault="00B53218" w:rsidP="00B53218">
      <w:pPr>
        <w:pStyle w:val="3cislo"/>
      </w:pPr>
      <w:r w:rsidRPr="00461C16">
        <w:lastRenderedPageBreak/>
        <w:t xml:space="preserve">Ulicový charakter zástavby Oldřichova a Václavic, který by neměl být narušen zejména umístěním plošně rozsáhlých </w:t>
      </w:r>
      <w:r w:rsidR="009A17D3" w:rsidRPr="00461C16">
        <w:t>ploch (bydlení, výroba, komerce) v návaznosti na stávající zástavbu</w:t>
      </w:r>
      <w:r w:rsidR="00D96553" w:rsidRPr="00461C16">
        <w:t xml:space="preserve">. Požadavek je naplněn v návrhu územního plánu a měl by být respektován při jeho změnách. </w:t>
      </w:r>
    </w:p>
    <w:p w14:paraId="01E229A3" w14:textId="77777777" w:rsidR="009A17D3" w:rsidRPr="00461C16" w:rsidRDefault="009A17D3" w:rsidP="00B53218">
      <w:pPr>
        <w:pStyle w:val="3cislo"/>
      </w:pPr>
      <w:r w:rsidRPr="00461C16">
        <w:t xml:space="preserve">Věže kostela sv. Bartoloměje a Chrámu pokoje jako stavební dominanty centra Hrádku, které je nutné chránit před pohledovým zastíněním v důležitých pohledech. </w:t>
      </w:r>
    </w:p>
    <w:p w14:paraId="5C6409E3" w14:textId="77777777" w:rsidR="009A17D3" w:rsidRPr="00461C16" w:rsidRDefault="009A17D3" w:rsidP="009A17D3">
      <w:pPr>
        <w:pStyle w:val="1text"/>
        <w:rPr>
          <w:i/>
        </w:rPr>
      </w:pPr>
      <w:r w:rsidRPr="00461C16">
        <w:rPr>
          <w:i/>
        </w:rPr>
        <w:t xml:space="preserve">Ad e) </w:t>
      </w:r>
    </w:p>
    <w:p w14:paraId="04DC21BD" w14:textId="77777777" w:rsidR="009A17D3" w:rsidRPr="00461C16" w:rsidRDefault="009A17D3" w:rsidP="009A17D3">
      <w:pPr>
        <w:pStyle w:val="1text"/>
      </w:pPr>
      <w:r w:rsidRPr="00461C16">
        <w:t xml:space="preserve">Požadavek je převzatý z podmínek ochrany krajiny a krajinného rázu pro oblast krajinného rázu 12 Lužické hory uvedených v ZÚR Libereckého kraje (viz kap. 1.2.9 Odůvodnění). </w:t>
      </w:r>
      <w:r w:rsidR="00D96553" w:rsidRPr="00461C16">
        <w:t>Smyslem požadavku je zachování jedinečného charakteru krajiny Lužických hor s rozptýlený</w:t>
      </w:r>
      <w:r w:rsidR="003D4177" w:rsidRPr="00461C16">
        <w:t xml:space="preserve">mi malými sídly. Požadavek je naplněn v návrhu územního plánu a měl by být respektován při jeho změnách. </w:t>
      </w:r>
    </w:p>
    <w:p w14:paraId="0C06F2BB" w14:textId="77777777" w:rsidR="00D96553" w:rsidRPr="00461C16" w:rsidRDefault="00D96553" w:rsidP="00D96553">
      <w:pPr>
        <w:pStyle w:val="1text"/>
        <w:rPr>
          <w:i/>
        </w:rPr>
      </w:pPr>
      <w:r w:rsidRPr="00461C16">
        <w:rPr>
          <w:i/>
        </w:rPr>
        <w:t xml:space="preserve">Ad h) </w:t>
      </w:r>
    </w:p>
    <w:p w14:paraId="019AA3B7" w14:textId="77777777" w:rsidR="009A17D3" w:rsidRDefault="00D96553" w:rsidP="00D96553">
      <w:pPr>
        <w:pStyle w:val="1text"/>
      </w:pPr>
      <w:r w:rsidRPr="00461C16">
        <w:t xml:space="preserve">Požadavek </w:t>
      </w:r>
      <w:r w:rsidR="003D4177" w:rsidRPr="00461C16">
        <w:t xml:space="preserve">reaguje na poměrně velký rozsah plch těžby na území města. Smyslem je stanovit podmínky vhodné rekultivace odpovídající stavu okolní krajiny pro stávající a i případné budoucí plochy těžby v území. </w:t>
      </w:r>
    </w:p>
    <w:p w14:paraId="2487444D" w14:textId="77777777" w:rsidR="00CB15A2" w:rsidRPr="00461C16" w:rsidRDefault="00CB15A2" w:rsidP="00CB15A2">
      <w:pPr>
        <w:spacing w:before="120"/>
        <w:rPr>
          <w:i/>
          <w:sz w:val="20"/>
          <w:szCs w:val="20"/>
        </w:rPr>
      </w:pPr>
      <w:r w:rsidRPr="00CB15A2">
        <w:rPr>
          <w:i/>
          <w:sz w:val="20"/>
          <w:szCs w:val="20"/>
        </w:rPr>
        <w:t>(k bodu E04 ÚP)</w:t>
      </w:r>
      <w:r w:rsidRPr="00461C16">
        <w:rPr>
          <w:i/>
          <w:sz w:val="20"/>
          <w:szCs w:val="20"/>
        </w:rPr>
        <w:t xml:space="preserve"> </w:t>
      </w:r>
    </w:p>
    <w:p w14:paraId="745406E0" w14:textId="77777777" w:rsidR="00CB15A2" w:rsidRDefault="00CB15A2" w:rsidP="007748B3">
      <w:pPr>
        <w:pStyle w:val="1text"/>
      </w:pPr>
      <w:r>
        <w:t>Pro území CHKO Lužické hory bylo zpracováno preventivní hodnocení z hlediska krajinného rázu dle §12 zákona č. 114/1992 Sb., o ochraně přírody a krajiny, v platném znění (Ing. Kamila Svobodová, listopad 2011). V uvedeném podkladu jsou na území CHKO vymezeny oblasti a místa krajinného rázu</w:t>
      </w:r>
      <w:r w:rsidRPr="00CB15A2">
        <w:rPr>
          <w:rStyle w:val="FootnoteReference"/>
        </w:rPr>
        <w:footnoteReference w:id="7"/>
      </w:r>
      <w:r>
        <w:t xml:space="preserve">, dle jejich charakterové odlišnosti (charakter reliéfu, způsob využití území, struktura krajiny a charakter osídlení, apod.). </w:t>
      </w:r>
    </w:p>
    <w:p w14:paraId="5698C0F6" w14:textId="77777777" w:rsidR="00CB15A2" w:rsidRDefault="00CB15A2" w:rsidP="007748B3">
      <w:pPr>
        <w:pStyle w:val="1text"/>
      </w:pPr>
      <w:r w:rsidRPr="007748B3">
        <w:rPr>
          <w:bCs/>
          <w:i/>
          <w:iCs/>
        </w:rPr>
        <w:t>Oblast krajinného rázu</w:t>
      </w:r>
      <w:r>
        <w:rPr>
          <w:b/>
          <w:bCs/>
          <w:i/>
          <w:iCs/>
        </w:rPr>
        <w:t xml:space="preserve"> </w:t>
      </w:r>
      <w:r>
        <w:t xml:space="preserve">je krajinný celek s podobnou přírodní, kulturní a historickou charakteristikou odrážející se v souboru jejích typických znaků, který se výrazně liší od jiného celku ve všech charakteristikách či v některé z nich a který zahrnuje více míst krajinného rázu. Je vymezena hranicí, kterou mohou být přírodní nebo umělé prvky nebo jiné rozhraní měnících se charakteristik. </w:t>
      </w:r>
    </w:p>
    <w:p w14:paraId="3D2F9015" w14:textId="77777777" w:rsidR="00CB15A2" w:rsidRDefault="00CB15A2" w:rsidP="007748B3">
      <w:pPr>
        <w:pStyle w:val="1text"/>
      </w:pPr>
      <w:r w:rsidRPr="007748B3">
        <w:rPr>
          <w:bCs/>
          <w:i/>
          <w:iCs/>
        </w:rPr>
        <w:t>Místo krajinného rázu</w:t>
      </w:r>
      <w:r>
        <w:rPr>
          <w:b/>
          <w:bCs/>
          <w:i/>
          <w:iCs/>
        </w:rPr>
        <w:t xml:space="preserve"> </w:t>
      </w:r>
      <w:r>
        <w:t xml:space="preserve">je část krajiny relativně homogenní z hlediska přírodních, kulturních a historických charakteristik a výskytu estetických a přírodních hodnot, které odlišují místo krajinného rázu od jiných míst krajinného rázu. Je nejmenším hodnoceným prostorem; jedná se zpravidla o vizuálně vymezený krajinný prostor (konkávní nebo konvexní), který je pohledově spojitý z většiny pozorovacích stanovišť, nebo o území typické díky své výrazné charakterové odlišnosti.  </w:t>
      </w:r>
    </w:p>
    <w:p w14:paraId="64B752FD" w14:textId="77777777" w:rsidR="00CB15A2" w:rsidRDefault="00CB15A2" w:rsidP="007748B3">
      <w:pPr>
        <w:pStyle w:val="Default"/>
        <w:spacing w:before="120" w:after="120"/>
        <w:jc w:val="both"/>
        <w:rPr>
          <w:rFonts w:ascii="Arial Narrow" w:hAnsi="Arial Narrow" w:cs="Cambria"/>
          <w:sz w:val="22"/>
          <w:szCs w:val="22"/>
          <w:lang w:eastAsia="cs-CZ"/>
        </w:rPr>
      </w:pPr>
      <w:r w:rsidRPr="00CB15A2">
        <w:rPr>
          <w:rFonts w:ascii="Arial Narrow" w:hAnsi="Arial Narrow"/>
          <w:sz w:val="22"/>
          <w:szCs w:val="22"/>
        </w:rPr>
        <w:t xml:space="preserve">Jižní část správního území města Hrádek nad Nisou (sídla Horní Sedlo, Dolní Sedlo, Dolní Suchá) jsou zařazeny do </w:t>
      </w:r>
      <w:r w:rsidRPr="007748B3">
        <w:rPr>
          <w:rFonts w:ascii="Arial Narrow" w:hAnsi="Arial Narrow"/>
          <w:b/>
          <w:sz w:val="22"/>
          <w:szCs w:val="22"/>
        </w:rPr>
        <w:t>oblasti krajinného rázu Mařenicko - Petrovicko</w:t>
      </w:r>
      <w:r w:rsidRPr="00CB15A2">
        <w:rPr>
          <w:rFonts w:ascii="Arial Narrow" w:hAnsi="Arial Narrow"/>
          <w:sz w:val="22"/>
          <w:szCs w:val="22"/>
        </w:rPr>
        <w:t xml:space="preserve">. </w:t>
      </w:r>
      <w:r w:rsidRPr="00CB15A2">
        <w:rPr>
          <w:rFonts w:ascii="Arial Narrow" w:hAnsi="Arial Narrow" w:cs="Cambria"/>
          <w:sz w:val="22"/>
          <w:szCs w:val="22"/>
          <w:lang w:val="cs-CZ" w:eastAsia="cs-CZ"/>
        </w:rPr>
        <w:t xml:space="preserve">Oblast charakterizuje zejména členitý reliéf s vrchy vulkanického původu, které se uplatňují v rámci pohledových vztahů celé oblasti. Sídla oblasti vykazují výjimečně vysokou zachovalost struktury i zástavby, typické jsou zde údolní lánové vsi utvářející dlouhé řetězce. Využití území oblasti je převážně lesohospodářské. Častý je výskyt vzácných suťových polí na vrcholech kopců. </w:t>
      </w:r>
      <w:r w:rsidRPr="00CB15A2">
        <w:rPr>
          <w:rFonts w:ascii="Arial Narrow" w:hAnsi="Arial Narrow" w:cs="Cambria"/>
          <w:sz w:val="22"/>
          <w:szCs w:val="22"/>
          <w:lang w:eastAsia="cs-CZ"/>
        </w:rPr>
        <w:t xml:space="preserve">Oblast je význačná nejen svou přírodní charakteristikou (reliéf, vulkanické vrchy, suťová pole), ale zejména způsobem osídlení a zachovalostí sídel, které dosahují hodnot jedinečných v rámci České republiky. Ačkoli sídla Horní a Dolní Sedlo a okrajová část Dolní Suché svých charakterem nejsou typické pro oblast krajinného rázu Mařenicko-Petrovicko a svých charakterem se řadí spíše do oblasti Hrádecko, z důvodu jejich polohy v přechodovém pásmu mezi oběma oblastmi </w:t>
      </w:r>
      <w:r w:rsidR="007748B3">
        <w:rPr>
          <w:rFonts w:ascii="Arial Narrow" w:hAnsi="Arial Narrow" w:cs="Cambria"/>
          <w:sz w:val="22"/>
          <w:szCs w:val="22"/>
          <w:lang w:eastAsia="cs-CZ"/>
        </w:rPr>
        <w:t>jsou z hlediska</w:t>
      </w:r>
      <w:r w:rsidRPr="00CB15A2">
        <w:rPr>
          <w:rFonts w:ascii="Arial Narrow" w:hAnsi="Arial Narrow" w:cs="Cambria"/>
          <w:sz w:val="22"/>
          <w:szCs w:val="22"/>
          <w:lang w:eastAsia="cs-CZ"/>
        </w:rPr>
        <w:t xml:space="preserve"> hodnocení krajinného rázu zařazeny do oblasti Mařenicko-Petrovicko.</w:t>
      </w:r>
    </w:p>
    <w:p w14:paraId="67F79A2F" w14:textId="77777777" w:rsidR="00CB15A2" w:rsidRPr="00E90F81" w:rsidRDefault="00CB15A2" w:rsidP="007748B3">
      <w:pPr>
        <w:autoSpaceDE w:val="0"/>
        <w:autoSpaceDN w:val="0"/>
        <w:adjustRightInd w:val="0"/>
        <w:spacing w:line="240" w:lineRule="auto"/>
        <w:jc w:val="left"/>
        <w:rPr>
          <w:rFonts w:cs="Cambria"/>
          <w:color w:val="000000"/>
          <w:lang w:eastAsia="cs-CZ"/>
        </w:rPr>
      </w:pPr>
      <w:r w:rsidRPr="00E90F81">
        <w:rPr>
          <w:rFonts w:cs="Cambria"/>
          <w:bCs/>
          <w:color w:val="000000"/>
          <w:lang w:eastAsia="cs-CZ"/>
        </w:rPr>
        <w:t>Hlavní znaky nebo soubory znaků krajinného rázu</w:t>
      </w:r>
      <w:r w:rsidR="007748B3" w:rsidRPr="00E90F81">
        <w:rPr>
          <w:rFonts w:cs="Cambria"/>
          <w:bCs/>
          <w:color w:val="000000"/>
          <w:lang w:eastAsia="cs-CZ"/>
        </w:rPr>
        <w:t xml:space="preserve"> oblasti krajinného rázu Mařenicko - Petrovicko</w:t>
      </w:r>
      <w:r w:rsidRPr="00E90F81">
        <w:rPr>
          <w:rFonts w:cs="Cambria"/>
          <w:bCs/>
          <w:color w:val="000000"/>
          <w:lang w:eastAsia="cs-CZ"/>
        </w:rPr>
        <w:t xml:space="preserve">: </w:t>
      </w:r>
    </w:p>
    <w:p w14:paraId="20E2FAF5" w14:textId="77777777" w:rsidR="00CB15A2" w:rsidRPr="007748B3" w:rsidRDefault="00CB15A2" w:rsidP="00E86C03">
      <w:pPr>
        <w:autoSpaceDE w:val="0"/>
        <w:autoSpaceDN w:val="0"/>
        <w:adjustRightInd w:val="0"/>
        <w:spacing w:before="120" w:after="60" w:line="240" w:lineRule="auto"/>
        <w:ind w:left="284" w:hanging="284"/>
        <w:jc w:val="left"/>
        <w:rPr>
          <w:rFonts w:cs="Cambria"/>
          <w:color w:val="000000"/>
          <w:lang w:eastAsia="cs-CZ"/>
        </w:rPr>
      </w:pPr>
      <w:r w:rsidRPr="007748B3">
        <w:rPr>
          <w:rFonts w:cs="Cambria"/>
          <w:color w:val="000000"/>
          <w:lang w:eastAsia="cs-CZ"/>
        </w:rPr>
        <w:t xml:space="preserve">1) </w:t>
      </w:r>
      <w:r w:rsidR="00E86C03">
        <w:rPr>
          <w:rFonts w:cs="Cambria"/>
          <w:color w:val="000000"/>
          <w:lang w:eastAsia="cs-CZ"/>
        </w:rPr>
        <w:tab/>
      </w:r>
      <w:r w:rsidRPr="007748B3">
        <w:rPr>
          <w:rFonts w:cs="Cambria"/>
          <w:color w:val="000000"/>
          <w:lang w:eastAsia="cs-CZ"/>
        </w:rPr>
        <w:t xml:space="preserve">přírodní charakteristika: </w:t>
      </w:r>
    </w:p>
    <w:p w14:paraId="3EC24279" w14:textId="77777777" w:rsidR="00CB15A2" w:rsidRPr="007748B3" w:rsidRDefault="00CB15A2" w:rsidP="00A06EB9">
      <w:pPr>
        <w:pStyle w:val="ListParagraph"/>
        <w:numPr>
          <w:ilvl w:val="0"/>
          <w:numId w:val="101"/>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převažuje charakter ploché vrchoviny </w:t>
      </w:r>
    </w:p>
    <w:p w14:paraId="3D7D0203" w14:textId="77777777" w:rsidR="00CB15A2" w:rsidRPr="007748B3" w:rsidRDefault="00CB15A2" w:rsidP="00A06EB9">
      <w:pPr>
        <w:pStyle w:val="ListParagraph"/>
        <w:numPr>
          <w:ilvl w:val="0"/>
          <w:numId w:val="101"/>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výrazně členitá modelace terénu s terénními dominantami nadmístního významu – Luž, Hvozd </w:t>
      </w:r>
    </w:p>
    <w:p w14:paraId="7FC2EFB3" w14:textId="77777777" w:rsidR="00CB15A2" w:rsidRPr="007748B3" w:rsidRDefault="00CB15A2" w:rsidP="00A06EB9">
      <w:pPr>
        <w:pStyle w:val="ListParagraph"/>
        <w:numPr>
          <w:ilvl w:val="0"/>
          <w:numId w:val="101"/>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v geologické stavbě převažují mezozoické horniny, častý výskyt vulkanických terciérních hornin (čedičové, znělcové a trachytové vrchy) </w:t>
      </w:r>
    </w:p>
    <w:p w14:paraId="74729239" w14:textId="77777777" w:rsidR="00CB15A2" w:rsidRPr="007748B3" w:rsidRDefault="00CB15A2" w:rsidP="00A06EB9">
      <w:pPr>
        <w:pStyle w:val="ListParagraph"/>
        <w:numPr>
          <w:ilvl w:val="0"/>
          <w:numId w:val="101"/>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přítomnost suťových polí (rozsáhlejší na Suchém vrchu) a skalnatých vrcholů </w:t>
      </w:r>
    </w:p>
    <w:p w14:paraId="6A6079A2" w14:textId="77777777" w:rsidR="00CB15A2" w:rsidRPr="007748B3" w:rsidRDefault="00CB15A2" w:rsidP="00A06EB9">
      <w:pPr>
        <w:pStyle w:val="ListParagraph"/>
        <w:numPr>
          <w:ilvl w:val="0"/>
          <w:numId w:val="101"/>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přítomnost pískovcových skalních útvarů </w:t>
      </w:r>
    </w:p>
    <w:p w14:paraId="12272F78" w14:textId="77777777" w:rsidR="00CB15A2" w:rsidRPr="007748B3" w:rsidRDefault="00CB15A2" w:rsidP="00A06EB9">
      <w:pPr>
        <w:pStyle w:val="ListParagraph"/>
        <w:numPr>
          <w:ilvl w:val="0"/>
          <w:numId w:val="101"/>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lastRenderedPageBreak/>
        <w:t xml:space="preserve">převažuje lesní typ krajiny, pouze v okolí sídel lesozemědělský typ </w:t>
      </w:r>
    </w:p>
    <w:p w14:paraId="0454CC7D" w14:textId="77777777" w:rsidR="00CB15A2" w:rsidRPr="007748B3" w:rsidRDefault="00CB15A2" w:rsidP="00A06EB9">
      <w:pPr>
        <w:pStyle w:val="ListParagraph"/>
        <w:numPr>
          <w:ilvl w:val="0"/>
          <w:numId w:val="101"/>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v krajinném pokryvu oblasti dominují lesní porosty, převažují jehličnaté monokultury (ve vrcholových partiích se nacházejí přírodě blízké listnaté lesy) </w:t>
      </w:r>
    </w:p>
    <w:p w14:paraId="44358C3C" w14:textId="77777777" w:rsidR="00CB15A2" w:rsidRPr="007748B3" w:rsidRDefault="00CB15A2" w:rsidP="00A06EB9">
      <w:pPr>
        <w:pStyle w:val="ListParagraph"/>
        <w:numPr>
          <w:ilvl w:val="0"/>
          <w:numId w:val="101"/>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v okolí sídel převažuje extenzivní zemědělské hospodaření (louky, pastviny) </w:t>
      </w:r>
    </w:p>
    <w:p w14:paraId="5551B5CF" w14:textId="77777777" w:rsidR="00CB15A2" w:rsidRPr="007748B3" w:rsidRDefault="007748B3" w:rsidP="00E86C03">
      <w:pPr>
        <w:autoSpaceDE w:val="0"/>
        <w:autoSpaceDN w:val="0"/>
        <w:adjustRightInd w:val="0"/>
        <w:spacing w:before="120" w:after="60" w:line="240" w:lineRule="auto"/>
        <w:ind w:left="284" w:hanging="284"/>
        <w:jc w:val="left"/>
        <w:rPr>
          <w:rFonts w:cs="Cambria"/>
          <w:color w:val="000000"/>
          <w:lang w:eastAsia="cs-CZ"/>
        </w:rPr>
      </w:pPr>
      <w:r>
        <w:rPr>
          <w:rFonts w:cs="Cambria"/>
          <w:color w:val="000000"/>
          <w:lang w:eastAsia="cs-CZ"/>
        </w:rPr>
        <w:t xml:space="preserve">2) </w:t>
      </w:r>
      <w:r w:rsidR="00E86C03">
        <w:rPr>
          <w:rFonts w:cs="Cambria"/>
          <w:color w:val="000000"/>
          <w:lang w:eastAsia="cs-CZ"/>
        </w:rPr>
        <w:tab/>
      </w:r>
      <w:r>
        <w:rPr>
          <w:rFonts w:cs="Cambria"/>
          <w:color w:val="000000"/>
          <w:lang w:eastAsia="cs-CZ"/>
        </w:rPr>
        <w:t>k</w:t>
      </w:r>
      <w:r w:rsidR="00CB15A2" w:rsidRPr="007748B3">
        <w:rPr>
          <w:rFonts w:cs="Cambria"/>
          <w:color w:val="000000"/>
          <w:lang w:eastAsia="cs-CZ"/>
        </w:rPr>
        <w:t xml:space="preserve">ulturní a historická charakteristika: </w:t>
      </w:r>
    </w:p>
    <w:p w14:paraId="3AB8A223"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převažují sídla údolního lánového typu </w:t>
      </w:r>
    </w:p>
    <w:p w14:paraId="5830EDAF"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převažuje rekreační charakter sídel </w:t>
      </w:r>
    </w:p>
    <w:p w14:paraId="681B2BA9"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převažují sídla uspořádaná do několikakilometrových vzájemně propojených řetězců </w:t>
      </w:r>
    </w:p>
    <w:p w14:paraId="7566F178"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častý výskyt rozptýlené zástavby, osad a samot </w:t>
      </w:r>
    </w:p>
    <w:p w14:paraId="094A8B33"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sídla o výjimečně vysoké zachovalosti sídelní struktury </w:t>
      </w:r>
    </w:p>
    <w:p w14:paraId="0BCAC7B9"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výjimečně vysoký podíl dochovaných objektů tradiční lidové architektury v sídlech </w:t>
      </w:r>
    </w:p>
    <w:p w14:paraId="7D5CAD6A"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region lidové architektury Lužické hory </w:t>
      </w:r>
    </w:p>
    <w:p w14:paraId="6775B7F6"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častý výskyt tzv. řopíků (železobetonové lehké opevnění z 30. let 20. století) </w:t>
      </w:r>
    </w:p>
    <w:p w14:paraId="2A1F4D55" w14:textId="77777777" w:rsidR="00CB15A2" w:rsidRPr="007748B3" w:rsidRDefault="00CB15A2" w:rsidP="00A06EB9">
      <w:pPr>
        <w:pStyle w:val="ListParagraph"/>
        <w:numPr>
          <w:ilvl w:val="0"/>
          <w:numId w:val="102"/>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dochované fragmenty lánové nebo záhumenicové plužiny v okolí sídel </w:t>
      </w:r>
    </w:p>
    <w:p w14:paraId="0DE67E1D" w14:textId="77777777" w:rsidR="00CB15A2" w:rsidRPr="007748B3" w:rsidRDefault="00CB15A2" w:rsidP="00E86C03">
      <w:pPr>
        <w:autoSpaceDE w:val="0"/>
        <w:autoSpaceDN w:val="0"/>
        <w:adjustRightInd w:val="0"/>
        <w:spacing w:before="120" w:after="60" w:line="240" w:lineRule="auto"/>
        <w:ind w:left="284" w:hanging="284"/>
        <w:jc w:val="left"/>
        <w:rPr>
          <w:rFonts w:cs="Cambria"/>
          <w:color w:val="000000"/>
          <w:lang w:eastAsia="cs-CZ"/>
        </w:rPr>
      </w:pPr>
      <w:r w:rsidRPr="007748B3">
        <w:rPr>
          <w:rFonts w:cs="Cambria"/>
          <w:color w:val="000000"/>
          <w:lang w:eastAsia="cs-CZ"/>
        </w:rPr>
        <w:t xml:space="preserve">3) </w:t>
      </w:r>
      <w:r w:rsidR="00E86C03">
        <w:rPr>
          <w:rFonts w:cs="Cambria"/>
          <w:color w:val="000000"/>
          <w:lang w:eastAsia="cs-CZ"/>
        </w:rPr>
        <w:tab/>
      </w:r>
      <w:r w:rsidRPr="007748B3">
        <w:rPr>
          <w:rFonts w:cs="Cambria"/>
          <w:color w:val="000000"/>
          <w:lang w:eastAsia="cs-CZ"/>
        </w:rPr>
        <w:t xml:space="preserve">vizuální charakteristika, harmonické měřítko a vztahy: </w:t>
      </w:r>
    </w:p>
    <w:p w14:paraId="5E80D5E8" w14:textId="77777777" w:rsidR="00CB15A2" w:rsidRPr="007748B3" w:rsidRDefault="00CB15A2" w:rsidP="00A06EB9">
      <w:pPr>
        <w:pStyle w:val="ListParagraph"/>
        <w:numPr>
          <w:ilvl w:val="0"/>
          <w:numId w:val="103"/>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pohledová uzavřenost/otevřenost daná morfologií terénu - vizuální uzavřenost v údolích, daleké výhledy na vyvýšených místech </w:t>
      </w:r>
    </w:p>
    <w:p w14:paraId="0F9B080A" w14:textId="77777777" w:rsidR="00CB15A2" w:rsidRPr="007748B3" w:rsidRDefault="00CB15A2" w:rsidP="00A06EB9">
      <w:pPr>
        <w:pStyle w:val="ListParagraph"/>
        <w:numPr>
          <w:ilvl w:val="0"/>
          <w:numId w:val="103"/>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místa výhledů nadmístního významu s výhledy daleko za hranice řešeného území </w:t>
      </w:r>
    </w:p>
    <w:p w14:paraId="49902A8B" w14:textId="77777777" w:rsidR="00CB15A2" w:rsidRPr="007748B3" w:rsidRDefault="00CB15A2" w:rsidP="00A06EB9">
      <w:pPr>
        <w:pStyle w:val="ListParagraph"/>
        <w:numPr>
          <w:ilvl w:val="0"/>
          <w:numId w:val="103"/>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častý výskyt vyhlídek, rozhleden uplatňující se jako pohledové dominanty </w:t>
      </w:r>
    </w:p>
    <w:p w14:paraId="3ABCF834" w14:textId="77777777" w:rsidR="00CB15A2" w:rsidRPr="007748B3" w:rsidRDefault="00CB15A2" w:rsidP="00A06EB9">
      <w:pPr>
        <w:pStyle w:val="ListParagraph"/>
        <w:numPr>
          <w:ilvl w:val="0"/>
          <w:numId w:val="103"/>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vysoké uplatnění terénních vyvýšenin a vrchů v dalekých pohledových osách </w:t>
      </w:r>
    </w:p>
    <w:p w14:paraId="7E8AB755" w14:textId="77777777" w:rsidR="00CB15A2" w:rsidRPr="007748B3" w:rsidRDefault="00CB15A2" w:rsidP="00A06EB9">
      <w:pPr>
        <w:pStyle w:val="ListParagraph"/>
        <w:numPr>
          <w:ilvl w:val="0"/>
          <w:numId w:val="103"/>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kulturní dominanty (věže kostelů apod.) se v pohledových osách uplatňují pouze lokálně </w:t>
      </w:r>
    </w:p>
    <w:p w14:paraId="2AA82CEB" w14:textId="77777777" w:rsidR="00CB15A2" w:rsidRPr="007748B3" w:rsidRDefault="00CB15A2" w:rsidP="00A06EB9">
      <w:pPr>
        <w:pStyle w:val="ListParagraph"/>
        <w:numPr>
          <w:ilvl w:val="0"/>
          <w:numId w:val="103"/>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velmi nízký podíl objektů rušivých a měřítkově nevhodných  </w:t>
      </w:r>
    </w:p>
    <w:p w14:paraId="10D002B9" w14:textId="77777777" w:rsidR="00CB15A2" w:rsidRPr="007748B3" w:rsidRDefault="00CB15A2" w:rsidP="00A06EB9">
      <w:pPr>
        <w:pStyle w:val="ListParagraph"/>
        <w:numPr>
          <w:ilvl w:val="0"/>
          <w:numId w:val="103"/>
        </w:numPr>
        <w:autoSpaceDE w:val="0"/>
        <w:autoSpaceDN w:val="0"/>
        <w:adjustRightInd w:val="0"/>
        <w:spacing w:before="60" w:after="60" w:line="240" w:lineRule="auto"/>
        <w:jc w:val="left"/>
        <w:rPr>
          <w:rFonts w:cs="Cambria"/>
          <w:color w:val="000000"/>
          <w:lang w:eastAsia="cs-CZ"/>
        </w:rPr>
      </w:pPr>
      <w:r w:rsidRPr="007748B3">
        <w:rPr>
          <w:rFonts w:cs="Cambria"/>
          <w:color w:val="000000"/>
          <w:lang w:eastAsia="cs-CZ"/>
        </w:rPr>
        <w:t xml:space="preserve">harmonické měřítko, drobná krajinná mozaika </w:t>
      </w:r>
    </w:p>
    <w:p w14:paraId="17053466" w14:textId="77777777" w:rsidR="00CB15A2" w:rsidRPr="007748B3" w:rsidRDefault="007748B3" w:rsidP="00E90F81">
      <w:pPr>
        <w:autoSpaceDE w:val="0"/>
        <w:autoSpaceDN w:val="0"/>
        <w:adjustRightInd w:val="0"/>
        <w:spacing w:before="120" w:after="60" w:line="240" w:lineRule="auto"/>
        <w:rPr>
          <w:rFonts w:cs="Cambria"/>
          <w:bCs/>
          <w:color w:val="000000"/>
          <w:lang w:eastAsia="cs-CZ"/>
        </w:rPr>
      </w:pPr>
      <w:r w:rsidRPr="007748B3">
        <w:rPr>
          <w:rFonts w:cs="Cambria"/>
          <w:bCs/>
          <w:color w:val="000000"/>
          <w:lang w:eastAsia="cs-CZ"/>
        </w:rPr>
        <w:t xml:space="preserve">Krajinný ráz oblasti je v současné době narušen zejména jehličnatými monokulturami v lesních porostech a lokálním narušením zachovalosti urbanistické struktury a charakteru zástavby v sídlech (Horní a Dolní Sedlo). </w:t>
      </w:r>
    </w:p>
    <w:p w14:paraId="3DB7E194" w14:textId="77777777" w:rsidR="00CB15A2" w:rsidRPr="00E86C03" w:rsidRDefault="00E90F81" w:rsidP="00E86C03">
      <w:pPr>
        <w:autoSpaceDE w:val="0"/>
        <w:autoSpaceDN w:val="0"/>
        <w:adjustRightInd w:val="0"/>
        <w:spacing w:before="120" w:line="240" w:lineRule="auto"/>
        <w:rPr>
          <w:rFonts w:cs="Cambria"/>
          <w:color w:val="000000"/>
          <w:lang w:eastAsia="cs-CZ"/>
        </w:rPr>
      </w:pPr>
      <w:r w:rsidRPr="00E86C03">
        <w:rPr>
          <w:rFonts w:cs="Cambria"/>
          <w:color w:val="000000"/>
          <w:lang w:eastAsia="cs-CZ"/>
        </w:rPr>
        <w:t xml:space="preserve">Na základě dílčích charakteristik je oblast krajinného rázu Mařenicko - Petrovicko rozdělena na místa krajinného rázu, z nichž do správního území města Hrádek nad Nisou zasahují </w:t>
      </w:r>
      <w:r w:rsidRPr="00E86C03">
        <w:rPr>
          <w:rFonts w:cs="Cambria"/>
          <w:b/>
          <w:color w:val="000000"/>
          <w:lang w:eastAsia="cs-CZ"/>
        </w:rPr>
        <w:t>2a. Horní a Dolní Sedlo</w:t>
      </w:r>
      <w:r w:rsidRPr="00E86C03">
        <w:rPr>
          <w:rFonts w:cs="Cambria"/>
          <w:color w:val="000000"/>
          <w:lang w:eastAsia="cs-CZ"/>
        </w:rPr>
        <w:t xml:space="preserve"> a </w:t>
      </w:r>
      <w:r w:rsidRPr="00E86C03">
        <w:rPr>
          <w:rFonts w:cs="Cambria"/>
          <w:b/>
          <w:color w:val="000000"/>
          <w:lang w:eastAsia="cs-CZ"/>
        </w:rPr>
        <w:t>2b. Lesní celky I</w:t>
      </w:r>
      <w:r w:rsidRPr="00E86C03">
        <w:rPr>
          <w:rFonts w:cs="Cambria"/>
          <w:color w:val="000000"/>
          <w:lang w:eastAsia="cs-CZ"/>
        </w:rPr>
        <w:t>.</w:t>
      </w:r>
    </w:p>
    <w:p w14:paraId="5255D144" w14:textId="77777777" w:rsidR="00E90F81" w:rsidRPr="00E86C03" w:rsidRDefault="00E90F81" w:rsidP="00E86C03">
      <w:pPr>
        <w:autoSpaceDE w:val="0"/>
        <w:autoSpaceDN w:val="0"/>
        <w:adjustRightInd w:val="0"/>
        <w:spacing w:before="120" w:after="120" w:line="240" w:lineRule="auto"/>
        <w:rPr>
          <w:rFonts w:cs="Cambria"/>
          <w:color w:val="000000"/>
          <w:lang w:eastAsia="cs-CZ"/>
        </w:rPr>
      </w:pPr>
      <w:r w:rsidRPr="00E86C03">
        <w:rPr>
          <w:b/>
        </w:rPr>
        <w:t>Místo krajinného rázu Horní a Dolní Sedlo</w:t>
      </w:r>
      <w:r w:rsidRPr="00E86C03">
        <w:t xml:space="preserve"> tvoří svým charakterem přechod mezi oblastí Mařenicko-Petrovicko a Hrádecko (mimo řešené území). Místo zahrnuje sídlo Horní Sedlo a okrajovou část sídla Dolní Sedlo. Pro místo je typická pohledová otevřenost, rozptýlenost zástavby a její prolínání se stromovou vegetací a plochami luk v širším krajinném rámci. Místo je dále typické různorodostí sídelní struktury a zachovalým harmonickým měřítkem i vztahy.</w:t>
      </w:r>
    </w:p>
    <w:p w14:paraId="414A0A20" w14:textId="77777777" w:rsidR="00E90F81" w:rsidRPr="00CB15A2" w:rsidRDefault="00E86C03" w:rsidP="00E86C03">
      <w:pPr>
        <w:autoSpaceDE w:val="0"/>
        <w:autoSpaceDN w:val="0"/>
        <w:adjustRightInd w:val="0"/>
        <w:spacing w:before="120" w:after="120" w:line="240" w:lineRule="auto"/>
      </w:pPr>
      <w:r w:rsidRPr="00E86C03">
        <w:rPr>
          <w:b/>
        </w:rPr>
        <w:t>Místo krajinného rázu Lesní celky I.</w:t>
      </w:r>
      <w:r>
        <w:t xml:space="preserve"> je tvořeno lesními komplexy převážně hospodářského lesa. Místo zaujímá většinu oblasti krajinného rázu Mařenicko-Petrovicko. Místo je charakteristické lesohospodářským využitím území, převažujícími jehličnatými monokulturami a absencí sídel. Osídlení místa je charakteru roztroušených osad a samot. Místo dosahuje vysokých přírodních hodnot, je zde výskyt několika rozsáhlých suťových polí i častý výskyt skalních útvarů. Místo si zachovává harmonické měřítko i vztahy.</w:t>
      </w:r>
    </w:p>
    <w:p w14:paraId="50734118" w14:textId="77777777" w:rsidR="00616B5A" w:rsidRPr="00461C16" w:rsidRDefault="00616B5A" w:rsidP="00616B5A">
      <w:pPr>
        <w:pStyle w:val="Heading3"/>
      </w:pPr>
      <w:bookmarkStart w:id="143" w:name="_Toc36116306"/>
      <w:r w:rsidRPr="00461C16">
        <w:t>6.</w:t>
      </w:r>
      <w:r w:rsidR="003D4177" w:rsidRPr="00461C16">
        <w:t>6.</w:t>
      </w:r>
      <w:r w:rsidRPr="00461C16">
        <w:t>3</w:t>
      </w:r>
      <w:r w:rsidRPr="00461C16">
        <w:tab/>
        <w:t>Plochy v krajině</w:t>
      </w:r>
      <w:bookmarkEnd w:id="142"/>
      <w:bookmarkEnd w:id="143"/>
    </w:p>
    <w:p w14:paraId="70951CE4" w14:textId="77777777" w:rsidR="00616B5A" w:rsidRPr="00461C16" w:rsidRDefault="00616B5A" w:rsidP="00616B5A">
      <w:pPr>
        <w:rPr>
          <w:i/>
          <w:sz w:val="20"/>
          <w:szCs w:val="20"/>
        </w:rPr>
      </w:pPr>
      <w:r w:rsidRPr="00931375">
        <w:rPr>
          <w:i/>
          <w:sz w:val="20"/>
          <w:szCs w:val="20"/>
        </w:rPr>
        <w:t xml:space="preserve">(k bodům </w:t>
      </w:r>
      <w:r w:rsidR="00931375" w:rsidRPr="00931375">
        <w:rPr>
          <w:i/>
          <w:sz w:val="20"/>
          <w:szCs w:val="20"/>
        </w:rPr>
        <w:t xml:space="preserve">E05 </w:t>
      </w:r>
      <w:r w:rsidR="008726B0" w:rsidRPr="00931375">
        <w:rPr>
          <w:i/>
          <w:sz w:val="20"/>
          <w:szCs w:val="20"/>
        </w:rPr>
        <w:t xml:space="preserve">– </w:t>
      </w:r>
      <w:r w:rsidR="00931375" w:rsidRPr="00931375">
        <w:rPr>
          <w:i/>
          <w:sz w:val="20"/>
          <w:szCs w:val="20"/>
        </w:rPr>
        <w:t xml:space="preserve">E08 </w:t>
      </w:r>
      <w:r w:rsidR="00756815" w:rsidRPr="00931375">
        <w:rPr>
          <w:i/>
          <w:sz w:val="20"/>
          <w:szCs w:val="20"/>
        </w:rPr>
        <w:t>ÚP)</w:t>
      </w:r>
      <w:r w:rsidRPr="00461C16">
        <w:rPr>
          <w:i/>
          <w:sz w:val="20"/>
          <w:szCs w:val="20"/>
        </w:rPr>
        <w:t xml:space="preserve"> </w:t>
      </w:r>
    </w:p>
    <w:p w14:paraId="23825B9A" w14:textId="77777777" w:rsidR="00616B5A" w:rsidRPr="00461C16" w:rsidRDefault="00616B5A" w:rsidP="00753F4E">
      <w:pPr>
        <w:pStyle w:val="4podnadpis"/>
      </w:pPr>
      <w:r w:rsidRPr="00461C16">
        <w:t>Podklady</w:t>
      </w:r>
    </w:p>
    <w:p w14:paraId="5B00F7B0" w14:textId="77777777" w:rsidR="00616B5A" w:rsidRPr="00461C16" w:rsidRDefault="00616B5A" w:rsidP="00184906">
      <w:pPr>
        <w:pStyle w:val="1odstavec"/>
      </w:pPr>
      <w:r w:rsidRPr="00461C16">
        <w:t xml:space="preserve">Vymezení ploch v krajině je provedeno: </w:t>
      </w:r>
    </w:p>
    <w:p w14:paraId="4F2B057C" w14:textId="77777777" w:rsidR="00616B5A" w:rsidRPr="00461C16" w:rsidRDefault="00616B5A" w:rsidP="004B62B3">
      <w:pPr>
        <w:pStyle w:val="b-pismeno"/>
        <w:numPr>
          <w:ilvl w:val="0"/>
          <w:numId w:val="26"/>
        </w:numPr>
      </w:pPr>
      <w:r w:rsidRPr="00461C16">
        <w:t>u stabilizovaných ploch dle průzkumu území a využití ploch dle katastrální mapy,</w:t>
      </w:r>
    </w:p>
    <w:p w14:paraId="407E4B20" w14:textId="77777777" w:rsidR="00616B5A" w:rsidRPr="00461C16" w:rsidRDefault="00616B5A" w:rsidP="001C22D8">
      <w:pPr>
        <w:pStyle w:val="b-pismeno"/>
        <w:numPr>
          <w:ilvl w:val="0"/>
          <w:numId w:val="19"/>
        </w:numPr>
      </w:pPr>
      <w:r w:rsidRPr="00461C16">
        <w:lastRenderedPageBreak/>
        <w:t>u návrhových ploch dle účelu, pro který je vymezena plocha změny v krajině.</w:t>
      </w:r>
    </w:p>
    <w:p w14:paraId="4814E5BD" w14:textId="77777777" w:rsidR="00616B5A" w:rsidRPr="00461C16" w:rsidRDefault="00616B5A" w:rsidP="00184906">
      <w:pPr>
        <w:pStyle w:val="1odstavec"/>
        <w:rPr>
          <w:rStyle w:val="NvrhP-text"/>
        </w:rPr>
      </w:pPr>
      <w:r w:rsidRPr="00461C16">
        <w:rPr>
          <w:rStyle w:val="NvrhP-text"/>
        </w:rPr>
        <w:t>Pro vymezení ploch změn v krajině byly vedle zásad územního rozvoje města a principů urbanistické koncepce stanovených návrhem ÚP rozhodující tyto podklady:</w:t>
      </w:r>
    </w:p>
    <w:p w14:paraId="64BE58B4" w14:textId="77777777" w:rsidR="00616B5A" w:rsidRPr="00461C16" w:rsidRDefault="00616B5A" w:rsidP="00616B5A">
      <w:pPr>
        <w:pStyle w:val="5odrazka"/>
        <w:rPr>
          <w:rStyle w:val="NvrhP-text"/>
        </w:rPr>
      </w:pPr>
      <w:r w:rsidRPr="00461C16">
        <w:rPr>
          <w:rStyle w:val="NvrhP-text"/>
        </w:rPr>
        <w:t>zadání ÚP,</w:t>
      </w:r>
    </w:p>
    <w:p w14:paraId="755DD172" w14:textId="77777777" w:rsidR="00616B5A" w:rsidRPr="00461C16" w:rsidRDefault="00616B5A" w:rsidP="00616B5A">
      <w:pPr>
        <w:pStyle w:val="5odrazka"/>
        <w:rPr>
          <w:rStyle w:val="NvrhP-text"/>
        </w:rPr>
      </w:pPr>
      <w:r w:rsidRPr="00461C16">
        <w:rPr>
          <w:rStyle w:val="NvrhP-text"/>
        </w:rPr>
        <w:t xml:space="preserve">návrhy vlastníků a města, </w:t>
      </w:r>
    </w:p>
    <w:p w14:paraId="2B38FD5F" w14:textId="77777777" w:rsidR="00184906" w:rsidRPr="00461C16" w:rsidRDefault="00184906" w:rsidP="00616B5A">
      <w:pPr>
        <w:pStyle w:val="5odrazka"/>
      </w:pPr>
      <w:r w:rsidRPr="00461C16">
        <w:t xml:space="preserve">ÚAP ORP Jičín </w:t>
      </w:r>
    </w:p>
    <w:p w14:paraId="445D0233" w14:textId="77777777" w:rsidR="00616B5A" w:rsidRPr="00461C16" w:rsidRDefault="00616B5A" w:rsidP="00616B5A">
      <w:pPr>
        <w:pStyle w:val="5odrazka"/>
      </w:pPr>
      <w:r w:rsidRPr="00461C16">
        <w:rPr>
          <w:snapToGrid w:val="0"/>
        </w:rPr>
        <w:t>platný územní plán</w:t>
      </w:r>
      <w:r w:rsidRPr="00461C16">
        <w:t>,</w:t>
      </w:r>
    </w:p>
    <w:p w14:paraId="3F2A2C74" w14:textId="77777777" w:rsidR="00616B5A" w:rsidRPr="00461C16" w:rsidRDefault="00616B5A" w:rsidP="00616B5A">
      <w:pPr>
        <w:pStyle w:val="5odrazka"/>
        <w:rPr>
          <w:rStyle w:val="NvrhP-text"/>
        </w:rPr>
      </w:pPr>
      <w:r w:rsidRPr="00461C16">
        <w:rPr>
          <w:rStyle w:val="NvrhP-text"/>
        </w:rPr>
        <w:t>průzkumy zhotovitele.</w:t>
      </w:r>
    </w:p>
    <w:p w14:paraId="4FF83462" w14:textId="77777777" w:rsidR="00616B5A" w:rsidRPr="00461C16" w:rsidRDefault="00616B5A" w:rsidP="00616B5A">
      <w:pPr>
        <w:pStyle w:val="3pismeno"/>
      </w:pPr>
      <w:r w:rsidRPr="00461C16">
        <w:t>Z metodického hlediska je respektována vyhláška č. 501/2006 Sb. a dále datový model MINIS.</w:t>
      </w:r>
    </w:p>
    <w:p w14:paraId="7FFE700F" w14:textId="77777777" w:rsidR="00616B5A" w:rsidRPr="00461C16" w:rsidRDefault="00616B5A" w:rsidP="00616B5A">
      <w:r w:rsidRPr="00461C16">
        <w:t>Plochy změn v krajině jsou vymezeny v souladu s odst. 1e) a 3b) přílohy č. 7 vyhlášky č. 500/2006.</w:t>
      </w:r>
    </w:p>
    <w:p w14:paraId="5F1DF532" w14:textId="77777777" w:rsidR="00616B5A" w:rsidRPr="00461C16" w:rsidRDefault="00616B5A" w:rsidP="00753F4E">
      <w:pPr>
        <w:pStyle w:val="4podnadpis"/>
      </w:pPr>
      <w:r w:rsidRPr="00461C16">
        <w:t>Návrh řešení a jeho odůvodnění</w:t>
      </w:r>
    </w:p>
    <w:p w14:paraId="1B5461D9" w14:textId="77777777" w:rsidR="00616B5A" w:rsidRPr="00461C16" w:rsidRDefault="00616B5A" w:rsidP="00616B5A">
      <w:pPr>
        <w:pStyle w:val="1text"/>
        <w:rPr>
          <w:lang w:eastAsia="en-US"/>
        </w:rPr>
      </w:pPr>
      <w:r w:rsidRPr="00461C16">
        <w:rPr>
          <w:lang w:eastAsia="en-US"/>
        </w:rPr>
        <w:t xml:space="preserve">Jako plochy v krajině jsou vymezeny všechny plochy mimo zastavěné území obce. Jedná se o </w:t>
      </w:r>
      <w:bookmarkStart w:id="144" w:name="www"/>
      <w:bookmarkEnd w:id="144"/>
      <w:r w:rsidRPr="00461C16">
        <w:rPr>
          <w:lang w:eastAsia="en-US"/>
        </w:rPr>
        <w:t>plochy:</w:t>
      </w:r>
    </w:p>
    <w:p w14:paraId="0F3A7DC7" w14:textId="77777777" w:rsidR="00616B5A" w:rsidRPr="00461C16" w:rsidRDefault="00616B5A" w:rsidP="00CD71E7">
      <w:pPr>
        <w:pStyle w:val="b-pismeno"/>
        <w:numPr>
          <w:ilvl w:val="0"/>
          <w:numId w:val="27"/>
        </w:numPr>
      </w:pPr>
      <w:r w:rsidRPr="00461C16">
        <w:t xml:space="preserve">W – vodní plochy a toky, </w:t>
      </w:r>
    </w:p>
    <w:p w14:paraId="51F7FAC2" w14:textId="77777777" w:rsidR="00616B5A" w:rsidRPr="00461C16" w:rsidRDefault="00616B5A" w:rsidP="00CD71E7">
      <w:pPr>
        <w:pStyle w:val="b-pismeno"/>
        <w:numPr>
          <w:ilvl w:val="0"/>
          <w:numId w:val="27"/>
        </w:numPr>
      </w:pPr>
      <w:r w:rsidRPr="00461C16">
        <w:t>NL – plochy les</w:t>
      </w:r>
      <w:r w:rsidR="00CD71E7" w:rsidRPr="00461C16">
        <w:t>ní</w:t>
      </w:r>
      <w:r w:rsidRPr="00461C16">
        <w:t>,</w:t>
      </w:r>
    </w:p>
    <w:p w14:paraId="315BB88C" w14:textId="77777777" w:rsidR="00616B5A" w:rsidRPr="00461C16" w:rsidRDefault="00616B5A" w:rsidP="00CD71E7">
      <w:pPr>
        <w:pStyle w:val="b-pismeno"/>
        <w:numPr>
          <w:ilvl w:val="0"/>
          <w:numId w:val="27"/>
        </w:numPr>
      </w:pPr>
      <w:r w:rsidRPr="00461C16">
        <w:t xml:space="preserve">plochy smíšené nezastavěného území </w:t>
      </w:r>
    </w:p>
    <w:p w14:paraId="26C3A50F" w14:textId="77777777" w:rsidR="00616B5A" w:rsidRPr="00461C16" w:rsidRDefault="00CD71E7" w:rsidP="00CD71E7">
      <w:pPr>
        <w:pStyle w:val="c-podpsmeno"/>
      </w:pPr>
      <w:r w:rsidRPr="00461C16">
        <w:t>c.1)</w:t>
      </w:r>
      <w:r w:rsidRPr="00461C16">
        <w:tab/>
      </w:r>
      <w:r w:rsidR="00616B5A" w:rsidRPr="00461C16">
        <w:t>N</w:t>
      </w:r>
      <w:r w:rsidRPr="00461C16">
        <w:t>K</w:t>
      </w:r>
      <w:r w:rsidR="00616B5A" w:rsidRPr="00461C16">
        <w:t xml:space="preserve"> - plochy </w:t>
      </w:r>
      <w:r w:rsidRPr="00461C16">
        <w:t>krajinné</w:t>
      </w:r>
      <w:r w:rsidR="00616B5A" w:rsidRPr="00461C16">
        <w:t>,</w:t>
      </w:r>
    </w:p>
    <w:p w14:paraId="3A9FEDE4" w14:textId="77777777" w:rsidR="00616B5A" w:rsidRPr="00461C16" w:rsidRDefault="00CD71E7" w:rsidP="00CD71E7">
      <w:pPr>
        <w:pStyle w:val="c-podpsmeno"/>
      </w:pPr>
      <w:r w:rsidRPr="00461C16">
        <w:t>c.2)</w:t>
      </w:r>
      <w:r w:rsidRPr="00461C16">
        <w:tab/>
      </w:r>
      <w:r w:rsidR="00616B5A" w:rsidRPr="00461C16">
        <w:t>NS - plochy smíšené</w:t>
      </w:r>
      <w:r w:rsidR="00184906" w:rsidRPr="00461C16">
        <w:t xml:space="preserve"> nezastavěného území – </w:t>
      </w:r>
      <w:r w:rsidRPr="00461C16">
        <w:t>zemědělské</w:t>
      </w:r>
      <w:r w:rsidR="00616B5A" w:rsidRPr="00461C16">
        <w:rPr>
          <w:lang w:eastAsia="en-US"/>
        </w:rPr>
        <w:t>.</w:t>
      </w:r>
    </w:p>
    <w:p w14:paraId="24761B92" w14:textId="77777777" w:rsidR="00616B5A" w:rsidRPr="00461C16" w:rsidRDefault="00616B5A" w:rsidP="00184906">
      <w:pPr>
        <w:pStyle w:val="1odstavec"/>
      </w:pPr>
      <w:r w:rsidRPr="00461C16">
        <w:t xml:space="preserve">Plochy </w:t>
      </w:r>
      <w:r w:rsidRPr="00461C16">
        <w:rPr>
          <w:b/>
        </w:rPr>
        <w:t>vodní</w:t>
      </w:r>
      <w:r w:rsidRPr="00461C16">
        <w:t xml:space="preserve"> </w:t>
      </w:r>
      <w:r w:rsidR="00DC4A5E" w:rsidRPr="00461C16">
        <w:t xml:space="preserve">plochy a toky </w:t>
      </w:r>
      <w:r w:rsidRPr="00461C16">
        <w:t xml:space="preserve">tvoří dle údajů z katastru nemovitostí </w:t>
      </w:r>
      <w:r w:rsidR="00DC4A5E" w:rsidRPr="00461C16">
        <w:t xml:space="preserve">k 31. 12. 2016 celkem </w:t>
      </w:r>
      <w:r w:rsidR="00CD71E7" w:rsidRPr="00461C16">
        <w:t>1</w:t>
      </w:r>
      <w:r w:rsidRPr="00461C16">
        <w:t xml:space="preserve"> % (</w:t>
      </w:r>
      <w:r w:rsidR="00DC4A5E" w:rsidRPr="00461C16">
        <w:t>48,14</w:t>
      </w:r>
      <w:r w:rsidRPr="00461C16">
        <w:t>ha) z</w:t>
      </w:r>
      <w:r w:rsidR="00CD71E7" w:rsidRPr="00461C16">
        <w:t xml:space="preserve"> plochy </w:t>
      </w:r>
      <w:r w:rsidRPr="00461C16">
        <w:t xml:space="preserve">území města a jsou </w:t>
      </w:r>
      <w:r w:rsidR="00DC4A5E" w:rsidRPr="00461C16">
        <w:t xml:space="preserve">nezanedbatelným </w:t>
      </w:r>
      <w:r w:rsidR="00184906" w:rsidRPr="00461C16">
        <w:t xml:space="preserve">prvkem </w:t>
      </w:r>
      <w:r w:rsidRPr="00461C16">
        <w:t xml:space="preserve">krajiny na území města. </w:t>
      </w:r>
    </w:p>
    <w:p w14:paraId="620C7E6A" w14:textId="77777777" w:rsidR="00616B5A" w:rsidRPr="00461C16" w:rsidRDefault="00616B5A" w:rsidP="00184906">
      <w:pPr>
        <w:pStyle w:val="1odstavec"/>
      </w:pPr>
      <w:r w:rsidRPr="00461C16">
        <w:t xml:space="preserve">Území města je pokryto </w:t>
      </w:r>
      <w:r w:rsidRPr="00461C16">
        <w:rPr>
          <w:b/>
        </w:rPr>
        <w:t>lesy</w:t>
      </w:r>
      <w:r w:rsidRPr="00461C16">
        <w:t xml:space="preserve"> z</w:t>
      </w:r>
      <w:r w:rsidR="00DC4A5E" w:rsidRPr="00461C16">
        <w:t> 29,5</w:t>
      </w:r>
      <w:r w:rsidRPr="00461C16">
        <w:t xml:space="preserve"> %, což </w:t>
      </w:r>
      <w:r w:rsidR="00DC4A5E" w:rsidRPr="00461C16">
        <w:t xml:space="preserve">se blíží </w:t>
      </w:r>
      <w:r w:rsidRPr="00461C16">
        <w:t>průměru v</w:t>
      </w:r>
      <w:r w:rsidR="00184906" w:rsidRPr="00461C16">
        <w:t> </w:t>
      </w:r>
      <w:r w:rsidRPr="00461C16">
        <w:t>ČR</w:t>
      </w:r>
      <w:r w:rsidR="00184906" w:rsidRPr="00461C16">
        <w:t xml:space="preserve"> (</w:t>
      </w:r>
      <w:r w:rsidR="00DC4A5E" w:rsidRPr="00461C16">
        <w:t xml:space="preserve">cca </w:t>
      </w:r>
      <w:r w:rsidR="00184906" w:rsidRPr="00461C16">
        <w:t>33,7% celkové rozlohy)</w:t>
      </w:r>
      <w:r w:rsidRPr="00461C16">
        <w:t xml:space="preserve">. Nejvíce lesů je soustředěno v lesním masivu </w:t>
      </w:r>
      <w:r w:rsidR="00DC4A5E" w:rsidRPr="00461C16">
        <w:t>Lužických hor</w:t>
      </w:r>
      <w:r w:rsidRPr="00461C16">
        <w:t>. Celkem je v</w:t>
      </w:r>
      <w:r w:rsidR="00DC4A5E" w:rsidRPr="00461C16">
        <w:t> Hrádku nad Nisou 1434</w:t>
      </w:r>
      <w:r w:rsidRPr="00461C16">
        <w:t xml:space="preserve"> ha lesů.</w:t>
      </w:r>
    </w:p>
    <w:p w14:paraId="145A8233" w14:textId="77777777" w:rsidR="00DC4A5E" w:rsidRPr="00461C16" w:rsidRDefault="00616B5A" w:rsidP="00184906">
      <w:pPr>
        <w:pStyle w:val="1odstavec"/>
      </w:pPr>
      <w:r w:rsidRPr="00461C16">
        <w:t xml:space="preserve">Rozloha </w:t>
      </w:r>
      <w:r w:rsidRPr="00461C16">
        <w:rPr>
          <w:b/>
        </w:rPr>
        <w:t>zemědělské půdy</w:t>
      </w:r>
      <w:r w:rsidRPr="00461C16">
        <w:t xml:space="preserve"> na území města činí </w:t>
      </w:r>
      <w:r w:rsidR="00DC4A5E" w:rsidRPr="00461C16">
        <w:t>2850,2</w:t>
      </w:r>
      <w:r w:rsidR="00184906" w:rsidRPr="00461C16">
        <w:t xml:space="preserve"> </w:t>
      </w:r>
      <w:r w:rsidRPr="00461C16">
        <w:t>ha (</w:t>
      </w:r>
      <w:r w:rsidR="00DC4A5E" w:rsidRPr="00461C16">
        <w:t xml:space="preserve">58,7 </w:t>
      </w:r>
      <w:r w:rsidRPr="00461C16">
        <w:t xml:space="preserve">% rozlohy města), z toho je </w:t>
      </w:r>
      <w:r w:rsidR="00DC4A5E" w:rsidRPr="00461C16">
        <w:t xml:space="preserve">1727,5 </w:t>
      </w:r>
      <w:r w:rsidRPr="00461C16">
        <w:t xml:space="preserve">ha orné půdy, </w:t>
      </w:r>
      <w:r w:rsidR="00DC4A5E" w:rsidRPr="00461C16">
        <w:t>934,4</w:t>
      </w:r>
      <w:r w:rsidRPr="00461C16">
        <w:t xml:space="preserve"> ha trvalých travních porostů</w:t>
      </w:r>
      <w:r w:rsidR="00DC4A5E" w:rsidRPr="00461C16">
        <w:t xml:space="preserve"> a 188,3 ha</w:t>
      </w:r>
      <w:r w:rsidRPr="00461C16">
        <w:t xml:space="preserve"> zahrad. </w:t>
      </w:r>
    </w:p>
    <w:p w14:paraId="6F41A243" w14:textId="77777777" w:rsidR="00616B5A" w:rsidRPr="00461C16" w:rsidRDefault="00616B5A" w:rsidP="00184906">
      <w:pPr>
        <w:pStyle w:val="1odstavec"/>
      </w:pPr>
      <w:r w:rsidRPr="00461C16">
        <w:t xml:space="preserve">Uvedený stav z evidence katastru nemovitostí nemusí ukazovat reálnou situaci. </w:t>
      </w:r>
    </w:p>
    <w:p w14:paraId="43FAC5F9" w14:textId="77777777" w:rsidR="00616B5A" w:rsidRPr="00461C16" w:rsidRDefault="00DC4A5E" w:rsidP="001F24A2">
      <w:pPr>
        <w:pStyle w:val="1odstavec"/>
      </w:pPr>
      <w:r w:rsidRPr="00461C16">
        <w:t xml:space="preserve">Do ploch </w:t>
      </w:r>
      <w:r w:rsidRPr="00461C16">
        <w:rPr>
          <w:b/>
        </w:rPr>
        <w:t>krajinných</w:t>
      </w:r>
      <w:r w:rsidR="00616B5A" w:rsidRPr="00461C16">
        <w:t xml:space="preserve"> jsou zařazen</w:t>
      </w:r>
      <w:r w:rsidRPr="00461C16">
        <w:t>y</w:t>
      </w:r>
      <w:r w:rsidR="00616B5A" w:rsidRPr="00461C16">
        <w:t xml:space="preserve"> zejména nevyužívané nebo extenzivně obhospodařovan</w:t>
      </w:r>
      <w:r w:rsidRPr="00461C16">
        <w:t>é pozemky v</w:t>
      </w:r>
      <w:r w:rsidR="00616B5A" w:rsidRPr="00461C16">
        <w:t xml:space="preserve"> údolí </w:t>
      </w:r>
      <w:r w:rsidRPr="00461C16">
        <w:t xml:space="preserve">vodních toků, </w:t>
      </w:r>
      <w:r w:rsidR="00616B5A" w:rsidRPr="00461C16">
        <w:t xml:space="preserve">remízy, zarostlá lada, vegetační doprovody cest </w:t>
      </w:r>
      <w:r w:rsidRPr="00461C16">
        <w:t>apod.</w:t>
      </w:r>
    </w:p>
    <w:p w14:paraId="0689AF03" w14:textId="77777777" w:rsidR="00260C45" w:rsidRPr="00461C16" w:rsidRDefault="00260C45" w:rsidP="001F24A2">
      <w:pPr>
        <w:pStyle w:val="1odstavec"/>
      </w:pPr>
      <w:r w:rsidRPr="00461C16">
        <w:t xml:space="preserve">Plochy v krajině jsou vymezeny jako nezastavitelné. Jde tedy o plochy, na nichž lze povolit stavby dle § 18 odst. 5 stavebního zákona. Zhotovitel nepřistoupil k plošnému vyloučení těchto staveb v určitých částech krajiny. V kap. F jsou v podmínkách pro využití ploch se způsobem využití W, NS, NK a NL definovány </w:t>
      </w:r>
      <w:r w:rsidR="0005218D" w:rsidRPr="00461C16">
        <w:t xml:space="preserve">některé </w:t>
      </w:r>
      <w:r w:rsidRPr="00461C16">
        <w:t xml:space="preserve">stavby </w:t>
      </w:r>
      <w:r w:rsidR="0005218D" w:rsidRPr="00461C16">
        <w:t xml:space="preserve">dle § 18 odst. 5 jako podmíněně přípustné a některé jsou vyloučeny. Podmíněně přípustné jsou stavby související s hlavním využitím ploch (např. přístřešky pro hospodářská zvířata v plochách NS), stavby a zařízení pro rekreační využití krajiny a nezbytné stavby dopravní a technické infrastruktury. Podmínkou pro jejich umístění je, že tyto stavby neovlivní produkční a krajině-ekologické funkce krajiny. </w:t>
      </w:r>
    </w:p>
    <w:p w14:paraId="6B0BB97D" w14:textId="77777777" w:rsidR="00260C45" w:rsidRPr="00461C16" w:rsidRDefault="00616B5A" w:rsidP="00616B5A">
      <w:pPr>
        <w:pStyle w:val="1text"/>
        <w:rPr>
          <w:b/>
          <w:i/>
        </w:rPr>
      </w:pPr>
      <w:r w:rsidRPr="00461C16">
        <w:rPr>
          <w:b/>
          <w:i/>
        </w:rPr>
        <w:t>Plochy změn v</w:t>
      </w:r>
      <w:r w:rsidR="00260C45" w:rsidRPr="00461C16">
        <w:rPr>
          <w:b/>
          <w:i/>
        </w:rPr>
        <w:t> </w:t>
      </w:r>
      <w:r w:rsidRPr="00461C16">
        <w:rPr>
          <w:b/>
          <w:i/>
        </w:rPr>
        <w:t>krajině</w:t>
      </w:r>
      <w:r w:rsidR="00260C45" w:rsidRPr="00461C16">
        <w:rPr>
          <w:b/>
          <w:i/>
        </w:rPr>
        <w:t xml:space="preserve"> </w:t>
      </w:r>
    </w:p>
    <w:p w14:paraId="3BD7E17A" w14:textId="77777777" w:rsidR="00F878EE" w:rsidRPr="00461C16" w:rsidRDefault="00616B5A" w:rsidP="00616B5A">
      <w:pPr>
        <w:spacing w:before="40" w:after="40"/>
        <w:rPr>
          <w:rStyle w:val="NvrhP-text"/>
        </w:rPr>
      </w:pPr>
      <w:r w:rsidRPr="00461C16">
        <w:rPr>
          <w:rStyle w:val="NvrhP-text"/>
        </w:rPr>
        <w:t xml:space="preserve">V územním plánu je vymezeno </w:t>
      </w:r>
      <w:r w:rsidR="004F0D7C" w:rsidRPr="00461C16">
        <w:rPr>
          <w:rStyle w:val="NvrhP-text"/>
        </w:rPr>
        <w:t>22</w:t>
      </w:r>
      <w:r w:rsidRPr="00461C16">
        <w:rPr>
          <w:rStyle w:val="NvrhP-text"/>
        </w:rPr>
        <w:t xml:space="preserve"> ploch změn v krajině o celkové výměře </w:t>
      </w:r>
      <w:r w:rsidR="004F0D7C" w:rsidRPr="00461C16">
        <w:rPr>
          <w:rStyle w:val="NvrhP-text"/>
        </w:rPr>
        <w:t xml:space="preserve">27,96 ha. </w:t>
      </w:r>
      <w:r w:rsidRPr="00461C16">
        <w:rPr>
          <w:rStyle w:val="NvrhP-text"/>
        </w:rPr>
        <w:t xml:space="preserve">Všechny tyto plochy mají vymezen způsob využití </w:t>
      </w:r>
      <w:r w:rsidR="004F0D7C" w:rsidRPr="00461C16">
        <w:rPr>
          <w:rStyle w:val="NvrhP-text"/>
        </w:rPr>
        <w:t>NK</w:t>
      </w:r>
      <w:r w:rsidR="002E71DD">
        <w:rPr>
          <w:rStyle w:val="NvrhP-text"/>
        </w:rPr>
        <w:t>.</w:t>
      </w:r>
      <w:r w:rsidRPr="00461C16">
        <w:rPr>
          <w:rStyle w:val="NvrhP-text"/>
        </w:rPr>
        <w:t xml:space="preserve"> </w:t>
      </w:r>
    </w:p>
    <w:p w14:paraId="63F1E2E7" w14:textId="77777777" w:rsidR="00F878EE" w:rsidRPr="00461C16" w:rsidRDefault="00F878EE" w:rsidP="00616B5A">
      <w:pPr>
        <w:spacing w:before="40" w:after="40"/>
        <w:rPr>
          <w:rStyle w:val="NvrhP-text"/>
        </w:rPr>
      </w:pPr>
      <w:r w:rsidRPr="00461C16">
        <w:rPr>
          <w:rStyle w:val="NvrhP-text"/>
          <w:b/>
        </w:rPr>
        <w:t>Plocha K01</w:t>
      </w:r>
      <w:r w:rsidRPr="00461C16">
        <w:rPr>
          <w:rStyle w:val="NvrhP-text"/>
        </w:rPr>
        <w:t xml:space="preserve"> je vymezena k odclonění a oddělení západního okraje Oldřichovic od navržené plochy výroby (Z37)</w:t>
      </w:r>
      <w:r w:rsidR="002E71DD">
        <w:rPr>
          <w:rStyle w:val="NvrhP-text"/>
        </w:rPr>
        <w:t>, jedná se o ochrannou a izolační zeleň</w:t>
      </w:r>
      <w:r w:rsidRPr="00461C16">
        <w:rPr>
          <w:rStyle w:val="NvrhP-text"/>
        </w:rPr>
        <w:t>.</w:t>
      </w:r>
    </w:p>
    <w:p w14:paraId="519AB319" w14:textId="77777777" w:rsidR="00F878EE" w:rsidRPr="00461C16" w:rsidRDefault="00F878EE" w:rsidP="00616B5A">
      <w:pPr>
        <w:spacing w:before="40" w:after="40"/>
        <w:rPr>
          <w:rStyle w:val="NvrhP-text"/>
        </w:rPr>
      </w:pPr>
      <w:r w:rsidRPr="00461C16">
        <w:rPr>
          <w:rStyle w:val="NvrhP-text"/>
          <w:b/>
        </w:rPr>
        <w:t>Plocha K02</w:t>
      </w:r>
      <w:r w:rsidRPr="00461C16">
        <w:rPr>
          <w:rStyle w:val="NvrhP-text"/>
        </w:rPr>
        <w:t xml:space="preserve"> je vymezena jako plo</w:t>
      </w:r>
      <w:r w:rsidR="00260C45" w:rsidRPr="00461C16">
        <w:rPr>
          <w:rStyle w:val="NvrhP-text"/>
        </w:rPr>
        <w:t>c</w:t>
      </w:r>
      <w:r w:rsidRPr="00461C16">
        <w:rPr>
          <w:rStyle w:val="NvrhP-text"/>
        </w:rPr>
        <w:t>ha izol</w:t>
      </w:r>
      <w:r w:rsidR="00260C45" w:rsidRPr="00461C16">
        <w:rPr>
          <w:rStyle w:val="NvrhP-text"/>
        </w:rPr>
        <w:t>a</w:t>
      </w:r>
      <w:r w:rsidRPr="00461C16">
        <w:rPr>
          <w:rStyle w:val="NvrhP-text"/>
        </w:rPr>
        <w:t>ční a ochranné zeleně podél silnice I/35</w:t>
      </w:r>
      <w:r w:rsidR="002E71DD">
        <w:rPr>
          <w:rStyle w:val="NvrhP-text"/>
        </w:rPr>
        <w:t>, jedná se o ochrannou a izolační zeleň</w:t>
      </w:r>
      <w:r w:rsidRPr="00461C16">
        <w:rPr>
          <w:rStyle w:val="NvrhP-text"/>
        </w:rPr>
        <w:t>.</w:t>
      </w:r>
    </w:p>
    <w:p w14:paraId="36D5B799" w14:textId="77777777" w:rsidR="00616B5A" w:rsidRDefault="00F878EE" w:rsidP="00616B5A">
      <w:pPr>
        <w:spacing w:before="40" w:after="40"/>
        <w:rPr>
          <w:rStyle w:val="NvrhP-text"/>
        </w:rPr>
      </w:pPr>
      <w:r w:rsidRPr="00461C16">
        <w:rPr>
          <w:rStyle w:val="NvrhP-text"/>
          <w:b/>
        </w:rPr>
        <w:t xml:space="preserve">Plochy K03 </w:t>
      </w:r>
      <w:r w:rsidR="00260C45" w:rsidRPr="00461C16">
        <w:rPr>
          <w:rStyle w:val="NvrhP-text"/>
          <w:b/>
        </w:rPr>
        <w:t>–</w:t>
      </w:r>
      <w:r w:rsidRPr="00461C16">
        <w:rPr>
          <w:rStyle w:val="NvrhP-text"/>
          <w:b/>
        </w:rPr>
        <w:t xml:space="preserve"> </w:t>
      </w:r>
      <w:r w:rsidR="00260C45" w:rsidRPr="00461C16">
        <w:rPr>
          <w:rStyle w:val="NvrhP-text"/>
          <w:b/>
        </w:rPr>
        <w:t>K22</w:t>
      </w:r>
      <w:r w:rsidR="00260C45" w:rsidRPr="00461C16">
        <w:rPr>
          <w:rStyle w:val="NvrhP-text"/>
        </w:rPr>
        <w:t xml:space="preserve"> jsou vymezeny pro zajištění celistvosti a funkčnosti dosud </w:t>
      </w:r>
      <w:r w:rsidR="00616B5A" w:rsidRPr="00461C16">
        <w:rPr>
          <w:rStyle w:val="NvrhP-text"/>
        </w:rPr>
        <w:t xml:space="preserve">skladebných částí územního systému ekologické stability. </w:t>
      </w:r>
    </w:p>
    <w:p w14:paraId="3FF1498A" w14:textId="77777777" w:rsidR="00742DA1" w:rsidRPr="00461C16" w:rsidRDefault="00742DA1" w:rsidP="00616B5A">
      <w:pPr>
        <w:spacing w:before="40" w:after="40"/>
        <w:rPr>
          <w:rFonts w:cs="Arial"/>
          <w:sz w:val="20"/>
          <w:szCs w:val="20"/>
        </w:rPr>
      </w:pPr>
      <w:r w:rsidRPr="00742DA1">
        <w:rPr>
          <w:rStyle w:val="NvrhP-text"/>
          <w:b/>
        </w:rPr>
        <w:t>Plochy K23 – K2</w:t>
      </w:r>
      <w:r w:rsidR="00C232C9">
        <w:rPr>
          <w:rStyle w:val="NvrhP-text"/>
          <w:b/>
        </w:rPr>
        <w:t>9</w:t>
      </w:r>
      <w:r>
        <w:rPr>
          <w:rStyle w:val="NvrhP-text"/>
        </w:rPr>
        <w:t xml:space="preserve"> jsou vymezeny pro obnovu malých vodních nádrží (historických rybníků) ke zlepšení hospodaření s vodou v krajině, v návaznosti na již realizovaný systém vodních nádrží na Václavickém potoce a bezejmenném levostranném přítoku Václavického potoka nad Mastníkovým rybníkem. Nádrže budou mít význam </w:t>
      </w:r>
      <w:r>
        <w:rPr>
          <w:rStyle w:val="NvrhP-text"/>
        </w:rPr>
        <w:lastRenderedPageBreak/>
        <w:t xml:space="preserve">jak environmentální (retence vody, biotopy vodních druhů rostlin a živočichů), tak produkční (chov ryb). </w:t>
      </w:r>
      <w:r w:rsidR="001A4BC0">
        <w:rPr>
          <w:rStyle w:val="NvrhP-text"/>
        </w:rPr>
        <w:t xml:space="preserve">Zároveň přispějí ke snížení rizika záplav. </w:t>
      </w:r>
      <w:r>
        <w:rPr>
          <w:rStyle w:val="NvrhP-text"/>
        </w:rPr>
        <w:t>Podkladem pro jejich vymezení byla podrobnější dokumentace (Nádrže – Václavice – investiční záměr, KVMV aqua spol. s r.o., 2015).</w:t>
      </w:r>
    </w:p>
    <w:p w14:paraId="269F0E9F" w14:textId="77777777" w:rsidR="00616B5A" w:rsidRPr="00461C16" w:rsidRDefault="00616B5A" w:rsidP="00931375">
      <w:pPr>
        <w:pStyle w:val="1text"/>
        <w:spacing w:before="240"/>
        <w:rPr>
          <w:b/>
          <w:i/>
        </w:rPr>
      </w:pPr>
      <w:r w:rsidRPr="00461C16">
        <w:rPr>
          <w:b/>
          <w:i/>
        </w:rPr>
        <w:t xml:space="preserve">Specifické podmínky pro plochy v krajině </w:t>
      </w:r>
    </w:p>
    <w:p w14:paraId="3F00BB49" w14:textId="77777777" w:rsidR="00260C45" w:rsidRPr="00461C16" w:rsidRDefault="00260C45" w:rsidP="00260C45">
      <w:pPr>
        <w:pStyle w:val="1odstavec"/>
      </w:pPr>
      <w:r w:rsidRPr="00461C16">
        <w:t>V kap. F ÚP jsou stanoveny pro plochy s využitím W a NS specifické podmínky, které obecně sledují zvýšení ekologické stability krajiny a její biodiverzity, zvýšení retenční schopnosti a snížení erozního ohrožení, což patří mezi základní priority územní plánování definované Politikou územního rozvoje a ZÚR</w:t>
      </w:r>
      <w:r w:rsidR="003B07D8">
        <w:t xml:space="preserve"> Libereckého kraje</w:t>
      </w:r>
      <w:r w:rsidRPr="00461C16">
        <w:t>.</w:t>
      </w:r>
    </w:p>
    <w:p w14:paraId="1A1DAAFA" w14:textId="77777777" w:rsidR="00260C45" w:rsidRPr="00461C16" w:rsidRDefault="00260C45" w:rsidP="00260C45">
      <w:pPr>
        <w:pStyle w:val="1odstavec"/>
      </w:pPr>
      <w:r w:rsidRPr="00461C16">
        <w:t>Z důvodů ochrany krajiny a zlepšení jejího stavu je požadována ochrana a doplnění drobných krajinných prvků v zemědělských plochách a břehových porostů u vodních ploch a toků.</w:t>
      </w:r>
    </w:p>
    <w:p w14:paraId="7F34E8EC" w14:textId="77777777" w:rsidR="00260C45" w:rsidRPr="00461C16" w:rsidRDefault="00260C45" w:rsidP="00260C45">
      <w:pPr>
        <w:pStyle w:val="1odstavec"/>
      </w:pPr>
      <w:r w:rsidRPr="00461C16">
        <w:t>U vodních toků je dále uplatněn požadavek na zajištění přístupu pro správu a údržbu toků vymezením pruhu 6 m podél vodních toků, což reaguje na potřebu zajištění péče o toky i s ohledem na ochranu území před záplavami. Požadavek na zajištění obsluhy toků je definován i v zadání ÚP.</w:t>
      </w:r>
    </w:p>
    <w:p w14:paraId="2BD8971A" w14:textId="77777777" w:rsidR="00260C45" w:rsidRPr="00461C16" w:rsidRDefault="00260C45" w:rsidP="00260C45">
      <w:pPr>
        <w:pStyle w:val="1odstavec"/>
      </w:pPr>
      <w:r w:rsidRPr="00461C16">
        <w:t>Uvedení podmínek pro plochy v krajině v jednotlivých kapitolách v části F zvolil zhotovitel s cílem soustředit závazné podmínky pokud možno v jedné kapitole. Důvodem je zvýšení přehlednosti a využitelnosti dokumentu při rozhodování.</w:t>
      </w:r>
    </w:p>
    <w:p w14:paraId="2F29938B" w14:textId="77777777" w:rsidR="00616B5A" w:rsidRPr="00931375" w:rsidRDefault="00616B5A" w:rsidP="00616B5A">
      <w:pPr>
        <w:pStyle w:val="Heading3"/>
      </w:pPr>
      <w:bookmarkStart w:id="145" w:name="_Toc36116307"/>
      <w:r w:rsidRPr="00461C16">
        <w:t>6.6.</w:t>
      </w:r>
      <w:r w:rsidR="003D4177" w:rsidRPr="00461C16">
        <w:t>4</w:t>
      </w:r>
      <w:r w:rsidRPr="00461C16">
        <w:tab/>
        <w:t xml:space="preserve">Územní systém </w:t>
      </w:r>
      <w:r w:rsidRPr="00931375">
        <w:t>ekologické stability</w:t>
      </w:r>
      <w:bookmarkEnd w:id="145"/>
    </w:p>
    <w:p w14:paraId="690DFFD4" w14:textId="77777777" w:rsidR="00616B5A" w:rsidRPr="00931375" w:rsidRDefault="00616B5A" w:rsidP="00616B5A">
      <w:pPr>
        <w:rPr>
          <w:i/>
          <w:sz w:val="20"/>
          <w:szCs w:val="20"/>
        </w:rPr>
      </w:pPr>
      <w:r w:rsidRPr="00931375">
        <w:rPr>
          <w:i/>
          <w:sz w:val="20"/>
          <w:szCs w:val="20"/>
        </w:rPr>
        <w:t xml:space="preserve">(k bodům </w:t>
      </w:r>
      <w:r w:rsidR="00931375" w:rsidRPr="00931375">
        <w:rPr>
          <w:i/>
          <w:sz w:val="20"/>
          <w:szCs w:val="20"/>
        </w:rPr>
        <w:t xml:space="preserve">E09 </w:t>
      </w:r>
      <w:r w:rsidRPr="00931375">
        <w:rPr>
          <w:i/>
          <w:sz w:val="20"/>
          <w:szCs w:val="20"/>
        </w:rPr>
        <w:t xml:space="preserve">– </w:t>
      </w:r>
      <w:r w:rsidR="00931375" w:rsidRPr="00931375">
        <w:rPr>
          <w:i/>
          <w:sz w:val="20"/>
          <w:szCs w:val="20"/>
        </w:rPr>
        <w:t>E1</w:t>
      </w:r>
      <w:r w:rsidR="00931375">
        <w:rPr>
          <w:i/>
          <w:sz w:val="20"/>
          <w:szCs w:val="20"/>
        </w:rPr>
        <w:t>0</w:t>
      </w:r>
      <w:r w:rsidR="00931375" w:rsidRPr="00931375">
        <w:rPr>
          <w:i/>
          <w:sz w:val="20"/>
          <w:szCs w:val="20"/>
        </w:rPr>
        <w:t xml:space="preserve"> </w:t>
      </w:r>
      <w:r w:rsidR="00756815" w:rsidRPr="00931375">
        <w:rPr>
          <w:i/>
          <w:sz w:val="20"/>
          <w:szCs w:val="20"/>
        </w:rPr>
        <w:t>ÚP)</w:t>
      </w:r>
    </w:p>
    <w:p w14:paraId="591C5B08" w14:textId="77777777" w:rsidR="00616B5A" w:rsidRPr="00461C16" w:rsidRDefault="00616B5A" w:rsidP="00753F4E">
      <w:pPr>
        <w:pStyle w:val="4podnadpis"/>
      </w:pPr>
      <w:r w:rsidRPr="00931375">
        <w:t>Podklady</w:t>
      </w:r>
    </w:p>
    <w:p w14:paraId="2FDD14C7" w14:textId="77777777" w:rsidR="001F24A2" w:rsidRPr="00461C16" w:rsidRDefault="00616B5A" w:rsidP="00616B5A">
      <w:pPr>
        <w:pStyle w:val="1odstavec"/>
      </w:pPr>
      <w:r w:rsidRPr="00461C16">
        <w:t xml:space="preserve">Vymezení ÚSES jako nedílné součásti ÚP je provedeno v souladu se zákonem č. 114/1992 Sb., vyhláškou č. 395/1992 Sb. (§ 2) a stavebním zákonem. </w:t>
      </w:r>
      <w:r w:rsidR="001F24A2" w:rsidRPr="00461C16">
        <w:t>Požadavek na vymezení ÚS</w:t>
      </w:r>
      <w:r w:rsidR="00456021">
        <w:t>E</w:t>
      </w:r>
      <w:r w:rsidR="001F24A2" w:rsidRPr="00461C16">
        <w:t>S je stanoveni zadáním ÚP (viz kap. 3.1</w:t>
      </w:r>
      <w:r w:rsidR="006B6ACC" w:rsidRPr="00461C16">
        <w:t>, bod 90 Odůvodnění).</w:t>
      </w:r>
    </w:p>
    <w:p w14:paraId="4F72EC16" w14:textId="77777777" w:rsidR="00616B5A" w:rsidRPr="00461C16" w:rsidRDefault="00616B5A" w:rsidP="00452B32">
      <w:pPr>
        <w:pStyle w:val="1odstavec"/>
      </w:pPr>
      <w:r w:rsidRPr="00461C16">
        <w:t>Z metodického hlediska jsou respektovány Rukověť projektanta ÚSES</w:t>
      </w:r>
      <w:r w:rsidR="00CF1B33" w:rsidRPr="00461C16">
        <w:t xml:space="preserve">, </w:t>
      </w:r>
      <w:r w:rsidRPr="00461C16">
        <w:t>sdělení Ministerstva pro místní rozvoj ČR č.j. 3044/2013 / 2013-81 ze dne 28.1.2013</w:t>
      </w:r>
      <w:r w:rsidR="00CF1B33" w:rsidRPr="00461C16">
        <w:t xml:space="preserve"> a </w:t>
      </w:r>
      <w:r w:rsidR="00452B32" w:rsidRPr="00461C16">
        <w:t>nová Metodika vymezování územního systému ekologické stability (MŽP, 2017).</w:t>
      </w:r>
    </w:p>
    <w:p w14:paraId="06D7E103" w14:textId="77777777" w:rsidR="00616B5A" w:rsidRDefault="00616B5A" w:rsidP="00616B5A">
      <w:pPr>
        <w:pStyle w:val="1odstavec"/>
      </w:pPr>
      <w:r w:rsidRPr="00461C16">
        <w:t xml:space="preserve">Po vymezení ÚSES na nadregionální a regionální úrovni je závazným podkladem vymezení skladebných částí v Zásadách územního rozvoje </w:t>
      </w:r>
      <w:r w:rsidR="00452B32" w:rsidRPr="00461C16">
        <w:t xml:space="preserve">Libereckého </w:t>
      </w:r>
      <w:r w:rsidR="001F24A2" w:rsidRPr="00461C16">
        <w:t>kraje</w:t>
      </w:r>
      <w:r w:rsidRPr="00461C16">
        <w:t>. Základním podkladem pro vymezení lokálního ÚSES je platný územní plán</w:t>
      </w:r>
      <w:r w:rsidR="001F24A2" w:rsidRPr="00461C16">
        <w:t xml:space="preserve"> a územně analytické podklady </w:t>
      </w:r>
      <w:r w:rsidR="006B6ACC" w:rsidRPr="00461C16">
        <w:t xml:space="preserve">ORP </w:t>
      </w:r>
      <w:r w:rsidR="00AA6A5A" w:rsidRPr="00461C16">
        <w:t xml:space="preserve">Liberec </w:t>
      </w:r>
      <w:r w:rsidR="006B6ACC" w:rsidRPr="00461C16">
        <w:t>(201</w:t>
      </w:r>
      <w:r w:rsidR="00AA6A5A" w:rsidRPr="00461C16">
        <w:t>6</w:t>
      </w:r>
      <w:r w:rsidR="006B6ACC" w:rsidRPr="00461C16">
        <w:t>)</w:t>
      </w:r>
      <w:r w:rsidRPr="00461C16">
        <w:t>.</w:t>
      </w:r>
    </w:p>
    <w:p w14:paraId="22DFDB7A" w14:textId="77777777" w:rsidR="006F06B0" w:rsidRPr="00461C16" w:rsidRDefault="006F06B0" w:rsidP="006F06B0">
      <w:pPr>
        <w:pStyle w:val="1odstavec"/>
      </w:pPr>
      <w:r w:rsidRPr="00461C16">
        <w:t>Upřesnění vymezení skladebných částí ÚSES na nadregionální a regionální úrovni a dílčí úpravy vymezení lokálních biokoridorů a biocenter jsou provedeny na základě analýzy území zpracovatelem.</w:t>
      </w:r>
    </w:p>
    <w:p w14:paraId="00F39152" w14:textId="77777777" w:rsidR="00A30D90" w:rsidRDefault="00835780" w:rsidP="00616B5A">
      <w:pPr>
        <w:pStyle w:val="1odstavec"/>
      </w:pPr>
      <w:r>
        <w:t>V rámci společného jednání k návr</w:t>
      </w:r>
      <w:r w:rsidR="00A30D90">
        <w:t>h</w:t>
      </w:r>
      <w:r>
        <w:t>u územního plánu byl AOPK Správou CHKO Lužické hory vznesen požadavek na úpravu vymezení ÚSES</w:t>
      </w:r>
      <w:r w:rsidR="00A30D90">
        <w:t xml:space="preserve"> v sou</w:t>
      </w:r>
      <w:r w:rsidR="00C72C98">
        <w:t>l</w:t>
      </w:r>
      <w:r w:rsidR="00A30D90">
        <w:t>adu s plánem zhotoveným pro AOPK. Tento pod</w:t>
      </w:r>
      <w:r w:rsidR="00C72C98">
        <w:t>k</w:t>
      </w:r>
      <w:r w:rsidR="00A30D90">
        <w:t>lad byl použit pro úpravu prostorového vymezení jednotlivých skladebných částí, které bylo v náv</w:t>
      </w:r>
      <w:r w:rsidR="00C72C98">
        <w:t>rh</w:t>
      </w:r>
      <w:r w:rsidR="00A30D90">
        <w:t>u pro veřejné projednání změněno oproti náv</w:t>
      </w:r>
      <w:r w:rsidR="00C72C98">
        <w:t>r</w:t>
      </w:r>
      <w:r w:rsidR="00A30D90">
        <w:t>hu pro společné jednání.</w:t>
      </w:r>
    </w:p>
    <w:p w14:paraId="1B1A9A88" w14:textId="19B62EE4" w:rsidR="006E5825" w:rsidRDefault="00A30D90" w:rsidP="006E5825">
      <w:pPr>
        <w:pStyle w:val="1odstavec"/>
        <w:spacing w:after="120"/>
      </w:pPr>
      <w:r>
        <w:t>Předmětn</w:t>
      </w:r>
      <w:r w:rsidR="006F06B0">
        <w:t>ý</w:t>
      </w:r>
      <w:r>
        <w:t xml:space="preserve"> podklad AOPK </w:t>
      </w:r>
      <w:r w:rsidR="006F06B0">
        <w:t xml:space="preserve">obsahoval i </w:t>
      </w:r>
      <w:r>
        <w:t>změny v označení jednotlivých skladebných částí, které nemohl zhotovitel ÚSES v ÚP Hrádek nad Nisou převzít. Jedná se o označení jednotlivých úseků nadregionálních biokoridorů K19MB a K34B. V datech od AOPK byly tyto úseky označeny jako dílčí regionální biokoridory</w:t>
      </w:r>
      <w:r w:rsidR="006E5825">
        <w:t>. To je v rozporu s</w:t>
      </w:r>
      <w:r w:rsidR="006F06B0">
        <w:t xml:space="preserve"> </w:t>
      </w:r>
      <w:r w:rsidR="006E5825">
        <w:t xml:space="preserve"> požadavky </w:t>
      </w:r>
      <w:r w:rsidR="003B07D8">
        <w:t xml:space="preserve">ZÚR </w:t>
      </w:r>
      <w:r w:rsidR="006E5825">
        <w:t>Libereckého kraje na zpřesnění nadregionálních a regionálních biokoridorů v jednotlivých ÚP</w:t>
      </w:r>
      <w:r w:rsidR="006F06B0">
        <w:t>, které jsou pro zhotovitele ÚP závazné</w:t>
      </w:r>
      <w:r w:rsidR="006E5825">
        <w:t>.</w:t>
      </w:r>
      <w:r w:rsidR="006F06B0">
        <w:t xml:space="preserve"> </w:t>
      </w:r>
      <w:r w:rsidR="006F06B0" w:rsidRPr="006F06B0">
        <w:rPr>
          <w:b/>
        </w:rPr>
        <w:t>V ÚP</w:t>
      </w:r>
      <w:r w:rsidR="006F06B0">
        <w:t xml:space="preserve"> </w:t>
      </w:r>
      <w:r w:rsidR="006F06B0">
        <w:rPr>
          <w:b/>
        </w:rPr>
        <w:t xml:space="preserve">je </w:t>
      </w:r>
      <w:r w:rsidR="006E5825" w:rsidRPr="006F06B0">
        <w:rPr>
          <w:b/>
        </w:rPr>
        <w:t>ponech</w:t>
      </w:r>
      <w:r w:rsidR="006F06B0">
        <w:rPr>
          <w:b/>
        </w:rPr>
        <w:t xml:space="preserve">áno </w:t>
      </w:r>
      <w:r w:rsidR="006E5825" w:rsidRPr="006F06B0">
        <w:rPr>
          <w:b/>
        </w:rPr>
        <w:t xml:space="preserve">původní označení skladebných částí, neboť z ÚP musí být jasné, o který </w:t>
      </w:r>
      <w:r w:rsidR="006F06B0">
        <w:rPr>
          <w:b/>
        </w:rPr>
        <w:t>b</w:t>
      </w:r>
      <w:r w:rsidR="006E5825" w:rsidRPr="006F06B0">
        <w:rPr>
          <w:b/>
        </w:rPr>
        <w:t xml:space="preserve">iokoridor </w:t>
      </w:r>
      <w:r w:rsidR="006F06B0">
        <w:rPr>
          <w:b/>
        </w:rPr>
        <w:t xml:space="preserve">dle </w:t>
      </w:r>
      <w:r w:rsidR="006E5825" w:rsidRPr="006F06B0">
        <w:rPr>
          <w:b/>
        </w:rPr>
        <w:t>ZÚR</w:t>
      </w:r>
      <w:r w:rsidR="003B07D8">
        <w:rPr>
          <w:b/>
        </w:rPr>
        <w:t xml:space="preserve"> LK</w:t>
      </w:r>
      <w:r w:rsidR="006E5825" w:rsidRPr="006F06B0">
        <w:rPr>
          <w:b/>
        </w:rPr>
        <w:t xml:space="preserve"> jde a jak byl zpřesněn.</w:t>
      </w:r>
      <w:r w:rsidR="003B07D8">
        <w:rPr>
          <w:b/>
        </w:rPr>
        <w:t xml:space="preserve"> </w:t>
      </w:r>
      <w:r w:rsidR="006E5825">
        <w:t>Přehled rozdílů v označení obsahuje následující tabulka.</w:t>
      </w:r>
    </w:p>
    <w:tbl>
      <w:tblPr>
        <w:tblStyle w:val="TableGrid"/>
        <w:tblW w:w="0" w:type="auto"/>
        <w:tblLook w:val="04A0" w:firstRow="1" w:lastRow="0" w:firstColumn="1" w:lastColumn="0" w:noHBand="0" w:noVBand="1"/>
      </w:tblPr>
      <w:tblGrid>
        <w:gridCol w:w="4606"/>
        <w:gridCol w:w="4606"/>
      </w:tblGrid>
      <w:tr w:rsidR="006E5825" w:rsidRPr="006E5825" w14:paraId="05E3208A" w14:textId="77777777" w:rsidTr="006E5825">
        <w:trPr>
          <w:tblHeader/>
        </w:trPr>
        <w:tc>
          <w:tcPr>
            <w:tcW w:w="4606" w:type="dxa"/>
          </w:tcPr>
          <w:p w14:paraId="66A71F88" w14:textId="77777777" w:rsidR="006E5825" w:rsidRPr="006E5825" w:rsidRDefault="006F06B0" w:rsidP="00A06EB9">
            <w:pPr>
              <w:pStyle w:val="1odstavec"/>
              <w:spacing w:before="60" w:after="60"/>
              <w:rPr>
                <w:b/>
                <w:sz w:val="20"/>
              </w:rPr>
            </w:pPr>
            <w:r>
              <w:rPr>
                <w:b/>
                <w:sz w:val="20"/>
              </w:rPr>
              <w:t>Použité o</w:t>
            </w:r>
            <w:r w:rsidR="006E5825" w:rsidRPr="006E5825">
              <w:rPr>
                <w:b/>
                <w:sz w:val="20"/>
              </w:rPr>
              <w:t xml:space="preserve">značení v ÚP Hrádek nad Nisou  </w:t>
            </w:r>
          </w:p>
        </w:tc>
        <w:tc>
          <w:tcPr>
            <w:tcW w:w="4606" w:type="dxa"/>
          </w:tcPr>
          <w:p w14:paraId="34719EBA" w14:textId="77777777" w:rsidR="006E5825" w:rsidRPr="006E5825" w:rsidRDefault="006E5825" w:rsidP="00A06EB9">
            <w:pPr>
              <w:pStyle w:val="1odstavec"/>
              <w:spacing w:before="60" w:after="60"/>
              <w:rPr>
                <w:b/>
                <w:sz w:val="20"/>
              </w:rPr>
            </w:pPr>
            <w:r w:rsidRPr="006E5825">
              <w:rPr>
                <w:b/>
                <w:sz w:val="20"/>
              </w:rPr>
              <w:t xml:space="preserve">Označení v podkladu AOPK </w:t>
            </w:r>
          </w:p>
        </w:tc>
      </w:tr>
      <w:tr w:rsidR="006E5825" w:rsidRPr="006E5825" w14:paraId="652A93B1" w14:textId="77777777" w:rsidTr="006E5825">
        <w:tc>
          <w:tcPr>
            <w:tcW w:w="4606" w:type="dxa"/>
          </w:tcPr>
          <w:p w14:paraId="7563EEE0" w14:textId="77777777" w:rsidR="006E5825" w:rsidRPr="006E5825" w:rsidRDefault="006E5825" w:rsidP="00A06EB9">
            <w:pPr>
              <w:pStyle w:val="1odstavec"/>
              <w:spacing w:before="60" w:after="60"/>
              <w:rPr>
                <w:sz w:val="20"/>
              </w:rPr>
            </w:pPr>
            <w:r w:rsidRPr="006E5825">
              <w:rPr>
                <w:sz w:val="20"/>
              </w:rPr>
              <w:t>NRBK K34B_</w:t>
            </w:r>
            <w:r>
              <w:rPr>
                <w:sz w:val="20"/>
              </w:rPr>
              <w:t>1</w:t>
            </w:r>
          </w:p>
        </w:tc>
        <w:tc>
          <w:tcPr>
            <w:tcW w:w="4606" w:type="dxa"/>
          </w:tcPr>
          <w:p w14:paraId="15CFEFAE" w14:textId="77777777" w:rsidR="006E5825" w:rsidRPr="006E5825" w:rsidRDefault="006E5825" w:rsidP="00A06EB9">
            <w:pPr>
              <w:pStyle w:val="1odstavec"/>
              <w:spacing w:before="60" w:after="60"/>
              <w:rPr>
                <w:sz w:val="20"/>
              </w:rPr>
            </w:pPr>
            <w:r>
              <w:rPr>
                <w:sz w:val="20"/>
              </w:rPr>
              <w:t>RBK k189</w:t>
            </w:r>
          </w:p>
        </w:tc>
      </w:tr>
      <w:tr w:rsidR="006E5825" w:rsidRPr="006E5825" w14:paraId="7C4AABD0" w14:textId="77777777" w:rsidTr="006E5825">
        <w:tc>
          <w:tcPr>
            <w:tcW w:w="4606" w:type="dxa"/>
          </w:tcPr>
          <w:p w14:paraId="2D70D0F5" w14:textId="77777777" w:rsidR="006E5825" w:rsidRPr="006E5825" w:rsidRDefault="006E5825" w:rsidP="00A06EB9">
            <w:pPr>
              <w:pStyle w:val="1odstavec"/>
              <w:spacing w:before="60" w:after="60"/>
              <w:rPr>
                <w:sz w:val="20"/>
              </w:rPr>
            </w:pPr>
            <w:r w:rsidRPr="006E5825">
              <w:rPr>
                <w:sz w:val="20"/>
              </w:rPr>
              <w:t>NRBK K34B_</w:t>
            </w:r>
            <w:r>
              <w:rPr>
                <w:sz w:val="20"/>
              </w:rPr>
              <w:t>2</w:t>
            </w:r>
          </w:p>
        </w:tc>
        <w:tc>
          <w:tcPr>
            <w:tcW w:w="4606" w:type="dxa"/>
          </w:tcPr>
          <w:p w14:paraId="5C0D10CF" w14:textId="77777777" w:rsidR="006E5825" w:rsidRPr="006E5825" w:rsidRDefault="006E5825" w:rsidP="00A06EB9">
            <w:pPr>
              <w:pStyle w:val="1odstavec"/>
              <w:spacing w:before="60" w:after="60"/>
              <w:rPr>
                <w:sz w:val="20"/>
              </w:rPr>
            </w:pPr>
            <w:r>
              <w:rPr>
                <w:sz w:val="20"/>
              </w:rPr>
              <w:t>RBK k190</w:t>
            </w:r>
          </w:p>
        </w:tc>
      </w:tr>
      <w:tr w:rsidR="006E5825" w:rsidRPr="006E5825" w14:paraId="4BD1DDF2" w14:textId="77777777" w:rsidTr="006E5825">
        <w:tc>
          <w:tcPr>
            <w:tcW w:w="4606" w:type="dxa"/>
          </w:tcPr>
          <w:p w14:paraId="57AE49DD" w14:textId="77777777" w:rsidR="006E5825" w:rsidRPr="006E5825" w:rsidRDefault="006E5825" w:rsidP="00A06EB9">
            <w:pPr>
              <w:pStyle w:val="1odstavec"/>
              <w:spacing w:before="60" w:after="60"/>
              <w:rPr>
                <w:sz w:val="20"/>
              </w:rPr>
            </w:pPr>
            <w:r w:rsidRPr="006E5825">
              <w:rPr>
                <w:sz w:val="20"/>
              </w:rPr>
              <w:t>NRBK K34B_</w:t>
            </w:r>
            <w:r>
              <w:rPr>
                <w:sz w:val="20"/>
              </w:rPr>
              <w:t>3</w:t>
            </w:r>
          </w:p>
        </w:tc>
        <w:tc>
          <w:tcPr>
            <w:tcW w:w="4606" w:type="dxa"/>
          </w:tcPr>
          <w:p w14:paraId="54549480" w14:textId="77777777" w:rsidR="006E5825" w:rsidRPr="006E5825" w:rsidRDefault="006E5825" w:rsidP="00A06EB9">
            <w:pPr>
              <w:pStyle w:val="1odstavec"/>
              <w:spacing w:before="60" w:after="60"/>
              <w:rPr>
                <w:sz w:val="20"/>
              </w:rPr>
            </w:pPr>
            <w:r>
              <w:rPr>
                <w:sz w:val="20"/>
              </w:rPr>
              <w:t>RBK k191</w:t>
            </w:r>
          </w:p>
        </w:tc>
      </w:tr>
      <w:tr w:rsidR="006E5825" w:rsidRPr="006E5825" w14:paraId="3FACD0F3" w14:textId="77777777" w:rsidTr="006E5825">
        <w:tc>
          <w:tcPr>
            <w:tcW w:w="4606" w:type="dxa"/>
          </w:tcPr>
          <w:p w14:paraId="4D3C78E3" w14:textId="77777777" w:rsidR="006E5825" w:rsidRPr="006E5825" w:rsidRDefault="006E5825" w:rsidP="00A06EB9">
            <w:pPr>
              <w:pStyle w:val="1odstavec"/>
              <w:spacing w:before="60" w:after="60"/>
              <w:rPr>
                <w:sz w:val="20"/>
              </w:rPr>
            </w:pPr>
            <w:r w:rsidRPr="006E5825">
              <w:rPr>
                <w:sz w:val="20"/>
              </w:rPr>
              <w:lastRenderedPageBreak/>
              <w:t>NRBK K34B_</w:t>
            </w:r>
            <w:r>
              <w:rPr>
                <w:sz w:val="20"/>
              </w:rPr>
              <w:t>4</w:t>
            </w:r>
          </w:p>
        </w:tc>
        <w:tc>
          <w:tcPr>
            <w:tcW w:w="4606" w:type="dxa"/>
          </w:tcPr>
          <w:p w14:paraId="23F66C7E" w14:textId="77777777" w:rsidR="006E5825" w:rsidRPr="006E5825" w:rsidRDefault="006F06B0" w:rsidP="00A06EB9">
            <w:pPr>
              <w:pStyle w:val="1odstavec"/>
              <w:spacing w:before="60" w:after="60"/>
              <w:rPr>
                <w:sz w:val="20"/>
              </w:rPr>
            </w:pPr>
            <w:r>
              <w:rPr>
                <w:sz w:val="20"/>
              </w:rPr>
              <w:t>R</w:t>
            </w:r>
            <w:r w:rsidR="006E5825">
              <w:rPr>
                <w:sz w:val="20"/>
              </w:rPr>
              <w:t>BK k185</w:t>
            </w:r>
          </w:p>
        </w:tc>
      </w:tr>
      <w:tr w:rsidR="006E5825" w:rsidRPr="006E5825" w14:paraId="0296110B" w14:textId="77777777" w:rsidTr="006E5825">
        <w:tc>
          <w:tcPr>
            <w:tcW w:w="4606" w:type="dxa"/>
          </w:tcPr>
          <w:p w14:paraId="63D8D670" w14:textId="77777777" w:rsidR="006E5825" w:rsidRPr="006E5825" w:rsidRDefault="006E5825" w:rsidP="00A06EB9">
            <w:pPr>
              <w:pStyle w:val="1odstavec"/>
              <w:spacing w:before="60" w:after="60"/>
              <w:rPr>
                <w:sz w:val="20"/>
              </w:rPr>
            </w:pPr>
            <w:r w:rsidRPr="006E5825">
              <w:rPr>
                <w:sz w:val="20"/>
              </w:rPr>
              <w:t>NRBK K</w:t>
            </w:r>
            <w:r>
              <w:rPr>
                <w:sz w:val="20"/>
              </w:rPr>
              <w:t>19M</w:t>
            </w:r>
            <w:r w:rsidRPr="006E5825">
              <w:rPr>
                <w:sz w:val="20"/>
              </w:rPr>
              <w:t>B_</w:t>
            </w:r>
            <w:r>
              <w:rPr>
                <w:sz w:val="20"/>
              </w:rPr>
              <w:t>1</w:t>
            </w:r>
          </w:p>
        </w:tc>
        <w:tc>
          <w:tcPr>
            <w:tcW w:w="4606" w:type="dxa"/>
          </w:tcPr>
          <w:p w14:paraId="10A77090" w14:textId="77777777" w:rsidR="006E5825" w:rsidRPr="006E5825" w:rsidRDefault="006F06B0" w:rsidP="00A06EB9">
            <w:pPr>
              <w:pStyle w:val="1odstavec"/>
              <w:spacing w:before="60" w:after="60"/>
              <w:rPr>
                <w:sz w:val="20"/>
              </w:rPr>
            </w:pPr>
            <w:r>
              <w:rPr>
                <w:sz w:val="20"/>
              </w:rPr>
              <w:t>RBK k185</w:t>
            </w:r>
          </w:p>
        </w:tc>
      </w:tr>
      <w:tr w:rsidR="006E5825" w:rsidRPr="006E5825" w14:paraId="17A48DE2" w14:textId="77777777" w:rsidTr="006E5825">
        <w:tc>
          <w:tcPr>
            <w:tcW w:w="4606" w:type="dxa"/>
          </w:tcPr>
          <w:p w14:paraId="52188679" w14:textId="77777777" w:rsidR="006E5825" w:rsidRPr="006E5825" w:rsidRDefault="006F06B0" w:rsidP="00A06EB9">
            <w:pPr>
              <w:pStyle w:val="1odstavec"/>
              <w:spacing w:before="60" w:after="60"/>
              <w:rPr>
                <w:sz w:val="20"/>
              </w:rPr>
            </w:pPr>
            <w:r w:rsidRPr="006E5825">
              <w:rPr>
                <w:sz w:val="20"/>
              </w:rPr>
              <w:t>NRBK K</w:t>
            </w:r>
            <w:r>
              <w:rPr>
                <w:sz w:val="20"/>
              </w:rPr>
              <w:t>19M</w:t>
            </w:r>
            <w:r w:rsidRPr="006E5825">
              <w:rPr>
                <w:sz w:val="20"/>
              </w:rPr>
              <w:t>B_</w:t>
            </w:r>
            <w:r>
              <w:rPr>
                <w:sz w:val="20"/>
              </w:rPr>
              <w:t>2</w:t>
            </w:r>
          </w:p>
        </w:tc>
        <w:tc>
          <w:tcPr>
            <w:tcW w:w="4606" w:type="dxa"/>
          </w:tcPr>
          <w:p w14:paraId="11EBA1A2" w14:textId="77777777" w:rsidR="006E5825" w:rsidRPr="006E5825" w:rsidRDefault="006F06B0" w:rsidP="00A06EB9">
            <w:pPr>
              <w:pStyle w:val="1odstavec"/>
              <w:spacing w:before="60" w:after="60"/>
              <w:rPr>
                <w:sz w:val="20"/>
              </w:rPr>
            </w:pPr>
            <w:r>
              <w:rPr>
                <w:sz w:val="20"/>
              </w:rPr>
              <w:t>RBK k186</w:t>
            </w:r>
          </w:p>
        </w:tc>
      </w:tr>
      <w:tr w:rsidR="006E5825" w:rsidRPr="006E5825" w14:paraId="74937D45" w14:textId="77777777" w:rsidTr="006E5825">
        <w:tc>
          <w:tcPr>
            <w:tcW w:w="4606" w:type="dxa"/>
          </w:tcPr>
          <w:p w14:paraId="1EE3DC43" w14:textId="77777777" w:rsidR="006E5825" w:rsidRPr="006E5825" w:rsidRDefault="006F06B0" w:rsidP="00A06EB9">
            <w:pPr>
              <w:pStyle w:val="1odstavec"/>
              <w:spacing w:before="60" w:after="60"/>
              <w:rPr>
                <w:sz w:val="20"/>
              </w:rPr>
            </w:pPr>
            <w:r w:rsidRPr="006E5825">
              <w:rPr>
                <w:sz w:val="20"/>
              </w:rPr>
              <w:t>NRBK K</w:t>
            </w:r>
            <w:r>
              <w:rPr>
                <w:sz w:val="20"/>
              </w:rPr>
              <w:t>19M</w:t>
            </w:r>
            <w:r w:rsidRPr="006E5825">
              <w:rPr>
                <w:sz w:val="20"/>
              </w:rPr>
              <w:t>B_</w:t>
            </w:r>
            <w:r>
              <w:rPr>
                <w:sz w:val="20"/>
              </w:rPr>
              <w:t>3</w:t>
            </w:r>
          </w:p>
        </w:tc>
        <w:tc>
          <w:tcPr>
            <w:tcW w:w="4606" w:type="dxa"/>
          </w:tcPr>
          <w:p w14:paraId="2685C2EB" w14:textId="77777777" w:rsidR="006E5825" w:rsidRPr="006E5825" w:rsidRDefault="006F06B0" w:rsidP="00A06EB9">
            <w:pPr>
              <w:pStyle w:val="1odstavec"/>
              <w:spacing w:before="60" w:after="60"/>
              <w:rPr>
                <w:sz w:val="20"/>
              </w:rPr>
            </w:pPr>
            <w:r>
              <w:rPr>
                <w:sz w:val="20"/>
              </w:rPr>
              <w:t>RBK k187</w:t>
            </w:r>
          </w:p>
        </w:tc>
      </w:tr>
      <w:tr w:rsidR="006F06B0" w:rsidRPr="006E5825" w14:paraId="41E0DDF1" w14:textId="77777777" w:rsidTr="006E5825">
        <w:tc>
          <w:tcPr>
            <w:tcW w:w="4606" w:type="dxa"/>
          </w:tcPr>
          <w:p w14:paraId="5939C058" w14:textId="77777777" w:rsidR="006F06B0" w:rsidRPr="006E5825" w:rsidRDefault="006F06B0" w:rsidP="00A06EB9">
            <w:pPr>
              <w:pStyle w:val="1odstavec"/>
              <w:spacing w:before="60" w:after="60"/>
              <w:rPr>
                <w:sz w:val="20"/>
              </w:rPr>
            </w:pPr>
            <w:r w:rsidRPr="006E5825">
              <w:rPr>
                <w:sz w:val="20"/>
              </w:rPr>
              <w:t>NRBK K</w:t>
            </w:r>
            <w:r>
              <w:rPr>
                <w:sz w:val="20"/>
              </w:rPr>
              <w:t>19M</w:t>
            </w:r>
            <w:r w:rsidRPr="006E5825">
              <w:rPr>
                <w:sz w:val="20"/>
              </w:rPr>
              <w:t>B_</w:t>
            </w:r>
            <w:r>
              <w:rPr>
                <w:sz w:val="20"/>
              </w:rPr>
              <w:t>4</w:t>
            </w:r>
          </w:p>
        </w:tc>
        <w:tc>
          <w:tcPr>
            <w:tcW w:w="4606" w:type="dxa"/>
          </w:tcPr>
          <w:p w14:paraId="1794C89D" w14:textId="77777777" w:rsidR="006F06B0" w:rsidRPr="006E5825" w:rsidRDefault="006F06B0" w:rsidP="00A06EB9">
            <w:pPr>
              <w:pStyle w:val="1odstavec"/>
              <w:spacing w:before="60" w:after="60"/>
              <w:rPr>
                <w:sz w:val="20"/>
              </w:rPr>
            </w:pPr>
            <w:r>
              <w:rPr>
                <w:sz w:val="20"/>
              </w:rPr>
              <w:t>RBK k188</w:t>
            </w:r>
          </w:p>
        </w:tc>
      </w:tr>
      <w:tr w:rsidR="006F06B0" w:rsidRPr="006E5825" w14:paraId="5D51E3CA" w14:textId="77777777" w:rsidTr="006E5825">
        <w:tc>
          <w:tcPr>
            <w:tcW w:w="4606" w:type="dxa"/>
          </w:tcPr>
          <w:p w14:paraId="6AAF3526" w14:textId="77777777" w:rsidR="006F06B0" w:rsidRPr="006E5825" w:rsidRDefault="006F06B0" w:rsidP="00A06EB9">
            <w:pPr>
              <w:pStyle w:val="1odstavec"/>
              <w:spacing w:before="60" w:after="60"/>
              <w:rPr>
                <w:sz w:val="20"/>
              </w:rPr>
            </w:pPr>
            <w:r w:rsidRPr="006E5825">
              <w:rPr>
                <w:sz w:val="20"/>
              </w:rPr>
              <w:t>NRBK K</w:t>
            </w:r>
            <w:r>
              <w:rPr>
                <w:sz w:val="20"/>
              </w:rPr>
              <w:t>19M</w:t>
            </w:r>
            <w:r w:rsidRPr="006E5825">
              <w:rPr>
                <w:sz w:val="20"/>
              </w:rPr>
              <w:t>B_</w:t>
            </w:r>
          </w:p>
        </w:tc>
        <w:tc>
          <w:tcPr>
            <w:tcW w:w="4606" w:type="dxa"/>
          </w:tcPr>
          <w:p w14:paraId="5E96E166" w14:textId="77777777" w:rsidR="006F06B0" w:rsidRPr="006E5825" w:rsidRDefault="006F06B0" w:rsidP="00A06EB9">
            <w:pPr>
              <w:pStyle w:val="1odstavec"/>
              <w:spacing w:before="60" w:after="60"/>
              <w:rPr>
                <w:sz w:val="20"/>
              </w:rPr>
            </w:pPr>
            <w:r>
              <w:rPr>
                <w:sz w:val="20"/>
              </w:rPr>
              <w:t>RBK k262</w:t>
            </w:r>
          </w:p>
        </w:tc>
      </w:tr>
    </w:tbl>
    <w:p w14:paraId="299C9F24" w14:textId="77777777" w:rsidR="00616B5A" w:rsidRPr="00461C16" w:rsidRDefault="00616B5A" w:rsidP="00753F4E">
      <w:pPr>
        <w:pStyle w:val="4podnadpis"/>
      </w:pPr>
      <w:r w:rsidRPr="00461C16">
        <w:t xml:space="preserve">Návrh řešení a jeho odůvodnění </w:t>
      </w:r>
    </w:p>
    <w:p w14:paraId="7891EAFC" w14:textId="7D3190D9" w:rsidR="00AA6A5A" w:rsidRPr="00461C16" w:rsidRDefault="00616B5A" w:rsidP="00AA6A5A">
      <w:r w:rsidRPr="00461C16">
        <w:t>Důvodem pro vymezení ÚSES je dle zákona o ochraně přírody a krajiny zvýšení ekologické stability a biologické rozmanitosti krajiny. Ekologická stabilita se rámcově definuje tzv. koeficientem ekologické stability (KES). Jde o integrovaný ukazatel pro posuzování stavu krajiny, který vyjadřuje poměr relativně stabilních ploch vůči plochám nestabilním</w:t>
      </w:r>
      <w:r w:rsidR="00AA6A5A" w:rsidRPr="00461C16">
        <w:t>). Aktuální KES pro území města Hrádek nad Nisou je (dle ČSÚ) 1,16, čímž město spadá do kategorie 1,00&lt; KES &lt; 3,00 charakterizované následovně jako vcelku vyvážená krajina, v níž jsou technické objekty relativně v souladu s dochovanými přírodními strukturami, důsledkem je i nižší potřeba energo-materiálových vkladů. K příznivému KES přispívá zejména oblast východní části Lužických hor, kde převažují lesní porosty. V ostatních územích s převahou zemědělské půdy je situace horší a vymezení sítě biocenter a biokoridorů ÚSES je namístě.</w:t>
      </w:r>
    </w:p>
    <w:p w14:paraId="10F0CD9F" w14:textId="77777777" w:rsidR="00616B5A" w:rsidRPr="00461C16" w:rsidRDefault="00616B5A" w:rsidP="00616B5A">
      <w:pPr>
        <w:pStyle w:val="1odstavec"/>
      </w:pPr>
      <w:r w:rsidRPr="00461C16">
        <w:t>V souladu s výše uvedenými podklady jsou v ÚP:</w:t>
      </w:r>
    </w:p>
    <w:p w14:paraId="010CFAD9" w14:textId="77777777" w:rsidR="00616B5A" w:rsidRPr="00461C16" w:rsidRDefault="00616B5A" w:rsidP="00A06EB9">
      <w:pPr>
        <w:pStyle w:val="2psmeno"/>
        <w:numPr>
          <w:ilvl w:val="0"/>
          <w:numId w:val="87"/>
        </w:numPr>
      </w:pPr>
      <w:r w:rsidRPr="00461C16">
        <w:t xml:space="preserve">upřesněny skladebné části ÚSES na nadregionální a regionální úrovni vymezené v ZÚR </w:t>
      </w:r>
      <w:r w:rsidR="00AA6A5A" w:rsidRPr="00461C16">
        <w:t xml:space="preserve">Libereckého </w:t>
      </w:r>
      <w:r w:rsidRPr="00461C16">
        <w:t>kraje</w:t>
      </w:r>
      <w:r w:rsidR="006B6ACC" w:rsidRPr="00461C16">
        <w:t>,</w:t>
      </w:r>
    </w:p>
    <w:p w14:paraId="69FFFF24" w14:textId="77777777" w:rsidR="00616B5A" w:rsidRPr="00461C16" w:rsidRDefault="00616B5A" w:rsidP="00A06EB9">
      <w:pPr>
        <w:pStyle w:val="2psmeno"/>
        <w:numPr>
          <w:ilvl w:val="0"/>
          <w:numId w:val="87"/>
        </w:numPr>
      </w:pPr>
      <w:r w:rsidRPr="00461C16">
        <w:t>vymezeny skladebné části ÚSES na lokální úrovni.</w:t>
      </w:r>
    </w:p>
    <w:p w14:paraId="1CEBFDA5" w14:textId="77777777" w:rsidR="00AA6A5A" w:rsidRPr="00461C16" w:rsidRDefault="00616B5A" w:rsidP="00616B5A">
      <w:pPr>
        <w:pStyle w:val="1odstavec"/>
      </w:pPr>
      <w:r w:rsidRPr="00461C16">
        <w:rPr>
          <w:b/>
        </w:rPr>
        <w:t>Nadregionální úroveň</w:t>
      </w:r>
      <w:r w:rsidRPr="00461C16">
        <w:t xml:space="preserve"> tvoří </w:t>
      </w:r>
    </w:p>
    <w:p w14:paraId="246E61A9" w14:textId="77777777" w:rsidR="00AA6A5A" w:rsidRPr="00461C16" w:rsidRDefault="006B6ACC" w:rsidP="00A06EB9">
      <w:pPr>
        <w:pStyle w:val="2psmeno"/>
        <w:numPr>
          <w:ilvl w:val="0"/>
          <w:numId w:val="86"/>
        </w:numPr>
      </w:pPr>
      <w:r w:rsidRPr="00461C16">
        <w:t xml:space="preserve">mezofilní bučinná osa </w:t>
      </w:r>
      <w:r w:rsidR="00616B5A" w:rsidRPr="00461C16">
        <w:t>nadregionální</w:t>
      </w:r>
      <w:r w:rsidRPr="00461C16">
        <w:t>ho</w:t>
      </w:r>
      <w:r w:rsidR="00616B5A" w:rsidRPr="00461C16">
        <w:t xml:space="preserve"> bio</w:t>
      </w:r>
      <w:r w:rsidRPr="00461C16">
        <w:t xml:space="preserve">koridoru </w:t>
      </w:r>
      <w:r w:rsidR="00AA6A5A" w:rsidRPr="00461C16">
        <w:t xml:space="preserve">(NRBK) </w:t>
      </w:r>
      <w:r w:rsidRPr="00461C16">
        <w:rPr>
          <w:b/>
        </w:rPr>
        <w:t>K</w:t>
      </w:r>
      <w:r w:rsidR="00AA6A5A" w:rsidRPr="00461C16">
        <w:rPr>
          <w:b/>
        </w:rPr>
        <w:t>19</w:t>
      </w:r>
      <w:r w:rsidRPr="00461C16">
        <w:rPr>
          <w:b/>
        </w:rPr>
        <w:t>MB</w:t>
      </w:r>
      <w:r w:rsidR="00AA6A5A" w:rsidRPr="00461C16">
        <w:t xml:space="preserve"> -</w:t>
      </w:r>
      <w:r w:rsidRPr="00461C16">
        <w:t xml:space="preserve"> </w:t>
      </w:r>
      <w:r w:rsidR="00AA6A5A" w:rsidRPr="00461C16">
        <w:t>v</w:t>
      </w:r>
      <w:r w:rsidR="00616B5A" w:rsidRPr="00461C16">
        <w:t xml:space="preserve"> územním plánu </w:t>
      </w:r>
      <w:r w:rsidR="00AA6A5A" w:rsidRPr="00461C16">
        <w:t xml:space="preserve">je </w:t>
      </w:r>
      <w:r w:rsidR="00616B5A" w:rsidRPr="00461C16">
        <w:t>vymezení NRB</w:t>
      </w:r>
      <w:r w:rsidR="00C27E65" w:rsidRPr="00461C16">
        <w:t>K</w:t>
      </w:r>
      <w:r w:rsidR="00616B5A" w:rsidRPr="00461C16">
        <w:t xml:space="preserve"> upřesněno </w:t>
      </w:r>
      <w:r w:rsidR="00AA6A5A" w:rsidRPr="00461C16">
        <w:t>v souladu s požadavky ZÚR</w:t>
      </w:r>
      <w:r w:rsidR="003B07D8">
        <w:t xml:space="preserve"> LK</w:t>
      </w:r>
      <w:r w:rsidR="00AA6A5A" w:rsidRPr="00461C16">
        <w:t xml:space="preserve"> a NRBK je rozdělen na </w:t>
      </w:r>
      <w:r w:rsidR="009B4D71" w:rsidRPr="00461C16">
        <w:t xml:space="preserve">dílčí </w:t>
      </w:r>
      <w:r w:rsidR="00AA6A5A" w:rsidRPr="00461C16">
        <w:t>úsek</w:t>
      </w:r>
      <w:r w:rsidR="009B4D71" w:rsidRPr="00461C16">
        <w:t>y</w:t>
      </w:r>
      <w:r w:rsidR="00AA6A5A" w:rsidRPr="00461C16">
        <w:t xml:space="preserve"> vloženými lokálními biocentry LCK19_V1 – </w:t>
      </w:r>
      <w:r w:rsidR="000442D0" w:rsidRPr="00461C16">
        <w:t>LCK19_</w:t>
      </w:r>
      <w:r w:rsidR="00AA6A5A" w:rsidRPr="00461C16">
        <w:t>V4</w:t>
      </w:r>
      <w:r w:rsidR="009B4D71" w:rsidRPr="00461C16">
        <w:t>,</w:t>
      </w:r>
    </w:p>
    <w:p w14:paraId="39A54525" w14:textId="77777777" w:rsidR="00AA6A5A" w:rsidRPr="00461C16" w:rsidRDefault="00AA6A5A" w:rsidP="00A06EB9">
      <w:pPr>
        <w:pStyle w:val="2psmeno"/>
        <w:numPr>
          <w:ilvl w:val="0"/>
          <w:numId w:val="86"/>
        </w:numPr>
      </w:pPr>
      <w:r w:rsidRPr="00461C16">
        <w:t xml:space="preserve">borová osa NRBK </w:t>
      </w:r>
      <w:r w:rsidRPr="00461C16">
        <w:rPr>
          <w:b/>
        </w:rPr>
        <w:t>K34B</w:t>
      </w:r>
      <w:r w:rsidRPr="00461C16">
        <w:t xml:space="preserve"> - v územním plánu je vymezení NRBK upřesněno v souladu s požadavky ZÚR</w:t>
      </w:r>
      <w:r w:rsidR="003B07D8">
        <w:t xml:space="preserve"> LK</w:t>
      </w:r>
      <w:r w:rsidRPr="00461C16">
        <w:t xml:space="preserve"> a NRBK je rozdělen na </w:t>
      </w:r>
      <w:r w:rsidR="009B4D71" w:rsidRPr="00461C16">
        <w:t xml:space="preserve">dílčí </w:t>
      </w:r>
      <w:r w:rsidRPr="00461C16">
        <w:t>úsek</w:t>
      </w:r>
      <w:r w:rsidR="009B4D71" w:rsidRPr="00461C16">
        <w:t>y</w:t>
      </w:r>
      <w:r w:rsidRPr="00461C16">
        <w:t xml:space="preserve"> vloženými lokálními biocentry LCK34_V1 –</w:t>
      </w:r>
      <w:r w:rsidR="000442D0" w:rsidRPr="00461C16">
        <w:t xml:space="preserve"> LCK34_V</w:t>
      </w:r>
      <w:r w:rsidRPr="00461C16">
        <w:t>4.</w:t>
      </w:r>
    </w:p>
    <w:p w14:paraId="145A717D" w14:textId="77777777" w:rsidR="009B4D71" w:rsidRPr="00461C16" w:rsidRDefault="009B4D71" w:rsidP="009B4D71">
      <w:pPr>
        <w:pStyle w:val="2psmeno"/>
        <w:numPr>
          <w:ilvl w:val="0"/>
          <w:numId w:val="0"/>
        </w:numPr>
        <w:ind w:left="1069" w:hanging="360"/>
      </w:pPr>
      <w:r w:rsidRPr="00461C16">
        <w:t xml:space="preserve">Oba NRBK zasahují na území města v jihozápadní části v CHKO Lužické hory </w:t>
      </w:r>
    </w:p>
    <w:p w14:paraId="6CC0821A" w14:textId="77777777" w:rsidR="009B4D71" w:rsidRPr="00461C16" w:rsidRDefault="00C27E65" w:rsidP="00616B5A">
      <w:pPr>
        <w:pStyle w:val="1odstavec"/>
      </w:pPr>
      <w:r w:rsidRPr="00461C16">
        <w:rPr>
          <w:b/>
        </w:rPr>
        <w:t>R</w:t>
      </w:r>
      <w:r w:rsidR="00616B5A" w:rsidRPr="00461C16">
        <w:rPr>
          <w:b/>
        </w:rPr>
        <w:t>egionální úrov</w:t>
      </w:r>
      <w:r w:rsidRPr="00461C16">
        <w:rPr>
          <w:b/>
        </w:rPr>
        <w:t xml:space="preserve">eň </w:t>
      </w:r>
      <w:r w:rsidRPr="00461C16">
        <w:t xml:space="preserve">tvoří </w:t>
      </w:r>
    </w:p>
    <w:p w14:paraId="304C1A67" w14:textId="77777777" w:rsidR="009B4D71" w:rsidRPr="00461C16" w:rsidRDefault="00C27E65" w:rsidP="00A06EB9">
      <w:pPr>
        <w:pStyle w:val="2psmeno"/>
        <w:numPr>
          <w:ilvl w:val="0"/>
          <w:numId w:val="88"/>
        </w:numPr>
      </w:pPr>
      <w:r w:rsidRPr="00461C16">
        <w:t xml:space="preserve">regionální biocentrum </w:t>
      </w:r>
      <w:r w:rsidRPr="00461C16">
        <w:rPr>
          <w:b/>
        </w:rPr>
        <w:t>RC12</w:t>
      </w:r>
      <w:r w:rsidR="009B4D71" w:rsidRPr="00461C16">
        <w:rPr>
          <w:b/>
        </w:rPr>
        <w:t>73</w:t>
      </w:r>
      <w:r w:rsidRPr="00461C16">
        <w:t xml:space="preserve"> vložené do NRBK</w:t>
      </w:r>
      <w:r w:rsidRPr="00461C16">
        <w:rPr>
          <w:b/>
        </w:rPr>
        <w:t xml:space="preserve"> </w:t>
      </w:r>
      <w:r w:rsidR="006B3A6E" w:rsidRPr="00461C16">
        <w:t>K</w:t>
      </w:r>
      <w:r w:rsidR="009B4D71" w:rsidRPr="00461C16">
        <w:t>19</w:t>
      </w:r>
      <w:r w:rsidR="006B3A6E" w:rsidRPr="00461C16">
        <w:t>MB</w:t>
      </w:r>
      <w:r w:rsidR="009B4D71" w:rsidRPr="00461C16">
        <w:t xml:space="preserve"> i K34B je lokalizováno v prostoru CHKO Lužické hory, </w:t>
      </w:r>
    </w:p>
    <w:p w14:paraId="729DBE1A" w14:textId="77777777" w:rsidR="009B4D71" w:rsidRPr="00461C16" w:rsidRDefault="009B4D71" w:rsidP="00A06EB9">
      <w:pPr>
        <w:pStyle w:val="2psmeno"/>
        <w:numPr>
          <w:ilvl w:val="0"/>
          <w:numId w:val="88"/>
        </w:numPr>
      </w:pPr>
      <w:r w:rsidRPr="00461C16">
        <w:t xml:space="preserve">regionální biocentrum </w:t>
      </w:r>
      <w:r w:rsidRPr="00461C16">
        <w:rPr>
          <w:b/>
        </w:rPr>
        <w:t>RC1433</w:t>
      </w:r>
      <w:r w:rsidRPr="00461C16">
        <w:t xml:space="preserve"> vložené do NRBK</w:t>
      </w:r>
      <w:r w:rsidRPr="00461C16">
        <w:rPr>
          <w:b/>
        </w:rPr>
        <w:t xml:space="preserve"> </w:t>
      </w:r>
      <w:r w:rsidRPr="00461C16">
        <w:t xml:space="preserve">K19MB je lokalizováno v prostoru CHKO Lužické hory, </w:t>
      </w:r>
    </w:p>
    <w:p w14:paraId="2892DFBC" w14:textId="77777777" w:rsidR="000442D0" w:rsidRPr="00461C16" w:rsidRDefault="009B4D71" w:rsidP="00A06EB9">
      <w:pPr>
        <w:pStyle w:val="2psmeno"/>
        <w:numPr>
          <w:ilvl w:val="0"/>
          <w:numId w:val="88"/>
        </w:numPr>
      </w:pPr>
      <w:r w:rsidRPr="00461C16">
        <w:t xml:space="preserve">regionální biokoridor </w:t>
      </w:r>
      <w:r w:rsidR="000442D0" w:rsidRPr="00461C16">
        <w:rPr>
          <w:b/>
        </w:rPr>
        <w:t>RK638</w:t>
      </w:r>
      <w:r w:rsidR="000442D0" w:rsidRPr="00461C16">
        <w:t xml:space="preserve"> </w:t>
      </w:r>
      <w:r w:rsidRPr="00461C16">
        <w:t>vymezený jako spojnice údolí Oldřichovského a Václavického potoka j</w:t>
      </w:r>
      <w:r w:rsidR="006B3A6E" w:rsidRPr="00461C16">
        <w:t xml:space="preserve">e </w:t>
      </w:r>
      <w:r w:rsidRPr="00461C16">
        <w:t>upřesněn v souladu se ZÚR</w:t>
      </w:r>
      <w:r w:rsidR="003B07D8">
        <w:t xml:space="preserve"> LK</w:t>
      </w:r>
      <w:r w:rsidRPr="00461C16">
        <w:t xml:space="preserve"> a rozdělen na dílčí úseky šesti vloženými lokálními biocentry</w:t>
      </w:r>
      <w:r w:rsidR="000442D0" w:rsidRPr="00461C16">
        <w:t xml:space="preserve"> LC494a, LC494b, LC495a, LC495b, LC497 a LC498.</w:t>
      </w:r>
    </w:p>
    <w:p w14:paraId="259E058B" w14:textId="77777777" w:rsidR="00616B5A" w:rsidRPr="00461C16" w:rsidRDefault="000442D0" w:rsidP="00A06EB9">
      <w:pPr>
        <w:pStyle w:val="2psmeno"/>
        <w:numPr>
          <w:ilvl w:val="0"/>
          <w:numId w:val="88"/>
        </w:numPr>
      </w:pPr>
      <w:r w:rsidRPr="00461C16">
        <w:t>regionální biocentrum RC1790 zasahující na území města jen velmi malou částí v návaznosti na jižní okraj RK 638.</w:t>
      </w:r>
    </w:p>
    <w:p w14:paraId="3A475B98" w14:textId="77777777" w:rsidR="000442D0" w:rsidRPr="00461C16" w:rsidRDefault="00616B5A" w:rsidP="00616B5A">
      <w:pPr>
        <w:pStyle w:val="1odstavec"/>
      </w:pPr>
      <w:r w:rsidRPr="00461C16">
        <w:rPr>
          <w:b/>
        </w:rPr>
        <w:t>Lokální úroveň</w:t>
      </w:r>
      <w:r w:rsidRPr="00461C16">
        <w:t xml:space="preserve"> je tvořena </w:t>
      </w:r>
      <w:r w:rsidR="000442D0" w:rsidRPr="00461C16">
        <w:t xml:space="preserve">několika </w:t>
      </w:r>
      <w:r w:rsidR="006B3A6E" w:rsidRPr="00461C16">
        <w:t>větvemi</w:t>
      </w:r>
      <w:r w:rsidR="000442D0" w:rsidRPr="00461C16">
        <w:t>:</w:t>
      </w:r>
    </w:p>
    <w:p w14:paraId="5E91B59A" w14:textId="77777777" w:rsidR="006B3A6E" w:rsidRPr="00461C16" w:rsidRDefault="000442D0" w:rsidP="000442D0">
      <w:pPr>
        <w:pStyle w:val="5odrazka"/>
      </w:pPr>
      <w:r w:rsidRPr="00461C16">
        <w:t>větev</w:t>
      </w:r>
      <w:r w:rsidR="006B3A6E" w:rsidRPr="00461C16">
        <w:t xml:space="preserve"> vázan</w:t>
      </w:r>
      <w:r w:rsidRPr="00461C16">
        <w:t xml:space="preserve">á </w:t>
      </w:r>
      <w:r w:rsidR="006B3A6E" w:rsidRPr="00461C16">
        <w:t xml:space="preserve">na </w:t>
      </w:r>
      <w:r w:rsidRPr="00461C16">
        <w:t>Lužickou Nisu a Oldřichovský potok tvořená LC1214c, LK1214b-1214c, LC1214b, LK1214b-1215, LC1215, LC1215-1216 a LC494a,</w:t>
      </w:r>
    </w:p>
    <w:p w14:paraId="16F0B78E" w14:textId="77777777" w:rsidR="000442D0" w:rsidRPr="00461C16" w:rsidRDefault="000442D0" w:rsidP="000442D0">
      <w:pPr>
        <w:pStyle w:val="5odrazka"/>
      </w:pPr>
      <w:r w:rsidRPr="00461C16">
        <w:t>větev vedená Uheln</w:t>
      </w:r>
      <w:r w:rsidR="00251495" w:rsidRPr="00461C16">
        <w:t>á</w:t>
      </w:r>
      <w:r w:rsidRPr="00461C16">
        <w:t xml:space="preserve"> tvořená LC495b, LK495b-1243a, LC1243a, LK1243a-1243b, LC1243 b</w:t>
      </w:r>
      <w:r w:rsidR="00454883" w:rsidRPr="00461C16">
        <w:t xml:space="preserve"> a </w:t>
      </w:r>
      <w:r w:rsidRPr="00461C16">
        <w:t>LK1243b-1244</w:t>
      </w:r>
      <w:r w:rsidR="00454883" w:rsidRPr="00461C16">
        <w:t>,</w:t>
      </w:r>
      <w:r w:rsidRPr="00461C16">
        <w:t xml:space="preserve"> </w:t>
      </w:r>
    </w:p>
    <w:p w14:paraId="2BBE7790" w14:textId="77777777" w:rsidR="000442D0" w:rsidRPr="00461C16" w:rsidRDefault="000442D0" w:rsidP="000442D0">
      <w:pPr>
        <w:pStyle w:val="5odrazka"/>
      </w:pPr>
      <w:r w:rsidRPr="00461C16">
        <w:lastRenderedPageBreak/>
        <w:t xml:space="preserve">větev vedená po horizontu hraničních lesů </w:t>
      </w:r>
      <w:r w:rsidR="00454883" w:rsidRPr="00461C16">
        <w:t>tvořená LC1244, LK1244-1245, LC 1245 s propojkami na větev nad Pekařkou tvořenými LK1244-1246a, LK 1245-1246, LK1245-1247, LC1246a, LC1247, LK1246a-1246b, LK1247-1250,</w:t>
      </w:r>
    </w:p>
    <w:p w14:paraId="44FD92E6" w14:textId="77777777" w:rsidR="00454883" w:rsidRPr="00461C16" w:rsidRDefault="00454883" w:rsidP="000442D0">
      <w:pPr>
        <w:pStyle w:val="5odrazka"/>
      </w:pPr>
      <w:r w:rsidRPr="00461C16">
        <w:t>větev nad Pekařkou tvořená LC498, LK498-1246b, LC1246b, LK1246b-1250, LC1250, LK1250-1252 a LC1252,</w:t>
      </w:r>
    </w:p>
    <w:p w14:paraId="4EF95540" w14:textId="77777777" w:rsidR="00454883" w:rsidRPr="00461C16" w:rsidRDefault="00454883" w:rsidP="000442D0">
      <w:pPr>
        <w:pStyle w:val="5odrazka"/>
      </w:pPr>
      <w:r w:rsidRPr="00461C16">
        <w:t>větev vedena hraniční částí Lužických hor tvořená LKK34_V1-1241a, LC1214a</w:t>
      </w:r>
      <w:r w:rsidR="00251495" w:rsidRPr="00461C16">
        <w:t xml:space="preserve"> a </w:t>
      </w:r>
      <w:r w:rsidRPr="00461C16">
        <w:t>LK1214a-1214b,</w:t>
      </w:r>
    </w:p>
    <w:p w14:paraId="4E484DF8" w14:textId="77777777" w:rsidR="00454883" w:rsidRPr="00461C16" w:rsidRDefault="00454883" w:rsidP="000442D0">
      <w:pPr>
        <w:pStyle w:val="5odrazka"/>
      </w:pPr>
      <w:r w:rsidRPr="00461C16">
        <w:t xml:space="preserve">větev Loučná tvořená </w:t>
      </w:r>
      <w:r w:rsidR="00251495" w:rsidRPr="00461C16">
        <w:t>LCK34_V2, LKK34_V2 a LC1213</w:t>
      </w:r>
    </w:p>
    <w:p w14:paraId="46E3F524" w14:textId="77777777" w:rsidR="00251495" w:rsidRPr="00461C16" w:rsidRDefault="00251495" w:rsidP="000442D0">
      <w:pPr>
        <w:pStyle w:val="5odrazka"/>
      </w:pPr>
      <w:r w:rsidRPr="00461C16">
        <w:t xml:space="preserve">větev Dolní Sedlo tvořená LVK19_V2, LKK19_V2-1212a, LC121a, LK1212a-1212b, LC1212b, LK1211-1212b </w:t>
      </w:r>
    </w:p>
    <w:p w14:paraId="32403BF2" w14:textId="77777777" w:rsidR="00251495" w:rsidRPr="00461C16" w:rsidRDefault="00251495" w:rsidP="000442D0">
      <w:pPr>
        <w:pStyle w:val="5odrazka"/>
      </w:pPr>
      <w:r w:rsidRPr="00461C16">
        <w:t>větev Chotyně tvořená LCK19_V4, LKK19_V4-1211, LC1211 a LK1210-1211.</w:t>
      </w:r>
    </w:p>
    <w:p w14:paraId="654892E5" w14:textId="77777777" w:rsidR="00251495" w:rsidRPr="00461C16" w:rsidRDefault="00251495" w:rsidP="00251495">
      <w:pPr>
        <w:pStyle w:val="1text"/>
      </w:pPr>
      <w:r w:rsidRPr="00461C16">
        <w:t xml:space="preserve">Některé z vymezených skladebných částí ÚSES pokračují na území okolních obcí. V ÚP je zajištěna koordinace (viz kap. 4.4 Odůvodnění). </w:t>
      </w:r>
    </w:p>
    <w:p w14:paraId="2C384F2F" w14:textId="77777777" w:rsidR="00616B5A" w:rsidRPr="00461C16" w:rsidRDefault="00616B5A" w:rsidP="006B3A6E">
      <w:pPr>
        <w:pStyle w:val="1odstavec"/>
      </w:pPr>
      <w:r w:rsidRPr="00461C16">
        <w:rPr>
          <w:b/>
        </w:rPr>
        <w:t>Interakční prvky</w:t>
      </w:r>
      <w:r w:rsidRPr="00461C16">
        <w:t xml:space="preserve"> nejsou vymezeny jako závazná část ÚSES. Tento krok je proveden v souladu s výkladem Ministerstva pro místní rozvoj ČR </w:t>
      </w:r>
      <w:r w:rsidR="006B3A6E" w:rsidRPr="00461C16">
        <w:t xml:space="preserve">uvedeném </w:t>
      </w:r>
      <w:r w:rsidRPr="00461C16">
        <w:t>ve sdělení č.j. 3044/2013 / 2013-81 ze dne 28.1.2013</w:t>
      </w:r>
      <w:r w:rsidR="006B3A6E" w:rsidRPr="00461C16">
        <w:t xml:space="preserve">. Zde se </w:t>
      </w:r>
      <w:r w:rsidRPr="00461C16">
        <w:t>uvádí, že interakční prvky nemohou být závaznou částí ÚSES, neboť jejich závaznost nevyplývá z obecně závazného právního předpisu. Interakční prvek je jako pojem definován pouze v metodické příručce Rukověť projektanta ÚSES.</w:t>
      </w:r>
      <w:r w:rsidR="006B3A6E" w:rsidRPr="00461C16">
        <w:t xml:space="preserve"> </w:t>
      </w:r>
      <w:r w:rsidRPr="00461C16">
        <w:t xml:space="preserve">Interakční prvky jsou tedy v ÚP stabilizovány formou ploch s odlišným způsobem využití (W – vodní plcohy a toky, NL - plochy lesní a NSp – plochy smíšené nezastavěného území – přírodní). </w:t>
      </w:r>
    </w:p>
    <w:p w14:paraId="07427872" w14:textId="77777777" w:rsidR="00616B5A" w:rsidRPr="00461C16" w:rsidRDefault="00616B5A" w:rsidP="00616B5A">
      <w:pPr>
        <w:pStyle w:val="1odstavec"/>
      </w:pPr>
      <w:r w:rsidRPr="00461C16">
        <w:rPr>
          <w:b/>
        </w:rPr>
        <w:t>Vymezení skladebných částí ÚSES</w:t>
      </w:r>
      <w:r w:rsidRPr="00461C16">
        <w:t xml:space="preserve"> je v</w:t>
      </w:r>
      <w:r w:rsidR="00D550C3" w:rsidRPr="00461C16">
        <w:t xml:space="preserve"> grafické části </w:t>
      </w:r>
      <w:r w:rsidRPr="00461C16">
        <w:t xml:space="preserve">ÚP </w:t>
      </w:r>
      <w:r w:rsidR="00D550C3" w:rsidRPr="00461C16">
        <w:t>(výkres č. I.2</w:t>
      </w:r>
      <w:r w:rsidR="00E414D7">
        <w:t>a</w:t>
      </w:r>
      <w:r w:rsidR="00D550C3" w:rsidRPr="00461C16">
        <w:t xml:space="preserve">) </w:t>
      </w:r>
      <w:r w:rsidRPr="00461C16">
        <w:t>provedeno dvojí formou:</w:t>
      </w:r>
    </w:p>
    <w:p w14:paraId="1C137400" w14:textId="77777777" w:rsidR="00616B5A" w:rsidRPr="00461C16" w:rsidRDefault="00616B5A" w:rsidP="00456021">
      <w:pPr>
        <w:pStyle w:val="b-pismeno"/>
        <w:numPr>
          <w:ilvl w:val="0"/>
          <w:numId w:val="28"/>
        </w:numPr>
      </w:pPr>
      <w:r w:rsidRPr="00461C16">
        <w:t xml:space="preserve">hranice skladebné části </w:t>
      </w:r>
      <w:r w:rsidR="00D550C3" w:rsidRPr="00461C16">
        <w:t xml:space="preserve">- </w:t>
      </w:r>
      <w:r w:rsidRPr="00461C16">
        <w:t>definuje rozsah území, na něž se vztahují podmínky pro zajištění a ochranu ÚSES, význam (biocentrum nebo biokoridor) a hierarchickou úroveň (lokální, regionální, nadregionální),</w:t>
      </w:r>
    </w:p>
    <w:p w14:paraId="3155DB86" w14:textId="77777777" w:rsidR="00616B5A" w:rsidRPr="00461C16" w:rsidRDefault="00616B5A" w:rsidP="001C22D8">
      <w:pPr>
        <w:pStyle w:val="b-pismeno"/>
        <w:numPr>
          <w:ilvl w:val="0"/>
          <w:numId w:val="19"/>
        </w:numPr>
      </w:pPr>
      <w:r w:rsidRPr="00461C16">
        <w:t>ploch</w:t>
      </w:r>
      <w:r w:rsidR="00D550C3" w:rsidRPr="00461C16">
        <w:t>a</w:t>
      </w:r>
      <w:r w:rsidRPr="00461C16">
        <w:t xml:space="preserve"> s rozdílným způsobem využití </w:t>
      </w:r>
      <w:r w:rsidR="00D550C3" w:rsidRPr="00461C16">
        <w:t xml:space="preserve">- </w:t>
      </w:r>
      <w:r w:rsidRPr="00461C16">
        <w:t>definuje cílový stav a potřebu změn k zajištění funkčnosti skladebné části (stav / návrh).</w:t>
      </w:r>
    </w:p>
    <w:p w14:paraId="45D36E02" w14:textId="77777777" w:rsidR="00616B5A" w:rsidRPr="00461C16" w:rsidRDefault="00616B5A" w:rsidP="00616B5A">
      <w:pPr>
        <w:pStyle w:val="1odstavec"/>
      </w:pPr>
      <w:r w:rsidRPr="00461C16">
        <w:t xml:space="preserve">Tato forma zákresu jednoznačně informuje o rozsahu území, na něž se vztahují omezení vyplývající z ochrany a zajištění funkčnosti ÚSES a zároveň dává přehled o potřebě změn v území. </w:t>
      </w:r>
    </w:p>
    <w:p w14:paraId="5B3023C2" w14:textId="77777777" w:rsidR="00616B5A" w:rsidRPr="00461C16" w:rsidRDefault="00616B5A" w:rsidP="002E47BD">
      <w:pPr>
        <w:pStyle w:val="1odstavec"/>
        <w:spacing w:after="120"/>
      </w:pPr>
      <w:r w:rsidRPr="00461C16">
        <w:rPr>
          <w:b/>
        </w:rPr>
        <w:t>Cílový stav skladebných částí</w:t>
      </w:r>
      <w:r w:rsidRPr="00461C16">
        <w:t xml:space="preserve"> je definován v ÚP v kap. E.</w:t>
      </w:r>
      <w:r w:rsidR="00D550C3" w:rsidRPr="00461C16">
        <w:t xml:space="preserve">4 </w:t>
      </w:r>
      <w:r w:rsidRPr="00461C16">
        <w:t>(</w:t>
      </w:r>
      <w:r w:rsidR="00D550C3" w:rsidRPr="00461C16">
        <w:t xml:space="preserve">bod </w:t>
      </w:r>
      <w:r w:rsidRPr="00461C16">
        <w:t>E</w:t>
      </w:r>
      <w:r w:rsidR="00251495" w:rsidRPr="00461C16">
        <w:t>08</w:t>
      </w:r>
      <w:r w:rsidRPr="00461C16">
        <w:t>). V grafické části jsou uvnitř hranic vymezeny plochy s rozdílným způsobem využití. Vzájemný vztah cílového stavu a využití ploch je následující:</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1"/>
        <w:gridCol w:w="2782"/>
        <w:gridCol w:w="4354"/>
      </w:tblGrid>
      <w:tr w:rsidR="00616B5A" w:rsidRPr="00461C16" w14:paraId="5D0ABB80" w14:textId="77777777" w:rsidTr="00C27E65">
        <w:trPr>
          <w:cantSplit/>
          <w:tblHeader/>
          <w:jc w:val="center"/>
        </w:trPr>
        <w:tc>
          <w:tcPr>
            <w:tcW w:w="1137" w:type="pct"/>
            <w:shd w:val="clear" w:color="auto" w:fill="F2F2F2" w:themeFill="background1" w:themeFillShade="F2"/>
          </w:tcPr>
          <w:p w14:paraId="60D8ABEE" w14:textId="77777777" w:rsidR="00616B5A" w:rsidRPr="00461C16" w:rsidRDefault="00616B5A" w:rsidP="00C27E65">
            <w:pPr>
              <w:pStyle w:val="7tabulka"/>
              <w:rPr>
                <w:rStyle w:val="NvrhP-text"/>
                <w:rFonts w:cs="Arial"/>
                <w:b/>
                <w:szCs w:val="20"/>
                <w:lang w:eastAsia="en-US"/>
              </w:rPr>
            </w:pPr>
            <w:r w:rsidRPr="00461C16">
              <w:rPr>
                <w:rStyle w:val="NvrhP-text"/>
                <w:rFonts w:cs="Arial"/>
                <w:b/>
                <w:szCs w:val="20"/>
                <w:lang w:eastAsia="en-US"/>
              </w:rPr>
              <w:t xml:space="preserve">Využití </w:t>
            </w:r>
          </w:p>
        </w:tc>
        <w:tc>
          <w:tcPr>
            <w:tcW w:w="1506" w:type="pct"/>
            <w:shd w:val="clear" w:color="auto" w:fill="F2F2F2" w:themeFill="background1" w:themeFillShade="F2"/>
          </w:tcPr>
          <w:p w14:paraId="7348BD39" w14:textId="77777777" w:rsidR="00616B5A" w:rsidRPr="00461C16" w:rsidRDefault="00616B5A" w:rsidP="00C27E65">
            <w:pPr>
              <w:pStyle w:val="7tabulka"/>
              <w:rPr>
                <w:rStyle w:val="NvrhP-text"/>
                <w:rFonts w:cs="Arial"/>
                <w:b/>
                <w:szCs w:val="20"/>
                <w:lang w:eastAsia="en-US"/>
              </w:rPr>
            </w:pPr>
            <w:r w:rsidRPr="00461C16">
              <w:rPr>
                <w:rStyle w:val="NvrhP-text"/>
                <w:rFonts w:cs="Arial"/>
                <w:b/>
                <w:szCs w:val="20"/>
                <w:lang w:eastAsia="en-US"/>
              </w:rPr>
              <w:t xml:space="preserve">Cílový stav </w:t>
            </w:r>
          </w:p>
        </w:tc>
        <w:tc>
          <w:tcPr>
            <w:tcW w:w="2357" w:type="pct"/>
            <w:shd w:val="clear" w:color="auto" w:fill="F2F2F2" w:themeFill="background1" w:themeFillShade="F2"/>
            <w:tcMar>
              <w:top w:w="57" w:type="dxa"/>
              <w:left w:w="57" w:type="dxa"/>
              <w:bottom w:w="57" w:type="dxa"/>
              <w:right w:w="57" w:type="dxa"/>
            </w:tcMar>
          </w:tcPr>
          <w:p w14:paraId="489025E6" w14:textId="77777777" w:rsidR="00616B5A" w:rsidRPr="00461C16" w:rsidRDefault="00616B5A" w:rsidP="00C27E65">
            <w:pPr>
              <w:pStyle w:val="7tabulka"/>
              <w:rPr>
                <w:rStyle w:val="NvrhP-text"/>
                <w:rFonts w:cs="Arial"/>
                <w:b/>
                <w:szCs w:val="20"/>
                <w:lang w:eastAsia="en-US"/>
              </w:rPr>
            </w:pPr>
            <w:r w:rsidRPr="00461C16">
              <w:rPr>
                <w:rStyle w:val="NvrhP-text"/>
                <w:rFonts w:cs="Arial"/>
                <w:b/>
                <w:szCs w:val="20"/>
                <w:lang w:eastAsia="en-US"/>
              </w:rPr>
              <w:t xml:space="preserve">Poznámka </w:t>
            </w:r>
          </w:p>
        </w:tc>
      </w:tr>
      <w:tr w:rsidR="00616B5A" w:rsidRPr="00461C16" w14:paraId="7FA92013" w14:textId="77777777" w:rsidTr="00C27E65">
        <w:trPr>
          <w:cantSplit/>
          <w:jc w:val="center"/>
        </w:trPr>
        <w:tc>
          <w:tcPr>
            <w:tcW w:w="1137" w:type="pct"/>
            <w:tcBorders>
              <w:top w:val="single" w:sz="4" w:space="0" w:color="auto"/>
              <w:left w:val="single" w:sz="4" w:space="0" w:color="auto"/>
              <w:bottom w:val="single" w:sz="4" w:space="0" w:color="auto"/>
              <w:right w:val="single" w:sz="4" w:space="0" w:color="auto"/>
            </w:tcBorders>
          </w:tcPr>
          <w:p w14:paraId="7FC7FA42" w14:textId="77777777" w:rsidR="00616B5A" w:rsidRPr="00461C16" w:rsidRDefault="00616B5A" w:rsidP="00C27E65">
            <w:pPr>
              <w:pStyle w:val="7tabulka"/>
              <w:rPr>
                <w:rStyle w:val="NvrhP-text"/>
                <w:rFonts w:cs="Arial"/>
                <w:szCs w:val="20"/>
                <w:lang w:eastAsia="en-US"/>
              </w:rPr>
            </w:pPr>
            <w:r w:rsidRPr="00461C16">
              <w:rPr>
                <w:rStyle w:val="NvrhP-text"/>
                <w:rFonts w:cs="Arial"/>
                <w:szCs w:val="20"/>
                <w:lang w:eastAsia="en-US"/>
              </w:rPr>
              <w:t>NL</w:t>
            </w:r>
          </w:p>
        </w:tc>
        <w:tc>
          <w:tcPr>
            <w:tcW w:w="1506" w:type="pct"/>
            <w:tcBorders>
              <w:top w:val="single" w:sz="4" w:space="0" w:color="auto"/>
              <w:left w:val="single" w:sz="4" w:space="0" w:color="auto"/>
              <w:bottom w:val="single" w:sz="4" w:space="0" w:color="auto"/>
              <w:right w:val="single" w:sz="4" w:space="0" w:color="auto"/>
            </w:tcBorders>
          </w:tcPr>
          <w:p w14:paraId="35D8B13C" w14:textId="77777777" w:rsidR="00616B5A" w:rsidRPr="00461C16" w:rsidRDefault="00616B5A" w:rsidP="00251495">
            <w:pPr>
              <w:pStyle w:val="7tabulka"/>
              <w:rPr>
                <w:lang w:eastAsia="en-US"/>
              </w:rPr>
            </w:pPr>
            <w:r w:rsidRPr="00461C16">
              <w:rPr>
                <w:rStyle w:val="NvrhP-text"/>
                <w:rFonts w:cs="Arial"/>
                <w:szCs w:val="20"/>
                <w:lang w:eastAsia="en-US"/>
              </w:rPr>
              <w:t>Extenzivně využívan</w:t>
            </w:r>
            <w:r w:rsidR="00251495" w:rsidRPr="00461C16">
              <w:rPr>
                <w:rStyle w:val="NvrhP-text"/>
                <w:rFonts w:cs="Arial"/>
                <w:szCs w:val="20"/>
                <w:lang w:eastAsia="en-US"/>
              </w:rPr>
              <w:t xml:space="preserve">é lesní prosty </w:t>
            </w:r>
          </w:p>
        </w:tc>
        <w:tc>
          <w:tcPr>
            <w:tcW w:w="2357" w:type="pct"/>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14:paraId="55141CFE" w14:textId="77777777" w:rsidR="00616B5A" w:rsidRPr="00461C16" w:rsidRDefault="00616B5A" w:rsidP="00456021">
            <w:pPr>
              <w:pStyle w:val="7tabulka"/>
              <w:jc w:val="left"/>
              <w:rPr>
                <w:rStyle w:val="NvrhP-text"/>
                <w:rFonts w:cs="Arial"/>
                <w:szCs w:val="20"/>
                <w:lang w:eastAsia="en-US"/>
              </w:rPr>
            </w:pPr>
            <w:r w:rsidRPr="00461C16">
              <w:rPr>
                <w:rStyle w:val="NvrhP-text"/>
                <w:rFonts w:cs="Arial"/>
                <w:szCs w:val="20"/>
                <w:lang w:eastAsia="en-US"/>
              </w:rPr>
              <w:t>Vymezení ÚSES nevylučuje hospodaření. Obnova porostů musí směřovat k přirozenému složení odpovídající stanovišti. Těžba především výběrným či podrostním způsobem s využitím přirozené obnovy. Obnova většinou průběžná, nepřetržitá.</w:t>
            </w:r>
          </w:p>
        </w:tc>
      </w:tr>
      <w:tr w:rsidR="00616B5A" w:rsidRPr="00461C16" w14:paraId="4B3B5557" w14:textId="77777777" w:rsidTr="00C27E65">
        <w:trPr>
          <w:cantSplit/>
          <w:jc w:val="center"/>
        </w:trPr>
        <w:tc>
          <w:tcPr>
            <w:tcW w:w="1137" w:type="pct"/>
            <w:tcBorders>
              <w:top w:val="single" w:sz="4" w:space="0" w:color="auto"/>
              <w:left w:val="single" w:sz="4" w:space="0" w:color="auto"/>
              <w:bottom w:val="single" w:sz="4" w:space="0" w:color="auto"/>
              <w:right w:val="single" w:sz="4" w:space="0" w:color="auto"/>
            </w:tcBorders>
          </w:tcPr>
          <w:p w14:paraId="16407702" w14:textId="77777777" w:rsidR="00616B5A" w:rsidRPr="00461C16" w:rsidRDefault="00616B5A" w:rsidP="002E47BD">
            <w:pPr>
              <w:pStyle w:val="7tabulka"/>
              <w:rPr>
                <w:rStyle w:val="NvrhP-text"/>
                <w:rFonts w:cs="Arial"/>
                <w:szCs w:val="20"/>
                <w:lang w:eastAsia="en-US"/>
              </w:rPr>
            </w:pPr>
            <w:r w:rsidRPr="00461C16">
              <w:rPr>
                <w:rStyle w:val="NvrhP-text"/>
                <w:rFonts w:cs="Arial"/>
                <w:szCs w:val="20"/>
                <w:lang w:eastAsia="en-US"/>
              </w:rPr>
              <w:t>N</w:t>
            </w:r>
            <w:r w:rsidR="00251495" w:rsidRPr="00461C16">
              <w:rPr>
                <w:rStyle w:val="NvrhP-text"/>
                <w:rFonts w:cs="Arial"/>
                <w:szCs w:val="20"/>
                <w:lang w:eastAsia="en-US"/>
              </w:rPr>
              <w:t>K</w:t>
            </w:r>
            <w:r w:rsidR="002E47BD" w:rsidRPr="00461C16">
              <w:rPr>
                <w:rStyle w:val="NvrhP-text"/>
                <w:rFonts w:cs="Arial"/>
                <w:szCs w:val="20"/>
                <w:lang w:eastAsia="en-US"/>
              </w:rPr>
              <w:t>, ZV</w:t>
            </w:r>
          </w:p>
        </w:tc>
        <w:tc>
          <w:tcPr>
            <w:tcW w:w="1506" w:type="pct"/>
            <w:tcBorders>
              <w:top w:val="single" w:sz="4" w:space="0" w:color="auto"/>
              <w:left w:val="single" w:sz="4" w:space="0" w:color="auto"/>
              <w:bottom w:val="single" w:sz="4" w:space="0" w:color="auto"/>
              <w:right w:val="single" w:sz="4" w:space="0" w:color="auto"/>
            </w:tcBorders>
          </w:tcPr>
          <w:p w14:paraId="4222562D" w14:textId="77777777" w:rsidR="00616B5A" w:rsidRPr="00461C16" w:rsidRDefault="00251495" w:rsidP="00251495">
            <w:pPr>
              <w:pStyle w:val="7tabulka"/>
              <w:rPr>
                <w:lang w:eastAsia="en-US"/>
              </w:rPr>
            </w:pPr>
            <w:r w:rsidRPr="00461C16">
              <w:rPr>
                <w:rStyle w:val="NvrhP-text"/>
                <w:rFonts w:cs="Arial"/>
                <w:szCs w:val="20"/>
                <w:lang w:eastAsia="en-US"/>
              </w:rPr>
              <w:t xml:space="preserve">Dřevinné porosty s přirozeným složením </w:t>
            </w:r>
          </w:p>
        </w:tc>
        <w:tc>
          <w:tcPr>
            <w:tcW w:w="2357" w:type="pct"/>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14:paraId="3A50DD01" w14:textId="77777777" w:rsidR="00616B5A" w:rsidRPr="00461C16" w:rsidRDefault="00616B5A" w:rsidP="00456021">
            <w:pPr>
              <w:pStyle w:val="7tabulka"/>
              <w:jc w:val="left"/>
              <w:rPr>
                <w:rStyle w:val="NvrhP-text"/>
                <w:rFonts w:cs="Arial"/>
                <w:szCs w:val="20"/>
                <w:lang w:eastAsia="en-US"/>
              </w:rPr>
            </w:pPr>
            <w:r w:rsidRPr="00461C16">
              <w:rPr>
                <w:rStyle w:val="NvrhP-text"/>
                <w:rFonts w:cs="Arial"/>
                <w:szCs w:val="20"/>
                <w:lang w:eastAsia="en-US"/>
              </w:rPr>
              <w:t xml:space="preserve">Přirozeně se vyvíjející stromové porosty s přirozeným druhovým složením a s minimem zásahů (pouze nezbytná údržba). </w:t>
            </w:r>
          </w:p>
        </w:tc>
      </w:tr>
      <w:tr w:rsidR="00616B5A" w:rsidRPr="00461C16" w14:paraId="387747EE" w14:textId="77777777" w:rsidTr="00C27E65">
        <w:trPr>
          <w:cantSplit/>
          <w:jc w:val="center"/>
        </w:trPr>
        <w:tc>
          <w:tcPr>
            <w:tcW w:w="1137" w:type="pct"/>
            <w:tcBorders>
              <w:top w:val="single" w:sz="4" w:space="0" w:color="auto"/>
              <w:left w:val="single" w:sz="4" w:space="0" w:color="auto"/>
              <w:bottom w:val="single" w:sz="4" w:space="0" w:color="auto"/>
              <w:right w:val="single" w:sz="4" w:space="0" w:color="auto"/>
            </w:tcBorders>
          </w:tcPr>
          <w:p w14:paraId="3E45CC9D" w14:textId="77777777" w:rsidR="00616B5A" w:rsidRPr="00461C16" w:rsidRDefault="00616B5A" w:rsidP="00251495">
            <w:pPr>
              <w:pStyle w:val="7tabulka"/>
              <w:rPr>
                <w:rStyle w:val="NvrhP-text"/>
                <w:rFonts w:cs="Arial"/>
                <w:szCs w:val="20"/>
                <w:lang w:eastAsia="en-US"/>
              </w:rPr>
            </w:pPr>
            <w:r w:rsidRPr="00461C16">
              <w:rPr>
                <w:rStyle w:val="NvrhP-text"/>
                <w:rFonts w:cs="Arial"/>
                <w:szCs w:val="20"/>
                <w:lang w:eastAsia="en-US"/>
              </w:rPr>
              <w:t>N</w:t>
            </w:r>
            <w:r w:rsidR="00251495" w:rsidRPr="00461C16">
              <w:rPr>
                <w:rStyle w:val="NvrhP-text"/>
                <w:rFonts w:cs="Arial"/>
                <w:szCs w:val="20"/>
                <w:lang w:eastAsia="en-US"/>
              </w:rPr>
              <w:t>K</w:t>
            </w:r>
            <w:r w:rsidR="002E47BD" w:rsidRPr="00461C16">
              <w:rPr>
                <w:rStyle w:val="NvrhP-text"/>
                <w:rFonts w:cs="Arial"/>
                <w:szCs w:val="20"/>
                <w:lang w:eastAsia="en-US"/>
              </w:rPr>
              <w:t>, ZV</w:t>
            </w:r>
          </w:p>
        </w:tc>
        <w:tc>
          <w:tcPr>
            <w:tcW w:w="1506" w:type="pct"/>
            <w:tcBorders>
              <w:top w:val="single" w:sz="4" w:space="0" w:color="auto"/>
              <w:left w:val="single" w:sz="4" w:space="0" w:color="auto"/>
              <w:bottom w:val="single" w:sz="4" w:space="0" w:color="auto"/>
              <w:right w:val="single" w:sz="4" w:space="0" w:color="auto"/>
            </w:tcBorders>
          </w:tcPr>
          <w:p w14:paraId="16C76CFE" w14:textId="77777777" w:rsidR="00616B5A" w:rsidRPr="00461C16" w:rsidRDefault="00616B5A" w:rsidP="00251495">
            <w:pPr>
              <w:pStyle w:val="7tabulka"/>
              <w:rPr>
                <w:lang w:eastAsia="en-US"/>
              </w:rPr>
            </w:pPr>
            <w:r w:rsidRPr="00461C16">
              <w:rPr>
                <w:rStyle w:val="NvrhP-text"/>
                <w:rFonts w:cs="Arial"/>
                <w:szCs w:val="20"/>
                <w:lang w:eastAsia="en-US"/>
              </w:rPr>
              <w:t>Extenzivn</w:t>
            </w:r>
            <w:r w:rsidR="00251495" w:rsidRPr="00461C16">
              <w:rPr>
                <w:rStyle w:val="NvrhP-text"/>
                <w:rFonts w:cs="Arial"/>
                <w:szCs w:val="20"/>
                <w:lang w:eastAsia="en-US"/>
              </w:rPr>
              <w:t xml:space="preserve">í louky </w:t>
            </w:r>
          </w:p>
        </w:tc>
        <w:tc>
          <w:tcPr>
            <w:tcW w:w="2357" w:type="pct"/>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14:paraId="7BAD0A76" w14:textId="77777777" w:rsidR="00616B5A" w:rsidRPr="00461C16" w:rsidRDefault="00616B5A" w:rsidP="00456021">
            <w:pPr>
              <w:pStyle w:val="7tabulka"/>
              <w:jc w:val="left"/>
              <w:rPr>
                <w:rStyle w:val="NvrhP-text"/>
                <w:rFonts w:cs="Arial"/>
                <w:szCs w:val="20"/>
                <w:lang w:eastAsia="en-US"/>
              </w:rPr>
            </w:pPr>
            <w:r w:rsidRPr="00461C16">
              <w:rPr>
                <w:rStyle w:val="NvrhP-text"/>
                <w:rFonts w:cs="Arial"/>
                <w:szCs w:val="20"/>
                <w:lang w:eastAsia="en-US"/>
              </w:rPr>
              <w:t xml:space="preserve">Louky s 1 – 2 sečemi ročně, bez použití umělých hnojiv, při první seči ponechání nesečených plošek, při zakládání a obnově porostů využít osivo ve složení dle místních podmínek. </w:t>
            </w:r>
          </w:p>
        </w:tc>
      </w:tr>
      <w:tr w:rsidR="00616B5A" w:rsidRPr="00461C16" w14:paraId="71416993" w14:textId="77777777" w:rsidTr="00C27E65">
        <w:trPr>
          <w:cantSplit/>
          <w:jc w:val="center"/>
        </w:trPr>
        <w:tc>
          <w:tcPr>
            <w:tcW w:w="1137" w:type="pct"/>
            <w:tcBorders>
              <w:top w:val="single" w:sz="4" w:space="0" w:color="auto"/>
              <w:left w:val="single" w:sz="4" w:space="0" w:color="auto"/>
              <w:bottom w:val="single" w:sz="4" w:space="0" w:color="auto"/>
              <w:right w:val="single" w:sz="4" w:space="0" w:color="auto"/>
            </w:tcBorders>
          </w:tcPr>
          <w:p w14:paraId="530F4110" w14:textId="77777777" w:rsidR="00616B5A" w:rsidRPr="00461C16" w:rsidRDefault="00616B5A" w:rsidP="00251495">
            <w:pPr>
              <w:pStyle w:val="7tabulka"/>
              <w:rPr>
                <w:rStyle w:val="NvrhP-text"/>
                <w:rFonts w:cs="Arial"/>
                <w:szCs w:val="20"/>
                <w:lang w:eastAsia="en-US"/>
              </w:rPr>
            </w:pPr>
            <w:r w:rsidRPr="00461C16">
              <w:rPr>
                <w:rStyle w:val="NvrhP-text"/>
                <w:rFonts w:cs="Arial"/>
                <w:szCs w:val="20"/>
                <w:lang w:eastAsia="en-US"/>
              </w:rPr>
              <w:t>N</w:t>
            </w:r>
            <w:r w:rsidR="00251495" w:rsidRPr="00461C16">
              <w:rPr>
                <w:rStyle w:val="NvrhP-text"/>
                <w:rFonts w:cs="Arial"/>
                <w:szCs w:val="20"/>
                <w:lang w:eastAsia="en-US"/>
              </w:rPr>
              <w:t>K</w:t>
            </w:r>
            <w:r w:rsidR="002E47BD" w:rsidRPr="00461C16">
              <w:rPr>
                <w:rStyle w:val="NvrhP-text"/>
                <w:rFonts w:cs="Arial"/>
                <w:szCs w:val="20"/>
                <w:lang w:eastAsia="en-US"/>
              </w:rPr>
              <w:t>, ZV</w:t>
            </w:r>
          </w:p>
        </w:tc>
        <w:tc>
          <w:tcPr>
            <w:tcW w:w="1506" w:type="pct"/>
            <w:tcBorders>
              <w:top w:val="single" w:sz="4" w:space="0" w:color="auto"/>
              <w:left w:val="single" w:sz="4" w:space="0" w:color="auto"/>
              <w:bottom w:val="single" w:sz="4" w:space="0" w:color="auto"/>
              <w:right w:val="single" w:sz="4" w:space="0" w:color="auto"/>
            </w:tcBorders>
          </w:tcPr>
          <w:p w14:paraId="0B3FE738" w14:textId="77777777" w:rsidR="00616B5A" w:rsidRPr="00461C16" w:rsidRDefault="002E47BD" w:rsidP="002E47BD">
            <w:pPr>
              <w:pStyle w:val="7tabulka"/>
              <w:rPr>
                <w:lang w:eastAsia="en-US"/>
              </w:rPr>
            </w:pPr>
            <w:r w:rsidRPr="00461C16">
              <w:rPr>
                <w:rStyle w:val="NvrhP-text"/>
                <w:rFonts w:cs="Arial"/>
                <w:szCs w:val="20"/>
                <w:lang w:eastAsia="en-US"/>
              </w:rPr>
              <w:t>T</w:t>
            </w:r>
            <w:r w:rsidR="00616B5A" w:rsidRPr="00461C16">
              <w:rPr>
                <w:rStyle w:val="NvrhP-text"/>
                <w:rFonts w:cs="Arial"/>
                <w:szCs w:val="20"/>
                <w:lang w:eastAsia="en-US"/>
              </w:rPr>
              <w:t>rávobylinné porosty</w:t>
            </w:r>
          </w:p>
        </w:tc>
        <w:tc>
          <w:tcPr>
            <w:tcW w:w="2357" w:type="pct"/>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14:paraId="2D96121B" w14:textId="77777777" w:rsidR="00616B5A" w:rsidRPr="00461C16" w:rsidRDefault="00616B5A" w:rsidP="00456021">
            <w:pPr>
              <w:pStyle w:val="7tabulka"/>
              <w:jc w:val="left"/>
              <w:rPr>
                <w:rStyle w:val="NvrhP-text"/>
                <w:rFonts w:cs="Arial"/>
                <w:szCs w:val="20"/>
                <w:lang w:eastAsia="en-US"/>
              </w:rPr>
            </w:pPr>
            <w:r w:rsidRPr="00461C16">
              <w:rPr>
                <w:rStyle w:val="NvrhP-text"/>
                <w:rFonts w:cs="Arial"/>
                <w:szCs w:val="20"/>
                <w:lang w:eastAsia="en-US"/>
              </w:rPr>
              <w:t>Přirozeně se vyvíjející společenstva trav a bylin bez použití hnojiv. Pouze nezbytná údržba pro zachování charakteru (řez náletových dřevin)</w:t>
            </w:r>
          </w:p>
        </w:tc>
      </w:tr>
      <w:tr w:rsidR="00616B5A" w:rsidRPr="00461C16" w14:paraId="17D16419" w14:textId="77777777" w:rsidTr="00C27E65">
        <w:trPr>
          <w:cantSplit/>
          <w:jc w:val="center"/>
        </w:trPr>
        <w:tc>
          <w:tcPr>
            <w:tcW w:w="1137" w:type="pct"/>
            <w:tcBorders>
              <w:top w:val="single" w:sz="4" w:space="0" w:color="auto"/>
              <w:left w:val="single" w:sz="4" w:space="0" w:color="auto"/>
              <w:bottom w:val="single" w:sz="4" w:space="0" w:color="auto"/>
              <w:right w:val="single" w:sz="4" w:space="0" w:color="auto"/>
            </w:tcBorders>
          </w:tcPr>
          <w:p w14:paraId="757C2F73" w14:textId="77777777" w:rsidR="00616B5A" w:rsidRPr="00461C16" w:rsidRDefault="00616B5A" w:rsidP="00C27E65">
            <w:pPr>
              <w:pStyle w:val="7tabulka"/>
              <w:rPr>
                <w:rStyle w:val="NvrhP-text"/>
                <w:rFonts w:cs="Arial"/>
                <w:szCs w:val="20"/>
                <w:lang w:eastAsia="en-US"/>
              </w:rPr>
            </w:pPr>
            <w:r w:rsidRPr="00461C16">
              <w:rPr>
                <w:rStyle w:val="NvrhP-text"/>
                <w:rFonts w:cs="Arial"/>
                <w:szCs w:val="20"/>
                <w:lang w:eastAsia="en-US"/>
              </w:rPr>
              <w:lastRenderedPageBreak/>
              <w:t>W</w:t>
            </w:r>
          </w:p>
        </w:tc>
        <w:tc>
          <w:tcPr>
            <w:tcW w:w="1506" w:type="pct"/>
            <w:tcBorders>
              <w:top w:val="single" w:sz="4" w:space="0" w:color="auto"/>
              <w:left w:val="single" w:sz="4" w:space="0" w:color="auto"/>
              <w:bottom w:val="single" w:sz="4" w:space="0" w:color="auto"/>
              <w:right w:val="single" w:sz="4" w:space="0" w:color="auto"/>
            </w:tcBorders>
          </w:tcPr>
          <w:p w14:paraId="38354324" w14:textId="77777777" w:rsidR="00616B5A" w:rsidRPr="00461C16" w:rsidRDefault="00616B5A" w:rsidP="00C27E65">
            <w:pPr>
              <w:pStyle w:val="7tabulka"/>
              <w:rPr>
                <w:lang w:eastAsia="en-US"/>
              </w:rPr>
            </w:pPr>
            <w:r w:rsidRPr="00461C16">
              <w:rPr>
                <w:rStyle w:val="NvrhP-text"/>
                <w:rFonts w:cs="Arial"/>
                <w:szCs w:val="20"/>
                <w:lang w:eastAsia="en-US"/>
              </w:rPr>
              <w:t xml:space="preserve">Vodní tok </w:t>
            </w:r>
          </w:p>
        </w:tc>
        <w:tc>
          <w:tcPr>
            <w:tcW w:w="2357" w:type="pct"/>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14:paraId="6E5D995D" w14:textId="77777777" w:rsidR="00616B5A" w:rsidRPr="00461C16" w:rsidRDefault="00616B5A" w:rsidP="00456021">
            <w:pPr>
              <w:pStyle w:val="7tabulka"/>
              <w:jc w:val="left"/>
              <w:rPr>
                <w:rStyle w:val="NvrhP-text"/>
                <w:rFonts w:cs="Arial"/>
                <w:szCs w:val="20"/>
                <w:lang w:eastAsia="en-US"/>
              </w:rPr>
            </w:pPr>
            <w:r w:rsidRPr="00461C16">
              <w:rPr>
                <w:rStyle w:val="NvrhP-text"/>
                <w:rFonts w:cs="Arial"/>
                <w:szCs w:val="20"/>
                <w:lang w:eastAsia="en-US"/>
              </w:rPr>
              <w:t>Vodní toky s břehovými porosty, žádoucí je revitalizace k obnově přirozeného charakteru toku</w:t>
            </w:r>
          </w:p>
        </w:tc>
      </w:tr>
      <w:tr w:rsidR="00616B5A" w:rsidRPr="00461C16" w14:paraId="57325942" w14:textId="77777777" w:rsidTr="00C27E65">
        <w:trPr>
          <w:cantSplit/>
          <w:jc w:val="center"/>
        </w:trPr>
        <w:tc>
          <w:tcPr>
            <w:tcW w:w="1137" w:type="pct"/>
            <w:tcBorders>
              <w:top w:val="single" w:sz="4" w:space="0" w:color="auto"/>
              <w:left w:val="single" w:sz="4" w:space="0" w:color="auto"/>
              <w:bottom w:val="single" w:sz="4" w:space="0" w:color="auto"/>
              <w:right w:val="single" w:sz="4" w:space="0" w:color="auto"/>
            </w:tcBorders>
          </w:tcPr>
          <w:p w14:paraId="56F9C85B" w14:textId="77777777" w:rsidR="00616B5A" w:rsidRPr="00461C16" w:rsidRDefault="00616B5A" w:rsidP="00C27E65">
            <w:pPr>
              <w:pStyle w:val="7tabulka"/>
              <w:rPr>
                <w:rStyle w:val="NvrhP-text"/>
                <w:rFonts w:cs="Arial"/>
                <w:szCs w:val="20"/>
                <w:lang w:eastAsia="en-US"/>
              </w:rPr>
            </w:pPr>
            <w:r w:rsidRPr="00461C16">
              <w:rPr>
                <w:rStyle w:val="NvrhP-text"/>
                <w:rFonts w:cs="Arial"/>
                <w:szCs w:val="20"/>
                <w:lang w:eastAsia="en-US"/>
              </w:rPr>
              <w:t>W</w:t>
            </w:r>
          </w:p>
        </w:tc>
        <w:tc>
          <w:tcPr>
            <w:tcW w:w="1506" w:type="pct"/>
            <w:tcBorders>
              <w:top w:val="single" w:sz="4" w:space="0" w:color="auto"/>
              <w:left w:val="single" w:sz="4" w:space="0" w:color="auto"/>
              <w:bottom w:val="single" w:sz="4" w:space="0" w:color="auto"/>
              <w:right w:val="single" w:sz="4" w:space="0" w:color="auto"/>
            </w:tcBorders>
          </w:tcPr>
          <w:p w14:paraId="47882A84" w14:textId="77777777" w:rsidR="00616B5A" w:rsidRPr="00461C16" w:rsidRDefault="00616B5A" w:rsidP="00C27E65">
            <w:pPr>
              <w:pStyle w:val="7tabulka"/>
              <w:rPr>
                <w:rStyle w:val="NvrhP-text"/>
                <w:rFonts w:cs="Arial"/>
                <w:szCs w:val="20"/>
                <w:lang w:eastAsia="en-US"/>
              </w:rPr>
            </w:pPr>
            <w:r w:rsidRPr="00461C16">
              <w:rPr>
                <w:rStyle w:val="NvrhP-text"/>
                <w:rFonts w:cs="Arial"/>
                <w:szCs w:val="20"/>
                <w:lang w:eastAsia="en-US"/>
              </w:rPr>
              <w:t xml:space="preserve">Vodní plocha </w:t>
            </w:r>
          </w:p>
        </w:tc>
        <w:tc>
          <w:tcPr>
            <w:tcW w:w="2357" w:type="pct"/>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14:paraId="4DD3F387" w14:textId="77777777" w:rsidR="00616B5A" w:rsidRPr="00461C16" w:rsidRDefault="00616B5A" w:rsidP="00456021">
            <w:pPr>
              <w:pStyle w:val="7tabulka"/>
              <w:jc w:val="left"/>
              <w:rPr>
                <w:rStyle w:val="NvrhP-text"/>
                <w:rFonts w:cs="Arial"/>
                <w:szCs w:val="20"/>
                <w:lang w:eastAsia="en-US"/>
              </w:rPr>
            </w:pPr>
            <w:r w:rsidRPr="00461C16">
              <w:rPr>
                <w:rStyle w:val="NvrhP-text"/>
                <w:rFonts w:cs="Arial"/>
                <w:szCs w:val="20"/>
                <w:lang w:eastAsia="en-US"/>
              </w:rPr>
              <w:t>Vodní plochy s břehovými porosty s ponecháním volné hladiny i litorální vegetace</w:t>
            </w:r>
          </w:p>
        </w:tc>
      </w:tr>
    </w:tbl>
    <w:p w14:paraId="4197234D" w14:textId="77777777" w:rsidR="00616B5A" w:rsidRPr="00461C16" w:rsidRDefault="00616B5A" w:rsidP="00616B5A">
      <w:pPr>
        <w:rPr>
          <w:sz w:val="20"/>
        </w:rPr>
      </w:pPr>
    </w:p>
    <w:p w14:paraId="5E321125" w14:textId="77777777" w:rsidR="00616B5A" w:rsidRPr="00461C16" w:rsidRDefault="00616B5A" w:rsidP="00616B5A">
      <w:pPr>
        <w:rPr>
          <w:sz w:val="20"/>
        </w:rPr>
      </w:pPr>
      <w:r w:rsidRPr="00461C16">
        <w:t>Detaily k podmínkám změn a úprav využití, obhospodařování a údržby ploch skladebných částí ÚSES určí orgán ochrany přírody, tedy Odbor životního prostředí M</w:t>
      </w:r>
      <w:r w:rsidR="002E47BD" w:rsidRPr="00461C16">
        <w:t>agistrátu města Liberec</w:t>
      </w:r>
      <w:r w:rsidRPr="00461C16">
        <w:t>.</w:t>
      </w:r>
    </w:p>
    <w:p w14:paraId="41C89FEB" w14:textId="77777777" w:rsidR="00616B5A" w:rsidRPr="00461C16" w:rsidRDefault="00616B5A" w:rsidP="00616B5A">
      <w:pPr>
        <w:pStyle w:val="1odstavec"/>
      </w:pPr>
      <w:r w:rsidRPr="00461C16">
        <w:t>Pro zajištění funkčnosti ÚSES jsou vymezeny plochy změn v krajině s využitím N</w:t>
      </w:r>
      <w:r w:rsidR="002E47BD" w:rsidRPr="00461C16">
        <w:t>K</w:t>
      </w:r>
      <w:r w:rsidRPr="00461C16">
        <w:t xml:space="preserve"> </w:t>
      </w:r>
      <w:r w:rsidR="002E47BD" w:rsidRPr="00461C16">
        <w:t>(K03-K22 - viz kap. 6.6.3). Sklad</w:t>
      </w:r>
      <w:r w:rsidR="00A8307E" w:rsidRPr="00461C16">
        <w:t>e</w:t>
      </w:r>
      <w:r w:rsidR="002E47BD" w:rsidRPr="00461C16">
        <w:t>bné části zahrnují též návrhovou plochu ZV (Z31</w:t>
      </w:r>
      <w:r w:rsidR="00A8307E" w:rsidRPr="00461C16">
        <w:t xml:space="preserve"> – viz kap. 6.4.2</w:t>
      </w:r>
      <w:r w:rsidR="002E47BD" w:rsidRPr="00461C16">
        <w:t>)</w:t>
      </w:r>
      <w:r w:rsidRPr="00461C16">
        <w:t>.</w:t>
      </w:r>
    </w:p>
    <w:p w14:paraId="48ABCE4A" w14:textId="77777777" w:rsidR="00A8307E" w:rsidRPr="00461C16" w:rsidRDefault="00A8307E" w:rsidP="00A8307E">
      <w:pPr>
        <w:pStyle w:val="1odstavec"/>
      </w:pPr>
      <w:r w:rsidRPr="00461C16">
        <w:t>Základní podmínkou zohledňující výše uvedený smysl a cíl vymezení skladebných částí ÚSES je zajištění celistvosti a funkčnosti (ve smyslu zajištění ekologické stability a biologické diverzity) těchto skladebných částí. Tato podmínka je zásadní pro veškeré činnosti v plochách skladebných částí ÚSES i pro biotechnická a biologická opatření</w:t>
      </w:r>
      <w:r w:rsidR="00AD4DC1" w:rsidRPr="00461C16">
        <w:t xml:space="preserve"> a určuje společné požadavky na využití ploch zahrnutých do skladebných částí ÚSES.</w:t>
      </w:r>
    </w:p>
    <w:p w14:paraId="0215D783" w14:textId="77777777" w:rsidR="00A8307E" w:rsidRPr="00461C16" w:rsidRDefault="00A8307E" w:rsidP="00A8307E">
      <w:pPr>
        <w:pStyle w:val="1odstavec"/>
      </w:pPr>
      <w:r w:rsidRPr="00461C16">
        <w:t xml:space="preserve">V ÚP je omezena </w:t>
      </w:r>
      <w:r w:rsidRPr="00461C16">
        <w:rPr>
          <w:b/>
        </w:rPr>
        <w:t>možnost umístění staveb</w:t>
      </w:r>
      <w:r w:rsidRPr="00461C16">
        <w:t>, které obecně v nezastavěném území umožňuje §18, odst. 5 stavebního zákona ve skladebných částech ÚSES. Z výčtu uvedeného ve zmíněném právním ustanovení lze ve skladebných částech umístit pouze ty stavby, jejichž realizace a užívání neomezí funkčnost skladebné části ÚSES. Tato podmínka je uplatněna v ÚP v kap. F.1.2</w:t>
      </w:r>
      <w:r w:rsidR="00AD4DC1" w:rsidRPr="00461C16">
        <w:t>8</w:t>
      </w:r>
      <w:r w:rsidRPr="00461C16">
        <w:t xml:space="preserve"> (pro plochy W), F.1.2</w:t>
      </w:r>
      <w:r w:rsidR="00AD4DC1" w:rsidRPr="00461C16">
        <w:t>9</w:t>
      </w:r>
      <w:r w:rsidRPr="00461C16">
        <w:t xml:space="preserve"> (pro plochy NL) a F.1.</w:t>
      </w:r>
      <w:r w:rsidR="00AD4DC1" w:rsidRPr="00461C16">
        <w:t>30</w:t>
      </w:r>
      <w:r w:rsidRPr="00461C16">
        <w:t xml:space="preserve"> (pro plochy N</w:t>
      </w:r>
      <w:r w:rsidR="00AD4DC1" w:rsidRPr="00461C16">
        <w:t>K</w:t>
      </w:r>
      <w:r w:rsidRPr="00461C16">
        <w:t>).</w:t>
      </w:r>
    </w:p>
    <w:p w14:paraId="1AF95BEA" w14:textId="77777777" w:rsidR="00A8307E" w:rsidRPr="00461C16" w:rsidRDefault="00A8307E" w:rsidP="00A8307E">
      <w:pPr>
        <w:pStyle w:val="1odstavec"/>
      </w:pPr>
      <w:r w:rsidRPr="00461C16">
        <w:t xml:space="preserve">Určitým specifickým prvkem je zahrnutí částí zastavitelných ploch se způsobem využití </w:t>
      </w:r>
      <w:r w:rsidR="00AD4DC1" w:rsidRPr="00461C16">
        <w:t>ZV</w:t>
      </w:r>
      <w:r w:rsidRPr="00461C16">
        <w:t xml:space="preserve"> do skladebných částí L</w:t>
      </w:r>
      <w:r w:rsidR="00AD4DC1" w:rsidRPr="00461C16">
        <w:t xml:space="preserve">K1214b-1215, LC1215 a LK1215-1216. </w:t>
      </w:r>
      <w:r w:rsidRPr="00461C16">
        <w:t xml:space="preserve">Pro tyto plochy s využitím </w:t>
      </w:r>
      <w:r w:rsidR="00AD4DC1" w:rsidRPr="00461C16">
        <w:t>ZV</w:t>
      </w:r>
      <w:r w:rsidRPr="00461C16">
        <w:t xml:space="preserve"> je v ÚP v kap. F.1.</w:t>
      </w:r>
      <w:r w:rsidR="00AD4DC1" w:rsidRPr="00461C16">
        <w:t>17</w:t>
      </w:r>
      <w:r w:rsidRPr="00461C16">
        <w:t xml:space="preserve"> definována podmínka, že jsou prakticky nezastavitelné a lze v nich umístit pouze zeleň a podmíněně nezbytné stavby dopravní a technické infrastruktury. Podmínkou je, že umístění těchto staveb a zařízení nenaruší celistvost a funkčnost skladebných částí.</w:t>
      </w:r>
    </w:p>
    <w:p w14:paraId="6B47D0A3" w14:textId="77777777" w:rsidR="00A8307E" w:rsidRPr="00461C16" w:rsidRDefault="00A8307E" w:rsidP="00A8307E">
      <w:pPr>
        <w:pStyle w:val="1odstavec"/>
      </w:pPr>
      <w:r w:rsidRPr="00461C16">
        <w:t xml:space="preserve">Další specifickou podmínkou související s ÚSES je požadavek na ponechání vodních toků v přírodním stavu nebo jejich </w:t>
      </w:r>
      <w:r w:rsidRPr="00461C16">
        <w:rPr>
          <w:b/>
        </w:rPr>
        <w:t>revitalizaci do přírodě blízkého stavu</w:t>
      </w:r>
      <w:r w:rsidRPr="00461C16">
        <w:t>, které jsou součástí skladebných částí ÚSES. Smyslem tohoto požadavku je vrátit alespoň částečně tokům přirozený charakter, který byl zničen úpravami toků. Revitalizací toků dojde k navýšení ekologické stability krajiny, její biodiverzity a ke zpomalení odtoku vody z území. Tato podmínka je uplatněna v ÚP v kap. F.1.2</w:t>
      </w:r>
      <w:r w:rsidR="00AD4DC1" w:rsidRPr="00461C16">
        <w:t>8</w:t>
      </w:r>
      <w:r w:rsidRPr="00461C16">
        <w:t>.</w:t>
      </w:r>
    </w:p>
    <w:p w14:paraId="3D1BE9A3" w14:textId="77777777" w:rsidR="00A8307E" w:rsidRPr="00461C16" w:rsidRDefault="00A8307E" w:rsidP="00A8307E">
      <w:pPr>
        <w:pStyle w:val="1odstavec"/>
      </w:pPr>
      <w:r w:rsidRPr="00461C16">
        <w:t>Uvedení specifických podmínek pro plochy s rozdílným způsobem využití vyplývající ze zahrnutí těchto ploch do skladebných částí ÚSES ve výše uvedených podkapitolách kap. F zvolil zhotovitel s cílem soustředit závazné podmínky pokud možno v jedné kapitole. Důvodem je zvýšení přehlednosti a využitelnosti ÚP při rozhodování.</w:t>
      </w:r>
    </w:p>
    <w:p w14:paraId="72DEE5C2" w14:textId="77777777" w:rsidR="00616B5A" w:rsidRPr="00461C16" w:rsidRDefault="00616B5A" w:rsidP="00616B5A">
      <w:pPr>
        <w:pStyle w:val="Heading3"/>
      </w:pPr>
      <w:bookmarkStart w:id="146" w:name="_Toc268687972"/>
      <w:bookmarkStart w:id="147" w:name="_Toc36116308"/>
      <w:r w:rsidRPr="00461C16">
        <w:t>6.6.</w:t>
      </w:r>
      <w:r w:rsidR="007F26EC" w:rsidRPr="00461C16">
        <w:t>5</w:t>
      </w:r>
      <w:r w:rsidRPr="00461C16">
        <w:tab/>
        <w:t>Prostupnost krajiny</w:t>
      </w:r>
      <w:bookmarkEnd w:id="146"/>
      <w:bookmarkEnd w:id="147"/>
    </w:p>
    <w:p w14:paraId="6C21319E" w14:textId="77777777" w:rsidR="00616B5A" w:rsidRPr="00461C16" w:rsidRDefault="00616B5A" w:rsidP="00616B5A">
      <w:pPr>
        <w:rPr>
          <w:i/>
          <w:sz w:val="20"/>
          <w:szCs w:val="20"/>
        </w:rPr>
      </w:pPr>
      <w:r w:rsidRPr="00931375">
        <w:rPr>
          <w:i/>
          <w:sz w:val="20"/>
          <w:szCs w:val="20"/>
        </w:rPr>
        <w:t xml:space="preserve">(k bodům </w:t>
      </w:r>
      <w:r w:rsidR="00931375" w:rsidRPr="00931375">
        <w:rPr>
          <w:i/>
          <w:sz w:val="20"/>
          <w:szCs w:val="20"/>
        </w:rPr>
        <w:t xml:space="preserve">E11 </w:t>
      </w:r>
      <w:r w:rsidRPr="00931375">
        <w:rPr>
          <w:i/>
          <w:sz w:val="20"/>
          <w:szCs w:val="20"/>
        </w:rPr>
        <w:t xml:space="preserve">– </w:t>
      </w:r>
      <w:r w:rsidR="009C11B0" w:rsidRPr="00931375">
        <w:rPr>
          <w:i/>
          <w:sz w:val="20"/>
          <w:szCs w:val="20"/>
        </w:rPr>
        <w:t>E1</w:t>
      </w:r>
      <w:r w:rsidR="00931375" w:rsidRPr="00931375">
        <w:rPr>
          <w:i/>
          <w:sz w:val="20"/>
          <w:szCs w:val="20"/>
        </w:rPr>
        <w:t>3</w:t>
      </w:r>
      <w:r w:rsidR="009C11B0" w:rsidRPr="00931375">
        <w:rPr>
          <w:i/>
          <w:sz w:val="20"/>
          <w:szCs w:val="20"/>
        </w:rPr>
        <w:t xml:space="preserve"> </w:t>
      </w:r>
      <w:r w:rsidR="00756815" w:rsidRPr="00931375">
        <w:rPr>
          <w:i/>
          <w:sz w:val="20"/>
          <w:szCs w:val="20"/>
        </w:rPr>
        <w:t>ÚP)</w:t>
      </w:r>
    </w:p>
    <w:p w14:paraId="50797B33" w14:textId="77777777" w:rsidR="00616B5A" w:rsidRPr="00461C16" w:rsidRDefault="00616B5A" w:rsidP="00753F4E">
      <w:pPr>
        <w:pStyle w:val="4podnadpis"/>
      </w:pPr>
      <w:r w:rsidRPr="00461C16">
        <w:t>Podklady</w:t>
      </w:r>
    </w:p>
    <w:p w14:paraId="5F7836A8" w14:textId="77777777" w:rsidR="00616B5A" w:rsidRPr="00461C16" w:rsidRDefault="00616B5A" w:rsidP="00616B5A">
      <w:pPr>
        <w:rPr>
          <w:lang w:eastAsia="cs-CZ"/>
        </w:rPr>
      </w:pPr>
      <w:r w:rsidRPr="00461C16">
        <w:rPr>
          <w:lang w:eastAsia="cs-CZ"/>
        </w:rPr>
        <w:t xml:space="preserve">Prostupnost krajiny na území města byla analyzována při terénních průzkumech zhotovitele. </w:t>
      </w:r>
    </w:p>
    <w:p w14:paraId="21D5B0C9" w14:textId="77777777" w:rsidR="00616B5A" w:rsidRPr="00461C16" w:rsidRDefault="00616B5A" w:rsidP="00753F4E">
      <w:pPr>
        <w:pStyle w:val="4podnadpis"/>
        <w:rPr>
          <w:rStyle w:val="NvrhP-text"/>
          <w:i w:val="0"/>
        </w:rPr>
      </w:pPr>
      <w:r w:rsidRPr="00461C16">
        <w:rPr>
          <w:rStyle w:val="NvrhP-text"/>
          <w:i w:val="0"/>
        </w:rPr>
        <w:t>Návrh řešení a jeho odůvodnění</w:t>
      </w:r>
    </w:p>
    <w:p w14:paraId="1DEBDC20" w14:textId="77777777" w:rsidR="00616B5A" w:rsidRPr="00461C16" w:rsidRDefault="00616B5A" w:rsidP="00064D60">
      <w:pPr>
        <w:pStyle w:val="1odstavec"/>
      </w:pPr>
      <w:r w:rsidRPr="00461C16">
        <w:t>Prostupnost krajiny na území města je zprostředkována sítí silnic a účelových polních a lesních cest. Oproti minulému stavu, který je patrný z reziduí v krajině i z parcelního stavu dle katastrální mapy, mnohé cesty zanikly nebo byly záměrně zrušeny.</w:t>
      </w:r>
    </w:p>
    <w:p w14:paraId="7C686793" w14:textId="77777777" w:rsidR="00616B5A" w:rsidRPr="00461C16" w:rsidRDefault="00616B5A" w:rsidP="00064D60">
      <w:pPr>
        <w:pStyle w:val="1odstavec"/>
      </w:pPr>
      <w:r w:rsidRPr="00461C16">
        <w:t>V ÚP je stabilizována síť silnic a místních a účelových polních a lesních cest formou ploch plochy P</w:t>
      </w:r>
      <w:r w:rsidR="00756815" w:rsidRPr="00461C16">
        <w:t>X</w:t>
      </w:r>
      <w:r w:rsidRPr="00461C16">
        <w:t xml:space="preserve"> – veřejná prostranství</w:t>
      </w:r>
      <w:r w:rsidR="00756815" w:rsidRPr="00461C16">
        <w:t xml:space="preserve"> – komunikace</w:t>
      </w:r>
      <w:r w:rsidR="00064D60" w:rsidRPr="00461C16">
        <w:t>.</w:t>
      </w:r>
    </w:p>
    <w:p w14:paraId="4C5A7C32" w14:textId="77777777" w:rsidR="00D41DC2" w:rsidRPr="00461C16" w:rsidRDefault="00756815" w:rsidP="00064D60">
      <w:pPr>
        <w:pStyle w:val="1odstavec"/>
        <w:rPr>
          <w:rStyle w:val="NvrhP-text"/>
          <w:rFonts w:cs="Arial"/>
        </w:rPr>
      </w:pPr>
      <w:r w:rsidRPr="00461C16">
        <w:lastRenderedPageBreak/>
        <w:t xml:space="preserve">Jediným návrhem </w:t>
      </w:r>
      <w:r w:rsidR="007F26EC" w:rsidRPr="00461C16">
        <w:t xml:space="preserve">souvisejícím s prostupností krajiny </w:t>
      </w:r>
      <w:r w:rsidRPr="00461C16">
        <w:t>j</w:t>
      </w:r>
      <w:r w:rsidR="00D32606" w:rsidRPr="00461C16">
        <w:t xml:space="preserve">e </w:t>
      </w:r>
      <w:r w:rsidRPr="00461C16">
        <w:t>ploch</w:t>
      </w:r>
      <w:r w:rsidR="00D32606" w:rsidRPr="00461C16">
        <w:t>a</w:t>
      </w:r>
      <w:r w:rsidRPr="00461C16">
        <w:t xml:space="preserve"> </w:t>
      </w:r>
      <w:r w:rsidR="006206BF" w:rsidRPr="00461C16">
        <w:t xml:space="preserve">Z98 </w:t>
      </w:r>
      <w:r w:rsidRPr="00461C16">
        <w:t xml:space="preserve">pro </w:t>
      </w:r>
      <w:r w:rsidR="006206BF" w:rsidRPr="00461C16">
        <w:t>úpravu cesty</w:t>
      </w:r>
      <w:r w:rsidR="00D41DC2" w:rsidRPr="00461C16">
        <w:t>,</w:t>
      </w:r>
      <w:r w:rsidR="006206BF" w:rsidRPr="00461C16">
        <w:t xml:space="preserve"> po níž </w:t>
      </w:r>
      <w:r w:rsidR="00D41DC2" w:rsidRPr="00461C16">
        <w:t xml:space="preserve">je vedena zelená turistická trasa </w:t>
      </w:r>
      <w:r w:rsidR="006206BF" w:rsidRPr="00461C16">
        <w:t>a to na hr</w:t>
      </w:r>
      <w:r w:rsidR="00D41DC2" w:rsidRPr="00461C16">
        <w:t>a</w:t>
      </w:r>
      <w:r w:rsidR="006206BF" w:rsidRPr="00461C16">
        <w:t xml:space="preserve">nici s obcí </w:t>
      </w:r>
      <w:r w:rsidR="00D41DC2" w:rsidRPr="00461C16">
        <w:t xml:space="preserve">Jablonné v Podještědí (koordinace viz kap. 4.2 Odůvodnění). </w:t>
      </w:r>
      <w:r w:rsidR="005A6BF7" w:rsidRPr="00461C16">
        <w:t>Podrobnější</w:t>
      </w:r>
      <w:r w:rsidR="00D41DC2" w:rsidRPr="00461C16">
        <w:t xml:space="preserve"> </w:t>
      </w:r>
      <w:r w:rsidR="005A6BF7" w:rsidRPr="00461C16">
        <w:t>odůvodnění</w:t>
      </w:r>
      <w:r w:rsidR="00D41DC2" w:rsidRPr="00461C16">
        <w:t xml:space="preserve"> ke koncepci cyklistických a pěších tras a stezek je uvedeno v kap. 6.5.1</w:t>
      </w:r>
      <w:r w:rsidR="005A6BF7" w:rsidRPr="00461C16">
        <w:rPr>
          <w:rStyle w:val="NvrhP-text"/>
          <w:rFonts w:cs="Arial"/>
        </w:rPr>
        <w:t xml:space="preserve">. </w:t>
      </w:r>
    </w:p>
    <w:p w14:paraId="465B6580" w14:textId="77777777" w:rsidR="00616B5A" w:rsidRPr="00461C16" w:rsidRDefault="00616B5A" w:rsidP="00064D60">
      <w:pPr>
        <w:pStyle w:val="1odstavec"/>
      </w:pPr>
      <w:r w:rsidRPr="00461C16">
        <w:rPr>
          <w:rStyle w:val="NvrhP-text"/>
          <w:rFonts w:cs="Arial"/>
        </w:rPr>
        <w:t xml:space="preserve">Pro budování potřebných stezek a cest je podstatné, že jsou přípustné prakticky ve všech plochách </w:t>
      </w:r>
      <w:r w:rsidRPr="00461C16">
        <w:t>s rozdílným způsobem využití.</w:t>
      </w:r>
    </w:p>
    <w:p w14:paraId="3B51C973" w14:textId="77777777" w:rsidR="00616B5A" w:rsidRPr="00461C16" w:rsidRDefault="00616B5A" w:rsidP="00064D60">
      <w:pPr>
        <w:pStyle w:val="1odstavec"/>
        <w:rPr>
          <w:rFonts w:cs="Arial"/>
        </w:rPr>
      </w:pPr>
      <w:bookmarkStart w:id="148" w:name="_Toc268687973"/>
      <w:r w:rsidRPr="00461C16">
        <w:t xml:space="preserve">Pro veškeré silnice, místní a účelové komunikace je stanovena </w:t>
      </w:r>
      <w:r w:rsidR="00D41DC2" w:rsidRPr="00461C16">
        <w:t xml:space="preserve">v kap. F.1.17 a F.1.19 </w:t>
      </w:r>
      <w:r w:rsidRPr="00461C16">
        <w:t xml:space="preserve">podmínka jejich doplnění </w:t>
      </w:r>
      <w:r w:rsidRPr="00461C16">
        <w:rPr>
          <w:rFonts w:cs="Arial"/>
        </w:rPr>
        <w:t xml:space="preserve">oboustrannou alejí. Toto opatření směřuje ke snížení erozní ohroženosti půd a ke </w:t>
      </w:r>
      <w:r w:rsidRPr="00461C16">
        <w:t>zvýšení</w:t>
      </w:r>
      <w:r w:rsidRPr="00461C16">
        <w:rPr>
          <w:rFonts w:cs="Arial"/>
        </w:rPr>
        <w:t xml:space="preserve"> estetických kvalit krajiny.</w:t>
      </w:r>
      <w:r w:rsidR="00064D60" w:rsidRPr="00461C16">
        <w:rPr>
          <w:rFonts w:cs="Arial"/>
        </w:rPr>
        <w:t xml:space="preserve"> </w:t>
      </w:r>
    </w:p>
    <w:p w14:paraId="4BAA1479" w14:textId="77777777" w:rsidR="00616B5A" w:rsidRPr="00931375" w:rsidRDefault="00616B5A" w:rsidP="00616B5A">
      <w:pPr>
        <w:pStyle w:val="Heading3"/>
      </w:pPr>
      <w:bookmarkStart w:id="149" w:name="_Toc36116309"/>
      <w:r w:rsidRPr="00461C16">
        <w:t>6.6.</w:t>
      </w:r>
      <w:r w:rsidR="009F4F5B" w:rsidRPr="00461C16">
        <w:t>6</w:t>
      </w:r>
      <w:r w:rsidRPr="00461C16">
        <w:tab/>
      </w:r>
      <w:r w:rsidRPr="00931375">
        <w:t>Protierozní opatření</w:t>
      </w:r>
      <w:bookmarkEnd w:id="148"/>
      <w:bookmarkEnd w:id="149"/>
    </w:p>
    <w:p w14:paraId="56E03BAD" w14:textId="77777777" w:rsidR="00616B5A" w:rsidRPr="00931375" w:rsidRDefault="009F4F5B" w:rsidP="00616B5A">
      <w:pPr>
        <w:rPr>
          <w:i/>
          <w:sz w:val="20"/>
          <w:szCs w:val="20"/>
        </w:rPr>
      </w:pPr>
      <w:r w:rsidRPr="00931375">
        <w:rPr>
          <w:i/>
          <w:sz w:val="20"/>
          <w:szCs w:val="20"/>
        </w:rPr>
        <w:t xml:space="preserve">(k bodu </w:t>
      </w:r>
      <w:r w:rsidR="009C11B0" w:rsidRPr="00931375">
        <w:rPr>
          <w:i/>
          <w:sz w:val="20"/>
          <w:szCs w:val="20"/>
        </w:rPr>
        <w:t>E1</w:t>
      </w:r>
      <w:r w:rsidR="00931375" w:rsidRPr="00931375">
        <w:rPr>
          <w:i/>
          <w:sz w:val="20"/>
          <w:szCs w:val="20"/>
        </w:rPr>
        <w:t>4</w:t>
      </w:r>
      <w:r w:rsidR="009C11B0" w:rsidRPr="00931375">
        <w:rPr>
          <w:i/>
          <w:sz w:val="20"/>
          <w:szCs w:val="20"/>
        </w:rPr>
        <w:t xml:space="preserve"> </w:t>
      </w:r>
      <w:r w:rsidR="00756815" w:rsidRPr="00931375">
        <w:rPr>
          <w:i/>
          <w:sz w:val="20"/>
          <w:szCs w:val="20"/>
        </w:rPr>
        <w:t>ÚP)</w:t>
      </w:r>
    </w:p>
    <w:p w14:paraId="735E2DE4" w14:textId="77777777" w:rsidR="00616B5A" w:rsidRPr="00461C16" w:rsidRDefault="00616B5A" w:rsidP="00616B5A">
      <w:pPr>
        <w:pStyle w:val="1odstavec"/>
        <w:rPr>
          <w:rStyle w:val="NvrhP-text"/>
        </w:rPr>
      </w:pPr>
      <w:r w:rsidRPr="00931375">
        <w:rPr>
          <w:rStyle w:val="NvrhP-text"/>
        </w:rPr>
        <w:t xml:space="preserve">Území města není </w:t>
      </w:r>
      <w:r w:rsidR="00DC448A" w:rsidRPr="00931375">
        <w:rPr>
          <w:rStyle w:val="NvrhP-text"/>
        </w:rPr>
        <w:t>dl</w:t>
      </w:r>
      <w:r w:rsidR="00DC448A" w:rsidRPr="00461C16">
        <w:rPr>
          <w:rStyle w:val="NvrhP-text"/>
        </w:rPr>
        <w:t xml:space="preserve">e dat geoportálu SOWAC </w:t>
      </w:r>
      <w:r w:rsidRPr="00461C16">
        <w:rPr>
          <w:rStyle w:val="NvrhP-text"/>
        </w:rPr>
        <w:t>ohroženo větnou erozí</w:t>
      </w:r>
      <w:r w:rsidR="00DC448A" w:rsidRPr="00461C16">
        <w:rPr>
          <w:rStyle w:val="NvrhP-text"/>
        </w:rPr>
        <w:t>. U vodní eroze převládají půdy neohrožen</w:t>
      </w:r>
      <w:r w:rsidR="009F4F5B" w:rsidRPr="00461C16">
        <w:rPr>
          <w:rStyle w:val="NvrhP-text"/>
        </w:rPr>
        <w:t>é a mírně ohrožené</w:t>
      </w:r>
      <w:r w:rsidR="00DC448A" w:rsidRPr="00461C16">
        <w:rPr>
          <w:rStyle w:val="NvrhP-text"/>
        </w:rPr>
        <w:t>, jen na několika míst</w:t>
      </w:r>
      <w:r w:rsidR="009F4F5B" w:rsidRPr="00461C16">
        <w:rPr>
          <w:rStyle w:val="NvrhP-text"/>
        </w:rPr>
        <w:t>e</w:t>
      </w:r>
      <w:r w:rsidR="00DC448A" w:rsidRPr="00461C16">
        <w:rPr>
          <w:rStyle w:val="NvrhP-text"/>
        </w:rPr>
        <w:t xml:space="preserve">ch </w:t>
      </w:r>
      <w:r w:rsidR="009F4F5B" w:rsidRPr="00461C16">
        <w:rPr>
          <w:rStyle w:val="NvrhP-text"/>
        </w:rPr>
        <w:t>je predikováno sil</w:t>
      </w:r>
      <w:r w:rsidRPr="00461C16">
        <w:rPr>
          <w:rStyle w:val="NvrhP-text"/>
        </w:rPr>
        <w:t>n</w:t>
      </w:r>
      <w:r w:rsidR="009F4F5B" w:rsidRPr="00461C16">
        <w:rPr>
          <w:rStyle w:val="NvrhP-text"/>
        </w:rPr>
        <w:t>é ohrožení. Tato místa jsou ale většinou porostlá trvalými porosty.</w:t>
      </w:r>
      <w:r w:rsidRPr="00461C16">
        <w:rPr>
          <w:rStyle w:val="NvrhP-text"/>
        </w:rPr>
        <w:t xml:space="preserve"> Z tohoto důvodu nejsou vybudována specifická protierozní opatření a nejsou ani navrhována. </w:t>
      </w:r>
    </w:p>
    <w:p w14:paraId="7F13800E" w14:textId="77777777" w:rsidR="00616B5A" w:rsidRPr="00461C16" w:rsidRDefault="00616B5A" w:rsidP="00616B5A">
      <w:pPr>
        <w:pStyle w:val="1text"/>
        <w:rPr>
          <w:rStyle w:val="NvrhP-text"/>
        </w:rPr>
      </w:pPr>
      <w:r w:rsidRPr="00461C16">
        <w:rPr>
          <w:rStyle w:val="NvrhP-text"/>
        </w:rPr>
        <w:t>V ochraně půd před erozí hraje významnou roli zachování stávajících krajinných prvků přírodního charakteru, realizace navrhovaných skladebných částí ÚSES a realizace alejí podél silnic a účelových komunikací (viz předchozí kapitol</w:t>
      </w:r>
      <w:r w:rsidR="0046414D" w:rsidRPr="00461C16">
        <w:rPr>
          <w:rStyle w:val="NvrhP-text"/>
        </w:rPr>
        <w:t>a</w:t>
      </w:r>
      <w:r w:rsidRPr="00461C16">
        <w:rPr>
          <w:rStyle w:val="NvrhP-text"/>
        </w:rPr>
        <w:t>).</w:t>
      </w:r>
    </w:p>
    <w:p w14:paraId="2A249F95" w14:textId="77777777" w:rsidR="00616B5A" w:rsidRPr="00461C16" w:rsidRDefault="00616B5A" w:rsidP="00616B5A">
      <w:pPr>
        <w:pStyle w:val="1text"/>
        <w:rPr>
          <w:rStyle w:val="NvrhP-text"/>
        </w:rPr>
      </w:pPr>
      <w:r w:rsidRPr="00461C16">
        <w:rPr>
          <w:rStyle w:val="NvrhP-text"/>
        </w:rPr>
        <w:t>Podstatné je, že na základě podrobných analýz a plánů mohou být specifická protierozní opatření realizována na kterékoliv zemědělské ploše, neboť to umožňují podmínky využití ploch NS uvedené v ÚP v kap. F.</w:t>
      </w:r>
    </w:p>
    <w:p w14:paraId="5A0AF2C4" w14:textId="77777777" w:rsidR="00616B5A" w:rsidRPr="00931375" w:rsidRDefault="008726B0" w:rsidP="00616B5A">
      <w:pPr>
        <w:pStyle w:val="Heading3"/>
      </w:pPr>
      <w:bookmarkStart w:id="150" w:name="_Toc268687974"/>
      <w:bookmarkStart w:id="151" w:name="_Toc36116310"/>
      <w:r w:rsidRPr="00461C16">
        <w:t>6.6.</w:t>
      </w:r>
      <w:r w:rsidR="0023064A" w:rsidRPr="00461C16">
        <w:t>7</w:t>
      </w:r>
      <w:r w:rsidRPr="00461C16">
        <w:tab/>
        <w:t xml:space="preserve">Vodní režim a </w:t>
      </w:r>
      <w:r w:rsidRPr="00931375">
        <w:t>o</w:t>
      </w:r>
      <w:r w:rsidR="00616B5A" w:rsidRPr="00931375">
        <w:t>chrana před povodněmi</w:t>
      </w:r>
      <w:bookmarkEnd w:id="150"/>
      <w:bookmarkEnd w:id="151"/>
    </w:p>
    <w:p w14:paraId="711028A9" w14:textId="77777777" w:rsidR="00616B5A" w:rsidRPr="00931375" w:rsidRDefault="00616B5A" w:rsidP="00616B5A">
      <w:pPr>
        <w:rPr>
          <w:i/>
          <w:sz w:val="20"/>
          <w:szCs w:val="20"/>
        </w:rPr>
      </w:pPr>
      <w:r w:rsidRPr="00931375">
        <w:rPr>
          <w:i/>
          <w:sz w:val="20"/>
          <w:szCs w:val="20"/>
        </w:rPr>
        <w:t xml:space="preserve">(k bodům </w:t>
      </w:r>
      <w:r w:rsidR="009C11B0" w:rsidRPr="00931375">
        <w:rPr>
          <w:i/>
          <w:sz w:val="20"/>
          <w:szCs w:val="20"/>
        </w:rPr>
        <w:t>E1</w:t>
      </w:r>
      <w:r w:rsidR="00931375" w:rsidRPr="00931375">
        <w:rPr>
          <w:i/>
          <w:sz w:val="20"/>
          <w:szCs w:val="20"/>
        </w:rPr>
        <w:t>5</w:t>
      </w:r>
      <w:r w:rsidR="009C11B0" w:rsidRPr="00931375">
        <w:rPr>
          <w:i/>
          <w:sz w:val="20"/>
          <w:szCs w:val="20"/>
        </w:rPr>
        <w:t xml:space="preserve"> </w:t>
      </w:r>
      <w:r w:rsidRPr="00931375">
        <w:rPr>
          <w:i/>
          <w:sz w:val="20"/>
          <w:szCs w:val="20"/>
        </w:rPr>
        <w:t xml:space="preserve">– </w:t>
      </w:r>
      <w:r w:rsidR="007C72AA" w:rsidRPr="00931375">
        <w:rPr>
          <w:i/>
          <w:sz w:val="20"/>
          <w:szCs w:val="20"/>
        </w:rPr>
        <w:t>E1</w:t>
      </w:r>
      <w:r w:rsidR="00931375" w:rsidRPr="00931375">
        <w:rPr>
          <w:i/>
          <w:sz w:val="20"/>
          <w:szCs w:val="20"/>
        </w:rPr>
        <w:t>6</w:t>
      </w:r>
      <w:r w:rsidR="007C72AA" w:rsidRPr="00931375">
        <w:rPr>
          <w:i/>
          <w:sz w:val="20"/>
          <w:szCs w:val="20"/>
        </w:rPr>
        <w:t xml:space="preserve"> </w:t>
      </w:r>
      <w:r w:rsidR="00756815" w:rsidRPr="00931375">
        <w:rPr>
          <w:i/>
          <w:sz w:val="20"/>
          <w:szCs w:val="20"/>
        </w:rPr>
        <w:t>ÚP)</w:t>
      </w:r>
    </w:p>
    <w:p w14:paraId="13F4C4F9" w14:textId="718EDDF8" w:rsidR="009F4F5B" w:rsidRPr="00461C16" w:rsidRDefault="00756815" w:rsidP="00616B5A">
      <w:pPr>
        <w:pStyle w:val="1text"/>
        <w:rPr>
          <w:lang w:eastAsia="cs-CZ"/>
        </w:rPr>
      </w:pPr>
      <w:r w:rsidRPr="00931375">
        <w:rPr>
          <w:lang w:eastAsia="cs-CZ"/>
        </w:rPr>
        <w:t>Na území města j</w:t>
      </w:r>
      <w:r w:rsidR="009F4F5B" w:rsidRPr="00931375">
        <w:rPr>
          <w:lang w:eastAsia="cs-CZ"/>
        </w:rPr>
        <w:t>e</w:t>
      </w:r>
      <w:r w:rsidRPr="00931375">
        <w:rPr>
          <w:lang w:eastAsia="cs-CZ"/>
        </w:rPr>
        <w:t xml:space="preserve"> vymezen</w:t>
      </w:r>
      <w:r w:rsidR="009F4F5B" w:rsidRPr="00931375">
        <w:rPr>
          <w:lang w:eastAsia="cs-CZ"/>
        </w:rPr>
        <w:t xml:space="preserve">o </w:t>
      </w:r>
      <w:r w:rsidRPr="00931375">
        <w:rPr>
          <w:lang w:eastAsia="cs-CZ"/>
        </w:rPr>
        <w:t>záplavov</w:t>
      </w:r>
      <w:r w:rsidR="009F4F5B" w:rsidRPr="00931375">
        <w:rPr>
          <w:lang w:eastAsia="cs-CZ"/>
        </w:rPr>
        <w:t xml:space="preserve">é </w:t>
      </w:r>
      <w:r w:rsidRPr="00931375">
        <w:rPr>
          <w:lang w:eastAsia="cs-CZ"/>
        </w:rPr>
        <w:t>území</w:t>
      </w:r>
      <w:r w:rsidR="009F4F5B" w:rsidRPr="00931375">
        <w:rPr>
          <w:lang w:eastAsia="cs-CZ"/>
        </w:rPr>
        <w:t xml:space="preserve"> </w:t>
      </w:r>
      <w:r w:rsidR="007C72AA" w:rsidRPr="00931375">
        <w:rPr>
          <w:lang w:eastAsia="cs-CZ"/>
        </w:rPr>
        <w:t>Q</w:t>
      </w:r>
      <w:r w:rsidR="007C72AA" w:rsidRPr="00931375">
        <w:rPr>
          <w:vertAlign w:val="subscript"/>
          <w:lang w:eastAsia="cs-CZ"/>
        </w:rPr>
        <w:t>100</w:t>
      </w:r>
      <w:r w:rsidR="007C72AA" w:rsidRPr="00931375">
        <w:rPr>
          <w:lang w:eastAsia="cs-CZ"/>
        </w:rPr>
        <w:t xml:space="preserve"> </w:t>
      </w:r>
      <w:r w:rsidR="009F4F5B" w:rsidRPr="00931375">
        <w:rPr>
          <w:lang w:eastAsia="cs-CZ"/>
        </w:rPr>
        <w:t>Lužické Nisy</w:t>
      </w:r>
      <w:r w:rsidR="007C72AA" w:rsidRPr="00931375">
        <w:rPr>
          <w:lang w:eastAsia="cs-CZ"/>
        </w:rPr>
        <w:t xml:space="preserve"> a Oldřichovského potoka, s aktivní zónou záplavového území</w:t>
      </w:r>
      <w:r w:rsidRPr="00931375">
        <w:rPr>
          <w:lang w:eastAsia="cs-CZ"/>
        </w:rPr>
        <w:t xml:space="preserve">. </w:t>
      </w:r>
      <w:r w:rsidR="007C72AA" w:rsidRPr="00931375">
        <w:t>Je žádoucí pro</w:t>
      </w:r>
      <w:r w:rsidR="007C72AA" w:rsidRPr="00D015E5">
        <w:t>vést jejich revizi</w:t>
      </w:r>
      <w:r w:rsidR="007C72AA">
        <w:t xml:space="preserve"> a rozsah záplavových území aktualizovat. </w:t>
      </w:r>
      <w:r w:rsidR="007C72AA" w:rsidRPr="00346ED2">
        <w:t>Obecnou ochranu před povodněmi d</w:t>
      </w:r>
      <w:r w:rsidR="007C72AA">
        <w:t>efinuje P</w:t>
      </w:r>
      <w:r w:rsidR="007C72AA" w:rsidRPr="00346ED2">
        <w:t xml:space="preserve">ovodňový plán města. </w:t>
      </w:r>
      <w:r w:rsidR="00E16279">
        <w:rPr>
          <w:lang w:eastAsia="cs-CZ"/>
        </w:rPr>
        <w:t>V území není stanovena zóna rozlivu způsobené zvláštní povodní.</w:t>
      </w:r>
    </w:p>
    <w:p w14:paraId="30353563" w14:textId="77777777" w:rsidR="007C72AA" w:rsidRPr="00BC1E83" w:rsidRDefault="007C72AA" w:rsidP="007C72AA">
      <w:pPr>
        <w:pStyle w:val="1text"/>
      </w:pPr>
      <w:r w:rsidRPr="00BC1E83">
        <w:t>Kromě řešení technické ochrany jsou v ÚP definována ustanovení týkající se zlepšení vodního režimu a akumulace vody v krajině a požadavky týkající se údržby drobných protierozních a protipovodňových opatření v</w:t>
      </w:r>
      <w:r>
        <w:t> </w:t>
      </w:r>
      <w:r w:rsidRPr="00BC1E83">
        <w:t>krajině</w:t>
      </w:r>
      <w:r>
        <w:t xml:space="preserve">, </w:t>
      </w:r>
      <w:r w:rsidRPr="00461C16">
        <w:rPr>
          <w:lang w:eastAsia="cs-CZ"/>
        </w:rPr>
        <w:t>která nelze ošetřit v územním plánu</w:t>
      </w:r>
      <w:r w:rsidRPr="00BC1E83">
        <w:t>. Důvodem jejich uvedení je potřeba řešit problematiku povodí 4. řádu a eliminovat tak alespoň částečně hrozbu bleskových povodní.</w:t>
      </w:r>
    </w:p>
    <w:p w14:paraId="044DE1E6" w14:textId="77777777" w:rsidR="007C72AA" w:rsidRPr="00BC1E83" w:rsidRDefault="007C72AA" w:rsidP="007C72AA">
      <w:pPr>
        <w:pStyle w:val="BodyText2"/>
        <w:spacing w:before="120" w:line="240" w:lineRule="auto"/>
      </w:pPr>
      <w:r>
        <w:t>Z</w:t>
      </w:r>
      <w:r w:rsidRPr="00BC1E83">
        <w:t xml:space="preserve">atápění území </w:t>
      </w:r>
      <w:r>
        <w:t xml:space="preserve">lze čelit </w:t>
      </w:r>
      <w:r w:rsidRPr="00BC1E83">
        <w:t xml:space="preserve">především odpovídající údržbou koryt všech potoků, adekvátní rekonstrukcí systému veřejné kanalizace, zabezpečením kvalitní součinnosti všech zde působících odvodňovacích systémů a případně i dalšími opatřeními. </w:t>
      </w:r>
    </w:p>
    <w:p w14:paraId="3ADFDA3F" w14:textId="77777777" w:rsidR="007C72AA" w:rsidRPr="00BC1E83" w:rsidRDefault="007C72AA" w:rsidP="007C72AA">
      <w:pPr>
        <w:pStyle w:val="BodyTextIndent"/>
        <w:spacing w:before="120" w:line="240" w:lineRule="auto"/>
        <w:ind w:left="0"/>
        <w:rPr>
          <w:lang w:val="x-none"/>
        </w:rPr>
      </w:pPr>
      <w:r w:rsidRPr="00BC1E83">
        <w:t>Velice důležité je rovněž to, aby odpovídající údržbou a provozem bylo postaráno o trvalou adekvátní funkci a součinnost všech stávajících odvodňovacích subsystémů zájmového území (včetně hlavních hydromelioračních odvodňovacích zařízení, odvodňovacích struh a odvodňovacích zařízení pozemních komunikací a železnice).</w:t>
      </w:r>
    </w:p>
    <w:p w14:paraId="38C46460" w14:textId="77777777" w:rsidR="007C72AA" w:rsidRPr="00BC1E83" w:rsidRDefault="007C72AA" w:rsidP="007C72AA">
      <w:pPr>
        <w:pStyle w:val="1text"/>
        <w:spacing w:after="120"/>
      </w:pPr>
      <w:r w:rsidRPr="00BC1E83">
        <w:t>Dále je potřeba se vyvarovat skladování sypkých a dalších podobných materiálů v blízkosti vodních toků způsobujících, po jejich splachu, snížení průtočné kapacity jejich koryt (i zatrubněných úseků), vzdouvání hladiny vody a další potíže. Je třeba dbát na to, aby se recipienty v zájmovém území nestaly místy likvidace jakéhokoliv odpadu.</w:t>
      </w:r>
    </w:p>
    <w:p w14:paraId="614B8745" w14:textId="77777777" w:rsidR="007C72AA" w:rsidRPr="00BC1E83" w:rsidRDefault="007C72AA" w:rsidP="007C72AA">
      <w:pPr>
        <w:pStyle w:val="1text"/>
        <w:spacing w:after="120"/>
      </w:pPr>
      <w:r w:rsidRPr="00BC1E83">
        <w:t>Nezbytné je zachování provozního pásma pro údržbu vodních toků, které činí dle zákona č.254/2001 Sb. v platném znění, resp. č.20/2004 Sb. v platném znění, vodní zákon, 6 až 8 m od břehové čáry (s přihlédnutím ke druhu opevnění a vegetace), může být tedy v tomto případě na základě požadavků provozovatele rozšířeno až na 8 m.</w:t>
      </w:r>
    </w:p>
    <w:p w14:paraId="29915E73" w14:textId="77777777" w:rsidR="007C72AA" w:rsidRDefault="007C72AA" w:rsidP="007C72AA">
      <w:pPr>
        <w:pStyle w:val="BodyText21"/>
        <w:spacing w:after="120"/>
        <w:ind w:firstLine="0"/>
        <w:rPr>
          <w:rFonts w:ascii="Arial Narrow" w:hAnsi="Arial Narrow"/>
          <w:sz w:val="22"/>
          <w:szCs w:val="22"/>
        </w:rPr>
      </w:pPr>
      <w:r w:rsidRPr="00BC1E83">
        <w:rPr>
          <w:rFonts w:ascii="Arial Narrow" w:hAnsi="Arial Narrow"/>
          <w:sz w:val="22"/>
          <w:szCs w:val="22"/>
        </w:rPr>
        <w:t xml:space="preserve">Omezení vyplývající ze záplavového území, jsou stanovena v zákoně č. 254/2001 Sb., resp.č.20/2004 Sb., resp. č.39/2015 Sb., </w:t>
      </w:r>
      <w:r w:rsidRPr="00BC1E83">
        <w:rPr>
          <w:rFonts w:ascii="Arial Narrow" w:hAnsi="Arial Narrow"/>
          <w:i/>
          <w:sz w:val="22"/>
          <w:szCs w:val="22"/>
        </w:rPr>
        <w:t>o vodách</w:t>
      </w:r>
      <w:r w:rsidRPr="00BC1E83">
        <w:rPr>
          <w:rFonts w:ascii="Arial Narrow" w:hAnsi="Arial Narrow"/>
          <w:sz w:val="22"/>
          <w:szCs w:val="22"/>
        </w:rPr>
        <w:t xml:space="preserve"> v platném znění. Veškeré stavby a činnosti v inundačním území podléhají souhlasu vodoprávního orgánu podle § 17 tohoto zákona. </w:t>
      </w:r>
    </w:p>
    <w:p w14:paraId="00FB8DA1" w14:textId="7943BF13" w:rsidR="00931375" w:rsidRPr="00931375" w:rsidRDefault="00A43C87" w:rsidP="00A06EB9">
      <w:pPr>
        <w:spacing w:line="240" w:lineRule="auto"/>
        <w:jc w:val="left"/>
        <w:rPr>
          <w:i/>
          <w:sz w:val="20"/>
          <w:szCs w:val="20"/>
        </w:rPr>
      </w:pPr>
      <w:r>
        <w:rPr>
          <w:i/>
          <w:sz w:val="20"/>
          <w:szCs w:val="20"/>
        </w:rPr>
        <w:br w:type="page"/>
      </w:r>
      <w:r w:rsidR="00931375" w:rsidRPr="00931375">
        <w:rPr>
          <w:i/>
          <w:sz w:val="20"/>
          <w:szCs w:val="20"/>
        </w:rPr>
        <w:lastRenderedPageBreak/>
        <w:t>(k bodu E1</w:t>
      </w:r>
      <w:r w:rsidR="00931375">
        <w:rPr>
          <w:i/>
          <w:sz w:val="20"/>
          <w:szCs w:val="20"/>
        </w:rPr>
        <w:t>7</w:t>
      </w:r>
      <w:r w:rsidR="00931375" w:rsidRPr="00931375">
        <w:rPr>
          <w:i/>
          <w:sz w:val="20"/>
          <w:szCs w:val="20"/>
        </w:rPr>
        <w:t xml:space="preserve"> ÚP)</w:t>
      </w:r>
    </w:p>
    <w:p w14:paraId="4D75149B" w14:textId="77777777" w:rsidR="007C72AA" w:rsidRDefault="007C72AA" w:rsidP="00616B5A">
      <w:pPr>
        <w:pStyle w:val="1text"/>
      </w:pPr>
      <w:r>
        <w:t>Pro ochranu před povodněmi j</w:t>
      </w:r>
      <w:r w:rsidR="006D5245">
        <w:t>e</w:t>
      </w:r>
      <w:r>
        <w:t xml:space="preserve"> n</w:t>
      </w:r>
      <w:r w:rsidRPr="00D84C37">
        <w:t xml:space="preserve">a území </w:t>
      </w:r>
      <w:r w:rsidRPr="00A566E0">
        <w:t>města vymezen koridor</w:t>
      </w:r>
      <w:r w:rsidR="006D5245">
        <w:t xml:space="preserve"> X02 </w:t>
      </w:r>
      <w:r w:rsidRPr="00A566E0">
        <w:t>na toku Lužické Nisy</w:t>
      </w:r>
      <w:r w:rsidR="006D5245">
        <w:t>.</w:t>
      </w:r>
      <w:r w:rsidRPr="00A566E0">
        <w:t xml:space="preserve"> V současné době se zpracovává „Studie odtokových poměrů včetně návrhů možných protipovodňových opatření pro povodí Lužické Nisy“,</w:t>
      </w:r>
      <w:r w:rsidRPr="00D84C37">
        <w:t xml:space="preserve"> z níž by měly vyplynout konkrétní záměry pro území města Hrádek nad Nisou.</w:t>
      </w:r>
      <w:r w:rsidRPr="00D84C37">
        <w:rPr>
          <w:i/>
        </w:rPr>
        <w:t xml:space="preserve"> </w:t>
      </w:r>
      <w:r w:rsidRPr="00D84C37">
        <w:t xml:space="preserve">Možnost realizace protipovodňových opatření mimo vymezené koridory je nicméně v případě potřeby umožněna i §18, odst. 5 stavebního zákona, tedy kdekoliv v nezastavěném území, jako </w:t>
      </w:r>
      <w:r w:rsidRPr="00D84C37">
        <w:rPr>
          <w:rFonts w:cs="Arial"/>
          <w:color w:val="000000"/>
          <w:shd w:val="clear" w:color="auto" w:fill="FFFFFF"/>
        </w:rPr>
        <w:t>stavby, zařízení a jiná opatření pro snižování nebezpečí přírodních katastrof a pro odstraňování jejich důsledků</w:t>
      </w:r>
      <w:r w:rsidRPr="00D84C37">
        <w:t>.</w:t>
      </w:r>
    </w:p>
    <w:p w14:paraId="1FA46437" w14:textId="77777777" w:rsidR="00931375" w:rsidRPr="00931375" w:rsidRDefault="00931375" w:rsidP="00931375">
      <w:pPr>
        <w:spacing w:before="120"/>
        <w:rPr>
          <w:i/>
          <w:sz w:val="20"/>
          <w:szCs w:val="20"/>
        </w:rPr>
      </w:pPr>
      <w:r w:rsidRPr="00931375">
        <w:rPr>
          <w:i/>
          <w:sz w:val="20"/>
          <w:szCs w:val="20"/>
        </w:rPr>
        <w:t>(k bodu E1</w:t>
      </w:r>
      <w:r>
        <w:rPr>
          <w:i/>
          <w:sz w:val="20"/>
          <w:szCs w:val="20"/>
        </w:rPr>
        <w:t>8</w:t>
      </w:r>
      <w:r w:rsidRPr="00931375">
        <w:rPr>
          <w:i/>
          <w:sz w:val="20"/>
          <w:szCs w:val="20"/>
        </w:rPr>
        <w:t xml:space="preserve"> ÚP)</w:t>
      </w:r>
    </w:p>
    <w:p w14:paraId="00A55220" w14:textId="10E65494" w:rsidR="00931375" w:rsidRDefault="00931375" w:rsidP="00931375">
      <w:pPr>
        <w:pStyle w:val="1text"/>
        <w:rPr>
          <w:rStyle w:val="NvrhP-text"/>
        </w:rPr>
      </w:pPr>
      <w:r w:rsidRPr="00931375">
        <w:rPr>
          <w:rStyle w:val="NvrhP-text"/>
        </w:rPr>
        <w:t>Pro území v povodí</w:t>
      </w:r>
      <w:r>
        <w:rPr>
          <w:rStyle w:val="NvrhP-text"/>
        </w:rPr>
        <w:t xml:space="preserve"> Václavického potoka byla zpracována analýza hydrologických funkcí krajiny</w:t>
      </w:r>
      <w:r w:rsidRPr="00B7067A">
        <w:rPr>
          <w:rStyle w:val="FootnoteReference"/>
        </w:rPr>
        <w:footnoteReference w:id="8"/>
      </w:r>
      <w:r>
        <w:rPr>
          <w:rStyle w:val="NvrhP-text"/>
        </w:rPr>
        <w:t xml:space="preserve">, zaměřená na likvidaci již nevyužívaných a nepotřebných odvodňovacích staveb a naopak směřující ke zvýšení zásob vody v krajině. Důvodem je ochrana území před nežádoucím vysycháním v důsledku klimatických změn </w:t>
      </w:r>
      <w:r w:rsidR="00C80233">
        <w:rPr>
          <w:rStyle w:val="NvrhP-text"/>
        </w:rPr>
        <w:t xml:space="preserve">a těžby v hnědouhelném dole Turów </w:t>
      </w:r>
      <w:r>
        <w:rPr>
          <w:rStyle w:val="NvrhP-text"/>
        </w:rPr>
        <w:t>a snaha o zadržení vody k udržení současných funkcí a charakteru krajiny. Výsledkem analýzy je vymezení lokalit, ve kterých je navržen soubor opatření</w:t>
      </w:r>
      <w:r w:rsidR="00C80233">
        <w:rPr>
          <w:rStyle w:val="NvrhP-text"/>
        </w:rPr>
        <w:t xml:space="preserve">, ve správním území města Hrádek nad Nisou (k.ú. Václavice u Hrádku nad Nisou) je přitom vymezeno celkem 10 lokalit. Předmětem navržených opatření je zejména revitalizace toku, </w:t>
      </w:r>
      <w:r w:rsidR="00E50848">
        <w:rPr>
          <w:rStyle w:val="NvrhP-text"/>
        </w:rPr>
        <w:t xml:space="preserve">založení či </w:t>
      </w:r>
      <w:r w:rsidR="00C80233">
        <w:rPr>
          <w:rStyle w:val="NvrhP-text"/>
        </w:rPr>
        <w:t>obnova rybníka</w:t>
      </w:r>
      <w:r w:rsidR="00E50848">
        <w:rPr>
          <w:rStyle w:val="NvrhP-text"/>
        </w:rPr>
        <w:t>,</w:t>
      </w:r>
      <w:r w:rsidR="00C80233">
        <w:rPr>
          <w:rStyle w:val="NvrhP-text"/>
        </w:rPr>
        <w:t xml:space="preserve"> vytvoření soustavy tůní a mokřadů, doplnění výsadby</w:t>
      </w:r>
      <w:r w:rsidR="00E50848">
        <w:rPr>
          <w:rStyle w:val="NvrhP-text"/>
        </w:rPr>
        <w:t xml:space="preserve"> nebo</w:t>
      </w:r>
      <w:r w:rsidR="00C80233">
        <w:rPr>
          <w:rStyle w:val="NvrhP-text"/>
        </w:rPr>
        <w:t xml:space="preserve"> změny druhové skladby porostu</w:t>
      </w:r>
      <w:r w:rsidR="00E50848">
        <w:rPr>
          <w:rStyle w:val="NvrhP-text"/>
        </w:rPr>
        <w:t>.</w:t>
      </w:r>
    </w:p>
    <w:p w14:paraId="614C3551" w14:textId="77777777" w:rsidR="00C80233" w:rsidRPr="00461C16" w:rsidRDefault="00C80233" w:rsidP="00931375">
      <w:pPr>
        <w:pStyle w:val="1text"/>
        <w:rPr>
          <w:lang w:eastAsia="cs-CZ"/>
        </w:rPr>
      </w:pPr>
      <w:r>
        <w:rPr>
          <w:rStyle w:val="NvrhP-text"/>
        </w:rPr>
        <w:t>Velká část opatření nemá územní průmět, ostatní jsou realizovatelná v souladu s podmínkami pro využití ploch s rozdílným způsobem využití (kap. F.1 ÚP)</w:t>
      </w:r>
      <w:r w:rsidR="002C1C05">
        <w:rPr>
          <w:rStyle w:val="NvrhP-text"/>
        </w:rPr>
        <w:t>, případně v souladu s §18, odst. 5 stavebního zákona, jako stavby, zařízení a opatření pro ochranu přírody a krajiny a pro snižování nebezpečí ekologických a přírodních katastrof</w:t>
      </w:r>
      <w:r>
        <w:rPr>
          <w:rStyle w:val="NvrhP-text"/>
        </w:rPr>
        <w:t>.</w:t>
      </w:r>
    </w:p>
    <w:p w14:paraId="43A65E43" w14:textId="77777777" w:rsidR="00616B5A" w:rsidRPr="00461C16" w:rsidRDefault="00616B5A" w:rsidP="00616B5A">
      <w:pPr>
        <w:pStyle w:val="Heading3"/>
      </w:pPr>
      <w:bookmarkStart w:id="152" w:name="_Toc268687975"/>
      <w:bookmarkStart w:id="153" w:name="_Toc36116311"/>
      <w:r w:rsidRPr="00461C16">
        <w:t>6.6.</w:t>
      </w:r>
      <w:r w:rsidR="0023064A" w:rsidRPr="00461C16">
        <w:t>8</w:t>
      </w:r>
      <w:r w:rsidRPr="00461C16">
        <w:tab/>
        <w:t>Rekreační využívání krajiny</w:t>
      </w:r>
      <w:bookmarkEnd w:id="152"/>
      <w:bookmarkEnd w:id="153"/>
    </w:p>
    <w:p w14:paraId="607AFC9D" w14:textId="77777777" w:rsidR="00616B5A" w:rsidRPr="00461C16" w:rsidRDefault="00616B5A" w:rsidP="00616B5A">
      <w:pPr>
        <w:rPr>
          <w:i/>
          <w:sz w:val="20"/>
          <w:szCs w:val="20"/>
        </w:rPr>
      </w:pPr>
      <w:r w:rsidRPr="00931375">
        <w:rPr>
          <w:i/>
          <w:sz w:val="20"/>
          <w:szCs w:val="20"/>
        </w:rPr>
        <w:t xml:space="preserve">(k bodům </w:t>
      </w:r>
      <w:r w:rsidR="007C72AA" w:rsidRPr="00931375">
        <w:rPr>
          <w:i/>
          <w:sz w:val="20"/>
          <w:szCs w:val="20"/>
        </w:rPr>
        <w:t>E1</w:t>
      </w:r>
      <w:r w:rsidR="00931375" w:rsidRPr="00931375">
        <w:rPr>
          <w:i/>
          <w:sz w:val="20"/>
          <w:szCs w:val="20"/>
        </w:rPr>
        <w:t>9</w:t>
      </w:r>
      <w:r w:rsidR="007C72AA" w:rsidRPr="00931375">
        <w:rPr>
          <w:i/>
          <w:sz w:val="20"/>
          <w:szCs w:val="20"/>
        </w:rPr>
        <w:t xml:space="preserve"> </w:t>
      </w:r>
      <w:r w:rsidRPr="00931375">
        <w:rPr>
          <w:i/>
          <w:sz w:val="20"/>
          <w:szCs w:val="20"/>
        </w:rPr>
        <w:t xml:space="preserve">– </w:t>
      </w:r>
      <w:r w:rsidR="007C72AA" w:rsidRPr="00931375">
        <w:rPr>
          <w:i/>
          <w:sz w:val="20"/>
          <w:szCs w:val="20"/>
        </w:rPr>
        <w:t>E</w:t>
      </w:r>
      <w:r w:rsidR="00931375" w:rsidRPr="00931375">
        <w:rPr>
          <w:i/>
          <w:sz w:val="20"/>
          <w:szCs w:val="20"/>
        </w:rPr>
        <w:t>22</w:t>
      </w:r>
      <w:r w:rsidR="007C72AA" w:rsidRPr="00931375">
        <w:rPr>
          <w:i/>
          <w:sz w:val="20"/>
          <w:szCs w:val="20"/>
        </w:rPr>
        <w:t xml:space="preserve"> </w:t>
      </w:r>
      <w:r w:rsidR="00756815" w:rsidRPr="00931375">
        <w:rPr>
          <w:i/>
          <w:sz w:val="20"/>
          <w:szCs w:val="20"/>
        </w:rPr>
        <w:t>ÚP)</w:t>
      </w:r>
    </w:p>
    <w:p w14:paraId="693A0FCA" w14:textId="77777777" w:rsidR="00616B5A" w:rsidRPr="00461C16" w:rsidRDefault="00616B5A" w:rsidP="00753F4E">
      <w:pPr>
        <w:pStyle w:val="4podnadpis"/>
      </w:pPr>
      <w:r w:rsidRPr="00461C16">
        <w:t xml:space="preserve">Podklady </w:t>
      </w:r>
    </w:p>
    <w:p w14:paraId="737CA2C7" w14:textId="77777777" w:rsidR="00616B5A" w:rsidRPr="00461C16" w:rsidRDefault="00616B5A" w:rsidP="00616B5A">
      <w:pPr>
        <w:pStyle w:val="1odstavec"/>
      </w:pPr>
      <w:r w:rsidRPr="00461C16">
        <w:t>Podkladem pro řešení problematiky rekreačního využití krajiny byly průzkumy zhotovitele.</w:t>
      </w:r>
    </w:p>
    <w:p w14:paraId="0F7DA9CD" w14:textId="77777777" w:rsidR="00616B5A" w:rsidRPr="00461C16" w:rsidRDefault="00616B5A" w:rsidP="00753F4E">
      <w:pPr>
        <w:pStyle w:val="4podnadpis"/>
        <w:rPr>
          <w:rStyle w:val="NvrhP-text"/>
        </w:rPr>
      </w:pPr>
      <w:r w:rsidRPr="00461C16">
        <w:rPr>
          <w:rStyle w:val="NvrhP-text"/>
        </w:rPr>
        <w:t xml:space="preserve">Návrh řešení a jeho odůvodnění </w:t>
      </w:r>
    </w:p>
    <w:p w14:paraId="62E7DA8A" w14:textId="77777777" w:rsidR="00077D9D" w:rsidRDefault="00616B5A" w:rsidP="00616B5A">
      <w:pPr>
        <w:pStyle w:val="1text"/>
        <w:rPr>
          <w:rStyle w:val="NvrhP-text"/>
        </w:rPr>
      </w:pPr>
      <w:r w:rsidRPr="00461C16">
        <w:rPr>
          <w:rStyle w:val="NvrhP-text"/>
        </w:rPr>
        <w:t>Rekreační využití území města patří k</w:t>
      </w:r>
      <w:r w:rsidR="009F4F5B" w:rsidRPr="00461C16">
        <w:rPr>
          <w:rStyle w:val="NvrhP-text"/>
        </w:rPr>
        <w:t xml:space="preserve"> jeho </w:t>
      </w:r>
      <w:r w:rsidR="00077D9D" w:rsidRPr="00461C16">
        <w:rPr>
          <w:rStyle w:val="NvrhP-text"/>
        </w:rPr>
        <w:t xml:space="preserve">důležitým </w:t>
      </w:r>
      <w:r w:rsidRPr="00461C16">
        <w:rPr>
          <w:rStyle w:val="NvrhP-text"/>
        </w:rPr>
        <w:t>rozvojovým faktorům. Podstatn</w:t>
      </w:r>
      <w:r w:rsidR="00077D9D" w:rsidRPr="00461C16">
        <w:rPr>
          <w:rStyle w:val="NvrhP-text"/>
        </w:rPr>
        <w:t xml:space="preserve">á </w:t>
      </w:r>
      <w:r w:rsidRPr="00461C16">
        <w:rPr>
          <w:rStyle w:val="NvrhP-text"/>
        </w:rPr>
        <w:t xml:space="preserve">je z tohoto pohledu zejména </w:t>
      </w:r>
      <w:r w:rsidR="00077D9D" w:rsidRPr="00461C16">
        <w:rPr>
          <w:rStyle w:val="NvrhP-text"/>
        </w:rPr>
        <w:t xml:space="preserve">pobytová turistika vázaná na </w:t>
      </w:r>
      <w:r w:rsidR="009F4F5B" w:rsidRPr="00461C16">
        <w:rPr>
          <w:rStyle w:val="NvrhP-text"/>
        </w:rPr>
        <w:t xml:space="preserve">nádrž </w:t>
      </w:r>
      <w:r w:rsidR="0023064A" w:rsidRPr="00461C16">
        <w:rPr>
          <w:rStyle w:val="NvrhP-text"/>
        </w:rPr>
        <w:t xml:space="preserve">(zatopený lom) </w:t>
      </w:r>
      <w:r w:rsidR="009F4F5B" w:rsidRPr="00461C16">
        <w:rPr>
          <w:rStyle w:val="NvrhP-text"/>
        </w:rPr>
        <w:t xml:space="preserve">Kristýna a na ni navazující </w:t>
      </w:r>
      <w:r w:rsidR="00077D9D" w:rsidRPr="00461C16">
        <w:rPr>
          <w:rStyle w:val="NvrhP-text"/>
        </w:rPr>
        <w:t>kemp</w:t>
      </w:r>
      <w:r w:rsidR="0023064A" w:rsidRPr="00461C16">
        <w:rPr>
          <w:rStyle w:val="NvrhP-text"/>
        </w:rPr>
        <w:t xml:space="preserve">, ranč, a chatová osada. </w:t>
      </w:r>
      <w:r w:rsidR="00077D9D" w:rsidRPr="00461C16">
        <w:rPr>
          <w:rStyle w:val="NvrhP-text"/>
        </w:rPr>
        <w:t>Pro rozšíření</w:t>
      </w:r>
      <w:r w:rsidR="00B345B4" w:rsidRPr="00461C16">
        <w:rPr>
          <w:rStyle w:val="NvrhP-text"/>
        </w:rPr>
        <w:t xml:space="preserve"> </w:t>
      </w:r>
      <w:r w:rsidR="0023064A" w:rsidRPr="00461C16">
        <w:rPr>
          <w:rStyle w:val="NvrhP-text"/>
        </w:rPr>
        <w:t>rekreace v této hodně využívané oblasti</w:t>
      </w:r>
      <w:r w:rsidR="00077D9D" w:rsidRPr="00461C16">
        <w:rPr>
          <w:rStyle w:val="NvrhP-text"/>
        </w:rPr>
        <w:t xml:space="preserve"> j</w:t>
      </w:r>
      <w:r w:rsidR="0023064A" w:rsidRPr="00461C16">
        <w:rPr>
          <w:rStyle w:val="NvrhP-text"/>
        </w:rPr>
        <w:t xml:space="preserve">sou </w:t>
      </w:r>
      <w:r w:rsidR="00077D9D" w:rsidRPr="00461C16">
        <w:rPr>
          <w:rStyle w:val="NvrhP-text"/>
        </w:rPr>
        <w:t>vymezen</w:t>
      </w:r>
      <w:r w:rsidR="0023064A" w:rsidRPr="00461C16">
        <w:rPr>
          <w:rStyle w:val="NvrhP-text"/>
        </w:rPr>
        <w:t>y</w:t>
      </w:r>
      <w:r w:rsidR="00077D9D" w:rsidRPr="00461C16">
        <w:rPr>
          <w:rStyle w:val="NvrhP-text"/>
        </w:rPr>
        <w:t xml:space="preserve"> zastaviteln</w:t>
      </w:r>
      <w:r w:rsidR="0023064A" w:rsidRPr="00461C16">
        <w:rPr>
          <w:rStyle w:val="NvrhP-text"/>
        </w:rPr>
        <w:t xml:space="preserve">é </w:t>
      </w:r>
      <w:r w:rsidR="00077D9D" w:rsidRPr="00461C16">
        <w:rPr>
          <w:rStyle w:val="NvrhP-text"/>
        </w:rPr>
        <w:t>plochy Z</w:t>
      </w:r>
      <w:r w:rsidR="0023064A" w:rsidRPr="00461C16">
        <w:rPr>
          <w:rStyle w:val="NvrhP-text"/>
        </w:rPr>
        <w:t>32 (RN) a Z35 (RN) Využitím těchto ploch dojde k ucelení nabídky krátkodobé i pobytové rekreace</w:t>
      </w:r>
      <w:r w:rsidR="00077D9D" w:rsidRPr="00461C16">
        <w:rPr>
          <w:rStyle w:val="NvrhP-text"/>
        </w:rPr>
        <w:t>.</w:t>
      </w:r>
    </w:p>
    <w:p w14:paraId="73B7BB65" w14:textId="77777777" w:rsidR="007B0B07" w:rsidRPr="00461C16" w:rsidRDefault="007B0B07" w:rsidP="007B0B07">
      <w:pPr>
        <w:spacing w:before="120"/>
      </w:pPr>
      <w:r w:rsidRPr="00461C16">
        <w:t>V části Loučná je v ploše Z58 navržen rozsáhlý rekreační lesopark, který částečně pokrývá deficit ploch pro krátkodobou rekreaci obyvatel. Myšlenka vychází ze studie „Revitalizace území a založení lesoparku v</w:t>
      </w:r>
      <w:r>
        <w:t> </w:t>
      </w:r>
      <w:r w:rsidRPr="00461C16">
        <w:t>Loučné</w:t>
      </w:r>
      <w:r>
        <w:t>“</w:t>
      </w:r>
      <w:r w:rsidRPr="00461C16">
        <w:t xml:space="preserve"> (atelier zahradní a krajinářské architektury, srpen 2014). Záměr využívá území louky, která byla často přirozeně zaplavovaná a i dnes je hladina vody překážkou pro zastavění tohoto území. Lesopark napomáhá zlepšení hydrologických poměrů v území a zároveň vytváří široké možnosti pro aktivní rekreaci všech generací. </w:t>
      </w:r>
    </w:p>
    <w:p w14:paraId="6A9CF4AB" w14:textId="77777777" w:rsidR="0023064A" w:rsidRPr="00461C16" w:rsidRDefault="00077D9D" w:rsidP="0023064A">
      <w:pPr>
        <w:spacing w:before="120" w:line="240" w:lineRule="auto"/>
      </w:pPr>
      <w:r w:rsidRPr="00461C16">
        <w:rPr>
          <w:rStyle w:val="NvrhP-text"/>
        </w:rPr>
        <w:t xml:space="preserve">Dalším důležitým způsobem rekreačního využití krajiny je cyklistika a pěší turistika. </w:t>
      </w:r>
      <w:r w:rsidR="0023064A" w:rsidRPr="00461C16">
        <w:t xml:space="preserve">Město Hrádek nad Nisou je vzhledem ke své poloze v Trojzemí a vzhledem k poloze na okraji CHKO Lužické hory a blízkosti CHKO Jizerské hory turisticky velmi atraktivním územím. Celkově je územím města vedena řada značených pěších turistických tras, jejichž největší koncentrace je v jihozápadní části v návaznosti na CHKO Lužické hory. Další turistické trasy jsou vedeny podél toku Lužické Nisy na hraniční přechod k německé obci Hartau, odkud je vedeno mnoho turistických tras na německou stranu. </w:t>
      </w:r>
    </w:p>
    <w:p w14:paraId="22634261" w14:textId="6F477161" w:rsidR="0023064A" w:rsidRPr="00461C16" w:rsidRDefault="0023064A" w:rsidP="0023064A">
      <w:pPr>
        <w:spacing w:before="120" w:line="240" w:lineRule="auto"/>
      </w:pPr>
      <w:r w:rsidRPr="00461C16">
        <w:rPr>
          <w:bCs/>
        </w:rPr>
        <w:t>Hrádek nad Nisou je významným výchozím i cílovým bodem několika regionálních a místních cykloturistických tras, které zprostředkovávají dostupnost významných regionálních i celostátních atraktivit cestovního ruchu</w:t>
      </w:r>
      <w:r w:rsidRPr="00461C16">
        <w:t xml:space="preserve">. Řešeným územím prochází značené cyklotrasy č. 14, č. 25, č. 3039 a č. 3069. Většina z nich na územní přesah na území Německa a Polska, kde volně navazují na systém cyklotras v těchto zemích. Všechny značené pěší i </w:t>
      </w:r>
      <w:r w:rsidRPr="00461C16">
        <w:lastRenderedPageBreak/>
        <w:t>cyklistické turistické trasy jsou v ÚP respektovány. Navržena je pouze jedna drobná plocha na hranici s obcí Jablonné v Podještědí (viz kap. 6.6.5).</w:t>
      </w:r>
    </w:p>
    <w:p w14:paraId="54F63930" w14:textId="22D5783F" w:rsidR="00077D9D" w:rsidRPr="00461C16" w:rsidRDefault="00077D9D" w:rsidP="00077D9D">
      <w:pPr>
        <w:pStyle w:val="1odstavec"/>
      </w:pPr>
      <w:r w:rsidRPr="00461C16">
        <w:t xml:space="preserve">Podstatným způsobem rekreačního využití je též individuální rekreace v chatových a zahrádkářských osadách a oblastech. Stávající rekreační plochy </w:t>
      </w:r>
      <w:r w:rsidR="0023064A" w:rsidRPr="00461C16">
        <w:t>tohoto charakteru j</w:t>
      </w:r>
      <w:r w:rsidRPr="00461C16">
        <w:t xml:space="preserve">sou </w:t>
      </w:r>
      <w:r w:rsidR="0023064A" w:rsidRPr="00461C16">
        <w:t xml:space="preserve">stabilizovány a </w:t>
      </w:r>
      <w:r w:rsidRPr="00461C16">
        <w:t xml:space="preserve">doplněny </w:t>
      </w:r>
      <w:r w:rsidR="00F16980" w:rsidRPr="00461C16">
        <w:t>o zastaviteln</w:t>
      </w:r>
      <w:r w:rsidR="0023064A" w:rsidRPr="00461C16">
        <w:t xml:space="preserve">ou </w:t>
      </w:r>
      <w:r w:rsidR="00F16980" w:rsidRPr="00461C16">
        <w:t>ploch</w:t>
      </w:r>
      <w:r w:rsidR="0023064A" w:rsidRPr="00461C16">
        <w:t>u Z56 (RZ), doplňující stávající rekreační osadu.</w:t>
      </w:r>
    </w:p>
    <w:p w14:paraId="04FCB7E3" w14:textId="77777777" w:rsidR="00616B5A" w:rsidRPr="00461C16" w:rsidRDefault="00616B5A" w:rsidP="00616B5A">
      <w:pPr>
        <w:pStyle w:val="Heading3"/>
      </w:pPr>
      <w:bookmarkStart w:id="154" w:name="_Toc36116312"/>
      <w:r w:rsidRPr="00461C16">
        <w:t>6.6.</w:t>
      </w:r>
      <w:r w:rsidR="00427598">
        <w:t>9</w:t>
      </w:r>
      <w:r w:rsidR="00427598" w:rsidRPr="00461C16">
        <w:t xml:space="preserve"> </w:t>
      </w:r>
      <w:r w:rsidR="00427598">
        <w:tab/>
      </w:r>
      <w:r w:rsidRPr="00461C16">
        <w:t>Dobývání nerostů</w:t>
      </w:r>
      <w:bookmarkEnd w:id="154"/>
    </w:p>
    <w:p w14:paraId="6E2743F2" w14:textId="77777777" w:rsidR="00616B5A" w:rsidRPr="00931375" w:rsidRDefault="00616B5A" w:rsidP="00616B5A">
      <w:pPr>
        <w:rPr>
          <w:i/>
          <w:sz w:val="20"/>
        </w:rPr>
      </w:pPr>
      <w:r w:rsidRPr="00931375">
        <w:rPr>
          <w:i/>
          <w:sz w:val="20"/>
        </w:rPr>
        <w:t>(K bod</w:t>
      </w:r>
      <w:r w:rsidR="00170778" w:rsidRPr="00931375">
        <w:rPr>
          <w:i/>
          <w:sz w:val="20"/>
        </w:rPr>
        <w:t>ům</w:t>
      </w:r>
      <w:r w:rsidRPr="00931375">
        <w:rPr>
          <w:i/>
          <w:sz w:val="20"/>
        </w:rPr>
        <w:t xml:space="preserve"> </w:t>
      </w:r>
      <w:r w:rsidR="007C72AA" w:rsidRPr="00931375">
        <w:rPr>
          <w:i/>
          <w:sz w:val="20"/>
        </w:rPr>
        <w:t>E</w:t>
      </w:r>
      <w:r w:rsidR="009C11B0" w:rsidRPr="00931375">
        <w:rPr>
          <w:i/>
          <w:sz w:val="20"/>
        </w:rPr>
        <w:t>2</w:t>
      </w:r>
      <w:r w:rsidR="00931375" w:rsidRPr="00931375">
        <w:rPr>
          <w:i/>
          <w:sz w:val="20"/>
        </w:rPr>
        <w:t>3</w:t>
      </w:r>
      <w:r w:rsidR="007C72AA" w:rsidRPr="00931375">
        <w:rPr>
          <w:i/>
          <w:sz w:val="20"/>
        </w:rPr>
        <w:t xml:space="preserve"> </w:t>
      </w:r>
      <w:r w:rsidR="00170778" w:rsidRPr="00931375">
        <w:rPr>
          <w:i/>
          <w:sz w:val="20"/>
        </w:rPr>
        <w:t xml:space="preserve">– </w:t>
      </w:r>
      <w:r w:rsidR="007C72AA" w:rsidRPr="00931375">
        <w:rPr>
          <w:i/>
          <w:sz w:val="20"/>
        </w:rPr>
        <w:t>E</w:t>
      </w:r>
      <w:r w:rsidR="009C11B0" w:rsidRPr="00931375">
        <w:rPr>
          <w:i/>
          <w:sz w:val="20"/>
        </w:rPr>
        <w:t>2</w:t>
      </w:r>
      <w:r w:rsidR="00931375" w:rsidRPr="00931375">
        <w:rPr>
          <w:i/>
          <w:sz w:val="20"/>
        </w:rPr>
        <w:t>4</w:t>
      </w:r>
      <w:r w:rsidR="007C72AA" w:rsidRPr="00931375">
        <w:rPr>
          <w:i/>
          <w:sz w:val="20"/>
        </w:rPr>
        <w:t xml:space="preserve"> </w:t>
      </w:r>
      <w:r w:rsidR="00756815" w:rsidRPr="00931375">
        <w:rPr>
          <w:i/>
          <w:sz w:val="20"/>
        </w:rPr>
        <w:t>ÚP)</w:t>
      </w:r>
    </w:p>
    <w:p w14:paraId="73669BDD" w14:textId="77777777" w:rsidR="00F16980" w:rsidRPr="00931375" w:rsidRDefault="00F16980" w:rsidP="00F16980">
      <w:pPr>
        <w:pStyle w:val="1odstavec"/>
      </w:pPr>
      <w:r w:rsidRPr="00931375">
        <w:t>Na území města je respektován</w:t>
      </w:r>
      <w:r w:rsidR="0023064A" w:rsidRPr="00931375">
        <w:t>a</w:t>
      </w:r>
      <w:r w:rsidRPr="00931375">
        <w:t xml:space="preserve"> ložisk</w:t>
      </w:r>
      <w:r w:rsidR="0023064A" w:rsidRPr="00931375">
        <w:t>a</w:t>
      </w:r>
      <w:r w:rsidRPr="00931375">
        <w:t xml:space="preserve"> </w:t>
      </w:r>
      <w:r w:rsidR="0023064A" w:rsidRPr="00931375">
        <w:t xml:space="preserve">nerostných surovin </w:t>
      </w:r>
      <w:r w:rsidR="0035050C" w:rsidRPr="00931375">
        <w:t>(štěrkopísky, cihlářské suroviny, hnědé uhlí), chráněná ložisková území, dobývací prostory i stávající aktivní těžebny ve Václavicích. Bližší informace v kap. 6.3.2.</w:t>
      </w:r>
    </w:p>
    <w:p w14:paraId="42765E5A" w14:textId="77777777" w:rsidR="00616B5A" w:rsidRPr="00461C16" w:rsidRDefault="00F16980" w:rsidP="00F16980">
      <w:pPr>
        <w:pStyle w:val="1odstavec"/>
      </w:pPr>
      <w:r w:rsidRPr="00931375">
        <w:t>Požadavek na rozšíření plochy těžby nebyl v rámci</w:t>
      </w:r>
      <w:r w:rsidRPr="00461C16">
        <w:t xml:space="preserve"> přípravy a projednání zadání uplatněn. Návrhové plochy těžby tedy nejsou v ÚP vymezeny. </w:t>
      </w:r>
    </w:p>
    <w:p w14:paraId="520E8048" w14:textId="77777777" w:rsidR="0035050C" w:rsidRPr="00461C16" w:rsidRDefault="0035050C" w:rsidP="00F16980">
      <w:pPr>
        <w:pStyle w:val="1odstavec"/>
        <w:rPr>
          <w:rStyle w:val="NvrhP-text"/>
          <w:rFonts w:cs="Arial"/>
          <w:i/>
        </w:rPr>
      </w:pPr>
      <w:r w:rsidRPr="00461C16">
        <w:t>Pro výstavbu v plochách zahrnutých do poddolovaných území zakreslených ve výkresu II.2 je v souladu s příslušnou legislativou a požadavky OBÚ stanoven požadavek na ověření možnosti umístění stavby příslušným b</w:t>
      </w:r>
      <w:r w:rsidR="00382C0C" w:rsidRPr="00461C16">
        <w:t>áň</w:t>
      </w:r>
      <w:r w:rsidRPr="00461C16">
        <w:t>ských úřadem</w:t>
      </w:r>
      <w:r w:rsidR="00382C0C" w:rsidRPr="00461C16">
        <w:t xml:space="preserve">. </w:t>
      </w:r>
    </w:p>
    <w:p w14:paraId="115C1EFA" w14:textId="3A0F66A9" w:rsidR="004E1C7A" w:rsidRPr="00461C16" w:rsidRDefault="00501553" w:rsidP="00616B5A">
      <w:pPr>
        <w:pStyle w:val="Heading2"/>
        <w:ind w:left="709" w:hanging="709"/>
      </w:pPr>
      <w:bookmarkStart w:id="155" w:name="_Toc36116313"/>
      <w:r w:rsidRPr="00461C16">
        <w:t>6</w:t>
      </w:r>
      <w:r w:rsidR="00BC4E8D" w:rsidRPr="00461C16">
        <w:t>.</w:t>
      </w:r>
      <w:r w:rsidR="000B0B91" w:rsidRPr="00461C16">
        <w:t>7</w:t>
      </w:r>
      <w:r w:rsidR="004E1C7A" w:rsidRPr="00461C16">
        <w:tab/>
        <w:t xml:space="preserve">Stanovení podmínek pro využití ploch s rozdílným způsobem využití </w:t>
      </w:r>
      <w:r w:rsidR="00C521FE">
        <w:t xml:space="preserve">s určením převažujícího účelu využití (hlavní využití), pokud je možné jej stanovit, přípustného využití, nepřípustného využití (včetně stanovení, ve kterých plochách je vyloučeno umísťování staveb, zařízení a jiných opatření pro účely uvedené v §18 odst. 5 stavebního zákona), popřípadě </w:t>
      </w:r>
      <w:r w:rsidR="004E1C7A" w:rsidRPr="00461C16">
        <w:t xml:space="preserve">stanovení podmínek prostorového uspořádání, včetně základních podmínek ochrany krajinného rázu </w:t>
      </w:r>
      <w:bookmarkEnd w:id="137"/>
      <w:bookmarkEnd w:id="138"/>
      <w:r w:rsidR="00C521FE">
        <w:t>(například výškové regulace zástavby, stanovení rozmezí výměry pro vymezování stavebních pozemků a intenzity jejich využití)</w:t>
      </w:r>
      <w:bookmarkEnd w:id="155"/>
    </w:p>
    <w:p w14:paraId="161D27FA" w14:textId="77777777" w:rsidR="009563BD" w:rsidRPr="00461C16" w:rsidRDefault="00501553" w:rsidP="009563BD">
      <w:pPr>
        <w:pStyle w:val="Heading3"/>
      </w:pPr>
      <w:bookmarkStart w:id="156" w:name="_Toc36116314"/>
      <w:r w:rsidRPr="00461C16">
        <w:t>6</w:t>
      </w:r>
      <w:r w:rsidR="009563BD" w:rsidRPr="00461C16">
        <w:t xml:space="preserve">.7.1 </w:t>
      </w:r>
      <w:r w:rsidR="009563BD" w:rsidRPr="00461C16">
        <w:tab/>
        <w:t>Podmínky pro využití ploch s rozdílným způsobem využití</w:t>
      </w:r>
      <w:bookmarkEnd w:id="156"/>
      <w:r w:rsidR="009563BD" w:rsidRPr="00461C16">
        <w:t xml:space="preserve"> </w:t>
      </w:r>
    </w:p>
    <w:p w14:paraId="77935C69" w14:textId="7065E452" w:rsidR="004E1C7A" w:rsidRPr="00461C16" w:rsidRDefault="004E1C7A" w:rsidP="007F050A">
      <w:pPr>
        <w:pStyle w:val="1text"/>
        <w:rPr>
          <w:i/>
          <w:sz w:val="20"/>
          <w:szCs w:val="20"/>
        </w:rPr>
      </w:pPr>
      <w:r w:rsidRPr="00461C16">
        <w:rPr>
          <w:i/>
          <w:sz w:val="20"/>
          <w:szCs w:val="20"/>
        </w:rPr>
        <w:t xml:space="preserve">(k bodům </w:t>
      </w:r>
      <w:r w:rsidR="00311B58" w:rsidRPr="00461C16">
        <w:rPr>
          <w:i/>
          <w:sz w:val="20"/>
          <w:szCs w:val="20"/>
        </w:rPr>
        <w:t>F</w:t>
      </w:r>
      <w:r w:rsidRPr="00461C16">
        <w:rPr>
          <w:i/>
          <w:sz w:val="20"/>
          <w:szCs w:val="20"/>
        </w:rPr>
        <w:t xml:space="preserve">01 </w:t>
      </w:r>
      <w:r w:rsidR="000B0B91" w:rsidRPr="00461C16">
        <w:rPr>
          <w:i/>
          <w:sz w:val="20"/>
          <w:szCs w:val="20"/>
        </w:rPr>
        <w:t>–</w:t>
      </w:r>
      <w:r w:rsidRPr="00461C16">
        <w:rPr>
          <w:i/>
          <w:sz w:val="20"/>
          <w:szCs w:val="20"/>
        </w:rPr>
        <w:t xml:space="preserve"> </w:t>
      </w:r>
      <w:r w:rsidR="00342B03" w:rsidRPr="00342B03">
        <w:rPr>
          <w:i/>
          <w:sz w:val="20"/>
          <w:szCs w:val="20"/>
        </w:rPr>
        <w:t>F9</w:t>
      </w:r>
      <w:r w:rsidR="00342B03">
        <w:rPr>
          <w:i/>
          <w:sz w:val="20"/>
          <w:szCs w:val="20"/>
        </w:rPr>
        <w:t>2</w:t>
      </w:r>
      <w:r w:rsidR="00342B03" w:rsidRPr="00342B03">
        <w:rPr>
          <w:i/>
          <w:sz w:val="20"/>
          <w:szCs w:val="20"/>
        </w:rPr>
        <w:t xml:space="preserve"> </w:t>
      </w:r>
      <w:r w:rsidR="009563BD" w:rsidRPr="00342B03">
        <w:rPr>
          <w:i/>
          <w:sz w:val="20"/>
          <w:szCs w:val="20"/>
        </w:rPr>
        <w:t>ÚP</w:t>
      </w:r>
      <w:r w:rsidRPr="00461C16">
        <w:rPr>
          <w:i/>
          <w:sz w:val="20"/>
          <w:szCs w:val="20"/>
        </w:rPr>
        <w:t xml:space="preserve">) </w:t>
      </w:r>
    </w:p>
    <w:p w14:paraId="6B4D29FE" w14:textId="77777777" w:rsidR="000C1B06" w:rsidRPr="00461C16" w:rsidRDefault="000C1B06" w:rsidP="00753F4E">
      <w:pPr>
        <w:pStyle w:val="4podnadpis"/>
      </w:pPr>
      <w:r w:rsidRPr="00461C16">
        <w:t>a)</w:t>
      </w:r>
      <w:r w:rsidRPr="00461C16">
        <w:tab/>
        <w:t xml:space="preserve">základní principy řešení </w:t>
      </w:r>
    </w:p>
    <w:p w14:paraId="0A50ED3D" w14:textId="77777777" w:rsidR="000C1B06" w:rsidRPr="00461C16" w:rsidRDefault="000C1B06" w:rsidP="000C1B06">
      <w:pPr>
        <w:pStyle w:val="1text"/>
        <w:rPr>
          <w:rStyle w:val="NvrhP-text"/>
        </w:rPr>
      </w:pPr>
      <w:r w:rsidRPr="00461C16">
        <w:rPr>
          <w:rStyle w:val="NvrhP-text"/>
        </w:rPr>
        <w:t>ÚP vymezuje v souladu s platnou legislativou i metodi</w:t>
      </w:r>
      <w:r w:rsidR="00420B72" w:rsidRPr="00461C16">
        <w:rPr>
          <w:rStyle w:val="NvrhP-text"/>
        </w:rPr>
        <w:t>ckými doporučeními</w:t>
      </w:r>
      <w:r w:rsidRPr="00461C16">
        <w:rPr>
          <w:rStyle w:val="NvrhP-text"/>
        </w:rPr>
        <w:t xml:space="preserve"> tyto plochy a koridory s rozdílným způsobem využití:</w:t>
      </w:r>
    </w:p>
    <w:p w14:paraId="5DA9E94B" w14:textId="77777777" w:rsidR="000C1B06" w:rsidRPr="00461C16" w:rsidRDefault="000C1B06" w:rsidP="00A06EB9">
      <w:pPr>
        <w:pStyle w:val="b-pismeno"/>
        <w:numPr>
          <w:ilvl w:val="0"/>
          <w:numId w:val="78"/>
        </w:numPr>
      </w:pPr>
      <w:r w:rsidRPr="00461C16">
        <w:t>plochy smíšené obytné – v centrech měst (SC);</w:t>
      </w:r>
    </w:p>
    <w:p w14:paraId="5A67BB8F" w14:textId="77777777" w:rsidR="000C1B06" w:rsidRPr="00461C16" w:rsidRDefault="000C1B06" w:rsidP="000C1B06">
      <w:pPr>
        <w:pStyle w:val="b-pismeno"/>
        <w:numPr>
          <w:ilvl w:val="0"/>
          <w:numId w:val="19"/>
        </w:numPr>
      </w:pPr>
      <w:r w:rsidRPr="00461C16">
        <w:t>plochy smíšené obytné – městské (SM);</w:t>
      </w:r>
    </w:p>
    <w:p w14:paraId="58934A91" w14:textId="77777777" w:rsidR="000C1B06" w:rsidRPr="00461C16" w:rsidRDefault="000C1B06" w:rsidP="000C1B06">
      <w:pPr>
        <w:pStyle w:val="b-pismeno"/>
        <w:numPr>
          <w:ilvl w:val="0"/>
          <w:numId w:val="19"/>
        </w:numPr>
      </w:pPr>
      <w:r w:rsidRPr="00461C16">
        <w:t>plochy smíšené obytné – venkovské (SV);</w:t>
      </w:r>
    </w:p>
    <w:p w14:paraId="25A092EA" w14:textId="77777777" w:rsidR="000C1B06" w:rsidRPr="00461C16" w:rsidRDefault="000C1B06" w:rsidP="000C1B06">
      <w:pPr>
        <w:pStyle w:val="b-pismeno"/>
        <w:numPr>
          <w:ilvl w:val="0"/>
          <w:numId w:val="19"/>
        </w:numPr>
      </w:pPr>
      <w:r w:rsidRPr="00461C16">
        <w:t>plochy smíšené obytné – rekreační (SR);</w:t>
      </w:r>
    </w:p>
    <w:p w14:paraId="1C30E69D" w14:textId="77777777" w:rsidR="000C1B06" w:rsidRPr="00461C16" w:rsidRDefault="000C1B06" w:rsidP="000C1B06">
      <w:pPr>
        <w:pStyle w:val="b-pismeno"/>
        <w:numPr>
          <w:ilvl w:val="0"/>
          <w:numId w:val="19"/>
        </w:numPr>
      </w:pPr>
      <w:r w:rsidRPr="00461C16">
        <w:t>bydlení v bytových domech (BH);</w:t>
      </w:r>
    </w:p>
    <w:p w14:paraId="1B0BD314" w14:textId="77777777" w:rsidR="000C1B06" w:rsidRPr="00461C16" w:rsidRDefault="000C1B06" w:rsidP="000C1B06">
      <w:pPr>
        <w:pStyle w:val="b-pismeno"/>
        <w:numPr>
          <w:ilvl w:val="0"/>
          <w:numId w:val="19"/>
        </w:numPr>
      </w:pPr>
      <w:r w:rsidRPr="00461C16">
        <w:t>bydlení městské a příměstské (BI);</w:t>
      </w:r>
    </w:p>
    <w:p w14:paraId="2FAD6907" w14:textId="77777777" w:rsidR="000C1B06" w:rsidRPr="00461C16" w:rsidRDefault="000C1B06" w:rsidP="000C1B06">
      <w:pPr>
        <w:pStyle w:val="b-pismeno"/>
        <w:numPr>
          <w:ilvl w:val="0"/>
          <w:numId w:val="19"/>
        </w:numPr>
      </w:pPr>
      <w:r w:rsidRPr="00461C16">
        <w:t>bydlení venkovské (BV);</w:t>
      </w:r>
    </w:p>
    <w:p w14:paraId="2AA30550" w14:textId="77777777" w:rsidR="000C1B06" w:rsidRPr="00461C16" w:rsidRDefault="000C1B06" w:rsidP="000C1B06">
      <w:pPr>
        <w:pStyle w:val="b-pismeno"/>
        <w:numPr>
          <w:ilvl w:val="0"/>
          <w:numId w:val="19"/>
        </w:numPr>
      </w:pPr>
      <w:r w:rsidRPr="00461C16">
        <w:t>rekreace individuální (RI);</w:t>
      </w:r>
    </w:p>
    <w:p w14:paraId="4B0FAAC0" w14:textId="77777777" w:rsidR="000C1B06" w:rsidRPr="00461C16" w:rsidRDefault="000C1B06" w:rsidP="000C1B06">
      <w:pPr>
        <w:pStyle w:val="b-pismeno"/>
        <w:numPr>
          <w:ilvl w:val="0"/>
          <w:numId w:val="19"/>
        </w:numPr>
      </w:pPr>
      <w:r w:rsidRPr="00461C16">
        <w:t>rekreace hromadná (RH);</w:t>
      </w:r>
    </w:p>
    <w:p w14:paraId="331655AD" w14:textId="77777777" w:rsidR="000C1B06" w:rsidRPr="00461C16" w:rsidRDefault="000C1B06" w:rsidP="000C1B06">
      <w:pPr>
        <w:pStyle w:val="b-pismeno"/>
        <w:numPr>
          <w:ilvl w:val="0"/>
          <w:numId w:val="19"/>
        </w:numPr>
      </w:pPr>
      <w:r w:rsidRPr="00461C16">
        <w:t>rekreace v zahrádkových osadách (RZ);</w:t>
      </w:r>
    </w:p>
    <w:p w14:paraId="7AE1A416" w14:textId="77777777" w:rsidR="000C1B06" w:rsidRPr="00461C16" w:rsidRDefault="000C1B06" w:rsidP="000C1B06">
      <w:pPr>
        <w:pStyle w:val="b-pismeno"/>
        <w:numPr>
          <w:ilvl w:val="0"/>
          <w:numId w:val="19"/>
        </w:numPr>
      </w:pPr>
      <w:r w:rsidRPr="00461C16">
        <w:t>rekreace na plochách přírodního charakteru (RN);</w:t>
      </w:r>
    </w:p>
    <w:p w14:paraId="3D60E2D1" w14:textId="77777777" w:rsidR="000C1B06" w:rsidRPr="00461C16" w:rsidRDefault="000C1B06" w:rsidP="000C1B06">
      <w:pPr>
        <w:pStyle w:val="b-pismeno"/>
        <w:numPr>
          <w:ilvl w:val="0"/>
          <w:numId w:val="19"/>
        </w:numPr>
      </w:pPr>
      <w:r w:rsidRPr="00461C16">
        <w:t>občanské vybavení veřejné (OV);</w:t>
      </w:r>
    </w:p>
    <w:p w14:paraId="48EA4B76" w14:textId="77777777" w:rsidR="000C1B06" w:rsidRPr="00461C16" w:rsidRDefault="000C1B06" w:rsidP="000C1B06">
      <w:pPr>
        <w:pStyle w:val="b-pismeno"/>
        <w:numPr>
          <w:ilvl w:val="0"/>
          <w:numId w:val="19"/>
        </w:numPr>
      </w:pPr>
      <w:r w:rsidRPr="00461C16">
        <w:t>občanské vybavení komerční (OM);</w:t>
      </w:r>
    </w:p>
    <w:p w14:paraId="5F5DB80B" w14:textId="77777777" w:rsidR="000C1B06" w:rsidRPr="00461C16" w:rsidRDefault="000C1B06" w:rsidP="000C1B06">
      <w:pPr>
        <w:pStyle w:val="b-pismeno"/>
        <w:numPr>
          <w:ilvl w:val="0"/>
          <w:numId w:val="19"/>
        </w:numPr>
      </w:pPr>
      <w:r w:rsidRPr="00461C16">
        <w:lastRenderedPageBreak/>
        <w:t>sport (OS);</w:t>
      </w:r>
    </w:p>
    <w:p w14:paraId="296A7775" w14:textId="77777777" w:rsidR="000C1B06" w:rsidRPr="00461C16" w:rsidRDefault="000C1B06" w:rsidP="000C1B06">
      <w:pPr>
        <w:pStyle w:val="b-pismeno"/>
        <w:numPr>
          <w:ilvl w:val="0"/>
          <w:numId w:val="19"/>
        </w:numPr>
      </w:pPr>
      <w:r w:rsidRPr="00461C16">
        <w:t>hřbitovy (OH);</w:t>
      </w:r>
    </w:p>
    <w:p w14:paraId="747587D6" w14:textId="77777777" w:rsidR="000C1B06" w:rsidRPr="00461C16" w:rsidRDefault="000C1B06" w:rsidP="000C1B06">
      <w:pPr>
        <w:pStyle w:val="b-pismeno"/>
        <w:numPr>
          <w:ilvl w:val="0"/>
          <w:numId w:val="19"/>
        </w:numPr>
      </w:pPr>
      <w:r w:rsidRPr="00461C16">
        <w:t>veřejná prostranství (PV);</w:t>
      </w:r>
    </w:p>
    <w:p w14:paraId="5BE90FC1" w14:textId="77777777" w:rsidR="000C1B06" w:rsidRPr="00461C16" w:rsidRDefault="000C1B06" w:rsidP="000C1B06">
      <w:pPr>
        <w:pStyle w:val="b-pismeno"/>
        <w:numPr>
          <w:ilvl w:val="0"/>
          <w:numId w:val="19"/>
        </w:numPr>
      </w:pPr>
      <w:r w:rsidRPr="00461C16">
        <w:t>veřejná prostranství – komunikace (PX);</w:t>
      </w:r>
    </w:p>
    <w:p w14:paraId="170E586D" w14:textId="77777777" w:rsidR="000C1B06" w:rsidRPr="00461C16" w:rsidRDefault="000C1B06" w:rsidP="000C1B06">
      <w:pPr>
        <w:pStyle w:val="b-pismeno"/>
        <w:numPr>
          <w:ilvl w:val="0"/>
          <w:numId w:val="19"/>
        </w:numPr>
      </w:pPr>
      <w:r w:rsidRPr="00461C16">
        <w:t>veřejná prostranství – veřejná zeleň (ZV);</w:t>
      </w:r>
    </w:p>
    <w:p w14:paraId="1C630400" w14:textId="77777777" w:rsidR="000C1B06" w:rsidRPr="00461C16" w:rsidRDefault="000C1B06" w:rsidP="000C1B06">
      <w:pPr>
        <w:pStyle w:val="b-pismeno"/>
        <w:numPr>
          <w:ilvl w:val="0"/>
          <w:numId w:val="19"/>
        </w:numPr>
      </w:pPr>
      <w:r w:rsidRPr="00461C16">
        <w:t>silniční doprava (DS);</w:t>
      </w:r>
    </w:p>
    <w:p w14:paraId="1D9D2288" w14:textId="77777777" w:rsidR="000C1B06" w:rsidRPr="00461C16" w:rsidRDefault="000C1B06" w:rsidP="000C1B06">
      <w:pPr>
        <w:pStyle w:val="b-pismeno"/>
        <w:numPr>
          <w:ilvl w:val="0"/>
          <w:numId w:val="19"/>
        </w:numPr>
      </w:pPr>
      <w:r w:rsidRPr="00461C16">
        <w:t>drážní doprava (DZ);</w:t>
      </w:r>
    </w:p>
    <w:p w14:paraId="30428D87" w14:textId="77777777" w:rsidR="000C1B06" w:rsidRPr="00461C16" w:rsidRDefault="000C1B06" w:rsidP="000C1B06">
      <w:pPr>
        <w:pStyle w:val="b-pismeno"/>
        <w:numPr>
          <w:ilvl w:val="0"/>
          <w:numId w:val="19"/>
        </w:numPr>
      </w:pPr>
      <w:r w:rsidRPr="00461C16">
        <w:t>technická infrastruktura (TI);</w:t>
      </w:r>
    </w:p>
    <w:p w14:paraId="043C50E2" w14:textId="77777777" w:rsidR="000C1B06" w:rsidRPr="00461C16" w:rsidRDefault="000C1B06" w:rsidP="000C1B06">
      <w:pPr>
        <w:pStyle w:val="b-pismeno"/>
        <w:numPr>
          <w:ilvl w:val="0"/>
          <w:numId w:val="19"/>
        </w:numPr>
      </w:pPr>
      <w:r w:rsidRPr="00461C16">
        <w:t>lehký průmysl (VL);</w:t>
      </w:r>
    </w:p>
    <w:p w14:paraId="18F7A39A" w14:textId="77777777" w:rsidR="000C1B06" w:rsidRPr="00461C16" w:rsidRDefault="000C1B06" w:rsidP="000C1B06">
      <w:pPr>
        <w:pStyle w:val="b-pismeno"/>
        <w:numPr>
          <w:ilvl w:val="0"/>
          <w:numId w:val="19"/>
        </w:numPr>
      </w:pPr>
      <w:r w:rsidRPr="00461C16">
        <w:t>drobná a řemeslná výroba (VD);</w:t>
      </w:r>
    </w:p>
    <w:p w14:paraId="6F4C18F1" w14:textId="77777777" w:rsidR="000C1B06" w:rsidRPr="00461C16" w:rsidRDefault="000C1B06" w:rsidP="000C1B06">
      <w:pPr>
        <w:pStyle w:val="b-pismeno"/>
        <w:numPr>
          <w:ilvl w:val="0"/>
          <w:numId w:val="19"/>
        </w:numPr>
      </w:pPr>
      <w:r w:rsidRPr="00461C16">
        <w:t xml:space="preserve">zemědělská výroba (VZ); </w:t>
      </w:r>
    </w:p>
    <w:p w14:paraId="5565D920" w14:textId="77777777" w:rsidR="000C1B06" w:rsidRDefault="000C1B06" w:rsidP="000C1B06">
      <w:pPr>
        <w:pStyle w:val="b-pismeno"/>
        <w:numPr>
          <w:ilvl w:val="0"/>
          <w:numId w:val="19"/>
        </w:numPr>
      </w:pPr>
      <w:r w:rsidRPr="00461C16">
        <w:t>výroba a skladování – větrná elektrárna (VE</w:t>
      </w:r>
      <w:r w:rsidR="00910EC6" w:rsidRPr="00910EC6">
        <w:rPr>
          <w:vertAlign w:val="subscript"/>
        </w:rPr>
        <w:t>V</w:t>
      </w:r>
      <w:r w:rsidRPr="00461C16">
        <w:t>);</w:t>
      </w:r>
    </w:p>
    <w:p w14:paraId="3F4778F7" w14:textId="77777777" w:rsidR="00910EC6" w:rsidRPr="00461C16" w:rsidRDefault="00910EC6" w:rsidP="000C1B06">
      <w:pPr>
        <w:pStyle w:val="b-pismeno"/>
        <w:numPr>
          <w:ilvl w:val="0"/>
          <w:numId w:val="19"/>
        </w:numPr>
      </w:pPr>
      <w:r>
        <w:t>výroba a skladování - fotovoltaická elektrárna (VE</w:t>
      </w:r>
      <w:r w:rsidRPr="00910EC6">
        <w:rPr>
          <w:vertAlign w:val="subscript"/>
        </w:rPr>
        <w:t>F</w:t>
      </w:r>
      <w:r>
        <w:t>);</w:t>
      </w:r>
    </w:p>
    <w:p w14:paraId="33F87B7D" w14:textId="77777777" w:rsidR="000C1B06" w:rsidRPr="00461C16" w:rsidRDefault="000C1B06" w:rsidP="000C1B06">
      <w:pPr>
        <w:pStyle w:val="b-pismeno"/>
        <w:numPr>
          <w:ilvl w:val="0"/>
          <w:numId w:val="19"/>
        </w:numPr>
      </w:pPr>
      <w:r w:rsidRPr="00461C16">
        <w:t>výroba a skladování – se specifickým využitím (VX);</w:t>
      </w:r>
    </w:p>
    <w:p w14:paraId="5EA6497E" w14:textId="77777777" w:rsidR="000C1B06" w:rsidRPr="00461C16" w:rsidRDefault="000C1B06" w:rsidP="000C1B06">
      <w:pPr>
        <w:pStyle w:val="b-pismeno"/>
        <w:numPr>
          <w:ilvl w:val="0"/>
          <w:numId w:val="19"/>
        </w:numPr>
      </w:pPr>
      <w:r w:rsidRPr="00461C16">
        <w:t>zeleň soukromá (ZS);</w:t>
      </w:r>
    </w:p>
    <w:p w14:paraId="2C5E53DF" w14:textId="77777777" w:rsidR="000C1B06" w:rsidRPr="00461C16" w:rsidRDefault="000C1B06" w:rsidP="000C1B06">
      <w:pPr>
        <w:pStyle w:val="b-pismeno"/>
        <w:numPr>
          <w:ilvl w:val="0"/>
          <w:numId w:val="19"/>
        </w:numPr>
      </w:pPr>
      <w:r w:rsidRPr="00461C16">
        <w:t>vodní plochy a toky (W);</w:t>
      </w:r>
    </w:p>
    <w:p w14:paraId="39C45779" w14:textId="77777777" w:rsidR="000C1B06" w:rsidRPr="00461C16" w:rsidRDefault="000C1B06" w:rsidP="000C1B06">
      <w:pPr>
        <w:pStyle w:val="b-pismeno"/>
        <w:numPr>
          <w:ilvl w:val="0"/>
          <w:numId w:val="19"/>
        </w:numPr>
      </w:pPr>
      <w:r w:rsidRPr="00461C16">
        <w:t>plochy lesa (NL);</w:t>
      </w:r>
    </w:p>
    <w:p w14:paraId="3C5C7F0B" w14:textId="77777777" w:rsidR="000C1B06" w:rsidRPr="00461C16" w:rsidRDefault="000C1B06" w:rsidP="000C1B06">
      <w:pPr>
        <w:pStyle w:val="b-pismeno"/>
        <w:numPr>
          <w:ilvl w:val="0"/>
          <w:numId w:val="19"/>
        </w:numPr>
      </w:pPr>
      <w:r w:rsidRPr="00461C16">
        <w:t>plochy krajinné (NK);</w:t>
      </w:r>
    </w:p>
    <w:p w14:paraId="4382AAC7" w14:textId="77777777" w:rsidR="000C1B06" w:rsidRPr="00461C16" w:rsidRDefault="000C1B06" w:rsidP="000C1B06">
      <w:pPr>
        <w:pStyle w:val="b-pismeno"/>
        <w:numPr>
          <w:ilvl w:val="0"/>
          <w:numId w:val="19"/>
        </w:numPr>
      </w:pPr>
      <w:r w:rsidRPr="00461C16">
        <w:t>plochy smíšené nezastavěného území - zemědělské (NS);</w:t>
      </w:r>
    </w:p>
    <w:p w14:paraId="06DE6FB6" w14:textId="77777777" w:rsidR="000C1B06" w:rsidRPr="00461C16" w:rsidRDefault="000C1B06" w:rsidP="000C1B06">
      <w:pPr>
        <w:pStyle w:val="b-pismeno"/>
        <w:numPr>
          <w:ilvl w:val="0"/>
          <w:numId w:val="19"/>
        </w:numPr>
      </w:pPr>
      <w:r w:rsidRPr="00461C16">
        <w:t>plochy těžby nerostů – nezastavitelné (NT);</w:t>
      </w:r>
    </w:p>
    <w:p w14:paraId="1E703D4F" w14:textId="77777777" w:rsidR="000C1B06" w:rsidRPr="00461C16" w:rsidRDefault="000C1B06" w:rsidP="000C1B06">
      <w:pPr>
        <w:pStyle w:val="b-pismeno"/>
        <w:numPr>
          <w:ilvl w:val="0"/>
          <w:numId w:val="19"/>
        </w:numPr>
      </w:pPr>
      <w:r w:rsidRPr="00461C16">
        <w:t xml:space="preserve">koridory </w:t>
      </w:r>
      <w:r w:rsidR="00680440" w:rsidRPr="00461C16">
        <w:t>drážní</w:t>
      </w:r>
      <w:r w:rsidRPr="00461C16">
        <w:t xml:space="preserve"> dopravy (DZ.k);</w:t>
      </w:r>
    </w:p>
    <w:p w14:paraId="52ECCF46" w14:textId="77777777" w:rsidR="000C1B06" w:rsidRPr="00461C16" w:rsidRDefault="000C1B06" w:rsidP="000C1B06">
      <w:pPr>
        <w:pStyle w:val="b-pismeno"/>
        <w:numPr>
          <w:ilvl w:val="0"/>
          <w:numId w:val="19"/>
        </w:numPr>
      </w:pPr>
      <w:r w:rsidRPr="00461C16">
        <w:t>koridory protipovodňových opatření (TI.k).</w:t>
      </w:r>
    </w:p>
    <w:p w14:paraId="61D88685" w14:textId="77777777" w:rsidR="0081311E" w:rsidRPr="00461C16" w:rsidRDefault="0081311E" w:rsidP="000C1B06">
      <w:pPr>
        <w:spacing w:before="120" w:after="120"/>
      </w:pPr>
      <w:r w:rsidRPr="00461C16">
        <w:t>Nad rámec §4 - §19 vyhlášky č. 501/2001 Sb., v platném znění, jsou vymezeny plochy zeleně – zeleň soukromá (ZS). Důvodem pro jejich vymezení je potřeba chránit souvislé plochy zeleně v sídlech, které mají zásadní kompoziční, krajinářský či ekologický význam a je nezbytné jejich zachování a ochrana před možným zastavěním.</w:t>
      </w:r>
    </w:p>
    <w:p w14:paraId="4AAD9134" w14:textId="77777777" w:rsidR="000C1B06" w:rsidRPr="00461C16" w:rsidRDefault="000C1B06" w:rsidP="000C1B06">
      <w:pPr>
        <w:spacing w:before="120" w:after="120"/>
      </w:pPr>
      <w:r w:rsidRPr="00461C16">
        <w:t xml:space="preserve">Obecné podmínky pro využití ploch s rozdílným způsobem využití jsou definovány pomocí hlavního, přípustného, nepřípustného a podmíněně přípustného využití a stanovením obecných zásad prostorového uspořádání pro zajištění účelného harmonického a kompozičně vyváženého souladu zástavby v navrhovaných plochách se zástavbou či charakterem okolního území. </w:t>
      </w:r>
    </w:p>
    <w:p w14:paraId="79652CCE" w14:textId="77777777" w:rsidR="000C1B06" w:rsidRPr="00461C16" w:rsidRDefault="000C1B06" w:rsidP="000C1B06">
      <w:pPr>
        <w:spacing w:before="120" w:after="120"/>
      </w:pPr>
      <w:r w:rsidRPr="00461C16">
        <w:t xml:space="preserve">Základním cílem stanovení podmínek pro využití ploch s rozdílným způsobem využití je vytvoření předpokladů pro zajištění kvalitního trvale udržitelného rozvoje urbanizovaného a přírodního prostředí a zachování přírodních hodnot včetně ochrany krajinného rázu. Ve vymezení ploch zastavěného a zastavitelného území výrazně dominují </w:t>
      </w:r>
      <w:r w:rsidRPr="00461C16">
        <w:rPr>
          <w:rFonts w:cs="Arial"/>
          <w:lang w:eastAsia="en-US"/>
        </w:rPr>
        <w:t>smíšené obytné plochy. Důvodem je zajištění větší prostorové a funkční flexibility a schopnosti rychleji reagovat na potřeby města a jeho obyvatel.</w:t>
      </w:r>
    </w:p>
    <w:p w14:paraId="3974E3BB" w14:textId="77777777" w:rsidR="000C1B06" w:rsidRPr="00461C16" w:rsidRDefault="000C1B06" w:rsidP="00753F4E">
      <w:pPr>
        <w:pStyle w:val="4podnadpis"/>
        <w:rPr>
          <w:rStyle w:val="NvrhP-text"/>
        </w:rPr>
      </w:pPr>
      <w:r w:rsidRPr="00461C16">
        <w:rPr>
          <w:rStyle w:val="NvrhP-text"/>
        </w:rPr>
        <w:t>b)</w:t>
      </w:r>
      <w:r w:rsidRPr="00461C16">
        <w:rPr>
          <w:rStyle w:val="NvrhP-text"/>
        </w:rPr>
        <w:tab/>
        <w:t>vstupy pro řešení</w:t>
      </w:r>
    </w:p>
    <w:p w14:paraId="54515160" w14:textId="77777777" w:rsidR="000C1B06" w:rsidRPr="00461C16" w:rsidRDefault="000C1B06" w:rsidP="00E370C7">
      <w:pPr>
        <w:spacing w:before="120"/>
      </w:pPr>
      <w:r w:rsidRPr="00461C16">
        <w:t xml:space="preserve">Plochy s rozdílným způsobem využití jsou vymezeny v souladu s vyhláškou č. 501/2006 Sb., o obecných požadavcích na využívání území, v platném znění, datovým modelem Libereckého kraje a metodikou MINIS. </w:t>
      </w:r>
    </w:p>
    <w:p w14:paraId="4EABC4EA" w14:textId="77777777" w:rsidR="000C1B06" w:rsidRPr="00461C16" w:rsidRDefault="000C1B06" w:rsidP="000C1B06">
      <w:pPr>
        <w:pStyle w:val="1text"/>
      </w:pPr>
      <w:r w:rsidRPr="00461C16">
        <w:t>Konkrétní začlenění pozemků do ploch s rozdílným způsobem využití je provedeno:</w:t>
      </w:r>
    </w:p>
    <w:p w14:paraId="2EAE1435" w14:textId="77777777" w:rsidR="000C1B06" w:rsidRPr="00461C16" w:rsidRDefault="000C1B06" w:rsidP="004B62B3">
      <w:pPr>
        <w:pStyle w:val="3pismeno"/>
        <w:numPr>
          <w:ilvl w:val="0"/>
          <w:numId w:val="24"/>
        </w:numPr>
      </w:pPr>
      <w:r w:rsidRPr="00461C16">
        <w:t>u stabilizovaných ploch dle průzkumu území a využití ploch dle katastrální mapy,</w:t>
      </w:r>
    </w:p>
    <w:p w14:paraId="674A0EDE" w14:textId="77777777" w:rsidR="000C1B06" w:rsidRPr="00461C16" w:rsidRDefault="000C1B06" w:rsidP="004B62B3">
      <w:pPr>
        <w:pStyle w:val="3pismeno"/>
        <w:numPr>
          <w:ilvl w:val="0"/>
          <w:numId w:val="24"/>
        </w:numPr>
      </w:pPr>
      <w:r w:rsidRPr="00461C16">
        <w:t>u ploch zastavitelných, ploch přestavby a ploch změn v krajině dle požadovaného účelu, pro který je konkrétní plocha vymezena.</w:t>
      </w:r>
    </w:p>
    <w:p w14:paraId="1F293DC8" w14:textId="77777777" w:rsidR="00420B72" w:rsidRPr="00461C16" w:rsidRDefault="00420B72" w:rsidP="00420B72">
      <w:pPr>
        <w:pStyle w:val="3pismeno"/>
      </w:pPr>
      <w:r w:rsidRPr="00461C16">
        <w:t xml:space="preserve">V ojedinělých případech jsou s ohledem na pozici v intravilánu součástí zastavěného území i plochy ZPF stabilizované jako plochy smíšené nezastavěného území – zemědělské, kde vymezení způsobu využití potvrzuje skutečný stav. </w:t>
      </w:r>
    </w:p>
    <w:p w14:paraId="0C33E10D" w14:textId="77777777" w:rsidR="000C1B06" w:rsidRPr="00461C16" w:rsidRDefault="000C1B06" w:rsidP="00753F4E">
      <w:pPr>
        <w:pStyle w:val="4podnadpis"/>
      </w:pPr>
      <w:r w:rsidRPr="00461C16">
        <w:lastRenderedPageBreak/>
        <w:t>c)</w:t>
      </w:r>
      <w:r w:rsidRPr="00461C16">
        <w:tab/>
        <w:t xml:space="preserve">obecné podmínky prostorového uspořádání </w:t>
      </w:r>
    </w:p>
    <w:p w14:paraId="3D4D5676" w14:textId="77777777" w:rsidR="000C1B06" w:rsidRPr="00461C16" w:rsidRDefault="00F67D49" w:rsidP="000C1B06">
      <w:pPr>
        <w:pStyle w:val="1text"/>
      </w:pPr>
      <w:r w:rsidRPr="00461C16">
        <w:t xml:space="preserve">Obecné podmínky prostorového uspořádání území jsou stanoveny </w:t>
      </w:r>
      <w:r w:rsidR="000C1B06" w:rsidRPr="00461C16">
        <w:t xml:space="preserve">v kapitole </w:t>
      </w:r>
      <w:r w:rsidR="000C1B06" w:rsidRPr="00461C16">
        <w:rPr>
          <w:i/>
        </w:rPr>
        <w:t>C.1. Návrh urbanistické koncepce</w:t>
      </w:r>
      <w:r w:rsidR="000C1B06" w:rsidRPr="00461C16">
        <w:t xml:space="preserve">. Základní podmínkou, která platí pro všechny plochy umožňující zástavbu je požadavek </w:t>
      </w:r>
      <w:r w:rsidR="000C1B06" w:rsidRPr="00461C16">
        <w:rPr>
          <w:b/>
        </w:rPr>
        <w:t>respektovat prostorové parametry okolní zástavby</w:t>
      </w:r>
      <w:r w:rsidR="000C1B06" w:rsidRPr="00461C16">
        <w:t>, zejména její výšku, měřítko staveb a kontext. Tento požadavek nevyjadřuje snahu o rigidní „kopírování“ staveb okolní zástavby, směřuje k hmotově a tvarově vyváženému charakteru zástavby. Užití soudobých architektonických prvků není vyloučeno.</w:t>
      </w:r>
    </w:p>
    <w:p w14:paraId="5AFAC32F" w14:textId="77777777" w:rsidR="000C1B06" w:rsidRPr="00461C16" w:rsidRDefault="000C1B06" w:rsidP="000C1B06">
      <w:pPr>
        <w:pStyle w:val="1text"/>
      </w:pPr>
      <w:r w:rsidRPr="00461C16">
        <w:t xml:space="preserve">Pro zastavitelné plochy je dále stanovena podmínka, týkající se </w:t>
      </w:r>
      <w:r w:rsidRPr="00461C16">
        <w:rPr>
          <w:b/>
        </w:rPr>
        <w:t>organizace výstavby</w:t>
      </w:r>
      <w:r w:rsidRPr="00461C16">
        <w:t>. Výstavba musí být organizována tak, že bude vždy navazovat na pozemky již zastavěné.</w:t>
      </w:r>
      <w:r w:rsidR="00B345B4" w:rsidRPr="00461C16">
        <w:t xml:space="preserve"> </w:t>
      </w:r>
      <w:r w:rsidRPr="00461C16">
        <w:t>Důvodem pro stanovení této podmínky je ochrana proti vzniku nesourodé, rozptýlené zástavby, která nemá přímou návaznost na již zastavěné pozemky a naopak je charakteristická řadou proluk, zároveň i ekonomický aspekt výstavby a zajištění napojení na veřejnou infrastrukturu.</w:t>
      </w:r>
    </w:p>
    <w:p w14:paraId="611EC581" w14:textId="77777777" w:rsidR="009563BD" w:rsidRPr="00342B03" w:rsidRDefault="000C1B06" w:rsidP="000C1B06">
      <w:pPr>
        <w:pStyle w:val="1text"/>
        <w:rPr>
          <w:rStyle w:val="NvrhP-text"/>
        </w:rPr>
      </w:pPr>
      <w:r w:rsidRPr="00342B03">
        <w:t xml:space="preserve">Pro zastavitelné plochy smíšené obytné, bydlení, občanského vybavení a rekreace je v kapitole </w:t>
      </w:r>
      <w:r w:rsidRPr="00342B03">
        <w:rPr>
          <w:i/>
        </w:rPr>
        <w:t>D.4. Veřejná prostranství</w:t>
      </w:r>
      <w:r w:rsidRPr="00342B03">
        <w:t xml:space="preserve"> stanoven závazný požadavek na </w:t>
      </w:r>
      <w:r w:rsidRPr="00342B03">
        <w:rPr>
          <w:b/>
        </w:rPr>
        <w:t>vymezení veřejných prostranství</w:t>
      </w:r>
      <w:r w:rsidRPr="00342B03">
        <w:t xml:space="preserve"> a to v rozsahu 1000 m</w:t>
      </w:r>
      <w:r w:rsidRPr="00342B03">
        <w:rPr>
          <w:vertAlign w:val="superscript"/>
        </w:rPr>
        <w:t>2</w:t>
      </w:r>
      <w:r w:rsidRPr="00342B03">
        <w:t xml:space="preserve"> plochy veřejného prostranství na každé 2 ha zastavitelné plochy nebo plochy přestavby, přičemž do výměry veřejných prostranství se nezapočítávají pozemní komunikace. Tento požadavek vychází z ustanovení §7 odst. (2) vyhlášky č. 501/2006 Sb.</w:t>
      </w:r>
    </w:p>
    <w:p w14:paraId="748BC120" w14:textId="77777777" w:rsidR="000C1B06" w:rsidRPr="00342B03" w:rsidRDefault="000C1B06" w:rsidP="000C1B06">
      <w:pPr>
        <w:pStyle w:val="Heading3"/>
      </w:pPr>
      <w:bookmarkStart w:id="157" w:name="_Toc36116315"/>
      <w:r w:rsidRPr="00342B03">
        <w:t xml:space="preserve">6.7.2 </w:t>
      </w:r>
      <w:r w:rsidRPr="00342B03">
        <w:tab/>
        <w:t>Podmínky prostorového uspořádání území</w:t>
      </w:r>
      <w:bookmarkEnd w:id="157"/>
      <w:r w:rsidRPr="00342B03">
        <w:t xml:space="preserve"> </w:t>
      </w:r>
    </w:p>
    <w:p w14:paraId="307CCB9B" w14:textId="4E289970"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F93 </w:t>
      </w:r>
      <w:r w:rsidRPr="00342B03">
        <w:rPr>
          <w:i/>
          <w:sz w:val="20"/>
          <w:szCs w:val="20"/>
        </w:rPr>
        <w:t xml:space="preserve">– </w:t>
      </w:r>
      <w:r w:rsidR="00AF7346" w:rsidRPr="00342B03">
        <w:rPr>
          <w:i/>
          <w:sz w:val="20"/>
          <w:szCs w:val="20"/>
        </w:rPr>
        <w:t>F</w:t>
      </w:r>
      <w:r w:rsidR="00931071" w:rsidRPr="00342B03">
        <w:rPr>
          <w:i/>
          <w:sz w:val="20"/>
          <w:szCs w:val="20"/>
        </w:rPr>
        <w:t>101</w:t>
      </w:r>
      <w:r w:rsidRPr="00342B03">
        <w:rPr>
          <w:i/>
          <w:sz w:val="20"/>
          <w:szCs w:val="20"/>
        </w:rPr>
        <w:t>ÚP)</w:t>
      </w:r>
    </w:p>
    <w:p w14:paraId="3E9BD133" w14:textId="77777777" w:rsidR="00D6010F" w:rsidRPr="00461C16" w:rsidRDefault="00D6010F" w:rsidP="00D6010F">
      <w:pPr>
        <w:spacing w:before="120" w:after="120"/>
      </w:pPr>
      <w:r w:rsidRPr="00342B03">
        <w:t>Vymezení zón prostorového uspořádání pro účely stanovení podmínek prostorového uspořádání vyplývá z potřeby regulovat stávající i novou zástavbu podrobněji a na základě jiných kritérií, než je vymezení ploch s rozdílným způsobem využití. St</w:t>
      </w:r>
      <w:r w:rsidRPr="00461C16">
        <w:t>anovení typu struktury zástavby</w:t>
      </w:r>
      <w:r w:rsidR="00CD52E1">
        <w:t xml:space="preserve"> (včetně maximálního poměru zastavění pozemku budovou / budovami)</w:t>
      </w:r>
      <w:r w:rsidR="008A3B60">
        <w:t>,</w:t>
      </w:r>
      <w:r w:rsidRPr="00461C16">
        <w:t xml:space="preserve"> maximální výškové hladiny</w:t>
      </w:r>
      <w:r w:rsidR="008A3B60">
        <w:t xml:space="preserve"> a koeficientu zeleně</w:t>
      </w:r>
      <w:r w:rsidRPr="00461C16">
        <w:t xml:space="preserve"> jsou vymezeny jako základní podmínky prostorového uspořádání území. Představují nejvhodnější kritéria pro rozhodování v území z hlediska ochrany prostorových hodnot sídla a krajiny. </w:t>
      </w:r>
    </w:p>
    <w:p w14:paraId="7AB56DD6" w14:textId="77777777" w:rsidR="00D6010F" w:rsidRPr="00461C16" w:rsidRDefault="00D6010F" w:rsidP="00D6010F">
      <w:pPr>
        <w:spacing w:before="120" w:after="120"/>
      </w:pPr>
      <w:r w:rsidRPr="00461C16">
        <w:t xml:space="preserve">Stanovené podmínky se vztahují na celé zastavěné i zastavitelné území, protože i ve stabilizovaném území může docházet k demolicím či přestavbám a je nutné zajistit, aby nová zástavba (včetně dostaveb) respektovala charakter okolního území a nezpůsobila snížení jeho kvality. </w:t>
      </w:r>
    </w:p>
    <w:p w14:paraId="1D43A28E" w14:textId="77777777" w:rsidR="00D6010F" w:rsidRPr="00342B03" w:rsidRDefault="00D6010F" w:rsidP="00D6010F">
      <w:pPr>
        <w:spacing w:before="120" w:after="120"/>
      </w:pPr>
      <w:r w:rsidRPr="00461C16">
        <w:t xml:space="preserve">U samostatných staveb v krajině zóny prostorového uspořádání vymezeny nejsou, protože nevytváří žádnou strukturu ve vztahu k veřejnému prostranství ani nemají přímý dopad na okolní zástavbu. V případě staveb dopravní a technické infrastruktury je </w:t>
      </w:r>
      <w:r w:rsidRPr="00342B03">
        <w:t>charakter staveb nezbytně podřízen účelu či technologickým parametrů a není tedy pro tato zařízení žádoucí stanovovat striktní omezení. Stejně tak postrádá význam stanovení struktury a výšky zástavby pro plochy, v nichž se žádná zástavba nepředpokládá.</w:t>
      </w:r>
    </w:p>
    <w:p w14:paraId="46BFE625" w14:textId="78DF211C" w:rsidR="00952E26" w:rsidRPr="00342B03" w:rsidRDefault="00952E26" w:rsidP="00952E26">
      <w:pPr>
        <w:spacing w:before="240" w:after="120"/>
        <w:rPr>
          <w:i/>
          <w:sz w:val="20"/>
          <w:szCs w:val="20"/>
        </w:rPr>
      </w:pPr>
      <w:r w:rsidRPr="00342B03">
        <w:rPr>
          <w:i/>
          <w:sz w:val="20"/>
          <w:szCs w:val="20"/>
        </w:rPr>
        <w:t xml:space="preserve">(k bodu </w:t>
      </w:r>
      <w:r w:rsidR="00342B03" w:rsidRPr="00342B03">
        <w:rPr>
          <w:i/>
          <w:sz w:val="20"/>
          <w:szCs w:val="20"/>
        </w:rPr>
        <w:t>F99ÚP</w:t>
      </w:r>
      <w:r w:rsidRPr="00342B03">
        <w:rPr>
          <w:i/>
          <w:sz w:val="20"/>
          <w:szCs w:val="20"/>
        </w:rPr>
        <w:t>)</w:t>
      </w:r>
    </w:p>
    <w:p w14:paraId="4AECFAFF" w14:textId="77777777" w:rsidR="00952E26" w:rsidRPr="00342B03" w:rsidRDefault="008C4A51" w:rsidP="00952E26">
      <w:pPr>
        <w:spacing w:before="120" w:after="120"/>
        <w:rPr>
          <w:sz w:val="20"/>
          <w:szCs w:val="20"/>
        </w:rPr>
      </w:pPr>
      <w:r w:rsidRPr="00342B03">
        <w:t>Podmínky prostorového uspořádání stanovené v ÚP nejsou dostatečně podrobné pro zajištění ochrany krajinného rázu na území CHKO Lužické hory dle §12, odst. 4 zákona č. 114/1992 Sb., o ochraně přírody a krajiny. AOPK ČR tedy bude posuzovat vliv staveb na krajinný ráz dle §12, odst. 2 tohoto zákona. Požadavek vyplývá z Metodických listů AOPK ČR č. 3.6 a návrhem odboru 610 MŽP k výkladu §12, odst. 4 zákona v souvislosti s ochranou krajinného rázu v procesu tvorby a schvalování územních, případně regulačních plánů, a v procesu schvalování záměrů podle stavebního zákona.</w:t>
      </w:r>
    </w:p>
    <w:p w14:paraId="0065F583" w14:textId="0C47CF1C"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F100 </w:t>
      </w:r>
      <w:r w:rsidRPr="00342B03">
        <w:rPr>
          <w:i/>
          <w:sz w:val="20"/>
          <w:szCs w:val="20"/>
        </w:rPr>
        <w:t xml:space="preserve">– </w:t>
      </w:r>
      <w:r w:rsidR="00342B03" w:rsidRPr="00342B03">
        <w:rPr>
          <w:i/>
          <w:sz w:val="20"/>
          <w:szCs w:val="20"/>
        </w:rPr>
        <w:t xml:space="preserve">F101 </w:t>
      </w:r>
      <w:r w:rsidRPr="00342B03">
        <w:rPr>
          <w:i/>
          <w:sz w:val="20"/>
          <w:szCs w:val="20"/>
        </w:rPr>
        <w:t>ÚP)</w:t>
      </w:r>
    </w:p>
    <w:p w14:paraId="62885324" w14:textId="77777777" w:rsidR="00D6010F" w:rsidRPr="00342B03" w:rsidRDefault="00D6010F" w:rsidP="00D6010F">
      <w:pPr>
        <w:spacing w:before="120" w:after="120"/>
      </w:pPr>
      <w:r w:rsidRPr="00342B03">
        <w:t>Jednou z hodnot, které je žádoucí zachovat, je vizuální výraz města, jeho panoramata z dálkových pohledů, stejně jako kompozice městského půdorysu, založeného na urbanistických osách, které jsou jednoznačnými městotvornými prvky a zpřehledňují a zpříjemňují vnímání prostoru. Tyto prvky nemají zákonnou ochranu, avšak jejich význam v utváření rázu městské krajiny je nezastupitelný. Ochrana těchto hodnot je zajištěna stanovením podmínky na respektování:</w:t>
      </w:r>
    </w:p>
    <w:p w14:paraId="22EA80E5" w14:textId="77777777" w:rsidR="00D6010F" w:rsidRPr="00342B03" w:rsidRDefault="00D6010F" w:rsidP="00A06EB9">
      <w:pPr>
        <w:pStyle w:val="ListParagraph"/>
        <w:numPr>
          <w:ilvl w:val="0"/>
          <w:numId w:val="79"/>
        </w:numPr>
        <w:spacing w:before="120" w:after="120"/>
      </w:pPr>
      <w:r w:rsidRPr="00342B03">
        <w:lastRenderedPageBreak/>
        <w:t xml:space="preserve">významných </w:t>
      </w:r>
      <w:r w:rsidRPr="00342B03">
        <w:rPr>
          <w:b/>
        </w:rPr>
        <w:t>stavebních dominant</w:t>
      </w:r>
      <w:r w:rsidRPr="00342B03">
        <w:t>, kterými jsou historické stavby či jejich části, převyšující okolní hladinu zástavby, nebo stavby dotvářející krajinný ráz, často tvoří i orientační body v organismu města,</w:t>
      </w:r>
    </w:p>
    <w:p w14:paraId="195F99E0" w14:textId="77777777" w:rsidR="00D6010F" w:rsidRPr="00342B03" w:rsidRDefault="00D6010F" w:rsidP="00A06EB9">
      <w:pPr>
        <w:pStyle w:val="ListParagraph"/>
        <w:numPr>
          <w:ilvl w:val="0"/>
          <w:numId w:val="79"/>
        </w:numPr>
        <w:spacing w:before="120" w:after="120"/>
      </w:pPr>
      <w:r w:rsidRPr="00342B03">
        <w:t xml:space="preserve">významných </w:t>
      </w:r>
      <w:r w:rsidRPr="00342B03">
        <w:rPr>
          <w:b/>
        </w:rPr>
        <w:t>kompozičních os</w:t>
      </w:r>
      <w:r w:rsidRPr="00342B03">
        <w:t>, potvrzujících historické či novodobé utváření městského půdorysu.</w:t>
      </w:r>
    </w:p>
    <w:p w14:paraId="039EE133" w14:textId="37C664E0" w:rsidR="00D6010F" w:rsidRPr="00342B03" w:rsidRDefault="00D6010F" w:rsidP="00D6010F">
      <w:pPr>
        <w:spacing w:before="240" w:after="120"/>
        <w:rPr>
          <w:i/>
          <w:sz w:val="20"/>
          <w:szCs w:val="20"/>
        </w:rPr>
      </w:pPr>
      <w:r w:rsidRPr="00342B03">
        <w:rPr>
          <w:i/>
          <w:sz w:val="20"/>
          <w:szCs w:val="20"/>
        </w:rPr>
        <w:t xml:space="preserve">(k bodu </w:t>
      </w:r>
      <w:r w:rsidR="00342B03" w:rsidRPr="00342B03">
        <w:rPr>
          <w:i/>
          <w:sz w:val="20"/>
          <w:szCs w:val="20"/>
        </w:rPr>
        <w:t xml:space="preserve">F102 </w:t>
      </w:r>
      <w:r w:rsidRPr="00342B03">
        <w:rPr>
          <w:i/>
          <w:sz w:val="20"/>
          <w:szCs w:val="20"/>
        </w:rPr>
        <w:t>ÚP)</w:t>
      </w:r>
    </w:p>
    <w:p w14:paraId="01320533" w14:textId="77777777" w:rsidR="00D6010F" w:rsidRPr="00342B03" w:rsidRDefault="00D6010F" w:rsidP="00D6010F">
      <w:pPr>
        <w:spacing w:before="120" w:after="120"/>
      </w:pPr>
      <w:r w:rsidRPr="00342B03">
        <w:t xml:space="preserve">Pro určení převládajícího </w:t>
      </w:r>
      <w:r w:rsidRPr="00342B03">
        <w:rPr>
          <w:b/>
        </w:rPr>
        <w:t>typu struktury zástavby</w:t>
      </w:r>
      <w:r w:rsidRPr="00342B03">
        <w:t xml:space="preserve"> je určující zejména způsob formování veřejného prostoru zástavbou, tj. zda je zástavba umístěna na veřejně přístupných či soukromých pozemcích, zda vytváří souvislou kompaktní hranu (uliční frontu) nebo je rozvolněná a prostupná. Dle převládající formy uspořádání bylo vymezeno 7 základních typů struktury zástavby, které zahrnují všechny existující i navrhované způsoby prostorového uspořádání území.</w:t>
      </w:r>
    </w:p>
    <w:p w14:paraId="76FE1452" w14:textId="5118AC8E" w:rsidR="000D42C8" w:rsidRPr="00342B03" w:rsidRDefault="000D42C8" w:rsidP="000D42C8">
      <w:pPr>
        <w:spacing w:before="240" w:after="120"/>
        <w:rPr>
          <w:i/>
          <w:sz w:val="20"/>
          <w:szCs w:val="20"/>
        </w:rPr>
      </w:pPr>
      <w:r w:rsidRPr="00342B03">
        <w:rPr>
          <w:i/>
          <w:sz w:val="20"/>
          <w:szCs w:val="20"/>
        </w:rPr>
        <w:t xml:space="preserve">(k bodu </w:t>
      </w:r>
      <w:r w:rsidR="00342B03" w:rsidRPr="00342B03">
        <w:rPr>
          <w:i/>
          <w:sz w:val="20"/>
          <w:szCs w:val="20"/>
        </w:rPr>
        <w:t xml:space="preserve">F103 </w:t>
      </w:r>
      <w:r w:rsidRPr="00342B03">
        <w:rPr>
          <w:i/>
          <w:sz w:val="20"/>
          <w:szCs w:val="20"/>
        </w:rPr>
        <w:t>ÚP)</w:t>
      </w:r>
    </w:p>
    <w:p w14:paraId="0C5E80BC" w14:textId="77777777" w:rsidR="000D42C8" w:rsidRPr="00342B03" w:rsidRDefault="000D42C8" w:rsidP="000D42C8">
      <w:pPr>
        <w:spacing w:before="120" w:after="120"/>
      </w:pPr>
      <w:r w:rsidRPr="00342B03">
        <w:t>V některých zónách prostorového uspořádání je umožněn i doplňkový typ struktury zástavby. Důvodem je skutečnost, že v těchto zónách je v souladu s podmínkami využití ploch přípustná rovněž realizace staveb a zařízení, které vyžadují jiné uspořádání, zejména areálový typ struktury u zařízení veřejného občanského vybavení (školy, školky, zařízení sociální péče, apod.).</w:t>
      </w:r>
    </w:p>
    <w:p w14:paraId="207D5D61" w14:textId="26FE7E29"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F104 </w:t>
      </w:r>
      <w:r w:rsidRPr="00342B03">
        <w:rPr>
          <w:i/>
          <w:sz w:val="20"/>
          <w:szCs w:val="20"/>
        </w:rPr>
        <w:t xml:space="preserve">– </w:t>
      </w:r>
      <w:r w:rsidR="00342B03" w:rsidRPr="00342B03">
        <w:rPr>
          <w:i/>
          <w:sz w:val="20"/>
          <w:szCs w:val="20"/>
        </w:rPr>
        <w:t xml:space="preserve">F106 </w:t>
      </w:r>
      <w:r w:rsidRPr="00342B03">
        <w:rPr>
          <w:i/>
          <w:sz w:val="20"/>
          <w:szCs w:val="20"/>
        </w:rPr>
        <w:t>ÚP)</w:t>
      </w:r>
    </w:p>
    <w:p w14:paraId="047404BE" w14:textId="77777777" w:rsidR="00D6010F" w:rsidRPr="00342B03" w:rsidRDefault="00D6010F" w:rsidP="00D6010F">
      <w:pPr>
        <w:spacing w:before="120" w:after="120"/>
      </w:pPr>
      <w:r w:rsidRPr="00342B03">
        <w:rPr>
          <w:b/>
        </w:rPr>
        <w:t>Kompaktní struktura</w:t>
      </w:r>
      <w:r w:rsidRPr="00342B03">
        <w:t xml:space="preserve"> zástavby je vymezena v </w:t>
      </w:r>
      <w:r w:rsidRPr="00342B03">
        <w:rPr>
          <w:rStyle w:val="NvrhP-text"/>
        </w:rPr>
        <w:t xml:space="preserve">historickém jádru části Hrádek nad Nisou, v zástavbě řadových rodinných domů v ul. Oldřichovská, ve smíšené zástavbě v západní části ul. Liberecká, v rozsahu řadových garáží v ul. Polní a v husté zástavbě rodinných domů podél ul. Hartavská a v ul. Souběžná. </w:t>
      </w:r>
      <w:r w:rsidRPr="00342B03">
        <w:t xml:space="preserve">Zachování této struktury, především ve smíšené a obytné zástavbě, je nezbytné k udržení charakteru zástavby i veřejného prostranství, které vymezuje. Kompaktní struktura zástavby je nejvhodnější formou městského prostředí se smíšenými funkcemi, kde svým objemovým uspořádáním přispívá k potvrzení těžiště města či jeho části. </w:t>
      </w:r>
    </w:p>
    <w:p w14:paraId="71E6B0D5" w14:textId="77777777" w:rsidR="00D6010F" w:rsidRPr="00342B03" w:rsidRDefault="00D6010F" w:rsidP="00D6010F">
      <w:pPr>
        <w:spacing w:before="120" w:after="120"/>
      </w:pPr>
      <w:r w:rsidRPr="00342B03">
        <w:t xml:space="preserve">Maximální poměr zastavění 50% plochy pozemku vychází z žádoucí hustoty zástavby, která přispívá k dotvoření městského rázu a jednoznačně ohraničuje veřejná prostranství města či jeho části. </w:t>
      </w:r>
    </w:p>
    <w:p w14:paraId="3A1AC3FB" w14:textId="1DA02AC2"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F107 </w:t>
      </w:r>
      <w:r w:rsidRPr="00342B03">
        <w:rPr>
          <w:i/>
          <w:sz w:val="20"/>
          <w:szCs w:val="20"/>
        </w:rPr>
        <w:t xml:space="preserve">– </w:t>
      </w:r>
      <w:r w:rsidR="00342B03" w:rsidRPr="00342B03">
        <w:rPr>
          <w:i/>
          <w:sz w:val="20"/>
          <w:szCs w:val="20"/>
        </w:rPr>
        <w:t xml:space="preserve">F109 </w:t>
      </w:r>
      <w:r w:rsidRPr="00342B03">
        <w:rPr>
          <w:i/>
          <w:sz w:val="20"/>
          <w:szCs w:val="20"/>
        </w:rPr>
        <w:t>ÚP)</w:t>
      </w:r>
    </w:p>
    <w:p w14:paraId="2FDD3D8A" w14:textId="77777777" w:rsidR="00D6010F" w:rsidRPr="00342B03" w:rsidRDefault="00D6010F" w:rsidP="00D6010F">
      <w:pPr>
        <w:spacing w:before="120" w:after="120"/>
      </w:pPr>
      <w:r w:rsidRPr="00342B03">
        <w:rPr>
          <w:b/>
        </w:rPr>
        <w:t>Rozvolněná struktura</w:t>
      </w:r>
      <w:r w:rsidRPr="00342B03">
        <w:t xml:space="preserve"> tvoří převažující charakter zástavby města. Této struktuře odpovídá smíšená a obytná zástavba v okrajových polohách části Hrádek nad Nisou a volně vzniklá zástavba samostatných venkovských stavení a rodinných domů v podstatě ve všech částech města. V části Hrádek nad Nisou rozvolněná struktura navazuje na kompaktní městskou zástavbu. Objekty mohou buď přiléhat k veřejnému prostranství nebo jsou umístěny na pozemku zcela volně, přesto je zpravidla zachována alespoň orientace do veřejného prostranství. Rozvolněná zástavba tvoří nejpřirozenější typ zástavby ve vztahu ke krajinnému prostředí a v případě hustší kompaktní zástavby města je nejvhodnější strukturou pro zajištění harmonického přechodu do volné krajiny.</w:t>
      </w:r>
    </w:p>
    <w:p w14:paraId="558EAA4D" w14:textId="77777777" w:rsidR="00D6010F" w:rsidRPr="00342B03" w:rsidRDefault="00D6010F" w:rsidP="00D6010F">
      <w:pPr>
        <w:spacing w:before="120" w:after="120"/>
      </w:pPr>
      <w:r w:rsidRPr="00342B03">
        <w:t>Maximální poměr zastavění 30% plochy pozemku vychází z přibližného poměru plochy rodinného domu či venkovského stavení vůči zbývající části pozemku, využitého zpravidla pro zahradu či hospodářské účely, a koresponduje se stávajícím charakterem rozvolněné zástavby.</w:t>
      </w:r>
    </w:p>
    <w:p w14:paraId="5D283DA3" w14:textId="38844381"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F110 </w:t>
      </w:r>
      <w:r w:rsidRPr="00342B03">
        <w:rPr>
          <w:i/>
          <w:sz w:val="20"/>
          <w:szCs w:val="20"/>
        </w:rPr>
        <w:t xml:space="preserve">– </w:t>
      </w:r>
      <w:r w:rsidR="00342B03" w:rsidRPr="00342B03">
        <w:rPr>
          <w:i/>
          <w:sz w:val="20"/>
          <w:szCs w:val="20"/>
        </w:rPr>
        <w:t xml:space="preserve">F112 </w:t>
      </w:r>
      <w:r w:rsidRPr="00342B03">
        <w:rPr>
          <w:i/>
          <w:sz w:val="20"/>
          <w:szCs w:val="20"/>
        </w:rPr>
        <w:t>ÚP)</w:t>
      </w:r>
    </w:p>
    <w:p w14:paraId="6BD1851B" w14:textId="77777777" w:rsidR="00D6010F" w:rsidRPr="00342B03" w:rsidRDefault="00D6010F" w:rsidP="00D6010F">
      <w:pPr>
        <w:spacing w:before="120" w:after="120"/>
      </w:pPr>
      <w:r w:rsidRPr="00342B03">
        <w:rPr>
          <w:b/>
        </w:rPr>
        <w:t>Rozvolněná struktura uzavřená</w:t>
      </w:r>
      <w:r w:rsidRPr="00342B03">
        <w:t xml:space="preserve"> je vymezena s ohledem na odlišný charakter a specifické prostorové uspořádání části rozvolněné zástavby. Na rozdíl od běžné rozvolněné struktury je rozvolněná uzavřená zástavba tvořena vždy skupinou několika (nejčastěji tří či čtyř) souvisejících objektů, uspořádaných do tvaru U či O, které uzavírají vnitřní prostor – hospodářský dvůr či manipulační prostor. Objekty jsou sice volně umístěny na soukromých pozemcích a z většiny oploceny, stejně jako v případě běžné rozvolněné struktury, avšak nejsou prostupné, nýbrž svým uzavřeným uspořádáním tvoří výraznou vizuální bariéru. Jako rozvolněná struktura uzavřená jsou vymezeny některá venkovská stavení v části Oldřichov na Hranicích a Loučná.</w:t>
      </w:r>
    </w:p>
    <w:p w14:paraId="5FEC566A" w14:textId="77777777" w:rsidR="00D6010F" w:rsidRPr="00342B03" w:rsidRDefault="00D6010F" w:rsidP="00D6010F">
      <w:pPr>
        <w:spacing w:before="120" w:after="120"/>
      </w:pPr>
      <w:r w:rsidRPr="00342B03">
        <w:lastRenderedPageBreak/>
        <w:t>Maximální poměr zastavění 30% plochy pozemku vychází z přibližného poměru plochy skupiny objektů vůči zbývající části pozemku, využitého zpravidla pro hospodářské či výrobní účely, a koresponduje se stávajícím charakterem rozvolněné uzavřené zástavby.</w:t>
      </w:r>
    </w:p>
    <w:p w14:paraId="08BC1939" w14:textId="3A1944A8"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F113 </w:t>
      </w:r>
      <w:r w:rsidRPr="00342B03">
        <w:rPr>
          <w:i/>
          <w:sz w:val="20"/>
          <w:szCs w:val="20"/>
        </w:rPr>
        <w:t xml:space="preserve">– </w:t>
      </w:r>
      <w:r w:rsidR="00342B03" w:rsidRPr="00342B03">
        <w:rPr>
          <w:i/>
          <w:sz w:val="20"/>
          <w:szCs w:val="20"/>
        </w:rPr>
        <w:t xml:space="preserve">F115 </w:t>
      </w:r>
      <w:r w:rsidRPr="00342B03">
        <w:rPr>
          <w:i/>
          <w:sz w:val="20"/>
          <w:szCs w:val="20"/>
        </w:rPr>
        <w:t>ÚP)</w:t>
      </w:r>
    </w:p>
    <w:p w14:paraId="332044B9" w14:textId="77777777" w:rsidR="00D6010F" w:rsidRPr="00342B03" w:rsidRDefault="00D6010F" w:rsidP="00D6010F">
      <w:pPr>
        <w:spacing w:before="120" w:after="120"/>
      </w:pPr>
      <w:r w:rsidRPr="00342B03">
        <w:rPr>
          <w:b/>
        </w:rPr>
        <w:t>Rozvolněná struktura drobná</w:t>
      </w:r>
      <w:r w:rsidRPr="00342B03">
        <w:t xml:space="preserve"> je vymezena z důvodu odlišného charakteru rozvolněné rekreační zástavby, jejíž objemové uspořádání je oproti běžně rozvolněné zástavbě výrazně členitější. Menší objekty navíc často nejsou orientovány do veřejného prostranství, nýbrž zcela nezávisle na okolním území komunikují jen navzájem či s přilehlými pozemky zahrad. Jako rozvolněná struktura drobná jsou vymezeny všechny stabilizované zahrádkové osady na území města, tj. v ul. Lidická nad areálem bývalé Pragovky, v ul. Polní a pod ul. Příčná.</w:t>
      </w:r>
    </w:p>
    <w:p w14:paraId="77F93CB4" w14:textId="77777777" w:rsidR="00D6010F" w:rsidRPr="00342B03" w:rsidRDefault="00D6010F" w:rsidP="00D6010F">
      <w:pPr>
        <w:spacing w:before="120" w:after="120"/>
      </w:pPr>
      <w:r w:rsidRPr="00342B03">
        <w:t>Maximální poměr zastavění 20% plochy pozemku vychází z přibližného poměru plochy rekreačního objektu vůči zbývající části pozemku, využitého zpravidla pro zahradu či hospodářské účely, a koresponduje se stávajícím charakterem rozvolněné drobné zástavby.</w:t>
      </w:r>
    </w:p>
    <w:p w14:paraId="2F9ABAE1" w14:textId="2F01742B"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F116 </w:t>
      </w:r>
      <w:r w:rsidRPr="00342B03">
        <w:rPr>
          <w:i/>
          <w:sz w:val="20"/>
          <w:szCs w:val="20"/>
        </w:rPr>
        <w:t xml:space="preserve">– </w:t>
      </w:r>
      <w:r w:rsidR="00342B03" w:rsidRPr="00342B03">
        <w:rPr>
          <w:i/>
          <w:sz w:val="20"/>
          <w:szCs w:val="20"/>
        </w:rPr>
        <w:t xml:space="preserve">F118 </w:t>
      </w:r>
      <w:r w:rsidRPr="00342B03">
        <w:rPr>
          <w:i/>
          <w:sz w:val="20"/>
          <w:szCs w:val="20"/>
        </w:rPr>
        <w:t>ÚP)</w:t>
      </w:r>
    </w:p>
    <w:p w14:paraId="5E001C62" w14:textId="77777777" w:rsidR="00D6010F" w:rsidRPr="00342B03" w:rsidRDefault="00D6010F" w:rsidP="00D6010F">
      <w:pPr>
        <w:spacing w:before="120" w:after="120"/>
      </w:pPr>
      <w:r w:rsidRPr="00342B03">
        <w:rPr>
          <w:b/>
        </w:rPr>
        <w:t>Volná struktura</w:t>
      </w:r>
      <w:r w:rsidRPr="00342B03">
        <w:t xml:space="preserve"> je založena na samostatných objektech, které jsou volně přístupné ve veřejném prostranství, bez oplocení či ohraničení. K veřejnému prostranství přiléhají zpravidla jen výjimečně, obvykle však respektují orientaci do veřejného prostranství. Volná struktura je zastoupena Chrámem Pokoje, panelovými bytovými domy v ul. Liberecká ul. Pod Tratí, bytovými domy na jižním okraji Dolní Suché a samostatnými stavbami občanského vybavení (supermarket Penny a Albert, komerční vybavenost včetně čerpací stanice na bývalém hraničním přechodu do Polska). Volná struktura tvoří v zástavbě minoritní podíl a její zachování je nezbytné spíše z funkčního a provozního hlediska.</w:t>
      </w:r>
    </w:p>
    <w:p w14:paraId="454DC2DA" w14:textId="77777777" w:rsidR="00D6010F" w:rsidRPr="00342B03" w:rsidRDefault="00D6010F" w:rsidP="00D6010F">
      <w:pPr>
        <w:spacing w:before="120" w:after="120"/>
      </w:pPr>
      <w:r w:rsidRPr="00342B03">
        <w:t>Maximální poměr zastavění 35% plochy pozemku vychází z přibližného poměru plochy objektu vůči zbývající části pozemku, zpravidla doprovodné zeleně, a koresponduje se stávajícím charakterem volné zástavby.</w:t>
      </w:r>
    </w:p>
    <w:p w14:paraId="53390A93" w14:textId="65597100"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F119 </w:t>
      </w:r>
      <w:r w:rsidRPr="00342B03">
        <w:rPr>
          <w:i/>
          <w:sz w:val="20"/>
          <w:szCs w:val="20"/>
        </w:rPr>
        <w:t xml:space="preserve">– </w:t>
      </w:r>
      <w:r w:rsidR="00342B03" w:rsidRPr="00342B03">
        <w:rPr>
          <w:i/>
          <w:sz w:val="20"/>
          <w:szCs w:val="20"/>
        </w:rPr>
        <w:t xml:space="preserve">F121 </w:t>
      </w:r>
      <w:r w:rsidRPr="00342B03">
        <w:rPr>
          <w:i/>
          <w:sz w:val="20"/>
          <w:szCs w:val="20"/>
        </w:rPr>
        <w:t>ÚP)</w:t>
      </w:r>
    </w:p>
    <w:p w14:paraId="4E577A06" w14:textId="77777777" w:rsidR="00D6010F" w:rsidRPr="00461C16" w:rsidRDefault="00D6010F" w:rsidP="00D6010F">
      <w:pPr>
        <w:spacing w:before="120" w:after="120"/>
      </w:pPr>
      <w:r w:rsidRPr="00342B03">
        <w:rPr>
          <w:b/>
        </w:rPr>
        <w:t>Areálovou strukturu</w:t>
      </w:r>
      <w:r w:rsidRPr="00342B03">
        <w:t xml:space="preserve"> tvoří obvykle rozsáhlejší zařízení tvořené skupinou objektů se specifickým prostorovým uspořádáním, často se jedná o halovou či pavilonovou zástavbu. Z provozního hlediska se jedná o objekty s omezenou přístupností pro veřejnost (vzdělávací, sportovní či rekreační zařízení) nebo o uzavřené soukromé výrobní areály. V Hrádku nad Nisou se jedná o areál chrámu sv. Bartoloměje, rekreační areál Kristýna, areál domova pro seniory v ul. Hladká, areály mateřských a základních škol,  v podstatě téměř všechna sportoviště a rovněž všechny areály výroby a skladování</w:t>
      </w:r>
      <w:r w:rsidRPr="00461C16">
        <w:t xml:space="preserve">. Zástavba v těchto areálech je velmi různorodá, závislá na způsobu využití a nezbytných technologiích, a nelze stanovit konkrétnější podmínky, a to ani z hlediska výšky zástavby. Areálová struktura obvykle svým rozsahem výrazně zasahuje do půdorysu zástavby, v části Hrádek nad Nisou je to zřejmé především v území mezi koridorem dráhy a ul. Oldřichovská, kde tvoří dominantní typ struktury (průmyslová zóna). </w:t>
      </w:r>
    </w:p>
    <w:p w14:paraId="0CF1231B" w14:textId="77777777" w:rsidR="00D6010F" w:rsidRPr="00342B03" w:rsidRDefault="00D6010F" w:rsidP="00D6010F">
      <w:pPr>
        <w:spacing w:before="120" w:after="120"/>
      </w:pPr>
      <w:r w:rsidRPr="00461C16">
        <w:t xml:space="preserve">Maximální poměr </w:t>
      </w:r>
      <w:r w:rsidRPr="00342B03">
        <w:t>zastavění 40% plochy pozemku vychází z přibližného poměru plochy objektu vůči zbývající části pozemku, kde jsou situovány případné nezbytné plochy a zařízení pro provoz tohoto objektu a doprovodné plochy zeleně. Nejvyšší podíl se předpokládá u areálů výroby, s velkoplošným halovým uspořádáním, naopak nejnižší podíl u areálů sportovních a rekreačních, s nejmenšími prostorovými nároky. Stanovený poměr odpovídá obvyklému podílu zastavění u areálové struktury zástavby.</w:t>
      </w:r>
    </w:p>
    <w:p w14:paraId="19DC7E01" w14:textId="5D99D1C2"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F122 </w:t>
      </w:r>
      <w:r w:rsidRPr="00342B03">
        <w:rPr>
          <w:i/>
          <w:sz w:val="20"/>
          <w:szCs w:val="20"/>
        </w:rPr>
        <w:t xml:space="preserve">– </w:t>
      </w:r>
      <w:r w:rsidR="00342B03" w:rsidRPr="00342B03">
        <w:rPr>
          <w:i/>
          <w:sz w:val="20"/>
          <w:szCs w:val="20"/>
        </w:rPr>
        <w:t xml:space="preserve">F124 </w:t>
      </w:r>
      <w:r w:rsidRPr="00342B03">
        <w:rPr>
          <w:i/>
          <w:sz w:val="20"/>
          <w:szCs w:val="20"/>
        </w:rPr>
        <w:t>ÚP)</w:t>
      </w:r>
    </w:p>
    <w:p w14:paraId="3ADAB2DF" w14:textId="77777777" w:rsidR="00D6010F" w:rsidRPr="00342B03" w:rsidRDefault="00D6010F" w:rsidP="00D6010F">
      <w:pPr>
        <w:spacing w:before="120" w:after="120"/>
      </w:pPr>
      <w:r w:rsidRPr="00342B03">
        <w:rPr>
          <w:b/>
        </w:rPr>
        <w:t>Drobná solitérní struktura</w:t>
      </w:r>
      <w:r w:rsidRPr="00342B03">
        <w:t xml:space="preserve"> je specifickou kategorií zástavby. Je vymezena v území, kde se v podstatě žádná zástavba nepředpokládá, pokud ano, pak jen doplňková, pro nezbytnou potřebu využití dotčeného území, avšak s minimálním rozsahem i objemem a bez narušení celkového vizuálního vnímání území i jeho prostorotvorné funkce. Jedná se zpravidla o veřejná prostranství, kde se jedná o drobné stavby doplňující jeho sociální význam. Jako samostatné zóny prostorového uspořádání území jsou vymezena jen taková veřejná prostranství a plochy veřejné zeleně, která mají větší rozsah či urbanistický význam (Horní a Dolní náměstí, městský park, veřejné prostranství před ZŠ mezi ul. Školní – Smetanova, veřejné prostranství v lokalitě Zlatá Výšina, parčík u Lidového </w:t>
      </w:r>
      <w:r w:rsidRPr="00342B03">
        <w:lastRenderedPageBreak/>
        <w:t xml:space="preserve">domu, navržený rekreační lesopark v Loučné, veřejné prostranství v Doníně mezi ul. Rynoltická – Souběžná, veřejné prostranství mezi ul. Donínská – Železná, náves v Uhelné, prostranství s dětským hřištěm ve Václavicích, prostranství se sportovištěm v Oldřichově na Hranicích), ostatní plochy jsou integrovány do přilehlých zón prostorového uspořádání území s odlišnou strukturou zástavby. Drobná solitérní struktura je dále vymezena v plochách hřbitovů, kde je možné realizovat jen menší objekty nezbytné pro provoz. </w:t>
      </w:r>
    </w:p>
    <w:p w14:paraId="730CEBED" w14:textId="77777777" w:rsidR="00D6010F" w:rsidRPr="00342B03" w:rsidRDefault="00D6010F" w:rsidP="00D6010F">
      <w:pPr>
        <w:spacing w:before="120" w:after="120"/>
      </w:pPr>
      <w:r w:rsidRPr="00342B03">
        <w:t>Maximální poměr zastavění 10% plochy pozemku vychází z přibližného poměru plochy objektu vůči zbývající části pozemku, zpravidla doprovodné zeleně, a koresponduje se stávajícím charakterem drobné solitérní zástavby.</w:t>
      </w:r>
    </w:p>
    <w:p w14:paraId="51C3D7E9" w14:textId="537F6136" w:rsidR="00D6010F" w:rsidRPr="00342B03" w:rsidRDefault="00D6010F" w:rsidP="00D6010F">
      <w:pPr>
        <w:spacing w:before="240" w:after="120"/>
        <w:rPr>
          <w:i/>
          <w:sz w:val="20"/>
          <w:szCs w:val="20"/>
        </w:rPr>
      </w:pPr>
      <w:r w:rsidRPr="00342B03">
        <w:rPr>
          <w:i/>
          <w:sz w:val="20"/>
          <w:szCs w:val="20"/>
        </w:rPr>
        <w:t xml:space="preserve">(k bodům </w:t>
      </w:r>
      <w:r w:rsidR="00342B03" w:rsidRPr="00342B03">
        <w:rPr>
          <w:i/>
          <w:sz w:val="20"/>
          <w:szCs w:val="20"/>
        </w:rPr>
        <w:t xml:space="preserve">F125 </w:t>
      </w:r>
      <w:r w:rsidRPr="00342B03">
        <w:rPr>
          <w:i/>
          <w:sz w:val="20"/>
          <w:szCs w:val="20"/>
        </w:rPr>
        <w:t xml:space="preserve">– </w:t>
      </w:r>
      <w:r w:rsidR="00342B03" w:rsidRPr="00342B03">
        <w:rPr>
          <w:i/>
          <w:sz w:val="20"/>
          <w:szCs w:val="20"/>
        </w:rPr>
        <w:t xml:space="preserve">F130 </w:t>
      </w:r>
      <w:r w:rsidRPr="00342B03">
        <w:rPr>
          <w:i/>
          <w:sz w:val="20"/>
          <w:szCs w:val="20"/>
        </w:rPr>
        <w:t>ÚP)</w:t>
      </w:r>
    </w:p>
    <w:p w14:paraId="613EE660" w14:textId="77777777" w:rsidR="00D6010F" w:rsidRPr="00342B03" w:rsidRDefault="00D6010F" w:rsidP="00D6010F">
      <w:pPr>
        <w:spacing w:before="120" w:after="120" w:line="240" w:lineRule="auto"/>
        <w:rPr>
          <w:rFonts w:cs="Arial"/>
        </w:rPr>
      </w:pPr>
      <w:r w:rsidRPr="00342B03">
        <w:rPr>
          <w:rFonts w:cs="Arial"/>
        </w:rPr>
        <w:t xml:space="preserve">Součástí vymezených zón je specifikace </w:t>
      </w:r>
      <w:r w:rsidRPr="00342B03">
        <w:rPr>
          <w:rFonts w:cs="Arial"/>
          <w:b/>
        </w:rPr>
        <w:t>maximální výšky zástavby</w:t>
      </w:r>
      <w:r w:rsidRPr="00342B03">
        <w:rPr>
          <w:rFonts w:cs="Arial"/>
        </w:rPr>
        <w:t xml:space="preserve"> – označení převládající maximální výšky zástavby objektů uvnitř zóny, vyjma zařízení dopravní a technické infrastruktury, nezbytných technologických zařízení a vymezených dominant, u kterých není možné či žádoucí výšku objektů definovat. </w:t>
      </w:r>
    </w:p>
    <w:p w14:paraId="4518DDD2" w14:textId="77777777" w:rsidR="00D6010F" w:rsidRPr="00342B03" w:rsidRDefault="00D6010F" w:rsidP="00D6010F">
      <w:pPr>
        <w:spacing w:before="120" w:after="120"/>
      </w:pPr>
      <w:r w:rsidRPr="00342B03">
        <w:t>Maximální výšková hladina je stanovena pro potřeby zajištění stávajícího charakteru zástavby a ochrany krajinného rázu. Maximální výšková hladina je stanovena v možné míře stupňovitě s postupným navýšením směrem k urbanistickému a významovému centru zástavby, za účelem jeho posílení.</w:t>
      </w:r>
    </w:p>
    <w:p w14:paraId="66029F2C" w14:textId="77777777" w:rsidR="00D6010F" w:rsidRPr="00342B03" w:rsidRDefault="00D6010F" w:rsidP="00D6010F">
      <w:pPr>
        <w:pStyle w:val="1text"/>
      </w:pPr>
      <w:r w:rsidRPr="00342B03">
        <w:t xml:space="preserve">Maximální výšková hladina je stanovena uvedením maximálního počtu nadzemních podlaží, který je standardním měřítkem pro určení výšky budov, které mají konstrukční výšku podlaží stanovenou právními předpisy (bydlení). Zároveň je stanovena maximální výška v metrech, z důvodu možného umisťování i jiných typů staveb, zejména pro výrobu, případně pro občanské vybavení. U těchto staveb nelze přesně stanovit průměrnou výšku podlaží s ohledem na různorodost nároků dle použitých výrobních technologií a na charakter stavby a obvyklá konstrukční výška podlaží zde výrazně převyšuje průměrnou výšku podlaží bytových staveb. V případě umístění specifické technologie územní plán umožňuje výjimku z této maximální výšky, která vyplývá z nezbytných prostorových nároků této technologie. </w:t>
      </w:r>
    </w:p>
    <w:p w14:paraId="0DA14BAE" w14:textId="77777777" w:rsidR="00D6010F" w:rsidRPr="00342B03" w:rsidRDefault="00D6010F" w:rsidP="00D6010F">
      <w:pPr>
        <w:spacing w:before="120" w:after="120"/>
      </w:pPr>
      <w:r w:rsidRPr="00342B03">
        <w:t>Stanovená maximální výška zástavby je vymezena pro zastavěné a zastavitelné území a definuje cílový stav území.</w:t>
      </w:r>
    </w:p>
    <w:p w14:paraId="7FE10CE0" w14:textId="5C34F7F7" w:rsidR="00507F90" w:rsidRPr="00342B03" w:rsidRDefault="00507F90" w:rsidP="00507F90">
      <w:pPr>
        <w:spacing w:before="240" w:after="120"/>
        <w:rPr>
          <w:i/>
          <w:sz w:val="20"/>
          <w:szCs w:val="20"/>
        </w:rPr>
      </w:pPr>
      <w:r w:rsidRPr="00342B03">
        <w:rPr>
          <w:i/>
          <w:sz w:val="20"/>
          <w:szCs w:val="20"/>
        </w:rPr>
        <w:t xml:space="preserve">(k bodům </w:t>
      </w:r>
      <w:r w:rsidR="00342B03" w:rsidRPr="00342B03">
        <w:rPr>
          <w:i/>
          <w:sz w:val="20"/>
          <w:szCs w:val="20"/>
        </w:rPr>
        <w:t xml:space="preserve">F131 </w:t>
      </w:r>
      <w:r w:rsidRPr="00342B03">
        <w:rPr>
          <w:i/>
          <w:sz w:val="20"/>
          <w:szCs w:val="20"/>
        </w:rPr>
        <w:t xml:space="preserve">– </w:t>
      </w:r>
      <w:r w:rsidR="00342B03" w:rsidRPr="00342B03">
        <w:rPr>
          <w:i/>
          <w:sz w:val="20"/>
          <w:szCs w:val="20"/>
        </w:rPr>
        <w:t xml:space="preserve">F133 </w:t>
      </w:r>
      <w:r w:rsidRPr="00342B03">
        <w:rPr>
          <w:i/>
          <w:sz w:val="20"/>
          <w:szCs w:val="20"/>
        </w:rPr>
        <w:t>ÚP)</w:t>
      </w:r>
    </w:p>
    <w:p w14:paraId="77B7F631" w14:textId="77777777" w:rsidR="00507F90" w:rsidRPr="00342B03" w:rsidRDefault="00507F90" w:rsidP="00507F90">
      <w:pPr>
        <w:pStyle w:val="1text"/>
      </w:pPr>
      <w:r w:rsidRPr="00342B03">
        <w:t xml:space="preserve">Další podmínkou je </w:t>
      </w:r>
      <w:r w:rsidRPr="00342B03">
        <w:rPr>
          <w:b/>
        </w:rPr>
        <w:t>koeficient zeleně</w:t>
      </w:r>
      <w:r w:rsidRPr="00342B03">
        <w:t xml:space="preserve"> vyjádřený jako minimální procentuální podíl rostlé zeleně z celkové plochy. Minimální poměr zeleně je stanoven s ohledem na charakter stávající zástavby se shodným využitím. Dalším podstatným důvodem je potřebné dostatečné zastoupení nezpevněného povrchu pro absorbci dešťových vod a zachování zdravého prostředí (prevence přehřívání vzduchu při nadměrném rozsahu zpevněných ploch).</w:t>
      </w:r>
    </w:p>
    <w:p w14:paraId="676CA9B6" w14:textId="77777777" w:rsidR="002D1E17" w:rsidRPr="00342B03" w:rsidRDefault="002D1E17" w:rsidP="00507F90">
      <w:pPr>
        <w:pStyle w:val="1text"/>
      </w:pPr>
      <w:r w:rsidRPr="00342B03">
        <w:t>Koeficient zeleně je stanoven v zastavěném a zastavitelném území pro plochy smíšené obytné, plochy bydlení, plochy rekreace, plochy občanského vybavení (s výjimkou hřbitovů - OH) a plochy výroby, u ostatních ploch není stanovení koeficientu zeleně účelné, protože rozsah zastavění / zpevnění ploch je dán konkrétním účelem či technologiemi (plochy dopravy, plochy veřejných prostranství, plochy technické infrastruktury)</w:t>
      </w:r>
      <w:r w:rsidR="00314A31" w:rsidRPr="00342B03">
        <w:t>.</w:t>
      </w:r>
      <w:r w:rsidRPr="00342B03">
        <w:t xml:space="preserve"> </w:t>
      </w:r>
    </w:p>
    <w:p w14:paraId="4EB7AB52" w14:textId="77777777" w:rsidR="00507F90" w:rsidRPr="00C602D4" w:rsidRDefault="00507F90" w:rsidP="00507F90">
      <w:pPr>
        <w:pStyle w:val="1text"/>
      </w:pPr>
      <w:r w:rsidRPr="00342B03">
        <w:t>Koeficient zeleně potvrzuje vysokou hustotu a kompaktnost zástavby, postupně k okrajům zástavby se spolu s rozvolňováním zástavby podíl zeleně navyšuje a zeleň na pozemcích v urbanizované části města plynule prorůstá do zeleně krajinné v navazujícím území.</w:t>
      </w:r>
      <w:r w:rsidR="000010D7" w:rsidRPr="00342B03">
        <w:t xml:space="preserve"> Nejvyšší podíl zeleně je stanoven v izolovaných </w:t>
      </w:r>
      <w:r w:rsidR="00074858" w:rsidRPr="00342B03">
        <w:t>sídlech venkovského charakteru, zejména v jižní</w:t>
      </w:r>
      <w:r w:rsidR="00074858">
        <w:t xml:space="preserve"> části města</w:t>
      </w:r>
      <w:r w:rsidR="000010D7">
        <w:t xml:space="preserve"> (Dolní Suchá, Dolní Sedlo, Horní Sedlo), které se nachází na hranici CHKO Lužické hory s vysokým podílem lesů, zvýšený podíl zeleně v zástavbě je tedy žádoucí s ohledem na charakter navazujícího území.</w:t>
      </w:r>
    </w:p>
    <w:p w14:paraId="77343A75" w14:textId="77777777" w:rsidR="00507F90" w:rsidRPr="00C602D4" w:rsidRDefault="00507F90" w:rsidP="00507F90">
      <w:pPr>
        <w:spacing w:before="120" w:after="120"/>
      </w:pPr>
      <w:r w:rsidRPr="00C602D4">
        <w:t>Koeficient je vztažen k celkové ploše dotčené záměrem, tedy v ploše, ve které je uvažováno o realizaci konkrétní stavby, nikoliv k plochám s rozdílným způsobem využití, kde by při zastavění pouze části plochy došlo k výrazné disproporci v poměru k celkové výměře plochy s rozdílným způsobem využití, a není vztažen ani k pozemkům či parcelám (dle katastru nemovitostí), protože pozemkem může být i pouze vlastní stavba (tedy v KN zastavěná plocha a nádvoří), kde fakticky nelze tento podíl zeleně zajistit.</w:t>
      </w:r>
    </w:p>
    <w:p w14:paraId="29B39A42" w14:textId="77777777" w:rsidR="004E1C7A" w:rsidRPr="00461C16" w:rsidRDefault="00501553" w:rsidP="00AE6EBC">
      <w:pPr>
        <w:pStyle w:val="Heading2"/>
        <w:ind w:left="709" w:hanging="709"/>
      </w:pPr>
      <w:bookmarkStart w:id="158" w:name="_Toc384728062"/>
      <w:bookmarkStart w:id="159" w:name="_Toc424191836"/>
      <w:bookmarkStart w:id="160" w:name="_Toc36116316"/>
      <w:r w:rsidRPr="00461C16">
        <w:lastRenderedPageBreak/>
        <w:t>6</w:t>
      </w:r>
      <w:r w:rsidR="00BC4E8D" w:rsidRPr="00461C16">
        <w:t>.</w:t>
      </w:r>
      <w:r w:rsidR="000B5DBD" w:rsidRPr="00461C16">
        <w:t>8</w:t>
      </w:r>
      <w:r w:rsidR="004E1C7A" w:rsidRPr="00461C16">
        <w:tab/>
        <w:t>Vymezení veřejně prospěšných staveb, veřejně prospěšných opatření, staveb a opatření k zajišťování obrany a bezpečnosti státu a ploch pro asanaci, pro které lze práva k pozemkům a stavbám vyvlastnit</w:t>
      </w:r>
      <w:bookmarkEnd w:id="158"/>
      <w:bookmarkEnd w:id="159"/>
      <w:bookmarkEnd w:id="160"/>
    </w:p>
    <w:p w14:paraId="6A31A446" w14:textId="77777777" w:rsidR="00781487" w:rsidRPr="00461C16" w:rsidRDefault="00501553" w:rsidP="00781487">
      <w:pPr>
        <w:pStyle w:val="Heading3"/>
      </w:pPr>
      <w:bookmarkStart w:id="161" w:name="_Toc36116317"/>
      <w:r w:rsidRPr="00461C16">
        <w:t>6</w:t>
      </w:r>
      <w:r w:rsidR="00781487" w:rsidRPr="00461C16">
        <w:t>.8.1</w:t>
      </w:r>
      <w:r w:rsidR="00781487" w:rsidRPr="00461C16">
        <w:tab/>
        <w:t>Veřejně prospěšné stavby</w:t>
      </w:r>
      <w:bookmarkEnd w:id="161"/>
    </w:p>
    <w:p w14:paraId="0D780A84" w14:textId="77777777" w:rsidR="00AE6EBC" w:rsidRPr="00461C16" w:rsidRDefault="00AE6EBC" w:rsidP="00AE6EBC">
      <w:r w:rsidRPr="00461C16">
        <w:rPr>
          <w:i/>
          <w:sz w:val="20"/>
          <w:szCs w:val="20"/>
        </w:rPr>
        <w:t>(k bodům G01 – G0</w:t>
      </w:r>
      <w:r w:rsidR="00D312E7" w:rsidRPr="00461C16">
        <w:rPr>
          <w:i/>
          <w:sz w:val="20"/>
          <w:szCs w:val="20"/>
        </w:rPr>
        <w:t>2</w:t>
      </w:r>
      <w:r w:rsidRPr="00461C16">
        <w:rPr>
          <w:i/>
          <w:sz w:val="20"/>
          <w:szCs w:val="20"/>
        </w:rPr>
        <w:t xml:space="preserve"> ÚP)</w:t>
      </w:r>
    </w:p>
    <w:p w14:paraId="513831CF" w14:textId="77777777" w:rsidR="00781487" w:rsidRPr="00461C16" w:rsidRDefault="00371E43" w:rsidP="00AE6EBC">
      <w:pPr>
        <w:spacing w:before="120" w:after="120" w:line="240" w:lineRule="auto"/>
      </w:pPr>
      <w:r w:rsidRPr="00461C16">
        <w:t>Veřejně prospěšné stavby jsou vymezeny v souladu s § 2, odst. 1, písm. l, zákona č. 183/2006 Sb., o územním plánování a stavebním řádu, v platném znění. Jako veřejně prospěšné stavby, pro které lze práva k pozemkům vyvlastnit, jsou vymezeny stavby pro veřejnou infrastrukturu určené k rozvoji nebo ochraně území města, tj. zejména navržené plochy a koridory pro dopravní a technickou infrastrukturu.</w:t>
      </w:r>
      <w:r w:rsidR="00B345B4" w:rsidRPr="00461C16">
        <w:t xml:space="preserve"> </w:t>
      </w:r>
    </w:p>
    <w:p w14:paraId="73DBB374" w14:textId="77777777" w:rsidR="00781487" w:rsidRPr="00461C16" w:rsidRDefault="00371E43" w:rsidP="00781487">
      <w:pPr>
        <w:spacing w:after="120"/>
      </w:pPr>
      <w:r w:rsidRPr="00461C16">
        <w:t>V souladu s § 170, odst. 1, písm. a, zákona č. 183/2006 Sb., v platném znění, lze práva k pozemkům a stavbám vyvlastnit, jde-li o veřejně prospěšnou stavbu dopravní a technické infrastruktury, včetně plochy nezbytné k zajištění její výstavby a řádného užívání pro stanovený účel.</w:t>
      </w:r>
    </w:p>
    <w:p w14:paraId="4E806080" w14:textId="77777777" w:rsidR="00E06EDF" w:rsidRPr="00461C16" w:rsidRDefault="00781487" w:rsidP="00E04933">
      <w:pPr>
        <w:spacing w:before="120" w:after="120" w:line="240" w:lineRule="auto"/>
        <w:jc w:val="left"/>
      </w:pPr>
      <w:r w:rsidRPr="00461C16">
        <w:t xml:space="preserve">Odůvodnění </w:t>
      </w:r>
      <w:r w:rsidR="00E04933" w:rsidRPr="00461C16">
        <w:t xml:space="preserve">vymezení </w:t>
      </w:r>
      <w:r w:rsidRPr="00461C16">
        <w:t>jednotlivých veřejně prospěšných staveb je uvedeno v následující tabulce</w:t>
      </w:r>
      <w:r w:rsidR="00E04933" w:rsidRPr="00461C16">
        <w:t>.</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2038"/>
        <w:gridCol w:w="1699"/>
        <w:gridCol w:w="4690"/>
      </w:tblGrid>
      <w:tr w:rsidR="00781487" w:rsidRPr="00461C16" w14:paraId="70E81BE1" w14:textId="77777777" w:rsidTr="00781487">
        <w:trPr>
          <w:cantSplit/>
          <w:tblHeader/>
          <w:jc w:val="right"/>
        </w:trPr>
        <w:tc>
          <w:tcPr>
            <w:tcW w:w="861" w:type="dxa"/>
            <w:shd w:val="clear" w:color="auto" w:fill="F2F2F2" w:themeFill="background1" w:themeFillShade="F2"/>
          </w:tcPr>
          <w:p w14:paraId="2E02F5FA" w14:textId="77777777" w:rsidR="00781487" w:rsidRPr="00461C16" w:rsidRDefault="00781487" w:rsidP="001E135F">
            <w:pPr>
              <w:pStyle w:val="dtabulka"/>
              <w:spacing w:before="40" w:after="40"/>
              <w:rPr>
                <w:b/>
              </w:rPr>
            </w:pPr>
            <w:r w:rsidRPr="00461C16">
              <w:rPr>
                <w:b/>
              </w:rPr>
              <w:t>Kód VPS</w:t>
            </w:r>
          </w:p>
        </w:tc>
        <w:tc>
          <w:tcPr>
            <w:tcW w:w="2038" w:type="dxa"/>
            <w:shd w:val="clear" w:color="auto" w:fill="F2F2F2" w:themeFill="background1" w:themeFillShade="F2"/>
          </w:tcPr>
          <w:p w14:paraId="42A34BBD" w14:textId="77777777" w:rsidR="00781487" w:rsidRPr="00461C16" w:rsidRDefault="00781487" w:rsidP="001E135F">
            <w:pPr>
              <w:pStyle w:val="dtabulka"/>
              <w:spacing w:before="40" w:after="40"/>
              <w:rPr>
                <w:b/>
              </w:rPr>
            </w:pPr>
            <w:r w:rsidRPr="00461C16">
              <w:rPr>
                <w:b/>
              </w:rPr>
              <w:t xml:space="preserve">Kód plochy/koridoru, pro kterou je VPS vymezena </w:t>
            </w:r>
          </w:p>
        </w:tc>
        <w:tc>
          <w:tcPr>
            <w:tcW w:w="1699" w:type="dxa"/>
            <w:shd w:val="clear" w:color="auto" w:fill="F2F2F2" w:themeFill="background1" w:themeFillShade="F2"/>
          </w:tcPr>
          <w:p w14:paraId="0D9D7C49" w14:textId="77777777" w:rsidR="00781487" w:rsidRPr="00461C16" w:rsidRDefault="00781487" w:rsidP="001E135F">
            <w:pPr>
              <w:pStyle w:val="dtabulka"/>
              <w:spacing w:before="40" w:after="40"/>
              <w:rPr>
                <w:b/>
              </w:rPr>
            </w:pPr>
            <w:r w:rsidRPr="00461C16">
              <w:rPr>
                <w:b/>
              </w:rPr>
              <w:t>Dotčená k.ú.</w:t>
            </w:r>
          </w:p>
        </w:tc>
        <w:tc>
          <w:tcPr>
            <w:tcW w:w="4690" w:type="dxa"/>
            <w:shd w:val="clear" w:color="auto" w:fill="F2F2F2" w:themeFill="background1" w:themeFillShade="F2"/>
          </w:tcPr>
          <w:p w14:paraId="6DB5C233" w14:textId="77777777" w:rsidR="00781487" w:rsidRPr="00461C16" w:rsidRDefault="00781487" w:rsidP="001E135F">
            <w:pPr>
              <w:pStyle w:val="dtabulka"/>
              <w:spacing w:before="40" w:after="40"/>
              <w:rPr>
                <w:b/>
              </w:rPr>
            </w:pPr>
            <w:r w:rsidRPr="00461C16">
              <w:rPr>
                <w:b/>
              </w:rPr>
              <w:t>Důvod vymezení VPS</w:t>
            </w:r>
          </w:p>
        </w:tc>
      </w:tr>
      <w:tr w:rsidR="00781487" w:rsidRPr="00461C16" w14:paraId="200B257C" w14:textId="77777777" w:rsidTr="00781487">
        <w:trPr>
          <w:cantSplit/>
          <w:jc w:val="right"/>
        </w:trPr>
        <w:tc>
          <w:tcPr>
            <w:tcW w:w="861" w:type="dxa"/>
            <w:shd w:val="clear" w:color="auto" w:fill="auto"/>
          </w:tcPr>
          <w:p w14:paraId="50926CC9" w14:textId="77777777" w:rsidR="00781487" w:rsidRPr="00461C16" w:rsidRDefault="00781487" w:rsidP="001E135F">
            <w:pPr>
              <w:pStyle w:val="dtabulka"/>
              <w:spacing w:before="40" w:after="40"/>
              <w:rPr>
                <w:rFonts w:eastAsia="Arial Unicode MS"/>
                <w:b/>
              </w:rPr>
            </w:pPr>
            <w:r w:rsidRPr="00461C16">
              <w:rPr>
                <w:rFonts w:eastAsia="Arial Unicode MS"/>
                <w:b/>
              </w:rPr>
              <w:t>VD02</w:t>
            </w:r>
          </w:p>
        </w:tc>
        <w:tc>
          <w:tcPr>
            <w:tcW w:w="2038" w:type="dxa"/>
            <w:shd w:val="clear" w:color="auto" w:fill="auto"/>
          </w:tcPr>
          <w:p w14:paraId="1C64299F" w14:textId="77777777" w:rsidR="00781487" w:rsidRPr="00461C16" w:rsidRDefault="00C74152" w:rsidP="001E135F">
            <w:pPr>
              <w:pStyle w:val="dtabulka"/>
              <w:spacing w:before="40" w:after="40"/>
              <w:rPr>
                <w:rFonts w:eastAsia="Arial Unicode MS"/>
              </w:rPr>
            </w:pPr>
            <w:r w:rsidRPr="00461C16">
              <w:rPr>
                <w:rFonts w:eastAsia="Arial Unicode MS"/>
              </w:rPr>
              <w:t>P21</w:t>
            </w:r>
          </w:p>
        </w:tc>
        <w:tc>
          <w:tcPr>
            <w:tcW w:w="1699" w:type="dxa"/>
          </w:tcPr>
          <w:p w14:paraId="499D80FE" w14:textId="77777777" w:rsidR="00781487" w:rsidRPr="00461C16" w:rsidRDefault="00F87EF0" w:rsidP="001E135F">
            <w:pPr>
              <w:pStyle w:val="dtabulka"/>
              <w:spacing w:before="40" w:after="40"/>
              <w:rPr>
                <w:rFonts w:eastAsia="Arial Unicode MS"/>
              </w:rPr>
            </w:pPr>
            <w:r w:rsidRPr="00461C16">
              <w:rPr>
                <w:color w:val="000000"/>
              </w:rPr>
              <w:t>Hrádek nad Nisou</w:t>
            </w:r>
          </w:p>
        </w:tc>
        <w:tc>
          <w:tcPr>
            <w:tcW w:w="4690" w:type="dxa"/>
          </w:tcPr>
          <w:p w14:paraId="3A6A6E02" w14:textId="77777777" w:rsidR="00781487" w:rsidRPr="00461C16" w:rsidRDefault="00F87EF0" w:rsidP="00E34DB1">
            <w:pPr>
              <w:pStyle w:val="dtabulka"/>
              <w:spacing w:before="40" w:after="40"/>
              <w:rPr>
                <w:rFonts w:eastAsia="Arial Unicode MS"/>
              </w:rPr>
            </w:pPr>
            <w:r w:rsidRPr="00461C16">
              <w:t>Plocha je vymezena pro veřejné parkoviště pro zajištění dostatečného počtu parkovacích míst v centrální části sídliště v Liberecké ulici.</w:t>
            </w:r>
          </w:p>
        </w:tc>
      </w:tr>
      <w:tr w:rsidR="00371E43" w:rsidRPr="00461C16" w14:paraId="6E18F4C9" w14:textId="77777777" w:rsidTr="00781487">
        <w:trPr>
          <w:cantSplit/>
          <w:jc w:val="right"/>
        </w:trPr>
        <w:tc>
          <w:tcPr>
            <w:tcW w:w="861" w:type="dxa"/>
            <w:shd w:val="clear" w:color="auto" w:fill="auto"/>
          </w:tcPr>
          <w:p w14:paraId="66A9C8F5" w14:textId="77777777" w:rsidR="00371E43" w:rsidRPr="00461C16" w:rsidRDefault="00371E43" w:rsidP="001E135F">
            <w:pPr>
              <w:pStyle w:val="dtabulka"/>
              <w:spacing w:before="40" w:after="40"/>
              <w:rPr>
                <w:rFonts w:eastAsia="Arial Unicode MS"/>
                <w:b/>
              </w:rPr>
            </w:pPr>
            <w:r w:rsidRPr="00461C16">
              <w:rPr>
                <w:rFonts w:eastAsia="Arial Unicode MS"/>
                <w:b/>
              </w:rPr>
              <w:t>VD08</w:t>
            </w:r>
          </w:p>
        </w:tc>
        <w:tc>
          <w:tcPr>
            <w:tcW w:w="2038" w:type="dxa"/>
            <w:shd w:val="clear" w:color="auto" w:fill="auto"/>
          </w:tcPr>
          <w:p w14:paraId="1A8F40B7" w14:textId="77777777" w:rsidR="00371E43" w:rsidRPr="00461C16" w:rsidRDefault="00C74152" w:rsidP="001E135F">
            <w:pPr>
              <w:pStyle w:val="dtabulka"/>
              <w:spacing w:before="40" w:after="40"/>
              <w:rPr>
                <w:rFonts w:eastAsia="Arial Unicode MS"/>
              </w:rPr>
            </w:pPr>
            <w:r w:rsidRPr="00461C16">
              <w:rPr>
                <w:rFonts w:eastAsia="Arial Unicode MS"/>
              </w:rPr>
              <w:t>Z39</w:t>
            </w:r>
          </w:p>
        </w:tc>
        <w:tc>
          <w:tcPr>
            <w:tcW w:w="1699" w:type="dxa"/>
          </w:tcPr>
          <w:p w14:paraId="04B25A91" w14:textId="77777777" w:rsidR="00371E43" w:rsidRPr="00461C16" w:rsidRDefault="00F87EF0" w:rsidP="001E135F">
            <w:pPr>
              <w:pStyle w:val="dtabulka"/>
              <w:spacing w:before="40" w:after="40"/>
              <w:rPr>
                <w:rFonts w:eastAsia="Arial Unicode MS"/>
              </w:rPr>
            </w:pPr>
            <w:r w:rsidRPr="00461C16">
              <w:rPr>
                <w:color w:val="000000"/>
              </w:rPr>
              <w:t>Hrádek nad Nisou</w:t>
            </w:r>
          </w:p>
        </w:tc>
        <w:tc>
          <w:tcPr>
            <w:tcW w:w="4690" w:type="dxa"/>
          </w:tcPr>
          <w:p w14:paraId="494914FD" w14:textId="77777777" w:rsidR="00F87EF0" w:rsidRPr="00461C16" w:rsidRDefault="00F87EF0" w:rsidP="00F87EF0">
            <w:pPr>
              <w:pStyle w:val="Intabulka"/>
              <w:rPr>
                <w:rFonts w:ascii="Arial Narrow" w:hAnsi="Arial Narrow"/>
                <w:iCs w:val="0"/>
                <w:lang w:val="cs-CZ" w:eastAsia="zh-CN"/>
              </w:rPr>
            </w:pPr>
            <w:r w:rsidRPr="00461C16">
              <w:rPr>
                <w:rFonts w:ascii="Arial Narrow" w:hAnsi="Arial Narrow"/>
                <w:iCs w:val="0"/>
                <w:lang w:val="cs-CZ" w:eastAsia="zh-CN"/>
              </w:rPr>
              <w:t>Plocha je vymezena pro dopravní propojení ulice Větrná se silnicí I/35L a zajištění přímého dopravního napojení výrobních areálů na silnici I/35L.</w:t>
            </w:r>
          </w:p>
          <w:p w14:paraId="13B6FD1D" w14:textId="77777777" w:rsidR="00371E43" w:rsidRPr="00461C16" w:rsidRDefault="00F87EF0" w:rsidP="00F87EF0">
            <w:pPr>
              <w:pStyle w:val="Intabulka"/>
              <w:rPr>
                <w:rFonts w:ascii="Arial Narrow" w:hAnsi="Arial Narrow"/>
                <w:iCs w:val="0"/>
                <w:lang w:val="cs-CZ" w:eastAsia="zh-CN"/>
              </w:rPr>
            </w:pPr>
            <w:r w:rsidRPr="00461C16">
              <w:rPr>
                <w:rFonts w:ascii="Arial Narrow" w:hAnsi="Arial Narrow"/>
                <w:lang w:val="cs-CZ"/>
              </w:rPr>
              <w:t>Vymezením plochy dojde ke snížení dopravních intenzit v ulici Žitavská a zvýšení bezpečnosti provozu v severovýchodní části sídla Hrádek nad Nisou. Prodloužením ulice Větrná bude zároveň zajištěna prostorová spojitost a kontinuita systému veřejných prostranství.</w:t>
            </w:r>
          </w:p>
        </w:tc>
      </w:tr>
      <w:tr w:rsidR="00371E43" w:rsidRPr="00461C16" w14:paraId="13888445" w14:textId="77777777" w:rsidTr="00781487">
        <w:trPr>
          <w:cantSplit/>
          <w:jc w:val="right"/>
        </w:trPr>
        <w:tc>
          <w:tcPr>
            <w:tcW w:w="861" w:type="dxa"/>
            <w:shd w:val="clear" w:color="auto" w:fill="auto"/>
          </w:tcPr>
          <w:p w14:paraId="4E73A626" w14:textId="77777777" w:rsidR="00371E43" w:rsidRPr="00461C16" w:rsidRDefault="00371E43" w:rsidP="001E135F">
            <w:pPr>
              <w:pStyle w:val="dtabulka"/>
              <w:spacing w:before="40" w:after="40"/>
              <w:rPr>
                <w:rFonts w:eastAsia="Arial Unicode MS"/>
                <w:b/>
              </w:rPr>
            </w:pPr>
            <w:r w:rsidRPr="00461C16">
              <w:rPr>
                <w:rFonts w:eastAsia="Arial Unicode MS"/>
                <w:b/>
              </w:rPr>
              <w:t>VD10</w:t>
            </w:r>
          </w:p>
        </w:tc>
        <w:tc>
          <w:tcPr>
            <w:tcW w:w="2038" w:type="dxa"/>
            <w:shd w:val="clear" w:color="auto" w:fill="auto"/>
          </w:tcPr>
          <w:p w14:paraId="45B9E5A2" w14:textId="77777777" w:rsidR="00371E43" w:rsidRPr="00461C16" w:rsidRDefault="00C74152" w:rsidP="001E135F">
            <w:pPr>
              <w:pStyle w:val="dtabulka"/>
              <w:spacing w:before="40" w:after="40"/>
              <w:rPr>
                <w:rFonts w:eastAsia="Arial Unicode MS"/>
              </w:rPr>
            </w:pPr>
            <w:r w:rsidRPr="00461C16">
              <w:rPr>
                <w:rFonts w:eastAsia="Arial Unicode MS"/>
              </w:rPr>
              <w:t>Z98</w:t>
            </w:r>
          </w:p>
        </w:tc>
        <w:tc>
          <w:tcPr>
            <w:tcW w:w="1699" w:type="dxa"/>
          </w:tcPr>
          <w:p w14:paraId="07AB4BED" w14:textId="77777777" w:rsidR="00371E43" w:rsidRPr="00461C16" w:rsidRDefault="00F87EF0" w:rsidP="001E135F">
            <w:pPr>
              <w:pStyle w:val="dtabulka"/>
              <w:spacing w:before="40" w:after="40"/>
              <w:rPr>
                <w:rFonts w:eastAsia="Arial Unicode MS"/>
              </w:rPr>
            </w:pPr>
            <w:r w:rsidRPr="00461C16">
              <w:rPr>
                <w:color w:val="000000"/>
              </w:rPr>
              <w:t>Dolní Sedlo</w:t>
            </w:r>
          </w:p>
        </w:tc>
        <w:tc>
          <w:tcPr>
            <w:tcW w:w="4690" w:type="dxa"/>
          </w:tcPr>
          <w:p w14:paraId="518C6EEE" w14:textId="77777777" w:rsidR="00371E43" w:rsidRPr="00461C16" w:rsidRDefault="00F87EF0" w:rsidP="00E34DB1">
            <w:pPr>
              <w:spacing w:before="40" w:after="40"/>
              <w:jc w:val="left"/>
              <w:rPr>
                <w:sz w:val="20"/>
                <w:szCs w:val="20"/>
              </w:rPr>
            </w:pPr>
            <w:r w:rsidRPr="00461C16">
              <w:rPr>
                <w:sz w:val="20"/>
                <w:szCs w:val="20"/>
              </w:rPr>
              <w:t>Plocha je vymezena pro zlepšení prostupnosti krajiny pro pěší a cyklisty a zajištění koordinace s územím sousední obce Jablonné v Podještědí.</w:t>
            </w:r>
          </w:p>
        </w:tc>
      </w:tr>
      <w:tr w:rsidR="00371E43" w:rsidRPr="00461C16" w14:paraId="538C3093" w14:textId="77777777" w:rsidTr="00781487">
        <w:trPr>
          <w:cantSplit/>
          <w:jc w:val="right"/>
        </w:trPr>
        <w:tc>
          <w:tcPr>
            <w:tcW w:w="861" w:type="dxa"/>
            <w:shd w:val="clear" w:color="auto" w:fill="auto"/>
          </w:tcPr>
          <w:p w14:paraId="7746FC71" w14:textId="77777777" w:rsidR="00371E43" w:rsidRPr="00461C16" w:rsidRDefault="00371E43" w:rsidP="001E135F">
            <w:pPr>
              <w:pStyle w:val="dtabulka"/>
              <w:spacing w:before="40" w:after="40"/>
              <w:rPr>
                <w:rFonts w:eastAsia="Arial Unicode MS"/>
                <w:b/>
              </w:rPr>
            </w:pPr>
            <w:r w:rsidRPr="00461C16">
              <w:rPr>
                <w:rFonts w:eastAsia="Arial Unicode MS"/>
                <w:b/>
              </w:rPr>
              <w:t>VD11</w:t>
            </w:r>
          </w:p>
        </w:tc>
        <w:tc>
          <w:tcPr>
            <w:tcW w:w="2038" w:type="dxa"/>
            <w:shd w:val="clear" w:color="auto" w:fill="auto"/>
          </w:tcPr>
          <w:p w14:paraId="794F6FC9" w14:textId="77777777" w:rsidR="00371E43" w:rsidRPr="00461C16" w:rsidRDefault="00371E43" w:rsidP="001E135F">
            <w:pPr>
              <w:pStyle w:val="dtabulka"/>
              <w:spacing w:before="40" w:after="40"/>
              <w:rPr>
                <w:rFonts w:eastAsia="Arial Unicode MS"/>
              </w:rPr>
            </w:pPr>
            <w:r w:rsidRPr="00461C16">
              <w:rPr>
                <w:rFonts w:eastAsia="Arial Unicode MS"/>
              </w:rPr>
              <w:t>koridor X01</w:t>
            </w:r>
          </w:p>
        </w:tc>
        <w:tc>
          <w:tcPr>
            <w:tcW w:w="1699" w:type="dxa"/>
          </w:tcPr>
          <w:p w14:paraId="77807238" w14:textId="77777777" w:rsidR="00371E43" w:rsidRPr="00461C16" w:rsidRDefault="002E67F2" w:rsidP="001E135F">
            <w:pPr>
              <w:pStyle w:val="dtabulka"/>
              <w:spacing w:before="40" w:after="40"/>
              <w:rPr>
                <w:rFonts w:eastAsia="Arial Unicode MS"/>
              </w:rPr>
            </w:pPr>
            <w:r w:rsidRPr="00461C16">
              <w:t>Donín u Hrádku nad Nisou, Hrádek nad Nisou</w:t>
            </w:r>
          </w:p>
        </w:tc>
        <w:tc>
          <w:tcPr>
            <w:tcW w:w="4690" w:type="dxa"/>
          </w:tcPr>
          <w:p w14:paraId="15AAC675" w14:textId="77777777" w:rsidR="00371E43" w:rsidRPr="00461C16" w:rsidRDefault="00F87EF0" w:rsidP="00F87EF0">
            <w:pPr>
              <w:spacing w:before="40" w:after="40"/>
              <w:jc w:val="left"/>
              <w:rPr>
                <w:sz w:val="20"/>
                <w:szCs w:val="20"/>
              </w:rPr>
            </w:pPr>
            <w:r w:rsidRPr="00461C16">
              <w:rPr>
                <w:sz w:val="20"/>
                <w:szCs w:val="20"/>
              </w:rPr>
              <w:t xml:space="preserve">Koridor je určený pro optimalizaci a elektrizaci železniční trati č. 089, jehož vymezení a zpřesnění je provedeno v souladu s požadavky ZÚR Libereckého kraje (dle ZÚR </w:t>
            </w:r>
            <w:r w:rsidR="003B07D8">
              <w:rPr>
                <w:sz w:val="20"/>
                <w:szCs w:val="20"/>
              </w:rPr>
              <w:t xml:space="preserve">LK </w:t>
            </w:r>
            <w:r w:rsidRPr="00461C16">
              <w:rPr>
                <w:sz w:val="20"/>
                <w:szCs w:val="20"/>
              </w:rPr>
              <w:t>se jedná o veřejně prospěšnou stavbu DS28).</w:t>
            </w:r>
          </w:p>
        </w:tc>
      </w:tr>
      <w:tr w:rsidR="00371E43" w:rsidRPr="00461C16" w14:paraId="4BB42638" w14:textId="77777777" w:rsidTr="00781487">
        <w:trPr>
          <w:cantSplit/>
          <w:jc w:val="right"/>
        </w:trPr>
        <w:tc>
          <w:tcPr>
            <w:tcW w:w="861" w:type="dxa"/>
            <w:shd w:val="clear" w:color="auto" w:fill="auto"/>
          </w:tcPr>
          <w:p w14:paraId="4430487A" w14:textId="77777777" w:rsidR="00371E43" w:rsidRPr="00461C16" w:rsidRDefault="00371E43" w:rsidP="001E135F">
            <w:pPr>
              <w:pStyle w:val="dtabulka"/>
              <w:spacing w:before="40" w:after="40"/>
              <w:rPr>
                <w:rFonts w:eastAsia="Arial Unicode MS"/>
                <w:b/>
              </w:rPr>
            </w:pPr>
            <w:r w:rsidRPr="00461C16">
              <w:rPr>
                <w:rFonts w:eastAsia="Arial Unicode MS"/>
                <w:b/>
              </w:rPr>
              <w:t>VT01</w:t>
            </w:r>
          </w:p>
        </w:tc>
        <w:tc>
          <w:tcPr>
            <w:tcW w:w="2038" w:type="dxa"/>
            <w:shd w:val="clear" w:color="auto" w:fill="auto"/>
          </w:tcPr>
          <w:p w14:paraId="0B593854" w14:textId="77777777" w:rsidR="00371E43" w:rsidRPr="00461C16" w:rsidRDefault="00371E43" w:rsidP="001E135F">
            <w:pPr>
              <w:pStyle w:val="dtabulka"/>
              <w:spacing w:before="40" w:after="40"/>
              <w:rPr>
                <w:rFonts w:eastAsia="Arial Unicode MS"/>
              </w:rPr>
            </w:pPr>
            <w:r w:rsidRPr="00461C16">
              <w:rPr>
                <w:rFonts w:eastAsia="Arial Unicode MS"/>
              </w:rPr>
              <w:t>koridor X02</w:t>
            </w:r>
          </w:p>
        </w:tc>
        <w:tc>
          <w:tcPr>
            <w:tcW w:w="1699" w:type="dxa"/>
          </w:tcPr>
          <w:p w14:paraId="78D2B758" w14:textId="77777777" w:rsidR="00371E43" w:rsidRPr="00461C16" w:rsidRDefault="002E67F2" w:rsidP="001E135F">
            <w:pPr>
              <w:pStyle w:val="dtabulka"/>
              <w:spacing w:before="40" w:after="40"/>
              <w:rPr>
                <w:rFonts w:eastAsia="Arial Unicode MS"/>
              </w:rPr>
            </w:pPr>
            <w:r w:rsidRPr="00461C16">
              <w:t>Donín u Hrádku nad Nisou, Hrádek nad Nisou, Loučná</w:t>
            </w:r>
          </w:p>
        </w:tc>
        <w:tc>
          <w:tcPr>
            <w:tcW w:w="4690" w:type="dxa"/>
          </w:tcPr>
          <w:p w14:paraId="46D09A16" w14:textId="77777777" w:rsidR="00371E43" w:rsidRPr="00461C16" w:rsidRDefault="00F87EF0" w:rsidP="00E34DB1">
            <w:pPr>
              <w:spacing w:before="40" w:after="40"/>
              <w:jc w:val="left"/>
              <w:rPr>
                <w:sz w:val="20"/>
                <w:szCs w:val="20"/>
              </w:rPr>
            </w:pPr>
            <w:r w:rsidRPr="00461C16">
              <w:rPr>
                <w:sz w:val="20"/>
                <w:szCs w:val="20"/>
              </w:rPr>
              <w:t>Koridor X02 určený pro umístění protipovodňových opatření na Lužické Nise, jehož vymezení a zpřesnění je provedeno v souladu s požadavky ZÚR Libereckého kraje (dle ZÚR</w:t>
            </w:r>
            <w:r w:rsidR="003B07D8">
              <w:rPr>
                <w:sz w:val="20"/>
                <w:szCs w:val="20"/>
              </w:rPr>
              <w:t xml:space="preserve"> LK</w:t>
            </w:r>
            <w:r w:rsidRPr="00461C16">
              <w:rPr>
                <w:sz w:val="20"/>
                <w:szCs w:val="20"/>
              </w:rPr>
              <w:t xml:space="preserve"> se jedná o veřejně prospěšnou stavbu P09).</w:t>
            </w:r>
          </w:p>
        </w:tc>
      </w:tr>
    </w:tbl>
    <w:p w14:paraId="1D1B41B2" w14:textId="77777777" w:rsidR="00E34DB1" w:rsidRPr="00461C16" w:rsidRDefault="00F32B0C" w:rsidP="00E34DB1">
      <w:pPr>
        <w:pStyle w:val="Heading3"/>
      </w:pPr>
      <w:bookmarkStart w:id="162" w:name="_Toc36116318"/>
      <w:r w:rsidRPr="00461C16">
        <w:t>6.8.2</w:t>
      </w:r>
      <w:r w:rsidRPr="00461C16">
        <w:tab/>
      </w:r>
      <w:r w:rsidR="00E34DB1" w:rsidRPr="00461C16">
        <w:t>Veřejně prospěšná opatření</w:t>
      </w:r>
      <w:bookmarkEnd w:id="162"/>
    </w:p>
    <w:p w14:paraId="39B3FD71" w14:textId="77777777" w:rsidR="00D312E7" w:rsidRPr="00461C16" w:rsidRDefault="00D312E7" w:rsidP="00D312E7">
      <w:pPr>
        <w:rPr>
          <w:i/>
          <w:sz w:val="20"/>
          <w:szCs w:val="20"/>
        </w:rPr>
      </w:pPr>
      <w:r w:rsidRPr="00461C16">
        <w:rPr>
          <w:i/>
          <w:sz w:val="20"/>
          <w:szCs w:val="20"/>
        </w:rPr>
        <w:t>(k bodu G03 ÚP)</w:t>
      </w:r>
    </w:p>
    <w:p w14:paraId="490E9F3C" w14:textId="77777777" w:rsidR="00D1644C" w:rsidRDefault="00D1644C" w:rsidP="00D1644C">
      <w:pPr>
        <w:spacing w:before="120" w:after="120" w:line="240" w:lineRule="auto"/>
      </w:pPr>
      <w:r>
        <w:t>Veřejně prospěšná opatření jsou vymezena v souladu s § 2, odst. 1, písm. m, zákona č. 183/2006 Sb., o územním plánování a stavebním řádu, v platném znění. Jako veřejně prospěšná opatření, pro které lze práva k pozemkům vyvlastnit, jsou vymezena opatření nestavební povahy sloužící ke snižování ohrožení území a k rozvoji anebo ochraně přírodního, kulturního a archeologického dědictví, tj. zejména navržený územní systém ekologické stability a prvky protierozního opatření.</w:t>
      </w:r>
    </w:p>
    <w:p w14:paraId="50FF89B4" w14:textId="77777777" w:rsidR="00D1644C" w:rsidRDefault="00D1644C" w:rsidP="00D1644C">
      <w:r>
        <w:lastRenderedPageBreak/>
        <w:t>V souladu s § 170, odst. 1, písm. b, zákona č. 183/2006 Sb., v platném znění, lze práva k pozemkům a stavbám vyvlastnit, jde-li o veřejně prospěšné opatření, a to snižování ohrožení v území povodněmi a jinými přírodními katastrofami, zvyšování retenčních schopností území, založení prvků územního systému ekologické stability a ochranu archeologického dědictví.</w:t>
      </w:r>
    </w:p>
    <w:p w14:paraId="76528E1D" w14:textId="77777777" w:rsidR="00D1644C" w:rsidRDefault="00D1644C" w:rsidP="00D1644C">
      <w:pPr>
        <w:spacing w:before="120" w:after="120" w:line="240" w:lineRule="auto"/>
      </w:pPr>
      <w:r>
        <w:t xml:space="preserve">ÚP vymezuje plochy změn v krajině dotvářející prvky </w:t>
      </w:r>
      <w:r>
        <w:rPr>
          <w:b/>
        </w:rPr>
        <w:t>územního systému ekologické stability</w:t>
      </w:r>
      <w:r>
        <w:t xml:space="preserve"> jako veřejně prospěšná opatření. Realizace skladebných částí ÚSES ovlivní kromě zvýšení ekologické stability a biologické diverzity příznivě i vodní režim krajiny a přispěje k protierozní ochraně zemědělské půdy.</w:t>
      </w:r>
    </w:p>
    <w:p w14:paraId="5822D290" w14:textId="77777777" w:rsidR="00D1644C" w:rsidRPr="00461C16" w:rsidRDefault="00D1644C" w:rsidP="00D1644C">
      <w:pPr>
        <w:spacing w:before="120" w:after="120" w:line="240" w:lineRule="auto"/>
        <w:jc w:val="left"/>
      </w:pPr>
      <w:r w:rsidRPr="00461C16">
        <w:t xml:space="preserve">Odůvodnění vymezení jednotlivých veřejně prospěšných </w:t>
      </w:r>
      <w:r>
        <w:t>opatření</w:t>
      </w:r>
      <w:r w:rsidRPr="00461C16">
        <w:t xml:space="preserve"> je uvedeno v následující tabulce.</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2038"/>
        <w:gridCol w:w="2171"/>
        <w:gridCol w:w="4218"/>
      </w:tblGrid>
      <w:tr w:rsidR="00D1644C" w:rsidRPr="00461C16" w14:paraId="0EEA5887" w14:textId="77777777" w:rsidTr="00B83AAD">
        <w:trPr>
          <w:cantSplit/>
          <w:tblHeader/>
          <w:jc w:val="right"/>
        </w:trPr>
        <w:tc>
          <w:tcPr>
            <w:tcW w:w="861" w:type="dxa"/>
            <w:shd w:val="clear" w:color="auto" w:fill="F2F2F2" w:themeFill="background1" w:themeFillShade="F2"/>
          </w:tcPr>
          <w:p w14:paraId="4AF4CB08" w14:textId="77777777" w:rsidR="00D1644C" w:rsidRPr="00461C16" w:rsidRDefault="00D1644C" w:rsidP="00D1644C">
            <w:pPr>
              <w:pStyle w:val="dtabulka"/>
              <w:spacing w:before="40" w:after="40"/>
              <w:rPr>
                <w:b/>
              </w:rPr>
            </w:pPr>
            <w:r w:rsidRPr="00461C16">
              <w:rPr>
                <w:b/>
              </w:rPr>
              <w:t>Kód VP</w:t>
            </w:r>
            <w:r>
              <w:rPr>
                <w:b/>
              </w:rPr>
              <w:t>O</w:t>
            </w:r>
          </w:p>
        </w:tc>
        <w:tc>
          <w:tcPr>
            <w:tcW w:w="2038" w:type="dxa"/>
            <w:shd w:val="clear" w:color="auto" w:fill="F2F2F2" w:themeFill="background1" w:themeFillShade="F2"/>
          </w:tcPr>
          <w:p w14:paraId="2C1DE140" w14:textId="77777777" w:rsidR="00D1644C" w:rsidRPr="00461C16" w:rsidRDefault="005A0EBB" w:rsidP="005A0EBB">
            <w:pPr>
              <w:pStyle w:val="dtabulka"/>
              <w:spacing w:before="40" w:after="40"/>
              <w:rPr>
                <w:b/>
              </w:rPr>
            </w:pPr>
            <w:r>
              <w:rPr>
                <w:b/>
              </w:rPr>
              <w:t>Kód části ÚSES</w:t>
            </w:r>
            <w:r w:rsidR="00D1644C">
              <w:rPr>
                <w:b/>
              </w:rPr>
              <w:t xml:space="preserve">, </w:t>
            </w:r>
            <w:r w:rsidR="00D1644C" w:rsidRPr="00461C16">
              <w:rPr>
                <w:b/>
              </w:rPr>
              <w:t>pro kterou je VP</w:t>
            </w:r>
            <w:r w:rsidR="00D1644C">
              <w:rPr>
                <w:b/>
              </w:rPr>
              <w:t>O</w:t>
            </w:r>
            <w:r w:rsidR="00D1644C" w:rsidRPr="00461C16">
              <w:rPr>
                <w:b/>
              </w:rPr>
              <w:t xml:space="preserve"> vymezen</w:t>
            </w:r>
          </w:p>
        </w:tc>
        <w:tc>
          <w:tcPr>
            <w:tcW w:w="2171" w:type="dxa"/>
            <w:shd w:val="clear" w:color="auto" w:fill="F2F2F2" w:themeFill="background1" w:themeFillShade="F2"/>
          </w:tcPr>
          <w:p w14:paraId="11572AF2" w14:textId="77777777" w:rsidR="00D1644C" w:rsidRPr="00461C16" w:rsidRDefault="00D1644C" w:rsidP="00FB398E">
            <w:pPr>
              <w:pStyle w:val="dtabulka"/>
              <w:spacing w:before="40" w:after="40"/>
              <w:rPr>
                <w:b/>
              </w:rPr>
            </w:pPr>
            <w:r w:rsidRPr="00461C16">
              <w:rPr>
                <w:b/>
              </w:rPr>
              <w:t>Dotčená k.ú.</w:t>
            </w:r>
          </w:p>
        </w:tc>
        <w:tc>
          <w:tcPr>
            <w:tcW w:w="4218" w:type="dxa"/>
            <w:shd w:val="clear" w:color="auto" w:fill="F2F2F2" w:themeFill="background1" w:themeFillShade="F2"/>
          </w:tcPr>
          <w:p w14:paraId="58173F75" w14:textId="77777777" w:rsidR="00D1644C" w:rsidRPr="00461C16" w:rsidRDefault="00D1644C" w:rsidP="00D1644C">
            <w:pPr>
              <w:pStyle w:val="dtabulka"/>
              <w:spacing w:before="40" w:after="40"/>
              <w:rPr>
                <w:b/>
              </w:rPr>
            </w:pPr>
            <w:r w:rsidRPr="00461C16">
              <w:rPr>
                <w:b/>
              </w:rPr>
              <w:t>Důvod vymezení VP</w:t>
            </w:r>
            <w:r>
              <w:rPr>
                <w:b/>
              </w:rPr>
              <w:t>O</w:t>
            </w:r>
          </w:p>
        </w:tc>
      </w:tr>
      <w:tr w:rsidR="00B83AAD" w:rsidRPr="00461C16" w14:paraId="1A606D04" w14:textId="77777777" w:rsidTr="00B83AAD">
        <w:trPr>
          <w:cantSplit/>
          <w:jc w:val="right"/>
        </w:trPr>
        <w:tc>
          <w:tcPr>
            <w:tcW w:w="861" w:type="dxa"/>
            <w:shd w:val="clear" w:color="auto" w:fill="auto"/>
          </w:tcPr>
          <w:p w14:paraId="4F52F188" w14:textId="77777777" w:rsidR="00B83AAD" w:rsidRPr="00D1644C" w:rsidRDefault="00B83AAD" w:rsidP="00FB398E">
            <w:pPr>
              <w:pStyle w:val="dtabulka"/>
              <w:spacing w:before="40" w:after="40"/>
              <w:rPr>
                <w:rFonts w:eastAsia="Arial Unicode MS"/>
                <w:b/>
                <w:highlight w:val="yellow"/>
              </w:rPr>
            </w:pPr>
            <w:r w:rsidRPr="00602EC2">
              <w:t>K19MB</w:t>
            </w:r>
          </w:p>
        </w:tc>
        <w:tc>
          <w:tcPr>
            <w:tcW w:w="2038" w:type="dxa"/>
            <w:shd w:val="clear" w:color="auto" w:fill="auto"/>
          </w:tcPr>
          <w:p w14:paraId="3C08DAFA" w14:textId="77777777" w:rsidR="005A0EBB" w:rsidRPr="005A0EBB" w:rsidRDefault="005A0EBB" w:rsidP="005A0EBB">
            <w:pPr>
              <w:pStyle w:val="dtabulka"/>
              <w:spacing w:before="40" w:after="40"/>
              <w:rPr>
                <w:rFonts w:eastAsia="Arial Unicode MS"/>
              </w:rPr>
            </w:pPr>
            <w:r w:rsidRPr="005A0EBB">
              <w:rPr>
                <w:rFonts w:eastAsia="Arial Unicode MS"/>
              </w:rPr>
              <w:t>NRBK K19MB_1</w:t>
            </w:r>
          </w:p>
          <w:p w14:paraId="3AC58A3A" w14:textId="77777777" w:rsidR="005A0EBB" w:rsidRPr="005A0EBB" w:rsidRDefault="005A0EBB" w:rsidP="005A0EBB">
            <w:pPr>
              <w:pStyle w:val="dtabulka"/>
              <w:spacing w:before="40" w:after="40"/>
              <w:rPr>
                <w:rFonts w:eastAsia="Arial Unicode MS"/>
              </w:rPr>
            </w:pPr>
            <w:r w:rsidRPr="005A0EBB">
              <w:rPr>
                <w:rFonts w:eastAsia="Arial Unicode MS"/>
              </w:rPr>
              <w:t>NRBK K19MB_2</w:t>
            </w:r>
          </w:p>
          <w:p w14:paraId="4754B201" w14:textId="77777777" w:rsidR="00B83AAD" w:rsidRPr="005A0EBB" w:rsidRDefault="005A0EBB" w:rsidP="00FB398E">
            <w:pPr>
              <w:pStyle w:val="dtabulka"/>
              <w:spacing w:before="40" w:after="40"/>
              <w:rPr>
                <w:rFonts w:eastAsia="Arial Unicode MS"/>
              </w:rPr>
            </w:pPr>
            <w:r w:rsidRPr="005A0EBB">
              <w:rPr>
                <w:rFonts w:eastAsia="Arial Unicode MS"/>
              </w:rPr>
              <w:t>NRBK K19MB_3</w:t>
            </w:r>
          </w:p>
          <w:p w14:paraId="173DAF86" w14:textId="77777777" w:rsidR="005A0EBB" w:rsidRPr="005A0EBB" w:rsidRDefault="005A0EBB" w:rsidP="00FB398E">
            <w:pPr>
              <w:pStyle w:val="dtabulka"/>
              <w:spacing w:before="40" w:after="40"/>
              <w:rPr>
                <w:rFonts w:eastAsia="Arial Unicode MS"/>
              </w:rPr>
            </w:pPr>
            <w:r w:rsidRPr="005A0EBB">
              <w:rPr>
                <w:rFonts w:eastAsia="Arial Unicode MS"/>
              </w:rPr>
              <w:t>NRBK K19MB_4</w:t>
            </w:r>
          </w:p>
        </w:tc>
        <w:tc>
          <w:tcPr>
            <w:tcW w:w="2171" w:type="dxa"/>
          </w:tcPr>
          <w:p w14:paraId="34837562" w14:textId="77777777" w:rsidR="00B83AAD" w:rsidRPr="005A0EBB" w:rsidRDefault="00B83AAD" w:rsidP="00FB398E">
            <w:pPr>
              <w:pStyle w:val="dtabulka"/>
              <w:spacing w:before="40" w:after="40"/>
              <w:rPr>
                <w:rFonts w:eastAsia="Arial Unicode MS"/>
              </w:rPr>
            </w:pPr>
            <w:r w:rsidRPr="005A0EBB">
              <w:rPr>
                <w:rFonts w:eastAsia="Arial Unicode MS"/>
              </w:rPr>
              <w:t>Dolní Suchá u Chotyně</w:t>
            </w:r>
            <w:r w:rsidR="005A0EBB" w:rsidRPr="005A0EBB">
              <w:rPr>
                <w:rFonts w:eastAsia="Arial Unicode MS"/>
              </w:rPr>
              <w:t>, Dolní Sedlo</w:t>
            </w:r>
          </w:p>
        </w:tc>
        <w:tc>
          <w:tcPr>
            <w:tcW w:w="4218" w:type="dxa"/>
          </w:tcPr>
          <w:p w14:paraId="323AF1F1" w14:textId="77777777" w:rsidR="00B83AAD" w:rsidRPr="00D1644C" w:rsidRDefault="00B83AAD" w:rsidP="00FB398E">
            <w:pPr>
              <w:pStyle w:val="dtabulka"/>
              <w:spacing w:before="40" w:after="40"/>
              <w:rPr>
                <w:rFonts w:eastAsia="Arial Unicode MS"/>
                <w:highlight w:val="yellow"/>
              </w:rPr>
            </w:pPr>
            <w:r w:rsidRPr="00DF5386">
              <w:rPr>
                <w:color w:val="000000"/>
              </w:rPr>
              <w:t xml:space="preserve">plocha k zajištění celistvosti a funkčnosti </w:t>
            </w:r>
            <w:r>
              <w:rPr>
                <w:color w:val="000000"/>
              </w:rPr>
              <w:t xml:space="preserve">nadregionálního </w:t>
            </w:r>
            <w:r w:rsidRPr="00DF5386">
              <w:rPr>
                <w:color w:val="000000"/>
              </w:rPr>
              <w:t xml:space="preserve">ÚSES </w:t>
            </w:r>
          </w:p>
        </w:tc>
      </w:tr>
      <w:tr w:rsidR="005A0EBB" w:rsidRPr="00461C16" w14:paraId="6C40330E" w14:textId="77777777" w:rsidTr="00B83AAD">
        <w:trPr>
          <w:cantSplit/>
          <w:jc w:val="right"/>
        </w:trPr>
        <w:tc>
          <w:tcPr>
            <w:tcW w:w="861" w:type="dxa"/>
            <w:shd w:val="clear" w:color="auto" w:fill="auto"/>
          </w:tcPr>
          <w:p w14:paraId="0042EA5B" w14:textId="77777777" w:rsidR="005A0EBB" w:rsidRPr="00D1644C" w:rsidRDefault="005A0EBB" w:rsidP="00FB398E">
            <w:pPr>
              <w:pStyle w:val="dtabulka"/>
              <w:spacing w:before="40" w:after="40"/>
              <w:rPr>
                <w:rFonts w:eastAsia="Arial Unicode MS"/>
                <w:b/>
                <w:highlight w:val="yellow"/>
              </w:rPr>
            </w:pPr>
            <w:r w:rsidRPr="00602EC2">
              <w:t>K34B</w:t>
            </w:r>
          </w:p>
        </w:tc>
        <w:tc>
          <w:tcPr>
            <w:tcW w:w="2038" w:type="dxa"/>
            <w:shd w:val="clear" w:color="auto" w:fill="auto"/>
          </w:tcPr>
          <w:p w14:paraId="22254581" w14:textId="77777777" w:rsidR="005A0EBB" w:rsidRPr="005A0EBB" w:rsidRDefault="005A0EBB" w:rsidP="002E4BDE">
            <w:pPr>
              <w:pStyle w:val="dtabulka"/>
              <w:spacing w:before="40" w:after="40"/>
              <w:rPr>
                <w:rFonts w:eastAsia="Arial Unicode MS"/>
              </w:rPr>
            </w:pPr>
            <w:r w:rsidRPr="005A0EBB">
              <w:rPr>
                <w:rFonts w:eastAsia="Arial Unicode MS"/>
              </w:rPr>
              <w:t>NRBK K34B_1</w:t>
            </w:r>
          </w:p>
          <w:p w14:paraId="0AE8324C" w14:textId="77777777" w:rsidR="005A0EBB" w:rsidRPr="005A0EBB" w:rsidRDefault="005A0EBB" w:rsidP="002E4BDE">
            <w:pPr>
              <w:pStyle w:val="dtabulka"/>
              <w:spacing w:before="40" w:after="40"/>
              <w:rPr>
                <w:rFonts w:eastAsia="Arial Unicode MS"/>
              </w:rPr>
            </w:pPr>
            <w:r w:rsidRPr="005A0EBB">
              <w:rPr>
                <w:rFonts w:eastAsia="Arial Unicode MS"/>
              </w:rPr>
              <w:t>NRBK K34B_2</w:t>
            </w:r>
          </w:p>
          <w:p w14:paraId="08DE339A" w14:textId="77777777" w:rsidR="005A0EBB" w:rsidRPr="005A0EBB" w:rsidRDefault="005A0EBB" w:rsidP="002E4BDE">
            <w:pPr>
              <w:pStyle w:val="dtabulka"/>
              <w:spacing w:before="40" w:after="40"/>
              <w:rPr>
                <w:rFonts w:eastAsia="Arial Unicode MS"/>
              </w:rPr>
            </w:pPr>
            <w:r w:rsidRPr="005A0EBB">
              <w:rPr>
                <w:rFonts w:eastAsia="Arial Unicode MS"/>
              </w:rPr>
              <w:t>NRBK K34B_3</w:t>
            </w:r>
          </w:p>
          <w:p w14:paraId="4F6E51F1" w14:textId="77777777" w:rsidR="005A0EBB" w:rsidRPr="005A0EBB" w:rsidRDefault="005A0EBB" w:rsidP="002E4BDE">
            <w:pPr>
              <w:pStyle w:val="dtabulka"/>
              <w:spacing w:before="40" w:after="40"/>
              <w:rPr>
                <w:rFonts w:eastAsia="Arial Unicode MS"/>
              </w:rPr>
            </w:pPr>
            <w:r w:rsidRPr="005A0EBB">
              <w:rPr>
                <w:rFonts w:eastAsia="Arial Unicode MS"/>
              </w:rPr>
              <w:t>NRBK K34B_4</w:t>
            </w:r>
          </w:p>
          <w:p w14:paraId="564A70D4" w14:textId="77777777" w:rsidR="005A0EBB" w:rsidRPr="005A0EBB" w:rsidRDefault="005A0EBB" w:rsidP="002E4BDE">
            <w:pPr>
              <w:pStyle w:val="dtabulka"/>
              <w:spacing w:before="40" w:after="40"/>
              <w:rPr>
                <w:rFonts w:eastAsia="Arial Unicode MS"/>
              </w:rPr>
            </w:pPr>
            <w:r w:rsidRPr="005A0EBB">
              <w:rPr>
                <w:rFonts w:eastAsia="Arial Unicode MS"/>
              </w:rPr>
              <w:t xml:space="preserve">NRBK K34B_5 </w:t>
            </w:r>
          </w:p>
          <w:p w14:paraId="00D74C89" w14:textId="77777777" w:rsidR="005A0EBB" w:rsidRPr="005A0EBB" w:rsidRDefault="005A0EBB" w:rsidP="00FB398E">
            <w:pPr>
              <w:pStyle w:val="dtabulka"/>
              <w:spacing w:before="40" w:after="40"/>
              <w:rPr>
                <w:rFonts w:eastAsia="Arial Unicode MS"/>
                <w:b/>
              </w:rPr>
            </w:pPr>
            <w:r w:rsidRPr="005A0EBB">
              <w:rPr>
                <w:rFonts w:eastAsia="Arial Unicode MS"/>
              </w:rPr>
              <w:t>NRBK K34B_6</w:t>
            </w:r>
          </w:p>
        </w:tc>
        <w:tc>
          <w:tcPr>
            <w:tcW w:w="2171" w:type="dxa"/>
          </w:tcPr>
          <w:p w14:paraId="5E9FDD3D" w14:textId="77777777" w:rsidR="005A0EBB" w:rsidRPr="005A0EBB" w:rsidRDefault="005A0EBB" w:rsidP="00FB398E">
            <w:pPr>
              <w:pStyle w:val="dtabulka"/>
              <w:spacing w:before="40" w:after="40"/>
              <w:rPr>
                <w:rFonts w:eastAsia="Arial Unicode MS"/>
              </w:rPr>
            </w:pPr>
            <w:r w:rsidRPr="005A0EBB">
              <w:rPr>
                <w:rFonts w:eastAsia="Arial Unicode MS"/>
              </w:rPr>
              <w:t>Dolní Sedlo</w:t>
            </w:r>
          </w:p>
        </w:tc>
        <w:tc>
          <w:tcPr>
            <w:tcW w:w="4218" w:type="dxa"/>
          </w:tcPr>
          <w:p w14:paraId="35F75337" w14:textId="77777777" w:rsidR="005A0EBB" w:rsidRPr="00D1644C" w:rsidRDefault="005A0EBB" w:rsidP="00FB398E">
            <w:pPr>
              <w:pStyle w:val="dtabulka"/>
              <w:spacing w:before="40" w:after="40"/>
              <w:rPr>
                <w:rFonts w:eastAsia="Arial Unicode MS"/>
                <w:highlight w:val="yellow"/>
              </w:rPr>
            </w:pPr>
            <w:r w:rsidRPr="00DF5386">
              <w:rPr>
                <w:color w:val="000000"/>
              </w:rPr>
              <w:t xml:space="preserve">plocha k zajištění celistvosti a funkčnosti </w:t>
            </w:r>
            <w:r>
              <w:rPr>
                <w:color w:val="000000"/>
              </w:rPr>
              <w:t xml:space="preserve">nadregionálního </w:t>
            </w:r>
            <w:r w:rsidRPr="00DF5386">
              <w:rPr>
                <w:color w:val="000000"/>
              </w:rPr>
              <w:t xml:space="preserve">ÚSES </w:t>
            </w:r>
          </w:p>
        </w:tc>
      </w:tr>
      <w:tr w:rsidR="005A0EBB" w:rsidRPr="00461C16" w14:paraId="52900733" w14:textId="77777777" w:rsidTr="00B83AAD">
        <w:trPr>
          <w:cantSplit/>
          <w:jc w:val="right"/>
        </w:trPr>
        <w:tc>
          <w:tcPr>
            <w:tcW w:w="861" w:type="dxa"/>
            <w:shd w:val="clear" w:color="auto" w:fill="auto"/>
          </w:tcPr>
          <w:p w14:paraId="75F38443" w14:textId="77777777" w:rsidR="005A0EBB" w:rsidRPr="00602EC2" w:rsidRDefault="005A0EBB" w:rsidP="00FB398E">
            <w:pPr>
              <w:pStyle w:val="dtabulka"/>
              <w:spacing w:before="40" w:after="40"/>
            </w:pPr>
            <w:r w:rsidRPr="00602EC2">
              <w:t>RC143</w:t>
            </w:r>
          </w:p>
        </w:tc>
        <w:tc>
          <w:tcPr>
            <w:tcW w:w="2038" w:type="dxa"/>
            <w:shd w:val="clear" w:color="auto" w:fill="auto"/>
          </w:tcPr>
          <w:p w14:paraId="1A25F900" w14:textId="77777777" w:rsidR="005A0EBB" w:rsidRPr="00D1644C" w:rsidRDefault="005A0EBB" w:rsidP="00FB398E">
            <w:pPr>
              <w:pStyle w:val="dtabulka"/>
              <w:spacing w:before="40" w:after="40"/>
              <w:rPr>
                <w:rFonts w:eastAsia="Arial Unicode MS"/>
                <w:highlight w:val="yellow"/>
              </w:rPr>
            </w:pPr>
            <w:r w:rsidRPr="00602EC2">
              <w:t>RC143</w:t>
            </w:r>
          </w:p>
        </w:tc>
        <w:tc>
          <w:tcPr>
            <w:tcW w:w="2171" w:type="dxa"/>
          </w:tcPr>
          <w:p w14:paraId="3DCE35D0" w14:textId="77777777" w:rsidR="005A0EBB" w:rsidRPr="00D1644C" w:rsidRDefault="005A0EBB" w:rsidP="00FB398E">
            <w:pPr>
              <w:pStyle w:val="dtabulka"/>
              <w:spacing w:before="40" w:after="40"/>
              <w:rPr>
                <w:rFonts w:eastAsia="Arial Unicode MS"/>
                <w:highlight w:val="yellow"/>
              </w:rPr>
            </w:pPr>
            <w:r w:rsidRPr="005A0EBB">
              <w:rPr>
                <w:rFonts w:eastAsia="Arial Unicode MS"/>
              </w:rPr>
              <w:t>Dolní Suchá u Chotyně</w:t>
            </w:r>
          </w:p>
        </w:tc>
        <w:tc>
          <w:tcPr>
            <w:tcW w:w="4218" w:type="dxa"/>
          </w:tcPr>
          <w:p w14:paraId="2AF34AF9" w14:textId="77777777" w:rsidR="005A0EBB" w:rsidRPr="00D1644C" w:rsidRDefault="005A0EBB" w:rsidP="00FB398E">
            <w:pPr>
              <w:pStyle w:val="dtabulka"/>
              <w:spacing w:before="40" w:after="40"/>
              <w:rPr>
                <w:rFonts w:eastAsia="Arial Unicode MS"/>
                <w:highlight w:val="yellow"/>
              </w:rPr>
            </w:pPr>
            <w:r w:rsidRPr="00DF5386">
              <w:rPr>
                <w:color w:val="000000"/>
              </w:rPr>
              <w:t xml:space="preserve">plocha k zajištění celistvosti a funkčnosti </w:t>
            </w:r>
            <w:r>
              <w:rPr>
                <w:color w:val="000000"/>
              </w:rPr>
              <w:t xml:space="preserve">regionálního </w:t>
            </w:r>
            <w:r w:rsidRPr="00DF5386">
              <w:rPr>
                <w:color w:val="000000"/>
              </w:rPr>
              <w:t xml:space="preserve">ÚSES </w:t>
            </w:r>
          </w:p>
        </w:tc>
      </w:tr>
      <w:tr w:rsidR="005A0EBB" w:rsidRPr="00461C16" w14:paraId="7083CB9D" w14:textId="77777777" w:rsidTr="00B83AAD">
        <w:trPr>
          <w:cantSplit/>
          <w:jc w:val="right"/>
        </w:trPr>
        <w:tc>
          <w:tcPr>
            <w:tcW w:w="861" w:type="dxa"/>
            <w:shd w:val="clear" w:color="auto" w:fill="auto"/>
          </w:tcPr>
          <w:p w14:paraId="7A711A12" w14:textId="77777777" w:rsidR="005A0EBB" w:rsidRPr="00602EC2" w:rsidRDefault="005A0EBB" w:rsidP="00FB398E">
            <w:pPr>
              <w:pStyle w:val="dtabulka"/>
              <w:spacing w:before="40" w:after="40"/>
            </w:pPr>
            <w:r w:rsidRPr="00602EC2">
              <w:t>RC1273</w:t>
            </w:r>
          </w:p>
        </w:tc>
        <w:tc>
          <w:tcPr>
            <w:tcW w:w="2038" w:type="dxa"/>
            <w:shd w:val="clear" w:color="auto" w:fill="auto"/>
          </w:tcPr>
          <w:p w14:paraId="60022FFB" w14:textId="77777777" w:rsidR="005A0EBB" w:rsidRPr="00D1644C" w:rsidRDefault="005A0EBB" w:rsidP="00FB398E">
            <w:pPr>
              <w:pStyle w:val="dtabulka"/>
              <w:spacing w:before="40" w:after="40"/>
              <w:rPr>
                <w:rFonts w:eastAsia="Arial Unicode MS"/>
                <w:highlight w:val="yellow"/>
              </w:rPr>
            </w:pPr>
            <w:r w:rsidRPr="00602EC2">
              <w:t>RC1273</w:t>
            </w:r>
          </w:p>
        </w:tc>
        <w:tc>
          <w:tcPr>
            <w:tcW w:w="2171" w:type="dxa"/>
          </w:tcPr>
          <w:p w14:paraId="4EF78B5F" w14:textId="77777777" w:rsidR="005A0EBB" w:rsidRPr="00D1644C" w:rsidRDefault="005A0EBB" w:rsidP="00FB398E">
            <w:pPr>
              <w:pStyle w:val="dtabulka"/>
              <w:spacing w:before="40" w:after="40"/>
              <w:rPr>
                <w:rFonts w:eastAsia="Arial Unicode MS"/>
                <w:highlight w:val="yellow"/>
              </w:rPr>
            </w:pPr>
            <w:r w:rsidRPr="005A0EBB">
              <w:rPr>
                <w:rFonts w:eastAsia="Arial Unicode MS"/>
              </w:rPr>
              <w:t>Dolní Sedlo</w:t>
            </w:r>
          </w:p>
        </w:tc>
        <w:tc>
          <w:tcPr>
            <w:tcW w:w="4218" w:type="dxa"/>
          </w:tcPr>
          <w:p w14:paraId="09AA9787" w14:textId="77777777" w:rsidR="005A0EBB" w:rsidRPr="00D1644C" w:rsidRDefault="005A0EBB" w:rsidP="00FB398E">
            <w:pPr>
              <w:pStyle w:val="dtabulka"/>
              <w:spacing w:before="40" w:after="40"/>
              <w:rPr>
                <w:rFonts w:eastAsia="Arial Unicode MS"/>
                <w:highlight w:val="yellow"/>
              </w:rPr>
            </w:pPr>
            <w:r w:rsidRPr="00DF5386">
              <w:rPr>
                <w:color w:val="000000"/>
              </w:rPr>
              <w:t xml:space="preserve">plocha k zajištění celistvosti a funkčnosti </w:t>
            </w:r>
            <w:r>
              <w:rPr>
                <w:color w:val="000000"/>
              </w:rPr>
              <w:t xml:space="preserve">regionálního </w:t>
            </w:r>
            <w:r w:rsidRPr="00DF5386">
              <w:rPr>
                <w:color w:val="000000"/>
              </w:rPr>
              <w:t xml:space="preserve">ÚSES </w:t>
            </w:r>
          </w:p>
        </w:tc>
      </w:tr>
      <w:tr w:rsidR="005A0EBB" w:rsidRPr="00461C16" w14:paraId="7E8EE2A8" w14:textId="77777777" w:rsidTr="00B83AAD">
        <w:trPr>
          <w:cantSplit/>
          <w:jc w:val="right"/>
        </w:trPr>
        <w:tc>
          <w:tcPr>
            <w:tcW w:w="861" w:type="dxa"/>
            <w:shd w:val="clear" w:color="auto" w:fill="auto"/>
          </w:tcPr>
          <w:p w14:paraId="0B27415F" w14:textId="77777777" w:rsidR="005A0EBB" w:rsidRPr="00602EC2" w:rsidRDefault="005A0EBB" w:rsidP="00FB398E">
            <w:pPr>
              <w:pStyle w:val="dtabulka"/>
              <w:spacing w:before="40" w:after="40"/>
            </w:pPr>
            <w:r w:rsidRPr="00602EC2">
              <w:t>RC1790</w:t>
            </w:r>
          </w:p>
        </w:tc>
        <w:tc>
          <w:tcPr>
            <w:tcW w:w="2038" w:type="dxa"/>
            <w:shd w:val="clear" w:color="auto" w:fill="auto"/>
          </w:tcPr>
          <w:p w14:paraId="7C038C62" w14:textId="77777777" w:rsidR="005A0EBB" w:rsidRPr="00D1644C" w:rsidRDefault="005A0EBB" w:rsidP="00FB398E">
            <w:pPr>
              <w:pStyle w:val="dtabulka"/>
              <w:spacing w:before="40" w:after="40"/>
              <w:rPr>
                <w:rFonts w:eastAsia="Arial Unicode MS"/>
                <w:highlight w:val="yellow"/>
              </w:rPr>
            </w:pPr>
            <w:r w:rsidRPr="00602EC2">
              <w:t>RC1790</w:t>
            </w:r>
          </w:p>
        </w:tc>
        <w:tc>
          <w:tcPr>
            <w:tcW w:w="2171" w:type="dxa"/>
          </w:tcPr>
          <w:p w14:paraId="2F2D989E" w14:textId="77777777" w:rsidR="005A0EBB" w:rsidRPr="005A0EBB" w:rsidRDefault="005A0EBB" w:rsidP="00FB398E">
            <w:pPr>
              <w:pStyle w:val="dtabulka"/>
              <w:spacing w:before="40" w:after="40"/>
              <w:rPr>
                <w:rFonts w:eastAsia="Arial Unicode MS"/>
              </w:rPr>
            </w:pPr>
            <w:r w:rsidRPr="005A0EBB">
              <w:rPr>
                <w:rFonts w:eastAsia="Arial Unicode MS"/>
              </w:rPr>
              <w:t>Václavice u Hrádku nad Nisou</w:t>
            </w:r>
          </w:p>
        </w:tc>
        <w:tc>
          <w:tcPr>
            <w:tcW w:w="4218" w:type="dxa"/>
          </w:tcPr>
          <w:p w14:paraId="0344B98C" w14:textId="77777777" w:rsidR="005A0EBB" w:rsidRPr="00D1644C" w:rsidRDefault="005A0EBB" w:rsidP="00FB398E">
            <w:pPr>
              <w:pStyle w:val="dtabulka"/>
              <w:spacing w:before="40" w:after="40"/>
              <w:rPr>
                <w:rFonts w:eastAsia="Arial Unicode MS"/>
                <w:highlight w:val="yellow"/>
              </w:rPr>
            </w:pPr>
            <w:r w:rsidRPr="00DF5386">
              <w:rPr>
                <w:color w:val="000000"/>
              </w:rPr>
              <w:t xml:space="preserve">plocha k zajištění celistvosti a funkčnosti </w:t>
            </w:r>
            <w:r>
              <w:rPr>
                <w:color w:val="000000"/>
              </w:rPr>
              <w:t xml:space="preserve">regionálního </w:t>
            </w:r>
            <w:r w:rsidRPr="00DF5386">
              <w:rPr>
                <w:color w:val="000000"/>
              </w:rPr>
              <w:t xml:space="preserve">ÚSES </w:t>
            </w:r>
          </w:p>
        </w:tc>
      </w:tr>
      <w:tr w:rsidR="005A0EBB" w:rsidRPr="00461C16" w14:paraId="77AA34C3" w14:textId="77777777" w:rsidTr="00B83AAD">
        <w:trPr>
          <w:cantSplit/>
          <w:jc w:val="right"/>
        </w:trPr>
        <w:tc>
          <w:tcPr>
            <w:tcW w:w="861" w:type="dxa"/>
            <w:shd w:val="clear" w:color="auto" w:fill="auto"/>
          </w:tcPr>
          <w:p w14:paraId="4A9A4D14" w14:textId="77777777" w:rsidR="005A0EBB" w:rsidRPr="00602EC2" w:rsidRDefault="005A0EBB" w:rsidP="00FB398E">
            <w:pPr>
              <w:pStyle w:val="dtabulka"/>
              <w:spacing w:before="40" w:after="40"/>
            </w:pPr>
            <w:r w:rsidRPr="00602EC2">
              <w:t>RK638</w:t>
            </w:r>
          </w:p>
        </w:tc>
        <w:tc>
          <w:tcPr>
            <w:tcW w:w="2038" w:type="dxa"/>
            <w:shd w:val="clear" w:color="auto" w:fill="auto"/>
          </w:tcPr>
          <w:p w14:paraId="1C8BE763" w14:textId="77777777" w:rsidR="005A0EBB" w:rsidRDefault="005A0EBB" w:rsidP="00FB398E">
            <w:pPr>
              <w:pStyle w:val="dtabulka"/>
              <w:spacing w:before="40" w:after="40"/>
            </w:pPr>
            <w:r w:rsidRPr="00602EC2">
              <w:t>RK638</w:t>
            </w:r>
            <w:r w:rsidR="0004232B">
              <w:t>_1</w:t>
            </w:r>
          </w:p>
          <w:p w14:paraId="3E3882C1" w14:textId="77777777" w:rsidR="0004232B" w:rsidRDefault="0004232B" w:rsidP="00FB398E">
            <w:pPr>
              <w:pStyle w:val="dtabulka"/>
              <w:spacing w:before="40" w:after="40"/>
            </w:pPr>
            <w:r w:rsidRPr="00602EC2">
              <w:t>RK638</w:t>
            </w:r>
            <w:r>
              <w:t>_2</w:t>
            </w:r>
          </w:p>
          <w:p w14:paraId="18FCEC06" w14:textId="77777777" w:rsidR="0004232B" w:rsidRDefault="0004232B" w:rsidP="00FB398E">
            <w:pPr>
              <w:pStyle w:val="dtabulka"/>
              <w:spacing w:before="40" w:after="40"/>
            </w:pPr>
            <w:r w:rsidRPr="00602EC2">
              <w:t>RK638</w:t>
            </w:r>
            <w:r>
              <w:t>_3</w:t>
            </w:r>
          </w:p>
          <w:p w14:paraId="39F767B7" w14:textId="77777777" w:rsidR="0004232B" w:rsidRDefault="0004232B" w:rsidP="00FB398E">
            <w:pPr>
              <w:pStyle w:val="dtabulka"/>
              <w:spacing w:before="40" w:after="40"/>
            </w:pPr>
            <w:r w:rsidRPr="00602EC2">
              <w:t>RK638</w:t>
            </w:r>
            <w:r>
              <w:t>_4</w:t>
            </w:r>
          </w:p>
          <w:p w14:paraId="6352A089" w14:textId="77777777" w:rsidR="0004232B" w:rsidRDefault="0004232B" w:rsidP="00FB398E">
            <w:pPr>
              <w:pStyle w:val="dtabulka"/>
              <w:spacing w:before="40" w:after="40"/>
            </w:pPr>
            <w:r w:rsidRPr="00602EC2">
              <w:t>RK638</w:t>
            </w:r>
            <w:r>
              <w:t>_5</w:t>
            </w:r>
          </w:p>
          <w:p w14:paraId="73E5856D" w14:textId="77777777" w:rsidR="0004232B" w:rsidRDefault="0004232B" w:rsidP="00FB398E">
            <w:pPr>
              <w:pStyle w:val="dtabulka"/>
              <w:spacing w:before="40" w:after="40"/>
            </w:pPr>
            <w:r w:rsidRPr="00602EC2">
              <w:t>RK638</w:t>
            </w:r>
            <w:r>
              <w:t>_6</w:t>
            </w:r>
          </w:p>
          <w:p w14:paraId="473CA8BF" w14:textId="77777777" w:rsidR="0004232B" w:rsidRPr="00D1644C" w:rsidRDefault="0004232B" w:rsidP="00FB398E">
            <w:pPr>
              <w:pStyle w:val="dtabulka"/>
              <w:spacing w:before="40" w:after="40"/>
              <w:rPr>
                <w:rFonts w:eastAsia="Arial Unicode MS"/>
                <w:highlight w:val="yellow"/>
              </w:rPr>
            </w:pPr>
            <w:r w:rsidRPr="00602EC2">
              <w:t>RK638</w:t>
            </w:r>
            <w:r>
              <w:t>_7</w:t>
            </w:r>
          </w:p>
        </w:tc>
        <w:tc>
          <w:tcPr>
            <w:tcW w:w="2171" w:type="dxa"/>
          </w:tcPr>
          <w:p w14:paraId="7D2294DB" w14:textId="77777777" w:rsidR="005A0EBB" w:rsidRPr="005A0EBB" w:rsidRDefault="005A0EBB" w:rsidP="00FB398E">
            <w:pPr>
              <w:pStyle w:val="dtabulka"/>
              <w:spacing w:before="40" w:after="40"/>
              <w:rPr>
                <w:rFonts w:eastAsia="Arial Unicode MS"/>
              </w:rPr>
            </w:pPr>
            <w:r w:rsidRPr="005A0EBB">
              <w:rPr>
                <w:rFonts w:eastAsia="Arial Unicode MS"/>
              </w:rPr>
              <w:t>Oldřichov na Hranicích, Václavice u Hrádku nad Nisou</w:t>
            </w:r>
          </w:p>
        </w:tc>
        <w:tc>
          <w:tcPr>
            <w:tcW w:w="4218" w:type="dxa"/>
          </w:tcPr>
          <w:p w14:paraId="32B57DDC" w14:textId="77777777" w:rsidR="005A0EBB" w:rsidRPr="00D1644C" w:rsidRDefault="005A0EBB" w:rsidP="00FB398E">
            <w:pPr>
              <w:pStyle w:val="dtabulka"/>
              <w:spacing w:before="40" w:after="40"/>
              <w:rPr>
                <w:rFonts w:eastAsia="Arial Unicode MS"/>
                <w:highlight w:val="yellow"/>
              </w:rPr>
            </w:pPr>
            <w:r w:rsidRPr="00DF5386">
              <w:rPr>
                <w:color w:val="000000"/>
              </w:rPr>
              <w:t xml:space="preserve">plocha k zajištění celistvosti a funkčnosti </w:t>
            </w:r>
            <w:r>
              <w:rPr>
                <w:color w:val="000000"/>
              </w:rPr>
              <w:t xml:space="preserve">regionálního </w:t>
            </w:r>
            <w:r w:rsidRPr="00DF5386">
              <w:rPr>
                <w:color w:val="000000"/>
              </w:rPr>
              <w:t xml:space="preserve">ÚSES </w:t>
            </w:r>
          </w:p>
        </w:tc>
      </w:tr>
      <w:tr w:rsidR="0004232B" w:rsidRPr="00461C16" w14:paraId="0349476D" w14:textId="77777777" w:rsidTr="00B83AAD">
        <w:trPr>
          <w:cantSplit/>
          <w:jc w:val="right"/>
        </w:trPr>
        <w:tc>
          <w:tcPr>
            <w:tcW w:w="861" w:type="dxa"/>
            <w:shd w:val="clear" w:color="auto" w:fill="auto"/>
          </w:tcPr>
          <w:p w14:paraId="57B726DB" w14:textId="77777777" w:rsidR="0004232B" w:rsidRPr="00602EC2" w:rsidRDefault="0004232B" w:rsidP="00FB398E">
            <w:pPr>
              <w:pStyle w:val="dtabulka"/>
              <w:spacing w:before="40" w:after="40"/>
            </w:pPr>
            <w:r w:rsidRPr="00602EC2">
              <w:t>PU01</w:t>
            </w:r>
          </w:p>
        </w:tc>
        <w:tc>
          <w:tcPr>
            <w:tcW w:w="2038" w:type="dxa"/>
            <w:shd w:val="clear" w:color="auto" w:fill="auto"/>
          </w:tcPr>
          <w:p w14:paraId="285A8FE1" w14:textId="77777777" w:rsidR="0004232B" w:rsidRPr="0004232B" w:rsidRDefault="0004232B" w:rsidP="00FB398E">
            <w:pPr>
              <w:pStyle w:val="dtabulka"/>
              <w:spacing w:before="40" w:after="40"/>
              <w:rPr>
                <w:rFonts w:eastAsia="Arial Unicode MS"/>
              </w:rPr>
            </w:pPr>
            <w:r w:rsidRPr="0004232B">
              <w:rPr>
                <w:rFonts w:eastAsia="Arial Unicode MS"/>
              </w:rPr>
              <w:t>viz lokální biocentra a lokální biokoridory kap. E.4 ÚP</w:t>
            </w:r>
          </w:p>
        </w:tc>
        <w:tc>
          <w:tcPr>
            <w:tcW w:w="2171" w:type="dxa"/>
          </w:tcPr>
          <w:p w14:paraId="354E68EE" w14:textId="77777777" w:rsidR="0004232B" w:rsidRPr="00D1644C" w:rsidRDefault="0004232B" w:rsidP="00FB398E">
            <w:pPr>
              <w:pStyle w:val="dtabulka"/>
              <w:spacing w:before="40" w:after="40"/>
              <w:rPr>
                <w:rFonts w:eastAsia="Arial Unicode MS"/>
                <w:highlight w:val="yellow"/>
              </w:rPr>
            </w:pPr>
            <w:r>
              <w:rPr>
                <w:rFonts w:eastAsia="Arial Unicode MS"/>
              </w:rPr>
              <w:t>celé správní území města</w:t>
            </w:r>
          </w:p>
        </w:tc>
        <w:tc>
          <w:tcPr>
            <w:tcW w:w="4218" w:type="dxa"/>
          </w:tcPr>
          <w:p w14:paraId="1C1C4329" w14:textId="77777777" w:rsidR="0004232B" w:rsidRPr="00D1644C" w:rsidRDefault="0004232B" w:rsidP="00FB398E">
            <w:pPr>
              <w:pStyle w:val="dtabulka"/>
              <w:spacing w:before="40" w:after="40"/>
              <w:rPr>
                <w:rFonts w:eastAsia="Arial Unicode MS"/>
                <w:highlight w:val="yellow"/>
              </w:rPr>
            </w:pPr>
            <w:r w:rsidRPr="00FC22DA">
              <w:rPr>
                <w:color w:val="000000"/>
              </w:rPr>
              <w:t xml:space="preserve">plocha k zajištění </w:t>
            </w:r>
            <w:r>
              <w:rPr>
                <w:color w:val="000000"/>
              </w:rPr>
              <w:t xml:space="preserve">celistvosti </w:t>
            </w:r>
            <w:r w:rsidRPr="00FC22DA">
              <w:rPr>
                <w:color w:val="000000"/>
              </w:rPr>
              <w:t xml:space="preserve">a funkčnosti </w:t>
            </w:r>
            <w:r>
              <w:rPr>
                <w:color w:val="000000"/>
              </w:rPr>
              <w:t xml:space="preserve">lokálního </w:t>
            </w:r>
            <w:r w:rsidRPr="00FC22DA">
              <w:rPr>
                <w:color w:val="000000"/>
              </w:rPr>
              <w:t>ÚSES</w:t>
            </w:r>
            <w:r>
              <w:rPr>
                <w:color w:val="000000"/>
              </w:rPr>
              <w:t xml:space="preserve"> </w:t>
            </w:r>
          </w:p>
        </w:tc>
      </w:tr>
    </w:tbl>
    <w:p w14:paraId="359B088C" w14:textId="7719A0A9" w:rsidR="004E1C7A" w:rsidRPr="00461C16" w:rsidRDefault="000C791F" w:rsidP="00D829F9">
      <w:pPr>
        <w:pStyle w:val="Heading2"/>
        <w:ind w:left="709" w:hanging="709"/>
      </w:pPr>
      <w:bookmarkStart w:id="163" w:name="_Toc384728065"/>
      <w:bookmarkStart w:id="164" w:name="_Toc424191837"/>
      <w:bookmarkStart w:id="165" w:name="_Toc36116319"/>
      <w:r w:rsidRPr="00461C16">
        <w:t>6</w:t>
      </w:r>
      <w:r w:rsidR="00BC4E8D" w:rsidRPr="00461C16">
        <w:t>.</w:t>
      </w:r>
      <w:r w:rsidR="004E1C7A" w:rsidRPr="00461C16">
        <w:t xml:space="preserve">9 </w:t>
      </w:r>
      <w:r w:rsidR="004E1C7A" w:rsidRPr="00461C16">
        <w:tab/>
        <w:t xml:space="preserve">Vymezení veřejně prospěšných staveb a veřejných prostranství, pro které lze uplatnit předkupní právo, s uvedením v čí prospěch je předkupní právo zřizováno, parcelních čísel pozemků, názvu katastrálního území a případně dalších údajů podle § </w:t>
      </w:r>
      <w:r w:rsidR="00245690">
        <w:t>8</w:t>
      </w:r>
      <w:r w:rsidR="004E1C7A" w:rsidRPr="00461C16">
        <w:t xml:space="preserve"> katastrálního zákona</w:t>
      </w:r>
      <w:bookmarkEnd w:id="163"/>
      <w:bookmarkEnd w:id="164"/>
      <w:bookmarkEnd w:id="165"/>
    </w:p>
    <w:p w14:paraId="17A3BA01" w14:textId="77777777" w:rsidR="000E0B1B" w:rsidRPr="00461C16" w:rsidRDefault="000E0B1B" w:rsidP="000E0B1B">
      <w:pPr>
        <w:pStyle w:val="Heading3"/>
      </w:pPr>
      <w:bookmarkStart w:id="166" w:name="_Toc384728066"/>
      <w:bookmarkStart w:id="167" w:name="_Toc424191838"/>
      <w:bookmarkStart w:id="168" w:name="OLE_LINK40"/>
      <w:bookmarkStart w:id="169" w:name="OLE_LINK41"/>
      <w:bookmarkStart w:id="170" w:name="_Toc36116320"/>
      <w:r w:rsidRPr="00461C16">
        <w:t>6.9.1</w:t>
      </w:r>
      <w:r w:rsidRPr="00461C16">
        <w:tab/>
        <w:t>Veřejně prospěšné stavby</w:t>
      </w:r>
      <w:bookmarkEnd w:id="170"/>
    </w:p>
    <w:p w14:paraId="7F23755A" w14:textId="77777777" w:rsidR="000C1B06" w:rsidRPr="00461C16" w:rsidRDefault="000C1B06" w:rsidP="000E0B1B">
      <w:pPr>
        <w:pStyle w:val="1text"/>
        <w:spacing w:before="240"/>
        <w:rPr>
          <w:i/>
          <w:sz w:val="20"/>
          <w:szCs w:val="20"/>
        </w:rPr>
      </w:pPr>
      <w:r w:rsidRPr="00461C16">
        <w:rPr>
          <w:i/>
          <w:sz w:val="20"/>
          <w:szCs w:val="20"/>
        </w:rPr>
        <w:t xml:space="preserve">(k bodu H01 ÚP) </w:t>
      </w:r>
    </w:p>
    <w:p w14:paraId="0E59F85B" w14:textId="77777777" w:rsidR="000E0B1B" w:rsidRPr="00461C16" w:rsidRDefault="000E0B1B" w:rsidP="000E0B1B">
      <w:pPr>
        <w:pStyle w:val="Normlnslovan"/>
        <w:numPr>
          <w:ilvl w:val="0"/>
          <w:numId w:val="0"/>
        </w:numPr>
        <w:spacing w:before="120" w:after="120"/>
        <w:rPr>
          <w:sz w:val="22"/>
          <w:szCs w:val="22"/>
        </w:rPr>
      </w:pPr>
      <w:r w:rsidRPr="00461C16">
        <w:rPr>
          <w:sz w:val="22"/>
          <w:szCs w:val="22"/>
        </w:rPr>
        <w:t xml:space="preserve">ÚP Hrádek nad Nisou vymezuje veřejně prospěšné stavby, pro které lze uplatnit předkupní právo, v souladu s § 101 odst. 1 zákona č. 183/2006 Sb., o územním plánování a stavebním řádu, v platném znění. </w:t>
      </w:r>
    </w:p>
    <w:p w14:paraId="2C997BE0" w14:textId="77777777" w:rsidR="000E0B1B" w:rsidRPr="00461C16" w:rsidRDefault="000E0B1B" w:rsidP="000E0B1B">
      <w:pPr>
        <w:pStyle w:val="Normlnslovan"/>
        <w:numPr>
          <w:ilvl w:val="0"/>
          <w:numId w:val="0"/>
        </w:numPr>
        <w:spacing w:before="120" w:after="120"/>
        <w:rPr>
          <w:sz w:val="22"/>
          <w:szCs w:val="22"/>
        </w:rPr>
      </w:pPr>
      <w:r w:rsidRPr="00461C16">
        <w:rPr>
          <w:sz w:val="22"/>
          <w:szCs w:val="22"/>
        </w:rPr>
        <w:lastRenderedPageBreak/>
        <w:t>Veřejně prospěšnými stavbami jsou dle § 2 odst. (1) písmene l) zákona č. 183/2006 Sb., o územním plánování a stavebním řádu, v platném znění, stavby pro veřejnou infrastrukturu (dopravní infrastruktura, technická infrastruktura, občanské vybavení a veřejná prostranství) určené k rozvoji nebo ochraně území obce, kraje nebo státu. Možnost uplatnění předkupního práva se přitom vztahuje na stavby veřejného občanského vybavení.</w:t>
      </w:r>
    </w:p>
    <w:p w14:paraId="1731F86D" w14:textId="77777777" w:rsidR="00D312E7" w:rsidRPr="00461C16" w:rsidRDefault="000E0B1B" w:rsidP="000E0B1B">
      <w:pPr>
        <w:pStyle w:val="Normlnslovan"/>
        <w:numPr>
          <w:ilvl w:val="0"/>
          <w:numId w:val="0"/>
        </w:numPr>
        <w:spacing w:before="120" w:after="120"/>
        <w:rPr>
          <w:sz w:val="22"/>
          <w:szCs w:val="22"/>
        </w:rPr>
      </w:pPr>
      <w:r w:rsidRPr="00461C16">
        <w:rPr>
          <w:sz w:val="22"/>
          <w:szCs w:val="22"/>
        </w:rPr>
        <w:t>Podrobné odůvodnění ploch veřejně prospěšných staveb, pro které lze uplatnit předkupní právo, je uvedeno v následující tabulce:</w:t>
      </w:r>
    </w:p>
    <w:tbl>
      <w:tblPr>
        <w:tblW w:w="494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7"/>
        <w:gridCol w:w="2638"/>
        <w:gridCol w:w="5495"/>
      </w:tblGrid>
      <w:tr w:rsidR="000E0B1B" w:rsidRPr="00461C16" w14:paraId="15D22AED" w14:textId="77777777" w:rsidTr="00D312E7">
        <w:trPr>
          <w:cantSplit/>
          <w:tblHeader/>
          <w:jc w:val="right"/>
        </w:trPr>
        <w:tc>
          <w:tcPr>
            <w:tcW w:w="570" w:type="pct"/>
            <w:shd w:val="clear" w:color="auto" w:fill="F2F2F2" w:themeFill="background1" w:themeFillShade="F2"/>
          </w:tcPr>
          <w:p w14:paraId="73141BFA" w14:textId="77777777" w:rsidR="000E0B1B" w:rsidRPr="00461C16" w:rsidRDefault="000E0B1B" w:rsidP="007E0331">
            <w:pPr>
              <w:pStyle w:val="dtabulka"/>
              <w:spacing w:before="40" w:after="40"/>
              <w:rPr>
                <w:b/>
              </w:rPr>
            </w:pPr>
            <w:r w:rsidRPr="00461C16">
              <w:rPr>
                <w:b/>
              </w:rPr>
              <w:t>Kód VPS</w:t>
            </w:r>
          </w:p>
        </w:tc>
        <w:tc>
          <w:tcPr>
            <w:tcW w:w="1437" w:type="pct"/>
            <w:shd w:val="clear" w:color="auto" w:fill="F2F2F2" w:themeFill="background1" w:themeFillShade="F2"/>
          </w:tcPr>
          <w:p w14:paraId="6582305E" w14:textId="77777777" w:rsidR="000E0B1B" w:rsidRPr="00461C16" w:rsidRDefault="000E0B1B" w:rsidP="007E0331">
            <w:pPr>
              <w:pStyle w:val="dtabulka"/>
              <w:spacing w:before="40" w:after="40"/>
              <w:rPr>
                <w:b/>
              </w:rPr>
            </w:pPr>
            <w:r w:rsidRPr="00461C16">
              <w:rPr>
                <w:b/>
              </w:rPr>
              <w:t xml:space="preserve">Specifikace veřejného prostranství </w:t>
            </w:r>
          </w:p>
        </w:tc>
        <w:tc>
          <w:tcPr>
            <w:tcW w:w="2993" w:type="pct"/>
            <w:shd w:val="clear" w:color="auto" w:fill="F2F2F2" w:themeFill="background1" w:themeFillShade="F2"/>
          </w:tcPr>
          <w:p w14:paraId="4E866B60" w14:textId="77777777" w:rsidR="000E0B1B" w:rsidRPr="00461C16" w:rsidRDefault="000E0B1B" w:rsidP="007E0331">
            <w:pPr>
              <w:pStyle w:val="dtabulka"/>
              <w:spacing w:before="40" w:after="40"/>
              <w:rPr>
                <w:b/>
              </w:rPr>
            </w:pPr>
            <w:r w:rsidRPr="00461C16">
              <w:rPr>
                <w:b/>
              </w:rPr>
              <w:t>Důvod vymezení</w:t>
            </w:r>
          </w:p>
        </w:tc>
      </w:tr>
      <w:tr w:rsidR="000E0B1B" w:rsidRPr="00461C16" w14:paraId="35EE5802" w14:textId="77777777" w:rsidTr="00D312E7">
        <w:trPr>
          <w:cantSplit/>
          <w:jc w:val="right"/>
        </w:trPr>
        <w:tc>
          <w:tcPr>
            <w:tcW w:w="570" w:type="pct"/>
            <w:shd w:val="clear" w:color="auto" w:fill="auto"/>
          </w:tcPr>
          <w:p w14:paraId="3AC592E6" w14:textId="77777777" w:rsidR="000E0B1B" w:rsidRPr="00461C16" w:rsidRDefault="000E0B1B" w:rsidP="007E0331">
            <w:pPr>
              <w:pStyle w:val="dtabulka"/>
              <w:spacing w:before="40" w:after="40"/>
              <w:rPr>
                <w:rFonts w:eastAsia="Arial Unicode MS"/>
              </w:rPr>
            </w:pPr>
            <w:r w:rsidRPr="00461C16">
              <w:rPr>
                <w:rFonts w:eastAsia="Arial Unicode MS"/>
              </w:rPr>
              <w:t>PO01</w:t>
            </w:r>
          </w:p>
        </w:tc>
        <w:tc>
          <w:tcPr>
            <w:tcW w:w="1437" w:type="pct"/>
          </w:tcPr>
          <w:p w14:paraId="48A1625D" w14:textId="77777777" w:rsidR="000E0B1B" w:rsidRPr="00461C16" w:rsidRDefault="000E0B1B" w:rsidP="007E0331">
            <w:pPr>
              <w:pStyle w:val="dtabulka"/>
              <w:spacing w:before="40" w:after="40"/>
              <w:rPr>
                <w:rFonts w:cs="Arial"/>
              </w:rPr>
            </w:pPr>
            <w:r w:rsidRPr="00461C16">
              <w:rPr>
                <w:rFonts w:cs="Arial"/>
              </w:rPr>
              <w:t>přestavba zahrádek na veřejné sportoviště (plocha P19)</w:t>
            </w:r>
          </w:p>
        </w:tc>
        <w:tc>
          <w:tcPr>
            <w:tcW w:w="2993" w:type="pct"/>
          </w:tcPr>
          <w:p w14:paraId="72475755" w14:textId="77777777" w:rsidR="000E0B1B" w:rsidRPr="00461C16" w:rsidRDefault="0013698C" w:rsidP="00F859CE">
            <w:pPr>
              <w:pStyle w:val="dtabulka"/>
              <w:spacing w:before="40" w:after="40"/>
              <w:rPr>
                <w:rFonts w:eastAsia="Arial Unicode MS"/>
              </w:rPr>
            </w:pPr>
            <w:r w:rsidRPr="00461C16">
              <w:rPr>
                <w:rFonts w:eastAsia="Arial Unicode MS"/>
              </w:rPr>
              <w:t xml:space="preserve">Přestavba stávající zahrádkové osady řeší nevhodnou strukturu i funkci pro území v těsné blízkosti centra města, kde je vhodné posilování aktivit celoměstského či městského charakteru. Záměr reaguje na blízkost stabilizovaného kynologického areálu a bývalé cihelny, využívané dnes jako skatepark. Přestavba zahrádek umožní rozšíření sportovních aktivit a vybudování rozsáhlého sportovního </w:t>
            </w:r>
            <w:r w:rsidR="00F859CE" w:rsidRPr="00461C16">
              <w:rPr>
                <w:rFonts w:eastAsia="Arial Unicode MS"/>
              </w:rPr>
              <w:t>areálu</w:t>
            </w:r>
            <w:r w:rsidRPr="00461C16">
              <w:rPr>
                <w:rFonts w:eastAsia="Arial Unicode MS"/>
              </w:rPr>
              <w:t xml:space="preserve"> s možností umístění dalších dosud chybějících zařízení pro volnočasové aktivity nejen mladé generace. Význam záměru je posílen vymezením obrovského rozvojového území pro bydlení v navazujícím prostoru, který přinese potřebu zkvalitnění infrastruktury pro sport a volný čas.</w:t>
            </w:r>
          </w:p>
        </w:tc>
      </w:tr>
      <w:tr w:rsidR="000E0B1B" w:rsidRPr="00461C16" w14:paraId="127273E2" w14:textId="77777777" w:rsidTr="00D312E7">
        <w:trPr>
          <w:cantSplit/>
          <w:jc w:val="right"/>
        </w:trPr>
        <w:tc>
          <w:tcPr>
            <w:tcW w:w="570" w:type="pct"/>
            <w:shd w:val="clear" w:color="auto" w:fill="auto"/>
          </w:tcPr>
          <w:p w14:paraId="13B30F95" w14:textId="77777777" w:rsidR="000E0B1B" w:rsidRPr="00461C16" w:rsidRDefault="000E0B1B" w:rsidP="007E0331">
            <w:pPr>
              <w:pStyle w:val="dtabulka"/>
              <w:spacing w:before="40" w:after="40"/>
              <w:rPr>
                <w:rFonts w:eastAsia="Arial Unicode MS"/>
              </w:rPr>
            </w:pPr>
            <w:r w:rsidRPr="00461C16">
              <w:rPr>
                <w:rFonts w:eastAsia="Arial Unicode MS"/>
              </w:rPr>
              <w:t>PO02</w:t>
            </w:r>
          </w:p>
        </w:tc>
        <w:tc>
          <w:tcPr>
            <w:tcW w:w="1437" w:type="pct"/>
          </w:tcPr>
          <w:p w14:paraId="57698C36" w14:textId="77777777" w:rsidR="000E0B1B" w:rsidRPr="00461C16" w:rsidRDefault="000E0B1B" w:rsidP="007E0331">
            <w:pPr>
              <w:pStyle w:val="dtabulka"/>
              <w:spacing w:before="40" w:after="40"/>
              <w:rPr>
                <w:rFonts w:cs="Arial"/>
              </w:rPr>
            </w:pPr>
            <w:r w:rsidRPr="00461C16">
              <w:rPr>
                <w:rFonts w:cs="Arial"/>
              </w:rPr>
              <w:t>rozšíření sportoviště ve Václavicích (plocha Z24)</w:t>
            </w:r>
          </w:p>
        </w:tc>
        <w:tc>
          <w:tcPr>
            <w:tcW w:w="2993" w:type="pct"/>
          </w:tcPr>
          <w:p w14:paraId="0734DF98" w14:textId="77777777" w:rsidR="000E0B1B" w:rsidRPr="00461C16" w:rsidRDefault="00F859CE" w:rsidP="00F859CE">
            <w:pPr>
              <w:pStyle w:val="dtabulka"/>
              <w:spacing w:before="40" w:after="40"/>
              <w:rPr>
                <w:rFonts w:eastAsia="Arial Unicode MS"/>
              </w:rPr>
            </w:pPr>
            <w:r w:rsidRPr="00461C16">
              <w:rPr>
                <w:rFonts w:eastAsia="Arial Unicode MS"/>
              </w:rPr>
              <w:t>Plocha je určena pro rozšíření jediné plochy sportu ve Václavicích. Zájem o bydlení v tomto sídle a jeho další navržený rozvoj generují potřebu zkvalitnit infrastrukturu pro sport a volný čas a tím zajistit kvalitní podmínky pro život a pohodu místních stávajících i budoucích obyvatel. Dostupnost veřejné infrastruktury a občanského vybavení je jedním ze základních předpokladů k dosažení uvedeného cíle.</w:t>
            </w:r>
          </w:p>
        </w:tc>
      </w:tr>
    </w:tbl>
    <w:p w14:paraId="4BD45847" w14:textId="77777777" w:rsidR="009B1233" w:rsidRPr="00461C16" w:rsidRDefault="0044181B" w:rsidP="000C1B06">
      <w:pPr>
        <w:pStyle w:val="Normlnslovan"/>
        <w:numPr>
          <w:ilvl w:val="0"/>
          <w:numId w:val="0"/>
        </w:numPr>
        <w:spacing w:before="120" w:after="120"/>
        <w:rPr>
          <w:sz w:val="22"/>
          <w:szCs w:val="22"/>
        </w:rPr>
      </w:pPr>
      <w:r w:rsidRPr="00461C16">
        <w:rPr>
          <w:sz w:val="22"/>
          <w:szCs w:val="22"/>
        </w:rPr>
        <w:t>Jako veřejně prospěšné stavby, pro které lze uplatnit předkupní právo, jsou vymezeny veškeré stavby občanského vybavení, u nichž lze prokázat, že budou užívány ve veřejném zájmu</w:t>
      </w:r>
      <w:r w:rsidR="009B1233" w:rsidRPr="00461C16">
        <w:rPr>
          <w:sz w:val="22"/>
          <w:szCs w:val="22"/>
        </w:rPr>
        <w:t>, a které se nachází na pozemcích ve vlastnictví jiného subjektu než města Hrádek nad Nisou</w:t>
      </w:r>
      <w:r w:rsidRPr="00461C16">
        <w:rPr>
          <w:sz w:val="22"/>
          <w:szCs w:val="22"/>
        </w:rPr>
        <w:t xml:space="preserve">. Do veřejně prospěšných staveb tedy </w:t>
      </w:r>
      <w:r w:rsidR="009B1233" w:rsidRPr="00461C16">
        <w:rPr>
          <w:sz w:val="22"/>
          <w:szCs w:val="22"/>
        </w:rPr>
        <w:t>nejsou</w:t>
      </w:r>
      <w:r w:rsidRPr="00461C16">
        <w:rPr>
          <w:sz w:val="22"/>
          <w:szCs w:val="22"/>
        </w:rPr>
        <w:t xml:space="preserve"> zařazeny</w:t>
      </w:r>
      <w:r w:rsidR="009B1233" w:rsidRPr="00461C16">
        <w:rPr>
          <w:sz w:val="22"/>
          <w:szCs w:val="22"/>
        </w:rPr>
        <w:t>:</w:t>
      </w:r>
    </w:p>
    <w:p w14:paraId="2C4B77F5" w14:textId="77777777" w:rsidR="009B1233" w:rsidRPr="00461C16" w:rsidRDefault="0044181B" w:rsidP="00A06EB9">
      <w:pPr>
        <w:pStyle w:val="Normlnslovan"/>
        <w:numPr>
          <w:ilvl w:val="0"/>
          <w:numId w:val="82"/>
        </w:numPr>
        <w:spacing w:before="120" w:after="120"/>
        <w:rPr>
          <w:sz w:val="22"/>
          <w:szCs w:val="22"/>
        </w:rPr>
      </w:pPr>
      <w:r w:rsidRPr="00461C16">
        <w:rPr>
          <w:sz w:val="22"/>
          <w:szCs w:val="22"/>
        </w:rPr>
        <w:t>stavby pro komerční občanské vybavení (plocha P07)</w:t>
      </w:r>
      <w:r w:rsidR="009B1233" w:rsidRPr="00461C16">
        <w:rPr>
          <w:sz w:val="22"/>
          <w:szCs w:val="22"/>
        </w:rPr>
        <w:t xml:space="preserve"> </w:t>
      </w:r>
    </w:p>
    <w:p w14:paraId="6645B583" w14:textId="77777777" w:rsidR="0044181B" w:rsidRPr="00461C16" w:rsidRDefault="009B1233" w:rsidP="00A06EB9">
      <w:pPr>
        <w:pStyle w:val="Normlnslovan"/>
        <w:numPr>
          <w:ilvl w:val="0"/>
          <w:numId w:val="82"/>
        </w:numPr>
        <w:spacing w:before="120" w:after="120"/>
        <w:rPr>
          <w:sz w:val="22"/>
          <w:szCs w:val="22"/>
        </w:rPr>
      </w:pPr>
      <w:r w:rsidRPr="00461C16">
        <w:rPr>
          <w:sz w:val="22"/>
          <w:szCs w:val="22"/>
        </w:rPr>
        <w:t>záměry, iniciované soukromými vlastníky (plochy P06)</w:t>
      </w:r>
    </w:p>
    <w:p w14:paraId="1B5155AF" w14:textId="77777777" w:rsidR="009B1233" w:rsidRPr="00461C16" w:rsidRDefault="009B1233" w:rsidP="00A06EB9">
      <w:pPr>
        <w:pStyle w:val="Normlnslovan"/>
        <w:numPr>
          <w:ilvl w:val="0"/>
          <w:numId w:val="82"/>
        </w:numPr>
        <w:spacing w:before="120" w:after="120"/>
        <w:rPr>
          <w:sz w:val="22"/>
          <w:szCs w:val="22"/>
        </w:rPr>
      </w:pPr>
      <w:r w:rsidRPr="00461C16">
        <w:rPr>
          <w:sz w:val="22"/>
          <w:szCs w:val="22"/>
        </w:rPr>
        <w:t>záměry na pozemcích ve výhradním vlastnictví města Hrádek nad Nisou (plocha P18)</w:t>
      </w:r>
    </w:p>
    <w:p w14:paraId="1A50CE0D" w14:textId="77777777" w:rsidR="000E0B1B" w:rsidRPr="00461C16" w:rsidRDefault="000E0B1B" w:rsidP="000E0B1B">
      <w:pPr>
        <w:pStyle w:val="Heading3"/>
      </w:pPr>
      <w:bookmarkStart w:id="171" w:name="_Toc36116321"/>
      <w:r w:rsidRPr="00461C16">
        <w:t>6.9.2</w:t>
      </w:r>
      <w:r w:rsidRPr="00461C16">
        <w:tab/>
        <w:t>Veřejná prostranství</w:t>
      </w:r>
      <w:bookmarkEnd w:id="171"/>
    </w:p>
    <w:p w14:paraId="28FD9A65" w14:textId="77777777" w:rsidR="000C1B06" w:rsidRPr="00461C16" w:rsidRDefault="000C1B06" w:rsidP="000E0B1B">
      <w:pPr>
        <w:pStyle w:val="1text"/>
        <w:spacing w:before="240"/>
        <w:rPr>
          <w:i/>
          <w:sz w:val="20"/>
          <w:szCs w:val="20"/>
        </w:rPr>
      </w:pPr>
      <w:r w:rsidRPr="00461C16">
        <w:rPr>
          <w:i/>
          <w:sz w:val="20"/>
          <w:szCs w:val="20"/>
        </w:rPr>
        <w:t xml:space="preserve">(k bodu H02 ÚP) </w:t>
      </w:r>
    </w:p>
    <w:p w14:paraId="2418EE15" w14:textId="77777777" w:rsidR="000C1B06" w:rsidRPr="00461C16" w:rsidRDefault="000C1B06" w:rsidP="000C1B06">
      <w:pPr>
        <w:pStyle w:val="Normlnslovan"/>
        <w:numPr>
          <w:ilvl w:val="0"/>
          <w:numId w:val="0"/>
        </w:numPr>
        <w:spacing w:before="120" w:after="120"/>
        <w:rPr>
          <w:sz w:val="22"/>
          <w:szCs w:val="22"/>
        </w:rPr>
      </w:pPr>
      <w:r w:rsidRPr="00461C16">
        <w:rPr>
          <w:sz w:val="22"/>
          <w:szCs w:val="22"/>
        </w:rPr>
        <w:t>ÚP Hrádek nad Nisou vymezuje veřejná prostranství, pro která lze uplatnit předkupní právo, v souladu s § 101 odst. 1 zákona č. 183/2006 Sb., o územním plánování a stavebním řádu, v platném znění. Možnost uplatnění předkupního práva je stanovena pro veřejná prostranství, která neplní primárně úlohu dopravní, tedy, která neplní úlohu primárně pozemních komunikací pro motorová vozidla, chodce nebo cyklisty, nebo která nejsou součástí ÚSES, jako veřejně prospěšné stavby, pro které lze práva k pozemkům a stavbám vyvlastnit.</w:t>
      </w:r>
    </w:p>
    <w:p w14:paraId="6B7269DA" w14:textId="77777777" w:rsidR="000C1B06" w:rsidRPr="00461C16" w:rsidRDefault="000C1B06" w:rsidP="000C1B06">
      <w:pPr>
        <w:pStyle w:val="Normlnslovan"/>
        <w:numPr>
          <w:ilvl w:val="0"/>
          <w:numId w:val="0"/>
        </w:numPr>
        <w:spacing w:before="120" w:after="120"/>
        <w:rPr>
          <w:sz w:val="22"/>
          <w:szCs w:val="22"/>
        </w:rPr>
      </w:pPr>
      <w:r w:rsidRPr="00461C16">
        <w:rPr>
          <w:sz w:val="22"/>
          <w:szCs w:val="22"/>
        </w:rPr>
        <w:t>Podrobné odůvodnění ploch veřejných prostranství, pro které lze uplatnit předkupní právo, je uvedeno v následující tabulce:</w:t>
      </w:r>
    </w:p>
    <w:tbl>
      <w:tblPr>
        <w:tblW w:w="494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7"/>
        <w:gridCol w:w="2638"/>
        <w:gridCol w:w="5495"/>
      </w:tblGrid>
      <w:tr w:rsidR="000C1B06" w:rsidRPr="00461C16" w14:paraId="7BED8182" w14:textId="77777777" w:rsidTr="00F859CE">
        <w:trPr>
          <w:cantSplit/>
          <w:tblHeader/>
          <w:jc w:val="right"/>
        </w:trPr>
        <w:tc>
          <w:tcPr>
            <w:tcW w:w="570" w:type="pct"/>
            <w:shd w:val="clear" w:color="auto" w:fill="F2F2F2" w:themeFill="background1" w:themeFillShade="F2"/>
          </w:tcPr>
          <w:p w14:paraId="1F53C250" w14:textId="77777777" w:rsidR="000C1B06" w:rsidRPr="00461C16" w:rsidRDefault="000C1B06" w:rsidP="00413CFE">
            <w:pPr>
              <w:pStyle w:val="dtabulka"/>
              <w:spacing w:before="40" w:after="40"/>
              <w:rPr>
                <w:b/>
              </w:rPr>
            </w:pPr>
            <w:r w:rsidRPr="00461C16">
              <w:rPr>
                <w:b/>
              </w:rPr>
              <w:t>Kód VP</w:t>
            </w:r>
          </w:p>
        </w:tc>
        <w:tc>
          <w:tcPr>
            <w:tcW w:w="1437" w:type="pct"/>
            <w:shd w:val="clear" w:color="auto" w:fill="F2F2F2" w:themeFill="background1" w:themeFillShade="F2"/>
          </w:tcPr>
          <w:p w14:paraId="6B52431D" w14:textId="77777777" w:rsidR="000C1B06" w:rsidRPr="00461C16" w:rsidRDefault="000C1B06" w:rsidP="00413CFE">
            <w:pPr>
              <w:pStyle w:val="dtabulka"/>
              <w:spacing w:before="40" w:after="40"/>
              <w:rPr>
                <w:b/>
              </w:rPr>
            </w:pPr>
            <w:r w:rsidRPr="00461C16">
              <w:rPr>
                <w:b/>
              </w:rPr>
              <w:t xml:space="preserve">Specifikace veřejného prostranství </w:t>
            </w:r>
          </w:p>
        </w:tc>
        <w:tc>
          <w:tcPr>
            <w:tcW w:w="2993" w:type="pct"/>
            <w:shd w:val="clear" w:color="auto" w:fill="F2F2F2" w:themeFill="background1" w:themeFillShade="F2"/>
          </w:tcPr>
          <w:p w14:paraId="4DE59763" w14:textId="77777777" w:rsidR="000C1B06" w:rsidRPr="00461C16" w:rsidRDefault="000C1B06" w:rsidP="00413CFE">
            <w:pPr>
              <w:pStyle w:val="dtabulka"/>
              <w:spacing w:before="40" w:after="40"/>
              <w:rPr>
                <w:b/>
              </w:rPr>
            </w:pPr>
            <w:r w:rsidRPr="00461C16">
              <w:rPr>
                <w:b/>
              </w:rPr>
              <w:t>Důvod vymezení</w:t>
            </w:r>
          </w:p>
        </w:tc>
      </w:tr>
      <w:tr w:rsidR="000E0B1B" w:rsidRPr="00461C16" w14:paraId="178004E8" w14:textId="77777777" w:rsidTr="00F859CE">
        <w:trPr>
          <w:cantSplit/>
          <w:jc w:val="right"/>
        </w:trPr>
        <w:tc>
          <w:tcPr>
            <w:tcW w:w="570" w:type="pct"/>
            <w:shd w:val="clear" w:color="auto" w:fill="auto"/>
          </w:tcPr>
          <w:p w14:paraId="618E628B" w14:textId="77777777" w:rsidR="000E0B1B" w:rsidRPr="00461C16" w:rsidRDefault="000E0B1B" w:rsidP="007E0331">
            <w:pPr>
              <w:pStyle w:val="dtabulka"/>
              <w:spacing w:before="40" w:after="40"/>
              <w:rPr>
                <w:rFonts w:eastAsia="Arial Unicode MS"/>
              </w:rPr>
            </w:pPr>
            <w:r w:rsidRPr="00461C16">
              <w:rPr>
                <w:rFonts w:eastAsia="Arial Unicode MS"/>
              </w:rPr>
              <w:t>PP01</w:t>
            </w:r>
          </w:p>
        </w:tc>
        <w:tc>
          <w:tcPr>
            <w:tcW w:w="1437" w:type="pct"/>
          </w:tcPr>
          <w:p w14:paraId="2E675453" w14:textId="2D355CBF" w:rsidR="000E0B1B" w:rsidRPr="00461C16" w:rsidRDefault="000E0B1B" w:rsidP="00B82079">
            <w:pPr>
              <w:pStyle w:val="dtabulka"/>
              <w:spacing w:before="40" w:after="40"/>
              <w:rPr>
                <w:rFonts w:cs="Arial"/>
              </w:rPr>
            </w:pPr>
            <w:r w:rsidRPr="00461C16">
              <w:rPr>
                <w:rFonts w:cs="Arial"/>
              </w:rPr>
              <w:t xml:space="preserve">plocha veřejné zeleně mezi obytnou zástavbou a </w:t>
            </w:r>
            <w:r w:rsidR="00B82079">
              <w:rPr>
                <w:rFonts w:cs="Arial"/>
              </w:rPr>
              <w:t>průmyslovou zónou</w:t>
            </w:r>
            <w:r w:rsidRPr="00461C16">
              <w:rPr>
                <w:rFonts w:cs="Arial"/>
              </w:rPr>
              <w:t xml:space="preserve"> (plocha P10)</w:t>
            </w:r>
          </w:p>
        </w:tc>
        <w:tc>
          <w:tcPr>
            <w:tcW w:w="2993" w:type="pct"/>
          </w:tcPr>
          <w:p w14:paraId="4D1AC839" w14:textId="25671C5A" w:rsidR="000E0B1B" w:rsidRPr="00461C16" w:rsidRDefault="0013698C" w:rsidP="00605C40">
            <w:pPr>
              <w:pStyle w:val="dtabulka"/>
              <w:spacing w:before="40" w:after="40"/>
              <w:rPr>
                <w:rFonts w:eastAsia="Arial Unicode MS"/>
              </w:rPr>
            </w:pPr>
            <w:r w:rsidRPr="00461C16">
              <w:rPr>
                <w:rFonts w:eastAsia="Arial Unicode MS"/>
              </w:rPr>
              <w:t xml:space="preserve">Plocha veřejné zeleně je nezbytná k zajištění prostorové a hygienické izolace výrobního areálu </w:t>
            </w:r>
            <w:r w:rsidR="00B82079">
              <w:rPr>
                <w:rFonts w:eastAsia="Arial Unicode MS"/>
              </w:rPr>
              <w:t xml:space="preserve">společnosti Lersen </w:t>
            </w:r>
            <w:r w:rsidRPr="00461C16">
              <w:rPr>
                <w:rFonts w:eastAsia="Arial Unicode MS"/>
              </w:rPr>
              <w:t xml:space="preserve">a celé navazující průmyslové zóny Hrádek nad Nisou od souvislé obytné zástavby podél ul. Oldřichovská. Realizace zeleného pásu je nezbytným prostředkem ke zmírnění negativních dopadů výrobních aktivit na pohodu bydlení v přilehlé zástavbě. </w:t>
            </w:r>
          </w:p>
        </w:tc>
      </w:tr>
      <w:tr w:rsidR="000E0B1B" w:rsidRPr="00461C16" w14:paraId="6C5F3808" w14:textId="77777777" w:rsidTr="00F859CE">
        <w:trPr>
          <w:cantSplit/>
          <w:jc w:val="right"/>
        </w:trPr>
        <w:tc>
          <w:tcPr>
            <w:tcW w:w="570" w:type="pct"/>
            <w:shd w:val="clear" w:color="auto" w:fill="auto"/>
          </w:tcPr>
          <w:p w14:paraId="628D79F9" w14:textId="77777777" w:rsidR="000E0B1B" w:rsidRPr="00461C16" w:rsidRDefault="000E0B1B" w:rsidP="007E0331">
            <w:pPr>
              <w:pStyle w:val="dtabulka"/>
              <w:spacing w:before="40" w:after="40"/>
              <w:rPr>
                <w:rFonts w:eastAsia="Arial Unicode MS"/>
              </w:rPr>
            </w:pPr>
            <w:r w:rsidRPr="00461C16">
              <w:rPr>
                <w:rFonts w:eastAsia="Arial Unicode MS"/>
              </w:rPr>
              <w:lastRenderedPageBreak/>
              <w:t>PP03</w:t>
            </w:r>
          </w:p>
        </w:tc>
        <w:tc>
          <w:tcPr>
            <w:tcW w:w="1437" w:type="pct"/>
          </w:tcPr>
          <w:p w14:paraId="688D25D0" w14:textId="77777777" w:rsidR="000E0B1B" w:rsidRPr="00461C16" w:rsidRDefault="000E0B1B" w:rsidP="007E0331">
            <w:pPr>
              <w:pStyle w:val="dtabulka"/>
              <w:spacing w:before="40" w:after="40"/>
              <w:rPr>
                <w:rFonts w:eastAsia="Arial Unicode MS"/>
              </w:rPr>
            </w:pPr>
            <w:r w:rsidRPr="00461C16">
              <w:rPr>
                <w:rFonts w:cs="Arial"/>
              </w:rPr>
              <w:t>plocha veřejné zeleně v lokalitě Trojzemí (plocha Z31)</w:t>
            </w:r>
          </w:p>
        </w:tc>
        <w:tc>
          <w:tcPr>
            <w:tcW w:w="2993" w:type="pct"/>
          </w:tcPr>
          <w:p w14:paraId="09F08D09" w14:textId="77777777" w:rsidR="000E0B1B" w:rsidRPr="00461C16" w:rsidRDefault="000E0B1B" w:rsidP="007E0331">
            <w:pPr>
              <w:pStyle w:val="dtabulka"/>
              <w:spacing w:before="40" w:after="40"/>
              <w:rPr>
                <w:rFonts w:eastAsia="Arial Unicode MS"/>
              </w:rPr>
            </w:pPr>
            <w:r w:rsidRPr="00461C16">
              <w:rPr>
                <w:rFonts w:eastAsia="Arial Unicode MS"/>
              </w:rPr>
              <w:t>Veřejná zeleň v lokalitě Trojzemí dotvoří charakter místa na styku území 3 států, které je symbolickým bodem mezinárodní spolupráce a přátelství a zároveň atraktivním a vyhledávaným cílem návštěvníků. Plocha zeleně umožní rozšíření zázemí stávajícího prostranství okolo pomníku o další vybavení nezbytné pro zajištění kvalitní infrastruktury cestovního ruchu</w:t>
            </w:r>
          </w:p>
        </w:tc>
      </w:tr>
      <w:tr w:rsidR="007B0B07" w:rsidRPr="00461C16" w14:paraId="51CC473A" w14:textId="77777777" w:rsidTr="00F859CE">
        <w:trPr>
          <w:cantSplit/>
          <w:jc w:val="right"/>
        </w:trPr>
        <w:tc>
          <w:tcPr>
            <w:tcW w:w="570" w:type="pct"/>
            <w:shd w:val="clear" w:color="auto" w:fill="auto"/>
          </w:tcPr>
          <w:p w14:paraId="1BF579BA" w14:textId="77777777" w:rsidR="007B0B07" w:rsidRPr="00461C16" w:rsidRDefault="007B0B07" w:rsidP="007E0331">
            <w:pPr>
              <w:pStyle w:val="dtabulka"/>
              <w:spacing w:before="40" w:after="40"/>
              <w:rPr>
                <w:rFonts w:eastAsia="Arial Unicode MS"/>
              </w:rPr>
            </w:pPr>
            <w:r>
              <w:rPr>
                <w:rFonts w:eastAsia="Arial Unicode MS"/>
              </w:rPr>
              <w:t>PP04</w:t>
            </w:r>
          </w:p>
        </w:tc>
        <w:tc>
          <w:tcPr>
            <w:tcW w:w="1437" w:type="pct"/>
          </w:tcPr>
          <w:p w14:paraId="334BA0EC" w14:textId="77777777" w:rsidR="007B0B07" w:rsidRDefault="007B0B07" w:rsidP="007B0B07">
            <w:pPr>
              <w:pStyle w:val="dtabulka"/>
              <w:spacing w:before="40" w:after="40"/>
              <w:rPr>
                <w:rFonts w:cs="Arial"/>
              </w:rPr>
            </w:pPr>
            <w:r>
              <w:rPr>
                <w:rFonts w:cs="Arial"/>
              </w:rPr>
              <w:t>rekreační lesopark Loučná (Z58)</w:t>
            </w:r>
          </w:p>
          <w:p w14:paraId="77695B18" w14:textId="77777777" w:rsidR="007B0B07" w:rsidRPr="00461C16" w:rsidRDefault="007B0B07" w:rsidP="007E0331">
            <w:pPr>
              <w:pStyle w:val="dtabulka"/>
              <w:spacing w:before="40" w:after="40"/>
              <w:rPr>
                <w:rFonts w:cs="Arial"/>
              </w:rPr>
            </w:pPr>
          </w:p>
        </w:tc>
        <w:tc>
          <w:tcPr>
            <w:tcW w:w="2993" w:type="pct"/>
          </w:tcPr>
          <w:p w14:paraId="1FD88E00" w14:textId="77777777" w:rsidR="007B0B07" w:rsidRPr="00461C16" w:rsidRDefault="007B0B07" w:rsidP="007B0B07">
            <w:pPr>
              <w:pStyle w:val="dtabulka"/>
              <w:spacing w:before="40" w:after="40"/>
              <w:rPr>
                <w:rFonts w:eastAsia="Arial Unicode MS"/>
              </w:rPr>
            </w:pPr>
            <w:r>
              <w:t>Rekreační lesopark je situován do</w:t>
            </w:r>
            <w:r w:rsidRPr="00461C16">
              <w:t xml:space="preserve"> území louky, která byla často přirozeně zaplavovaná a i dnes je hladina vody překážkou pro zastavění tohoto území. Lesopark napomáhá zlepšení hydrologických poměrů v</w:t>
            </w:r>
            <w:r>
              <w:t> </w:t>
            </w:r>
            <w:r w:rsidRPr="00461C16">
              <w:t>území</w:t>
            </w:r>
            <w:r>
              <w:t>, doplňuje rozsah zelených ploch na území města</w:t>
            </w:r>
            <w:r w:rsidRPr="00461C16">
              <w:t xml:space="preserve"> a zároveň vytváří široké možnosti pro aktivní rekreaci všech generací</w:t>
            </w:r>
            <w:r>
              <w:t>.</w:t>
            </w:r>
          </w:p>
        </w:tc>
      </w:tr>
    </w:tbl>
    <w:p w14:paraId="24D562E0" w14:textId="77777777" w:rsidR="00216EC5" w:rsidRPr="00461C16" w:rsidRDefault="000C1B06" w:rsidP="0044181B">
      <w:pPr>
        <w:pStyle w:val="1text"/>
        <w:spacing w:before="240"/>
      </w:pPr>
      <w:r w:rsidRPr="00461C16">
        <w:t>Jako veřejná prostranství s možností uplatnění předk</w:t>
      </w:r>
      <w:r w:rsidR="00216EC5" w:rsidRPr="00461C16">
        <w:t>upního práva jsou v ÚP vymezena veškerá navržená</w:t>
      </w:r>
      <w:r w:rsidRPr="00461C16">
        <w:t xml:space="preserve"> veřejná prostranství</w:t>
      </w:r>
      <w:r w:rsidR="0044181B" w:rsidRPr="00461C16">
        <w:t>.</w:t>
      </w:r>
    </w:p>
    <w:p w14:paraId="293EE6F2" w14:textId="77777777" w:rsidR="0044181B" w:rsidRPr="00461C16" w:rsidRDefault="0044181B" w:rsidP="0044181B">
      <w:pPr>
        <w:pStyle w:val="1text"/>
        <w:spacing w:after="120"/>
      </w:pPr>
      <w:r w:rsidRPr="00461C16">
        <w:t>V případě PP</w:t>
      </w:r>
      <w:r w:rsidR="0013698C" w:rsidRPr="00461C16">
        <w:t>01 a PP02</w:t>
      </w:r>
      <w:r w:rsidRPr="00461C16">
        <w:t xml:space="preserve"> se předkupní právo vztahuje na část vymezeného záměru, která není </w:t>
      </w:r>
      <w:r w:rsidR="0013698C" w:rsidRPr="00461C16">
        <w:t xml:space="preserve">situována na pozemcích </w:t>
      </w:r>
      <w:r w:rsidRPr="00461C16">
        <w:t>v majetku města.</w:t>
      </w:r>
    </w:p>
    <w:p w14:paraId="6D2E94E6" w14:textId="77777777" w:rsidR="000C1B06" w:rsidRPr="00461C16" w:rsidRDefault="000C1B06" w:rsidP="000C1B06">
      <w:pPr>
        <w:pStyle w:val="1text"/>
        <w:spacing w:before="240"/>
        <w:rPr>
          <w:i/>
          <w:sz w:val="20"/>
          <w:szCs w:val="20"/>
        </w:rPr>
      </w:pPr>
      <w:r w:rsidRPr="00461C16">
        <w:rPr>
          <w:i/>
          <w:sz w:val="20"/>
          <w:szCs w:val="20"/>
        </w:rPr>
        <w:t xml:space="preserve">(k bodu H03 ÚP) </w:t>
      </w:r>
    </w:p>
    <w:p w14:paraId="2F13243B" w14:textId="77777777" w:rsidR="000B5DBD" w:rsidRPr="00461C16" w:rsidRDefault="000C1B06" w:rsidP="000C1B06">
      <w:pPr>
        <w:pStyle w:val="1text"/>
      </w:pPr>
      <w:r w:rsidRPr="00461C16">
        <w:t>Veřejně prospěšné stavby a veřejná prostranství, pro která lze uplatnit předkupní právo, jsou vymezena a zobrazena v samostatném výkrese plně v souladu s bodem I. odst. (3), písm. c) Přílohy č. 7 k vyhlášce č. 500/2006 Sb.</w:t>
      </w:r>
    </w:p>
    <w:p w14:paraId="0C61BBD6" w14:textId="77777777" w:rsidR="00034608" w:rsidRPr="00461C16" w:rsidRDefault="000C791F" w:rsidP="00034608">
      <w:pPr>
        <w:pStyle w:val="Heading2"/>
        <w:ind w:left="709" w:hanging="709"/>
      </w:pPr>
      <w:bookmarkStart w:id="172" w:name="_Toc384728067"/>
      <w:bookmarkStart w:id="173" w:name="_Toc424191839"/>
      <w:bookmarkStart w:id="174" w:name="_Toc36116322"/>
      <w:bookmarkEnd w:id="166"/>
      <w:bookmarkEnd w:id="167"/>
      <w:bookmarkEnd w:id="168"/>
      <w:bookmarkEnd w:id="169"/>
      <w:r w:rsidRPr="00461C16">
        <w:t>6</w:t>
      </w:r>
      <w:r w:rsidR="00034608" w:rsidRPr="00461C16">
        <w:t xml:space="preserve">.10 </w:t>
      </w:r>
      <w:r w:rsidR="00034608" w:rsidRPr="00461C16">
        <w:tab/>
        <w:t>Stanovení kompenzačních opatření podle § 50 odst. 6 stavebního zákona</w:t>
      </w:r>
      <w:bookmarkEnd w:id="174"/>
    </w:p>
    <w:p w14:paraId="1C6FB066" w14:textId="77777777" w:rsidR="000C1B06" w:rsidRPr="00461C16" w:rsidRDefault="000C1B06" w:rsidP="000C1B06">
      <w:pPr>
        <w:pStyle w:val="1text"/>
        <w:rPr>
          <w:i/>
        </w:rPr>
      </w:pPr>
      <w:r w:rsidRPr="00461C16">
        <w:rPr>
          <w:i/>
        </w:rPr>
        <w:t xml:space="preserve">(k bodu I01 ÚP) </w:t>
      </w:r>
    </w:p>
    <w:p w14:paraId="03CF009D" w14:textId="77777777" w:rsidR="000C1B06" w:rsidRPr="00461C16" w:rsidRDefault="000C1B06" w:rsidP="000C1B06">
      <w:pPr>
        <w:spacing w:before="120" w:after="120" w:line="240" w:lineRule="auto"/>
        <w:rPr>
          <w:lang w:eastAsia="en-US"/>
        </w:rPr>
      </w:pPr>
      <w:r w:rsidRPr="00461C16">
        <w:rPr>
          <w:lang w:eastAsia="en-US"/>
        </w:rPr>
        <w:t>Stanovení kompenzačních opatření vyplývá z § 50 odst. 6 zákona č. 183/2006 Sb., o územním plánování a stavebním řádu, v platném znění, a § 45i zákona č. 114/1992 Sb., o ochraně přírody a krajiny, v platném znění.</w:t>
      </w:r>
    </w:p>
    <w:p w14:paraId="37574C6B" w14:textId="77777777" w:rsidR="000C1B06" w:rsidRPr="00461C16" w:rsidRDefault="000C1B06" w:rsidP="000C1B06">
      <w:pPr>
        <w:pStyle w:val="Normlnslovan"/>
        <w:numPr>
          <w:ilvl w:val="0"/>
          <w:numId w:val="0"/>
        </w:numPr>
        <w:spacing w:before="120" w:after="120"/>
        <w:rPr>
          <w:sz w:val="22"/>
          <w:lang w:eastAsia="en-US"/>
        </w:rPr>
      </w:pPr>
      <w:r w:rsidRPr="00461C16">
        <w:rPr>
          <w:sz w:val="22"/>
          <w:lang w:eastAsia="en-US"/>
        </w:rPr>
        <w:t>Kompenzační opatření stanoví příslušný orgán ochrany přírody v případě významného negativního vlivu na příznivý stav předmětu ochrany nebo celistvosti evropsky významné lokality nebo ptačí oblasti, který nebyl předmětem posouzení vydaných ZÚR</w:t>
      </w:r>
      <w:r w:rsidR="003B07D8">
        <w:rPr>
          <w:sz w:val="22"/>
          <w:lang w:eastAsia="en-US"/>
        </w:rPr>
        <w:t xml:space="preserve"> Libereckého kraje</w:t>
      </w:r>
      <w:r w:rsidRPr="00461C16">
        <w:rPr>
          <w:sz w:val="22"/>
          <w:lang w:eastAsia="en-US"/>
        </w:rPr>
        <w:t xml:space="preserve"> z hlediska těchto vlivů.</w:t>
      </w:r>
    </w:p>
    <w:p w14:paraId="2B1B865B" w14:textId="77777777" w:rsidR="000C1B06" w:rsidRPr="00461C16" w:rsidRDefault="000C1B06" w:rsidP="000C1B06">
      <w:pPr>
        <w:pStyle w:val="Default"/>
        <w:jc w:val="both"/>
        <w:rPr>
          <w:rFonts w:ascii="Arial Narrow" w:hAnsi="Arial Narrow"/>
          <w:i/>
          <w:sz w:val="22"/>
          <w:szCs w:val="22"/>
          <w:lang w:val="cs-CZ" w:eastAsia="en-US"/>
        </w:rPr>
      </w:pPr>
      <w:r w:rsidRPr="00461C16">
        <w:rPr>
          <w:rFonts w:ascii="Arial Narrow" w:hAnsi="Arial Narrow"/>
          <w:sz w:val="22"/>
          <w:szCs w:val="22"/>
          <w:lang w:val="cs-CZ" w:eastAsia="en-US"/>
        </w:rPr>
        <w:t>Krajský úřad Liber</w:t>
      </w:r>
      <w:r w:rsidR="0070346B" w:rsidRPr="00461C16">
        <w:rPr>
          <w:rFonts w:ascii="Arial Narrow" w:hAnsi="Arial Narrow"/>
          <w:sz w:val="22"/>
          <w:szCs w:val="22"/>
          <w:lang w:val="cs-CZ" w:eastAsia="en-US"/>
        </w:rPr>
        <w:t>e</w:t>
      </w:r>
      <w:r w:rsidRPr="00461C16">
        <w:rPr>
          <w:rFonts w:ascii="Arial Narrow" w:hAnsi="Arial Narrow"/>
          <w:sz w:val="22"/>
          <w:szCs w:val="22"/>
          <w:lang w:val="cs-CZ" w:eastAsia="en-US"/>
        </w:rPr>
        <w:t>ckého kraje, odbor životního prostředí a zemědělství, jako orgán věcně a místně příslušný dle ustanovení § 77a odst. 4 písm. n) zákona č. 114/1992 Sb., o ochraně přírody a krajiny, v platném znění (dále jen zákon), vydal dle § 45i zákona k návrhu zadání ÚP Hrádek nad Nisou dne 2</w:t>
      </w:r>
      <w:r w:rsidR="00F47D1C" w:rsidRPr="00461C16">
        <w:rPr>
          <w:rFonts w:ascii="Arial Narrow" w:hAnsi="Arial Narrow"/>
          <w:sz w:val="22"/>
          <w:szCs w:val="22"/>
          <w:lang w:val="cs-CZ" w:eastAsia="en-US"/>
        </w:rPr>
        <w:t>9</w:t>
      </w:r>
      <w:r w:rsidRPr="00461C16">
        <w:rPr>
          <w:rFonts w:ascii="Arial Narrow" w:hAnsi="Arial Narrow"/>
          <w:sz w:val="22"/>
          <w:szCs w:val="22"/>
          <w:lang w:val="cs-CZ" w:eastAsia="en-US"/>
        </w:rPr>
        <w:t>.</w:t>
      </w:r>
      <w:r w:rsidR="00F47D1C" w:rsidRPr="00461C16">
        <w:rPr>
          <w:rFonts w:ascii="Arial Narrow" w:hAnsi="Arial Narrow"/>
          <w:sz w:val="22"/>
          <w:szCs w:val="22"/>
          <w:lang w:val="cs-CZ" w:eastAsia="en-US"/>
        </w:rPr>
        <w:t>10</w:t>
      </w:r>
      <w:r w:rsidRPr="00461C16">
        <w:rPr>
          <w:rFonts w:ascii="Arial Narrow" w:hAnsi="Arial Narrow"/>
          <w:sz w:val="22"/>
          <w:szCs w:val="22"/>
          <w:lang w:val="cs-CZ" w:eastAsia="en-US"/>
        </w:rPr>
        <w:t>.201</w:t>
      </w:r>
      <w:r w:rsidR="00F47D1C" w:rsidRPr="00461C16">
        <w:rPr>
          <w:rFonts w:ascii="Arial Narrow" w:hAnsi="Arial Narrow"/>
          <w:sz w:val="22"/>
          <w:szCs w:val="22"/>
          <w:lang w:val="cs-CZ" w:eastAsia="en-US"/>
        </w:rPr>
        <w:t>2</w:t>
      </w:r>
      <w:r w:rsidRPr="00461C16">
        <w:rPr>
          <w:rFonts w:ascii="Arial Narrow" w:hAnsi="Arial Narrow"/>
          <w:sz w:val="22"/>
          <w:szCs w:val="22"/>
          <w:lang w:val="cs-CZ" w:eastAsia="en-US"/>
        </w:rPr>
        <w:t xml:space="preserve"> toto stanovisko č.j.: </w:t>
      </w:r>
      <w:r w:rsidR="00F47D1C" w:rsidRPr="00461C16">
        <w:rPr>
          <w:rFonts w:ascii="Arial Narrow" w:hAnsi="Arial Narrow"/>
          <w:sz w:val="22"/>
          <w:szCs w:val="22"/>
          <w:lang w:val="cs-CZ" w:eastAsia="en-US"/>
        </w:rPr>
        <w:t>OÚPSŘ/273/2012/OÚP</w:t>
      </w:r>
      <w:r w:rsidRPr="00461C16">
        <w:rPr>
          <w:rFonts w:ascii="Arial Narrow" w:hAnsi="Arial Narrow"/>
          <w:sz w:val="22"/>
          <w:szCs w:val="22"/>
          <w:lang w:val="cs-CZ" w:eastAsia="en-US"/>
        </w:rPr>
        <w:t xml:space="preserve">: </w:t>
      </w:r>
      <w:r w:rsidR="00F47D1C" w:rsidRPr="00461C16">
        <w:rPr>
          <w:rFonts w:ascii="Arial Narrow" w:hAnsi="Arial Narrow"/>
          <w:i/>
          <w:sz w:val="22"/>
          <w:szCs w:val="22"/>
          <w:lang w:val="cs-CZ" w:eastAsia="en-US"/>
        </w:rPr>
        <w:t xml:space="preserve">„Návrh Zadání ÚP Hrádek nad Nisou nemůže mít samostatně, ani ve spojení s jinými záměry, významný vliv na evropsky významné lokality ani ptačí oblasti. Na řešeném území, mimo CHKO Lužické hory, neleží žádná evropsky významná lokalita (EVL) ani ptačí oblast. Lze tedy významný vliv na celkovou soudržnost soustavy NATURA 2000 vyloučit. Stanovisko se vztahuje na území mimo CHKO Lužické hory.“ </w:t>
      </w:r>
    </w:p>
    <w:p w14:paraId="59FE1099" w14:textId="77777777" w:rsidR="00034608" w:rsidRPr="00461C16" w:rsidRDefault="000C1B06" w:rsidP="000C1B06">
      <w:pPr>
        <w:pStyle w:val="1text"/>
      </w:pPr>
      <w:r w:rsidRPr="00461C16">
        <w:rPr>
          <w:lang w:eastAsia="en-US"/>
        </w:rPr>
        <w:t xml:space="preserve">Vyhodnocení vlivů ÚP Hrádek nad Nisou na evropsky významná lokality a ptačí oblasti </w:t>
      </w:r>
      <w:r w:rsidR="00F47D1C" w:rsidRPr="00461C16">
        <w:rPr>
          <w:lang w:eastAsia="en-US"/>
        </w:rPr>
        <w:t xml:space="preserve">tedy </w:t>
      </w:r>
      <w:r w:rsidRPr="00461C16">
        <w:rPr>
          <w:lang w:eastAsia="en-US"/>
        </w:rPr>
        <w:t>nebylo zpracováno a nebyla stanovena žádná kompenzační opatření podle § 50 odst. 6 stavebního zákona.</w:t>
      </w:r>
    </w:p>
    <w:p w14:paraId="02CF98A0" w14:textId="77777777" w:rsidR="004E1C7A" w:rsidRPr="00461C16" w:rsidRDefault="000C791F" w:rsidP="00D829F9">
      <w:pPr>
        <w:pStyle w:val="Heading2"/>
        <w:ind w:left="851" w:hanging="851"/>
      </w:pPr>
      <w:bookmarkStart w:id="175" w:name="_Toc36116323"/>
      <w:r w:rsidRPr="00461C16">
        <w:t>6</w:t>
      </w:r>
      <w:r w:rsidR="00BC4E8D" w:rsidRPr="00461C16">
        <w:t>.</w:t>
      </w:r>
      <w:r w:rsidR="004E1C7A" w:rsidRPr="00461C16">
        <w:t>1</w:t>
      </w:r>
      <w:r w:rsidR="00034608" w:rsidRPr="00461C16">
        <w:t>1</w:t>
      </w:r>
      <w:r w:rsidR="004E1C7A" w:rsidRPr="00461C16">
        <w:t xml:space="preserve"> </w:t>
      </w:r>
      <w:r w:rsidR="00D829F9" w:rsidRPr="00461C16">
        <w:tab/>
      </w:r>
      <w:r w:rsidR="004E1C7A" w:rsidRPr="00461C16">
        <w:t>Vymezení ploch a koridorů územních rezerv a stanovení možného budoucího využití, včetně podmínek pro jeho prověření</w:t>
      </w:r>
      <w:bookmarkEnd w:id="172"/>
      <w:bookmarkEnd w:id="173"/>
      <w:bookmarkEnd w:id="175"/>
    </w:p>
    <w:p w14:paraId="711ED9D6" w14:textId="77777777" w:rsidR="00C36BED" w:rsidRPr="00461C16" w:rsidRDefault="00C36BED" w:rsidP="00C36BED">
      <w:pPr>
        <w:pStyle w:val="1text"/>
        <w:spacing w:before="240"/>
        <w:rPr>
          <w:i/>
          <w:sz w:val="20"/>
          <w:szCs w:val="20"/>
        </w:rPr>
      </w:pPr>
      <w:r w:rsidRPr="00461C16">
        <w:rPr>
          <w:i/>
          <w:sz w:val="20"/>
          <w:szCs w:val="20"/>
        </w:rPr>
        <w:t xml:space="preserve">(k bodu J01 ÚP) </w:t>
      </w:r>
    </w:p>
    <w:p w14:paraId="4797CAEC" w14:textId="77777777" w:rsidR="00C36BED" w:rsidRPr="00461C16" w:rsidRDefault="00C36BED" w:rsidP="00C36BED">
      <w:pPr>
        <w:spacing w:before="120" w:after="120" w:line="240" w:lineRule="auto"/>
        <w:rPr>
          <w:rStyle w:val="NvrhP-text"/>
        </w:rPr>
      </w:pPr>
      <w:r w:rsidRPr="00461C16">
        <w:rPr>
          <w:rStyle w:val="NvrhP-text"/>
        </w:rPr>
        <w:t xml:space="preserve">V souladu s § 43 odst. 1 zákona č. 183/2006 Sb., o územním plánování a stavebním řádu, v platném znění, územní plán vymezuje plochy a koridory pro územní rezervy (dle § 36 odst. 1 zákona č. 183/2006 Sb., v platném znění. Jedná se o plochy, jejichž potřebu a plošné nároky je nutno prověřit. Změnit územní rezervu na plochu </w:t>
      </w:r>
      <w:r w:rsidRPr="00461C16">
        <w:rPr>
          <w:rStyle w:val="NvrhP-text"/>
        </w:rPr>
        <w:lastRenderedPageBreak/>
        <w:t>umožňující stanovené využití (a tedy umisťování staveb v souladu se stanoveným způsobem využití) lze jen na základě pořízení změny územního plánu.</w:t>
      </w:r>
    </w:p>
    <w:p w14:paraId="2550AAF5" w14:textId="77777777" w:rsidR="00C36BED" w:rsidRPr="00461C16" w:rsidRDefault="00C36BED" w:rsidP="00C36BED">
      <w:pPr>
        <w:spacing w:before="120" w:after="120" w:line="240" w:lineRule="auto"/>
        <w:rPr>
          <w:rFonts w:cs="Arial"/>
        </w:rPr>
      </w:pPr>
      <w:r w:rsidRPr="00461C16">
        <w:rPr>
          <w:rStyle w:val="NvrhP-text"/>
        </w:rPr>
        <w:t>Odůvodnění vymezení jednotlivých ploch územních rezerv je uvedeno v následující tabulce</w:t>
      </w:r>
      <w:r w:rsidRPr="00461C16">
        <w:rPr>
          <w:rFonts w:cs="Arial"/>
        </w:rPr>
        <w:t>:</w:t>
      </w:r>
    </w:p>
    <w:tbl>
      <w:tblPr>
        <w:tblW w:w="494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851"/>
        <w:gridCol w:w="2835"/>
        <w:gridCol w:w="4218"/>
      </w:tblGrid>
      <w:tr w:rsidR="00C36BED" w:rsidRPr="00461C16" w14:paraId="6B58B876" w14:textId="77777777" w:rsidTr="00413CFE">
        <w:trPr>
          <w:tblHeader/>
          <w:jc w:val="right"/>
        </w:trPr>
        <w:tc>
          <w:tcPr>
            <w:tcW w:w="1276" w:type="dxa"/>
            <w:shd w:val="clear" w:color="auto" w:fill="F2F2F2" w:themeFill="background1" w:themeFillShade="F2"/>
          </w:tcPr>
          <w:p w14:paraId="22BB5013" w14:textId="77777777" w:rsidR="00C36BED" w:rsidRPr="00461C16" w:rsidRDefault="00C36BED" w:rsidP="00C36BED">
            <w:pPr>
              <w:pStyle w:val="dtabulka"/>
              <w:spacing w:before="40" w:after="40"/>
              <w:rPr>
                <w:b/>
              </w:rPr>
            </w:pPr>
            <w:r w:rsidRPr="00461C16">
              <w:rPr>
                <w:b/>
              </w:rPr>
              <w:t>Označení plochy / koridoru</w:t>
            </w:r>
          </w:p>
        </w:tc>
        <w:tc>
          <w:tcPr>
            <w:tcW w:w="851" w:type="dxa"/>
            <w:shd w:val="clear" w:color="auto" w:fill="F2F2F2" w:themeFill="background1" w:themeFillShade="F2"/>
          </w:tcPr>
          <w:p w14:paraId="06FB9EEE" w14:textId="77777777" w:rsidR="00C36BED" w:rsidRPr="00461C16" w:rsidRDefault="00C36BED" w:rsidP="00C36BED">
            <w:pPr>
              <w:pStyle w:val="dtabulka"/>
              <w:spacing w:before="40" w:after="40"/>
              <w:rPr>
                <w:b/>
              </w:rPr>
            </w:pPr>
            <w:r w:rsidRPr="00461C16">
              <w:rPr>
                <w:b/>
              </w:rPr>
              <w:t>Kód využití</w:t>
            </w:r>
          </w:p>
        </w:tc>
        <w:tc>
          <w:tcPr>
            <w:tcW w:w="2835" w:type="dxa"/>
            <w:shd w:val="clear" w:color="auto" w:fill="F2F2F2" w:themeFill="background1" w:themeFillShade="F2"/>
          </w:tcPr>
          <w:p w14:paraId="7E0CC282" w14:textId="77777777" w:rsidR="00C36BED" w:rsidRPr="00461C16" w:rsidRDefault="00C36BED" w:rsidP="00C36BED">
            <w:pPr>
              <w:pStyle w:val="dtabulka"/>
              <w:spacing w:before="40" w:after="40"/>
              <w:rPr>
                <w:b/>
              </w:rPr>
            </w:pPr>
            <w:r w:rsidRPr="00461C16">
              <w:rPr>
                <w:b/>
              </w:rPr>
              <w:t>Popis</w:t>
            </w:r>
          </w:p>
        </w:tc>
        <w:tc>
          <w:tcPr>
            <w:tcW w:w="4218" w:type="dxa"/>
            <w:shd w:val="clear" w:color="auto" w:fill="F2F2F2" w:themeFill="background1" w:themeFillShade="F2"/>
          </w:tcPr>
          <w:p w14:paraId="4A8F0251" w14:textId="77777777" w:rsidR="00C36BED" w:rsidRPr="00461C16" w:rsidRDefault="00C36BED" w:rsidP="00C36BED">
            <w:pPr>
              <w:pStyle w:val="dtabulka"/>
              <w:spacing w:before="40" w:after="40"/>
              <w:rPr>
                <w:b/>
              </w:rPr>
            </w:pPr>
            <w:r w:rsidRPr="00461C16">
              <w:rPr>
                <w:b/>
              </w:rPr>
              <w:t>Odůvodnění vymezení</w:t>
            </w:r>
          </w:p>
        </w:tc>
      </w:tr>
      <w:tr w:rsidR="00C36BED" w:rsidRPr="00461C16" w14:paraId="46485DDE" w14:textId="77777777" w:rsidTr="00413CFE">
        <w:trPr>
          <w:jc w:val="right"/>
        </w:trPr>
        <w:tc>
          <w:tcPr>
            <w:tcW w:w="1276" w:type="dxa"/>
            <w:shd w:val="clear" w:color="auto" w:fill="auto"/>
          </w:tcPr>
          <w:p w14:paraId="45A97B4E" w14:textId="77777777" w:rsidR="00C36BED" w:rsidRPr="00461C16" w:rsidRDefault="00C36BED" w:rsidP="00C36BED">
            <w:pPr>
              <w:spacing w:before="40" w:after="40"/>
              <w:rPr>
                <w:color w:val="000000"/>
                <w:sz w:val="20"/>
                <w:szCs w:val="20"/>
              </w:rPr>
            </w:pPr>
            <w:r w:rsidRPr="00461C16">
              <w:rPr>
                <w:color w:val="000000"/>
                <w:sz w:val="20"/>
                <w:szCs w:val="20"/>
              </w:rPr>
              <w:t>R01</w:t>
            </w:r>
          </w:p>
        </w:tc>
        <w:tc>
          <w:tcPr>
            <w:tcW w:w="851" w:type="dxa"/>
          </w:tcPr>
          <w:p w14:paraId="11EC43AB" w14:textId="77777777" w:rsidR="00C36BED" w:rsidRPr="00461C16" w:rsidRDefault="00C36BED" w:rsidP="00C36BED">
            <w:pPr>
              <w:spacing w:before="40" w:after="40"/>
              <w:jc w:val="left"/>
              <w:rPr>
                <w:color w:val="000000"/>
                <w:sz w:val="20"/>
                <w:szCs w:val="20"/>
              </w:rPr>
            </w:pPr>
            <w:r w:rsidRPr="00461C16">
              <w:rPr>
                <w:color w:val="000000"/>
                <w:sz w:val="20"/>
                <w:szCs w:val="20"/>
              </w:rPr>
              <w:t xml:space="preserve">SM </w:t>
            </w:r>
          </w:p>
        </w:tc>
        <w:tc>
          <w:tcPr>
            <w:tcW w:w="2835" w:type="dxa"/>
            <w:shd w:val="clear" w:color="auto" w:fill="auto"/>
          </w:tcPr>
          <w:p w14:paraId="2FECB2EA" w14:textId="77777777" w:rsidR="00C36BED" w:rsidRPr="00461C16" w:rsidRDefault="00415670" w:rsidP="00415670">
            <w:pPr>
              <w:pStyle w:val="dtabulka"/>
              <w:spacing w:before="40" w:after="40"/>
            </w:pPr>
            <w:r w:rsidRPr="00461C16">
              <w:t xml:space="preserve">přestavba výrobního areálu v ul. Tovární a integrace do smíšeného městského území </w:t>
            </w:r>
          </w:p>
        </w:tc>
        <w:tc>
          <w:tcPr>
            <w:tcW w:w="4218" w:type="dxa"/>
            <w:shd w:val="clear" w:color="auto" w:fill="auto"/>
          </w:tcPr>
          <w:p w14:paraId="269892E7" w14:textId="77777777" w:rsidR="00C36BED" w:rsidRPr="00461C16" w:rsidRDefault="00413CFE" w:rsidP="00993450">
            <w:pPr>
              <w:pStyle w:val="dtabulka"/>
              <w:spacing w:before="40" w:after="40"/>
            </w:pPr>
            <w:r w:rsidRPr="00461C16">
              <w:t xml:space="preserve">využití částečného brownfieldu – ozdravění území, posílení kompaktnosti vnitřního </w:t>
            </w:r>
            <w:r w:rsidR="002460B7" w:rsidRPr="00461C16">
              <w:t>města</w:t>
            </w:r>
            <w:r w:rsidRPr="00461C16">
              <w:t>, rozšíření možnost</w:t>
            </w:r>
            <w:r w:rsidR="002460B7" w:rsidRPr="00461C16">
              <w:t>i</w:t>
            </w:r>
            <w:r w:rsidRPr="00461C16">
              <w:t xml:space="preserve"> bydlení a zkvalitnění infrastruktury služeb</w:t>
            </w:r>
            <w:r w:rsidR="00993450" w:rsidRPr="00461C16">
              <w:t>; vymezení je z části v souladu s požadavkem schváleného Zadání ÚP</w:t>
            </w:r>
          </w:p>
        </w:tc>
      </w:tr>
      <w:tr w:rsidR="00C36BED" w:rsidRPr="00461C16" w14:paraId="2A4B5D6C" w14:textId="77777777" w:rsidTr="00413CFE">
        <w:trPr>
          <w:jc w:val="right"/>
        </w:trPr>
        <w:tc>
          <w:tcPr>
            <w:tcW w:w="1276" w:type="dxa"/>
            <w:shd w:val="clear" w:color="auto" w:fill="auto"/>
          </w:tcPr>
          <w:p w14:paraId="6145DF18" w14:textId="77777777" w:rsidR="00C36BED" w:rsidRPr="00461C16" w:rsidRDefault="00C36BED" w:rsidP="00C36BED">
            <w:pPr>
              <w:spacing w:before="40" w:after="40"/>
              <w:rPr>
                <w:color w:val="000000"/>
                <w:sz w:val="20"/>
                <w:szCs w:val="20"/>
              </w:rPr>
            </w:pPr>
            <w:r w:rsidRPr="00461C16">
              <w:rPr>
                <w:color w:val="000000"/>
                <w:sz w:val="20"/>
                <w:szCs w:val="20"/>
              </w:rPr>
              <w:t>R02</w:t>
            </w:r>
          </w:p>
        </w:tc>
        <w:tc>
          <w:tcPr>
            <w:tcW w:w="851" w:type="dxa"/>
          </w:tcPr>
          <w:p w14:paraId="508C8691" w14:textId="77777777" w:rsidR="00C36BED" w:rsidRPr="00461C16" w:rsidRDefault="00C36BED" w:rsidP="00C36BED">
            <w:pPr>
              <w:spacing w:before="40" w:after="40"/>
              <w:jc w:val="left"/>
              <w:rPr>
                <w:color w:val="000000"/>
                <w:sz w:val="20"/>
                <w:szCs w:val="20"/>
              </w:rPr>
            </w:pPr>
            <w:r w:rsidRPr="00461C16">
              <w:rPr>
                <w:color w:val="000000"/>
                <w:sz w:val="20"/>
                <w:szCs w:val="20"/>
              </w:rPr>
              <w:t xml:space="preserve">OM </w:t>
            </w:r>
          </w:p>
        </w:tc>
        <w:tc>
          <w:tcPr>
            <w:tcW w:w="2835" w:type="dxa"/>
            <w:shd w:val="clear" w:color="auto" w:fill="auto"/>
          </w:tcPr>
          <w:p w14:paraId="3A134344" w14:textId="77777777" w:rsidR="00C36BED" w:rsidRPr="00461C16" w:rsidRDefault="00415670" w:rsidP="00415670">
            <w:pPr>
              <w:pStyle w:val="CharChar3CharCharCharChar"/>
              <w:spacing w:before="40" w:after="40"/>
              <w:rPr>
                <w:rFonts w:ascii="Arial Narrow" w:hAnsi="Arial Narrow"/>
              </w:rPr>
            </w:pPr>
            <w:r w:rsidRPr="00461C16">
              <w:rPr>
                <w:rFonts w:ascii="Arial Narrow" w:hAnsi="Arial Narrow"/>
              </w:rPr>
              <w:t>rozvoj komerční vybavenosti v lokalitě Zatáčka</w:t>
            </w:r>
          </w:p>
        </w:tc>
        <w:tc>
          <w:tcPr>
            <w:tcW w:w="4218" w:type="dxa"/>
            <w:shd w:val="clear" w:color="auto" w:fill="auto"/>
          </w:tcPr>
          <w:p w14:paraId="10085256" w14:textId="77777777" w:rsidR="00C36BED" w:rsidRPr="00461C16" w:rsidRDefault="00413CFE" w:rsidP="002460B7">
            <w:pPr>
              <w:pStyle w:val="dtabulka"/>
              <w:spacing w:before="40" w:after="40"/>
            </w:pPr>
            <w:r w:rsidRPr="00461C16">
              <w:t>rozšíření komerčních zařízení v návaznosti na stávající plochy a objekty služeb</w:t>
            </w:r>
            <w:r w:rsidR="0024153B" w:rsidRPr="00461C16">
              <w:t>, v souladu s požadavkem schváleného Zadání ÚP</w:t>
            </w:r>
            <w:r w:rsidR="002460B7" w:rsidRPr="00461C16">
              <w:t xml:space="preserve"> </w:t>
            </w:r>
          </w:p>
        </w:tc>
      </w:tr>
      <w:tr w:rsidR="00C36BED" w:rsidRPr="00461C16" w14:paraId="63A81F77" w14:textId="77777777" w:rsidTr="00413CFE">
        <w:trPr>
          <w:jc w:val="right"/>
        </w:trPr>
        <w:tc>
          <w:tcPr>
            <w:tcW w:w="1276" w:type="dxa"/>
            <w:shd w:val="clear" w:color="auto" w:fill="auto"/>
          </w:tcPr>
          <w:p w14:paraId="284BCA35" w14:textId="77777777" w:rsidR="00C36BED" w:rsidRPr="00461C16" w:rsidRDefault="00C36BED" w:rsidP="00C36BED">
            <w:pPr>
              <w:spacing w:before="40" w:after="40"/>
              <w:rPr>
                <w:color w:val="000000"/>
                <w:sz w:val="20"/>
                <w:szCs w:val="20"/>
              </w:rPr>
            </w:pPr>
            <w:r w:rsidRPr="00461C16">
              <w:rPr>
                <w:color w:val="000000"/>
                <w:sz w:val="20"/>
                <w:szCs w:val="20"/>
              </w:rPr>
              <w:t>R03</w:t>
            </w:r>
          </w:p>
        </w:tc>
        <w:tc>
          <w:tcPr>
            <w:tcW w:w="851" w:type="dxa"/>
          </w:tcPr>
          <w:p w14:paraId="7E992226" w14:textId="77777777" w:rsidR="00C36BED" w:rsidRPr="00461C16" w:rsidRDefault="00C36BED" w:rsidP="00C36BED">
            <w:pPr>
              <w:spacing w:before="40" w:after="40"/>
              <w:jc w:val="left"/>
              <w:rPr>
                <w:color w:val="000000"/>
                <w:sz w:val="20"/>
                <w:szCs w:val="20"/>
              </w:rPr>
            </w:pPr>
            <w:r w:rsidRPr="00461C16">
              <w:rPr>
                <w:color w:val="000000"/>
                <w:sz w:val="20"/>
                <w:szCs w:val="20"/>
              </w:rPr>
              <w:t xml:space="preserve">SM </w:t>
            </w:r>
          </w:p>
        </w:tc>
        <w:tc>
          <w:tcPr>
            <w:tcW w:w="2835" w:type="dxa"/>
            <w:shd w:val="clear" w:color="auto" w:fill="auto"/>
          </w:tcPr>
          <w:p w14:paraId="53C01645" w14:textId="77777777" w:rsidR="00C36BED" w:rsidRPr="00461C16" w:rsidRDefault="002460B7" w:rsidP="00C36BED">
            <w:pPr>
              <w:pStyle w:val="CharChar3CharCharCharChar"/>
              <w:spacing w:before="40" w:after="40"/>
              <w:rPr>
                <w:rFonts w:ascii="Arial Narrow" w:hAnsi="Arial Narrow"/>
              </w:rPr>
            </w:pPr>
            <w:r w:rsidRPr="00461C16">
              <w:rPr>
                <w:rFonts w:ascii="Arial Narrow" w:hAnsi="Arial Narrow"/>
              </w:rPr>
              <w:t>doplnění smíšené obytné zástavby v části Loučná</w:t>
            </w:r>
            <w:r w:rsidR="00294D24" w:rsidRPr="00461C16">
              <w:rPr>
                <w:rFonts w:ascii="Arial Narrow" w:hAnsi="Arial Narrow"/>
              </w:rPr>
              <w:t xml:space="preserve"> nad ul. Hartavská</w:t>
            </w:r>
          </w:p>
        </w:tc>
        <w:tc>
          <w:tcPr>
            <w:tcW w:w="4218" w:type="dxa"/>
            <w:shd w:val="clear" w:color="auto" w:fill="auto"/>
          </w:tcPr>
          <w:p w14:paraId="0B2348AF" w14:textId="77777777" w:rsidR="00C36BED" w:rsidRPr="00461C16" w:rsidRDefault="002460B7" w:rsidP="002460B7">
            <w:pPr>
              <w:pStyle w:val="dtabulka"/>
              <w:spacing w:before="40" w:after="40"/>
            </w:pPr>
            <w:r w:rsidRPr="00461C16">
              <w:t xml:space="preserve">využití proluky, posílení kompaktnosti území podél toku Lužické Nisy, rozšíření možnosti bydlení </w:t>
            </w:r>
            <w:r w:rsidR="00771411" w:rsidRPr="00461C16">
              <w:t>v atraktivní poloze u řeky</w:t>
            </w:r>
          </w:p>
        </w:tc>
      </w:tr>
      <w:tr w:rsidR="002460B7" w:rsidRPr="00461C16" w14:paraId="7AC96909" w14:textId="77777777" w:rsidTr="00413CFE">
        <w:trPr>
          <w:jc w:val="right"/>
        </w:trPr>
        <w:tc>
          <w:tcPr>
            <w:tcW w:w="1276" w:type="dxa"/>
            <w:shd w:val="clear" w:color="auto" w:fill="auto"/>
          </w:tcPr>
          <w:p w14:paraId="43CBF36B" w14:textId="77777777" w:rsidR="002460B7" w:rsidRPr="00461C16" w:rsidRDefault="002460B7" w:rsidP="00C36BED">
            <w:pPr>
              <w:spacing w:before="40" w:after="40"/>
              <w:rPr>
                <w:color w:val="000000"/>
                <w:sz w:val="20"/>
                <w:szCs w:val="20"/>
              </w:rPr>
            </w:pPr>
            <w:r w:rsidRPr="00461C16">
              <w:rPr>
                <w:color w:val="000000"/>
                <w:sz w:val="20"/>
                <w:szCs w:val="20"/>
              </w:rPr>
              <w:t>R04</w:t>
            </w:r>
          </w:p>
        </w:tc>
        <w:tc>
          <w:tcPr>
            <w:tcW w:w="851" w:type="dxa"/>
          </w:tcPr>
          <w:p w14:paraId="02462BE3" w14:textId="77777777" w:rsidR="002460B7" w:rsidRPr="00461C16" w:rsidRDefault="002460B7" w:rsidP="00C36BED">
            <w:pPr>
              <w:spacing w:before="40" w:after="40"/>
              <w:jc w:val="left"/>
              <w:rPr>
                <w:color w:val="000000"/>
                <w:sz w:val="20"/>
                <w:szCs w:val="20"/>
              </w:rPr>
            </w:pPr>
            <w:r w:rsidRPr="00461C16">
              <w:rPr>
                <w:color w:val="000000"/>
                <w:sz w:val="20"/>
                <w:szCs w:val="20"/>
              </w:rPr>
              <w:t xml:space="preserve">BV </w:t>
            </w:r>
          </w:p>
        </w:tc>
        <w:tc>
          <w:tcPr>
            <w:tcW w:w="2835" w:type="dxa"/>
            <w:shd w:val="clear" w:color="auto" w:fill="auto"/>
          </w:tcPr>
          <w:p w14:paraId="590E590A" w14:textId="77777777" w:rsidR="002460B7" w:rsidRPr="00461C16" w:rsidRDefault="002460B7" w:rsidP="002460B7">
            <w:pPr>
              <w:pStyle w:val="CharChar3CharCharCharChar"/>
              <w:spacing w:before="40" w:after="40"/>
              <w:rPr>
                <w:rFonts w:ascii="Arial Narrow" w:hAnsi="Arial Narrow"/>
              </w:rPr>
            </w:pPr>
            <w:r w:rsidRPr="00461C16">
              <w:rPr>
                <w:rFonts w:ascii="Arial Narrow" w:hAnsi="Arial Narrow"/>
              </w:rPr>
              <w:t>doplnění venkovské obytné zástavby v části Loučná</w:t>
            </w:r>
          </w:p>
        </w:tc>
        <w:tc>
          <w:tcPr>
            <w:tcW w:w="4218" w:type="dxa"/>
            <w:shd w:val="clear" w:color="auto" w:fill="auto"/>
          </w:tcPr>
          <w:p w14:paraId="167AA99B" w14:textId="77777777" w:rsidR="002460B7" w:rsidRPr="00461C16" w:rsidRDefault="002460B7" w:rsidP="002460B7">
            <w:pPr>
              <w:pStyle w:val="dtabulka"/>
              <w:spacing w:before="40" w:after="40"/>
            </w:pPr>
            <w:r w:rsidRPr="00461C16">
              <w:t>využití proluky, posílení kompaktnosti území podél páteřní ul. Lipová, rozšíření možnosti bydlení</w:t>
            </w:r>
          </w:p>
        </w:tc>
      </w:tr>
      <w:tr w:rsidR="00C36BED" w:rsidRPr="00461C16" w14:paraId="3217301E" w14:textId="77777777" w:rsidTr="00413CFE">
        <w:trPr>
          <w:jc w:val="right"/>
        </w:trPr>
        <w:tc>
          <w:tcPr>
            <w:tcW w:w="1276" w:type="dxa"/>
            <w:shd w:val="clear" w:color="auto" w:fill="auto"/>
          </w:tcPr>
          <w:p w14:paraId="1BCF7449" w14:textId="77777777" w:rsidR="00C36BED" w:rsidRPr="00461C16" w:rsidRDefault="00C36BED" w:rsidP="00C36BED">
            <w:pPr>
              <w:spacing w:before="40" w:after="40"/>
              <w:rPr>
                <w:color w:val="000000"/>
                <w:sz w:val="20"/>
                <w:szCs w:val="20"/>
              </w:rPr>
            </w:pPr>
            <w:r w:rsidRPr="00461C16">
              <w:rPr>
                <w:color w:val="000000"/>
                <w:sz w:val="20"/>
                <w:szCs w:val="20"/>
              </w:rPr>
              <w:t>R05</w:t>
            </w:r>
          </w:p>
        </w:tc>
        <w:tc>
          <w:tcPr>
            <w:tcW w:w="851" w:type="dxa"/>
          </w:tcPr>
          <w:p w14:paraId="00ACCB4C" w14:textId="77777777" w:rsidR="00C36BED" w:rsidRPr="00461C16" w:rsidRDefault="00C36BED" w:rsidP="00C36BED">
            <w:pPr>
              <w:spacing w:before="40" w:after="40"/>
              <w:jc w:val="left"/>
              <w:rPr>
                <w:color w:val="000000"/>
                <w:sz w:val="20"/>
                <w:szCs w:val="20"/>
              </w:rPr>
            </w:pPr>
            <w:r w:rsidRPr="00461C16">
              <w:rPr>
                <w:color w:val="000000"/>
                <w:sz w:val="20"/>
                <w:szCs w:val="20"/>
              </w:rPr>
              <w:t xml:space="preserve">ZV </w:t>
            </w:r>
          </w:p>
        </w:tc>
        <w:tc>
          <w:tcPr>
            <w:tcW w:w="2835" w:type="dxa"/>
            <w:shd w:val="clear" w:color="auto" w:fill="auto"/>
          </w:tcPr>
          <w:p w14:paraId="7FFFCD9D" w14:textId="77777777" w:rsidR="00C36BED" w:rsidRPr="00461C16" w:rsidRDefault="00582A4F" w:rsidP="00C36BED">
            <w:pPr>
              <w:pStyle w:val="CharChar3CharCharCharChar"/>
              <w:spacing w:before="40" w:after="40"/>
              <w:rPr>
                <w:rFonts w:ascii="Arial Narrow" w:hAnsi="Arial Narrow"/>
              </w:rPr>
            </w:pPr>
            <w:r w:rsidRPr="00461C16">
              <w:rPr>
                <w:rFonts w:ascii="Arial Narrow" w:hAnsi="Arial Narrow"/>
              </w:rPr>
              <w:t>vytvoření parku podél toku Lužické Nisy</w:t>
            </w:r>
          </w:p>
        </w:tc>
        <w:tc>
          <w:tcPr>
            <w:tcW w:w="4218" w:type="dxa"/>
            <w:shd w:val="clear" w:color="auto" w:fill="auto"/>
          </w:tcPr>
          <w:p w14:paraId="13800A48" w14:textId="77777777" w:rsidR="00C36BED" w:rsidRPr="00461C16" w:rsidRDefault="00582A4F" w:rsidP="00C36BED">
            <w:pPr>
              <w:pStyle w:val="dtabulka"/>
              <w:spacing w:before="40" w:after="40"/>
            </w:pPr>
            <w:r w:rsidRPr="00461C16">
              <w:t>zatraktivnění nábřeží, rozšíření ploch veřejné zeleně pro krátkodobou rekreaci obyvatel, prostorové propojení zástavby částí Hrádek nad Nisou a Loučná</w:t>
            </w:r>
          </w:p>
        </w:tc>
      </w:tr>
      <w:tr w:rsidR="00C36BED" w:rsidRPr="00461C16" w14:paraId="11FCB567" w14:textId="77777777" w:rsidTr="00413CFE">
        <w:trPr>
          <w:jc w:val="right"/>
        </w:trPr>
        <w:tc>
          <w:tcPr>
            <w:tcW w:w="1276" w:type="dxa"/>
            <w:shd w:val="clear" w:color="auto" w:fill="auto"/>
          </w:tcPr>
          <w:p w14:paraId="3E9DBF12" w14:textId="77777777" w:rsidR="00C36BED" w:rsidRPr="00461C16" w:rsidRDefault="00C36BED" w:rsidP="00C36BED">
            <w:pPr>
              <w:spacing w:before="40" w:after="40"/>
              <w:rPr>
                <w:color w:val="000000"/>
                <w:sz w:val="20"/>
                <w:szCs w:val="20"/>
              </w:rPr>
            </w:pPr>
            <w:r w:rsidRPr="00461C16">
              <w:rPr>
                <w:color w:val="000000"/>
                <w:sz w:val="20"/>
                <w:szCs w:val="20"/>
              </w:rPr>
              <w:t>R06</w:t>
            </w:r>
          </w:p>
        </w:tc>
        <w:tc>
          <w:tcPr>
            <w:tcW w:w="851" w:type="dxa"/>
          </w:tcPr>
          <w:p w14:paraId="44B7FD04" w14:textId="77777777" w:rsidR="00C36BED" w:rsidRPr="00461C16" w:rsidRDefault="00C36BED" w:rsidP="00C36BED">
            <w:pPr>
              <w:spacing w:before="40" w:after="40"/>
              <w:jc w:val="left"/>
              <w:rPr>
                <w:color w:val="000000"/>
                <w:sz w:val="20"/>
                <w:szCs w:val="20"/>
              </w:rPr>
            </w:pPr>
            <w:r w:rsidRPr="00461C16">
              <w:rPr>
                <w:color w:val="000000"/>
                <w:sz w:val="20"/>
                <w:szCs w:val="20"/>
              </w:rPr>
              <w:t xml:space="preserve">SC </w:t>
            </w:r>
          </w:p>
        </w:tc>
        <w:tc>
          <w:tcPr>
            <w:tcW w:w="2835" w:type="dxa"/>
            <w:shd w:val="clear" w:color="auto" w:fill="auto"/>
          </w:tcPr>
          <w:p w14:paraId="6172565F" w14:textId="77777777" w:rsidR="00C36BED" w:rsidRPr="00461C16" w:rsidRDefault="002460B7" w:rsidP="00C36BED">
            <w:pPr>
              <w:pStyle w:val="CharChar3CharCharCharChar"/>
              <w:spacing w:before="40" w:after="40"/>
              <w:rPr>
                <w:rFonts w:ascii="Arial Narrow" w:hAnsi="Arial Narrow"/>
              </w:rPr>
            </w:pPr>
            <w:r w:rsidRPr="00461C16">
              <w:rPr>
                <w:rFonts w:ascii="Arial Narrow" w:hAnsi="Arial Narrow"/>
              </w:rPr>
              <w:t>dostavba centra města Hrádek nad Nisou pod ul. Luční</w:t>
            </w:r>
          </w:p>
        </w:tc>
        <w:tc>
          <w:tcPr>
            <w:tcW w:w="4218" w:type="dxa"/>
            <w:shd w:val="clear" w:color="auto" w:fill="auto"/>
          </w:tcPr>
          <w:p w14:paraId="7A686522" w14:textId="77777777" w:rsidR="00C36BED" w:rsidRPr="00461C16" w:rsidRDefault="002460B7" w:rsidP="00993450">
            <w:pPr>
              <w:pStyle w:val="dtabulka"/>
              <w:spacing w:before="40" w:after="40"/>
            </w:pPr>
            <w:r w:rsidRPr="00461C16">
              <w:t>využití proluky, posílení kompaktnosti území ve vnitřní části města, rozšíření možnosti bydlení a zkvalitnění infrastruktury služeb</w:t>
            </w:r>
            <w:r w:rsidR="00993450" w:rsidRPr="00461C16">
              <w:t>; vymezení je z větší části v souladu s požadavkem schváleného Zadání ÚP</w:t>
            </w:r>
          </w:p>
        </w:tc>
      </w:tr>
      <w:tr w:rsidR="002460B7" w:rsidRPr="00461C16" w14:paraId="2EB8365F" w14:textId="77777777" w:rsidTr="00413CFE">
        <w:trPr>
          <w:jc w:val="right"/>
        </w:trPr>
        <w:tc>
          <w:tcPr>
            <w:tcW w:w="1276" w:type="dxa"/>
            <w:shd w:val="clear" w:color="auto" w:fill="auto"/>
          </w:tcPr>
          <w:p w14:paraId="26C7E133" w14:textId="77777777" w:rsidR="002460B7" w:rsidRPr="00461C16" w:rsidRDefault="002460B7" w:rsidP="00C36BED">
            <w:pPr>
              <w:spacing w:before="40" w:after="40"/>
              <w:rPr>
                <w:color w:val="000000"/>
                <w:sz w:val="20"/>
                <w:szCs w:val="20"/>
              </w:rPr>
            </w:pPr>
            <w:r w:rsidRPr="00461C16">
              <w:rPr>
                <w:color w:val="000000"/>
                <w:sz w:val="20"/>
                <w:szCs w:val="20"/>
              </w:rPr>
              <w:t>R07</w:t>
            </w:r>
          </w:p>
        </w:tc>
        <w:tc>
          <w:tcPr>
            <w:tcW w:w="851" w:type="dxa"/>
          </w:tcPr>
          <w:p w14:paraId="5D171E84" w14:textId="77777777" w:rsidR="002460B7" w:rsidRPr="00461C16" w:rsidRDefault="002460B7" w:rsidP="00C36BED">
            <w:pPr>
              <w:spacing w:before="40" w:after="40"/>
              <w:jc w:val="left"/>
              <w:rPr>
                <w:color w:val="000000"/>
                <w:sz w:val="20"/>
                <w:szCs w:val="20"/>
              </w:rPr>
            </w:pPr>
            <w:r w:rsidRPr="00461C16">
              <w:rPr>
                <w:color w:val="000000"/>
                <w:sz w:val="20"/>
                <w:szCs w:val="20"/>
              </w:rPr>
              <w:t xml:space="preserve">SC </w:t>
            </w:r>
          </w:p>
        </w:tc>
        <w:tc>
          <w:tcPr>
            <w:tcW w:w="2835" w:type="dxa"/>
            <w:shd w:val="clear" w:color="auto" w:fill="auto"/>
          </w:tcPr>
          <w:p w14:paraId="5AFAA89C" w14:textId="77777777" w:rsidR="002460B7" w:rsidRPr="00461C16" w:rsidRDefault="002460B7" w:rsidP="00330E05">
            <w:pPr>
              <w:pStyle w:val="CharChar3CharCharCharChar"/>
              <w:spacing w:before="40" w:after="40"/>
              <w:rPr>
                <w:rFonts w:ascii="Arial Narrow" w:hAnsi="Arial Narrow"/>
              </w:rPr>
            </w:pPr>
            <w:r w:rsidRPr="00461C16">
              <w:rPr>
                <w:rFonts w:ascii="Arial Narrow" w:hAnsi="Arial Narrow"/>
              </w:rPr>
              <w:t>dostavba centra města Hrádek nad Nisou nad ul. Luční</w:t>
            </w:r>
          </w:p>
        </w:tc>
        <w:tc>
          <w:tcPr>
            <w:tcW w:w="4218" w:type="dxa"/>
            <w:shd w:val="clear" w:color="auto" w:fill="auto"/>
          </w:tcPr>
          <w:p w14:paraId="5D234FC6" w14:textId="77777777" w:rsidR="002460B7" w:rsidRPr="00461C16" w:rsidRDefault="002460B7" w:rsidP="00330E05">
            <w:pPr>
              <w:pStyle w:val="dtabulka"/>
              <w:spacing w:before="40" w:after="40"/>
            </w:pPr>
            <w:r w:rsidRPr="00461C16">
              <w:t>využití proluky, posílení kompaktnosti území ve vnitřní části města, rozšíření možnosti bydlení a zkvalitnění infrastruktury služeb</w:t>
            </w:r>
          </w:p>
        </w:tc>
      </w:tr>
      <w:tr w:rsidR="00C36BED" w:rsidRPr="00461C16" w14:paraId="64001C23" w14:textId="77777777" w:rsidTr="00413CFE">
        <w:trPr>
          <w:jc w:val="right"/>
        </w:trPr>
        <w:tc>
          <w:tcPr>
            <w:tcW w:w="1276" w:type="dxa"/>
            <w:shd w:val="clear" w:color="auto" w:fill="auto"/>
          </w:tcPr>
          <w:p w14:paraId="6C0AB360" w14:textId="77777777" w:rsidR="00C36BED" w:rsidRPr="00461C16" w:rsidRDefault="00C36BED" w:rsidP="00C36BED">
            <w:pPr>
              <w:spacing w:before="40" w:after="40"/>
              <w:rPr>
                <w:color w:val="000000"/>
                <w:sz w:val="20"/>
                <w:szCs w:val="20"/>
              </w:rPr>
            </w:pPr>
            <w:r w:rsidRPr="00461C16">
              <w:rPr>
                <w:color w:val="000000"/>
                <w:sz w:val="20"/>
                <w:szCs w:val="20"/>
              </w:rPr>
              <w:t>R08</w:t>
            </w:r>
          </w:p>
        </w:tc>
        <w:tc>
          <w:tcPr>
            <w:tcW w:w="851" w:type="dxa"/>
          </w:tcPr>
          <w:p w14:paraId="7190540C" w14:textId="77777777" w:rsidR="00C36BED" w:rsidRPr="00461C16" w:rsidRDefault="00C36BED" w:rsidP="00C36BED">
            <w:pPr>
              <w:spacing w:before="40" w:after="40"/>
              <w:jc w:val="left"/>
              <w:rPr>
                <w:color w:val="000000"/>
                <w:sz w:val="20"/>
                <w:szCs w:val="20"/>
              </w:rPr>
            </w:pPr>
            <w:r w:rsidRPr="00461C16">
              <w:rPr>
                <w:color w:val="000000"/>
                <w:sz w:val="20"/>
                <w:szCs w:val="20"/>
              </w:rPr>
              <w:t xml:space="preserve">VL </w:t>
            </w:r>
          </w:p>
        </w:tc>
        <w:tc>
          <w:tcPr>
            <w:tcW w:w="2835" w:type="dxa"/>
            <w:shd w:val="clear" w:color="auto" w:fill="auto"/>
          </w:tcPr>
          <w:p w14:paraId="48F53909" w14:textId="77777777" w:rsidR="00C36BED" w:rsidRPr="00461C16" w:rsidRDefault="002329AA" w:rsidP="00C36BED">
            <w:pPr>
              <w:pStyle w:val="CharChar3CharCharCharChar"/>
              <w:spacing w:before="40" w:after="40"/>
              <w:rPr>
                <w:rFonts w:ascii="Arial Narrow" w:hAnsi="Arial Narrow"/>
              </w:rPr>
            </w:pPr>
            <w:r w:rsidRPr="00461C16">
              <w:rPr>
                <w:rFonts w:ascii="Arial Narrow" w:hAnsi="Arial Narrow"/>
              </w:rPr>
              <w:t>rozvoj lehké výroby ve vazbě na obchvat města a stávající průmyslovou zónu</w:t>
            </w:r>
          </w:p>
        </w:tc>
        <w:tc>
          <w:tcPr>
            <w:tcW w:w="4218" w:type="dxa"/>
            <w:shd w:val="clear" w:color="auto" w:fill="auto"/>
          </w:tcPr>
          <w:p w14:paraId="0299DEAC" w14:textId="77777777" w:rsidR="00C36BED" w:rsidRPr="00461C16" w:rsidRDefault="002329AA" w:rsidP="00C36BED">
            <w:pPr>
              <w:pStyle w:val="dtabulka"/>
              <w:spacing w:before="40" w:after="40"/>
            </w:pPr>
            <w:r w:rsidRPr="00461C16">
              <w:t>rozšíření možnosti podnikání v oblasti průmyslu, výroby a skladování ve strategické poloze s vynikajícím dopravním napojením (silnice I. třídy, železnice)</w:t>
            </w:r>
          </w:p>
        </w:tc>
      </w:tr>
      <w:tr w:rsidR="00582A4F" w:rsidRPr="00461C16" w14:paraId="2E9177A9" w14:textId="77777777" w:rsidTr="00413CFE">
        <w:trPr>
          <w:jc w:val="right"/>
        </w:trPr>
        <w:tc>
          <w:tcPr>
            <w:tcW w:w="1276" w:type="dxa"/>
            <w:shd w:val="clear" w:color="auto" w:fill="auto"/>
          </w:tcPr>
          <w:p w14:paraId="734458A2" w14:textId="77777777" w:rsidR="00582A4F" w:rsidRPr="00461C16" w:rsidRDefault="00582A4F" w:rsidP="00C36BED">
            <w:pPr>
              <w:spacing w:before="40" w:after="40"/>
              <w:rPr>
                <w:color w:val="000000"/>
                <w:sz w:val="20"/>
                <w:szCs w:val="20"/>
              </w:rPr>
            </w:pPr>
            <w:r w:rsidRPr="00461C16">
              <w:rPr>
                <w:color w:val="000000"/>
                <w:sz w:val="20"/>
                <w:szCs w:val="20"/>
              </w:rPr>
              <w:t>R09</w:t>
            </w:r>
          </w:p>
        </w:tc>
        <w:tc>
          <w:tcPr>
            <w:tcW w:w="851" w:type="dxa"/>
          </w:tcPr>
          <w:p w14:paraId="2009419B" w14:textId="77777777" w:rsidR="00582A4F" w:rsidRPr="00461C16" w:rsidRDefault="00582A4F" w:rsidP="00C36BED">
            <w:pPr>
              <w:spacing w:before="40" w:after="40"/>
              <w:jc w:val="left"/>
              <w:rPr>
                <w:color w:val="000000"/>
                <w:sz w:val="20"/>
                <w:szCs w:val="20"/>
              </w:rPr>
            </w:pPr>
            <w:r w:rsidRPr="00461C16">
              <w:rPr>
                <w:color w:val="000000"/>
                <w:sz w:val="20"/>
                <w:szCs w:val="20"/>
              </w:rPr>
              <w:t xml:space="preserve">SV </w:t>
            </w:r>
          </w:p>
        </w:tc>
        <w:tc>
          <w:tcPr>
            <w:tcW w:w="2835" w:type="dxa"/>
            <w:shd w:val="clear" w:color="auto" w:fill="auto"/>
          </w:tcPr>
          <w:p w14:paraId="1E268970" w14:textId="77777777" w:rsidR="00582A4F" w:rsidRPr="00461C16" w:rsidRDefault="00582A4F" w:rsidP="00582A4F">
            <w:pPr>
              <w:pStyle w:val="CharChar3CharCharCharChar"/>
              <w:spacing w:before="40" w:after="40"/>
              <w:rPr>
                <w:rFonts w:ascii="Arial Narrow" w:hAnsi="Arial Narrow"/>
              </w:rPr>
            </w:pPr>
            <w:r w:rsidRPr="00461C16">
              <w:rPr>
                <w:rFonts w:ascii="Arial Narrow" w:hAnsi="Arial Narrow"/>
              </w:rPr>
              <w:t>doplnění smíšené obytné zástavby v části Dolní Suchá</w:t>
            </w:r>
          </w:p>
        </w:tc>
        <w:tc>
          <w:tcPr>
            <w:tcW w:w="4218" w:type="dxa"/>
            <w:shd w:val="clear" w:color="auto" w:fill="auto"/>
          </w:tcPr>
          <w:p w14:paraId="47735505" w14:textId="77777777" w:rsidR="00582A4F" w:rsidRPr="00461C16" w:rsidRDefault="00582A4F" w:rsidP="000458C5">
            <w:pPr>
              <w:pStyle w:val="dtabulka"/>
              <w:spacing w:before="40" w:after="40"/>
            </w:pPr>
            <w:r w:rsidRPr="00461C16">
              <w:t>využití proluky v zástavbě, posílení kompaktnosti území podél páteřní silnice III/2711, rozšíření možnosti bydlení v atraktivní poloze u řeky</w:t>
            </w:r>
            <w:r w:rsidR="000458C5" w:rsidRPr="00461C16">
              <w:t>; vymezení je v souladu s požadavkem schváleného Zadání ÚP</w:t>
            </w:r>
          </w:p>
        </w:tc>
      </w:tr>
      <w:tr w:rsidR="00582A4F" w:rsidRPr="00461C16" w14:paraId="06536E48" w14:textId="77777777" w:rsidTr="00413CFE">
        <w:trPr>
          <w:jc w:val="right"/>
        </w:trPr>
        <w:tc>
          <w:tcPr>
            <w:tcW w:w="1276" w:type="dxa"/>
            <w:shd w:val="clear" w:color="auto" w:fill="auto"/>
          </w:tcPr>
          <w:p w14:paraId="1DA855E1" w14:textId="77777777" w:rsidR="00582A4F" w:rsidRPr="00461C16" w:rsidRDefault="00582A4F" w:rsidP="00C36BED">
            <w:pPr>
              <w:spacing w:before="40" w:after="40"/>
              <w:rPr>
                <w:color w:val="000000"/>
                <w:sz w:val="20"/>
                <w:szCs w:val="20"/>
              </w:rPr>
            </w:pPr>
            <w:r w:rsidRPr="00461C16">
              <w:rPr>
                <w:color w:val="000000"/>
                <w:sz w:val="20"/>
                <w:szCs w:val="20"/>
              </w:rPr>
              <w:t>R10</w:t>
            </w:r>
          </w:p>
        </w:tc>
        <w:tc>
          <w:tcPr>
            <w:tcW w:w="851" w:type="dxa"/>
          </w:tcPr>
          <w:p w14:paraId="5DF35727" w14:textId="77777777" w:rsidR="00582A4F" w:rsidRPr="00461C16" w:rsidRDefault="00582A4F" w:rsidP="00C36BED">
            <w:pPr>
              <w:spacing w:before="40" w:after="40"/>
              <w:jc w:val="left"/>
              <w:rPr>
                <w:color w:val="000000"/>
                <w:sz w:val="20"/>
                <w:szCs w:val="20"/>
              </w:rPr>
            </w:pPr>
            <w:r w:rsidRPr="00461C16">
              <w:rPr>
                <w:color w:val="000000"/>
                <w:sz w:val="20"/>
                <w:szCs w:val="20"/>
              </w:rPr>
              <w:t xml:space="preserve">SV </w:t>
            </w:r>
          </w:p>
        </w:tc>
        <w:tc>
          <w:tcPr>
            <w:tcW w:w="2835" w:type="dxa"/>
            <w:shd w:val="clear" w:color="auto" w:fill="auto"/>
          </w:tcPr>
          <w:p w14:paraId="5B6358C5" w14:textId="77777777" w:rsidR="00582A4F" w:rsidRPr="00461C16" w:rsidRDefault="00582A4F" w:rsidP="00330E05">
            <w:pPr>
              <w:pStyle w:val="CharChar3CharCharCharChar"/>
              <w:spacing w:before="40" w:after="40"/>
              <w:rPr>
                <w:rFonts w:ascii="Arial Narrow" w:hAnsi="Arial Narrow"/>
              </w:rPr>
            </w:pPr>
            <w:r w:rsidRPr="00461C16">
              <w:rPr>
                <w:rFonts w:ascii="Arial Narrow" w:hAnsi="Arial Narrow"/>
              </w:rPr>
              <w:t>doplnění smíšené obytné zástavby v části Dolní Suchá</w:t>
            </w:r>
          </w:p>
        </w:tc>
        <w:tc>
          <w:tcPr>
            <w:tcW w:w="4218" w:type="dxa"/>
            <w:shd w:val="clear" w:color="auto" w:fill="auto"/>
          </w:tcPr>
          <w:p w14:paraId="0D516319" w14:textId="77777777" w:rsidR="00582A4F" w:rsidRPr="00461C16" w:rsidRDefault="00582A4F" w:rsidP="00330E05">
            <w:pPr>
              <w:pStyle w:val="dtabulka"/>
              <w:spacing w:before="40" w:after="40"/>
            </w:pPr>
            <w:r w:rsidRPr="00461C16">
              <w:t>využití proluky v zástavbě, posílení kompaktnosti území podél páteřní silnice III/2711, rozšíření možnosti bydlení v atraktivní poloze u řeky</w:t>
            </w:r>
          </w:p>
        </w:tc>
      </w:tr>
      <w:tr w:rsidR="00582A4F" w:rsidRPr="00461C16" w14:paraId="5976297F" w14:textId="77777777" w:rsidTr="00413CFE">
        <w:trPr>
          <w:jc w:val="right"/>
        </w:trPr>
        <w:tc>
          <w:tcPr>
            <w:tcW w:w="1276" w:type="dxa"/>
            <w:shd w:val="clear" w:color="auto" w:fill="auto"/>
          </w:tcPr>
          <w:p w14:paraId="49BA7C79" w14:textId="77777777" w:rsidR="00582A4F" w:rsidRPr="00461C16" w:rsidRDefault="00582A4F" w:rsidP="00C36BED">
            <w:pPr>
              <w:spacing w:before="40" w:after="40"/>
              <w:rPr>
                <w:color w:val="000000"/>
                <w:sz w:val="20"/>
                <w:szCs w:val="20"/>
              </w:rPr>
            </w:pPr>
            <w:r w:rsidRPr="00461C16">
              <w:rPr>
                <w:color w:val="000000"/>
                <w:sz w:val="20"/>
                <w:szCs w:val="20"/>
              </w:rPr>
              <w:t>R11</w:t>
            </w:r>
          </w:p>
        </w:tc>
        <w:tc>
          <w:tcPr>
            <w:tcW w:w="851" w:type="dxa"/>
          </w:tcPr>
          <w:p w14:paraId="12461044" w14:textId="77777777" w:rsidR="00582A4F" w:rsidRPr="00461C16" w:rsidRDefault="00582A4F" w:rsidP="00C36BED">
            <w:pPr>
              <w:spacing w:before="40" w:after="40"/>
              <w:jc w:val="left"/>
              <w:rPr>
                <w:color w:val="000000"/>
                <w:sz w:val="20"/>
                <w:szCs w:val="20"/>
              </w:rPr>
            </w:pPr>
            <w:r w:rsidRPr="00461C16">
              <w:rPr>
                <w:color w:val="000000"/>
                <w:sz w:val="20"/>
                <w:szCs w:val="20"/>
              </w:rPr>
              <w:t xml:space="preserve">SV </w:t>
            </w:r>
          </w:p>
        </w:tc>
        <w:tc>
          <w:tcPr>
            <w:tcW w:w="2835" w:type="dxa"/>
            <w:shd w:val="clear" w:color="auto" w:fill="auto"/>
          </w:tcPr>
          <w:p w14:paraId="24EAC02B" w14:textId="77777777" w:rsidR="00582A4F" w:rsidRPr="00461C16" w:rsidRDefault="00582A4F" w:rsidP="00330E05">
            <w:pPr>
              <w:pStyle w:val="CharChar3CharCharCharChar"/>
              <w:spacing w:before="40" w:after="40"/>
              <w:rPr>
                <w:rFonts w:ascii="Arial Narrow" w:hAnsi="Arial Narrow"/>
              </w:rPr>
            </w:pPr>
            <w:r w:rsidRPr="00461C16">
              <w:rPr>
                <w:rFonts w:ascii="Arial Narrow" w:hAnsi="Arial Narrow"/>
              </w:rPr>
              <w:t>doplnění smíšené obytné zástavby v části Dolní Suchá</w:t>
            </w:r>
          </w:p>
        </w:tc>
        <w:tc>
          <w:tcPr>
            <w:tcW w:w="4218" w:type="dxa"/>
            <w:shd w:val="clear" w:color="auto" w:fill="auto"/>
          </w:tcPr>
          <w:p w14:paraId="5CDB05B0" w14:textId="77777777" w:rsidR="00582A4F" w:rsidRPr="00461C16" w:rsidRDefault="00582A4F" w:rsidP="00330E05">
            <w:pPr>
              <w:pStyle w:val="dtabulka"/>
              <w:spacing w:before="40" w:after="40"/>
            </w:pPr>
            <w:r w:rsidRPr="00461C16">
              <w:t>využití proluky v zástavbě, posílení kompaktnosti území podél páteřní silnice III/2711, rozšíření možnosti bydlení v atraktivní poloze u řeky</w:t>
            </w:r>
          </w:p>
        </w:tc>
      </w:tr>
      <w:tr w:rsidR="00294D24" w:rsidRPr="00461C16" w14:paraId="2D973AE1" w14:textId="77777777" w:rsidTr="00413CFE">
        <w:trPr>
          <w:jc w:val="right"/>
        </w:trPr>
        <w:tc>
          <w:tcPr>
            <w:tcW w:w="1276" w:type="dxa"/>
            <w:shd w:val="clear" w:color="auto" w:fill="auto"/>
          </w:tcPr>
          <w:p w14:paraId="2522D0F1" w14:textId="77777777" w:rsidR="00294D24" w:rsidRPr="00461C16" w:rsidRDefault="00294D24" w:rsidP="00C36BED">
            <w:pPr>
              <w:spacing w:before="40" w:after="40"/>
              <w:rPr>
                <w:color w:val="000000"/>
                <w:sz w:val="20"/>
                <w:szCs w:val="20"/>
              </w:rPr>
            </w:pPr>
            <w:r w:rsidRPr="00461C16">
              <w:rPr>
                <w:color w:val="000000"/>
                <w:sz w:val="20"/>
                <w:szCs w:val="20"/>
              </w:rPr>
              <w:t>R12</w:t>
            </w:r>
          </w:p>
        </w:tc>
        <w:tc>
          <w:tcPr>
            <w:tcW w:w="851" w:type="dxa"/>
          </w:tcPr>
          <w:p w14:paraId="43B6854B" w14:textId="77777777" w:rsidR="00294D24" w:rsidRPr="00461C16" w:rsidRDefault="00294D24" w:rsidP="00C36BED">
            <w:pPr>
              <w:spacing w:before="40" w:after="40"/>
              <w:jc w:val="left"/>
              <w:rPr>
                <w:color w:val="000000"/>
                <w:sz w:val="20"/>
                <w:szCs w:val="20"/>
              </w:rPr>
            </w:pPr>
            <w:r w:rsidRPr="00461C16">
              <w:rPr>
                <w:color w:val="000000"/>
                <w:sz w:val="20"/>
                <w:szCs w:val="20"/>
              </w:rPr>
              <w:t xml:space="preserve">SM </w:t>
            </w:r>
          </w:p>
        </w:tc>
        <w:tc>
          <w:tcPr>
            <w:tcW w:w="2835" w:type="dxa"/>
            <w:shd w:val="clear" w:color="auto" w:fill="auto"/>
          </w:tcPr>
          <w:p w14:paraId="4C245C9F" w14:textId="77777777" w:rsidR="00294D24" w:rsidRPr="00461C16" w:rsidRDefault="00294D24" w:rsidP="00330E05">
            <w:pPr>
              <w:pStyle w:val="CharChar3CharCharCharChar"/>
              <w:spacing w:before="40" w:after="40"/>
              <w:rPr>
                <w:rFonts w:ascii="Arial Narrow" w:hAnsi="Arial Narrow"/>
              </w:rPr>
            </w:pPr>
            <w:r w:rsidRPr="00461C16">
              <w:rPr>
                <w:rFonts w:ascii="Arial Narrow" w:hAnsi="Arial Narrow"/>
              </w:rPr>
              <w:t>doplnění smíšené obytné zástavby v části Loučná nad ul. U Lávky</w:t>
            </w:r>
          </w:p>
        </w:tc>
        <w:tc>
          <w:tcPr>
            <w:tcW w:w="4218" w:type="dxa"/>
            <w:shd w:val="clear" w:color="auto" w:fill="auto"/>
          </w:tcPr>
          <w:p w14:paraId="2A021974" w14:textId="77777777" w:rsidR="00294D24" w:rsidRPr="00461C16" w:rsidRDefault="00294D24" w:rsidP="00330E05">
            <w:pPr>
              <w:pStyle w:val="dtabulka"/>
              <w:spacing w:before="40" w:after="40"/>
            </w:pPr>
            <w:r w:rsidRPr="00461C16">
              <w:t xml:space="preserve">využití proluky, posílení kompaktnosti území podél toku Lužické Nisy, rozšíření možnosti bydlení </w:t>
            </w:r>
            <w:r w:rsidR="00771411" w:rsidRPr="00461C16">
              <w:t>v atraktivní poloze u řeky</w:t>
            </w:r>
          </w:p>
        </w:tc>
      </w:tr>
      <w:tr w:rsidR="00C36BED" w:rsidRPr="00461C16" w14:paraId="09AD27FB" w14:textId="77777777" w:rsidTr="00413CFE">
        <w:trPr>
          <w:jc w:val="right"/>
        </w:trPr>
        <w:tc>
          <w:tcPr>
            <w:tcW w:w="1276" w:type="dxa"/>
            <w:shd w:val="clear" w:color="auto" w:fill="auto"/>
          </w:tcPr>
          <w:p w14:paraId="1DBA8502" w14:textId="77777777" w:rsidR="00C36BED" w:rsidRPr="00461C16" w:rsidRDefault="00C36BED" w:rsidP="00C36BED">
            <w:pPr>
              <w:spacing w:before="40" w:after="40"/>
              <w:rPr>
                <w:color w:val="000000"/>
                <w:sz w:val="20"/>
                <w:szCs w:val="20"/>
              </w:rPr>
            </w:pPr>
            <w:r w:rsidRPr="00461C16">
              <w:rPr>
                <w:color w:val="000000"/>
                <w:sz w:val="20"/>
                <w:szCs w:val="20"/>
              </w:rPr>
              <w:t>R13</w:t>
            </w:r>
          </w:p>
        </w:tc>
        <w:tc>
          <w:tcPr>
            <w:tcW w:w="851" w:type="dxa"/>
          </w:tcPr>
          <w:p w14:paraId="178D6B35" w14:textId="77777777" w:rsidR="00C36BED" w:rsidRPr="00461C16" w:rsidRDefault="00C36BED" w:rsidP="00C36BED">
            <w:pPr>
              <w:pStyle w:val="dtabulka"/>
              <w:spacing w:before="40" w:after="40"/>
            </w:pPr>
            <w:r w:rsidRPr="00461C16">
              <w:t xml:space="preserve">DZ </w:t>
            </w:r>
          </w:p>
        </w:tc>
        <w:tc>
          <w:tcPr>
            <w:tcW w:w="2835" w:type="dxa"/>
            <w:shd w:val="clear" w:color="auto" w:fill="auto"/>
          </w:tcPr>
          <w:p w14:paraId="27567CB0" w14:textId="77777777" w:rsidR="00C36BED" w:rsidRPr="00461C16" w:rsidRDefault="0099414C" w:rsidP="00C36BED">
            <w:pPr>
              <w:pStyle w:val="CharChar3CharCharCharChar"/>
              <w:spacing w:before="40" w:after="40"/>
              <w:rPr>
                <w:rFonts w:ascii="Arial Narrow" w:hAnsi="Arial Narrow"/>
              </w:rPr>
            </w:pPr>
            <w:r w:rsidRPr="00461C16">
              <w:rPr>
                <w:rFonts w:ascii="Arial Narrow" w:hAnsi="Arial Narrow"/>
              </w:rPr>
              <w:t>železniční spojení Liberec – Česká Lípa, úsek Bílý Kostel nad Nisou – Rynoltice</w:t>
            </w:r>
          </w:p>
        </w:tc>
        <w:tc>
          <w:tcPr>
            <w:tcW w:w="4218" w:type="dxa"/>
            <w:shd w:val="clear" w:color="auto" w:fill="auto"/>
          </w:tcPr>
          <w:p w14:paraId="3BFA3AC3" w14:textId="77777777" w:rsidR="00C36BED" w:rsidRPr="00461C16" w:rsidRDefault="0099414C" w:rsidP="00C36BED">
            <w:pPr>
              <w:pStyle w:val="dtabulka"/>
              <w:spacing w:before="40" w:after="40"/>
            </w:pPr>
            <w:r w:rsidRPr="00461C16">
              <w:t xml:space="preserve">ZÚR Libereckého kraje vymezují na území města Hrádek nad Nisou koridor územní rezervy D33A „železniční spojení Liberec - Česká Lípa, úsek Bílý Kostel nad Nisou - Rynoltice, variantní řešení“. ÚP z toho důvodu vymezuje v rámci správního území města Hrádek nad Nisou koridor územní rezervy R13 </w:t>
            </w:r>
            <w:r w:rsidRPr="00461C16">
              <w:lastRenderedPageBreak/>
              <w:t>železniční dopravy pro budoucí prověření železničního spojení Liberec – Česká Lípa, úsek Bílý Kostel nad Nisou – Rynoltice.</w:t>
            </w:r>
          </w:p>
        </w:tc>
      </w:tr>
      <w:tr w:rsidR="002329AA" w:rsidRPr="00461C16" w14:paraId="076E31FA" w14:textId="77777777" w:rsidTr="00413CFE">
        <w:trPr>
          <w:jc w:val="right"/>
        </w:trPr>
        <w:tc>
          <w:tcPr>
            <w:tcW w:w="1276" w:type="dxa"/>
            <w:shd w:val="clear" w:color="auto" w:fill="auto"/>
          </w:tcPr>
          <w:p w14:paraId="52E37331" w14:textId="77777777" w:rsidR="002329AA" w:rsidRPr="00461C16" w:rsidRDefault="002329AA" w:rsidP="00C36BED">
            <w:pPr>
              <w:spacing w:before="40" w:after="40"/>
              <w:rPr>
                <w:color w:val="000000"/>
                <w:sz w:val="20"/>
                <w:szCs w:val="20"/>
              </w:rPr>
            </w:pPr>
            <w:r w:rsidRPr="00461C16">
              <w:rPr>
                <w:color w:val="000000"/>
                <w:sz w:val="20"/>
                <w:szCs w:val="20"/>
              </w:rPr>
              <w:lastRenderedPageBreak/>
              <w:t>R14</w:t>
            </w:r>
          </w:p>
        </w:tc>
        <w:tc>
          <w:tcPr>
            <w:tcW w:w="851" w:type="dxa"/>
          </w:tcPr>
          <w:p w14:paraId="7AC702AD" w14:textId="77777777" w:rsidR="002329AA" w:rsidRPr="00461C16" w:rsidRDefault="002329AA" w:rsidP="00C36BED">
            <w:pPr>
              <w:spacing w:before="40" w:after="40"/>
              <w:jc w:val="left"/>
              <w:rPr>
                <w:color w:val="000000"/>
                <w:sz w:val="20"/>
                <w:szCs w:val="20"/>
              </w:rPr>
            </w:pPr>
            <w:r w:rsidRPr="00461C16">
              <w:rPr>
                <w:color w:val="000000"/>
                <w:sz w:val="20"/>
                <w:szCs w:val="20"/>
              </w:rPr>
              <w:t xml:space="preserve">VL </w:t>
            </w:r>
          </w:p>
        </w:tc>
        <w:tc>
          <w:tcPr>
            <w:tcW w:w="2835" w:type="dxa"/>
            <w:shd w:val="clear" w:color="auto" w:fill="auto"/>
          </w:tcPr>
          <w:p w14:paraId="3FBEABEC" w14:textId="77777777" w:rsidR="002329AA" w:rsidRPr="00461C16" w:rsidRDefault="002329AA" w:rsidP="00330E05">
            <w:pPr>
              <w:pStyle w:val="CharChar3CharCharCharChar"/>
              <w:spacing w:before="40" w:after="40"/>
              <w:rPr>
                <w:rFonts w:ascii="Arial Narrow" w:hAnsi="Arial Narrow"/>
              </w:rPr>
            </w:pPr>
            <w:r w:rsidRPr="00461C16">
              <w:rPr>
                <w:rFonts w:ascii="Arial Narrow" w:hAnsi="Arial Narrow"/>
              </w:rPr>
              <w:t>rozvoj lehké výroby ve vazbě na obchvat města a stávající průmyslovou zónu</w:t>
            </w:r>
          </w:p>
        </w:tc>
        <w:tc>
          <w:tcPr>
            <w:tcW w:w="4218" w:type="dxa"/>
            <w:shd w:val="clear" w:color="auto" w:fill="auto"/>
          </w:tcPr>
          <w:p w14:paraId="10D646FE" w14:textId="77777777" w:rsidR="002329AA" w:rsidRPr="00461C16" w:rsidRDefault="002329AA" w:rsidP="00330E05">
            <w:pPr>
              <w:pStyle w:val="dtabulka"/>
              <w:spacing w:before="40" w:after="40"/>
            </w:pPr>
            <w:r w:rsidRPr="00461C16">
              <w:t>rozšíření možnosti podnikání v oblasti průmyslu, výroby a skladování ve strategické poloze s vynikajícím dopravním napojením (silnice I. třídy, železnice)</w:t>
            </w:r>
          </w:p>
        </w:tc>
      </w:tr>
      <w:tr w:rsidR="00582A4F" w:rsidRPr="00461C16" w14:paraId="149BCC7A" w14:textId="77777777" w:rsidTr="00413CFE">
        <w:trPr>
          <w:jc w:val="right"/>
        </w:trPr>
        <w:tc>
          <w:tcPr>
            <w:tcW w:w="1276" w:type="dxa"/>
            <w:shd w:val="clear" w:color="auto" w:fill="auto"/>
          </w:tcPr>
          <w:p w14:paraId="29800409" w14:textId="77777777" w:rsidR="00582A4F" w:rsidRPr="00461C16" w:rsidRDefault="00582A4F" w:rsidP="00C36BED">
            <w:pPr>
              <w:spacing w:before="40" w:after="40"/>
              <w:rPr>
                <w:color w:val="000000"/>
                <w:sz w:val="20"/>
                <w:szCs w:val="20"/>
              </w:rPr>
            </w:pPr>
            <w:r w:rsidRPr="00461C16">
              <w:rPr>
                <w:color w:val="000000"/>
                <w:sz w:val="20"/>
                <w:szCs w:val="20"/>
              </w:rPr>
              <w:t>R15</w:t>
            </w:r>
          </w:p>
        </w:tc>
        <w:tc>
          <w:tcPr>
            <w:tcW w:w="851" w:type="dxa"/>
          </w:tcPr>
          <w:p w14:paraId="2F279A4C" w14:textId="77777777" w:rsidR="00582A4F" w:rsidRPr="00461C16" w:rsidRDefault="00582A4F" w:rsidP="00C36BED">
            <w:pPr>
              <w:spacing w:before="40" w:after="40"/>
              <w:jc w:val="left"/>
              <w:rPr>
                <w:color w:val="000000"/>
                <w:sz w:val="20"/>
                <w:szCs w:val="20"/>
              </w:rPr>
            </w:pPr>
            <w:r w:rsidRPr="00461C16">
              <w:rPr>
                <w:color w:val="000000"/>
                <w:sz w:val="20"/>
                <w:szCs w:val="20"/>
              </w:rPr>
              <w:t xml:space="preserve">BI </w:t>
            </w:r>
          </w:p>
        </w:tc>
        <w:tc>
          <w:tcPr>
            <w:tcW w:w="2835" w:type="dxa"/>
            <w:shd w:val="clear" w:color="auto" w:fill="auto"/>
          </w:tcPr>
          <w:p w14:paraId="1D5724F6" w14:textId="77777777" w:rsidR="00582A4F" w:rsidRPr="00461C16" w:rsidRDefault="00582A4F" w:rsidP="00C36BED">
            <w:pPr>
              <w:pStyle w:val="CharChar3CharCharCharChar"/>
              <w:spacing w:before="40" w:after="40"/>
              <w:rPr>
                <w:rFonts w:ascii="Arial Narrow" w:hAnsi="Arial Narrow"/>
              </w:rPr>
            </w:pPr>
            <w:r w:rsidRPr="00461C16">
              <w:rPr>
                <w:rFonts w:ascii="Arial Narrow" w:hAnsi="Arial Narrow"/>
              </w:rPr>
              <w:t>přestavba bývalého výrobního areálu Kortan na bydlení</w:t>
            </w:r>
          </w:p>
        </w:tc>
        <w:tc>
          <w:tcPr>
            <w:tcW w:w="4218" w:type="dxa"/>
            <w:shd w:val="clear" w:color="auto" w:fill="auto"/>
          </w:tcPr>
          <w:p w14:paraId="3331B28E" w14:textId="77777777" w:rsidR="00582A4F" w:rsidRPr="00461C16" w:rsidRDefault="00582A4F" w:rsidP="00582A4F">
            <w:pPr>
              <w:pStyle w:val="dtabulka"/>
              <w:spacing w:before="40" w:after="40"/>
            </w:pPr>
            <w:r w:rsidRPr="00461C16">
              <w:t>využití brownfieldu – ozdravění území, posílení kompaktnosti území a rozšíření možnosti bydlení v rezidenční lokalitě podél ul. Jižní</w:t>
            </w:r>
          </w:p>
        </w:tc>
      </w:tr>
    </w:tbl>
    <w:p w14:paraId="38002476" w14:textId="77777777" w:rsidR="00C36BED" w:rsidRPr="00461C16" w:rsidRDefault="00C36BED" w:rsidP="00C36BED">
      <w:pPr>
        <w:pStyle w:val="1text"/>
        <w:spacing w:before="240"/>
        <w:rPr>
          <w:i/>
        </w:rPr>
      </w:pPr>
      <w:r w:rsidRPr="00461C16">
        <w:t xml:space="preserve">Grafické vymezení ploch územních rezerv ve výkresech </w:t>
      </w:r>
      <w:r w:rsidRPr="00461C16">
        <w:rPr>
          <w:rStyle w:val="NvrhP-text"/>
          <w:lang w:eastAsia="en-US"/>
        </w:rPr>
        <w:t xml:space="preserve">I.1 Výkres základního členění území </w:t>
      </w:r>
      <w:r w:rsidRPr="00461C16">
        <w:t>a</w:t>
      </w:r>
      <w:r w:rsidRPr="00461C16">
        <w:rPr>
          <w:i/>
        </w:rPr>
        <w:t xml:space="preserve"> I.2a Hlavní výkres – způsob využití území</w:t>
      </w:r>
      <w:r w:rsidRPr="00461C16">
        <w:t xml:space="preserve"> vyplývá z Přílohy č. 7 k vyhlášce č. 500/2006 Sb. - s oddíl I. odst. (3), písm. a) a b).</w:t>
      </w:r>
      <w:r w:rsidRPr="00461C16">
        <w:rPr>
          <w:i/>
        </w:rPr>
        <w:t xml:space="preserve"> </w:t>
      </w:r>
    </w:p>
    <w:p w14:paraId="788388EC" w14:textId="77777777" w:rsidR="003D3102" w:rsidRPr="00461C16" w:rsidRDefault="003D3102" w:rsidP="003D3102">
      <w:pPr>
        <w:pStyle w:val="1text"/>
        <w:spacing w:before="240"/>
        <w:rPr>
          <w:i/>
          <w:sz w:val="20"/>
          <w:szCs w:val="20"/>
        </w:rPr>
      </w:pPr>
      <w:r>
        <w:rPr>
          <w:i/>
          <w:sz w:val="20"/>
          <w:szCs w:val="20"/>
        </w:rPr>
        <w:t>(k bodu J02</w:t>
      </w:r>
      <w:r w:rsidRPr="00461C16">
        <w:rPr>
          <w:i/>
          <w:sz w:val="20"/>
          <w:szCs w:val="20"/>
        </w:rPr>
        <w:t xml:space="preserve"> ÚP) </w:t>
      </w:r>
    </w:p>
    <w:p w14:paraId="6928BF91" w14:textId="77777777" w:rsidR="003D3102" w:rsidRPr="00461C16" w:rsidRDefault="003D3102" w:rsidP="003D3102">
      <w:pPr>
        <w:spacing w:before="120" w:after="120" w:line="240" w:lineRule="auto"/>
        <w:rPr>
          <w:rStyle w:val="NvrhP-text"/>
        </w:rPr>
      </w:pPr>
      <w:r w:rsidRPr="00461C16">
        <w:rPr>
          <w:rStyle w:val="NvrhP-text"/>
        </w:rPr>
        <w:t>V souladu s § 43 odst. 1 zákona č. 183/2006 Sb., o územním plánování a stavebním řádu, v platném znění, územní plán vymezuje plochy a koridory pro územní rezervy (dle § 36 odst. 1 zákona č. 183/2006 Sb., v platném znění. Jedná se o plochy, jejichž potřebu a plošné nároky je nutno prověřit. Změnit územní rezervu na plochu</w:t>
      </w:r>
      <w:r w:rsidR="0008416C">
        <w:rPr>
          <w:rStyle w:val="NvrhP-text"/>
        </w:rPr>
        <w:t xml:space="preserve"> či koridor</w:t>
      </w:r>
      <w:r w:rsidRPr="00461C16">
        <w:rPr>
          <w:rStyle w:val="NvrhP-text"/>
        </w:rPr>
        <w:t xml:space="preserve"> umožňující stanovené využití (a tedy umisťování staveb v souladu se stanoveným způsobem využití) lze jen na základě pořízení změny územního plánu.</w:t>
      </w:r>
    </w:p>
    <w:p w14:paraId="5B4A0500" w14:textId="77777777" w:rsidR="003D3102" w:rsidRPr="00461C16" w:rsidRDefault="003D3102" w:rsidP="003D3102">
      <w:pPr>
        <w:spacing w:before="120" w:after="120" w:line="240" w:lineRule="auto"/>
        <w:rPr>
          <w:rFonts w:cs="Arial"/>
        </w:rPr>
      </w:pPr>
      <w:r w:rsidRPr="00461C16">
        <w:rPr>
          <w:rStyle w:val="NvrhP-text"/>
        </w:rPr>
        <w:t>Odůvodnění vymezení jednotlivých koridorů územních rezerv je uvedeno v následující tabulce</w:t>
      </w:r>
      <w:r w:rsidRPr="00461C16">
        <w:rPr>
          <w:rFonts w:cs="Arial"/>
        </w:rPr>
        <w:t>:</w:t>
      </w:r>
    </w:p>
    <w:tbl>
      <w:tblPr>
        <w:tblW w:w="494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851"/>
        <w:gridCol w:w="2835"/>
        <w:gridCol w:w="4218"/>
      </w:tblGrid>
      <w:tr w:rsidR="003D3102" w:rsidRPr="00461C16" w14:paraId="5A3A1571" w14:textId="77777777" w:rsidTr="003D3102">
        <w:trPr>
          <w:tblHeader/>
          <w:jc w:val="right"/>
        </w:trPr>
        <w:tc>
          <w:tcPr>
            <w:tcW w:w="1276" w:type="dxa"/>
            <w:shd w:val="clear" w:color="auto" w:fill="F2F2F2" w:themeFill="background1" w:themeFillShade="F2"/>
          </w:tcPr>
          <w:p w14:paraId="41AEBD59" w14:textId="77777777" w:rsidR="003D3102" w:rsidRPr="00461C16" w:rsidRDefault="003D3102" w:rsidP="003D3102">
            <w:pPr>
              <w:pStyle w:val="dtabulka"/>
              <w:spacing w:before="40" w:after="40"/>
              <w:rPr>
                <w:b/>
              </w:rPr>
            </w:pPr>
            <w:r w:rsidRPr="00461C16">
              <w:rPr>
                <w:b/>
              </w:rPr>
              <w:t>Označení plochy / koridoru</w:t>
            </w:r>
          </w:p>
        </w:tc>
        <w:tc>
          <w:tcPr>
            <w:tcW w:w="851" w:type="dxa"/>
            <w:shd w:val="clear" w:color="auto" w:fill="F2F2F2" w:themeFill="background1" w:themeFillShade="F2"/>
          </w:tcPr>
          <w:p w14:paraId="67A2CBD5" w14:textId="77777777" w:rsidR="003D3102" w:rsidRPr="00461C16" w:rsidRDefault="003D3102" w:rsidP="003D3102">
            <w:pPr>
              <w:pStyle w:val="dtabulka"/>
              <w:spacing w:before="40" w:after="40"/>
              <w:rPr>
                <w:b/>
              </w:rPr>
            </w:pPr>
            <w:r w:rsidRPr="00461C16">
              <w:rPr>
                <w:b/>
              </w:rPr>
              <w:t>Kód využití</w:t>
            </w:r>
          </w:p>
        </w:tc>
        <w:tc>
          <w:tcPr>
            <w:tcW w:w="2835" w:type="dxa"/>
            <w:shd w:val="clear" w:color="auto" w:fill="F2F2F2" w:themeFill="background1" w:themeFillShade="F2"/>
          </w:tcPr>
          <w:p w14:paraId="6B7295AD" w14:textId="77777777" w:rsidR="003D3102" w:rsidRPr="00461C16" w:rsidRDefault="003D3102" w:rsidP="003D3102">
            <w:pPr>
              <w:pStyle w:val="dtabulka"/>
              <w:spacing w:before="40" w:after="40"/>
              <w:rPr>
                <w:b/>
              </w:rPr>
            </w:pPr>
            <w:r w:rsidRPr="00461C16">
              <w:rPr>
                <w:b/>
              </w:rPr>
              <w:t>Popis</w:t>
            </w:r>
          </w:p>
        </w:tc>
        <w:tc>
          <w:tcPr>
            <w:tcW w:w="4218" w:type="dxa"/>
            <w:shd w:val="clear" w:color="auto" w:fill="F2F2F2" w:themeFill="background1" w:themeFillShade="F2"/>
          </w:tcPr>
          <w:p w14:paraId="25E4EBE2" w14:textId="77777777" w:rsidR="003D3102" w:rsidRPr="00461C16" w:rsidRDefault="003D3102" w:rsidP="003D3102">
            <w:pPr>
              <w:pStyle w:val="dtabulka"/>
              <w:spacing w:before="40" w:after="40"/>
              <w:rPr>
                <w:b/>
              </w:rPr>
            </w:pPr>
            <w:r w:rsidRPr="00461C16">
              <w:rPr>
                <w:b/>
              </w:rPr>
              <w:t>Odůvodnění vymezení</w:t>
            </w:r>
          </w:p>
        </w:tc>
      </w:tr>
      <w:tr w:rsidR="003D3102" w:rsidRPr="00461C16" w14:paraId="0C2A8367" w14:textId="77777777" w:rsidTr="003D3102">
        <w:trPr>
          <w:jc w:val="right"/>
        </w:trPr>
        <w:tc>
          <w:tcPr>
            <w:tcW w:w="1276" w:type="dxa"/>
            <w:shd w:val="clear" w:color="auto" w:fill="auto"/>
          </w:tcPr>
          <w:p w14:paraId="01556FD0" w14:textId="77777777" w:rsidR="003D3102" w:rsidRPr="00461C16" w:rsidRDefault="003D3102" w:rsidP="003D3102">
            <w:pPr>
              <w:spacing w:before="40" w:after="40"/>
              <w:rPr>
                <w:color w:val="000000"/>
                <w:sz w:val="20"/>
                <w:szCs w:val="20"/>
              </w:rPr>
            </w:pPr>
            <w:r w:rsidRPr="00461C16">
              <w:rPr>
                <w:color w:val="000000"/>
                <w:sz w:val="20"/>
                <w:szCs w:val="20"/>
              </w:rPr>
              <w:t>R</w:t>
            </w:r>
            <w:r w:rsidR="0008416C">
              <w:rPr>
                <w:color w:val="000000"/>
                <w:sz w:val="20"/>
                <w:szCs w:val="20"/>
              </w:rPr>
              <w:t>16</w:t>
            </w:r>
          </w:p>
        </w:tc>
        <w:tc>
          <w:tcPr>
            <w:tcW w:w="851" w:type="dxa"/>
          </w:tcPr>
          <w:p w14:paraId="45AF3748" w14:textId="77777777" w:rsidR="003D3102" w:rsidRPr="00461C16" w:rsidRDefault="0008416C" w:rsidP="003D3102">
            <w:pPr>
              <w:spacing w:before="40" w:after="40"/>
              <w:jc w:val="left"/>
              <w:rPr>
                <w:color w:val="000000"/>
                <w:sz w:val="20"/>
                <w:szCs w:val="20"/>
              </w:rPr>
            </w:pPr>
            <w:r>
              <w:rPr>
                <w:color w:val="000000"/>
                <w:sz w:val="20"/>
                <w:szCs w:val="20"/>
              </w:rPr>
              <w:t>DS</w:t>
            </w:r>
          </w:p>
        </w:tc>
        <w:tc>
          <w:tcPr>
            <w:tcW w:w="2835" w:type="dxa"/>
            <w:shd w:val="clear" w:color="auto" w:fill="auto"/>
          </w:tcPr>
          <w:p w14:paraId="6DE8B240" w14:textId="77777777" w:rsidR="003D3102" w:rsidRPr="00461C16" w:rsidRDefault="0008416C" w:rsidP="003D3102">
            <w:pPr>
              <w:pStyle w:val="dtabulka"/>
              <w:spacing w:before="40" w:after="40"/>
            </w:pPr>
            <w:r>
              <w:t>V</w:t>
            </w:r>
            <w:r w:rsidRPr="0008416C">
              <w:t>ýhledové prověření zkapacitnění silnice I/35 v úseku Bílý Kostel nad Nisou – Hrádek nad Nisou – hranice ČR/Polsko</w:t>
            </w:r>
          </w:p>
        </w:tc>
        <w:tc>
          <w:tcPr>
            <w:tcW w:w="4218" w:type="dxa"/>
            <w:shd w:val="clear" w:color="auto" w:fill="auto"/>
          </w:tcPr>
          <w:p w14:paraId="130B388A" w14:textId="77777777" w:rsidR="003D3102" w:rsidRDefault="0008416C" w:rsidP="003D3102">
            <w:pPr>
              <w:pStyle w:val="dtabulka"/>
              <w:spacing w:before="40" w:after="40"/>
            </w:pPr>
            <w:r>
              <w:t>Koridor</w:t>
            </w:r>
            <w:r w:rsidR="002711B8">
              <w:t xml:space="preserve"> územní rezervy</w:t>
            </w:r>
            <w:r>
              <w:t xml:space="preserve"> je vymezen na základě požadavku Ředitelství silnic a dálnic ČR uplatněného k návrhu ÚP.</w:t>
            </w:r>
          </w:p>
          <w:p w14:paraId="3084C034" w14:textId="77777777" w:rsidR="0008416C" w:rsidRDefault="0008416C" w:rsidP="0008416C">
            <w:pPr>
              <w:pStyle w:val="dtabulka"/>
              <w:spacing w:before="40" w:after="40"/>
            </w:pPr>
            <w:r w:rsidRPr="0008416C">
              <w:rPr>
                <w:bCs/>
              </w:rPr>
              <w:t xml:space="preserve">V rámci modernizace silnic se v následujících letech plánuje rozšíření silnice I/35 v úseku </w:t>
            </w:r>
            <w:r w:rsidRPr="0008416C">
              <w:t xml:space="preserve">mezi Bílým Kostelem nad Nisou a Hrádkem nad Nisou na </w:t>
            </w:r>
            <w:r>
              <w:t>čtyř</w:t>
            </w:r>
            <w:r w:rsidRPr="0008416C">
              <w:t>pruhové uspořádán</w:t>
            </w:r>
            <w:r>
              <w:t xml:space="preserve">í. </w:t>
            </w:r>
          </w:p>
          <w:p w14:paraId="6FCE5BF6" w14:textId="77777777" w:rsidR="0008416C" w:rsidRDefault="0008416C" w:rsidP="0008416C">
            <w:pPr>
              <w:pStyle w:val="dtabulka"/>
              <w:spacing w:before="40" w:after="40"/>
            </w:pPr>
            <w:r>
              <w:t>Rozšíření silnice I/35 na čtyř</w:t>
            </w:r>
            <w:r w:rsidRPr="0008416C">
              <w:t>pruhové uspořádání je záměr</w:t>
            </w:r>
            <w:r>
              <w:t>em</w:t>
            </w:r>
            <w:r w:rsidRPr="0008416C">
              <w:t xml:space="preserve"> Ministerstva dopravy ČR, které ve spolupráci s Ředitelstvím silnic a dálnic ČR toto rozšíření plánují. </w:t>
            </w:r>
          </w:p>
          <w:p w14:paraId="5AAADABC" w14:textId="77777777" w:rsidR="002F15EB" w:rsidRPr="0008416C" w:rsidRDefault="002F15EB" w:rsidP="0008416C">
            <w:pPr>
              <w:pStyle w:val="dtabulka"/>
              <w:spacing w:before="40" w:after="40"/>
            </w:pPr>
            <w:r>
              <w:t>Součástí záměru je rovněž úprava stávající okružní křižovatky.</w:t>
            </w:r>
          </w:p>
          <w:p w14:paraId="67964D90" w14:textId="77777777" w:rsidR="0008416C" w:rsidRPr="00461C16" w:rsidRDefault="002711B8" w:rsidP="002711B8">
            <w:pPr>
              <w:pStyle w:val="dtabulka"/>
              <w:spacing w:before="40" w:after="40"/>
            </w:pPr>
            <w:r>
              <w:t xml:space="preserve">Koridor územní rezervy </w:t>
            </w:r>
            <w:r w:rsidRPr="002711B8">
              <w:t>pro výhledové zkapacitnění silnice I/35, úsek Bílý Kostel nad Nisou – Hrádek nad Nisou – hranice ČR/Polsko</w:t>
            </w:r>
            <w:r>
              <w:t xml:space="preserve"> je součástí projednávaného návrhu Aktualizace č. 1 ZÚR Libereckého kraje (návrh pro společné jednání, květen 2018).</w:t>
            </w:r>
          </w:p>
        </w:tc>
      </w:tr>
    </w:tbl>
    <w:p w14:paraId="55FFC415" w14:textId="77777777" w:rsidR="00C36BED" w:rsidRPr="00461C16" w:rsidRDefault="00C36BED" w:rsidP="00C36BED">
      <w:pPr>
        <w:pStyle w:val="1text"/>
        <w:spacing w:before="240"/>
        <w:rPr>
          <w:i/>
          <w:sz w:val="20"/>
          <w:szCs w:val="20"/>
        </w:rPr>
      </w:pPr>
      <w:r w:rsidRPr="00461C16">
        <w:rPr>
          <w:i/>
          <w:sz w:val="20"/>
          <w:szCs w:val="20"/>
        </w:rPr>
        <w:t>(k bodu J0</w:t>
      </w:r>
      <w:r w:rsidR="003D3102">
        <w:rPr>
          <w:i/>
          <w:sz w:val="20"/>
          <w:szCs w:val="20"/>
        </w:rPr>
        <w:t>3</w:t>
      </w:r>
      <w:r w:rsidRPr="00461C16">
        <w:rPr>
          <w:i/>
          <w:sz w:val="20"/>
          <w:szCs w:val="20"/>
        </w:rPr>
        <w:t xml:space="preserve"> ÚP) </w:t>
      </w:r>
    </w:p>
    <w:p w14:paraId="50124646" w14:textId="77777777" w:rsidR="00C36BED" w:rsidRPr="00461C16" w:rsidRDefault="00C36BED" w:rsidP="00C36BED">
      <w:pPr>
        <w:spacing w:before="120" w:after="120"/>
        <w:rPr>
          <w:rStyle w:val="NvrhP-text"/>
        </w:rPr>
      </w:pPr>
      <w:r w:rsidRPr="00461C16">
        <w:rPr>
          <w:rStyle w:val="NvrhP-text"/>
        </w:rPr>
        <w:t>V souladu s § 36 odst. 1 zákona č. 183/2006 Sb., o územním plánování a stavebním řádu, v platném znění, jsou v územní rezervě zakázány změny v území (§ 2 odst. 1 písm. a), které by mohly stanovené využití podstatně ztížit nebo znemožnit. Dočasné stavby jsou přípustné, neboť stavební úřad předem omezí dobu jejich trvání (viz § 2 odst. 3 zákona č. 183/2006 Sb., v platném znění).</w:t>
      </w:r>
    </w:p>
    <w:p w14:paraId="681ED3CD" w14:textId="77777777" w:rsidR="004E1C7A" w:rsidRPr="00461C16" w:rsidRDefault="000C791F" w:rsidP="00D829F9">
      <w:pPr>
        <w:pStyle w:val="Heading2"/>
        <w:ind w:left="851" w:hanging="851"/>
      </w:pPr>
      <w:bookmarkStart w:id="176" w:name="_Toc384728068"/>
      <w:bookmarkStart w:id="177" w:name="_Toc424191840"/>
      <w:bookmarkStart w:id="178" w:name="_Toc36116324"/>
      <w:r w:rsidRPr="00461C16">
        <w:lastRenderedPageBreak/>
        <w:t>6</w:t>
      </w:r>
      <w:r w:rsidR="00BC4E8D" w:rsidRPr="00461C16">
        <w:t>.</w:t>
      </w:r>
      <w:r w:rsidR="004E1C7A" w:rsidRPr="00461C16">
        <w:t>1</w:t>
      </w:r>
      <w:r w:rsidR="00034608" w:rsidRPr="00461C16">
        <w:t>2</w:t>
      </w:r>
      <w:r w:rsidR="004E1C7A" w:rsidRPr="00461C16">
        <w:t xml:space="preserve"> </w:t>
      </w:r>
      <w:r w:rsidR="00D829F9" w:rsidRPr="00461C16">
        <w:tab/>
      </w:r>
      <w:r w:rsidR="004E1C7A" w:rsidRPr="00461C16">
        <w:t>Vymezení ploch, ve kterých je rozhodování o změnách v území podmíněno dohodou o parcelaci</w:t>
      </w:r>
      <w:bookmarkEnd w:id="176"/>
      <w:bookmarkEnd w:id="177"/>
      <w:bookmarkEnd w:id="178"/>
    </w:p>
    <w:p w14:paraId="01B060A7" w14:textId="77777777" w:rsidR="004E1C7A" w:rsidRPr="00461C16" w:rsidRDefault="004E1C7A" w:rsidP="007F050A">
      <w:pPr>
        <w:pStyle w:val="1text"/>
        <w:rPr>
          <w:i/>
        </w:rPr>
      </w:pPr>
      <w:r w:rsidRPr="00461C16">
        <w:rPr>
          <w:i/>
        </w:rPr>
        <w:t xml:space="preserve">(k bodu </w:t>
      </w:r>
      <w:r w:rsidR="00034608" w:rsidRPr="00461C16">
        <w:rPr>
          <w:i/>
        </w:rPr>
        <w:t>K</w:t>
      </w:r>
      <w:r w:rsidRPr="00461C16">
        <w:rPr>
          <w:i/>
        </w:rPr>
        <w:t xml:space="preserve">01 </w:t>
      </w:r>
      <w:r w:rsidR="00087670" w:rsidRPr="00461C16">
        <w:rPr>
          <w:i/>
        </w:rPr>
        <w:t>ÚP</w:t>
      </w:r>
      <w:r w:rsidR="005A0AC4" w:rsidRPr="00461C16">
        <w:rPr>
          <w:i/>
        </w:rPr>
        <w:t>)</w:t>
      </w:r>
      <w:r w:rsidRPr="00461C16">
        <w:rPr>
          <w:i/>
        </w:rPr>
        <w:t xml:space="preserve"> </w:t>
      </w:r>
    </w:p>
    <w:p w14:paraId="66789FD6" w14:textId="77777777" w:rsidR="00E2454A" w:rsidRPr="00461C16" w:rsidRDefault="00E2454A" w:rsidP="00E2454A">
      <w:pPr>
        <w:tabs>
          <w:tab w:val="num" w:pos="0"/>
        </w:tabs>
        <w:spacing w:before="120" w:after="120" w:line="240" w:lineRule="auto"/>
      </w:pPr>
      <w:r w:rsidRPr="00461C16">
        <w:rPr>
          <w:rFonts w:cs="Arial"/>
        </w:rPr>
        <w:t xml:space="preserve">Vymezení ploch, v nichž je </w:t>
      </w:r>
      <w:r w:rsidRPr="00461C16">
        <w:t xml:space="preserve">rozhodování o změnách v území podmíněno smlouvou s vlastníky pozemků a staveb, které budou dotčeny navrhovaným záměrem, je stanoveno v § 43 odst. 2 zákona č. 183/2006 Sb., o územním plánování a stavebním řádu, v platném znění. Obsahem musí být souhlas s tímto záměrem a souhlas s rozdělením nákladů a prospěchů spojených s jeho realizací (dále jen „dohoda o parcelaci“). </w:t>
      </w:r>
    </w:p>
    <w:p w14:paraId="3C98C54A" w14:textId="77777777" w:rsidR="004E1C7A" w:rsidRPr="00461C16" w:rsidRDefault="00E2454A" w:rsidP="00E2454A">
      <w:pPr>
        <w:tabs>
          <w:tab w:val="num" w:pos="0"/>
        </w:tabs>
        <w:spacing w:before="120" w:after="120" w:line="240" w:lineRule="auto"/>
        <w:rPr>
          <w:rFonts w:cs="Arial"/>
        </w:rPr>
      </w:pPr>
      <w:r w:rsidRPr="00461C16">
        <w:rPr>
          <w:rFonts w:cs="Arial"/>
        </w:rPr>
        <w:t>Územním plánem nejsou vymezeny plochy, v nichž je rozhodování o změnách v území podmíněno dohodou o parcelaci. Návrhy obsažené v ÚP Hrádek nad Nisou nebyly vyhodnoceny jako natolik složité, že by bylo nutné jejich využití podmínit dohodou o parcelaci.</w:t>
      </w:r>
    </w:p>
    <w:p w14:paraId="4BD56B9E" w14:textId="7FB777BE" w:rsidR="004E1C7A" w:rsidRPr="00461C16" w:rsidRDefault="000C791F" w:rsidP="00D829F9">
      <w:pPr>
        <w:pStyle w:val="Heading2"/>
        <w:ind w:left="851" w:hanging="851"/>
      </w:pPr>
      <w:bookmarkStart w:id="179" w:name="_Toc384728069"/>
      <w:bookmarkStart w:id="180" w:name="_Toc424191841"/>
      <w:bookmarkStart w:id="181" w:name="_Toc36116325"/>
      <w:r w:rsidRPr="00461C16">
        <w:t>6</w:t>
      </w:r>
      <w:r w:rsidR="00BC4E8D" w:rsidRPr="00461C16">
        <w:t>.</w:t>
      </w:r>
      <w:r w:rsidR="004E1C7A" w:rsidRPr="00461C16">
        <w:t>1</w:t>
      </w:r>
      <w:r w:rsidR="00087670" w:rsidRPr="00461C16">
        <w:t>3</w:t>
      </w:r>
      <w:r w:rsidR="004E1C7A" w:rsidRPr="00461C16">
        <w:t xml:space="preserve"> </w:t>
      </w:r>
      <w:r w:rsidR="00D829F9" w:rsidRPr="00461C16">
        <w:tab/>
      </w:r>
      <w:r w:rsidR="004E1C7A" w:rsidRPr="00461C16">
        <w:t>Vymezení ploch a koridorů, ve kterých je rozhodování o změnách v území podmíněno zpracováním územní studie, stanovení podmínek pro její pořízení a přiměřené lhůty pro vložení dat o této studii do evidence územně plánovací činnosti</w:t>
      </w:r>
      <w:bookmarkEnd w:id="179"/>
      <w:bookmarkEnd w:id="180"/>
      <w:bookmarkEnd w:id="181"/>
    </w:p>
    <w:p w14:paraId="558E6E07" w14:textId="77777777" w:rsidR="00E2454A" w:rsidRPr="00461C16" w:rsidRDefault="00E2454A" w:rsidP="00E2454A">
      <w:pPr>
        <w:pStyle w:val="1text"/>
        <w:spacing w:before="240"/>
        <w:rPr>
          <w:i/>
          <w:sz w:val="20"/>
          <w:szCs w:val="20"/>
        </w:rPr>
      </w:pPr>
      <w:bookmarkStart w:id="182" w:name="_Toc384728070"/>
      <w:bookmarkStart w:id="183" w:name="_Toc424191842"/>
      <w:r w:rsidRPr="00461C16">
        <w:rPr>
          <w:i/>
          <w:sz w:val="20"/>
          <w:szCs w:val="20"/>
        </w:rPr>
        <w:t xml:space="preserve">(k bodu L01 ÚP) </w:t>
      </w:r>
    </w:p>
    <w:p w14:paraId="541FF662" w14:textId="77777777" w:rsidR="00E2454A" w:rsidRPr="00461C16" w:rsidRDefault="00E2454A" w:rsidP="00E2454A">
      <w:pPr>
        <w:pStyle w:val="Normlnslovan"/>
        <w:numPr>
          <w:ilvl w:val="0"/>
          <w:numId w:val="0"/>
        </w:numPr>
        <w:spacing w:before="120" w:after="120"/>
        <w:rPr>
          <w:sz w:val="22"/>
          <w:szCs w:val="22"/>
        </w:rPr>
      </w:pPr>
      <w:r w:rsidRPr="00461C16">
        <w:rPr>
          <w:sz w:val="22"/>
          <w:szCs w:val="22"/>
        </w:rPr>
        <w:t>V souladu s § 43 odst. (2) zákona č. 183/2006 Sb., o územním plánování a stavebním řádu, v platném znění, lze v územním plánu vymezit plochu nebo koridor, v němž je rozhodování o změnách v území podmíněno zpracováním územní studie.</w:t>
      </w:r>
    </w:p>
    <w:p w14:paraId="693BE065" w14:textId="77777777" w:rsidR="00E2454A" w:rsidRPr="00461C16" w:rsidRDefault="00E2454A" w:rsidP="00E2454A">
      <w:pPr>
        <w:pStyle w:val="Normlnslovan"/>
        <w:numPr>
          <w:ilvl w:val="0"/>
          <w:numId w:val="0"/>
        </w:numPr>
        <w:spacing w:before="120" w:after="120"/>
        <w:rPr>
          <w:sz w:val="22"/>
          <w:szCs w:val="22"/>
        </w:rPr>
      </w:pPr>
      <w:r w:rsidRPr="00461C16">
        <w:rPr>
          <w:sz w:val="22"/>
          <w:szCs w:val="22"/>
        </w:rPr>
        <w:t xml:space="preserve">V souladu s § 30 zákona č. 182/2006 Sb., v platném znění, územní studie navrhuje, prověřuje a posuzuje možná řešení vybraných problémů, případně úprav nebo rozvoj některých funkčních systémů v území, například veřejné infrastruktury, územního systému ekologické stability, které by mohly významně ovlivňovat nebo podmiňovat využití a uspořádání území nebo jejich vybraných částí. </w:t>
      </w:r>
    </w:p>
    <w:p w14:paraId="391C77E1" w14:textId="77777777" w:rsidR="00E2454A" w:rsidRPr="00461C16" w:rsidRDefault="00E2454A" w:rsidP="00E2454A">
      <w:pPr>
        <w:spacing w:before="120" w:after="120" w:line="240" w:lineRule="auto"/>
        <w:rPr>
          <w:rFonts w:eastAsia="Times New Roman" w:cs="Arial"/>
          <w:lang w:eastAsia="cs-CZ"/>
        </w:rPr>
      </w:pPr>
      <w:r w:rsidRPr="00461C16">
        <w:t>ÚP Hrádek nad Nisou vymezuje plochy, ve kterých je rozhodování v území podmíněno pořízením územní studie, s ohledem na jejich význam z hlediska urbanistické koncepce města, a to z těchto konkrétních důvodů</w:t>
      </w:r>
      <w:r w:rsidRPr="00461C16">
        <w:rPr>
          <w:rFonts w:eastAsia="Times New Roman" w:cs="Arial"/>
          <w:lang w:eastAsia="cs-CZ"/>
        </w:rPr>
        <w:t>:</w:t>
      </w:r>
    </w:p>
    <w:tbl>
      <w:tblPr>
        <w:tblW w:w="494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3"/>
        <w:gridCol w:w="1472"/>
        <w:gridCol w:w="6345"/>
      </w:tblGrid>
      <w:tr w:rsidR="00E2454A" w:rsidRPr="00461C16" w14:paraId="3209A36A" w14:textId="77777777" w:rsidTr="00413CFE">
        <w:trPr>
          <w:cantSplit/>
          <w:tblHeader/>
          <w:jc w:val="right"/>
        </w:trPr>
        <w:tc>
          <w:tcPr>
            <w:tcW w:w="742" w:type="pct"/>
            <w:shd w:val="clear" w:color="auto" w:fill="F2F2F2" w:themeFill="background1" w:themeFillShade="F2"/>
          </w:tcPr>
          <w:p w14:paraId="142FCFE1" w14:textId="77777777" w:rsidR="00E2454A" w:rsidRPr="00461C16" w:rsidRDefault="00E2454A" w:rsidP="00413CFE">
            <w:pPr>
              <w:pStyle w:val="dtabulka"/>
              <w:spacing w:before="40" w:after="40"/>
              <w:rPr>
                <w:b/>
              </w:rPr>
            </w:pPr>
            <w:r w:rsidRPr="00461C16">
              <w:rPr>
                <w:b/>
              </w:rPr>
              <w:t>Kód plochy s podmínkou pořízení ÚS</w:t>
            </w:r>
          </w:p>
        </w:tc>
        <w:tc>
          <w:tcPr>
            <w:tcW w:w="802" w:type="pct"/>
            <w:shd w:val="clear" w:color="auto" w:fill="F2F2F2" w:themeFill="background1" w:themeFillShade="F2"/>
          </w:tcPr>
          <w:p w14:paraId="094695C0" w14:textId="77777777" w:rsidR="00E2454A" w:rsidRPr="00461C16" w:rsidRDefault="00E2454A" w:rsidP="00413CFE">
            <w:pPr>
              <w:pStyle w:val="dtabulka"/>
              <w:spacing w:before="40" w:after="40"/>
              <w:rPr>
                <w:b/>
              </w:rPr>
            </w:pPr>
            <w:r w:rsidRPr="00461C16">
              <w:rPr>
                <w:b/>
              </w:rPr>
              <w:t>Plochy změn dotčené podmínkou pořízení ÚS</w:t>
            </w:r>
          </w:p>
        </w:tc>
        <w:tc>
          <w:tcPr>
            <w:tcW w:w="3456" w:type="pct"/>
            <w:shd w:val="clear" w:color="auto" w:fill="F2F2F2" w:themeFill="background1" w:themeFillShade="F2"/>
          </w:tcPr>
          <w:p w14:paraId="73EBA443" w14:textId="77777777" w:rsidR="00E2454A" w:rsidRPr="00461C16" w:rsidRDefault="00E2454A" w:rsidP="00413CFE">
            <w:pPr>
              <w:pStyle w:val="dtabulka"/>
              <w:spacing w:before="40" w:after="40"/>
              <w:rPr>
                <w:b/>
              </w:rPr>
            </w:pPr>
            <w:r w:rsidRPr="00461C16">
              <w:rPr>
                <w:b/>
              </w:rPr>
              <w:t>Odůvodnění stanovení podmínky pořízení ÚS</w:t>
            </w:r>
          </w:p>
        </w:tc>
      </w:tr>
      <w:tr w:rsidR="002627EE" w:rsidRPr="00461C16" w14:paraId="26AF5A2A" w14:textId="77777777" w:rsidTr="00413CFE">
        <w:trPr>
          <w:cantSplit/>
          <w:jc w:val="right"/>
        </w:trPr>
        <w:tc>
          <w:tcPr>
            <w:tcW w:w="742" w:type="pct"/>
            <w:shd w:val="clear" w:color="auto" w:fill="auto"/>
          </w:tcPr>
          <w:p w14:paraId="36CEE3C3" w14:textId="77777777" w:rsidR="002627EE" w:rsidRPr="00461C16" w:rsidRDefault="002627EE" w:rsidP="00330E05">
            <w:pPr>
              <w:pStyle w:val="dtabulka"/>
              <w:spacing w:before="40" w:after="40"/>
              <w:rPr>
                <w:rFonts w:eastAsia="Arial Unicode MS"/>
              </w:rPr>
            </w:pPr>
            <w:r w:rsidRPr="00461C16">
              <w:rPr>
                <w:rFonts w:eastAsia="Arial Unicode MS"/>
              </w:rPr>
              <w:t>US-01</w:t>
            </w:r>
          </w:p>
        </w:tc>
        <w:tc>
          <w:tcPr>
            <w:tcW w:w="802" w:type="pct"/>
          </w:tcPr>
          <w:p w14:paraId="3A0489E8" w14:textId="77777777" w:rsidR="002627EE" w:rsidRPr="00461C16" w:rsidRDefault="002627EE" w:rsidP="00495732">
            <w:pPr>
              <w:spacing w:before="40" w:after="40"/>
              <w:jc w:val="left"/>
              <w:rPr>
                <w:color w:val="000000"/>
                <w:sz w:val="20"/>
                <w:szCs w:val="20"/>
              </w:rPr>
            </w:pPr>
            <w:r w:rsidRPr="00461C16">
              <w:rPr>
                <w:color w:val="000000"/>
                <w:sz w:val="20"/>
                <w:szCs w:val="20"/>
              </w:rPr>
              <w:t xml:space="preserve">Z32, </w:t>
            </w:r>
          </w:p>
        </w:tc>
        <w:tc>
          <w:tcPr>
            <w:tcW w:w="3456" w:type="pct"/>
          </w:tcPr>
          <w:p w14:paraId="5B2B497E" w14:textId="77777777" w:rsidR="002627EE" w:rsidRPr="00461C16" w:rsidRDefault="00C16521" w:rsidP="007A35B7">
            <w:pPr>
              <w:spacing w:before="40" w:after="40"/>
              <w:jc w:val="left"/>
              <w:rPr>
                <w:color w:val="000000"/>
                <w:sz w:val="20"/>
                <w:szCs w:val="20"/>
              </w:rPr>
            </w:pPr>
            <w:r w:rsidRPr="00461C16">
              <w:rPr>
                <w:color w:val="000000"/>
                <w:sz w:val="20"/>
                <w:szCs w:val="20"/>
              </w:rPr>
              <w:t xml:space="preserve">Plocha umožňuje rozvoj stávajícího rekreačního areálu Kristýna. </w:t>
            </w:r>
            <w:r w:rsidR="002627EE" w:rsidRPr="00461C16">
              <w:rPr>
                <w:color w:val="000000"/>
                <w:sz w:val="20"/>
                <w:szCs w:val="20"/>
              </w:rPr>
              <w:t xml:space="preserve">Důvodem pro stanovení podmínky pořízení ÚS je </w:t>
            </w:r>
            <w:r w:rsidRPr="00461C16">
              <w:rPr>
                <w:color w:val="000000"/>
                <w:sz w:val="20"/>
                <w:szCs w:val="20"/>
              </w:rPr>
              <w:t>zejména rozloha tohoto území (</w:t>
            </w:r>
            <w:r w:rsidR="007A35B7">
              <w:rPr>
                <w:color w:val="000000"/>
                <w:sz w:val="20"/>
                <w:szCs w:val="20"/>
              </w:rPr>
              <w:t>13,211</w:t>
            </w:r>
            <w:r w:rsidRPr="00461C16">
              <w:rPr>
                <w:color w:val="000000"/>
                <w:sz w:val="20"/>
                <w:szCs w:val="20"/>
              </w:rPr>
              <w:t> ha), nadmístní význam areálu a izolovaná poloha v krajině -</w:t>
            </w:r>
            <w:r w:rsidR="002627EE" w:rsidRPr="00461C16">
              <w:rPr>
                <w:color w:val="000000"/>
                <w:sz w:val="20"/>
                <w:szCs w:val="20"/>
              </w:rPr>
              <w:t xml:space="preserve"> tedy potřeba harmonického začlenění </w:t>
            </w:r>
            <w:r w:rsidRPr="00461C16">
              <w:rPr>
                <w:color w:val="000000"/>
                <w:sz w:val="20"/>
                <w:szCs w:val="20"/>
              </w:rPr>
              <w:t>rekreačního zařízení</w:t>
            </w:r>
            <w:r w:rsidR="002627EE" w:rsidRPr="00461C16">
              <w:rPr>
                <w:color w:val="000000"/>
                <w:sz w:val="20"/>
                <w:szCs w:val="20"/>
              </w:rPr>
              <w:t xml:space="preserve"> do </w:t>
            </w:r>
            <w:r w:rsidRPr="00461C16">
              <w:rPr>
                <w:color w:val="000000"/>
                <w:sz w:val="20"/>
                <w:szCs w:val="20"/>
              </w:rPr>
              <w:t>okolní krajiny při respektování jejích</w:t>
            </w:r>
            <w:r w:rsidR="002627EE" w:rsidRPr="00461C16">
              <w:rPr>
                <w:color w:val="000000"/>
                <w:sz w:val="20"/>
                <w:szCs w:val="20"/>
              </w:rPr>
              <w:t xml:space="preserve"> hodnot. </w:t>
            </w:r>
          </w:p>
        </w:tc>
      </w:tr>
      <w:tr w:rsidR="004007B3" w:rsidRPr="00461C16" w14:paraId="26C61AB4" w14:textId="77777777" w:rsidTr="00413CFE">
        <w:trPr>
          <w:cantSplit/>
          <w:jc w:val="right"/>
        </w:trPr>
        <w:tc>
          <w:tcPr>
            <w:tcW w:w="742" w:type="pct"/>
            <w:shd w:val="clear" w:color="auto" w:fill="auto"/>
          </w:tcPr>
          <w:p w14:paraId="3022CC9C" w14:textId="77777777" w:rsidR="004007B3" w:rsidRPr="00461C16" w:rsidRDefault="004007B3" w:rsidP="00330E05">
            <w:pPr>
              <w:pStyle w:val="dtabulka"/>
              <w:spacing w:before="40" w:after="40"/>
              <w:rPr>
                <w:rFonts w:eastAsia="Arial Unicode MS"/>
              </w:rPr>
            </w:pPr>
            <w:r w:rsidRPr="00461C16">
              <w:rPr>
                <w:rFonts w:eastAsia="Arial Unicode MS"/>
              </w:rPr>
              <w:t>US-03</w:t>
            </w:r>
          </w:p>
        </w:tc>
        <w:tc>
          <w:tcPr>
            <w:tcW w:w="802" w:type="pct"/>
          </w:tcPr>
          <w:p w14:paraId="42103DDC" w14:textId="77777777" w:rsidR="004007B3" w:rsidRPr="00461C16" w:rsidRDefault="004007B3" w:rsidP="00330E05">
            <w:pPr>
              <w:spacing w:before="40" w:after="40"/>
              <w:jc w:val="left"/>
              <w:rPr>
                <w:color w:val="000000"/>
                <w:sz w:val="20"/>
                <w:szCs w:val="20"/>
              </w:rPr>
            </w:pPr>
            <w:r w:rsidRPr="00461C16">
              <w:rPr>
                <w:color w:val="000000"/>
                <w:sz w:val="20"/>
                <w:szCs w:val="20"/>
              </w:rPr>
              <w:t>Z37</w:t>
            </w:r>
          </w:p>
        </w:tc>
        <w:tc>
          <w:tcPr>
            <w:tcW w:w="3456" w:type="pct"/>
          </w:tcPr>
          <w:p w14:paraId="0421FBD0" w14:textId="77777777" w:rsidR="004007B3" w:rsidRPr="00461C16" w:rsidRDefault="004007B3" w:rsidP="004007B3">
            <w:pPr>
              <w:spacing w:before="40" w:after="40"/>
              <w:jc w:val="left"/>
              <w:rPr>
                <w:color w:val="000000"/>
                <w:sz w:val="20"/>
                <w:szCs w:val="20"/>
              </w:rPr>
            </w:pPr>
            <w:r w:rsidRPr="00461C16">
              <w:rPr>
                <w:color w:val="000000"/>
                <w:sz w:val="20"/>
                <w:szCs w:val="20"/>
              </w:rPr>
              <w:t>Plocha umožňuje rozvoj průmyslové zóny podél obchvatu města na silnici I/35. Důvodem pro stanovení podmínky pořízení ÚS je zejména rozloha tohoto území (8,168 ha), strategická poloha na mezinárodním dopravním tahu, potřeba harmonického hmotového začlenění zástavby do okolní krajiny a nutnost zajištění ochrany navazující obytné zástavby sídla Oldřichov na Hranicích.</w:t>
            </w:r>
          </w:p>
        </w:tc>
      </w:tr>
      <w:tr w:rsidR="007B24EC" w:rsidRPr="00461C16" w14:paraId="0E19F84D" w14:textId="77777777" w:rsidTr="00413CFE">
        <w:trPr>
          <w:cantSplit/>
          <w:jc w:val="right"/>
        </w:trPr>
        <w:tc>
          <w:tcPr>
            <w:tcW w:w="742" w:type="pct"/>
            <w:shd w:val="clear" w:color="auto" w:fill="auto"/>
          </w:tcPr>
          <w:p w14:paraId="18FB3174" w14:textId="77777777" w:rsidR="007B24EC" w:rsidRPr="00461C16" w:rsidRDefault="007B24EC" w:rsidP="00330E05">
            <w:pPr>
              <w:pStyle w:val="dtabulka"/>
              <w:spacing w:before="40" w:after="40"/>
              <w:rPr>
                <w:rFonts w:eastAsia="Arial Unicode MS"/>
              </w:rPr>
            </w:pPr>
            <w:r w:rsidRPr="00461C16">
              <w:rPr>
                <w:rFonts w:eastAsia="Arial Unicode MS"/>
              </w:rPr>
              <w:t>US-04</w:t>
            </w:r>
          </w:p>
        </w:tc>
        <w:tc>
          <w:tcPr>
            <w:tcW w:w="802" w:type="pct"/>
          </w:tcPr>
          <w:p w14:paraId="77A4DC3F" w14:textId="77777777" w:rsidR="007B24EC" w:rsidRPr="00461C16" w:rsidRDefault="007B24EC" w:rsidP="00330E05">
            <w:pPr>
              <w:spacing w:before="40" w:after="40"/>
              <w:jc w:val="left"/>
              <w:rPr>
                <w:color w:val="000000"/>
                <w:sz w:val="20"/>
                <w:szCs w:val="20"/>
              </w:rPr>
            </w:pPr>
            <w:r w:rsidRPr="00461C16">
              <w:rPr>
                <w:color w:val="000000"/>
                <w:sz w:val="20"/>
                <w:szCs w:val="20"/>
              </w:rPr>
              <w:t>Z41</w:t>
            </w:r>
          </w:p>
        </w:tc>
        <w:tc>
          <w:tcPr>
            <w:tcW w:w="3456" w:type="pct"/>
          </w:tcPr>
          <w:p w14:paraId="0AA24411" w14:textId="77777777" w:rsidR="007B24EC" w:rsidRPr="00461C16" w:rsidRDefault="007B24EC" w:rsidP="0004232B">
            <w:pPr>
              <w:spacing w:before="40" w:after="40"/>
              <w:jc w:val="left"/>
              <w:rPr>
                <w:color w:val="000000"/>
                <w:sz w:val="20"/>
                <w:szCs w:val="20"/>
              </w:rPr>
            </w:pPr>
            <w:r w:rsidRPr="00461C16">
              <w:rPr>
                <w:color w:val="000000"/>
                <w:sz w:val="20"/>
                <w:szCs w:val="20"/>
              </w:rPr>
              <w:t xml:space="preserve">Plocha umožňuje rozvoj průmyslové zóny podél obchvatu města na silnici I/35. Důvodem pro </w:t>
            </w:r>
            <w:r w:rsidRPr="0004232B">
              <w:rPr>
                <w:color w:val="000000"/>
                <w:sz w:val="20"/>
                <w:szCs w:val="20"/>
              </w:rPr>
              <w:t>stanovení podmínky pořízení ÚS je zejména rozloha tohoto území (</w:t>
            </w:r>
            <w:r w:rsidR="0004232B" w:rsidRPr="0004232B">
              <w:rPr>
                <w:color w:val="000000"/>
                <w:sz w:val="20"/>
                <w:szCs w:val="20"/>
              </w:rPr>
              <w:t>10,571</w:t>
            </w:r>
            <w:r w:rsidRPr="0004232B">
              <w:rPr>
                <w:color w:val="000000"/>
                <w:sz w:val="20"/>
                <w:szCs w:val="20"/>
              </w:rPr>
              <w:t> ha), strategická</w:t>
            </w:r>
            <w:r w:rsidRPr="00461C16">
              <w:rPr>
                <w:color w:val="000000"/>
                <w:sz w:val="20"/>
                <w:szCs w:val="20"/>
              </w:rPr>
              <w:t xml:space="preserve"> poloha na mezinárodním dopravním tahu a potřeba harmonického hmotového začlenění zástavby do okolní krajiny.</w:t>
            </w:r>
          </w:p>
        </w:tc>
      </w:tr>
      <w:tr w:rsidR="002627EE" w:rsidRPr="00461C16" w14:paraId="1FE093EB" w14:textId="77777777" w:rsidTr="00413CFE">
        <w:trPr>
          <w:cantSplit/>
          <w:jc w:val="right"/>
        </w:trPr>
        <w:tc>
          <w:tcPr>
            <w:tcW w:w="742" w:type="pct"/>
            <w:shd w:val="clear" w:color="auto" w:fill="auto"/>
          </w:tcPr>
          <w:p w14:paraId="15575753" w14:textId="77777777" w:rsidR="002627EE" w:rsidRPr="00461C16" w:rsidRDefault="002627EE" w:rsidP="00330E05">
            <w:pPr>
              <w:pStyle w:val="dtabulka"/>
              <w:spacing w:before="40" w:after="40"/>
              <w:rPr>
                <w:rFonts w:eastAsia="Arial Unicode MS"/>
              </w:rPr>
            </w:pPr>
            <w:r w:rsidRPr="00461C16">
              <w:rPr>
                <w:rFonts w:eastAsia="Arial Unicode MS"/>
              </w:rPr>
              <w:t>US-05</w:t>
            </w:r>
          </w:p>
        </w:tc>
        <w:tc>
          <w:tcPr>
            <w:tcW w:w="802" w:type="pct"/>
          </w:tcPr>
          <w:p w14:paraId="52BDCB37" w14:textId="77777777" w:rsidR="002627EE" w:rsidRPr="00461C16" w:rsidRDefault="002627EE" w:rsidP="00330E05">
            <w:pPr>
              <w:spacing w:before="40" w:after="40"/>
              <w:jc w:val="left"/>
              <w:rPr>
                <w:color w:val="000000"/>
                <w:sz w:val="20"/>
                <w:szCs w:val="20"/>
              </w:rPr>
            </w:pPr>
            <w:r w:rsidRPr="00461C16">
              <w:rPr>
                <w:color w:val="000000"/>
                <w:sz w:val="20"/>
                <w:szCs w:val="20"/>
              </w:rPr>
              <w:t>Z46</w:t>
            </w:r>
          </w:p>
        </w:tc>
        <w:tc>
          <w:tcPr>
            <w:tcW w:w="3456" w:type="pct"/>
          </w:tcPr>
          <w:p w14:paraId="5629E26F" w14:textId="77777777" w:rsidR="002627EE" w:rsidRPr="00461C16" w:rsidRDefault="00CF19F2" w:rsidP="00CF19F2">
            <w:pPr>
              <w:spacing w:before="40" w:after="40"/>
              <w:jc w:val="left"/>
              <w:rPr>
                <w:color w:val="000000"/>
                <w:sz w:val="20"/>
                <w:szCs w:val="20"/>
              </w:rPr>
            </w:pPr>
            <w:r w:rsidRPr="00461C16">
              <w:rPr>
                <w:color w:val="000000"/>
                <w:sz w:val="20"/>
                <w:szCs w:val="20"/>
              </w:rPr>
              <w:t xml:space="preserve">Plocha je součástí </w:t>
            </w:r>
            <w:r w:rsidR="002627EE" w:rsidRPr="00461C16">
              <w:rPr>
                <w:color w:val="000000"/>
                <w:sz w:val="20"/>
                <w:szCs w:val="20"/>
              </w:rPr>
              <w:t xml:space="preserve">rozsáhlého rozvojového území </w:t>
            </w:r>
            <w:r w:rsidRPr="00461C16">
              <w:rPr>
                <w:color w:val="000000"/>
                <w:sz w:val="20"/>
                <w:szCs w:val="20"/>
              </w:rPr>
              <w:t>v lokalitě Zlatá Výšina</w:t>
            </w:r>
            <w:r w:rsidR="002627EE" w:rsidRPr="00461C16">
              <w:rPr>
                <w:color w:val="000000"/>
                <w:sz w:val="20"/>
                <w:szCs w:val="20"/>
              </w:rPr>
              <w:t>. Důvodem pro stanovení podmínky pořízení ÚS je zejména rozloha tohoto území (</w:t>
            </w:r>
            <w:r w:rsidRPr="00461C16">
              <w:rPr>
                <w:color w:val="000000"/>
                <w:sz w:val="20"/>
                <w:szCs w:val="20"/>
              </w:rPr>
              <w:t>2,085</w:t>
            </w:r>
            <w:r w:rsidR="002627EE" w:rsidRPr="00461C16">
              <w:rPr>
                <w:color w:val="000000"/>
                <w:sz w:val="20"/>
                <w:szCs w:val="20"/>
              </w:rPr>
              <w:t xml:space="preserve"> ha), potřeba zajištění harmonického přechodu do </w:t>
            </w:r>
            <w:r w:rsidRPr="00461C16">
              <w:rPr>
                <w:color w:val="000000"/>
                <w:sz w:val="20"/>
                <w:szCs w:val="20"/>
              </w:rPr>
              <w:t xml:space="preserve">stávající obytné </w:t>
            </w:r>
            <w:r w:rsidR="002627EE" w:rsidRPr="00461C16">
              <w:rPr>
                <w:color w:val="000000"/>
                <w:sz w:val="20"/>
                <w:szCs w:val="20"/>
              </w:rPr>
              <w:t>zástavby a nutnost zajištění dopravního propojení v </w:t>
            </w:r>
            <w:r w:rsidRPr="00461C16">
              <w:rPr>
                <w:color w:val="000000"/>
                <w:sz w:val="20"/>
                <w:szCs w:val="20"/>
              </w:rPr>
              <w:t>západovýchodním</w:t>
            </w:r>
            <w:r w:rsidR="002627EE" w:rsidRPr="00461C16">
              <w:rPr>
                <w:color w:val="000000"/>
                <w:sz w:val="20"/>
                <w:szCs w:val="20"/>
              </w:rPr>
              <w:t xml:space="preserve"> směru. </w:t>
            </w:r>
          </w:p>
        </w:tc>
      </w:tr>
      <w:tr w:rsidR="00CF19F2" w:rsidRPr="00461C16" w14:paraId="06808FEC" w14:textId="77777777" w:rsidTr="00413CFE">
        <w:trPr>
          <w:cantSplit/>
          <w:jc w:val="right"/>
        </w:trPr>
        <w:tc>
          <w:tcPr>
            <w:tcW w:w="742" w:type="pct"/>
            <w:shd w:val="clear" w:color="auto" w:fill="auto"/>
          </w:tcPr>
          <w:p w14:paraId="05975ED0" w14:textId="77777777" w:rsidR="00CF19F2" w:rsidRPr="00461C16" w:rsidRDefault="00CF19F2" w:rsidP="00330E05">
            <w:pPr>
              <w:pStyle w:val="dtabulka"/>
              <w:spacing w:before="40" w:after="40"/>
              <w:rPr>
                <w:rFonts w:eastAsia="Arial Unicode MS"/>
              </w:rPr>
            </w:pPr>
            <w:r w:rsidRPr="00461C16">
              <w:rPr>
                <w:rFonts w:eastAsia="Arial Unicode MS"/>
              </w:rPr>
              <w:lastRenderedPageBreak/>
              <w:t>US-06</w:t>
            </w:r>
          </w:p>
        </w:tc>
        <w:tc>
          <w:tcPr>
            <w:tcW w:w="802" w:type="pct"/>
          </w:tcPr>
          <w:p w14:paraId="1B1D0D22" w14:textId="77777777" w:rsidR="00CF19F2" w:rsidRPr="00461C16" w:rsidRDefault="00CF19F2" w:rsidP="00330E05">
            <w:pPr>
              <w:spacing w:before="40" w:after="40"/>
              <w:jc w:val="left"/>
              <w:rPr>
                <w:color w:val="000000"/>
                <w:sz w:val="20"/>
                <w:szCs w:val="20"/>
              </w:rPr>
            </w:pPr>
            <w:r w:rsidRPr="00461C16">
              <w:rPr>
                <w:color w:val="000000"/>
                <w:sz w:val="20"/>
                <w:szCs w:val="20"/>
              </w:rPr>
              <w:t>P27, Z54, Z55</w:t>
            </w:r>
          </w:p>
        </w:tc>
        <w:tc>
          <w:tcPr>
            <w:tcW w:w="3456" w:type="pct"/>
          </w:tcPr>
          <w:p w14:paraId="448D9456" w14:textId="77777777" w:rsidR="00CF19F2" w:rsidRPr="00461C16" w:rsidRDefault="00CF19F2" w:rsidP="00AD22F9">
            <w:pPr>
              <w:spacing w:before="40" w:after="40"/>
              <w:jc w:val="left"/>
              <w:rPr>
                <w:color w:val="000000"/>
                <w:sz w:val="20"/>
                <w:szCs w:val="20"/>
              </w:rPr>
            </w:pPr>
            <w:r w:rsidRPr="00461C16">
              <w:rPr>
                <w:color w:val="000000"/>
                <w:sz w:val="20"/>
                <w:szCs w:val="20"/>
              </w:rPr>
              <w:t>Plocha doplňuje zástavbu na jihovýchodním okraji části Hrádek nad Nisou, z části v proluce. Důvodem pro stanovení podmínky pořízení ÚS je zejména rozloha tohoto území (3,</w:t>
            </w:r>
            <w:r w:rsidR="00AD22F9">
              <w:rPr>
                <w:color w:val="000000"/>
                <w:sz w:val="20"/>
                <w:szCs w:val="20"/>
              </w:rPr>
              <w:t>173</w:t>
            </w:r>
            <w:r w:rsidR="00AD22F9" w:rsidRPr="00461C16">
              <w:rPr>
                <w:color w:val="000000"/>
                <w:sz w:val="20"/>
                <w:szCs w:val="20"/>
              </w:rPr>
              <w:t> </w:t>
            </w:r>
            <w:r w:rsidRPr="00461C16">
              <w:rPr>
                <w:color w:val="000000"/>
                <w:sz w:val="20"/>
                <w:szCs w:val="20"/>
              </w:rPr>
              <w:t xml:space="preserve">ha) a exponovaná poloha ve svahu podél ul. V Rokli, tedy nutnost harmonického hmotového uspořádání zástavby. </w:t>
            </w:r>
          </w:p>
        </w:tc>
      </w:tr>
      <w:tr w:rsidR="00CF19F2" w:rsidRPr="00461C16" w14:paraId="68B3B6E7" w14:textId="77777777" w:rsidTr="00413CFE">
        <w:trPr>
          <w:cantSplit/>
          <w:jc w:val="right"/>
        </w:trPr>
        <w:tc>
          <w:tcPr>
            <w:tcW w:w="742" w:type="pct"/>
            <w:shd w:val="clear" w:color="auto" w:fill="auto"/>
          </w:tcPr>
          <w:p w14:paraId="0D1DFAB3" w14:textId="77777777" w:rsidR="00CF19F2" w:rsidRPr="00461C16" w:rsidRDefault="00CF19F2" w:rsidP="00330E05">
            <w:pPr>
              <w:pStyle w:val="dtabulka"/>
              <w:spacing w:before="40" w:after="40"/>
              <w:rPr>
                <w:rFonts w:eastAsia="Arial Unicode MS"/>
              </w:rPr>
            </w:pPr>
            <w:r w:rsidRPr="00461C16">
              <w:rPr>
                <w:rFonts w:eastAsia="Arial Unicode MS"/>
              </w:rPr>
              <w:t>US-07</w:t>
            </w:r>
          </w:p>
        </w:tc>
        <w:tc>
          <w:tcPr>
            <w:tcW w:w="802" w:type="pct"/>
          </w:tcPr>
          <w:p w14:paraId="52274DB6" w14:textId="77777777" w:rsidR="00CF19F2" w:rsidRPr="00461C16" w:rsidRDefault="00CF19F2" w:rsidP="00330E05">
            <w:pPr>
              <w:spacing w:before="40" w:after="40"/>
              <w:jc w:val="left"/>
              <w:rPr>
                <w:color w:val="000000"/>
                <w:sz w:val="20"/>
                <w:szCs w:val="20"/>
              </w:rPr>
            </w:pPr>
            <w:r w:rsidRPr="00461C16">
              <w:rPr>
                <w:color w:val="000000"/>
                <w:sz w:val="20"/>
                <w:szCs w:val="20"/>
              </w:rPr>
              <w:t>P28</w:t>
            </w:r>
          </w:p>
        </w:tc>
        <w:tc>
          <w:tcPr>
            <w:tcW w:w="3456" w:type="pct"/>
          </w:tcPr>
          <w:p w14:paraId="48DD3128" w14:textId="77777777" w:rsidR="00CF19F2" w:rsidRPr="00461C16" w:rsidRDefault="007468C5" w:rsidP="007468C5">
            <w:pPr>
              <w:spacing w:before="40" w:after="40"/>
              <w:jc w:val="left"/>
              <w:rPr>
                <w:color w:val="000000"/>
                <w:sz w:val="20"/>
                <w:szCs w:val="20"/>
              </w:rPr>
            </w:pPr>
            <w:r w:rsidRPr="00461C16">
              <w:rPr>
                <w:color w:val="000000"/>
                <w:sz w:val="20"/>
                <w:szCs w:val="20"/>
              </w:rPr>
              <w:t>Plocha umožňuje přestavbu stávajícího výrobního areálu (z větší části brownfield) a umístění nerušivých městotvorných funkcí. Důvodem pro stanovení podmínky pořízení ÚS je zejména rozloha tohoto území (4,042 ha), poloha ve vnitřní části města poblíž historického jádra a potřeba zajištění harmonické integrace do navazující stabilizované zástavby.</w:t>
            </w:r>
          </w:p>
        </w:tc>
      </w:tr>
      <w:tr w:rsidR="00583AEF" w:rsidRPr="00461C16" w14:paraId="34EC669A" w14:textId="77777777" w:rsidTr="00413CFE">
        <w:trPr>
          <w:cantSplit/>
          <w:jc w:val="right"/>
        </w:trPr>
        <w:tc>
          <w:tcPr>
            <w:tcW w:w="742" w:type="pct"/>
            <w:shd w:val="clear" w:color="auto" w:fill="auto"/>
          </w:tcPr>
          <w:p w14:paraId="517CA0EC" w14:textId="77777777" w:rsidR="00583AEF" w:rsidRPr="00461C16" w:rsidRDefault="00583AEF" w:rsidP="00330E05">
            <w:pPr>
              <w:pStyle w:val="dtabulka"/>
              <w:spacing w:before="40" w:after="40"/>
              <w:rPr>
                <w:rFonts w:eastAsia="Arial Unicode MS"/>
              </w:rPr>
            </w:pPr>
            <w:r w:rsidRPr="00461C16">
              <w:rPr>
                <w:rFonts w:eastAsia="Arial Unicode MS"/>
              </w:rPr>
              <w:t>US-09</w:t>
            </w:r>
          </w:p>
        </w:tc>
        <w:tc>
          <w:tcPr>
            <w:tcW w:w="802" w:type="pct"/>
          </w:tcPr>
          <w:p w14:paraId="353651E1" w14:textId="77777777" w:rsidR="00583AEF" w:rsidRPr="00461C16" w:rsidRDefault="00583AEF" w:rsidP="00330E05">
            <w:pPr>
              <w:spacing w:before="40" w:after="40"/>
              <w:jc w:val="left"/>
              <w:rPr>
                <w:color w:val="000000"/>
                <w:sz w:val="20"/>
                <w:szCs w:val="20"/>
              </w:rPr>
            </w:pPr>
            <w:r w:rsidRPr="00461C16">
              <w:rPr>
                <w:color w:val="000000"/>
                <w:sz w:val="20"/>
                <w:szCs w:val="20"/>
              </w:rPr>
              <w:t>Z66, P30</w:t>
            </w:r>
          </w:p>
        </w:tc>
        <w:tc>
          <w:tcPr>
            <w:tcW w:w="3456" w:type="pct"/>
          </w:tcPr>
          <w:p w14:paraId="7FEFFDE6" w14:textId="77777777" w:rsidR="00583AEF" w:rsidRPr="00461C16" w:rsidRDefault="00583AEF" w:rsidP="0004232B">
            <w:pPr>
              <w:spacing w:before="40" w:after="40"/>
              <w:jc w:val="left"/>
              <w:rPr>
                <w:color w:val="000000"/>
                <w:sz w:val="20"/>
                <w:szCs w:val="20"/>
              </w:rPr>
            </w:pPr>
            <w:r w:rsidRPr="00461C16">
              <w:rPr>
                <w:color w:val="000000"/>
                <w:sz w:val="20"/>
                <w:szCs w:val="20"/>
              </w:rPr>
              <w:t xml:space="preserve">Plocha doplňuje zástavbu v proluce na jihozápadním okraji části Donín. Důvodem pro stanovení podmínky pořízení ÚS je </w:t>
            </w:r>
            <w:r w:rsidRPr="0004232B">
              <w:rPr>
                <w:color w:val="000000"/>
                <w:sz w:val="20"/>
                <w:szCs w:val="20"/>
              </w:rPr>
              <w:t>zejména rozloha tohoto území (</w:t>
            </w:r>
            <w:r w:rsidR="0004232B">
              <w:rPr>
                <w:color w:val="000000"/>
                <w:sz w:val="20"/>
                <w:szCs w:val="20"/>
              </w:rPr>
              <w:t>1,312</w:t>
            </w:r>
            <w:r w:rsidRPr="0004232B">
              <w:rPr>
                <w:color w:val="000000"/>
                <w:sz w:val="20"/>
                <w:szCs w:val="20"/>
              </w:rPr>
              <w:t> ha),</w:t>
            </w:r>
            <w:r w:rsidRPr="00461C16">
              <w:rPr>
                <w:color w:val="000000"/>
                <w:sz w:val="20"/>
                <w:szCs w:val="20"/>
              </w:rPr>
              <w:t xml:space="preserve"> exponovaná poloha při pohledech z jihu a potřeba zajištění harmonického přechodu do navazující zástavby a volné krajiny.</w:t>
            </w:r>
          </w:p>
        </w:tc>
      </w:tr>
      <w:tr w:rsidR="004E0B7A" w:rsidRPr="00461C16" w14:paraId="21CB4A24" w14:textId="77777777" w:rsidTr="00413CFE">
        <w:trPr>
          <w:cantSplit/>
          <w:jc w:val="right"/>
        </w:trPr>
        <w:tc>
          <w:tcPr>
            <w:tcW w:w="742" w:type="pct"/>
            <w:shd w:val="clear" w:color="auto" w:fill="auto"/>
          </w:tcPr>
          <w:p w14:paraId="6C28FA22" w14:textId="77777777" w:rsidR="004E0B7A" w:rsidRPr="00461C16" w:rsidRDefault="004E0B7A" w:rsidP="00330E05">
            <w:pPr>
              <w:pStyle w:val="dtabulka"/>
              <w:spacing w:before="40" w:after="40"/>
              <w:rPr>
                <w:rFonts w:eastAsia="Arial Unicode MS"/>
              </w:rPr>
            </w:pPr>
            <w:r w:rsidRPr="00461C16">
              <w:rPr>
                <w:rFonts w:eastAsia="Arial Unicode MS"/>
              </w:rPr>
              <w:t>US-10</w:t>
            </w:r>
          </w:p>
        </w:tc>
        <w:tc>
          <w:tcPr>
            <w:tcW w:w="802" w:type="pct"/>
          </w:tcPr>
          <w:p w14:paraId="7B10E289" w14:textId="77777777" w:rsidR="004E0B7A" w:rsidRPr="00461C16" w:rsidRDefault="004E0B7A" w:rsidP="00330E05">
            <w:pPr>
              <w:spacing w:before="40" w:after="40"/>
              <w:jc w:val="left"/>
              <w:rPr>
                <w:color w:val="000000"/>
                <w:sz w:val="20"/>
                <w:szCs w:val="20"/>
              </w:rPr>
            </w:pPr>
            <w:r w:rsidRPr="00461C16">
              <w:rPr>
                <w:color w:val="000000"/>
                <w:sz w:val="20"/>
                <w:szCs w:val="20"/>
              </w:rPr>
              <w:t>Z60, Z61</w:t>
            </w:r>
          </w:p>
        </w:tc>
        <w:tc>
          <w:tcPr>
            <w:tcW w:w="3456" w:type="pct"/>
          </w:tcPr>
          <w:p w14:paraId="51CF8918" w14:textId="77777777" w:rsidR="004E0B7A" w:rsidRPr="00461C16" w:rsidRDefault="004E0B7A" w:rsidP="007A7436">
            <w:pPr>
              <w:spacing w:before="40" w:after="40"/>
              <w:jc w:val="left"/>
              <w:rPr>
                <w:color w:val="000000"/>
                <w:sz w:val="20"/>
                <w:szCs w:val="20"/>
              </w:rPr>
            </w:pPr>
            <w:r w:rsidRPr="00461C16">
              <w:rPr>
                <w:color w:val="000000"/>
                <w:sz w:val="20"/>
                <w:szCs w:val="20"/>
              </w:rPr>
              <w:t>Plocha doplňuje zástavbu v proluce na jižním okraji části Loučná. Důvodem pro stanovení podmínky pořízení ÚS je zejména rozloha tohoto území (2,732 ha)</w:t>
            </w:r>
            <w:r w:rsidR="007A7436" w:rsidRPr="00461C16">
              <w:rPr>
                <w:color w:val="000000"/>
                <w:sz w:val="20"/>
                <w:szCs w:val="20"/>
              </w:rPr>
              <w:t xml:space="preserve"> </w:t>
            </w:r>
            <w:r w:rsidRPr="00461C16">
              <w:rPr>
                <w:color w:val="000000"/>
                <w:sz w:val="20"/>
                <w:szCs w:val="20"/>
              </w:rPr>
              <w:t>a potřeba zajištění harmonického přechodu do navazující zástavby a volné krajiny.</w:t>
            </w:r>
          </w:p>
        </w:tc>
      </w:tr>
      <w:tr w:rsidR="00081500" w:rsidRPr="00461C16" w14:paraId="07C7D6F5" w14:textId="77777777" w:rsidTr="00413CFE">
        <w:trPr>
          <w:cantSplit/>
          <w:jc w:val="right"/>
        </w:trPr>
        <w:tc>
          <w:tcPr>
            <w:tcW w:w="742" w:type="pct"/>
            <w:shd w:val="clear" w:color="auto" w:fill="auto"/>
          </w:tcPr>
          <w:p w14:paraId="0EE81A8D" w14:textId="77777777" w:rsidR="00081500" w:rsidRPr="00461C16" w:rsidRDefault="00081500" w:rsidP="00330E05">
            <w:pPr>
              <w:pStyle w:val="dtabulka"/>
              <w:spacing w:before="40" w:after="40"/>
              <w:rPr>
                <w:rFonts w:eastAsia="Arial Unicode MS"/>
              </w:rPr>
            </w:pPr>
            <w:r>
              <w:rPr>
                <w:rFonts w:eastAsia="Arial Unicode MS"/>
              </w:rPr>
              <w:t>US-12</w:t>
            </w:r>
          </w:p>
        </w:tc>
        <w:tc>
          <w:tcPr>
            <w:tcW w:w="802" w:type="pct"/>
          </w:tcPr>
          <w:p w14:paraId="794F5408" w14:textId="77777777" w:rsidR="00081500" w:rsidRPr="00461C16" w:rsidRDefault="00081500" w:rsidP="009C570A">
            <w:pPr>
              <w:spacing w:before="40" w:after="40"/>
              <w:jc w:val="left"/>
              <w:rPr>
                <w:color w:val="000000"/>
                <w:sz w:val="20"/>
                <w:szCs w:val="20"/>
              </w:rPr>
            </w:pPr>
            <w:r>
              <w:rPr>
                <w:color w:val="000000"/>
                <w:sz w:val="20"/>
                <w:szCs w:val="20"/>
              </w:rPr>
              <w:t>Z44A</w:t>
            </w:r>
          </w:p>
        </w:tc>
        <w:tc>
          <w:tcPr>
            <w:tcW w:w="3456" w:type="pct"/>
          </w:tcPr>
          <w:p w14:paraId="7357BBAD" w14:textId="77777777" w:rsidR="00081500" w:rsidRPr="004470C1" w:rsidRDefault="00081500" w:rsidP="004470C1">
            <w:pPr>
              <w:spacing w:before="40" w:after="40"/>
              <w:jc w:val="left"/>
              <w:rPr>
                <w:color w:val="000000"/>
                <w:sz w:val="20"/>
                <w:szCs w:val="20"/>
              </w:rPr>
            </w:pPr>
            <w:r w:rsidRPr="004470C1">
              <w:rPr>
                <w:color w:val="000000"/>
                <w:sz w:val="20"/>
                <w:szCs w:val="20"/>
              </w:rPr>
              <w:t>Plocha je součástí rozsáhlého rozvojového území v lokalitě Severní město. Důvodem pro stanovení podmínky pořízení ÚS je zejména exponovaná poloha při pohledech z východu (od silnice I/35)</w:t>
            </w:r>
            <w:r w:rsidR="009C570A" w:rsidRPr="004470C1">
              <w:rPr>
                <w:color w:val="000000"/>
                <w:sz w:val="20"/>
                <w:szCs w:val="20"/>
              </w:rPr>
              <w:t>, rozloha tohoto území (</w:t>
            </w:r>
            <w:r w:rsidR="004470C1" w:rsidRPr="004470C1">
              <w:rPr>
                <w:color w:val="000000"/>
                <w:sz w:val="20"/>
                <w:szCs w:val="20"/>
              </w:rPr>
              <w:t>2,237</w:t>
            </w:r>
            <w:r w:rsidR="009C570A" w:rsidRPr="004470C1">
              <w:rPr>
                <w:color w:val="000000"/>
                <w:sz w:val="20"/>
                <w:szCs w:val="20"/>
              </w:rPr>
              <w:t xml:space="preserve"> ha) </w:t>
            </w:r>
            <w:r w:rsidRPr="004470C1">
              <w:rPr>
                <w:color w:val="000000"/>
                <w:sz w:val="20"/>
                <w:szCs w:val="20"/>
              </w:rPr>
              <w:t>a potřeba zajištění harmonického přechodu do navazující zástavby, krajinné zeleně a volné krajiny.</w:t>
            </w:r>
          </w:p>
        </w:tc>
      </w:tr>
      <w:tr w:rsidR="00D42A52" w:rsidRPr="00461C16" w14:paraId="64BB4B6C" w14:textId="77777777" w:rsidTr="00413CFE">
        <w:trPr>
          <w:cantSplit/>
          <w:jc w:val="right"/>
        </w:trPr>
        <w:tc>
          <w:tcPr>
            <w:tcW w:w="742" w:type="pct"/>
            <w:shd w:val="clear" w:color="auto" w:fill="auto"/>
          </w:tcPr>
          <w:p w14:paraId="188E3944" w14:textId="77777777" w:rsidR="00D42A52" w:rsidRPr="00461C16" w:rsidRDefault="00D42A52" w:rsidP="00330E05">
            <w:pPr>
              <w:pStyle w:val="dtabulka"/>
              <w:spacing w:before="40" w:after="40"/>
              <w:rPr>
                <w:rFonts w:eastAsia="Arial Unicode MS"/>
              </w:rPr>
            </w:pPr>
            <w:r>
              <w:rPr>
                <w:rFonts w:eastAsia="Arial Unicode MS"/>
              </w:rPr>
              <w:t>US-13</w:t>
            </w:r>
          </w:p>
        </w:tc>
        <w:tc>
          <w:tcPr>
            <w:tcW w:w="802" w:type="pct"/>
          </w:tcPr>
          <w:p w14:paraId="2337AB63" w14:textId="77777777" w:rsidR="00D42A52" w:rsidRPr="00461C16" w:rsidRDefault="00D42A52" w:rsidP="00330E05">
            <w:pPr>
              <w:spacing w:before="40" w:after="40"/>
              <w:jc w:val="left"/>
              <w:rPr>
                <w:color w:val="000000"/>
                <w:sz w:val="20"/>
                <w:szCs w:val="20"/>
              </w:rPr>
            </w:pPr>
            <w:r>
              <w:rPr>
                <w:color w:val="000000"/>
                <w:sz w:val="20"/>
                <w:szCs w:val="20"/>
              </w:rPr>
              <w:t>Z44B, Z45</w:t>
            </w:r>
          </w:p>
        </w:tc>
        <w:tc>
          <w:tcPr>
            <w:tcW w:w="3456" w:type="pct"/>
          </w:tcPr>
          <w:p w14:paraId="29B6CBF5" w14:textId="77777777" w:rsidR="00D42A52" w:rsidRPr="004470C1" w:rsidRDefault="00D42A52" w:rsidP="004470C1">
            <w:pPr>
              <w:spacing w:before="40" w:after="40"/>
              <w:jc w:val="left"/>
              <w:rPr>
                <w:color w:val="000000"/>
                <w:sz w:val="20"/>
                <w:szCs w:val="20"/>
              </w:rPr>
            </w:pPr>
            <w:r w:rsidRPr="0004232B">
              <w:rPr>
                <w:color w:val="000000"/>
                <w:sz w:val="20"/>
                <w:szCs w:val="20"/>
              </w:rPr>
              <w:t>Plocha je součástí rozsáhlého rozvojového území v lokalitě Severní město. Důvodem pro stanovení podmínky pořízení ÚS je zejména rozloha tohoto území (12,146 ha), exponovaná poloha při pohledech z východu (od silnice I/35) a potřeba zajištění harmonického přechodu do navazující zástavby, krajinné zeleně a volné krajiny.</w:t>
            </w:r>
          </w:p>
        </w:tc>
      </w:tr>
      <w:tr w:rsidR="00081500" w:rsidRPr="00461C16" w14:paraId="5A4ED1A3" w14:textId="77777777" w:rsidTr="00413CFE">
        <w:trPr>
          <w:cantSplit/>
          <w:jc w:val="right"/>
        </w:trPr>
        <w:tc>
          <w:tcPr>
            <w:tcW w:w="742" w:type="pct"/>
            <w:shd w:val="clear" w:color="auto" w:fill="auto"/>
          </w:tcPr>
          <w:p w14:paraId="00494AC6" w14:textId="77777777" w:rsidR="00081500" w:rsidRPr="00461C16" w:rsidRDefault="00081500" w:rsidP="00330E05">
            <w:pPr>
              <w:pStyle w:val="dtabulka"/>
              <w:spacing w:before="40" w:after="40"/>
              <w:rPr>
                <w:rFonts w:eastAsia="Arial Unicode MS"/>
              </w:rPr>
            </w:pPr>
            <w:r>
              <w:rPr>
                <w:rFonts w:eastAsia="Arial Unicode MS"/>
              </w:rPr>
              <w:t>US-14</w:t>
            </w:r>
          </w:p>
        </w:tc>
        <w:tc>
          <w:tcPr>
            <w:tcW w:w="802" w:type="pct"/>
          </w:tcPr>
          <w:p w14:paraId="16C64DEC" w14:textId="77777777" w:rsidR="00081500" w:rsidRPr="00461C16" w:rsidRDefault="00081500" w:rsidP="00330E05">
            <w:pPr>
              <w:spacing w:before="40" w:after="40"/>
              <w:jc w:val="left"/>
              <w:rPr>
                <w:color w:val="000000"/>
                <w:sz w:val="20"/>
                <w:szCs w:val="20"/>
              </w:rPr>
            </w:pPr>
            <w:r>
              <w:rPr>
                <w:color w:val="000000"/>
                <w:sz w:val="20"/>
                <w:szCs w:val="20"/>
              </w:rPr>
              <w:t>Z43</w:t>
            </w:r>
            <w:r w:rsidR="00E94195">
              <w:rPr>
                <w:color w:val="000000"/>
                <w:sz w:val="20"/>
                <w:szCs w:val="20"/>
              </w:rPr>
              <w:t>, P22</w:t>
            </w:r>
          </w:p>
        </w:tc>
        <w:tc>
          <w:tcPr>
            <w:tcW w:w="3456" w:type="pct"/>
          </w:tcPr>
          <w:p w14:paraId="50A80EDB" w14:textId="77777777" w:rsidR="00081500" w:rsidRPr="0004232B" w:rsidRDefault="00081500" w:rsidP="0004232B">
            <w:pPr>
              <w:spacing w:before="40" w:after="40"/>
              <w:jc w:val="left"/>
              <w:rPr>
                <w:color w:val="000000"/>
                <w:sz w:val="20"/>
                <w:szCs w:val="20"/>
              </w:rPr>
            </w:pPr>
            <w:r w:rsidRPr="0004232B">
              <w:rPr>
                <w:color w:val="000000"/>
                <w:sz w:val="20"/>
                <w:szCs w:val="20"/>
              </w:rPr>
              <w:t>Plocha je součástí rozsáhlého rozvojového území v lokalitě Severní město. Důvodem pro stanovení podmínky pořízení ÚS je zejména rozloha tohoto území (</w:t>
            </w:r>
            <w:r w:rsidR="0004232B" w:rsidRPr="0004232B">
              <w:rPr>
                <w:color w:val="000000"/>
                <w:sz w:val="20"/>
                <w:szCs w:val="20"/>
              </w:rPr>
              <w:t>8,403</w:t>
            </w:r>
            <w:r w:rsidRPr="0004232B">
              <w:rPr>
                <w:color w:val="000000"/>
                <w:sz w:val="20"/>
                <w:szCs w:val="20"/>
              </w:rPr>
              <w:t> ha), exponovaná poloha při pohledech z východu (od silnice I/35), prověření dopravního napojení území a potřeba zajištění harmonického přechodu do navazující zástavby.</w:t>
            </w:r>
          </w:p>
        </w:tc>
      </w:tr>
    </w:tbl>
    <w:p w14:paraId="1CCD43B7" w14:textId="77777777" w:rsidR="00E2454A" w:rsidRPr="00461C16" w:rsidRDefault="00E2454A" w:rsidP="00E2454A">
      <w:pPr>
        <w:pStyle w:val="Normlnslovan"/>
        <w:numPr>
          <w:ilvl w:val="0"/>
          <w:numId w:val="0"/>
        </w:numPr>
        <w:spacing w:before="240" w:after="120"/>
        <w:rPr>
          <w:sz w:val="22"/>
          <w:szCs w:val="22"/>
        </w:rPr>
      </w:pPr>
      <w:r w:rsidRPr="00461C16">
        <w:rPr>
          <w:sz w:val="22"/>
          <w:szCs w:val="22"/>
        </w:rPr>
        <w:t xml:space="preserve">Plochy, ve kterých je zpracování územní studie podmínkou pro rozhodování, jsou vymezeny a zobrazeny graficky ve výkresu </w:t>
      </w:r>
      <w:r w:rsidRPr="00461C16">
        <w:rPr>
          <w:i/>
          <w:sz w:val="22"/>
          <w:szCs w:val="22"/>
        </w:rPr>
        <w:t xml:space="preserve">I.1 Výkres základního členění území </w:t>
      </w:r>
      <w:r w:rsidRPr="00461C16">
        <w:rPr>
          <w:sz w:val="22"/>
          <w:szCs w:val="22"/>
        </w:rPr>
        <w:t>plně v souladu s oddílem I. odst. (3), písm. a) Přílohy č. 7 k vyhlášce č. 500/2006 Sb.</w:t>
      </w:r>
    </w:p>
    <w:p w14:paraId="09AB93BB" w14:textId="77777777" w:rsidR="00E2454A" w:rsidRPr="00461C16" w:rsidRDefault="00E2454A" w:rsidP="00E2454A">
      <w:pPr>
        <w:pStyle w:val="1text"/>
        <w:spacing w:before="240"/>
        <w:rPr>
          <w:i/>
          <w:sz w:val="20"/>
          <w:szCs w:val="20"/>
        </w:rPr>
      </w:pPr>
      <w:r w:rsidRPr="00461C16">
        <w:rPr>
          <w:i/>
          <w:sz w:val="20"/>
          <w:szCs w:val="20"/>
        </w:rPr>
        <w:t>(k bodům L02 – L</w:t>
      </w:r>
      <w:r w:rsidR="002627EE" w:rsidRPr="00461C16">
        <w:rPr>
          <w:i/>
          <w:sz w:val="20"/>
          <w:szCs w:val="20"/>
        </w:rPr>
        <w:t>12</w:t>
      </w:r>
      <w:r w:rsidRPr="00461C16">
        <w:rPr>
          <w:i/>
          <w:sz w:val="20"/>
          <w:szCs w:val="20"/>
        </w:rPr>
        <w:t xml:space="preserve"> ÚP) </w:t>
      </w:r>
    </w:p>
    <w:p w14:paraId="164F3504" w14:textId="77777777" w:rsidR="00E2454A" w:rsidRDefault="00E2454A" w:rsidP="00E2454A">
      <w:pPr>
        <w:pStyle w:val="Normlnslovan"/>
        <w:numPr>
          <w:ilvl w:val="0"/>
          <w:numId w:val="0"/>
        </w:numPr>
        <w:spacing w:before="120" w:after="120"/>
        <w:rPr>
          <w:sz w:val="22"/>
          <w:szCs w:val="22"/>
        </w:rPr>
      </w:pPr>
      <w:r w:rsidRPr="00461C16">
        <w:rPr>
          <w:sz w:val="22"/>
          <w:szCs w:val="22"/>
        </w:rPr>
        <w:t>S ohledem na plošný rozsah ploch, jejich charakter a umístění je nezbytné zajistit nástroji územního plánování zpracování podrobnějšího koncepčního podkladu, který zajistí budoucí koordinované a účelné využití daných ploch, a to zejména ve vztahu k rozvoji veřejné dopravní a technické infrastruktury a zajištění dostatečného množství veřejných prostranství a veřejné zeleně. Územní plán definuje základní obsahové požadavky na řešení územních studií, s cílem zajištění adekvátního podkladu pro rozhodování v území na základě prověření veškerých souvislostí a prostorových i funkčních vazeb a řešení případných střetů v území.</w:t>
      </w:r>
    </w:p>
    <w:p w14:paraId="77B1AA40" w14:textId="77777777" w:rsidR="00114275" w:rsidRPr="00461C16" w:rsidRDefault="00323A65" w:rsidP="00E2454A">
      <w:pPr>
        <w:pStyle w:val="Normlnslovan"/>
        <w:numPr>
          <w:ilvl w:val="0"/>
          <w:numId w:val="0"/>
        </w:numPr>
        <w:spacing w:before="120" w:after="120"/>
        <w:rPr>
          <w:sz w:val="22"/>
          <w:szCs w:val="22"/>
        </w:rPr>
      </w:pPr>
      <w:r>
        <w:rPr>
          <w:sz w:val="22"/>
          <w:szCs w:val="22"/>
        </w:rPr>
        <w:t xml:space="preserve">Podmínka řešení vazby na prostor bývalé cihelny a zajištění migrační průchodnosti území v plochách US-12 a US-13 je </w:t>
      </w:r>
      <w:r w:rsidR="00DE3150">
        <w:rPr>
          <w:sz w:val="22"/>
          <w:szCs w:val="22"/>
        </w:rPr>
        <w:t>stanovena</w:t>
      </w:r>
      <w:r>
        <w:rPr>
          <w:sz w:val="22"/>
          <w:szCs w:val="22"/>
        </w:rPr>
        <w:t xml:space="preserve"> na základě </w:t>
      </w:r>
      <w:r w:rsidR="00DE3150">
        <w:rPr>
          <w:sz w:val="22"/>
          <w:szCs w:val="22"/>
        </w:rPr>
        <w:t>požadavku</w:t>
      </w:r>
      <w:r>
        <w:rPr>
          <w:sz w:val="22"/>
          <w:szCs w:val="22"/>
        </w:rPr>
        <w:t xml:space="preserve"> KÚ Libereckého kraje. </w:t>
      </w:r>
      <w:r w:rsidR="00D00186">
        <w:rPr>
          <w:sz w:val="22"/>
          <w:szCs w:val="22"/>
        </w:rPr>
        <w:t xml:space="preserve">Jedná se o rozsáhlé, na sebe navazující plochy zástavby okolo bývalé pískovny, s vodními plochami, kde je evidován výskyt množství zvláště chráněných </w:t>
      </w:r>
      <w:r w:rsidR="00D00186">
        <w:rPr>
          <w:sz w:val="22"/>
          <w:szCs w:val="22"/>
        </w:rPr>
        <w:lastRenderedPageBreak/>
        <w:t>druhů živočichů dle přílohy č. III vyhlášky č. 395/1992 Sb. (ropucha obecná, užovka obojková, čolek obecný, čolek velký, blatnice skvrnitá, skokan štíhlý, ještěrka obecná, skokan skřehotavý). Biologické hodnocení je požadováno s ohledem na maximální ochranu druhové rozmanitosti a biotopů chráněných druhů.</w:t>
      </w:r>
    </w:p>
    <w:p w14:paraId="75DD443F" w14:textId="77777777" w:rsidR="00E2454A" w:rsidRPr="00461C16" w:rsidRDefault="00E2454A" w:rsidP="00A43C87">
      <w:pPr>
        <w:spacing w:line="240" w:lineRule="auto"/>
        <w:jc w:val="left"/>
        <w:rPr>
          <w:i/>
          <w:sz w:val="20"/>
          <w:szCs w:val="20"/>
        </w:rPr>
      </w:pPr>
      <w:r w:rsidRPr="00461C16">
        <w:rPr>
          <w:i/>
          <w:sz w:val="20"/>
          <w:szCs w:val="20"/>
        </w:rPr>
        <w:t>(k bodu L</w:t>
      </w:r>
      <w:r w:rsidR="002627EE" w:rsidRPr="00461C16">
        <w:rPr>
          <w:i/>
          <w:sz w:val="20"/>
          <w:szCs w:val="20"/>
        </w:rPr>
        <w:t>13</w:t>
      </w:r>
      <w:r w:rsidRPr="00461C16">
        <w:rPr>
          <w:i/>
          <w:sz w:val="20"/>
          <w:szCs w:val="20"/>
        </w:rPr>
        <w:t xml:space="preserve"> ÚP) </w:t>
      </w:r>
    </w:p>
    <w:p w14:paraId="44900D69" w14:textId="77777777" w:rsidR="00E2454A" w:rsidRPr="00461C16" w:rsidRDefault="00E2454A" w:rsidP="00E2454A">
      <w:pPr>
        <w:pStyle w:val="Normlnslovan"/>
        <w:numPr>
          <w:ilvl w:val="0"/>
          <w:numId w:val="0"/>
        </w:numPr>
        <w:spacing w:before="120" w:after="120"/>
        <w:rPr>
          <w:sz w:val="22"/>
          <w:szCs w:val="22"/>
        </w:rPr>
      </w:pPr>
      <w:r w:rsidRPr="00461C16">
        <w:rPr>
          <w:sz w:val="22"/>
          <w:szCs w:val="22"/>
        </w:rPr>
        <w:t xml:space="preserve">Pořizovatel v souladu s § 30 odst. (4) zákona č. 183/2006 Sb., v platném znění, podává po schválení možnosti využití studie jako podkladu pro zpracování, aktualizaci nebo změnu územně plánovací dokumentace návrh na vložení dat o této studii do evidence územně plánovací činnosti. </w:t>
      </w:r>
    </w:p>
    <w:p w14:paraId="655F5DF8" w14:textId="77777777" w:rsidR="00E2454A" w:rsidRPr="00461C16" w:rsidRDefault="00E2454A" w:rsidP="00E2454A">
      <w:pPr>
        <w:spacing w:before="120" w:after="120" w:line="240" w:lineRule="auto"/>
        <w:rPr>
          <w:rFonts w:eastAsia="Times New Roman" w:cs="Arial"/>
          <w:lang w:eastAsia="cs-CZ"/>
        </w:rPr>
      </w:pPr>
      <w:r w:rsidRPr="00461C16">
        <w:t>Povinnost stanovení lhůty pro vložení dat o pořízené územní studii vyplývá z přílohy č. 7 vyhlášky č. 500/2006 Sb., v platném znění. Lhůta pro vložení dat o územní studii do evidence územně plánovací činnosti byla stanovena přiměřeně k množství ploch podmíněných zpracováním územní studie, které zakládá předpoklad převážně postupného pořizování těchto územně plánovacích podkladů.</w:t>
      </w:r>
    </w:p>
    <w:p w14:paraId="16A4D15B" w14:textId="77777777" w:rsidR="00E2454A" w:rsidRPr="00461C16" w:rsidRDefault="00E2454A" w:rsidP="00E2454A">
      <w:pPr>
        <w:pStyle w:val="1text"/>
        <w:spacing w:before="240"/>
        <w:rPr>
          <w:i/>
          <w:sz w:val="20"/>
          <w:szCs w:val="20"/>
        </w:rPr>
      </w:pPr>
      <w:r w:rsidRPr="00461C16">
        <w:rPr>
          <w:i/>
          <w:sz w:val="20"/>
          <w:szCs w:val="20"/>
        </w:rPr>
        <w:t>(k bodu L</w:t>
      </w:r>
      <w:r w:rsidR="002627EE" w:rsidRPr="00461C16">
        <w:rPr>
          <w:i/>
          <w:sz w:val="20"/>
          <w:szCs w:val="20"/>
        </w:rPr>
        <w:t>14</w:t>
      </w:r>
      <w:r w:rsidRPr="00461C16">
        <w:rPr>
          <w:i/>
          <w:sz w:val="20"/>
          <w:szCs w:val="20"/>
        </w:rPr>
        <w:t xml:space="preserve"> ÚP) </w:t>
      </w:r>
    </w:p>
    <w:p w14:paraId="4C0056DE" w14:textId="77777777" w:rsidR="00FC1840" w:rsidRPr="00461C16" w:rsidRDefault="00E2454A" w:rsidP="00E2454A">
      <w:pPr>
        <w:spacing w:before="120" w:after="120" w:line="240" w:lineRule="auto"/>
        <w:rPr>
          <w:rFonts w:eastAsia="Times New Roman" w:cs="Arial"/>
          <w:lang w:eastAsia="cs-CZ"/>
        </w:rPr>
      </w:pPr>
      <w:r w:rsidRPr="00461C16">
        <w:t>Při zpracování koncepce ÚP Hrádek nad Nisou nebyla prokázána potřeba prověření žádného z vymezených koridorů územní studií.</w:t>
      </w:r>
    </w:p>
    <w:p w14:paraId="44114F13" w14:textId="21E49F30" w:rsidR="004E1C7A" w:rsidRPr="00461C16" w:rsidRDefault="000C791F" w:rsidP="00D829F9">
      <w:pPr>
        <w:pStyle w:val="Heading2"/>
        <w:ind w:left="851" w:hanging="851"/>
      </w:pPr>
      <w:bookmarkStart w:id="184" w:name="_Toc36116326"/>
      <w:r w:rsidRPr="00461C16">
        <w:t>6</w:t>
      </w:r>
      <w:r w:rsidR="00BC4E8D" w:rsidRPr="00461C16">
        <w:t>.</w:t>
      </w:r>
      <w:r w:rsidR="004E1C7A" w:rsidRPr="00461C16">
        <w:t>1</w:t>
      </w:r>
      <w:r w:rsidR="00D212A7" w:rsidRPr="00461C16">
        <w:t>4</w:t>
      </w:r>
      <w:r w:rsidR="004E1C7A" w:rsidRPr="00461C16">
        <w:t xml:space="preserve"> </w:t>
      </w:r>
      <w:r w:rsidR="00D829F9" w:rsidRPr="00461C16">
        <w:tab/>
      </w:r>
      <w:r w:rsidR="004E1C7A" w:rsidRPr="00461C16">
        <w:t xml:space="preserve">Vymezení ploch a koridorů, ve kterých je rozhodování o změnách v území podmíněno vydáním regulačního plánu, zadání regulačního plánu v rozsahu podle přílohy č. </w:t>
      </w:r>
      <w:r w:rsidR="00245690">
        <w:t>9</w:t>
      </w:r>
      <w:r w:rsidR="004E1C7A" w:rsidRPr="00461C16">
        <w:t>, stanovení, zda se bude jednat o regulační plán z podnětu nebo na žádost, a u regulačního plánu z podnětu stanovení přiměřené lhůty pro jeho vydání</w:t>
      </w:r>
      <w:bookmarkEnd w:id="182"/>
      <w:bookmarkEnd w:id="183"/>
      <w:bookmarkEnd w:id="184"/>
    </w:p>
    <w:p w14:paraId="6713703B" w14:textId="77777777" w:rsidR="004E1C7A" w:rsidRPr="00461C16" w:rsidRDefault="004E1C7A" w:rsidP="00271B3D">
      <w:pPr>
        <w:pStyle w:val="1text"/>
        <w:spacing w:before="240" w:after="120"/>
        <w:rPr>
          <w:i/>
          <w:sz w:val="20"/>
          <w:szCs w:val="20"/>
        </w:rPr>
      </w:pPr>
      <w:r w:rsidRPr="00461C16">
        <w:rPr>
          <w:i/>
          <w:sz w:val="20"/>
          <w:szCs w:val="20"/>
        </w:rPr>
        <w:t xml:space="preserve">(k bodu </w:t>
      </w:r>
      <w:r w:rsidR="00AE6EBC" w:rsidRPr="00461C16">
        <w:rPr>
          <w:i/>
          <w:sz w:val="20"/>
          <w:szCs w:val="20"/>
        </w:rPr>
        <w:t>M</w:t>
      </w:r>
      <w:r w:rsidRPr="00461C16">
        <w:rPr>
          <w:i/>
          <w:sz w:val="20"/>
          <w:szCs w:val="20"/>
        </w:rPr>
        <w:t xml:space="preserve">01 </w:t>
      </w:r>
      <w:r w:rsidR="00D829F9" w:rsidRPr="00461C16">
        <w:rPr>
          <w:i/>
          <w:sz w:val="20"/>
          <w:szCs w:val="20"/>
        </w:rPr>
        <w:t>ÚP</w:t>
      </w:r>
      <w:r w:rsidRPr="00461C16">
        <w:rPr>
          <w:i/>
          <w:sz w:val="20"/>
          <w:szCs w:val="20"/>
        </w:rPr>
        <w:t>)</w:t>
      </w:r>
    </w:p>
    <w:p w14:paraId="6FC56996" w14:textId="77777777" w:rsidR="00412A4D" w:rsidRPr="00461C16" w:rsidRDefault="00412A4D" w:rsidP="00412A4D">
      <w:pPr>
        <w:pStyle w:val="Normlnslovan"/>
        <w:numPr>
          <w:ilvl w:val="0"/>
          <w:numId w:val="0"/>
        </w:numPr>
        <w:spacing w:before="120" w:after="120"/>
        <w:rPr>
          <w:sz w:val="22"/>
          <w:szCs w:val="22"/>
        </w:rPr>
      </w:pPr>
      <w:r w:rsidRPr="00461C16">
        <w:rPr>
          <w:sz w:val="22"/>
          <w:szCs w:val="22"/>
        </w:rPr>
        <w:t xml:space="preserve">V souladu s § 61 zákona č. 183/2006 Sb., v platném znění, regulační plán stanoví podrobné podmínky pro využití pozemků, pro umístění a prostorové uspořádání staveb, pro ochranu hodnot a charakteru území a pro vytváření příznivého životního prostředí, dále stanoví podmínky pro vymezení a využití pozemků, pro umístění a prostorové uspořádání staveb veřejné infrastruktury a vymezí veřejně prospěšné stavby nebo veřejně prospěšná opatření. </w:t>
      </w:r>
    </w:p>
    <w:p w14:paraId="03709DC0" w14:textId="77777777" w:rsidR="004E1C7A" w:rsidRPr="00461C16" w:rsidRDefault="00CC6811" w:rsidP="00CC6811">
      <w:pPr>
        <w:pStyle w:val="Normlnslovan"/>
        <w:numPr>
          <w:ilvl w:val="0"/>
          <w:numId w:val="0"/>
        </w:numPr>
        <w:spacing w:before="120" w:after="120"/>
      </w:pPr>
      <w:r>
        <w:rPr>
          <w:sz w:val="22"/>
          <w:szCs w:val="22"/>
        </w:rPr>
        <w:t xml:space="preserve">V ÚP nejsou vymezeny záměry, které by vzhledem ke svému významu vyžadovaly zpracování regulačního plánu. </w:t>
      </w:r>
    </w:p>
    <w:p w14:paraId="126084C7" w14:textId="77777777" w:rsidR="004E1C7A" w:rsidRPr="00461C16" w:rsidRDefault="000C791F" w:rsidP="00D829F9">
      <w:pPr>
        <w:pStyle w:val="Heading2"/>
        <w:ind w:left="851" w:hanging="851"/>
      </w:pPr>
      <w:bookmarkStart w:id="185" w:name="_Toc384728071"/>
      <w:bookmarkStart w:id="186" w:name="_Toc424191843"/>
      <w:bookmarkStart w:id="187" w:name="_Toc36116327"/>
      <w:r w:rsidRPr="00461C16">
        <w:t>6</w:t>
      </w:r>
      <w:r w:rsidR="00BC4E8D" w:rsidRPr="00461C16">
        <w:t>.</w:t>
      </w:r>
      <w:r w:rsidR="004E1C7A" w:rsidRPr="00461C16">
        <w:t>1</w:t>
      </w:r>
      <w:r w:rsidR="00D212A7" w:rsidRPr="00461C16">
        <w:t>5</w:t>
      </w:r>
      <w:r w:rsidR="00D829F9" w:rsidRPr="00461C16">
        <w:tab/>
      </w:r>
      <w:r w:rsidR="004E1C7A" w:rsidRPr="00461C16">
        <w:t>Stanovení pořadí změn v území (etapizace)</w:t>
      </w:r>
      <w:bookmarkEnd w:id="185"/>
      <w:bookmarkEnd w:id="186"/>
      <w:bookmarkEnd w:id="187"/>
    </w:p>
    <w:p w14:paraId="1BD27859" w14:textId="77777777" w:rsidR="004E1C7A" w:rsidRPr="00461C16" w:rsidRDefault="004E1C7A" w:rsidP="007F050A">
      <w:pPr>
        <w:pStyle w:val="1text"/>
        <w:rPr>
          <w:i/>
          <w:sz w:val="20"/>
          <w:szCs w:val="20"/>
        </w:rPr>
      </w:pPr>
      <w:r w:rsidRPr="00461C16">
        <w:rPr>
          <w:i/>
          <w:sz w:val="20"/>
          <w:szCs w:val="20"/>
        </w:rPr>
        <w:t xml:space="preserve">(k bodu </w:t>
      </w:r>
      <w:r w:rsidR="00AE6EBC" w:rsidRPr="00461C16">
        <w:rPr>
          <w:i/>
          <w:sz w:val="20"/>
          <w:szCs w:val="20"/>
        </w:rPr>
        <w:t>N</w:t>
      </w:r>
      <w:r w:rsidRPr="00461C16">
        <w:rPr>
          <w:i/>
          <w:sz w:val="20"/>
          <w:szCs w:val="20"/>
        </w:rPr>
        <w:t xml:space="preserve">01 </w:t>
      </w:r>
      <w:r w:rsidR="00D829F9" w:rsidRPr="00461C16">
        <w:rPr>
          <w:i/>
          <w:sz w:val="20"/>
          <w:szCs w:val="20"/>
        </w:rPr>
        <w:t>ÚP</w:t>
      </w:r>
      <w:r w:rsidR="005A0AC4" w:rsidRPr="00461C16">
        <w:rPr>
          <w:i/>
          <w:sz w:val="20"/>
          <w:szCs w:val="20"/>
        </w:rPr>
        <w:t>)</w:t>
      </w:r>
      <w:r w:rsidRPr="00461C16">
        <w:rPr>
          <w:i/>
          <w:sz w:val="20"/>
          <w:szCs w:val="20"/>
        </w:rPr>
        <w:t xml:space="preserve"> </w:t>
      </w:r>
    </w:p>
    <w:p w14:paraId="745FAEB1" w14:textId="77777777" w:rsidR="004E1C7A" w:rsidRPr="00461C16" w:rsidRDefault="00AA1293" w:rsidP="007F050A">
      <w:pPr>
        <w:spacing w:before="120" w:after="120" w:line="240" w:lineRule="auto"/>
        <w:rPr>
          <w:rFonts w:eastAsia="Times New Roman" w:cs="Arial"/>
          <w:lang w:eastAsia="cs-CZ"/>
        </w:rPr>
      </w:pPr>
      <w:r w:rsidRPr="00461C16">
        <w:rPr>
          <w:rFonts w:eastAsia="Times New Roman" w:cs="Arial"/>
          <w:lang w:eastAsia="cs-CZ"/>
        </w:rPr>
        <w:t xml:space="preserve">Pořadí změn v území nebylo </w:t>
      </w:r>
      <w:r w:rsidR="00D829F9" w:rsidRPr="00461C16">
        <w:rPr>
          <w:rFonts w:eastAsia="Times New Roman" w:cs="Arial"/>
          <w:lang w:eastAsia="cs-CZ"/>
        </w:rPr>
        <w:t>územním plánem</w:t>
      </w:r>
      <w:r w:rsidRPr="00461C16">
        <w:rPr>
          <w:rFonts w:eastAsia="Times New Roman" w:cs="Arial"/>
          <w:lang w:eastAsia="cs-CZ"/>
        </w:rPr>
        <w:t xml:space="preserve"> </w:t>
      </w:r>
      <w:r w:rsidR="00FC1840" w:rsidRPr="00461C16">
        <w:rPr>
          <w:rFonts w:eastAsia="Times New Roman" w:cs="Arial"/>
          <w:lang w:eastAsia="cs-CZ"/>
        </w:rPr>
        <w:t xml:space="preserve">stanoveno, neboť nebylo vyhodnoceno jako potřebné s ohledem na </w:t>
      </w:r>
      <w:r w:rsidR="00D829F9" w:rsidRPr="00461C16">
        <w:rPr>
          <w:rFonts w:eastAsia="Times New Roman" w:cs="Arial"/>
          <w:lang w:eastAsia="cs-CZ"/>
        </w:rPr>
        <w:t>charakter vymezených záměrů</w:t>
      </w:r>
      <w:r w:rsidRPr="00461C16">
        <w:rPr>
          <w:rFonts w:eastAsia="Times New Roman" w:cs="Arial"/>
          <w:lang w:eastAsia="cs-CZ"/>
        </w:rPr>
        <w:t xml:space="preserve">. </w:t>
      </w:r>
      <w:r w:rsidR="001E5EFE" w:rsidRPr="00461C16">
        <w:rPr>
          <w:rFonts w:eastAsia="Times New Roman" w:cs="Arial"/>
          <w:lang w:eastAsia="cs-CZ"/>
        </w:rPr>
        <w:t>U plošně rozsáhlejších záměrů lze etapizaci případně navrhnout i v rámci územní studie, která je stanovena jako podmínka pro jejich realizaci.</w:t>
      </w:r>
    </w:p>
    <w:p w14:paraId="15BDBDA1" w14:textId="77777777" w:rsidR="00A52FFD" w:rsidRPr="00461C16" w:rsidRDefault="00A52FFD">
      <w:pPr>
        <w:spacing w:line="240" w:lineRule="auto"/>
        <w:jc w:val="left"/>
        <w:rPr>
          <w:rFonts w:cs="Arial"/>
          <w:b/>
          <w:bCs/>
          <w:caps/>
          <w:spacing w:val="40"/>
          <w:kern w:val="32"/>
          <w:sz w:val="30"/>
          <w:szCs w:val="32"/>
          <w:lang w:val="nl-NL"/>
        </w:rPr>
      </w:pPr>
      <w:bookmarkStart w:id="188" w:name="_Toc360178647"/>
      <w:bookmarkStart w:id="189" w:name="_Toc424191845"/>
      <w:bookmarkStart w:id="190" w:name="_Toc360178646"/>
      <w:r w:rsidRPr="00461C16">
        <w:br w:type="page"/>
      </w:r>
    </w:p>
    <w:p w14:paraId="2B2090BF" w14:textId="77777777" w:rsidR="004E1C7A" w:rsidRPr="00461C16" w:rsidRDefault="000C791F" w:rsidP="007F050A">
      <w:pPr>
        <w:pStyle w:val="Heading1"/>
      </w:pPr>
      <w:bookmarkStart w:id="191" w:name="_Toc36116328"/>
      <w:r w:rsidRPr="00461C16">
        <w:lastRenderedPageBreak/>
        <w:t>7</w:t>
      </w:r>
      <w:r w:rsidR="004E1C7A" w:rsidRPr="00461C16">
        <w:t xml:space="preserve">. </w:t>
      </w:r>
      <w:r w:rsidR="004E1C7A" w:rsidRPr="00461C16">
        <w:tab/>
        <w:t>VYHODNOCENÍ ÚČELNÉHO VYUŽITÍ ZASTAVĚNÉHO ÚZEMÍ A VYHODNOCENÍ POTŘEBY VYMEZENÍ ZASTAVITELNÝCH PLOCH</w:t>
      </w:r>
      <w:bookmarkEnd w:id="188"/>
      <w:bookmarkEnd w:id="189"/>
      <w:bookmarkEnd w:id="191"/>
    </w:p>
    <w:p w14:paraId="1B5DBF43" w14:textId="77777777" w:rsidR="00801B78" w:rsidRPr="00461C16" w:rsidRDefault="00801B78" w:rsidP="00801B78">
      <w:pPr>
        <w:pStyle w:val="Heading2"/>
        <w:ind w:left="709" w:hanging="709"/>
      </w:pPr>
      <w:bookmarkStart w:id="192" w:name="_Toc36116329"/>
      <w:r>
        <w:t>7</w:t>
      </w:r>
      <w:r w:rsidRPr="00461C16">
        <w:t xml:space="preserve">.1 </w:t>
      </w:r>
      <w:r w:rsidRPr="00461C16">
        <w:tab/>
      </w:r>
      <w:r>
        <w:t>Vyhodnocení účelného využití zastavěného území</w:t>
      </w:r>
      <w:bookmarkEnd w:id="192"/>
    </w:p>
    <w:p w14:paraId="767F38F1" w14:textId="77777777" w:rsidR="00F354BD" w:rsidRPr="00F64E6C" w:rsidRDefault="00F354BD" w:rsidP="00801B78">
      <w:pPr>
        <w:pStyle w:val="1text"/>
        <w:spacing w:before="240" w:after="120"/>
      </w:pPr>
      <w:r w:rsidRPr="00B363A6">
        <w:t xml:space="preserve">Územní </w:t>
      </w:r>
      <w:r w:rsidRPr="00590B02">
        <w:t xml:space="preserve">plán Hrádek nad Nisou vymezuje celkem </w:t>
      </w:r>
      <w:r w:rsidR="009E7CE5" w:rsidRPr="00590B02">
        <w:t>1</w:t>
      </w:r>
      <w:r w:rsidR="00B363A6" w:rsidRPr="00590B02">
        <w:t>1</w:t>
      </w:r>
      <w:r w:rsidR="00720A3D" w:rsidRPr="00590B02">
        <w:t>1</w:t>
      </w:r>
      <w:r w:rsidRPr="00590B02">
        <w:t xml:space="preserve"> ploch změn</w:t>
      </w:r>
      <w:r w:rsidR="00B363A6" w:rsidRPr="00590B02">
        <w:t xml:space="preserve"> v zastavěném a zastavitelném území</w:t>
      </w:r>
      <w:r w:rsidRPr="00590B02">
        <w:t xml:space="preserve">, tj. zastavitelných ploch a ploch přestavby, o výměře </w:t>
      </w:r>
      <w:r w:rsidR="00590B02" w:rsidRPr="00590B02">
        <w:t>1</w:t>
      </w:r>
      <w:r w:rsidR="0076477F">
        <w:t>34</w:t>
      </w:r>
      <w:r w:rsidR="00590B02" w:rsidRPr="00590B02">
        <w:t>,</w:t>
      </w:r>
      <w:r w:rsidR="0076477F">
        <w:t>880</w:t>
      </w:r>
      <w:r w:rsidRPr="00590B02">
        <w:t xml:space="preserve"> ha.  Z toho </w:t>
      </w:r>
      <w:r w:rsidRPr="0076477F">
        <w:t xml:space="preserve">je </w:t>
      </w:r>
      <w:r w:rsidR="00B363A6" w:rsidRPr="0076477F">
        <w:rPr>
          <w:b/>
        </w:rPr>
        <w:t>6</w:t>
      </w:r>
      <w:r w:rsidR="009D03C3">
        <w:rPr>
          <w:b/>
        </w:rPr>
        <w:t>2</w:t>
      </w:r>
      <w:r w:rsidRPr="0076477F">
        <w:rPr>
          <w:b/>
        </w:rPr>
        <w:t xml:space="preserve"> ploch změn </w:t>
      </w:r>
      <w:r w:rsidRPr="0076477F">
        <w:t xml:space="preserve">(o výměře </w:t>
      </w:r>
      <w:r w:rsidR="00590B02" w:rsidRPr="0076477F">
        <w:t>6</w:t>
      </w:r>
      <w:r w:rsidR="009D03C3">
        <w:t>7</w:t>
      </w:r>
      <w:r w:rsidR="00590B02" w:rsidRPr="0076477F">
        <w:t>,</w:t>
      </w:r>
      <w:r w:rsidR="009D03C3">
        <w:t>943</w:t>
      </w:r>
      <w:r w:rsidRPr="0076477F">
        <w:t xml:space="preserve"> ha)</w:t>
      </w:r>
      <w:r w:rsidR="009E7CE5" w:rsidRPr="0076477F">
        <w:t>,</w:t>
      </w:r>
      <w:r w:rsidR="009E7CE5" w:rsidRPr="0076477F">
        <w:rPr>
          <w:b/>
        </w:rPr>
        <w:t xml:space="preserve"> tj. </w:t>
      </w:r>
      <w:r w:rsidR="00B363A6" w:rsidRPr="0076477F">
        <w:rPr>
          <w:b/>
        </w:rPr>
        <w:t>5</w:t>
      </w:r>
      <w:r w:rsidR="009D03C3">
        <w:rPr>
          <w:b/>
        </w:rPr>
        <w:t>6</w:t>
      </w:r>
      <w:r w:rsidR="009E7CE5" w:rsidRPr="0076477F">
        <w:rPr>
          <w:b/>
        </w:rPr>
        <w:t>% všech vymezených ploch změn,</w:t>
      </w:r>
      <w:r w:rsidRPr="0076477F">
        <w:rPr>
          <w:b/>
        </w:rPr>
        <w:t xml:space="preserve"> </w:t>
      </w:r>
      <w:r w:rsidR="0076477F">
        <w:rPr>
          <w:b/>
        </w:rPr>
        <w:t xml:space="preserve">v celém či převážném rozsahu </w:t>
      </w:r>
      <w:r w:rsidRPr="0076477F">
        <w:rPr>
          <w:b/>
        </w:rPr>
        <w:t>převzato z platného ÚPSÚ Hrádek</w:t>
      </w:r>
      <w:r w:rsidRPr="00B363A6">
        <w:rPr>
          <w:b/>
        </w:rPr>
        <w:t xml:space="preserve"> nad Nisou</w:t>
      </w:r>
      <w:r w:rsidRPr="00B363A6">
        <w:t xml:space="preserve">, s ohledem na kontinuitu rozhodování a již realizované či plánované kroky k využití </w:t>
      </w:r>
      <w:r w:rsidRPr="00F64E6C">
        <w:t>plochy dle platné ÚPD.</w:t>
      </w:r>
      <w:r w:rsidR="001E0D10" w:rsidRPr="00F64E6C">
        <w:t xml:space="preserve"> Nejvýraznější je poměr u ploch výroby, kde je z ÚPSÚ Hrádek nad Nisou převzato </w:t>
      </w:r>
      <w:r w:rsidR="00F64E6C" w:rsidRPr="00F64E6C">
        <w:rPr>
          <w:b/>
        </w:rPr>
        <w:t>8</w:t>
      </w:r>
      <w:r w:rsidR="001E0D10" w:rsidRPr="00F64E6C">
        <w:rPr>
          <w:b/>
        </w:rPr>
        <w:t xml:space="preserve"> z celkových </w:t>
      </w:r>
      <w:r w:rsidR="00F64E6C" w:rsidRPr="00F64E6C">
        <w:rPr>
          <w:b/>
        </w:rPr>
        <w:t>9</w:t>
      </w:r>
      <w:r w:rsidR="001E0D10" w:rsidRPr="00F64E6C">
        <w:rPr>
          <w:b/>
        </w:rPr>
        <w:t xml:space="preserve"> vymezených ploch změn</w:t>
      </w:r>
      <w:r w:rsidR="001E0D10" w:rsidRPr="00F64E6C">
        <w:t>, byť s lokální úpravou hranic ploch.</w:t>
      </w:r>
    </w:p>
    <w:p w14:paraId="09B859F5" w14:textId="77777777" w:rsidR="00F354BD" w:rsidRDefault="00F354BD" w:rsidP="008E0712">
      <w:pPr>
        <w:pStyle w:val="1text"/>
        <w:rPr>
          <w:u w:val="single"/>
        </w:rPr>
      </w:pPr>
      <w:r w:rsidRPr="008B5658">
        <w:t xml:space="preserve">Ostatní plochy změn, vymezené v ÚPSÚ Hrádek nad Nisou, nebyly do ÚP Hrádek nad Nisou převzaty z důvodu již realizovaného záměru nebo z důvodu střetu s hodnotami či limity využití území (viz kap. </w:t>
      </w:r>
      <w:r w:rsidRPr="008B5658">
        <w:rPr>
          <w:b/>
          <w:i/>
          <w:u w:val="single"/>
        </w:rPr>
        <w:t>6.4.2. Vymezení zastavitelných ploch</w:t>
      </w:r>
      <w:r w:rsidRPr="008B5658">
        <w:rPr>
          <w:u w:val="single"/>
        </w:rPr>
        <w:t xml:space="preserve"> tohoto odůvodnění).</w:t>
      </w:r>
    </w:p>
    <w:p w14:paraId="005FCEC5" w14:textId="77777777" w:rsidR="00E34352" w:rsidRDefault="00F75023" w:rsidP="006E7E83">
      <w:pPr>
        <w:pStyle w:val="1text"/>
        <w:spacing w:before="240" w:after="120"/>
        <w:rPr>
          <w:u w:val="single"/>
        </w:rPr>
      </w:pPr>
      <w:r>
        <w:rPr>
          <w:u w:val="single"/>
        </w:rPr>
        <w:t>MÍRA VYUŽITÍ PLOCH V JEDNOTLIVÝCH ČÁSTECH MĚSTA</w:t>
      </w:r>
      <w:r w:rsidR="003650FB">
        <w:rPr>
          <w:u w:val="single"/>
        </w:rPr>
        <w:t xml:space="preserve"> </w:t>
      </w:r>
    </w:p>
    <w:tbl>
      <w:tblPr>
        <w:tblStyle w:val="TableGrid"/>
        <w:tblW w:w="0" w:type="auto"/>
        <w:tblLook w:val="04A0" w:firstRow="1" w:lastRow="0" w:firstColumn="1" w:lastColumn="0" w:noHBand="0" w:noVBand="1"/>
      </w:tblPr>
      <w:tblGrid>
        <w:gridCol w:w="1101"/>
        <w:gridCol w:w="1984"/>
        <w:gridCol w:w="1134"/>
        <w:gridCol w:w="1134"/>
        <w:gridCol w:w="3859"/>
      </w:tblGrid>
      <w:tr w:rsidR="00EA304D" w:rsidRPr="00EA304D" w14:paraId="7EFFABCA" w14:textId="77777777" w:rsidTr="00EA304D">
        <w:trPr>
          <w:tblHeader/>
        </w:trPr>
        <w:tc>
          <w:tcPr>
            <w:tcW w:w="1101" w:type="dxa"/>
            <w:shd w:val="clear" w:color="auto" w:fill="C2D69B" w:themeFill="accent3" w:themeFillTint="99"/>
          </w:tcPr>
          <w:p w14:paraId="768C08F8" w14:textId="77777777" w:rsidR="00F54CC0" w:rsidRPr="00EA304D" w:rsidRDefault="00F54CC0" w:rsidP="00EA304D">
            <w:pPr>
              <w:pStyle w:val="1text"/>
              <w:spacing w:before="40" w:after="40"/>
              <w:jc w:val="left"/>
              <w:rPr>
                <w:b/>
                <w:sz w:val="20"/>
                <w:szCs w:val="20"/>
              </w:rPr>
            </w:pPr>
            <w:r w:rsidRPr="00EA304D">
              <w:rPr>
                <w:b/>
                <w:sz w:val="20"/>
                <w:szCs w:val="20"/>
              </w:rPr>
              <w:t>číslo plochy z ÚPSÚ Hrádek nad Nisou</w:t>
            </w:r>
          </w:p>
        </w:tc>
        <w:tc>
          <w:tcPr>
            <w:tcW w:w="1984" w:type="dxa"/>
            <w:shd w:val="clear" w:color="auto" w:fill="C2D69B" w:themeFill="accent3" w:themeFillTint="99"/>
          </w:tcPr>
          <w:p w14:paraId="75411524" w14:textId="77777777" w:rsidR="00F54CC0" w:rsidRPr="00EA304D" w:rsidRDefault="0078614C" w:rsidP="00EA304D">
            <w:pPr>
              <w:pStyle w:val="1text"/>
              <w:spacing w:before="40" w:after="40"/>
              <w:jc w:val="left"/>
              <w:rPr>
                <w:b/>
                <w:sz w:val="20"/>
                <w:szCs w:val="20"/>
              </w:rPr>
            </w:pPr>
            <w:r w:rsidRPr="00EA304D">
              <w:rPr>
                <w:b/>
                <w:sz w:val="20"/>
                <w:szCs w:val="20"/>
              </w:rPr>
              <w:t>část města</w:t>
            </w:r>
          </w:p>
        </w:tc>
        <w:tc>
          <w:tcPr>
            <w:tcW w:w="1134" w:type="dxa"/>
            <w:shd w:val="clear" w:color="auto" w:fill="C2D69B" w:themeFill="accent3" w:themeFillTint="99"/>
          </w:tcPr>
          <w:p w14:paraId="5CD508D4" w14:textId="77777777" w:rsidR="00F54CC0" w:rsidRPr="00EA304D" w:rsidRDefault="006E7E83" w:rsidP="00EA304D">
            <w:pPr>
              <w:pStyle w:val="1text"/>
              <w:spacing w:before="40" w:after="40"/>
              <w:jc w:val="left"/>
              <w:rPr>
                <w:b/>
                <w:sz w:val="20"/>
                <w:szCs w:val="20"/>
              </w:rPr>
            </w:pPr>
            <w:r w:rsidRPr="00EA304D">
              <w:rPr>
                <w:b/>
                <w:sz w:val="20"/>
                <w:szCs w:val="20"/>
              </w:rPr>
              <w:t>výměra (ha)</w:t>
            </w:r>
          </w:p>
        </w:tc>
        <w:tc>
          <w:tcPr>
            <w:tcW w:w="1134" w:type="dxa"/>
            <w:shd w:val="clear" w:color="auto" w:fill="C2D69B" w:themeFill="accent3" w:themeFillTint="99"/>
          </w:tcPr>
          <w:p w14:paraId="73C08581" w14:textId="77777777" w:rsidR="00F54CC0" w:rsidRPr="00EA304D" w:rsidRDefault="006E7E83" w:rsidP="00EA304D">
            <w:pPr>
              <w:pStyle w:val="1text"/>
              <w:spacing w:before="40" w:after="40"/>
              <w:jc w:val="left"/>
              <w:rPr>
                <w:b/>
                <w:sz w:val="20"/>
                <w:szCs w:val="20"/>
              </w:rPr>
            </w:pPr>
            <w:r w:rsidRPr="00EA304D">
              <w:rPr>
                <w:b/>
                <w:sz w:val="20"/>
                <w:szCs w:val="20"/>
              </w:rPr>
              <w:t>míra využití</w:t>
            </w:r>
            <w:r w:rsidR="00280EA8" w:rsidRPr="00EA304D">
              <w:rPr>
                <w:b/>
                <w:sz w:val="20"/>
                <w:szCs w:val="20"/>
              </w:rPr>
              <w:t xml:space="preserve"> (ha)</w:t>
            </w:r>
          </w:p>
        </w:tc>
        <w:tc>
          <w:tcPr>
            <w:tcW w:w="3859" w:type="dxa"/>
            <w:shd w:val="clear" w:color="auto" w:fill="C2D69B" w:themeFill="accent3" w:themeFillTint="99"/>
          </w:tcPr>
          <w:p w14:paraId="3BCE938F" w14:textId="77777777" w:rsidR="00F54CC0" w:rsidRPr="00EA304D" w:rsidRDefault="006E7E83" w:rsidP="00AD0764">
            <w:pPr>
              <w:pStyle w:val="1text"/>
              <w:spacing w:before="40" w:after="40"/>
              <w:jc w:val="left"/>
              <w:rPr>
                <w:b/>
                <w:sz w:val="20"/>
                <w:szCs w:val="20"/>
              </w:rPr>
            </w:pPr>
            <w:r w:rsidRPr="00EA304D">
              <w:rPr>
                <w:b/>
                <w:sz w:val="20"/>
                <w:szCs w:val="20"/>
              </w:rPr>
              <w:t xml:space="preserve">poznámka </w:t>
            </w:r>
            <w:r w:rsidR="00AD0764">
              <w:rPr>
                <w:b/>
                <w:sz w:val="20"/>
                <w:szCs w:val="20"/>
              </w:rPr>
              <w:t xml:space="preserve"> </w:t>
            </w:r>
          </w:p>
        </w:tc>
      </w:tr>
      <w:tr w:rsidR="00EA304D" w:rsidRPr="00EA304D" w14:paraId="70555FFF" w14:textId="77777777" w:rsidTr="00EA304D">
        <w:tc>
          <w:tcPr>
            <w:tcW w:w="9212" w:type="dxa"/>
            <w:gridSpan w:val="5"/>
            <w:shd w:val="clear" w:color="auto" w:fill="EAF1DD" w:themeFill="accent3" w:themeFillTint="33"/>
          </w:tcPr>
          <w:p w14:paraId="316E523B" w14:textId="77777777" w:rsidR="00F15277" w:rsidRPr="00EA304D" w:rsidRDefault="00F15277" w:rsidP="00EA304D">
            <w:pPr>
              <w:pStyle w:val="1text"/>
              <w:spacing w:before="40" w:after="40"/>
              <w:jc w:val="left"/>
              <w:rPr>
                <w:sz w:val="20"/>
                <w:szCs w:val="20"/>
              </w:rPr>
            </w:pPr>
            <w:r w:rsidRPr="00EA304D">
              <w:rPr>
                <w:sz w:val="20"/>
                <w:szCs w:val="20"/>
              </w:rPr>
              <w:t>PLOCHY BYDLENÍ A SMÍŠENÉ OBYTNÉ</w:t>
            </w:r>
          </w:p>
        </w:tc>
      </w:tr>
      <w:tr w:rsidR="00EA304D" w:rsidRPr="00EA304D" w14:paraId="77737F99" w14:textId="77777777" w:rsidTr="00EA304D">
        <w:tc>
          <w:tcPr>
            <w:tcW w:w="1101" w:type="dxa"/>
          </w:tcPr>
          <w:p w14:paraId="1650AD2E" w14:textId="77777777" w:rsidR="00EA304D" w:rsidRPr="00D47F4C" w:rsidRDefault="00EA304D" w:rsidP="00EA304D">
            <w:pPr>
              <w:pStyle w:val="1text"/>
              <w:spacing w:before="40" w:after="40"/>
              <w:jc w:val="left"/>
              <w:rPr>
                <w:b/>
                <w:sz w:val="20"/>
                <w:szCs w:val="20"/>
              </w:rPr>
            </w:pPr>
            <w:r w:rsidRPr="00D47F4C">
              <w:rPr>
                <w:rFonts w:eastAsia="Times New Roman"/>
                <w:b/>
                <w:sz w:val="20"/>
                <w:szCs w:val="20"/>
                <w:lang w:eastAsia="cs-CZ"/>
              </w:rPr>
              <w:t>3</w:t>
            </w:r>
          </w:p>
        </w:tc>
        <w:tc>
          <w:tcPr>
            <w:tcW w:w="1984" w:type="dxa"/>
          </w:tcPr>
          <w:p w14:paraId="301074C9" w14:textId="77777777" w:rsidR="00EA304D" w:rsidRPr="00D47F4C" w:rsidRDefault="00EA304D" w:rsidP="00EA304D">
            <w:pPr>
              <w:pStyle w:val="1text"/>
              <w:spacing w:before="40" w:after="40"/>
              <w:jc w:val="left"/>
              <w:rPr>
                <w:b/>
                <w:sz w:val="20"/>
                <w:szCs w:val="20"/>
              </w:rPr>
            </w:pPr>
            <w:r w:rsidRPr="00D47F4C">
              <w:rPr>
                <w:rFonts w:eastAsia="Times New Roman"/>
                <w:b/>
                <w:sz w:val="20"/>
                <w:szCs w:val="20"/>
                <w:lang w:eastAsia="cs-CZ"/>
              </w:rPr>
              <w:t>Hrádek nad Nisou</w:t>
            </w:r>
          </w:p>
        </w:tc>
        <w:tc>
          <w:tcPr>
            <w:tcW w:w="1134" w:type="dxa"/>
          </w:tcPr>
          <w:p w14:paraId="025D09E8" w14:textId="77777777" w:rsidR="00750210" w:rsidRPr="00D47F4C" w:rsidRDefault="00750210" w:rsidP="00750210">
            <w:pPr>
              <w:pStyle w:val="1text"/>
              <w:spacing w:before="40" w:after="40"/>
              <w:jc w:val="right"/>
              <w:rPr>
                <w:b/>
                <w:sz w:val="20"/>
                <w:szCs w:val="20"/>
              </w:rPr>
            </w:pPr>
            <w:r w:rsidRPr="00D47F4C">
              <w:rPr>
                <w:b/>
                <w:sz w:val="20"/>
                <w:szCs w:val="20"/>
              </w:rPr>
              <w:t>0,130</w:t>
            </w:r>
          </w:p>
        </w:tc>
        <w:tc>
          <w:tcPr>
            <w:tcW w:w="1134" w:type="dxa"/>
          </w:tcPr>
          <w:p w14:paraId="4651B650" w14:textId="77777777" w:rsidR="00EA304D" w:rsidRPr="00D47F4C" w:rsidRDefault="00A30E4B" w:rsidP="00EA304D">
            <w:pPr>
              <w:pStyle w:val="1text"/>
              <w:spacing w:before="40" w:after="40"/>
              <w:jc w:val="right"/>
              <w:rPr>
                <w:b/>
                <w:sz w:val="20"/>
                <w:szCs w:val="20"/>
              </w:rPr>
            </w:pPr>
            <w:r w:rsidRPr="00D47F4C">
              <w:rPr>
                <w:b/>
                <w:sz w:val="20"/>
                <w:szCs w:val="20"/>
              </w:rPr>
              <w:t>0,130</w:t>
            </w:r>
          </w:p>
        </w:tc>
        <w:tc>
          <w:tcPr>
            <w:tcW w:w="3859" w:type="dxa"/>
          </w:tcPr>
          <w:p w14:paraId="47CBFB46" w14:textId="77777777" w:rsidR="00EA304D" w:rsidRPr="00D47F4C" w:rsidRDefault="00EA304D" w:rsidP="00EA304D">
            <w:pPr>
              <w:pStyle w:val="1text"/>
              <w:spacing w:before="40" w:after="40"/>
              <w:jc w:val="left"/>
              <w:rPr>
                <w:b/>
                <w:sz w:val="20"/>
                <w:szCs w:val="20"/>
              </w:rPr>
            </w:pPr>
            <w:r w:rsidRPr="00D47F4C">
              <w:rPr>
                <w:b/>
                <w:sz w:val="20"/>
                <w:szCs w:val="20"/>
              </w:rPr>
              <w:t>realizován</w:t>
            </w:r>
            <w:r w:rsidR="00A30E4B" w:rsidRPr="00D47F4C">
              <w:rPr>
                <w:b/>
                <w:sz w:val="20"/>
                <w:szCs w:val="20"/>
              </w:rPr>
              <w:t xml:space="preserve">y </w:t>
            </w:r>
            <w:r w:rsidR="00F929D8" w:rsidRPr="00D47F4C">
              <w:rPr>
                <w:b/>
                <w:sz w:val="20"/>
                <w:szCs w:val="20"/>
              </w:rPr>
              <w:t xml:space="preserve">2 </w:t>
            </w:r>
            <w:r w:rsidR="00A30E4B" w:rsidRPr="00D47F4C">
              <w:rPr>
                <w:b/>
                <w:sz w:val="20"/>
                <w:szCs w:val="20"/>
              </w:rPr>
              <w:t>bytové domy</w:t>
            </w:r>
          </w:p>
        </w:tc>
      </w:tr>
      <w:tr w:rsidR="00EA304D" w:rsidRPr="00EA304D" w14:paraId="2D763E9C" w14:textId="77777777" w:rsidTr="00EA304D">
        <w:tc>
          <w:tcPr>
            <w:tcW w:w="1101" w:type="dxa"/>
          </w:tcPr>
          <w:p w14:paraId="24F30240" w14:textId="77777777" w:rsidR="00EA304D" w:rsidRPr="00EA304D" w:rsidRDefault="00EA304D" w:rsidP="00F929D8">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4 </w:t>
            </w:r>
          </w:p>
        </w:tc>
        <w:tc>
          <w:tcPr>
            <w:tcW w:w="1984" w:type="dxa"/>
          </w:tcPr>
          <w:p w14:paraId="19AA19DC" w14:textId="77777777" w:rsidR="00EA304D" w:rsidRPr="00EA304D" w:rsidRDefault="00EA304D"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DAEC0C6" w14:textId="77777777" w:rsidR="00EA304D" w:rsidRPr="00F75F9C" w:rsidRDefault="0094329C" w:rsidP="00EA304D">
            <w:pPr>
              <w:spacing w:before="40" w:after="40" w:line="240" w:lineRule="auto"/>
              <w:jc w:val="right"/>
              <w:rPr>
                <w:rFonts w:eastAsia="Times New Roman"/>
                <w:sz w:val="20"/>
                <w:szCs w:val="20"/>
                <w:highlight w:val="yellow"/>
                <w:lang w:eastAsia="cs-CZ"/>
              </w:rPr>
            </w:pPr>
            <w:r w:rsidRPr="0094329C">
              <w:rPr>
                <w:rFonts w:eastAsia="Times New Roman"/>
                <w:sz w:val="20"/>
                <w:szCs w:val="20"/>
                <w:lang w:eastAsia="cs-CZ"/>
              </w:rPr>
              <w:t>0,244</w:t>
            </w:r>
          </w:p>
        </w:tc>
        <w:tc>
          <w:tcPr>
            <w:tcW w:w="1134" w:type="dxa"/>
          </w:tcPr>
          <w:p w14:paraId="24263A15" w14:textId="77777777" w:rsidR="00EA304D" w:rsidRPr="00F75F9C" w:rsidRDefault="00A30E4B" w:rsidP="00296CA3">
            <w:pPr>
              <w:pStyle w:val="1text"/>
              <w:spacing w:before="40" w:after="40"/>
              <w:jc w:val="right"/>
              <w:rPr>
                <w:sz w:val="20"/>
                <w:szCs w:val="20"/>
                <w:highlight w:val="yellow"/>
              </w:rPr>
            </w:pPr>
            <w:r w:rsidRPr="00296CA3">
              <w:rPr>
                <w:sz w:val="20"/>
                <w:szCs w:val="20"/>
              </w:rPr>
              <w:t>0,0</w:t>
            </w:r>
            <w:r w:rsidR="00296CA3" w:rsidRPr="00296CA3">
              <w:rPr>
                <w:sz w:val="20"/>
                <w:szCs w:val="20"/>
              </w:rPr>
              <w:t>22</w:t>
            </w:r>
          </w:p>
        </w:tc>
        <w:tc>
          <w:tcPr>
            <w:tcW w:w="3859" w:type="dxa"/>
          </w:tcPr>
          <w:p w14:paraId="698EFC69" w14:textId="77777777" w:rsidR="00EA304D" w:rsidRPr="00EA304D" w:rsidRDefault="00A30E4B" w:rsidP="00EA304D">
            <w:pPr>
              <w:pStyle w:val="1text"/>
              <w:spacing w:before="40" w:after="40"/>
              <w:jc w:val="left"/>
              <w:rPr>
                <w:sz w:val="20"/>
                <w:szCs w:val="20"/>
              </w:rPr>
            </w:pPr>
            <w:r>
              <w:rPr>
                <w:sz w:val="20"/>
                <w:szCs w:val="20"/>
              </w:rPr>
              <w:t>část plochy využita pro zahrady přilehlých RD</w:t>
            </w:r>
          </w:p>
        </w:tc>
      </w:tr>
      <w:tr w:rsidR="00EA304D" w:rsidRPr="00EA304D" w14:paraId="38DBD4DC" w14:textId="77777777" w:rsidTr="00EA304D">
        <w:tc>
          <w:tcPr>
            <w:tcW w:w="1101" w:type="dxa"/>
          </w:tcPr>
          <w:p w14:paraId="2C4CA0D1" w14:textId="77777777" w:rsidR="00EA304D" w:rsidRPr="00EA304D" w:rsidRDefault="00EA304D"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5</w:t>
            </w:r>
          </w:p>
        </w:tc>
        <w:tc>
          <w:tcPr>
            <w:tcW w:w="1984" w:type="dxa"/>
          </w:tcPr>
          <w:p w14:paraId="12C249F8" w14:textId="77777777" w:rsidR="00EA304D" w:rsidRPr="00EA304D" w:rsidRDefault="00EA304D"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429C72FB" w14:textId="77777777" w:rsidR="00EA304D" w:rsidRPr="00266F0A" w:rsidRDefault="00EA304D"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0,201</w:t>
            </w:r>
          </w:p>
        </w:tc>
        <w:tc>
          <w:tcPr>
            <w:tcW w:w="1134" w:type="dxa"/>
          </w:tcPr>
          <w:p w14:paraId="06F3D064" w14:textId="77777777" w:rsidR="00EA304D" w:rsidRPr="00EA304D" w:rsidRDefault="00EA304D" w:rsidP="00EA304D">
            <w:pPr>
              <w:pStyle w:val="1text"/>
              <w:spacing w:before="40" w:after="40"/>
              <w:jc w:val="right"/>
              <w:rPr>
                <w:sz w:val="20"/>
                <w:szCs w:val="20"/>
              </w:rPr>
            </w:pPr>
            <w:r w:rsidRPr="00EA304D">
              <w:rPr>
                <w:sz w:val="20"/>
                <w:szCs w:val="20"/>
              </w:rPr>
              <w:t>0</w:t>
            </w:r>
          </w:p>
        </w:tc>
        <w:tc>
          <w:tcPr>
            <w:tcW w:w="3859" w:type="dxa"/>
          </w:tcPr>
          <w:p w14:paraId="528E5190" w14:textId="77777777" w:rsidR="00EA304D" w:rsidRPr="00EA304D" w:rsidRDefault="00EA304D" w:rsidP="00EA304D">
            <w:pPr>
              <w:pStyle w:val="1text"/>
              <w:spacing w:before="40" w:after="40"/>
              <w:jc w:val="left"/>
              <w:rPr>
                <w:sz w:val="20"/>
                <w:szCs w:val="20"/>
              </w:rPr>
            </w:pPr>
            <w:r w:rsidRPr="00EA304D">
              <w:rPr>
                <w:sz w:val="20"/>
                <w:szCs w:val="20"/>
              </w:rPr>
              <w:t>nerealizováno, aktivní zóna záplového území</w:t>
            </w:r>
          </w:p>
        </w:tc>
      </w:tr>
      <w:tr w:rsidR="00EA304D" w:rsidRPr="00EA304D" w14:paraId="67CF123A" w14:textId="77777777" w:rsidTr="00EA304D">
        <w:tc>
          <w:tcPr>
            <w:tcW w:w="1101" w:type="dxa"/>
          </w:tcPr>
          <w:p w14:paraId="6481C3B4" w14:textId="77777777" w:rsidR="00EA304D" w:rsidRPr="00EA304D" w:rsidRDefault="00EA304D"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20</w:t>
            </w:r>
          </w:p>
        </w:tc>
        <w:tc>
          <w:tcPr>
            <w:tcW w:w="1984" w:type="dxa"/>
          </w:tcPr>
          <w:p w14:paraId="613DAAAD" w14:textId="77777777" w:rsidR="00EA304D" w:rsidRPr="00EA304D" w:rsidRDefault="00EA304D"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15C9AA55" w14:textId="77777777" w:rsidR="00EA304D" w:rsidRPr="00266F0A" w:rsidRDefault="00EA304D"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0,736</w:t>
            </w:r>
          </w:p>
        </w:tc>
        <w:tc>
          <w:tcPr>
            <w:tcW w:w="1134" w:type="dxa"/>
          </w:tcPr>
          <w:p w14:paraId="74983F8A" w14:textId="77777777" w:rsidR="00EA304D" w:rsidRPr="00EA304D" w:rsidRDefault="00A30E4B" w:rsidP="00EA304D">
            <w:pPr>
              <w:pStyle w:val="1text"/>
              <w:spacing w:before="40" w:after="40"/>
              <w:jc w:val="right"/>
              <w:rPr>
                <w:sz w:val="20"/>
                <w:szCs w:val="20"/>
              </w:rPr>
            </w:pPr>
            <w:r>
              <w:rPr>
                <w:sz w:val="20"/>
                <w:szCs w:val="20"/>
              </w:rPr>
              <w:t>0</w:t>
            </w:r>
          </w:p>
        </w:tc>
        <w:tc>
          <w:tcPr>
            <w:tcW w:w="3859" w:type="dxa"/>
          </w:tcPr>
          <w:p w14:paraId="0FCA87F9" w14:textId="77777777" w:rsidR="00EA304D" w:rsidRPr="00EA304D" w:rsidRDefault="00A30E4B" w:rsidP="00EA304D">
            <w:pPr>
              <w:pStyle w:val="1text"/>
              <w:spacing w:before="40" w:after="40"/>
              <w:jc w:val="left"/>
              <w:rPr>
                <w:sz w:val="20"/>
                <w:szCs w:val="20"/>
              </w:rPr>
            </w:pPr>
            <w:r>
              <w:rPr>
                <w:sz w:val="20"/>
                <w:szCs w:val="20"/>
              </w:rPr>
              <w:t>dosud nerealizováno</w:t>
            </w:r>
          </w:p>
        </w:tc>
      </w:tr>
      <w:tr w:rsidR="00A30E4B" w:rsidRPr="00EA304D" w14:paraId="68E9B461" w14:textId="77777777" w:rsidTr="00EA304D">
        <w:tc>
          <w:tcPr>
            <w:tcW w:w="1101" w:type="dxa"/>
          </w:tcPr>
          <w:p w14:paraId="0DFB32CF" w14:textId="77777777" w:rsidR="00A30E4B" w:rsidRPr="00D47F4C" w:rsidRDefault="00A30E4B" w:rsidP="00F929D8">
            <w:pPr>
              <w:pStyle w:val="1text"/>
              <w:spacing w:before="40" w:after="40"/>
              <w:jc w:val="left"/>
              <w:rPr>
                <w:rFonts w:eastAsia="Times New Roman"/>
                <w:b/>
                <w:sz w:val="20"/>
                <w:szCs w:val="20"/>
                <w:lang w:eastAsia="cs-CZ"/>
              </w:rPr>
            </w:pPr>
            <w:r w:rsidRPr="00D47F4C">
              <w:rPr>
                <w:rFonts w:eastAsia="Times New Roman"/>
                <w:b/>
                <w:sz w:val="20"/>
                <w:szCs w:val="20"/>
                <w:lang w:eastAsia="cs-CZ"/>
              </w:rPr>
              <w:t xml:space="preserve">28 </w:t>
            </w:r>
          </w:p>
        </w:tc>
        <w:tc>
          <w:tcPr>
            <w:tcW w:w="1984" w:type="dxa"/>
          </w:tcPr>
          <w:p w14:paraId="78D8ECB6" w14:textId="77777777" w:rsidR="00A30E4B" w:rsidRPr="00D47F4C" w:rsidRDefault="00A30E4B"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34FE0731" w14:textId="77777777" w:rsidR="00A30E4B" w:rsidRPr="00D47F4C" w:rsidRDefault="00A30E4B"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0,281</w:t>
            </w:r>
          </w:p>
        </w:tc>
        <w:tc>
          <w:tcPr>
            <w:tcW w:w="1134" w:type="dxa"/>
          </w:tcPr>
          <w:p w14:paraId="1066AD0F" w14:textId="77777777" w:rsidR="00A30E4B" w:rsidRPr="00D47F4C" w:rsidRDefault="00A30E4B" w:rsidP="00EA304D">
            <w:pPr>
              <w:pStyle w:val="1text"/>
              <w:spacing w:before="40" w:after="40"/>
              <w:jc w:val="right"/>
              <w:rPr>
                <w:b/>
                <w:sz w:val="20"/>
                <w:szCs w:val="20"/>
              </w:rPr>
            </w:pPr>
            <w:r w:rsidRPr="00D47F4C">
              <w:rPr>
                <w:rFonts w:eastAsia="Times New Roman"/>
                <w:b/>
                <w:sz w:val="20"/>
                <w:szCs w:val="20"/>
                <w:lang w:eastAsia="cs-CZ"/>
              </w:rPr>
              <w:t>0,281</w:t>
            </w:r>
          </w:p>
        </w:tc>
        <w:tc>
          <w:tcPr>
            <w:tcW w:w="3859" w:type="dxa"/>
          </w:tcPr>
          <w:p w14:paraId="4E09CC26" w14:textId="77777777" w:rsidR="00A30E4B" w:rsidRPr="00D47F4C" w:rsidRDefault="00F929D8" w:rsidP="00EA304D">
            <w:pPr>
              <w:pStyle w:val="1text"/>
              <w:spacing w:before="40" w:after="40"/>
              <w:jc w:val="left"/>
              <w:rPr>
                <w:b/>
                <w:sz w:val="20"/>
                <w:szCs w:val="20"/>
              </w:rPr>
            </w:pPr>
            <w:r w:rsidRPr="00D47F4C">
              <w:rPr>
                <w:b/>
                <w:sz w:val="20"/>
                <w:szCs w:val="20"/>
              </w:rPr>
              <w:t xml:space="preserve">realizovány 2 RD a řadové garáže </w:t>
            </w:r>
          </w:p>
        </w:tc>
      </w:tr>
      <w:tr w:rsidR="00F929D8" w:rsidRPr="00EA304D" w14:paraId="135B119F" w14:textId="77777777" w:rsidTr="00EA304D">
        <w:tc>
          <w:tcPr>
            <w:tcW w:w="1101" w:type="dxa"/>
          </w:tcPr>
          <w:p w14:paraId="68B9E0A0" w14:textId="77777777" w:rsidR="00F929D8" w:rsidRPr="00D47F4C" w:rsidRDefault="00F929D8"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29</w:t>
            </w:r>
          </w:p>
        </w:tc>
        <w:tc>
          <w:tcPr>
            <w:tcW w:w="1984" w:type="dxa"/>
          </w:tcPr>
          <w:p w14:paraId="3DEB4FD6" w14:textId="77777777" w:rsidR="00F929D8" w:rsidRPr="00D47F4C" w:rsidRDefault="00F929D8"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0762AC4C" w14:textId="77777777" w:rsidR="00F929D8" w:rsidRPr="00D47F4C" w:rsidRDefault="00F929D8"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0,059</w:t>
            </w:r>
          </w:p>
        </w:tc>
        <w:tc>
          <w:tcPr>
            <w:tcW w:w="1134" w:type="dxa"/>
          </w:tcPr>
          <w:p w14:paraId="6F789422" w14:textId="77777777" w:rsidR="00F929D8" w:rsidRPr="00D47F4C" w:rsidRDefault="00F929D8" w:rsidP="00EA304D">
            <w:pPr>
              <w:pStyle w:val="1text"/>
              <w:spacing w:before="40" w:after="40"/>
              <w:jc w:val="right"/>
              <w:rPr>
                <w:b/>
                <w:sz w:val="20"/>
                <w:szCs w:val="20"/>
              </w:rPr>
            </w:pPr>
            <w:r w:rsidRPr="00D47F4C">
              <w:rPr>
                <w:rFonts w:eastAsia="Times New Roman"/>
                <w:b/>
                <w:sz w:val="20"/>
                <w:szCs w:val="20"/>
                <w:lang w:eastAsia="cs-CZ"/>
              </w:rPr>
              <w:t>0,059</w:t>
            </w:r>
          </w:p>
        </w:tc>
        <w:tc>
          <w:tcPr>
            <w:tcW w:w="3859" w:type="dxa"/>
          </w:tcPr>
          <w:p w14:paraId="7FD7C2DA" w14:textId="77777777" w:rsidR="00F929D8" w:rsidRPr="00D47F4C" w:rsidRDefault="00F929D8" w:rsidP="00EA304D">
            <w:pPr>
              <w:pStyle w:val="1text"/>
              <w:spacing w:before="40" w:after="40"/>
              <w:jc w:val="left"/>
              <w:rPr>
                <w:b/>
                <w:sz w:val="20"/>
                <w:szCs w:val="20"/>
              </w:rPr>
            </w:pPr>
            <w:r w:rsidRPr="00D47F4C">
              <w:rPr>
                <w:b/>
                <w:sz w:val="20"/>
                <w:szCs w:val="20"/>
              </w:rPr>
              <w:t>realizován 1 RD</w:t>
            </w:r>
          </w:p>
        </w:tc>
      </w:tr>
      <w:tr w:rsidR="00F929D8" w:rsidRPr="00EA304D" w14:paraId="1D61133B" w14:textId="77777777" w:rsidTr="00EA304D">
        <w:tc>
          <w:tcPr>
            <w:tcW w:w="1101" w:type="dxa"/>
          </w:tcPr>
          <w:p w14:paraId="27BFADF2"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31</w:t>
            </w:r>
          </w:p>
        </w:tc>
        <w:tc>
          <w:tcPr>
            <w:tcW w:w="1984" w:type="dxa"/>
          </w:tcPr>
          <w:p w14:paraId="7F80E4B1"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0ED25AF5" w14:textId="77777777" w:rsidR="00F929D8" w:rsidRPr="00EA304D" w:rsidRDefault="00F929D8" w:rsidP="00EA304D">
            <w:pPr>
              <w:pStyle w:val="1text"/>
              <w:spacing w:before="40" w:after="40"/>
              <w:jc w:val="right"/>
              <w:rPr>
                <w:sz w:val="20"/>
                <w:szCs w:val="20"/>
              </w:rPr>
            </w:pPr>
            <w:r>
              <w:rPr>
                <w:sz w:val="20"/>
                <w:szCs w:val="20"/>
              </w:rPr>
              <w:t>0,235</w:t>
            </w:r>
          </w:p>
        </w:tc>
        <w:tc>
          <w:tcPr>
            <w:tcW w:w="1134" w:type="dxa"/>
          </w:tcPr>
          <w:p w14:paraId="36F817D6" w14:textId="77777777" w:rsidR="00F929D8" w:rsidRPr="00EA304D" w:rsidRDefault="00F929D8" w:rsidP="00EA304D">
            <w:pPr>
              <w:pStyle w:val="1text"/>
              <w:spacing w:before="40" w:after="40"/>
              <w:jc w:val="right"/>
              <w:rPr>
                <w:sz w:val="20"/>
                <w:szCs w:val="20"/>
              </w:rPr>
            </w:pPr>
            <w:r>
              <w:rPr>
                <w:sz w:val="20"/>
                <w:szCs w:val="20"/>
              </w:rPr>
              <w:t>0,107</w:t>
            </w:r>
          </w:p>
        </w:tc>
        <w:tc>
          <w:tcPr>
            <w:tcW w:w="3859" w:type="dxa"/>
          </w:tcPr>
          <w:p w14:paraId="66B7345F" w14:textId="77777777" w:rsidR="00F929D8" w:rsidRPr="00EA304D" w:rsidRDefault="00F929D8" w:rsidP="00EA304D">
            <w:pPr>
              <w:pStyle w:val="1text"/>
              <w:spacing w:before="40" w:after="40"/>
              <w:jc w:val="left"/>
              <w:rPr>
                <w:sz w:val="20"/>
                <w:szCs w:val="20"/>
              </w:rPr>
            </w:pPr>
            <w:r>
              <w:rPr>
                <w:sz w:val="20"/>
                <w:szCs w:val="20"/>
              </w:rPr>
              <w:t>realizován 1 RD</w:t>
            </w:r>
          </w:p>
        </w:tc>
      </w:tr>
      <w:tr w:rsidR="00F929D8" w:rsidRPr="00EA304D" w14:paraId="3D5FCE51" w14:textId="77777777" w:rsidTr="00EA304D">
        <w:tc>
          <w:tcPr>
            <w:tcW w:w="1101" w:type="dxa"/>
          </w:tcPr>
          <w:p w14:paraId="302B756F"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32</w:t>
            </w:r>
          </w:p>
        </w:tc>
        <w:tc>
          <w:tcPr>
            <w:tcW w:w="1984" w:type="dxa"/>
          </w:tcPr>
          <w:p w14:paraId="0E44E33E"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03CE72AE" w14:textId="77777777" w:rsidR="00F929D8" w:rsidRPr="00EA304D" w:rsidRDefault="00F929D8" w:rsidP="00EA304D">
            <w:pPr>
              <w:spacing w:before="40" w:after="40"/>
              <w:jc w:val="right"/>
              <w:rPr>
                <w:sz w:val="20"/>
                <w:szCs w:val="20"/>
              </w:rPr>
            </w:pPr>
            <w:r w:rsidRPr="00EA304D">
              <w:rPr>
                <w:sz w:val="20"/>
                <w:szCs w:val="20"/>
              </w:rPr>
              <w:t>1,397</w:t>
            </w:r>
          </w:p>
        </w:tc>
        <w:tc>
          <w:tcPr>
            <w:tcW w:w="1134" w:type="dxa"/>
          </w:tcPr>
          <w:p w14:paraId="221236AF" w14:textId="77777777" w:rsidR="00F929D8" w:rsidRPr="00EA304D" w:rsidRDefault="00F929D8" w:rsidP="00EA304D">
            <w:pPr>
              <w:pStyle w:val="1text"/>
              <w:spacing w:before="40" w:after="40"/>
              <w:jc w:val="right"/>
              <w:rPr>
                <w:sz w:val="20"/>
                <w:szCs w:val="20"/>
              </w:rPr>
            </w:pPr>
            <w:r>
              <w:rPr>
                <w:sz w:val="20"/>
                <w:szCs w:val="20"/>
              </w:rPr>
              <w:t>1,304</w:t>
            </w:r>
          </w:p>
        </w:tc>
        <w:tc>
          <w:tcPr>
            <w:tcW w:w="3859" w:type="dxa"/>
          </w:tcPr>
          <w:p w14:paraId="2FC89744" w14:textId="77777777" w:rsidR="00F929D8" w:rsidRPr="00EA304D" w:rsidRDefault="00F929D8" w:rsidP="00EA304D">
            <w:pPr>
              <w:pStyle w:val="1text"/>
              <w:spacing w:before="40" w:after="40"/>
              <w:jc w:val="left"/>
              <w:rPr>
                <w:sz w:val="20"/>
                <w:szCs w:val="20"/>
              </w:rPr>
            </w:pPr>
            <w:r>
              <w:rPr>
                <w:sz w:val="20"/>
                <w:szCs w:val="20"/>
              </w:rPr>
              <w:t>realizován 1 RD, zbývající část dosud nevyužita z důvodu chybějících komunikací a sítí</w:t>
            </w:r>
          </w:p>
        </w:tc>
      </w:tr>
      <w:tr w:rsidR="00F929D8" w:rsidRPr="00EA304D" w14:paraId="0EC7B2F1" w14:textId="77777777" w:rsidTr="00EA304D">
        <w:tc>
          <w:tcPr>
            <w:tcW w:w="1101" w:type="dxa"/>
          </w:tcPr>
          <w:p w14:paraId="1F7ABF43"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33</w:t>
            </w:r>
          </w:p>
        </w:tc>
        <w:tc>
          <w:tcPr>
            <w:tcW w:w="1984" w:type="dxa"/>
          </w:tcPr>
          <w:p w14:paraId="43082BE8"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B893075" w14:textId="77777777" w:rsidR="00F929D8" w:rsidRPr="00EA304D" w:rsidRDefault="00F929D8" w:rsidP="00EA304D">
            <w:pPr>
              <w:spacing w:before="40" w:after="40"/>
              <w:jc w:val="right"/>
              <w:rPr>
                <w:sz w:val="20"/>
                <w:szCs w:val="20"/>
              </w:rPr>
            </w:pPr>
            <w:r w:rsidRPr="00EA304D">
              <w:rPr>
                <w:sz w:val="20"/>
                <w:szCs w:val="20"/>
              </w:rPr>
              <w:t>0,330</w:t>
            </w:r>
          </w:p>
        </w:tc>
        <w:tc>
          <w:tcPr>
            <w:tcW w:w="1134" w:type="dxa"/>
          </w:tcPr>
          <w:p w14:paraId="4914D5CA" w14:textId="77777777" w:rsidR="00F929D8" w:rsidRPr="00EA304D" w:rsidRDefault="00F929D8" w:rsidP="00EA304D">
            <w:pPr>
              <w:pStyle w:val="1text"/>
              <w:spacing w:before="40" w:after="40"/>
              <w:jc w:val="right"/>
              <w:rPr>
                <w:sz w:val="20"/>
                <w:szCs w:val="20"/>
              </w:rPr>
            </w:pPr>
            <w:r>
              <w:rPr>
                <w:sz w:val="20"/>
                <w:szCs w:val="20"/>
              </w:rPr>
              <w:t>0</w:t>
            </w:r>
          </w:p>
        </w:tc>
        <w:tc>
          <w:tcPr>
            <w:tcW w:w="3859" w:type="dxa"/>
          </w:tcPr>
          <w:p w14:paraId="3F5A85B1" w14:textId="77777777" w:rsidR="00F929D8" w:rsidRPr="00EA304D" w:rsidRDefault="00F929D8" w:rsidP="00EA304D">
            <w:pPr>
              <w:pStyle w:val="1text"/>
              <w:spacing w:before="40" w:after="40"/>
              <w:jc w:val="left"/>
              <w:rPr>
                <w:sz w:val="20"/>
                <w:szCs w:val="20"/>
              </w:rPr>
            </w:pPr>
            <w:r>
              <w:rPr>
                <w:sz w:val="20"/>
                <w:szCs w:val="20"/>
              </w:rPr>
              <w:t>dosud nerealizováno z důvodu chybějících komunikací a sítí</w:t>
            </w:r>
          </w:p>
        </w:tc>
      </w:tr>
      <w:tr w:rsidR="00F929D8" w:rsidRPr="00EA304D" w14:paraId="1EE69878" w14:textId="77777777" w:rsidTr="00EA304D">
        <w:tc>
          <w:tcPr>
            <w:tcW w:w="1101" w:type="dxa"/>
          </w:tcPr>
          <w:p w14:paraId="1E2880A6" w14:textId="77777777" w:rsidR="00F929D8" w:rsidRPr="00D47F4C" w:rsidRDefault="00F929D8" w:rsidP="00F929D8">
            <w:pPr>
              <w:pStyle w:val="1text"/>
              <w:spacing w:before="40" w:after="40"/>
              <w:jc w:val="left"/>
              <w:rPr>
                <w:rFonts w:eastAsia="Times New Roman"/>
                <w:b/>
                <w:sz w:val="20"/>
                <w:szCs w:val="20"/>
                <w:lang w:eastAsia="cs-CZ"/>
              </w:rPr>
            </w:pPr>
            <w:r w:rsidRPr="00D47F4C">
              <w:rPr>
                <w:rFonts w:eastAsia="Times New Roman"/>
                <w:b/>
                <w:sz w:val="20"/>
                <w:szCs w:val="20"/>
                <w:lang w:eastAsia="cs-CZ"/>
              </w:rPr>
              <w:t xml:space="preserve">34 </w:t>
            </w:r>
          </w:p>
        </w:tc>
        <w:tc>
          <w:tcPr>
            <w:tcW w:w="1984" w:type="dxa"/>
          </w:tcPr>
          <w:p w14:paraId="12DC2385" w14:textId="77777777" w:rsidR="00F929D8" w:rsidRPr="00D47F4C" w:rsidRDefault="00F929D8"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224B562C" w14:textId="77777777" w:rsidR="00F929D8" w:rsidRPr="00296CA3" w:rsidRDefault="00296CA3" w:rsidP="00EA304D">
            <w:pPr>
              <w:pStyle w:val="1text"/>
              <w:spacing w:before="40" w:after="40"/>
              <w:jc w:val="right"/>
              <w:rPr>
                <w:b/>
                <w:sz w:val="20"/>
                <w:szCs w:val="20"/>
              </w:rPr>
            </w:pPr>
            <w:r w:rsidRPr="00296CA3">
              <w:rPr>
                <w:b/>
                <w:sz w:val="20"/>
                <w:szCs w:val="20"/>
              </w:rPr>
              <w:t>2,173</w:t>
            </w:r>
          </w:p>
        </w:tc>
        <w:tc>
          <w:tcPr>
            <w:tcW w:w="1134" w:type="dxa"/>
          </w:tcPr>
          <w:p w14:paraId="3F3599F2" w14:textId="77777777" w:rsidR="00F929D8" w:rsidRPr="00296CA3" w:rsidRDefault="00296CA3" w:rsidP="00EA304D">
            <w:pPr>
              <w:pStyle w:val="1text"/>
              <w:spacing w:before="40" w:after="40"/>
              <w:jc w:val="right"/>
              <w:rPr>
                <w:b/>
                <w:sz w:val="20"/>
                <w:szCs w:val="20"/>
              </w:rPr>
            </w:pPr>
            <w:r w:rsidRPr="00296CA3">
              <w:rPr>
                <w:b/>
                <w:sz w:val="20"/>
                <w:szCs w:val="20"/>
              </w:rPr>
              <w:t>2,173</w:t>
            </w:r>
          </w:p>
        </w:tc>
        <w:tc>
          <w:tcPr>
            <w:tcW w:w="3859" w:type="dxa"/>
          </w:tcPr>
          <w:p w14:paraId="065FA917" w14:textId="77777777" w:rsidR="00F929D8" w:rsidRPr="00D47F4C" w:rsidRDefault="00F929D8" w:rsidP="00EA304D">
            <w:pPr>
              <w:pStyle w:val="1text"/>
              <w:spacing w:before="40" w:after="40"/>
              <w:jc w:val="left"/>
              <w:rPr>
                <w:b/>
                <w:sz w:val="20"/>
                <w:szCs w:val="20"/>
              </w:rPr>
            </w:pPr>
            <w:r w:rsidRPr="00D47F4C">
              <w:rPr>
                <w:b/>
                <w:sz w:val="20"/>
                <w:szCs w:val="20"/>
              </w:rPr>
              <w:t>zastavěno rodinnými domy</w:t>
            </w:r>
          </w:p>
        </w:tc>
      </w:tr>
      <w:tr w:rsidR="00F929D8" w:rsidRPr="00EA304D" w14:paraId="3B1A16F1" w14:textId="77777777" w:rsidTr="00EA304D">
        <w:tc>
          <w:tcPr>
            <w:tcW w:w="1101" w:type="dxa"/>
          </w:tcPr>
          <w:p w14:paraId="0F740784" w14:textId="77777777" w:rsidR="00F929D8" w:rsidRPr="00D47F4C" w:rsidRDefault="00F929D8" w:rsidP="00F929D8">
            <w:pPr>
              <w:pStyle w:val="1text"/>
              <w:spacing w:before="40" w:after="40"/>
              <w:jc w:val="left"/>
              <w:rPr>
                <w:rFonts w:eastAsia="Times New Roman"/>
                <w:b/>
                <w:sz w:val="20"/>
                <w:szCs w:val="20"/>
                <w:lang w:eastAsia="cs-CZ"/>
              </w:rPr>
            </w:pPr>
            <w:r w:rsidRPr="00D47F4C">
              <w:rPr>
                <w:rFonts w:eastAsia="Times New Roman"/>
                <w:b/>
                <w:sz w:val="20"/>
                <w:szCs w:val="20"/>
                <w:lang w:eastAsia="cs-CZ"/>
              </w:rPr>
              <w:t>35</w:t>
            </w:r>
          </w:p>
        </w:tc>
        <w:tc>
          <w:tcPr>
            <w:tcW w:w="1984" w:type="dxa"/>
          </w:tcPr>
          <w:p w14:paraId="71511736" w14:textId="77777777" w:rsidR="00F929D8" w:rsidRPr="00D47F4C" w:rsidRDefault="00F929D8"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4EF45EAA" w14:textId="77777777" w:rsidR="00F929D8" w:rsidRPr="00D47F4C" w:rsidRDefault="00F929D8" w:rsidP="00EA304D">
            <w:pPr>
              <w:spacing w:before="40" w:after="40"/>
              <w:jc w:val="right"/>
              <w:rPr>
                <w:b/>
                <w:sz w:val="20"/>
                <w:szCs w:val="20"/>
              </w:rPr>
            </w:pPr>
            <w:r w:rsidRPr="00D47F4C">
              <w:rPr>
                <w:b/>
                <w:sz w:val="20"/>
                <w:szCs w:val="20"/>
              </w:rPr>
              <w:t>1,236</w:t>
            </w:r>
          </w:p>
        </w:tc>
        <w:tc>
          <w:tcPr>
            <w:tcW w:w="1134" w:type="dxa"/>
          </w:tcPr>
          <w:p w14:paraId="0FE076E7" w14:textId="77777777" w:rsidR="00F929D8" w:rsidRPr="00D47F4C" w:rsidRDefault="00F929D8" w:rsidP="00EA304D">
            <w:pPr>
              <w:pStyle w:val="1text"/>
              <w:spacing w:before="40" w:after="40"/>
              <w:jc w:val="right"/>
              <w:rPr>
                <w:b/>
                <w:sz w:val="20"/>
                <w:szCs w:val="20"/>
              </w:rPr>
            </w:pPr>
            <w:r w:rsidRPr="00D47F4C">
              <w:rPr>
                <w:b/>
                <w:sz w:val="20"/>
                <w:szCs w:val="20"/>
              </w:rPr>
              <w:t>1,236</w:t>
            </w:r>
          </w:p>
        </w:tc>
        <w:tc>
          <w:tcPr>
            <w:tcW w:w="3859" w:type="dxa"/>
          </w:tcPr>
          <w:p w14:paraId="313E38E9" w14:textId="77777777" w:rsidR="00F929D8" w:rsidRPr="00D47F4C" w:rsidRDefault="00F929D8" w:rsidP="00EA304D">
            <w:pPr>
              <w:pStyle w:val="1text"/>
              <w:spacing w:before="40" w:after="40"/>
              <w:jc w:val="left"/>
              <w:rPr>
                <w:b/>
                <w:sz w:val="20"/>
                <w:szCs w:val="20"/>
              </w:rPr>
            </w:pPr>
            <w:r w:rsidRPr="00D47F4C">
              <w:rPr>
                <w:b/>
                <w:sz w:val="20"/>
                <w:szCs w:val="20"/>
              </w:rPr>
              <w:t>zastavěno rodinnými domy</w:t>
            </w:r>
          </w:p>
        </w:tc>
      </w:tr>
      <w:tr w:rsidR="00F929D8" w:rsidRPr="00EA304D" w14:paraId="343D5521" w14:textId="77777777" w:rsidTr="00EA304D">
        <w:tc>
          <w:tcPr>
            <w:tcW w:w="1101" w:type="dxa"/>
          </w:tcPr>
          <w:p w14:paraId="72EEDC49" w14:textId="77777777" w:rsidR="00F929D8" w:rsidRPr="00EA304D" w:rsidRDefault="00F929D8" w:rsidP="00F929D8">
            <w:pPr>
              <w:pStyle w:val="1text"/>
              <w:spacing w:before="40" w:after="40"/>
              <w:jc w:val="left"/>
              <w:rPr>
                <w:rFonts w:eastAsia="Times New Roman"/>
                <w:sz w:val="20"/>
                <w:szCs w:val="20"/>
                <w:lang w:eastAsia="cs-CZ"/>
              </w:rPr>
            </w:pPr>
            <w:r w:rsidRPr="00EA304D">
              <w:rPr>
                <w:rFonts w:eastAsia="Times New Roman"/>
                <w:sz w:val="20"/>
                <w:szCs w:val="20"/>
                <w:lang w:eastAsia="cs-CZ"/>
              </w:rPr>
              <w:t>36</w:t>
            </w:r>
          </w:p>
        </w:tc>
        <w:tc>
          <w:tcPr>
            <w:tcW w:w="1984" w:type="dxa"/>
          </w:tcPr>
          <w:p w14:paraId="5085DA53"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3A157B18" w14:textId="77777777" w:rsidR="00F929D8" w:rsidRPr="00EA304D" w:rsidRDefault="00F929D8" w:rsidP="00EA304D">
            <w:pPr>
              <w:spacing w:before="40" w:after="40"/>
              <w:jc w:val="right"/>
              <w:rPr>
                <w:sz w:val="20"/>
                <w:szCs w:val="20"/>
              </w:rPr>
            </w:pPr>
            <w:r w:rsidRPr="00EA304D">
              <w:rPr>
                <w:sz w:val="20"/>
                <w:szCs w:val="20"/>
              </w:rPr>
              <w:t>3,510</w:t>
            </w:r>
          </w:p>
        </w:tc>
        <w:tc>
          <w:tcPr>
            <w:tcW w:w="1134" w:type="dxa"/>
          </w:tcPr>
          <w:p w14:paraId="6520127F" w14:textId="77777777" w:rsidR="00F929D8" w:rsidRPr="00EA304D" w:rsidRDefault="00F929D8" w:rsidP="00EA304D">
            <w:pPr>
              <w:pStyle w:val="1text"/>
              <w:spacing w:before="40" w:after="40"/>
              <w:jc w:val="right"/>
              <w:rPr>
                <w:sz w:val="20"/>
                <w:szCs w:val="20"/>
              </w:rPr>
            </w:pPr>
            <w:r>
              <w:rPr>
                <w:sz w:val="20"/>
                <w:szCs w:val="20"/>
              </w:rPr>
              <w:t>0</w:t>
            </w:r>
          </w:p>
        </w:tc>
        <w:tc>
          <w:tcPr>
            <w:tcW w:w="3859" w:type="dxa"/>
          </w:tcPr>
          <w:p w14:paraId="1A72769E" w14:textId="77777777" w:rsidR="00F929D8" w:rsidRPr="00EA304D" w:rsidRDefault="00F929D8" w:rsidP="00EA304D">
            <w:pPr>
              <w:pStyle w:val="1text"/>
              <w:spacing w:before="40" w:after="40"/>
              <w:jc w:val="left"/>
              <w:rPr>
                <w:sz w:val="20"/>
                <w:szCs w:val="20"/>
              </w:rPr>
            </w:pPr>
            <w:r>
              <w:rPr>
                <w:sz w:val="20"/>
                <w:szCs w:val="20"/>
              </w:rPr>
              <w:t>dosud nerealizováno z důvodu chybějících komunikací a sítí</w:t>
            </w:r>
          </w:p>
        </w:tc>
      </w:tr>
      <w:tr w:rsidR="00F929D8" w:rsidRPr="00EA304D" w14:paraId="7E5719FE" w14:textId="77777777" w:rsidTr="00EA304D">
        <w:tc>
          <w:tcPr>
            <w:tcW w:w="1101" w:type="dxa"/>
          </w:tcPr>
          <w:p w14:paraId="2FF7A2A3" w14:textId="77777777" w:rsidR="00F929D8" w:rsidRPr="00EA304D" w:rsidRDefault="00F929D8" w:rsidP="00F929D8">
            <w:pPr>
              <w:pStyle w:val="1text"/>
              <w:spacing w:before="40" w:after="40"/>
              <w:jc w:val="left"/>
              <w:rPr>
                <w:rFonts w:eastAsia="Times New Roman"/>
                <w:sz w:val="20"/>
                <w:szCs w:val="20"/>
                <w:lang w:eastAsia="cs-CZ"/>
              </w:rPr>
            </w:pPr>
            <w:r>
              <w:rPr>
                <w:rFonts w:eastAsia="Times New Roman"/>
                <w:sz w:val="20"/>
                <w:szCs w:val="20"/>
                <w:lang w:eastAsia="cs-CZ"/>
              </w:rPr>
              <w:t xml:space="preserve">37 </w:t>
            </w:r>
          </w:p>
        </w:tc>
        <w:tc>
          <w:tcPr>
            <w:tcW w:w="1984" w:type="dxa"/>
          </w:tcPr>
          <w:p w14:paraId="4A272447" w14:textId="77777777" w:rsidR="00F929D8" w:rsidRPr="00EA304D" w:rsidRDefault="00F929D8" w:rsidP="00EA304D">
            <w:pPr>
              <w:pStyle w:val="1text"/>
              <w:spacing w:before="40" w:after="40"/>
              <w:jc w:val="left"/>
              <w:rPr>
                <w:rFonts w:eastAsia="Times New Roman"/>
                <w:sz w:val="20"/>
                <w:szCs w:val="20"/>
                <w:lang w:eastAsia="cs-CZ"/>
              </w:rPr>
            </w:pPr>
            <w:r>
              <w:rPr>
                <w:rFonts w:eastAsia="Times New Roman"/>
                <w:sz w:val="20"/>
                <w:szCs w:val="20"/>
                <w:lang w:eastAsia="cs-CZ"/>
              </w:rPr>
              <w:t>Hrádek nad Nisou</w:t>
            </w:r>
          </w:p>
        </w:tc>
        <w:tc>
          <w:tcPr>
            <w:tcW w:w="1134" w:type="dxa"/>
          </w:tcPr>
          <w:p w14:paraId="5AA78232" w14:textId="77777777" w:rsidR="00F929D8" w:rsidRPr="00266F0A" w:rsidRDefault="00F929D8" w:rsidP="00EA304D">
            <w:pPr>
              <w:spacing w:before="40" w:after="40" w:line="240" w:lineRule="auto"/>
              <w:jc w:val="right"/>
              <w:rPr>
                <w:rFonts w:eastAsia="Times New Roman"/>
                <w:sz w:val="20"/>
                <w:szCs w:val="20"/>
                <w:lang w:eastAsia="cs-CZ"/>
              </w:rPr>
            </w:pPr>
            <w:r>
              <w:rPr>
                <w:rFonts w:eastAsia="Times New Roman"/>
                <w:sz w:val="20"/>
                <w:szCs w:val="20"/>
                <w:lang w:eastAsia="cs-CZ"/>
              </w:rPr>
              <w:t>3,752</w:t>
            </w:r>
          </w:p>
        </w:tc>
        <w:tc>
          <w:tcPr>
            <w:tcW w:w="1134" w:type="dxa"/>
          </w:tcPr>
          <w:p w14:paraId="673AA02A" w14:textId="77777777" w:rsidR="00F929D8" w:rsidRPr="00C17555" w:rsidRDefault="00C17555" w:rsidP="00EA304D">
            <w:pPr>
              <w:pStyle w:val="1text"/>
              <w:spacing w:before="40" w:after="40"/>
              <w:jc w:val="right"/>
              <w:rPr>
                <w:sz w:val="20"/>
                <w:szCs w:val="20"/>
              </w:rPr>
            </w:pPr>
            <w:r w:rsidRPr="00C17555">
              <w:rPr>
                <w:sz w:val="20"/>
                <w:szCs w:val="20"/>
              </w:rPr>
              <w:t>3,564</w:t>
            </w:r>
          </w:p>
        </w:tc>
        <w:tc>
          <w:tcPr>
            <w:tcW w:w="3859" w:type="dxa"/>
          </w:tcPr>
          <w:p w14:paraId="4F1F4998" w14:textId="77777777" w:rsidR="00F929D8" w:rsidRPr="00C17555" w:rsidRDefault="00C17555" w:rsidP="00EA304D">
            <w:pPr>
              <w:pStyle w:val="1text"/>
              <w:spacing w:before="40" w:after="40"/>
              <w:jc w:val="left"/>
              <w:rPr>
                <w:sz w:val="20"/>
                <w:szCs w:val="20"/>
              </w:rPr>
            </w:pPr>
            <w:r w:rsidRPr="00C17555">
              <w:rPr>
                <w:sz w:val="20"/>
                <w:szCs w:val="20"/>
              </w:rPr>
              <w:t>realizovány 2 RD</w:t>
            </w:r>
          </w:p>
        </w:tc>
      </w:tr>
      <w:tr w:rsidR="00F929D8" w:rsidRPr="00EA304D" w14:paraId="2CED3E6B" w14:textId="77777777" w:rsidTr="00EA304D">
        <w:tc>
          <w:tcPr>
            <w:tcW w:w="1101" w:type="dxa"/>
          </w:tcPr>
          <w:p w14:paraId="6E8D13F1"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40</w:t>
            </w:r>
          </w:p>
        </w:tc>
        <w:tc>
          <w:tcPr>
            <w:tcW w:w="1984" w:type="dxa"/>
          </w:tcPr>
          <w:p w14:paraId="3542E955"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2FE2131" w14:textId="77777777" w:rsidR="00F929D8" w:rsidRPr="00266F0A" w:rsidRDefault="00F929D8"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0,133</w:t>
            </w:r>
          </w:p>
        </w:tc>
        <w:tc>
          <w:tcPr>
            <w:tcW w:w="1134" w:type="dxa"/>
          </w:tcPr>
          <w:p w14:paraId="4A4C414C" w14:textId="77777777" w:rsidR="00F929D8" w:rsidRPr="00EA304D" w:rsidRDefault="00C17555" w:rsidP="00EA304D">
            <w:pPr>
              <w:pStyle w:val="1text"/>
              <w:spacing w:before="40" w:after="40"/>
              <w:jc w:val="right"/>
              <w:rPr>
                <w:sz w:val="20"/>
                <w:szCs w:val="20"/>
              </w:rPr>
            </w:pPr>
            <w:r>
              <w:rPr>
                <w:sz w:val="20"/>
                <w:szCs w:val="20"/>
              </w:rPr>
              <w:t>0,052</w:t>
            </w:r>
          </w:p>
        </w:tc>
        <w:tc>
          <w:tcPr>
            <w:tcW w:w="3859" w:type="dxa"/>
          </w:tcPr>
          <w:p w14:paraId="6A71DB0C" w14:textId="77777777" w:rsidR="00F929D8" w:rsidRPr="00EA304D" w:rsidRDefault="00C17555" w:rsidP="00EA304D">
            <w:pPr>
              <w:pStyle w:val="1text"/>
              <w:spacing w:before="40" w:after="40"/>
              <w:jc w:val="left"/>
              <w:rPr>
                <w:sz w:val="20"/>
                <w:szCs w:val="20"/>
              </w:rPr>
            </w:pPr>
            <w:r>
              <w:rPr>
                <w:sz w:val="20"/>
                <w:szCs w:val="20"/>
              </w:rPr>
              <w:t>realizováno parkoviště, ve zbývající část plochy zachována veřejná zeleň</w:t>
            </w:r>
          </w:p>
        </w:tc>
      </w:tr>
      <w:tr w:rsidR="00F929D8" w:rsidRPr="00EA304D" w14:paraId="34ADFD4D" w14:textId="77777777" w:rsidTr="00EA304D">
        <w:tc>
          <w:tcPr>
            <w:tcW w:w="1101" w:type="dxa"/>
          </w:tcPr>
          <w:p w14:paraId="2480474B"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41</w:t>
            </w:r>
          </w:p>
        </w:tc>
        <w:tc>
          <w:tcPr>
            <w:tcW w:w="1984" w:type="dxa"/>
          </w:tcPr>
          <w:p w14:paraId="683BD977"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5B12A689" w14:textId="77777777" w:rsidR="00F929D8" w:rsidRPr="00EA304D" w:rsidRDefault="00F929D8" w:rsidP="00EA304D">
            <w:pPr>
              <w:pStyle w:val="1text"/>
              <w:spacing w:before="40" w:after="40"/>
              <w:jc w:val="right"/>
              <w:rPr>
                <w:sz w:val="20"/>
                <w:szCs w:val="20"/>
              </w:rPr>
            </w:pPr>
            <w:r>
              <w:rPr>
                <w:sz w:val="20"/>
                <w:szCs w:val="20"/>
              </w:rPr>
              <w:t>0,177</w:t>
            </w:r>
          </w:p>
        </w:tc>
        <w:tc>
          <w:tcPr>
            <w:tcW w:w="1134" w:type="dxa"/>
          </w:tcPr>
          <w:p w14:paraId="758BBCB8" w14:textId="77777777" w:rsidR="00F929D8" w:rsidRPr="00EA304D" w:rsidRDefault="00F929D8" w:rsidP="00EA304D">
            <w:pPr>
              <w:pStyle w:val="1text"/>
              <w:spacing w:before="40" w:after="40"/>
              <w:jc w:val="right"/>
              <w:rPr>
                <w:sz w:val="20"/>
                <w:szCs w:val="20"/>
              </w:rPr>
            </w:pPr>
            <w:r>
              <w:rPr>
                <w:sz w:val="20"/>
                <w:szCs w:val="20"/>
              </w:rPr>
              <w:t>0,095</w:t>
            </w:r>
          </w:p>
        </w:tc>
        <w:tc>
          <w:tcPr>
            <w:tcW w:w="3859" w:type="dxa"/>
          </w:tcPr>
          <w:p w14:paraId="0CD3CEB7" w14:textId="77777777" w:rsidR="00F929D8" w:rsidRPr="00EA304D" w:rsidRDefault="00F929D8" w:rsidP="00EA304D">
            <w:pPr>
              <w:pStyle w:val="1text"/>
              <w:spacing w:before="40" w:after="40"/>
              <w:jc w:val="left"/>
              <w:rPr>
                <w:sz w:val="20"/>
                <w:szCs w:val="20"/>
              </w:rPr>
            </w:pPr>
            <w:r>
              <w:rPr>
                <w:sz w:val="20"/>
                <w:szCs w:val="20"/>
              </w:rPr>
              <w:t>realizován 1 RD, zbývající část nevyužitelná z důvodu chybějícího dopravního přístupu</w:t>
            </w:r>
          </w:p>
        </w:tc>
      </w:tr>
      <w:tr w:rsidR="00F929D8" w:rsidRPr="00EA304D" w14:paraId="4AE1AC4F" w14:textId="77777777" w:rsidTr="00EA304D">
        <w:tc>
          <w:tcPr>
            <w:tcW w:w="1101" w:type="dxa"/>
          </w:tcPr>
          <w:p w14:paraId="11DB3D01"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43</w:t>
            </w:r>
          </w:p>
        </w:tc>
        <w:tc>
          <w:tcPr>
            <w:tcW w:w="1984" w:type="dxa"/>
          </w:tcPr>
          <w:p w14:paraId="22C01486"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3DE02542" w14:textId="77777777" w:rsidR="00F929D8" w:rsidRPr="00EA304D" w:rsidRDefault="00F929D8" w:rsidP="00EA304D">
            <w:pPr>
              <w:pStyle w:val="1text"/>
              <w:spacing w:before="40" w:after="40"/>
              <w:jc w:val="right"/>
              <w:rPr>
                <w:sz w:val="20"/>
                <w:szCs w:val="20"/>
              </w:rPr>
            </w:pPr>
            <w:r>
              <w:rPr>
                <w:sz w:val="20"/>
                <w:szCs w:val="20"/>
              </w:rPr>
              <w:t>0,917</w:t>
            </w:r>
          </w:p>
        </w:tc>
        <w:tc>
          <w:tcPr>
            <w:tcW w:w="1134" w:type="dxa"/>
          </w:tcPr>
          <w:p w14:paraId="5B0220E1" w14:textId="77777777" w:rsidR="00F929D8" w:rsidRPr="00EA304D" w:rsidRDefault="00F929D8" w:rsidP="002C722F">
            <w:pPr>
              <w:pStyle w:val="1text"/>
              <w:spacing w:before="40" w:after="40"/>
              <w:jc w:val="right"/>
              <w:rPr>
                <w:sz w:val="20"/>
                <w:szCs w:val="20"/>
              </w:rPr>
            </w:pPr>
            <w:r>
              <w:rPr>
                <w:sz w:val="20"/>
                <w:szCs w:val="20"/>
              </w:rPr>
              <w:t>0,824</w:t>
            </w:r>
          </w:p>
        </w:tc>
        <w:tc>
          <w:tcPr>
            <w:tcW w:w="3859" w:type="dxa"/>
          </w:tcPr>
          <w:p w14:paraId="7BB431A6" w14:textId="77777777" w:rsidR="00F929D8" w:rsidRPr="00EA304D" w:rsidRDefault="00F929D8" w:rsidP="004A0945">
            <w:pPr>
              <w:pStyle w:val="1text"/>
              <w:spacing w:before="40" w:after="40"/>
              <w:jc w:val="left"/>
              <w:rPr>
                <w:sz w:val="20"/>
                <w:szCs w:val="20"/>
              </w:rPr>
            </w:pPr>
            <w:r>
              <w:rPr>
                <w:sz w:val="20"/>
                <w:szCs w:val="20"/>
              </w:rPr>
              <w:t>v ploše realizována zahrádková osada</w:t>
            </w:r>
          </w:p>
        </w:tc>
      </w:tr>
      <w:tr w:rsidR="00F929D8" w:rsidRPr="00EA304D" w14:paraId="2C7ADA61" w14:textId="77777777" w:rsidTr="00EA304D">
        <w:tc>
          <w:tcPr>
            <w:tcW w:w="1101" w:type="dxa"/>
          </w:tcPr>
          <w:p w14:paraId="4E9C280B"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46</w:t>
            </w:r>
          </w:p>
        </w:tc>
        <w:tc>
          <w:tcPr>
            <w:tcW w:w="1984" w:type="dxa"/>
          </w:tcPr>
          <w:p w14:paraId="57B90390"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FCA95C8" w14:textId="77777777" w:rsidR="00F929D8" w:rsidRPr="00EA304D" w:rsidRDefault="00F929D8"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2,405</w:t>
            </w:r>
          </w:p>
        </w:tc>
        <w:tc>
          <w:tcPr>
            <w:tcW w:w="1134" w:type="dxa"/>
          </w:tcPr>
          <w:p w14:paraId="49E11E21" w14:textId="77777777" w:rsidR="00F929D8" w:rsidRPr="00EA304D" w:rsidRDefault="00C17555" w:rsidP="00AD0764">
            <w:pPr>
              <w:pStyle w:val="1text"/>
              <w:spacing w:before="40" w:after="40"/>
              <w:jc w:val="right"/>
              <w:rPr>
                <w:sz w:val="20"/>
                <w:szCs w:val="20"/>
              </w:rPr>
            </w:pPr>
            <w:r>
              <w:rPr>
                <w:sz w:val="20"/>
                <w:szCs w:val="20"/>
              </w:rPr>
              <w:t>0,</w:t>
            </w:r>
            <w:r w:rsidR="00AD0764">
              <w:rPr>
                <w:sz w:val="20"/>
                <w:szCs w:val="20"/>
              </w:rPr>
              <w:t>474</w:t>
            </w:r>
          </w:p>
        </w:tc>
        <w:tc>
          <w:tcPr>
            <w:tcW w:w="3859" w:type="dxa"/>
          </w:tcPr>
          <w:p w14:paraId="5C4DB739" w14:textId="77777777" w:rsidR="00F929D8" w:rsidRPr="00EA304D" w:rsidRDefault="00AD0764" w:rsidP="00EA304D">
            <w:pPr>
              <w:pStyle w:val="1text"/>
              <w:spacing w:before="40" w:after="40"/>
              <w:jc w:val="left"/>
              <w:rPr>
                <w:sz w:val="20"/>
                <w:szCs w:val="20"/>
              </w:rPr>
            </w:pPr>
            <w:r>
              <w:rPr>
                <w:sz w:val="20"/>
                <w:szCs w:val="20"/>
              </w:rPr>
              <w:t>realizovány 2 RD, zbývající část plochy dosud nevyužita</w:t>
            </w:r>
          </w:p>
        </w:tc>
      </w:tr>
      <w:tr w:rsidR="00F929D8" w:rsidRPr="00EA304D" w14:paraId="46A81A6F" w14:textId="77777777" w:rsidTr="00EA304D">
        <w:tc>
          <w:tcPr>
            <w:tcW w:w="1101" w:type="dxa"/>
          </w:tcPr>
          <w:p w14:paraId="00187875" w14:textId="77777777" w:rsidR="00F929D8" w:rsidRPr="00EA304D" w:rsidRDefault="00F929D8" w:rsidP="00EA304D">
            <w:pPr>
              <w:pStyle w:val="1text"/>
              <w:spacing w:before="40" w:after="40"/>
              <w:jc w:val="left"/>
              <w:rPr>
                <w:rFonts w:eastAsia="Times New Roman"/>
                <w:sz w:val="20"/>
                <w:szCs w:val="20"/>
                <w:lang w:eastAsia="cs-CZ"/>
              </w:rPr>
            </w:pPr>
            <w:r>
              <w:rPr>
                <w:rFonts w:eastAsia="Times New Roman"/>
                <w:sz w:val="20"/>
                <w:szCs w:val="20"/>
                <w:lang w:eastAsia="cs-CZ"/>
              </w:rPr>
              <w:t>50</w:t>
            </w:r>
          </w:p>
        </w:tc>
        <w:tc>
          <w:tcPr>
            <w:tcW w:w="1984" w:type="dxa"/>
          </w:tcPr>
          <w:p w14:paraId="45D1E357" w14:textId="77777777" w:rsidR="00F929D8" w:rsidRPr="00EA304D" w:rsidRDefault="00F929D8" w:rsidP="00EA304D">
            <w:pPr>
              <w:pStyle w:val="1text"/>
              <w:spacing w:before="40" w:after="40"/>
              <w:jc w:val="left"/>
              <w:rPr>
                <w:rFonts w:eastAsia="Times New Roman"/>
                <w:sz w:val="20"/>
                <w:szCs w:val="20"/>
                <w:lang w:eastAsia="cs-CZ"/>
              </w:rPr>
            </w:pPr>
            <w:r>
              <w:rPr>
                <w:rFonts w:eastAsia="Times New Roman"/>
                <w:sz w:val="20"/>
                <w:szCs w:val="20"/>
                <w:lang w:eastAsia="cs-CZ"/>
              </w:rPr>
              <w:t>Hrádek nad Nisou</w:t>
            </w:r>
          </w:p>
        </w:tc>
        <w:tc>
          <w:tcPr>
            <w:tcW w:w="1134" w:type="dxa"/>
          </w:tcPr>
          <w:p w14:paraId="200B5B59" w14:textId="77777777" w:rsidR="00F929D8" w:rsidRPr="00EA304D" w:rsidRDefault="00F929D8" w:rsidP="00EA304D">
            <w:pPr>
              <w:spacing w:before="40" w:after="40" w:line="240" w:lineRule="auto"/>
              <w:jc w:val="right"/>
              <w:rPr>
                <w:rFonts w:eastAsia="Times New Roman"/>
                <w:sz w:val="20"/>
                <w:szCs w:val="20"/>
                <w:lang w:eastAsia="cs-CZ"/>
              </w:rPr>
            </w:pPr>
            <w:r>
              <w:rPr>
                <w:rFonts w:eastAsia="Times New Roman"/>
                <w:sz w:val="20"/>
                <w:szCs w:val="20"/>
                <w:lang w:eastAsia="cs-CZ"/>
              </w:rPr>
              <w:t>0,073</w:t>
            </w:r>
          </w:p>
        </w:tc>
        <w:tc>
          <w:tcPr>
            <w:tcW w:w="1134" w:type="dxa"/>
          </w:tcPr>
          <w:p w14:paraId="6EBC252B" w14:textId="77777777" w:rsidR="00F929D8" w:rsidRPr="00F61608" w:rsidRDefault="00F929D8" w:rsidP="00EA304D">
            <w:pPr>
              <w:pStyle w:val="1text"/>
              <w:spacing w:before="40" w:after="40"/>
              <w:jc w:val="right"/>
              <w:rPr>
                <w:sz w:val="20"/>
                <w:szCs w:val="20"/>
              </w:rPr>
            </w:pPr>
            <w:r w:rsidRPr="00F61608">
              <w:rPr>
                <w:sz w:val="20"/>
                <w:szCs w:val="20"/>
              </w:rPr>
              <w:t>0</w:t>
            </w:r>
          </w:p>
        </w:tc>
        <w:tc>
          <w:tcPr>
            <w:tcW w:w="3859" w:type="dxa"/>
          </w:tcPr>
          <w:p w14:paraId="42EAD988" w14:textId="77777777" w:rsidR="00F929D8" w:rsidRPr="00F61608" w:rsidRDefault="00F929D8" w:rsidP="00EA304D">
            <w:pPr>
              <w:pStyle w:val="1text"/>
              <w:spacing w:before="40" w:after="40"/>
              <w:jc w:val="left"/>
              <w:rPr>
                <w:sz w:val="20"/>
                <w:szCs w:val="20"/>
              </w:rPr>
            </w:pPr>
            <w:r w:rsidRPr="00F61608">
              <w:rPr>
                <w:sz w:val="20"/>
                <w:szCs w:val="20"/>
              </w:rPr>
              <w:t>nerealizováno, změna koncepce</w:t>
            </w:r>
          </w:p>
        </w:tc>
      </w:tr>
      <w:tr w:rsidR="00F929D8" w:rsidRPr="00EA304D" w14:paraId="2730E369" w14:textId="77777777" w:rsidTr="00EA304D">
        <w:tc>
          <w:tcPr>
            <w:tcW w:w="1101" w:type="dxa"/>
          </w:tcPr>
          <w:p w14:paraId="3A0B00F9"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lastRenderedPageBreak/>
              <w:t>51</w:t>
            </w:r>
          </w:p>
        </w:tc>
        <w:tc>
          <w:tcPr>
            <w:tcW w:w="1984" w:type="dxa"/>
          </w:tcPr>
          <w:p w14:paraId="53311278"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1C9E6069" w14:textId="77777777" w:rsidR="00F929D8" w:rsidRPr="00EA304D" w:rsidRDefault="00F929D8"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0,283</w:t>
            </w:r>
          </w:p>
        </w:tc>
        <w:tc>
          <w:tcPr>
            <w:tcW w:w="1134" w:type="dxa"/>
          </w:tcPr>
          <w:p w14:paraId="02E55552" w14:textId="77777777" w:rsidR="00F929D8" w:rsidRPr="00EA304D" w:rsidRDefault="00AD0764" w:rsidP="00EA304D">
            <w:pPr>
              <w:pStyle w:val="1text"/>
              <w:spacing w:before="40" w:after="40"/>
              <w:jc w:val="right"/>
              <w:rPr>
                <w:sz w:val="20"/>
                <w:szCs w:val="20"/>
              </w:rPr>
            </w:pPr>
            <w:r>
              <w:rPr>
                <w:sz w:val="20"/>
                <w:szCs w:val="20"/>
              </w:rPr>
              <w:t>0,105</w:t>
            </w:r>
          </w:p>
        </w:tc>
        <w:tc>
          <w:tcPr>
            <w:tcW w:w="3859" w:type="dxa"/>
          </w:tcPr>
          <w:p w14:paraId="3306CE9B" w14:textId="77777777" w:rsidR="00F929D8" w:rsidRPr="00EA304D" w:rsidRDefault="00AD0764" w:rsidP="00AD0764">
            <w:pPr>
              <w:pStyle w:val="1text"/>
              <w:spacing w:before="40" w:after="40"/>
              <w:jc w:val="left"/>
              <w:rPr>
                <w:sz w:val="20"/>
                <w:szCs w:val="20"/>
              </w:rPr>
            </w:pPr>
            <w:r>
              <w:rPr>
                <w:sz w:val="20"/>
                <w:szCs w:val="20"/>
              </w:rPr>
              <w:t xml:space="preserve">realizován 1 RD, zbývající část plochy nevyužita z důvodu nepříznivé morfologie (terénní zlom) </w:t>
            </w:r>
          </w:p>
        </w:tc>
      </w:tr>
      <w:tr w:rsidR="00AD0764" w:rsidRPr="00EA304D" w14:paraId="38ED7455" w14:textId="77777777" w:rsidTr="00EA304D">
        <w:tc>
          <w:tcPr>
            <w:tcW w:w="1101" w:type="dxa"/>
          </w:tcPr>
          <w:p w14:paraId="1990E81F" w14:textId="77777777" w:rsidR="00AD0764" w:rsidRPr="00EA304D" w:rsidRDefault="00AD0764"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52</w:t>
            </w:r>
          </w:p>
        </w:tc>
        <w:tc>
          <w:tcPr>
            <w:tcW w:w="1984" w:type="dxa"/>
          </w:tcPr>
          <w:p w14:paraId="6725B0D8" w14:textId="77777777" w:rsidR="00AD0764" w:rsidRPr="00EA304D" w:rsidRDefault="00AD0764"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BFE4887" w14:textId="77777777" w:rsidR="00AD0764" w:rsidRPr="00266F0A" w:rsidRDefault="00AD0764"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0,391</w:t>
            </w:r>
          </w:p>
        </w:tc>
        <w:tc>
          <w:tcPr>
            <w:tcW w:w="1134" w:type="dxa"/>
          </w:tcPr>
          <w:p w14:paraId="553138C3" w14:textId="77777777" w:rsidR="00AD0764" w:rsidRPr="00EA304D" w:rsidRDefault="00AD0764" w:rsidP="00EA304D">
            <w:pPr>
              <w:pStyle w:val="1text"/>
              <w:spacing w:before="40" w:after="40"/>
              <w:jc w:val="right"/>
              <w:rPr>
                <w:sz w:val="20"/>
                <w:szCs w:val="20"/>
              </w:rPr>
            </w:pPr>
            <w:r w:rsidRPr="00926E09">
              <w:rPr>
                <w:sz w:val="20"/>
                <w:szCs w:val="20"/>
              </w:rPr>
              <w:t>0</w:t>
            </w:r>
          </w:p>
        </w:tc>
        <w:tc>
          <w:tcPr>
            <w:tcW w:w="3859" w:type="dxa"/>
          </w:tcPr>
          <w:p w14:paraId="5C5B62E3" w14:textId="77777777" w:rsidR="00AD0764" w:rsidRPr="00EA304D" w:rsidRDefault="00AD0764" w:rsidP="00EA304D">
            <w:pPr>
              <w:pStyle w:val="1text"/>
              <w:spacing w:before="40" w:after="40"/>
              <w:jc w:val="left"/>
              <w:rPr>
                <w:sz w:val="20"/>
                <w:szCs w:val="20"/>
              </w:rPr>
            </w:pPr>
            <w:r w:rsidRPr="00F61608">
              <w:rPr>
                <w:sz w:val="20"/>
                <w:szCs w:val="20"/>
              </w:rPr>
              <w:t>nerealizováno, změna koncepce</w:t>
            </w:r>
          </w:p>
        </w:tc>
      </w:tr>
      <w:tr w:rsidR="00AD0764" w:rsidRPr="00EA304D" w14:paraId="59FD5FAD" w14:textId="77777777" w:rsidTr="00EA304D">
        <w:tc>
          <w:tcPr>
            <w:tcW w:w="1101" w:type="dxa"/>
          </w:tcPr>
          <w:p w14:paraId="0894C0DE" w14:textId="77777777" w:rsidR="00AD0764" w:rsidRPr="00EA304D" w:rsidRDefault="00AD0764"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53</w:t>
            </w:r>
          </w:p>
        </w:tc>
        <w:tc>
          <w:tcPr>
            <w:tcW w:w="1984" w:type="dxa"/>
          </w:tcPr>
          <w:p w14:paraId="4DB7ABE9" w14:textId="77777777" w:rsidR="00AD0764" w:rsidRPr="00EA304D" w:rsidRDefault="00AD0764"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1A4AEA61" w14:textId="77777777" w:rsidR="00AD0764" w:rsidRPr="00266F0A" w:rsidRDefault="00AD0764"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0,247</w:t>
            </w:r>
          </w:p>
        </w:tc>
        <w:tc>
          <w:tcPr>
            <w:tcW w:w="1134" w:type="dxa"/>
          </w:tcPr>
          <w:p w14:paraId="470E51D2" w14:textId="77777777" w:rsidR="00AD0764" w:rsidRPr="00EA304D" w:rsidRDefault="00AD0764" w:rsidP="00EA304D">
            <w:pPr>
              <w:pStyle w:val="1text"/>
              <w:spacing w:before="40" w:after="40"/>
              <w:jc w:val="right"/>
              <w:rPr>
                <w:sz w:val="20"/>
                <w:szCs w:val="20"/>
              </w:rPr>
            </w:pPr>
            <w:r w:rsidRPr="00926E09">
              <w:rPr>
                <w:sz w:val="20"/>
                <w:szCs w:val="20"/>
              </w:rPr>
              <w:t>0</w:t>
            </w:r>
          </w:p>
        </w:tc>
        <w:tc>
          <w:tcPr>
            <w:tcW w:w="3859" w:type="dxa"/>
          </w:tcPr>
          <w:p w14:paraId="0B65C32E" w14:textId="77777777" w:rsidR="00AD0764" w:rsidRPr="00EA304D" w:rsidRDefault="00AD0764" w:rsidP="00EA304D">
            <w:pPr>
              <w:pStyle w:val="1text"/>
              <w:spacing w:before="40" w:after="40"/>
              <w:jc w:val="left"/>
              <w:rPr>
                <w:sz w:val="20"/>
                <w:szCs w:val="20"/>
              </w:rPr>
            </w:pPr>
            <w:r w:rsidRPr="00F61608">
              <w:rPr>
                <w:sz w:val="20"/>
                <w:szCs w:val="20"/>
              </w:rPr>
              <w:t>nerealizováno, změna koncepce</w:t>
            </w:r>
          </w:p>
        </w:tc>
      </w:tr>
      <w:tr w:rsidR="00F929D8" w:rsidRPr="00EA304D" w14:paraId="5E1283F5" w14:textId="77777777" w:rsidTr="00EA304D">
        <w:tc>
          <w:tcPr>
            <w:tcW w:w="1101" w:type="dxa"/>
          </w:tcPr>
          <w:p w14:paraId="684C50E1" w14:textId="77777777" w:rsidR="00F929D8" w:rsidRPr="00EA304D" w:rsidRDefault="00F929D8" w:rsidP="00EA304D">
            <w:pPr>
              <w:pStyle w:val="1text"/>
              <w:spacing w:before="40" w:after="40"/>
              <w:jc w:val="left"/>
              <w:rPr>
                <w:rFonts w:eastAsia="Times New Roman"/>
                <w:sz w:val="20"/>
                <w:szCs w:val="20"/>
                <w:lang w:eastAsia="cs-CZ"/>
              </w:rPr>
            </w:pPr>
            <w:r>
              <w:rPr>
                <w:rFonts w:eastAsia="Times New Roman"/>
                <w:sz w:val="20"/>
                <w:szCs w:val="20"/>
                <w:lang w:eastAsia="cs-CZ"/>
              </w:rPr>
              <w:t>57</w:t>
            </w:r>
          </w:p>
        </w:tc>
        <w:tc>
          <w:tcPr>
            <w:tcW w:w="1984" w:type="dxa"/>
          </w:tcPr>
          <w:p w14:paraId="52C7AA31"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50D90D90" w14:textId="77777777" w:rsidR="00F929D8" w:rsidRPr="00EA304D" w:rsidRDefault="00F929D8" w:rsidP="00EA304D">
            <w:pPr>
              <w:spacing w:before="40" w:after="40"/>
              <w:jc w:val="right"/>
              <w:rPr>
                <w:sz w:val="20"/>
                <w:szCs w:val="20"/>
              </w:rPr>
            </w:pPr>
            <w:r>
              <w:rPr>
                <w:sz w:val="20"/>
                <w:szCs w:val="20"/>
              </w:rPr>
              <w:t>0,065</w:t>
            </w:r>
          </w:p>
        </w:tc>
        <w:tc>
          <w:tcPr>
            <w:tcW w:w="1134" w:type="dxa"/>
          </w:tcPr>
          <w:p w14:paraId="31EA3F81" w14:textId="77777777" w:rsidR="00F929D8" w:rsidRPr="00EA304D" w:rsidRDefault="00F929D8" w:rsidP="00EA304D">
            <w:pPr>
              <w:pStyle w:val="1text"/>
              <w:spacing w:before="40" w:after="40"/>
              <w:jc w:val="right"/>
              <w:rPr>
                <w:sz w:val="20"/>
                <w:szCs w:val="20"/>
                <w:highlight w:val="green"/>
              </w:rPr>
            </w:pPr>
            <w:r w:rsidRPr="00F61608">
              <w:rPr>
                <w:sz w:val="20"/>
                <w:szCs w:val="20"/>
              </w:rPr>
              <w:t>0</w:t>
            </w:r>
          </w:p>
        </w:tc>
        <w:tc>
          <w:tcPr>
            <w:tcW w:w="3859" w:type="dxa"/>
          </w:tcPr>
          <w:p w14:paraId="02930AD0" w14:textId="77777777" w:rsidR="00F929D8" w:rsidRPr="00EA304D" w:rsidRDefault="00F929D8" w:rsidP="00EA304D">
            <w:pPr>
              <w:pStyle w:val="1text"/>
              <w:spacing w:before="40" w:after="40"/>
              <w:jc w:val="left"/>
              <w:rPr>
                <w:sz w:val="20"/>
                <w:szCs w:val="20"/>
                <w:highlight w:val="green"/>
              </w:rPr>
            </w:pPr>
            <w:r w:rsidRPr="00F61608">
              <w:rPr>
                <w:sz w:val="20"/>
                <w:szCs w:val="20"/>
              </w:rPr>
              <w:t>nerealizováno, změna koncepce</w:t>
            </w:r>
          </w:p>
        </w:tc>
      </w:tr>
      <w:tr w:rsidR="00AD0764" w:rsidRPr="00EA304D" w14:paraId="19BA2E67" w14:textId="77777777" w:rsidTr="00EA304D">
        <w:tc>
          <w:tcPr>
            <w:tcW w:w="1101" w:type="dxa"/>
          </w:tcPr>
          <w:p w14:paraId="075D4944" w14:textId="77777777" w:rsidR="00AD0764" w:rsidRPr="00D47F4C" w:rsidRDefault="00AD0764"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61</w:t>
            </w:r>
          </w:p>
        </w:tc>
        <w:tc>
          <w:tcPr>
            <w:tcW w:w="1984" w:type="dxa"/>
          </w:tcPr>
          <w:p w14:paraId="20D07877" w14:textId="77777777" w:rsidR="00AD0764" w:rsidRPr="00D47F4C" w:rsidRDefault="00AD0764"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Donín</w:t>
            </w:r>
          </w:p>
        </w:tc>
        <w:tc>
          <w:tcPr>
            <w:tcW w:w="1134" w:type="dxa"/>
          </w:tcPr>
          <w:p w14:paraId="78AA40FF" w14:textId="77777777" w:rsidR="00AD0764" w:rsidRPr="00D47F4C" w:rsidRDefault="00AD0764" w:rsidP="00EA304D">
            <w:pPr>
              <w:spacing w:before="40" w:after="40"/>
              <w:jc w:val="right"/>
              <w:rPr>
                <w:b/>
                <w:sz w:val="20"/>
                <w:szCs w:val="20"/>
              </w:rPr>
            </w:pPr>
            <w:r w:rsidRPr="00D47F4C">
              <w:rPr>
                <w:b/>
                <w:sz w:val="20"/>
                <w:szCs w:val="20"/>
              </w:rPr>
              <w:t>1,721</w:t>
            </w:r>
          </w:p>
        </w:tc>
        <w:tc>
          <w:tcPr>
            <w:tcW w:w="1134" w:type="dxa"/>
          </w:tcPr>
          <w:p w14:paraId="368C79B0" w14:textId="77777777" w:rsidR="00AD0764" w:rsidRPr="00D47F4C" w:rsidRDefault="00AD0764" w:rsidP="00EA304D">
            <w:pPr>
              <w:pStyle w:val="1text"/>
              <w:spacing w:before="40" w:after="40"/>
              <w:jc w:val="right"/>
              <w:rPr>
                <w:b/>
                <w:sz w:val="20"/>
                <w:szCs w:val="20"/>
              </w:rPr>
            </w:pPr>
            <w:r w:rsidRPr="00D47F4C">
              <w:rPr>
                <w:b/>
                <w:sz w:val="20"/>
                <w:szCs w:val="20"/>
              </w:rPr>
              <w:t>1,721</w:t>
            </w:r>
          </w:p>
        </w:tc>
        <w:tc>
          <w:tcPr>
            <w:tcW w:w="3859" w:type="dxa"/>
          </w:tcPr>
          <w:p w14:paraId="462522F0" w14:textId="77777777" w:rsidR="00AD0764" w:rsidRPr="00D47F4C" w:rsidRDefault="00AD0764" w:rsidP="00EA304D">
            <w:pPr>
              <w:pStyle w:val="1text"/>
              <w:spacing w:before="40" w:after="40"/>
              <w:jc w:val="left"/>
              <w:rPr>
                <w:b/>
                <w:sz w:val="20"/>
                <w:szCs w:val="20"/>
              </w:rPr>
            </w:pPr>
            <w:r w:rsidRPr="00D47F4C">
              <w:rPr>
                <w:b/>
                <w:sz w:val="20"/>
                <w:szCs w:val="20"/>
              </w:rPr>
              <w:t>zastavěno rodinnými domy, v části plochy realizován domov pro seniory</w:t>
            </w:r>
          </w:p>
        </w:tc>
      </w:tr>
      <w:tr w:rsidR="00F929D8" w:rsidRPr="00EA304D" w14:paraId="033FB2E2" w14:textId="77777777" w:rsidTr="00EA304D">
        <w:tc>
          <w:tcPr>
            <w:tcW w:w="1101" w:type="dxa"/>
          </w:tcPr>
          <w:p w14:paraId="1692D766"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62</w:t>
            </w:r>
          </w:p>
        </w:tc>
        <w:tc>
          <w:tcPr>
            <w:tcW w:w="1984" w:type="dxa"/>
          </w:tcPr>
          <w:p w14:paraId="1A5E1D74"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279CA3DD" w14:textId="77777777" w:rsidR="00F929D8" w:rsidRPr="00EA304D" w:rsidRDefault="00F929D8" w:rsidP="00EA304D">
            <w:pPr>
              <w:spacing w:before="40" w:after="40"/>
              <w:jc w:val="right"/>
              <w:rPr>
                <w:sz w:val="20"/>
                <w:szCs w:val="20"/>
              </w:rPr>
            </w:pPr>
            <w:r w:rsidRPr="00EA304D">
              <w:rPr>
                <w:sz w:val="20"/>
                <w:szCs w:val="20"/>
              </w:rPr>
              <w:t>0,465</w:t>
            </w:r>
          </w:p>
        </w:tc>
        <w:tc>
          <w:tcPr>
            <w:tcW w:w="1134" w:type="dxa"/>
          </w:tcPr>
          <w:p w14:paraId="3F471C05" w14:textId="77777777" w:rsidR="00F929D8" w:rsidRPr="00EA304D" w:rsidRDefault="00F71FFE" w:rsidP="00EA304D">
            <w:pPr>
              <w:pStyle w:val="1text"/>
              <w:spacing w:before="40" w:after="40"/>
              <w:jc w:val="right"/>
              <w:rPr>
                <w:sz w:val="20"/>
                <w:szCs w:val="20"/>
              </w:rPr>
            </w:pPr>
            <w:r>
              <w:rPr>
                <w:sz w:val="20"/>
                <w:szCs w:val="20"/>
              </w:rPr>
              <w:t>0,070</w:t>
            </w:r>
          </w:p>
        </w:tc>
        <w:tc>
          <w:tcPr>
            <w:tcW w:w="3859" w:type="dxa"/>
          </w:tcPr>
          <w:p w14:paraId="260AB147" w14:textId="77777777" w:rsidR="00F929D8" w:rsidRPr="00EA304D" w:rsidRDefault="00F71FFE" w:rsidP="00EA304D">
            <w:pPr>
              <w:pStyle w:val="1text"/>
              <w:spacing w:before="40" w:after="40"/>
              <w:jc w:val="left"/>
              <w:rPr>
                <w:sz w:val="20"/>
                <w:szCs w:val="20"/>
              </w:rPr>
            </w:pPr>
            <w:r>
              <w:rPr>
                <w:sz w:val="20"/>
                <w:szCs w:val="20"/>
              </w:rPr>
              <w:t>část plochy využita pro zahradu přilehlého RD, ostatní dosud nevyužita</w:t>
            </w:r>
          </w:p>
        </w:tc>
      </w:tr>
      <w:tr w:rsidR="00F929D8" w:rsidRPr="00EA304D" w14:paraId="3BADAF5A" w14:textId="77777777" w:rsidTr="00EA304D">
        <w:tc>
          <w:tcPr>
            <w:tcW w:w="1101" w:type="dxa"/>
          </w:tcPr>
          <w:p w14:paraId="3DBE4385"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63</w:t>
            </w:r>
          </w:p>
        </w:tc>
        <w:tc>
          <w:tcPr>
            <w:tcW w:w="1984" w:type="dxa"/>
          </w:tcPr>
          <w:p w14:paraId="473120BB"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42C1877E" w14:textId="77777777" w:rsidR="00F929D8" w:rsidRPr="00EA304D" w:rsidRDefault="00F929D8" w:rsidP="00EA304D">
            <w:pPr>
              <w:spacing w:before="40" w:after="40"/>
              <w:jc w:val="right"/>
              <w:rPr>
                <w:sz w:val="20"/>
                <w:szCs w:val="20"/>
              </w:rPr>
            </w:pPr>
            <w:r w:rsidRPr="00EA304D">
              <w:rPr>
                <w:sz w:val="20"/>
                <w:szCs w:val="20"/>
              </w:rPr>
              <w:t>2,264</w:t>
            </w:r>
          </w:p>
        </w:tc>
        <w:tc>
          <w:tcPr>
            <w:tcW w:w="1134" w:type="dxa"/>
          </w:tcPr>
          <w:p w14:paraId="1577B349" w14:textId="77777777" w:rsidR="00F929D8" w:rsidRPr="00EA304D" w:rsidRDefault="00C672A7" w:rsidP="00EA304D">
            <w:pPr>
              <w:pStyle w:val="1text"/>
              <w:spacing w:before="40" w:after="40"/>
              <w:jc w:val="right"/>
              <w:rPr>
                <w:sz w:val="20"/>
                <w:szCs w:val="20"/>
              </w:rPr>
            </w:pPr>
            <w:r>
              <w:rPr>
                <w:sz w:val="20"/>
                <w:szCs w:val="20"/>
              </w:rPr>
              <w:t>0</w:t>
            </w:r>
          </w:p>
        </w:tc>
        <w:tc>
          <w:tcPr>
            <w:tcW w:w="3859" w:type="dxa"/>
          </w:tcPr>
          <w:p w14:paraId="2C25A813" w14:textId="77777777" w:rsidR="00F929D8" w:rsidRPr="00EA304D" w:rsidRDefault="00C672A7" w:rsidP="00EA304D">
            <w:pPr>
              <w:pStyle w:val="1text"/>
              <w:spacing w:before="40" w:after="40"/>
              <w:jc w:val="left"/>
              <w:rPr>
                <w:sz w:val="20"/>
                <w:szCs w:val="20"/>
              </w:rPr>
            </w:pPr>
            <w:r>
              <w:rPr>
                <w:sz w:val="20"/>
                <w:szCs w:val="20"/>
              </w:rPr>
              <w:t>dosud nerealizováno</w:t>
            </w:r>
          </w:p>
        </w:tc>
      </w:tr>
      <w:tr w:rsidR="00F929D8" w:rsidRPr="00EA304D" w14:paraId="7FE88D52" w14:textId="77777777" w:rsidTr="00EA304D">
        <w:tc>
          <w:tcPr>
            <w:tcW w:w="1101" w:type="dxa"/>
          </w:tcPr>
          <w:p w14:paraId="112CF05B"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64</w:t>
            </w:r>
          </w:p>
        </w:tc>
        <w:tc>
          <w:tcPr>
            <w:tcW w:w="1984" w:type="dxa"/>
          </w:tcPr>
          <w:p w14:paraId="040D92AD"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17C0B27E" w14:textId="77777777" w:rsidR="00F929D8" w:rsidRPr="00EA304D" w:rsidRDefault="00F929D8" w:rsidP="00EA304D">
            <w:pPr>
              <w:spacing w:before="40" w:after="40"/>
              <w:jc w:val="right"/>
              <w:rPr>
                <w:sz w:val="20"/>
                <w:szCs w:val="20"/>
              </w:rPr>
            </w:pPr>
            <w:r w:rsidRPr="00EA304D">
              <w:rPr>
                <w:sz w:val="20"/>
                <w:szCs w:val="20"/>
              </w:rPr>
              <w:t>1,419</w:t>
            </w:r>
          </w:p>
        </w:tc>
        <w:tc>
          <w:tcPr>
            <w:tcW w:w="1134" w:type="dxa"/>
          </w:tcPr>
          <w:p w14:paraId="568C55BA" w14:textId="77777777" w:rsidR="00F929D8" w:rsidRPr="00EA304D" w:rsidRDefault="00EA2958" w:rsidP="00EA304D">
            <w:pPr>
              <w:pStyle w:val="1text"/>
              <w:spacing w:before="40" w:after="40"/>
              <w:jc w:val="right"/>
              <w:rPr>
                <w:sz w:val="20"/>
                <w:szCs w:val="20"/>
              </w:rPr>
            </w:pPr>
            <w:r>
              <w:rPr>
                <w:sz w:val="20"/>
                <w:szCs w:val="20"/>
              </w:rPr>
              <w:t>0,188</w:t>
            </w:r>
          </w:p>
        </w:tc>
        <w:tc>
          <w:tcPr>
            <w:tcW w:w="3859" w:type="dxa"/>
          </w:tcPr>
          <w:p w14:paraId="60C1A51F" w14:textId="77777777" w:rsidR="00F929D8" w:rsidRPr="00EA304D" w:rsidRDefault="00EA2958" w:rsidP="00EA304D">
            <w:pPr>
              <w:pStyle w:val="1text"/>
              <w:spacing w:before="40" w:after="40"/>
              <w:jc w:val="left"/>
              <w:rPr>
                <w:sz w:val="20"/>
                <w:szCs w:val="20"/>
              </w:rPr>
            </w:pPr>
            <w:r>
              <w:rPr>
                <w:sz w:val="20"/>
                <w:szCs w:val="20"/>
              </w:rPr>
              <w:t>realizován 1 RD</w:t>
            </w:r>
          </w:p>
        </w:tc>
      </w:tr>
      <w:tr w:rsidR="00750956" w:rsidRPr="00EA304D" w14:paraId="7F2C4F51" w14:textId="77777777" w:rsidTr="00EA304D">
        <w:tc>
          <w:tcPr>
            <w:tcW w:w="1101" w:type="dxa"/>
          </w:tcPr>
          <w:p w14:paraId="178274AF" w14:textId="77777777" w:rsidR="00750956" w:rsidRPr="00EA304D" w:rsidRDefault="0075095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65</w:t>
            </w:r>
          </w:p>
        </w:tc>
        <w:tc>
          <w:tcPr>
            <w:tcW w:w="1984" w:type="dxa"/>
          </w:tcPr>
          <w:p w14:paraId="02C314A7" w14:textId="77777777" w:rsidR="00750956" w:rsidRPr="00EA304D" w:rsidRDefault="0075095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10FBEB31" w14:textId="77777777" w:rsidR="00750956" w:rsidRPr="00EA304D" w:rsidRDefault="00750956" w:rsidP="00EA304D">
            <w:pPr>
              <w:spacing w:before="40" w:after="40"/>
              <w:jc w:val="right"/>
              <w:rPr>
                <w:sz w:val="20"/>
                <w:szCs w:val="20"/>
              </w:rPr>
            </w:pPr>
            <w:r w:rsidRPr="00EA304D">
              <w:rPr>
                <w:sz w:val="20"/>
                <w:szCs w:val="20"/>
              </w:rPr>
              <w:t>0,451</w:t>
            </w:r>
          </w:p>
        </w:tc>
        <w:tc>
          <w:tcPr>
            <w:tcW w:w="1134" w:type="dxa"/>
          </w:tcPr>
          <w:p w14:paraId="2B7A63D6" w14:textId="77777777" w:rsidR="00750956" w:rsidRPr="00EA304D" w:rsidRDefault="00750956" w:rsidP="00EA304D">
            <w:pPr>
              <w:pStyle w:val="1text"/>
              <w:spacing w:before="40" w:after="40"/>
              <w:jc w:val="right"/>
              <w:rPr>
                <w:sz w:val="20"/>
                <w:szCs w:val="20"/>
              </w:rPr>
            </w:pPr>
            <w:r>
              <w:rPr>
                <w:sz w:val="20"/>
                <w:szCs w:val="20"/>
              </w:rPr>
              <w:t>0</w:t>
            </w:r>
          </w:p>
        </w:tc>
        <w:tc>
          <w:tcPr>
            <w:tcW w:w="3859" w:type="dxa"/>
          </w:tcPr>
          <w:p w14:paraId="1154D998" w14:textId="77777777" w:rsidR="00750956" w:rsidRPr="00EA304D" w:rsidRDefault="00750956" w:rsidP="00EA304D">
            <w:pPr>
              <w:pStyle w:val="1text"/>
              <w:spacing w:before="40" w:after="40"/>
              <w:jc w:val="left"/>
              <w:rPr>
                <w:sz w:val="20"/>
                <w:szCs w:val="20"/>
              </w:rPr>
            </w:pPr>
            <w:r>
              <w:rPr>
                <w:sz w:val="20"/>
                <w:szCs w:val="20"/>
              </w:rPr>
              <w:t>dosud nerealizováno, v části objekty pro rodinnou rekreaci</w:t>
            </w:r>
          </w:p>
        </w:tc>
      </w:tr>
      <w:tr w:rsidR="00750956" w:rsidRPr="00EA304D" w14:paraId="769A8739" w14:textId="77777777" w:rsidTr="00EA304D">
        <w:tc>
          <w:tcPr>
            <w:tcW w:w="1101" w:type="dxa"/>
          </w:tcPr>
          <w:p w14:paraId="61EBD1FB" w14:textId="77777777" w:rsidR="00750956" w:rsidRPr="00EA304D" w:rsidRDefault="0075095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67</w:t>
            </w:r>
          </w:p>
        </w:tc>
        <w:tc>
          <w:tcPr>
            <w:tcW w:w="1984" w:type="dxa"/>
          </w:tcPr>
          <w:p w14:paraId="2EE37841" w14:textId="77777777" w:rsidR="00750956" w:rsidRPr="00EA304D" w:rsidRDefault="0075095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678928EE" w14:textId="77777777" w:rsidR="00750956" w:rsidRPr="00EA304D" w:rsidRDefault="00750956" w:rsidP="00EA304D">
            <w:pPr>
              <w:spacing w:before="40" w:after="40"/>
              <w:jc w:val="right"/>
              <w:rPr>
                <w:sz w:val="20"/>
                <w:szCs w:val="20"/>
              </w:rPr>
            </w:pPr>
            <w:r w:rsidRPr="00EA304D">
              <w:rPr>
                <w:sz w:val="20"/>
                <w:szCs w:val="20"/>
              </w:rPr>
              <w:t>0,479</w:t>
            </w:r>
          </w:p>
        </w:tc>
        <w:tc>
          <w:tcPr>
            <w:tcW w:w="1134" w:type="dxa"/>
          </w:tcPr>
          <w:p w14:paraId="13F43211" w14:textId="77777777" w:rsidR="00750956" w:rsidRPr="00EA304D" w:rsidRDefault="00750956" w:rsidP="00EA304D">
            <w:pPr>
              <w:pStyle w:val="1text"/>
              <w:spacing w:before="40" w:after="40"/>
              <w:jc w:val="right"/>
              <w:rPr>
                <w:sz w:val="20"/>
                <w:szCs w:val="20"/>
              </w:rPr>
            </w:pPr>
            <w:r>
              <w:rPr>
                <w:sz w:val="20"/>
                <w:szCs w:val="20"/>
              </w:rPr>
              <w:t>0</w:t>
            </w:r>
          </w:p>
        </w:tc>
        <w:tc>
          <w:tcPr>
            <w:tcW w:w="3859" w:type="dxa"/>
          </w:tcPr>
          <w:p w14:paraId="1A317678" w14:textId="77777777" w:rsidR="00750956" w:rsidRPr="00EA304D" w:rsidRDefault="00750956" w:rsidP="00EA304D">
            <w:pPr>
              <w:pStyle w:val="1text"/>
              <w:spacing w:before="40" w:after="40"/>
              <w:jc w:val="left"/>
              <w:rPr>
                <w:sz w:val="20"/>
                <w:szCs w:val="20"/>
              </w:rPr>
            </w:pPr>
            <w:r>
              <w:rPr>
                <w:sz w:val="20"/>
                <w:szCs w:val="20"/>
              </w:rPr>
              <w:t>dosud nerealizováno</w:t>
            </w:r>
          </w:p>
        </w:tc>
      </w:tr>
      <w:tr w:rsidR="00D82C5C" w:rsidRPr="00EA304D" w14:paraId="7590FA08" w14:textId="77777777" w:rsidTr="00EA304D">
        <w:tc>
          <w:tcPr>
            <w:tcW w:w="1101" w:type="dxa"/>
          </w:tcPr>
          <w:p w14:paraId="2142874D" w14:textId="77777777" w:rsidR="00D82C5C" w:rsidRPr="00D47F4C" w:rsidRDefault="00D82C5C"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68</w:t>
            </w:r>
          </w:p>
        </w:tc>
        <w:tc>
          <w:tcPr>
            <w:tcW w:w="1984" w:type="dxa"/>
          </w:tcPr>
          <w:p w14:paraId="104D568A" w14:textId="77777777" w:rsidR="00D82C5C" w:rsidRPr="00D47F4C" w:rsidRDefault="00D82C5C"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Donín</w:t>
            </w:r>
          </w:p>
        </w:tc>
        <w:tc>
          <w:tcPr>
            <w:tcW w:w="1134" w:type="dxa"/>
          </w:tcPr>
          <w:p w14:paraId="01FD9D24" w14:textId="77777777" w:rsidR="00D82C5C" w:rsidRPr="00D47F4C" w:rsidRDefault="00D82C5C"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0,614</w:t>
            </w:r>
          </w:p>
        </w:tc>
        <w:tc>
          <w:tcPr>
            <w:tcW w:w="1134" w:type="dxa"/>
          </w:tcPr>
          <w:p w14:paraId="7982199C" w14:textId="77777777" w:rsidR="00D82C5C" w:rsidRPr="00D47F4C" w:rsidRDefault="00D82C5C" w:rsidP="00EA304D">
            <w:pPr>
              <w:pStyle w:val="1text"/>
              <w:spacing w:before="40" w:after="40"/>
              <w:jc w:val="right"/>
              <w:rPr>
                <w:b/>
                <w:sz w:val="20"/>
                <w:szCs w:val="20"/>
              </w:rPr>
            </w:pPr>
            <w:r w:rsidRPr="00D47F4C">
              <w:rPr>
                <w:rFonts w:eastAsia="Times New Roman"/>
                <w:b/>
                <w:sz w:val="20"/>
                <w:szCs w:val="20"/>
                <w:lang w:eastAsia="cs-CZ"/>
              </w:rPr>
              <w:t>0,614</w:t>
            </w:r>
          </w:p>
        </w:tc>
        <w:tc>
          <w:tcPr>
            <w:tcW w:w="3859" w:type="dxa"/>
          </w:tcPr>
          <w:p w14:paraId="0F1D63F9" w14:textId="77777777" w:rsidR="00D82C5C" w:rsidRPr="00D47F4C" w:rsidRDefault="00D82C5C" w:rsidP="00EA304D">
            <w:pPr>
              <w:pStyle w:val="1text"/>
              <w:spacing w:before="40" w:after="40"/>
              <w:jc w:val="left"/>
              <w:rPr>
                <w:b/>
                <w:sz w:val="20"/>
                <w:szCs w:val="20"/>
              </w:rPr>
            </w:pPr>
            <w:r w:rsidRPr="00D47F4C">
              <w:rPr>
                <w:b/>
                <w:sz w:val="20"/>
                <w:szCs w:val="20"/>
              </w:rPr>
              <w:t>realizováno</w:t>
            </w:r>
          </w:p>
        </w:tc>
      </w:tr>
      <w:tr w:rsidR="00F929D8" w:rsidRPr="00EA304D" w14:paraId="0D516679" w14:textId="77777777" w:rsidTr="00EA304D">
        <w:tc>
          <w:tcPr>
            <w:tcW w:w="1101" w:type="dxa"/>
          </w:tcPr>
          <w:p w14:paraId="55D4F60C" w14:textId="77777777" w:rsidR="00F929D8" w:rsidRPr="00EA304D" w:rsidRDefault="00F929D8" w:rsidP="003E7026">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71 </w:t>
            </w:r>
          </w:p>
        </w:tc>
        <w:tc>
          <w:tcPr>
            <w:tcW w:w="1984" w:type="dxa"/>
          </w:tcPr>
          <w:p w14:paraId="65F00EFC"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457BD794" w14:textId="77777777" w:rsidR="00F929D8" w:rsidRPr="00EA304D" w:rsidRDefault="00F929D8" w:rsidP="00EA304D">
            <w:pPr>
              <w:spacing w:before="40" w:after="40"/>
              <w:jc w:val="right"/>
              <w:rPr>
                <w:sz w:val="20"/>
                <w:szCs w:val="20"/>
              </w:rPr>
            </w:pPr>
            <w:r w:rsidRPr="00EA304D">
              <w:rPr>
                <w:sz w:val="20"/>
                <w:szCs w:val="20"/>
              </w:rPr>
              <w:t>0,669</w:t>
            </w:r>
          </w:p>
        </w:tc>
        <w:tc>
          <w:tcPr>
            <w:tcW w:w="1134" w:type="dxa"/>
          </w:tcPr>
          <w:p w14:paraId="3B0A102C" w14:textId="77777777" w:rsidR="00F929D8" w:rsidRPr="00EA304D" w:rsidRDefault="003E7026" w:rsidP="00EA304D">
            <w:pPr>
              <w:pStyle w:val="1text"/>
              <w:spacing w:before="40" w:after="40"/>
              <w:jc w:val="right"/>
              <w:rPr>
                <w:sz w:val="20"/>
                <w:szCs w:val="20"/>
              </w:rPr>
            </w:pPr>
            <w:r>
              <w:rPr>
                <w:sz w:val="20"/>
                <w:szCs w:val="20"/>
              </w:rPr>
              <w:t>0,192</w:t>
            </w:r>
          </w:p>
        </w:tc>
        <w:tc>
          <w:tcPr>
            <w:tcW w:w="3859" w:type="dxa"/>
          </w:tcPr>
          <w:p w14:paraId="0C1B45CC" w14:textId="77777777" w:rsidR="00F929D8" w:rsidRPr="00EA304D" w:rsidRDefault="003E7026" w:rsidP="00EA304D">
            <w:pPr>
              <w:pStyle w:val="1text"/>
              <w:spacing w:before="40" w:after="40"/>
              <w:jc w:val="left"/>
              <w:rPr>
                <w:sz w:val="20"/>
                <w:szCs w:val="20"/>
              </w:rPr>
            </w:pPr>
            <w:r>
              <w:rPr>
                <w:sz w:val="20"/>
                <w:szCs w:val="20"/>
              </w:rPr>
              <w:t>realizován 1</w:t>
            </w:r>
            <w:r w:rsidR="004326F4">
              <w:rPr>
                <w:sz w:val="20"/>
                <w:szCs w:val="20"/>
              </w:rPr>
              <w:t xml:space="preserve"> </w:t>
            </w:r>
            <w:r>
              <w:rPr>
                <w:sz w:val="20"/>
                <w:szCs w:val="20"/>
              </w:rPr>
              <w:t>RD, ve zbývající části změna koncepce</w:t>
            </w:r>
          </w:p>
        </w:tc>
      </w:tr>
      <w:tr w:rsidR="003E7026" w:rsidRPr="00EA304D" w14:paraId="003B7DA5" w14:textId="77777777" w:rsidTr="00EA304D">
        <w:tc>
          <w:tcPr>
            <w:tcW w:w="1101" w:type="dxa"/>
          </w:tcPr>
          <w:p w14:paraId="06D4EEC0" w14:textId="77777777" w:rsidR="003E7026" w:rsidRPr="00EA304D" w:rsidRDefault="003E7026" w:rsidP="003E7026">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72 </w:t>
            </w:r>
          </w:p>
        </w:tc>
        <w:tc>
          <w:tcPr>
            <w:tcW w:w="1984" w:type="dxa"/>
          </w:tcPr>
          <w:p w14:paraId="31D7F778" w14:textId="77777777" w:rsidR="003E7026" w:rsidRPr="00EA304D" w:rsidRDefault="003E702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453D8784" w14:textId="77777777" w:rsidR="003E7026" w:rsidRPr="00EA304D" w:rsidRDefault="003E7026" w:rsidP="00EA304D">
            <w:pPr>
              <w:spacing w:before="40" w:after="40"/>
              <w:jc w:val="right"/>
              <w:rPr>
                <w:sz w:val="20"/>
                <w:szCs w:val="20"/>
              </w:rPr>
            </w:pPr>
            <w:r w:rsidRPr="00EA304D">
              <w:rPr>
                <w:sz w:val="20"/>
                <w:szCs w:val="20"/>
              </w:rPr>
              <w:t>1,227</w:t>
            </w:r>
          </w:p>
        </w:tc>
        <w:tc>
          <w:tcPr>
            <w:tcW w:w="1134" w:type="dxa"/>
          </w:tcPr>
          <w:p w14:paraId="6484B362" w14:textId="77777777" w:rsidR="003E7026" w:rsidRPr="00EA304D" w:rsidRDefault="003E7026" w:rsidP="00EA304D">
            <w:pPr>
              <w:pStyle w:val="1text"/>
              <w:spacing w:before="40" w:after="40"/>
              <w:jc w:val="right"/>
              <w:rPr>
                <w:sz w:val="20"/>
                <w:szCs w:val="20"/>
              </w:rPr>
            </w:pPr>
            <w:r>
              <w:rPr>
                <w:sz w:val="20"/>
                <w:szCs w:val="20"/>
              </w:rPr>
              <w:t>0,345</w:t>
            </w:r>
          </w:p>
        </w:tc>
        <w:tc>
          <w:tcPr>
            <w:tcW w:w="3859" w:type="dxa"/>
          </w:tcPr>
          <w:p w14:paraId="51E2AE09" w14:textId="77777777" w:rsidR="003E7026" w:rsidRPr="00EA304D" w:rsidRDefault="003E7026" w:rsidP="00EA304D">
            <w:pPr>
              <w:pStyle w:val="1text"/>
              <w:spacing w:before="40" w:after="40"/>
              <w:jc w:val="left"/>
              <w:rPr>
                <w:sz w:val="20"/>
                <w:szCs w:val="20"/>
              </w:rPr>
            </w:pPr>
            <w:r>
              <w:rPr>
                <w:sz w:val="20"/>
                <w:szCs w:val="20"/>
              </w:rPr>
              <w:t>část přičleněna k přilehlým RD jako zahrady, ve zbývající části</w:t>
            </w:r>
            <w:r w:rsidRPr="00F61608">
              <w:rPr>
                <w:sz w:val="20"/>
                <w:szCs w:val="20"/>
              </w:rPr>
              <w:t xml:space="preserve"> změna koncepce</w:t>
            </w:r>
          </w:p>
        </w:tc>
      </w:tr>
      <w:tr w:rsidR="00F929D8" w:rsidRPr="00EA304D" w14:paraId="0FA55C86" w14:textId="77777777" w:rsidTr="00EA304D">
        <w:tc>
          <w:tcPr>
            <w:tcW w:w="1101" w:type="dxa"/>
          </w:tcPr>
          <w:p w14:paraId="054FC56A" w14:textId="77777777" w:rsidR="00F929D8" w:rsidRPr="00EA304D" w:rsidRDefault="00F929D8" w:rsidP="00663B40">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73 </w:t>
            </w:r>
          </w:p>
        </w:tc>
        <w:tc>
          <w:tcPr>
            <w:tcW w:w="1984" w:type="dxa"/>
          </w:tcPr>
          <w:p w14:paraId="605515E6"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3B360F14" w14:textId="77777777" w:rsidR="00F929D8" w:rsidRPr="00266F0A" w:rsidRDefault="00F929D8"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1,</w:t>
            </w:r>
            <w:r w:rsidRPr="00EA304D">
              <w:rPr>
                <w:rFonts w:eastAsia="Times New Roman"/>
                <w:sz w:val="20"/>
                <w:szCs w:val="20"/>
                <w:lang w:eastAsia="cs-CZ"/>
              </w:rPr>
              <w:t>259</w:t>
            </w:r>
          </w:p>
        </w:tc>
        <w:tc>
          <w:tcPr>
            <w:tcW w:w="1134" w:type="dxa"/>
          </w:tcPr>
          <w:p w14:paraId="23ED42E4" w14:textId="77777777" w:rsidR="00F929D8" w:rsidRPr="00EA304D" w:rsidRDefault="00663B40" w:rsidP="00EA304D">
            <w:pPr>
              <w:pStyle w:val="1text"/>
              <w:spacing w:before="40" w:after="40"/>
              <w:jc w:val="right"/>
              <w:rPr>
                <w:sz w:val="20"/>
                <w:szCs w:val="20"/>
              </w:rPr>
            </w:pPr>
            <w:r>
              <w:rPr>
                <w:sz w:val="20"/>
                <w:szCs w:val="20"/>
              </w:rPr>
              <w:t>0</w:t>
            </w:r>
          </w:p>
        </w:tc>
        <w:tc>
          <w:tcPr>
            <w:tcW w:w="3859" w:type="dxa"/>
          </w:tcPr>
          <w:p w14:paraId="602BE963" w14:textId="77777777" w:rsidR="00F929D8" w:rsidRPr="00EA304D" w:rsidRDefault="00663B40" w:rsidP="00663B40">
            <w:pPr>
              <w:pStyle w:val="1text"/>
              <w:spacing w:before="40" w:after="40"/>
              <w:jc w:val="left"/>
              <w:rPr>
                <w:sz w:val="20"/>
                <w:szCs w:val="20"/>
              </w:rPr>
            </w:pPr>
            <w:r>
              <w:rPr>
                <w:sz w:val="20"/>
                <w:szCs w:val="20"/>
              </w:rPr>
              <w:t xml:space="preserve">nerealizováno, aktivní zóna záplavového území </w:t>
            </w:r>
          </w:p>
        </w:tc>
      </w:tr>
      <w:tr w:rsidR="00663B40" w:rsidRPr="00EA304D" w14:paraId="443F0046" w14:textId="77777777" w:rsidTr="00EA304D">
        <w:tc>
          <w:tcPr>
            <w:tcW w:w="1101" w:type="dxa"/>
          </w:tcPr>
          <w:p w14:paraId="55DB4730" w14:textId="77777777" w:rsidR="00663B40" w:rsidRPr="00EA304D" w:rsidRDefault="00663B4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80</w:t>
            </w:r>
          </w:p>
        </w:tc>
        <w:tc>
          <w:tcPr>
            <w:tcW w:w="1984" w:type="dxa"/>
          </w:tcPr>
          <w:p w14:paraId="5846D35A" w14:textId="77777777" w:rsidR="00663B40" w:rsidRPr="00EA304D" w:rsidRDefault="00663B4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30271883" w14:textId="77777777" w:rsidR="00663B40" w:rsidRPr="00266F0A" w:rsidRDefault="00663B40"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0,409</w:t>
            </w:r>
          </w:p>
        </w:tc>
        <w:tc>
          <w:tcPr>
            <w:tcW w:w="1134" w:type="dxa"/>
          </w:tcPr>
          <w:p w14:paraId="66E413E2" w14:textId="77777777" w:rsidR="00663B40" w:rsidRPr="00EA304D" w:rsidRDefault="00663B40" w:rsidP="00EA304D">
            <w:pPr>
              <w:pStyle w:val="1text"/>
              <w:spacing w:before="40" w:after="40"/>
              <w:jc w:val="right"/>
              <w:rPr>
                <w:sz w:val="20"/>
                <w:szCs w:val="20"/>
              </w:rPr>
            </w:pPr>
            <w:r w:rsidRPr="00926E09">
              <w:rPr>
                <w:sz w:val="20"/>
                <w:szCs w:val="20"/>
              </w:rPr>
              <w:t>0</w:t>
            </w:r>
          </w:p>
        </w:tc>
        <w:tc>
          <w:tcPr>
            <w:tcW w:w="3859" w:type="dxa"/>
          </w:tcPr>
          <w:p w14:paraId="56DBAB14" w14:textId="77777777" w:rsidR="00663B40" w:rsidRPr="00EA304D" w:rsidRDefault="00663B40" w:rsidP="00EA304D">
            <w:pPr>
              <w:pStyle w:val="1text"/>
              <w:spacing w:before="40" w:after="40"/>
              <w:jc w:val="left"/>
              <w:rPr>
                <w:sz w:val="20"/>
                <w:szCs w:val="20"/>
              </w:rPr>
            </w:pPr>
            <w:r w:rsidRPr="00F61608">
              <w:rPr>
                <w:sz w:val="20"/>
                <w:szCs w:val="20"/>
              </w:rPr>
              <w:t>nerealizováno, změna koncepce</w:t>
            </w:r>
          </w:p>
        </w:tc>
      </w:tr>
      <w:tr w:rsidR="0081763B" w:rsidRPr="00EA304D" w14:paraId="3FB26D9C" w14:textId="77777777" w:rsidTr="00EA304D">
        <w:tc>
          <w:tcPr>
            <w:tcW w:w="1101" w:type="dxa"/>
          </w:tcPr>
          <w:p w14:paraId="3FFA4762" w14:textId="77777777" w:rsidR="0081763B" w:rsidRPr="00EA304D" w:rsidRDefault="0081763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81</w:t>
            </w:r>
          </w:p>
        </w:tc>
        <w:tc>
          <w:tcPr>
            <w:tcW w:w="1984" w:type="dxa"/>
          </w:tcPr>
          <w:p w14:paraId="7F915F27" w14:textId="77777777" w:rsidR="0081763B" w:rsidRPr="00EA304D" w:rsidRDefault="0081763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06FC523C" w14:textId="77777777" w:rsidR="0081763B" w:rsidRPr="00266F0A" w:rsidRDefault="0081763B"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0,342</w:t>
            </w:r>
          </w:p>
        </w:tc>
        <w:tc>
          <w:tcPr>
            <w:tcW w:w="1134" w:type="dxa"/>
          </w:tcPr>
          <w:p w14:paraId="18EB6D0A" w14:textId="77777777" w:rsidR="0081763B" w:rsidRPr="00EA304D" w:rsidRDefault="0081763B" w:rsidP="00EA304D">
            <w:pPr>
              <w:pStyle w:val="1text"/>
              <w:spacing w:before="40" w:after="40"/>
              <w:jc w:val="right"/>
              <w:rPr>
                <w:sz w:val="20"/>
                <w:szCs w:val="20"/>
              </w:rPr>
            </w:pPr>
            <w:r w:rsidRPr="00926E09">
              <w:rPr>
                <w:sz w:val="20"/>
                <w:szCs w:val="20"/>
              </w:rPr>
              <w:t>0</w:t>
            </w:r>
          </w:p>
        </w:tc>
        <w:tc>
          <w:tcPr>
            <w:tcW w:w="3859" w:type="dxa"/>
          </w:tcPr>
          <w:p w14:paraId="1AC2D6AD" w14:textId="77777777" w:rsidR="0081763B" w:rsidRPr="00EA304D" w:rsidRDefault="0081763B" w:rsidP="00EA304D">
            <w:pPr>
              <w:pStyle w:val="1text"/>
              <w:spacing w:before="40" w:after="40"/>
              <w:jc w:val="left"/>
              <w:rPr>
                <w:sz w:val="20"/>
                <w:szCs w:val="20"/>
              </w:rPr>
            </w:pPr>
            <w:r w:rsidRPr="00F61608">
              <w:rPr>
                <w:sz w:val="20"/>
                <w:szCs w:val="20"/>
              </w:rPr>
              <w:t>nerealizováno, změna koncepce</w:t>
            </w:r>
          </w:p>
        </w:tc>
      </w:tr>
      <w:tr w:rsidR="0081763B" w:rsidRPr="00EA304D" w14:paraId="0A89CDDD" w14:textId="77777777" w:rsidTr="00EA304D">
        <w:tc>
          <w:tcPr>
            <w:tcW w:w="1101" w:type="dxa"/>
          </w:tcPr>
          <w:p w14:paraId="3B23CD71" w14:textId="77777777" w:rsidR="0081763B" w:rsidRPr="00EA304D" w:rsidRDefault="0081763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82</w:t>
            </w:r>
          </w:p>
        </w:tc>
        <w:tc>
          <w:tcPr>
            <w:tcW w:w="1984" w:type="dxa"/>
          </w:tcPr>
          <w:p w14:paraId="678D44BC" w14:textId="77777777" w:rsidR="0081763B" w:rsidRPr="00EA304D" w:rsidRDefault="0081763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3192D496" w14:textId="77777777" w:rsidR="0081763B" w:rsidRPr="00266F0A" w:rsidRDefault="0081763B"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0,624</w:t>
            </w:r>
          </w:p>
        </w:tc>
        <w:tc>
          <w:tcPr>
            <w:tcW w:w="1134" w:type="dxa"/>
          </w:tcPr>
          <w:p w14:paraId="68F254BC" w14:textId="77777777" w:rsidR="0081763B" w:rsidRPr="00EA304D" w:rsidRDefault="0081763B" w:rsidP="00EA304D">
            <w:pPr>
              <w:pStyle w:val="1text"/>
              <w:spacing w:before="40" w:after="40"/>
              <w:jc w:val="right"/>
              <w:rPr>
                <w:sz w:val="20"/>
                <w:szCs w:val="20"/>
              </w:rPr>
            </w:pPr>
            <w:r>
              <w:rPr>
                <w:sz w:val="20"/>
                <w:szCs w:val="20"/>
              </w:rPr>
              <w:t>0</w:t>
            </w:r>
          </w:p>
        </w:tc>
        <w:tc>
          <w:tcPr>
            <w:tcW w:w="3859" w:type="dxa"/>
          </w:tcPr>
          <w:p w14:paraId="33A98CC2" w14:textId="77777777" w:rsidR="0081763B" w:rsidRPr="00EA304D" w:rsidRDefault="0081763B" w:rsidP="00EA304D">
            <w:pPr>
              <w:pStyle w:val="1text"/>
              <w:spacing w:before="40" w:after="40"/>
              <w:jc w:val="left"/>
              <w:rPr>
                <w:sz w:val="20"/>
                <w:szCs w:val="20"/>
              </w:rPr>
            </w:pPr>
            <w:r>
              <w:rPr>
                <w:sz w:val="20"/>
                <w:szCs w:val="20"/>
              </w:rPr>
              <w:t>dosud nerealizováno</w:t>
            </w:r>
          </w:p>
        </w:tc>
      </w:tr>
      <w:tr w:rsidR="003E7026" w:rsidRPr="00EA304D" w14:paraId="581DF396" w14:textId="77777777" w:rsidTr="00EA304D">
        <w:tc>
          <w:tcPr>
            <w:tcW w:w="1101" w:type="dxa"/>
          </w:tcPr>
          <w:p w14:paraId="63AB5387" w14:textId="77777777" w:rsidR="003E7026" w:rsidRPr="00D47F4C" w:rsidRDefault="003E702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83</w:t>
            </w:r>
          </w:p>
        </w:tc>
        <w:tc>
          <w:tcPr>
            <w:tcW w:w="1984" w:type="dxa"/>
          </w:tcPr>
          <w:p w14:paraId="3EB03D62" w14:textId="77777777" w:rsidR="003E7026" w:rsidRPr="00D47F4C" w:rsidRDefault="003E702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Loučná</w:t>
            </w:r>
          </w:p>
        </w:tc>
        <w:tc>
          <w:tcPr>
            <w:tcW w:w="1134" w:type="dxa"/>
          </w:tcPr>
          <w:p w14:paraId="0A2F9C31" w14:textId="77777777" w:rsidR="003E7026" w:rsidRPr="00D47F4C" w:rsidRDefault="003E702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0,187</w:t>
            </w:r>
          </w:p>
        </w:tc>
        <w:tc>
          <w:tcPr>
            <w:tcW w:w="1134" w:type="dxa"/>
          </w:tcPr>
          <w:p w14:paraId="5F87B121" w14:textId="77777777" w:rsidR="003E7026" w:rsidRPr="00D47F4C" w:rsidRDefault="003E7026" w:rsidP="00EA304D">
            <w:pPr>
              <w:pStyle w:val="1text"/>
              <w:spacing w:before="40" w:after="40"/>
              <w:jc w:val="right"/>
              <w:rPr>
                <w:b/>
                <w:sz w:val="20"/>
                <w:szCs w:val="20"/>
              </w:rPr>
            </w:pPr>
            <w:r w:rsidRPr="00D47F4C">
              <w:rPr>
                <w:rFonts w:eastAsia="Times New Roman"/>
                <w:b/>
                <w:sz w:val="20"/>
                <w:szCs w:val="20"/>
                <w:lang w:eastAsia="cs-CZ"/>
              </w:rPr>
              <w:t>0,187</w:t>
            </w:r>
          </w:p>
        </w:tc>
        <w:tc>
          <w:tcPr>
            <w:tcW w:w="3859" w:type="dxa"/>
          </w:tcPr>
          <w:p w14:paraId="73A33B11" w14:textId="77777777" w:rsidR="003E7026" w:rsidRPr="00D47F4C" w:rsidRDefault="003E7026" w:rsidP="00EA304D">
            <w:pPr>
              <w:pStyle w:val="1text"/>
              <w:spacing w:before="40" w:after="40"/>
              <w:jc w:val="left"/>
              <w:rPr>
                <w:b/>
                <w:sz w:val="20"/>
                <w:szCs w:val="20"/>
              </w:rPr>
            </w:pPr>
            <w:r w:rsidRPr="00D47F4C">
              <w:rPr>
                <w:b/>
                <w:sz w:val="20"/>
                <w:szCs w:val="20"/>
              </w:rPr>
              <w:t>realizována stavba pro výrobu a služby</w:t>
            </w:r>
          </w:p>
        </w:tc>
      </w:tr>
      <w:tr w:rsidR="00F929D8" w:rsidRPr="00EA304D" w14:paraId="505C978F" w14:textId="77777777" w:rsidTr="00EA304D">
        <w:tc>
          <w:tcPr>
            <w:tcW w:w="1101" w:type="dxa"/>
          </w:tcPr>
          <w:p w14:paraId="10169770"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84</w:t>
            </w:r>
          </w:p>
        </w:tc>
        <w:tc>
          <w:tcPr>
            <w:tcW w:w="1984" w:type="dxa"/>
          </w:tcPr>
          <w:p w14:paraId="4DBC6446"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4F5FC14C" w14:textId="77777777" w:rsidR="00F929D8" w:rsidRPr="00266F0A" w:rsidRDefault="00F929D8"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0,236</w:t>
            </w:r>
          </w:p>
        </w:tc>
        <w:tc>
          <w:tcPr>
            <w:tcW w:w="1134" w:type="dxa"/>
          </w:tcPr>
          <w:p w14:paraId="278761B8" w14:textId="77777777" w:rsidR="00F929D8" w:rsidRPr="00EA304D" w:rsidRDefault="00E20C1B" w:rsidP="00EA304D">
            <w:pPr>
              <w:pStyle w:val="1text"/>
              <w:spacing w:before="40" w:after="40"/>
              <w:jc w:val="right"/>
              <w:rPr>
                <w:sz w:val="20"/>
                <w:szCs w:val="20"/>
              </w:rPr>
            </w:pPr>
            <w:r>
              <w:rPr>
                <w:sz w:val="20"/>
                <w:szCs w:val="20"/>
              </w:rPr>
              <w:t>0,081</w:t>
            </w:r>
          </w:p>
        </w:tc>
        <w:tc>
          <w:tcPr>
            <w:tcW w:w="3859" w:type="dxa"/>
          </w:tcPr>
          <w:p w14:paraId="0FBC92E8" w14:textId="77777777" w:rsidR="00F929D8" w:rsidRPr="00EA304D" w:rsidRDefault="00E20C1B" w:rsidP="00EA304D">
            <w:pPr>
              <w:pStyle w:val="1text"/>
              <w:spacing w:before="40" w:after="40"/>
              <w:jc w:val="left"/>
              <w:rPr>
                <w:sz w:val="20"/>
                <w:szCs w:val="20"/>
              </w:rPr>
            </w:pPr>
            <w:r>
              <w:rPr>
                <w:sz w:val="20"/>
                <w:szCs w:val="20"/>
              </w:rPr>
              <w:t>realizován 1</w:t>
            </w:r>
            <w:r w:rsidR="004326F4">
              <w:rPr>
                <w:sz w:val="20"/>
                <w:szCs w:val="20"/>
              </w:rPr>
              <w:t xml:space="preserve"> </w:t>
            </w:r>
            <w:r>
              <w:rPr>
                <w:sz w:val="20"/>
                <w:szCs w:val="20"/>
              </w:rPr>
              <w:t>RD</w:t>
            </w:r>
          </w:p>
        </w:tc>
      </w:tr>
      <w:tr w:rsidR="00F929D8" w:rsidRPr="00EA304D" w14:paraId="18AF80E2" w14:textId="77777777" w:rsidTr="00EA304D">
        <w:tc>
          <w:tcPr>
            <w:tcW w:w="1101" w:type="dxa"/>
          </w:tcPr>
          <w:p w14:paraId="0B2F3B85"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85</w:t>
            </w:r>
          </w:p>
        </w:tc>
        <w:tc>
          <w:tcPr>
            <w:tcW w:w="1984" w:type="dxa"/>
          </w:tcPr>
          <w:p w14:paraId="2E0B0661" w14:textId="77777777" w:rsidR="00F929D8" w:rsidRPr="00EA304D" w:rsidRDefault="00F929D8"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78007F64" w14:textId="77777777" w:rsidR="00F929D8" w:rsidRPr="00266F0A" w:rsidRDefault="00F929D8"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0,780</w:t>
            </w:r>
          </w:p>
        </w:tc>
        <w:tc>
          <w:tcPr>
            <w:tcW w:w="1134" w:type="dxa"/>
          </w:tcPr>
          <w:p w14:paraId="46241C75" w14:textId="77777777" w:rsidR="00F929D8" w:rsidRPr="00EA304D" w:rsidRDefault="00A8511F" w:rsidP="00EA304D">
            <w:pPr>
              <w:pStyle w:val="1text"/>
              <w:spacing w:before="40" w:after="40"/>
              <w:jc w:val="right"/>
              <w:rPr>
                <w:sz w:val="20"/>
                <w:szCs w:val="20"/>
              </w:rPr>
            </w:pPr>
            <w:r>
              <w:rPr>
                <w:sz w:val="20"/>
                <w:szCs w:val="20"/>
              </w:rPr>
              <w:t>0,194</w:t>
            </w:r>
          </w:p>
        </w:tc>
        <w:tc>
          <w:tcPr>
            <w:tcW w:w="3859" w:type="dxa"/>
          </w:tcPr>
          <w:p w14:paraId="72649B87" w14:textId="77777777" w:rsidR="00F929D8" w:rsidRPr="00EA304D" w:rsidRDefault="00A8511F" w:rsidP="00EA304D">
            <w:pPr>
              <w:pStyle w:val="1text"/>
              <w:spacing w:before="40" w:after="40"/>
              <w:jc w:val="left"/>
              <w:rPr>
                <w:sz w:val="20"/>
                <w:szCs w:val="20"/>
              </w:rPr>
            </w:pPr>
            <w:r>
              <w:rPr>
                <w:sz w:val="20"/>
                <w:szCs w:val="20"/>
              </w:rPr>
              <w:t>realizovány 2 RD</w:t>
            </w:r>
          </w:p>
        </w:tc>
      </w:tr>
      <w:tr w:rsidR="006113DB" w:rsidRPr="00EA304D" w14:paraId="33B06AE8" w14:textId="77777777" w:rsidTr="00EA304D">
        <w:tc>
          <w:tcPr>
            <w:tcW w:w="1101" w:type="dxa"/>
          </w:tcPr>
          <w:p w14:paraId="1FF014E0" w14:textId="77777777" w:rsidR="006113DB" w:rsidRPr="00D47F4C" w:rsidRDefault="006113DB"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90</w:t>
            </w:r>
          </w:p>
        </w:tc>
        <w:tc>
          <w:tcPr>
            <w:tcW w:w="1984" w:type="dxa"/>
          </w:tcPr>
          <w:p w14:paraId="585DA6BF" w14:textId="77777777" w:rsidR="006113DB" w:rsidRPr="00D47F4C" w:rsidRDefault="006113DB"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Loučná</w:t>
            </w:r>
          </w:p>
        </w:tc>
        <w:tc>
          <w:tcPr>
            <w:tcW w:w="1134" w:type="dxa"/>
          </w:tcPr>
          <w:p w14:paraId="1BD2D145" w14:textId="77777777" w:rsidR="006113DB" w:rsidRPr="00D47F4C" w:rsidRDefault="006113DB"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0,036</w:t>
            </w:r>
          </w:p>
        </w:tc>
        <w:tc>
          <w:tcPr>
            <w:tcW w:w="1134" w:type="dxa"/>
          </w:tcPr>
          <w:p w14:paraId="01B2FC6B" w14:textId="77777777" w:rsidR="006113DB" w:rsidRPr="00D47F4C" w:rsidRDefault="006113DB" w:rsidP="00EA304D">
            <w:pPr>
              <w:pStyle w:val="1text"/>
              <w:spacing w:before="40" w:after="40"/>
              <w:jc w:val="right"/>
              <w:rPr>
                <w:b/>
                <w:sz w:val="20"/>
                <w:szCs w:val="20"/>
              </w:rPr>
            </w:pPr>
            <w:r w:rsidRPr="00D47F4C">
              <w:rPr>
                <w:rFonts w:eastAsia="Times New Roman"/>
                <w:b/>
                <w:sz w:val="20"/>
                <w:szCs w:val="20"/>
                <w:lang w:eastAsia="cs-CZ"/>
              </w:rPr>
              <w:t>0,036</w:t>
            </w:r>
          </w:p>
        </w:tc>
        <w:tc>
          <w:tcPr>
            <w:tcW w:w="3859" w:type="dxa"/>
          </w:tcPr>
          <w:p w14:paraId="4A8A38C3" w14:textId="77777777" w:rsidR="006113DB" w:rsidRPr="00D47F4C" w:rsidRDefault="006113DB" w:rsidP="00EA304D">
            <w:pPr>
              <w:pStyle w:val="1text"/>
              <w:spacing w:before="40" w:after="40"/>
              <w:jc w:val="left"/>
              <w:rPr>
                <w:b/>
                <w:sz w:val="20"/>
                <w:szCs w:val="20"/>
              </w:rPr>
            </w:pPr>
            <w:r w:rsidRPr="00D47F4C">
              <w:rPr>
                <w:b/>
                <w:sz w:val="20"/>
                <w:szCs w:val="20"/>
              </w:rPr>
              <w:t>realizováno</w:t>
            </w:r>
          </w:p>
        </w:tc>
      </w:tr>
      <w:tr w:rsidR="0081763B" w:rsidRPr="00EA304D" w14:paraId="438E23C3" w14:textId="77777777" w:rsidTr="00EA304D">
        <w:tc>
          <w:tcPr>
            <w:tcW w:w="1101" w:type="dxa"/>
          </w:tcPr>
          <w:p w14:paraId="12021D80" w14:textId="77777777" w:rsidR="0081763B" w:rsidRPr="00EA304D" w:rsidRDefault="0081763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91</w:t>
            </w:r>
          </w:p>
        </w:tc>
        <w:tc>
          <w:tcPr>
            <w:tcW w:w="1984" w:type="dxa"/>
          </w:tcPr>
          <w:p w14:paraId="76327B75" w14:textId="77777777" w:rsidR="0081763B" w:rsidRPr="00EA304D" w:rsidRDefault="0081763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09B72E0B" w14:textId="77777777" w:rsidR="0081763B" w:rsidRPr="00266F0A" w:rsidRDefault="0081763B"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0,620</w:t>
            </w:r>
          </w:p>
        </w:tc>
        <w:tc>
          <w:tcPr>
            <w:tcW w:w="1134" w:type="dxa"/>
          </w:tcPr>
          <w:p w14:paraId="536E1D42" w14:textId="77777777" w:rsidR="0081763B" w:rsidRPr="00EA304D" w:rsidRDefault="0081763B" w:rsidP="00EA304D">
            <w:pPr>
              <w:pStyle w:val="1text"/>
              <w:spacing w:before="40" w:after="40"/>
              <w:jc w:val="right"/>
              <w:rPr>
                <w:sz w:val="20"/>
                <w:szCs w:val="20"/>
              </w:rPr>
            </w:pPr>
            <w:r>
              <w:rPr>
                <w:sz w:val="20"/>
                <w:szCs w:val="20"/>
              </w:rPr>
              <w:t>0</w:t>
            </w:r>
          </w:p>
        </w:tc>
        <w:tc>
          <w:tcPr>
            <w:tcW w:w="3859" w:type="dxa"/>
          </w:tcPr>
          <w:p w14:paraId="42654ED5" w14:textId="77777777" w:rsidR="0081763B" w:rsidRPr="00EA304D" w:rsidRDefault="0081763B" w:rsidP="00EA304D">
            <w:pPr>
              <w:pStyle w:val="1text"/>
              <w:spacing w:before="40" w:after="40"/>
              <w:jc w:val="left"/>
              <w:rPr>
                <w:sz w:val="20"/>
                <w:szCs w:val="20"/>
              </w:rPr>
            </w:pPr>
            <w:r>
              <w:rPr>
                <w:sz w:val="20"/>
                <w:szCs w:val="20"/>
              </w:rPr>
              <w:t>dosud nerealizováno</w:t>
            </w:r>
          </w:p>
        </w:tc>
      </w:tr>
      <w:tr w:rsidR="006113DB" w:rsidRPr="00EA304D" w14:paraId="4E26C252" w14:textId="77777777" w:rsidTr="00EA304D">
        <w:tc>
          <w:tcPr>
            <w:tcW w:w="1101" w:type="dxa"/>
          </w:tcPr>
          <w:p w14:paraId="3EFEB646"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106</w:t>
            </w:r>
          </w:p>
        </w:tc>
        <w:tc>
          <w:tcPr>
            <w:tcW w:w="1984" w:type="dxa"/>
          </w:tcPr>
          <w:p w14:paraId="4CA36B61"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345B3ACF" w14:textId="77777777" w:rsidR="006113DB" w:rsidRPr="00EA304D" w:rsidRDefault="006113DB" w:rsidP="00EA304D">
            <w:pPr>
              <w:pStyle w:val="1text"/>
              <w:spacing w:before="40" w:after="40"/>
              <w:jc w:val="right"/>
              <w:rPr>
                <w:sz w:val="20"/>
                <w:szCs w:val="20"/>
              </w:rPr>
            </w:pPr>
            <w:r>
              <w:rPr>
                <w:sz w:val="20"/>
                <w:szCs w:val="20"/>
              </w:rPr>
              <w:t>1,079</w:t>
            </w:r>
          </w:p>
        </w:tc>
        <w:tc>
          <w:tcPr>
            <w:tcW w:w="1134" w:type="dxa"/>
          </w:tcPr>
          <w:p w14:paraId="2AEBF77C" w14:textId="77777777" w:rsidR="006113DB" w:rsidRPr="00EA304D" w:rsidRDefault="006113DB" w:rsidP="00EA304D">
            <w:pPr>
              <w:pStyle w:val="1text"/>
              <w:spacing w:before="40" w:after="40"/>
              <w:jc w:val="right"/>
              <w:rPr>
                <w:sz w:val="20"/>
                <w:szCs w:val="20"/>
              </w:rPr>
            </w:pPr>
            <w:r>
              <w:rPr>
                <w:sz w:val="20"/>
                <w:szCs w:val="20"/>
              </w:rPr>
              <w:t>0,7852</w:t>
            </w:r>
          </w:p>
        </w:tc>
        <w:tc>
          <w:tcPr>
            <w:tcW w:w="3859" w:type="dxa"/>
          </w:tcPr>
          <w:p w14:paraId="3982132F" w14:textId="77777777" w:rsidR="006113DB" w:rsidRPr="00EA304D" w:rsidRDefault="006113DB" w:rsidP="00EA304D">
            <w:pPr>
              <w:pStyle w:val="1text"/>
              <w:spacing w:before="40" w:after="40"/>
              <w:jc w:val="left"/>
              <w:rPr>
                <w:sz w:val="20"/>
                <w:szCs w:val="20"/>
              </w:rPr>
            </w:pPr>
            <w:r>
              <w:rPr>
                <w:sz w:val="20"/>
                <w:szCs w:val="20"/>
              </w:rPr>
              <w:t>realizovány řadové RD, zčásti plocha využita pro výrobní areál</w:t>
            </w:r>
          </w:p>
        </w:tc>
      </w:tr>
      <w:tr w:rsidR="006113DB" w:rsidRPr="00EA304D" w14:paraId="317CFE54" w14:textId="77777777" w:rsidTr="00EA304D">
        <w:tc>
          <w:tcPr>
            <w:tcW w:w="1101" w:type="dxa"/>
          </w:tcPr>
          <w:p w14:paraId="3FF9B23C" w14:textId="77777777" w:rsidR="006113DB" w:rsidRPr="00EA304D" w:rsidRDefault="006113DB" w:rsidP="00652F4F">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151 </w:t>
            </w:r>
          </w:p>
        </w:tc>
        <w:tc>
          <w:tcPr>
            <w:tcW w:w="1984" w:type="dxa"/>
          </w:tcPr>
          <w:p w14:paraId="69377798"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0FF3ED38" w14:textId="77777777" w:rsidR="006113DB" w:rsidRPr="00266F0A" w:rsidRDefault="006113DB"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2,096</w:t>
            </w:r>
          </w:p>
        </w:tc>
        <w:tc>
          <w:tcPr>
            <w:tcW w:w="1134" w:type="dxa"/>
          </w:tcPr>
          <w:p w14:paraId="1BE03F82" w14:textId="77777777" w:rsidR="006113DB" w:rsidRPr="00EA304D" w:rsidRDefault="00652F4F" w:rsidP="00EA304D">
            <w:pPr>
              <w:pStyle w:val="1text"/>
              <w:spacing w:before="40" w:after="40"/>
              <w:jc w:val="right"/>
              <w:rPr>
                <w:sz w:val="20"/>
                <w:szCs w:val="20"/>
              </w:rPr>
            </w:pPr>
            <w:r>
              <w:rPr>
                <w:sz w:val="20"/>
                <w:szCs w:val="20"/>
              </w:rPr>
              <w:t>0,320</w:t>
            </w:r>
          </w:p>
        </w:tc>
        <w:tc>
          <w:tcPr>
            <w:tcW w:w="3859" w:type="dxa"/>
          </w:tcPr>
          <w:p w14:paraId="04F1209E" w14:textId="77777777" w:rsidR="006113DB" w:rsidRPr="00EA304D" w:rsidRDefault="00652F4F" w:rsidP="00652F4F">
            <w:pPr>
              <w:pStyle w:val="1text"/>
              <w:spacing w:before="40" w:after="40"/>
              <w:jc w:val="left"/>
              <w:rPr>
                <w:sz w:val="20"/>
                <w:szCs w:val="20"/>
              </w:rPr>
            </w:pPr>
            <w:r>
              <w:rPr>
                <w:sz w:val="20"/>
                <w:szCs w:val="20"/>
              </w:rPr>
              <w:t xml:space="preserve">realizovány 2 RD, v části změna koncepce </w:t>
            </w:r>
          </w:p>
        </w:tc>
      </w:tr>
      <w:tr w:rsidR="00652F4F" w:rsidRPr="00EA304D" w14:paraId="2D5C98DF" w14:textId="77777777" w:rsidTr="00EA304D">
        <w:tc>
          <w:tcPr>
            <w:tcW w:w="1101" w:type="dxa"/>
          </w:tcPr>
          <w:p w14:paraId="2335A772"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152</w:t>
            </w:r>
          </w:p>
        </w:tc>
        <w:tc>
          <w:tcPr>
            <w:tcW w:w="1984" w:type="dxa"/>
          </w:tcPr>
          <w:p w14:paraId="5C658C77"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3ECA9915" w14:textId="77777777" w:rsidR="00652F4F" w:rsidRPr="00266F0A" w:rsidRDefault="00652F4F"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0,168</w:t>
            </w:r>
          </w:p>
        </w:tc>
        <w:tc>
          <w:tcPr>
            <w:tcW w:w="1134" w:type="dxa"/>
          </w:tcPr>
          <w:p w14:paraId="7D5F8B06" w14:textId="77777777" w:rsidR="00652F4F" w:rsidRPr="00EA304D" w:rsidRDefault="00652F4F" w:rsidP="00EA304D">
            <w:pPr>
              <w:pStyle w:val="1text"/>
              <w:spacing w:before="40" w:after="40"/>
              <w:jc w:val="right"/>
              <w:rPr>
                <w:sz w:val="20"/>
                <w:szCs w:val="20"/>
              </w:rPr>
            </w:pPr>
            <w:r>
              <w:rPr>
                <w:sz w:val="20"/>
                <w:szCs w:val="20"/>
              </w:rPr>
              <w:t>0</w:t>
            </w:r>
          </w:p>
        </w:tc>
        <w:tc>
          <w:tcPr>
            <w:tcW w:w="3859" w:type="dxa"/>
          </w:tcPr>
          <w:p w14:paraId="5565618F" w14:textId="77777777" w:rsidR="00652F4F" w:rsidRPr="00EA304D" w:rsidRDefault="00652F4F" w:rsidP="00EA304D">
            <w:pPr>
              <w:pStyle w:val="1text"/>
              <w:spacing w:before="40" w:after="40"/>
              <w:jc w:val="left"/>
              <w:rPr>
                <w:sz w:val="20"/>
                <w:szCs w:val="20"/>
              </w:rPr>
            </w:pPr>
            <w:r>
              <w:rPr>
                <w:sz w:val="20"/>
                <w:szCs w:val="20"/>
              </w:rPr>
              <w:t>dosud nerealizováno</w:t>
            </w:r>
          </w:p>
        </w:tc>
      </w:tr>
      <w:tr w:rsidR="00652F4F" w:rsidRPr="00EA304D" w14:paraId="146B495F" w14:textId="77777777" w:rsidTr="00EA304D">
        <w:tc>
          <w:tcPr>
            <w:tcW w:w="1101" w:type="dxa"/>
          </w:tcPr>
          <w:p w14:paraId="54616865" w14:textId="77777777" w:rsidR="00652F4F" w:rsidRPr="00EA304D" w:rsidRDefault="00652F4F" w:rsidP="00652F4F">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153 </w:t>
            </w:r>
          </w:p>
        </w:tc>
        <w:tc>
          <w:tcPr>
            <w:tcW w:w="1984" w:type="dxa"/>
          </w:tcPr>
          <w:p w14:paraId="37EECC2D"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5F1B99E3" w14:textId="77777777" w:rsidR="00652F4F" w:rsidRPr="00266F0A" w:rsidRDefault="00652F4F"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2,165</w:t>
            </w:r>
          </w:p>
        </w:tc>
        <w:tc>
          <w:tcPr>
            <w:tcW w:w="1134" w:type="dxa"/>
          </w:tcPr>
          <w:p w14:paraId="40EB7481" w14:textId="77777777" w:rsidR="00652F4F" w:rsidRPr="00EA304D" w:rsidRDefault="00652F4F" w:rsidP="00EA304D">
            <w:pPr>
              <w:pStyle w:val="1text"/>
              <w:spacing w:before="40" w:after="40"/>
              <w:jc w:val="right"/>
              <w:rPr>
                <w:sz w:val="20"/>
                <w:szCs w:val="20"/>
              </w:rPr>
            </w:pPr>
            <w:r>
              <w:rPr>
                <w:sz w:val="20"/>
                <w:szCs w:val="20"/>
              </w:rPr>
              <w:t>0</w:t>
            </w:r>
          </w:p>
        </w:tc>
        <w:tc>
          <w:tcPr>
            <w:tcW w:w="3859" w:type="dxa"/>
          </w:tcPr>
          <w:p w14:paraId="23E146F1" w14:textId="77777777" w:rsidR="00652F4F" w:rsidRPr="00EA304D" w:rsidRDefault="00652F4F" w:rsidP="00EA304D">
            <w:pPr>
              <w:pStyle w:val="1text"/>
              <w:spacing w:before="40" w:after="40"/>
              <w:jc w:val="left"/>
              <w:rPr>
                <w:sz w:val="20"/>
                <w:szCs w:val="20"/>
              </w:rPr>
            </w:pPr>
            <w:r>
              <w:rPr>
                <w:sz w:val="20"/>
                <w:szCs w:val="20"/>
              </w:rPr>
              <w:t>dosud nerealizováno</w:t>
            </w:r>
          </w:p>
        </w:tc>
      </w:tr>
      <w:tr w:rsidR="00652F4F" w:rsidRPr="00EA304D" w14:paraId="7CA0C572" w14:textId="77777777" w:rsidTr="00EA304D">
        <w:tc>
          <w:tcPr>
            <w:tcW w:w="1101" w:type="dxa"/>
          </w:tcPr>
          <w:p w14:paraId="72EA6F5D"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154</w:t>
            </w:r>
          </w:p>
        </w:tc>
        <w:tc>
          <w:tcPr>
            <w:tcW w:w="1984" w:type="dxa"/>
          </w:tcPr>
          <w:p w14:paraId="26BF4949"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136B2ACC" w14:textId="77777777" w:rsidR="00652F4F" w:rsidRPr="00266F0A" w:rsidRDefault="00652F4F"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0,434</w:t>
            </w:r>
          </w:p>
        </w:tc>
        <w:tc>
          <w:tcPr>
            <w:tcW w:w="1134" w:type="dxa"/>
          </w:tcPr>
          <w:p w14:paraId="11558D35" w14:textId="77777777" w:rsidR="00652F4F" w:rsidRPr="00EA304D" w:rsidRDefault="00652F4F" w:rsidP="00EA304D">
            <w:pPr>
              <w:pStyle w:val="1text"/>
              <w:spacing w:before="40" w:after="40"/>
              <w:jc w:val="right"/>
              <w:rPr>
                <w:sz w:val="20"/>
                <w:szCs w:val="20"/>
              </w:rPr>
            </w:pPr>
            <w:r>
              <w:rPr>
                <w:sz w:val="20"/>
                <w:szCs w:val="20"/>
              </w:rPr>
              <w:t>0,102</w:t>
            </w:r>
          </w:p>
        </w:tc>
        <w:tc>
          <w:tcPr>
            <w:tcW w:w="3859" w:type="dxa"/>
          </w:tcPr>
          <w:p w14:paraId="1A16ED78" w14:textId="77777777" w:rsidR="00652F4F" w:rsidRPr="00EA304D" w:rsidRDefault="00652F4F" w:rsidP="00EA304D">
            <w:pPr>
              <w:pStyle w:val="1text"/>
              <w:spacing w:before="40" w:after="40"/>
              <w:jc w:val="left"/>
              <w:rPr>
                <w:sz w:val="20"/>
                <w:szCs w:val="20"/>
              </w:rPr>
            </w:pPr>
            <w:r>
              <w:rPr>
                <w:sz w:val="20"/>
                <w:szCs w:val="20"/>
              </w:rPr>
              <w:t>realizován 1 RD, v části změna koncepce</w:t>
            </w:r>
          </w:p>
        </w:tc>
      </w:tr>
      <w:tr w:rsidR="006113DB" w:rsidRPr="00EA304D" w14:paraId="52C697BF" w14:textId="77777777" w:rsidTr="00EA304D">
        <w:tc>
          <w:tcPr>
            <w:tcW w:w="1101" w:type="dxa"/>
          </w:tcPr>
          <w:p w14:paraId="3EC390BD" w14:textId="77777777" w:rsidR="006113DB" w:rsidRPr="00EA304D" w:rsidRDefault="006113DB" w:rsidP="00652F4F">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155 </w:t>
            </w:r>
          </w:p>
        </w:tc>
        <w:tc>
          <w:tcPr>
            <w:tcW w:w="1984" w:type="dxa"/>
          </w:tcPr>
          <w:p w14:paraId="6F9472E8"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2D091CBA" w14:textId="77777777" w:rsidR="006113DB" w:rsidRPr="00266F0A" w:rsidRDefault="006113DB"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1,802</w:t>
            </w:r>
          </w:p>
        </w:tc>
        <w:tc>
          <w:tcPr>
            <w:tcW w:w="1134" w:type="dxa"/>
          </w:tcPr>
          <w:p w14:paraId="519FDB85" w14:textId="77777777" w:rsidR="006113DB" w:rsidRPr="00EA304D" w:rsidRDefault="00652F4F" w:rsidP="00EA304D">
            <w:pPr>
              <w:pStyle w:val="1text"/>
              <w:spacing w:before="40" w:after="40"/>
              <w:jc w:val="right"/>
              <w:rPr>
                <w:sz w:val="20"/>
                <w:szCs w:val="20"/>
              </w:rPr>
            </w:pPr>
            <w:r>
              <w:rPr>
                <w:sz w:val="20"/>
                <w:szCs w:val="20"/>
              </w:rPr>
              <w:t>0</w:t>
            </w:r>
          </w:p>
        </w:tc>
        <w:tc>
          <w:tcPr>
            <w:tcW w:w="3859" w:type="dxa"/>
          </w:tcPr>
          <w:p w14:paraId="7CB54FE2" w14:textId="77777777" w:rsidR="006113DB" w:rsidRPr="00EA304D" w:rsidRDefault="00652F4F" w:rsidP="00652F4F">
            <w:pPr>
              <w:pStyle w:val="1text"/>
              <w:spacing w:before="40" w:after="40"/>
              <w:jc w:val="left"/>
              <w:rPr>
                <w:sz w:val="20"/>
                <w:szCs w:val="20"/>
              </w:rPr>
            </w:pPr>
            <w:r>
              <w:rPr>
                <w:sz w:val="20"/>
                <w:szCs w:val="20"/>
              </w:rPr>
              <w:t xml:space="preserve">nerealizováno, v části změna koncepce </w:t>
            </w:r>
          </w:p>
        </w:tc>
      </w:tr>
      <w:tr w:rsidR="006113DB" w:rsidRPr="00EA304D" w14:paraId="5E2B6920" w14:textId="77777777" w:rsidTr="00EA304D">
        <w:tc>
          <w:tcPr>
            <w:tcW w:w="1101" w:type="dxa"/>
          </w:tcPr>
          <w:p w14:paraId="27B863F6"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156</w:t>
            </w:r>
          </w:p>
        </w:tc>
        <w:tc>
          <w:tcPr>
            <w:tcW w:w="1984" w:type="dxa"/>
          </w:tcPr>
          <w:p w14:paraId="67DFAB95"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0AC65D75" w14:textId="77777777" w:rsidR="006113DB" w:rsidRPr="00266F0A" w:rsidRDefault="006113DB"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1,064</w:t>
            </w:r>
          </w:p>
        </w:tc>
        <w:tc>
          <w:tcPr>
            <w:tcW w:w="1134" w:type="dxa"/>
          </w:tcPr>
          <w:p w14:paraId="76FBFB50" w14:textId="77777777" w:rsidR="006113DB" w:rsidRPr="00EA304D" w:rsidRDefault="00652F4F" w:rsidP="00EA304D">
            <w:pPr>
              <w:pStyle w:val="1text"/>
              <w:spacing w:before="40" w:after="40"/>
              <w:jc w:val="right"/>
              <w:rPr>
                <w:sz w:val="20"/>
                <w:szCs w:val="20"/>
              </w:rPr>
            </w:pPr>
            <w:r>
              <w:rPr>
                <w:sz w:val="20"/>
                <w:szCs w:val="20"/>
              </w:rPr>
              <w:t>0,193</w:t>
            </w:r>
          </w:p>
        </w:tc>
        <w:tc>
          <w:tcPr>
            <w:tcW w:w="3859" w:type="dxa"/>
          </w:tcPr>
          <w:p w14:paraId="3BE5138A" w14:textId="77777777" w:rsidR="006113DB" w:rsidRPr="00EA304D" w:rsidRDefault="00652F4F" w:rsidP="00EA304D">
            <w:pPr>
              <w:pStyle w:val="1text"/>
              <w:spacing w:before="40" w:after="40"/>
              <w:jc w:val="left"/>
              <w:rPr>
                <w:sz w:val="20"/>
                <w:szCs w:val="20"/>
              </w:rPr>
            </w:pPr>
            <w:r>
              <w:rPr>
                <w:sz w:val="20"/>
                <w:szCs w:val="20"/>
              </w:rPr>
              <w:t>realizovány 2 RD</w:t>
            </w:r>
          </w:p>
        </w:tc>
      </w:tr>
      <w:tr w:rsidR="006113DB" w:rsidRPr="00EA304D" w14:paraId="3B45A284" w14:textId="77777777" w:rsidTr="00EA304D">
        <w:tc>
          <w:tcPr>
            <w:tcW w:w="1101" w:type="dxa"/>
          </w:tcPr>
          <w:p w14:paraId="426CE237" w14:textId="77777777" w:rsidR="006113DB" w:rsidRPr="00D47F4C" w:rsidRDefault="006113DB"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157</w:t>
            </w:r>
          </w:p>
        </w:tc>
        <w:tc>
          <w:tcPr>
            <w:tcW w:w="1984" w:type="dxa"/>
          </w:tcPr>
          <w:p w14:paraId="662F3FE7" w14:textId="77777777" w:rsidR="006113DB" w:rsidRPr="00D47F4C" w:rsidRDefault="006113DB"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Dolní Sedlo</w:t>
            </w:r>
          </w:p>
        </w:tc>
        <w:tc>
          <w:tcPr>
            <w:tcW w:w="1134" w:type="dxa"/>
          </w:tcPr>
          <w:p w14:paraId="3DB37EA6" w14:textId="77777777" w:rsidR="006113DB" w:rsidRPr="00D47F4C" w:rsidRDefault="006113DB"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0,230</w:t>
            </w:r>
          </w:p>
        </w:tc>
        <w:tc>
          <w:tcPr>
            <w:tcW w:w="1134" w:type="dxa"/>
          </w:tcPr>
          <w:p w14:paraId="2A0E7834" w14:textId="77777777" w:rsidR="006113DB" w:rsidRPr="00D47F4C" w:rsidRDefault="006113DB" w:rsidP="00EA304D">
            <w:pPr>
              <w:pStyle w:val="1text"/>
              <w:spacing w:before="40" w:after="40"/>
              <w:jc w:val="right"/>
              <w:rPr>
                <w:b/>
                <w:sz w:val="20"/>
                <w:szCs w:val="20"/>
                <w:highlight w:val="green"/>
              </w:rPr>
            </w:pPr>
            <w:r w:rsidRPr="00D47F4C">
              <w:rPr>
                <w:rFonts w:eastAsia="Times New Roman"/>
                <w:b/>
                <w:sz w:val="20"/>
                <w:szCs w:val="20"/>
                <w:lang w:eastAsia="cs-CZ"/>
              </w:rPr>
              <w:t>0,230</w:t>
            </w:r>
          </w:p>
        </w:tc>
        <w:tc>
          <w:tcPr>
            <w:tcW w:w="3859" w:type="dxa"/>
          </w:tcPr>
          <w:p w14:paraId="08262AD3" w14:textId="77777777" w:rsidR="006113DB" w:rsidRPr="00D47F4C" w:rsidRDefault="006113DB" w:rsidP="004A0945">
            <w:pPr>
              <w:pStyle w:val="1text"/>
              <w:spacing w:before="40" w:after="40"/>
              <w:jc w:val="left"/>
              <w:rPr>
                <w:b/>
                <w:sz w:val="20"/>
                <w:szCs w:val="20"/>
                <w:highlight w:val="green"/>
              </w:rPr>
            </w:pPr>
            <w:r w:rsidRPr="00D47F4C">
              <w:rPr>
                <w:b/>
                <w:sz w:val="20"/>
                <w:szCs w:val="20"/>
              </w:rPr>
              <w:t>realizován 1 RD</w:t>
            </w:r>
          </w:p>
        </w:tc>
      </w:tr>
      <w:tr w:rsidR="006113DB" w:rsidRPr="00EA304D" w14:paraId="11FABD54" w14:textId="77777777" w:rsidTr="00EA304D">
        <w:tc>
          <w:tcPr>
            <w:tcW w:w="1101" w:type="dxa"/>
          </w:tcPr>
          <w:p w14:paraId="79786ED4" w14:textId="77777777" w:rsidR="006113DB" w:rsidRPr="00EA304D" w:rsidRDefault="006113DB" w:rsidP="00652F4F">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158 </w:t>
            </w:r>
          </w:p>
        </w:tc>
        <w:tc>
          <w:tcPr>
            <w:tcW w:w="1984" w:type="dxa"/>
          </w:tcPr>
          <w:p w14:paraId="1C40A2CB"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76B20F3F" w14:textId="77777777" w:rsidR="006113DB" w:rsidRPr="00EA304D" w:rsidRDefault="006113DB"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1,240</w:t>
            </w:r>
          </w:p>
        </w:tc>
        <w:tc>
          <w:tcPr>
            <w:tcW w:w="1134" w:type="dxa"/>
          </w:tcPr>
          <w:p w14:paraId="27FFEB5C" w14:textId="77777777" w:rsidR="006113DB" w:rsidRPr="00EA304D" w:rsidRDefault="00652F4F" w:rsidP="00EA304D">
            <w:pPr>
              <w:pStyle w:val="1text"/>
              <w:spacing w:before="40" w:after="40"/>
              <w:jc w:val="right"/>
              <w:rPr>
                <w:sz w:val="20"/>
                <w:szCs w:val="20"/>
              </w:rPr>
            </w:pPr>
            <w:r>
              <w:rPr>
                <w:sz w:val="20"/>
                <w:szCs w:val="20"/>
              </w:rPr>
              <w:t>0,169</w:t>
            </w:r>
          </w:p>
        </w:tc>
        <w:tc>
          <w:tcPr>
            <w:tcW w:w="3859" w:type="dxa"/>
          </w:tcPr>
          <w:p w14:paraId="1FF4EB7C" w14:textId="77777777" w:rsidR="006113DB" w:rsidRPr="00EA304D" w:rsidRDefault="00652F4F" w:rsidP="00EA304D">
            <w:pPr>
              <w:pStyle w:val="1text"/>
              <w:spacing w:before="40" w:after="40"/>
              <w:jc w:val="left"/>
              <w:rPr>
                <w:sz w:val="20"/>
                <w:szCs w:val="20"/>
              </w:rPr>
            </w:pPr>
            <w:r>
              <w:rPr>
                <w:sz w:val="20"/>
                <w:szCs w:val="20"/>
              </w:rPr>
              <w:t>realizován 1 RD</w:t>
            </w:r>
          </w:p>
        </w:tc>
      </w:tr>
      <w:tr w:rsidR="00652F4F" w:rsidRPr="00EA304D" w14:paraId="3CE51B52" w14:textId="77777777" w:rsidTr="00EA304D">
        <w:tc>
          <w:tcPr>
            <w:tcW w:w="1101" w:type="dxa"/>
          </w:tcPr>
          <w:p w14:paraId="5B3E0BB7" w14:textId="77777777" w:rsidR="00652F4F" w:rsidRPr="00EA304D" w:rsidRDefault="00652F4F" w:rsidP="0016632C">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159 </w:t>
            </w:r>
          </w:p>
        </w:tc>
        <w:tc>
          <w:tcPr>
            <w:tcW w:w="1984" w:type="dxa"/>
          </w:tcPr>
          <w:p w14:paraId="76546144"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1E245C3A" w14:textId="77777777" w:rsidR="00652F4F" w:rsidRPr="00EA304D" w:rsidRDefault="00652F4F"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1,030</w:t>
            </w:r>
          </w:p>
        </w:tc>
        <w:tc>
          <w:tcPr>
            <w:tcW w:w="1134" w:type="dxa"/>
          </w:tcPr>
          <w:p w14:paraId="73F2CD8C" w14:textId="77777777" w:rsidR="00652F4F" w:rsidRPr="00EA304D" w:rsidRDefault="00652F4F" w:rsidP="00EA304D">
            <w:pPr>
              <w:pStyle w:val="1text"/>
              <w:spacing w:before="40" w:after="40"/>
              <w:jc w:val="right"/>
              <w:rPr>
                <w:sz w:val="20"/>
                <w:szCs w:val="20"/>
              </w:rPr>
            </w:pPr>
            <w:r>
              <w:rPr>
                <w:sz w:val="20"/>
                <w:szCs w:val="20"/>
              </w:rPr>
              <w:t>0</w:t>
            </w:r>
          </w:p>
        </w:tc>
        <w:tc>
          <w:tcPr>
            <w:tcW w:w="3859" w:type="dxa"/>
          </w:tcPr>
          <w:p w14:paraId="44C461B4" w14:textId="77777777" w:rsidR="00652F4F" w:rsidRPr="00EA304D" w:rsidRDefault="00652F4F" w:rsidP="00EA304D">
            <w:pPr>
              <w:pStyle w:val="1text"/>
              <w:spacing w:before="40" w:after="40"/>
              <w:jc w:val="left"/>
              <w:rPr>
                <w:sz w:val="20"/>
                <w:szCs w:val="20"/>
              </w:rPr>
            </w:pPr>
            <w:r>
              <w:rPr>
                <w:sz w:val="20"/>
                <w:szCs w:val="20"/>
              </w:rPr>
              <w:t>dosud nerealizováno</w:t>
            </w:r>
          </w:p>
        </w:tc>
      </w:tr>
      <w:tr w:rsidR="00DD6B30" w:rsidRPr="00EA304D" w14:paraId="5607A4DE" w14:textId="77777777" w:rsidTr="00EA304D">
        <w:tc>
          <w:tcPr>
            <w:tcW w:w="1101" w:type="dxa"/>
          </w:tcPr>
          <w:p w14:paraId="3C55E5F7"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160</w:t>
            </w:r>
          </w:p>
        </w:tc>
        <w:tc>
          <w:tcPr>
            <w:tcW w:w="1984" w:type="dxa"/>
          </w:tcPr>
          <w:p w14:paraId="46641204"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Horní Sedlo</w:t>
            </w:r>
          </w:p>
        </w:tc>
        <w:tc>
          <w:tcPr>
            <w:tcW w:w="1134" w:type="dxa"/>
          </w:tcPr>
          <w:p w14:paraId="081402C4"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0,650</w:t>
            </w:r>
          </w:p>
        </w:tc>
        <w:tc>
          <w:tcPr>
            <w:tcW w:w="1134" w:type="dxa"/>
          </w:tcPr>
          <w:p w14:paraId="02BACE7B"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538FFDC7" w14:textId="77777777" w:rsidR="00DD6B30" w:rsidRPr="00EA304D" w:rsidRDefault="00DD6B30" w:rsidP="00EA304D">
            <w:pPr>
              <w:pStyle w:val="1text"/>
              <w:spacing w:before="40" w:after="40"/>
              <w:jc w:val="left"/>
              <w:rPr>
                <w:sz w:val="20"/>
                <w:szCs w:val="20"/>
              </w:rPr>
            </w:pPr>
            <w:r>
              <w:rPr>
                <w:sz w:val="20"/>
                <w:szCs w:val="20"/>
              </w:rPr>
              <w:t>nerealizováno, změna koncepce</w:t>
            </w:r>
          </w:p>
        </w:tc>
      </w:tr>
      <w:tr w:rsidR="006113DB" w:rsidRPr="00EA304D" w14:paraId="1EA6B5B0" w14:textId="77777777" w:rsidTr="00EA304D">
        <w:tc>
          <w:tcPr>
            <w:tcW w:w="1101" w:type="dxa"/>
          </w:tcPr>
          <w:p w14:paraId="7E4CC6DD"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lastRenderedPageBreak/>
              <w:t>161</w:t>
            </w:r>
          </w:p>
        </w:tc>
        <w:tc>
          <w:tcPr>
            <w:tcW w:w="1984" w:type="dxa"/>
          </w:tcPr>
          <w:p w14:paraId="627613E7" w14:textId="77777777" w:rsidR="006113DB" w:rsidRPr="00EA304D" w:rsidRDefault="006113DB"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Horní Sedlo</w:t>
            </w:r>
          </w:p>
        </w:tc>
        <w:tc>
          <w:tcPr>
            <w:tcW w:w="1134" w:type="dxa"/>
          </w:tcPr>
          <w:p w14:paraId="66E67C6D" w14:textId="77777777" w:rsidR="006113DB" w:rsidRPr="00EA304D" w:rsidRDefault="006113DB"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0,655</w:t>
            </w:r>
          </w:p>
        </w:tc>
        <w:tc>
          <w:tcPr>
            <w:tcW w:w="1134" w:type="dxa"/>
          </w:tcPr>
          <w:p w14:paraId="334056F0" w14:textId="77777777" w:rsidR="006113DB" w:rsidRPr="00EA304D" w:rsidRDefault="00DD6B30" w:rsidP="004567FC">
            <w:pPr>
              <w:pStyle w:val="1text"/>
              <w:spacing w:before="40" w:after="40"/>
              <w:jc w:val="right"/>
              <w:rPr>
                <w:sz w:val="20"/>
                <w:szCs w:val="20"/>
              </w:rPr>
            </w:pPr>
            <w:r>
              <w:rPr>
                <w:sz w:val="20"/>
                <w:szCs w:val="20"/>
              </w:rPr>
              <w:t>0,</w:t>
            </w:r>
            <w:r w:rsidR="004567FC">
              <w:rPr>
                <w:sz w:val="20"/>
                <w:szCs w:val="20"/>
              </w:rPr>
              <w:t>449</w:t>
            </w:r>
          </w:p>
        </w:tc>
        <w:tc>
          <w:tcPr>
            <w:tcW w:w="3859" w:type="dxa"/>
          </w:tcPr>
          <w:p w14:paraId="4653F9E6" w14:textId="77777777" w:rsidR="006113DB" w:rsidRPr="00EA304D" w:rsidRDefault="00DD6B30" w:rsidP="004567FC">
            <w:pPr>
              <w:pStyle w:val="1text"/>
              <w:spacing w:before="40" w:after="40"/>
              <w:jc w:val="left"/>
              <w:rPr>
                <w:sz w:val="20"/>
                <w:szCs w:val="20"/>
              </w:rPr>
            </w:pPr>
            <w:r>
              <w:rPr>
                <w:sz w:val="20"/>
                <w:szCs w:val="20"/>
              </w:rPr>
              <w:t>realizován</w:t>
            </w:r>
            <w:r w:rsidR="004567FC">
              <w:rPr>
                <w:sz w:val="20"/>
                <w:szCs w:val="20"/>
              </w:rPr>
              <w:t>y</w:t>
            </w:r>
            <w:r>
              <w:rPr>
                <w:sz w:val="20"/>
                <w:szCs w:val="20"/>
              </w:rPr>
              <w:t xml:space="preserve"> </w:t>
            </w:r>
            <w:r w:rsidR="004567FC">
              <w:rPr>
                <w:sz w:val="20"/>
                <w:szCs w:val="20"/>
              </w:rPr>
              <w:t>2</w:t>
            </w:r>
            <w:r>
              <w:rPr>
                <w:sz w:val="20"/>
                <w:szCs w:val="20"/>
              </w:rPr>
              <w:t xml:space="preserve"> RD</w:t>
            </w:r>
          </w:p>
        </w:tc>
      </w:tr>
      <w:tr w:rsidR="00DD6B30" w:rsidRPr="00EA304D" w14:paraId="7793201C" w14:textId="77777777" w:rsidTr="00EA304D">
        <w:tc>
          <w:tcPr>
            <w:tcW w:w="1101" w:type="dxa"/>
          </w:tcPr>
          <w:p w14:paraId="7C94DF33"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162</w:t>
            </w:r>
          </w:p>
        </w:tc>
        <w:tc>
          <w:tcPr>
            <w:tcW w:w="1984" w:type="dxa"/>
          </w:tcPr>
          <w:p w14:paraId="7643A58E"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Horní Sedlo</w:t>
            </w:r>
          </w:p>
        </w:tc>
        <w:tc>
          <w:tcPr>
            <w:tcW w:w="1134" w:type="dxa"/>
          </w:tcPr>
          <w:p w14:paraId="1C332682"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0,982</w:t>
            </w:r>
          </w:p>
        </w:tc>
        <w:tc>
          <w:tcPr>
            <w:tcW w:w="1134" w:type="dxa"/>
          </w:tcPr>
          <w:p w14:paraId="71590EAF" w14:textId="77777777" w:rsidR="00DD6B30" w:rsidRPr="00EA304D" w:rsidRDefault="00DD6B30" w:rsidP="00EA304D">
            <w:pPr>
              <w:pStyle w:val="1text"/>
              <w:spacing w:before="40" w:after="40"/>
              <w:jc w:val="right"/>
              <w:rPr>
                <w:sz w:val="20"/>
                <w:szCs w:val="20"/>
              </w:rPr>
            </w:pPr>
            <w:r>
              <w:rPr>
                <w:sz w:val="20"/>
                <w:szCs w:val="20"/>
              </w:rPr>
              <w:t>0,199</w:t>
            </w:r>
          </w:p>
        </w:tc>
        <w:tc>
          <w:tcPr>
            <w:tcW w:w="3859" w:type="dxa"/>
          </w:tcPr>
          <w:p w14:paraId="00953807" w14:textId="77777777" w:rsidR="00DD6B30" w:rsidRPr="00EA304D" w:rsidRDefault="00DD6B30" w:rsidP="00EA304D">
            <w:pPr>
              <w:pStyle w:val="1text"/>
              <w:spacing w:before="40" w:after="40"/>
              <w:jc w:val="left"/>
              <w:rPr>
                <w:sz w:val="20"/>
                <w:szCs w:val="20"/>
              </w:rPr>
            </w:pPr>
            <w:r>
              <w:rPr>
                <w:sz w:val="20"/>
                <w:szCs w:val="20"/>
              </w:rPr>
              <w:t>realizován 1 RD</w:t>
            </w:r>
          </w:p>
        </w:tc>
      </w:tr>
      <w:tr w:rsidR="00DD6B30" w:rsidRPr="00EA304D" w14:paraId="3CD0103E" w14:textId="77777777" w:rsidTr="00EA304D">
        <w:tc>
          <w:tcPr>
            <w:tcW w:w="1101" w:type="dxa"/>
          </w:tcPr>
          <w:p w14:paraId="6243BB85"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173</w:t>
            </w:r>
          </w:p>
        </w:tc>
        <w:tc>
          <w:tcPr>
            <w:tcW w:w="1984" w:type="dxa"/>
          </w:tcPr>
          <w:p w14:paraId="5B7DD187"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Oldřichov na Hranicích</w:t>
            </w:r>
          </w:p>
        </w:tc>
        <w:tc>
          <w:tcPr>
            <w:tcW w:w="1134" w:type="dxa"/>
          </w:tcPr>
          <w:p w14:paraId="04DC1DAF"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0,419</w:t>
            </w:r>
          </w:p>
        </w:tc>
        <w:tc>
          <w:tcPr>
            <w:tcW w:w="1134" w:type="dxa"/>
          </w:tcPr>
          <w:p w14:paraId="0B6B7CCC"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359F56C2" w14:textId="77777777" w:rsidR="00DD6B30" w:rsidRPr="00EA304D" w:rsidRDefault="00DD6B30" w:rsidP="00EA304D">
            <w:pPr>
              <w:pStyle w:val="1text"/>
              <w:spacing w:before="40" w:after="40"/>
              <w:jc w:val="left"/>
              <w:rPr>
                <w:sz w:val="20"/>
                <w:szCs w:val="20"/>
              </w:rPr>
            </w:pPr>
            <w:r>
              <w:rPr>
                <w:sz w:val="20"/>
                <w:szCs w:val="20"/>
              </w:rPr>
              <w:t>dosud nerealizováno</w:t>
            </w:r>
          </w:p>
        </w:tc>
      </w:tr>
      <w:tr w:rsidR="00DD6B30" w:rsidRPr="00EA304D" w14:paraId="7668C467" w14:textId="77777777" w:rsidTr="00EA304D">
        <w:tc>
          <w:tcPr>
            <w:tcW w:w="1101" w:type="dxa"/>
          </w:tcPr>
          <w:p w14:paraId="150BE41B"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174</w:t>
            </w:r>
          </w:p>
        </w:tc>
        <w:tc>
          <w:tcPr>
            <w:tcW w:w="1984" w:type="dxa"/>
          </w:tcPr>
          <w:p w14:paraId="043AA186"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Oldřichov na Hranicích</w:t>
            </w:r>
          </w:p>
        </w:tc>
        <w:tc>
          <w:tcPr>
            <w:tcW w:w="1134" w:type="dxa"/>
          </w:tcPr>
          <w:p w14:paraId="5853509E"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0,224</w:t>
            </w:r>
          </w:p>
        </w:tc>
        <w:tc>
          <w:tcPr>
            <w:tcW w:w="1134" w:type="dxa"/>
          </w:tcPr>
          <w:p w14:paraId="0F48AD6B"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7231AA8C" w14:textId="77777777" w:rsidR="00DD6B30" w:rsidRPr="00EA304D" w:rsidRDefault="00DD6B30" w:rsidP="00EA304D">
            <w:pPr>
              <w:pStyle w:val="1text"/>
              <w:spacing w:before="40" w:after="40"/>
              <w:jc w:val="left"/>
              <w:rPr>
                <w:sz w:val="20"/>
                <w:szCs w:val="20"/>
              </w:rPr>
            </w:pPr>
            <w:r>
              <w:rPr>
                <w:sz w:val="20"/>
                <w:szCs w:val="20"/>
              </w:rPr>
              <w:t>nerealizováno, změna koncepce</w:t>
            </w:r>
          </w:p>
        </w:tc>
      </w:tr>
      <w:tr w:rsidR="00DD6B30" w:rsidRPr="00EA304D" w14:paraId="3BF32839" w14:textId="77777777" w:rsidTr="00EA304D">
        <w:tc>
          <w:tcPr>
            <w:tcW w:w="1101" w:type="dxa"/>
          </w:tcPr>
          <w:p w14:paraId="2C4393E3"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175</w:t>
            </w:r>
          </w:p>
        </w:tc>
        <w:tc>
          <w:tcPr>
            <w:tcW w:w="1984" w:type="dxa"/>
          </w:tcPr>
          <w:p w14:paraId="378D37AB"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Oldřichov na Hranicích</w:t>
            </w:r>
          </w:p>
        </w:tc>
        <w:tc>
          <w:tcPr>
            <w:tcW w:w="1134" w:type="dxa"/>
          </w:tcPr>
          <w:p w14:paraId="3F9D6A8C"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0,287</w:t>
            </w:r>
          </w:p>
        </w:tc>
        <w:tc>
          <w:tcPr>
            <w:tcW w:w="1134" w:type="dxa"/>
          </w:tcPr>
          <w:p w14:paraId="150D4505"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391D8139" w14:textId="77777777" w:rsidR="00DD6B30" w:rsidRPr="00EA304D" w:rsidRDefault="00DD6B30" w:rsidP="00EA304D">
            <w:pPr>
              <w:pStyle w:val="1text"/>
              <w:spacing w:before="40" w:after="40"/>
              <w:jc w:val="left"/>
              <w:rPr>
                <w:sz w:val="20"/>
                <w:szCs w:val="20"/>
              </w:rPr>
            </w:pPr>
            <w:r>
              <w:rPr>
                <w:sz w:val="20"/>
                <w:szCs w:val="20"/>
              </w:rPr>
              <w:t>nerealizováno, změna koncepce</w:t>
            </w:r>
          </w:p>
        </w:tc>
      </w:tr>
      <w:tr w:rsidR="00DD6B30" w:rsidRPr="00EA304D" w14:paraId="4B78CAEA" w14:textId="77777777" w:rsidTr="00EA304D">
        <w:tc>
          <w:tcPr>
            <w:tcW w:w="1101" w:type="dxa"/>
          </w:tcPr>
          <w:p w14:paraId="7A5AD53D"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176</w:t>
            </w:r>
          </w:p>
        </w:tc>
        <w:tc>
          <w:tcPr>
            <w:tcW w:w="1984" w:type="dxa"/>
          </w:tcPr>
          <w:p w14:paraId="09B390C1"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Oldřichov na Hranicích</w:t>
            </w:r>
          </w:p>
        </w:tc>
        <w:tc>
          <w:tcPr>
            <w:tcW w:w="1134" w:type="dxa"/>
          </w:tcPr>
          <w:p w14:paraId="48C4FEE0"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0,476</w:t>
            </w:r>
          </w:p>
        </w:tc>
        <w:tc>
          <w:tcPr>
            <w:tcW w:w="1134" w:type="dxa"/>
          </w:tcPr>
          <w:p w14:paraId="4872AB25"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721C8720" w14:textId="77777777" w:rsidR="00DD6B30" w:rsidRPr="00EA304D" w:rsidRDefault="00DD6B30" w:rsidP="004A2ED9">
            <w:pPr>
              <w:pStyle w:val="1text"/>
              <w:spacing w:before="40" w:after="40"/>
              <w:jc w:val="left"/>
              <w:rPr>
                <w:sz w:val="20"/>
                <w:szCs w:val="20"/>
              </w:rPr>
            </w:pPr>
            <w:r>
              <w:rPr>
                <w:sz w:val="20"/>
                <w:szCs w:val="20"/>
              </w:rPr>
              <w:t>dosud nerealizováno</w:t>
            </w:r>
          </w:p>
        </w:tc>
      </w:tr>
      <w:tr w:rsidR="00DD6B30" w:rsidRPr="00EA304D" w14:paraId="5A058ACB" w14:textId="77777777" w:rsidTr="00EA304D">
        <w:tc>
          <w:tcPr>
            <w:tcW w:w="1101" w:type="dxa"/>
          </w:tcPr>
          <w:p w14:paraId="740D493F" w14:textId="77777777" w:rsidR="00DD6B30" w:rsidRPr="00D47F4C" w:rsidRDefault="00DD6B30"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177</w:t>
            </w:r>
          </w:p>
        </w:tc>
        <w:tc>
          <w:tcPr>
            <w:tcW w:w="1984" w:type="dxa"/>
          </w:tcPr>
          <w:p w14:paraId="3CBFF8B6" w14:textId="77777777" w:rsidR="00DD6B30" w:rsidRPr="00D47F4C" w:rsidRDefault="00DD6B30"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Oldřichov na Hranicích</w:t>
            </w:r>
          </w:p>
        </w:tc>
        <w:tc>
          <w:tcPr>
            <w:tcW w:w="1134" w:type="dxa"/>
          </w:tcPr>
          <w:p w14:paraId="2BB53DA7" w14:textId="77777777" w:rsidR="00DD6B30" w:rsidRPr="00D47F4C" w:rsidRDefault="00DD6B30"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0,195</w:t>
            </w:r>
          </w:p>
        </w:tc>
        <w:tc>
          <w:tcPr>
            <w:tcW w:w="1134" w:type="dxa"/>
          </w:tcPr>
          <w:p w14:paraId="630AF9D8" w14:textId="77777777" w:rsidR="00DD6B30" w:rsidRPr="00D47F4C" w:rsidRDefault="00DD6B30" w:rsidP="00EA304D">
            <w:pPr>
              <w:pStyle w:val="1text"/>
              <w:spacing w:before="40" w:after="40"/>
              <w:jc w:val="right"/>
              <w:rPr>
                <w:b/>
                <w:sz w:val="20"/>
                <w:szCs w:val="20"/>
              </w:rPr>
            </w:pPr>
            <w:r w:rsidRPr="00D47F4C">
              <w:rPr>
                <w:rFonts w:eastAsia="Times New Roman"/>
                <w:b/>
                <w:sz w:val="20"/>
                <w:szCs w:val="20"/>
                <w:lang w:eastAsia="cs-CZ"/>
              </w:rPr>
              <w:t>0,195</w:t>
            </w:r>
          </w:p>
        </w:tc>
        <w:tc>
          <w:tcPr>
            <w:tcW w:w="3859" w:type="dxa"/>
          </w:tcPr>
          <w:p w14:paraId="371FCCEE" w14:textId="77777777" w:rsidR="00DD6B30" w:rsidRPr="00D47F4C" w:rsidRDefault="00DD6B30" w:rsidP="00EA304D">
            <w:pPr>
              <w:pStyle w:val="1text"/>
              <w:spacing w:before="40" w:after="40"/>
              <w:jc w:val="left"/>
              <w:rPr>
                <w:b/>
                <w:sz w:val="20"/>
                <w:szCs w:val="20"/>
              </w:rPr>
            </w:pPr>
            <w:r w:rsidRPr="00D47F4C">
              <w:rPr>
                <w:b/>
                <w:sz w:val="20"/>
                <w:szCs w:val="20"/>
              </w:rPr>
              <w:t>realizován 1 RD</w:t>
            </w:r>
          </w:p>
        </w:tc>
      </w:tr>
      <w:tr w:rsidR="00DD6B30" w:rsidRPr="00EA304D" w14:paraId="305BD370" w14:textId="77777777" w:rsidTr="00EA304D">
        <w:tc>
          <w:tcPr>
            <w:tcW w:w="1101" w:type="dxa"/>
          </w:tcPr>
          <w:p w14:paraId="21AA80C3"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178</w:t>
            </w:r>
          </w:p>
        </w:tc>
        <w:tc>
          <w:tcPr>
            <w:tcW w:w="1984" w:type="dxa"/>
          </w:tcPr>
          <w:p w14:paraId="251A8BB6"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Oldřichov na Hranicích</w:t>
            </w:r>
          </w:p>
        </w:tc>
        <w:tc>
          <w:tcPr>
            <w:tcW w:w="1134" w:type="dxa"/>
          </w:tcPr>
          <w:p w14:paraId="066E9AEA"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0,398</w:t>
            </w:r>
          </w:p>
        </w:tc>
        <w:tc>
          <w:tcPr>
            <w:tcW w:w="1134" w:type="dxa"/>
          </w:tcPr>
          <w:p w14:paraId="5C39B5A8"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2CFAE625" w14:textId="77777777" w:rsidR="00DD6B30" w:rsidRPr="00EA304D" w:rsidRDefault="00DD6B30" w:rsidP="00EA304D">
            <w:pPr>
              <w:pStyle w:val="1text"/>
              <w:spacing w:before="40" w:after="40"/>
              <w:jc w:val="left"/>
              <w:rPr>
                <w:sz w:val="20"/>
                <w:szCs w:val="20"/>
              </w:rPr>
            </w:pPr>
            <w:r>
              <w:rPr>
                <w:sz w:val="20"/>
                <w:szCs w:val="20"/>
              </w:rPr>
              <w:t>dosud nerealizováno</w:t>
            </w:r>
          </w:p>
        </w:tc>
      </w:tr>
      <w:tr w:rsidR="00DD6B30" w:rsidRPr="00EA304D" w14:paraId="096D48A3" w14:textId="77777777" w:rsidTr="00EA304D">
        <w:tc>
          <w:tcPr>
            <w:tcW w:w="1101" w:type="dxa"/>
          </w:tcPr>
          <w:p w14:paraId="4DCB39CB"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180</w:t>
            </w:r>
          </w:p>
        </w:tc>
        <w:tc>
          <w:tcPr>
            <w:tcW w:w="1984" w:type="dxa"/>
          </w:tcPr>
          <w:p w14:paraId="0874ECE1"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Uhelná</w:t>
            </w:r>
          </w:p>
        </w:tc>
        <w:tc>
          <w:tcPr>
            <w:tcW w:w="1134" w:type="dxa"/>
          </w:tcPr>
          <w:p w14:paraId="08B015D6"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1,023</w:t>
            </w:r>
          </w:p>
        </w:tc>
        <w:tc>
          <w:tcPr>
            <w:tcW w:w="1134" w:type="dxa"/>
          </w:tcPr>
          <w:p w14:paraId="664258A7" w14:textId="77777777" w:rsidR="00DD6B30" w:rsidRPr="00EA304D" w:rsidRDefault="00DD6B30" w:rsidP="00EA304D">
            <w:pPr>
              <w:pStyle w:val="1text"/>
              <w:spacing w:before="40" w:after="40"/>
              <w:jc w:val="right"/>
              <w:rPr>
                <w:sz w:val="20"/>
                <w:szCs w:val="20"/>
              </w:rPr>
            </w:pPr>
            <w:r>
              <w:rPr>
                <w:sz w:val="20"/>
                <w:szCs w:val="20"/>
              </w:rPr>
              <w:t>0,174</w:t>
            </w:r>
          </w:p>
        </w:tc>
        <w:tc>
          <w:tcPr>
            <w:tcW w:w="3859" w:type="dxa"/>
          </w:tcPr>
          <w:p w14:paraId="1A4FFB6D" w14:textId="77777777" w:rsidR="00DD6B30" w:rsidRPr="00EA304D" w:rsidRDefault="00DD6B30" w:rsidP="00EA304D">
            <w:pPr>
              <w:pStyle w:val="1text"/>
              <w:spacing w:before="40" w:after="40"/>
              <w:jc w:val="left"/>
              <w:rPr>
                <w:sz w:val="20"/>
                <w:szCs w:val="20"/>
              </w:rPr>
            </w:pPr>
            <w:r>
              <w:rPr>
                <w:sz w:val="20"/>
                <w:szCs w:val="20"/>
              </w:rPr>
              <w:t>realizovány 2 RD, využitelnost plochy omezena stanoveným CHLÚ</w:t>
            </w:r>
          </w:p>
        </w:tc>
      </w:tr>
      <w:tr w:rsidR="00DD6B30" w:rsidRPr="00EA304D" w14:paraId="5BD5D43C" w14:textId="77777777" w:rsidTr="00EA304D">
        <w:tc>
          <w:tcPr>
            <w:tcW w:w="1101" w:type="dxa"/>
          </w:tcPr>
          <w:p w14:paraId="408845FE"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181</w:t>
            </w:r>
          </w:p>
        </w:tc>
        <w:tc>
          <w:tcPr>
            <w:tcW w:w="1984" w:type="dxa"/>
          </w:tcPr>
          <w:p w14:paraId="46F204A1"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Uhelná</w:t>
            </w:r>
          </w:p>
        </w:tc>
        <w:tc>
          <w:tcPr>
            <w:tcW w:w="1134" w:type="dxa"/>
          </w:tcPr>
          <w:p w14:paraId="4DA868C8"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0,495</w:t>
            </w:r>
          </w:p>
        </w:tc>
        <w:tc>
          <w:tcPr>
            <w:tcW w:w="1134" w:type="dxa"/>
          </w:tcPr>
          <w:p w14:paraId="50C8A7C2" w14:textId="77777777" w:rsidR="00DD6B30" w:rsidRPr="00EA304D" w:rsidRDefault="00DD6B30" w:rsidP="00EA304D">
            <w:pPr>
              <w:pStyle w:val="1text"/>
              <w:spacing w:before="40" w:after="40"/>
              <w:jc w:val="right"/>
              <w:rPr>
                <w:sz w:val="20"/>
                <w:szCs w:val="20"/>
              </w:rPr>
            </w:pPr>
            <w:r>
              <w:rPr>
                <w:sz w:val="20"/>
                <w:szCs w:val="20"/>
              </w:rPr>
              <w:t>0,334</w:t>
            </w:r>
          </w:p>
        </w:tc>
        <w:tc>
          <w:tcPr>
            <w:tcW w:w="3859" w:type="dxa"/>
          </w:tcPr>
          <w:p w14:paraId="3CD894EB" w14:textId="77777777" w:rsidR="00DD6B30" w:rsidRPr="00EA304D" w:rsidRDefault="00DD6B30" w:rsidP="00EA304D">
            <w:pPr>
              <w:pStyle w:val="1text"/>
              <w:spacing w:before="40" w:after="40"/>
              <w:jc w:val="left"/>
              <w:rPr>
                <w:sz w:val="20"/>
                <w:szCs w:val="20"/>
              </w:rPr>
            </w:pPr>
            <w:r>
              <w:rPr>
                <w:sz w:val="20"/>
                <w:szCs w:val="20"/>
              </w:rPr>
              <w:t>realizovány 2 RD</w:t>
            </w:r>
          </w:p>
        </w:tc>
      </w:tr>
      <w:tr w:rsidR="00DD6B30" w:rsidRPr="00EA304D" w14:paraId="6DF0F882" w14:textId="77777777" w:rsidTr="00EA304D">
        <w:tc>
          <w:tcPr>
            <w:tcW w:w="1101" w:type="dxa"/>
          </w:tcPr>
          <w:p w14:paraId="353BEBF9"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182</w:t>
            </w:r>
          </w:p>
        </w:tc>
        <w:tc>
          <w:tcPr>
            <w:tcW w:w="1984" w:type="dxa"/>
          </w:tcPr>
          <w:p w14:paraId="56D871B1"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Uhelná</w:t>
            </w:r>
          </w:p>
        </w:tc>
        <w:tc>
          <w:tcPr>
            <w:tcW w:w="1134" w:type="dxa"/>
          </w:tcPr>
          <w:p w14:paraId="488E8305"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0,217</w:t>
            </w:r>
          </w:p>
        </w:tc>
        <w:tc>
          <w:tcPr>
            <w:tcW w:w="1134" w:type="dxa"/>
          </w:tcPr>
          <w:p w14:paraId="1E4529FD"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5E689A36" w14:textId="77777777" w:rsidR="00DD6B30" w:rsidRPr="00EA304D" w:rsidRDefault="00DD6B30" w:rsidP="00EA304D">
            <w:pPr>
              <w:pStyle w:val="1text"/>
              <w:spacing w:before="40" w:after="40"/>
              <w:jc w:val="left"/>
              <w:rPr>
                <w:sz w:val="20"/>
                <w:szCs w:val="20"/>
              </w:rPr>
            </w:pPr>
            <w:r>
              <w:rPr>
                <w:sz w:val="20"/>
                <w:szCs w:val="20"/>
              </w:rPr>
              <w:t>dosud nerealizováno</w:t>
            </w:r>
          </w:p>
        </w:tc>
      </w:tr>
      <w:tr w:rsidR="00DD6B30" w:rsidRPr="00EA304D" w14:paraId="29591172" w14:textId="77777777" w:rsidTr="00EA304D">
        <w:tc>
          <w:tcPr>
            <w:tcW w:w="1101" w:type="dxa"/>
          </w:tcPr>
          <w:p w14:paraId="507A8CD6"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191</w:t>
            </w:r>
          </w:p>
        </w:tc>
        <w:tc>
          <w:tcPr>
            <w:tcW w:w="1984" w:type="dxa"/>
          </w:tcPr>
          <w:p w14:paraId="0879C018"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41CAFDBC"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0,574</w:t>
            </w:r>
          </w:p>
        </w:tc>
        <w:tc>
          <w:tcPr>
            <w:tcW w:w="1134" w:type="dxa"/>
          </w:tcPr>
          <w:p w14:paraId="2374E4CC"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567A353C" w14:textId="77777777" w:rsidR="00DD6B30" w:rsidRPr="00EA304D" w:rsidRDefault="00DD6B30" w:rsidP="00EA304D">
            <w:pPr>
              <w:pStyle w:val="1text"/>
              <w:spacing w:before="40" w:after="40"/>
              <w:jc w:val="left"/>
              <w:rPr>
                <w:sz w:val="20"/>
                <w:szCs w:val="20"/>
              </w:rPr>
            </w:pPr>
            <w:r>
              <w:rPr>
                <w:sz w:val="20"/>
                <w:szCs w:val="20"/>
              </w:rPr>
              <w:t>dosud nerealizováno</w:t>
            </w:r>
          </w:p>
        </w:tc>
      </w:tr>
      <w:tr w:rsidR="00DD6B30" w:rsidRPr="00EA304D" w14:paraId="2274B149" w14:textId="77777777" w:rsidTr="00EA304D">
        <w:tc>
          <w:tcPr>
            <w:tcW w:w="1101" w:type="dxa"/>
          </w:tcPr>
          <w:p w14:paraId="58FF034D"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192</w:t>
            </w:r>
          </w:p>
        </w:tc>
        <w:tc>
          <w:tcPr>
            <w:tcW w:w="1984" w:type="dxa"/>
          </w:tcPr>
          <w:p w14:paraId="4A2E865A"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75E4FB51"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0,149</w:t>
            </w:r>
          </w:p>
        </w:tc>
        <w:tc>
          <w:tcPr>
            <w:tcW w:w="1134" w:type="dxa"/>
          </w:tcPr>
          <w:p w14:paraId="6C8A3D59"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0E6060F8" w14:textId="77777777" w:rsidR="00DD6B30" w:rsidRPr="00EA304D" w:rsidRDefault="00DD6B30" w:rsidP="00EA304D">
            <w:pPr>
              <w:pStyle w:val="1text"/>
              <w:spacing w:before="40" w:after="40"/>
              <w:jc w:val="left"/>
              <w:rPr>
                <w:sz w:val="20"/>
                <w:szCs w:val="20"/>
              </w:rPr>
            </w:pPr>
            <w:r>
              <w:rPr>
                <w:sz w:val="20"/>
                <w:szCs w:val="20"/>
              </w:rPr>
              <w:t>dosud nerealizováno</w:t>
            </w:r>
          </w:p>
        </w:tc>
      </w:tr>
      <w:tr w:rsidR="00DD6B30" w:rsidRPr="00EA304D" w14:paraId="621B6260" w14:textId="77777777" w:rsidTr="00EA304D">
        <w:tc>
          <w:tcPr>
            <w:tcW w:w="1101" w:type="dxa"/>
          </w:tcPr>
          <w:p w14:paraId="71C1F0EB"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201</w:t>
            </w:r>
          </w:p>
        </w:tc>
        <w:tc>
          <w:tcPr>
            <w:tcW w:w="1984" w:type="dxa"/>
          </w:tcPr>
          <w:p w14:paraId="38445870"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31019E46"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1,146</w:t>
            </w:r>
          </w:p>
        </w:tc>
        <w:tc>
          <w:tcPr>
            <w:tcW w:w="1134" w:type="dxa"/>
          </w:tcPr>
          <w:p w14:paraId="2621B840"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76A63A66" w14:textId="77777777" w:rsidR="00DD6B30" w:rsidRPr="00EA304D" w:rsidRDefault="00DD6B30" w:rsidP="00EA304D">
            <w:pPr>
              <w:pStyle w:val="1text"/>
              <w:spacing w:before="40" w:after="40"/>
              <w:jc w:val="left"/>
              <w:rPr>
                <w:sz w:val="20"/>
                <w:szCs w:val="20"/>
              </w:rPr>
            </w:pPr>
            <w:r>
              <w:rPr>
                <w:sz w:val="20"/>
                <w:szCs w:val="20"/>
              </w:rPr>
              <w:t>nerealizováno, změna koncepce</w:t>
            </w:r>
          </w:p>
        </w:tc>
      </w:tr>
      <w:tr w:rsidR="00DD6B30" w:rsidRPr="00EA304D" w14:paraId="396E6641" w14:textId="77777777" w:rsidTr="00EA304D">
        <w:tc>
          <w:tcPr>
            <w:tcW w:w="1101" w:type="dxa"/>
          </w:tcPr>
          <w:p w14:paraId="4F99D883"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202</w:t>
            </w:r>
          </w:p>
        </w:tc>
        <w:tc>
          <w:tcPr>
            <w:tcW w:w="1984" w:type="dxa"/>
          </w:tcPr>
          <w:p w14:paraId="5C13F90C"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05462AF0"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1,867</w:t>
            </w:r>
          </w:p>
        </w:tc>
        <w:tc>
          <w:tcPr>
            <w:tcW w:w="1134" w:type="dxa"/>
          </w:tcPr>
          <w:p w14:paraId="6FE9EA0A" w14:textId="77777777" w:rsidR="00DD6B30" w:rsidRPr="00EA304D" w:rsidRDefault="00DD6B30" w:rsidP="00EA304D">
            <w:pPr>
              <w:pStyle w:val="1text"/>
              <w:spacing w:before="40" w:after="40"/>
              <w:jc w:val="right"/>
              <w:rPr>
                <w:sz w:val="20"/>
                <w:szCs w:val="20"/>
              </w:rPr>
            </w:pPr>
            <w:r>
              <w:rPr>
                <w:sz w:val="20"/>
                <w:szCs w:val="20"/>
              </w:rPr>
              <w:t>0,036</w:t>
            </w:r>
          </w:p>
        </w:tc>
        <w:tc>
          <w:tcPr>
            <w:tcW w:w="3859" w:type="dxa"/>
          </w:tcPr>
          <w:p w14:paraId="7BC46BF4" w14:textId="77777777" w:rsidR="00DD6B30" w:rsidRPr="00EA304D" w:rsidRDefault="00DD6B30" w:rsidP="00EA304D">
            <w:pPr>
              <w:pStyle w:val="1text"/>
              <w:spacing w:before="40" w:after="40"/>
              <w:jc w:val="left"/>
              <w:rPr>
                <w:sz w:val="20"/>
                <w:szCs w:val="20"/>
              </w:rPr>
            </w:pPr>
            <w:r>
              <w:rPr>
                <w:sz w:val="20"/>
                <w:szCs w:val="20"/>
              </w:rPr>
              <w:t>realizován 1 RD</w:t>
            </w:r>
          </w:p>
        </w:tc>
      </w:tr>
      <w:tr w:rsidR="00DD6B30" w:rsidRPr="00EA304D" w14:paraId="6A000D5D" w14:textId="77777777" w:rsidTr="00EA304D">
        <w:tc>
          <w:tcPr>
            <w:tcW w:w="1101" w:type="dxa"/>
          </w:tcPr>
          <w:p w14:paraId="5B5593C5"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203</w:t>
            </w:r>
          </w:p>
        </w:tc>
        <w:tc>
          <w:tcPr>
            <w:tcW w:w="1984" w:type="dxa"/>
          </w:tcPr>
          <w:p w14:paraId="7D12C354"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53DC7AC1"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0,489</w:t>
            </w:r>
          </w:p>
        </w:tc>
        <w:tc>
          <w:tcPr>
            <w:tcW w:w="1134" w:type="dxa"/>
          </w:tcPr>
          <w:p w14:paraId="4C5E2716"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530E6330" w14:textId="77777777" w:rsidR="00DD6B30" w:rsidRPr="00EA304D" w:rsidRDefault="00DD6B30" w:rsidP="00EA304D">
            <w:pPr>
              <w:pStyle w:val="1text"/>
              <w:spacing w:before="40" w:after="40"/>
              <w:jc w:val="left"/>
              <w:rPr>
                <w:sz w:val="20"/>
                <w:szCs w:val="20"/>
              </w:rPr>
            </w:pPr>
            <w:r>
              <w:rPr>
                <w:sz w:val="20"/>
                <w:szCs w:val="20"/>
              </w:rPr>
              <w:t>nerealizováno, změna koncepce</w:t>
            </w:r>
          </w:p>
        </w:tc>
      </w:tr>
      <w:tr w:rsidR="00DD6B30" w:rsidRPr="00EA304D" w14:paraId="728F0809" w14:textId="77777777" w:rsidTr="00EA304D">
        <w:tc>
          <w:tcPr>
            <w:tcW w:w="1101" w:type="dxa"/>
          </w:tcPr>
          <w:p w14:paraId="1F0D9C54"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204</w:t>
            </w:r>
          </w:p>
        </w:tc>
        <w:tc>
          <w:tcPr>
            <w:tcW w:w="1984" w:type="dxa"/>
          </w:tcPr>
          <w:p w14:paraId="6832F970"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06981D00"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0,188</w:t>
            </w:r>
          </w:p>
        </w:tc>
        <w:tc>
          <w:tcPr>
            <w:tcW w:w="1134" w:type="dxa"/>
          </w:tcPr>
          <w:p w14:paraId="149D3E47" w14:textId="77777777" w:rsidR="00DD6B30" w:rsidRPr="00EA304D" w:rsidRDefault="00DD6B30" w:rsidP="00EA304D">
            <w:pPr>
              <w:pStyle w:val="1text"/>
              <w:spacing w:before="40" w:after="40"/>
              <w:jc w:val="right"/>
              <w:rPr>
                <w:sz w:val="20"/>
                <w:szCs w:val="20"/>
              </w:rPr>
            </w:pPr>
            <w:r>
              <w:rPr>
                <w:sz w:val="20"/>
                <w:szCs w:val="20"/>
              </w:rPr>
              <w:t>0</w:t>
            </w:r>
          </w:p>
        </w:tc>
        <w:tc>
          <w:tcPr>
            <w:tcW w:w="3859" w:type="dxa"/>
          </w:tcPr>
          <w:p w14:paraId="6F6AE2E3" w14:textId="77777777" w:rsidR="00DD6B30" w:rsidRPr="00EA304D" w:rsidRDefault="00DD6B30" w:rsidP="00EA304D">
            <w:pPr>
              <w:pStyle w:val="1text"/>
              <w:spacing w:before="40" w:after="40"/>
              <w:jc w:val="left"/>
              <w:rPr>
                <w:sz w:val="20"/>
                <w:szCs w:val="20"/>
              </w:rPr>
            </w:pPr>
            <w:r>
              <w:rPr>
                <w:sz w:val="20"/>
                <w:szCs w:val="20"/>
              </w:rPr>
              <w:t>dosud nerealizováno</w:t>
            </w:r>
          </w:p>
        </w:tc>
      </w:tr>
      <w:tr w:rsidR="00652F4F" w:rsidRPr="00EA304D" w14:paraId="7767B2C6" w14:textId="77777777" w:rsidTr="00EA304D">
        <w:tc>
          <w:tcPr>
            <w:tcW w:w="1101" w:type="dxa"/>
          </w:tcPr>
          <w:p w14:paraId="74343EEC"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230</w:t>
            </w:r>
          </w:p>
        </w:tc>
        <w:tc>
          <w:tcPr>
            <w:tcW w:w="1984" w:type="dxa"/>
          </w:tcPr>
          <w:p w14:paraId="135ED51B"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3822198B" w14:textId="77777777" w:rsidR="00652F4F" w:rsidRPr="00EA304D" w:rsidRDefault="00652F4F"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1,149</w:t>
            </w:r>
          </w:p>
        </w:tc>
        <w:tc>
          <w:tcPr>
            <w:tcW w:w="1134" w:type="dxa"/>
          </w:tcPr>
          <w:p w14:paraId="0F3AADD6" w14:textId="77777777" w:rsidR="00652F4F" w:rsidRPr="00EA304D" w:rsidRDefault="00652F4F" w:rsidP="00EA304D">
            <w:pPr>
              <w:pStyle w:val="1text"/>
              <w:spacing w:before="40" w:after="40"/>
              <w:jc w:val="right"/>
              <w:rPr>
                <w:sz w:val="20"/>
                <w:szCs w:val="20"/>
              </w:rPr>
            </w:pPr>
            <w:r>
              <w:rPr>
                <w:sz w:val="20"/>
                <w:szCs w:val="20"/>
              </w:rPr>
              <w:t>0</w:t>
            </w:r>
          </w:p>
        </w:tc>
        <w:tc>
          <w:tcPr>
            <w:tcW w:w="3859" w:type="dxa"/>
          </w:tcPr>
          <w:p w14:paraId="592B9108" w14:textId="77777777" w:rsidR="00652F4F" w:rsidRPr="00EA304D" w:rsidRDefault="00652F4F" w:rsidP="00EA304D">
            <w:pPr>
              <w:pStyle w:val="1text"/>
              <w:spacing w:before="40" w:after="40"/>
              <w:jc w:val="left"/>
              <w:rPr>
                <w:sz w:val="20"/>
                <w:szCs w:val="20"/>
              </w:rPr>
            </w:pPr>
            <w:r>
              <w:rPr>
                <w:sz w:val="20"/>
                <w:szCs w:val="20"/>
              </w:rPr>
              <w:t>dosud nerealizováno</w:t>
            </w:r>
          </w:p>
        </w:tc>
      </w:tr>
      <w:tr w:rsidR="00652F4F" w:rsidRPr="00EA304D" w14:paraId="203164E8" w14:textId="77777777" w:rsidTr="00EA304D">
        <w:tc>
          <w:tcPr>
            <w:tcW w:w="1101" w:type="dxa"/>
          </w:tcPr>
          <w:p w14:paraId="60425216"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231</w:t>
            </w:r>
          </w:p>
        </w:tc>
        <w:tc>
          <w:tcPr>
            <w:tcW w:w="1984" w:type="dxa"/>
          </w:tcPr>
          <w:p w14:paraId="6B53EF14"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0E07D159" w14:textId="77777777" w:rsidR="00652F4F" w:rsidRPr="00EA304D" w:rsidRDefault="00652F4F"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0,496</w:t>
            </w:r>
          </w:p>
        </w:tc>
        <w:tc>
          <w:tcPr>
            <w:tcW w:w="1134" w:type="dxa"/>
          </w:tcPr>
          <w:p w14:paraId="5CF6F934" w14:textId="77777777" w:rsidR="00652F4F" w:rsidRPr="00EA304D" w:rsidRDefault="00652F4F" w:rsidP="00EA304D">
            <w:pPr>
              <w:pStyle w:val="1text"/>
              <w:spacing w:before="40" w:after="40"/>
              <w:jc w:val="right"/>
              <w:rPr>
                <w:sz w:val="20"/>
                <w:szCs w:val="20"/>
              </w:rPr>
            </w:pPr>
            <w:r>
              <w:rPr>
                <w:sz w:val="20"/>
                <w:szCs w:val="20"/>
              </w:rPr>
              <w:t>0</w:t>
            </w:r>
          </w:p>
        </w:tc>
        <w:tc>
          <w:tcPr>
            <w:tcW w:w="3859" w:type="dxa"/>
          </w:tcPr>
          <w:p w14:paraId="09C330BC" w14:textId="77777777" w:rsidR="00652F4F" w:rsidRPr="00EA304D" w:rsidRDefault="00652F4F" w:rsidP="00EA304D">
            <w:pPr>
              <w:pStyle w:val="1text"/>
              <w:spacing w:before="40" w:after="40"/>
              <w:jc w:val="left"/>
              <w:rPr>
                <w:sz w:val="20"/>
                <w:szCs w:val="20"/>
              </w:rPr>
            </w:pPr>
            <w:r>
              <w:rPr>
                <w:sz w:val="20"/>
                <w:szCs w:val="20"/>
              </w:rPr>
              <w:t>dosud nerealizováno</w:t>
            </w:r>
          </w:p>
        </w:tc>
      </w:tr>
      <w:tr w:rsidR="00652F4F" w:rsidRPr="00EA304D" w14:paraId="302E5E24" w14:textId="77777777" w:rsidTr="00EA304D">
        <w:tc>
          <w:tcPr>
            <w:tcW w:w="1101" w:type="dxa"/>
          </w:tcPr>
          <w:p w14:paraId="21F8CC22"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232</w:t>
            </w:r>
          </w:p>
        </w:tc>
        <w:tc>
          <w:tcPr>
            <w:tcW w:w="1984" w:type="dxa"/>
          </w:tcPr>
          <w:p w14:paraId="60BC0280" w14:textId="77777777" w:rsidR="00652F4F" w:rsidRPr="00EA304D" w:rsidRDefault="00652F4F"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27B8D3A6" w14:textId="77777777" w:rsidR="00652F4F" w:rsidRPr="00EA304D" w:rsidRDefault="00652F4F"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0,231</w:t>
            </w:r>
          </w:p>
        </w:tc>
        <w:tc>
          <w:tcPr>
            <w:tcW w:w="1134" w:type="dxa"/>
          </w:tcPr>
          <w:p w14:paraId="789C5766" w14:textId="77777777" w:rsidR="00652F4F" w:rsidRPr="00EA304D" w:rsidRDefault="00652F4F" w:rsidP="00EA304D">
            <w:pPr>
              <w:pStyle w:val="1text"/>
              <w:spacing w:before="40" w:after="40"/>
              <w:jc w:val="right"/>
              <w:rPr>
                <w:sz w:val="20"/>
                <w:szCs w:val="20"/>
              </w:rPr>
            </w:pPr>
            <w:r>
              <w:rPr>
                <w:sz w:val="20"/>
                <w:szCs w:val="20"/>
              </w:rPr>
              <w:t>0</w:t>
            </w:r>
          </w:p>
        </w:tc>
        <w:tc>
          <w:tcPr>
            <w:tcW w:w="3859" w:type="dxa"/>
          </w:tcPr>
          <w:p w14:paraId="20D1EAEE" w14:textId="77777777" w:rsidR="00652F4F" w:rsidRPr="00EA304D" w:rsidRDefault="00652F4F" w:rsidP="00EA304D">
            <w:pPr>
              <w:pStyle w:val="1text"/>
              <w:spacing w:before="40" w:after="40"/>
              <w:jc w:val="left"/>
              <w:rPr>
                <w:sz w:val="20"/>
                <w:szCs w:val="20"/>
              </w:rPr>
            </w:pPr>
            <w:r>
              <w:rPr>
                <w:sz w:val="20"/>
                <w:szCs w:val="20"/>
              </w:rPr>
              <w:t>nerealizováno, aktivní zóna záplavového území</w:t>
            </w:r>
          </w:p>
        </w:tc>
      </w:tr>
      <w:tr w:rsidR="00DD6B30" w:rsidRPr="00EA304D" w14:paraId="1F57B342" w14:textId="77777777" w:rsidTr="00EA304D">
        <w:tc>
          <w:tcPr>
            <w:tcW w:w="1101" w:type="dxa"/>
          </w:tcPr>
          <w:p w14:paraId="7DDE4EF6"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240</w:t>
            </w:r>
          </w:p>
        </w:tc>
        <w:tc>
          <w:tcPr>
            <w:tcW w:w="1984" w:type="dxa"/>
          </w:tcPr>
          <w:p w14:paraId="548822EF" w14:textId="77777777" w:rsidR="00DD6B30" w:rsidRPr="00EA304D" w:rsidRDefault="00DD6B30"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05B11680" w14:textId="77777777" w:rsidR="00DD6B30" w:rsidRPr="00EA304D" w:rsidRDefault="00DD6B30"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0,619</w:t>
            </w:r>
          </w:p>
        </w:tc>
        <w:tc>
          <w:tcPr>
            <w:tcW w:w="1134" w:type="dxa"/>
          </w:tcPr>
          <w:p w14:paraId="75B8E0A6" w14:textId="77777777" w:rsidR="00DD6B30" w:rsidRPr="00EA304D" w:rsidRDefault="00E61733" w:rsidP="00E61733">
            <w:pPr>
              <w:pStyle w:val="1text"/>
              <w:spacing w:before="40" w:after="40"/>
              <w:jc w:val="right"/>
              <w:rPr>
                <w:sz w:val="20"/>
                <w:szCs w:val="20"/>
              </w:rPr>
            </w:pPr>
            <w:r>
              <w:rPr>
                <w:sz w:val="20"/>
                <w:szCs w:val="20"/>
              </w:rPr>
              <w:t>0,223</w:t>
            </w:r>
          </w:p>
        </w:tc>
        <w:tc>
          <w:tcPr>
            <w:tcW w:w="3859" w:type="dxa"/>
          </w:tcPr>
          <w:p w14:paraId="508F2A54" w14:textId="77777777" w:rsidR="00DD6B30" w:rsidRPr="00EA304D" w:rsidRDefault="00E61733" w:rsidP="00E61733">
            <w:pPr>
              <w:pStyle w:val="1text"/>
              <w:spacing w:before="40" w:after="40"/>
              <w:jc w:val="left"/>
              <w:rPr>
                <w:sz w:val="20"/>
                <w:szCs w:val="20"/>
              </w:rPr>
            </w:pPr>
            <w:r>
              <w:rPr>
                <w:sz w:val="20"/>
                <w:szCs w:val="20"/>
              </w:rPr>
              <w:t>část plochy přičleněna k přilehlému RD</w:t>
            </w:r>
          </w:p>
        </w:tc>
      </w:tr>
      <w:tr w:rsidR="00E61733" w:rsidRPr="00EA304D" w14:paraId="2CFE616C" w14:textId="77777777" w:rsidTr="00EA304D">
        <w:tc>
          <w:tcPr>
            <w:tcW w:w="1101" w:type="dxa"/>
          </w:tcPr>
          <w:p w14:paraId="02849D2F"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241</w:t>
            </w:r>
          </w:p>
        </w:tc>
        <w:tc>
          <w:tcPr>
            <w:tcW w:w="1984" w:type="dxa"/>
          </w:tcPr>
          <w:p w14:paraId="348EBC03"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62CF91D0"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0,251</w:t>
            </w:r>
          </w:p>
        </w:tc>
        <w:tc>
          <w:tcPr>
            <w:tcW w:w="1134" w:type="dxa"/>
          </w:tcPr>
          <w:p w14:paraId="5019B76C" w14:textId="77777777" w:rsidR="00E61733" w:rsidRPr="00EA304D" w:rsidRDefault="00E61733" w:rsidP="00EA304D">
            <w:pPr>
              <w:pStyle w:val="1text"/>
              <w:spacing w:before="40" w:after="40"/>
              <w:jc w:val="right"/>
              <w:rPr>
                <w:sz w:val="20"/>
                <w:szCs w:val="20"/>
              </w:rPr>
            </w:pPr>
            <w:r>
              <w:rPr>
                <w:sz w:val="20"/>
                <w:szCs w:val="20"/>
              </w:rPr>
              <w:t>0,184</w:t>
            </w:r>
          </w:p>
        </w:tc>
        <w:tc>
          <w:tcPr>
            <w:tcW w:w="3859" w:type="dxa"/>
          </w:tcPr>
          <w:p w14:paraId="059E826E" w14:textId="77777777" w:rsidR="00E61733" w:rsidRPr="00EA304D" w:rsidRDefault="00E61733" w:rsidP="00EA304D">
            <w:pPr>
              <w:pStyle w:val="1text"/>
              <w:spacing w:before="40" w:after="40"/>
              <w:jc w:val="left"/>
              <w:rPr>
                <w:sz w:val="20"/>
                <w:szCs w:val="20"/>
              </w:rPr>
            </w:pPr>
            <w:r>
              <w:rPr>
                <w:sz w:val="20"/>
                <w:szCs w:val="20"/>
              </w:rPr>
              <w:t>realizován 1 RD</w:t>
            </w:r>
          </w:p>
        </w:tc>
      </w:tr>
      <w:tr w:rsidR="00E61733" w:rsidRPr="00EA304D" w14:paraId="5BDA03A8" w14:textId="77777777" w:rsidTr="00EA304D">
        <w:tc>
          <w:tcPr>
            <w:tcW w:w="1101" w:type="dxa"/>
          </w:tcPr>
          <w:p w14:paraId="35EC2D33"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242</w:t>
            </w:r>
          </w:p>
        </w:tc>
        <w:tc>
          <w:tcPr>
            <w:tcW w:w="1984" w:type="dxa"/>
          </w:tcPr>
          <w:p w14:paraId="408EC383"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3FEF4518"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0,616</w:t>
            </w:r>
          </w:p>
        </w:tc>
        <w:tc>
          <w:tcPr>
            <w:tcW w:w="1134" w:type="dxa"/>
          </w:tcPr>
          <w:p w14:paraId="593A6EA7" w14:textId="77777777" w:rsidR="00E61733" w:rsidRPr="00EA304D" w:rsidRDefault="00E61733" w:rsidP="00EA304D">
            <w:pPr>
              <w:pStyle w:val="1text"/>
              <w:spacing w:before="40" w:after="40"/>
              <w:jc w:val="right"/>
              <w:rPr>
                <w:sz w:val="20"/>
                <w:szCs w:val="20"/>
              </w:rPr>
            </w:pPr>
            <w:r>
              <w:rPr>
                <w:sz w:val="20"/>
                <w:szCs w:val="20"/>
              </w:rPr>
              <w:t>0</w:t>
            </w:r>
          </w:p>
        </w:tc>
        <w:tc>
          <w:tcPr>
            <w:tcW w:w="3859" w:type="dxa"/>
          </w:tcPr>
          <w:p w14:paraId="31B3DAB4" w14:textId="77777777" w:rsidR="00E61733" w:rsidRPr="00EA304D" w:rsidRDefault="00E61733" w:rsidP="00EA304D">
            <w:pPr>
              <w:pStyle w:val="1text"/>
              <w:spacing w:before="40" w:after="40"/>
              <w:jc w:val="left"/>
              <w:rPr>
                <w:sz w:val="20"/>
                <w:szCs w:val="20"/>
              </w:rPr>
            </w:pPr>
            <w:r>
              <w:rPr>
                <w:sz w:val="20"/>
                <w:szCs w:val="20"/>
              </w:rPr>
              <w:t>dosud nerealizováno</w:t>
            </w:r>
          </w:p>
        </w:tc>
      </w:tr>
      <w:tr w:rsidR="00E61733" w:rsidRPr="00EA304D" w14:paraId="599721A7" w14:textId="77777777" w:rsidTr="00EA304D">
        <w:tc>
          <w:tcPr>
            <w:tcW w:w="1101" w:type="dxa"/>
          </w:tcPr>
          <w:p w14:paraId="55CB1CD2"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243</w:t>
            </w:r>
          </w:p>
        </w:tc>
        <w:tc>
          <w:tcPr>
            <w:tcW w:w="1984" w:type="dxa"/>
          </w:tcPr>
          <w:p w14:paraId="6C1D877E"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43E3D97F"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0,632</w:t>
            </w:r>
          </w:p>
        </w:tc>
        <w:tc>
          <w:tcPr>
            <w:tcW w:w="1134" w:type="dxa"/>
          </w:tcPr>
          <w:p w14:paraId="171BA632" w14:textId="77777777" w:rsidR="00E61733" w:rsidRPr="00EA304D" w:rsidRDefault="00E61733" w:rsidP="00EA304D">
            <w:pPr>
              <w:pStyle w:val="1text"/>
              <w:spacing w:before="40" w:after="40"/>
              <w:jc w:val="right"/>
              <w:rPr>
                <w:sz w:val="20"/>
                <w:szCs w:val="20"/>
              </w:rPr>
            </w:pPr>
            <w:r>
              <w:rPr>
                <w:sz w:val="20"/>
                <w:szCs w:val="20"/>
              </w:rPr>
              <w:t>0</w:t>
            </w:r>
          </w:p>
        </w:tc>
        <w:tc>
          <w:tcPr>
            <w:tcW w:w="3859" w:type="dxa"/>
          </w:tcPr>
          <w:p w14:paraId="1AC38377" w14:textId="77777777" w:rsidR="00E61733" w:rsidRPr="00EA304D" w:rsidRDefault="00E61733" w:rsidP="00EA304D">
            <w:pPr>
              <w:pStyle w:val="1text"/>
              <w:spacing w:before="40" w:after="40"/>
              <w:jc w:val="left"/>
              <w:rPr>
                <w:sz w:val="20"/>
                <w:szCs w:val="20"/>
              </w:rPr>
            </w:pPr>
            <w:r>
              <w:rPr>
                <w:sz w:val="20"/>
                <w:szCs w:val="20"/>
              </w:rPr>
              <w:t>dosud nerealizováno</w:t>
            </w:r>
          </w:p>
        </w:tc>
      </w:tr>
      <w:tr w:rsidR="00E61733" w:rsidRPr="00EA304D" w14:paraId="6A7CB4EF" w14:textId="77777777" w:rsidTr="00EA304D">
        <w:tc>
          <w:tcPr>
            <w:tcW w:w="1101" w:type="dxa"/>
          </w:tcPr>
          <w:p w14:paraId="15F2F111"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Z3/2</w:t>
            </w:r>
          </w:p>
        </w:tc>
        <w:tc>
          <w:tcPr>
            <w:tcW w:w="1984" w:type="dxa"/>
          </w:tcPr>
          <w:p w14:paraId="2416D425"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1AD56769"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4,290</w:t>
            </w:r>
          </w:p>
        </w:tc>
        <w:tc>
          <w:tcPr>
            <w:tcW w:w="1134" w:type="dxa"/>
          </w:tcPr>
          <w:p w14:paraId="07ECE411" w14:textId="77777777" w:rsidR="00E61733" w:rsidRPr="00EA304D" w:rsidRDefault="00E61733" w:rsidP="00EA304D">
            <w:pPr>
              <w:pStyle w:val="1text"/>
              <w:spacing w:before="40" w:after="40"/>
              <w:jc w:val="right"/>
              <w:rPr>
                <w:sz w:val="20"/>
                <w:szCs w:val="20"/>
              </w:rPr>
            </w:pPr>
            <w:r w:rsidRPr="00096F41">
              <w:rPr>
                <w:sz w:val="20"/>
                <w:szCs w:val="20"/>
              </w:rPr>
              <w:t>0</w:t>
            </w:r>
          </w:p>
        </w:tc>
        <w:tc>
          <w:tcPr>
            <w:tcW w:w="3859" w:type="dxa"/>
          </w:tcPr>
          <w:p w14:paraId="25F60724" w14:textId="77777777" w:rsidR="00E61733" w:rsidRPr="00EA304D" w:rsidRDefault="00E61733" w:rsidP="00EA304D">
            <w:pPr>
              <w:pStyle w:val="1text"/>
              <w:spacing w:before="40" w:after="40"/>
              <w:jc w:val="left"/>
              <w:rPr>
                <w:sz w:val="20"/>
                <w:szCs w:val="20"/>
              </w:rPr>
            </w:pPr>
            <w:r w:rsidRPr="00EA304D">
              <w:rPr>
                <w:sz w:val="20"/>
                <w:szCs w:val="20"/>
              </w:rPr>
              <w:t>nerealizováno, změna koncepce</w:t>
            </w:r>
          </w:p>
        </w:tc>
      </w:tr>
      <w:tr w:rsidR="00E61733" w:rsidRPr="00EA304D" w14:paraId="027684F3" w14:textId="77777777" w:rsidTr="00EA304D">
        <w:tc>
          <w:tcPr>
            <w:tcW w:w="1101" w:type="dxa"/>
          </w:tcPr>
          <w:p w14:paraId="4D363241"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Z3/3</w:t>
            </w:r>
          </w:p>
        </w:tc>
        <w:tc>
          <w:tcPr>
            <w:tcW w:w="1984" w:type="dxa"/>
          </w:tcPr>
          <w:p w14:paraId="3332C400"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3D960C6A"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1,784</w:t>
            </w:r>
          </w:p>
        </w:tc>
        <w:tc>
          <w:tcPr>
            <w:tcW w:w="1134" w:type="dxa"/>
          </w:tcPr>
          <w:p w14:paraId="4067253C" w14:textId="77777777" w:rsidR="00E61733" w:rsidRPr="00EA304D" w:rsidRDefault="00E61733" w:rsidP="00EA304D">
            <w:pPr>
              <w:pStyle w:val="1text"/>
              <w:spacing w:before="40" w:after="40"/>
              <w:jc w:val="right"/>
              <w:rPr>
                <w:sz w:val="20"/>
                <w:szCs w:val="20"/>
              </w:rPr>
            </w:pPr>
            <w:r>
              <w:rPr>
                <w:sz w:val="20"/>
                <w:szCs w:val="20"/>
              </w:rPr>
              <w:t>1,666</w:t>
            </w:r>
          </w:p>
        </w:tc>
        <w:tc>
          <w:tcPr>
            <w:tcW w:w="3859" w:type="dxa"/>
          </w:tcPr>
          <w:p w14:paraId="500C49C2" w14:textId="77777777" w:rsidR="00E61733" w:rsidRPr="00EA304D" w:rsidRDefault="00E61733" w:rsidP="00EA304D">
            <w:pPr>
              <w:pStyle w:val="1text"/>
              <w:spacing w:before="40" w:after="40"/>
              <w:jc w:val="left"/>
              <w:rPr>
                <w:sz w:val="20"/>
                <w:szCs w:val="20"/>
              </w:rPr>
            </w:pPr>
            <w:r>
              <w:rPr>
                <w:sz w:val="20"/>
                <w:szCs w:val="20"/>
              </w:rPr>
              <w:t>zastavěno rodinnými domy s výjimkou jediné proluky</w:t>
            </w:r>
          </w:p>
        </w:tc>
      </w:tr>
      <w:tr w:rsidR="00E61733" w:rsidRPr="00EA304D" w14:paraId="7C4BBFDF" w14:textId="77777777" w:rsidTr="00EA304D">
        <w:tc>
          <w:tcPr>
            <w:tcW w:w="1101" w:type="dxa"/>
          </w:tcPr>
          <w:p w14:paraId="17D72038" w14:textId="77777777" w:rsidR="00E61733" w:rsidRPr="00D47F4C" w:rsidRDefault="00E61733"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Z11/1</w:t>
            </w:r>
          </w:p>
        </w:tc>
        <w:tc>
          <w:tcPr>
            <w:tcW w:w="1984" w:type="dxa"/>
          </w:tcPr>
          <w:p w14:paraId="32FBB1D4" w14:textId="77777777" w:rsidR="00E61733" w:rsidRPr="00D47F4C" w:rsidRDefault="00E61733"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7CE1E64E" w14:textId="77777777" w:rsidR="00E61733" w:rsidRPr="00D47F4C" w:rsidRDefault="00E61733"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0,493</w:t>
            </w:r>
          </w:p>
        </w:tc>
        <w:tc>
          <w:tcPr>
            <w:tcW w:w="1134" w:type="dxa"/>
          </w:tcPr>
          <w:p w14:paraId="014D4BCE" w14:textId="77777777" w:rsidR="00E61733" w:rsidRPr="00D47F4C" w:rsidRDefault="00E61733" w:rsidP="00EA304D">
            <w:pPr>
              <w:pStyle w:val="1text"/>
              <w:spacing w:before="40" w:after="40"/>
              <w:jc w:val="right"/>
              <w:rPr>
                <w:b/>
                <w:sz w:val="20"/>
                <w:szCs w:val="20"/>
              </w:rPr>
            </w:pPr>
            <w:r w:rsidRPr="00D47F4C">
              <w:rPr>
                <w:rFonts w:eastAsia="Times New Roman"/>
                <w:b/>
                <w:sz w:val="20"/>
                <w:szCs w:val="20"/>
                <w:lang w:eastAsia="cs-CZ"/>
              </w:rPr>
              <w:t>0,493</w:t>
            </w:r>
          </w:p>
        </w:tc>
        <w:tc>
          <w:tcPr>
            <w:tcW w:w="3859" w:type="dxa"/>
          </w:tcPr>
          <w:p w14:paraId="0D61CEEB" w14:textId="77777777" w:rsidR="00E61733" w:rsidRPr="00D47F4C" w:rsidRDefault="00E61733" w:rsidP="00EA304D">
            <w:pPr>
              <w:pStyle w:val="1text"/>
              <w:spacing w:before="40" w:after="40"/>
              <w:jc w:val="left"/>
              <w:rPr>
                <w:b/>
                <w:sz w:val="20"/>
                <w:szCs w:val="20"/>
              </w:rPr>
            </w:pPr>
            <w:r w:rsidRPr="00D47F4C">
              <w:rPr>
                <w:b/>
                <w:sz w:val="20"/>
                <w:szCs w:val="20"/>
              </w:rPr>
              <w:t>realizováno</w:t>
            </w:r>
          </w:p>
        </w:tc>
      </w:tr>
      <w:tr w:rsidR="00E61733" w:rsidRPr="00EA304D" w14:paraId="13F015F8" w14:textId="77777777" w:rsidTr="00EA304D">
        <w:tc>
          <w:tcPr>
            <w:tcW w:w="1101" w:type="dxa"/>
          </w:tcPr>
          <w:p w14:paraId="010CC3B1" w14:textId="77777777" w:rsidR="00E61733" w:rsidRPr="00EA304D" w:rsidRDefault="00E61733" w:rsidP="00EA304D">
            <w:pPr>
              <w:pStyle w:val="1text"/>
              <w:spacing w:before="40" w:after="40"/>
              <w:jc w:val="left"/>
              <w:rPr>
                <w:rFonts w:eastAsia="Times New Roman"/>
                <w:sz w:val="20"/>
                <w:szCs w:val="20"/>
                <w:lang w:eastAsia="cs-CZ"/>
              </w:rPr>
            </w:pPr>
            <w:r>
              <w:rPr>
                <w:rFonts w:eastAsia="Times New Roman"/>
                <w:sz w:val="20"/>
                <w:szCs w:val="20"/>
                <w:lang w:eastAsia="cs-CZ"/>
              </w:rPr>
              <w:t>Z11/2</w:t>
            </w:r>
          </w:p>
        </w:tc>
        <w:tc>
          <w:tcPr>
            <w:tcW w:w="1984" w:type="dxa"/>
          </w:tcPr>
          <w:p w14:paraId="61BC07EF"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0589433B" w14:textId="77777777" w:rsidR="00E61733" w:rsidRPr="00EA304D" w:rsidRDefault="00E61733" w:rsidP="00EA304D">
            <w:pPr>
              <w:spacing w:before="40" w:after="40" w:line="240" w:lineRule="auto"/>
              <w:jc w:val="right"/>
              <w:rPr>
                <w:rFonts w:eastAsia="Times New Roman"/>
                <w:sz w:val="20"/>
                <w:szCs w:val="20"/>
                <w:lang w:eastAsia="cs-CZ"/>
              </w:rPr>
            </w:pPr>
            <w:r>
              <w:rPr>
                <w:rFonts w:eastAsia="Times New Roman"/>
                <w:sz w:val="20"/>
                <w:szCs w:val="20"/>
                <w:lang w:eastAsia="cs-CZ"/>
              </w:rPr>
              <w:t>0,153</w:t>
            </w:r>
          </w:p>
        </w:tc>
        <w:tc>
          <w:tcPr>
            <w:tcW w:w="1134" w:type="dxa"/>
          </w:tcPr>
          <w:p w14:paraId="7DE4E07B" w14:textId="77777777" w:rsidR="00E61733" w:rsidRPr="00EA304D" w:rsidRDefault="00E61733" w:rsidP="00EA304D">
            <w:pPr>
              <w:pStyle w:val="1text"/>
              <w:spacing w:before="40" w:after="40"/>
              <w:jc w:val="right"/>
              <w:rPr>
                <w:rFonts w:eastAsia="Times New Roman"/>
                <w:sz w:val="20"/>
                <w:szCs w:val="20"/>
                <w:lang w:eastAsia="cs-CZ"/>
              </w:rPr>
            </w:pPr>
            <w:r w:rsidRPr="00096F41">
              <w:rPr>
                <w:sz w:val="20"/>
                <w:szCs w:val="20"/>
              </w:rPr>
              <w:t>0</w:t>
            </w:r>
          </w:p>
        </w:tc>
        <w:tc>
          <w:tcPr>
            <w:tcW w:w="3859" w:type="dxa"/>
          </w:tcPr>
          <w:p w14:paraId="5084DBC6" w14:textId="77777777" w:rsidR="00E61733" w:rsidRPr="00EA304D" w:rsidRDefault="00E61733" w:rsidP="00EA304D">
            <w:pPr>
              <w:pStyle w:val="1text"/>
              <w:spacing w:before="40" w:after="40"/>
              <w:jc w:val="left"/>
              <w:rPr>
                <w:sz w:val="20"/>
                <w:szCs w:val="20"/>
              </w:rPr>
            </w:pPr>
            <w:r w:rsidRPr="00EA304D">
              <w:rPr>
                <w:sz w:val="20"/>
                <w:szCs w:val="20"/>
              </w:rPr>
              <w:t>nerealizováno, změna koncepce</w:t>
            </w:r>
          </w:p>
        </w:tc>
      </w:tr>
      <w:tr w:rsidR="00E61733" w:rsidRPr="00EA304D" w14:paraId="185CDC0D" w14:textId="77777777" w:rsidTr="00EA304D">
        <w:tc>
          <w:tcPr>
            <w:tcW w:w="1101" w:type="dxa"/>
          </w:tcPr>
          <w:p w14:paraId="7C87992A" w14:textId="77777777" w:rsidR="00E61733" w:rsidRPr="00D47F4C" w:rsidRDefault="00E61733"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Z12.01</w:t>
            </w:r>
          </w:p>
        </w:tc>
        <w:tc>
          <w:tcPr>
            <w:tcW w:w="1984" w:type="dxa"/>
          </w:tcPr>
          <w:p w14:paraId="790BEACC" w14:textId="77777777" w:rsidR="00E61733" w:rsidRPr="00D47F4C" w:rsidRDefault="00E61733"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Dolní Sedlo</w:t>
            </w:r>
          </w:p>
        </w:tc>
        <w:tc>
          <w:tcPr>
            <w:tcW w:w="1134" w:type="dxa"/>
          </w:tcPr>
          <w:p w14:paraId="593B8EC4" w14:textId="77777777" w:rsidR="00E61733" w:rsidRPr="00D47F4C" w:rsidRDefault="00E61733"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0,113</w:t>
            </w:r>
          </w:p>
        </w:tc>
        <w:tc>
          <w:tcPr>
            <w:tcW w:w="1134" w:type="dxa"/>
          </w:tcPr>
          <w:p w14:paraId="5CE0DC61" w14:textId="77777777" w:rsidR="00E61733" w:rsidRPr="00D47F4C" w:rsidRDefault="00E61733" w:rsidP="00EA304D">
            <w:pPr>
              <w:pStyle w:val="1text"/>
              <w:spacing w:before="40" w:after="40"/>
              <w:jc w:val="right"/>
              <w:rPr>
                <w:b/>
                <w:sz w:val="20"/>
                <w:szCs w:val="20"/>
              </w:rPr>
            </w:pPr>
            <w:r w:rsidRPr="00D47F4C">
              <w:rPr>
                <w:rFonts w:eastAsia="Times New Roman"/>
                <w:b/>
                <w:sz w:val="20"/>
                <w:szCs w:val="20"/>
                <w:lang w:eastAsia="cs-CZ"/>
              </w:rPr>
              <w:t>0,113</w:t>
            </w:r>
          </w:p>
        </w:tc>
        <w:tc>
          <w:tcPr>
            <w:tcW w:w="3859" w:type="dxa"/>
          </w:tcPr>
          <w:p w14:paraId="397353A6" w14:textId="77777777" w:rsidR="00E61733" w:rsidRPr="00D47F4C" w:rsidRDefault="00E61733" w:rsidP="00EA304D">
            <w:pPr>
              <w:pStyle w:val="1text"/>
              <w:spacing w:before="40" w:after="40"/>
              <w:jc w:val="left"/>
              <w:rPr>
                <w:b/>
                <w:sz w:val="20"/>
                <w:szCs w:val="20"/>
              </w:rPr>
            </w:pPr>
            <w:r w:rsidRPr="00D47F4C">
              <w:rPr>
                <w:b/>
                <w:sz w:val="20"/>
                <w:szCs w:val="20"/>
              </w:rPr>
              <w:t>realizován 1 RD</w:t>
            </w:r>
          </w:p>
        </w:tc>
      </w:tr>
      <w:tr w:rsidR="00E61733" w:rsidRPr="00EA304D" w14:paraId="46890A5B" w14:textId="77777777" w:rsidTr="00EA304D">
        <w:tc>
          <w:tcPr>
            <w:tcW w:w="1101" w:type="dxa"/>
          </w:tcPr>
          <w:p w14:paraId="3D72A2E8"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Z12.02</w:t>
            </w:r>
          </w:p>
        </w:tc>
        <w:tc>
          <w:tcPr>
            <w:tcW w:w="1984" w:type="dxa"/>
          </w:tcPr>
          <w:p w14:paraId="71E0835B"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4D1C3B89"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0,763</w:t>
            </w:r>
          </w:p>
        </w:tc>
        <w:tc>
          <w:tcPr>
            <w:tcW w:w="1134" w:type="dxa"/>
          </w:tcPr>
          <w:p w14:paraId="4F24CBD0" w14:textId="77777777" w:rsidR="00E61733" w:rsidRPr="00EA304D" w:rsidRDefault="00E61733" w:rsidP="00EA304D">
            <w:pPr>
              <w:pStyle w:val="1text"/>
              <w:spacing w:before="40" w:after="40"/>
              <w:jc w:val="right"/>
              <w:rPr>
                <w:sz w:val="20"/>
                <w:szCs w:val="20"/>
              </w:rPr>
            </w:pPr>
            <w:r>
              <w:rPr>
                <w:sz w:val="20"/>
                <w:szCs w:val="20"/>
              </w:rPr>
              <w:t>0</w:t>
            </w:r>
          </w:p>
        </w:tc>
        <w:tc>
          <w:tcPr>
            <w:tcW w:w="3859" w:type="dxa"/>
          </w:tcPr>
          <w:p w14:paraId="51ABCA9F" w14:textId="77777777" w:rsidR="00E61733" w:rsidRPr="00EA304D" w:rsidRDefault="00E61733" w:rsidP="008924B1">
            <w:pPr>
              <w:pStyle w:val="1text"/>
              <w:spacing w:before="40" w:after="40"/>
              <w:jc w:val="left"/>
              <w:rPr>
                <w:sz w:val="20"/>
                <w:szCs w:val="20"/>
              </w:rPr>
            </w:pPr>
            <w:r>
              <w:rPr>
                <w:sz w:val="20"/>
                <w:szCs w:val="20"/>
              </w:rPr>
              <w:t>dosud nerealizováno</w:t>
            </w:r>
            <w:r w:rsidR="008924B1">
              <w:rPr>
                <w:sz w:val="20"/>
                <w:szCs w:val="20"/>
              </w:rPr>
              <w:t>, avšak pod společným oplocením se stavbou pro rekreaci</w:t>
            </w:r>
          </w:p>
        </w:tc>
      </w:tr>
      <w:tr w:rsidR="00E61733" w:rsidRPr="00EA304D" w14:paraId="173B0359" w14:textId="77777777" w:rsidTr="00EA304D">
        <w:tc>
          <w:tcPr>
            <w:tcW w:w="1101" w:type="dxa"/>
          </w:tcPr>
          <w:p w14:paraId="125F21AC"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Z12.04</w:t>
            </w:r>
          </w:p>
        </w:tc>
        <w:tc>
          <w:tcPr>
            <w:tcW w:w="1984" w:type="dxa"/>
          </w:tcPr>
          <w:p w14:paraId="669B8A70"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781AEB69"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0,132</w:t>
            </w:r>
          </w:p>
        </w:tc>
        <w:tc>
          <w:tcPr>
            <w:tcW w:w="1134" w:type="dxa"/>
          </w:tcPr>
          <w:p w14:paraId="3BC61D98" w14:textId="77777777" w:rsidR="00E61733" w:rsidRPr="00EA304D" w:rsidRDefault="00E61733" w:rsidP="00EA304D">
            <w:pPr>
              <w:pStyle w:val="1text"/>
              <w:spacing w:before="40" w:after="40"/>
              <w:jc w:val="right"/>
              <w:rPr>
                <w:sz w:val="20"/>
                <w:szCs w:val="20"/>
              </w:rPr>
            </w:pPr>
            <w:r w:rsidRPr="00096F41">
              <w:rPr>
                <w:sz w:val="20"/>
                <w:szCs w:val="20"/>
              </w:rPr>
              <w:t>0</w:t>
            </w:r>
          </w:p>
        </w:tc>
        <w:tc>
          <w:tcPr>
            <w:tcW w:w="3859" w:type="dxa"/>
          </w:tcPr>
          <w:p w14:paraId="3A6A3333" w14:textId="77777777" w:rsidR="00E61733" w:rsidRPr="00EA304D" w:rsidRDefault="00E61733" w:rsidP="00EA304D">
            <w:pPr>
              <w:pStyle w:val="1text"/>
              <w:spacing w:before="40" w:after="40"/>
              <w:jc w:val="left"/>
              <w:rPr>
                <w:sz w:val="20"/>
                <w:szCs w:val="20"/>
              </w:rPr>
            </w:pPr>
            <w:r w:rsidRPr="00EA304D">
              <w:rPr>
                <w:sz w:val="20"/>
                <w:szCs w:val="20"/>
              </w:rPr>
              <w:t>nerealizováno, změna koncepce</w:t>
            </w:r>
            <w:r>
              <w:rPr>
                <w:sz w:val="20"/>
                <w:szCs w:val="20"/>
              </w:rPr>
              <w:t>, využití plochy omezeno ochranou PUPFL</w:t>
            </w:r>
          </w:p>
        </w:tc>
      </w:tr>
      <w:tr w:rsidR="00E61733" w:rsidRPr="00EA304D" w14:paraId="1B98AA42" w14:textId="77777777" w:rsidTr="00EA304D">
        <w:tc>
          <w:tcPr>
            <w:tcW w:w="1101" w:type="dxa"/>
          </w:tcPr>
          <w:p w14:paraId="4DFC1C50"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Z12.05</w:t>
            </w:r>
          </w:p>
        </w:tc>
        <w:tc>
          <w:tcPr>
            <w:tcW w:w="1984" w:type="dxa"/>
          </w:tcPr>
          <w:p w14:paraId="5BD6FEA1"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61F350F6"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1,257</w:t>
            </w:r>
          </w:p>
        </w:tc>
        <w:tc>
          <w:tcPr>
            <w:tcW w:w="1134" w:type="dxa"/>
          </w:tcPr>
          <w:p w14:paraId="4E75CB7A" w14:textId="77777777" w:rsidR="00E61733" w:rsidRPr="00EA304D" w:rsidRDefault="00E61733" w:rsidP="00EA304D">
            <w:pPr>
              <w:pStyle w:val="1text"/>
              <w:spacing w:before="40" w:after="40"/>
              <w:jc w:val="right"/>
              <w:rPr>
                <w:sz w:val="20"/>
                <w:szCs w:val="20"/>
              </w:rPr>
            </w:pPr>
            <w:r>
              <w:rPr>
                <w:sz w:val="20"/>
                <w:szCs w:val="20"/>
              </w:rPr>
              <w:t>0,674</w:t>
            </w:r>
          </w:p>
        </w:tc>
        <w:tc>
          <w:tcPr>
            <w:tcW w:w="3859" w:type="dxa"/>
          </w:tcPr>
          <w:p w14:paraId="180BE68F" w14:textId="77777777" w:rsidR="00E61733" w:rsidRPr="00EA304D" w:rsidRDefault="00E61733" w:rsidP="00EA304D">
            <w:pPr>
              <w:pStyle w:val="1text"/>
              <w:spacing w:before="40" w:after="40"/>
              <w:jc w:val="left"/>
              <w:rPr>
                <w:sz w:val="20"/>
                <w:szCs w:val="20"/>
              </w:rPr>
            </w:pPr>
            <w:r>
              <w:rPr>
                <w:sz w:val="20"/>
                <w:szCs w:val="20"/>
              </w:rPr>
              <w:t>realizovány 3 RD</w:t>
            </w:r>
          </w:p>
        </w:tc>
      </w:tr>
      <w:tr w:rsidR="00E61733" w:rsidRPr="00EA304D" w14:paraId="3F53AEF9" w14:textId="77777777" w:rsidTr="00EA304D">
        <w:tc>
          <w:tcPr>
            <w:tcW w:w="1101" w:type="dxa"/>
          </w:tcPr>
          <w:p w14:paraId="4AC86331"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Z12.07</w:t>
            </w:r>
          </w:p>
        </w:tc>
        <w:tc>
          <w:tcPr>
            <w:tcW w:w="1984" w:type="dxa"/>
          </w:tcPr>
          <w:p w14:paraId="04923801"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787B32BC"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0,066</w:t>
            </w:r>
          </w:p>
        </w:tc>
        <w:tc>
          <w:tcPr>
            <w:tcW w:w="1134" w:type="dxa"/>
          </w:tcPr>
          <w:p w14:paraId="2956553A" w14:textId="77777777" w:rsidR="00E61733" w:rsidRPr="00EA304D" w:rsidRDefault="00E61733" w:rsidP="00EA304D">
            <w:pPr>
              <w:pStyle w:val="1text"/>
              <w:spacing w:before="40" w:after="40"/>
              <w:jc w:val="right"/>
              <w:rPr>
                <w:sz w:val="20"/>
                <w:szCs w:val="20"/>
              </w:rPr>
            </w:pPr>
            <w:r w:rsidRPr="00096F41">
              <w:rPr>
                <w:sz w:val="20"/>
                <w:szCs w:val="20"/>
              </w:rPr>
              <w:t>0</w:t>
            </w:r>
          </w:p>
        </w:tc>
        <w:tc>
          <w:tcPr>
            <w:tcW w:w="3859" w:type="dxa"/>
          </w:tcPr>
          <w:p w14:paraId="70106085" w14:textId="77777777" w:rsidR="00E61733" w:rsidRPr="00EA304D" w:rsidRDefault="00E61733" w:rsidP="008924B1">
            <w:pPr>
              <w:pStyle w:val="1text"/>
              <w:spacing w:before="40" w:after="40"/>
              <w:jc w:val="left"/>
              <w:rPr>
                <w:sz w:val="20"/>
                <w:szCs w:val="20"/>
              </w:rPr>
            </w:pPr>
            <w:r w:rsidRPr="00EA304D">
              <w:rPr>
                <w:sz w:val="20"/>
                <w:szCs w:val="20"/>
              </w:rPr>
              <w:t xml:space="preserve">nerealizováno, </w:t>
            </w:r>
            <w:r w:rsidR="008924B1" w:rsidRPr="00EA304D">
              <w:rPr>
                <w:sz w:val="20"/>
                <w:szCs w:val="20"/>
              </w:rPr>
              <w:t>změna koncepce</w:t>
            </w:r>
            <w:r w:rsidR="008924B1">
              <w:rPr>
                <w:sz w:val="20"/>
                <w:szCs w:val="20"/>
              </w:rPr>
              <w:t>, využití plochy omezeno ochranou PUPFL</w:t>
            </w:r>
          </w:p>
        </w:tc>
      </w:tr>
      <w:tr w:rsidR="00E61733" w:rsidRPr="00EA304D" w14:paraId="6193C805" w14:textId="77777777" w:rsidTr="00EA304D">
        <w:tc>
          <w:tcPr>
            <w:tcW w:w="1101" w:type="dxa"/>
          </w:tcPr>
          <w:p w14:paraId="086C6C97"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Z12.08</w:t>
            </w:r>
          </w:p>
        </w:tc>
        <w:tc>
          <w:tcPr>
            <w:tcW w:w="1984" w:type="dxa"/>
          </w:tcPr>
          <w:p w14:paraId="428E8012"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Oldřichov na Hranicích</w:t>
            </w:r>
          </w:p>
        </w:tc>
        <w:tc>
          <w:tcPr>
            <w:tcW w:w="1134" w:type="dxa"/>
          </w:tcPr>
          <w:p w14:paraId="6FD41A9D"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0,229</w:t>
            </w:r>
          </w:p>
        </w:tc>
        <w:tc>
          <w:tcPr>
            <w:tcW w:w="1134" w:type="dxa"/>
          </w:tcPr>
          <w:p w14:paraId="370DDE57" w14:textId="77777777" w:rsidR="00E61733" w:rsidRPr="00EA304D" w:rsidRDefault="00E61733" w:rsidP="00EA304D">
            <w:pPr>
              <w:pStyle w:val="1text"/>
              <w:spacing w:before="40" w:after="40"/>
              <w:jc w:val="right"/>
              <w:rPr>
                <w:sz w:val="20"/>
                <w:szCs w:val="20"/>
              </w:rPr>
            </w:pPr>
            <w:r>
              <w:rPr>
                <w:sz w:val="20"/>
                <w:szCs w:val="20"/>
              </w:rPr>
              <w:t>0</w:t>
            </w:r>
          </w:p>
        </w:tc>
        <w:tc>
          <w:tcPr>
            <w:tcW w:w="3859" w:type="dxa"/>
          </w:tcPr>
          <w:p w14:paraId="2A177943" w14:textId="77777777" w:rsidR="00E61733" w:rsidRPr="00EA304D" w:rsidRDefault="00E61733" w:rsidP="00EA304D">
            <w:pPr>
              <w:pStyle w:val="1text"/>
              <w:spacing w:before="40" w:after="40"/>
              <w:jc w:val="left"/>
              <w:rPr>
                <w:sz w:val="20"/>
                <w:szCs w:val="20"/>
              </w:rPr>
            </w:pPr>
            <w:r>
              <w:rPr>
                <w:sz w:val="20"/>
                <w:szCs w:val="20"/>
              </w:rPr>
              <w:t>dosud nerealizováno</w:t>
            </w:r>
          </w:p>
        </w:tc>
      </w:tr>
      <w:tr w:rsidR="008924B1" w:rsidRPr="00EA304D" w14:paraId="37147A1C" w14:textId="77777777" w:rsidTr="00EA304D">
        <w:tc>
          <w:tcPr>
            <w:tcW w:w="1101" w:type="dxa"/>
          </w:tcPr>
          <w:p w14:paraId="7D6D48FF" w14:textId="77777777" w:rsidR="008924B1" w:rsidRPr="00EA304D" w:rsidRDefault="008924B1"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lastRenderedPageBreak/>
              <w:t>Z12.09</w:t>
            </w:r>
          </w:p>
        </w:tc>
        <w:tc>
          <w:tcPr>
            <w:tcW w:w="1984" w:type="dxa"/>
          </w:tcPr>
          <w:p w14:paraId="64964F07" w14:textId="77777777" w:rsidR="008924B1" w:rsidRPr="00EA304D" w:rsidRDefault="008924B1"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7562AB10" w14:textId="77777777" w:rsidR="008924B1" w:rsidRPr="00EA304D" w:rsidRDefault="008924B1"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0,485</w:t>
            </w:r>
          </w:p>
        </w:tc>
        <w:tc>
          <w:tcPr>
            <w:tcW w:w="1134" w:type="dxa"/>
          </w:tcPr>
          <w:p w14:paraId="654977C0" w14:textId="77777777" w:rsidR="008924B1" w:rsidRPr="00EA304D" w:rsidRDefault="008924B1" w:rsidP="00EA304D">
            <w:pPr>
              <w:pStyle w:val="1text"/>
              <w:spacing w:before="40" w:after="40"/>
              <w:jc w:val="right"/>
              <w:rPr>
                <w:sz w:val="20"/>
                <w:szCs w:val="20"/>
              </w:rPr>
            </w:pPr>
            <w:r>
              <w:rPr>
                <w:sz w:val="20"/>
                <w:szCs w:val="20"/>
              </w:rPr>
              <w:t>0</w:t>
            </w:r>
          </w:p>
        </w:tc>
        <w:tc>
          <w:tcPr>
            <w:tcW w:w="3859" w:type="dxa"/>
          </w:tcPr>
          <w:p w14:paraId="4E83F32A" w14:textId="77777777" w:rsidR="008924B1" w:rsidRPr="00EA304D" w:rsidRDefault="008924B1" w:rsidP="00EA304D">
            <w:pPr>
              <w:pStyle w:val="1text"/>
              <w:spacing w:before="40" w:after="40"/>
              <w:jc w:val="left"/>
              <w:rPr>
                <w:sz w:val="20"/>
                <w:szCs w:val="20"/>
              </w:rPr>
            </w:pPr>
            <w:r>
              <w:rPr>
                <w:sz w:val="20"/>
                <w:szCs w:val="20"/>
              </w:rPr>
              <w:t>dosud nerealizováno</w:t>
            </w:r>
          </w:p>
        </w:tc>
      </w:tr>
      <w:tr w:rsidR="008924B1" w:rsidRPr="00EA304D" w14:paraId="21CB4393" w14:textId="77777777" w:rsidTr="00EA304D">
        <w:tc>
          <w:tcPr>
            <w:tcW w:w="1101" w:type="dxa"/>
          </w:tcPr>
          <w:p w14:paraId="279D5492" w14:textId="77777777" w:rsidR="008924B1" w:rsidRPr="00EA304D" w:rsidRDefault="008924B1"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Z12.10</w:t>
            </w:r>
          </w:p>
        </w:tc>
        <w:tc>
          <w:tcPr>
            <w:tcW w:w="1984" w:type="dxa"/>
          </w:tcPr>
          <w:p w14:paraId="59C23B0E" w14:textId="77777777" w:rsidR="008924B1" w:rsidRPr="00EA304D" w:rsidRDefault="008924B1"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Suchá</w:t>
            </w:r>
          </w:p>
        </w:tc>
        <w:tc>
          <w:tcPr>
            <w:tcW w:w="1134" w:type="dxa"/>
          </w:tcPr>
          <w:p w14:paraId="0B607602" w14:textId="77777777" w:rsidR="008924B1" w:rsidRPr="00EA304D" w:rsidRDefault="008924B1"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0,597</w:t>
            </w:r>
          </w:p>
        </w:tc>
        <w:tc>
          <w:tcPr>
            <w:tcW w:w="1134" w:type="dxa"/>
          </w:tcPr>
          <w:p w14:paraId="0E9BF01D" w14:textId="77777777" w:rsidR="008924B1" w:rsidRPr="00EA304D" w:rsidRDefault="008924B1" w:rsidP="00EA304D">
            <w:pPr>
              <w:pStyle w:val="1text"/>
              <w:spacing w:before="40" w:after="40"/>
              <w:jc w:val="right"/>
              <w:rPr>
                <w:sz w:val="20"/>
                <w:szCs w:val="20"/>
              </w:rPr>
            </w:pPr>
            <w:r>
              <w:rPr>
                <w:sz w:val="20"/>
                <w:szCs w:val="20"/>
              </w:rPr>
              <w:t>0</w:t>
            </w:r>
          </w:p>
        </w:tc>
        <w:tc>
          <w:tcPr>
            <w:tcW w:w="3859" w:type="dxa"/>
          </w:tcPr>
          <w:p w14:paraId="0F5743A8" w14:textId="77777777" w:rsidR="008924B1" w:rsidRPr="00EA304D" w:rsidRDefault="008924B1" w:rsidP="00EA304D">
            <w:pPr>
              <w:pStyle w:val="1text"/>
              <w:spacing w:before="40" w:after="40"/>
              <w:jc w:val="left"/>
              <w:rPr>
                <w:sz w:val="20"/>
                <w:szCs w:val="20"/>
              </w:rPr>
            </w:pPr>
            <w:r>
              <w:rPr>
                <w:sz w:val="20"/>
                <w:szCs w:val="20"/>
              </w:rPr>
              <w:t>dosud nerealizováno</w:t>
            </w:r>
          </w:p>
        </w:tc>
      </w:tr>
      <w:tr w:rsidR="008924B1" w:rsidRPr="00EA304D" w14:paraId="6C5BECCE" w14:textId="77777777" w:rsidTr="00EA304D">
        <w:tc>
          <w:tcPr>
            <w:tcW w:w="1101" w:type="dxa"/>
          </w:tcPr>
          <w:p w14:paraId="0DEC1315" w14:textId="77777777" w:rsidR="008924B1" w:rsidRPr="00D47F4C" w:rsidRDefault="008924B1"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Z12.11</w:t>
            </w:r>
          </w:p>
        </w:tc>
        <w:tc>
          <w:tcPr>
            <w:tcW w:w="1984" w:type="dxa"/>
          </w:tcPr>
          <w:p w14:paraId="34A4B458" w14:textId="77777777" w:rsidR="008924B1" w:rsidRPr="00D47F4C" w:rsidRDefault="008924B1"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Dolní Suchá</w:t>
            </w:r>
          </w:p>
        </w:tc>
        <w:tc>
          <w:tcPr>
            <w:tcW w:w="1134" w:type="dxa"/>
          </w:tcPr>
          <w:p w14:paraId="2DA751C9" w14:textId="77777777" w:rsidR="008924B1" w:rsidRPr="00D47F4C" w:rsidRDefault="008924B1"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0,178</w:t>
            </w:r>
          </w:p>
        </w:tc>
        <w:tc>
          <w:tcPr>
            <w:tcW w:w="1134" w:type="dxa"/>
          </w:tcPr>
          <w:p w14:paraId="06F9603E" w14:textId="77777777" w:rsidR="008924B1" w:rsidRPr="00D47F4C" w:rsidRDefault="008924B1" w:rsidP="00EA304D">
            <w:pPr>
              <w:pStyle w:val="1text"/>
              <w:spacing w:before="40" w:after="40"/>
              <w:jc w:val="right"/>
              <w:rPr>
                <w:b/>
                <w:sz w:val="20"/>
                <w:szCs w:val="20"/>
              </w:rPr>
            </w:pPr>
            <w:r w:rsidRPr="00D47F4C">
              <w:rPr>
                <w:rFonts w:eastAsia="Times New Roman"/>
                <w:b/>
                <w:sz w:val="20"/>
                <w:szCs w:val="20"/>
                <w:lang w:eastAsia="cs-CZ"/>
              </w:rPr>
              <w:t>0,178</w:t>
            </w:r>
          </w:p>
        </w:tc>
        <w:tc>
          <w:tcPr>
            <w:tcW w:w="3859" w:type="dxa"/>
          </w:tcPr>
          <w:p w14:paraId="27EDE44C" w14:textId="77777777" w:rsidR="008924B1" w:rsidRPr="00D47F4C" w:rsidRDefault="008924B1" w:rsidP="00EA304D">
            <w:pPr>
              <w:pStyle w:val="1text"/>
              <w:spacing w:before="40" w:after="40"/>
              <w:jc w:val="left"/>
              <w:rPr>
                <w:b/>
                <w:sz w:val="20"/>
                <w:szCs w:val="20"/>
              </w:rPr>
            </w:pPr>
            <w:r w:rsidRPr="00D47F4C">
              <w:rPr>
                <w:b/>
                <w:sz w:val="20"/>
                <w:szCs w:val="20"/>
              </w:rPr>
              <w:t>realizován 1 RD</w:t>
            </w:r>
          </w:p>
        </w:tc>
      </w:tr>
      <w:tr w:rsidR="008924B1" w:rsidRPr="00EA304D" w14:paraId="332D709D" w14:textId="77777777" w:rsidTr="00EA304D">
        <w:tc>
          <w:tcPr>
            <w:tcW w:w="1101" w:type="dxa"/>
          </w:tcPr>
          <w:p w14:paraId="1D9899B1" w14:textId="77777777" w:rsidR="008924B1" w:rsidRPr="00EA304D" w:rsidRDefault="008924B1"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Z12.12</w:t>
            </w:r>
          </w:p>
        </w:tc>
        <w:tc>
          <w:tcPr>
            <w:tcW w:w="1984" w:type="dxa"/>
          </w:tcPr>
          <w:p w14:paraId="024CE2B6" w14:textId="77777777" w:rsidR="008924B1" w:rsidRPr="00EA304D" w:rsidRDefault="008924B1"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5AA21790" w14:textId="77777777" w:rsidR="008924B1" w:rsidRPr="00EA304D" w:rsidRDefault="008924B1"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0,528</w:t>
            </w:r>
          </w:p>
        </w:tc>
        <w:tc>
          <w:tcPr>
            <w:tcW w:w="1134" w:type="dxa"/>
          </w:tcPr>
          <w:p w14:paraId="176ED90B" w14:textId="77777777" w:rsidR="008924B1" w:rsidRPr="00EA304D" w:rsidRDefault="008924B1" w:rsidP="00EA304D">
            <w:pPr>
              <w:pStyle w:val="1text"/>
              <w:spacing w:before="40" w:after="40"/>
              <w:jc w:val="right"/>
              <w:rPr>
                <w:sz w:val="20"/>
                <w:szCs w:val="20"/>
              </w:rPr>
            </w:pPr>
            <w:r>
              <w:rPr>
                <w:sz w:val="20"/>
                <w:szCs w:val="20"/>
              </w:rPr>
              <w:t>0</w:t>
            </w:r>
          </w:p>
        </w:tc>
        <w:tc>
          <w:tcPr>
            <w:tcW w:w="3859" w:type="dxa"/>
          </w:tcPr>
          <w:p w14:paraId="12892A6E" w14:textId="77777777" w:rsidR="008924B1" w:rsidRPr="00EA304D" w:rsidRDefault="008924B1" w:rsidP="00EA304D">
            <w:pPr>
              <w:pStyle w:val="1text"/>
              <w:spacing w:before="40" w:after="40"/>
              <w:jc w:val="left"/>
              <w:rPr>
                <w:sz w:val="20"/>
                <w:szCs w:val="20"/>
              </w:rPr>
            </w:pPr>
            <w:r>
              <w:rPr>
                <w:sz w:val="20"/>
                <w:szCs w:val="20"/>
              </w:rPr>
              <w:t>dosud nerealizováno</w:t>
            </w:r>
          </w:p>
        </w:tc>
      </w:tr>
      <w:tr w:rsidR="00E61733" w:rsidRPr="00EA304D" w14:paraId="03583AA3" w14:textId="77777777" w:rsidTr="00EA304D">
        <w:tc>
          <w:tcPr>
            <w:tcW w:w="1101" w:type="dxa"/>
          </w:tcPr>
          <w:p w14:paraId="714608C7"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Z12.15</w:t>
            </w:r>
          </w:p>
        </w:tc>
        <w:tc>
          <w:tcPr>
            <w:tcW w:w="1984" w:type="dxa"/>
          </w:tcPr>
          <w:p w14:paraId="26CBC104"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71B880B4" w14:textId="77777777" w:rsidR="00E61733" w:rsidRPr="00EA304D" w:rsidRDefault="00E61733" w:rsidP="00EA304D">
            <w:pPr>
              <w:pStyle w:val="1text"/>
              <w:spacing w:before="40" w:after="40"/>
              <w:jc w:val="right"/>
              <w:rPr>
                <w:sz w:val="20"/>
                <w:szCs w:val="20"/>
              </w:rPr>
            </w:pPr>
            <w:r w:rsidRPr="00EA304D">
              <w:rPr>
                <w:sz w:val="20"/>
                <w:szCs w:val="20"/>
              </w:rPr>
              <w:t>0,146</w:t>
            </w:r>
          </w:p>
        </w:tc>
        <w:tc>
          <w:tcPr>
            <w:tcW w:w="1134" w:type="dxa"/>
          </w:tcPr>
          <w:p w14:paraId="4E2E79D1" w14:textId="77777777" w:rsidR="00E61733" w:rsidRPr="00EA304D" w:rsidRDefault="00E61733" w:rsidP="00EA304D">
            <w:pPr>
              <w:pStyle w:val="1text"/>
              <w:spacing w:before="40" w:after="40"/>
              <w:jc w:val="right"/>
              <w:rPr>
                <w:sz w:val="20"/>
                <w:szCs w:val="20"/>
              </w:rPr>
            </w:pPr>
            <w:r w:rsidRPr="00096F41">
              <w:rPr>
                <w:sz w:val="20"/>
                <w:szCs w:val="20"/>
              </w:rPr>
              <w:t>0</w:t>
            </w:r>
          </w:p>
        </w:tc>
        <w:tc>
          <w:tcPr>
            <w:tcW w:w="3859" w:type="dxa"/>
          </w:tcPr>
          <w:p w14:paraId="68042DA6" w14:textId="77777777" w:rsidR="00E61733" w:rsidRPr="00EA304D" w:rsidRDefault="00E61733" w:rsidP="00EA304D">
            <w:pPr>
              <w:pStyle w:val="1text"/>
              <w:spacing w:before="40" w:after="40"/>
              <w:jc w:val="left"/>
              <w:rPr>
                <w:sz w:val="20"/>
                <w:szCs w:val="20"/>
              </w:rPr>
            </w:pPr>
            <w:r w:rsidRPr="00EA304D">
              <w:rPr>
                <w:sz w:val="20"/>
                <w:szCs w:val="20"/>
              </w:rPr>
              <w:t>nerealizováno, změna koncepce</w:t>
            </w:r>
          </w:p>
        </w:tc>
      </w:tr>
      <w:tr w:rsidR="00E61733" w:rsidRPr="00EA304D" w14:paraId="5EA49670" w14:textId="77777777" w:rsidTr="00EA304D">
        <w:tc>
          <w:tcPr>
            <w:tcW w:w="1101" w:type="dxa"/>
          </w:tcPr>
          <w:p w14:paraId="6ACE1FF5"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Z12.16</w:t>
            </w:r>
          </w:p>
        </w:tc>
        <w:tc>
          <w:tcPr>
            <w:tcW w:w="1984" w:type="dxa"/>
          </w:tcPr>
          <w:p w14:paraId="00ACE24F"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03729E2F"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1,010</w:t>
            </w:r>
          </w:p>
        </w:tc>
        <w:tc>
          <w:tcPr>
            <w:tcW w:w="1134" w:type="dxa"/>
          </w:tcPr>
          <w:p w14:paraId="5F2B2E5D" w14:textId="77777777" w:rsidR="00E61733" w:rsidRPr="00EA304D" w:rsidRDefault="00E61733" w:rsidP="00EA304D">
            <w:pPr>
              <w:pStyle w:val="1text"/>
              <w:spacing w:before="40" w:after="40"/>
              <w:jc w:val="right"/>
              <w:rPr>
                <w:sz w:val="20"/>
                <w:szCs w:val="20"/>
              </w:rPr>
            </w:pPr>
            <w:r>
              <w:rPr>
                <w:sz w:val="20"/>
                <w:szCs w:val="20"/>
              </w:rPr>
              <w:t>0,589</w:t>
            </w:r>
          </w:p>
        </w:tc>
        <w:tc>
          <w:tcPr>
            <w:tcW w:w="3859" w:type="dxa"/>
          </w:tcPr>
          <w:p w14:paraId="169EA174" w14:textId="77777777" w:rsidR="00E61733" w:rsidRPr="00EA304D" w:rsidRDefault="00E61733" w:rsidP="00F230FA">
            <w:pPr>
              <w:pStyle w:val="1text"/>
              <w:spacing w:before="40" w:after="40"/>
              <w:jc w:val="left"/>
              <w:rPr>
                <w:sz w:val="20"/>
                <w:szCs w:val="20"/>
              </w:rPr>
            </w:pPr>
            <w:r>
              <w:rPr>
                <w:sz w:val="20"/>
                <w:szCs w:val="20"/>
              </w:rPr>
              <w:t>realizovány 4 RD, využití zbývající části plochy omezeno záplavovým územím</w:t>
            </w:r>
          </w:p>
        </w:tc>
      </w:tr>
      <w:tr w:rsidR="00E61733" w:rsidRPr="00EA304D" w14:paraId="3A3E018E" w14:textId="77777777" w:rsidTr="00EA304D">
        <w:tc>
          <w:tcPr>
            <w:tcW w:w="1101" w:type="dxa"/>
          </w:tcPr>
          <w:p w14:paraId="6B2C2279"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Z12.17</w:t>
            </w:r>
          </w:p>
        </w:tc>
        <w:tc>
          <w:tcPr>
            <w:tcW w:w="1984" w:type="dxa"/>
          </w:tcPr>
          <w:p w14:paraId="1733695B"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A5D8307" w14:textId="77777777" w:rsidR="00E61733" w:rsidRPr="00266F0A" w:rsidRDefault="00E61733"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2,647</w:t>
            </w:r>
          </w:p>
        </w:tc>
        <w:tc>
          <w:tcPr>
            <w:tcW w:w="1134" w:type="dxa"/>
          </w:tcPr>
          <w:p w14:paraId="60787B82" w14:textId="77777777" w:rsidR="00E61733" w:rsidRPr="00EA304D" w:rsidRDefault="00E61733" w:rsidP="00EA304D">
            <w:pPr>
              <w:pStyle w:val="1text"/>
              <w:spacing w:before="40" w:after="40"/>
              <w:jc w:val="right"/>
              <w:rPr>
                <w:sz w:val="20"/>
                <w:szCs w:val="20"/>
              </w:rPr>
            </w:pPr>
            <w:r>
              <w:rPr>
                <w:sz w:val="20"/>
                <w:szCs w:val="20"/>
              </w:rPr>
              <w:t>0</w:t>
            </w:r>
          </w:p>
        </w:tc>
        <w:tc>
          <w:tcPr>
            <w:tcW w:w="3859" w:type="dxa"/>
          </w:tcPr>
          <w:p w14:paraId="09270D83" w14:textId="77777777" w:rsidR="00E61733" w:rsidRPr="00EA304D" w:rsidRDefault="00E61733" w:rsidP="00EA304D">
            <w:pPr>
              <w:pStyle w:val="1text"/>
              <w:spacing w:before="40" w:after="40"/>
              <w:jc w:val="left"/>
              <w:rPr>
                <w:sz w:val="20"/>
                <w:szCs w:val="20"/>
              </w:rPr>
            </w:pPr>
            <w:r>
              <w:rPr>
                <w:sz w:val="20"/>
                <w:szCs w:val="20"/>
              </w:rPr>
              <w:t>dosud nerealizováno</w:t>
            </w:r>
          </w:p>
        </w:tc>
      </w:tr>
      <w:tr w:rsidR="00E61733" w:rsidRPr="00EA304D" w14:paraId="5E347E84" w14:textId="77777777" w:rsidTr="00EA304D">
        <w:tc>
          <w:tcPr>
            <w:tcW w:w="1101" w:type="dxa"/>
          </w:tcPr>
          <w:p w14:paraId="77CE6971"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Z12.18</w:t>
            </w:r>
          </w:p>
        </w:tc>
        <w:tc>
          <w:tcPr>
            <w:tcW w:w="1984" w:type="dxa"/>
          </w:tcPr>
          <w:p w14:paraId="44B0117B"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319B7839" w14:textId="77777777" w:rsidR="00E61733" w:rsidRPr="00EA304D" w:rsidRDefault="00E61733" w:rsidP="00EA304D">
            <w:pPr>
              <w:pStyle w:val="1text"/>
              <w:spacing w:before="40" w:after="40"/>
              <w:jc w:val="right"/>
              <w:rPr>
                <w:sz w:val="20"/>
                <w:szCs w:val="20"/>
              </w:rPr>
            </w:pPr>
            <w:r w:rsidRPr="00EA304D">
              <w:rPr>
                <w:sz w:val="20"/>
                <w:szCs w:val="20"/>
              </w:rPr>
              <w:t>0,944</w:t>
            </w:r>
          </w:p>
        </w:tc>
        <w:tc>
          <w:tcPr>
            <w:tcW w:w="1134" w:type="dxa"/>
          </w:tcPr>
          <w:p w14:paraId="345FE2B2" w14:textId="77777777" w:rsidR="00E61733" w:rsidRPr="00EA304D" w:rsidRDefault="00E61733" w:rsidP="00EA304D">
            <w:pPr>
              <w:pStyle w:val="1text"/>
              <w:spacing w:before="40" w:after="40"/>
              <w:jc w:val="right"/>
              <w:rPr>
                <w:sz w:val="20"/>
                <w:szCs w:val="20"/>
              </w:rPr>
            </w:pPr>
            <w:r>
              <w:rPr>
                <w:sz w:val="20"/>
                <w:szCs w:val="20"/>
              </w:rPr>
              <w:t>0</w:t>
            </w:r>
          </w:p>
        </w:tc>
        <w:tc>
          <w:tcPr>
            <w:tcW w:w="3859" w:type="dxa"/>
          </w:tcPr>
          <w:p w14:paraId="5D88A526" w14:textId="77777777" w:rsidR="00E61733" w:rsidRPr="00EA304D" w:rsidRDefault="00E61733" w:rsidP="00EA304D">
            <w:pPr>
              <w:pStyle w:val="1text"/>
              <w:spacing w:before="40" w:after="40"/>
              <w:jc w:val="left"/>
              <w:rPr>
                <w:sz w:val="20"/>
                <w:szCs w:val="20"/>
              </w:rPr>
            </w:pPr>
            <w:r>
              <w:rPr>
                <w:sz w:val="20"/>
                <w:szCs w:val="20"/>
              </w:rPr>
              <w:t>dosud nerealizováno</w:t>
            </w:r>
          </w:p>
        </w:tc>
      </w:tr>
      <w:tr w:rsidR="00E61733" w:rsidRPr="00EA304D" w14:paraId="46F90838" w14:textId="77777777" w:rsidTr="00EA304D">
        <w:tc>
          <w:tcPr>
            <w:tcW w:w="1101" w:type="dxa"/>
          </w:tcPr>
          <w:p w14:paraId="1EE67462"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Z12.19</w:t>
            </w:r>
          </w:p>
        </w:tc>
        <w:tc>
          <w:tcPr>
            <w:tcW w:w="1984" w:type="dxa"/>
          </w:tcPr>
          <w:p w14:paraId="0A0B92B2" w14:textId="77777777" w:rsidR="00E61733" w:rsidRPr="00EA304D" w:rsidRDefault="00E61733"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790767E4" w14:textId="77777777" w:rsidR="00E61733" w:rsidRPr="00EA304D" w:rsidRDefault="00E61733"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0,422</w:t>
            </w:r>
          </w:p>
        </w:tc>
        <w:tc>
          <w:tcPr>
            <w:tcW w:w="1134" w:type="dxa"/>
          </w:tcPr>
          <w:p w14:paraId="2C297CA2" w14:textId="77777777" w:rsidR="00E61733" w:rsidRPr="00EA304D" w:rsidRDefault="00E61733" w:rsidP="00EA304D">
            <w:pPr>
              <w:pStyle w:val="1text"/>
              <w:spacing w:before="40" w:after="40"/>
              <w:jc w:val="right"/>
              <w:rPr>
                <w:sz w:val="20"/>
                <w:szCs w:val="20"/>
              </w:rPr>
            </w:pPr>
            <w:r>
              <w:rPr>
                <w:sz w:val="20"/>
                <w:szCs w:val="20"/>
              </w:rPr>
              <w:t>0</w:t>
            </w:r>
          </w:p>
        </w:tc>
        <w:tc>
          <w:tcPr>
            <w:tcW w:w="3859" w:type="dxa"/>
          </w:tcPr>
          <w:p w14:paraId="4E9F0E6B" w14:textId="77777777" w:rsidR="00E61733" w:rsidRPr="00EA304D" w:rsidRDefault="00E61733" w:rsidP="00EA304D">
            <w:pPr>
              <w:pStyle w:val="1text"/>
              <w:spacing w:before="40" w:after="40"/>
              <w:jc w:val="left"/>
              <w:rPr>
                <w:sz w:val="20"/>
                <w:szCs w:val="20"/>
              </w:rPr>
            </w:pPr>
            <w:r>
              <w:rPr>
                <w:sz w:val="20"/>
                <w:szCs w:val="20"/>
              </w:rPr>
              <w:t>dosud nerealizováno</w:t>
            </w:r>
          </w:p>
        </w:tc>
      </w:tr>
      <w:tr w:rsidR="008924B1" w:rsidRPr="00EA304D" w14:paraId="289251BC" w14:textId="77777777" w:rsidTr="00EA304D">
        <w:tc>
          <w:tcPr>
            <w:tcW w:w="1101" w:type="dxa"/>
          </w:tcPr>
          <w:p w14:paraId="5ABD3504" w14:textId="77777777" w:rsidR="008924B1" w:rsidRPr="00D47F4C" w:rsidRDefault="008924B1"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Z12.20</w:t>
            </w:r>
          </w:p>
        </w:tc>
        <w:tc>
          <w:tcPr>
            <w:tcW w:w="1984" w:type="dxa"/>
          </w:tcPr>
          <w:p w14:paraId="27A7D124" w14:textId="77777777" w:rsidR="008924B1" w:rsidRPr="00D47F4C" w:rsidRDefault="008924B1"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6C0F2120" w14:textId="77777777" w:rsidR="008924B1" w:rsidRPr="00D47F4C" w:rsidRDefault="008924B1"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0,088</w:t>
            </w:r>
          </w:p>
        </w:tc>
        <w:tc>
          <w:tcPr>
            <w:tcW w:w="1134" w:type="dxa"/>
          </w:tcPr>
          <w:p w14:paraId="1B76BAAB" w14:textId="77777777" w:rsidR="008924B1" w:rsidRPr="00D47F4C" w:rsidRDefault="008924B1" w:rsidP="00EA304D">
            <w:pPr>
              <w:pStyle w:val="1text"/>
              <w:spacing w:before="40" w:after="40"/>
              <w:jc w:val="right"/>
              <w:rPr>
                <w:b/>
                <w:sz w:val="20"/>
                <w:szCs w:val="20"/>
              </w:rPr>
            </w:pPr>
            <w:r w:rsidRPr="00D47F4C">
              <w:rPr>
                <w:rFonts w:eastAsia="Times New Roman"/>
                <w:b/>
                <w:sz w:val="20"/>
                <w:szCs w:val="20"/>
                <w:lang w:eastAsia="cs-CZ"/>
              </w:rPr>
              <w:t>0,088</w:t>
            </w:r>
          </w:p>
        </w:tc>
        <w:tc>
          <w:tcPr>
            <w:tcW w:w="3859" w:type="dxa"/>
          </w:tcPr>
          <w:p w14:paraId="34E3F748" w14:textId="77777777" w:rsidR="008924B1" w:rsidRPr="00D47F4C" w:rsidRDefault="008924B1" w:rsidP="00EA304D">
            <w:pPr>
              <w:pStyle w:val="1text"/>
              <w:spacing w:before="40" w:after="40"/>
              <w:jc w:val="left"/>
              <w:rPr>
                <w:b/>
                <w:sz w:val="20"/>
                <w:szCs w:val="20"/>
              </w:rPr>
            </w:pPr>
            <w:r w:rsidRPr="00D47F4C">
              <w:rPr>
                <w:b/>
                <w:sz w:val="20"/>
                <w:szCs w:val="20"/>
              </w:rPr>
              <w:t>realizován 1 víceúčelový objekt</w:t>
            </w:r>
          </w:p>
        </w:tc>
      </w:tr>
      <w:tr w:rsidR="00D56276" w:rsidRPr="00EA304D" w14:paraId="0475638E" w14:textId="77777777" w:rsidTr="00EA304D">
        <w:tc>
          <w:tcPr>
            <w:tcW w:w="1101" w:type="dxa"/>
          </w:tcPr>
          <w:p w14:paraId="1056653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Z12.21</w:t>
            </w:r>
          </w:p>
        </w:tc>
        <w:tc>
          <w:tcPr>
            <w:tcW w:w="1984" w:type="dxa"/>
          </w:tcPr>
          <w:p w14:paraId="5D752F71"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73A9DAB0"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0,103</w:t>
            </w:r>
          </w:p>
        </w:tc>
        <w:tc>
          <w:tcPr>
            <w:tcW w:w="1134" w:type="dxa"/>
          </w:tcPr>
          <w:p w14:paraId="56378D91"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2C3EE8CA" w14:textId="77777777" w:rsidR="00D56276" w:rsidRPr="00EA304D" w:rsidRDefault="00FD75D1" w:rsidP="00EA304D">
            <w:pPr>
              <w:pStyle w:val="1text"/>
              <w:spacing w:before="40" w:after="40"/>
              <w:jc w:val="left"/>
              <w:rPr>
                <w:sz w:val="20"/>
                <w:szCs w:val="20"/>
              </w:rPr>
            </w:pPr>
            <w:r>
              <w:rPr>
                <w:sz w:val="20"/>
                <w:szCs w:val="20"/>
              </w:rPr>
              <w:t>dosud nerealizováno, zachován</w:t>
            </w:r>
            <w:r w:rsidR="00D56276">
              <w:rPr>
                <w:sz w:val="20"/>
                <w:szCs w:val="20"/>
              </w:rPr>
              <w:t xml:space="preserve"> objekt občanské vybavenosti</w:t>
            </w:r>
          </w:p>
        </w:tc>
      </w:tr>
      <w:tr w:rsidR="00E61733" w:rsidRPr="00EA304D" w14:paraId="7CCCA53D" w14:textId="77777777" w:rsidTr="00EA304D">
        <w:tc>
          <w:tcPr>
            <w:tcW w:w="1101" w:type="dxa"/>
          </w:tcPr>
          <w:p w14:paraId="2678EDB8" w14:textId="77777777" w:rsidR="00E61733" w:rsidRPr="00D47F4C" w:rsidRDefault="00E61733"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Z12.23</w:t>
            </w:r>
          </w:p>
        </w:tc>
        <w:tc>
          <w:tcPr>
            <w:tcW w:w="1984" w:type="dxa"/>
          </w:tcPr>
          <w:p w14:paraId="084468FD" w14:textId="77777777" w:rsidR="00E61733" w:rsidRPr="00D47F4C" w:rsidRDefault="00E61733"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Loučná</w:t>
            </w:r>
          </w:p>
        </w:tc>
        <w:tc>
          <w:tcPr>
            <w:tcW w:w="1134" w:type="dxa"/>
          </w:tcPr>
          <w:p w14:paraId="437C6DC7" w14:textId="77777777" w:rsidR="00E61733" w:rsidRPr="00D47F4C" w:rsidRDefault="00E61733"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0,445</w:t>
            </w:r>
          </w:p>
        </w:tc>
        <w:tc>
          <w:tcPr>
            <w:tcW w:w="1134" w:type="dxa"/>
          </w:tcPr>
          <w:p w14:paraId="178C4A28" w14:textId="77777777" w:rsidR="00E61733" w:rsidRPr="00D47F4C" w:rsidRDefault="00E61733" w:rsidP="00EA304D">
            <w:pPr>
              <w:pStyle w:val="1text"/>
              <w:spacing w:before="40" w:after="40"/>
              <w:jc w:val="right"/>
              <w:rPr>
                <w:b/>
                <w:sz w:val="20"/>
                <w:szCs w:val="20"/>
              </w:rPr>
            </w:pPr>
            <w:r w:rsidRPr="00D47F4C">
              <w:rPr>
                <w:rFonts w:eastAsia="Times New Roman"/>
                <w:b/>
                <w:sz w:val="20"/>
                <w:szCs w:val="20"/>
                <w:lang w:eastAsia="cs-CZ"/>
              </w:rPr>
              <w:t>0,445</w:t>
            </w:r>
          </w:p>
        </w:tc>
        <w:tc>
          <w:tcPr>
            <w:tcW w:w="3859" w:type="dxa"/>
          </w:tcPr>
          <w:p w14:paraId="7C05925B" w14:textId="77777777" w:rsidR="00E61733" w:rsidRPr="00D47F4C" w:rsidRDefault="00E61733" w:rsidP="00EA304D">
            <w:pPr>
              <w:pStyle w:val="1text"/>
              <w:spacing w:before="40" w:after="40"/>
              <w:jc w:val="left"/>
              <w:rPr>
                <w:b/>
                <w:sz w:val="20"/>
                <w:szCs w:val="20"/>
              </w:rPr>
            </w:pPr>
            <w:r w:rsidRPr="00D47F4C">
              <w:rPr>
                <w:b/>
                <w:sz w:val="20"/>
                <w:szCs w:val="20"/>
              </w:rPr>
              <w:t>realizováno 9 RD</w:t>
            </w:r>
          </w:p>
        </w:tc>
      </w:tr>
      <w:tr w:rsidR="00B56875" w:rsidRPr="00EA304D" w14:paraId="01E6BE6B" w14:textId="77777777" w:rsidTr="00EA304D">
        <w:tc>
          <w:tcPr>
            <w:tcW w:w="1101" w:type="dxa"/>
          </w:tcPr>
          <w:p w14:paraId="51EC22D9" w14:textId="77777777" w:rsidR="00B56875" w:rsidRPr="004E0E8E" w:rsidRDefault="00B56875" w:rsidP="00EA304D">
            <w:pPr>
              <w:pStyle w:val="1text"/>
              <w:spacing w:before="40" w:after="40"/>
              <w:jc w:val="left"/>
              <w:rPr>
                <w:rFonts w:eastAsia="Times New Roman"/>
                <w:sz w:val="20"/>
                <w:szCs w:val="20"/>
                <w:lang w:eastAsia="cs-CZ"/>
              </w:rPr>
            </w:pPr>
            <w:r w:rsidRPr="004E0E8E">
              <w:rPr>
                <w:rFonts w:eastAsia="Times New Roman"/>
                <w:sz w:val="20"/>
                <w:szCs w:val="20"/>
                <w:lang w:eastAsia="cs-CZ"/>
              </w:rPr>
              <w:t>Z12.24</w:t>
            </w:r>
          </w:p>
        </w:tc>
        <w:tc>
          <w:tcPr>
            <w:tcW w:w="1984" w:type="dxa"/>
          </w:tcPr>
          <w:p w14:paraId="6B01CB40" w14:textId="77777777" w:rsidR="00B56875" w:rsidRPr="00EA304D" w:rsidRDefault="00B56875"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3EDF5015" w14:textId="77777777" w:rsidR="00B56875" w:rsidRPr="00EA304D" w:rsidRDefault="00B56875"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0,112</w:t>
            </w:r>
          </w:p>
        </w:tc>
        <w:tc>
          <w:tcPr>
            <w:tcW w:w="1134" w:type="dxa"/>
          </w:tcPr>
          <w:p w14:paraId="18101CF5" w14:textId="77777777" w:rsidR="00B56875" w:rsidRPr="00EA304D" w:rsidRDefault="00B56875" w:rsidP="00EA304D">
            <w:pPr>
              <w:pStyle w:val="1text"/>
              <w:spacing w:before="40" w:after="40"/>
              <w:jc w:val="right"/>
              <w:rPr>
                <w:sz w:val="20"/>
                <w:szCs w:val="20"/>
              </w:rPr>
            </w:pPr>
            <w:r>
              <w:rPr>
                <w:sz w:val="20"/>
                <w:szCs w:val="20"/>
              </w:rPr>
              <w:t>0</w:t>
            </w:r>
            <w:r w:rsidR="004E0E8E">
              <w:rPr>
                <w:sz w:val="20"/>
                <w:szCs w:val="20"/>
              </w:rPr>
              <w:t>,040</w:t>
            </w:r>
          </w:p>
        </w:tc>
        <w:tc>
          <w:tcPr>
            <w:tcW w:w="3859" w:type="dxa"/>
          </w:tcPr>
          <w:p w14:paraId="3D33A8FD" w14:textId="6DD1DA68" w:rsidR="00B56875" w:rsidRPr="00EA304D" w:rsidRDefault="004E0E8E" w:rsidP="004E0E8E">
            <w:pPr>
              <w:pStyle w:val="1text"/>
              <w:spacing w:before="40" w:after="40"/>
              <w:jc w:val="left"/>
              <w:rPr>
                <w:sz w:val="20"/>
                <w:szCs w:val="20"/>
              </w:rPr>
            </w:pPr>
            <w:r>
              <w:rPr>
                <w:sz w:val="20"/>
                <w:szCs w:val="20"/>
              </w:rPr>
              <w:t xml:space="preserve">zčásti </w:t>
            </w:r>
            <w:r w:rsidR="00B56875">
              <w:rPr>
                <w:sz w:val="20"/>
                <w:szCs w:val="20"/>
              </w:rPr>
              <w:t>realizováno</w:t>
            </w:r>
            <w:r>
              <w:rPr>
                <w:sz w:val="20"/>
                <w:szCs w:val="20"/>
              </w:rPr>
              <w:t xml:space="preserve"> (zahrada RD)</w:t>
            </w:r>
          </w:p>
        </w:tc>
      </w:tr>
      <w:tr w:rsidR="00B56875" w:rsidRPr="00EA304D" w14:paraId="21FB8F05" w14:textId="77777777" w:rsidTr="00EA304D">
        <w:tc>
          <w:tcPr>
            <w:tcW w:w="1101" w:type="dxa"/>
          </w:tcPr>
          <w:p w14:paraId="0C23AD72" w14:textId="77777777" w:rsidR="00B56875" w:rsidRPr="00EA304D" w:rsidRDefault="00B56875"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Z12.25</w:t>
            </w:r>
          </w:p>
        </w:tc>
        <w:tc>
          <w:tcPr>
            <w:tcW w:w="1984" w:type="dxa"/>
          </w:tcPr>
          <w:p w14:paraId="4FC1A616" w14:textId="77777777" w:rsidR="00B56875" w:rsidRPr="00EA304D" w:rsidRDefault="00B56875"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530D8940" w14:textId="77777777" w:rsidR="00B56875" w:rsidRPr="00266F0A" w:rsidRDefault="00B56875"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18,328</w:t>
            </w:r>
          </w:p>
        </w:tc>
        <w:tc>
          <w:tcPr>
            <w:tcW w:w="1134" w:type="dxa"/>
          </w:tcPr>
          <w:p w14:paraId="4957430D" w14:textId="77777777" w:rsidR="00B56875" w:rsidRPr="00EA304D" w:rsidRDefault="00B56875" w:rsidP="00EA304D">
            <w:pPr>
              <w:pStyle w:val="1text"/>
              <w:spacing w:before="40" w:after="40"/>
              <w:jc w:val="right"/>
              <w:rPr>
                <w:sz w:val="20"/>
                <w:szCs w:val="20"/>
              </w:rPr>
            </w:pPr>
            <w:r w:rsidRPr="00096F41">
              <w:rPr>
                <w:sz w:val="20"/>
                <w:szCs w:val="20"/>
              </w:rPr>
              <w:t>0</w:t>
            </w:r>
          </w:p>
        </w:tc>
        <w:tc>
          <w:tcPr>
            <w:tcW w:w="3859" w:type="dxa"/>
          </w:tcPr>
          <w:p w14:paraId="33B42BA8" w14:textId="77777777" w:rsidR="00B56875" w:rsidRPr="00EA304D" w:rsidRDefault="00B56875" w:rsidP="00EA304D">
            <w:pPr>
              <w:pStyle w:val="1text"/>
              <w:spacing w:before="40" w:after="40"/>
              <w:jc w:val="left"/>
              <w:rPr>
                <w:sz w:val="20"/>
                <w:szCs w:val="20"/>
              </w:rPr>
            </w:pPr>
            <w:r w:rsidRPr="00EA304D">
              <w:rPr>
                <w:sz w:val="20"/>
                <w:szCs w:val="20"/>
              </w:rPr>
              <w:t>nerealizováno, změna koncepce</w:t>
            </w:r>
          </w:p>
        </w:tc>
      </w:tr>
      <w:tr w:rsidR="00B56875" w:rsidRPr="00EA304D" w14:paraId="314D7BEA" w14:textId="77777777" w:rsidTr="00EA304D">
        <w:tc>
          <w:tcPr>
            <w:tcW w:w="1101" w:type="dxa"/>
          </w:tcPr>
          <w:p w14:paraId="4AAA7521" w14:textId="77777777" w:rsidR="00B56875" w:rsidRPr="00EA304D" w:rsidRDefault="00B56875"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Z12.26</w:t>
            </w:r>
          </w:p>
        </w:tc>
        <w:tc>
          <w:tcPr>
            <w:tcW w:w="1984" w:type="dxa"/>
          </w:tcPr>
          <w:p w14:paraId="085C4351" w14:textId="77777777" w:rsidR="00B56875" w:rsidRPr="00EA304D" w:rsidRDefault="00B56875"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568F231C" w14:textId="77777777" w:rsidR="00B56875" w:rsidRPr="00266F0A" w:rsidRDefault="00B56875"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0,129</w:t>
            </w:r>
          </w:p>
        </w:tc>
        <w:tc>
          <w:tcPr>
            <w:tcW w:w="1134" w:type="dxa"/>
          </w:tcPr>
          <w:p w14:paraId="4C42DB36" w14:textId="77777777" w:rsidR="00B56875" w:rsidRPr="00EA304D" w:rsidRDefault="00B56875" w:rsidP="00EA304D">
            <w:pPr>
              <w:pStyle w:val="1text"/>
              <w:spacing w:before="40" w:after="40"/>
              <w:jc w:val="right"/>
              <w:rPr>
                <w:sz w:val="20"/>
                <w:szCs w:val="20"/>
              </w:rPr>
            </w:pPr>
            <w:r w:rsidRPr="00096F41">
              <w:rPr>
                <w:sz w:val="20"/>
                <w:szCs w:val="20"/>
              </w:rPr>
              <w:t>0</w:t>
            </w:r>
          </w:p>
        </w:tc>
        <w:tc>
          <w:tcPr>
            <w:tcW w:w="3859" w:type="dxa"/>
          </w:tcPr>
          <w:p w14:paraId="3BE091FD" w14:textId="77777777" w:rsidR="00B56875" w:rsidRPr="00EA304D" w:rsidRDefault="00B56875" w:rsidP="00EA304D">
            <w:pPr>
              <w:pStyle w:val="1text"/>
              <w:spacing w:before="40" w:after="40"/>
              <w:jc w:val="left"/>
              <w:rPr>
                <w:sz w:val="20"/>
                <w:szCs w:val="20"/>
              </w:rPr>
            </w:pPr>
            <w:r w:rsidRPr="00EA304D">
              <w:rPr>
                <w:sz w:val="20"/>
                <w:szCs w:val="20"/>
              </w:rPr>
              <w:t>nerealizováno, změna koncepce</w:t>
            </w:r>
          </w:p>
        </w:tc>
      </w:tr>
      <w:tr w:rsidR="00112D96" w:rsidRPr="00EA304D" w14:paraId="1ED2E203" w14:textId="77777777" w:rsidTr="00EA304D">
        <w:tc>
          <w:tcPr>
            <w:tcW w:w="1101" w:type="dxa"/>
          </w:tcPr>
          <w:p w14:paraId="04979428" w14:textId="77777777" w:rsidR="00112D96" w:rsidRPr="00D47F4C" w:rsidRDefault="00112D9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Z12.27</w:t>
            </w:r>
          </w:p>
        </w:tc>
        <w:tc>
          <w:tcPr>
            <w:tcW w:w="1984" w:type="dxa"/>
          </w:tcPr>
          <w:p w14:paraId="461B7555" w14:textId="77777777" w:rsidR="00112D96" w:rsidRPr="00D47F4C" w:rsidRDefault="00112D9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26711D90" w14:textId="77777777" w:rsidR="00112D96" w:rsidRPr="00D47F4C" w:rsidRDefault="00112D9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0,045</w:t>
            </w:r>
          </w:p>
        </w:tc>
        <w:tc>
          <w:tcPr>
            <w:tcW w:w="1134" w:type="dxa"/>
          </w:tcPr>
          <w:p w14:paraId="5C87F56D" w14:textId="77777777" w:rsidR="00112D96" w:rsidRPr="00D47F4C" w:rsidRDefault="00112D96" w:rsidP="00EA304D">
            <w:pPr>
              <w:pStyle w:val="1text"/>
              <w:spacing w:before="40" w:after="40"/>
              <w:jc w:val="right"/>
              <w:rPr>
                <w:b/>
                <w:sz w:val="20"/>
                <w:szCs w:val="20"/>
              </w:rPr>
            </w:pPr>
            <w:r w:rsidRPr="00D47F4C">
              <w:rPr>
                <w:rFonts w:eastAsia="Times New Roman"/>
                <w:b/>
                <w:sz w:val="20"/>
                <w:szCs w:val="20"/>
                <w:lang w:eastAsia="cs-CZ"/>
              </w:rPr>
              <w:t>0,045</w:t>
            </w:r>
          </w:p>
        </w:tc>
        <w:tc>
          <w:tcPr>
            <w:tcW w:w="3859" w:type="dxa"/>
          </w:tcPr>
          <w:p w14:paraId="66DF47D0" w14:textId="77777777" w:rsidR="00112D96" w:rsidRPr="00D47F4C" w:rsidRDefault="00112D96" w:rsidP="00EA304D">
            <w:pPr>
              <w:pStyle w:val="1text"/>
              <w:spacing w:before="40" w:after="40"/>
              <w:jc w:val="left"/>
              <w:rPr>
                <w:b/>
                <w:sz w:val="20"/>
                <w:szCs w:val="20"/>
              </w:rPr>
            </w:pPr>
            <w:r w:rsidRPr="00D47F4C">
              <w:rPr>
                <w:b/>
                <w:sz w:val="20"/>
                <w:szCs w:val="20"/>
              </w:rPr>
              <w:t>realizován 1 RD a garáž</w:t>
            </w:r>
            <w:r w:rsidR="0002272A" w:rsidRPr="00D47F4C">
              <w:rPr>
                <w:b/>
                <w:sz w:val="20"/>
                <w:szCs w:val="20"/>
              </w:rPr>
              <w:t xml:space="preserve"> </w:t>
            </w:r>
          </w:p>
        </w:tc>
      </w:tr>
      <w:tr w:rsidR="00112D96" w:rsidRPr="00EA304D" w14:paraId="4D4C769A" w14:textId="77777777" w:rsidTr="00EA304D">
        <w:tc>
          <w:tcPr>
            <w:tcW w:w="1101" w:type="dxa"/>
          </w:tcPr>
          <w:p w14:paraId="1B3552B3"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Z15.1</w:t>
            </w:r>
          </w:p>
        </w:tc>
        <w:tc>
          <w:tcPr>
            <w:tcW w:w="1984" w:type="dxa"/>
          </w:tcPr>
          <w:p w14:paraId="67B26D0C"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430E6543" w14:textId="77777777" w:rsidR="00112D96" w:rsidRPr="00EA304D" w:rsidRDefault="00112D9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0,132</w:t>
            </w:r>
          </w:p>
        </w:tc>
        <w:tc>
          <w:tcPr>
            <w:tcW w:w="1134" w:type="dxa"/>
          </w:tcPr>
          <w:p w14:paraId="1A4F9781" w14:textId="77777777" w:rsidR="00112D96" w:rsidRPr="00EA304D" w:rsidRDefault="00112D96" w:rsidP="00EA304D">
            <w:pPr>
              <w:pStyle w:val="1text"/>
              <w:spacing w:before="40" w:after="40"/>
              <w:jc w:val="right"/>
              <w:rPr>
                <w:sz w:val="20"/>
                <w:szCs w:val="20"/>
              </w:rPr>
            </w:pPr>
            <w:r>
              <w:rPr>
                <w:sz w:val="20"/>
                <w:szCs w:val="20"/>
              </w:rPr>
              <w:t>0</w:t>
            </w:r>
          </w:p>
        </w:tc>
        <w:tc>
          <w:tcPr>
            <w:tcW w:w="3859" w:type="dxa"/>
          </w:tcPr>
          <w:p w14:paraId="7A73F35F" w14:textId="77777777" w:rsidR="00112D96" w:rsidRPr="00EA304D" w:rsidRDefault="00112D96" w:rsidP="00EA304D">
            <w:pPr>
              <w:pStyle w:val="1text"/>
              <w:spacing w:before="40" w:after="40"/>
              <w:jc w:val="left"/>
              <w:rPr>
                <w:sz w:val="20"/>
                <w:szCs w:val="20"/>
              </w:rPr>
            </w:pPr>
            <w:r>
              <w:rPr>
                <w:sz w:val="20"/>
                <w:szCs w:val="20"/>
              </w:rPr>
              <w:t>dosud nerealizováno</w:t>
            </w:r>
          </w:p>
        </w:tc>
      </w:tr>
      <w:tr w:rsidR="00112D96" w:rsidRPr="00EA304D" w14:paraId="707ABB0D" w14:textId="77777777" w:rsidTr="00EA304D">
        <w:tc>
          <w:tcPr>
            <w:tcW w:w="1101" w:type="dxa"/>
          </w:tcPr>
          <w:p w14:paraId="096ECBCA"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Z15.2</w:t>
            </w:r>
          </w:p>
        </w:tc>
        <w:tc>
          <w:tcPr>
            <w:tcW w:w="1984" w:type="dxa"/>
          </w:tcPr>
          <w:p w14:paraId="7A8CAFB0"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023CF2B2" w14:textId="77777777" w:rsidR="00112D96" w:rsidRPr="00EA304D" w:rsidRDefault="00112D9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0,166</w:t>
            </w:r>
          </w:p>
        </w:tc>
        <w:tc>
          <w:tcPr>
            <w:tcW w:w="1134" w:type="dxa"/>
          </w:tcPr>
          <w:p w14:paraId="77373E99" w14:textId="77777777" w:rsidR="00112D96" w:rsidRPr="00EA304D" w:rsidRDefault="00112D96" w:rsidP="00EA304D">
            <w:pPr>
              <w:pStyle w:val="1text"/>
              <w:spacing w:before="40" w:after="40"/>
              <w:jc w:val="right"/>
              <w:rPr>
                <w:sz w:val="20"/>
                <w:szCs w:val="20"/>
              </w:rPr>
            </w:pPr>
            <w:r>
              <w:rPr>
                <w:sz w:val="20"/>
                <w:szCs w:val="20"/>
              </w:rPr>
              <w:t>0</w:t>
            </w:r>
          </w:p>
        </w:tc>
        <w:tc>
          <w:tcPr>
            <w:tcW w:w="3859" w:type="dxa"/>
          </w:tcPr>
          <w:p w14:paraId="1D696CAC" w14:textId="77777777" w:rsidR="00112D96" w:rsidRPr="00EA304D" w:rsidRDefault="00112D96" w:rsidP="00EA304D">
            <w:pPr>
              <w:pStyle w:val="1text"/>
              <w:spacing w:before="40" w:after="40"/>
              <w:jc w:val="left"/>
              <w:rPr>
                <w:sz w:val="20"/>
                <w:szCs w:val="20"/>
              </w:rPr>
            </w:pPr>
            <w:r>
              <w:rPr>
                <w:sz w:val="20"/>
                <w:szCs w:val="20"/>
              </w:rPr>
              <w:t>dosud nerealizováno</w:t>
            </w:r>
          </w:p>
        </w:tc>
      </w:tr>
      <w:tr w:rsidR="0002272A" w:rsidRPr="00EA304D" w14:paraId="2B396683" w14:textId="77777777" w:rsidTr="00EA304D">
        <w:tc>
          <w:tcPr>
            <w:tcW w:w="1101" w:type="dxa"/>
          </w:tcPr>
          <w:p w14:paraId="2F66E73F" w14:textId="77777777" w:rsidR="0002272A" w:rsidRPr="00EA304D" w:rsidRDefault="0002272A"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Z15.3</w:t>
            </w:r>
          </w:p>
        </w:tc>
        <w:tc>
          <w:tcPr>
            <w:tcW w:w="1984" w:type="dxa"/>
          </w:tcPr>
          <w:p w14:paraId="19C229BD" w14:textId="77777777" w:rsidR="0002272A" w:rsidRPr="00EA304D" w:rsidRDefault="0002272A"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48C806EF" w14:textId="77777777" w:rsidR="0002272A" w:rsidRPr="00EA304D" w:rsidRDefault="0002272A"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0,228</w:t>
            </w:r>
          </w:p>
        </w:tc>
        <w:tc>
          <w:tcPr>
            <w:tcW w:w="1134" w:type="dxa"/>
          </w:tcPr>
          <w:p w14:paraId="3CBEDF68" w14:textId="77777777" w:rsidR="0002272A" w:rsidRPr="00EA304D" w:rsidRDefault="0002272A" w:rsidP="00EA304D">
            <w:pPr>
              <w:pStyle w:val="1text"/>
              <w:spacing w:before="40" w:after="40"/>
              <w:jc w:val="right"/>
              <w:rPr>
                <w:sz w:val="20"/>
                <w:szCs w:val="20"/>
              </w:rPr>
            </w:pPr>
            <w:r>
              <w:rPr>
                <w:sz w:val="20"/>
                <w:szCs w:val="20"/>
              </w:rPr>
              <w:t>0</w:t>
            </w:r>
          </w:p>
        </w:tc>
        <w:tc>
          <w:tcPr>
            <w:tcW w:w="3859" w:type="dxa"/>
          </w:tcPr>
          <w:p w14:paraId="018D77CB" w14:textId="77777777" w:rsidR="0002272A" w:rsidRPr="00EA304D" w:rsidRDefault="0002272A" w:rsidP="00EA304D">
            <w:pPr>
              <w:pStyle w:val="1text"/>
              <w:spacing w:before="40" w:after="40"/>
              <w:jc w:val="left"/>
              <w:rPr>
                <w:sz w:val="20"/>
                <w:szCs w:val="20"/>
              </w:rPr>
            </w:pPr>
            <w:r>
              <w:rPr>
                <w:sz w:val="20"/>
                <w:szCs w:val="20"/>
              </w:rPr>
              <w:t>dosud nerealizováno, zachovány zemědělské objekty</w:t>
            </w:r>
          </w:p>
        </w:tc>
      </w:tr>
      <w:tr w:rsidR="00112D96" w:rsidRPr="00EA304D" w14:paraId="5DBA8C62" w14:textId="77777777" w:rsidTr="00EA304D">
        <w:tc>
          <w:tcPr>
            <w:tcW w:w="1101" w:type="dxa"/>
          </w:tcPr>
          <w:p w14:paraId="541E792B"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Z15.4</w:t>
            </w:r>
          </w:p>
        </w:tc>
        <w:tc>
          <w:tcPr>
            <w:tcW w:w="1984" w:type="dxa"/>
          </w:tcPr>
          <w:p w14:paraId="301B5A33"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24602428" w14:textId="77777777" w:rsidR="00112D96" w:rsidRPr="00EA304D" w:rsidRDefault="00112D9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0,063</w:t>
            </w:r>
          </w:p>
        </w:tc>
        <w:tc>
          <w:tcPr>
            <w:tcW w:w="1134" w:type="dxa"/>
          </w:tcPr>
          <w:p w14:paraId="1757CCE7" w14:textId="77777777" w:rsidR="00112D96" w:rsidRPr="00EA304D" w:rsidRDefault="00112D96" w:rsidP="00EA304D">
            <w:pPr>
              <w:pStyle w:val="1text"/>
              <w:spacing w:before="40" w:after="40"/>
              <w:jc w:val="right"/>
              <w:rPr>
                <w:sz w:val="20"/>
                <w:szCs w:val="20"/>
              </w:rPr>
            </w:pPr>
            <w:r>
              <w:rPr>
                <w:sz w:val="20"/>
                <w:szCs w:val="20"/>
              </w:rPr>
              <w:t>0</w:t>
            </w:r>
          </w:p>
        </w:tc>
        <w:tc>
          <w:tcPr>
            <w:tcW w:w="3859" w:type="dxa"/>
          </w:tcPr>
          <w:p w14:paraId="1E5C8081" w14:textId="77777777" w:rsidR="00112D96" w:rsidRPr="00EA304D" w:rsidRDefault="00112D96" w:rsidP="00EA304D">
            <w:pPr>
              <w:pStyle w:val="1text"/>
              <w:spacing w:before="40" w:after="40"/>
              <w:jc w:val="left"/>
              <w:rPr>
                <w:sz w:val="20"/>
                <w:szCs w:val="20"/>
              </w:rPr>
            </w:pPr>
            <w:r>
              <w:rPr>
                <w:sz w:val="20"/>
                <w:szCs w:val="20"/>
              </w:rPr>
              <w:t>dosud nerealizováno</w:t>
            </w:r>
          </w:p>
        </w:tc>
      </w:tr>
      <w:tr w:rsidR="0002272A" w:rsidRPr="00EA304D" w14:paraId="01649116" w14:textId="77777777" w:rsidTr="00EA304D">
        <w:tc>
          <w:tcPr>
            <w:tcW w:w="1101" w:type="dxa"/>
          </w:tcPr>
          <w:p w14:paraId="58A87C4B" w14:textId="77777777" w:rsidR="0002272A" w:rsidRPr="00EA304D" w:rsidRDefault="0002272A"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Z15.5</w:t>
            </w:r>
          </w:p>
        </w:tc>
        <w:tc>
          <w:tcPr>
            <w:tcW w:w="1984" w:type="dxa"/>
          </w:tcPr>
          <w:p w14:paraId="52B52A47" w14:textId="77777777" w:rsidR="0002272A" w:rsidRPr="00EA304D" w:rsidRDefault="0002272A"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0B23C841" w14:textId="77777777" w:rsidR="0002272A" w:rsidRPr="00EA304D" w:rsidRDefault="0002272A"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0,180</w:t>
            </w:r>
          </w:p>
        </w:tc>
        <w:tc>
          <w:tcPr>
            <w:tcW w:w="1134" w:type="dxa"/>
          </w:tcPr>
          <w:p w14:paraId="76C60CA6" w14:textId="77777777" w:rsidR="0002272A" w:rsidRPr="00EA304D" w:rsidRDefault="0002272A" w:rsidP="00EA304D">
            <w:pPr>
              <w:pStyle w:val="1text"/>
              <w:spacing w:before="40" w:after="40"/>
              <w:jc w:val="right"/>
              <w:rPr>
                <w:sz w:val="20"/>
                <w:szCs w:val="20"/>
              </w:rPr>
            </w:pPr>
            <w:r>
              <w:rPr>
                <w:sz w:val="20"/>
                <w:szCs w:val="20"/>
              </w:rPr>
              <w:t>0</w:t>
            </w:r>
          </w:p>
        </w:tc>
        <w:tc>
          <w:tcPr>
            <w:tcW w:w="3859" w:type="dxa"/>
          </w:tcPr>
          <w:p w14:paraId="26E02E7F" w14:textId="77777777" w:rsidR="0002272A" w:rsidRPr="00EA304D" w:rsidRDefault="0002272A" w:rsidP="00EA304D">
            <w:pPr>
              <w:pStyle w:val="1text"/>
              <w:spacing w:before="40" w:after="40"/>
              <w:jc w:val="left"/>
              <w:rPr>
                <w:sz w:val="20"/>
                <w:szCs w:val="20"/>
              </w:rPr>
            </w:pPr>
            <w:r>
              <w:rPr>
                <w:sz w:val="20"/>
                <w:szCs w:val="20"/>
              </w:rPr>
              <w:t>dosud nerealizováno</w:t>
            </w:r>
          </w:p>
        </w:tc>
      </w:tr>
      <w:tr w:rsidR="0002272A" w:rsidRPr="00EA304D" w14:paraId="7EACD3A0" w14:textId="77777777" w:rsidTr="00EA304D">
        <w:tc>
          <w:tcPr>
            <w:tcW w:w="1101" w:type="dxa"/>
          </w:tcPr>
          <w:p w14:paraId="0A1EAF65" w14:textId="77777777" w:rsidR="0002272A" w:rsidRPr="00EA304D" w:rsidRDefault="0002272A"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Z15.6</w:t>
            </w:r>
          </w:p>
        </w:tc>
        <w:tc>
          <w:tcPr>
            <w:tcW w:w="1984" w:type="dxa"/>
          </w:tcPr>
          <w:p w14:paraId="563B6439" w14:textId="77777777" w:rsidR="0002272A" w:rsidRPr="00EA304D" w:rsidRDefault="0002272A"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3F80BC55" w14:textId="77777777" w:rsidR="0002272A" w:rsidRPr="00EA304D" w:rsidRDefault="0002272A"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0,245</w:t>
            </w:r>
          </w:p>
        </w:tc>
        <w:tc>
          <w:tcPr>
            <w:tcW w:w="1134" w:type="dxa"/>
          </w:tcPr>
          <w:p w14:paraId="48C5CDF6" w14:textId="77777777" w:rsidR="0002272A" w:rsidRPr="00EA304D" w:rsidRDefault="0002272A" w:rsidP="00EA304D">
            <w:pPr>
              <w:pStyle w:val="1text"/>
              <w:spacing w:before="40" w:after="40"/>
              <w:jc w:val="right"/>
              <w:rPr>
                <w:sz w:val="20"/>
                <w:szCs w:val="20"/>
              </w:rPr>
            </w:pPr>
            <w:r>
              <w:rPr>
                <w:sz w:val="20"/>
                <w:szCs w:val="20"/>
              </w:rPr>
              <w:t>0</w:t>
            </w:r>
          </w:p>
        </w:tc>
        <w:tc>
          <w:tcPr>
            <w:tcW w:w="3859" w:type="dxa"/>
          </w:tcPr>
          <w:p w14:paraId="677B4256" w14:textId="77777777" w:rsidR="0002272A" w:rsidRPr="00EA304D" w:rsidRDefault="0002272A" w:rsidP="00EA304D">
            <w:pPr>
              <w:pStyle w:val="1text"/>
              <w:spacing w:before="40" w:after="40"/>
              <w:jc w:val="left"/>
              <w:rPr>
                <w:sz w:val="20"/>
                <w:szCs w:val="20"/>
              </w:rPr>
            </w:pPr>
            <w:r>
              <w:rPr>
                <w:sz w:val="20"/>
                <w:szCs w:val="20"/>
              </w:rPr>
              <w:t>dosud nerealizováno</w:t>
            </w:r>
          </w:p>
        </w:tc>
      </w:tr>
      <w:tr w:rsidR="00112D96" w:rsidRPr="00EA304D" w14:paraId="4A6A9F4B" w14:textId="77777777" w:rsidTr="00EA304D">
        <w:tc>
          <w:tcPr>
            <w:tcW w:w="1101" w:type="dxa"/>
          </w:tcPr>
          <w:p w14:paraId="473FA107"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Z15.7</w:t>
            </w:r>
          </w:p>
        </w:tc>
        <w:tc>
          <w:tcPr>
            <w:tcW w:w="1984" w:type="dxa"/>
          </w:tcPr>
          <w:p w14:paraId="6F1165C7"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097A7423" w14:textId="77777777" w:rsidR="00112D96" w:rsidRPr="00266F0A" w:rsidRDefault="00112D9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1,192</w:t>
            </w:r>
          </w:p>
        </w:tc>
        <w:tc>
          <w:tcPr>
            <w:tcW w:w="1134" w:type="dxa"/>
          </w:tcPr>
          <w:p w14:paraId="39C62B79" w14:textId="77777777" w:rsidR="00112D96" w:rsidRPr="00EA304D" w:rsidRDefault="0002272A" w:rsidP="00EA304D">
            <w:pPr>
              <w:pStyle w:val="1text"/>
              <w:spacing w:before="40" w:after="40"/>
              <w:jc w:val="right"/>
              <w:rPr>
                <w:sz w:val="20"/>
                <w:szCs w:val="20"/>
              </w:rPr>
            </w:pPr>
            <w:r>
              <w:rPr>
                <w:sz w:val="20"/>
                <w:szCs w:val="20"/>
              </w:rPr>
              <w:t>0,687</w:t>
            </w:r>
          </w:p>
        </w:tc>
        <w:tc>
          <w:tcPr>
            <w:tcW w:w="3859" w:type="dxa"/>
          </w:tcPr>
          <w:p w14:paraId="027E82C0" w14:textId="77777777" w:rsidR="00112D96" w:rsidRPr="00EA304D" w:rsidRDefault="0002272A" w:rsidP="00EA304D">
            <w:pPr>
              <w:pStyle w:val="1text"/>
              <w:spacing w:before="40" w:after="40"/>
              <w:jc w:val="left"/>
              <w:rPr>
                <w:sz w:val="20"/>
                <w:szCs w:val="20"/>
              </w:rPr>
            </w:pPr>
            <w:r>
              <w:rPr>
                <w:sz w:val="20"/>
                <w:szCs w:val="20"/>
              </w:rPr>
              <w:t>realizován bytový dům s řadovými garážemi</w:t>
            </w:r>
          </w:p>
        </w:tc>
      </w:tr>
      <w:tr w:rsidR="00112D96" w:rsidRPr="00EA304D" w14:paraId="0CEAE684" w14:textId="77777777" w:rsidTr="00EA304D">
        <w:tc>
          <w:tcPr>
            <w:tcW w:w="1101" w:type="dxa"/>
          </w:tcPr>
          <w:p w14:paraId="776DEC24"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Z17.1b</w:t>
            </w:r>
          </w:p>
        </w:tc>
        <w:tc>
          <w:tcPr>
            <w:tcW w:w="1984" w:type="dxa"/>
          </w:tcPr>
          <w:p w14:paraId="4F092780"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D3D2E3F" w14:textId="77777777" w:rsidR="00112D96" w:rsidRPr="00EA304D" w:rsidRDefault="00112D9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0,352</w:t>
            </w:r>
          </w:p>
        </w:tc>
        <w:tc>
          <w:tcPr>
            <w:tcW w:w="1134" w:type="dxa"/>
          </w:tcPr>
          <w:p w14:paraId="1F23EB13" w14:textId="77777777" w:rsidR="00112D96" w:rsidRPr="00EA304D" w:rsidRDefault="00112D96" w:rsidP="00EA304D">
            <w:pPr>
              <w:pStyle w:val="1text"/>
              <w:spacing w:before="40" w:after="40"/>
              <w:jc w:val="right"/>
              <w:rPr>
                <w:sz w:val="20"/>
                <w:szCs w:val="20"/>
              </w:rPr>
            </w:pPr>
            <w:r w:rsidRPr="00EA304D">
              <w:rPr>
                <w:sz w:val="20"/>
                <w:szCs w:val="20"/>
              </w:rPr>
              <w:t>0,043</w:t>
            </w:r>
          </w:p>
        </w:tc>
        <w:tc>
          <w:tcPr>
            <w:tcW w:w="3859" w:type="dxa"/>
          </w:tcPr>
          <w:p w14:paraId="3FFDF69E" w14:textId="77777777" w:rsidR="00112D96" w:rsidRPr="00EA304D" w:rsidRDefault="00112D96" w:rsidP="00EA304D">
            <w:pPr>
              <w:pStyle w:val="1text"/>
              <w:spacing w:before="40" w:after="40"/>
              <w:jc w:val="left"/>
              <w:rPr>
                <w:sz w:val="20"/>
                <w:szCs w:val="20"/>
              </w:rPr>
            </w:pPr>
            <w:r w:rsidRPr="00EA304D">
              <w:rPr>
                <w:sz w:val="20"/>
                <w:szCs w:val="20"/>
              </w:rPr>
              <w:t>zčásti realizováno</w:t>
            </w:r>
          </w:p>
        </w:tc>
      </w:tr>
      <w:tr w:rsidR="00112D96" w:rsidRPr="00EA304D" w14:paraId="185D27B9" w14:textId="77777777" w:rsidTr="00EA304D">
        <w:tc>
          <w:tcPr>
            <w:tcW w:w="1101" w:type="dxa"/>
          </w:tcPr>
          <w:p w14:paraId="2A9A04A3"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Z17.2</w:t>
            </w:r>
          </w:p>
        </w:tc>
        <w:tc>
          <w:tcPr>
            <w:tcW w:w="1984" w:type="dxa"/>
          </w:tcPr>
          <w:p w14:paraId="71B09AE8" w14:textId="77777777" w:rsidR="00112D96" w:rsidRPr="00EA304D" w:rsidRDefault="00112D9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Donín </w:t>
            </w:r>
          </w:p>
        </w:tc>
        <w:tc>
          <w:tcPr>
            <w:tcW w:w="1134" w:type="dxa"/>
          </w:tcPr>
          <w:p w14:paraId="1F33B13E" w14:textId="77777777" w:rsidR="00112D96" w:rsidRPr="00EA304D" w:rsidRDefault="00112D9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0,357</w:t>
            </w:r>
          </w:p>
        </w:tc>
        <w:tc>
          <w:tcPr>
            <w:tcW w:w="1134" w:type="dxa"/>
          </w:tcPr>
          <w:p w14:paraId="1D234DD9" w14:textId="77777777" w:rsidR="00112D96" w:rsidRPr="00EA304D" w:rsidRDefault="0002272A" w:rsidP="00EA304D">
            <w:pPr>
              <w:pStyle w:val="1text"/>
              <w:spacing w:before="40" w:after="40"/>
              <w:jc w:val="right"/>
              <w:rPr>
                <w:sz w:val="20"/>
                <w:szCs w:val="20"/>
              </w:rPr>
            </w:pPr>
            <w:r>
              <w:rPr>
                <w:sz w:val="20"/>
                <w:szCs w:val="20"/>
              </w:rPr>
              <w:t>0,145</w:t>
            </w:r>
          </w:p>
        </w:tc>
        <w:tc>
          <w:tcPr>
            <w:tcW w:w="3859" w:type="dxa"/>
          </w:tcPr>
          <w:p w14:paraId="6E6E4BC1" w14:textId="77777777" w:rsidR="00112D96" w:rsidRPr="00EA304D" w:rsidRDefault="0002272A" w:rsidP="00EA304D">
            <w:pPr>
              <w:pStyle w:val="1text"/>
              <w:spacing w:before="40" w:after="40"/>
              <w:jc w:val="left"/>
              <w:rPr>
                <w:sz w:val="20"/>
                <w:szCs w:val="20"/>
              </w:rPr>
            </w:pPr>
            <w:r>
              <w:rPr>
                <w:sz w:val="20"/>
                <w:szCs w:val="20"/>
              </w:rPr>
              <w:t>realizován 1 RD</w:t>
            </w:r>
          </w:p>
        </w:tc>
      </w:tr>
      <w:tr w:rsidR="00112D96" w:rsidRPr="00EA304D" w14:paraId="6FFBB889" w14:textId="77777777" w:rsidTr="00EA304D">
        <w:tc>
          <w:tcPr>
            <w:tcW w:w="1101" w:type="dxa"/>
          </w:tcPr>
          <w:p w14:paraId="48C99A61" w14:textId="77777777" w:rsidR="00112D96" w:rsidRPr="00D47F4C" w:rsidRDefault="00112D9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Z17.3a</w:t>
            </w:r>
          </w:p>
        </w:tc>
        <w:tc>
          <w:tcPr>
            <w:tcW w:w="1984" w:type="dxa"/>
          </w:tcPr>
          <w:p w14:paraId="79346196" w14:textId="77777777" w:rsidR="00112D96" w:rsidRPr="00D47F4C" w:rsidRDefault="00112D9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Oldřichov na Hranicích</w:t>
            </w:r>
          </w:p>
        </w:tc>
        <w:tc>
          <w:tcPr>
            <w:tcW w:w="1134" w:type="dxa"/>
          </w:tcPr>
          <w:p w14:paraId="6990BC56" w14:textId="77777777" w:rsidR="00112D96" w:rsidRPr="00D47F4C" w:rsidRDefault="00112D9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0,091</w:t>
            </w:r>
          </w:p>
        </w:tc>
        <w:tc>
          <w:tcPr>
            <w:tcW w:w="1134" w:type="dxa"/>
          </w:tcPr>
          <w:p w14:paraId="70963164" w14:textId="77777777" w:rsidR="00112D96" w:rsidRPr="00D47F4C" w:rsidRDefault="00112D96" w:rsidP="00EA304D">
            <w:pPr>
              <w:pStyle w:val="1text"/>
              <w:spacing w:before="40" w:after="40"/>
              <w:jc w:val="right"/>
              <w:rPr>
                <w:b/>
                <w:sz w:val="20"/>
                <w:szCs w:val="20"/>
              </w:rPr>
            </w:pPr>
            <w:r w:rsidRPr="00D47F4C">
              <w:rPr>
                <w:rFonts w:eastAsia="Times New Roman"/>
                <w:b/>
                <w:sz w:val="20"/>
                <w:szCs w:val="20"/>
                <w:lang w:eastAsia="cs-CZ"/>
              </w:rPr>
              <w:t>0,091</w:t>
            </w:r>
          </w:p>
        </w:tc>
        <w:tc>
          <w:tcPr>
            <w:tcW w:w="3859" w:type="dxa"/>
          </w:tcPr>
          <w:p w14:paraId="4CF1B6B9" w14:textId="77777777" w:rsidR="00112D96" w:rsidRPr="00D47F4C" w:rsidRDefault="00112D96" w:rsidP="00EA304D">
            <w:pPr>
              <w:pStyle w:val="1text"/>
              <w:spacing w:before="40" w:after="40"/>
              <w:jc w:val="left"/>
              <w:rPr>
                <w:b/>
                <w:sz w:val="20"/>
                <w:szCs w:val="20"/>
              </w:rPr>
            </w:pPr>
            <w:r w:rsidRPr="00D47F4C">
              <w:rPr>
                <w:b/>
                <w:sz w:val="20"/>
                <w:szCs w:val="20"/>
              </w:rPr>
              <w:t>realizováno</w:t>
            </w:r>
          </w:p>
        </w:tc>
      </w:tr>
      <w:tr w:rsidR="0002272A" w:rsidRPr="00EA304D" w14:paraId="24698441" w14:textId="77777777" w:rsidTr="00EA304D">
        <w:tc>
          <w:tcPr>
            <w:tcW w:w="1101" w:type="dxa"/>
          </w:tcPr>
          <w:p w14:paraId="26E35E1A" w14:textId="77777777" w:rsidR="0002272A" w:rsidRPr="00EA304D" w:rsidRDefault="0002272A"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Z17.4a</w:t>
            </w:r>
          </w:p>
        </w:tc>
        <w:tc>
          <w:tcPr>
            <w:tcW w:w="1984" w:type="dxa"/>
          </w:tcPr>
          <w:p w14:paraId="7B9DC882" w14:textId="77777777" w:rsidR="0002272A" w:rsidRPr="00EA304D" w:rsidRDefault="0002272A"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F2224DA" w14:textId="77777777" w:rsidR="0002272A" w:rsidRPr="00EA304D" w:rsidRDefault="0002272A"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2,026</w:t>
            </w:r>
          </w:p>
        </w:tc>
        <w:tc>
          <w:tcPr>
            <w:tcW w:w="1134" w:type="dxa"/>
          </w:tcPr>
          <w:p w14:paraId="0BECA254" w14:textId="77777777" w:rsidR="0002272A" w:rsidRPr="00EA304D" w:rsidRDefault="0002272A" w:rsidP="00EA304D">
            <w:pPr>
              <w:pStyle w:val="1text"/>
              <w:spacing w:before="40" w:after="40"/>
              <w:jc w:val="right"/>
              <w:rPr>
                <w:sz w:val="20"/>
                <w:szCs w:val="20"/>
              </w:rPr>
            </w:pPr>
            <w:r>
              <w:rPr>
                <w:sz w:val="20"/>
                <w:szCs w:val="20"/>
              </w:rPr>
              <w:t>0</w:t>
            </w:r>
          </w:p>
        </w:tc>
        <w:tc>
          <w:tcPr>
            <w:tcW w:w="3859" w:type="dxa"/>
          </w:tcPr>
          <w:p w14:paraId="101C2FFC" w14:textId="77777777" w:rsidR="0002272A" w:rsidRPr="00EA304D" w:rsidRDefault="0002272A" w:rsidP="00EA304D">
            <w:pPr>
              <w:pStyle w:val="1text"/>
              <w:spacing w:before="40" w:after="40"/>
              <w:jc w:val="left"/>
              <w:rPr>
                <w:sz w:val="20"/>
                <w:szCs w:val="20"/>
              </w:rPr>
            </w:pPr>
            <w:r>
              <w:rPr>
                <w:sz w:val="20"/>
                <w:szCs w:val="20"/>
              </w:rPr>
              <w:t>dosud nerealizováno</w:t>
            </w:r>
          </w:p>
        </w:tc>
      </w:tr>
      <w:tr w:rsidR="00654845" w:rsidRPr="00EA304D" w14:paraId="722696F0" w14:textId="77777777" w:rsidTr="00EA304D">
        <w:tc>
          <w:tcPr>
            <w:tcW w:w="1101" w:type="dxa"/>
          </w:tcPr>
          <w:p w14:paraId="7F0383CE" w14:textId="77777777" w:rsidR="00654845" w:rsidRPr="00D47F4C" w:rsidRDefault="00654845"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Z17.4b</w:t>
            </w:r>
          </w:p>
        </w:tc>
        <w:tc>
          <w:tcPr>
            <w:tcW w:w="1984" w:type="dxa"/>
          </w:tcPr>
          <w:p w14:paraId="44E48001" w14:textId="77777777" w:rsidR="00654845" w:rsidRPr="00D47F4C" w:rsidRDefault="00654845"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0D0F7E1C" w14:textId="77777777" w:rsidR="00654845" w:rsidRPr="00D47F4C" w:rsidRDefault="00654845"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0,307</w:t>
            </w:r>
          </w:p>
        </w:tc>
        <w:tc>
          <w:tcPr>
            <w:tcW w:w="1134" w:type="dxa"/>
          </w:tcPr>
          <w:p w14:paraId="2665A02F" w14:textId="77777777" w:rsidR="00654845" w:rsidRPr="00D47F4C" w:rsidRDefault="00654845" w:rsidP="00EA304D">
            <w:pPr>
              <w:pStyle w:val="1text"/>
              <w:spacing w:before="40" w:after="40"/>
              <w:jc w:val="right"/>
              <w:rPr>
                <w:b/>
                <w:sz w:val="20"/>
                <w:szCs w:val="20"/>
              </w:rPr>
            </w:pPr>
            <w:r w:rsidRPr="00D47F4C">
              <w:rPr>
                <w:rFonts w:eastAsia="Times New Roman"/>
                <w:b/>
                <w:sz w:val="20"/>
                <w:szCs w:val="20"/>
                <w:lang w:eastAsia="cs-CZ"/>
              </w:rPr>
              <w:t>0,307</w:t>
            </w:r>
          </w:p>
        </w:tc>
        <w:tc>
          <w:tcPr>
            <w:tcW w:w="3859" w:type="dxa"/>
          </w:tcPr>
          <w:p w14:paraId="23BF04C4" w14:textId="77777777" w:rsidR="00654845" w:rsidRPr="00D47F4C" w:rsidRDefault="00654845" w:rsidP="00EA304D">
            <w:pPr>
              <w:pStyle w:val="1text"/>
              <w:spacing w:before="40" w:after="40"/>
              <w:jc w:val="left"/>
              <w:rPr>
                <w:b/>
                <w:sz w:val="20"/>
                <w:szCs w:val="20"/>
              </w:rPr>
            </w:pPr>
            <w:r w:rsidRPr="00D47F4C">
              <w:rPr>
                <w:b/>
                <w:sz w:val="20"/>
                <w:szCs w:val="20"/>
              </w:rPr>
              <w:t>realizován 1 RD</w:t>
            </w:r>
          </w:p>
        </w:tc>
      </w:tr>
      <w:tr w:rsidR="00D56276" w:rsidRPr="00EA304D" w14:paraId="1AA14820" w14:textId="77777777" w:rsidTr="00EA304D">
        <w:tc>
          <w:tcPr>
            <w:tcW w:w="1101" w:type="dxa"/>
          </w:tcPr>
          <w:p w14:paraId="4D7956D2"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Z18.1</w:t>
            </w:r>
          </w:p>
        </w:tc>
        <w:tc>
          <w:tcPr>
            <w:tcW w:w="1984" w:type="dxa"/>
          </w:tcPr>
          <w:p w14:paraId="430483D7"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1F42A8DF"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0,111</w:t>
            </w:r>
          </w:p>
        </w:tc>
        <w:tc>
          <w:tcPr>
            <w:tcW w:w="1134" w:type="dxa"/>
          </w:tcPr>
          <w:p w14:paraId="5B553DB7"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0,111</w:t>
            </w:r>
          </w:p>
        </w:tc>
        <w:tc>
          <w:tcPr>
            <w:tcW w:w="3859" w:type="dxa"/>
          </w:tcPr>
          <w:p w14:paraId="702D72FD" w14:textId="77777777" w:rsidR="00D56276" w:rsidRPr="00D47F4C" w:rsidRDefault="00D56276" w:rsidP="00D56276">
            <w:pPr>
              <w:pStyle w:val="1text"/>
              <w:spacing w:before="40" w:after="40"/>
              <w:jc w:val="left"/>
              <w:rPr>
                <w:b/>
                <w:sz w:val="20"/>
                <w:szCs w:val="20"/>
              </w:rPr>
            </w:pPr>
            <w:r w:rsidRPr="00D47F4C">
              <w:rPr>
                <w:b/>
                <w:sz w:val="20"/>
                <w:szCs w:val="20"/>
              </w:rPr>
              <w:t>realizován 1 RD s přidruženou občanskou vybaveností</w:t>
            </w:r>
          </w:p>
        </w:tc>
      </w:tr>
      <w:tr w:rsidR="00FD75D1" w:rsidRPr="00EA304D" w14:paraId="046AF95A" w14:textId="77777777" w:rsidTr="00EA304D">
        <w:tc>
          <w:tcPr>
            <w:tcW w:w="1101" w:type="dxa"/>
          </w:tcPr>
          <w:p w14:paraId="3858C2FA" w14:textId="77777777" w:rsidR="00FD75D1" w:rsidRPr="00EA304D" w:rsidRDefault="00FD75D1"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Z18.11</w:t>
            </w:r>
          </w:p>
        </w:tc>
        <w:tc>
          <w:tcPr>
            <w:tcW w:w="1984" w:type="dxa"/>
          </w:tcPr>
          <w:p w14:paraId="403CB202" w14:textId="77777777" w:rsidR="00FD75D1" w:rsidRPr="00EA304D" w:rsidRDefault="00FD75D1"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Donín </w:t>
            </w:r>
          </w:p>
        </w:tc>
        <w:tc>
          <w:tcPr>
            <w:tcW w:w="1134" w:type="dxa"/>
          </w:tcPr>
          <w:p w14:paraId="7385D19D" w14:textId="77777777" w:rsidR="00FD75D1" w:rsidRPr="00EA304D" w:rsidRDefault="00FD75D1"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0,094</w:t>
            </w:r>
          </w:p>
        </w:tc>
        <w:tc>
          <w:tcPr>
            <w:tcW w:w="1134" w:type="dxa"/>
          </w:tcPr>
          <w:p w14:paraId="6FC75A89" w14:textId="77777777" w:rsidR="00FD75D1" w:rsidRPr="00EA304D" w:rsidRDefault="00FD75D1" w:rsidP="00EA304D">
            <w:pPr>
              <w:pStyle w:val="1text"/>
              <w:spacing w:before="40" w:after="40"/>
              <w:jc w:val="right"/>
              <w:rPr>
                <w:sz w:val="20"/>
                <w:szCs w:val="20"/>
              </w:rPr>
            </w:pPr>
            <w:r>
              <w:rPr>
                <w:sz w:val="20"/>
                <w:szCs w:val="20"/>
              </w:rPr>
              <w:t>0</w:t>
            </w:r>
          </w:p>
        </w:tc>
        <w:tc>
          <w:tcPr>
            <w:tcW w:w="3859" w:type="dxa"/>
          </w:tcPr>
          <w:p w14:paraId="4DE92631" w14:textId="77777777" w:rsidR="00FD75D1" w:rsidRPr="00EA304D" w:rsidRDefault="00FD75D1" w:rsidP="00EA304D">
            <w:pPr>
              <w:pStyle w:val="1text"/>
              <w:spacing w:before="40" w:after="40"/>
              <w:jc w:val="left"/>
              <w:rPr>
                <w:sz w:val="20"/>
                <w:szCs w:val="20"/>
              </w:rPr>
            </w:pPr>
            <w:r>
              <w:rPr>
                <w:sz w:val="20"/>
                <w:szCs w:val="20"/>
              </w:rPr>
              <w:t>dosud nerealizováno, zachován objekt občanské vybavenosti</w:t>
            </w:r>
          </w:p>
        </w:tc>
      </w:tr>
      <w:tr w:rsidR="00D56276" w:rsidRPr="00EA304D" w14:paraId="2760324A" w14:textId="77777777" w:rsidTr="00EA304D">
        <w:tc>
          <w:tcPr>
            <w:tcW w:w="1101" w:type="dxa"/>
          </w:tcPr>
          <w:p w14:paraId="16EC931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Z18.3</w:t>
            </w:r>
          </w:p>
        </w:tc>
        <w:tc>
          <w:tcPr>
            <w:tcW w:w="1984" w:type="dxa"/>
          </w:tcPr>
          <w:p w14:paraId="0CD499D4"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531E08C5"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0,326</w:t>
            </w:r>
          </w:p>
        </w:tc>
        <w:tc>
          <w:tcPr>
            <w:tcW w:w="1134" w:type="dxa"/>
          </w:tcPr>
          <w:p w14:paraId="42435498"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0,326</w:t>
            </w:r>
          </w:p>
        </w:tc>
        <w:tc>
          <w:tcPr>
            <w:tcW w:w="3859" w:type="dxa"/>
          </w:tcPr>
          <w:p w14:paraId="2C111BB1" w14:textId="77777777" w:rsidR="00D56276" w:rsidRPr="00D47F4C" w:rsidRDefault="00D56276" w:rsidP="00EA304D">
            <w:pPr>
              <w:pStyle w:val="1text"/>
              <w:spacing w:before="40" w:after="40"/>
              <w:jc w:val="left"/>
              <w:rPr>
                <w:b/>
                <w:sz w:val="20"/>
                <w:szCs w:val="20"/>
              </w:rPr>
            </w:pPr>
            <w:r w:rsidRPr="00D47F4C">
              <w:rPr>
                <w:b/>
                <w:sz w:val="20"/>
                <w:szCs w:val="20"/>
              </w:rPr>
              <w:t>realizován objekt občanské vybavenosti</w:t>
            </w:r>
          </w:p>
        </w:tc>
      </w:tr>
      <w:tr w:rsidR="00D56276" w:rsidRPr="00EA304D" w14:paraId="09A06941" w14:textId="77777777" w:rsidTr="00EA304D">
        <w:tc>
          <w:tcPr>
            <w:tcW w:w="1101" w:type="dxa"/>
          </w:tcPr>
          <w:p w14:paraId="3076045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Z18.6b</w:t>
            </w:r>
          </w:p>
        </w:tc>
        <w:tc>
          <w:tcPr>
            <w:tcW w:w="1984" w:type="dxa"/>
          </w:tcPr>
          <w:p w14:paraId="3A90838C"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55136FD2"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0,060</w:t>
            </w:r>
          </w:p>
        </w:tc>
        <w:tc>
          <w:tcPr>
            <w:tcW w:w="1134" w:type="dxa"/>
          </w:tcPr>
          <w:p w14:paraId="65B59C96" w14:textId="77777777" w:rsidR="00D56276" w:rsidRPr="00EA304D" w:rsidRDefault="00D56276" w:rsidP="00EA304D">
            <w:pPr>
              <w:pStyle w:val="1text"/>
              <w:spacing w:before="40" w:after="40"/>
              <w:jc w:val="right"/>
              <w:rPr>
                <w:sz w:val="20"/>
                <w:szCs w:val="20"/>
              </w:rPr>
            </w:pPr>
            <w:r>
              <w:rPr>
                <w:sz w:val="20"/>
                <w:szCs w:val="20"/>
              </w:rPr>
              <w:t>0,025</w:t>
            </w:r>
          </w:p>
        </w:tc>
        <w:tc>
          <w:tcPr>
            <w:tcW w:w="3859" w:type="dxa"/>
          </w:tcPr>
          <w:p w14:paraId="03450368" w14:textId="77777777" w:rsidR="00D56276" w:rsidRPr="00EA304D" w:rsidRDefault="00D56276" w:rsidP="00EA304D">
            <w:pPr>
              <w:pStyle w:val="1text"/>
              <w:spacing w:before="40" w:after="40"/>
              <w:jc w:val="left"/>
              <w:rPr>
                <w:sz w:val="20"/>
                <w:szCs w:val="20"/>
              </w:rPr>
            </w:pPr>
            <w:r>
              <w:rPr>
                <w:sz w:val="20"/>
                <w:szCs w:val="20"/>
              </w:rPr>
              <w:t>v části realizován 1 RD</w:t>
            </w:r>
          </w:p>
        </w:tc>
      </w:tr>
      <w:tr w:rsidR="00D56276" w:rsidRPr="00EA304D" w14:paraId="5787AE82" w14:textId="77777777" w:rsidTr="00EA304D">
        <w:tc>
          <w:tcPr>
            <w:tcW w:w="1101" w:type="dxa"/>
          </w:tcPr>
          <w:p w14:paraId="69F28621"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Z18.7</w:t>
            </w:r>
          </w:p>
        </w:tc>
        <w:tc>
          <w:tcPr>
            <w:tcW w:w="1984" w:type="dxa"/>
          </w:tcPr>
          <w:p w14:paraId="1810949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4F206181"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0,127</w:t>
            </w:r>
          </w:p>
        </w:tc>
        <w:tc>
          <w:tcPr>
            <w:tcW w:w="1134" w:type="dxa"/>
          </w:tcPr>
          <w:p w14:paraId="2849821C"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27112365" w14:textId="77777777" w:rsidR="00D56276" w:rsidRPr="00EA304D" w:rsidRDefault="00D56276" w:rsidP="00EA304D">
            <w:pPr>
              <w:pStyle w:val="1text"/>
              <w:spacing w:before="40" w:after="40"/>
              <w:jc w:val="left"/>
              <w:rPr>
                <w:sz w:val="20"/>
                <w:szCs w:val="20"/>
              </w:rPr>
            </w:pPr>
            <w:r>
              <w:rPr>
                <w:sz w:val="20"/>
                <w:szCs w:val="20"/>
              </w:rPr>
              <w:t>dosud nerealizováno</w:t>
            </w:r>
          </w:p>
        </w:tc>
      </w:tr>
      <w:tr w:rsidR="00D56276" w:rsidRPr="00EA304D" w14:paraId="7CF633FA" w14:textId="77777777" w:rsidTr="00EA304D">
        <w:tc>
          <w:tcPr>
            <w:tcW w:w="9212" w:type="dxa"/>
            <w:gridSpan w:val="5"/>
            <w:shd w:val="clear" w:color="auto" w:fill="EAF1DD" w:themeFill="accent3" w:themeFillTint="33"/>
          </w:tcPr>
          <w:p w14:paraId="0B3EA2BF" w14:textId="77777777" w:rsidR="00D56276" w:rsidRPr="00EA304D" w:rsidRDefault="00D56276" w:rsidP="00EA304D">
            <w:pPr>
              <w:pStyle w:val="1text"/>
              <w:spacing w:before="40" w:after="40"/>
              <w:jc w:val="left"/>
              <w:rPr>
                <w:sz w:val="20"/>
                <w:szCs w:val="20"/>
              </w:rPr>
            </w:pPr>
            <w:r w:rsidRPr="00EA304D">
              <w:rPr>
                <w:sz w:val="20"/>
                <w:szCs w:val="20"/>
              </w:rPr>
              <w:t>PLOCHY REKREACE</w:t>
            </w:r>
          </w:p>
        </w:tc>
      </w:tr>
      <w:tr w:rsidR="00D56276" w:rsidRPr="00EA304D" w14:paraId="02761FE0" w14:textId="77777777" w:rsidTr="00EA304D">
        <w:tc>
          <w:tcPr>
            <w:tcW w:w="1101" w:type="dxa"/>
          </w:tcPr>
          <w:p w14:paraId="0C34FFAD"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lastRenderedPageBreak/>
              <w:t>44</w:t>
            </w:r>
          </w:p>
        </w:tc>
        <w:tc>
          <w:tcPr>
            <w:tcW w:w="1984" w:type="dxa"/>
          </w:tcPr>
          <w:p w14:paraId="68413B1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984670D"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0,708</w:t>
            </w:r>
          </w:p>
        </w:tc>
        <w:tc>
          <w:tcPr>
            <w:tcW w:w="1134" w:type="dxa"/>
          </w:tcPr>
          <w:p w14:paraId="57723011" w14:textId="77777777" w:rsidR="00D56276" w:rsidRPr="00EA304D" w:rsidRDefault="00D56276" w:rsidP="00EA304D">
            <w:pPr>
              <w:pStyle w:val="1text"/>
              <w:spacing w:before="40" w:after="40"/>
              <w:jc w:val="right"/>
              <w:rPr>
                <w:sz w:val="20"/>
                <w:szCs w:val="20"/>
              </w:rPr>
            </w:pPr>
            <w:r>
              <w:rPr>
                <w:sz w:val="20"/>
                <w:szCs w:val="20"/>
              </w:rPr>
              <w:t>0,505</w:t>
            </w:r>
          </w:p>
        </w:tc>
        <w:tc>
          <w:tcPr>
            <w:tcW w:w="3859" w:type="dxa"/>
          </w:tcPr>
          <w:p w14:paraId="52AAEDEB" w14:textId="77777777" w:rsidR="00D56276" w:rsidRPr="00EA304D" w:rsidRDefault="00D56276" w:rsidP="00C03120">
            <w:pPr>
              <w:pStyle w:val="1text"/>
              <w:spacing w:before="40" w:after="40"/>
              <w:jc w:val="left"/>
              <w:rPr>
                <w:sz w:val="20"/>
                <w:szCs w:val="20"/>
              </w:rPr>
            </w:pPr>
            <w:r>
              <w:rPr>
                <w:sz w:val="20"/>
                <w:szCs w:val="20"/>
              </w:rPr>
              <w:t>převážně realizováno, zbývající část plochy pro zástavbu nevhodná (PUPFL, krajinná zeleň)</w:t>
            </w:r>
          </w:p>
        </w:tc>
      </w:tr>
      <w:tr w:rsidR="00D56276" w:rsidRPr="00EA304D" w14:paraId="3A6C539A" w14:textId="77777777" w:rsidTr="00EA304D">
        <w:tc>
          <w:tcPr>
            <w:tcW w:w="1101" w:type="dxa"/>
          </w:tcPr>
          <w:p w14:paraId="08B17D24"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45</w:t>
            </w:r>
          </w:p>
        </w:tc>
        <w:tc>
          <w:tcPr>
            <w:tcW w:w="1984" w:type="dxa"/>
          </w:tcPr>
          <w:p w14:paraId="1C1A7A5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3ED519AB"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0,612</w:t>
            </w:r>
          </w:p>
        </w:tc>
        <w:tc>
          <w:tcPr>
            <w:tcW w:w="1134" w:type="dxa"/>
          </w:tcPr>
          <w:p w14:paraId="10468230"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0,612</w:t>
            </w:r>
          </w:p>
        </w:tc>
        <w:tc>
          <w:tcPr>
            <w:tcW w:w="3859" w:type="dxa"/>
          </w:tcPr>
          <w:p w14:paraId="7BFD2B20"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249F49FA" w14:textId="77777777" w:rsidTr="00EA304D">
        <w:tc>
          <w:tcPr>
            <w:tcW w:w="1101" w:type="dxa"/>
          </w:tcPr>
          <w:p w14:paraId="68D000DA"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66</w:t>
            </w:r>
          </w:p>
        </w:tc>
        <w:tc>
          <w:tcPr>
            <w:tcW w:w="1984" w:type="dxa"/>
          </w:tcPr>
          <w:p w14:paraId="0EBD971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1A5A3CC7" w14:textId="77777777" w:rsidR="00D56276" w:rsidRPr="00EA304D" w:rsidRDefault="00D56276" w:rsidP="00EA304D">
            <w:pPr>
              <w:pStyle w:val="1text"/>
              <w:spacing w:before="40" w:after="40"/>
              <w:jc w:val="right"/>
              <w:rPr>
                <w:sz w:val="20"/>
                <w:szCs w:val="20"/>
              </w:rPr>
            </w:pPr>
            <w:r>
              <w:rPr>
                <w:sz w:val="20"/>
                <w:szCs w:val="20"/>
              </w:rPr>
              <w:t>1,557</w:t>
            </w:r>
          </w:p>
        </w:tc>
        <w:tc>
          <w:tcPr>
            <w:tcW w:w="1134" w:type="dxa"/>
          </w:tcPr>
          <w:p w14:paraId="12DA5598"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5D125DA4"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21553103" w14:textId="77777777" w:rsidTr="00EA304D">
        <w:tc>
          <w:tcPr>
            <w:tcW w:w="1101" w:type="dxa"/>
          </w:tcPr>
          <w:p w14:paraId="0DE5B6CB" w14:textId="77777777" w:rsidR="00D56276" w:rsidRPr="00EA304D" w:rsidRDefault="00D56276" w:rsidP="00B90E0C">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102 </w:t>
            </w:r>
          </w:p>
        </w:tc>
        <w:tc>
          <w:tcPr>
            <w:tcW w:w="1984" w:type="dxa"/>
          </w:tcPr>
          <w:p w14:paraId="40A23B59"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ACBA89D" w14:textId="77777777" w:rsidR="00D56276" w:rsidRPr="00F61608" w:rsidRDefault="00D56276" w:rsidP="00EA304D">
            <w:pPr>
              <w:pStyle w:val="1text"/>
              <w:spacing w:before="40" w:after="40"/>
              <w:jc w:val="right"/>
              <w:rPr>
                <w:sz w:val="20"/>
                <w:szCs w:val="20"/>
              </w:rPr>
            </w:pPr>
            <w:r w:rsidRPr="00F61608">
              <w:rPr>
                <w:sz w:val="20"/>
                <w:szCs w:val="20"/>
              </w:rPr>
              <w:t>0,921</w:t>
            </w:r>
          </w:p>
        </w:tc>
        <w:tc>
          <w:tcPr>
            <w:tcW w:w="1134" w:type="dxa"/>
          </w:tcPr>
          <w:p w14:paraId="62105C5C" w14:textId="77777777" w:rsidR="00D56276" w:rsidRPr="00EA304D" w:rsidRDefault="00D56276" w:rsidP="00EA304D">
            <w:pPr>
              <w:pStyle w:val="1text"/>
              <w:spacing w:before="40" w:after="40"/>
              <w:jc w:val="right"/>
              <w:rPr>
                <w:sz w:val="20"/>
                <w:szCs w:val="20"/>
                <w:highlight w:val="green"/>
              </w:rPr>
            </w:pPr>
            <w:r w:rsidRPr="00096F41">
              <w:rPr>
                <w:sz w:val="20"/>
                <w:szCs w:val="20"/>
              </w:rPr>
              <w:t>0</w:t>
            </w:r>
          </w:p>
        </w:tc>
        <w:tc>
          <w:tcPr>
            <w:tcW w:w="3859" w:type="dxa"/>
          </w:tcPr>
          <w:p w14:paraId="28B420A5" w14:textId="77777777" w:rsidR="00D56276" w:rsidRPr="00EA304D" w:rsidRDefault="00D56276" w:rsidP="00EA304D">
            <w:pPr>
              <w:pStyle w:val="1text"/>
              <w:spacing w:before="40" w:after="40"/>
              <w:jc w:val="left"/>
              <w:rPr>
                <w:sz w:val="20"/>
                <w:szCs w:val="20"/>
                <w:highlight w:val="green"/>
              </w:rPr>
            </w:pPr>
            <w:r w:rsidRPr="00EA304D">
              <w:rPr>
                <w:sz w:val="20"/>
                <w:szCs w:val="20"/>
              </w:rPr>
              <w:t>nerealizováno, změna koncepce</w:t>
            </w:r>
          </w:p>
        </w:tc>
      </w:tr>
      <w:tr w:rsidR="00D56276" w:rsidRPr="00EA304D" w14:paraId="2792495C" w14:textId="77777777" w:rsidTr="00EA304D">
        <w:tc>
          <w:tcPr>
            <w:tcW w:w="1101" w:type="dxa"/>
          </w:tcPr>
          <w:p w14:paraId="5C45F61D"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104</w:t>
            </w:r>
          </w:p>
        </w:tc>
        <w:tc>
          <w:tcPr>
            <w:tcW w:w="1984" w:type="dxa"/>
          </w:tcPr>
          <w:p w14:paraId="02FF8EF4"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211BE702" w14:textId="77777777" w:rsidR="00D56276" w:rsidRPr="00D47F4C" w:rsidRDefault="00D56276" w:rsidP="00EA304D">
            <w:pPr>
              <w:pStyle w:val="1text"/>
              <w:spacing w:before="40" w:after="40"/>
              <w:jc w:val="right"/>
              <w:rPr>
                <w:b/>
                <w:sz w:val="20"/>
                <w:szCs w:val="20"/>
              </w:rPr>
            </w:pPr>
            <w:r w:rsidRPr="00D47F4C">
              <w:rPr>
                <w:b/>
                <w:sz w:val="20"/>
                <w:szCs w:val="20"/>
              </w:rPr>
              <w:t>1,579</w:t>
            </w:r>
          </w:p>
        </w:tc>
        <w:tc>
          <w:tcPr>
            <w:tcW w:w="1134" w:type="dxa"/>
          </w:tcPr>
          <w:p w14:paraId="4679EC54" w14:textId="77777777" w:rsidR="00D56276" w:rsidRPr="00D47F4C" w:rsidRDefault="00D56276" w:rsidP="00EA304D">
            <w:pPr>
              <w:pStyle w:val="1text"/>
              <w:spacing w:before="40" w:after="40"/>
              <w:jc w:val="right"/>
              <w:rPr>
                <w:b/>
                <w:sz w:val="20"/>
                <w:szCs w:val="20"/>
              </w:rPr>
            </w:pPr>
            <w:r w:rsidRPr="00D47F4C">
              <w:rPr>
                <w:b/>
                <w:sz w:val="20"/>
                <w:szCs w:val="20"/>
              </w:rPr>
              <w:t>1,579</w:t>
            </w:r>
          </w:p>
        </w:tc>
        <w:tc>
          <w:tcPr>
            <w:tcW w:w="3859" w:type="dxa"/>
          </w:tcPr>
          <w:p w14:paraId="4E6C30A0" w14:textId="77777777" w:rsidR="00D56276" w:rsidRPr="00D47F4C" w:rsidRDefault="00D56276" w:rsidP="00F61608">
            <w:pPr>
              <w:pStyle w:val="1text"/>
              <w:spacing w:before="40" w:after="40"/>
              <w:jc w:val="left"/>
              <w:rPr>
                <w:b/>
                <w:sz w:val="20"/>
                <w:szCs w:val="20"/>
              </w:rPr>
            </w:pPr>
            <w:r w:rsidRPr="00D47F4C">
              <w:rPr>
                <w:b/>
                <w:sz w:val="20"/>
                <w:szCs w:val="20"/>
              </w:rPr>
              <w:t>plocha využita pro hromadnou rekreaci</w:t>
            </w:r>
          </w:p>
        </w:tc>
      </w:tr>
      <w:tr w:rsidR="00D56276" w:rsidRPr="00EA304D" w14:paraId="217D667D" w14:textId="77777777" w:rsidTr="00EA304D">
        <w:tc>
          <w:tcPr>
            <w:tcW w:w="1101" w:type="dxa"/>
          </w:tcPr>
          <w:p w14:paraId="3215231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105</w:t>
            </w:r>
          </w:p>
        </w:tc>
        <w:tc>
          <w:tcPr>
            <w:tcW w:w="1984" w:type="dxa"/>
          </w:tcPr>
          <w:p w14:paraId="6FF00CE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72D1605" w14:textId="77777777" w:rsidR="00D56276" w:rsidRPr="00EA304D" w:rsidRDefault="00D56276" w:rsidP="00EA304D">
            <w:pPr>
              <w:pStyle w:val="1text"/>
              <w:spacing w:before="40" w:after="40"/>
              <w:jc w:val="right"/>
              <w:rPr>
                <w:sz w:val="20"/>
                <w:szCs w:val="20"/>
              </w:rPr>
            </w:pPr>
            <w:r>
              <w:rPr>
                <w:sz w:val="20"/>
                <w:szCs w:val="20"/>
              </w:rPr>
              <w:t>6,134</w:t>
            </w:r>
          </w:p>
        </w:tc>
        <w:tc>
          <w:tcPr>
            <w:tcW w:w="1134" w:type="dxa"/>
          </w:tcPr>
          <w:p w14:paraId="47B2BEEB"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2F5315F0"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24E04325" w14:textId="77777777" w:rsidTr="00EA304D">
        <w:tc>
          <w:tcPr>
            <w:tcW w:w="1101" w:type="dxa"/>
          </w:tcPr>
          <w:p w14:paraId="62D19C21"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120</w:t>
            </w:r>
          </w:p>
        </w:tc>
        <w:tc>
          <w:tcPr>
            <w:tcW w:w="1984" w:type="dxa"/>
          </w:tcPr>
          <w:p w14:paraId="1E5F8C36"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5292AE83"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1,153</w:t>
            </w:r>
          </w:p>
        </w:tc>
        <w:tc>
          <w:tcPr>
            <w:tcW w:w="1134" w:type="dxa"/>
          </w:tcPr>
          <w:p w14:paraId="603DA896"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387969E5"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48FB1E55" w14:textId="77777777" w:rsidTr="00EA304D">
        <w:tc>
          <w:tcPr>
            <w:tcW w:w="1101" w:type="dxa"/>
          </w:tcPr>
          <w:p w14:paraId="4A7CAAD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Z12.28</w:t>
            </w:r>
          </w:p>
        </w:tc>
        <w:tc>
          <w:tcPr>
            <w:tcW w:w="1984" w:type="dxa"/>
          </w:tcPr>
          <w:p w14:paraId="2BB225F6"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C6728E1" w14:textId="77777777" w:rsidR="00D56276" w:rsidRPr="00EA304D" w:rsidRDefault="00D56276" w:rsidP="00EA304D">
            <w:pPr>
              <w:pStyle w:val="1text"/>
              <w:spacing w:before="40" w:after="40"/>
              <w:jc w:val="right"/>
              <w:rPr>
                <w:sz w:val="20"/>
                <w:szCs w:val="20"/>
              </w:rPr>
            </w:pPr>
            <w:r>
              <w:rPr>
                <w:sz w:val="20"/>
                <w:szCs w:val="20"/>
              </w:rPr>
              <w:t>2,167</w:t>
            </w:r>
          </w:p>
        </w:tc>
        <w:tc>
          <w:tcPr>
            <w:tcW w:w="1134" w:type="dxa"/>
          </w:tcPr>
          <w:p w14:paraId="4C9829C3"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0486F895"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192D4BC2" w14:textId="77777777" w:rsidTr="00EA304D">
        <w:tc>
          <w:tcPr>
            <w:tcW w:w="1101" w:type="dxa"/>
          </w:tcPr>
          <w:p w14:paraId="64C7712D"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Z12.29</w:t>
            </w:r>
          </w:p>
        </w:tc>
        <w:tc>
          <w:tcPr>
            <w:tcW w:w="1984" w:type="dxa"/>
          </w:tcPr>
          <w:p w14:paraId="524DC46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0C759E2F" w14:textId="77777777" w:rsidR="00D56276" w:rsidRPr="00D47F4C" w:rsidRDefault="00D56276" w:rsidP="00EA304D">
            <w:pPr>
              <w:pStyle w:val="1text"/>
              <w:spacing w:before="40" w:after="40"/>
              <w:jc w:val="right"/>
              <w:rPr>
                <w:b/>
                <w:sz w:val="20"/>
                <w:szCs w:val="20"/>
              </w:rPr>
            </w:pPr>
            <w:r w:rsidRPr="00D47F4C">
              <w:rPr>
                <w:b/>
                <w:sz w:val="20"/>
                <w:szCs w:val="20"/>
              </w:rPr>
              <w:t>1,340</w:t>
            </w:r>
          </w:p>
        </w:tc>
        <w:tc>
          <w:tcPr>
            <w:tcW w:w="1134" w:type="dxa"/>
          </w:tcPr>
          <w:p w14:paraId="17422BF8" w14:textId="77777777" w:rsidR="00D56276" w:rsidRPr="00D47F4C" w:rsidRDefault="00D56276" w:rsidP="00EA304D">
            <w:pPr>
              <w:pStyle w:val="1text"/>
              <w:spacing w:before="40" w:after="40"/>
              <w:jc w:val="right"/>
              <w:rPr>
                <w:b/>
                <w:sz w:val="20"/>
                <w:szCs w:val="20"/>
              </w:rPr>
            </w:pPr>
            <w:r w:rsidRPr="00D47F4C">
              <w:rPr>
                <w:b/>
                <w:sz w:val="20"/>
                <w:szCs w:val="20"/>
              </w:rPr>
              <w:t>1,340</w:t>
            </w:r>
          </w:p>
        </w:tc>
        <w:tc>
          <w:tcPr>
            <w:tcW w:w="3859" w:type="dxa"/>
          </w:tcPr>
          <w:p w14:paraId="609D9A17" w14:textId="77777777" w:rsidR="00D56276" w:rsidRPr="00D47F4C" w:rsidRDefault="00D56276" w:rsidP="00EA304D">
            <w:pPr>
              <w:pStyle w:val="1text"/>
              <w:spacing w:before="40" w:after="40"/>
              <w:jc w:val="left"/>
              <w:rPr>
                <w:b/>
                <w:sz w:val="20"/>
                <w:szCs w:val="20"/>
              </w:rPr>
            </w:pPr>
            <w:r w:rsidRPr="00D47F4C">
              <w:rPr>
                <w:b/>
                <w:sz w:val="20"/>
                <w:szCs w:val="20"/>
              </w:rPr>
              <w:t>v ploše realizována zahrádková osada a kynologické cvičiště</w:t>
            </w:r>
          </w:p>
        </w:tc>
      </w:tr>
      <w:tr w:rsidR="00D56276" w:rsidRPr="00EA304D" w14:paraId="5A5C2A57" w14:textId="77777777" w:rsidTr="00EA304D">
        <w:tc>
          <w:tcPr>
            <w:tcW w:w="9212" w:type="dxa"/>
            <w:gridSpan w:val="5"/>
            <w:shd w:val="clear" w:color="auto" w:fill="EAF1DD" w:themeFill="accent3" w:themeFillTint="33"/>
          </w:tcPr>
          <w:p w14:paraId="79C01E6D" w14:textId="77777777" w:rsidR="00D56276" w:rsidRPr="00EA304D" w:rsidRDefault="00D56276" w:rsidP="00EA304D">
            <w:pPr>
              <w:pStyle w:val="1text"/>
              <w:spacing w:before="40" w:after="40"/>
              <w:jc w:val="left"/>
              <w:rPr>
                <w:sz w:val="20"/>
                <w:szCs w:val="20"/>
              </w:rPr>
            </w:pPr>
            <w:r w:rsidRPr="00EA304D">
              <w:rPr>
                <w:sz w:val="20"/>
                <w:szCs w:val="20"/>
              </w:rPr>
              <w:t>PLOCHY OBČANSKÉHO VYBAVENÍ</w:t>
            </w:r>
          </w:p>
        </w:tc>
      </w:tr>
      <w:tr w:rsidR="00D56276" w:rsidRPr="00EA304D" w14:paraId="67D61116" w14:textId="77777777" w:rsidTr="00EA304D">
        <w:tc>
          <w:tcPr>
            <w:tcW w:w="1101" w:type="dxa"/>
          </w:tcPr>
          <w:p w14:paraId="1CD1376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w:t>
            </w:r>
          </w:p>
        </w:tc>
        <w:tc>
          <w:tcPr>
            <w:tcW w:w="1984" w:type="dxa"/>
          </w:tcPr>
          <w:p w14:paraId="2148390D"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AC16323" w14:textId="77777777" w:rsidR="00D56276" w:rsidRPr="00096F41" w:rsidRDefault="00D56276" w:rsidP="00EA304D">
            <w:pPr>
              <w:pStyle w:val="1text"/>
              <w:spacing w:before="40" w:after="40"/>
              <w:jc w:val="right"/>
              <w:rPr>
                <w:sz w:val="20"/>
                <w:szCs w:val="20"/>
              </w:rPr>
            </w:pPr>
            <w:r>
              <w:rPr>
                <w:sz w:val="20"/>
                <w:szCs w:val="20"/>
              </w:rPr>
              <w:t>0,142</w:t>
            </w:r>
          </w:p>
        </w:tc>
        <w:tc>
          <w:tcPr>
            <w:tcW w:w="1134" w:type="dxa"/>
          </w:tcPr>
          <w:p w14:paraId="1805377E" w14:textId="77777777" w:rsidR="00D56276" w:rsidRPr="00096F41" w:rsidRDefault="00D56276" w:rsidP="00EA304D">
            <w:pPr>
              <w:pStyle w:val="1text"/>
              <w:spacing w:before="40" w:after="40"/>
              <w:jc w:val="right"/>
              <w:rPr>
                <w:sz w:val="20"/>
                <w:szCs w:val="20"/>
              </w:rPr>
            </w:pPr>
            <w:r w:rsidRPr="00096F41">
              <w:rPr>
                <w:sz w:val="20"/>
                <w:szCs w:val="20"/>
              </w:rPr>
              <w:t>0</w:t>
            </w:r>
          </w:p>
        </w:tc>
        <w:tc>
          <w:tcPr>
            <w:tcW w:w="3859" w:type="dxa"/>
          </w:tcPr>
          <w:p w14:paraId="1B2EA754" w14:textId="77777777" w:rsidR="00D56276" w:rsidRPr="00EA304D" w:rsidRDefault="00D56276" w:rsidP="00EA304D">
            <w:pPr>
              <w:pStyle w:val="1text"/>
              <w:spacing w:before="40" w:after="40"/>
              <w:jc w:val="left"/>
              <w:rPr>
                <w:sz w:val="20"/>
                <w:szCs w:val="20"/>
                <w:highlight w:val="green"/>
              </w:rPr>
            </w:pPr>
            <w:r w:rsidRPr="00EA304D">
              <w:rPr>
                <w:sz w:val="20"/>
                <w:szCs w:val="20"/>
              </w:rPr>
              <w:t>nerealizováno, změna koncepce</w:t>
            </w:r>
          </w:p>
        </w:tc>
      </w:tr>
      <w:tr w:rsidR="00D56276" w:rsidRPr="00EA304D" w14:paraId="2221CEF9" w14:textId="77777777" w:rsidTr="00EA304D">
        <w:tc>
          <w:tcPr>
            <w:tcW w:w="1101" w:type="dxa"/>
          </w:tcPr>
          <w:p w14:paraId="1A5A7573"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37</w:t>
            </w:r>
          </w:p>
        </w:tc>
        <w:tc>
          <w:tcPr>
            <w:tcW w:w="1984" w:type="dxa"/>
          </w:tcPr>
          <w:p w14:paraId="1B588B4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EE4F09A" w14:textId="77777777" w:rsidR="00D56276" w:rsidRPr="0024290B" w:rsidRDefault="00D56276" w:rsidP="00EA304D">
            <w:pPr>
              <w:pStyle w:val="1text"/>
              <w:spacing w:before="40" w:after="40"/>
              <w:jc w:val="right"/>
              <w:rPr>
                <w:sz w:val="20"/>
                <w:szCs w:val="20"/>
                <w:highlight w:val="yellow"/>
              </w:rPr>
            </w:pPr>
            <w:r>
              <w:rPr>
                <w:sz w:val="20"/>
                <w:szCs w:val="20"/>
              </w:rPr>
              <w:t>0,338</w:t>
            </w:r>
          </w:p>
        </w:tc>
        <w:tc>
          <w:tcPr>
            <w:tcW w:w="1134" w:type="dxa"/>
          </w:tcPr>
          <w:p w14:paraId="1FEEFF71"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2ECA4E12" w14:textId="77777777" w:rsidR="00D56276" w:rsidRPr="00EA304D" w:rsidRDefault="00D56276" w:rsidP="00EA304D">
            <w:pPr>
              <w:pStyle w:val="1text"/>
              <w:spacing w:before="40" w:after="40"/>
              <w:jc w:val="left"/>
              <w:rPr>
                <w:sz w:val="20"/>
                <w:szCs w:val="20"/>
              </w:rPr>
            </w:pPr>
            <w:r>
              <w:rPr>
                <w:sz w:val="20"/>
                <w:szCs w:val="20"/>
              </w:rPr>
              <w:t xml:space="preserve">dosud </w:t>
            </w:r>
            <w:r w:rsidRPr="00EA304D">
              <w:rPr>
                <w:sz w:val="20"/>
                <w:szCs w:val="20"/>
              </w:rPr>
              <w:t>nerealizováno</w:t>
            </w:r>
          </w:p>
        </w:tc>
      </w:tr>
      <w:tr w:rsidR="00D56276" w:rsidRPr="00EA304D" w14:paraId="6B778BC9" w14:textId="77777777" w:rsidTr="00EA304D">
        <w:tc>
          <w:tcPr>
            <w:tcW w:w="1101" w:type="dxa"/>
          </w:tcPr>
          <w:p w14:paraId="060DF669"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56</w:t>
            </w:r>
          </w:p>
        </w:tc>
        <w:tc>
          <w:tcPr>
            <w:tcW w:w="1984" w:type="dxa"/>
          </w:tcPr>
          <w:p w14:paraId="60B2C65A"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45704AFA"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0,919</w:t>
            </w:r>
          </w:p>
        </w:tc>
        <w:tc>
          <w:tcPr>
            <w:tcW w:w="1134" w:type="dxa"/>
          </w:tcPr>
          <w:p w14:paraId="7FF94251"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1872140A" w14:textId="77777777" w:rsidR="00D56276" w:rsidRPr="00EA304D" w:rsidRDefault="00D56276" w:rsidP="00EA304D">
            <w:pPr>
              <w:pStyle w:val="1text"/>
              <w:spacing w:before="40" w:after="40"/>
              <w:jc w:val="left"/>
              <w:rPr>
                <w:sz w:val="20"/>
                <w:szCs w:val="20"/>
              </w:rPr>
            </w:pPr>
            <w:r>
              <w:rPr>
                <w:sz w:val="20"/>
                <w:szCs w:val="20"/>
              </w:rPr>
              <w:t xml:space="preserve">dosud </w:t>
            </w:r>
            <w:r w:rsidRPr="00EA304D">
              <w:rPr>
                <w:sz w:val="20"/>
                <w:szCs w:val="20"/>
              </w:rPr>
              <w:t>nerealizováno</w:t>
            </w:r>
          </w:p>
        </w:tc>
      </w:tr>
      <w:tr w:rsidR="00D56276" w:rsidRPr="00EA304D" w14:paraId="2C71435A" w14:textId="77777777" w:rsidTr="00EA304D">
        <w:tc>
          <w:tcPr>
            <w:tcW w:w="1101" w:type="dxa"/>
          </w:tcPr>
          <w:p w14:paraId="643A9B26" w14:textId="77777777" w:rsidR="00D56276" w:rsidRPr="00EA304D" w:rsidRDefault="00D56276" w:rsidP="00B90E0C">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101 </w:t>
            </w:r>
          </w:p>
        </w:tc>
        <w:tc>
          <w:tcPr>
            <w:tcW w:w="1984" w:type="dxa"/>
          </w:tcPr>
          <w:p w14:paraId="375EE7D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4EF0A6DA"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2,615</w:t>
            </w:r>
          </w:p>
        </w:tc>
        <w:tc>
          <w:tcPr>
            <w:tcW w:w="1134" w:type="dxa"/>
          </w:tcPr>
          <w:p w14:paraId="013DD62F" w14:textId="77777777" w:rsidR="00D56276" w:rsidRPr="00EA304D" w:rsidRDefault="00D56276" w:rsidP="00EA304D">
            <w:pPr>
              <w:pStyle w:val="1text"/>
              <w:spacing w:before="40" w:after="40"/>
              <w:jc w:val="right"/>
              <w:rPr>
                <w:sz w:val="20"/>
                <w:szCs w:val="20"/>
                <w:highlight w:val="green"/>
              </w:rPr>
            </w:pPr>
            <w:r w:rsidRPr="00096F41">
              <w:rPr>
                <w:sz w:val="20"/>
                <w:szCs w:val="20"/>
              </w:rPr>
              <w:t>0</w:t>
            </w:r>
          </w:p>
        </w:tc>
        <w:tc>
          <w:tcPr>
            <w:tcW w:w="3859" w:type="dxa"/>
          </w:tcPr>
          <w:p w14:paraId="3C4E8C83" w14:textId="77777777" w:rsidR="00D56276" w:rsidRPr="00EA304D" w:rsidRDefault="00D56276" w:rsidP="00EA304D">
            <w:pPr>
              <w:pStyle w:val="1text"/>
              <w:spacing w:before="40" w:after="40"/>
              <w:jc w:val="left"/>
              <w:rPr>
                <w:sz w:val="20"/>
                <w:szCs w:val="20"/>
                <w:highlight w:val="green"/>
              </w:rPr>
            </w:pPr>
            <w:r w:rsidRPr="00EA304D">
              <w:rPr>
                <w:sz w:val="20"/>
                <w:szCs w:val="20"/>
              </w:rPr>
              <w:t>nerealizováno, změna koncepce</w:t>
            </w:r>
          </w:p>
        </w:tc>
      </w:tr>
      <w:tr w:rsidR="00D56276" w:rsidRPr="00EA304D" w14:paraId="1978C548" w14:textId="77777777" w:rsidTr="00EA304D">
        <w:tc>
          <w:tcPr>
            <w:tcW w:w="1101" w:type="dxa"/>
          </w:tcPr>
          <w:p w14:paraId="103196C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110</w:t>
            </w:r>
          </w:p>
        </w:tc>
        <w:tc>
          <w:tcPr>
            <w:tcW w:w="1984" w:type="dxa"/>
          </w:tcPr>
          <w:p w14:paraId="597159C1"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C8D33AD"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0,951</w:t>
            </w:r>
          </w:p>
        </w:tc>
        <w:tc>
          <w:tcPr>
            <w:tcW w:w="1134" w:type="dxa"/>
          </w:tcPr>
          <w:p w14:paraId="000469A4"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44555A5F"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35BD4C8B" w14:textId="77777777" w:rsidTr="00EA304D">
        <w:tc>
          <w:tcPr>
            <w:tcW w:w="1101" w:type="dxa"/>
          </w:tcPr>
          <w:p w14:paraId="4935298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111</w:t>
            </w:r>
          </w:p>
        </w:tc>
        <w:tc>
          <w:tcPr>
            <w:tcW w:w="1984" w:type="dxa"/>
          </w:tcPr>
          <w:p w14:paraId="17872019"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35E722D1"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1,778</w:t>
            </w:r>
          </w:p>
        </w:tc>
        <w:tc>
          <w:tcPr>
            <w:tcW w:w="1134" w:type="dxa"/>
          </w:tcPr>
          <w:p w14:paraId="7F2F8D8E"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5E56746C"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1CD62020" w14:textId="77777777" w:rsidTr="00EA304D">
        <w:tc>
          <w:tcPr>
            <w:tcW w:w="1101" w:type="dxa"/>
          </w:tcPr>
          <w:p w14:paraId="3A2E4D4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121</w:t>
            </w:r>
          </w:p>
        </w:tc>
        <w:tc>
          <w:tcPr>
            <w:tcW w:w="1984" w:type="dxa"/>
          </w:tcPr>
          <w:p w14:paraId="1D56B1D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1F28A23"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0,399</w:t>
            </w:r>
          </w:p>
        </w:tc>
        <w:tc>
          <w:tcPr>
            <w:tcW w:w="1134" w:type="dxa"/>
          </w:tcPr>
          <w:p w14:paraId="70AA172F"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4848684D"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02C13778" w14:textId="77777777" w:rsidTr="00EA304D">
        <w:tc>
          <w:tcPr>
            <w:tcW w:w="1101" w:type="dxa"/>
          </w:tcPr>
          <w:p w14:paraId="5D9B306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157</w:t>
            </w:r>
          </w:p>
        </w:tc>
        <w:tc>
          <w:tcPr>
            <w:tcW w:w="1984" w:type="dxa"/>
          </w:tcPr>
          <w:p w14:paraId="259CFC3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1285B709"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0,621</w:t>
            </w:r>
          </w:p>
        </w:tc>
        <w:tc>
          <w:tcPr>
            <w:tcW w:w="1134" w:type="dxa"/>
          </w:tcPr>
          <w:p w14:paraId="2ECB85F3" w14:textId="77777777" w:rsidR="00D56276" w:rsidRPr="00096F41" w:rsidRDefault="00D56276" w:rsidP="00CC3B3F">
            <w:pPr>
              <w:pStyle w:val="1text"/>
              <w:spacing w:before="40" w:after="40"/>
              <w:jc w:val="right"/>
              <w:rPr>
                <w:sz w:val="20"/>
                <w:szCs w:val="20"/>
              </w:rPr>
            </w:pPr>
            <w:r w:rsidRPr="00096F41">
              <w:rPr>
                <w:sz w:val="20"/>
                <w:szCs w:val="20"/>
              </w:rPr>
              <w:t>0</w:t>
            </w:r>
          </w:p>
        </w:tc>
        <w:tc>
          <w:tcPr>
            <w:tcW w:w="3859" w:type="dxa"/>
          </w:tcPr>
          <w:p w14:paraId="50DE7F29" w14:textId="77777777" w:rsidR="00D56276" w:rsidRPr="00EA304D" w:rsidRDefault="00D56276" w:rsidP="00BF6F34">
            <w:pPr>
              <w:pStyle w:val="1text"/>
              <w:spacing w:before="40" w:after="40"/>
              <w:jc w:val="left"/>
              <w:rPr>
                <w:sz w:val="20"/>
                <w:szCs w:val="20"/>
                <w:highlight w:val="green"/>
              </w:rPr>
            </w:pPr>
            <w:r>
              <w:rPr>
                <w:sz w:val="20"/>
                <w:szCs w:val="20"/>
              </w:rPr>
              <w:t xml:space="preserve">dosud </w:t>
            </w:r>
            <w:r w:rsidRPr="00EA304D">
              <w:rPr>
                <w:sz w:val="20"/>
                <w:szCs w:val="20"/>
              </w:rPr>
              <w:t>nerealizováno</w:t>
            </w:r>
          </w:p>
        </w:tc>
      </w:tr>
      <w:tr w:rsidR="00D56276" w:rsidRPr="00EA304D" w14:paraId="14C9EEA6" w14:textId="77777777" w:rsidTr="00EA304D">
        <w:tc>
          <w:tcPr>
            <w:tcW w:w="1101" w:type="dxa"/>
          </w:tcPr>
          <w:p w14:paraId="49799577" w14:textId="77777777" w:rsidR="00D56276" w:rsidRPr="00EA304D" w:rsidRDefault="00D56276" w:rsidP="00B90E0C">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200 </w:t>
            </w:r>
          </w:p>
        </w:tc>
        <w:tc>
          <w:tcPr>
            <w:tcW w:w="1984" w:type="dxa"/>
          </w:tcPr>
          <w:p w14:paraId="5867C9C7"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20B4B614"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0,224</w:t>
            </w:r>
          </w:p>
        </w:tc>
        <w:tc>
          <w:tcPr>
            <w:tcW w:w="1134" w:type="dxa"/>
          </w:tcPr>
          <w:p w14:paraId="4FB9EE7D"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2AFF075B"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3625B9A8" w14:textId="77777777" w:rsidTr="00EA304D">
        <w:tc>
          <w:tcPr>
            <w:tcW w:w="1101" w:type="dxa"/>
          </w:tcPr>
          <w:p w14:paraId="21D51FD0"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Z3/1</w:t>
            </w:r>
          </w:p>
        </w:tc>
        <w:tc>
          <w:tcPr>
            <w:tcW w:w="1984" w:type="dxa"/>
          </w:tcPr>
          <w:p w14:paraId="0832294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Donín</w:t>
            </w:r>
          </w:p>
        </w:tc>
        <w:tc>
          <w:tcPr>
            <w:tcW w:w="1134" w:type="dxa"/>
          </w:tcPr>
          <w:p w14:paraId="07677EC4"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1,748</w:t>
            </w:r>
          </w:p>
        </w:tc>
        <w:tc>
          <w:tcPr>
            <w:tcW w:w="1134" w:type="dxa"/>
          </w:tcPr>
          <w:p w14:paraId="2876C81F" w14:textId="77777777" w:rsidR="00D56276" w:rsidRPr="00EA304D" w:rsidRDefault="00D56276" w:rsidP="00EA304D">
            <w:pPr>
              <w:pStyle w:val="1text"/>
              <w:spacing w:before="40" w:after="40"/>
              <w:jc w:val="right"/>
              <w:rPr>
                <w:sz w:val="20"/>
                <w:szCs w:val="20"/>
              </w:rPr>
            </w:pPr>
            <w:r w:rsidRPr="00096F41">
              <w:rPr>
                <w:sz w:val="20"/>
                <w:szCs w:val="20"/>
              </w:rPr>
              <w:t>0</w:t>
            </w:r>
          </w:p>
        </w:tc>
        <w:tc>
          <w:tcPr>
            <w:tcW w:w="3859" w:type="dxa"/>
          </w:tcPr>
          <w:p w14:paraId="6FE81976"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742DE26C" w14:textId="77777777" w:rsidTr="00EA304D">
        <w:tc>
          <w:tcPr>
            <w:tcW w:w="1101" w:type="dxa"/>
          </w:tcPr>
          <w:p w14:paraId="60502A30"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Z12.30</w:t>
            </w:r>
          </w:p>
        </w:tc>
        <w:tc>
          <w:tcPr>
            <w:tcW w:w="1984" w:type="dxa"/>
          </w:tcPr>
          <w:p w14:paraId="7E6F4A33"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Dolní Sedlo</w:t>
            </w:r>
          </w:p>
        </w:tc>
        <w:tc>
          <w:tcPr>
            <w:tcW w:w="1134" w:type="dxa"/>
          </w:tcPr>
          <w:p w14:paraId="0E7E93C5" w14:textId="77777777" w:rsidR="00D56276" w:rsidRPr="00D47F4C" w:rsidRDefault="00D56276" w:rsidP="00EA304D">
            <w:pPr>
              <w:pStyle w:val="1text"/>
              <w:spacing w:before="40" w:after="40"/>
              <w:jc w:val="right"/>
              <w:rPr>
                <w:b/>
                <w:sz w:val="20"/>
                <w:szCs w:val="20"/>
              </w:rPr>
            </w:pPr>
            <w:r w:rsidRPr="00D47F4C">
              <w:rPr>
                <w:b/>
                <w:sz w:val="20"/>
                <w:szCs w:val="20"/>
              </w:rPr>
              <w:t>0,193</w:t>
            </w:r>
          </w:p>
        </w:tc>
        <w:tc>
          <w:tcPr>
            <w:tcW w:w="1134" w:type="dxa"/>
          </w:tcPr>
          <w:p w14:paraId="28F7AF2E" w14:textId="77777777" w:rsidR="00D56276" w:rsidRPr="00D47F4C" w:rsidRDefault="00D56276" w:rsidP="00EA304D">
            <w:pPr>
              <w:pStyle w:val="1text"/>
              <w:spacing w:before="40" w:after="40"/>
              <w:jc w:val="right"/>
              <w:rPr>
                <w:b/>
                <w:sz w:val="20"/>
                <w:szCs w:val="20"/>
              </w:rPr>
            </w:pPr>
            <w:r w:rsidRPr="00D47F4C">
              <w:rPr>
                <w:b/>
                <w:sz w:val="20"/>
                <w:szCs w:val="20"/>
              </w:rPr>
              <w:t>0,193</w:t>
            </w:r>
          </w:p>
        </w:tc>
        <w:tc>
          <w:tcPr>
            <w:tcW w:w="3859" w:type="dxa"/>
          </w:tcPr>
          <w:p w14:paraId="41083D8B" w14:textId="77777777" w:rsidR="00D56276" w:rsidRPr="00D47F4C" w:rsidRDefault="00D56276" w:rsidP="00EA304D">
            <w:pPr>
              <w:pStyle w:val="1text"/>
              <w:spacing w:before="40" w:after="40"/>
              <w:jc w:val="left"/>
              <w:rPr>
                <w:b/>
                <w:sz w:val="20"/>
                <w:szCs w:val="20"/>
              </w:rPr>
            </w:pPr>
            <w:r w:rsidRPr="00D47F4C">
              <w:rPr>
                <w:b/>
                <w:sz w:val="20"/>
                <w:szCs w:val="20"/>
              </w:rPr>
              <w:t>realizováno víceúčelové a dětské hřiště</w:t>
            </w:r>
          </w:p>
        </w:tc>
      </w:tr>
      <w:tr w:rsidR="00D56276" w:rsidRPr="00EA304D" w14:paraId="3CBE8906" w14:textId="77777777" w:rsidTr="00EA304D">
        <w:tc>
          <w:tcPr>
            <w:tcW w:w="1101" w:type="dxa"/>
          </w:tcPr>
          <w:p w14:paraId="1F543CC7"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Z12.31</w:t>
            </w:r>
          </w:p>
        </w:tc>
        <w:tc>
          <w:tcPr>
            <w:tcW w:w="1984" w:type="dxa"/>
          </w:tcPr>
          <w:p w14:paraId="7DAC555D"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Loučná</w:t>
            </w:r>
          </w:p>
        </w:tc>
        <w:tc>
          <w:tcPr>
            <w:tcW w:w="1134" w:type="dxa"/>
          </w:tcPr>
          <w:p w14:paraId="5753BE08"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0,364</w:t>
            </w:r>
          </w:p>
        </w:tc>
        <w:tc>
          <w:tcPr>
            <w:tcW w:w="1134" w:type="dxa"/>
          </w:tcPr>
          <w:p w14:paraId="42AE0C74"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0,364</w:t>
            </w:r>
          </w:p>
        </w:tc>
        <w:tc>
          <w:tcPr>
            <w:tcW w:w="3859" w:type="dxa"/>
          </w:tcPr>
          <w:p w14:paraId="2A2085EC"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678D9FBA" w14:textId="77777777" w:rsidTr="00EA304D">
        <w:tc>
          <w:tcPr>
            <w:tcW w:w="1101" w:type="dxa"/>
          </w:tcPr>
          <w:p w14:paraId="749B804C"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Z12.32</w:t>
            </w:r>
          </w:p>
        </w:tc>
        <w:tc>
          <w:tcPr>
            <w:tcW w:w="1984" w:type="dxa"/>
          </w:tcPr>
          <w:p w14:paraId="0C95CAA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98B9FC3"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0,192</w:t>
            </w:r>
          </w:p>
        </w:tc>
        <w:tc>
          <w:tcPr>
            <w:tcW w:w="1134" w:type="dxa"/>
          </w:tcPr>
          <w:p w14:paraId="2C7CDFCC"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4DA2546C" w14:textId="77777777" w:rsidR="00D56276" w:rsidRPr="00EA304D" w:rsidRDefault="00D56276" w:rsidP="00EA304D">
            <w:pPr>
              <w:pStyle w:val="1text"/>
              <w:spacing w:before="40" w:after="40"/>
              <w:jc w:val="left"/>
              <w:rPr>
                <w:sz w:val="20"/>
                <w:szCs w:val="20"/>
              </w:rPr>
            </w:pPr>
            <w:r>
              <w:rPr>
                <w:sz w:val="20"/>
                <w:szCs w:val="20"/>
              </w:rPr>
              <w:t>dosud nerealizováno</w:t>
            </w:r>
          </w:p>
        </w:tc>
      </w:tr>
      <w:tr w:rsidR="00D56276" w:rsidRPr="00EA304D" w14:paraId="7153258F" w14:textId="77777777" w:rsidTr="00EA304D">
        <w:tc>
          <w:tcPr>
            <w:tcW w:w="1101" w:type="dxa"/>
          </w:tcPr>
          <w:p w14:paraId="3F35A35F" w14:textId="77777777" w:rsidR="00D56276" w:rsidRPr="00D47F4C" w:rsidRDefault="00D56276" w:rsidP="0016632C">
            <w:pPr>
              <w:pStyle w:val="1text"/>
              <w:spacing w:before="40" w:after="40"/>
              <w:jc w:val="left"/>
              <w:rPr>
                <w:rFonts w:eastAsia="Times New Roman"/>
                <w:b/>
                <w:sz w:val="20"/>
                <w:szCs w:val="20"/>
                <w:lang w:eastAsia="cs-CZ"/>
              </w:rPr>
            </w:pPr>
            <w:r w:rsidRPr="00D47F4C">
              <w:rPr>
                <w:rFonts w:eastAsia="Times New Roman"/>
                <w:b/>
                <w:sz w:val="20"/>
                <w:szCs w:val="20"/>
                <w:lang w:eastAsia="cs-CZ"/>
              </w:rPr>
              <w:t>Z12.33</w:t>
            </w:r>
          </w:p>
        </w:tc>
        <w:tc>
          <w:tcPr>
            <w:tcW w:w="1984" w:type="dxa"/>
          </w:tcPr>
          <w:p w14:paraId="07C95692"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520AD776" w14:textId="77777777" w:rsidR="00D56276" w:rsidRPr="00826C16" w:rsidRDefault="00D56276" w:rsidP="00EA304D">
            <w:pPr>
              <w:pStyle w:val="1text"/>
              <w:spacing w:before="40" w:after="40"/>
              <w:jc w:val="right"/>
              <w:rPr>
                <w:b/>
                <w:sz w:val="20"/>
                <w:szCs w:val="20"/>
              </w:rPr>
            </w:pPr>
            <w:r w:rsidRPr="00826C16">
              <w:rPr>
                <w:b/>
                <w:sz w:val="20"/>
                <w:szCs w:val="20"/>
              </w:rPr>
              <w:t>0,354</w:t>
            </w:r>
          </w:p>
        </w:tc>
        <w:tc>
          <w:tcPr>
            <w:tcW w:w="1134" w:type="dxa"/>
          </w:tcPr>
          <w:p w14:paraId="04F89B18" w14:textId="77777777" w:rsidR="00D56276" w:rsidRPr="00826C16" w:rsidRDefault="00D56276" w:rsidP="00EA304D">
            <w:pPr>
              <w:pStyle w:val="1text"/>
              <w:spacing w:before="40" w:after="40"/>
              <w:jc w:val="right"/>
              <w:rPr>
                <w:b/>
                <w:sz w:val="20"/>
                <w:szCs w:val="20"/>
              </w:rPr>
            </w:pPr>
            <w:r w:rsidRPr="00826C16">
              <w:rPr>
                <w:b/>
                <w:sz w:val="20"/>
                <w:szCs w:val="20"/>
              </w:rPr>
              <w:t>0,354</w:t>
            </w:r>
          </w:p>
        </w:tc>
        <w:tc>
          <w:tcPr>
            <w:tcW w:w="3859" w:type="dxa"/>
          </w:tcPr>
          <w:p w14:paraId="5062974C" w14:textId="77777777" w:rsidR="00D56276" w:rsidRPr="00D47F4C" w:rsidRDefault="00D56276" w:rsidP="00EA304D">
            <w:pPr>
              <w:pStyle w:val="1text"/>
              <w:spacing w:before="40" w:after="40"/>
              <w:jc w:val="left"/>
              <w:rPr>
                <w:b/>
                <w:sz w:val="20"/>
                <w:szCs w:val="20"/>
              </w:rPr>
            </w:pPr>
            <w:r w:rsidRPr="00D47F4C">
              <w:rPr>
                <w:b/>
                <w:sz w:val="20"/>
                <w:szCs w:val="20"/>
              </w:rPr>
              <w:t>plocha využita pro parkoviště obchodního zařízení</w:t>
            </w:r>
          </w:p>
        </w:tc>
      </w:tr>
      <w:tr w:rsidR="00D56276" w:rsidRPr="00EA304D" w14:paraId="425D0DE0" w14:textId="77777777" w:rsidTr="00EA304D">
        <w:tc>
          <w:tcPr>
            <w:tcW w:w="1101" w:type="dxa"/>
          </w:tcPr>
          <w:p w14:paraId="1DD4CED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Z15.8</w:t>
            </w:r>
          </w:p>
        </w:tc>
        <w:tc>
          <w:tcPr>
            <w:tcW w:w="1984" w:type="dxa"/>
          </w:tcPr>
          <w:p w14:paraId="080F091D"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43DD4133" w14:textId="77777777" w:rsidR="00D56276" w:rsidRPr="00266F0A" w:rsidRDefault="00D56276" w:rsidP="00EA304D">
            <w:pPr>
              <w:spacing w:before="40" w:after="40" w:line="240" w:lineRule="auto"/>
              <w:jc w:val="right"/>
              <w:rPr>
                <w:rFonts w:eastAsia="Times New Roman"/>
                <w:sz w:val="20"/>
                <w:szCs w:val="20"/>
                <w:lang w:eastAsia="cs-CZ"/>
              </w:rPr>
            </w:pPr>
            <w:r w:rsidRPr="00266F0A">
              <w:rPr>
                <w:rFonts w:eastAsia="Times New Roman"/>
                <w:sz w:val="20"/>
                <w:szCs w:val="20"/>
                <w:lang w:eastAsia="cs-CZ"/>
              </w:rPr>
              <w:t>0,159</w:t>
            </w:r>
          </w:p>
        </w:tc>
        <w:tc>
          <w:tcPr>
            <w:tcW w:w="1134" w:type="dxa"/>
          </w:tcPr>
          <w:p w14:paraId="1A1B2D0D" w14:textId="77777777" w:rsidR="00D56276" w:rsidRPr="00EA304D" w:rsidRDefault="00D56276" w:rsidP="00EA304D">
            <w:pPr>
              <w:pStyle w:val="1text"/>
              <w:spacing w:before="40" w:after="40"/>
              <w:jc w:val="right"/>
              <w:rPr>
                <w:sz w:val="20"/>
                <w:szCs w:val="20"/>
              </w:rPr>
            </w:pPr>
            <w:r>
              <w:rPr>
                <w:sz w:val="20"/>
                <w:szCs w:val="20"/>
              </w:rPr>
              <w:t>0,117</w:t>
            </w:r>
          </w:p>
        </w:tc>
        <w:tc>
          <w:tcPr>
            <w:tcW w:w="3859" w:type="dxa"/>
          </w:tcPr>
          <w:p w14:paraId="1F9C184D" w14:textId="77777777" w:rsidR="00D56276" w:rsidRPr="00EA304D" w:rsidRDefault="00D56276" w:rsidP="00EA304D">
            <w:pPr>
              <w:pStyle w:val="1text"/>
              <w:spacing w:before="40" w:after="40"/>
              <w:jc w:val="left"/>
              <w:rPr>
                <w:sz w:val="20"/>
                <w:szCs w:val="20"/>
              </w:rPr>
            </w:pPr>
            <w:r>
              <w:rPr>
                <w:sz w:val="20"/>
                <w:szCs w:val="20"/>
              </w:rPr>
              <w:t>ve zbývající části plochy zahrada</w:t>
            </w:r>
          </w:p>
        </w:tc>
      </w:tr>
      <w:tr w:rsidR="00D56276" w:rsidRPr="00EA304D" w14:paraId="138022D5" w14:textId="77777777" w:rsidTr="00EA304D">
        <w:tc>
          <w:tcPr>
            <w:tcW w:w="1101" w:type="dxa"/>
          </w:tcPr>
          <w:p w14:paraId="06EA244B"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Z18.2</w:t>
            </w:r>
          </w:p>
        </w:tc>
        <w:tc>
          <w:tcPr>
            <w:tcW w:w="1984" w:type="dxa"/>
          </w:tcPr>
          <w:p w14:paraId="5F7F0385"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26B700F3" w14:textId="77777777" w:rsidR="00D56276" w:rsidRPr="00D47F4C" w:rsidRDefault="00D56276" w:rsidP="00EA304D">
            <w:pPr>
              <w:pStyle w:val="1text"/>
              <w:spacing w:before="40" w:after="40"/>
              <w:jc w:val="right"/>
              <w:rPr>
                <w:b/>
                <w:sz w:val="20"/>
                <w:szCs w:val="20"/>
              </w:rPr>
            </w:pPr>
            <w:r w:rsidRPr="00D47F4C">
              <w:rPr>
                <w:b/>
                <w:sz w:val="20"/>
                <w:szCs w:val="20"/>
              </w:rPr>
              <w:t>0,260</w:t>
            </w:r>
          </w:p>
        </w:tc>
        <w:tc>
          <w:tcPr>
            <w:tcW w:w="1134" w:type="dxa"/>
          </w:tcPr>
          <w:p w14:paraId="55AC38E0" w14:textId="77777777" w:rsidR="00D56276" w:rsidRPr="00D47F4C" w:rsidRDefault="00D56276" w:rsidP="00EA304D">
            <w:pPr>
              <w:pStyle w:val="1text"/>
              <w:spacing w:before="40" w:after="40"/>
              <w:jc w:val="right"/>
              <w:rPr>
                <w:b/>
                <w:sz w:val="20"/>
                <w:szCs w:val="20"/>
              </w:rPr>
            </w:pPr>
            <w:r w:rsidRPr="00D47F4C">
              <w:rPr>
                <w:b/>
                <w:sz w:val="20"/>
                <w:szCs w:val="20"/>
              </w:rPr>
              <w:t>0,260</w:t>
            </w:r>
          </w:p>
        </w:tc>
        <w:tc>
          <w:tcPr>
            <w:tcW w:w="3859" w:type="dxa"/>
          </w:tcPr>
          <w:p w14:paraId="4B0ED7F8" w14:textId="77777777" w:rsidR="00D56276" w:rsidRPr="00D47F4C" w:rsidRDefault="00D56276" w:rsidP="00EA304D">
            <w:pPr>
              <w:pStyle w:val="1text"/>
              <w:spacing w:before="40" w:after="40"/>
              <w:jc w:val="left"/>
              <w:rPr>
                <w:b/>
                <w:sz w:val="20"/>
                <w:szCs w:val="20"/>
              </w:rPr>
            </w:pPr>
            <w:r w:rsidRPr="00D47F4C">
              <w:rPr>
                <w:b/>
                <w:sz w:val="20"/>
                <w:szCs w:val="20"/>
              </w:rPr>
              <w:t>realizován objekt občanského vybavení</w:t>
            </w:r>
          </w:p>
        </w:tc>
      </w:tr>
      <w:tr w:rsidR="00D56276" w:rsidRPr="00EA304D" w14:paraId="61E1CBD7" w14:textId="77777777" w:rsidTr="00EA304D">
        <w:tc>
          <w:tcPr>
            <w:tcW w:w="9212" w:type="dxa"/>
            <w:gridSpan w:val="5"/>
            <w:shd w:val="clear" w:color="auto" w:fill="EAF1DD" w:themeFill="accent3" w:themeFillTint="33"/>
          </w:tcPr>
          <w:p w14:paraId="35C501C6" w14:textId="77777777" w:rsidR="00D56276" w:rsidRPr="00EA304D" w:rsidRDefault="00D56276" w:rsidP="00EA304D">
            <w:pPr>
              <w:pStyle w:val="1text"/>
              <w:spacing w:before="40" w:after="40"/>
              <w:jc w:val="left"/>
              <w:rPr>
                <w:sz w:val="20"/>
                <w:szCs w:val="20"/>
              </w:rPr>
            </w:pPr>
            <w:r w:rsidRPr="00EA304D">
              <w:rPr>
                <w:sz w:val="20"/>
                <w:szCs w:val="20"/>
              </w:rPr>
              <w:t>PLOCHY VÝROBY</w:t>
            </w:r>
          </w:p>
        </w:tc>
      </w:tr>
      <w:tr w:rsidR="00D56276" w:rsidRPr="00EA304D" w14:paraId="70B06E17" w14:textId="77777777" w:rsidTr="00EA304D">
        <w:tc>
          <w:tcPr>
            <w:tcW w:w="1101" w:type="dxa"/>
            <w:shd w:val="clear" w:color="auto" w:fill="auto"/>
          </w:tcPr>
          <w:p w14:paraId="2E55D8D0" w14:textId="77777777" w:rsidR="00D56276" w:rsidRPr="00EA304D" w:rsidRDefault="00D56276" w:rsidP="0016632C">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21 </w:t>
            </w:r>
          </w:p>
        </w:tc>
        <w:tc>
          <w:tcPr>
            <w:tcW w:w="1984" w:type="dxa"/>
            <w:shd w:val="clear" w:color="auto" w:fill="auto"/>
          </w:tcPr>
          <w:p w14:paraId="2E6B780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shd w:val="clear" w:color="auto" w:fill="auto"/>
          </w:tcPr>
          <w:p w14:paraId="6BE7B366"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4,645</w:t>
            </w:r>
          </w:p>
        </w:tc>
        <w:tc>
          <w:tcPr>
            <w:tcW w:w="1134" w:type="dxa"/>
            <w:shd w:val="clear" w:color="auto" w:fill="auto"/>
          </w:tcPr>
          <w:p w14:paraId="32DA459E"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shd w:val="clear" w:color="auto" w:fill="auto"/>
          </w:tcPr>
          <w:p w14:paraId="7AAD9816"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4E0E8E" w:rsidRPr="00EA304D" w14:paraId="502CDACD" w14:textId="77777777" w:rsidTr="00EA304D">
        <w:tc>
          <w:tcPr>
            <w:tcW w:w="1101" w:type="dxa"/>
          </w:tcPr>
          <w:p w14:paraId="3B7C49FD" w14:textId="77777777" w:rsidR="004E0E8E" w:rsidRPr="004E0E8E" w:rsidRDefault="004E0E8E" w:rsidP="00EA304D">
            <w:pPr>
              <w:pStyle w:val="1text"/>
              <w:spacing w:before="40" w:after="40"/>
              <w:jc w:val="left"/>
              <w:rPr>
                <w:rFonts w:eastAsia="Times New Roman"/>
                <w:sz w:val="20"/>
                <w:szCs w:val="20"/>
                <w:lang w:eastAsia="cs-CZ"/>
              </w:rPr>
            </w:pPr>
            <w:r w:rsidRPr="004E0E8E">
              <w:rPr>
                <w:rFonts w:eastAsia="Times New Roman"/>
                <w:sz w:val="20"/>
                <w:szCs w:val="20"/>
                <w:lang w:eastAsia="cs-CZ"/>
              </w:rPr>
              <w:t>22</w:t>
            </w:r>
          </w:p>
        </w:tc>
        <w:tc>
          <w:tcPr>
            <w:tcW w:w="1984" w:type="dxa"/>
          </w:tcPr>
          <w:p w14:paraId="2A2F3C76" w14:textId="77777777" w:rsidR="004E0E8E" w:rsidRPr="00EA304D" w:rsidRDefault="004E0E8E"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712F54A1" w14:textId="77777777" w:rsidR="004E0E8E" w:rsidRPr="00EA304D" w:rsidRDefault="004E0E8E"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1,232</w:t>
            </w:r>
          </w:p>
        </w:tc>
        <w:tc>
          <w:tcPr>
            <w:tcW w:w="1134" w:type="dxa"/>
          </w:tcPr>
          <w:p w14:paraId="3FCE958E" w14:textId="26B4C750" w:rsidR="004E0E8E" w:rsidRPr="00EA304D" w:rsidRDefault="004E0E8E" w:rsidP="00EA304D">
            <w:pPr>
              <w:pStyle w:val="1text"/>
              <w:spacing w:before="40" w:after="40"/>
              <w:jc w:val="right"/>
              <w:rPr>
                <w:sz w:val="20"/>
                <w:szCs w:val="20"/>
              </w:rPr>
            </w:pPr>
            <w:r w:rsidRPr="00EA304D">
              <w:rPr>
                <w:rFonts w:eastAsia="Times New Roman"/>
                <w:sz w:val="20"/>
                <w:szCs w:val="20"/>
                <w:lang w:eastAsia="cs-CZ"/>
              </w:rPr>
              <w:t>1,232</w:t>
            </w:r>
          </w:p>
        </w:tc>
        <w:tc>
          <w:tcPr>
            <w:tcW w:w="3859" w:type="dxa"/>
          </w:tcPr>
          <w:p w14:paraId="734C462B" w14:textId="71F4E4B7" w:rsidR="004E0E8E" w:rsidRPr="00EA304D" w:rsidRDefault="004E0E8E" w:rsidP="00EA304D">
            <w:pPr>
              <w:pStyle w:val="1text"/>
              <w:spacing w:before="40" w:after="40"/>
              <w:jc w:val="left"/>
              <w:rPr>
                <w:sz w:val="20"/>
                <w:szCs w:val="20"/>
              </w:rPr>
            </w:pPr>
            <w:r w:rsidRPr="00EA304D">
              <w:rPr>
                <w:sz w:val="20"/>
                <w:szCs w:val="20"/>
              </w:rPr>
              <w:t>realizován</w:t>
            </w:r>
            <w:r>
              <w:rPr>
                <w:sz w:val="20"/>
                <w:szCs w:val="20"/>
              </w:rPr>
              <w:t>a stavba pro výrobu</w:t>
            </w:r>
          </w:p>
        </w:tc>
      </w:tr>
      <w:tr w:rsidR="00D56276" w:rsidRPr="00EA304D" w14:paraId="2C410981" w14:textId="77777777" w:rsidTr="00EA304D">
        <w:tc>
          <w:tcPr>
            <w:tcW w:w="1101" w:type="dxa"/>
          </w:tcPr>
          <w:p w14:paraId="63D2DBFD" w14:textId="77777777" w:rsidR="00D56276" w:rsidRPr="00EA304D" w:rsidRDefault="00D56276" w:rsidP="0016632C">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23 </w:t>
            </w:r>
          </w:p>
        </w:tc>
        <w:tc>
          <w:tcPr>
            <w:tcW w:w="1984" w:type="dxa"/>
          </w:tcPr>
          <w:p w14:paraId="2B4E59D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77DA7522"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6,745</w:t>
            </w:r>
          </w:p>
        </w:tc>
        <w:tc>
          <w:tcPr>
            <w:tcW w:w="1134" w:type="dxa"/>
          </w:tcPr>
          <w:p w14:paraId="12CC913D" w14:textId="77777777" w:rsidR="00D56276" w:rsidRPr="00EA304D" w:rsidRDefault="00D56276" w:rsidP="00EA304D">
            <w:pPr>
              <w:pStyle w:val="1text"/>
              <w:spacing w:before="40" w:after="40"/>
              <w:jc w:val="right"/>
              <w:rPr>
                <w:sz w:val="20"/>
                <w:szCs w:val="20"/>
              </w:rPr>
            </w:pPr>
            <w:r w:rsidRPr="00EA304D">
              <w:rPr>
                <w:sz w:val="20"/>
                <w:szCs w:val="20"/>
              </w:rPr>
              <w:t>0,850</w:t>
            </w:r>
          </w:p>
        </w:tc>
        <w:tc>
          <w:tcPr>
            <w:tcW w:w="3859" w:type="dxa"/>
          </w:tcPr>
          <w:p w14:paraId="4CEC9C9D" w14:textId="77777777" w:rsidR="00D56276" w:rsidRPr="00EA304D" w:rsidRDefault="00D56276" w:rsidP="00EA304D">
            <w:pPr>
              <w:pStyle w:val="1text"/>
              <w:spacing w:before="40" w:after="40"/>
              <w:jc w:val="left"/>
              <w:rPr>
                <w:sz w:val="20"/>
                <w:szCs w:val="20"/>
              </w:rPr>
            </w:pPr>
            <w:r w:rsidRPr="00EA304D">
              <w:rPr>
                <w:sz w:val="20"/>
                <w:szCs w:val="20"/>
              </w:rPr>
              <w:t>plocha využita pro fotovoltaickou elektrárnu</w:t>
            </w:r>
          </w:p>
        </w:tc>
      </w:tr>
      <w:tr w:rsidR="00D56276" w:rsidRPr="00EA304D" w14:paraId="665D832B" w14:textId="77777777" w:rsidTr="00EA304D">
        <w:tc>
          <w:tcPr>
            <w:tcW w:w="1101" w:type="dxa"/>
          </w:tcPr>
          <w:p w14:paraId="561664D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30</w:t>
            </w:r>
          </w:p>
        </w:tc>
        <w:tc>
          <w:tcPr>
            <w:tcW w:w="1984" w:type="dxa"/>
          </w:tcPr>
          <w:p w14:paraId="34286BAC"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0DB762DB"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0,147</w:t>
            </w:r>
          </w:p>
        </w:tc>
        <w:tc>
          <w:tcPr>
            <w:tcW w:w="1134" w:type="dxa"/>
          </w:tcPr>
          <w:p w14:paraId="4F5815F8"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014F9D98" w14:textId="77777777" w:rsidR="00D56276" w:rsidRPr="00EA304D" w:rsidRDefault="00D56276" w:rsidP="00EA304D">
            <w:pPr>
              <w:pStyle w:val="1text"/>
              <w:spacing w:before="40" w:after="40"/>
              <w:jc w:val="left"/>
              <w:rPr>
                <w:sz w:val="20"/>
                <w:szCs w:val="20"/>
              </w:rPr>
            </w:pPr>
            <w:r w:rsidRPr="00EA304D">
              <w:rPr>
                <w:sz w:val="20"/>
                <w:szCs w:val="20"/>
              </w:rPr>
              <w:t>plocha využita pro zahrádkovou rekreaci</w:t>
            </w:r>
          </w:p>
        </w:tc>
      </w:tr>
      <w:tr w:rsidR="00D56276" w:rsidRPr="00EA304D" w14:paraId="5E8BCEC9" w14:textId="77777777" w:rsidTr="00EA304D">
        <w:tc>
          <w:tcPr>
            <w:tcW w:w="1101" w:type="dxa"/>
          </w:tcPr>
          <w:p w14:paraId="2C7DF63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69</w:t>
            </w:r>
          </w:p>
        </w:tc>
        <w:tc>
          <w:tcPr>
            <w:tcW w:w="1984" w:type="dxa"/>
          </w:tcPr>
          <w:p w14:paraId="775C83DC"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Donín</w:t>
            </w:r>
          </w:p>
        </w:tc>
        <w:tc>
          <w:tcPr>
            <w:tcW w:w="1134" w:type="dxa"/>
          </w:tcPr>
          <w:p w14:paraId="333B78DF"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0,406</w:t>
            </w:r>
          </w:p>
        </w:tc>
        <w:tc>
          <w:tcPr>
            <w:tcW w:w="1134" w:type="dxa"/>
          </w:tcPr>
          <w:p w14:paraId="0B98D6DC"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0,406</w:t>
            </w:r>
          </w:p>
        </w:tc>
        <w:tc>
          <w:tcPr>
            <w:tcW w:w="3859" w:type="dxa"/>
          </w:tcPr>
          <w:p w14:paraId="01777338" w14:textId="77777777" w:rsidR="00D56276" w:rsidRPr="00D47F4C" w:rsidRDefault="00D56276" w:rsidP="00EA304D">
            <w:pPr>
              <w:pStyle w:val="1text"/>
              <w:spacing w:before="40" w:after="40"/>
              <w:jc w:val="left"/>
              <w:rPr>
                <w:b/>
                <w:sz w:val="20"/>
                <w:szCs w:val="20"/>
              </w:rPr>
            </w:pPr>
            <w:r w:rsidRPr="00D47F4C">
              <w:rPr>
                <w:b/>
                <w:sz w:val="20"/>
                <w:szCs w:val="20"/>
              </w:rPr>
              <w:t>plocha využita pro bydlení v RD</w:t>
            </w:r>
          </w:p>
        </w:tc>
      </w:tr>
      <w:tr w:rsidR="00D56276" w:rsidRPr="00EA304D" w14:paraId="28AEEB0C" w14:textId="77777777" w:rsidTr="00EA304D">
        <w:tc>
          <w:tcPr>
            <w:tcW w:w="1101" w:type="dxa"/>
          </w:tcPr>
          <w:p w14:paraId="3488CBA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109</w:t>
            </w:r>
          </w:p>
        </w:tc>
        <w:tc>
          <w:tcPr>
            <w:tcW w:w="1984" w:type="dxa"/>
          </w:tcPr>
          <w:p w14:paraId="7EF9109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33FF6686" w14:textId="77777777" w:rsidR="00D56276" w:rsidRPr="00F74662" w:rsidRDefault="00D56276" w:rsidP="00EA304D">
            <w:pPr>
              <w:pStyle w:val="1text"/>
              <w:spacing w:before="40" w:after="40"/>
              <w:jc w:val="right"/>
              <w:rPr>
                <w:sz w:val="20"/>
                <w:szCs w:val="20"/>
              </w:rPr>
            </w:pPr>
            <w:r w:rsidRPr="00F74662">
              <w:rPr>
                <w:sz w:val="20"/>
                <w:szCs w:val="20"/>
              </w:rPr>
              <w:t>0,141</w:t>
            </w:r>
          </w:p>
        </w:tc>
        <w:tc>
          <w:tcPr>
            <w:tcW w:w="1134" w:type="dxa"/>
          </w:tcPr>
          <w:p w14:paraId="680CF686" w14:textId="77777777" w:rsidR="00D56276" w:rsidRPr="00F74662" w:rsidRDefault="00D56276" w:rsidP="00EA304D">
            <w:pPr>
              <w:pStyle w:val="1text"/>
              <w:spacing w:before="40" w:after="40"/>
              <w:jc w:val="right"/>
              <w:rPr>
                <w:sz w:val="20"/>
                <w:szCs w:val="20"/>
              </w:rPr>
            </w:pPr>
            <w:r w:rsidRPr="00F74662">
              <w:rPr>
                <w:sz w:val="20"/>
                <w:szCs w:val="20"/>
              </w:rPr>
              <w:t>0</w:t>
            </w:r>
          </w:p>
        </w:tc>
        <w:tc>
          <w:tcPr>
            <w:tcW w:w="3859" w:type="dxa"/>
          </w:tcPr>
          <w:p w14:paraId="545A5655" w14:textId="77777777" w:rsidR="00D56276" w:rsidRPr="00F74662" w:rsidRDefault="00D56276" w:rsidP="00EA304D">
            <w:pPr>
              <w:pStyle w:val="1text"/>
              <w:spacing w:before="40" w:after="40"/>
              <w:jc w:val="left"/>
              <w:rPr>
                <w:sz w:val="20"/>
                <w:szCs w:val="20"/>
              </w:rPr>
            </w:pPr>
            <w:r w:rsidRPr="00F74662">
              <w:rPr>
                <w:sz w:val="20"/>
                <w:szCs w:val="20"/>
              </w:rPr>
              <w:t>nerealizováno, změna koncepce</w:t>
            </w:r>
          </w:p>
        </w:tc>
      </w:tr>
      <w:tr w:rsidR="00D56276" w:rsidRPr="00EA304D" w14:paraId="1B7B1340" w14:textId="77777777" w:rsidTr="00EA304D">
        <w:tc>
          <w:tcPr>
            <w:tcW w:w="1101" w:type="dxa"/>
          </w:tcPr>
          <w:p w14:paraId="597C01FA"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112</w:t>
            </w:r>
          </w:p>
        </w:tc>
        <w:tc>
          <w:tcPr>
            <w:tcW w:w="1984" w:type="dxa"/>
          </w:tcPr>
          <w:p w14:paraId="0564ACC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02447F9F" w14:textId="77777777" w:rsidR="00D56276" w:rsidRPr="00EA304D" w:rsidRDefault="00D56276" w:rsidP="00EA304D">
            <w:pPr>
              <w:pStyle w:val="1text"/>
              <w:spacing w:before="40" w:after="40"/>
              <w:jc w:val="right"/>
              <w:rPr>
                <w:sz w:val="20"/>
                <w:szCs w:val="20"/>
              </w:rPr>
            </w:pPr>
            <w:r>
              <w:rPr>
                <w:sz w:val="20"/>
                <w:szCs w:val="20"/>
              </w:rPr>
              <w:t>20,718</w:t>
            </w:r>
          </w:p>
        </w:tc>
        <w:tc>
          <w:tcPr>
            <w:tcW w:w="1134" w:type="dxa"/>
          </w:tcPr>
          <w:p w14:paraId="18E0B4E1" w14:textId="77777777" w:rsidR="00D56276" w:rsidRPr="00EA304D" w:rsidRDefault="00D56276" w:rsidP="00EA304D">
            <w:pPr>
              <w:pStyle w:val="1text"/>
              <w:spacing w:before="40" w:after="40"/>
              <w:jc w:val="right"/>
              <w:rPr>
                <w:sz w:val="20"/>
                <w:szCs w:val="20"/>
              </w:rPr>
            </w:pPr>
            <w:r>
              <w:rPr>
                <w:sz w:val="20"/>
                <w:szCs w:val="20"/>
              </w:rPr>
              <w:t>19,586</w:t>
            </w:r>
          </w:p>
        </w:tc>
        <w:tc>
          <w:tcPr>
            <w:tcW w:w="3859" w:type="dxa"/>
          </w:tcPr>
          <w:p w14:paraId="7F87E577" w14:textId="77777777" w:rsidR="00D56276" w:rsidRPr="00EA304D" w:rsidRDefault="00D56276" w:rsidP="00EA304D">
            <w:pPr>
              <w:pStyle w:val="1text"/>
              <w:spacing w:before="40" w:after="40"/>
              <w:jc w:val="left"/>
              <w:rPr>
                <w:sz w:val="20"/>
                <w:szCs w:val="20"/>
              </w:rPr>
            </w:pPr>
            <w:r w:rsidRPr="00EA304D">
              <w:rPr>
                <w:sz w:val="20"/>
                <w:szCs w:val="20"/>
              </w:rPr>
              <w:t>zčásti realizováno, vydáno územní rozhodnutí na stavbu hal</w:t>
            </w:r>
          </w:p>
        </w:tc>
      </w:tr>
      <w:tr w:rsidR="00D56276" w:rsidRPr="00EA304D" w14:paraId="6364B962" w14:textId="77777777" w:rsidTr="00EA304D">
        <w:tc>
          <w:tcPr>
            <w:tcW w:w="1101" w:type="dxa"/>
          </w:tcPr>
          <w:p w14:paraId="5B9E2C0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171</w:t>
            </w:r>
          </w:p>
        </w:tc>
        <w:tc>
          <w:tcPr>
            <w:tcW w:w="1984" w:type="dxa"/>
          </w:tcPr>
          <w:p w14:paraId="5E0C081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Oldřichov na Hranicích</w:t>
            </w:r>
          </w:p>
        </w:tc>
        <w:tc>
          <w:tcPr>
            <w:tcW w:w="1134" w:type="dxa"/>
          </w:tcPr>
          <w:p w14:paraId="0E9E7A3A" w14:textId="77777777" w:rsidR="00D56276" w:rsidRPr="00EA304D" w:rsidRDefault="00D56276" w:rsidP="00EA304D">
            <w:pPr>
              <w:spacing w:before="40" w:after="40" w:line="240" w:lineRule="auto"/>
              <w:jc w:val="right"/>
              <w:rPr>
                <w:rFonts w:eastAsia="Times New Roman"/>
                <w:sz w:val="20"/>
                <w:szCs w:val="20"/>
                <w:lang w:eastAsia="cs-CZ"/>
              </w:rPr>
            </w:pPr>
            <w:r>
              <w:rPr>
                <w:sz w:val="20"/>
                <w:szCs w:val="20"/>
              </w:rPr>
              <w:t>5,188</w:t>
            </w:r>
          </w:p>
        </w:tc>
        <w:tc>
          <w:tcPr>
            <w:tcW w:w="1134" w:type="dxa"/>
          </w:tcPr>
          <w:p w14:paraId="70C3B4D2"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1EFCCD82" w14:textId="77777777" w:rsidR="00D56276" w:rsidRPr="00EA304D" w:rsidRDefault="00D56276" w:rsidP="00EA304D">
            <w:pPr>
              <w:pStyle w:val="1text"/>
              <w:spacing w:before="40" w:after="40"/>
              <w:jc w:val="left"/>
              <w:rPr>
                <w:sz w:val="20"/>
                <w:szCs w:val="20"/>
              </w:rPr>
            </w:pPr>
            <w:r w:rsidRPr="00EA304D">
              <w:rPr>
                <w:sz w:val="20"/>
                <w:szCs w:val="20"/>
              </w:rPr>
              <w:t>dosud nerealizováno, zahájeny kroky k využití plochy</w:t>
            </w:r>
          </w:p>
        </w:tc>
      </w:tr>
      <w:tr w:rsidR="00D56276" w:rsidRPr="00EA304D" w14:paraId="308ECD47" w14:textId="77777777" w:rsidTr="00EA304D">
        <w:tc>
          <w:tcPr>
            <w:tcW w:w="1101" w:type="dxa"/>
          </w:tcPr>
          <w:p w14:paraId="2A28D78B"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lastRenderedPageBreak/>
              <w:t>193</w:t>
            </w:r>
          </w:p>
        </w:tc>
        <w:tc>
          <w:tcPr>
            <w:tcW w:w="1984" w:type="dxa"/>
          </w:tcPr>
          <w:p w14:paraId="7BE1BB6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1DDF11F9"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1,081</w:t>
            </w:r>
          </w:p>
        </w:tc>
        <w:tc>
          <w:tcPr>
            <w:tcW w:w="1134" w:type="dxa"/>
          </w:tcPr>
          <w:p w14:paraId="11C12FBD"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3B511491" w14:textId="77777777" w:rsidR="00D56276" w:rsidRPr="00EA304D" w:rsidRDefault="00D56276" w:rsidP="00EA304D">
            <w:pPr>
              <w:pStyle w:val="1text"/>
              <w:spacing w:before="40" w:after="40"/>
              <w:jc w:val="left"/>
              <w:rPr>
                <w:sz w:val="20"/>
                <w:szCs w:val="20"/>
              </w:rPr>
            </w:pPr>
            <w:r w:rsidRPr="00EA304D">
              <w:rPr>
                <w:sz w:val="20"/>
                <w:szCs w:val="20"/>
              </w:rPr>
              <w:t>dosud nerealizováno, potvrzen zájem investora o využití</w:t>
            </w:r>
          </w:p>
        </w:tc>
      </w:tr>
      <w:tr w:rsidR="00D56276" w:rsidRPr="00EA304D" w14:paraId="79AF900F" w14:textId="77777777" w:rsidTr="00EA304D">
        <w:tc>
          <w:tcPr>
            <w:tcW w:w="1101" w:type="dxa"/>
          </w:tcPr>
          <w:p w14:paraId="7165E50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Z2/1</w:t>
            </w:r>
          </w:p>
        </w:tc>
        <w:tc>
          <w:tcPr>
            <w:tcW w:w="1984" w:type="dxa"/>
          </w:tcPr>
          <w:p w14:paraId="6D0FF4EA"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Uhelná</w:t>
            </w:r>
          </w:p>
        </w:tc>
        <w:tc>
          <w:tcPr>
            <w:tcW w:w="1134" w:type="dxa"/>
          </w:tcPr>
          <w:p w14:paraId="183397D7"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5,503</w:t>
            </w:r>
          </w:p>
        </w:tc>
        <w:tc>
          <w:tcPr>
            <w:tcW w:w="1134" w:type="dxa"/>
          </w:tcPr>
          <w:p w14:paraId="0E54DD10" w14:textId="77777777" w:rsidR="00D56276" w:rsidRPr="00EA304D" w:rsidRDefault="00D56276" w:rsidP="00EA304D">
            <w:pPr>
              <w:pStyle w:val="1text"/>
              <w:spacing w:before="40" w:after="40"/>
              <w:jc w:val="right"/>
              <w:rPr>
                <w:sz w:val="20"/>
                <w:szCs w:val="20"/>
              </w:rPr>
            </w:pPr>
            <w:r>
              <w:rPr>
                <w:sz w:val="20"/>
                <w:szCs w:val="20"/>
              </w:rPr>
              <w:t>5,027</w:t>
            </w:r>
          </w:p>
        </w:tc>
        <w:tc>
          <w:tcPr>
            <w:tcW w:w="3859" w:type="dxa"/>
          </w:tcPr>
          <w:p w14:paraId="68B16D00" w14:textId="77777777" w:rsidR="00D56276" w:rsidRPr="00EA304D" w:rsidRDefault="00D56276" w:rsidP="00EA304D">
            <w:pPr>
              <w:pStyle w:val="1text"/>
              <w:spacing w:before="40" w:after="40"/>
              <w:jc w:val="left"/>
              <w:rPr>
                <w:sz w:val="20"/>
                <w:szCs w:val="20"/>
              </w:rPr>
            </w:pPr>
            <w:r w:rsidRPr="00EA304D">
              <w:rPr>
                <w:sz w:val="20"/>
                <w:szCs w:val="20"/>
              </w:rPr>
              <w:t>z</w:t>
            </w:r>
            <w:r>
              <w:rPr>
                <w:sz w:val="20"/>
                <w:szCs w:val="20"/>
              </w:rPr>
              <w:t xml:space="preserve"> větší </w:t>
            </w:r>
            <w:r w:rsidRPr="00EA304D">
              <w:rPr>
                <w:sz w:val="20"/>
                <w:szCs w:val="20"/>
              </w:rPr>
              <w:t>části realizováno, probíhá těžba štěrkopísku</w:t>
            </w:r>
          </w:p>
        </w:tc>
      </w:tr>
      <w:tr w:rsidR="00D56276" w:rsidRPr="00EA304D" w14:paraId="1A93AB7C" w14:textId="77777777" w:rsidTr="00EA304D">
        <w:tc>
          <w:tcPr>
            <w:tcW w:w="1101" w:type="dxa"/>
          </w:tcPr>
          <w:p w14:paraId="5F368157"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Z2/2</w:t>
            </w:r>
          </w:p>
        </w:tc>
        <w:tc>
          <w:tcPr>
            <w:tcW w:w="1984" w:type="dxa"/>
          </w:tcPr>
          <w:p w14:paraId="490CC40A"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Uhelná</w:t>
            </w:r>
          </w:p>
        </w:tc>
        <w:tc>
          <w:tcPr>
            <w:tcW w:w="1134" w:type="dxa"/>
          </w:tcPr>
          <w:p w14:paraId="09C9A0E2"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8,855</w:t>
            </w:r>
          </w:p>
        </w:tc>
        <w:tc>
          <w:tcPr>
            <w:tcW w:w="1134" w:type="dxa"/>
          </w:tcPr>
          <w:p w14:paraId="172DAB23"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4E0B178F"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08DB1FE5" w14:textId="77777777" w:rsidTr="00EA304D">
        <w:tc>
          <w:tcPr>
            <w:tcW w:w="1101" w:type="dxa"/>
          </w:tcPr>
          <w:p w14:paraId="2E26620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Z4</w:t>
            </w:r>
          </w:p>
        </w:tc>
        <w:tc>
          <w:tcPr>
            <w:tcW w:w="1984" w:type="dxa"/>
          </w:tcPr>
          <w:p w14:paraId="118C7ACC"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554F9111"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0,812</w:t>
            </w:r>
          </w:p>
        </w:tc>
        <w:tc>
          <w:tcPr>
            <w:tcW w:w="1134" w:type="dxa"/>
          </w:tcPr>
          <w:p w14:paraId="687D126A"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0,812</w:t>
            </w:r>
          </w:p>
        </w:tc>
        <w:tc>
          <w:tcPr>
            <w:tcW w:w="3859" w:type="dxa"/>
          </w:tcPr>
          <w:p w14:paraId="21385329"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023BEB90" w14:textId="77777777" w:rsidTr="00EA304D">
        <w:tc>
          <w:tcPr>
            <w:tcW w:w="1101" w:type="dxa"/>
          </w:tcPr>
          <w:p w14:paraId="5963390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Z10/1</w:t>
            </w:r>
          </w:p>
        </w:tc>
        <w:tc>
          <w:tcPr>
            <w:tcW w:w="1984" w:type="dxa"/>
          </w:tcPr>
          <w:p w14:paraId="4E90B603"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20A36875" w14:textId="77777777" w:rsidR="00D56276" w:rsidRPr="00EA304D" w:rsidRDefault="00D56276" w:rsidP="00EA304D">
            <w:pPr>
              <w:pStyle w:val="1text"/>
              <w:spacing w:before="40" w:after="40"/>
              <w:jc w:val="right"/>
              <w:rPr>
                <w:sz w:val="20"/>
                <w:szCs w:val="20"/>
              </w:rPr>
            </w:pPr>
            <w:r>
              <w:rPr>
                <w:sz w:val="20"/>
                <w:szCs w:val="20"/>
              </w:rPr>
              <w:t>11,206</w:t>
            </w:r>
          </w:p>
        </w:tc>
        <w:tc>
          <w:tcPr>
            <w:tcW w:w="1134" w:type="dxa"/>
          </w:tcPr>
          <w:p w14:paraId="37EB2267" w14:textId="77777777" w:rsidR="00D56276" w:rsidRPr="00EA304D" w:rsidRDefault="00D56276" w:rsidP="00EA304D">
            <w:pPr>
              <w:pStyle w:val="1text"/>
              <w:spacing w:before="40" w:after="40"/>
              <w:jc w:val="right"/>
              <w:rPr>
                <w:sz w:val="20"/>
                <w:szCs w:val="20"/>
              </w:rPr>
            </w:pPr>
            <w:r>
              <w:rPr>
                <w:sz w:val="20"/>
                <w:szCs w:val="20"/>
              </w:rPr>
              <w:t>cca 0,676</w:t>
            </w:r>
          </w:p>
        </w:tc>
        <w:tc>
          <w:tcPr>
            <w:tcW w:w="3859" w:type="dxa"/>
          </w:tcPr>
          <w:p w14:paraId="52939159" w14:textId="77777777" w:rsidR="00D56276" w:rsidRPr="005E1D0A" w:rsidRDefault="00D56276" w:rsidP="00EA304D">
            <w:pPr>
              <w:pStyle w:val="1text"/>
              <w:spacing w:before="40" w:after="40"/>
              <w:jc w:val="left"/>
              <w:rPr>
                <w:sz w:val="20"/>
                <w:szCs w:val="20"/>
              </w:rPr>
            </w:pPr>
            <w:r w:rsidRPr="005E1D0A">
              <w:rPr>
                <w:sz w:val="20"/>
                <w:szCs w:val="20"/>
              </w:rPr>
              <w:t>realizováno v menším plošném rozsahu (zpřesněno v souladu s vydaným správním rozhodnutím) </w:t>
            </w:r>
          </w:p>
        </w:tc>
      </w:tr>
      <w:tr w:rsidR="00D56276" w:rsidRPr="00EA304D" w14:paraId="43556D30" w14:textId="77777777" w:rsidTr="00EA304D">
        <w:tc>
          <w:tcPr>
            <w:tcW w:w="1101" w:type="dxa"/>
          </w:tcPr>
          <w:p w14:paraId="4FC899D3"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Z10/2</w:t>
            </w:r>
          </w:p>
        </w:tc>
        <w:tc>
          <w:tcPr>
            <w:tcW w:w="1984" w:type="dxa"/>
          </w:tcPr>
          <w:p w14:paraId="5DC21B6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7AA32B64" w14:textId="77777777" w:rsidR="00D56276" w:rsidRPr="00EA304D" w:rsidRDefault="00D56276" w:rsidP="00EA304D">
            <w:pPr>
              <w:pStyle w:val="1text"/>
              <w:spacing w:before="40" w:after="40"/>
              <w:jc w:val="right"/>
              <w:rPr>
                <w:sz w:val="20"/>
                <w:szCs w:val="20"/>
              </w:rPr>
            </w:pPr>
            <w:r>
              <w:rPr>
                <w:sz w:val="20"/>
                <w:szCs w:val="20"/>
              </w:rPr>
              <w:t>22,788</w:t>
            </w:r>
          </w:p>
        </w:tc>
        <w:tc>
          <w:tcPr>
            <w:tcW w:w="1134" w:type="dxa"/>
          </w:tcPr>
          <w:p w14:paraId="60C492C3" w14:textId="77777777" w:rsidR="00D56276" w:rsidRPr="00EA304D" w:rsidRDefault="00D56276" w:rsidP="00EA304D">
            <w:pPr>
              <w:pStyle w:val="1text"/>
              <w:spacing w:before="40" w:after="40"/>
              <w:jc w:val="right"/>
              <w:rPr>
                <w:sz w:val="20"/>
                <w:szCs w:val="20"/>
              </w:rPr>
            </w:pPr>
            <w:r>
              <w:rPr>
                <w:sz w:val="20"/>
                <w:szCs w:val="20"/>
              </w:rPr>
              <w:t>cca 0,934</w:t>
            </w:r>
          </w:p>
        </w:tc>
        <w:tc>
          <w:tcPr>
            <w:tcW w:w="3859" w:type="dxa"/>
          </w:tcPr>
          <w:p w14:paraId="703F315B" w14:textId="77777777" w:rsidR="00D56276" w:rsidRPr="005E1D0A" w:rsidRDefault="00D56276" w:rsidP="00EA304D">
            <w:pPr>
              <w:pStyle w:val="1text"/>
              <w:spacing w:before="40" w:after="40"/>
              <w:jc w:val="left"/>
              <w:rPr>
                <w:sz w:val="20"/>
                <w:szCs w:val="20"/>
              </w:rPr>
            </w:pPr>
            <w:r w:rsidRPr="005E1D0A">
              <w:rPr>
                <w:sz w:val="20"/>
                <w:szCs w:val="20"/>
              </w:rPr>
              <w:t>realizováno v menším plošném rozsahu (zpřesněno v souladu s vydaným správním rozhodnutím) </w:t>
            </w:r>
          </w:p>
        </w:tc>
      </w:tr>
      <w:tr w:rsidR="00D56276" w:rsidRPr="00EA304D" w14:paraId="3BAA2E45" w14:textId="77777777" w:rsidTr="00EA304D">
        <w:tc>
          <w:tcPr>
            <w:tcW w:w="1101" w:type="dxa"/>
          </w:tcPr>
          <w:p w14:paraId="3F4AB177"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Z10/3</w:t>
            </w:r>
          </w:p>
        </w:tc>
        <w:tc>
          <w:tcPr>
            <w:tcW w:w="1984" w:type="dxa"/>
          </w:tcPr>
          <w:p w14:paraId="2F86F2B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6719C060" w14:textId="77777777" w:rsidR="00D56276" w:rsidRPr="00EA304D" w:rsidRDefault="00D56276" w:rsidP="00EA304D">
            <w:pPr>
              <w:pStyle w:val="1text"/>
              <w:spacing w:before="40" w:after="40"/>
              <w:jc w:val="right"/>
              <w:rPr>
                <w:sz w:val="20"/>
                <w:szCs w:val="20"/>
              </w:rPr>
            </w:pPr>
            <w:r>
              <w:rPr>
                <w:sz w:val="20"/>
                <w:szCs w:val="20"/>
              </w:rPr>
              <w:t>92,048</w:t>
            </w:r>
          </w:p>
        </w:tc>
        <w:tc>
          <w:tcPr>
            <w:tcW w:w="1134" w:type="dxa"/>
          </w:tcPr>
          <w:p w14:paraId="61F60CAC" w14:textId="77777777" w:rsidR="00D56276" w:rsidRPr="00EA304D" w:rsidRDefault="00D56276" w:rsidP="00EA304D">
            <w:pPr>
              <w:pStyle w:val="1text"/>
              <w:spacing w:before="40" w:after="40"/>
              <w:jc w:val="right"/>
              <w:rPr>
                <w:sz w:val="20"/>
                <w:szCs w:val="20"/>
              </w:rPr>
            </w:pPr>
            <w:r>
              <w:rPr>
                <w:sz w:val="20"/>
                <w:szCs w:val="20"/>
              </w:rPr>
              <w:t>cca 3,109</w:t>
            </w:r>
          </w:p>
        </w:tc>
        <w:tc>
          <w:tcPr>
            <w:tcW w:w="3859" w:type="dxa"/>
          </w:tcPr>
          <w:p w14:paraId="37510E9B" w14:textId="77777777" w:rsidR="00D56276" w:rsidRPr="005E1D0A" w:rsidRDefault="00D56276" w:rsidP="00EA304D">
            <w:pPr>
              <w:pStyle w:val="1text"/>
              <w:spacing w:before="40" w:after="40"/>
              <w:jc w:val="left"/>
              <w:rPr>
                <w:sz w:val="20"/>
                <w:szCs w:val="20"/>
              </w:rPr>
            </w:pPr>
            <w:r w:rsidRPr="005E1D0A">
              <w:rPr>
                <w:sz w:val="20"/>
                <w:szCs w:val="20"/>
              </w:rPr>
              <w:t>realizováno v menším plošném rozsahu (zpřesněno v souladu s vydaným správním rozhodnutím) </w:t>
            </w:r>
          </w:p>
        </w:tc>
      </w:tr>
      <w:tr w:rsidR="00D56276" w:rsidRPr="00EA304D" w14:paraId="60E34E73" w14:textId="77777777" w:rsidTr="00EA304D">
        <w:tc>
          <w:tcPr>
            <w:tcW w:w="1101" w:type="dxa"/>
          </w:tcPr>
          <w:p w14:paraId="0ABDDE5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Z12.38</w:t>
            </w:r>
          </w:p>
        </w:tc>
        <w:tc>
          <w:tcPr>
            <w:tcW w:w="1984" w:type="dxa"/>
          </w:tcPr>
          <w:p w14:paraId="310872B3"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2C24F97F"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0,093</w:t>
            </w:r>
          </w:p>
        </w:tc>
        <w:tc>
          <w:tcPr>
            <w:tcW w:w="1134" w:type="dxa"/>
          </w:tcPr>
          <w:p w14:paraId="21844705"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0,093</w:t>
            </w:r>
          </w:p>
        </w:tc>
        <w:tc>
          <w:tcPr>
            <w:tcW w:w="3859" w:type="dxa"/>
          </w:tcPr>
          <w:p w14:paraId="6AA54209"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694734C9" w14:textId="77777777" w:rsidTr="00EA304D">
        <w:tc>
          <w:tcPr>
            <w:tcW w:w="1101" w:type="dxa"/>
          </w:tcPr>
          <w:p w14:paraId="0B45834C"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Z15.9</w:t>
            </w:r>
          </w:p>
        </w:tc>
        <w:tc>
          <w:tcPr>
            <w:tcW w:w="1984" w:type="dxa"/>
          </w:tcPr>
          <w:p w14:paraId="04CAB53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Oldřichov na Hranicích</w:t>
            </w:r>
          </w:p>
        </w:tc>
        <w:tc>
          <w:tcPr>
            <w:tcW w:w="1134" w:type="dxa"/>
          </w:tcPr>
          <w:p w14:paraId="6F966760"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0,446</w:t>
            </w:r>
          </w:p>
        </w:tc>
        <w:tc>
          <w:tcPr>
            <w:tcW w:w="1134" w:type="dxa"/>
          </w:tcPr>
          <w:p w14:paraId="7808C5C2"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0397954C"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5882ABCD" w14:textId="77777777" w:rsidTr="00EA304D">
        <w:tc>
          <w:tcPr>
            <w:tcW w:w="1101" w:type="dxa"/>
          </w:tcPr>
          <w:p w14:paraId="6BC0FB5A"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Z17.1a</w:t>
            </w:r>
          </w:p>
        </w:tc>
        <w:tc>
          <w:tcPr>
            <w:tcW w:w="1984" w:type="dxa"/>
          </w:tcPr>
          <w:p w14:paraId="6577A0F5"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3966BB2F"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0,137</w:t>
            </w:r>
          </w:p>
        </w:tc>
        <w:tc>
          <w:tcPr>
            <w:tcW w:w="1134" w:type="dxa"/>
          </w:tcPr>
          <w:p w14:paraId="3527CE4B"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0,137</w:t>
            </w:r>
          </w:p>
        </w:tc>
        <w:tc>
          <w:tcPr>
            <w:tcW w:w="3859" w:type="dxa"/>
          </w:tcPr>
          <w:p w14:paraId="5321F361"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444D91A4" w14:textId="77777777" w:rsidTr="00EA304D">
        <w:tc>
          <w:tcPr>
            <w:tcW w:w="1101" w:type="dxa"/>
          </w:tcPr>
          <w:p w14:paraId="2805AFF7"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Z18.6a</w:t>
            </w:r>
          </w:p>
        </w:tc>
        <w:tc>
          <w:tcPr>
            <w:tcW w:w="1984" w:type="dxa"/>
          </w:tcPr>
          <w:p w14:paraId="7D3C5E0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0FF162A8"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0,324</w:t>
            </w:r>
          </w:p>
        </w:tc>
        <w:tc>
          <w:tcPr>
            <w:tcW w:w="1134" w:type="dxa"/>
          </w:tcPr>
          <w:p w14:paraId="3A628E97" w14:textId="77777777" w:rsidR="00D56276" w:rsidRPr="00EA304D" w:rsidRDefault="00D56276" w:rsidP="00EA304D">
            <w:pPr>
              <w:pStyle w:val="1text"/>
              <w:spacing w:before="40" w:after="40"/>
              <w:jc w:val="right"/>
              <w:rPr>
                <w:sz w:val="20"/>
                <w:szCs w:val="20"/>
              </w:rPr>
            </w:pPr>
            <w:r w:rsidRPr="00EA304D">
              <w:rPr>
                <w:sz w:val="20"/>
                <w:szCs w:val="20"/>
              </w:rPr>
              <w:t>0,165</w:t>
            </w:r>
          </w:p>
        </w:tc>
        <w:tc>
          <w:tcPr>
            <w:tcW w:w="3859" w:type="dxa"/>
          </w:tcPr>
          <w:p w14:paraId="7204FC3D" w14:textId="77777777" w:rsidR="00D56276" w:rsidRPr="00EA304D" w:rsidRDefault="00D56276" w:rsidP="00EA304D">
            <w:pPr>
              <w:pStyle w:val="1text"/>
              <w:spacing w:before="40" w:after="40"/>
              <w:jc w:val="left"/>
              <w:rPr>
                <w:sz w:val="20"/>
                <w:szCs w:val="20"/>
              </w:rPr>
            </w:pPr>
            <w:r w:rsidRPr="00EA304D">
              <w:rPr>
                <w:sz w:val="20"/>
                <w:szCs w:val="20"/>
              </w:rPr>
              <w:t>zčásti realizováno</w:t>
            </w:r>
          </w:p>
        </w:tc>
      </w:tr>
      <w:tr w:rsidR="00D56276" w:rsidRPr="00EA304D" w14:paraId="5C3054FB" w14:textId="77777777" w:rsidTr="00EA304D">
        <w:tc>
          <w:tcPr>
            <w:tcW w:w="1101" w:type="dxa"/>
          </w:tcPr>
          <w:p w14:paraId="6ED9268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Z18.9</w:t>
            </w:r>
          </w:p>
        </w:tc>
        <w:tc>
          <w:tcPr>
            <w:tcW w:w="1984" w:type="dxa"/>
          </w:tcPr>
          <w:p w14:paraId="1BA8F79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3C2F4C2C" w14:textId="77777777" w:rsidR="00D56276" w:rsidRPr="00EA304D" w:rsidRDefault="00D56276" w:rsidP="00EA304D">
            <w:pPr>
              <w:pStyle w:val="1text"/>
              <w:spacing w:before="40" w:after="40"/>
              <w:jc w:val="right"/>
              <w:rPr>
                <w:sz w:val="20"/>
                <w:szCs w:val="20"/>
              </w:rPr>
            </w:pPr>
            <w:r>
              <w:rPr>
                <w:sz w:val="20"/>
                <w:szCs w:val="20"/>
              </w:rPr>
              <w:t>2,561</w:t>
            </w:r>
          </w:p>
        </w:tc>
        <w:tc>
          <w:tcPr>
            <w:tcW w:w="1134" w:type="dxa"/>
          </w:tcPr>
          <w:p w14:paraId="7D8A1889"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35DC36D5" w14:textId="77777777" w:rsidR="00D56276" w:rsidRPr="00EA304D" w:rsidRDefault="00D56276" w:rsidP="00EA304D">
            <w:pPr>
              <w:pStyle w:val="1text"/>
              <w:spacing w:before="40" w:after="40"/>
              <w:jc w:val="left"/>
              <w:rPr>
                <w:sz w:val="20"/>
                <w:szCs w:val="20"/>
              </w:rPr>
            </w:pPr>
            <w:r w:rsidRPr="00EA304D">
              <w:rPr>
                <w:sz w:val="20"/>
                <w:szCs w:val="20"/>
              </w:rPr>
              <w:t>nerealizováno, potvrzen zájem investora o využití</w:t>
            </w:r>
          </w:p>
        </w:tc>
      </w:tr>
      <w:tr w:rsidR="00D56276" w:rsidRPr="00EA304D" w14:paraId="3798349E" w14:textId="77777777" w:rsidTr="00EA304D">
        <w:tc>
          <w:tcPr>
            <w:tcW w:w="9212" w:type="dxa"/>
            <w:gridSpan w:val="5"/>
            <w:shd w:val="clear" w:color="auto" w:fill="EAF1DD" w:themeFill="accent3" w:themeFillTint="33"/>
          </w:tcPr>
          <w:p w14:paraId="45390596" w14:textId="77777777" w:rsidR="00D56276" w:rsidRPr="00EA304D" w:rsidRDefault="00D56276" w:rsidP="00EA304D">
            <w:pPr>
              <w:pStyle w:val="1text"/>
              <w:spacing w:before="40" w:after="40"/>
              <w:jc w:val="left"/>
              <w:rPr>
                <w:sz w:val="20"/>
                <w:szCs w:val="20"/>
              </w:rPr>
            </w:pPr>
            <w:r w:rsidRPr="00EA304D">
              <w:rPr>
                <w:sz w:val="20"/>
                <w:szCs w:val="20"/>
              </w:rPr>
              <w:t>PLOCHY DOPRAVY</w:t>
            </w:r>
          </w:p>
        </w:tc>
      </w:tr>
      <w:tr w:rsidR="00D56276" w:rsidRPr="00EA304D" w14:paraId="6DB5DD0E" w14:textId="77777777" w:rsidTr="00EA304D">
        <w:tc>
          <w:tcPr>
            <w:tcW w:w="1101" w:type="dxa"/>
          </w:tcPr>
          <w:p w14:paraId="6527652B"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8</w:t>
            </w:r>
          </w:p>
        </w:tc>
        <w:tc>
          <w:tcPr>
            <w:tcW w:w="1984" w:type="dxa"/>
          </w:tcPr>
          <w:p w14:paraId="3360FF4F"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2B2F47A0"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0,081</w:t>
            </w:r>
          </w:p>
        </w:tc>
        <w:tc>
          <w:tcPr>
            <w:tcW w:w="1134" w:type="dxa"/>
          </w:tcPr>
          <w:p w14:paraId="4FDB9B5E"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0,081</w:t>
            </w:r>
          </w:p>
        </w:tc>
        <w:tc>
          <w:tcPr>
            <w:tcW w:w="3859" w:type="dxa"/>
          </w:tcPr>
          <w:p w14:paraId="36E4419C"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0250C991" w14:textId="77777777" w:rsidTr="00EA304D">
        <w:tc>
          <w:tcPr>
            <w:tcW w:w="1101" w:type="dxa"/>
          </w:tcPr>
          <w:p w14:paraId="74EE44B0"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9</w:t>
            </w:r>
          </w:p>
        </w:tc>
        <w:tc>
          <w:tcPr>
            <w:tcW w:w="1984" w:type="dxa"/>
          </w:tcPr>
          <w:p w14:paraId="73CE15A3"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4420F83D"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0,350</w:t>
            </w:r>
          </w:p>
        </w:tc>
        <w:tc>
          <w:tcPr>
            <w:tcW w:w="1134" w:type="dxa"/>
          </w:tcPr>
          <w:p w14:paraId="3FE016E6"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12DB4E1F" w14:textId="77777777" w:rsidR="00D56276" w:rsidRPr="00EA304D" w:rsidRDefault="00D56276" w:rsidP="00EA304D">
            <w:pPr>
              <w:pStyle w:val="1text"/>
              <w:spacing w:before="40" w:after="40"/>
              <w:jc w:val="left"/>
              <w:rPr>
                <w:sz w:val="20"/>
                <w:szCs w:val="20"/>
              </w:rPr>
            </w:pPr>
            <w:r w:rsidRPr="00EA304D">
              <w:rPr>
                <w:sz w:val="20"/>
                <w:szCs w:val="20"/>
              </w:rPr>
              <w:t>nerealizováno, aktivní zóna záplavového území</w:t>
            </w:r>
          </w:p>
        </w:tc>
      </w:tr>
      <w:tr w:rsidR="00D56276" w:rsidRPr="00EA304D" w14:paraId="59ADF823" w14:textId="77777777" w:rsidTr="00EA304D">
        <w:tc>
          <w:tcPr>
            <w:tcW w:w="1101" w:type="dxa"/>
          </w:tcPr>
          <w:p w14:paraId="70516C0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10</w:t>
            </w:r>
          </w:p>
        </w:tc>
        <w:tc>
          <w:tcPr>
            <w:tcW w:w="1984" w:type="dxa"/>
          </w:tcPr>
          <w:p w14:paraId="7EAA5D20"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8C38CE2" w14:textId="77777777" w:rsidR="00D56276" w:rsidRPr="00EA304D" w:rsidRDefault="00D56276" w:rsidP="00EA304D">
            <w:pPr>
              <w:pStyle w:val="1text"/>
              <w:spacing w:before="40" w:after="40"/>
              <w:jc w:val="right"/>
              <w:rPr>
                <w:sz w:val="20"/>
                <w:szCs w:val="20"/>
              </w:rPr>
            </w:pPr>
            <w:r>
              <w:rPr>
                <w:sz w:val="20"/>
                <w:szCs w:val="20"/>
              </w:rPr>
              <w:t>0,121</w:t>
            </w:r>
          </w:p>
        </w:tc>
        <w:tc>
          <w:tcPr>
            <w:tcW w:w="1134" w:type="dxa"/>
          </w:tcPr>
          <w:p w14:paraId="3100A879"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014BF2CB" w14:textId="77777777" w:rsidR="00D56276" w:rsidRPr="00EA304D" w:rsidRDefault="00D56276" w:rsidP="00EA304D">
            <w:pPr>
              <w:pStyle w:val="1text"/>
              <w:spacing w:before="40" w:after="40"/>
              <w:jc w:val="left"/>
              <w:rPr>
                <w:sz w:val="20"/>
                <w:szCs w:val="20"/>
              </w:rPr>
            </w:pPr>
            <w:r>
              <w:rPr>
                <w:sz w:val="20"/>
                <w:szCs w:val="20"/>
              </w:rPr>
              <w:t>nerealizováno, změna koncepce</w:t>
            </w:r>
          </w:p>
        </w:tc>
      </w:tr>
      <w:tr w:rsidR="00D56276" w:rsidRPr="00EA304D" w14:paraId="1439EE73" w14:textId="77777777" w:rsidTr="00EA304D">
        <w:tc>
          <w:tcPr>
            <w:tcW w:w="1101" w:type="dxa"/>
          </w:tcPr>
          <w:p w14:paraId="02153EDF"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12</w:t>
            </w:r>
          </w:p>
        </w:tc>
        <w:tc>
          <w:tcPr>
            <w:tcW w:w="1984" w:type="dxa"/>
          </w:tcPr>
          <w:p w14:paraId="04199C06"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65834FB2" w14:textId="77777777" w:rsidR="00D56276" w:rsidRPr="00D47F4C" w:rsidRDefault="00D56276" w:rsidP="00EA304D">
            <w:pPr>
              <w:pStyle w:val="1text"/>
              <w:spacing w:before="40" w:after="40"/>
              <w:jc w:val="right"/>
              <w:rPr>
                <w:b/>
                <w:sz w:val="20"/>
                <w:szCs w:val="20"/>
              </w:rPr>
            </w:pPr>
            <w:r w:rsidRPr="00D47F4C">
              <w:rPr>
                <w:b/>
                <w:sz w:val="20"/>
                <w:szCs w:val="20"/>
              </w:rPr>
              <w:t>0,375</w:t>
            </w:r>
          </w:p>
        </w:tc>
        <w:tc>
          <w:tcPr>
            <w:tcW w:w="1134" w:type="dxa"/>
          </w:tcPr>
          <w:p w14:paraId="7995555D" w14:textId="77777777" w:rsidR="00D56276" w:rsidRPr="00D47F4C" w:rsidRDefault="00D56276" w:rsidP="00EA304D">
            <w:pPr>
              <w:pStyle w:val="1text"/>
              <w:spacing w:before="40" w:after="40"/>
              <w:jc w:val="right"/>
              <w:rPr>
                <w:b/>
                <w:sz w:val="20"/>
                <w:szCs w:val="20"/>
              </w:rPr>
            </w:pPr>
            <w:r w:rsidRPr="00D47F4C">
              <w:rPr>
                <w:b/>
                <w:sz w:val="20"/>
                <w:szCs w:val="20"/>
              </w:rPr>
              <w:t>0,375</w:t>
            </w:r>
          </w:p>
        </w:tc>
        <w:tc>
          <w:tcPr>
            <w:tcW w:w="3859" w:type="dxa"/>
          </w:tcPr>
          <w:p w14:paraId="70F8CF69"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009DF8FE" w14:textId="77777777" w:rsidTr="00EA304D">
        <w:tc>
          <w:tcPr>
            <w:tcW w:w="1101" w:type="dxa"/>
          </w:tcPr>
          <w:p w14:paraId="0D7D7CA2" w14:textId="77777777" w:rsidR="00D56276" w:rsidRPr="00D47F4C" w:rsidRDefault="00D56276" w:rsidP="0079226B">
            <w:pPr>
              <w:pStyle w:val="1text"/>
              <w:spacing w:before="40" w:after="40"/>
              <w:jc w:val="left"/>
              <w:rPr>
                <w:rFonts w:eastAsia="Times New Roman"/>
                <w:b/>
                <w:sz w:val="20"/>
                <w:szCs w:val="20"/>
                <w:lang w:eastAsia="cs-CZ"/>
              </w:rPr>
            </w:pPr>
            <w:r w:rsidRPr="00D47F4C">
              <w:rPr>
                <w:rFonts w:eastAsia="Times New Roman"/>
                <w:b/>
                <w:sz w:val="20"/>
                <w:szCs w:val="20"/>
                <w:lang w:eastAsia="cs-CZ"/>
              </w:rPr>
              <w:t xml:space="preserve">24 </w:t>
            </w:r>
          </w:p>
        </w:tc>
        <w:tc>
          <w:tcPr>
            <w:tcW w:w="1984" w:type="dxa"/>
          </w:tcPr>
          <w:p w14:paraId="222317F0"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375A17CC" w14:textId="77777777" w:rsidR="00D56276" w:rsidRPr="00D47F4C" w:rsidRDefault="00D56276" w:rsidP="00EA304D">
            <w:pPr>
              <w:pStyle w:val="1text"/>
              <w:spacing w:before="40" w:after="40"/>
              <w:jc w:val="right"/>
              <w:rPr>
                <w:b/>
                <w:sz w:val="20"/>
                <w:szCs w:val="20"/>
              </w:rPr>
            </w:pPr>
            <w:r w:rsidRPr="00D47F4C">
              <w:rPr>
                <w:b/>
                <w:sz w:val="20"/>
                <w:szCs w:val="20"/>
              </w:rPr>
              <w:t>0,968</w:t>
            </w:r>
          </w:p>
        </w:tc>
        <w:tc>
          <w:tcPr>
            <w:tcW w:w="1134" w:type="dxa"/>
          </w:tcPr>
          <w:p w14:paraId="164FBD23" w14:textId="77777777" w:rsidR="00D56276" w:rsidRPr="00D47F4C" w:rsidRDefault="00D56276" w:rsidP="00EA304D">
            <w:pPr>
              <w:pStyle w:val="1text"/>
              <w:spacing w:before="40" w:after="40"/>
              <w:jc w:val="right"/>
              <w:rPr>
                <w:b/>
                <w:sz w:val="20"/>
                <w:szCs w:val="20"/>
              </w:rPr>
            </w:pPr>
            <w:r w:rsidRPr="00D47F4C">
              <w:rPr>
                <w:b/>
                <w:sz w:val="20"/>
                <w:szCs w:val="20"/>
              </w:rPr>
              <w:t>0,968</w:t>
            </w:r>
          </w:p>
        </w:tc>
        <w:tc>
          <w:tcPr>
            <w:tcW w:w="3859" w:type="dxa"/>
          </w:tcPr>
          <w:p w14:paraId="0C179AE5" w14:textId="77777777" w:rsidR="00D56276" w:rsidRPr="00D47F4C" w:rsidRDefault="00D56276" w:rsidP="00EA304D">
            <w:pPr>
              <w:pStyle w:val="1text"/>
              <w:spacing w:before="40" w:after="40"/>
              <w:jc w:val="left"/>
              <w:rPr>
                <w:b/>
                <w:sz w:val="20"/>
                <w:szCs w:val="20"/>
              </w:rPr>
            </w:pPr>
            <w:r w:rsidRPr="00D47F4C">
              <w:rPr>
                <w:b/>
                <w:sz w:val="20"/>
                <w:szCs w:val="20"/>
              </w:rPr>
              <w:t>realizováno, cca z 50% využito pro smíšenou obytnou zástavbu</w:t>
            </w:r>
          </w:p>
        </w:tc>
      </w:tr>
      <w:tr w:rsidR="00D56276" w:rsidRPr="00EA304D" w14:paraId="5EA422A0" w14:textId="77777777" w:rsidTr="00EA304D">
        <w:tc>
          <w:tcPr>
            <w:tcW w:w="1101" w:type="dxa"/>
          </w:tcPr>
          <w:p w14:paraId="4765EBC9"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26</w:t>
            </w:r>
          </w:p>
        </w:tc>
        <w:tc>
          <w:tcPr>
            <w:tcW w:w="1984" w:type="dxa"/>
          </w:tcPr>
          <w:p w14:paraId="2C134AC0"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7B2766B0" w14:textId="77777777" w:rsidR="00D56276" w:rsidRPr="00EA304D" w:rsidRDefault="00D56276" w:rsidP="00EA304D">
            <w:pPr>
              <w:pStyle w:val="1text"/>
              <w:spacing w:before="40" w:after="40"/>
              <w:jc w:val="right"/>
              <w:rPr>
                <w:sz w:val="20"/>
                <w:szCs w:val="20"/>
              </w:rPr>
            </w:pPr>
            <w:r>
              <w:rPr>
                <w:sz w:val="20"/>
                <w:szCs w:val="20"/>
              </w:rPr>
              <w:t>0,102</w:t>
            </w:r>
          </w:p>
        </w:tc>
        <w:tc>
          <w:tcPr>
            <w:tcW w:w="1134" w:type="dxa"/>
          </w:tcPr>
          <w:p w14:paraId="319B5DF5"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307048C3" w14:textId="77777777" w:rsidR="00D56276" w:rsidRPr="00EA304D" w:rsidRDefault="00D56276" w:rsidP="00EA304D">
            <w:pPr>
              <w:pStyle w:val="1text"/>
              <w:spacing w:before="40" w:after="40"/>
              <w:jc w:val="left"/>
              <w:rPr>
                <w:sz w:val="20"/>
                <w:szCs w:val="20"/>
              </w:rPr>
            </w:pPr>
            <w:r>
              <w:rPr>
                <w:sz w:val="20"/>
                <w:szCs w:val="20"/>
              </w:rPr>
              <w:t>nerealizováno, změna koncepce</w:t>
            </w:r>
          </w:p>
        </w:tc>
      </w:tr>
      <w:tr w:rsidR="00D56276" w:rsidRPr="00EA304D" w14:paraId="28EB31A9" w14:textId="77777777" w:rsidTr="00EA304D">
        <w:tc>
          <w:tcPr>
            <w:tcW w:w="1101" w:type="dxa"/>
          </w:tcPr>
          <w:p w14:paraId="59D1406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27</w:t>
            </w:r>
          </w:p>
        </w:tc>
        <w:tc>
          <w:tcPr>
            <w:tcW w:w="1984" w:type="dxa"/>
          </w:tcPr>
          <w:p w14:paraId="4BA04E96"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5FF3BFE9" w14:textId="77777777" w:rsidR="00D56276" w:rsidRPr="00EA304D" w:rsidRDefault="00D56276" w:rsidP="00EA304D">
            <w:pPr>
              <w:pStyle w:val="1text"/>
              <w:spacing w:before="40" w:after="40"/>
              <w:jc w:val="right"/>
              <w:rPr>
                <w:sz w:val="20"/>
                <w:szCs w:val="20"/>
              </w:rPr>
            </w:pPr>
            <w:r>
              <w:rPr>
                <w:sz w:val="20"/>
                <w:szCs w:val="20"/>
              </w:rPr>
              <w:t>1,912</w:t>
            </w:r>
          </w:p>
        </w:tc>
        <w:tc>
          <w:tcPr>
            <w:tcW w:w="1134" w:type="dxa"/>
          </w:tcPr>
          <w:p w14:paraId="25162B4F"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5E882B1F" w14:textId="77777777" w:rsidR="00D56276" w:rsidRPr="00EA304D" w:rsidRDefault="00D56276" w:rsidP="00EA304D">
            <w:pPr>
              <w:pStyle w:val="1text"/>
              <w:spacing w:before="40" w:after="40"/>
              <w:jc w:val="left"/>
              <w:rPr>
                <w:sz w:val="20"/>
                <w:szCs w:val="20"/>
              </w:rPr>
            </w:pPr>
            <w:r>
              <w:rPr>
                <w:sz w:val="20"/>
                <w:szCs w:val="20"/>
              </w:rPr>
              <w:t>nerealizováno, změna koncepce</w:t>
            </w:r>
          </w:p>
        </w:tc>
      </w:tr>
      <w:tr w:rsidR="00D56276" w:rsidRPr="00EA304D" w14:paraId="792E6AFC" w14:textId="77777777" w:rsidTr="00EA304D">
        <w:tc>
          <w:tcPr>
            <w:tcW w:w="1101" w:type="dxa"/>
          </w:tcPr>
          <w:p w14:paraId="61DCDB5D" w14:textId="77777777" w:rsidR="00D56276" w:rsidRPr="00EA304D" w:rsidRDefault="00D56276" w:rsidP="00EA304D">
            <w:pPr>
              <w:pStyle w:val="1text"/>
              <w:spacing w:before="40" w:after="40"/>
              <w:jc w:val="left"/>
              <w:rPr>
                <w:rFonts w:eastAsia="Times New Roman"/>
                <w:sz w:val="20"/>
                <w:szCs w:val="20"/>
                <w:lang w:eastAsia="cs-CZ"/>
              </w:rPr>
            </w:pPr>
            <w:r>
              <w:rPr>
                <w:rFonts w:eastAsia="Times New Roman"/>
                <w:sz w:val="20"/>
                <w:szCs w:val="20"/>
                <w:lang w:eastAsia="cs-CZ"/>
              </w:rPr>
              <w:t>28</w:t>
            </w:r>
          </w:p>
        </w:tc>
        <w:tc>
          <w:tcPr>
            <w:tcW w:w="1984" w:type="dxa"/>
          </w:tcPr>
          <w:p w14:paraId="70D856C0"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3684E708" w14:textId="77777777" w:rsidR="00D56276" w:rsidRPr="00EA304D" w:rsidRDefault="00D56276" w:rsidP="00EA304D">
            <w:pPr>
              <w:pStyle w:val="1text"/>
              <w:spacing w:before="40" w:after="40"/>
              <w:jc w:val="right"/>
              <w:rPr>
                <w:sz w:val="20"/>
                <w:szCs w:val="20"/>
                <w:highlight w:val="green"/>
              </w:rPr>
            </w:pPr>
            <w:r>
              <w:rPr>
                <w:sz w:val="20"/>
                <w:szCs w:val="20"/>
              </w:rPr>
              <w:t>0,429</w:t>
            </w:r>
          </w:p>
        </w:tc>
        <w:tc>
          <w:tcPr>
            <w:tcW w:w="1134" w:type="dxa"/>
          </w:tcPr>
          <w:p w14:paraId="239FEB4F" w14:textId="77777777" w:rsidR="00D56276" w:rsidRPr="00EA304D" w:rsidRDefault="00D56276" w:rsidP="00EA304D">
            <w:pPr>
              <w:pStyle w:val="1text"/>
              <w:spacing w:before="40" w:after="40"/>
              <w:jc w:val="right"/>
              <w:rPr>
                <w:sz w:val="20"/>
                <w:szCs w:val="20"/>
                <w:highlight w:val="green"/>
              </w:rPr>
            </w:pPr>
            <w:r>
              <w:rPr>
                <w:sz w:val="20"/>
                <w:szCs w:val="20"/>
              </w:rPr>
              <w:t>0</w:t>
            </w:r>
          </w:p>
        </w:tc>
        <w:tc>
          <w:tcPr>
            <w:tcW w:w="3859" w:type="dxa"/>
          </w:tcPr>
          <w:p w14:paraId="49130187" w14:textId="77777777" w:rsidR="00D56276" w:rsidRPr="00EA304D" w:rsidRDefault="00D56276" w:rsidP="00EA304D">
            <w:pPr>
              <w:pStyle w:val="1text"/>
              <w:spacing w:before="40" w:after="40"/>
              <w:jc w:val="left"/>
              <w:rPr>
                <w:sz w:val="20"/>
                <w:szCs w:val="20"/>
                <w:highlight w:val="green"/>
              </w:rPr>
            </w:pPr>
            <w:r>
              <w:rPr>
                <w:sz w:val="20"/>
                <w:szCs w:val="20"/>
              </w:rPr>
              <w:t>nerealizováno, změna koncepce</w:t>
            </w:r>
          </w:p>
        </w:tc>
      </w:tr>
      <w:tr w:rsidR="00D56276" w:rsidRPr="00EA304D" w14:paraId="521A67D8" w14:textId="77777777" w:rsidTr="00EA304D">
        <w:tc>
          <w:tcPr>
            <w:tcW w:w="1101" w:type="dxa"/>
          </w:tcPr>
          <w:p w14:paraId="04CB48AD"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39</w:t>
            </w:r>
          </w:p>
        </w:tc>
        <w:tc>
          <w:tcPr>
            <w:tcW w:w="1984" w:type="dxa"/>
          </w:tcPr>
          <w:p w14:paraId="05AFC388"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42ECF21A" w14:textId="77777777" w:rsidR="00D56276" w:rsidRPr="00D47F4C" w:rsidRDefault="00D56276" w:rsidP="00EA304D">
            <w:pPr>
              <w:pStyle w:val="1text"/>
              <w:spacing w:before="40" w:after="40"/>
              <w:jc w:val="right"/>
              <w:rPr>
                <w:b/>
                <w:sz w:val="20"/>
                <w:szCs w:val="20"/>
              </w:rPr>
            </w:pPr>
            <w:r w:rsidRPr="00D47F4C">
              <w:rPr>
                <w:b/>
                <w:sz w:val="20"/>
                <w:szCs w:val="20"/>
              </w:rPr>
              <w:t>1,256</w:t>
            </w:r>
          </w:p>
        </w:tc>
        <w:tc>
          <w:tcPr>
            <w:tcW w:w="1134" w:type="dxa"/>
          </w:tcPr>
          <w:p w14:paraId="1710A40B" w14:textId="77777777" w:rsidR="00D56276" w:rsidRPr="00D47F4C" w:rsidRDefault="00D56276" w:rsidP="00EA304D">
            <w:pPr>
              <w:pStyle w:val="1text"/>
              <w:spacing w:before="40" w:after="40"/>
              <w:jc w:val="right"/>
              <w:rPr>
                <w:b/>
                <w:sz w:val="20"/>
                <w:szCs w:val="20"/>
              </w:rPr>
            </w:pPr>
            <w:r w:rsidRPr="00D47F4C">
              <w:rPr>
                <w:b/>
                <w:sz w:val="20"/>
                <w:szCs w:val="20"/>
              </w:rPr>
              <w:t>1,256</w:t>
            </w:r>
          </w:p>
        </w:tc>
        <w:tc>
          <w:tcPr>
            <w:tcW w:w="3859" w:type="dxa"/>
          </w:tcPr>
          <w:p w14:paraId="7471F03E"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3D01AA49" w14:textId="77777777" w:rsidTr="00EA304D">
        <w:tc>
          <w:tcPr>
            <w:tcW w:w="1101" w:type="dxa"/>
          </w:tcPr>
          <w:p w14:paraId="5A0EA3E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42</w:t>
            </w:r>
          </w:p>
        </w:tc>
        <w:tc>
          <w:tcPr>
            <w:tcW w:w="1984" w:type="dxa"/>
          </w:tcPr>
          <w:p w14:paraId="7EB2DE5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F086807" w14:textId="77777777" w:rsidR="00D56276" w:rsidRPr="00EA304D" w:rsidRDefault="00D56276" w:rsidP="00EA304D">
            <w:pPr>
              <w:pStyle w:val="1text"/>
              <w:spacing w:before="40" w:after="40"/>
              <w:jc w:val="right"/>
              <w:rPr>
                <w:sz w:val="20"/>
                <w:szCs w:val="20"/>
              </w:rPr>
            </w:pPr>
            <w:r>
              <w:rPr>
                <w:sz w:val="20"/>
                <w:szCs w:val="20"/>
              </w:rPr>
              <w:t>0,226</w:t>
            </w:r>
          </w:p>
        </w:tc>
        <w:tc>
          <w:tcPr>
            <w:tcW w:w="1134" w:type="dxa"/>
          </w:tcPr>
          <w:p w14:paraId="708BA5D6"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38660604" w14:textId="77777777" w:rsidR="00D56276" w:rsidRPr="00EA304D" w:rsidRDefault="00D56276" w:rsidP="00EA304D">
            <w:pPr>
              <w:pStyle w:val="1text"/>
              <w:spacing w:before="40" w:after="40"/>
              <w:jc w:val="left"/>
              <w:rPr>
                <w:sz w:val="20"/>
                <w:szCs w:val="20"/>
              </w:rPr>
            </w:pPr>
            <w:r>
              <w:rPr>
                <w:sz w:val="20"/>
                <w:szCs w:val="20"/>
              </w:rPr>
              <w:t>nerealizováno, změna koncepce</w:t>
            </w:r>
          </w:p>
        </w:tc>
      </w:tr>
      <w:tr w:rsidR="00D56276" w:rsidRPr="00EA304D" w14:paraId="35B9CB1B" w14:textId="77777777" w:rsidTr="00EA304D">
        <w:tc>
          <w:tcPr>
            <w:tcW w:w="1101" w:type="dxa"/>
          </w:tcPr>
          <w:p w14:paraId="03EE7C67"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47</w:t>
            </w:r>
          </w:p>
        </w:tc>
        <w:tc>
          <w:tcPr>
            <w:tcW w:w="1984" w:type="dxa"/>
          </w:tcPr>
          <w:p w14:paraId="6F2732A3"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4DCE9265" w14:textId="77777777" w:rsidR="00D56276" w:rsidRPr="00EA304D" w:rsidRDefault="00D56276" w:rsidP="00EA304D">
            <w:pPr>
              <w:pStyle w:val="1text"/>
              <w:spacing w:before="40" w:after="40"/>
              <w:jc w:val="right"/>
              <w:rPr>
                <w:sz w:val="20"/>
                <w:szCs w:val="20"/>
              </w:rPr>
            </w:pPr>
            <w:r>
              <w:rPr>
                <w:sz w:val="20"/>
                <w:szCs w:val="20"/>
              </w:rPr>
              <w:t>0,169</w:t>
            </w:r>
          </w:p>
        </w:tc>
        <w:tc>
          <w:tcPr>
            <w:tcW w:w="1134" w:type="dxa"/>
          </w:tcPr>
          <w:p w14:paraId="08D31E36"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263AB837" w14:textId="77777777" w:rsidR="00D56276" w:rsidRPr="00EA304D" w:rsidRDefault="00D56276" w:rsidP="00EA304D">
            <w:pPr>
              <w:pStyle w:val="1text"/>
              <w:spacing w:before="40" w:after="40"/>
              <w:jc w:val="left"/>
              <w:rPr>
                <w:sz w:val="20"/>
                <w:szCs w:val="20"/>
              </w:rPr>
            </w:pPr>
            <w:r>
              <w:rPr>
                <w:sz w:val="20"/>
                <w:szCs w:val="20"/>
              </w:rPr>
              <w:t>nerealizováno, změna koncepce</w:t>
            </w:r>
          </w:p>
        </w:tc>
      </w:tr>
      <w:tr w:rsidR="00D56276" w:rsidRPr="00EA304D" w14:paraId="58384811" w14:textId="77777777" w:rsidTr="00EA304D">
        <w:tc>
          <w:tcPr>
            <w:tcW w:w="1101" w:type="dxa"/>
          </w:tcPr>
          <w:p w14:paraId="33B19C5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50</w:t>
            </w:r>
          </w:p>
        </w:tc>
        <w:tc>
          <w:tcPr>
            <w:tcW w:w="1984" w:type="dxa"/>
          </w:tcPr>
          <w:p w14:paraId="3FC7345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582F7758" w14:textId="77777777" w:rsidR="00D56276" w:rsidRPr="00EA304D" w:rsidRDefault="00D56276" w:rsidP="00F61608">
            <w:pPr>
              <w:spacing w:before="40" w:after="40" w:line="240" w:lineRule="auto"/>
              <w:jc w:val="right"/>
              <w:rPr>
                <w:rFonts w:eastAsia="Times New Roman"/>
                <w:sz w:val="20"/>
                <w:szCs w:val="20"/>
                <w:lang w:eastAsia="cs-CZ"/>
              </w:rPr>
            </w:pPr>
            <w:r>
              <w:rPr>
                <w:rFonts w:eastAsia="Times New Roman"/>
                <w:sz w:val="20"/>
                <w:szCs w:val="20"/>
                <w:lang w:eastAsia="cs-CZ"/>
              </w:rPr>
              <w:t>0,349</w:t>
            </w:r>
          </w:p>
        </w:tc>
        <w:tc>
          <w:tcPr>
            <w:tcW w:w="1134" w:type="dxa"/>
          </w:tcPr>
          <w:p w14:paraId="30025C56"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659D2243" w14:textId="77777777" w:rsidR="00D56276" w:rsidRPr="00EA304D" w:rsidRDefault="00D56276" w:rsidP="00EA304D">
            <w:pPr>
              <w:pStyle w:val="1text"/>
              <w:spacing w:before="40" w:after="40"/>
              <w:jc w:val="left"/>
              <w:rPr>
                <w:sz w:val="20"/>
                <w:szCs w:val="20"/>
              </w:rPr>
            </w:pPr>
            <w:r>
              <w:rPr>
                <w:sz w:val="20"/>
                <w:szCs w:val="20"/>
              </w:rPr>
              <w:t>nerealizováno, změna koncepce</w:t>
            </w:r>
          </w:p>
        </w:tc>
      </w:tr>
      <w:tr w:rsidR="00D56276" w:rsidRPr="00EA304D" w14:paraId="26E08B90" w14:textId="77777777" w:rsidTr="00EA304D">
        <w:tc>
          <w:tcPr>
            <w:tcW w:w="1101" w:type="dxa"/>
          </w:tcPr>
          <w:p w14:paraId="0231AB51"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54</w:t>
            </w:r>
          </w:p>
        </w:tc>
        <w:tc>
          <w:tcPr>
            <w:tcW w:w="1984" w:type="dxa"/>
          </w:tcPr>
          <w:p w14:paraId="4685EE8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1B1DBD45" w14:textId="77777777" w:rsidR="00D56276" w:rsidRPr="00EA304D" w:rsidRDefault="00D56276" w:rsidP="00EA304D">
            <w:pPr>
              <w:pStyle w:val="1text"/>
              <w:spacing w:before="40" w:after="40"/>
              <w:jc w:val="right"/>
              <w:rPr>
                <w:sz w:val="20"/>
                <w:szCs w:val="20"/>
              </w:rPr>
            </w:pPr>
            <w:r>
              <w:rPr>
                <w:sz w:val="20"/>
                <w:szCs w:val="20"/>
              </w:rPr>
              <w:t>0,020</w:t>
            </w:r>
          </w:p>
        </w:tc>
        <w:tc>
          <w:tcPr>
            <w:tcW w:w="1134" w:type="dxa"/>
          </w:tcPr>
          <w:p w14:paraId="5EF2B7F6"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2088458A" w14:textId="77777777" w:rsidR="00D56276" w:rsidRPr="00EA304D" w:rsidRDefault="00D56276" w:rsidP="00EA304D">
            <w:pPr>
              <w:pStyle w:val="1text"/>
              <w:spacing w:before="40" w:after="40"/>
              <w:jc w:val="left"/>
              <w:rPr>
                <w:sz w:val="20"/>
                <w:szCs w:val="20"/>
              </w:rPr>
            </w:pPr>
            <w:r>
              <w:rPr>
                <w:sz w:val="20"/>
                <w:szCs w:val="20"/>
              </w:rPr>
              <w:t>nerealizováno, změna koncepce</w:t>
            </w:r>
          </w:p>
        </w:tc>
      </w:tr>
      <w:tr w:rsidR="00D56276" w:rsidRPr="00EA304D" w14:paraId="49E703E8" w14:textId="77777777" w:rsidTr="00EA304D">
        <w:tc>
          <w:tcPr>
            <w:tcW w:w="1101" w:type="dxa"/>
          </w:tcPr>
          <w:p w14:paraId="0F56D14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55</w:t>
            </w:r>
          </w:p>
        </w:tc>
        <w:tc>
          <w:tcPr>
            <w:tcW w:w="1984" w:type="dxa"/>
          </w:tcPr>
          <w:p w14:paraId="10A772F4" w14:textId="77777777" w:rsidR="00D56276" w:rsidRPr="00826C16" w:rsidRDefault="00D56276" w:rsidP="00EA304D">
            <w:pPr>
              <w:pStyle w:val="1text"/>
              <w:spacing w:before="40" w:after="40"/>
              <w:jc w:val="left"/>
              <w:rPr>
                <w:rFonts w:eastAsia="Times New Roman"/>
                <w:sz w:val="20"/>
                <w:szCs w:val="20"/>
                <w:lang w:eastAsia="cs-CZ"/>
              </w:rPr>
            </w:pPr>
            <w:r w:rsidRPr="00826C16">
              <w:rPr>
                <w:rFonts w:eastAsia="Times New Roman"/>
                <w:sz w:val="20"/>
                <w:szCs w:val="20"/>
                <w:lang w:eastAsia="cs-CZ"/>
              </w:rPr>
              <w:t>Hrádek nad Nisou</w:t>
            </w:r>
          </w:p>
        </w:tc>
        <w:tc>
          <w:tcPr>
            <w:tcW w:w="1134" w:type="dxa"/>
          </w:tcPr>
          <w:p w14:paraId="02F1AC2C" w14:textId="77777777" w:rsidR="00D56276" w:rsidRPr="00826C16" w:rsidRDefault="00826C16" w:rsidP="00EA304D">
            <w:pPr>
              <w:pStyle w:val="1text"/>
              <w:spacing w:before="40" w:after="40"/>
              <w:jc w:val="right"/>
              <w:rPr>
                <w:sz w:val="20"/>
                <w:szCs w:val="20"/>
              </w:rPr>
            </w:pPr>
            <w:r w:rsidRPr="00826C16">
              <w:rPr>
                <w:sz w:val="20"/>
                <w:szCs w:val="20"/>
              </w:rPr>
              <w:t>0,049</w:t>
            </w:r>
          </w:p>
        </w:tc>
        <w:tc>
          <w:tcPr>
            <w:tcW w:w="1134" w:type="dxa"/>
          </w:tcPr>
          <w:p w14:paraId="0C66C9F0"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5E5DA746" w14:textId="77777777" w:rsidR="00D56276" w:rsidRPr="00EA304D" w:rsidRDefault="00D56276" w:rsidP="00EA304D">
            <w:pPr>
              <w:pStyle w:val="1text"/>
              <w:spacing w:before="40" w:after="40"/>
              <w:jc w:val="left"/>
              <w:rPr>
                <w:sz w:val="20"/>
                <w:szCs w:val="20"/>
              </w:rPr>
            </w:pPr>
            <w:r>
              <w:rPr>
                <w:sz w:val="20"/>
                <w:szCs w:val="20"/>
              </w:rPr>
              <w:t>nerealizováno, změna koncepce</w:t>
            </w:r>
          </w:p>
        </w:tc>
      </w:tr>
      <w:tr w:rsidR="00D56276" w:rsidRPr="00EA304D" w14:paraId="0852E347" w14:textId="77777777" w:rsidTr="00EA304D">
        <w:tc>
          <w:tcPr>
            <w:tcW w:w="1101" w:type="dxa"/>
          </w:tcPr>
          <w:p w14:paraId="3E8DC3E2" w14:textId="77777777" w:rsidR="00D56276" w:rsidRPr="00EA304D" w:rsidRDefault="00D56276" w:rsidP="009D14CC">
            <w:pPr>
              <w:pStyle w:val="1text"/>
              <w:spacing w:before="40" w:after="40"/>
              <w:jc w:val="left"/>
              <w:rPr>
                <w:rFonts w:eastAsia="Times New Roman"/>
                <w:sz w:val="20"/>
                <w:szCs w:val="20"/>
                <w:lang w:eastAsia="cs-CZ"/>
              </w:rPr>
            </w:pPr>
            <w:r w:rsidRPr="00EA304D">
              <w:rPr>
                <w:rFonts w:eastAsia="Times New Roman"/>
                <w:sz w:val="20"/>
                <w:szCs w:val="20"/>
                <w:lang w:eastAsia="cs-CZ"/>
              </w:rPr>
              <w:t xml:space="preserve">57 </w:t>
            </w:r>
          </w:p>
        </w:tc>
        <w:tc>
          <w:tcPr>
            <w:tcW w:w="1984" w:type="dxa"/>
          </w:tcPr>
          <w:p w14:paraId="5FA07E7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2B2021AD"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0,111</w:t>
            </w:r>
          </w:p>
        </w:tc>
        <w:tc>
          <w:tcPr>
            <w:tcW w:w="1134" w:type="dxa"/>
          </w:tcPr>
          <w:p w14:paraId="0AB8B527" w14:textId="77777777" w:rsidR="00D56276" w:rsidRPr="00EA304D" w:rsidRDefault="00D56276" w:rsidP="00EA304D">
            <w:pPr>
              <w:pStyle w:val="1text"/>
              <w:spacing w:before="40" w:after="40"/>
              <w:jc w:val="right"/>
              <w:rPr>
                <w:sz w:val="20"/>
                <w:szCs w:val="20"/>
              </w:rPr>
            </w:pPr>
            <w:r w:rsidRPr="00F61608">
              <w:rPr>
                <w:sz w:val="20"/>
                <w:szCs w:val="20"/>
              </w:rPr>
              <w:t>0</w:t>
            </w:r>
          </w:p>
        </w:tc>
        <w:tc>
          <w:tcPr>
            <w:tcW w:w="3859" w:type="dxa"/>
          </w:tcPr>
          <w:p w14:paraId="6B0A61B2" w14:textId="77777777" w:rsidR="00D56276" w:rsidRPr="00EA304D" w:rsidRDefault="00D56276" w:rsidP="00EA304D">
            <w:pPr>
              <w:pStyle w:val="1text"/>
              <w:spacing w:before="40" w:after="40"/>
              <w:jc w:val="left"/>
              <w:rPr>
                <w:sz w:val="20"/>
                <w:szCs w:val="20"/>
              </w:rPr>
            </w:pPr>
            <w:r w:rsidRPr="00F61608">
              <w:rPr>
                <w:sz w:val="20"/>
                <w:szCs w:val="20"/>
              </w:rPr>
              <w:t>nerealizováno, změna koncepce</w:t>
            </w:r>
          </w:p>
        </w:tc>
      </w:tr>
      <w:tr w:rsidR="00D56276" w:rsidRPr="00EA304D" w14:paraId="442E3D2F" w14:textId="77777777" w:rsidTr="00EA304D">
        <w:tc>
          <w:tcPr>
            <w:tcW w:w="1101" w:type="dxa"/>
          </w:tcPr>
          <w:p w14:paraId="6EE5C6C6"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74</w:t>
            </w:r>
          </w:p>
        </w:tc>
        <w:tc>
          <w:tcPr>
            <w:tcW w:w="1984" w:type="dxa"/>
          </w:tcPr>
          <w:p w14:paraId="00078BAD"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3C861522" w14:textId="77777777" w:rsidR="00D56276" w:rsidRPr="00EA304D" w:rsidRDefault="00D56276" w:rsidP="00EA304D">
            <w:pPr>
              <w:pStyle w:val="1text"/>
              <w:spacing w:before="40" w:after="40"/>
              <w:jc w:val="right"/>
              <w:rPr>
                <w:sz w:val="20"/>
                <w:szCs w:val="20"/>
              </w:rPr>
            </w:pPr>
            <w:r>
              <w:rPr>
                <w:sz w:val="20"/>
                <w:szCs w:val="20"/>
              </w:rPr>
              <w:t>0,064</w:t>
            </w:r>
          </w:p>
        </w:tc>
        <w:tc>
          <w:tcPr>
            <w:tcW w:w="1134" w:type="dxa"/>
          </w:tcPr>
          <w:p w14:paraId="7EE59669"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48C8388C" w14:textId="77777777" w:rsidR="00D56276" w:rsidRPr="00EA304D" w:rsidRDefault="00D56276" w:rsidP="00EA304D">
            <w:pPr>
              <w:pStyle w:val="1text"/>
              <w:spacing w:before="40" w:after="40"/>
              <w:jc w:val="left"/>
              <w:rPr>
                <w:sz w:val="20"/>
                <w:szCs w:val="20"/>
              </w:rPr>
            </w:pPr>
            <w:r w:rsidRPr="00EA304D">
              <w:rPr>
                <w:sz w:val="20"/>
                <w:szCs w:val="20"/>
              </w:rPr>
              <w:t>nerealizováno</w:t>
            </w:r>
            <w:r w:rsidRPr="00F61608">
              <w:rPr>
                <w:sz w:val="20"/>
                <w:szCs w:val="20"/>
              </w:rPr>
              <w:t>, změna koncepce</w:t>
            </w:r>
          </w:p>
        </w:tc>
      </w:tr>
      <w:tr w:rsidR="00D56276" w:rsidRPr="00EA304D" w14:paraId="7B7AF7B4" w14:textId="77777777" w:rsidTr="00EA304D">
        <w:tc>
          <w:tcPr>
            <w:tcW w:w="1101" w:type="dxa"/>
          </w:tcPr>
          <w:p w14:paraId="3CEE043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92</w:t>
            </w:r>
          </w:p>
        </w:tc>
        <w:tc>
          <w:tcPr>
            <w:tcW w:w="1984" w:type="dxa"/>
          </w:tcPr>
          <w:p w14:paraId="1225CC5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4F1DDFB4" w14:textId="77777777" w:rsidR="00D56276" w:rsidRPr="00EA304D" w:rsidRDefault="00D56276" w:rsidP="00EA304D">
            <w:pPr>
              <w:pStyle w:val="1text"/>
              <w:spacing w:before="40" w:after="40"/>
              <w:jc w:val="right"/>
              <w:rPr>
                <w:sz w:val="20"/>
                <w:szCs w:val="20"/>
              </w:rPr>
            </w:pPr>
            <w:r>
              <w:rPr>
                <w:sz w:val="20"/>
                <w:szCs w:val="20"/>
              </w:rPr>
              <w:t>0,121</w:t>
            </w:r>
          </w:p>
        </w:tc>
        <w:tc>
          <w:tcPr>
            <w:tcW w:w="1134" w:type="dxa"/>
          </w:tcPr>
          <w:p w14:paraId="481BE703"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717A4A22" w14:textId="77777777" w:rsidR="00D56276" w:rsidRPr="00EA304D" w:rsidRDefault="00D56276" w:rsidP="00EA304D">
            <w:pPr>
              <w:pStyle w:val="1text"/>
              <w:spacing w:before="40" w:after="40"/>
              <w:jc w:val="left"/>
              <w:rPr>
                <w:sz w:val="20"/>
                <w:szCs w:val="20"/>
              </w:rPr>
            </w:pPr>
            <w:r w:rsidRPr="00EA304D">
              <w:rPr>
                <w:sz w:val="20"/>
                <w:szCs w:val="20"/>
              </w:rPr>
              <w:t>nerealizováno</w:t>
            </w:r>
            <w:r w:rsidRPr="00F61608">
              <w:rPr>
                <w:sz w:val="20"/>
                <w:szCs w:val="20"/>
              </w:rPr>
              <w:t>, změna koncepce</w:t>
            </w:r>
          </w:p>
        </w:tc>
      </w:tr>
      <w:tr w:rsidR="00D56276" w:rsidRPr="00EA304D" w14:paraId="04245465" w14:textId="77777777" w:rsidTr="00EA304D">
        <w:tc>
          <w:tcPr>
            <w:tcW w:w="1101" w:type="dxa"/>
          </w:tcPr>
          <w:p w14:paraId="377DB03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93</w:t>
            </w:r>
          </w:p>
        </w:tc>
        <w:tc>
          <w:tcPr>
            <w:tcW w:w="1984" w:type="dxa"/>
          </w:tcPr>
          <w:p w14:paraId="6BDF4477"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Loučná</w:t>
            </w:r>
          </w:p>
        </w:tc>
        <w:tc>
          <w:tcPr>
            <w:tcW w:w="1134" w:type="dxa"/>
          </w:tcPr>
          <w:p w14:paraId="6F52726D" w14:textId="77777777" w:rsidR="00D56276" w:rsidRPr="00EA304D" w:rsidRDefault="00D56276" w:rsidP="00EA304D">
            <w:pPr>
              <w:pStyle w:val="1text"/>
              <w:spacing w:before="40" w:after="40"/>
              <w:jc w:val="right"/>
              <w:rPr>
                <w:sz w:val="20"/>
                <w:szCs w:val="20"/>
              </w:rPr>
            </w:pPr>
            <w:r>
              <w:rPr>
                <w:sz w:val="20"/>
                <w:szCs w:val="20"/>
              </w:rPr>
              <w:t>0,059</w:t>
            </w:r>
          </w:p>
        </w:tc>
        <w:tc>
          <w:tcPr>
            <w:tcW w:w="1134" w:type="dxa"/>
          </w:tcPr>
          <w:p w14:paraId="48FCC0B3"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23796BAB" w14:textId="77777777" w:rsidR="00D56276" w:rsidRPr="00EA304D" w:rsidRDefault="00D56276" w:rsidP="00EA304D">
            <w:pPr>
              <w:pStyle w:val="1text"/>
              <w:spacing w:before="40" w:after="40"/>
              <w:jc w:val="left"/>
              <w:rPr>
                <w:sz w:val="20"/>
                <w:szCs w:val="20"/>
              </w:rPr>
            </w:pPr>
            <w:r w:rsidRPr="00EA304D">
              <w:rPr>
                <w:sz w:val="20"/>
                <w:szCs w:val="20"/>
              </w:rPr>
              <w:t>nerealizováno</w:t>
            </w:r>
            <w:r w:rsidRPr="00F61608">
              <w:rPr>
                <w:sz w:val="20"/>
                <w:szCs w:val="20"/>
              </w:rPr>
              <w:t>, změna koncepce</w:t>
            </w:r>
          </w:p>
        </w:tc>
      </w:tr>
      <w:tr w:rsidR="00D56276" w:rsidRPr="00EA304D" w14:paraId="6F99181E" w14:textId="77777777" w:rsidTr="00EA304D">
        <w:tc>
          <w:tcPr>
            <w:tcW w:w="1101" w:type="dxa"/>
          </w:tcPr>
          <w:p w14:paraId="00C64EE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103</w:t>
            </w:r>
          </w:p>
        </w:tc>
        <w:tc>
          <w:tcPr>
            <w:tcW w:w="1984" w:type="dxa"/>
          </w:tcPr>
          <w:p w14:paraId="52CEC8B1"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61F60C09" w14:textId="77777777" w:rsidR="00D56276" w:rsidRPr="00EA304D" w:rsidRDefault="00D56276" w:rsidP="00EA304D">
            <w:pPr>
              <w:pStyle w:val="1text"/>
              <w:spacing w:before="40" w:after="40"/>
              <w:jc w:val="right"/>
              <w:rPr>
                <w:sz w:val="20"/>
                <w:szCs w:val="20"/>
              </w:rPr>
            </w:pPr>
            <w:r>
              <w:rPr>
                <w:sz w:val="20"/>
                <w:szCs w:val="20"/>
              </w:rPr>
              <w:t>0,101</w:t>
            </w:r>
          </w:p>
        </w:tc>
        <w:tc>
          <w:tcPr>
            <w:tcW w:w="1134" w:type="dxa"/>
          </w:tcPr>
          <w:p w14:paraId="3738A37D"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12E4D3AC" w14:textId="77777777" w:rsidR="00D56276" w:rsidRPr="00EA304D" w:rsidRDefault="00D56276" w:rsidP="00EA304D">
            <w:pPr>
              <w:pStyle w:val="1text"/>
              <w:spacing w:before="40" w:after="40"/>
              <w:jc w:val="left"/>
              <w:rPr>
                <w:sz w:val="20"/>
                <w:szCs w:val="20"/>
              </w:rPr>
            </w:pPr>
            <w:r w:rsidRPr="00EA304D">
              <w:rPr>
                <w:sz w:val="20"/>
                <w:szCs w:val="20"/>
              </w:rPr>
              <w:t>nerealizováno</w:t>
            </w:r>
            <w:r w:rsidRPr="00F61608">
              <w:rPr>
                <w:sz w:val="20"/>
                <w:szCs w:val="20"/>
              </w:rPr>
              <w:t>, změna koncepce</w:t>
            </w:r>
          </w:p>
        </w:tc>
      </w:tr>
      <w:tr w:rsidR="00D56276" w:rsidRPr="00EA304D" w14:paraId="68CC8E0A" w14:textId="77777777" w:rsidTr="00EA304D">
        <w:tc>
          <w:tcPr>
            <w:tcW w:w="1101" w:type="dxa"/>
          </w:tcPr>
          <w:p w14:paraId="5F3F1E4C"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lastRenderedPageBreak/>
              <w:t>108</w:t>
            </w:r>
          </w:p>
        </w:tc>
        <w:tc>
          <w:tcPr>
            <w:tcW w:w="1984" w:type="dxa"/>
          </w:tcPr>
          <w:p w14:paraId="137A3CED"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5380187A" w14:textId="77777777" w:rsidR="00D56276" w:rsidRPr="00D47F4C" w:rsidRDefault="00D56276" w:rsidP="00EA304D">
            <w:pPr>
              <w:pStyle w:val="1text"/>
              <w:spacing w:before="40" w:after="40"/>
              <w:jc w:val="right"/>
              <w:rPr>
                <w:b/>
                <w:sz w:val="20"/>
                <w:szCs w:val="20"/>
              </w:rPr>
            </w:pPr>
            <w:r w:rsidRPr="00D47F4C">
              <w:rPr>
                <w:b/>
                <w:sz w:val="20"/>
                <w:szCs w:val="20"/>
              </w:rPr>
              <w:t>1,011</w:t>
            </w:r>
          </w:p>
        </w:tc>
        <w:tc>
          <w:tcPr>
            <w:tcW w:w="1134" w:type="dxa"/>
          </w:tcPr>
          <w:p w14:paraId="7437EBFD" w14:textId="77777777" w:rsidR="00D56276" w:rsidRPr="00D47F4C" w:rsidRDefault="00D56276" w:rsidP="00EA304D">
            <w:pPr>
              <w:pStyle w:val="1text"/>
              <w:spacing w:before="40" w:after="40"/>
              <w:jc w:val="right"/>
              <w:rPr>
                <w:b/>
                <w:sz w:val="20"/>
                <w:szCs w:val="20"/>
              </w:rPr>
            </w:pPr>
            <w:r w:rsidRPr="00D47F4C">
              <w:rPr>
                <w:b/>
                <w:sz w:val="20"/>
                <w:szCs w:val="20"/>
              </w:rPr>
              <w:t>1,011</w:t>
            </w:r>
          </w:p>
        </w:tc>
        <w:tc>
          <w:tcPr>
            <w:tcW w:w="3859" w:type="dxa"/>
          </w:tcPr>
          <w:p w14:paraId="206549CA"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1ADF13F7" w14:textId="77777777" w:rsidTr="00EA304D">
        <w:tc>
          <w:tcPr>
            <w:tcW w:w="1101" w:type="dxa"/>
          </w:tcPr>
          <w:p w14:paraId="0A7216AA"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114</w:t>
            </w:r>
          </w:p>
        </w:tc>
        <w:tc>
          <w:tcPr>
            <w:tcW w:w="1984" w:type="dxa"/>
          </w:tcPr>
          <w:p w14:paraId="55DC22FE"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79373CB1" w14:textId="77777777" w:rsidR="00D56276" w:rsidRPr="00EA304D" w:rsidRDefault="00D56276" w:rsidP="00EA304D">
            <w:pPr>
              <w:pStyle w:val="1text"/>
              <w:spacing w:before="40" w:after="40"/>
              <w:jc w:val="right"/>
              <w:rPr>
                <w:sz w:val="20"/>
                <w:szCs w:val="20"/>
              </w:rPr>
            </w:pPr>
            <w:r>
              <w:rPr>
                <w:sz w:val="20"/>
                <w:szCs w:val="20"/>
              </w:rPr>
              <w:t>1,912</w:t>
            </w:r>
          </w:p>
        </w:tc>
        <w:tc>
          <w:tcPr>
            <w:tcW w:w="1134" w:type="dxa"/>
          </w:tcPr>
          <w:p w14:paraId="57204B02" w14:textId="77777777" w:rsidR="00D56276" w:rsidRPr="00EA304D" w:rsidRDefault="00D56276" w:rsidP="00EA304D">
            <w:pPr>
              <w:pStyle w:val="1text"/>
              <w:spacing w:before="40" w:after="40"/>
              <w:jc w:val="right"/>
              <w:rPr>
                <w:sz w:val="20"/>
                <w:szCs w:val="20"/>
              </w:rPr>
            </w:pPr>
            <w:r w:rsidRPr="00F61608">
              <w:rPr>
                <w:sz w:val="20"/>
                <w:szCs w:val="20"/>
              </w:rPr>
              <w:t>0</w:t>
            </w:r>
          </w:p>
        </w:tc>
        <w:tc>
          <w:tcPr>
            <w:tcW w:w="3859" w:type="dxa"/>
          </w:tcPr>
          <w:p w14:paraId="0CEA7D8C" w14:textId="77777777" w:rsidR="00D56276" w:rsidRPr="00EA304D" w:rsidRDefault="00D56276" w:rsidP="00EA304D">
            <w:pPr>
              <w:pStyle w:val="1text"/>
              <w:spacing w:before="40" w:after="40"/>
              <w:jc w:val="left"/>
              <w:rPr>
                <w:sz w:val="20"/>
                <w:szCs w:val="20"/>
              </w:rPr>
            </w:pPr>
            <w:r w:rsidRPr="00F61608">
              <w:rPr>
                <w:sz w:val="20"/>
                <w:szCs w:val="20"/>
              </w:rPr>
              <w:t>nerealizováno</w:t>
            </w:r>
            <w:r>
              <w:rPr>
                <w:sz w:val="20"/>
                <w:szCs w:val="20"/>
              </w:rPr>
              <w:t xml:space="preserve"> (komunikace realizována v části v jiné trase)</w:t>
            </w:r>
            <w:r w:rsidRPr="00F61608">
              <w:rPr>
                <w:sz w:val="20"/>
                <w:szCs w:val="20"/>
              </w:rPr>
              <w:t>, změna koncepce</w:t>
            </w:r>
          </w:p>
        </w:tc>
      </w:tr>
      <w:tr w:rsidR="00D56276" w:rsidRPr="00EA304D" w14:paraId="139A68B2" w14:textId="77777777" w:rsidTr="00EA304D">
        <w:tc>
          <w:tcPr>
            <w:tcW w:w="1101" w:type="dxa"/>
          </w:tcPr>
          <w:p w14:paraId="7B0DB5BB"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150</w:t>
            </w:r>
          </w:p>
        </w:tc>
        <w:tc>
          <w:tcPr>
            <w:tcW w:w="1984" w:type="dxa"/>
          </w:tcPr>
          <w:p w14:paraId="5801C051"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Dolní Sedlo</w:t>
            </w:r>
          </w:p>
        </w:tc>
        <w:tc>
          <w:tcPr>
            <w:tcW w:w="1134" w:type="dxa"/>
          </w:tcPr>
          <w:p w14:paraId="563BC728" w14:textId="77777777" w:rsidR="00D56276" w:rsidRPr="00EA304D" w:rsidRDefault="00D56276" w:rsidP="00EA304D">
            <w:pPr>
              <w:pStyle w:val="1text"/>
              <w:spacing w:before="40" w:after="40"/>
              <w:jc w:val="right"/>
              <w:rPr>
                <w:sz w:val="20"/>
                <w:szCs w:val="20"/>
              </w:rPr>
            </w:pPr>
            <w:r>
              <w:rPr>
                <w:sz w:val="20"/>
                <w:szCs w:val="20"/>
              </w:rPr>
              <w:t>0,081</w:t>
            </w:r>
          </w:p>
        </w:tc>
        <w:tc>
          <w:tcPr>
            <w:tcW w:w="1134" w:type="dxa"/>
          </w:tcPr>
          <w:p w14:paraId="4E541A4E"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0B81F4D6" w14:textId="77777777" w:rsidR="00D56276" w:rsidRPr="00EA304D" w:rsidRDefault="00D56276" w:rsidP="00EA304D">
            <w:pPr>
              <w:pStyle w:val="1text"/>
              <w:spacing w:before="40" w:after="40"/>
              <w:jc w:val="left"/>
              <w:rPr>
                <w:sz w:val="20"/>
                <w:szCs w:val="20"/>
              </w:rPr>
            </w:pPr>
            <w:r w:rsidRPr="00EA304D">
              <w:rPr>
                <w:sz w:val="20"/>
                <w:szCs w:val="20"/>
              </w:rPr>
              <w:t>nerealizováno</w:t>
            </w:r>
            <w:r w:rsidRPr="00F61608">
              <w:rPr>
                <w:sz w:val="20"/>
                <w:szCs w:val="20"/>
              </w:rPr>
              <w:t>, změna koncepce</w:t>
            </w:r>
          </w:p>
        </w:tc>
      </w:tr>
      <w:tr w:rsidR="00D56276" w:rsidRPr="00EA304D" w14:paraId="77EB8DA1" w14:textId="77777777" w:rsidTr="00EA304D">
        <w:tc>
          <w:tcPr>
            <w:tcW w:w="1101" w:type="dxa"/>
          </w:tcPr>
          <w:p w14:paraId="25AF3BEC"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170</w:t>
            </w:r>
          </w:p>
        </w:tc>
        <w:tc>
          <w:tcPr>
            <w:tcW w:w="1984" w:type="dxa"/>
          </w:tcPr>
          <w:p w14:paraId="4E9A9C9B"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1C76D847" w14:textId="77777777" w:rsidR="00D56276" w:rsidRPr="00D47F4C" w:rsidRDefault="00D56276" w:rsidP="00EA304D">
            <w:pPr>
              <w:pStyle w:val="1text"/>
              <w:spacing w:before="40" w:after="40"/>
              <w:jc w:val="right"/>
              <w:rPr>
                <w:b/>
                <w:sz w:val="20"/>
                <w:szCs w:val="20"/>
              </w:rPr>
            </w:pPr>
            <w:r w:rsidRPr="00D47F4C">
              <w:rPr>
                <w:b/>
                <w:sz w:val="20"/>
                <w:szCs w:val="20"/>
              </w:rPr>
              <w:t>3,132</w:t>
            </w:r>
          </w:p>
        </w:tc>
        <w:tc>
          <w:tcPr>
            <w:tcW w:w="1134" w:type="dxa"/>
          </w:tcPr>
          <w:p w14:paraId="1653D9D6" w14:textId="77777777" w:rsidR="00D56276" w:rsidRPr="00D47F4C" w:rsidRDefault="00D56276" w:rsidP="00EA304D">
            <w:pPr>
              <w:pStyle w:val="1text"/>
              <w:spacing w:before="40" w:after="40"/>
              <w:jc w:val="right"/>
              <w:rPr>
                <w:b/>
                <w:sz w:val="20"/>
                <w:szCs w:val="20"/>
              </w:rPr>
            </w:pPr>
            <w:r w:rsidRPr="00D47F4C">
              <w:rPr>
                <w:b/>
                <w:sz w:val="20"/>
                <w:szCs w:val="20"/>
              </w:rPr>
              <w:t>3,132</w:t>
            </w:r>
          </w:p>
        </w:tc>
        <w:tc>
          <w:tcPr>
            <w:tcW w:w="3859" w:type="dxa"/>
          </w:tcPr>
          <w:p w14:paraId="29D8A981"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0B6ABFAF" w14:textId="77777777" w:rsidTr="00EA304D">
        <w:tc>
          <w:tcPr>
            <w:tcW w:w="1101" w:type="dxa"/>
          </w:tcPr>
          <w:p w14:paraId="22A55C8A"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172</w:t>
            </w:r>
          </w:p>
        </w:tc>
        <w:tc>
          <w:tcPr>
            <w:tcW w:w="1984" w:type="dxa"/>
          </w:tcPr>
          <w:p w14:paraId="3CDBE822"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5B653D90" w14:textId="77777777" w:rsidR="00D56276" w:rsidRPr="00EA304D" w:rsidRDefault="00D56276" w:rsidP="00EA304D">
            <w:pPr>
              <w:pStyle w:val="1text"/>
              <w:spacing w:before="40" w:after="40"/>
              <w:jc w:val="right"/>
              <w:rPr>
                <w:sz w:val="20"/>
                <w:szCs w:val="20"/>
              </w:rPr>
            </w:pPr>
            <w:r>
              <w:rPr>
                <w:sz w:val="20"/>
                <w:szCs w:val="20"/>
              </w:rPr>
              <w:t>0,256</w:t>
            </w:r>
          </w:p>
        </w:tc>
        <w:tc>
          <w:tcPr>
            <w:tcW w:w="1134" w:type="dxa"/>
          </w:tcPr>
          <w:p w14:paraId="55F795A7"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1635076E"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4496C7FF" w14:textId="77777777" w:rsidTr="00EA304D">
        <w:tc>
          <w:tcPr>
            <w:tcW w:w="1101" w:type="dxa"/>
          </w:tcPr>
          <w:p w14:paraId="1948634F"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190</w:t>
            </w:r>
          </w:p>
        </w:tc>
        <w:tc>
          <w:tcPr>
            <w:tcW w:w="1984" w:type="dxa"/>
          </w:tcPr>
          <w:p w14:paraId="09169329"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42184DFB"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41,439</w:t>
            </w:r>
          </w:p>
        </w:tc>
        <w:tc>
          <w:tcPr>
            <w:tcW w:w="1134" w:type="dxa"/>
          </w:tcPr>
          <w:p w14:paraId="397477F7"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442B1A25"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11576EC5" w14:textId="77777777" w:rsidTr="00EA304D">
        <w:tc>
          <w:tcPr>
            <w:tcW w:w="1101" w:type="dxa"/>
          </w:tcPr>
          <w:p w14:paraId="67835135"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194</w:t>
            </w:r>
          </w:p>
        </w:tc>
        <w:tc>
          <w:tcPr>
            <w:tcW w:w="1984" w:type="dxa"/>
          </w:tcPr>
          <w:p w14:paraId="33CF5AB6"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34D7C6A5" w14:textId="77777777" w:rsidR="00D56276" w:rsidRPr="00D47F4C" w:rsidRDefault="00D56276" w:rsidP="00EA304D">
            <w:pPr>
              <w:pStyle w:val="1text"/>
              <w:spacing w:before="40" w:after="40"/>
              <w:jc w:val="right"/>
              <w:rPr>
                <w:b/>
                <w:sz w:val="20"/>
                <w:szCs w:val="20"/>
              </w:rPr>
            </w:pPr>
            <w:r w:rsidRPr="00D47F4C">
              <w:rPr>
                <w:b/>
                <w:sz w:val="20"/>
                <w:szCs w:val="20"/>
              </w:rPr>
              <w:t>0,106</w:t>
            </w:r>
          </w:p>
        </w:tc>
        <w:tc>
          <w:tcPr>
            <w:tcW w:w="1134" w:type="dxa"/>
          </w:tcPr>
          <w:p w14:paraId="54EC6934" w14:textId="77777777" w:rsidR="00D56276" w:rsidRPr="00D47F4C" w:rsidRDefault="00D56276" w:rsidP="00EA304D">
            <w:pPr>
              <w:pStyle w:val="1text"/>
              <w:spacing w:before="40" w:after="40"/>
              <w:jc w:val="right"/>
              <w:rPr>
                <w:b/>
                <w:sz w:val="20"/>
                <w:szCs w:val="20"/>
              </w:rPr>
            </w:pPr>
            <w:r w:rsidRPr="00D47F4C">
              <w:rPr>
                <w:b/>
                <w:sz w:val="20"/>
                <w:szCs w:val="20"/>
              </w:rPr>
              <w:t>0,106</w:t>
            </w:r>
          </w:p>
        </w:tc>
        <w:tc>
          <w:tcPr>
            <w:tcW w:w="3859" w:type="dxa"/>
          </w:tcPr>
          <w:p w14:paraId="0C8CD1C0"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6057894C" w14:textId="77777777" w:rsidTr="00EA304D">
        <w:tc>
          <w:tcPr>
            <w:tcW w:w="1101" w:type="dxa"/>
          </w:tcPr>
          <w:p w14:paraId="624141FF"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205</w:t>
            </w:r>
          </w:p>
        </w:tc>
        <w:tc>
          <w:tcPr>
            <w:tcW w:w="1984" w:type="dxa"/>
          </w:tcPr>
          <w:p w14:paraId="7C8DC9F2"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668941D9" w14:textId="77777777" w:rsidR="00D56276" w:rsidRPr="00D47F4C" w:rsidRDefault="00D56276" w:rsidP="00EA304D">
            <w:pPr>
              <w:pStyle w:val="1text"/>
              <w:spacing w:before="40" w:after="40"/>
              <w:jc w:val="right"/>
              <w:rPr>
                <w:b/>
                <w:sz w:val="20"/>
                <w:szCs w:val="20"/>
              </w:rPr>
            </w:pPr>
            <w:r w:rsidRPr="00D47F4C">
              <w:rPr>
                <w:b/>
                <w:sz w:val="20"/>
                <w:szCs w:val="20"/>
              </w:rPr>
              <w:t>9,482</w:t>
            </w:r>
          </w:p>
        </w:tc>
        <w:tc>
          <w:tcPr>
            <w:tcW w:w="1134" w:type="dxa"/>
          </w:tcPr>
          <w:p w14:paraId="3AB00244" w14:textId="77777777" w:rsidR="00D56276" w:rsidRPr="00D47F4C" w:rsidRDefault="00D56276" w:rsidP="00EA304D">
            <w:pPr>
              <w:pStyle w:val="1text"/>
              <w:spacing w:before="40" w:after="40"/>
              <w:jc w:val="right"/>
              <w:rPr>
                <w:b/>
                <w:sz w:val="20"/>
                <w:szCs w:val="20"/>
              </w:rPr>
            </w:pPr>
            <w:r w:rsidRPr="00D47F4C">
              <w:rPr>
                <w:b/>
                <w:sz w:val="20"/>
                <w:szCs w:val="20"/>
              </w:rPr>
              <w:t>9,482</w:t>
            </w:r>
          </w:p>
        </w:tc>
        <w:tc>
          <w:tcPr>
            <w:tcW w:w="3859" w:type="dxa"/>
          </w:tcPr>
          <w:p w14:paraId="0D53BBC7" w14:textId="77777777" w:rsidR="00D56276" w:rsidRPr="00D47F4C" w:rsidRDefault="00D56276" w:rsidP="00EA304D">
            <w:pPr>
              <w:spacing w:before="40" w:after="40"/>
              <w:rPr>
                <w:b/>
                <w:sz w:val="20"/>
                <w:szCs w:val="20"/>
              </w:rPr>
            </w:pPr>
            <w:r w:rsidRPr="00D47F4C">
              <w:rPr>
                <w:b/>
                <w:sz w:val="20"/>
                <w:szCs w:val="20"/>
              </w:rPr>
              <w:t>realizováno</w:t>
            </w:r>
          </w:p>
        </w:tc>
      </w:tr>
      <w:tr w:rsidR="00D56276" w:rsidRPr="00EA304D" w14:paraId="05CC29D0" w14:textId="77777777" w:rsidTr="00EA304D">
        <w:tc>
          <w:tcPr>
            <w:tcW w:w="1101" w:type="dxa"/>
          </w:tcPr>
          <w:p w14:paraId="193B17C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218</w:t>
            </w:r>
          </w:p>
        </w:tc>
        <w:tc>
          <w:tcPr>
            <w:tcW w:w="1984" w:type="dxa"/>
          </w:tcPr>
          <w:p w14:paraId="0B0D0298"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0D294302" w14:textId="77777777" w:rsidR="00D56276" w:rsidRPr="00D47F4C" w:rsidRDefault="00D56276" w:rsidP="00EA304D">
            <w:pPr>
              <w:pStyle w:val="1text"/>
              <w:spacing w:before="40" w:after="40"/>
              <w:jc w:val="right"/>
              <w:rPr>
                <w:b/>
                <w:sz w:val="20"/>
                <w:szCs w:val="20"/>
              </w:rPr>
            </w:pPr>
            <w:r w:rsidRPr="00D47F4C">
              <w:rPr>
                <w:b/>
                <w:sz w:val="20"/>
                <w:szCs w:val="20"/>
              </w:rPr>
              <w:t>0,268</w:t>
            </w:r>
          </w:p>
        </w:tc>
        <w:tc>
          <w:tcPr>
            <w:tcW w:w="1134" w:type="dxa"/>
          </w:tcPr>
          <w:p w14:paraId="02FC69A4" w14:textId="77777777" w:rsidR="00D56276" w:rsidRPr="00D47F4C" w:rsidRDefault="00D56276" w:rsidP="00EA304D">
            <w:pPr>
              <w:pStyle w:val="1text"/>
              <w:spacing w:before="40" w:after="40"/>
              <w:jc w:val="right"/>
              <w:rPr>
                <w:b/>
                <w:sz w:val="20"/>
                <w:szCs w:val="20"/>
              </w:rPr>
            </w:pPr>
            <w:r w:rsidRPr="00D47F4C">
              <w:rPr>
                <w:b/>
                <w:sz w:val="20"/>
                <w:szCs w:val="20"/>
              </w:rPr>
              <w:t>0,268</w:t>
            </w:r>
          </w:p>
        </w:tc>
        <w:tc>
          <w:tcPr>
            <w:tcW w:w="3859" w:type="dxa"/>
          </w:tcPr>
          <w:p w14:paraId="286D57C0" w14:textId="77777777" w:rsidR="00D56276" w:rsidRPr="00D47F4C" w:rsidRDefault="00D56276" w:rsidP="00EA304D">
            <w:pPr>
              <w:spacing w:before="40" w:after="40"/>
              <w:rPr>
                <w:b/>
                <w:sz w:val="20"/>
                <w:szCs w:val="20"/>
              </w:rPr>
            </w:pPr>
            <w:r w:rsidRPr="00D47F4C">
              <w:rPr>
                <w:b/>
                <w:sz w:val="20"/>
                <w:szCs w:val="20"/>
              </w:rPr>
              <w:t>realizováno</w:t>
            </w:r>
          </w:p>
        </w:tc>
      </w:tr>
      <w:tr w:rsidR="00D56276" w:rsidRPr="00EA304D" w14:paraId="114C8AC0" w14:textId="77777777" w:rsidTr="00EA304D">
        <w:tc>
          <w:tcPr>
            <w:tcW w:w="1101" w:type="dxa"/>
          </w:tcPr>
          <w:p w14:paraId="046CB881"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Z17.1c</w:t>
            </w:r>
          </w:p>
        </w:tc>
        <w:tc>
          <w:tcPr>
            <w:tcW w:w="1984" w:type="dxa"/>
          </w:tcPr>
          <w:p w14:paraId="59EED938"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3B102790"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0,019</w:t>
            </w:r>
          </w:p>
        </w:tc>
        <w:tc>
          <w:tcPr>
            <w:tcW w:w="1134" w:type="dxa"/>
          </w:tcPr>
          <w:p w14:paraId="75CAA091"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0,019</w:t>
            </w:r>
          </w:p>
        </w:tc>
        <w:tc>
          <w:tcPr>
            <w:tcW w:w="3859" w:type="dxa"/>
          </w:tcPr>
          <w:p w14:paraId="797ED209"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2D369BD5" w14:textId="77777777" w:rsidTr="00EA304D">
        <w:tc>
          <w:tcPr>
            <w:tcW w:w="9212" w:type="dxa"/>
            <w:gridSpan w:val="5"/>
            <w:shd w:val="clear" w:color="auto" w:fill="EAF1DD" w:themeFill="accent3" w:themeFillTint="33"/>
          </w:tcPr>
          <w:p w14:paraId="40739562" w14:textId="77777777" w:rsidR="00D56276" w:rsidRPr="00EA304D" w:rsidRDefault="00D56276" w:rsidP="00EA304D">
            <w:pPr>
              <w:pStyle w:val="1text"/>
              <w:spacing w:before="40" w:after="40"/>
              <w:jc w:val="left"/>
              <w:rPr>
                <w:sz w:val="20"/>
                <w:szCs w:val="20"/>
              </w:rPr>
            </w:pPr>
            <w:r w:rsidRPr="00EA304D">
              <w:rPr>
                <w:sz w:val="20"/>
                <w:szCs w:val="20"/>
              </w:rPr>
              <w:t>PLOCHY ZELENĚ</w:t>
            </w:r>
          </w:p>
        </w:tc>
      </w:tr>
      <w:tr w:rsidR="00D56276" w:rsidRPr="00EA304D" w14:paraId="588C1F29" w14:textId="77777777" w:rsidTr="00EA304D">
        <w:tc>
          <w:tcPr>
            <w:tcW w:w="1101" w:type="dxa"/>
          </w:tcPr>
          <w:p w14:paraId="2304FBF1"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11</w:t>
            </w:r>
          </w:p>
        </w:tc>
        <w:tc>
          <w:tcPr>
            <w:tcW w:w="1984" w:type="dxa"/>
          </w:tcPr>
          <w:p w14:paraId="114223EC"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3168C045" w14:textId="77777777" w:rsidR="00D56276" w:rsidRPr="00D47F4C" w:rsidRDefault="00D56276" w:rsidP="00EA304D">
            <w:pPr>
              <w:pStyle w:val="1text"/>
              <w:spacing w:before="40" w:after="40"/>
              <w:jc w:val="right"/>
              <w:rPr>
                <w:b/>
                <w:sz w:val="20"/>
                <w:szCs w:val="20"/>
              </w:rPr>
            </w:pPr>
            <w:r w:rsidRPr="00D47F4C">
              <w:rPr>
                <w:b/>
                <w:sz w:val="20"/>
                <w:szCs w:val="20"/>
              </w:rPr>
              <w:t>0,564</w:t>
            </w:r>
          </w:p>
        </w:tc>
        <w:tc>
          <w:tcPr>
            <w:tcW w:w="1134" w:type="dxa"/>
          </w:tcPr>
          <w:p w14:paraId="1AA4DF00" w14:textId="77777777" w:rsidR="00D56276" w:rsidRPr="00D47F4C" w:rsidRDefault="00D56276" w:rsidP="00EA304D">
            <w:pPr>
              <w:pStyle w:val="1text"/>
              <w:spacing w:before="40" w:after="40"/>
              <w:jc w:val="right"/>
              <w:rPr>
                <w:b/>
                <w:sz w:val="20"/>
                <w:szCs w:val="20"/>
              </w:rPr>
            </w:pPr>
            <w:r w:rsidRPr="00D47F4C">
              <w:rPr>
                <w:b/>
                <w:sz w:val="20"/>
                <w:szCs w:val="20"/>
              </w:rPr>
              <w:t>0,564</w:t>
            </w:r>
          </w:p>
        </w:tc>
        <w:tc>
          <w:tcPr>
            <w:tcW w:w="3859" w:type="dxa"/>
          </w:tcPr>
          <w:p w14:paraId="420BC4DD"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74F77CA6" w14:textId="77777777" w:rsidTr="00EA304D">
        <w:tc>
          <w:tcPr>
            <w:tcW w:w="1101" w:type="dxa"/>
          </w:tcPr>
          <w:p w14:paraId="12944FAC"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Z11/2</w:t>
            </w:r>
          </w:p>
        </w:tc>
        <w:tc>
          <w:tcPr>
            <w:tcW w:w="1984" w:type="dxa"/>
          </w:tcPr>
          <w:p w14:paraId="5EC142EA"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3730E526" w14:textId="77777777" w:rsidR="00D56276" w:rsidRPr="00D47F4C" w:rsidRDefault="00D56276" w:rsidP="00EA304D">
            <w:pPr>
              <w:pStyle w:val="1text"/>
              <w:spacing w:before="40" w:after="40"/>
              <w:jc w:val="right"/>
              <w:rPr>
                <w:b/>
                <w:sz w:val="20"/>
                <w:szCs w:val="20"/>
              </w:rPr>
            </w:pPr>
            <w:r w:rsidRPr="00D47F4C">
              <w:rPr>
                <w:b/>
                <w:sz w:val="20"/>
                <w:szCs w:val="20"/>
              </w:rPr>
              <w:t>0,034</w:t>
            </w:r>
          </w:p>
        </w:tc>
        <w:tc>
          <w:tcPr>
            <w:tcW w:w="1134" w:type="dxa"/>
          </w:tcPr>
          <w:p w14:paraId="69D3A9FC" w14:textId="77777777" w:rsidR="00D56276" w:rsidRPr="00D47F4C" w:rsidRDefault="00D56276" w:rsidP="00EA304D">
            <w:pPr>
              <w:pStyle w:val="1text"/>
              <w:spacing w:before="40" w:after="40"/>
              <w:jc w:val="right"/>
              <w:rPr>
                <w:b/>
                <w:sz w:val="20"/>
                <w:szCs w:val="20"/>
              </w:rPr>
            </w:pPr>
            <w:r w:rsidRPr="00D47F4C">
              <w:rPr>
                <w:b/>
                <w:sz w:val="20"/>
                <w:szCs w:val="20"/>
              </w:rPr>
              <w:t>0,034</w:t>
            </w:r>
          </w:p>
        </w:tc>
        <w:tc>
          <w:tcPr>
            <w:tcW w:w="3859" w:type="dxa"/>
          </w:tcPr>
          <w:p w14:paraId="782D17D0"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0801F3E8" w14:textId="77777777" w:rsidTr="00EA304D">
        <w:tc>
          <w:tcPr>
            <w:tcW w:w="1101" w:type="dxa"/>
          </w:tcPr>
          <w:p w14:paraId="5575D055"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Z12.34</w:t>
            </w:r>
          </w:p>
        </w:tc>
        <w:tc>
          <w:tcPr>
            <w:tcW w:w="1984" w:type="dxa"/>
          </w:tcPr>
          <w:p w14:paraId="23C6399A"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069C91EE" w14:textId="77777777" w:rsidR="00D56276" w:rsidRPr="00EA304D" w:rsidRDefault="00D56276" w:rsidP="00EA304D">
            <w:pPr>
              <w:pStyle w:val="1text"/>
              <w:spacing w:before="40" w:after="40"/>
              <w:jc w:val="right"/>
              <w:rPr>
                <w:sz w:val="20"/>
                <w:szCs w:val="20"/>
              </w:rPr>
            </w:pPr>
            <w:r>
              <w:rPr>
                <w:sz w:val="20"/>
                <w:szCs w:val="20"/>
              </w:rPr>
              <w:t>0,293</w:t>
            </w:r>
          </w:p>
        </w:tc>
        <w:tc>
          <w:tcPr>
            <w:tcW w:w="1134" w:type="dxa"/>
          </w:tcPr>
          <w:p w14:paraId="3F9707CA"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2012B04B" w14:textId="77777777" w:rsidR="00D56276" w:rsidRPr="00EA304D" w:rsidRDefault="00D56276" w:rsidP="00EA304D">
            <w:pPr>
              <w:pStyle w:val="1text"/>
              <w:spacing w:before="40" w:after="40"/>
              <w:jc w:val="left"/>
              <w:rPr>
                <w:sz w:val="20"/>
                <w:szCs w:val="20"/>
              </w:rPr>
            </w:pPr>
            <w:r w:rsidRPr="00EA304D">
              <w:rPr>
                <w:sz w:val="20"/>
                <w:szCs w:val="20"/>
              </w:rPr>
              <w:t>nerealizováno, změna koncepce</w:t>
            </w:r>
          </w:p>
        </w:tc>
      </w:tr>
      <w:tr w:rsidR="00D56276" w:rsidRPr="00EA304D" w14:paraId="3B7571DB" w14:textId="77777777" w:rsidTr="00EA304D">
        <w:tc>
          <w:tcPr>
            <w:tcW w:w="1101" w:type="dxa"/>
          </w:tcPr>
          <w:p w14:paraId="4DF6C9C5"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Z12.35</w:t>
            </w:r>
          </w:p>
        </w:tc>
        <w:tc>
          <w:tcPr>
            <w:tcW w:w="1984" w:type="dxa"/>
          </w:tcPr>
          <w:p w14:paraId="0FA77724"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26925B20" w14:textId="77777777" w:rsidR="00D56276" w:rsidRPr="00D47F4C" w:rsidRDefault="00D56276" w:rsidP="00EA304D">
            <w:pPr>
              <w:pStyle w:val="1text"/>
              <w:spacing w:before="40" w:after="40"/>
              <w:jc w:val="right"/>
              <w:rPr>
                <w:b/>
                <w:sz w:val="20"/>
                <w:szCs w:val="20"/>
              </w:rPr>
            </w:pPr>
            <w:r w:rsidRPr="00D47F4C">
              <w:rPr>
                <w:b/>
                <w:sz w:val="20"/>
                <w:szCs w:val="20"/>
              </w:rPr>
              <w:t>1,443</w:t>
            </w:r>
          </w:p>
        </w:tc>
        <w:tc>
          <w:tcPr>
            <w:tcW w:w="1134" w:type="dxa"/>
          </w:tcPr>
          <w:p w14:paraId="57BE9332" w14:textId="77777777" w:rsidR="00D56276" w:rsidRPr="00D47F4C" w:rsidRDefault="00D56276" w:rsidP="00EA304D">
            <w:pPr>
              <w:pStyle w:val="1text"/>
              <w:spacing w:before="40" w:after="40"/>
              <w:jc w:val="right"/>
              <w:rPr>
                <w:b/>
                <w:sz w:val="20"/>
                <w:szCs w:val="20"/>
              </w:rPr>
            </w:pPr>
            <w:r w:rsidRPr="00D47F4C">
              <w:rPr>
                <w:b/>
                <w:sz w:val="20"/>
                <w:szCs w:val="20"/>
              </w:rPr>
              <w:t>1,443</w:t>
            </w:r>
          </w:p>
        </w:tc>
        <w:tc>
          <w:tcPr>
            <w:tcW w:w="3859" w:type="dxa"/>
          </w:tcPr>
          <w:p w14:paraId="4521C453"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470ED0AE" w14:textId="77777777" w:rsidTr="00EA304D">
        <w:tc>
          <w:tcPr>
            <w:tcW w:w="1101" w:type="dxa"/>
          </w:tcPr>
          <w:p w14:paraId="239D9FE6"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Z12.36</w:t>
            </w:r>
          </w:p>
        </w:tc>
        <w:tc>
          <w:tcPr>
            <w:tcW w:w="1984" w:type="dxa"/>
          </w:tcPr>
          <w:p w14:paraId="710BFD03"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Hrádek nad Nisou</w:t>
            </w:r>
          </w:p>
        </w:tc>
        <w:tc>
          <w:tcPr>
            <w:tcW w:w="1134" w:type="dxa"/>
          </w:tcPr>
          <w:p w14:paraId="73F660B6" w14:textId="77777777" w:rsidR="00D56276" w:rsidRPr="00EA304D" w:rsidRDefault="00D56276" w:rsidP="00EA304D">
            <w:pPr>
              <w:pStyle w:val="1text"/>
              <w:spacing w:before="40" w:after="40"/>
              <w:jc w:val="right"/>
              <w:rPr>
                <w:sz w:val="20"/>
                <w:szCs w:val="20"/>
              </w:rPr>
            </w:pPr>
            <w:r>
              <w:rPr>
                <w:sz w:val="20"/>
                <w:szCs w:val="20"/>
              </w:rPr>
              <w:t>0,274</w:t>
            </w:r>
          </w:p>
        </w:tc>
        <w:tc>
          <w:tcPr>
            <w:tcW w:w="1134" w:type="dxa"/>
          </w:tcPr>
          <w:p w14:paraId="4DE91370" w14:textId="77777777" w:rsidR="00D56276" w:rsidRPr="00EA304D" w:rsidRDefault="00D56276" w:rsidP="00EA304D">
            <w:pPr>
              <w:pStyle w:val="1text"/>
              <w:spacing w:before="40" w:after="40"/>
              <w:jc w:val="right"/>
              <w:rPr>
                <w:sz w:val="20"/>
                <w:szCs w:val="20"/>
              </w:rPr>
            </w:pPr>
            <w:r>
              <w:rPr>
                <w:sz w:val="20"/>
                <w:szCs w:val="20"/>
              </w:rPr>
              <w:t>0</w:t>
            </w:r>
          </w:p>
        </w:tc>
        <w:tc>
          <w:tcPr>
            <w:tcW w:w="3859" w:type="dxa"/>
          </w:tcPr>
          <w:p w14:paraId="019B8A21"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2C413D79" w14:textId="77777777" w:rsidTr="00EA304D">
        <w:tc>
          <w:tcPr>
            <w:tcW w:w="1101" w:type="dxa"/>
          </w:tcPr>
          <w:p w14:paraId="1E688200"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Z12.37</w:t>
            </w:r>
          </w:p>
        </w:tc>
        <w:tc>
          <w:tcPr>
            <w:tcW w:w="1984" w:type="dxa"/>
          </w:tcPr>
          <w:p w14:paraId="2A4FF053"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Hrádek nad Nisou</w:t>
            </w:r>
          </w:p>
        </w:tc>
        <w:tc>
          <w:tcPr>
            <w:tcW w:w="1134" w:type="dxa"/>
          </w:tcPr>
          <w:p w14:paraId="57C36E14" w14:textId="77777777" w:rsidR="00D56276" w:rsidRPr="00D47F4C" w:rsidRDefault="00D56276" w:rsidP="00EA304D">
            <w:pPr>
              <w:pStyle w:val="1text"/>
              <w:spacing w:before="40" w:after="40"/>
              <w:jc w:val="right"/>
              <w:rPr>
                <w:b/>
                <w:sz w:val="20"/>
                <w:szCs w:val="20"/>
                <w:highlight w:val="green"/>
              </w:rPr>
            </w:pPr>
            <w:r w:rsidRPr="00D47F4C">
              <w:rPr>
                <w:b/>
                <w:sz w:val="20"/>
                <w:szCs w:val="20"/>
              </w:rPr>
              <w:t>0,021</w:t>
            </w:r>
          </w:p>
        </w:tc>
        <w:tc>
          <w:tcPr>
            <w:tcW w:w="1134" w:type="dxa"/>
          </w:tcPr>
          <w:p w14:paraId="7F62CB81" w14:textId="77777777" w:rsidR="00D56276" w:rsidRPr="00D47F4C" w:rsidRDefault="00D56276" w:rsidP="00EA304D">
            <w:pPr>
              <w:pStyle w:val="1text"/>
              <w:spacing w:before="40" w:after="40"/>
              <w:jc w:val="right"/>
              <w:rPr>
                <w:b/>
                <w:sz w:val="20"/>
                <w:szCs w:val="20"/>
                <w:highlight w:val="green"/>
              </w:rPr>
            </w:pPr>
            <w:r w:rsidRPr="00D47F4C">
              <w:rPr>
                <w:b/>
                <w:sz w:val="20"/>
                <w:szCs w:val="20"/>
              </w:rPr>
              <w:t>0,021</w:t>
            </w:r>
          </w:p>
        </w:tc>
        <w:tc>
          <w:tcPr>
            <w:tcW w:w="3859" w:type="dxa"/>
          </w:tcPr>
          <w:p w14:paraId="0C2616B1" w14:textId="77777777" w:rsidR="00D56276" w:rsidRPr="00D47F4C" w:rsidRDefault="00D56276" w:rsidP="00EA304D">
            <w:pPr>
              <w:pStyle w:val="1text"/>
              <w:spacing w:before="40" w:after="40"/>
              <w:jc w:val="left"/>
              <w:rPr>
                <w:b/>
                <w:sz w:val="20"/>
                <w:szCs w:val="20"/>
                <w:highlight w:val="green"/>
              </w:rPr>
            </w:pPr>
            <w:r w:rsidRPr="00D47F4C">
              <w:rPr>
                <w:b/>
                <w:sz w:val="20"/>
                <w:szCs w:val="20"/>
              </w:rPr>
              <w:t>realizováno</w:t>
            </w:r>
          </w:p>
        </w:tc>
      </w:tr>
      <w:tr w:rsidR="00D56276" w:rsidRPr="00EA304D" w14:paraId="1412165E" w14:textId="77777777" w:rsidTr="00EA304D">
        <w:tc>
          <w:tcPr>
            <w:tcW w:w="1101" w:type="dxa"/>
          </w:tcPr>
          <w:p w14:paraId="5DE01522"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Z17.3b</w:t>
            </w:r>
          </w:p>
        </w:tc>
        <w:tc>
          <w:tcPr>
            <w:tcW w:w="1984" w:type="dxa"/>
          </w:tcPr>
          <w:p w14:paraId="7897B2CF"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Oldřichov na Hranicích</w:t>
            </w:r>
          </w:p>
        </w:tc>
        <w:tc>
          <w:tcPr>
            <w:tcW w:w="1134" w:type="dxa"/>
          </w:tcPr>
          <w:p w14:paraId="6EB399E5"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0,232</w:t>
            </w:r>
          </w:p>
        </w:tc>
        <w:tc>
          <w:tcPr>
            <w:tcW w:w="1134" w:type="dxa"/>
          </w:tcPr>
          <w:p w14:paraId="7B23D934"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0,232</w:t>
            </w:r>
          </w:p>
        </w:tc>
        <w:tc>
          <w:tcPr>
            <w:tcW w:w="3859" w:type="dxa"/>
          </w:tcPr>
          <w:p w14:paraId="29509934"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7474B34D" w14:textId="77777777" w:rsidTr="00EA304D">
        <w:tc>
          <w:tcPr>
            <w:tcW w:w="9212" w:type="dxa"/>
            <w:gridSpan w:val="5"/>
            <w:shd w:val="clear" w:color="auto" w:fill="EAF1DD" w:themeFill="accent3" w:themeFillTint="33"/>
          </w:tcPr>
          <w:p w14:paraId="14F0C9A6" w14:textId="77777777" w:rsidR="00D56276" w:rsidRPr="00EA304D" w:rsidRDefault="00D56276" w:rsidP="00EA304D">
            <w:pPr>
              <w:pStyle w:val="1text"/>
              <w:spacing w:before="40" w:after="40"/>
              <w:jc w:val="left"/>
              <w:rPr>
                <w:sz w:val="20"/>
                <w:szCs w:val="20"/>
              </w:rPr>
            </w:pPr>
            <w:r w:rsidRPr="00EA304D">
              <w:rPr>
                <w:sz w:val="20"/>
                <w:szCs w:val="20"/>
              </w:rPr>
              <w:t>PLOCHY VODNÍ</w:t>
            </w:r>
          </w:p>
        </w:tc>
      </w:tr>
      <w:tr w:rsidR="00D56276" w:rsidRPr="00EA304D" w14:paraId="39F22A75" w14:textId="77777777" w:rsidTr="00EA304D">
        <w:tc>
          <w:tcPr>
            <w:tcW w:w="1101" w:type="dxa"/>
          </w:tcPr>
          <w:p w14:paraId="3C0F948C"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Z18.8a</w:t>
            </w:r>
          </w:p>
        </w:tc>
        <w:tc>
          <w:tcPr>
            <w:tcW w:w="1984" w:type="dxa"/>
          </w:tcPr>
          <w:p w14:paraId="3CC29733"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102F5F4A"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0,987</w:t>
            </w:r>
          </w:p>
        </w:tc>
        <w:tc>
          <w:tcPr>
            <w:tcW w:w="1134" w:type="dxa"/>
          </w:tcPr>
          <w:p w14:paraId="0467529C"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0AD8CB0B"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0EAAE123" w14:textId="77777777" w:rsidTr="00EA304D">
        <w:tc>
          <w:tcPr>
            <w:tcW w:w="1101" w:type="dxa"/>
          </w:tcPr>
          <w:p w14:paraId="1A538C9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Z18.8b</w:t>
            </w:r>
          </w:p>
        </w:tc>
        <w:tc>
          <w:tcPr>
            <w:tcW w:w="1984" w:type="dxa"/>
          </w:tcPr>
          <w:p w14:paraId="12455EA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0A4C6EA2"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0,052</w:t>
            </w:r>
          </w:p>
        </w:tc>
        <w:tc>
          <w:tcPr>
            <w:tcW w:w="1134" w:type="dxa"/>
          </w:tcPr>
          <w:p w14:paraId="313CE10B"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07923293"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1F51AA7F" w14:textId="77777777" w:rsidTr="00EA304D">
        <w:tc>
          <w:tcPr>
            <w:tcW w:w="1101" w:type="dxa"/>
          </w:tcPr>
          <w:p w14:paraId="4C8BA3E0"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Z18.8c</w:t>
            </w:r>
          </w:p>
        </w:tc>
        <w:tc>
          <w:tcPr>
            <w:tcW w:w="1984" w:type="dxa"/>
          </w:tcPr>
          <w:p w14:paraId="241AB001"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2EDED1DC"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0,152</w:t>
            </w:r>
          </w:p>
        </w:tc>
        <w:tc>
          <w:tcPr>
            <w:tcW w:w="1134" w:type="dxa"/>
          </w:tcPr>
          <w:p w14:paraId="3525A0F1"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7F9C03FB"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0A80446F" w14:textId="77777777" w:rsidTr="00EA304D">
        <w:tc>
          <w:tcPr>
            <w:tcW w:w="1101" w:type="dxa"/>
          </w:tcPr>
          <w:p w14:paraId="1B069CC9"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Z18.8d</w:t>
            </w:r>
          </w:p>
        </w:tc>
        <w:tc>
          <w:tcPr>
            <w:tcW w:w="1984" w:type="dxa"/>
          </w:tcPr>
          <w:p w14:paraId="67B98BE8"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543928A9"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0,244</w:t>
            </w:r>
          </w:p>
        </w:tc>
        <w:tc>
          <w:tcPr>
            <w:tcW w:w="1134" w:type="dxa"/>
          </w:tcPr>
          <w:p w14:paraId="2FD9AC05"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4CA90060"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36605FEB" w14:textId="77777777" w:rsidTr="00EA304D">
        <w:tc>
          <w:tcPr>
            <w:tcW w:w="1101" w:type="dxa"/>
          </w:tcPr>
          <w:p w14:paraId="75CE1CD4"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Z18.8e</w:t>
            </w:r>
          </w:p>
        </w:tc>
        <w:tc>
          <w:tcPr>
            <w:tcW w:w="1984" w:type="dxa"/>
          </w:tcPr>
          <w:p w14:paraId="7F34EE4B"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2CA6A810"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0,094</w:t>
            </w:r>
          </w:p>
        </w:tc>
        <w:tc>
          <w:tcPr>
            <w:tcW w:w="1134" w:type="dxa"/>
          </w:tcPr>
          <w:p w14:paraId="108A282F"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1F3459A9"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2B1CB95E" w14:textId="77777777" w:rsidTr="00EA304D">
        <w:tc>
          <w:tcPr>
            <w:tcW w:w="1101" w:type="dxa"/>
          </w:tcPr>
          <w:p w14:paraId="2A4C84B4"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Z18.8f</w:t>
            </w:r>
          </w:p>
        </w:tc>
        <w:tc>
          <w:tcPr>
            <w:tcW w:w="1984" w:type="dxa"/>
          </w:tcPr>
          <w:p w14:paraId="548BA80F"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0CBB29E9"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0,326</w:t>
            </w:r>
          </w:p>
        </w:tc>
        <w:tc>
          <w:tcPr>
            <w:tcW w:w="1134" w:type="dxa"/>
          </w:tcPr>
          <w:p w14:paraId="034376B0"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0,326</w:t>
            </w:r>
          </w:p>
        </w:tc>
        <w:tc>
          <w:tcPr>
            <w:tcW w:w="3859" w:type="dxa"/>
          </w:tcPr>
          <w:p w14:paraId="4E2CE367"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4F4E9CC2" w14:textId="77777777" w:rsidTr="00EA304D">
        <w:tc>
          <w:tcPr>
            <w:tcW w:w="1101" w:type="dxa"/>
          </w:tcPr>
          <w:p w14:paraId="0800188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Z18.8g</w:t>
            </w:r>
          </w:p>
        </w:tc>
        <w:tc>
          <w:tcPr>
            <w:tcW w:w="1984" w:type="dxa"/>
          </w:tcPr>
          <w:p w14:paraId="06BAA50E"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415AB6AB"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0,204</w:t>
            </w:r>
          </w:p>
        </w:tc>
        <w:tc>
          <w:tcPr>
            <w:tcW w:w="1134" w:type="dxa"/>
          </w:tcPr>
          <w:p w14:paraId="501E9AE2"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0,204</w:t>
            </w:r>
          </w:p>
        </w:tc>
        <w:tc>
          <w:tcPr>
            <w:tcW w:w="3859" w:type="dxa"/>
          </w:tcPr>
          <w:p w14:paraId="4128A4FF"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762CE83F" w14:textId="77777777" w:rsidTr="00EA304D">
        <w:tc>
          <w:tcPr>
            <w:tcW w:w="1101" w:type="dxa"/>
          </w:tcPr>
          <w:p w14:paraId="15E09B51"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Z18.8h</w:t>
            </w:r>
          </w:p>
        </w:tc>
        <w:tc>
          <w:tcPr>
            <w:tcW w:w="1984" w:type="dxa"/>
          </w:tcPr>
          <w:p w14:paraId="64B327EC"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480F7D19"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0,558</w:t>
            </w:r>
          </w:p>
        </w:tc>
        <w:tc>
          <w:tcPr>
            <w:tcW w:w="1134" w:type="dxa"/>
          </w:tcPr>
          <w:p w14:paraId="153F054C"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0,558</w:t>
            </w:r>
          </w:p>
        </w:tc>
        <w:tc>
          <w:tcPr>
            <w:tcW w:w="3859" w:type="dxa"/>
          </w:tcPr>
          <w:p w14:paraId="2DBAE697"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024B561F" w14:textId="77777777" w:rsidTr="00EA304D">
        <w:tc>
          <w:tcPr>
            <w:tcW w:w="1101" w:type="dxa"/>
          </w:tcPr>
          <w:p w14:paraId="33D6BE56"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Z18.8i</w:t>
            </w:r>
          </w:p>
        </w:tc>
        <w:tc>
          <w:tcPr>
            <w:tcW w:w="1984" w:type="dxa"/>
          </w:tcPr>
          <w:p w14:paraId="5050B00C" w14:textId="77777777" w:rsidR="00D56276" w:rsidRPr="00EA304D" w:rsidRDefault="00D56276" w:rsidP="00EA304D">
            <w:pPr>
              <w:pStyle w:val="1text"/>
              <w:spacing w:before="40" w:after="40"/>
              <w:jc w:val="left"/>
              <w:rPr>
                <w:rFonts w:eastAsia="Times New Roman"/>
                <w:sz w:val="20"/>
                <w:szCs w:val="20"/>
                <w:lang w:eastAsia="cs-CZ"/>
              </w:rPr>
            </w:pPr>
            <w:r w:rsidRPr="00EA304D">
              <w:rPr>
                <w:rFonts w:eastAsia="Times New Roman"/>
                <w:sz w:val="20"/>
                <w:szCs w:val="20"/>
                <w:lang w:eastAsia="cs-CZ"/>
              </w:rPr>
              <w:t>Václavice</w:t>
            </w:r>
          </w:p>
        </w:tc>
        <w:tc>
          <w:tcPr>
            <w:tcW w:w="1134" w:type="dxa"/>
          </w:tcPr>
          <w:p w14:paraId="427EAF26" w14:textId="77777777" w:rsidR="00D56276" w:rsidRPr="00EA304D" w:rsidRDefault="00D56276" w:rsidP="00EA304D">
            <w:pPr>
              <w:spacing w:before="40" w:after="40" w:line="240" w:lineRule="auto"/>
              <w:jc w:val="right"/>
              <w:rPr>
                <w:rFonts w:eastAsia="Times New Roman"/>
                <w:sz w:val="20"/>
                <w:szCs w:val="20"/>
                <w:lang w:eastAsia="cs-CZ"/>
              </w:rPr>
            </w:pPr>
            <w:r w:rsidRPr="00EA304D">
              <w:rPr>
                <w:rFonts w:eastAsia="Times New Roman"/>
                <w:sz w:val="20"/>
                <w:szCs w:val="20"/>
                <w:lang w:eastAsia="cs-CZ"/>
              </w:rPr>
              <w:t>0,219</w:t>
            </w:r>
          </w:p>
        </w:tc>
        <w:tc>
          <w:tcPr>
            <w:tcW w:w="1134" w:type="dxa"/>
          </w:tcPr>
          <w:p w14:paraId="11122923" w14:textId="77777777" w:rsidR="00D56276" w:rsidRPr="00EA304D" w:rsidRDefault="00D56276" w:rsidP="00EA304D">
            <w:pPr>
              <w:pStyle w:val="1text"/>
              <w:spacing w:before="40" w:after="40"/>
              <w:jc w:val="right"/>
              <w:rPr>
                <w:sz w:val="20"/>
                <w:szCs w:val="20"/>
              </w:rPr>
            </w:pPr>
            <w:r w:rsidRPr="00EA304D">
              <w:rPr>
                <w:sz w:val="20"/>
                <w:szCs w:val="20"/>
              </w:rPr>
              <w:t>0</w:t>
            </w:r>
          </w:p>
        </w:tc>
        <w:tc>
          <w:tcPr>
            <w:tcW w:w="3859" w:type="dxa"/>
          </w:tcPr>
          <w:p w14:paraId="00C0DF83" w14:textId="77777777" w:rsidR="00D56276" w:rsidRPr="00EA304D" w:rsidRDefault="00D56276" w:rsidP="00EA304D">
            <w:pPr>
              <w:pStyle w:val="1text"/>
              <w:spacing w:before="40" w:after="40"/>
              <w:jc w:val="left"/>
              <w:rPr>
                <w:sz w:val="20"/>
                <w:szCs w:val="20"/>
              </w:rPr>
            </w:pPr>
            <w:r w:rsidRPr="00EA304D">
              <w:rPr>
                <w:sz w:val="20"/>
                <w:szCs w:val="20"/>
              </w:rPr>
              <w:t>dosud nerealizováno</w:t>
            </w:r>
          </w:p>
        </w:tc>
      </w:tr>
      <w:tr w:rsidR="00D56276" w:rsidRPr="00EA304D" w14:paraId="6E6172D8" w14:textId="77777777" w:rsidTr="00EA304D">
        <w:tc>
          <w:tcPr>
            <w:tcW w:w="1101" w:type="dxa"/>
          </w:tcPr>
          <w:p w14:paraId="1F339937"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Z18.8j</w:t>
            </w:r>
          </w:p>
        </w:tc>
        <w:tc>
          <w:tcPr>
            <w:tcW w:w="1984" w:type="dxa"/>
          </w:tcPr>
          <w:p w14:paraId="19898991"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4C6F3BCE"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0,477</w:t>
            </w:r>
          </w:p>
        </w:tc>
        <w:tc>
          <w:tcPr>
            <w:tcW w:w="1134" w:type="dxa"/>
          </w:tcPr>
          <w:p w14:paraId="625631E7"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0,477</w:t>
            </w:r>
          </w:p>
        </w:tc>
        <w:tc>
          <w:tcPr>
            <w:tcW w:w="3859" w:type="dxa"/>
          </w:tcPr>
          <w:p w14:paraId="1FC547D5" w14:textId="77777777" w:rsidR="00D56276" w:rsidRPr="00D47F4C" w:rsidRDefault="00D56276" w:rsidP="00EA304D">
            <w:pPr>
              <w:pStyle w:val="1text"/>
              <w:spacing w:before="40" w:after="40"/>
              <w:jc w:val="left"/>
              <w:rPr>
                <w:b/>
                <w:sz w:val="20"/>
                <w:szCs w:val="20"/>
              </w:rPr>
            </w:pPr>
            <w:r w:rsidRPr="00D47F4C">
              <w:rPr>
                <w:b/>
                <w:sz w:val="20"/>
                <w:szCs w:val="20"/>
              </w:rPr>
              <w:t>realizováno, dosud neevidováno v KN</w:t>
            </w:r>
          </w:p>
        </w:tc>
      </w:tr>
      <w:tr w:rsidR="00D56276" w:rsidRPr="00EA304D" w14:paraId="5B1B0FE7" w14:textId="77777777" w:rsidTr="00EA304D">
        <w:tc>
          <w:tcPr>
            <w:tcW w:w="1101" w:type="dxa"/>
          </w:tcPr>
          <w:p w14:paraId="2B7FB8B7"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Z18.8k</w:t>
            </w:r>
          </w:p>
        </w:tc>
        <w:tc>
          <w:tcPr>
            <w:tcW w:w="1984" w:type="dxa"/>
          </w:tcPr>
          <w:p w14:paraId="5DDDFBDA"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2813BCF4"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0,358</w:t>
            </w:r>
          </w:p>
        </w:tc>
        <w:tc>
          <w:tcPr>
            <w:tcW w:w="1134" w:type="dxa"/>
          </w:tcPr>
          <w:p w14:paraId="18449F8E"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0,358</w:t>
            </w:r>
          </w:p>
        </w:tc>
        <w:tc>
          <w:tcPr>
            <w:tcW w:w="3859" w:type="dxa"/>
          </w:tcPr>
          <w:p w14:paraId="1BA9C5EF"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r w:rsidR="00D56276" w:rsidRPr="00EA304D" w14:paraId="61F1A1A4" w14:textId="77777777" w:rsidTr="00EA304D">
        <w:tc>
          <w:tcPr>
            <w:tcW w:w="1101" w:type="dxa"/>
          </w:tcPr>
          <w:p w14:paraId="383E05F5"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Z18.8l</w:t>
            </w:r>
          </w:p>
        </w:tc>
        <w:tc>
          <w:tcPr>
            <w:tcW w:w="1984" w:type="dxa"/>
          </w:tcPr>
          <w:p w14:paraId="3E775734" w14:textId="77777777" w:rsidR="00D56276" w:rsidRPr="00D47F4C" w:rsidRDefault="00D56276" w:rsidP="00EA304D">
            <w:pPr>
              <w:pStyle w:val="1text"/>
              <w:spacing w:before="40" w:after="40"/>
              <w:jc w:val="left"/>
              <w:rPr>
                <w:rFonts w:eastAsia="Times New Roman"/>
                <w:b/>
                <w:sz w:val="20"/>
                <w:szCs w:val="20"/>
                <w:lang w:eastAsia="cs-CZ"/>
              </w:rPr>
            </w:pPr>
            <w:r w:rsidRPr="00D47F4C">
              <w:rPr>
                <w:rFonts w:eastAsia="Times New Roman"/>
                <w:b/>
                <w:sz w:val="20"/>
                <w:szCs w:val="20"/>
                <w:lang w:eastAsia="cs-CZ"/>
              </w:rPr>
              <w:t>Václavice</w:t>
            </w:r>
          </w:p>
        </w:tc>
        <w:tc>
          <w:tcPr>
            <w:tcW w:w="1134" w:type="dxa"/>
          </w:tcPr>
          <w:p w14:paraId="03593F82" w14:textId="77777777" w:rsidR="00D56276" w:rsidRPr="00D47F4C" w:rsidRDefault="00D56276" w:rsidP="00EA304D">
            <w:pPr>
              <w:spacing w:before="40" w:after="40" w:line="240" w:lineRule="auto"/>
              <w:jc w:val="right"/>
              <w:rPr>
                <w:rFonts w:eastAsia="Times New Roman"/>
                <w:b/>
                <w:sz w:val="20"/>
                <w:szCs w:val="20"/>
                <w:lang w:eastAsia="cs-CZ"/>
              </w:rPr>
            </w:pPr>
            <w:r w:rsidRPr="00D47F4C">
              <w:rPr>
                <w:rFonts w:eastAsia="Times New Roman"/>
                <w:b/>
                <w:sz w:val="20"/>
                <w:szCs w:val="20"/>
                <w:lang w:eastAsia="cs-CZ"/>
              </w:rPr>
              <w:t>0,184</w:t>
            </w:r>
          </w:p>
        </w:tc>
        <w:tc>
          <w:tcPr>
            <w:tcW w:w="1134" w:type="dxa"/>
          </w:tcPr>
          <w:p w14:paraId="11E61AFF" w14:textId="77777777" w:rsidR="00D56276" w:rsidRPr="00D47F4C" w:rsidRDefault="00D56276" w:rsidP="00EA304D">
            <w:pPr>
              <w:pStyle w:val="1text"/>
              <w:spacing w:before="40" w:after="40"/>
              <w:jc w:val="right"/>
              <w:rPr>
                <w:b/>
                <w:sz w:val="20"/>
                <w:szCs w:val="20"/>
              </w:rPr>
            </w:pPr>
            <w:r w:rsidRPr="00D47F4C">
              <w:rPr>
                <w:rFonts w:eastAsia="Times New Roman"/>
                <w:b/>
                <w:sz w:val="20"/>
                <w:szCs w:val="20"/>
                <w:lang w:eastAsia="cs-CZ"/>
              </w:rPr>
              <w:t>0,184</w:t>
            </w:r>
          </w:p>
        </w:tc>
        <w:tc>
          <w:tcPr>
            <w:tcW w:w="3859" w:type="dxa"/>
          </w:tcPr>
          <w:p w14:paraId="43A66807" w14:textId="77777777" w:rsidR="00D56276" w:rsidRPr="00D47F4C" w:rsidRDefault="00D56276" w:rsidP="00EA304D">
            <w:pPr>
              <w:pStyle w:val="1text"/>
              <w:spacing w:before="40" w:after="40"/>
              <w:jc w:val="left"/>
              <w:rPr>
                <w:b/>
                <w:sz w:val="20"/>
                <w:szCs w:val="20"/>
              </w:rPr>
            </w:pPr>
            <w:r w:rsidRPr="00D47F4C">
              <w:rPr>
                <w:b/>
                <w:sz w:val="20"/>
                <w:szCs w:val="20"/>
              </w:rPr>
              <w:t>realizováno</w:t>
            </w:r>
          </w:p>
        </w:tc>
      </w:tr>
    </w:tbl>
    <w:p w14:paraId="0DD30D43" w14:textId="77777777" w:rsidR="008E0712" w:rsidRDefault="008E0712" w:rsidP="003A1339">
      <w:pPr>
        <w:pStyle w:val="1text"/>
        <w:spacing w:before="240"/>
        <w:rPr>
          <w:u w:val="single"/>
        </w:rPr>
      </w:pPr>
    </w:p>
    <w:p w14:paraId="74B08067" w14:textId="77777777" w:rsidR="008E0712" w:rsidRDefault="008E0712">
      <w:pPr>
        <w:spacing w:line="240" w:lineRule="auto"/>
        <w:jc w:val="left"/>
        <w:rPr>
          <w:u w:val="single"/>
        </w:rPr>
      </w:pPr>
      <w:r>
        <w:rPr>
          <w:u w:val="single"/>
        </w:rPr>
        <w:br w:type="page"/>
      </w:r>
    </w:p>
    <w:p w14:paraId="323AF10C" w14:textId="77777777" w:rsidR="003A1339" w:rsidRPr="00F75023" w:rsidRDefault="00F75023" w:rsidP="003A1339">
      <w:pPr>
        <w:pStyle w:val="1text"/>
        <w:spacing w:before="240"/>
        <w:rPr>
          <w:u w:val="single"/>
        </w:rPr>
      </w:pPr>
      <w:r w:rsidRPr="00F75023">
        <w:rPr>
          <w:u w:val="single"/>
        </w:rPr>
        <w:lastRenderedPageBreak/>
        <w:t>FAKTORY OMEZUJÍCÍ ROZVOJ ÚZEMÍ</w:t>
      </w:r>
    </w:p>
    <w:p w14:paraId="1A3E1621" w14:textId="77777777" w:rsidR="00801B78" w:rsidRPr="007820CE" w:rsidRDefault="00801B78" w:rsidP="00F75023">
      <w:pPr>
        <w:pStyle w:val="1text"/>
        <w:spacing w:after="120"/>
      </w:pPr>
      <w:r w:rsidRPr="007820CE">
        <w:t xml:space="preserve">Dynamiku rozvoje a zájem o výstavbu na území města Hrádek nad Nisou dokazuje </w:t>
      </w:r>
      <w:r w:rsidRPr="007820CE">
        <w:rPr>
          <w:b/>
        </w:rPr>
        <w:t>využití velké části ploch, určených k zastavění již platným ÚPSÚ</w:t>
      </w:r>
      <w:r w:rsidRPr="007820CE">
        <w:t xml:space="preserve"> (viz výše). </w:t>
      </w:r>
      <w:r w:rsidR="00543454" w:rsidRPr="007820CE">
        <w:t xml:space="preserve">Nejvyšší atraktivitu vykazuje sídlo Hrádek nad Nisou, kde je dostupná celoměstská vybavenost při současném zachování blízké vazby na přírodní a krajinné zázemí města. </w:t>
      </w:r>
      <w:r w:rsidRPr="007820CE">
        <w:rPr>
          <w:b/>
        </w:rPr>
        <w:t>V</w:t>
      </w:r>
      <w:r w:rsidR="00543454" w:rsidRPr="007820CE">
        <w:rPr>
          <w:b/>
        </w:rPr>
        <w:t>ysokou mírou využití zastavitelných ploch dle ÚPSÚ se v</w:t>
      </w:r>
      <w:r w:rsidRPr="007820CE">
        <w:rPr>
          <w:b/>
        </w:rPr>
        <w:t>ýrazně snižuje disponibilita dalších vhodných území pro novou, především bytovou výstavbu</w:t>
      </w:r>
      <w:r w:rsidRPr="007820CE">
        <w:t>. Další podstatná omezení rozvoje představuj</w:t>
      </w:r>
      <w:r w:rsidR="00543454" w:rsidRPr="007820CE">
        <w:t xml:space="preserve">e </w:t>
      </w:r>
      <w:r w:rsidR="00543454" w:rsidRPr="007820CE">
        <w:rPr>
          <w:b/>
        </w:rPr>
        <w:t>nedostupnost pozemků z důvodu majetkoprávních vztahů</w:t>
      </w:r>
      <w:r w:rsidR="00543454" w:rsidRPr="007820CE">
        <w:t xml:space="preserve">, </w:t>
      </w:r>
      <w:r w:rsidR="00543454" w:rsidRPr="007820CE">
        <w:rPr>
          <w:b/>
        </w:rPr>
        <w:t>nevyhovující dostupnost či parametry dopravní a technické infrastruktury</w:t>
      </w:r>
      <w:r w:rsidR="00543454" w:rsidRPr="007820CE">
        <w:t xml:space="preserve"> a zejména zákonné</w:t>
      </w:r>
      <w:r w:rsidRPr="007820CE">
        <w:t xml:space="preserve"> </w:t>
      </w:r>
      <w:r w:rsidRPr="007820CE">
        <w:rPr>
          <w:b/>
        </w:rPr>
        <w:t>limity využití území</w:t>
      </w:r>
      <w:r w:rsidRPr="007820CE">
        <w:t>:</w:t>
      </w:r>
    </w:p>
    <w:p w14:paraId="5AE3AF60" w14:textId="77777777" w:rsidR="004347E9" w:rsidRPr="007820CE" w:rsidRDefault="00543454" w:rsidP="00F354BD">
      <w:pPr>
        <w:pStyle w:val="1text"/>
      </w:pPr>
      <w:r w:rsidRPr="007820CE">
        <w:t>HRÁDEK NAD NISOU</w:t>
      </w:r>
      <w:r w:rsidR="004347E9" w:rsidRPr="007820CE">
        <w:rPr>
          <w:b/>
        </w:rPr>
        <w:t xml:space="preserve"> </w:t>
      </w:r>
      <w:r w:rsidR="004347E9" w:rsidRPr="007820CE">
        <w:t xml:space="preserve">– nejvýznamnějším limitem, který znemožňuje posílení vnitřní části města, je </w:t>
      </w:r>
      <w:r w:rsidR="004347E9" w:rsidRPr="007820CE">
        <w:rPr>
          <w:b/>
        </w:rPr>
        <w:t>záplavové území a aktivní zóna záplavového území okolo Lužické Nisy</w:t>
      </w:r>
      <w:r w:rsidR="004347E9" w:rsidRPr="007820CE">
        <w:t>, které zasahují do centra města a celé navazující jižní části území. Bez předchozí realizace protipovodňových opatření nelze vnitřní (a jižní) část města dotvořit a uzavřít.</w:t>
      </w:r>
      <w:r w:rsidRPr="007820CE">
        <w:t xml:space="preserve"> </w:t>
      </w:r>
      <w:r w:rsidR="000C1B5D">
        <w:t xml:space="preserve">Využití zastavěného území je podstatně omezeno dřívějšími výrobními aktivitami, které v území dnešních brownfields zanechaly </w:t>
      </w:r>
      <w:r w:rsidR="000C1B5D" w:rsidRPr="000C1B5D">
        <w:rPr>
          <w:b/>
        </w:rPr>
        <w:t>průmyslová znečištění, vyžadující rozsáhlé sanace</w:t>
      </w:r>
      <w:r w:rsidR="000C1B5D">
        <w:t xml:space="preserve">. Využití těchto ploch pro bydlení je sporné a ekonomicky velmi nákladné. </w:t>
      </w:r>
      <w:r w:rsidRPr="007820CE">
        <w:t xml:space="preserve">Dalším neméně významným limitem je ochrana zemědělské půdy. </w:t>
      </w:r>
      <w:r w:rsidRPr="007820CE">
        <w:rPr>
          <w:b/>
        </w:rPr>
        <w:t>ZPF I. a II. třídy ochrany</w:t>
      </w:r>
      <w:r w:rsidRPr="007820CE">
        <w:t xml:space="preserve"> pokrývá v podstatě celé území Hrádku od toku Lužické Nisy až k obchvatu města na silnici I/35. Území za koridorem obchvatu představuje hodnotu v podobě </w:t>
      </w:r>
      <w:r w:rsidRPr="007820CE">
        <w:rPr>
          <w:b/>
        </w:rPr>
        <w:t>volné krajiny</w:t>
      </w:r>
      <w:r w:rsidRPr="007820CE">
        <w:t>, která by neměla být zastavována v izolovaných segmentech. Ve velké části tohoto území byly realizovány investice do půdy.</w:t>
      </w:r>
    </w:p>
    <w:p w14:paraId="6BCBE956" w14:textId="77777777" w:rsidR="00543454" w:rsidRPr="007820CE" w:rsidRDefault="00543454" w:rsidP="00F354BD">
      <w:pPr>
        <w:pStyle w:val="1text"/>
      </w:pPr>
      <w:r w:rsidRPr="007820CE">
        <w:t>DOLNÍ SEDLO</w:t>
      </w:r>
      <w:r w:rsidR="00900BB2" w:rsidRPr="007820CE">
        <w:t xml:space="preserve"> a HORNÍ SEDLO – izolovaná sídla ve volné krajině, s omezenou dopravní dostupností, atraktivní z hlediska přírodního zázemí, avšak omezená pro rozvoj z důvodu </w:t>
      </w:r>
      <w:r w:rsidR="00900BB2" w:rsidRPr="007820CE">
        <w:rPr>
          <w:b/>
        </w:rPr>
        <w:t>lokalizace v blízkosti CHKO</w:t>
      </w:r>
      <w:r w:rsidR="00900BB2" w:rsidRPr="007820CE">
        <w:t xml:space="preserve"> (v II. – III. zóně) a jižně navazujících rozsáhlých </w:t>
      </w:r>
      <w:r w:rsidR="00900BB2" w:rsidRPr="007820CE">
        <w:rPr>
          <w:b/>
        </w:rPr>
        <w:t>ploch lesa</w:t>
      </w:r>
      <w:r w:rsidR="00900BB2" w:rsidRPr="007820CE">
        <w:t xml:space="preserve"> v exponovaných polohách na svahu. Na sever od obou sídel se otvírá </w:t>
      </w:r>
      <w:r w:rsidR="00900BB2" w:rsidRPr="007820CE">
        <w:rPr>
          <w:b/>
        </w:rPr>
        <w:t>volná krajina</w:t>
      </w:r>
      <w:r w:rsidR="00900BB2" w:rsidRPr="007820CE">
        <w:t xml:space="preserve">, kterou je v souladu s PÚR a nadřazenými dokumenty chránit, jako souvislý celek, bez fragmentace. Za východní hranici zástavby lze považovat </w:t>
      </w:r>
      <w:r w:rsidR="00900BB2" w:rsidRPr="007820CE">
        <w:rPr>
          <w:b/>
        </w:rPr>
        <w:t>ochranné pásmo vedení VN</w:t>
      </w:r>
      <w:r w:rsidR="00900BB2" w:rsidRPr="007820CE">
        <w:t xml:space="preserve"> (Dolní Sedlo) a </w:t>
      </w:r>
      <w:r w:rsidR="00900BB2" w:rsidRPr="007820CE">
        <w:rPr>
          <w:b/>
        </w:rPr>
        <w:t>ochranné pásmo VTL plynovodu</w:t>
      </w:r>
      <w:r w:rsidR="00900BB2" w:rsidRPr="007820CE">
        <w:t xml:space="preserve"> (Horní Sedlo), které prochází rovněž vnitřní částí sídla Dolní Sedlo.</w:t>
      </w:r>
      <w:r w:rsidR="00A70E36">
        <w:t xml:space="preserve"> V případě Dolního Sedla je neopominutelným omezením ZPF I. a II. třídy ochrany, v rozsahu celého sídla západně od silnice III/2716.</w:t>
      </w:r>
    </w:p>
    <w:p w14:paraId="08C384ED" w14:textId="77777777" w:rsidR="00543454" w:rsidRPr="007820CE" w:rsidRDefault="00543454" w:rsidP="00F354BD">
      <w:pPr>
        <w:pStyle w:val="1text"/>
      </w:pPr>
      <w:r w:rsidRPr="007820CE">
        <w:t xml:space="preserve">DONÍN a LOUČNÁ – </w:t>
      </w:r>
      <w:r w:rsidR="00900BB2" w:rsidRPr="007820CE">
        <w:t>osami území jsou ulice Hartavská s navazující ul. Donínská a paralelní Lipová. Obě</w:t>
      </w:r>
      <w:r w:rsidRPr="007820CE">
        <w:t xml:space="preserve"> části města přiléhají k toku Lužické Nisy, která na jednu stranu představuje vysoce atraktivní polohu, na druhou stranu výrazné omezení pro stavební rozvoj z důvodu rozsáhlého </w:t>
      </w:r>
      <w:r w:rsidRPr="007820CE">
        <w:rPr>
          <w:b/>
        </w:rPr>
        <w:t>záplavového území a aktivní zóny záplavového území</w:t>
      </w:r>
      <w:r w:rsidRPr="007820CE">
        <w:t xml:space="preserve">, které </w:t>
      </w:r>
      <w:r w:rsidR="00900BB2" w:rsidRPr="007820CE">
        <w:t xml:space="preserve">ze severu </w:t>
      </w:r>
      <w:r w:rsidRPr="007820CE">
        <w:t>zasahují přibližně do poloviny současné zástavby obou sídel</w:t>
      </w:r>
      <w:r w:rsidR="00900BB2" w:rsidRPr="007820CE">
        <w:t xml:space="preserve"> (až pod zástavbu po jižní hraně ul Hartavská i ul. Donínská)</w:t>
      </w:r>
      <w:r w:rsidRPr="007820CE">
        <w:t xml:space="preserve">. </w:t>
      </w:r>
      <w:r w:rsidR="00900BB2" w:rsidRPr="007820CE">
        <w:t xml:space="preserve">Z jihu navazuje na zástavbu </w:t>
      </w:r>
      <w:r w:rsidR="00900BB2" w:rsidRPr="007820CE">
        <w:rPr>
          <w:b/>
        </w:rPr>
        <w:t>volná krajina</w:t>
      </w:r>
      <w:r w:rsidR="00900BB2" w:rsidRPr="007820CE">
        <w:t xml:space="preserve">, kterou je v souladu s PÚR a nadřazenými dokumenty chránit, jako souvislý celek, bez fragmentace. </w:t>
      </w:r>
      <w:r w:rsidR="000C1B5D">
        <w:t>Součástí Loučné je několik výrobních areálů, kde byla výrobní činnosti již ukončena nebo omezena, využití těchto brownfields (zejména pro bydlení) je však ztíženo reálnými kontaminacemi těchto ploch.</w:t>
      </w:r>
    </w:p>
    <w:p w14:paraId="4FCF352A" w14:textId="5AF731B2" w:rsidR="00F354BD" w:rsidRPr="007820CE" w:rsidRDefault="00543454" w:rsidP="00F354BD">
      <w:pPr>
        <w:pStyle w:val="1text"/>
        <w:rPr>
          <w:b/>
        </w:rPr>
      </w:pPr>
      <w:r w:rsidRPr="007820CE">
        <w:t xml:space="preserve">DOLNÍ SUCHÁ </w:t>
      </w:r>
      <w:r w:rsidR="00F354BD" w:rsidRPr="007820CE">
        <w:t xml:space="preserve">– páteří sídla s předpokladem posilování kompaktnosti zástavby je silnice III/2711. Doplnění proluk podél této komunikace je však znemožněno rozsáhlým </w:t>
      </w:r>
      <w:r w:rsidR="00F354BD" w:rsidRPr="007820CE">
        <w:rPr>
          <w:b/>
        </w:rPr>
        <w:t>záplavovým územím a aktivní zónou záplavového území</w:t>
      </w:r>
      <w:r w:rsidR="00F354BD" w:rsidRPr="007820CE">
        <w:t>. Sekundární osu představuje silnice III/</w:t>
      </w:r>
      <w:r w:rsidR="009D47B0" w:rsidRPr="007820CE">
        <w:t>271</w:t>
      </w:r>
      <w:r w:rsidR="009D47B0">
        <w:t>3</w:t>
      </w:r>
      <w:r w:rsidR="00F354BD" w:rsidRPr="007820CE">
        <w:t xml:space="preserve">, zde je možnost dostaveb proluk omezena rozsáhlými pozemky lesa a polohou na hranici II. zóny CHKO. </w:t>
      </w:r>
      <w:r w:rsidR="00A70E36">
        <w:t xml:space="preserve">Podél obou komunikací se pak nachází </w:t>
      </w:r>
      <w:r w:rsidR="00A70E36" w:rsidRPr="00A70E36">
        <w:rPr>
          <w:b/>
        </w:rPr>
        <w:t>pozemky zemědělské půdy I. a II. třídy ochrany</w:t>
      </w:r>
      <w:r w:rsidR="00A70E36">
        <w:t xml:space="preserve">. </w:t>
      </w:r>
      <w:r w:rsidR="00F354BD" w:rsidRPr="007820CE">
        <w:t xml:space="preserve">Zbývající část sídla má charakter roztroušené zástavby ve volné krajině, další výraznější zahušťování a dostavby by vedly k nežádoucí </w:t>
      </w:r>
      <w:r w:rsidR="00F354BD" w:rsidRPr="007820CE">
        <w:rPr>
          <w:b/>
        </w:rPr>
        <w:t>degradaci jedinečného rázu Dolní Suché.</w:t>
      </w:r>
    </w:p>
    <w:p w14:paraId="5B376785" w14:textId="77777777" w:rsidR="00543454" w:rsidRPr="007820CE" w:rsidRDefault="00543454" w:rsidP="00F354BD">
      <w:pPr>
        <w:pStyle w:val="1text"/>
      </w:pPr>
      <w:r w:rsidRPr="007820CE">
        <w:t>OLDŘICHOV NA HRANICÍCH</w:t>
      </w:r>
      <w:r w:rsidR="007820CE" w:rsidRPr="007820CE">
        <w:t xml:space="preserve"> – stavební rozvoj sídla Oldřichov na Hranicích je omezen vlastní </w:t>
      </w:r>
      <w:r w:rsidR="007820CE" w:rsidRPr="007820CE">
        <w:rPr>
          <w:b/>
        </w:rPr>
        <w:t>polohou na státní hranici,</w:t>
      </w:r>
      <w:r w:rsidR="007820CE" w:rsidRPr="007820CE">
        <w:t xml:space="preserve"> která prochází za první řadou zástavby nad silnicí III/27110. Na protilehlé straně komunikace za první řadou zástavby navazuje </w:t>
      </w:r>
      <w:r w:rsidR="007820CE" w:rsidRPr="007820CE">
        <w:rPr>
          <w:b/>
        </w:rPr>
        <w:t>otevřená zemědělská krajina</w:t>
      </w:r>
      <w:r w:rsidR="007820CE" w:rsidRPr="007820CE">
        <w:t>, navíc s </w:t>
      </w:r>
      <w:r w:rsidR="007820CE" w:rsidRPr="007820CE">
        <w:rPr>
          <w:b/>
        </w:rPr>
        <w:t>pozemky I. a II. třídy ochrany</w:t>
      </w:r>
      <w:r w:rsidR="007820CE" w:rsidRPr="007820CE">
        <w:t xml:space="preserve">. Další rozvoj zástavby v tomto směru by mohl </w:t>
      </w:r>
      <w:r w:rsidR="007820CE" w:rsidRPr="007820CE">
        <w:rPr>
          <w:b/>
        </w:rPr>
        <w:t>narušit krajinný ráz a dálkové pohledy</w:t>
      </w:r>
      <w:r w:rsidR="007820CE" w:rsidRPr="007820CE">
        <w:t xml:space="preserve"> na Oldřichov ve směru od silnice I/35.</w:t>
      </w:r>
    </w:p>
    <w:p w14:paraId="778B3C4B" w14:textId="77777777" w:rsidR="00543454" w:rsidRPr="000C1B5D" w:rsidRDefault="00543454" w:rsidP="00F354BD">
      <w:pPr>
        <w:pStyle w:val="1text"/>
      </w:pPr>
      <w:r w:rsidRPr="000C1B5D">
        <w:t>VÁCLAVICE</w:t>
      </w:r>
      <w:r w:rsidR="007820CE" w:rsidRPr="000C1B5D">
        <w:t xml:space="preserve"> – sídlo sevřené mezi svahy okolo páteřní silnice (III/2713, III/2713, III/27251</w:t>
      </w:r>
      <w:r w:rsidR="000C1B5D" w:rsidRPr="000C1B5D">
        <w:t xml:space="preserve">). Další rozvoj je omezen </w:t>
      </w:r>
      <w:r w:rsidR="000C1B5D" w:rsidRPr="000C1B5D">
        <w:rPr>
          <w:b/>
        </w:rPr>
        <w:t>výraznou morfologií</w:t>
      </w:r>
      <w:r w:rsidR="000C1B5D" w:rsidRPr="000C1B5D">
        <w:t xml:space="preserve">, která značně omezuje dopravní dostupnost nové výstavby. V některých částech je zástavba od navazující volné krajiny oddělena pásem zeleně s navazujícími </w:t>
      </w:r>
      <w:r w:rsidR="000C1B5D" w:rsidRPr="000C1B5D">
        <w:rPr>
          <w:b/>
        </w:rPr>
        <w:t>plochami lesa</w:t>
      </w:r>
      <w:r w:rsidR="000C1B5D" w:rsidRPr="000C1B5D">
        <w:t>, které jsou významnou přírodní hodnotou a nezastavitelným územím.</w:t>
      </w:r>
    </w:p>
    <w:p w14:paraId="3395076D" w14:textId="77777777" w:rsidR="007820CE" w:rsidRDefault="00543454" w:rsidP="00F354BD">
      <w:pPr>
        <w:pStyle w:val="1text"/>
      </w:pPr>
      <w:r w:rsidRPr="007820CE">
        <w:t>UHELNÁ</w:t>
      </w:r>
      <w:r w:rsidR="007820CE" w:rsidRPr="007820CE">
        <w:t xml:space="preserve"> – relativně kompaktní sídlo s návesním uspořádáním je omezeno ve svém rozvoj již vlastní </w:t>
      </w:r>
      <w:r w:rsidR="007820CE" w:rsidRPr="007820CE">
        <w:rPr>
          <w:b/>
        </w:rPr>
        <w:t>urbanistickou strukturou</w:t>
      </w:r>
      <w:r w:rsidR="007820CE" w:rsidRPr="007820CE">
        <w:t xml:space="preserve"> s jádrem v podobě hlavního veřejného prostranství a okolo kolmo situovanou obytnou </w:t>
      </w:r>
      <w:r w:rsidR="007820CE" w:rsidRPr="007820CE">
        <w:lastRenderedPageBreak/>
        <w:t xml:space="preserve">zástavbou. Původní uspořádání bylo v minulých letech narušeno novostavbami rodinných domů v jižní části, další pokračování již není reálné, z důvodu rozsáhlého </w:t>
      </w:r>
      <w:r w:rsidR="007820CE" w:rsidRPr="007820CE">
        <w:rPr>
          <w:b/>
        </w:rPr>
        <w:t>chráněného ložiskového území, navazujícího na dobývací prostor s těžbou štěrkopísku Václavice</w:t>
      </w:r>
      <w:r w:rsidR="007820CE" w:rsidRPr="007820CE">
        <w:t>.</w:t>
      </w:r>
      <w:r w:rsidR="007820CE">
        <w:t xml:space="preserve"> Ve východním směru na zastavěné území navazují </w:t>
      </w:r>
      <w:r w:rsidR="007820CE" w:rsidRPr="007820CE">
        <w:rPr>
          <w:b/>
        </w:rPr>
        <w:t>pozemky zemědělské půdy nejvyšší třídy ochrany</w:t>
      </w:r>
      <w:r w:rsidR="007820CE">
        <w:t>.</w:t>
      </w:r>
    </w:p>
    <w:p w14:paraId="774AB5F0" w14:textId="77777777" w:rsidR="00801B78" w:rsidRPr="00461C16" w:rsidRDefault="00801B78" w:rsidP="00801B78">
      <w:pPr>
        <w:pStyle w:val="Heading2"/>
        <w:ind w:left="709" w:hanging="709"/>
      </w:pPr>
      <w:bookmarkStart w:id="193" w:name="_Toc36116330"/>
      <w:r>
        <w:t>7</w:t>
      </w:r>
      <w:r w:rsidRPr="00461C16">
        <w:t>.</w:t>
      </w:r>
      <w:r>
        <w:t>2</w:t>
      </w:r>
      <w:r w:rsidRPr="00461C16">
        <w:t xml:space="preserve"> </w:t>
      </w:r>
      <w:r w:rsidRPr="00461C16">
        <w:tab/>
      </w:r>
      <w:r>
        <w:t>Vyhodnocení potřeby vymezení zastavitelných ploch</w:t>
      </w:r>
      <w:bookmarkEnd w:id="193"/>
    </w:p>
    <w:p w14:paraId="0832B41F" w14:textId="77777777" w:rsidR="003B0436" w:rsidRDefault="003B0436" w:rsidP="00801B78">
      <w:pPr>
        <w:pStyle w:val="1text"/>
        <w:spacing w:before="240"/>
      </w:pPr>
      <w:r w:rsidRPr="008B5658">
        <w:t xml:space="preserve">Město Hrádek nad Nisou je </w:t>
      </w:r>
      <w:r w:rsidR="005C6BA1" w:rsidRPr="008B5658">
        <w:t xml:space="preserve">součástí </w:t>
      </w:r>
      <w:r w:rsidR="005C6BA1" w:rsidRPr="008B5658">
        <w:rPr>
          <w:b/>
        </w:rPr>
        <w:t>rozvojové oblasti a rozvojové osy</w:t>
      </w:r>
      <w:r w:rsidR="005C6BA1" w:rsidRPr="008B5658">
        <w:t xml:space="preserve">, což generuje zvýšené požadavky na změny v území z důvodu soustředěných aktivit mezinárodních a republikového významu. </w:t>
      </w:r>
      <w:r w:rsidRPr="008B5658">
        <w:t xml:space="preserve">Politikou územního rozvoje ČR </w:t>
      </w:r>
      <w:r w:rsidR="005C6BA1" w:rsidRPr="008B5658">
        <w:t xml:space="preserve">je město </w:t>
      </w:r>
      <w:r w:rsidRPr="008B5658">
        <w:t>začleněno do rozvojové oblasti OB7 Liberec a současně do rozvojové osy OS3 Praha – Liberec – hranice ĆR / Německo, Polsko. Jedná se o území se silnou koncentrací obyvatelstva a ekonomických činností ovlivněné rozvojovou dynamikou krajského města Liberec. Podporujícím faktorem rozvoje je existující propojení rychlostní silnicí R35 (s navazující silnicí I/35 na území Hrádku n</w:t>
      </w:r>
      <w:r w:rsidR="00021DC8">
        <w:t>. </w:t>
      </w:r>
      <w:r w:rsidRPr="008B5658">
        <w:t>N.). Úkoly pro územní plánování</w:t>
      </w:r>
      <w:r w:rsidR="001E2151" w:rsidRPr="008B5658">
        <w:t>,</w:t>
      </w:r>
      <w:r w:rsidRPr="008B5658">
        <w:t xml:space="preserve"> vyplývající pro rozvojovou oblast a osu</w:t>
      </w:r>
      <w:r w:rsidR="001E2151" w:rsidRPr="008B5658">
        <w:t>,</w:t>
      </w:r>
      <w:r w:rsidRPr="008B5658">
        <w:t xml:space="preserve"> jsou </w:t>
      </w:r>
      <w:r w:rsidR="001E2151" w:rsidRPr="008B5658">
        <w:t xml:space="preserve">tedy </w:t>
      </w:r>
      <w:r w:rsidRPr="008B5658">
        <w:t>pri</w:t>
      </w:r>
      <w:r w:rsidR="001E2151" w:rsidRPr="008B5658">
        <w:t xml:space="preserve">oritně zaměřeny na </w:t>
      </w:r>
      <w:r w:rsidR="001E2151" w:rsidRPr="008B5658">
        <w:rPr>
          <w:b/>
        </w:rPr>
        <w:t>vytváření podmínek pro další rozvoj mezinárodně a republikově významných aktivit a intenzivní v</w:t>
      </w:r>
      <w:r w:rsidRPr="008B5658">
        <w:rPr>
          <w:b/>
        </w:rPr>
        <w:t>yužívání území v souvislosti s r</w:t>
      </w:r>
      <w:r w:rsidR="001E2151" w:rsidRPr="008B5658">
        <w:rPr>
          <w:b/>
        </w:rPr>
        <w:t>ozvoj</w:t>
      </w:r>
      <w:r w:rsidRPr="008B5658">
        <w:rPr>
          <w:b/>
        </w:rPr>
        <w:t>em veřejné infrastruktury</w:t>
      </w:r>
      <w:r w:rsidRPr="008B5658">
        <w:t>.</w:t>
      </w:r>
      <w:r w:rsidR="005C6BA1" w:rsidRPr="008B5658">
        <w:t xml:space="preserve"> </w:t>
      </w:r>
      <w:r w:rsidRPr="008B5658">
        <w:t>Dle ZÚR Libereckého kraje je území města Hrádek nad Nisou zahrnuto do rozvojo</w:t>
      </w:r>
      <w:r w:rsidR="005C6BA1" w:rsidRPr="008B5658">
        <w:t>v</w:t>
      </w:r>
      <w:r w:rsidRPr="008B5658">
        <w:t>é oblasti republikového významu ROB1 Liberec, kde jedním z hlavních cílů je zajištění územních podmínek a podpora řešení směřujících k </w:t>
      </w:r>
      <w:r w:rsidRPr="008B5658">
        <w:rPr>
          <w:b/>
        </w:rPr>
        <w:t>rozvoji hospodářských a sociálních aktivit</w:t>
      </w:r>
      <w:r w:rsidRPr="008B5658">
        <w:t xml:space="preserve"> posilujících význam Libereckého kraje. </w:t>
      </w:r>
      <w:r w:rsidR="002E4BDE">
        <w:t xml:space="preserve">ZÚR </w:t>
      </w:r>
      <w:r w:rsidR="003B07D8">
        <w:t xml:space="preserve">LK </w:t>
      </w:r>
      <w:r w:rsidR="002E4BDE">
        <w:t>stanovuje pro tuto rozvojovou oblast mimo jiné následující úkoly:</w:t>
      </w:r>
    </w:p>
    <w:p w14:paraId="1C34CD86" w14:textId="77777777" w:rsidR="002E4BDE" w:rsidRPr="00461C16" w:rsidRDefault="002E4BDE" w:rsidP="00A06EB9">
      <w:pPr>
        <w:pStyle w:val="1text"/>
        <w:numPr>
          <w:ilvl w:val="0"/>
          <w:numId w:val="98"/>
        </w:numPr>
        <w:rPr>
          <w:u w:val="single"/>
        </w:rPr>
      </w:pPr>
      <w:r>
        <w:t>v</w:t>
      </w:r>
      <w:r w:rsidRPr="00461C16">
        <w:t xml:space="preserve">e smyslu principů udržitelného rozvoje zpřesnit zónování rozvojové oblasti </w:t>
      </w:r>
      <w:r>
        <w:t xml:space="preserve">a rozvojové osy </w:t>
      </w:r>
      <w:r w:rsidRPr="00461C16">
        <w:t xml:space="preserve">na úrovni </w:t>
      </w:r>
      <w:r>
        <w:t>ÚP</w:t>
      </w:r>
      <w:r w:rsidRPr="00461C16">
        <w:t xml:space="preserve"> na územní části pro </w:t>
      </w:r>
      <w:r w:rsidRPr="002E4BDE">
        <w:rPr>
          <w:b/>
        </w:rPr>
        <w:t>přednostní umisťování ekonomických aktivit</w:t>
      </w:r>
      <w:r w:rsidRPr="00461C16">
        <w:t xml:space="preserve"> a na územní části pro </w:t>
      </w:r>
      <w:r w:rsidRPr="002E4BDE">
        <w:rPr>
          <w:b/>
        </w:rPr>
        <w:t>přednostní umisťování bydlení a příměstské rekreace</w:t>
      </w:r>
      <w:r w:rsidRPr="00461C16">
        <w:t xml:space="preserve"> </w:t>
      </w:r>
    </w:p>
    <w:p w14:paraId="30BD535D" w14:textId="77777777" w:rsidR="002E4BDE" w:rsidRPr="00461C16" w:rsidRDefault="002E4BDE" w:rsidP="00A06EB9">
      <w:pPr>
        <w:pStyle w:val="1text"/>
        <w:numPr>
          <w:ilvl w:val="0"/>
          <w:numId w:val="98"/>
        </w:numPr>
        <w:rPr>
          <w:u w:val="single"/>
        </w:rPr>
      </w:pPr>
      <w:r>
        <w:rPr>
          <w:b/>
        </w:rPr>
        <w:t>v</w:t>
      </w:r>
      <w:r w:rsidRPr="002E4BDE">
        <w:rPr>
          <w:b/>
        </w:rPr>
        <w:t>ytvářet územní podmínky pro vstup strategických investorů a rozvoj nových ekonomických aktivit</w:t>
      </w:r>
      <w:r w:rsidRPr="00461C16">
        <w:t xml:space="preserve"> v rámci restrukturalizace výrobního potenciálu po zániku tradičních odvětví </w:t>
      </w:r>
    </w:p>
    <w:p w14:paraId="6A33EDC6" w14:textId="77777777" w:rsidR="002E4BDE" w:rsidRPr="00461C16" w:rsidRDefault="002E4BDE" w:rsidP="00A06EB9">
      <w:pPr>
        <w:pStyle w:val="1text"/>
        <w:numPr>
          <w:ilvl w:val="0"/>
          <w:numId w:val="98"/>
        </w:numPr>
        <w:rPr>
          <w:u w:val="single"/>
        </w:rPr>
      </w:pPr>
      <w:r>
        <w:t>r</w:t>
      </w:r>
      <w:r w:rsidRPr="00461C16">
        <w:t xml:space="preserve">ozvoj nových ekonomických aktivit </w:t>
      </w:r>
      <w:r w:rsidRPr="002E4BDE">
        <w:rPr>
          <w:b/>
        </w:rPr>
        <w:t>zajistit odpovídajícími obytnými kapacitami</w:t>
      </w:r>
    </w:p>
    <w:p w14:paraId="6535C0B6" w14:textId="77777777" w:rsidR="002E4BDE" w:rsidRPr="00461C16" w:rsidRDefault="002E4BDE" w:rsidP="00A06EB9">
      <w:pPr>
        <w:pStyle w:val="1text"/>
        <w:numPr>
          <w:ilvl w:val="0"/>
          <w:numId w:val="98"/>
        </w:numPr>
      </w:pPr>
      <w:r>
        <w:t>n</w:t>
      </w:r>
      <w:r w:rsidRPr="00461C16">
        <w:t>ávrh nových ploch pro bydlení odvozovat ze sociodemografických prognóz v souladu s koncepcemi rozvoje obc</w:t>
      </w:r>
      <w:r>
        <w:t>e</w:t>
      </w:r>
      <w:r w:rsidRPr="00461C16">
        <w:t xml:space="preserve"> v širších územních souvislostech a vždy je zajistit odpovídajícími kapacitami veřejné infrastru</w:t>
      </w:r>
      <w:r>
        <w:t>ktury a veřejných prostranství</w:t>
      </w:r>
    </w:p>
    <w:p w14:paraId="5A2EE2A7" w14:textId="77777777" w:rsidR="002E4BDE" w:rsidRPr="00461C16" w:rsidRDefault="002E4BDE" w:rsidP="00A06EB9">
      <w:pPr>
        <w:pStyle w:val="1text"/>
        <w:numPr>
          <w:ilvl w:val="0"/>
          <w:numId w:val="98"/>
        </w:numPr>
      </w:pPr>
      <w:r>
        <w:t>c</w:t>
      </w:r>
      <w:r w:rsidRPr="00461C16">
        <w:t xml:space="preserve">ílevědomým </w:t>
      </w:r>
      <w:r w:rsidRPr="002E4BDE">
        <w:rPr>
          <w:b/>
        </w:rPr>
        <w:t>rozvojem sportovně rekreační vybavenosti</w:t>
      </w:r>
      <w:r w:rsidRPr="00461C16">
        <w:t xml:space="preserve"> posilovat význam:</w:t>
      </w:r>
    </w:p>
    <w:p w14:paraId="53BA0705" w14:textId="77777777" w:rsidR="002E4BDE" w:rsidRPr="00461C16" w:rsidRDefault="002E4BDE" w:rsidP="002E4BDE">
      <w:pPr>
        <w:pStyle w:val="1text"/>
        <w:numPr>
          <w:ilvl w:val="0"/>
          <w:numId w:val="65"/>
        </w:numPr>
      </w:pPr>
      <w:r w:rsidRPr="00461C16">
        <w:t>denní rekreace obyvatel pro reprodukci pracovní síly</w:t>
      </w:r>
    </w:p>
    <w:p w14:paraId="22AC294E" w14:textId="77777777" w:rsidR="002E4BDE" w:rsidRPr="00461C16" w:rsidRDefault="002E4BDE" w:rsidP="002E4BDE">
      <w:pPr>
        <w:pStyle w:val="1text"/>
        <w:numPr>
          <w:ilvl w:val="0"/>
          <w:numId w:val="65"/>
        </w:numPr>
      </w:pPr>
      <w:r w:rsidRPr="00461C16">
        <w:t xml:space="preserve">sportovního vyžití na úrovni místního i nadmístního významu </w:t>
      </w:r>
    </w:p>
    <w:p w14:paraId="41B94AAF" w14:textId="77777777" w:rsidR="002E4BDE" w:rsidRPr="00461C16" w:rsidRDefault="002E4BDE" w:rsidP="002E4BDE">
      <w:pPr>
        <w:pStyle w:val="1text"/>
        <w:numPr>
          <w:ilvl w:val="0"/>
          <w:numId w:val="65"/>
        </w:numPr>
      </w:pPr>
      <w:r w:rsidRPr="00461C16">
        <w:t>nástupních center cestovního ruchu a vazeb na blízká střediska cestovního ruchu</w:t>
      </w:r>
    </w:p>
    <w:p w14:paraId="7C7301FF" w14:textId="77777777" w:rsidR="002E4BDE" w:rsidRDefault="002E4BDE" w:rsidP="001E2151">
      <w:pPr>
        <w:pStyle w:val="1text"/>
      </w:pPr>
      <w:r>
        <w:t xml:space="preserve">ZÚR </w:t>
      </w:r>
      <w:r w:rsidR="003B07D8">
        <w:t xml:space="preserve">LK </w:t>
      </w:r>
      <w:r>
        <w:t>dále stanovuje následující úkoly pro ochranu civilizačních hodnot:</w:t>
      </w:r>
    </w:p>
    <w:p w14:paraId="63209F73" w14:textId="77777777" w:rsidR="002E4BDE" w:rsidRPr="002E4BDE" w:rsidRDefault="002E4BDE" w:rsidP="002E4BDE">
      <w:pPr>
        <w:pStyle w:val="4podnadpis"/>
        <w:rPr>
          <w:b w:val="0"/>
        </w:rPr>
      </w:pPr>
      <w:r w:rsidRPr="002E4BDE">
        <w:rPr>
          <w:b w:val="0"/>
        </w:rPr>
        <w:t>Urbanistické a architektonické hodnoty:</w:t>
      </w:r>
    </w:p>
    <w:p w14:paraId="7591FCE1" w14:textId="77777777" w:rsidR="002E4BDE" w:rsidRPr="00461C16" w:rsidRDefault="002E4BDE" w:rsidP="00A06EB9">
      <w:pPr>
        <w:pStyle w:val="ListParagraph"/>
        <w:numPr>
          <w:ilvl w:val="0"/>
          <w:numId w:val="99"/>
        </w:numPr>
        <w:autoSpaceDE w:val="0"/>
        <w:autoSpaceDN w:val="0"/>
        <w:adjustRightInd w:val="0"/>
        <w:spacing w:before="60" w:line="240" w:lineRule="auto"/>
        <w:rPr>
          <w:rFonts w:cs="Arial"/>
          <w:lang w:eastAsia="cs-CZ"/>
        </w:rPr>
      </w:pPr>
      <w:r>
        <w:rPr>
          <w:rFonts w:cs="Arial"/>
          <w:lang w:eastAsia="cs-CZ"/>
        </w:rPr>
        <w:t>ř</w:t>
      </w:r>
      <w:r w:rsidRPr="00461C16">
        <w:rPr>
          <w:rFonts w:cs="Arial"/>
          <w:lang w:eastAsia="cs-CZ"/>
        </w:rPr>
        <w:t xml:space="preserve">ídit </w:t>
      </w:r>
      <w:r w:rsidRPr="002E4BDE">
        <w:rPr>
          <w:rFonts w:cs="Arial"/>
          <w:b/>
          <w:lang w:eastAsia="cs-CZ"/>
        </w:rPr>
        <w:t>urbanizaci a rozvoj hlavních ekonomických aktivit v rozsahu vymezených rozvojových oblastí a rozvojových os v základních vazbách na nejvýznamnější centra osídlení</w:t>
      </w:r>
      <w:r w:rsidRPr="00461C16">
        <w:rPr>
          <w:rFonts w:cs="Arial"/>
          <w:lang w:eastAsia="cs-CZ"/>
        </w:rPr>
        <w:t xml:space="preserve"> a omezit rozšiřování intenzivní zástavby do venkovského prost</w:t>
      </w:r>
      <w:r>
        <w:rPr>
          <w:rFonts w:cs="Arial"/>
          <w:lang w:eastAsia="cs-CZ"/>
        </w:rPr>
        <w:t>oru a přírodních částí krajiny</w:t>
      </w:r>
    </w:p>
    <w:p w14:paraId="7C9F3879" w14:textId="77777777" w:rsidR="002E4BDE" w:rsidRPr="002E4BDE" w:rsidRDefault="002E4BDE" w:rsidP="002E4BDE">
      <w:pPr>
        <w:pStyle w:val="4podnadpis"/>
        <w:rPr>
          <w:b w:val="0"/>
        </w:rPr>
      </w:pPr>
      <w:r w:rsidRPr="002E4BDE">
        <w:rPr>
          <w:b w:val="0"/>
        </w:rPr>
        <w:t>Ekonomická základna kraje:</w:t>
      </w:r>
    </w:p>
    <w:p w14:paraId="03467A2A" w14:textId="77777777" w:rsidR="002E4BDE" w:rsidRPr="00461C16" w:rsidRDefault="002E4BDE" w:rsidP="00A06EB9">
      <w:pPr>
        <w:pStyle w:val="ListParagraph"/>
        <w:numPr>
          <w:ilvl w:val="0"/>
          <w:numId w:val="99"/>
        </w:numPr>
        <w:autoSpaceDE w:val="0"/>
        <w:autoSpaceDN w:val="0"/>
        <w:adjustRightInd w:val="0"/>
        <w:spacing w:before="60" w:line="240" w:lineRule="auto"/>
        <w:rPr>
          <w:rFonts w:cs="Arial"/>
          <w:lang w:eastAsia="cs-CZ"/>
        </w:rPr>
      </w:pPr>
      <w:r>
        <w:rPr>
          <w:rFonts w:cs="Arial"/>
          <w:b/>
          <w:lang w:eastAsia="cs-CZ"/>
        </w:rPr>
        <w:t>p</w:t>
      </w:r>
      <w:r w:rsidRPr="002E4BDE">
        <w:rPr>
          <w:rFonts w:cs="Arial"/>
          <w:b/>
          <w:lang w:eastAsia="cs-CZ"/>
        </w:rPr>
        <w:t>řipravit územní podmínky pro rozvoj podnikatelských aktivit</w:t>
      </w:r>
      <w:r w:rsidRPr="00461C16">
        <w:rPr>
          <w:rFonts w:cs="Arial"/>
          <w:lang w:eastAsia="cs-CZ"/>
        </w:rPr>
        <w:t xml:space="preserve"> v celém využitelném území kraje zejména:</w:t>
      </w:r>
    </w:p>
    <w:p w14:paraId="41C948A4" w14:textId="77777777" w:rsidR="002E4BDE" w:rsidRPr="002E4BDE" w:rsidRDefault="002E4BDE" w:rsidP="002E4BDE">
      <w:pPr>
        <w:pStyle w:val="ListParagraph"/>
        <w:numPr>
          <w:ilvl w:val="0"/>
          <w:numId w:val="62"/>
        </w:numPr>
        <w:autoSpaceDE w:val="0"/>
        <w:autoSpaceDN w:val="0"/>
        <w:adjustRightInd w:val="0"/>
        <w:spacing w:before="60" w:line="240" w:lineRule="auto"/>
        <w:ind w:left="1134" w:hanging="425"/>
        <w:rPr>
          <w:rFonts w:cs="Arial"/>
          <w:b/>
          <w:lang w:eastAsia="cs-CZ"/>
        </w:rPr>
      </w:pPr>
      <w:r w:rsidRPr="002E4BDE">
        <w:rPr>
          <w:rFonts w:cs="Arial"/>
          <w:b/>
          <w:lang w:eastAsia="cs-CZ"/>
        </w:rPr>
        <w:t>aktivity republikového a nadmístního významu v zónách pro přednostní umisťování ekonomických aktivit rozvojových oblastí a rozvojových os</w:t>
      </w:r>
    </w:p>
    <w:p w14:paraId="61F49BF0" w14:textId="77777777" w:rsidR="002E4BDE" w:rsidRPr="00461C16" w:rsidRDefault="002E4BDE" w:rsidP="002E4BDE">
      <w:pPr>
        <w:pStyle w:val="ListParagraph"/>
        <w:numPr>
          <w:ilvl w:val="0"/>
          <w:numId w:val="62"/>
        </w:numPr>
        <w:autoSpaceDE w:val="0"/>
        <w:autoSpaceDN w:val="0"/>
        <w:adjustRightInd w:val="0"/>
        <w:spacing w:before="60" w:line="240" w:lineRule="auto"/>
        <w:ind w:left="1134" w:hanging="425"/>
        <w:rPr>
          <w:rFonts w:cs="Arial"/>
          <w:lang w:eastAsia="cs-CZ"/>
        </w:rPr>
      </w:pPr>
      <w:r w:rsidRPr="00461C16">
        <w:rPr>
          <w:rFonts w:cs="Arial"/>
          <w:lang w:eastAsia="cs-CZ"/>
        </w:rPr>
        <w:t>další aktivity nadmístního významu v ostatních centrech osídlení ve vazbách na vymezené rozvojové osy</w:t>
      </w:r>
    </w:p>
    <w:p w14:paraId="000F274C" w14:textId="77777777" w:rsidR="002E4BDE" w:rsidRDefault="002E4BDE" w:rsidP="00A06EB9">
      <w:pPr>
        <w:pStyle w:val="ListParagraph"/>
        <w:numPr>
          <w:ilvl w:val="0"/>
          <w:numId w:val="99"/>
        </w:numPr>
        <w:autoSpaceDE w:val="0"/>
        <w:autoSpaceDN w:val="0"/>
        <w:adjustRightInd w:val="0"/>
        <w:spacing w:before="120" w:after="120" w:line="240" w:lineRule="auto"/>
        <w:rPr>
          <w:rFonts w:cs="Arial"/>
          <w:lang w:eastAsia="cs-CZ"/>
        </w:rPr>
      </w:pPr>
      <w:r>
        <w:rPr>
          <w:rFonts w:cs="Arial"/>
          <w:lang w:eastAsia="cs-CZ"/>
        </w:rPr>
        <w:t>v</w:t>
      </w:r>
      <w:r w:rsidRPr="00461C16">
        <w:rPr>
          <w:rFonts w:cs="Arial"/>
          <w:lang w:eastAsia="cs-CZ"/>
        </w:rPr>
        <w:t xml:space="preserve"> ÚP </w:t>
      </w:r>
      <w:r w:rsidRPr="002E4BDE">
        <w:rPr>
          <w:rFonts w:cs="Arial"/>
          <w:b/>
          <w:lang w:eastAsia="cs-CZ"/>
        </w:rPr>
        <w:t>připravovat další plochy výroby</w:t>
      </w:r>
      <w:r w:rsidRPr="00461C16">
        <w:rPr>
          <w:rFonts w:cs="Arial"/>
          <w:lang w:eastAsia="cs-CZ"/>
        </w:rPr>
        <w:t xml:space="preserve"> včetně rezerv pro vzdálenější časový horizont</w:t>
      </w:r>
    </w:p>
    <w:p w14:paraId="606351AB" w14:textId="77777777" w:rsidR="00A43C87" w:rsidRDefault="00A43C87">
      <w:pPr>
        <w:spacing w:line="240" w:lineRule="auto"/>
        <w:jc w:val="left"/>
        <w:rPr>
          <w:i/>
          <w:sz w:val="24"/>
          <w:lang w:eastAsia="cs-CZ"/>
        </w:rPr>
      </w:pPr>
      <w:r>
        <w:rPr>
          <w:b/>
        </w:rPr>
        <w:br w:type="page"/>
      </w:r>
    </w:p>
    <w:p w14:paraId="5D40FCC4" w14:textId="77777777" w:rsidR="002E4BDE" w:rsidRPr="002E4BDE" w:rsidRDefault="002E4BDE" w:rsidP="002E4BDE">
      <w:pPr>
        <w:pStyle w:val="4podnadpis"/>
        <w:rPr>
          <w:b w:val="0"/>
        </w:rPr>
      </w:pPr>
      <w:r w:rsidRPr="002E4BDE">
        <w:rPr>
          <w:b w:val="0"/>
        </w:rPr>
        <w:lastRenderedPageBreak/>
        <w:t>Cestovní ruch:</w:t>
      </w:r>
    </w:p>
    <w:p w14:paraId="212DC50B" w14:textId="77777777" w:rsidR="002E4BDE" w:rsidRPr="00461C16" w:rsidRDefault="002E4BDE" w:rsidP="00A06EB9">
      <w:pPr>
        <w:pStyle w:val="ListParagraph"/>
        <w:numPr>
          <w:ilvl w:val="0"/>
          <w:numId w:val="99"/>
        </w:numPr>
        <w:autoSpaceDE w:val="0"/>
        <w:autoSpaceDN w:val="0"/>
        <w:adjustRightInd w:val="0"/>
        <w:spacing w:before="60" w:line="240" w:lineRule="auto"/>
        <w:rPr>
          <w:rFonts w:cs="Arial"/>
          <w:lang w:eastAsia="cs-CZ"/>
        </w:rPr>
      </w:pPr>
      <w:r>
        <w:rPr>
          <w:rFonts w:cs="Arial"/>
          <w:lang w:eastAsia="cs-CZ"/>
        </w:rPr>
        <w:t>v</w:t>
      </w:r>
      <w:r w:rsidRPr="00461C16">
        <w:rPr>
          <w:rFonts w:cs="Arial"/>
          <w:lang w:eastAsia="cs-CZ"/>
        </w:rPr>
        <w:t xml:space="preserve">ytvářet </w:t>
      </w:r>
      <w:r w:rsidRPr="002E4BDE">
        <w:rPr>
          <w:rFonts w:cs="Arial"/>
          <w:b/>
          <w:lang w:eastAsia="cs-CZ"/>
        </w:rPr>
        <w:t>územní podmínky pro rozvoj šetrného cestovního ruchu</w:t>
      </w:r>
      <w:r w:rsidRPr="00461C16">
        <w:rPr>
          <w:rFonts w:cs="Arial"/>
          <w:lang w:eastAsia="cs-CZ"/>
        </w:rPr>
        <w:t xml:space="preserve"> a v maximální možné míře </w:t>
      </w:r>
      <w:r w:rsidRPr="002E4BDE">
        <w:rPr>
          <w:rFonts w:cs="Arial"/>
          <w:b/>
          <w:lang w:eastAsia="cs-CZ"/>
        </w:rPr>
        <w:t>využívat místní potenciál a zdroje</w:t>
      </w:r>
      <w:r w:rsidRPr="00461C16">
        <w:rPr>
          <w:rFonts w:cs="Arial"/>
          <w:lang w:eastAsia="cs-CZ"/>
        </w:rPr>
        <w:t>, postupně a přirozeně rozvíjet území při zachování jeho</w:t>
      </w:r>
      <w:r>
        <w:rPr>
          <w:rFonts w:cs="Arial"/>
          <w:lang w:eastAsia="cs-CZ"/>
        </w:rPr>
        <w:t xml:space="preserve"> přírodních a kulturních hodnot</w:t>
      </w:r>
    </w:p>
    <w:p w14:paraId="73ED08AA" w14:textId="77777777" w:rsidR="009705F7" w:rsidRPr="008B5658" w:rsidRDefault="001E2151" w:rsidP="001E2151">
      <w:pPr>
        <w:pStyle w:val="1text"/>
      </w:pPr>
      <w:r w:rsidRPr="008B5658">
        <w:t xml:space="preserve">Město Hrádek nad Nisou se </w:t>
      </w:r>
      <w:r w:rsidR="00B4587D" w:rsidRPr="008B5658">
        <w:t xml:space="preserve">zároveň </w:t>
      </w:r>
      <w:r w:rsidRPr="008B5658">
        <w:t>nachází v </w:t>
      </w:r>
      <w:r w:rsidRPr="008B5658">
        <w:rPr>
          <w:b/>
        </w:rPr>
        <w:t>unikátní poloze na státní hranici, v lokalitě tzv. Trojzemí, tedy na styku hranic 3 států</w:t>
      </w:r>
      <w:r w:rsidRPr="008B5658">
        <w:t xml:space="preserve">, České Republiky, Polska a Německa. Strategická poloha </w:t>
      </w:r>
      <w:r w:rsidR="008B5658" w:rsidRPr="008B5658">
        <w:t xml:space="preserve">s vynikající dopravní dostupností </w:t>
      </w:r>
      <w:r w:rsidRPr="008B5658">
        <w:t xml:space="preserve">spolu se zachovaným vysoce hodnotným krajinným zázemím v jižní části území vytváří z města velmi </w:t>
      </w:r>
      <w:r w:rsidRPr="008B5658">
        <w:rPr>
          <w:b/>
        </w:rPr>
        <w:t>atraktivní místo pro život</w:t>
      </w:r>
      <w:r w:rsidRPr="008B5658">
        <w:t xml:space="preserve">. Tomu odpovídá i demografický vývoj, zejména z posledních let, který indikuje posun od stagnace k pozvolnému nárůstu počtu obyvatel. </w:t>
      </w:r>
      <w:r w:rsidR="00467BCC">
        <w:t xml:space="preserve">Lze předpokládat, že tento trend bude pokračovat i nadále </w:t>
      </w:r>
      <w:r w:rsidRPr="008B5658">
        <w:t>(</w:t>
      </w:r>
      <w:r w:rsidR="00467BCC">
        <w:t>viz o</w:t>
      </w:r>
      <w:r w:rsidRPr="008B5658">
        <w:t>důvodnění demografických aspektů –</w:t>
      </w:r>
      <w:r w:rsidR="00467BCC">
        <w:t xml:space="preserve"> </w:t>
      </w:r>
      <w:r w:rsidRPr="008B5658">
        <w:t xml:space="preserve">kapitola </w:t>
      </w:r>
      <w:r w:rsidRPr="008B5658">
        <w:rPr>
          <w:b/>
          <w:i/>
        </w:rPr>
        <w:t>6.3.1. Základní koncepce rozvoje území obce</w:t>
      </w:r>
      <w:r w:rsidRPr="008B5658">
        <w:t>)</w:t>
      </w:r>
      <w:r w:rsidR="00467BCC">
        <w:t>.</w:t>
      </w:r>
      <w:r w:rsidRPr="008B5658">
        <w:t xml:space="preserve"> </w:t>
      </w:r>
    </w:p>
    <w:p w14:paraId="67726182" w14:textId="77777777" w:rsidR="009705F7" w:rsidRPr="008B5658" w:rsidRDefault="009705F7" w:rsidP="009705F7">
      <w:pPr>
        <w:pStyle w:val="1text"/>
        <w:spacing w:after="120"/>
      </w:pPr>
      <w:r w:rsidRPr="008B5658">
        <w:t xml:space="preserve">Tento nárůst může být významně posílen migračními vlivy, které jsou závislé zejména na </w:t>
      </w:r>
      <w:r w:rsidRPr="008B5658">
        <w:rPr>
          <w:b/>
        </w:rPr>
        <w:t>bytové výstavbě a hospodářských příležitostech města</w:t>
      </w:r>
      <w:r w:rsidRPr="008B5658">
        <w:t>, tedy na počtu pracovních míst. Zvyšování kapacit bydlení i ploch pro ekonomické aktivity je tak potenciálním předpokladem růstu atraktivity sídla pro migranty a následného potenciálního přirozeného přírůstku. Důvodem je především jejich příznivá věková struktura, která je prezentována mladšími věkovými kategoriemi populace (20-40 let). K vytvoření těchto podmínek směřuje vymezení dostatečného počtu ploch změn v ÚP.</w:t>
      </w:r>
    </w:p>
    <w:p w14:paraId="2A13ACE4" w14:textId="77777777" w:rsidR="00B4587D" w:rsidRPr="008B5658" w:rsidRDefault="00B4587D" w:rsidP="00B4587D">
      <w:pPr>
        <w:pStyle w:val="1text"/>
        <w:spacing w:before="240"/>
      </w:pPr>
      <w:r w:rsidRPr="008B5658">
        <w:t>PLOCHY BYDLENÍ</w:t>
      </w:r>
    </w:p>
    <w:p w14:paraId="4FDC798C" w14:textId="77777777" w:rsidR="006A2611" w:rsidRPr="008B5658" w:rsidRDefault="006A2611" w:rsidP="006A2611">
      <w:pPr>
        <w:spacing w:before="120" w:after="120"/>
        <w:rPr>
          <w:bCs/>
        </w:rPr>
      </w:pPr>
      <w:r w:rsidRPr="008B5658">
        <w:rPr>
          <w:bCs/>
        </w:rPr>
        <w:t xml:space="preserve">Ve městě Hrádek nad Nisou bylo v roce 2011 evidováno celkem 1 535 domů, z čehož 92 % je obydlených. To je o 1 % více než v roce 2001. To dokazuje, že </w:t>
      </w:r>
      <w:r w:rsidRPr="008B5658">
        <w:rPr>
          <w:b/>
          <w:bCs/>
        </w:rPr>
        <w:t>poptávka po nové bytové výstavbě má trvalý charakter a vykazuje pozvolný nárůst, přičemž nově postavené domy tuto poptávku nedokážou pokrýt</w:t>
      </w:r>
      <w:r w:rsidRPr="008B5658">
        <w:rPr>
          <w:bCs/>
        </w:rPr>
        <w:t>, protože počet volných bytových jednotek zůstává na stejné úrovni.</w:t>
      </w:r>
    </w:p>
    <w:p w14:paraId="582FDE14" w14:textId="77777777" w:rsidR="006A2611" w:rsidRPr="008B5658" w:rsidRDefault="006A2611" w:rsidP="006A2611">
      <w:pPr>
        <w:spacing w:before="120" w:after="120"/>
      </w:pPr>
      <w:r w:rsidRPr="008B5658">
        <w:rPr>
          <w:bCs/>
        </w:rPr>
        <w:t>V následující tabulce jsou uvedeny vybrané údaje o domovním a bytovém fondu dle SLBD 2001 a 2011:</w:t>
      </w:r>
      <w:r w:rsidRPr="008B5658">
        <w:rPr>
          <w:rStyle w:val="FootnoteReference"/>
          <w:rFonts w:ascii="Arial Narrow" w:hAnsi="Arial Narrow"/>
        </w:rPr>
        <w:footnoteReference w:id="9"/>
      </w:r>
    </w:p>
    <w:tbl>
      <w:tblPr>
        <w:tblW w:w="9071" w:type="dxa"/>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9"/>
        <w:gridCol w:w="1232"/>
        <w:gridCol w:w="1232"/>
        <w:gridCol w:w="1232"/>
        <w:gridCol w:w="1232"/>
        <w:gridCol w:w="1232"/>
        <w:gridCol w:w="1232"/>
      </w:tblGrid>
      <w:tr w:rsidR="006A2611" w:rsidRPr="008B5658" w14:paraId="6855B12F" w14:textId="77777777" w:rsidTr="006A2611">
        <w:trPr>
          <w:tblHeader/>
        </w:trPr>
        <w:tc>
          <w:tcPr>
            <w:tcW w:w="1679" w:type="dxa"/>
            <w:shd w:val="clear" w:color="auto" w:fill="C2D69B"/>
            <w:vAlign w:val="center"/>
          </w:tcPr>
          <w:p w14:paraId="3F678686" w14:textId="77777777" w:rsidR="006A2611" w:rsidRPr="008B5658" w:rsidRDefault="006A2611" w:rsidP="004A29A3">
            <w:pPr>
              <w:pStyle w:val="Intabulka"/>
              <w:rPr>
                <w:rFonts w:ascii="Arial Narrow" w:hAnsi="Arial Narrow"/>
                <w:b/>
                <w:i/>
                <w:lang w:val="cs-CZ"/>
              </w:rPr>
            </w:pPr>
            <w:r w:rsidRPr="008B5658">
              <w:rPr>
                <w:rFonts w:ascii="Arial Narrow" w:hAnsi="Arial Narrow"/>
                <w:b/>
                <w:bCs/>
                <w:i/>
                <w:lang w:val="cs-CZ"/>
              </w:rPr>
              <w:t>Území</w:t>
            </w:r>
          </w:p>
        </w:tc>
        <w:tc>
          <w:tcPr>
            <w:tcW w:w="1232" w:type="dxa"/>
            <w:shd w:val="clear" w:color="auto" w:fill="C2D69B"/>
            <w:vAlign w:val="center"/>
          </w:tcPr>
          <w:p w14:paraId="01A093AE" w14:textId="77777777" w:rsidR="006A2611" w:rsidRPr="008B5658" w:rsidRDefault="006A2611" w:rsidP="004A29A3">
            <w:pPr>
              <w:pStyle w:val="Intabulka"/>
              <w:rPr>
                <w:rFonts w:ascii="Arial Narrow" w:hAnsi="Arial Narrow"/>
                <w:b/>
                <w:i/>
                <w:lang w:val="cs-CZ"/>
              </w:rPr>
            </w:pPr>
            <w:r w:rsidRPr="008B5658">
              <w:rPr>
                <w:rFonts w:ascii="Arial Narrow" w:hAnsi="Arial Narrow"/>
                <w:b/>
                <w:i/>
                <w:lang w:val="cs-CZ"/>
              </w:rPr>
              <w:t>Rok</w:t>
            </w:r>
          </w:p>
        </w:tc>
        <w:tc>
          <w:tcPr>
            <w:tcW w:w="1232" w:type="dxa"/>
            <w:shd w:val="clear" w:color="auto" w:fill="C2D69B"/>
            <w:vAlign w:val="center"/>
          </w:tcPr>
          <w:p w14:paraId="084E3B41" w14:textId="77777777" w:rsidR="006A2611" w:rsidRPr="008B5658" w:rsidRDefault="006A2611" w:rsidP="004A29A3">
            <w:pPr>
              <w:pStyle w:val="Intabulka"/>
              <w:rPr>
                <w:rFonts w:ascii="Arial Narrow" w:hAnsi="Arial Narrow"/>
                <w:b/>
                <w:i/>
                <w:lang w:val="cs-CZ"/>
              </w:rPr>
            </w:pPr>
            <w:r w:rsidRPr="008B5658">
              <w:rPr>
                <w:rFonts w:ascii="Arial Narrow" w:hAnsi="Arial Narrow"/>
                <w:b/>
                <w:i/>
                <w:lang w:val="cs-CZ"/>
              </w:rPr>
              <w:t>Domy celkem</w:t>
            </w:r>
          </w:p>
        </w:tc>
        <w:tc>
          <w:tcPr>
            <w:tcW w:w="1232" w:type="dxa"/>
            <w:shd w:val="clear" w:color="auto" w:fill="C2D69B"/>
            <w:vAlign w:val="center"/>
          </w:tcPr>
          <w:p w14:paraId="3C43D334" w14:textId="77777777" w:rsidR="006A2611" w:rsidRPr="008B5658" w:rsidRDefault="006A2611" w:rsidP="004A29A3">
            <w:pPr>
              <w:pStyle w:val="Intabulka"/>
              <w:rPr>
                <w:rFonts w:ascii="Arial Narrow" w:hAnsi="Arial Narrow"/>
                <w:b/>
                <w:i/>
                <w:lang w:val="cs-CZ"/>
              </w:rPr>
            </w:pPr>
            <w:r w:rsidRPr="008B5658">
              <w:rPr>
                <w:rFonts w:ascii="Arial Narrow" w:hAnsi="Arial Narrow"/>
                <w:b/>
                <w:i/>
                <w:lang w:val="cs-CZ"/>
              </w:rPr>
              <w:t>Domy obydlené</w:t>
            </w:r>
          </w:p>
        </w:tc>
        <w:tc>
          <w:tcPr>
            <w:tcW w:w="1232" w:type="dxa"/>
            <w:shd w:val="clear" w:color="auto" w:fill="C2D69B"/>
            <w:vAlign w:val="center"/>
          </w:tcPr>
          <w:p w14:paraId="110A45C7" w14:textId="77777777" w:rsidR="006A2611" w:rsidRPr="008B5658" w:rsidRDefault="006A2611" w:rsidP="004A29A3">
            <w:pPr>
              <w:pStyle w:val="Intabulka"/>
              <w:rPr>
                <w:rFonts w:ascii="Arial Narrow" w:hAnsi="Arial Narrow"/>
                <w:b/>
                <w:i/>
                <w:lang w:val="cs-CZ"/>
              </w:rPr>
            </w:pPr>
            <w:r w:rsidRPr="008B5658">
              <w:rPr>
                <w:rFonts w:ascii="Arial Narrow" w:hAnsi="Arial Narrow"/>
                <w:b/>
                <w:i/>
                <w:lang w:val="cs-CZ"/>
              </w:rPr>
              <w:t>Z toho RD (%)</w:t>
            </w:r>
          </w:p>
        </w:tc>
        <w:tc>
          <w:tcPr>
            <w:tcW w:w="1232" w:type="dxa"/>
            <w:shd w:val="clear" w:color="auto" w:fill="C2D69B"/>
            <w:vAlign w:val="center"/>
          </w:tcPr>
          <w:p w14:paraId="522390D9" w14:textId="77777777" w:rsidR="006A2611" w:rsidRPr="008B5658" w:rsidRDefault="006A2611" w:rsidP="004A29A3">
            <w:pPr>
              <w:pStyle w:val="Intabulka"/>
              <w:rPr>
                <w:rFonts w:ascii="Arial Narrow" w:hAnsi="Arial Narrow"/>
                <w:b/>
                <w:i/>
                <w:lang w:val="cs-CZ"/>
              </w:rPr>
            </w:pPr>
            <w:r w:rsidRPr="008B5658">
              <w:rPr>
                <w:rFonts w:ascii="Arial Narrow" w:hAnsi="Arial Narrow"/>
                <w:b/>
                <w:i/>
                <w:lang w:val="cs-CZ"/>
              </w:rPr>
              <w:t>Z toho BD (%)</w:t>
            </w:r>
          </w:p>
        </w:tc>
        <w:tc>
          <w:tcPr>
            <w:tcW w:w="1232" w:type="dxa"/>
            <w:shd w:val="clear" w:color="auto" w:fill="C2D69B"/>
            <w:vAlign w:val="center"/>
          </w:tcPr>
          <w:p w14:paraId="3978BF75" w14:textId="77777777" w:rsidR="006A2611" w:rsidRPr="008B5658" w:rsidRDefault="006A2611" w:rsidP="004A29A3">
            <w:pPr>
              <w:pStyle w:val="Intabulka"/>
              <w:rPr>
                <w:rFonts w:ascii="Arial Narrow" w:hAnsi="Arial Narrow"/>
                <w:b/>
                <w:i/>
                <w:lang w:val="cs-CZ"/>
              </w:rPr>
            </w:pPr>
            <w:r w:rsidRPr="008B5658">
              <w:rPr>
                <w:rFonts w:ascii="Arial Narrow" w:hAnsi="Arial Narrow"/>
                <w:b/>
                <w:i/>
                <w:lang w:val="cs-CZ"/>
              </w:rPr>
              <w:t>Byty obydlené</w:t>
            </w:r>
          </w:p>
        </w:tc>
      </w:tr>
      <w:tr w:rsidR="006A2611" w:rsidRPr="008B5658" w14:paraId="02BF130C" w14:textId="77777777" w:rsidTr="006A2611">
        <w:tc>
          <w:tcPr>
            <w:tcW w:w="1679" w:type="dxa"/>
            <w:vMerge w:val="restart"/>
            <w:shd w:val="clear" w:color="auto" w:fill="auto"/>
            <w:vAlign w:val="center"/>
          </w:tcPr>
          <w:p w14:paraId="3A7B556E" w14:textId="77777777" w:rsidR="006A2611" w:rsidRPr="008B5658" w:rsidRDefault="006A2611" w:rsidP="004A29A3">
            <w:pPr>
              <w:spacing w:line="240" w:lineRule="auto"/>
              <w:jc w:val="left"/>
              <w:rPr>
                <w:rFonts w:eastAsia="Times New Roman"/>
                <w:b/>
                <w:bCs/>
                <w:color w:val="000000"/>
                <w:sz w:val="20"/>
                <w:szCs w:val="20"/>
                <w:lang w:eastAsia="cs-CZ"/>
              </w:rPr>
            </w:pPr>
            <w:r w:rsidRPr="008B5658">
              <w:rPr>
                <w:rFonts w:eastAsia="Times New Roman"/>
                <w:b/>
                <w:bCs/>
                <w:color w:val="000000"/>
                <w:sz w:val="20"/>
                <w:szCs w:val="20"/>
                <w:lang w:eastAsia="cs-CZ"/>
              </w:rPr>
              <w:t>Hrádek nad Nisou</w:t>
            </w:r>
          </w:p>
        </w:tc>
        <w:tc>
          <w:tcPr>
            <w:tcW w:w="1232" w:type="dxa"/>
            <w:shd w:val="clear" w:color="auto" w:fill="auto"/>
            <w:vAlign w:val="center"/>
          </w:tcPr>
          <w:p w14:paraId="28893262" w14:textId="77777777" w:rsidR="006A2611" w:rsidRPr="008B5658" w:rsidRDefault="006A2611" w:rsidP="004A29A3">
            <w:pPr>
              <w:pStyle w:val="Intabulka"/>
              <w:rPr>
                <w:rFonts w:ascii="Arial Narrow" w:hAnsi="Arial Narrow"/>
                <w:bCs/>
                <w:lang w:val="cs-CZ"/>
              </w:rPr>
            </w:pPr>
            <w:r w:rsidRPr="008B5658">
              <w:rPr>
                <w:rFonts w:ascii="Arial Narrow" w:hAnsi="Arial Narrow"/>
                <w:bCs/>
                <w:lang w:val="cs-CZ"/>
              </w:rPr>
              <w:t>2001</w:t>
            </w:r>
          </w:p>
        </w:tc>
        <w:tc>
          <w:tcPr>
            <w:tcW w:w="1232" w:type="dxa"/>
            <w:shd w:val="clear" w:color="auto" w:fill="auto"/>
            <w:vAlign w:val="bottom"/>
          </w:tcPr>
          <w:p w14:paraId="325E8FC7" w14:textId="77777777" w:rsidR="006A2611" w:rsidRPr="008B5658" w:rsidRDefault="006A2611" w:rsidP="004A29A3">
            <w:pPr>
              <w:spacing w:line="240" w:lineRule="auto"/>
              <w:jc w:val="right"/>
              <w:rPr>
                <w:rFonts w:eastAsia="Times New Roman" w:cs="Arial"/>
                <w:sz w:val="20"/>
                <w:szCs w:val="20"/>
                <w:lang w:eastAsia="cs-CZ"/>
              </w:rPr>
            </w:pPr>
            <w:r w:rsidRPr="008B5658">
              <w:rPr>
                <w:rFonts w:eastAsia="Times New Roman" w:cs="Arial"/>
                <w:sz w:val="20"/>
                <w:szCs w:val="20"/>
                <w:lang w:eastAsia="cs-CZ"/>
              </w:rPr>
              <w:t>1 425</w:t>
            </w:r>
          </w:p>
        </w:tc>
        <w:tc>
          <w:tcPr>
            <w:tcW w:w="1232" w:type="dxa"/>
            <w:shd w:val="clear" w:color="auto" w:fill="auto"/>
            <w:vAlign w:val="bottom"/>
          </w:tcPr>
          <w:p w14:paraId="70BE8547" w14:textId="77777777" w:rsidR="006A2611" w:rsidRPr="008B5658" w:rsidRDefault="006A2611" w:rsidP="004A29A3">
            <w:pPr>
              <w:spacing w:line="240" w:lineRule="auto"/>
              <w:jc w:val="right"/>
              <w:rPr>
                <w:rFonts w:eastAsia="Times New Roman" w:cs="Arial"/>
                <w:sz w:val="20"/>
                <w:szCs w:val="20"/>
                <w:lang w:eastAsia="cs-CZ"/>
              </w:rPr>
            </w:pPr>
            <w:r w:rsidRPr="008B5658">
              <w:rPr>
                <w:rFonts w:eastAsia="Times New Roman" w:cs="Arial"/>
                <w:sz w:val="20"/>
                <w:szCs w:val="20"/>
                <w:lang w:eastAsia="cs-CZ"/>
              </w:rPr>
              <w:t>1 295</w:t>
            </w:r>
          </w:p>
        </w:tc>
        <w:tc>
          <w:tcPr>
            <w:tcW w:w="1232" w:type="dxa"/>
            <w:shd w:val="clear" w:color="auto" w:fill="auto"/>
            <w:vAlign w:val="bottom"/>
          </w:tcPr>
          <w:p w14:paraId="580BF9A4" w14:textId="77777777" w:rsidR="006A2611" w:rsidRPr="008B5658" w:rsidRDefault="006A2611" w:rsidP="004A29A3">
            <w:pPr>
              <w:spacing w:line="240" w:lineRule="auto"/>
              <w:jc w:val="right"/>
              <w:rPr>
                <w:rFonts w:eastAsia="Times New Roman" w:cs="Arial"/>
                <w:b/>
                <w:sz w:val="20"/>
                <w:szCs w:val="20"/>
                <w:lang w:eastAsia="cs-CZ"/>
              </w:rPr>
            </w:pPr>
            <w:r w:rsidRPr="008B5658">
              <w:rPr>
                <w:rFonts w:eastAsia="Times New Roman" w:cs="Arial"/>
                <w:b/>
                <w:sz w:val="20"/>
                <w:szCs w:val="20"/>
                <w:lang w:eastAsia="cs-CZ"/>
              </w:rPr>
              <w:t>78,39</w:t>
            </w:r>
          </w:p>
        </w:tc>
        <w:tc>
          <w:tcPr>
            <w:tcW w:w="1232" w:type="dxa"/>
            <w:shd w:val="clear" w:color="auto" w:fill="auto"/>
            <w:vAlign w:val="bottom"/>
          </w:tcPr>
          <w:p w14:paraId="5E74E45D" w14:textId="77777777" w:rsidR="006A2611" w:rsidRPr="008B5658" w:rsidRDefault="006A2611" w:rsidP="004A29A3">
            <w:pPr>
              <w:spacing w:line="240" w:lineRule="auto"/>
              <w:jc w:val="right"/>
              <w:rPr>
                <w:rFonts w:eastAsia="Times New Roman" w:cs="Arial"/>
                <w:b/>
                <w:sz w:val="20"/>
                <w:szCs w:val="20"/>
                <w:lang w:eastAsia="cs-CZ"/>
              </w:rPr>
            </w:pPr>
            <w:r w:rsidRPr="008B5658">
              <w:rPr>
                <w:rFonts w:eastAsia="Times New Roman" w:cs="Arial"/>
                <w:b/>
                <w:sz w:val="20"/>
                <w:szCs w:val="20"/>
                <w:lang w:eastAsia="cs-CZ"/>
              </w:rPr>
              <w:t>10,53</w:t>
            </w:r>
          </w:p>
        </w:tc>
        <w:tc>
          <w:tcPr>
            <w:tcW w:w="1232" w:type="dxa"/>
            <w:shd w:val="clear" w:color="auto" w:fill="auto"/>
            <w:vAlign w:val="center"/>
          </w:tcPr>
          <w:p w14:paraId="4569B12E"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2 670</w:t>
            </w:r>
          </w:p>
        </w:tc>
      </w:tr>
      <w:tr w:rsidR="006A2611" w:rsidRPr="008B5658" w14:paraId="4E81D787" w14:textId="77777777" w:rsidTr="006A2611">
        <w:tc>
          <w:tcPr>
            <w:tcW w:w="1679" w:type="dxa"/>
            <w:vMerge/>
            <w:shd w:val="clear" w:color="auto" w:fill="auto"/>
            <w:vAlign w:val="center"/>
          </w:tcPr>
          <w:p w14:paraId="774A64F5" w14:textId="77777777" w:rsidR="006A2611" w:rsidRPr="008B5658" w:rsidRDefault="006A2611" w:rsidP="004A29A3">
            <w:pPr>
              <w:pStyle w:val="Intabulka"/>
              <w:rPr>
                <w:rFonts w:ascii="Arial Narrow" w:hAnsi="Arial Narrow"/>
                <w:bCs/>
                <w:lang w:val="cs-CZ"/>
              </w:rPr>
            </w:pPr>
          </w:p>
        </w:tc>
        <w:tc>
          <w:tcPr>
            <w:tcW w:w="1232" w:type="dxa"/>
            <w:shd w:val="clear" w:color="auto" w:fill="auto"/>
            <w:vAlign w:val="center"/>
          </w:tcPr>
          <w:p w14:paraId="7C1014A5" w14:textId="77777777" w:rsidR="006A2611" w:rsidRPr="008B5658" w:rsidRDefault="006A2611" w:rsidP="004A29A3">
            <w:pPr>
              <w:pStyle w:val="Intabulka"/>
              <w:rPr>
                <w:rFonts w:ascii="Arial Narrow" w:hAnsi="Arial Narrow"/>
                <w:bCs/>
                <w:lang w:val="cs-CZ"/>
              </w:rPr>
            </w:pPr>
            <w:r w:rsidRPr="008B5658">
              <w:rPr>
                <w:rFonts w:ascii="Arial Narrow" w:hAnsi="Arial Narrow"/>
                <w:bCs/>
                <w:lang w:val="cs-CZ"/>
              </w:rPr>
              <w:t>2011</w:t>
            </w:r>
          </w:p>
        </w:tc>
        <w:tc>
          <w:tcPr>
            <w:tcW w:w="1232" w:type="dxa"/>
            <w:shd w:val="clear" w:color="auto" w:fill="auto"/>
            <w:vAlign w:val="center"/>
          </w:tcPr>
          <w:p w14:paraId="0FF508A3"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1 535</w:t>
            </w:r>
          </w:p>
        </w:tc>
        <w:tc>
          <w:tcPr>
            <w:tcW w:w="1232" w:type="dxa"/>
            <w:shd w:val="clear" w:color="auto" w:fill="auto"/>
            <w:vAlign w:val="center"/>
          </w:tcPr>
          <w:p w14:paraId="46591115"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1 413</w:t>
            </w:r>
          </w:p>
        </w:tc>
        <w:tc>
          <w:tcPr>
            <w:tcW w:w="1232" w:type="dxa"/>
            <w:shd w:val="clear" w:color="auto" w:fill="auto"/>
            <w:vAlign w:val="center"/>
          </w:tcPr>
          <w:p w14:paraId="61F1317D" w14:textId="77777777" w:rsidR="006A2611" w:rsidRPr="008B5658" w:rsidRDefault="006A2611" w:rsidP="004A29A3">
            <w:pPr>
              <w:spacing w:line="240" w:lineRule="auto"/>
              <w:jc w:val="right"/>
              <w:rPr>
                <w:rFonts w:eastAsia="Times New Roman"/>
                <w:b/>
                <w:color w:val="000000"/>
                <w:sz w:val="20"/>
                <w:szCs w:val="20"/>
                <w:lang w:eastAsia="cs-CZ"/>
              </w:rPr>
            </w:pPr>
            <w:r w:rsidRPr="008B5658">
              <w:rPr>
                <w:rFonts w:eastAsia="Times New Roman"/>
                <w:b/>
                <w:color w:val="000000"/>
                <w:sz w:val="20"/>
                <w:szCs w:val="20"/>
                <w:lang w:eastAsia="cs-CZ"/>
              </w:rPr>
              <w:t>86,38</w:t>
            </w:r>
          </w:p>
        </w:tc>
        <w:tc>
          <w:tcPr>
            <w:tcW w:w="1232" w:type="dxa"/>
            <w:shd w:val="clear" w:color="auto" w:fill="auto"/>
            <w:vAlign w:val="center"/>
          </w:tcPr>
          <w:p w14:paraId="7D046099" w14:textId="77777777" w:rsidR="006A2611" w:rsidRPr="008B5658" w:rsidRDefault="006A2611" w:rsidP="004A29A3">
            <w:pPr>
              <w:spacing w:line="240" w:lineRule="auto"/>
              <w:jc w:val="right"/>
              <w:rPr>
                <w:rFonts w:eastAsia="Times New Roman"/>
                <w:b/>
                <w:color w:val="000000"/>
                <w:sz w:val="20"/>
                <w:szCs w:val="20"/>
                <w:lang w:eastAsia="cs-CZ"/>
              </w:rPr>
            </w:pPr>
            <w:r w:rsidRPr="008B5658">
              <w:rPr>
                <w:rFonts w:eastAsia="Times New Roman"/>
                <w:b/>
                <w:color w:val="000000"/>
                <w:sz w:val="20"/>
                <w:szCs w:val="20"/>
                <w:lang w:eastAsia="cs-CZ"/>
              </w:rPr>
              <w:t>10,94</w:t>
            </w:r>
          </w:p>
        </w:tc>
        <w:tc>
          <w:tcPr>
            <w:tcW w:w="1232" w:type="dxa"/>
            <w:shd w:val="clear" w:color="auto" w:fill="auto"/>
            <w:vAlign w:val="center"/>
          </w:tcPr>
          <w:p w14:paraId="2BFAC5C5"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3 159</w:t>
            </w:r>
          </w:p>
        </w:tc>
      </w:tr>
      <w:tr w:rsidR="006A2611" w:rsidRPr="008B5658" w14:paraId="0448B0F5" w14:textId="77777777" w:rsidTr="006A2611">
        <w:tc>
          <w:tcPr>
            <w:tcW w:w="1679" w:type="dxa"/>
            <w:vMerge w:val="restart"/>
            <w:shd w:val="clear" w:color="auto" w:fill="auto"/>
            <w:vAlign w:val="center"/>
          </w:tcPr>
          <w:p w14:paraId="66364263" w14:textId="77777777" w:rsidR="006A2611" w:rsidRPr="008B5658" w:rsidRDefault="006A2611" w:rsidP="004A29A3">
            <w:pPr>
              <w:spacing w:line="240" w:lineRule="auto"/>
              <w:jc w:val="left"/>
              <w:rPr>
                <w:rFonts w:eastAsia="Times New Roman"/>
                <w:b/>
                <w:bCs/>
                <w:color w:val="000000"/>
                <w:sz w:val="20"/>
                <w:szCs w:val="20"/>
                <w:lang w:eastAsia="cs-CZ"/>
              </w:rPr>
            </w:pPr>
            <w:r w:rsidRPr="008B5658">
              <w:rPr>
                <w:rFonts w:eastAsia="Times New Roman"/>
                <w:b/>
                <w:bCs/>
                <w:color w:val="000000"/>
                <w:sz w:val="20"/>
                <w:szCs w:val="20"/>
                <w:lang w:eastAsia="cs-CZ"/>
              </w:rPr>
              <w:t>okres Liberec</w:t>
            </w:r>
          </w:p>
        </w:tc>
        <w:tc>
          <w:tcPr>
            <w:tcW w:w="1232" w:type="dxa"/>
            <w:shd w:val="clear" w:color="auto" w:fill="auto"/>
            <w:vAlign w:val="center"/>
          </w:tcPr>
          <w:p w14:paraId="4A9DC2D4" w14:textId="77777777" w:rsidR="006A2611" w:rsidRPr="008B5658" w:rsidRDefault="006A2611" w:rsidP="004A29A3">
            <w:pPr>
              <w:pStyle w:val="Intabulka"/>
              <w:rPr>
                <w:rFonts w:ascii="Arial Narrow" w:hAnsi="Arial Narrow"/>
                <w:bCs/>
                <w:lang w:val="cs-CZ"/>
              </w:rPr>
            </w:pPr>
            <w:r w:rsidRPr="008B5658">
              <w:rPr>
                <w:rFonts w:ascii="Arial Narrow" w:hAnsi="Arial Narrow"/>
                <w:bCs/>
                <w:lang w:val="cs-CZ"/>
              </w:rPr>
              <w:t>2001</w:t>
            </w:r>
          </w:p>
        </w:tc>
        <w:tc>
          <w:tcPr>
            <w:tcW w:w="1232" w:type="dxa"/>
            <w:shd w:val="clear" w:color="auto" w:fill="auto"/>
            <w:vAlign w:val="center"/>
          </w:tcPr>
          <w:p w14:paraId="21482A51"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26 133</w:t>
            </w:r>
          </w:p>
        </w:tc>
        <w:tc>
          <w:tcPr>
            <w:tcW w:w="1232" w:type="dxa"/>
            <w:shd w:val="clear" w:color="auto" w:fill="auto"/>
            <w:vAlign w:val="center"/>
          </w:tcPr>
          <w:p w14:paraId="688C1D18"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22 396</w:t>
            </w:r>
          </w:p>
        </w:tc>
        <w:tc>
          <w:tcPr>
            <w:tcW w:w="1232" w:type="dxa"/>
            <w:shd w:val="clear" w:color="auto" w:fill="auto"/>
            <w:vAlign w:val="center"/>
          </w:tcPr>
          <w:p w14:paraId="62452059"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80,87</w:t>
            </w:r>
          </w:p>
        </w:tc>
        <w:tc>
          <w:tcPr>
            <w:tcW w:w="1232" w:type="dxa"/>
            <w:shd w:val="clear" w:color="auto" w:fill="auto"/>
            <w:vAlign w:val="center"/>
          </w:tcPr>
          <w:p w14:paraId="10F6CF20"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15,40</w:t>
            </w:r>
          </w:p>
        </w:tc>
        <w:tc>
          <w:tcPr>
            <w:tcW w:w="1232" w:type="dxa"/>
            <w:shd w:val="clear" w:color="auto" w:fill="auto"/>
            <w:vAlign w:val="center"/>
          </w:tcPr>
          <w:p w14:paraId="6774BB77"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40 990</w:t>
            </w:r>
          </w:p>
        </w:tc>
      </w:tr>
      <w:tr w:rsidR="006A2611" w:rsidRPr="008B5658" w14:paraId="4B2FD5B4" w14:textId="77777777" w:rsidTr="006A2611">
        <w:tc>
          <w:tcPr>
            <w:tcW w:w="1679" w:type="dxa"/>
            <w:vMerge/>
            <w:shd w:val="clear" w:color="auto" w:fill="auto"/>
            <w:vAlign w:val="center"/>
          </w:tcPr>
          <w:p w14:paraId="73B9499E" w14:textId="77777777" w:rsidR="006A2611" w:rsidRPr="008B5658" w:rsidRDefault="006A2611" w:rsidP="004A29A3">
            <w:pPr>
              <w:pStyle w:val="Intabulka"/>
              <w:rPr>
                <w:rFonts w:ascii="Arial Narrow" w:hAnsi="Arial Narrow"/>
                <w:bCs/>
                <w:lang w:val="cs-CZ"/>
              </w:rPr>
            </w:pPr>
          </w:p>
        </w:tc>
        <w:tc>
          <w:tcPr>
            <w:tcW w:w="1232" w:type="dxa"/>
            <w:shd w:val="clear" w:color="auto" w:fill="auto"/>
            <w:vAlign w:val="center"/>
          </w:tcPr>
          <w:p w14:paraId="264A2F75" w14:textId="77777777" w:rsidR="006A2611" w:rsidRPr="008B5658" w:rsidRDefault="006A2611" w:rsidP="004A29A3">
            <w:pPr>
              <w:pStyle w:val="Intabulka"/>
              <w:rPr>
                <w:rFonts w:ascii="Arial Narrow" w:hAnsi="Arial Narrow"/>
                <w:bCs/>
                <w:lang w:val="cs-CZ"/>
              </w:rPr>
            </w:pPr>
            <w:r w:rsidRPr="008B5658">
              <w:rPr>
                <w:rFonts w:ascii="Arial Narrow" w:hAnsi="Arial Narrow"/>
                <w:bCs/>
                <w:lang w:val="cs-CZ"/>
              </w:rPr>
              <w:t>2011</w:t>
            </w:r>
          </w:p>
        </w:tc>
        <w:tc>
          <w:tcPr>
            <w:tcW w:w="1232" w:type="dxa"/>
            <w:shd w:val="clear" w:color="auto" w:fill="auto"/>
            <w:vAlign w:val="center"/>
          </w:tcPr>
          <w:p w14:paraId="070B5521"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30 213</w:t>
            </w:r>
          </w:p>
        </w:tc>
        <w:tc>
          <w:tcPr>
            <w:tcW w:w="1232" w:type="dxa"/>
            <w:shd w:val="clear" w:color="auto" w:fill="auto"/>
            <w:vAlign w:val="center"/>
          </w:tcPr>
          <w:p w14:paraId="58CD7A40"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26 308</w:t>
            </w:r>
          </w:p>
        </w:tc>
        <w:tc>
          <w:tcPr>
            <w:tcW w:w="1232" w:type="dxa"/>
            <w:shd w:val="clear" w:color="auto" w:fill="auto"/>
            <w:vAlign w:val="center"/>
          </w:tcPr>
          <w:p w14:paraId="5DD7C9FB"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82,46</w:t>
            </w:r>
          </w:p>
        </w:tc>
        <w:tc>
          <w:tcPr>
            <w:tcW w:w="1232" w:type="dxa"/>
            <w:shd w:val="clear" w:color="auto" w:fill="auto"/>
            <w:vAlign w:val="center"/>
          </w:tcPr>
          <w:p w14:paraId="3A6C8F21"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15,05</w:t>
            </w:r>
          </w:p>
        </w:tc>
        <w:tc>
          <w:tcPr>
            <w:tcW w:w="1232" w:type="dxa"/>
            <w:shd w:val="clear" w:color="auto" w:fill="auto"/>
            <w:vAlign w:val="center"/>
          </w:tcPr>
          <w:p w14:paraId="71BBC2DF"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72 438</w:t>
            </w:r>
          </w:p>
        </w:tc>
      </w:tr>
      <w:tr w:rsidR="006A2611" w:rsidRPr="008B5658" w14:paraId="469183DD" w14:textId="77777777" w:rsidTr="006A2611">
        <w:tc>
          <w:tcPr>
            <w:tcW w:w="1679" w:type="dxa"/>
            <w:vMerge w:val="restart"/>
            <w:shd w:val="clear" w:color="auto" w:fill="auto"/>
            <w:vAlign w:val="center"/>
          </w:tcPr>
          <w:p w14:paraId="05263B6D" w14:textId="77777777" w:rsidR="006A2611" w:rsidRPr="008B5658" w:rsidRDefault="006A2611" w:rsidP="004A29A3">
            <w:pPr>
              <w:spacing w:line="240" w:lineRule="auto"/>
              <w:jc w:val="left"/>
              <w:rPr>
                <w:rFonts w:eastAsia="Times New Roman"/>
                <w:b/>
                <w:bCs/>
                <w:color w:val="000000"/>
                <w:sz w:val="20"/>
                <w:szCs w:val="20"/>
                <w:lang w:eastAsia="cs-CZ"/>
              </w:rPr>
            </w:pPr>
            <w:r w:rsidRPr="008B5658">
              <w:rPr>
                <w:rFonts w:eastAsia="Times New Roman"/>
                <w:b/>
                <w:bCs/>
                <w:color w:val="000000"/>
                <w:sz w:val="20"/>
                <w:szCs w:val="20"/>
                <w:lang w:eastAsia="cs-CZ"/>
              </w:rPr>
              <w:t>Liberecký kraj</w:t>
            </w:r>
          </w:p>
        </w:tc>
        <w:tc>
          <w:tcPr>
            <w:tcW w:w="1232" w:type="dxa"/>
            <w:shd w:val="clear" w:color="auto" w:fill="auto"/>
            <w:vAlign w:val="center"/>
          </w:tcPr>
          <w:p w14:paraId="26C280B1" w14:textId="77777777" w:rsidR="006A2611" w:rsidRPr="008B5658" w:rsidRDefault="006A2611" w:rsidP="004A29A3">
            <w:pPr>
              <w:pStyle w:val="Intabulka"/>
              <w:rPr>
                <w:rFonts w:ascii="Arial Narrow" w:hAnsi="Arial Narrow"/>
                <w:bCs/>
                <w:lang w:val="cs-CZ"/>
              </w:rPr>
            </w:pPr>
            <w:r w:rsidRPr="008B5658">
              <w:rPr>
                <w:rFonts w:ascii="Arial Narrow" w:hAnsi="Arial Narrow"/>
                <w:bCs/>
                <w:lang w:val="cs-CZ"/>
              </w:rPr>
              <w:t>2001</w:t>
            </w:r>
          </w:p>
        </w:tc>
        <w:tc>
          <w:tcPr>
            <w:tcW w:w="1232" w:type="dxa"/>
            <w:shd w:val="clear" w:color="auto" w:fill="auto"/>
            <w:vAlign w:val="center"/>
          </w:tcPr>
          <w:p w14:paraId="0ECFD3B4"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84 883</w:t>
            </w:r>
          </w:p>
        </w:tc>
        <w:tc>
          <w:tcPr>
            <w:tcW w:w="1232" w:type="dxa"/>
            <w:shd w:val="clear" w:color="auto" w:fill="auto"/>
            <w:vAlign w:val="center"/>
          </w:tcPr>
          <w:p w14:paraId="55F96C38"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66 347</w:t>
            </w:r>
          </w:p>
        </w:tc>
        <w:tc>
          <w:tcPr>
            <w:tcW w:w="1232" w:type="dxa"/>
            <w:shd w:val="clear" w:color="auto" w:fill="auto"/>
            <w:vAlign w:val="center"/>
          </w:tcPr>
          <w:p w14:paraId="5CB9734A"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85,68</w:t>
            </w:r>
          </w:p>
        </w:tc>
        <w:tc>
          <w:tcPr>
            <w:tcW w:w="1232" w:type="dxa"/>
            <w:shd w:val="clear" w:color="auto" w:fill="auto"/>
            <w:vAlign w:val="center"/>
          </w:tcPr>
          <w:p w14:paraId="5188BAA5"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11,24</w:t>
            </w:r>
          </w:p>
        </w:tc>
        <w:tc>
          <w:tcPr>
            <w:tcW w:w="1232" w:type="dxa"/>
            <w:shd w:val="clear" w:color="auto" w:fill="auto"/>
            <w:vAlign w:val="center"/>
          </w:tcPr>
          <w:p w14:paraId="056D20D7"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161 830</w:t>
            </w:r>
          </w:p>
        </w:tc>
      </w:tr>
      <w:tr w:rsidR="006A2611" w:rsidRPr="008B5658" w14:paraId="61C5CFF4" w14:textId="77777777" w:rsidTr="006A2611">
        <w:tc>
          <w:tcPr>
            <w:tcW w:w="1679" w:type="dxa"/>
            <w:vMerge/>
            <w:shd w:val="clear" w:color="auto" w:fill="auto"/>
            <w:vAlign w:val="center"/>
          </w:tcPr>
          <w:p w14:paraId="577C921F" w14:textId="77777777" w:rsidR="006A2611" w:rsidRPr="008B5658" w:rsidRDefault="006A2611" w:rsidP="004A29A3">
            <w:pPr>
              <w:pStyle w:val="Intabulka"/>
              <w:rPr>
                <w:rFonts w:ascii="Arial Narrow" w:hAnsi="Arial Narrow"/>
                <w:bCs/>
                <w:lang w:val="cs-CZ"/>
              </w:rPr>
            </w:pPr>
          </w:p>
        </w:tc>
        <w:tc>
          <w:tcPr>
            <w:tcW w:w="1232" w:type="dxa"/>
            <w:shd w:val="clear" w:color="auto" w:fill="auto"/>
            <w:vAlign w:val="center"/>
          </w:tcPr>
          <w:p w14:paraId="60FE8B1F" w14:textId="77777777" w:rsidR="006A2611" w:rsidRPr="008B5658" w:rsidRDefault="006A2611" w:rsidP="004A29A3">
            <w:pPr>
              <w:pStyle w:val="Intabulka"/>
              <w:rPr>
                <w:rFonts w:ascii="Arial Narrow" w:hAnsi="Arial Narrow"/>
                <w:bCs/>
                <w:lang w:val="cs-CZ"/>
              </w:rPr>
            </w:pPr>
            <w:r w:rsidRPr="008B5658">
              <w:rPr>
                <w:rFonts w:ascii="Arial Narrow" w:hAnsi="Arial Narrow"/>
                <w:bCs/>
                <w:lang w:val="cs-CZ"/>
              </w:rPr>
              <w:t>2011</w:t>
            </w:r>
          </w:p>
        </w:tc>
        <w:tc>
          <w:tcPr>
            <w:tcW w:w="1232" w:type="dxa"/>
            <w:shd w:val="clear" w:color="auto" w:fill="auto"/>
            <w:vAlign w:val="center"/>
          </w:tcPr>
          <w:p w14:paraId="202C18A1"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92 345</w:t>
            </w:r>
          </w:p>
        </w:tc>
        <w:tc>
          <w:tcPr>
            <w:tcW w:w="1232" w:type="dxa"/>
            <w:shd w:val="clear" w:color="auto" w:fill="auto"/>
            <w:vAlign w:val="center"/>
          </w:tcPr>
          <w:p w14:paraId="56B98F56"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73 380</w:t>
            </w:r>
          </w:p>
        </w:tc>
        <w:tc>
          <w:tcPr>
            <w:tcW w:w="1232" w:type="dxa"/>
            <w:shd w:val="clear" w:color="auto" w:fill="auto"/>
            <w:vAlign w:val="center"/>
          </w:tcPr>
          <w:p w14:paraId="27BCAE96"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86,03</w:t>
            </w:r>
          </w:p>
        </w:tc>
        <w:tc>
          <w:tcPr>
            <w:tcW w:w="1232" w:type="dxa"/>
            <w:shd w:val="clear" w:color="auto" w:fill="auto"/>
            <w:vAlign w:val="center"/>
          </w:tcPr>
          <w:p w14:paraId="0C8269E4"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11,34</w:t>
            </w:r>
          </w:p>
        </w:tc>
        <w:tc>
          <w:tcPr>
            <w:tcW w:w="1232" w:type="dxa"/>
            <w:shd w:val="clear" w:color="auto" w:fill="auto"/>
            <w:vAlign w:val="center"/>
          </w:tcPr>
          <w:p w14:paraId="0225088E"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184 283</w:t>
            </w:r>
          </w:p>
        </w:tc>
      </w:tr>
      <w:tr w:rsidR="006A2611" w:rsidRPr="008B5658" w14:paraId="6163DD5D" w14:textId="77777777" w:rsidTr="006A2611">
        <w:tc>
          <w:tcPr>
            <w:tcW w:w="1679" w:type="dxa"/>
            <w:vMerge w:val="restart"/>
            <w:shd w:val="clear" w:color="auto" w:fill="auto"/>
            <w:vAlign w:val="center"/>
          </w:tcPr>
          <w:p w14:paraId="7CC7AF76" w14:textId="77777777" w:rsidR="006A2611" w:rsidRPr="008B5658" w:rsidRDefault="006A2611" w:rsidP="004A29A3">
            <w:pPr>
              <w:spacing w:line="240" w:lineRule="auto"/>
              <w:jc w:val="left"/>
              <w:rPr>
                <w:rFonts w:eastAsia="Times New Roman"/>
                <w:b/>
                <w:bCs/>
                <w:color w:val="000000"/>
                <w:sz w:val="20"/>
                <w:szCs w:val="20"/>
                <w:lang w:eastAsia="cs-CZ"/>
              </w:rPr>
            </w:pPr>
            <w:r w:rsidRPr="008B5658">
              <w:rPr>
                <w:rFonts w:eastAsia="Times New Roman"/>
                <w:b/>
                <w:bCs/>
                <w:color w:val="000000"/>
                <w:sz w:val="20"/>
                <w:szCs w:val="20"/>
                <w:lang w:eastAsia="cs-CZ"/>
              </w:rPr>
              <w:t>Česká republika</w:t>
            </w:r>
          </w:p>
        </w:tc>
        <w:tc>
          <w:tcPr>
            <w:tcW w:w="1232" w:type="dxa"/>
            <w:shd w:val="clear" w:color="auto" w:fill="auto"/>
            <w:vAlign w:val="center"/>
          </w:tcPr>
          <w:p w14:paraId="13A34153" w14:textId="77777777" w:rsidR="006A2611" w:rsidRPr="008B5658" w:rsidRDefault="006A2611" w:rsidP="004A29A3">
            <w:pPr>
              <w:pStyle w:val="Intabulka"/>
              <w:rPr>
                <w:rFonts w:ascii="Arial Narrow" w:hAnsi="Arial Narrow"/>
                <w:bCs/>
                <w:lang w:val="cs-CZ"/>
              </w:rPr>
            </w:pPr>
            <w:r w:rsidRPr="008B5658">
              <w:rPr>
                <w:rFonts w:ascii="Arial Narrow" w:hAnsi="Arial Narrow"/>
                <w:bCs/>
                <w:lang w:val="cs-CZ"/>
              </w:rPr>
              <w:t>2001</w:t>
            </w:r>
          </w:p>
        </w:tc>
        <w:tc>
          <w:tcPr>
            <w:tcW w:w="1232" w:type="dxa"/>
            <w:shd w:val="clear" w:color="auto" w:fill="auto"/>
            <w:vAlign w:val="center"/>
          </w:tcPr>
          <w:p w14:paraId="790DBF93"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1 969 018</w:t>
            </w:r>
          </w:p>
        </w:tc>
        <w:tc>
          <w:tcPr>
            <w:tcW w:w="1232" w:type="dxa"/>
            <w:shd w:val="clear" w:color="auto" w:fill="auto"/>
            <w:vAlign w:val="center"/>
          </w:tcPr>
          <w:p w14:paraId="1F7B73F9"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1 630 705</w:t>
            </w:r>
          </w:p>
        </w:tc>
        <w:tc>
          <w:tcPr>
            <w:tcW w:w="1232" w:type="dxa"/>
            <w:shd w:val="clear" w:color="auto" w:fill="auto"/>
            <w:vAlign w:val="center"/>
          </w:tcPr>
          <w:p w14:paraId="5E1CDDD0"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86,30</w:t>
            </w:r>
          </w:p>
        </w:tc>
        <w:tc>
          <w:tcPr>
            <w:tcW w:w="1232" w:type="dxa"/>
            <w:shd w:val="clear" w:color="auto" w:fill="auto"/>
            <w:vAlign w:val="center"/>
          </w:tcPr>
          <w:p w14:paraId="147663E9"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12,00</w:t>
            </w:r>
          </w:p>
        </w:tc>
        <w:tc>
          <w:tcPr>
            <w:tcW w:w="1232" w:type="dxa"/>
            <w:shd w:val="clear" w:color="auto" w:fill="auto"/>
            <w:vAlign w:val="center"/>
          </w:tcPr>
          <w:p w14:paraId="1CE391FA"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3 827 678</w:t>
            </w:r>
          </w:p>
        </w:tc>
      </w:tr>
      <w:tr w:rsidR="006A2611" w:rsidRPr="008B5658" w14:paraId="2E4E00D9" w14:textId="77777777" w:rsidTr="006A2611">
        <w:tc>
          <w:tcPr>
            <w:tcW w:w="1679" w:type="dxa"/>
            <w:vMerge/>
            <w:shd w:val="clear" w:color="auto" w:fill="auto"/>
            <w:vAlign w:val="center"/>
          </w:tcPr>
          <w:p w14:paraId="4F3025CE" w14:textId="77777777" w:rsidR="006A2611" w:rsidRPr="008B5658" w:rsidRDefault="006A2611" w:rsidP="004A29A3">
            <w:pPr>
              <w:pStyle w:val="Intabulka"/>
              <w:rPr>
                <w:rFonts w:ascii="Arial Narrow" w:hAnsi="Arial Narrow"/>
                <w:bCs/>
                <w:lang w:val="cs-CZ"/>
              </w:rPr>
            </w:pPr>
          </w:p>
        </w:tc>
        <w:tc>
          <w:tcPr>
            <w:tcW w:w="1232" w:type="dxa"/>
            <w:shd w:val="clear" w:color="auto" w:fill="auto"/>
            <w:vAlign w:val="center"/>
          </w:tcPr>
          <w:p w14:paraId="052734B1" w14:textId="77777777" w:rsidR="006A2611" w:rsidRPr="008B5658" w:rsidRDefault="006A2611" w:rsidP="004A29A3">
            <w:pPr>
              <w:pStyle w:val="Intabulka"/>
              <w:rPr>
                <w:rFonts w:ascii="Arial Narrow" w:hAnsi="Arial Narrow"/>
                <w:bCs/>
                <w:lang w:val="cs-CZ"/>
              </w:rPr>
            </w:pPr>
            <w:r w:rsidRPr="008B5658">
              <w:rPr>
                <w:rFonts w:ascii="Arial Narrow" w:hAnsi="Arial Narrow"/>
                <w:bCs/>
                <w:lang w:val="cs-CZ"/>
              </w:rPr>
              <w:t>2011</w:t>
            </w:r>
          </w:p>
        </w:tc>
        <w:tc>
          <w:tcPr>
            <w:tcW w:w="1232" w:type="dxa"/>
            <w:shd w:val="clear" w:color="auto" w:fill="auto"/>
            <w:vAlign w:val="center"/>
          </w:tcPr>
          <w:p w14:paraId="4C1D3082"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2 158 119</w:t>
            </w:r>
          </w:p>
        </w:tc>
        <w:tc>
          <w:tcPr>
            <w:tcW w:w="1232" w:type="dxa"/>
            <w:shd w:val="clear" w:color="auto" w:fill="auto"/>
            <w:vAlign w:val="center"/>
          </w:tcPr>
          <w:p w14:paraId="16DACCA3"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1 800 075</w:t>
            </w:r>
          </w:p>
        </w:tc>
        <w:tc>
          <w:tcPr>
            <w:tcW w:w="1232" w:type="dxa"/>
            <w:shd w:val="clear" w:color="auto" w:fill="auto"/>
            <w:vAlign w:val="center"/>
          </w:tcPr>
          <w:p w14:paraId="62E941C9"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86,40</w:t>
            </w:r>
          </w:p>
        </w:tc>
        <w:tc>
          <w:tcPr>
            <w:tcW w:w="1232" w:type="dxa"/>
            <w:shd w:val="clear" w:color="auto" w:fill="auto"/>
            <w:vAlign w:val="center"/>
          </w:tcPr>
          <w:p w14:paraId="298D9B2E"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11,70</w:t>
            </w:r>
          </w:p>
        </w:tc>
        <w:tc>
          <w:tcPr>
            <w:tcW w:w="1232" w:type="dxa"/>
            <w:shd w:val="clear" w:color="auto" w:fill="auto"/>
            <w:vAlign w:val="center"/>
          </w:tcPr>
          <w:p w14:paraId="3887016A" w14:textId="77777777" w:rsidR="006A2611" w:rsidRPr="008B5658" w:rsidRDefault="006A2611" w:rsidP="004A29A3">
            <w:pPr>
              <w:spacing w:line="240" w:lineRule="auto"/>
              <w:jc w:val="right"/>
              <w:rPr>
                <w:rFonts w:eastAsia="Times New Roman"/>
                <w:color w:val="000000"/>
                <w:sz w:val="20"/>
                <w:szCs w:val="20"/>
                <w:lang w:eastAsia="cs-CZ"/>
              </w:rPr>
            </w:pPr>
            <w:r w:rsidRPr="008B5658">
              <w:rPr>
                <w:rFonts w:eastAsia="Times New Roman"/>
                <w:color w:val="000000"/>
                <w:sz w:val="20"/>
                <w:szCs w:val="20"/>
                <w:lang w:eastAsia="cs-CZ"/>
              </w:rPr>
              <w:t>4 104 635</w:t>
            </w:r>
          </w:p>
        </w:tc>
      </w:tr>
    </w:tbl>
    <w:p w14:paraId="0183474C" w14:textId="77777777" w:rsidR="00B4587D" w:rsidRPr="008B5658" w:rsidRDefault="00B4587D" w:rsidP="00B4587D">
      <w:pPr>
        <w:spacing w:before="120"/>
      </w:pPr>
      <w:r w:rsidRPr="008B5658">
        <w:t>Pro zjištění budoucí potřeby bytů na území města byly analyzovány základní faktory ovlivňující změny v počtu a struktuře obyvatelstva a bytového fondu. Byly zvoleny následující faktory vstupující do analýzy budoucí potřeby bytů na území města Hrádek nad Nisou:</w:t>
      </w:r>
    </w:p>
    <w:p w14:paraId="2452E682" w14:textId="77777777" w:rsidR="001758AE" w:rsidRPr="001758AE" w:rsidRDefault="00B4587D" w:rsidP="00A06EB9">
      <w:pPr>
        <w:numPr>
          <w:ilvl w:val="0"/>
          <w:numId w:val="89"/>
        </w:numPr>
        <w:spacing w:before="60" w:line="240" w:lineRule="auto"/>
        <w:ind w:left="714" w:hanging="357"/>
        <w:rPr>
          <w:b/>
          <w:i/>
        </w:rPr>
      </w:pPr>
      <w:r w:rsidRPr="008B5658">
        <w:rPr>
          <w:b/>
        </w:rPr>
        <w:t>změna počtu obyvatel v</w:t>
      </w:r>
      <w:r w:rsidR="001758AE">
        <w:rPr>
          <w:b/>
        </w:rPr>
        <w:t> </w:t>
      </w:r>
      <w:r w:rsidRPr="008B5658">
        <w:rPr>
          <w:b/>
        </w:rPr>
        <w:t>území</w:t>
      </w:r>
    </w:p>
    <w:p w14:paraId="1B61D00A" w14:textId="77777777" w:rsidR="00B4587D" w:rsidRPr="001758AE" w:rsidRDefault="001758AE" w:rsidP="001758AE">
      <w:pPr>
        <w:spacing w:before="60" w:line="240" w:lineRule="auto"/>
        <w:ind w:left="714"/>
        <w:rPr>
          <w:i/>
        </w:rPr>
      </w:pPr>
      <w:r w:rsidRPr="001758AE">
        <w:rPr>
          <w:i/>
        </w:rPr>
        <w:t>vyjadřuje předpokládaný budoucí vývoj počtu obyvatel na území města Hrádek nad Nisou</w:t>
      </w:r>
      <w:r>
        <w:rPr>
          <w:i/>
        </w:rPr>
        <w:t>, vychází ze základní demografické prognózy</w:t>
      </w:r>
    </w:p>
    <w:p w14:paraId="1276C133" w14:textId="77777777" w:rsidR="001758AE" w:rsidRPr="001758AE" w:rsidRDefault="00B4587D" w:rsidP="00A06EB9">
      <w:pPr>
        <w:numPr>
          <w:ilvl w:val="0"/>
          <w:numId w:val="89"/>
        </w:numPr>
        <w:spacing w:before="60" w:line="240" w:lineRule="auto"/>
        <w:ind w:left="714" w:hanging="357"/>
        <w:rPr>
          <w:b/>
          <w:i/>
        </w:rPr>
      </w:pPr>
      <w:r w:rsidRPr="008B5658">
        <w:rPr>
          <w:b/>
        </w:rPr>
        <w:t>vznik nových bytů bez nároků na rozvojové plochy</w:t>
      </w:r>
    </w:p>
    <w:p w14:paraId="70DE8E24" w14:textId="77777777" w:rsidR="00B4587D" w:rsidRPr="001758AE" w:rsidRDefault="001758AE" w:rsidP="001758AE">
      <w:pPr>
        <w:spacing w:before="60" w:line="240" w:lineRule="auto"/>
        <w:ind w:left="714"/>
        <w:rPr>
          <w:b/>
          <w:i/>
        </w:rPr>
      </w:pPr>
      <w:r w:rsidRPr="001758AE">
        <w:rPr>
          <w:rStyle w:val="Text"/>
          <w:i/>
        </w:rPr>
        <w:t xml:space="preserve">vyjadřuje předpokládanou míru výstavby nových bytů v rámci stabilizované sídelní struktury, tedy bez nároku na vymezení rozvojových ploch, např. přístavby ke stávajícím domům, výstavba v malých prolukách, výstavba RD na zahradách stávajících RD zejména jako bydlení pro další generaci, nástavby, využití podkroví pro bydlení, změna nebytových objektů na bydlení a obecně v malé míře i nová zástavba ve stabilizovaných plochách smíšených obytných a pro bydlení; stanovuje se odborným </w:t>
      </w:r>
      <w:r w:rsidRPr="001758AE">
        <w:rPr>
          <w:rStyle w:val="Text"/>
          <w:i/>
        </w:rPr>
        <w:lastRenderedPageBreak/>
        <w:t>odhadem s ohledem na chara</w:t>
      </w:r>
      <w:r>
        <w:rPr>
          <w:rStyle w:val="Text"/>
          <w:i/>
        </w:rPr>
        <w:t>k</w:t>
      </w:r>
      <w:r w:rsidRPr="001758AE">
        <w:rPr>
          <w:rStyle w:val="Text"/>
          <w:i/>
        </w:rPr>
        <w:t>ter sídla, hustotu zástavby, míru využití stabilizovaných ploch (obecně se pohybuje mezi 5%-20%</w:t>
      </w:r>
      <w:r>
        <w:rPr>
          <w:rStyle w:val="Text"/>
          <w:i/>
        </w:rPr>
        <w:t>)</w:t>
      </w:r>
      <w:r w:rsidRPr="001758AE">
        <w:rPr>
          <w:rStyle w:val="Text"/>
          <w:i/>
        </w:rPr>
        <w:t xml:space="preserve"> </w:t>
      </w:r>
    </w:p>
    <w:p w14:paraId="24FFDDA6" w14:textId="77777777" w:rsidR="00B4587D" w:rsidRPr="001758AE" w:rsidRDefault="00B4587D" w:rsidP="00A06EB9">
      <w:pPr>
        <w:numPr>
          <w:ilvl w:val="0"/>
          <w:numId w:val="89"/>
        </w:numPr>
        <w:spacing w:before="60" w:line="240" w:lineRule="auto"/>
        <w:ind w:left="714" w:hanging="357"/>
        <w:rPr>
          <w:b/>
          <w:i/>
        </w:rPr>
      </w:pPr>
      <w:r w:rsidRPr="008B5658">
        <w:rPr>
          <w:b/>
        </w:rPr>
        <w:t>úbytek (odpad) bytů</w:t>
      </w:r>
    </w:p>
    <w:p w14:paraId="06E6EE05" w14:textId="77777777" w:rsidR="001758AE" w:rsidRPr="001758AE" w:rsidRDefault="001758AE" w:rsidP="001758AE">
      <w:pPr>
        <w:spacing w:before="60" w:line="240" w:lineRule="auto"/>
        <w:ind w:left="714"/>
        <w:rPr>
          <w:i/>
        </w:rPr>
      </w:pPr>
      <w:r w:rsidRPr="001758AE">
        <w:rPr>
          <w:i/>
        </w:rPr>
        <w:t xml:space="preserve">vyjadřuje </w:t>
      </w:r>
      <w:r w:rsidRPr="001758AE">
        <w:rPr>
          <w:rStyle w:val="Text"/>
          <w:i/>
        </w:rPr>
        <w:t>fyzický zánik bytů (např. demolicí, v důsledku živelní pohromy), slučování bytů a dále změnu způsobu využití (např. pro administrativu, podnikání, ale zejména pro rekreaci); stanovuje se s ohledem na údaje ČSÚ</w:t>
      </w:r>
      <w:r>
        <w:rPr>
          <w:rStyle w:val="Text"/>
          <w:i/>
        </w:rPr>
        <w:t xml:space="preserve"> a relevantní metodiky</w:t>
      </w:r>
      <w:r w:rsidRPr="001758AE">
        <w:rPr>
          <w:rStyle w:val="Text"/>
          <w:i/>
        </w:rPr>
        <w:t>, zpravidla se počítá s odpadem bytů zhruba 0,2%</w:t>
      </w:r>
    </w:p>
    <w:p w14:paraId="6445D895" w14:textId="77777777" w:rsidR="00B4587D" w:rsidRPr="001758AE" w:rsidRDefault="00B4587D" w:rsidP="00A06EB9">
      <w:pPr>
        <w:numPr>
          <w:ilvl w:val="0"/>
          <w:numId w:val="89"/>
        </w:numPr>
        <w:spacing w:before="60" w:line="240" w:lineRule="auto"/>
        <w:ind w:left="714" w:hanging="357"/>
        <w:rPr>
          <w:b/>
          <w:i/>
        </w:rPr>
      </w:pPr>
      <w:r w:rsidRPr="008B5658">
        <w:rPr>
          <w:b/>
        </w:rPr>
        <w:t>zvýšení kvality bydlení</w:t>
      </w:r>
    </w:p>
    <w:p w14:paraId="6692B0C1" w14:textId="77777777" w:rsidR="001758AE" w:rsidRPr="001758AE" w:rsidRDefault="001758AE" w:rsidP="001758AE">
      <w:pPr>
        <w:spacing w:before="60" w:line="240" w:lineRule="auto"/>
        <w:ind w:left="714"/>
        <w:rPr>
          <w:b/>
          <w:i/>
        </w:rPr>
      </w:pPr>
      <w:r w:rsidRPr="001758AE">
        <w:rPr>
          <w:rStyle w:val="Text"/>
          <w:i/>
        </w:rPr>
        <w:t>v posledních dvaceti letech je jedním z hlavních faktorů potřeby vzniku nových bytů</w:t>
      </w:r>
      <w:r w:rsidRPr="001758AE">
        <w:rPr>
          <w:rStyle w:val="FootnoteReference"/>
          <w:i/>
        </w:rPr>
        <w:footnoteReference w:id="10"/>
      </w:r>
      <w:r w:rsidRPr="001758AE">
        <w:rPr>
          <w:rStyle w:val="Text"/>
          <w:i/>
        </w:rPr>
        <w:t>, a to zejména v důsledku trvalého úbytku počtu obyvatel přirozenou i umělou měnou, dalšími důvodu jsou obecně větší zájem o zvyšování kvality bydlení ve vztahu k standardům bydlení ve vyspělých zemích EU, snižování zanedbanosti bytového fondu a snižování energetické náročnosti bytového fondu, která dosahuje v porovnání se zeměmi EU nejvyšších hodnot</w:t>
      </w:r>
      <w:r w:rsidRPr="001758AE">
        <w:rPr>
          <w:rStyle w:val="FootnoteReference"/>
          <w:i/>
        </w:rPr>
        <w:footnoteReference w:id="11"/>
      </w:r>
    </w:p>
    <w:p w14:paraId="2493DA25" w14:textId="77777777" w:rsidR="00B4587D" w:rsidRPr="00B6511E" w:rsidRDefault="00B4587D" w:rsidP="00A06EB9">
      <w:pPr>
        <w:numPr>
          <w:ilvl w:val="0"/>
          <w:numId w:val="89"/>
        </w:numPr>
        <w:spacing w:before="60" w:line="240" w:lineRule="auto"/>
        <w:ind w:left="714" w:hanging="357"/>
        <w:rPr>
          <w:b/>
          <w:i/>
        </w:rPr>
      </w:pPr>
      <w:r w:rsidRPr="008B5658">
        <w:rPr>
          <w:b/>
        </w:rPr>
        <w:t>iniciace rozvoje území</w:t>
      </w:r>
    </w:p>
    <w:p w14:paraId="572484D9" w14:textId="77777777" w:rsidR="00B6511E" w:rsidRPr="00B6511E" w:rsidRDefault="00B6511E" w:rsidP="00B6511E">
      <w:pPr>
        <w:spacing w:before="60" w:line="240" w:lineRule="auto"/>
        <w:ind w:left="714"/>
        <w:rPr>
          <w:b/>
          <w:i/>
        </w:rPr>
      </w:pPr>
      <w:r w:rsidRPr="00B6511E">
        <w:rPr>
          <w:rStyle w:val="Text"/>
          <w:i/>
        </w:rPr>
        <w:t>vyjadřuje základní rozvojový potenciál a zároveň je opatřením pro zvýšení nabídky pozemků pro výstavbu v dané obci, díky níž nedojde k napětí mezi očekávanou nabídkou a poptávkou po pozemcích určených pro bytovou výstavbu</w:t>
      </w:r>
    </w:p>
    <w:p w14:paraId="2F0956A5" w14:textId="77777777" w:rsidR="00B4587D" w:rsidRDefault="00B4587D" w:rsidP="00A06EB9">
      <w:pPr>
        <w:numPr>
          <w:ilvl w:val="0"/>
          <w:numId w:val="89"/>
        </w:numPr>
        <w:spacing w:before="60" w:line="240" w:lineRule="auto"/>
        <w:ind w:left="714" w:hanging="357"/>
        <w:rPr>
          <w:b/>
        </w:rPr>
      </w:pPr>
      <w:r w:rsidRPr="008B5658">
        <w:rPr>
          <w:b/>
        </w:rPr>
        <w:t>význam území</w:t>
      </w:r>
    </w:p>
    <w:p w14:paraId="144DBB4E" w14:textId="77777777" w:rsidR="00B6511E" w:rsidRPr="00B6511E" w:rsidRDefault="00B6511E" w:rsidP="00B6511E">
      <w:pPr>
        <w:spacing w:before="60" w:line="240" w:lineRule="auto"/>
        <w:ind w:left="714"/>
        <w:rPr>
          <w:b/>
          <w:i/>
        </w:rPr>
      </w:pPr>
      <w:r w:rsidRPr="00B6511E">
        <w:rPr>
          <w:rStyle w:val="Text"/>
          <w:i/>
        </w:rPr>
        <w:t>zohledňuje potenciál území a požadavky vyplývající z PÚR ČR a z nadřazené územně plánovací dokumentace, tedy ze ZÚR Libereckého kraje, zejména polohu v rozvojové oblasti a rozvojové ose republikového významu, s výbornou dopravní dostupností krajského města Liberec a s vazbami na Polsko a Německo</w:t>
      </w:r>
    </w:p>
    <w:p w14:paraId="05175E21" w14:textId="77777777" w:rsidR="00B4587D" w:rsidRPr="00B6511E" w:rsidRDefault="00B4587D" w:rsidP="00A06EB9">
      <w:pPr>
        <w:numPr>
          <w:ilvl w:val="0"/>
          <w:numId w:val="89"/>
        </w:numPr>
        <w:spacing w:before="60" w:line="240" w:lineRule="auto"/>
        <w:ind w:left="714" w:hanging="357"/>
        <w:rPr>
          <w:i/>
        </w:rPr>
      </w:pPr>
      <w:r w:rsidRPr="008B5658">
        <w:rPr>
          <w:b/>
        </w:rPr>
        <w:t>nedostupnost pozemků po výstavbu bytů – „bezpečnostní“ rezerva</w:t>
      </w:r>
    </w:p>
    <w:p w14:paraId="6C82D3B4" w14:textId="77777777" w:rsidR="00B6511E" w:rsidRPr="00B6511E" w:rsidRDefault="00B6511E" w:rsidP="00B6511E">
      <w:pPr>
        <w:spacing w:before="60" w:line="240" w:lineRule="auto"/>
        <w:ind w:left="714"/>
        <w:rPr>
          <w:i/>
        </w:rPr>
      </w:pPr>
      <w:r w:rsidRPr="00B6511E">
        <w:rPr>
          <w:rStyle w:val="Text"/>
          <w:i/>
        </w:rPr>
        <w:t>zohledňuje míru nedostupnosti pozemků pro výstavbu zejména z důvodu vlastnických vztahů – vlastník pozemku nemá povinnost nabídnout pozemek k realizaci výstavby dle územního plánu, jeho motivace se navíc může v průběhu času měnit vzhledem k situaci na trhu nemovitostí</w:t>
      </w:r>
    </w:p>
    <w:p w14:paraId="720097AC" w14:textId="77777777" w:rsidR="00B4587D" w:rsidRPr="008B5658" w:rsidRDefault="00B4587D" w:rsidP="00B4587D">
      <w:pPr>
        <w:spacing w:before="120" w:after="120"/>
        <w:rPr>
          <w:rFonts w:cs="Arial"/>
        </w:rPr>
      </w:pPr>
      <w:r w:rsidRPr="008B5658">
        <w:rPr>
          <w:rFonts w:cs="Arial"/>
        </w:rPr>
        <w:t xml:space="preserve">Všechny faktory společně utvářejí </w:t>
      </w:r>
      <w:r w:rsidRPr="008B5658">
        <w:rPr>
          <w:rFonts w:cs="Arial"/>
          <w:b/>
        </w:rPr>
        <w:t>představu o celkovém budoucím trendu vývoje bytového fondu v Hrádku nad Nisou</w:t>
      </w:r>
      <w:r w:rsidRPr="008B5658">
        <w:rPr>
          <w:rFonts w:cs="Arial"/>
        </w:rPr>
        <w:t>, pro přehlednost a přesnost výpočtů jsou ovšem jednotlivé faktory hodnoceny každý zvlášť, k dílčím výsledkům je tedy nutné přistupovat obezřetně a citlivě, neboť separátní hodnocení každého jednotlivého faktoru neobsahuje kontext všech ostatních faktorů.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3"/>
        <w:gridCol w:w="1894"/>
        <w:gridCol w:w="2471"/>
      </w:tblGrid>
      <w:tr w:rsidR="00B4587D" w:rsidRPr="008B5658" w14:paraId="6BF6DFC5" w14:textId="77777777" w:rsidTr="00B4587D">
        <w:trPr>
          <w:tblHeader/>
        </w:trPr>
        <w:tc>
          <w:tcPr>
            <w:tcW w:w="4923" w:type="dxa"/>
            <w:shd w:val="clear" w:color="auto" w:fill="C2D69B"/>
            <w:noWrap/>
            <w:vAlign w:val="center"/>
          </w:tcPr>
          <w:p w14:paraId="1BC7A848" w14:textId="77777777" w:rsidR="00B4587D" w:rsidRPr="008B5658" w:rsidRDefault="00B4587D" w:rsidP="004A29A3">
            <w:pPr>
              <w:pStyle w:val="Intabulka"/>
              <w:spacing w:before="60" w:after="60"/>
              <w:rPr>
                <w:rFonts w:ascii="Arial Narrow" w:hAnsi="Arial Narrow"/>
                <w:b/>
                <w:i/>
                <w:lang w:val="cs-CZ"/>
              </w:rPr>
            </w:pPr>
            <w:r w:rsidRPr="008B5658">
              <w:rPr>
                <w:rFonts w:ascii="Arial Narrow" w:hAnsi="Arial Narrow"/>
                <w:b/>
                <w:i/>
                <w:lang w:val="cs-CZ"/>
              </w:rPr>
              <w:t>Faktor podmiňující potřebu nových bytů</w:t>
            </w:r>
          </w:p>
        </w:tc>
        <w:tc>
          <w:tcPr>
            <w:tcW w:w="1894" w:type="dxa"/>
            <w:shd w:val="clear" w:color="auto" w:fill="C2D69B"/>
          </w:tcPr>
          <w:p w14:paraId="558FA34D" w14:textId="77777777" w:rsidR="00B4587D" w:rsidRPr="008B5658" w:rsidRDefault="00B4587D" w:rsidP="004A29A3">
            <w:pPr>
              <w:pStyle w:val="Intabulka"/>
              <w:spacing w:before="60" w:after="60"/>
              <w:rPr>
                <w:rFonts w:ascii="Arial Narrow" w:hAnsi="Arial Narrow"/>
                <w:b/>
                <w:i/>
                <w:lang w:val="cs-CZ"/>
              </w:rPr>
            </w:pPr>
            <w:r w:rsidRPr="008B5658">
              <w:rPr>
                <w:rFonts w:ascii="Arial Narrow" w:hAnsi="Arial Narrow"/>
                <w:b/>
                <w:i/>
                <w:lang w:val="cs-CZ"/>
              </w:rPr>
              <w:t xml:space="preserve">potřebný nárůst počtu BJ </w:t>
            </w:r>
          </w:p>
        </w:tc>
        <w:tc>
          <w:tcPr>
            <w:tcW w:w="2471" w:type="dxa"/>
            <w:shd w:val="clear" w:color="auto" w:fill="C2D69B"/>
          </w:tcPr>
          <w:p w14:paraId="0278B650" w14:textId="77777777" w:rsidR="00B4587D" w:rsidRPr="008B5658" w:rsidRDefault="00B4587D" w:rsidP="004A29A3">
            <w:pPr>
              <w:pStyle w:val="Intabulka"/>
              <w:spacing w:before="60" w:after="60"/>
              <w:rPr>
                <w:rFonts w:ascii="Arial Narrow" w:hAnsi="Arial Narrow"/>
                <w:b/>
                <w:i/>
                <w:lang w:val="cs-CZ"/>
              </w:rPr>
            </w:pPr>
            <w:r w:rsidRPr="008B5658">
              <w:rPr>
                <w:rFonts w:ascii="Arial Narrow" w:hAnsi="Arial Narrow"/>
                <w:b/>
                <w:i/>
                <w:lang w:val="cs-CZ"/>
              </w:rPr>
              <w:t>podíl ze stávajícího (za rok 2011) počtu bytů (%)</w:t>
            </w:r>
          </w:p>
        </w:tc>
      </w:tr>
      <w:tr w:rsidR="00B4587D" w:rsidRPr="008B5658" w14:paraId="3968386D" w14:textId="77777777" w:rsidTr="00B4587D">
        <w:tc>
          <w:tcPr>
            <w:tcW w:w="4923" w:type="dxa"/>
            <w:shd w:val="clear" w:color="auto" w:fill="auto"/>
            <w:noWrap/>
          </w:tcPr>
          <w:p w14:paraId="78F3780F"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změna počtu obyvatel v území</w:t>
            </w:r>
          </w:p>
        </w:tc>
        <w:tc>
          <w:tcPr>
            <w:tcW w:w="1894" w:type="dxa"/>
            <w:shd w:val="clear" w:color="auto" w:fill="auto"/>
          </w:tcPr>
          <w:p w14:paraId="2F51D328" w14:textId="77777777" w:rsidR="00B4587D" w:rsidRPr="008B5658" w:rsidRDefault="00B4587D" w:rsidP="004A29A3">
            <w:pPr>
              <w:pStyle w:val="Intabulka"/>
              <w:spacing w:before="60" w:after="60"/>
              <w:rPr>
                <w:rFonts w:ascii="Arial Narrow" w:hAnsi="Arial Narrow"/>
                <w:lang w:val="cs-CZ"/>
              </w:rPr>
            </w:pPr>
            <w:r w:rsidRPr="008B5658">
              <w:rPr>
                <w:rStyle w:val="Text"/>
                <w:sz w:val="20"/>
                <w:lang w:eastAsia="x-none"/>
              </w:rPr>
              <w:t>- 87</w:t>
            </w:r>
          </w:p>
        </w:tc>
        <w:tc>
          <w:tcPr>
            <w:tcW w:w="2471" w:type="dxa"/>
            <w:shd w:val="clear" w:color="auto" w:fill="auto"/>
          </w:tcPr>
          <w:p w14:paraId="711E7B2C"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- 2,63 %</w:t>
            </w:r>
          </w:p>
        </w:tc>
      </w:tr>
      <w:tr w:rsidR="00B4587D" w:rsidRPr="008B5658" w14:paraId="5DF36157" w14:textId="77777777" w:rsidTr="00B4587D">
        <w:tc>
          <w:tcPr>
            <w:tcW w:w="4923" w:type="dxa"/>
            <w:shd w:val="clear" w:color="auto" w:fill="auto"/>
            <w:noWrap/>
          </w:tcPr>
          <w:p w14:paraId="6E4987BC"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vznik nových bytů bez nároků na rozvojové plochy</w:t>
            </w:r>
          </w:p>
        </w:tc>
        <w:tc>
          <w:tcPr>
            <w:tcW w:w="1894" w:type="dxa"/>
            <w:shd w:val="clear" w:color="auto" w:fill="auto"/>
          </w:tcPr>
          <w:p w14:paraId="15E924D8"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-496</w:t>
            </w:r>
          </w:p>
        </w:tc>
        <w:tc>
          <w:tcPr>
            <w:tcW w:w="2471" w:type="dxa"/>
            <w:shd w:val="clear" w:color="auto" w:fill="auto"/>
          </w:tcPr>
          <w:p w14:paraId="2C373B86"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- 14,99 %</w:t>
            </w:r>
          </w:p>
        </w:tc>
      </w:tr>
      <w:tr w:rsidR="00B4587D" w:rsidRPr="008B5658" w14:paraId="7BCF1318" w14:textId="77777777" w:rsidTr="00B4587D">
        <w:tc>
          <w:tcPr>
            <w:tcW w:w="4923" w:type="dxa"/>
            <w:shd w:val="clear" w:color="auto" w:fill="auto"/>
            <w:noWrap/>
          </w:tcPr>
          <w:p w14:paraId="5CEA2264"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úbytek (odpad) bytů</w:t>
            </w:r>
          </w:p>
        </w:tc>
        <w:tc>
          <w:tcPr>
            <w:tcW w:w="1894" w:type="dxa"/>
            <w:shd w:val="clear" w:color="auto" w:fill="auto"/>
          </w:tcPr>
          <w:p w14:paraId="1D3643BA"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+185</w:t>
            </w:r>
          </w:p>
        </w:tc>
        <w:tc>
          <w:tcPr>
            <w:tcW w:w="2471" w:type="dxa"/>
            <w:shd w:val="clear" w:color="auto" w:fill="auto"/>
          </w:tcPr>
          <w:p w14:paraId="45D0F18A"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+ 5,59 %</w:t>
            </w:r>
          </w:p>
        </w:tc>
      </w:tr>
      <w:tr w:rsidR="00B4587D" w:rsidRPr="008B5658" w14:paraId="4205FEA6" w14:textId="77777777" w:rsidTr="00B4587D">
        <w:tc>
          <w:tcPr>
            <w:tcW w:w="4923" w:type="dxa"/>
            <w:shd w:val="clear" w:color="auto" w:fill="auto"/>
            <w:noWrap/>
          </w:tcPr>
          <w:p w14:paraId="521C895C"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zvýšení kvality bydlení</w:t>
            </w:r>
          </w:p>
        </w:tc>
        <w:tc>
          <w:tcPr>
            <w:tcW w:w="1894" w:type="dxa"/>
            <w:shd w:val="clear" w:color="auto" w:fill="auto"/>
          </w:tcPr>
          <w:p w14:paraId="2BCE8230"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+ 187</w:t>
            </w:r>
          </w:p>
        </w:tc>
        <w:tc>
          <w:tcPr>
            <w:tcW w:w="2471" w:type="dxa"/>
            <w:shd w:val="clear" w:color="auto" w:fill="auto"/>
          </w:tcPr>
          <w:p w14:paraId="2C653744"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+ 5,6 %</w:t>
            </w:r>
          </w:p>
        </w:tc>
      </w:tr>
      <w:tr w:rsidR="00B4587D" w:rsidRPr="008B5658" w14:paraId="108F3C1B" w14:textId="77777777" w:rsidTr="00B4587D">
        <w:tc>
          <w:tcPr>
            <w:tcW w:w="4923" w:type="dxa"/>
            <w:shd w:val="clear" w:color="auto" w:fill="auto"/>
            <w:noWrap/>
          </w:tcPr>
          <w:p w14:paraId="7B070310"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iniciace rozvoje území</w:t>
            </w:r>
          </w:p>
        </w:tc>
        <w:tc>
          <w:tcPr>
            <w:tcW w:w="1894" w:type="dxa"/>
            <w:shd w:val="clear" w:color="auto" w:fill="auto"/>
          </w:tcPr>
          <w:p w14:paraId="570D7812"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+ 331</w:t>
            </w:r>
          </w:p>
        </w:tc>
        <w:tc>
          <w:tcPr>
            <w:tcW w:w="2471" w:type="dxa"/>
            <w:shd w:val="clear" w:color="auto" w:fill="auto"/>
          </w:tcPr>
          <w:p w14:paraId="3AC41CBC"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+ 10,01 %</w:t>
            </w:r>
          </w:p>
        </w:tc>
      </w:tr>
      <w:tr w:rsidR="00B4587D" w:rsidRPr="008B5658" w14:paraId="51D8366C" w14:textId="77777777" w:rsidTr="00B4587D">
        <w:tc>
          <w:tcPr>
            <w:tcW w:w="4923" w:type="dxa"/>
            <w:shd w:val="clear" w:color="auto" w:fill="auto"/>
            <w:noWrap/>
          </w:tcPr>
          <w:p w14:paraId="6201892F"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význam území</w:t>
            </w:r>
          </w:p>
        </w:tc>
        <w:tc>
          <w:tcPr>
            <w:tcW w:w="1894" w:type="dxa"/>
            <w:shd w:val="clear" w:color="auto" w:fill="auto"/>
          </w:tcPr>
          <w:p w14:paraId="6FF8C4CF"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+ 165</w:t>
            </w:r>
          </w:p>
        </w:tc>
        <w:tc>
          <w:tcPr>
            <w:tcW w:w="2471" w:type="dxa"/>
            <w:shd w:val="clear" w:color="auto" w:fill="auto"/>
          </w:tcPr>
          <w:p w14:paraId="35A33941"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+ 4,98 %</w:t>
            </w:r>
          </w:p>
        </w:tc>
      </w:tr>
      <w:tr w:rsidR="00B4587D" w:rsidRPr="008B5658" w14:paraId="0478EEDE" w14:textId="77777777" w:rsidTr="00B4587D">
        <w:tc>
          <w:tcPr>
            <w:tcW w:w="4923" w:type="dxa"/>
            <w:shd w:val="clear" w:color="auto" w:fill="auto"/>
            <w:noWrap/>
          </w:tcPr>
          <w:p w14:paraId="6EACB5D5"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Mezisoučet faktorů bez zohlednění nedostupnosti pozemků</w:t>
            </w:r>
          </w:p>
        </w:tc>
        <w:tc>
          <w:tcPr>
            <w:tcW w:w="1894" w:type="dxa"/>
            <w:shd w:val="clear" w:color="auto" w:fill="auto"/>
          </w:tcPr>
          <w:p w14:paraId="72C89C18"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+285</w:t>
            </w:r>
          </w:p>
        </w:tc>
        <w:tc>
          <w:tcPr>
            <w:tcW w:w="2471" w:type="dxa"/>
            <w:shd w:val="clear" w:color="auto" w:fill="auto"/>
          </w:tcPr>
          <w:p w14:paraId="15193E55"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+ 8,62 %</w:t>
            </w:r>
          </w:p>
        </w:tc>
      </w:tr>
      <w:tr w:rsidR="00B4587D" w:rsidRPr="008B5658" w14:paraId="5C3FEB17" w14:textId="77777777" w:rsidTr="00B4587D">
        <w:tc>
          <w:tcPr>
            <w:tcW w:w="4923" w:type="dxa"/>
            <w:shd w:val="clear" w:color="auto" w:fill="auto"/>
            <w:noWrap/>
          </w:tcPr>
          <w:p w14:paraId="2E705FAA"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z toho 20 % pro nedostupnost pozemků pro výstavbu bytů</w:t>
            </w:r>
          </w:p>
        </w:tc>
        <w:tc>
          <w:tcPr>
            <w:tcW w:w="1894" w:type="dxa"/>
            <w:shd w:val="clear" w:color="auto" w:fill="auto"/>
          </w:tcPr>
          <w:p w14:paraId="2812CC42"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+57</w:t>
            </w:r>
          </w:p>
        </w:tc>
        <w:tc>
          <w:tcPr>
            <w:tcW w:w="2471" w:type="dxa"/>
            <w:shd w:val="clear" w:color="auto" w:fill="auto"/>
          </w:tcPr>
          <w:p w14:paraId="7432CF19" w14:textId="77777777" w:rsidR="00B4587D" w:rsidRPr="008B5658" w:rsidRDefault="00B4587D" w:rsidP="004A29A3">
            <w:pPr>
              <w:pStyle w:val="Intabulka"/>
              <w:spacing w:before="60" w:after="60"/>
              <w:rPr>
                <w:rFonts w:ascii="Arial Narrow" w:hAnsi="Arial Narrow"/>
                <w:lang w:val="cs-CZ"/>
              </w:rPr>
            </w:pPr>
            <w:r w:rsidRPr="008B5658">
              <w:rPr>
                <w:rFonts w:ascii="Arial Narrow" w:hAnsi="Arial Narrow"/>
                <w:lang w:val="cs-CZ"/>
              </w:rPr>
              <w:t>1,72 %</w:t>
            </w:r>
          </w:p>
        </w:tc>
      </w:tr>
    </w:tbl>
    <w:p w14:paraId="1B2AB8AF" w14:textId="77777777" w:rsidR="00B4587D" w:rsidRPr="008B5658" w:rsidRDefault="00B4587D" w:rsidP="00B4587D">
      <w:pPr>
        <w:spacing w:before="120"/>
      </w:pPr>
      <w:r w:rsidRPr="008B5658">
        <w:rPr>
          <w:rStyle w:val="Text"/>
        </w:rPr>
        <w:t xml:space="preserve">Územní plán Hrádku nad Nisou musí na správním území města vytvořit podmínky pro uspokojení potřeby </w:t>
      </w:r>
      <w:r w:rsidRPr="008B5658">
        <w:rPr>
          <w:rStyle w:val="Text"/>
          <w:b/>
        </w:rPr>
        <w:t>minimálně + 342 nových bytových jednotek</w:t>
      </w:r>
      <w:r w:rsidRPr="008B5658">
        <w:rPr>
          <w:rStyle w:val="Text"/>
        </w:rPr>
        <w:t xml:space="preserve"> v plochách přestaveb a v zastavitelných plochách</w:t>
      </w:r>
      <w:r w:rsidRPr="008B5658">
        <w:rPr>
          <w:rStyle w:val="FootnoteReference"/>
          <w:rFonts w:ascii="Arial Narrow" w:hAnsi="Arial Narrow"/>
          <w:lang w:val="en-US"/>
        </w:rPr>
        <w:footnoteReference w:id="12"/>
      </w:r>
      <w:r w:rsidRPr="008B5658">
        <w:rPr>
          <w:rStyle w:val="Text"/>
        </w:rPr>
        <w:t>.</w:t>
      </w:r>
    </w:p>
    <w:p w14:paraId="50FBD78E" w14:textId="77777777" w:rsidR="006A2611" w:rsidRPr="008B5658" w:rsidRDefault="006A2611" w:rsidP="009705F7">
      <w:pPr>
        <w:spacing w:before="240" w:after="120"/>
        <w:rPr>
          <w:bCs/>
        </w:rPr>
      </w:pPr>
      <w:r w:rsidRPr="008B5658">
        <w:rPr>
          <w:bCs/>
        </w:rPr>
        <w:lastRenderedPageBreak/>
        <w:t xml:space="preserve">Co se týče úrovně bydlení, </w:t>
      </w:r>
      <w:r w:rsidRPr="008B5658">
        <w:rPr>
          <w:b/>
          <w:bCs/>
        </w:rPr>
        <w:t>velikost plochy bytu</w:t>
      </w:r>
      <w:r w:rsidRPr="008B5658">
        <w:rPr>
          <w:bCs/>
        </w:rPr>
        <w:t xml:space="preserve"> v rodinných domech v Hrádku nad Nisou je přibližně stejná jako modelová města, zároveň je </w:t>
      </w:r>
      <w:r w:rsidRPr="008B5658">
        <w:rPr>
          <w:b/>
          <w:bCs/>
        </w:rPr>
        <w:t>podstatně nižší než je průměr Libereckého kraje</w:t>
      </w:r>
      <w:r w:rsidRPr="008B5658">
        <w:rPr>
          <w:bCs/>
        </w:rPr>
        <w:t xml:space="preserve">.  </w:t>
      </w:r>
      <w:r w:rsidRPr="008B5658">
        <w:rPr>
          <w:b/>
          <w:bCs/>
        </w:rPr>
        <w:t>Vyšší standard bydlení je také v ČR a to o více jak 13 m</w:t>
      </w:r>
      <w:r w:rsidRPr="008B5658">
        <w:rPr>
          <w:b/>
          <w:bCs/>
          <w:vertAlign w:val="superscript"/>
        </w:rPr>
        <w:t>2</w:t>
      </w:r>
      <w:r w:rsidRPr="008B5658">
        <w:rPr>
          <w:bCs/>
        </w:rPr>
        <w:t xml:space="preserve">. U velikosti plochy bytu v bytových domech je tomu obdobně, zde je </w:t>
      </w:r>
      <w:r w:rsidRPr="008B5658">
        <w:rPr>
          <w:b/>
          <w:bCs/>
        </w:rPr>
        <w:t>obytná plocha bytu v republikovém a krajském měřítku větší o více jak 10 m</w:t>
      </w:r>
      <w:r w:rsidRPr="008B5658">
        <w:rPr>
          <w:b/>
          <w:bCs/>
          <w:vertAlign w:val="superscript"/>
        </w:rPr>
        <w:t>2</w:t>
      </w:r>
      <w:r w:rsidRPr="008B5658">
        <w:rPr>
          <w:bCs/>
        </w:rPr>
        <w:t xml:space="preserve">. </w:t>
      </w:r>
    </w:p>
    <w:p w14:paraId="68895573" w14:textId="77777777" w:rsidR="006A2611" w:rsidRPr="008B5658" w:rsidRDefault="00480287" w:rsidP="00480287">
      <w:pPr>
        <w:spacing w:before="120" w:after="120"/>
      </w:pPr>
      <w:r w:rsidRPr="008B5658">
        <w:rPr>
          <w:bCs/>
        </w:rPr>
        <w:t>Úroveň bydlení v územním srovnání SLDB 2011 zobrazuje následují tabulka:</w:t>
      </w:r>
      <w:r w:rsidR="006A2611" w:rsidRPr="008B5658">
        <w:rPr>
          <w:rStyle w:val="FootnoteReference"/>
          <w:rFonts w:ascii="Arial Narrow" w:hAnsi="Arial Narrow"/>
        </w:rPr>
        <w:footnoteReference w:id="13"/>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7"/>
        <w:gridCol w:w="1288"/>
        <w:gridCol w:w="1134"/>
        <w:gridCol w:w="1134"/>
        <w:gridCol w:w="1276"/>
        <w:gridCol w:w="1276"/>
        <w:gridCol w:w="1275"/>
      </w:tblGrid>
      <w:tr w:rsidR="006A2611" w:rsidRPr="005B3545" w14:paraId="51AA5BCD" w14:textId="77777777" w:rsidTr="009705F7">
        <w:trPr>
          <w:tblHeader/>
        </w:trPr>
        <w:tc>
          <w:tcPr>
            <w:tcW w:w="1797" w:type="dxa"/>
            <w:vMerge w:val="restart"/>
            <w:shd w:val="clear" w:color="auto" w:fill="C2D69B"/>
            <w:noWrap/>
            <w:vAlign w:val="center"/>
          </w:tcPr>
          <w:p w14:paraId="77A00812"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Území </w:t>
            </w:r>
          </w:p>
        </w:tc>
        <w:tc>
          <w:tcPr>
            <w:tcW w:w="3556" w:type="dxa"/>
            <w:gridSpan w:val="3"/>
            <w:shd w:val="clear" w:color="auto" w:fill="C2D69B"/>
            <w:noWrap/>
            <w:vAlign w:val="center"/>
          </w:tcPr>
          <w:p w14:paraId="51629EF0"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rodinné domy</w:t>
            </w:r>
          </w:p>
        </w:tc>
        <w:tc>
          <w:tcPr>
            <w:tcW w:w="3827" w:type="dxa"/>
            <w:gridSpan w:val="3"/>
            <w:shd w:val="clear" w:color="auto" w:fill="C2D69B"/>
            <w:noWrap/>
            <w:vAlign w:val="center"/>
          </w:tcPr>
          <w:p w14:paraId="4F783587"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bytové domy</w:t>
            </w:r>
          </w:p>
        </w:tc>
      </w:tr>
      <w:tr w:rsidR="009705F7" w:rsidRPr="005B3545" w14:paraId="40DE6196" w14:textId="77777777" w:rsidTr="009705F7">
        <w:trPr>
          <w:tblHeader/>
        </w:trPr>
        <w:tc>
          <w:tcPr>
            <w:tcW w:w="1797" w:type="dxa"/>
            <w:vMerge/>
            <w:shd w:val="clear" w:color="auto" w:fill="C2D69B"/>
            <w:noWrap/>
            <w:vAlign w:val="center"/>
          </w:tcPr>
          <w:p w14:paraId="0F90A68F" w14:textId="77777777" w:rsidR="006A2611" w:rsidRPr="00931133" w:rsidRDefault="006A2611" w:rsidP="004A29A3">
            <w:pPr>
              <w:pStyle w:val="Intabulka"/>
              <w:rPr>
                <w:rFonts w:ascii="Arial Narrow" w:hAnsi="Arial Narrow"/>
                <w:b/>
                <w:i/>
                <w:lang w:val="cs-CZ"/>
              </w:rPr>
            </w:pPr>
          </w:p>
        </w:tc>
        <w:tc>
          <w:tcPr>
            <w:tcW w:w="1288" w:type="dxa"/>
            <w:shd w:val="clear" w:color="auto" w:fill="C2D69B"/>
            <w:vAlign w:val="center"/>
          </w:tcPr>
          <w:p w14:paraId="3B5282AF"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obytná plocha na osobu</w:t>
            </w:r>
          </w:p>
        </w:tc>
        <w:tc>
          <w:tcPr>
            <w:tcW w:w="1134" w:type="dxa"/>
            <w:shd w:val="clear" w:color="auto" w:fill="C2D69B"/>
            <w:vAlign w:val="center"/>
          </w:tcPr>
          <w:p w14:paraId="676C3908"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obytná plocha na byt</w:t>
            </w:r>
          </w:p>
        </w:tc>
        <w:tc>
          <w:tcPr>
            <w:tcW w:w="1134" w:type="dxa"/>
            <w:shd w:val="clear" w:color="auto" w:fill="C2D69B"/>
            <w:vAlign w:val="center"/>
          </w:tcPr>
          <w:p w14:paraId="3DD4D05B"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počet obyvatel na byt</w:t>
            </w:r>
          </w:p>
        </w:tc>
        <w:tc>
          <w:tcPr>
            <w:tcW w:w="1276" w:type="dxa"/>
            <w:shd w:val="clear" w:color="auto" w:fill="C2D69B"/>
            <w:vAlign w:val="center"/>
          </w:tcPr>
          <w:p w14:paraId="284A14D7"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obytná plocha na osobu</w:t>
            </w:r>
          </w:p>
        </w:tc>
        <w:tc>
          <w:tcPr>
            <w:tcW w:w="1276" w:type="dxa"/>
            <w:shd w:val="clear" w:color="auto" w:fill="C2D69B"/>
            <w:vAlign w:val="center"/>
          </w:tcPr>
          <w:p w14:paraId="3D0E5785"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obytná plocha na byt</w:t>
            </w:r>
          </w:p>
        </w:tc>
        <w:tc>
          <w:tcPr>
            <w:tcW w:w="1275" w:type="dxa"/>
            <w:shd w:val="clear" w:color="auto" w:fill="C2D69B"/>
            <w:vAlign w:val="center"/>
          </w:tcPr>
          <w:p w14:paraId="6A4053DE" w14:textId="77777777" w:rsidR="006A2611" w:rsidRPr="00931133" w:rsidRDefault="006A2611" w:rsidP="004A29A3">
            <w:pPr>
              <w:pStyle w:val="Intabulka"/>
              <w:rPr>
                <w:rFonts w:ascii="Arial Narrow" w:hAnsi="Arial Narrow"/>
                <w:b/>
                <w:i/>
                <w:lang w:val="cs-CZ"/>
              </w:rPr>
            </w:pPr>
            <w:r w:rsidRPr="00931133">
              <w:rPr>
                <w:rFonts w:ascii="Arial Narrow" w:hAnsi="Arial Narrow"/>
                <w:b/>
                <w:i/>
                <w:lang w:val="cs-CZ"/>
              </w:rPr>
              <w:t>počet obyvatel na byt</w:t>
            </w:r>
          </w:p>
        </w:tc>
      </w:tr>
      <w:tr w:rsidR="009705F7" w:rsidRPr="005B3545" w14:paraId="3FFF8E39" w14:textId="77777777" w:rsidTr="009705F7">
        <w:tc>
          <w:tcPr>
            <w:tcW w:w="1797" w:type="dxa"/>
            <w:shd w:val="clear" w:color="auto" w:fill="auto"/>
            <w:noWrap/>
            <w:vAlign w:val="center"/>
          </w:tcPr>
          <w:p w14:paraId="2E528D96" w14:textId="77777777" w:rsidR="006A2611" w:rsidRPr="00931133" w:rsidRDefault="006A2611" w:rsidP="004A29A3">
            <w:pPr>
              <w:pStyle w:val="Intabulka"/>
              <w:spacing w:before="60" w:after="60"/>
              <w:rPr>
                <w:rFonts w:ascii="Arial Narrow" w:hAnsi="Arial Narrow"/>
                <w:bCs/>
                <w:szCs w:val="22"/>
                <w:lang w:val="cs-CZ"/>
              </w:rPr>
            </w:pPr>
            <w:r w:rsidRPr="00931133">
              <w:rPr>
                <w:rFonts w:ascii="Arial Narrow" w:hAnsi="Arial Narrow"/>
                <w:bCs/>
                <w:szCs w:val="22"/>
                <w:lang w:val="cs-CZ"/>
              </w:rPr>
              <w:t>Česká republika</w:t>
            </w:r>
          </w:p>
        </w:tc>
        <w:tc>
          <w:tcPr>
            <w:tcW w:w="1288" w:type="dxa"/>
            <w:shd w:val="clear" w:color="auto" w:fill="auto"/>
            <w:noWrap/>
            <w:vAlign w:val="center"/>
          </w:tcPr>
          <w:p w14:paraId="300E8205"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28,9</w:t>
            </w:r>
          </w:p>
        </w:tc>
        <w:tc>
          <w:tcPr>
            <w:tcW w:w="1134" w:type="dxa"/>
            <w:shd w:val="clear" w:color="auto" w:fill="auto"/>
            <w:noWrap/>
            <w:vAlign w:val="center"/>
          </w:tcPr>
          <w:p w14:paraId="379EBB14"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80,9</w:t>
            </w:r>
          </w:p>
        </w:tc>
        <w:tc>
          <w:tcPr>
            <w:tcW w:w="1134" w:type="dxa"/>
            <w:shd w:val="clear" w:color="auto" w:fill="auto"/>
            <w:noWrap/>
            <w:vAlign w:val="center"/>
          </w:tcPr>
          <w:p w14:paraId="5F7BD01F"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2,8</w:t>
            </w:r>
          </w:p>
        </w:tc>
        <w:tc>
          <w:tcPr>
            <w:tcW w:w="1276" w:type="dxa"/>
            <w:shd w:val="clear" w:color="auto" w:fill="auto"/>
            <w:noWrap/>
            <w:vAlign w:val="center"/>
          </w:tcPr>
          <w:p w14:paraId="2BEC17A5"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22,9</w:t>
            </w:r>
          </w:p>
        </w:tc>
        <w:tc>
          <w:tcPr>
            <w:tcW w:w="1276" w:type="dxa"/>
            <w:shd w:val="clear" w:color="auto" w:fill="auto"/>
            <w:noWrap/>
            <w:vAlign w:val="center"/>
          </w:tcPr>
          <w:p w14:paraId="1B53DB60"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52,6</w:t>
            </w:r>
          </w:p>
        </w:tc>
        <w:tc>
          <w:tcPr>
            <w:tcW w:w="1275" w:type="dxa"/>
            <w:shd w:val="clear" w:color="auto" w:fill="auto"/>
            <w:noWrap/>
            <w:vAlign w:val="center"/>
          </w:tcPr>
          <w:p w14:paraId="7B13C1D2"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2,3</w:t>
            </w:r>
          </w:p>
        </w:tc>
      </w:tr>
      <w:tr w:rsidR="009705F7" w:rsidRPr="005B3545" w14:paraId="61D7F196" w14:textId="77777777" w:rsidTr="009705F7">
        <w:tc>
          <w:tcPr>
            <w:tcW w:w="1797" w:type="dxa"/>
            <w:shd w:val="clear" w:color="auto" w:fill="auto"/>
            <w:noWrap/>
            <w:vAlign w:val="center"/>
          </w:tcPr>
          <w:p w14:paraId="4A000124" w14:textId="77777777" w:rsidR="006A2611" w:rsidRPr="007B120E" w:rsidRDefault="006A2611" w:rsidP="004A29A3">
            <w:pPr>
              <w:pStyle w:val="Intabulka"/>
              <w:spacing w:before="60" w:after="60"/>
              <w:rPr>
                <w:rFonts w:ascii="Arial Narrow" w:hAnsi="Arial Narrow"/>
                <w:szCs w:val="22"/>
                <w:lang w:val="cs-CZ"/>
              </w:rPr>
            </w:pPr>
            <w:r w:rsidRPr="007B120E">
              <w:rPr>
                <w:rFonts w:ascii="Arial Narrow" w:hAnsi="Arial Narrow"/>
                <w:szCs w:val="22"/>
                <w:lang w:val="cs-CZ"/>
              </w:rPr>
              <w:t>Středočeský kraj</w:t>
            </w:r>
          </w:p>
        </w:tc>
        <w:tc>
          <w:tcPr>
            <w:tcW w:w="1288" w:type="dxa"/>
            <w:shd w:val="clear" w:color="auto" w:fill="auto"/>
            <w:noWrap/>
            <w:vAlign w:val="center"/>
          </w:tcPr>
          <w:p w14:paraId="7D389326"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36,5</w:t>
            </w:r>
          </w:p>
        </w:tc>
        <w:tc>
          <w:tcPr>
            <w:tcW w:w="1134" w:type="dxa"/>
            <w:shd w:val="clear" w:color="auto" w:fill="auto"/>
            <w:noWrap/>
            <w:vAlign w:val="center"/>
          </w:tcPr>
          <w:p w14:paraId="7E72072C"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80,5</w:t>
            </w:r>
          </w:p>
        </w:tc>
        <w:tc>
          <w:tcPr>
            <w:tcW w:w="1134" w:type="dxa"/>
            <w:shd w:val="clear" w:color="auto" w:fill="auto"/>
            <w:noWrap/>
            <w:vAlign w:val="center"/>
          </w:tcPr>
          <w:p w14:paraId="778A1240"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2,1</w:t>
            </w:r>
          </w:p>
        </w:tc>
        <w:tc>
          <w:tcPr>
            <w:tcW w:w="1276" w:type="dxa"/>
            <w:shd w:val="clear" w:color="auto" w:fill="auto"/>
            <w:noWrap/>
            <w:vAlign w:val="center"/>
          </w:tcPr>
          <w:p w14:paraId="06EB176A"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29,9</w:t>
            </w:r>
          </w:p>
        </w:tc>
        <w:tc>
          <w:tcPr>
            <w:tcW w:w="1276" w:type="dxa"/>
            <w:shd w:val="clear" w:color="auto" w:fill="auto"/>
            <w:noWrap/>
            <w:vAlign w:val="center"/>
          </w:tcPr>
          <w:p w14:paraId="03EE0239"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53,6</w:t>
            </w:r>
          </w:p>
        </w:tc>
        <w:tc>
          <w:tcPr>
            <w:tcW w:w="1275" w:type="dxa"/>
            <w:shd w:val="clear" w:color="auto" w:fill="auto"/>
            <w:noWrap/>
            <w:vAlign w:val="center"/>
          </w:tcPr>
          <w:p w14:paraId="5CD7E779"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2,1</w:t>
            </w:r>
          </w:p>
        </w:tc>
      </w:tr>
      <w:tr w:rsidR="009705F7" w:rsidRPr="005B3545" w14:paraId="23492164" w14:textId="77777777" w:rsidTr="009705F7">
        <w:tc>
          <w:tcPr>
            <w:tcW w:w="1797" w:type="dxa"/>
            <w:shd w:val="clear" w:color="auto" w:fill="auto"/>
            <w:noWrap/>
            <w:vAlign w:val="center"/>
          </w:tcPr>
          <w:p w14:paraId="345BDF29" w14:textId="77777777" w:rsidR="006A2611" w:rsidRPr="007B120E" w:rsidRDefault="006A2611" w:rsidP="004A29A3">
            <w:pPr>
              <w:pStyle w:val="Intabulka"/>
              <w:spacing w:before="60" w:after="60"/>
              <w:rPr>
                <w:rFonts w:ascii="Arial Narrow" w:hAnsi="Arial Narrow"/>
                <w:szCs w:val="22"/>
                <w:lang w:val="cs-CZ"/>
              </w:rPr>
            </w:pPr>
            <w:r w:rsidRPr="007B120E">
              <w:rPr>
                <w:rFonts w:ascii="Arial Narrow" w:hAnsi="Arial Narrow"/>
                <w:szCs w:val="22"/>
                <w:lang w:val="cs-CZ"/>
              </w:rPr>
              <w:t>modelová města</w:t>
            </w:r>
            <w:r w:rsidRPr="007B120E">
              <w:rPr>
                <w:rStyle w:val="FootnoteReference"/>
                <w:rFonts w:ascii="Arial Narrow" w:hAnsi="Arial Narrow" w:cs="Arial"/>
                <w:szCs w:val="22"/>
                <w:lang w:val="cs-CZ"/>
              </w:rPr>
              <w:footnoteReference w:id="14"/>
            </w:r>
          </w:p>
        </w:tc>
        <w:tc>
          <w:tcPr>
            <w:tcW w:w="1288" w:type="dxa"/>
            <w:shd w:val="clear" w:color="auto" w:fill="auto"/>
            <w:noWrap/>
            <w:vAlign w:val="center"/>
          </w:tcPr>
          <w:p w14:paraId="438CEF4D"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24,05</w:t>
            </w:r>
          </w:p>
        </w:tc>
        <w:tc>
          <w:tcPr>
            <w:tcW w:w="1134" w:type="dxa"/>
            <w:shd w:val="clear" w:color="auto" w:fill="auto"/>
            <w:noWrap/>
            <w:vAlign w:val="center"/>
          </w:tcPr>
          <w:p w14:paraId="10C53AC9"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66</w:t>
            </w:r>
          </w:p>
        </w:tc>
        <w:tc>
          <w:tcPr>
            <w:tcW w:w="1134" w:type="dxa"/>
            <w:shd w:val="clear" w:color="auto" w:fill="auto"/>
            <w:noWrap/>
            <w:vAlign w:val="center"/>
          </w:tcPr>
          <w:p w14:paraId="796CF460"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2,75</w:t>
            </w:r>
          </w:p>
        </w:tc>
        <w:tc>
          <w:tcPr>
            <w:tcW w:w="1276" w:type="dxa"/>
            <w:shd w:val="clear" w:color="auto" w:fill="auto"/>
            <w:noWrap/>
            <w:vAlign w:val="center"/>
          </w:tcPr>
          <w:p w14:paraId="63E81264"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17,15</w:t>
            </w:r>
          </w:p>
        </w:tc>
        <w:tc>
          <w:tcPr>
            <w:tcW w:w="1276" w:type="dxa"/>
            <w:shd w:val="clear" w:color="auto" w:fill="auto"/>
            <w:noWrap/>
            <w:vAlign w:val="center"/>
          </w:tcPr>
          <w:p w14:paraId="5916688F"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22,2</w:t>
            </w:r>
          </w:p>
        </w:tc>
        <w:tc>
          <w:tcPr>
            <w:tcW w:w="1275" w:type="dxa"/>
            <w:shd w:val="clear" w:color="auto" w:fill="auto"/>
            <w:noWrap/>
            <w:vAlign w:val="center"/>
          </w:tcPr>
          <w:p w14:paraId="4BB614CF"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2,2</w:t>
            </w:r>
          </w:p>
        </w:tc>
      </w:tr>
      <w:tr w:rsidR="009705F7" w:rsidRPr="005B3545" w14:paraId="21187E2A" w14:textId="77777777" w:rsidTr="009705F7">
        <w:tc>
          <w:tcPr>
            <w:tcW w:w="1797" w:type="dxa"/>
            <w:shd w:val="clear" w:color="auto" w:fill="auto"/>
            <w:noWrap/>
            <w:vAlign w:val="center"/>
          </w:tcPr>
          <w:p w14:paraId="4792CB26" w14:textId="77777777" w:rsidR="006A2611" w:rsidRPr="00931133" w:rsidRDefault="006A2611" w:rsidP="004A29A3">
            <w:pPr>
              <w:spacing w:before="60" w:after="60" w:line="240" w:lineRule="auto"/>
              <w:jc w:val="left"/>
              <w:rPr>
                <w:rFonts w:eastAsia="Times New Roman"/>
                <w:color w:val="000000"/>
                <w:sz w:val="20"/>
                <w:lang w:eastAsia="cs-CZ"/>
              </w:rPr>
            </w:pPr>
            <w:r w:rsidRPr="00931133">
              <w:rPr>
                <w:rFonts w:eastAsia="Times New Roman"/>
                <w:color w:val="000000"/>
                <w:sz w:val="20"/>
                <w:lang w:eastAsia="cs-CZ"/>
              </w:rPr>
              <w:t>Hrádek nad Nisou</w:t>
            </w:r>
          </w:p>
        </w:tc>
        <w:tc>
          <w:tcPr>
            <w:tcW w:w="1288" w:type="dxa"/>
            <w:shd w:val="clear" w:color="auto" w:fill="auto"/>
            <w:noWrap/>
            <w:vAlign w:val="center"/>
          </w:tcPr>
          <w:p w14:paraId="65885821"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23,2</w:t>
            </w:r>
          </w:p>
        </w:tc>
        <w:tc>
          <w:tcPr>
            <w:tcW w:w="1134" w:type="dxa"/>
            <w:shd w:val="clear" w:color="auto" w:fill="auto"/>
            <w:noWrap/>
            <w:vAlign w:val="center"/>
          </w:tcPr>
          <w:p w14:paraId="3AA9D656"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67,8</w:t>
            </w:r>
          </w:p>
        </w:tc>
        <w:tc>
          <w:tcPr>
            <w:tcW w:w="1134" w:type="dxa"/>
            <w:shd w:val="clear" w:color="auto" w:fill="auto"/>
            <w:noWrap/>
            <w:vAlign w:val="center"/>
          </w:tcPr>
          <w:p w14:paraId="20906DBF"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2,9</w:t>
            </w:r>
          </w:p>
        </w:tc>
        <w:tc>
          <w:tcPr>
            <w:tcW w:w="1276" w:type="dxa"/>
            <w:shd w:val="clear" w:color="auto" w:fill="auto"/>
            <w:noWrap/>
            <w:vAlign w:val="center"/>
          </w:tcPr>
          <w:p w14:paraId="5FCEFD52"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18,25</w:t>
            </w:r>
          </w:p>
        </w:tc>
        <w:tc>
          <w:tcPr>
            <w:tcW w:w="1276" w:type="dxa"/>
            <w:shd w:val="clear" w:color="auto" w:fill="auto"/>
            <w:noWrap/>
            <w:vAlign w:val="center"/>
          </w:tcPr>
          <w:p w14:paraId="22D910D4"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42,7</w:t>
            </w:r>
          </w:p>
        </w:tc>
        <w:tc>
          <w:tcPr>
            <w:tcW w:w="1275" w:type="dxa"/>
            <w:shd w:val="clear" w:color="auto" w:fill="auto"/>
            <w:noWrap/>
            <w:vAlign w:val="center"/>
          </w:tcPr>
          <w:p w14:paraId="7C6746EA" w14:textId="77777777" w:rsidR="006A2611" w:rsidRPr="00931133" w:rsidRDefault="006A2611" w:rsidP="004A29A3">
            <w:pPr>
              <w:spacing w:before="60" w:after="60" w:line="240" w:lineRule="auto"/>
              <w:jc w:val="right"/>
              <w:rPr>
                <w:rFonts w:eastAsia="Times New Roman"/>
                <w:color w:val="000000"/>
                <w:sz w:val="20"/>
                <w:lang w:eastAsia="cs-CZ"/>
              </w:rPr>
            </w:pPr>
            <w:r w:rsidRPr="00931133">
              <w:rPr>
                <w:rFonts w:eastAsia="Times New Roman"/>
                <w:color w:val="000000"/>
                <w:sz w:val="20"/>
                <w:lang w:eastAsia="cs-CZ"/>
              </w:rPr>
              <w:t>2,3</w:t>
            </w:r>
          </w:p>
        </w:tc>
      </w:tr>
    </w:tbl>
    <w:p w14:paraId="43ACCE2D" w14:textId="77777777" w:rsidR="00480287" w:rsidRPr="008B5658" w:rsidRDefault="00480287" w:rsidP="009705F7">
      <w:pPr>
        <w:pStyle w:val="1text"/>
        <w:spacing w:before="240" w:after="120"/>
        <w:rPr>
          <w:bCs/>
        </w:rPr>
      </w:pPr>
      <w:r w:rsidRPr="00931133">
        <w:rPr>
          <w:bCs/>
        </w:rPr>
        <w:t xml:space="preserve">Při srovnání bydlení </w:t>
      </w:r>
      <w:r w:rsidRPr="008B5658">
        <w:rPr>
          <w:bCs/>
        </w:rPr>
        <w:t xml:space="preserve">bez rozlišení druhu domu </w:t>
      </w:r>
      <w:r w:rsidRPr="008B5658">
        <w:rPr>
          <w:b/>
          <w:bCs/>
        </w:rPr>
        <w:t>je velikost bytu v Hrádku nad Nisou</w:t>
      </w:r>
      <w:r w:rsidRPr="008B5658">
        <w:rPr>
          <w:bCs/>
        </w:rPr>
        <w:t xml:space="preserve">, ve srovnání s vyššími územními jednotkami i modelovými městy, </w:t>
      </w:r>
      <w:r w:rsidRPr="008B5658">
        <w:rPr>
          <w:b/>
          <w:bCs/>
        </w:rPr>
        <w:t>menší</w:t>
      </w:r>
      <w:r w:rsidRPr="008B5658">
        <w:rPr>
          <w:bCs/>
        </w:rPr>
        <w:t xml:space="preserve">. Naopak počet osob na jednu bytovou jednotku je srovnatelný s vyššími územními jednotkami. Z tohoto lze usuzovat, že </w:t>
      </w:r>
      <w:r w:rsidRPr="008B5658">
        <w:rPr>
          <w:b/>
          <w:bCs/>
        </w:rPr>
        <w:t>obyvatelstvo bydlí spíše v menších bytech avšak ve větším počtu osob</w:t>
      </w:r>
      <w:r w:rsidRPr="008B5658">
        <w:rPr>
          <w:bCs/>
        </w:rPr>
        <w:t>.</w:t>
      </w:r>
    </w:p>
    <w:p w14:paraId="576E61AC" w14:textId="77777777" w:rsidR="00480287" w:rsidRPr="008B5658" w:rsidRDefault="00480287" w:rsidP="00DA2972">
      <w:pPr>
        <w:pStyle w:val="1text"/>
        <w:spacing w:after="120"/>
        <w:rPr>
          <w:bCs/>
        </w:rPr>
      </w:pPr>
      <w:r w:rsidRPr="008B5658">
        <w:rPr>
          <w:bCs/>
        </w:rPr>
        <w:t xml:space="preserve">Menší velikosti bytů a vyšší počet osob, které je obývají, v porovnání s Libereckým krajem a ČR, jsou významným argumentem pro vymezení dostatečného rozsahu nových ploch pro bydlení, za účelem </w:t>
      </w:r>
      <w:r w:rsidRPr="008B5658">
        <w:rPr>
          <w:b/>
          <w:bCs/>
        </w:rPr>
        <w:t>zajištění odpovídající kvality</w:t>
      </w:r>
      <w:r w:rsidRPr="008B5658">
        <w:rPr>
          <w:bCs/>
        </w:rPr>
        <w:t xml:space="preserve"> </w:t>
      </w:r>
      <w:r w:rsidRPr="008B5658">
        <w:rPr>
          <w:b/>
          <w:bCs/>
        </w:rPr>
        <w:t>bydlení pro stávající i nové obyvatele města</w:t>
      </w:r>
      <w:r w:rsidRPr="008B5658">
        <w:rPr>
          <w:bCs/>
        </w:rPr>
        <w:t>.</w:t>
      </w:r>
    </w:p>
    <w:p w14:paraId="40A5EEB5" w14:textId="77777777" w:rsidR="00480287" w:rsidRDefault="00480287" w:rsidP="00DA2972">
      <w:pPr>
        <w:pStyle w:val="1text"/>
        <w:spacing w:after="120"/>
        <w:rPr>
          <w:rFonts w:cs="Arial"/>
        </w:rPr>
      </w:pPr>
      <w:r w:rsidRPr="008B5658">
        <w:rPr>
          <w:rFonts w:cs="Arial"/>
        </w:rPr>
        <w:t xml:space="preserve">Dalším z ukazatelů kvality bydlení je také </w:t>
      </w:r>
      <w:r w:rsidRPr="008B5658">
        <w:rPr>
          <w:rFonts w:cs="Arial"/>
          <w:b/>
        </w:rPr>
        <w:t>stáří bytového fondu</w:t>
      </w:r>
      <w:r w:rsidRPr="008B5658">
        <w:rPr>
          <w:rFonts w:cs="Arial"/>
        </w:rPr>
        <w:t>. Ze srovnání stáří bytového fondu lze říci, že intenzivní výstavba bytů probíhala v Hrádku nad Nisou souběžně s modelovými městy</w:t>
      </w:r>
      <w:r w:rsidRPr="008B5658">
        <w:rPr>
          <w:rStyle w:val="FootnoteReference"/>
          <w:rFonts w:ascii="Arial Narrow" w:hAnsi="Arial Narrow" w:cs="Arial"/>
          <w:i/>
          <w:sz w:val="18"/>
          <w:szCs w:val="22"/>
        </w:rPr>
        <w:footnoteReference w:id="15"/>
      </w:r>
      <w:r w:rsidRPr="008B5658">
        <w:rPr>
          <w:rFonts w:cs="Arial"/>
        </w:rPr>
        <w:t xml:space="preserve"> v období do roku 1919 a pokračovala mezi lety 1920 – 1970, byť již ne tak masivně. V dalších období</w:t>
      </w:r>
      <w:r w:rsidR="00021DC8">
        <w:rPr>
          <w:rFonts w:cs="Arial"/>
        </w:rPr>
        <w:t>ch</w:t>
      </w:r>
      <w:r w:rsidRPr="008B5658">
        <w:rPr>
          <w:rFonts w:cs="Arial"/>
        </w:rPr>
        <w:t xml:space="preserve"> tempo výstavby pokleslo pod průměr modelových měst. </w:t>
      </w:r>
      <w:r w:rsidRPr="008B5658">
        <w:rPr>
          <w:rFonts w:cs="Arial"/>
          <w:b/>
        </w:rPr>
        <w:t>Intenzita výstavby a obnova bytového fondu je přitom klíčová pro přírůstek obyvatel</w:t>
      </w:r>
      <w:r w:rsidRPr="008B5658">
        <w:rPr>
          <w:rFonts w:cs="Arial"/>
        </w:rPr>
        <w:t xml:space="preserve"> přirozenou i umělou měrou.</w:t>
      </w:r>
    </w:p>
    <w:p w14:paraId="38C36CD2" w14:textId="77777777" w:rsidR="00D07759" w:rsidRPr="00EB2252" w:rsidRDefault="00D07759" w:rsidP="00D07759">
      <w:pPr>
        <w:autoSpaceDE w:val="0"/>
        <w:autoSpaceDN w:val="0"/>
        <w:adjustRightInd w:val="0"/>
        <w:spacing w:before="240" w:line="240" w:lineRule="auto"/>
        <w:rPr>
          <w:rFonts w:cs="Arial"/>
          <w:color w:val="000000"/>
          <w:lang w:eastAsia="cs-CZ"/>
        </w:rPr>
      </w:pPr>
      <w:r>
        <w:rPr>
          <w:rFonts w:cs="Arial"/>
          <w:color w:val="000000"/>
          <w:lang w:eastAsia="cs-CZ"/>
        </w:rPr>
        <w:t>V Programu rozvoje města Hrádek nad Nisou, jako nejvýznamnějšího strategického dokumentu města, schváleném Zastupitelstvem města Hrádek nad Nisou dne 31.8.2016, je stanovena vize města, které by se mělo stát živým a atraktivním, rodině přátelským městem s vysokou kvalitou služeb občanské vybavenosti a rozvinutou stabilní demografickou strukturou. K docílení této vize jsou stanovena následující opatření:</w:t>
      </w:r>
    </w:p>
    <w:p w14:paraId="3C3290AD" w14:textId="77777777" w:rsidR="00D07759" w:rsidRDefault="00D07759" w:rsidP="00A06EB9">
      <w:pPr>
        <w:numPr>
          <w:ilvl w:val="0"/>
          <w:numId w:val="90"/>
        </w:numPr>
        <w:spacing w:before="120" w:line="264" w:lineRule="auto"/>
      </w:pPr>
      <w:r>
        <w:t xml:space="preserve">vytvoření </w:t>
      </w:r>
      <w:r w:rsidRPr="00D07759">
        <w:rPr>
          <w:b/>
        </w:rPr>
        <w:t>kvalitního prostředí pro rozvoj bydlení</w:t>
      </w:r>
    </w:p>
    <w:p w14:paraId="7AE51543" w14:textId="77777777" w:rsidR="00D07759" w:rsidRDefault="00D07759" w:rsidP="00A06EB9">
      <w:pPr>
        <w:numPr>
          <w:ilvl w:val="0"/>
          <w:numId w:val="90"/>
        </w:numPr>
        <w:spacing w:before="60" w:line="264" w:lineRule="auto"/>
      </w:pPr>
      <w:r w:rsidRPr="00D07759">
        <w:rPr>
          <w:b/>
        </w:rPr>
        <w:t>příprava nových ploch pro bydlení</w:t>
      </w:r>
      <w:r>
        <w:t xml:space="preserve"> (infrastrukturní vybavenost)</w:t>
      </w:r>
    </w:p>
    <w:p w14:paraId="416D9211" w14:textId="77777777" w:rsidR="002B5036" w:rsidRDefault="002B5036" w:rsidP="002B5036">
      <w:pPr>
        <w:spacing w:before="240"/>
      </w:pPr>
      <w:r>
        <w:t xml:space="preserve">Z výše doložené demografické analýzy vyplývá, že </w:t>
      </w:r>
      <w:r w:rsidRPr="002B5036">
        <w:rPr>
          <w:b/>
        </w:rPr>
        <w:t>v posledních 30 letech počet obyvatel města Hrádek nad Nisou kontinuálně mírně roste. Zajištění nových ploch pro rozvoj bydlení je pro udržení tohoto trendu nezbytné, nejen pro nové obyvatele, kteří přichází do Hrádku nad Nisou za prací či z jiných důvodů, ale i pro stávající obyvatele, kteří se chtějí osamostatnit (mladí lidé) nebo hledají bydlení s vyšší kvalitou a komfortem (stávající úroveň nedosahuje ani průměru ČR). Nabídka pro potenciální zájemce je v současné době velmi omezená i přes intenzivní zájem o bytovou výstavbu, zejména z důvodu nedostupnosti pozemků, určených pro další rozvoj v ÚPSÚ, především v důsledku složitých majetkoprávních vztahů. Vymezení nových ploch pro bydlení je strategické i s ohledem na stále se zvyšující index stáří, kdy mladí lidé v produktivním věku zakládající rodinu mohou tento nepříznivý vývoj zmírnit, předpokladem je však dostupnost vlastního bydlení</w:t>
      </w:r>
      <w:r>
        <w:t xml:space="preserve">. </w:t>
      </w:r>
    </w:p>
    <w:p w14:paraId="23897137" w14:textId="77777777" w:rsidR="00021DC8" w:rsidRDefault="009705F7" w:rsidP="00021DC8">
      <w:pPr>
        <w:spacing w:before="240" w:after="120"/>
      </w:pPr>
      <w:r w:rsidRPr="008B5658">
        <w:lastRenderedPageBreak/>
        <w:t>PLOCHY PRO PODNIKATELSKÉ AKTIVITY</w:t>
      </w:r>
    </w:p>
    <w:p w14:paraId="6AC9190E" w14:textId="77777777" w:rsidR="00B76328" w:rsidRDefault="00B76328" w:rsidP="00C45DF8">
      <w:pPr>
        <w:spacing w:after="120"/>
        <w:rPr>
          <w:bCs/>
        </w:rPr>
      </w:pPr>
      <w:r>
        <w:rPr>
          <w:bCs/>
        </w:rPr>
        <w:t xml:space="preserve">Území města Hrádek nad Nisou má vzhledem k poloze v rámci rozvojové oblasti a rozvojové osy republikového významu a zároveň bezprostřední vazbě na silnici I/35 a regionální železniční dopravu značný </w:t>
      </w:r>
      <w:r w:rsidRPr="009200A3">
        <w:rPr>
          <w:b/>
          <w:bCs/>
        </w:rPr>
        <w:t>potenciál rozvoje</w:t>
      </w:r>
      <w:r>
        <w:rPr>
          <w:bCs/>
        </w:rPr>
        <w:t xml:space="preserve"> </w:t>
      </w:r>
      <w:r w:rsidRPr="009200A3">
        <w:rPr>
          <w:b/>
          <w:bCs/>
        </w:rPr>
        <w:t>produkčních aktivit</w:t>
      </w:r>
      <w:r>
        <w:rPr>
          <w:bCs/>
        </w:rPr>
        <w:t xml:space="preserve">. Těžiště výrobních aktivit bylo historicky vázáno na těžbu lignitu, později na textilní a strojírenský průmysl. V období největšího průmyslového rozmachu vznikly rozsáhlé výrobní areály v blízkosti toku Lužické Nisy. </w:t>
      </w:r>
      <w:r w:rsidR="009200A3">
        <w:rPr>
          <w:bCs/>
        </w:rPr>
        <w:t>Pozdější restrukturalizace průmyslu a odklon od tradičních odvětví, spolu se stále se zvyšujícími nároky na dopravní obsluhu vedly k tomu, že v</w:t>
      </w:r>
      <w:r>
        <w:rPr>
          <w:bCs/>
        </w:rPr>
        <w:t xml:space="preserve"> současné době jsou </w:t>
      </w:r>
      <w:r w:rsidR="009200A3">
        <w:rPr>
          <w:bCs/>
        </w:rPr>
        <w:t>tyto areály</w:t>
      </w:r>
      <w:r>
        <w:rPr>
          <w:bCs/>
        </w:rPr>
        <w:t xml:space="preserve"> z větší části nevyužívané a představují zátěž pro životní prostředí města i pro jeho urbanistickou kvalitu, zejména ve vnitřní části.</w:t>
      </w:r>
      <w:r w:rsidR="009200A3">
        <w:rPr>
          <w:bCs/>
        </w:rPr>
        <w:t xml:space="preserve"> Územním plánem je navržena </w:t>
      </w:r>
      <w:r w:rsidR="009200A3" w:rsidRPr="009200A3">
        <w:rPr>
          <w:b/>
          <w:bCs/>
        </w:rPr>
        <w:t>přestavba</w:t>
      </w:r>
      <w:r w:rsidR="009200A3">
        <w:rPr>
          <w:bCs/>
        </w:rPr>
        <w:t xml:space="preserve"> těchto problematických ploch a pro ekonomický rozvoj jsou vymezeny plochy výroby a skladování v jiné poloze, </w:t>
      </w:r>
      <w:r w:rsidR="009200A3" w:rsidRPr="009200A3">
        <w:rPr>
          <w:b/>
          <w:bCs/>
        </w:rPr>
        <w:t>při obchvatu města na silnici I/35, mimo obytná území</w:t>
      </w:r>
      <w:r w:rsidR="009200A3">
        <w:rPr>
          <w:bCs/>
        </w:rPr>
        <w:t>.</w:t>
      </w:r>
    </w:p>
    <w:p w14:paraId="3FD31244" w14:textId="77777777" w:rsidR="00C45DF8" w:rsidRPr="008B5658" w:rsidRDefault="00C45DF8" w:rsidP="00C45DF8">
      <w:pPr>
        <w:spacing w:after="120"/>
        <w:rPr>
          <w:bCs/>
        </w:rPr>
      </w:pPr>
      <w:r w:rsidRPr="008B5658">
        <w:rPr>
          <w:bCs/>
        </w:rPr>
        <w:t xml:space="preserve">Z hlediska trhu práce došlo v Hrádku nad Nisou od roku 2008 k propadu nabídky volných pracovních míst a naopak k navýšení počtu uchazečů o zaměstnání. Z hlediska srovnání s vývojem v České republice se mezi lety 2008 – 2009 projevil dramatický </w:t>
      </w:r>
      <w:r w:rsidRPr="008B5658">
        <w:rPr>
          <w:b/>
          <w:bCs/>
        </w:rPr>
        <w:t>nárůst počtu uchazečů na jedno volné pracovní místo</w:t>
      </w:r>
      <w:r w:rsidRPr="008B5658">
        <w:rPr>
          <w:bCs/>
        </w:rPr>
        <w:t>. Zatímco v ČR byl tento nárůst pouze mírný, v Hrádku nad Nisou se zvýšil počet uchazečů o 73 lidí na 1 pracovní místo. Velká část obyvatel (cca 31%) přitom za prací dojíždí do okolních sídel, přičemž nejvíce spádují do Liberce.</w:t>
      </w:r>
    </w:p>
    <w:p w14:paraId="1F708F00" w14:textId="77777777" w:rsidR="00181210" w:rsidRPr="008B5658" w:rsidRDefault="00C45DF8" w:rsidP="00C45DF8">
      <w:pPr>
        <w:pStyle w:val="1text"/>
        <w:spacing w:after="120"/>
      </w:pPr>
      <w:r w:rsidRPr="008B5658">
        <w:t xml:space="preserve">Město Hrádek nad Nisou je dlouhodobě ekonomicky atraktivním sídlem, kde je zájem o lokalizaci nových ploch podnikatelských aktivit. </w:t>
      </w:r>
      <w:r w:rsidR="008B5658" w:rsidRPr="008B5658">
        <w:t xml:space="preserve">ÚP vytváří podmínky pro jejich rozvoj a tím i ke snížení míry nezaměstnanosti obyvatel města i okolních obcí. </w:t>
      </w:r>
      <w:r w:rsidR="008B5658" w:rsidRPr="008B5658">
        <w:rPr>
          <w:b/>
        </w:rPr>
        <w:t>N</w:t>
      </w:r>
      <w:r w:rsidRPr="008B5658">
        <w:rPr>
          <w:b/>
        </w:rPr>
        <w:t>ová pracovní místa</w:t>
      </w:r>
      <w:r w:rsidR="008B5658" w:rsidRPr="008B5658">
        <w:rPr>
          <w:b/>
        </w:rPr>
        <w:t xml:space="preserve"> </w:t>
      </w:r>
      <w:r w:rsidRPr="008B5658">
        <w:rPr>
          <w:b/>
        </w:rPr>
        <w:t xml:space="preserve">jsou </w:t>
      </w:r>
      <w:r w:rsidR="008B5658" w:rsidRPr="008B5658">
        <w:rPr>
          <w:b/>
        </w:rPr>
        <w:t xml:space="preserve">přitom </w:t>
      </w:r>
      <w:r w:rsidRPr="008B5658">
        <w:rPr>
          <w:b/>
        </w:rPr>
        <w:t>nezbytná pro udržení stávajících a přistěhování nových obyvatel do města</w:t>
      </w:r>
      <w:r w:rsidRPr="008B5658">
        <w:t>.</w:t>
      </w:r>
    </w:p>
    <w:p w14:paraId="3C2AB3BD" w14:textId="583A736C" w:rsidR="008B5658" w:rsidRDefault="008B5658" w:rsidP="00C45DF8">
      <w:pPr>
        <w:pStyle w:val="1text"/>
        <w:spacing w:after="120"/>
      </w:pPr>
      <w:r w:rsidRPr="008B5658">
        <w:t>Ve vyhodnocení vyváženosti udržitelného rozvoje území</w:t>
      </w:r>
      <w:r w:rsidRPr="008B5658">
        <w:rPr>
          <w:rStyle w:val="FootnoteReference"/>
          <w:rFonts w:ascii="Arial Narrow" w:hAnsi="Arial Narrow"/>
        </w:rPr>
        <w:footnoteReference w:id="16"/>
      </w:r>
      <w:r w:rsidRPr="008B5658">
        <w:t xml:space="preserve"> je město Hrádek nad Nisou hodnoceno</w:t>
      </w:r>
      <w:r>
        <w:t xml:space="preserve"> jako území s potenciálem </w:t>
      </w:r>
      <w:r w:rsidRPr="00D07759">
        <w:rPr>
          <w:b/>
        </w:rPr>
        <w:t>výraznějšího ekonomického rozvoje</w:t>
      </w:r>
      <w:r>
        <w:t xml:space="preserve"> s ohledem na dobrou dopravní dostupnost, vybudovanou základní síť technické a dopravní infrastruktury, polohu v rozvojové </w:t>
      </w:r>
      <w:r w:rsidR="00021DC8">
        <w:t xml:space="preserve">ose </w:t>
      </w:r>
      <w:r>
        <w:t>a při státní hranici a na spolupráci v rámci euroregionu Nisa.</w:t>
      </w:r>
      <w:r w:rsidRPr="008B5658">
        <w:t xml:space="preserve">   </w:t>
      </w:r>
    </w:p>
    <w:p w14:paraId="4D3E311A" w14:textId="77777777" w:rsidR="004E1C7A" w:rsidRPr="00461C16" w:rsidRDefault="00A52FFD" w:rsidP="00FD75D1">
      <w:pPr>
        <w:pStyle w:val="Heading1"/>
      </w:pPr>
      <w:bookmarkStart w:id="194" w:name="_Toc239843559"/>
      <w:bookmarkStart w:id="195" w:name="_Toc268687985"/>
      <w:bookmarkStart w:id="196" w:name="_Toc360178656"/>
      <w:bookmarkStart w:id="197" w:name="_Toc424191846"/>
      <w:bookmarkEnd w:id="190"/>
      <w:r w:rsidRPr="00461C16">
        <w:br w:type="page"/>
      </w:r>
      <w:bookmarkStart w:id="198" w:name="_Toc36116331"/>
      <w:r w:rsidR="000C791F" w:rsidRPr="00461C16">
        <w:lastRenderedPageBreak/>
        <w:t>8</w:t>
      </w:r>
      <w:r w:rsidR="004E1C7A" w:rsidRPr="00461C16">
        <w:t>.</w:t>
      </w:r>
      <w:r w:rsidR="004E1C7A" w:rsidRPr="00461C16">
        <w:tab/>
        <w:t>VYHODNOCENÍ PŘEDPOKLÁDANÝCH DŮSLEDKŮ NAVRHOVANÉHO ŘEŠENÍ NA ZEMĚDĚLSKÝ PŮDNÍ FOND A POZEMKY URČENÉ K PLNĚNÍ FUNKCE LESA</w:t>
      </w:r>
      <w:bookmarkEnd w:id="194"/>
      <w:bookmarkEnd w:id="195"/>
      <w:bookmarkEnd w:id="196"/>
      <w:bookmarkEnd w:id="197"/>
      <w:bookmarkEnd w:id="198"/>
    </w:p>
    <w:p w14:paraId="65EE8B4F" w14:textId="77777777" w:rsidR="00A80189" w:rsidRPr="00461C16" w:rsidRDefault="00A80189" w:rsidP="00A80189">
      <w:pPr>
        <w:pStyle w:val="Heading2"/>
        <w:ind w:left="709" w:hanging="709"/>
      </w:pPr>
      <w:bookmarkStart w:id="199" w:name="_Toc455061865"/>
      <w:bookmarkStart w:id="200" w:name="_Toc381365488"/>
      <w:bookmarkStart w:id="201" w:name="_Toc424191847"/>
      <w:bookmarkStart w:id="202" w:name="_Toc36116332"/>
      <w:r w:rsidRPr="00461C16">
        <w:t>8.1</w:t>
      </w:r>
      <w:r w:rsidRPr="00461C16">
        <w:tab/>
        <w:t>Vyhodnocení důsledků na zemědělský půdní fond</w:t>
      </w:r>
      <w:bookmarkEnd w:id="199"/>
      <w:bookmarkEnd w:id="202"/>
      <w:r w:rsidRPr="00461C16">
        <w:t xml:space="preserve"> </w:t>
      </w:r>
    </w:p>
    <w:p w14:paraId="0B633FE0" w14:textId="77777777" w:rsidR="00A80189" w:rsidRPr="00461C16" w:rsidRDefault="00A80189" w:rsidP="001E5EFE">
      <w:pPr>
        <w:spacing w:before="120" w:after="120"/>
      </w:pPr>
      <w:r w:rsidRPr="00461C16">
        <w:t xml:space="preserve">Vyhodnocení záboru pozemků ZPF bylo provedeno v souladu s metodickým pokynem MMR a MŽP „Vyhodnocení předpokládaných důsledků navrhovaného řešení na zemědělský půdní fond v územním plánu“ (2013). </w:t>
      </w:r>
    </w:p>
    <w:p w14:paraId="7996369C" w14:textId="77777777" w:rsidR="00A80189" w:rsidRPr="00461C16" w:rsidRDefault="00A80189" w:rsidP="001E5EFE">
      <w:pPr>
        <w:spacing w:before="120" w:after="120"/>
      </w:pPr>
      <w:r w:rsidRPr="00461C16">
        <w:t>Jsou vyhodnoceny zastavitelné plochy, plochy přestavby a koridory pro umístění staveb dopravní infrastruktury. Zdrojem pro určení kultur v jednotlivých lokalitách byla katastrální mapa.</w:t>
      </w:r>
    </w:p>
    <w:p w14:paraId="12B9EE65" w14:textId="77777777" w:rsidR="00A80189" w:rsidRPr="00461C16" w:rsidRDefault="00A80189" w:rsidP="001E5EFE">
      <w:pPr>
        <w:spacing w:before="120" w:after="120"/>
      </w:pPr>
      <w:r w:rsidRPr="00461C16">
        <w:t xml:space="preserve">Vymezení ploch záboru ZPF je zobrazeno v grafické příloze Odůvodnění ÚP ve výkrese </w:t>
      </w:r>
      <w:r w:rsidRPr="00461C16">
        <w:rPr>
          <w:i/>
          <w:iCs/>
        </w:rPr>
        <w:t>II.3. Výkres předpokládaných záborů půdního fondu</w:t>
      </w:r>
      <w:r w:rsidRPr="00461C16">
        <w:t>.</w:t>
      </w:r>
    </w:p>
    <w:p w14:paraId="01FB4594" w14:textId="77777777" w:rsidR="00A80189" w:rsidRPr="00461C16" w:rsidRDefault="00A80189" w:rsidP="001E5EFE">
      <w:pPr>
        <w:spacing w:before="120" w:after="120"/>
      </w:pPr>
      <w:r w:rsidRPr="00461C16">
        <w:t>Do vyhodnocení jsou zařazeny všechny plochy a koridory s výjimkou ploch:</w:t>
      </w:r>
    </w:p>
    <w:p w14:paraId="1FA8EAAD" w14:textId="77777777" w:rsidR="00A80189" w:rsidRPr="00461C16" w:rsidRDefault="00A80189" w:rsidP="00C40AF8">
      <w:pPr>
        <w:pStyle w:val="3pismeno"/>
        <w:numPr>
          <w:ilvl w:val="0"/>
          <w:numId w:val="29"/>
        </w:numPr>
      </w:pPr>
      <w:r w:rsidRPr="00461C16">
        <w:t>které nepředstavují zábor ZPF</w:t>
      </w:r>
      <w:r w:rsidR="001E5EFE" w:rsidRPr="00461C16">
        <w:t xml:space="preserve"> </w:t>
      </w:r>
      <w:r w:rsidR="003A49BE" w:rsidRPr="00461C16">
        <w:t>(Z24, Z31, Z32, Z63, Z82, Z98, P05, P06, P07, P16, P17, P18, P20, P28, P30</w:t>
      </w:r>
      <w:r w:rsidR="00755109">
        <w:t>, P31, P32, P33</w:t>
      </w:r>
      <w:r w:rsidR="001E5EFE" w:rsidRPr="00461C16">
        <w:t>)</w:t>
      </w:r>
      <w:r w:rsidRPr="00461C16">
        <w:t>,</w:t>
      </w:r>
    </w:p>
    <w:p w14:paraId="2E3FB343" w14:textId="77777777" w:rsidR="00211486" w:rsidRDefault="00A80189" w:rsidP="00C40AF8">
      <w:pPr>
        <w:pStyle w:val="3pismeno"/>
        <w:numPr>
          <w:ilvl w:val="0"/>
          <w:numId w:val="29"/>
        </w:numPr>
      </w:pPr>
      <w:r w:rsidRPr="00461C16">
        <w:t>jsou určeny pro zajištění funkčnosti ÚSES</w:t>
      </w:r>
      <w:r w:rsidR="001E5EFE" w:rsidRPr="00461C16">
        <w:t xml:space="preserve"> </w:t>
      </w:r>
      <w:r w:rsidR="005E54F0" w:rsidRPr="00461C16">
        <w:t>(K03, K04, K05, K06, K07, K08, K09, K10, K11, K12, K13, K14, K17, K18, K19, K20, K21, K22</w:t>
      </w:r>
      <w:r w:rsidR="001E5EFE" w:rsidRPr="00461C16">
        <w:t>)</w:t>
      </w:r>
      <w:r w:rsidR="00211486">
        <w:t>,</w:t>
      </w:r>
    </w:p>
    <w:p w14:paraId="5CCCD599" w14:textId="77777777" w:rsidR="00A80189" w:rsidRPr="00461C16" w:rsidRDefault="00211486" w:rsidP="00C40AF8">
      <w:pPr>
        <w:pStyle w:val="3pismeno"/>
        <w:numPr>
          <w:ilvl w:val="0"/>
          <w:numId w:val="29"/>
        </w:numPr>
      </w:pPr>
      <w:r>
        <w:t>jsou určeny pro vodní plochy (K23, K24, K25, K26, K27, K28, K29)</w:t>
      </w:r>
      <w:r w:rsidR="00A80189" w:rsidRPr="00461C16">
        <w:t>.</w:t>
      </w:r>
    </w:p>
    <w:p w14:paraId="392B3AA1" w14:textId="77777777" w:rsidR="00A80189" w:rsidRPr="00461C16" w:rsidRDefault="00A80189" w:rsidP="00A80189">
      <w:pPr>
        <w:pStyle w:val="Heading3"/>
      </w:pPr>
      <w:bookmarkStart w:id="203" w:name="_Toc36116333"/>
      <w:r w:rsidRPr="00461C16">
        <w:t>8.1.1</w:t>
      </w:r>
      <w:r w:rsidR="00E93EBA" w:rsidRPr="00461C16">
        <w:tab/>
      </w:r>
      <w:r w:rsidRPr="00461C16">
        <w:t>Bonitované půdně ekologické jednotky a třídy ochrany ZPF</w:t>
      </w:r>
      <w:bookmarkEnd w:id="203"/>
      <w:r w:rsidRPr="00461C16">
        <w:t xml:space="preserve"> </w:t>
      </w:r>
    </w:p>
    <w:p w14:paraId="4A75097B" w14:textId="77777777" w:rsidR="00A80189" w:rsidRPr="00461C16" w:rsidRDefault="00A80189" w:rsidP="00A80189">
      <w:pPr>
        <w:spacing w:after="120"/>
      </w:pPr>
      <w:r w:rsidRPr="00461C16">
        <w:t xml:space="preserve">Výchozím podkladem ochrany ZPF pro územně plánovací činnost jsou bonitované půdně ekologické jednotky – BPEJ. BPEJ vyjadřuje klimatický regionu, hlavní půdní region, číselnou kombinaci skeletovosti a expozice půdy. Jednotlivým BPEJ se přiřazují třídy ochrany ZPF, jejichž charakteristiky jsou následující: </w:t>
      </w:r>
    </w:p>
    <w:p w14:paraId="06F9891B" w14:textId="77777777" w:rsidR="00A80189" w:rsidRPr="00461C16" w:rsidRDefault="00A80189" w:rsidP="00C40AF8">
      <w:pPr>
        <w:numPr>
          <w:ilvl w:val="0"/>
          <w:numId w:val="30"/>
        </w:numPr>
        <w:spacing w:before="120" w:line="240" w:lineRule="auto"/>
      </w:pPr>
      <w:r w:rsidRPr="00461C16">
        <w:rPr>
          <w:b/>
        </w:rPr>
        <w:t>do I. třídy ochrany</w:t>
      </w:r>
      <w:r w:rsidRPr="00461C16">
        <w:t xml:space="preserve"> jsou zařazeny bonitně nejcennější půdy v jednotlivých klimatických regionech, převážně v plochách rovinných nebo jen mírně sklonitých, které je možno odejmout ze zemědělského půdního fondu pouze výjimečně, a to převážně na záměry související s obnovou ekologické stability krajiny, případně pro liniové stavby zásadního významu,</w:t>
      </w:r>
    </w:p>
    <w:p w14:paraId="2E0D86FC" w14:textId="77777777" w:rsidR="00A80189" w:rsidRPr="00461C16" w:rsidRDefault="00A80189" w:rsidP="00C40AF8">
      <w:pPr>
        <w:numPr>
          <w:ilvl w:val="0"/>
          <w:numId w:val="30"/>
        </w:numPr>
        <w:spacing w:before="120" w:line="240" w:lineRule="auto"/>
      </w:pPr>
      <w:r w:rsidRPr="00461C16">
        <w:rPr>
          <w:b/>
        </w:rPr>
        <w:t>do II. třídy ochrany</w:t>
      </w:r>
      <w:r w:rsidRPr="00461C16">
        <w:t xml:space="preserve"> jsou situovány zemědělské půdy, které mají v rámci jednotlivých klimatických regionů nadprůměrnou produkční schopnost. Ve vztahu k ochraně zemědělského půdního fondu jde o půdy vysoce chráněné, jen podmíněně odnímatelné a s ohledem na územní plánování také jen podmíněně zastavitelné,</w:t>
      </w:r>
    </w:p>
    <w:p w14:paraId="58003189" w14:textId="77777777" w:rsidR="00A80189" w:rsidRPr="00461C16" w:rsidRDefault="00A80189" w:rsidP="00C40AF8">
      <w:pPr>
        <w:numPr>
          <w:ilvl w:val="0"/>
          <w:numId w:val="30"/>
        </w:numPr>
        <w:spacing w:before="120" w:line="240" w:lineRule="auto"/>
      </w:pPr>
      <w:r w:rsidRPr="00461C16">
        <w:rPr>
          <w:b/>
        </w:rPr>
        <w:t>do III. třídy ochrany</w:t>
      </w:r>
      <w:r w:rsidRPr="00461C16">
        <w:t xml:space="preserve"> jsou v jednotlivých klimatických regionech sloučeny půdy s průměrnou produkční schopností a středním stupněm ochrany, které je možno územním plánováním využít pro případnou výstavbu.</w:t>
      </w:r>
    </w:p>
    <w:p w14:paraId="1A793342" w14:textId="77777777" w:rsidR="00A80189" w:rsidRPr="00461C16" w:rsidRDefault="00A80189" w:rsidP="00C40AF8">
      <w:pPr>
        <w:numPr>
          <w:ilvl w:val="0"/>
          <w:numId w:val="30"/>
        </w:numPr>
        <w:spacing w:before="120" w:line="240" w:lineRule="auto"/>
      </w:pPr>
      <w:r w:rsidRPr="00461C16">
        <w:rPr>
          <w:b/>
        </w:rPr>
        <w:t>do IV. třídy ochrany</w:t>
      </w:r>
      <w:r w:rsidRPr="00461C16">
        <w:t xml:space="preserve"> jsou sdruženy půdy s převážně podprůměrnou produkční schopností v rámci příslušných klimatických regionů, s jen omezenou ochranou, využitelné i pro výstavbu.</w:t>
      </w:r>
    </w:p>
    <w:p w14:paraId="36B02054" w14:textId="77777777" w:rsidR="00A80189" w:rsidRPr="00461C16" w:rsidRDefault="00A80189" w:rsidP="00C40AF8">
      <w:pPr>
        <w:numPr>
          <w:ilvl w:val="0"/>
          <w:numId w:val="30"/>
        </w:numPr>
        <w:spacing w:before="120" w:line="240" w:lineRule="auto"/>
      </w:pPr>
      <w:r w:rsidRPr="00461C16">
        <w:rPr>
          <w:b/>
        </w:rPr>
        <w:t>do V. třídy ochrany</w:t>
      </w:r>
      <w:r w:rsidRPr="00461C16">
        <w:t xml:space="preserve"> jsou zahrnuty zbývající bonitované půdně ekologické jednotky, které představují především půdy s velmi nízkou produkční schopností včetně půd mělkých, velmi svažitých, hydromorfních, štěrkovitých až kamenitých a erozně nejvíce ohrožených. Většinou jde o zemědělské půdy pro zemědělské účely postradatelné. U těchto půd lze předpokládat efektivnější nezemědělské využití. Jde většinou o půdy s nižším stupněm ochrany, s výjimkou vymezených pásem a chráněných území a dalších zájmů ochrany životního prostředí. </w:t>
      </w:r>
    </w:p>
    <w:p w14:paraId="1DD4F695" w14:textId="77777777" w:rsidR="00A80189" w:rsidRPr="00461C16" w:rsidRDefault="00A80189" w:rsidP="00A80189">
      <w:pPr>
        <w:spacing w:line="240" w:lineRule="auto"/>
        <w:jc w:val="left"/>
        <w:rPr>
          <w:rFonts w:cs="Arial"/>
          <w:b/>
          <w:bCs/>
          <w:sz w:val="26"/>
          <w:szCs w:val="26"/>
        </w:rPr>
      </w:pPr>
      <w:r w:rsidRPr="00461C16">
        <w:br w:type="page"/>
      </w:r>
    </w:p>
    <w:p w14:paraId="0E047139" w14:textId="77777777" w:rsidR="0015744C" w:rsidRPr="00461C16" w:rsidRDefault="0015744C" w:rsidP="00A80189">
      <w:pPr>
        <w:pStyle w:val="Heading3"/>
        <w:sectPr w:rsidR="0015744C" w:rsidRPr="00461C16" w:rsidSect="00F13913">
          <w:pgSz w:w="11909" w:h="16834" w:code="9"/>
          <w:pgMar w:top="1701" w:right="1419" w:bottom="1418" w:left="1418" w:header="720" w:footer="720" w:gutter="0"/>
          <w:cols w:space="720"/>
          <w:docGrid w:linePitch="360"/>
        </w:sectPr>
      </w:pPr>
    </w:p>
    <w:p w14:paraId="5B7848EF" w14:textId="77777777" w:rsidR="00A80189" w:rsidRPr="00461C16" w:rsidRDefault="00A80189" w:rsidP="00A80189">
      <w:pPr>
        <w:pStyle w:val="Heading3"/>
      </w:pPr>
      <w:bookmarkStart w:id="204" w:name="_Toc36116334"/>
      <w:r w:rsidRPr="00461C16">
        <w:lastRenderedPageBreak/>
        <w:t>8.1.2</w:t>
      </w:r>
      <w:r w:rsidR="00E93EBA" w:rsidRPr="00461C16">
        <w:tab/>
      </w:r>
      <w:r w:rsidRPr="00461C16">
        <w:t>Vyhodnocení předpokládaných důsledků vymezení ploch změn na zemědělský půdní fond</w:t>
      </w:r>
      <w:r w:rsidR="00E4588D">
        <w:t xml:space="preserve"> dle katastrálních území</w:t>
      </w:r>
      <w:bookmarkEnd w:id="204"/>
    </w:p>
    <w:tbl>
      <w:tblPr>
        <w:tblW w:w="14684" w:type="dxa"/>
        <w:tblInd w:w="-213" w:type="dxa"/>
        <w:tblCellMar>
          <w:left w:w="70" w:type="dxa"/>
          <w:right w:w="70" w:type="dxa"/>
        </w:tblCellMar>
        <w:tblLook w:val="04A0" w:firstRow="1" w:lastRow="0" w:firstColumn="1" w:lastColumn="0" w:noHBand="0" w:noVBand="1"/>
      </w:tblPr>
      <w:tblGrid>
        <w:gridCol w:w="872"/>
        <w:gridCol w:w="3453"/>
        <w:gridCol w:w="779"/>
        <w:gridCol w:w="779"/>
        <w:gridCol w:w="945"/>
        <w:gridCol w:w="779"/>
        <w:gridCol w:w="779"/>
        <w:gridCol w:w="779"/>
        <w:gridCol w:w="779"/>
        <w:gridCol w:w="779"/>
        <w:gridCol w:w="779"/>
        <w:gridCol w:w="779"/>
        <w:gridCol w:w="779"/>
        <w:gridCol w:w="779"/>
        <w:gridCol w:w="845"/>
      </w:tblGrid>
      <w:tr w:rsidR="00F32B0C" w:rsidRPr="0026695D" w14:paraId="0D99DF0F" w14:textId="77777777" w:rsidTr="00A375C3">
        <w:tc>
          <w:tcPr>
            <w:tcW w:w="14684" w:type="dxa"/>
            <w:gridSpan w:val="15"/>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3092DFA1" w14:textId="77777777" w:rsidR="00F32B0C" w:rsidRPr="0026695D" w:rsidRDefault="00F32B0C" w:rsidP="00F32B0C">
            <w:pPr>
              <w:spacing w:before="20" w:after="20" w:line="240" w:lineRule="auto"/>
              <w:jc w:val="left"/>
              <w:rPr>
                <w:rFonts w:eastAsia="Times New Roman"/>
                <w:b/>
                <w:bCs/>
                <w:color w:val="FFFFFF"/>
                <w:sz w:val="20"/>
                <w:szCs w:val="20"/>
                <w:lang w:eastAsia="cs-CZ"/>
              </w:rPr>
            </w:pPr>
            <w:r w:rsidRPr="0026695D">
              <w:rPr>
                <w:rFonts w:eastAsia="Times New Roman"/>
                <w:b/>
                <w:bCs/>
                <w:color w:val="FFFFFF"/>
                <w:sz w:val="20"/>
                <w:szCs w:val="20"/>
                <w:lang w:eastAsia="cs-CZ"/>
              </w:rPr>
              <w:t>KATASTRÁLNÍ ÚZEMÍ DOLNÍ SEDLO</w:t>
            </w:r>
          </w:p>
        </w:tc>
      </w:tr>
      <w:tr w:rsidR="009561A2" w:rsidRPr="0026695D" w14:paraId="144B4621" w14:textId="77777777" w:rsidTr="00A375C3">
        <w:trPr>
          <w:tblHeader/>
        </w:trPr>
        <w:tc>
          <w:tcPr>
            <w:tcW w:w="872"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630F056F" w14:textId="77777777" w:rsidR="009561A2" w:rsidRPr="0026695D" w:rsidRDefault="009561A2" w:rsidP="00F32B0C">
            <w:pPr>
              <w:spacing w:before="20" w:after="20" w:line="240" w:lineRule="auto"/>
              <w:jc w:val="left"/>
              <w:rPr>
                <w:rFonts w:eastAsia="Times New Roman"/>
                <w:b/>
                <w:bCs/>
                <w:sz w:val="20"/>
                <w:szCs w:val="20"/>
                <w:lang w:eastAsia="cs-CZ"/>
              </w:rPr>
            </w:pPr>
            <w:r w:rsidRPr="0026695D">
              <w:rPr>
                <w:rFonts w:eastAsia="Times New Roman"/>
                <w:b/>
                <w:bCs/>
                <w:sz w:val="20"/>
                <w:szCs w:val="20"/>
                <w:lang w:eastAsia="cs-CZ"/>
              </w:rPr>
              <w:t>Označení plochy</w:t>
            </w:r>
          </w:p>
        </w:tc>
        <w:tc>
          <w:tcPr>
            <w:tcW w:w="3453"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52505C00" w14:textId="77777777" w:rsidR="009561A2" w:rsidRPr="0026695D" w:rsidRDefault="009561A2" w:rsidP="00F32B0C">
            <w:pPr>
              <w:spacing w:before="20" w:after="20" w:line="240" w:lineRule="auto"/>
              <w:jc w:val="left"/>
              <w:rPr>
                <w:rFonts w:eastAsia="Times New Roman"/>
                <w:b/>
                <w:bCs/>
                <w:sz w:val="20"/>
                <w:szCs w:val="20"/>
                <w:lang w:eastAsia="cs-CZ"/>
              </w:rPr>
            </w:pPr>
            <w:r w:rsidRPr="0026695D">
              <w:rPr>
                <w:rFonts w:eastAsia="Times New Roman"/>
                <w:b/>
                <w:bCs/>
                <w:sz w:val="20"/>
                <w:szCs w:val="20"/>
                <w:lang w:eastAsia="cs-CZ"/>
              </w:rPr>
              <w:t>Způsob využití plochy</w:t>
            </w:r>
          </w:p>
        </w:tc>
        <w:tc>
          <w:tcPr>
            <w:tcW w:w="779"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6FE63C52" w14:textId="77777777" w:rsidR="009561A2" w:rsidRPr="0026695D" w:rsidRDefault="009561A2" w:rsidP="00F13913">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Celkový zábor ZPF</w:t>
            </w:r>
            <w:r w:rsidR="00F13913" w:rsidRPr="0026695D">
              <w:rPr>
                <w:rStyle w:val="FootnoteReference"/>
                <w:rFonts w:ascii="Arial Narrow" w:eastAsia="Times New Roman" w:hAnsi="Arial Narrow"/>
                <w:b/>
                <w:bCs/>
                <w:sz w:val="22"/>
                <w:szCs w:val="22"/>
                <w:lang w:eastAsia="cs-CZ"/>
              </w:rPr>
              <w:footnoteReference w:id="17"/>
            </w:r>
            <w:r w:rsidRPr="0026695D">
              <w:rPr>
                <w:rFonts w:eastAsia="Times New Roman"/>
                <w:b/>
                <w:bCs/>
                <w:sz w:val="20"/>
                <w:szCs w:val="20"/>
                <w:lang w:eastAsia="cs-CZ"/>
              </w:rPr>
              <w:t xml:space="preserve"> (ha)</w:t>
            </w:r>
          </w:p>
        </w:tc>
        <w:tc>
          <w:tcPr>
            <w:tcW w:w="4840" w:type="dxa"/>
            <w:gridSpan w:val="6"/>
            <w:tcBorders>
              <w:top w:val="single" w:sz="4" w:space="0" w:color="auto"/>
              <w:left w:val="nil"/>
              <w:bottom w:val="single" w:sz="4" w:space="0" w:color="auto"/>
              <w:right w:val="single" w:sz="4" w:space="0" w:color="000000"/>
            </w:tcBorders>
            <w:shd w:val="clear" w:color="000000" w:fill="F2F2F2"/>
            <w:hideMark/>
          </w:tcPr>
          <w:p w14:paraId="6EA50B33" w14:textId="77777777" w:rsidR="009561A2" w:rsidRPr="0026695D" w:rsidRDefault="009561A2" w:rsidP="00F32B0C">
            <w:pPr>
              <w:spacing w:before="20" w:after="20" w:line="240" w:lineRule="auto"/>
              <w:jc w:val="center"/>
              <w:rPr>
                <w:rFonts w:eastAsia="Times New Roman"/>
                <w:b/>
                <w:bCs/>
                <w:sz w:val="20"/>
                <w:szCs w:val="20"/>
                <w:lang w:eastAsia="cs-CZ"/>
              </w:rPr>
            </w:pPr>
            <w:r w:rsidRPr="0026695D">
              <w:rPr>
                <w:rFonts w:eastAsia="Times New Roman"/>
                <w:b/>
                <w:bCs/>
                <w:sz w:val="20"/>
                <w:szCs w:val="20"/>
                <w:lang w:eastAsia="cs-CZ"/>
              </w:rPr>
              <w:t>Zábor ZPF podle jednotlivých kultur (ha)</w:t>
            </w:r>
          </w:p>
        </w:tc>
        <w:tc>
          <w:tcPr>
            <w:tcW w:w="3895" w:type="dxa"/>
            <w:gridSpan w:val="5"/>
            <w:tcBorders>
              <w:top w:val="single" w:sz="4" w:space="0" w:color="auto"/>
              <w:left w:val="nil"/>
              <w:bottom w:val="single" w:sz="4" w:space="0" w:color="auto"/>
              <w:right w:val="single" w:sz="4" w:space="0" w:color="000000"/>
            </w:tcBorders>
            <w:shd w:val="clear" w:color="000000" w:fill="F2F2F2"/>
            <w:hideMark/>
          </w:tcPr>
          <w:p w14:paraId="4CAB95A5" w14:textId="77777777" w:rsidR="009561A2" w:rsidRPr="0026695D" w:rsidRDefault="009561A2" w:rsidP="00F32B0C">
            <w:pPr>
              <w:spacing w:before="20" w:after="20" w:line="240" w:lineRule="auto"/>
              <w:jc w:val="center"/>
              <w:rPr>
                <w:rFonts w:eastAsia="Times New Roman"/>
                <w:b/>
                <w:bCs/>
                <w:sz w:val="20"/>
                <w:szCs w:val="20"/>
                <w:lang w:eastAsia="cs-CZ"/>
              </w:rPr>
            </w:pPr>
            <w:r w:rsidRPr="0026695D">
              <w:rPr>
                <w:rFonts w:eastAsia="Times New Roman"/>
                <w:b/>
                <w:bCs/>
                <w:sz w:val="20"/>
                <w:szCs w:val="20"/>
                <w:lang w:eastAsia="cs-CZ"/>
              </w:rPr>
              <w:t>Zábor ZPF podle tříd ochrany (ha)</w:t>
            </w:r>
          </w:p>
        </w:tc>
        <w:tc>
          <w:tcPr>
            <w:tcW w:w="845"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6D98A6FE"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Investice do půdy (ha)</w:t>
            </w:r>
          </w:p>
        </w:tc>
      </w:tr>
      <w:tr w:rsidR="009561A2" w:rsidRPr="0026695D" w14:paraId="391CE593" w14:textId="77777777" w:rsidTr="00A375C3">
        <w:trPr>
          <w:tblHeader/>
        </w:trPr>
        <w:tc>
          <w:tcPr>
            <w:tcW w:w="872" w:type="dxa"/>
            <w:vMerge/>
            <w:tcBorders>
              <w:top w:val="single" w:sz="4" w:space="0" w:color="auto"/>
              <w:left w:val="single" w:sz="4" w:space="0" w:color="auto"/>
              <w:bottom w:val="single" w:sz="4" w:space="0" w:color="000000"/>
              <w:right w:val="single" w:sz="4" w:space="0" w:color="auto"/>
            </w:tcBorders>
            <w:hideMark/>
          </w:tcPr>
          <w:p w14:paraId="26CE0A2D" w14:textId="77777777" w:rsidR="009561A2" w:rsidRPr="0026695D" w:rsidRDefault="009561A2" w:rsidP="00F32B0C">
            <w:pPr>
              <w:spacing w:before="20" w:after="20" w:line="240" w:lineRule="auto"/>
              <w:jc w:val="left"/>
              <w:rPr>
                <w:rFonts w:eastAsia="Times New Roman"/>
                <w:b/>
                <w:bCs/>
                <w:sz w:val="20"/>
                <w:szCs w:val="20"/>
                <w:lang w:eastAsia="cs-CZ"/>
              </w:rPr>
            </w:pPr>
          </w:p>
        </w:tc>
        <w:tc>
          <w:tcPr>
            <w:tcW w:w="3453" w:type="dxa"/>
            <w:vMerge/>
            <w:tcBorders>
              <w:top w:val="single" w:sz="4" w:space="0" w:color="auto"/>
              <w:left w:val="single" w:sz="4" w:space="0" w:color="auto"/>
              <w:bottom w:val="single" w:sz="4" w:space="0" w:color="000000"/>
              <w:right w:val="single" w:sz="4" w:space="0" w:color="auto"/>
            </w:tcBorders>
            <w:hideMark/>
          </w:tcPr>
          <w:p w14:paraId="49691DF0" w14:textId="77777777" w:rsidR="009561A2" w:rsidRPr="0026695D" w:rsidRDefault="009561A2" w:rsidP="00F32B0C">
            <w:pPr>
              <w:spacing w:before="20" w:after="20" w:line="240" w:lineRule="auto"/>
              <w:jc w:val="left"/>
              <w:rPr>
                <w:rFonts w:eastAsia="Times New Roman"/>
                <w:b/>
                <w:bCs/>
                <w:sz w:val="20"/>
                <w:szCs w:val="20"/>
                <w:lang w:eastAsia="cs-CZ"/>
              </w:rPr>
            </w:pPr>
          </w:p>
        </w:tc>
        <w:tc>
          <w:tcPr>
            <w:tcW w:w="779" w:type="dxa"/>
            <w:vMerge/>
            <w:tcBorders>
              <w:top w:val="single" w:sz="4" w:space="0" w:color="auto"/>
              <w:left w:val="single" w:sz="4" w:space="0" w:color="auto"/>
              <w:bottom w:val="single" w:sz="4" w:space="0" w:color="000000"/>
              <w:right w:val="single" w:sz="4" w:space="0" w:color="auto"/>
            </w:tcBorders>
            <w:hideMark/>
          </w:tcPr>
          <w:p w14:paraId="60AE65DD" w14:textId="77777777" w:rsidR="009561A2" w:rsidRPr="0026695D" w:rsidRDefault="009561A2" w:rsidP="00F32B0C">
            <w:pPr>
              <w:spacing w:before="20" w:after="20" w:line="240" w:lineRule="auto"/>
              <w:jc w:val="left"/>
              <w:rPr>
                <w:rFonts w:eastAsia="Times New Roman"/>
                <w:b/>
                <w:bCs/>
                <w:sz w:val="20"/>
                <w:szCs w:val="20"/>
                <w:lang w:eastAsia="cs-CZ"/>
              </w:rPr>
            </w:pPr>
          </w:p>
        </w:tc>
        <w:tc>
          <w:tcPr>
            <w:tcW w:w="779" w:type="dxa"/>
            <w:tcBorders>
              <w:top w:val="nil"/>
              <w:left w:val="nil"/>
              <w:bottom w:val="single" w:sz="4" w:space="0" w:color="auto"/>
              <w:right w:val="single" w:sz="4" w:space="0" w:color="auto"/>
            </w:tcBorders>
            <w:shd w:val="clear" w:color="000000" w:fill="F2F2F2"/>
            <w:hideMark/>
          </w:tcPr>
          <w:p w14:paraId="1D86BBC9"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orná půda</w:t>
            </w:r>
          </w:p>
        </w:tc>
        <w:tc>
          <w:tcPr>
            <w:tcW w:w="945" w:type="dxa"/>
            <w:tcBorders>
              <w:top w:val="nil"/>
              <w:left w:val="nil"/>
              <w:bottom w:val="single" w:sz="4" w:space="0" w:color="auto"/>
              <w:right w:val="single" w:sz="4" w:space="0" w:color="auto"/>
            </w:tcBorders>
            <w:shd w:val="clear" w:color="000000" w:fill="F2F2F2"/>
            <w:hideMark/>
          </w:tcPr>
          <w:p w14:paraId="54DEC218"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chmelnice</w:t>
            </w:r>
          </w:p>
        </w:tc>
        <w:tc>
          <w:tcPr>
            <w:tcW w:w="779" w:type="dxa"/>
            <w:tcBorders>
              <w:top w:val="nil"/>
              <w:left w:val="nil"/>
              <w:bottom w:val="single" w:sz="4" w:space="0" w:color="auto"/>
              <w:right w:val="single" w:sz="4" w:space="0" w:color="auto"/>
            </w:tcBorders>
            <w:shd w:val="clear" w:color="000000" w:fill="F2F2F2"/>
            <w:hideMark/>
          </w:tcPr>
          <w:p w14:paraId="00C8F5C7"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vinice</w:t>
            </w:r>
          </w:p>
        </w:tc>
        <w:tc>
          <w:tcPr>
            <w:tcW w:w="779" w:type="dxa"/>
            <w:tcBorders>
              <w:top w:val="nil"/>
              <w:left w:val="nil"/>
              <w:bottom w:val="single" w:sz="4" w:space="0" w:color="auto"/>
              <w:right w:val="single" w:sz="4" w:space="0" w:color="auto"/>
            </w:tcBorders>
            <w:shd w:val="clear" w:color="000000" w:fill="F2F2F2"/>
            <w:hideMark/>
          </w:tcPr>
          <w:p w14:paraId="38898BB7"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zahrady</w:t>
            </w:r>
          </w:p>
        </w:tc>
        <w:tc>
          <w:tcPr>
            <w:tcW w:w="779" w:type="dxa"/>
            <w:tcBorders>
              <w:top w:val="nil"/>
              <w:left w:val="nil"/>
              <w:bottom w:val="single" w:sz="4" w:space="0" w:color="auto"/>
              <w:right w:val="single" w:sz="4" w:space="0" w:color="auto"/>
            </w:tcBorders>
            <w:shd w:val="clear" w:color="000000" w:fill="F2F2F2"/>
            <w:hideMark/>
          </w:tcPr>
          <w:p w14:paraId="0FC1BCB5"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ovocné sady</w:t>
            </w:r>
          </w:p>
        </w:tc>
        <w:tc>
          <w:tcPr>
            <w:tcW w:w="779" w:type="dxa"/>
            <w:tcBorders>
              <w:top w:val="nil"/>
              <w:left w:val="nil"/>
              <w:bottom w:val="single" w:sz="4" w:space="0" w:color="auto"/>
              <w:right w:val="single" w:sz="4" w:space="0" w:color="auto"/>
            </w:tcBorders>
            <w:shd w:val="clear" w:color="000000" w:fill="F2F2F2"/>
            <w:hideMark/>
          </w:tcPr>
          <w:p w14:paraId="167126CD"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trv. travní porosty</w:t>
            </w:r>
          </w:p>
        </w:tc>
        <w:tc>
          <w:tcPr>
            <w:tcW w:w="779" w:type="dxa"/>
            <w:tcBorders>
              <w:top w:val="nil"/>
              <w:left w:val="nil"/>
              <w:bottom w:val="single" w:sz="4" w:space="0" w:color="auto"/>
              <w:right w:val="single" w:sz="4" w:space="0" w:color="auto"/>
            </w:tcBorders>
            <w:shd w:val="clear" w:color="000000" w:fill="F2F2F2"/>
            <w:hideMark/>
          </w:tcPr>
          <w:p w14:paraId="0DEA3F0C"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I</w:t>
            </w:r>
          </w:p>
        </w:tc>
        <w:tc>
          <w:tcPr>
            <w:tcW w:w="779" w:type="dxa"/>
            <w:tcBorders>
              <w:top w:val="nil"/>
              <w:left w:val="nil"/>
              <w:bottom w:val="single" w:sz="4" w:space="0" w:color="auto"/>
              <w:right w:val="single" w:sz="4" w:space="0" w:color="auto"/>
            </w:tcBorders>
            <w:shd w:val="clear" w:color="000000" w:fill="F2F2F2"/>
            <w:hideMark/>
          </w:tcPr>
          <w:p w14:paraId="6E816827"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II</w:t>
            </w:r>
          </w:p>
        </w:tc>
        <w:tc>
          <w:tcPr>
            <w:tcW w:w="779" w:type="dxa"/>
            <w:tcBorders>
              <w:top w:val="nil"/>
              <w:left w:val="nil"/>
              <w:bottom w:val="single" w:sz="4" w:space="0" w:color="auto"/>
              <w:right w:val="single" w:sz="4" w:space="0" w:color="auto"/>
            </w:tcBorders>
            <w:shd w:val="clear" w:color="000000" w:fill="F2F2F2"/>
            <w:hideMark/>
          </w:tcPr>
          <w:p w14:paraId="7585943B"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III</w:t>
            </w:r>
          </w:p>
        </w:tc>
        <w:tc>
          <w:tcPr>
            <w:tcW w:w="779" w:type="dxa"/>
            <w:tcBorders>
              <w:top w:val="nil"/>
              <w:left w:val="nil"/>
              <w:bottom w:val="single" w:sz="4" w:space="0" w:color="auto"/>
              <w:right w:val="single" w:sz="4" w:space="0" w:color="auto"/>
            </w:tcBorders>
            <w:shd w:val="clear" w:color="000000" w:fill="F2F2F2"/>
            <w:hideMark/>
          </w:tcPr>
          <w:p w14:paraId="20948336"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IV</w:t>
            </w:r>
          </w:p>
        </w:tc>
        <w:tc>
          <w:tcPr>
            <w:tcW w:w="779" w:type="dxa"/>
            <w:tcBorders>
              <w:top w:val="nil"/>
              <w:left w:val="nil"/>
              <w:bottom w:val="single" w:sz="4" w:space="0" w:color="auto"/>
              <w:right w:val="single" w:sz="4" w:space="0" w:color="auto"/>
            </w:tcBorders>
            <w:shd w:val="clear" w:color="000000" w:fill="F2F2F2"/>
            <w:hideMark/>
          </w:tcPr>
          <w:p w14:paraId="7C7A781E" w14:textId="77777777" w:rsidR="009561A2" w:rsidRPr="0026695D" w:rsidRDefault="009561A2"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V</w:t>
            </w:r>
          </w:p>
        </w:tc>
        <w:tc>
          <w:tcPr>
            <w:tcW w:w="845" w:type="dxa"/>
            <w:vMerge/>
            <w:tcBorders>
              <w:top w:val="single" w:sz="4" w:space="0" w:color="auto"/>
              <w:left w:val="single" w:sz="4" w:space="0" w:color="auto"/>
              <w:bottom w:val="single" w:sz="4" w:space="0" w:color="000000"/>
              <w:right w:val="single" w:sz="4" w:space="0" w:color="auto"/>
            </w:tcBorders>
            <w:hideMark/>
          </w:tcPr>
          <w:p w14:paraId="015F1E5F" w14:textId="77777777" w:rsidR="009561A2" w:rsidRPr="0026695D" w:rsidRDefault="009561A2" w:rsidP="00F32B0C">
            <w:pPr>
              <w:spacing w:before="20" w:after="20" w:line="240" w:lineRule="auto"/>
              <w:jc w:val="left"/>
              <w:rPr>
                <w:rFonts w:eastAsia="Times New Roman"/>
                <w:b/>
                <w:bCs/>
                <w:sz w:val="20"/>
                <w:szCs w:val="20"/>
                <w:lang w:eastAsia="cs-CZ"/>
              </w:rPr>
            </w:pPr>
          </w:p>
        </w:tc>
      </w:tr>
      <w:tr w:rsidR="009561A2" w:rsidRPr="0026695D" w14:paraId="36BE1CD0"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24A001AF" w14:textId="77777777" w:rsidR="009561A2" w:rsidRPr="0026695D" w:rsidRDefault="009561A2"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Z84</w:t>
            </w:r>
          </w:p>
        </w:tc>
        <w:tc>
          <w:tcPr>
            <w:tcW w:w="3453" w:type="dxa"/>
            <w:tcBorders>
              <w:top w:val="nil"/>
              <w:left w:val="nil"/>
              <w:bottom w:val="single" w:sz="4" w:space="0" w:color="auto"/>
              <w:right w:val="single" w:sz="4" w:space="0" w:color="auto"/>
            </w:tcBorders>
            <w:shd w:val="clear" w:color="auto" w:fill="auto"/>
            <w:noWrap/>
            <w:hideMark/>
          </w:tcPr>
          <w:p w14:paraId="296D6E3E" w14:textId="77777777" w:rsidR="009561A2" w:rsidRPr="0026695D" w:rsidRDefault="009561A2"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hideMark/>
          </w:tcPr>
          <w:p w14:paraId="662B07EE" w14:textId="77777777" w:rsidR="009561A2"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0,123</w:t>
            </w:r>
          </w:p>
        </w:tc>
        <w:tc>
          <w:tcPr>
            <w:tcW w:w="779" w:type="dxa"/>
            <w:tcBorders>
              <w:top w:val="nil"/>
              <w:left w:val="nil"/>
              <w:bottom w:val="single" w:sz="4" w:space="0" w:color="auto"/>
              <w:right w:val="single" w:sz="4" w:space="0" w:color="auto"/>
            </w:tcBorders>
            <w:shd w:val="clear" w:color="auto" w:fill="auto"/>
            <w:noWrap/>
            <w:hideMark/>
          </w:tcPr>
          <w:p w14:paraId="1BDC1346"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hideMark/>
          </w:tcPr>
          <w:p w14:paraId="64DC27CA"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CEF5589"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4B14ADA"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0915E32"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3D76534" w14:textId="77777777" w:rsidR="009561A2"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0,123</w:t>
            </w:r>
          </w:p>
        </w:tc>
        <w:tc>
          <w:tcPr>
            <w:tcW w:w="779" w:type="dxa"/>
            <w:tcBorders>
              <w:top w:val="nil"/>
              <w:left w:val="nil"/>
              <w:bottom w:val="single" w:sz="4" w:space="0" w:color="auto"/>
              <w:right w:val="single" w:sz="4" w:space="0" w:color="auto"/>
            </w:tcBorders>
            <w:shd w:val="clear" w:color="auto" w:fill="auto"/>
            <w:noWrap/>
            <w:hideMark/>
          </w:tcPr>
          <w:p w14:paraId="695248D7"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4C14EDA"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6FAC681" w14:textId="77777777" w:rsidR="009561A2"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D9E1D60"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5D9D5E6" w14:textId="77777777" w:rsidR="009561A2"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0,123</w:t>
            </w:r>
          </w:p>
        </w:tc>
        <w:tc>
          <w:tcPr>
            <w:tcW w:w="845" w:type="dxa"/>
            <w:tcBorders>
              <w:top w:val="nil"/>
              <w:left w:val="nil"/>
              <w:bottom w:val="single" w:sz="4" w:space="0" w:color="auto"/>
              <w:right w:val="single" w:sz="4" w:space="0" w:color="auto"/>
            </w:tcBorders>
            <w:shd w:val="clear" w:color="auto" w:fill="auto"/>
            <w:noWrap/>
            <w:hideMark/>
          </w:tcPr>
          <w:p w14:paraId="70EFB34A" w14:textId="77777777" w:rsidR="009561A2" w:rsidRPr="0026695D" w:rsidRDefault="009561A2"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r>
      <w:tr w:rsidR="00D95A3B" w:rsidRPr="0026695D" w14:paraId="485EC0B8" w14:textId="77777777" w:rsidTr="00A375C3">
        <w:tc>
          <w:tcPr>
            <w:tcW w:w="872" w:type="dxa"/>
            <w:tcBorders>
              <w:top w:val="nil"/>
              <w:left w:val="single" w:sz="4" w:space="0" w:color="auto"/>
              <w:bottom w:val="single" w:sz="4" w:space="0" w:color="auto"/>
              <w:right w:val="single" w:sz="4" w:space="0" w:color="auto"/>
            </w:tcBorders>
            <w:shd w:val="clear" w:color="auto" w:fill="auto"/>
            <w:noWrap/>
          </w:tcPr>
          <w:p w14:paraId="36642603"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Z106</w:t>
            </w:r>
          </w:p>
        </w:tc>
        <w:tc>
          <w:tcPr>
            <w:tcW w:w="3453" w:type="dxa"/>
            <w:tcBorders>
              <w:top w:val="nil"/>
              <w:left w:val="nil"/>
              <w:bottom w:val="single" w:sz="4" w:space="0" w:color="auto"/>
              <w:right w:val="single" w:sz="4" w:space="0" w:color="auto"/>
            </w:tcBorders>
            <w:shd w:val="clear" w:color="auto" w:fill="auto"/>
            <w:noWrap/>
          </w:tcPr>
          <w:p w14:paraId="3B1321BF"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tcPr>
          <w:p w14:paraId="6802825D"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0,107</w:t>
            </w:r>
          </w:p>
        </w:tc>
        <w:tc>
          <w:tcPr>
            <w:tcW w:w="779" w:type="dxa"/>
            <w:tcBorders>
              <w:top w:val="nil"/>
              <w:left w:val="nil"/>
              <w:bottom w:val="single" w:sz="4" w:space="0" w:color="auto"/>
              <w:right w:val="single" w:sz="4" w:space="0" w:color="auto"/>
            </w:tcBorders>
            <w:shd w:val="clear" w:color="auto" w:fill="auto"/>
            <w:noWrap/>
          </w:tcPr>
          <w:p w14:paraId="43500BCB"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noWrap/>
          </w:tcPr>
          <w:p w14:paraId="70E134B3"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0AAF9B96"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0DF073FB"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C9E1749"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37F020B7"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0,107</w:t>
            </w:r>
          </w:p>
        </w:tc>
        <w:tc>
          <w:tcPr>
            <w:tcW w:w="779" w:type="dxa"/>
            <w:tcBorders>
              <w:top w:val="nil"/>
              <w:left w:val="nil"/>
              <w:bottom w:val="single" w:sz="4" w:space="0" w:color="auto"/>
              <w:right w:val="single" w:sz="4" w:space="0" w:color="auto"/>
            </w:tcBorders>
            <w:shd w:val="clear" w:color="auto" w:fill="auto"/>
            <w:noWrap/>
          </w:tcPr>
          <w:p w14:paraId="1223D41D"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038D28E4"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96669D3"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0,107</w:t>
            </w:r>
          </w:p>
        </w:tc>
        <w:tc>
          <w:tcPr>
            <w:tcW w:w="779" w:type="dxa"/>
            <w:tcBorders>
              <w:top w:val="nil"/>
              <w:left w:val="nil"/>
              <w:bottom w:val="single" w:sz="4" w:space="0" w:color="auto"/>
              <w:right w:val="single" w:sz="4" w:space="0" w:color="auto"/>
            </w:tcBorders>
            <w:shd w:val="clear" w:color="auto" w:fill="auto"/>
            <w:noWrap/>
          </w:tcPr>
          <w:p w14:paraId="48F6A9EE"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39E1E6FA"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noWrap/>
          </w:tcPr>
          <w:p w14:paraId="2A66E4A8" w14:textId="77777777" w:rsidR="00D95A3B" w:rsidRPr="0026695D" w:rsidRDefault="008150F8"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0,0000</w:t>
            </w:r>
          </w:p>
        </w:tc>
      </w:tr>
      <w:tr w:rsidR="00D95A3B" w:rsidRPr="0026695D" w14:paraId="75F8E25F"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76143BD1" w14:textId="77777777" w:rsidR="00D95A3B" w:rsidRPr="0026695D" w:rsidRDefault="00D95A3B" w:rsidP="00F32B0C">
            <w:pPr>
              <w:spacing w:before="20" w:after="20" w:line="240" w:lineRule="auto"/>
              <w:jc w:val="left"/>
              <w:rPr>
                <w:rFonts w:eastAsia="Times New Roman"/>
                <w:b/>
                <w:bCs/>
                <w:sz w:val="20"/>
                <w:szCs w:val="20"/>
                <w:lang w:eastAsia="cs-CZ"/>
              </w:rPr>
            </w:pPr>
            <w:r w:rsidRPr="0026695D">
              <w:rPr>
                <w:rFonts w:eastAsia="Times New Roman"/>
                <w:b/>
                <w:bCs/>
                <w:sz w:val="20"/>
                <w:szCs w:val="20"/>
                <w:lang w:eastAsia="cs-CZ"/>
              </w:rPr>
              <w:t>Plochy bydlení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0147AD20" w14:textId="77777777" w:rsidR="00D95A3B" w:rsidRPr="0026695D" w:rsidRDefault="008150F8"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0,230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5C96331"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945" w:type="dxa"/>
            <w:tcBorders>
              <w:top w:val="nil"/>
              <w:left w:val="nil"/>
              <w:bottom w:val="single" w:sz="4" w:space="0" w:color="auto"/>
              <w:right w:val="single" w:sz="4" w:space="0" w:color="auto"/>
            </w:tcBorders>
            <w:shd w:val="clear" w:color="auto" w:fill="C2D69B" w:themeFill="accent3" w:themeFillTint="99"/>
            <w:hideMark/>
          </w:tcPr>
          <w:p w14:paraId="09EF1BFB"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5112E92"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F346E54"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9797DCF"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4DC3A40" w14:textId="77777777" w:rsidR="00D95A3B" w:rsidRPr="0026695D" w:rsidRDefault="008150F8"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0,230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FB3911A"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6D262D8"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026CE7D" w14:textId="77777777" w:rsidR="00D95A3B" w:rsidRPr="0026695D" w:rsidRDefault="008150F8"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0,107</w:t>
            </w:r>
          </w:p>
        </w:tc>
        <w:tc>
          <w:tcPr>
            <w:tcW w:w="779" w:type="dxa"/>
            <w:tcBorders>
              <w:top w:val="nil"/>
              <w:left w:val="nil"/>
              <w:bottom w:val="single" w:sz="4" w:space="0" w:color="auto"/>
              <w:right w:val="single" w:sz="4" w:space="0" w:color="auto"/>
            </w:tcBorders>
            <w:shd w:val="clear" w:color="auto" w:fill="C2D69B" w:themeFill="accent3" w:themeFillTint="99"/>
            <w:hideMark/>
          </w:tcPr>
          <w:p w14:paraId="3BCC58F8" w14:textId="77777777" w:rsidR="00D95A3B" w:rsidRPr="0026695D" w:rsidRDefault="008150F8"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97DE77B" w14:textId="77777777" w:rsidR="00D95A3B" w:rsidRPr="0026695D" w:rsidRDefault="008150F8"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0,123</w:t>
            </w:r>
          </w:p>
        </w:tc>
        <w:tc>
          <w:tcPr>
            <w:tcW w:w="845" w:type="dxa"/>
            <w:tcBorders>
              <w:top w:val="nil"/>
              <w:left w:val="nil"/>
              <w:bottom w:val="single" w:sz="4" w:space="0" w:color="auto"/>
              <w:right w:val="single" w:sz="4" w:space="0" w:color="auto"/>
            </w:tcBorders>
            <w:shd w:val="clear" w:color="auto" w:fill="C2D69B" w:themeFill="accent3" w:themeFillTint="99"/>
            <w:hideMark/>
          </w:tcPr>
          <w:p w14:paraId="5E2614CD"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r>
      <w:tr w:rsidR="00D95A3B" w:rsidRPr="0026695D" w14:paraId="43481B34"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681157E9"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Z76</w:t>
            </w:r>
          </w:p>
        </w:tc>
        <w:tc>
          <w:tcPr>
            <w:tcW w:w="3453" w:type="dxa"/>
            <w:tcBorders>
              <w:top w:val="nil"/>
              <w:left w:val="nil"/>
              <w:bottom w:val="single" w:sz="4" w:space="0" w:color="auto"/>
              <w:right w:val="single" w:sz="4" w:space="0" w:color="auto"/>
            </w:tcBorders>
            <w:shd w:val="clear" w:color="auto" w:fill="auto"/>
            <w:noWrap/>
            <w:hideMark/>
          </w:tcPr>
          <w:p w14:paraId="7C667A28"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hideMark/>
          </w:tcPr>
          <w:p w14:paraId="02693BAF"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1,399</w:t>
            </w:r>
          </w:p>
        </w:tc>
        <w:tc>
          <w:tcPr>
            <w:tcW w:w="779" w:type="dxa"/>
            <w:tcBorders>
              <w:top w:val="nil"/>
              <w:left w:val="nil"/>
              <w:bottom w:val="single" w:sz="4" w:space="0" w:color="auto"/>
              <w:right w:val="single" w:sz="4" w:space="0" w:color="auto"/>
            </w:tcBorders>
            <w:shd w:val="clear" w:color="auto" w:fill="auto"/>
            <w:noWrap/>
            <w:hideMark/>
          </w:tcPr>
          <w:p w14:paraId="1A235276"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hideMark/>
          </w:tcPr>
          <w:p w14:paraId="581F40F3"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20B9114"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0C98E32"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F60FD83"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6EA7344"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1,399</w:t>
            </w:r>
          </w:p>
        </w:tc>
        <w:tc>
          <w:tcPr>
            <w:tcW w:w="779" w:type="dxa"/>
            <w:tcBorders>
              <w:top w:val="nil"/>
              <w:left w:val="nil"/>
              <w:bottom w:val="single" w:sz="4" w:space="0" w:color="auto"/>
              <w:right w:val="single" w:sz="4" w:space="0" w:color="auto"/>
            </w:tcBorders>
            <w:shd w:val="clear" w:color="auto" w:fill="auto"/>
            <w:noWrap/>
            <w:hideMark/>
          </w:tcPr>
          <w:p w14:paraId="0B54C808"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E8A8397"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2E729E6"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1,399</w:t>
            </w:r>
          </w:p>
        </w:tc>
        <w:tc>
          <w:tcPr>
            <w:tcW w:w="779" w:type="dxa"/>
            <w:tcBorders>
              <w:top w:val="nil"/>
              <w:left w:val="nil"/>
              <w:bottom w:val="single" w:sz="4" w:space="0" w:color="auto"/>
              <w:right w:val="single" w:sz="4" w:space="0" w:color="auto"/>
            </w:tcBorders>
            <w:shd w:val="clear" w:color="auto" w:fill="auto"/>
            <w:noWrap/>
            <w:hideMark/>
          </w:tcPr>
          <w:p w14:paraId="693F2190"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5F77651"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7182D591"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r>
      <w:tr w:rsidR="00D95A3B" w:rsidRPr="0026695D" w14:paraId="7EC56A9A"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404879B9"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Z77</w:t>
            </w:r>
          </w:p>
        </w:tc>
        <w:tc>
          <w:tcPr>
            <w:tcW w:w="3453" w:type="dxa"/>
            <w:tcBorders>
              <w:top w:val="nil"/>
              <w:left w:val="nil"/>
              <w:bottom w:val="single" w:sz="4" w:space="0" w:color="auto"/>
              <w:right w:val="single" w:sz="4" w:space="0" w:color="auto"/>
            </w:tcBorders>
            <w:shd w:val="clear" w:color="auto" w:fill="auto"/>
            <w:noWrap/>
            <w:hideMark/>
          </w:tcPr>
          <w:p w14:paraId="37729443"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hideMark/>
          </w:tcPr>
          <w:p w14:paraId="41AE90F4"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0,402</w:t>
            </w:r>
          </w:p>
        </w:tc>
        <w:tc>
          <w:tcPr>
            <w:tcW w:w="779" w:type="dxa"/>
            <w:tcBorders>
              <w:top w:val="nil"/>
              <w:left w:val="nil"/>
              <w:bottom w:val="single" w:sz="4" w:space="0" w:color="auto"/>
              <w:right w:val="single" w:sz="4" w:space="0" w:color="auto"/>
            </w:tcBorders>
            <w:shd w:val="clear" w:color="auto" w:fill="auto"/>
            <w:noWrap/>
            <w:hideMark/>
          </w:tcPr>
          <w:p w14:paraId="60FBA679"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hideMark/>
          </w:tcPr>
          <w:p w14:paraId="312E54E3"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97B55A4"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B9151DD"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0FE6A98"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B4C24DA"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0,402</w:t>
            </w:r>
          </w:p>
        </w:tc>
        <w:tc>
          <w:tcPr>
            <w:tcW w:w="779" w:type="dxa"/>
            <w:tcBorders>
              <w:top w:val="nil"/>
              <w:left w:val="nil"/>
              <w:bottom w:val="single" w:sz="4" w:space="0" w:color="auto"/>
              <w:right w:val="single" w:sz="4" w:space="0" w:color="auto"/>
            </w:tcBorders>
            <w:shd w:val="clear" w:color="auto" w:fill="auto"/>
            <w:noWrap/>
            <w:hideMark/>
          </w:tcPr>
          <w:p w14:paraId="332EC505"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449142E"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0,402</w:t>
            </w:r>
          </w:p>
        </w:tc>
        <w:tc>
          <w:tcPr>
            <w:tcW w:w="779" w:type="dxa"/>
            <w:tcBorders>
              <w:top w:val="nil"/>
              <w:left w:val="nil"/>
              <w:bottom w:val="single" w:sz="4" w:space="0" w:color="auto"/>
              <w:right w:val="single" w:sz="4" w:space="0" w:color="auto"/>
            </w:tcBorders>
            <w:shd w:val="clear" w:color="auto" w:fill="auto"/>
            <w:noWrap/>
            <w:hideMark/>
          </w:tcPr>
          <w:p w14:paraId="2297E781"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898FB95"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FF8540D"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54BD5728"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r>
      <w:tr w:rsidR="00D95A3B" w:rsidRPr="0026695D" w14:paraId="61C161F5"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76978450"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Z78A</w:t>
            </w:r>
          </w:p>
        </w:tc>
        <w:tc>
          <w:tcPr>
            <w:tcW w:w="3453" w:type="dxa"/>
            <w:tcBorders>
              <w:top w:val="nil"/>
              <w:left w:val="nil"/>
              <w:bottom w:val="single" w:sz="4" w:space="0" w:color="auto"/>
              <w:right w:val="single" w:sz="4" w:space="0" w:color="auto"/>
            </w:tcBorders>
            <w:shd w:val="clear" w:color="auto" w:fill="auto"/>
            <w:noWrap/>
            <w:hideMark/>
          </w:tcPr>
          <w:p w14:paraId="2DBBE055"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hideMark/>
          </w:tcPr>
          <w:p w14:paraId="1B99ECAE"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0,272</w:t>
            </w:r>
          </w:p>
        </w:tc>
        <w:tc>
          <w:tcPr>
            <w:tcW w:w="779" w:type="dxa"/>
            <w:tcBorders>
              <w:top w:val="nil"/>
              <w:left w:val="nil"/>
              <w:bottom w:val="single" w:sz="4" w:space="0" w:color="auto"/>
              <w:right w:val="single" w:sz="4" w:space="0" w:color="auto"/>
            </w:tcBorders>
            <w:shd w:val="clear" w:color="auto" w:fill="auto"/>
            <w:noWrap/>
            <w:hideMark/>
          </w:tcPr>
          <w:p w14:paraId="7B1993D8"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hideMark/>
          </w:tcPr>
          <w:p w14:paraId="1F49ADFF"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8A4D219"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61CE758" w14:textId="77777777" w:rsidR="00D95A3B" w:rsidRPr="0026695D" w:rsidRDefault="00D77FFB" w:rsidP="00F32B0C">
            <w:pPr>
              <w:spacing w:before="20" w:after="20" w:line="240" w:lineRule="auto"/>
              <w:jc w:val="right"/>
              <w:rPr>
                <w:rFonts w:eastAsia="Times New Roman"/>
                <w:color w:val="000000"/>
                <w:sz w:val="20"/>
                <w:szCs w:val="20"/>
                <w:lang w:eastAsia="cs-CZ"/>
              </w:rPr>
            </w:pPr>
            <w:r>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DE3E1C6"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A595BB8"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0,272</w:t>
            </w:r>
          </w:p>
        </w:tc>
        <w:tc>
          <w:tcPr>
            <w:tcW w:w="779" w:type="dxa"/>
            <w:tcBorders>
              <w:top w:val="nil"/>
              <w:left w:val="nil"/>
              <w:bottom w:val="single" w:sz="4" w:space="0" w:color="auto"/>
              <w:right w:val="single" w:sz="4" w:space="0" w:color="auto"/>
            </w:tcBorders>
            <w:shd w:val="clear" w:color="auto" w:fill="auto"/>
            <w:noWrap/>
            <w:hideMark/>
          </w:tcPr>
          <w:p w14:paraId="3120862D"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7C82824"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w:t>
            </w:r>
            <w:r w:rsidR="00D77FFB">
              <w:rPr>
                <w:rFonts w:eastAsia="Times New Roman"/>
                <w:color w:val="000000"/>
                <w:sz w:val="20"/>
                <w:szCs w:val="20"/>
                <w:lang w:eastAsia="cs-CZ"/>
              </w:rPr>
              <w:t>,272</w:t>
            </w:r>
          </w:p>
        </w:tc>
        <w:tc>
          <w:tcPr>
            <w:tcW w:w="779" w:type="dxa"/>
            <w:tcBorders>
              <w:top w:val="nil"/>
              <w:left w:val="nil"/>
              <w:bottom w:val="single" w:sz="4" w:space="0" w:color="auto"/>
              <w:right w:val="single" w:sz="4" w:space="0" w:color="auto"/>
            </w:tcBorders>
            <w:shd w:val="clear" w:color="auto" w:fill="auto"/>
            <w:noWrap/>
            <w:hideMark/>
          </w:tcPr>
          <w:p w14:paraId="64B8C4F8"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F693A68"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2F2793B"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4B2190EB"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r>
      <w:tr w:rsidR="00D95A3B" w:rsidRPr="0026695D" w14:paraId="35D18BC7" w14:textId="77777777" w:rsidTr="00A375C3">
        <w:tc>
          <w:tcPr>
            <w:tcW w:w="872" w:type="dxa"/>
            <w:tcBorders>
              <w:top w:val="nil"/>
              <w:left w:val="single" w:sz="4" w:space="0" w:color="auto"/>
              <w:bottom w:val="single" w:sz="4" w:space="0" w:color="auto"/>
              <w:right w:val="single" w:sz="4" w:space="0" w:color="auto"/>
            </w:tcBorders>
            <w:shd w:val="clear" w:color="auto" w:fill="auto"/>
            <w:noWrap/>
          </w:tcPr>
          <w:p w14:paraId="52D7E4FF"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Z78B</w:t>
            </w:r>
          </w:p>
        </w:tc>
        <w:tc>
          <w:tcPr>
            <w:tcW w:w="3453" w:type="dxa"/>
            <w:tcBorders>
              <w:top w:val="nil"/>
              <w:left w:val="nil"/>
              <w:bottom w:val="single" w:sz="4" w:space="0" w:color="auto"/>
              <w:right w:val="single" w:sz="4" w:space="0" w:color="auto"/>
            </w:tcBorders>
            <w:shd w:val="clear" w:color="auto" w:fill="auto"/>
            <w:noWrap/>
          </w:tcPr>
          <w:p w14:paraId="3F78E12E"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tcPr>
          <w:p w14:paraId="1B6373AF"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0,191</w:t>
            </w:r>
          </w:p>
        </w:tc>
        <w:tc>
          <w:tcPr>
            <w:tcW w:w="779" w:type="dxa"/>
            <w:tcBorders>
              <w:top w:val="nil"/>
              <w:left w:val="nil"/>
              <w:bottom w:val="single" w:sz="4" w:space="0" w:color="auto"/>
              <w:right w:val="single" w:sz="4" w:space="0" w:color="auto"/>
            </w:tcBorders>
            <w:shd w:val="clear" w:color="auto" w:fill="auto"/>
            <w:noWrap/>
          </w:tcPr>
          <w:p w14:paraId="5159CF79"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tcPr>
          <w:p w14:paraId="7D79390F"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2E8EE811"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3B699224"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C18513C"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2BF142B0"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0,191</w:t>
            </w:r>
          </w:p>
        </w:tc>
        <w:tc>
          <w:tcPr>
            <w:tcW w:w="779" w:type="dxa"/>
            <w:tcBorders>
              <w:top w:val="nil"/>
              <w:left w:val="nil"/>
              <w:bottom w:val="single" w:sz="4" w:space="0" w:color="auto"/>
              <w:right w:val="single" w:sz="4" w:space="0" w:color="auto"/>
            </w:tcBorders>
            <w:shd w:val="clear" w:color="auto" w:fill="auto"/>
            <w:noWrap/>
          </w:tcPr>
          <w:p w14:paraId="6198363F"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276606B3"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0,191</w:t>
            </w:r>
          </w:p>
        </w:tc>
        <w:tc>
          <w:tcPr>
            <w:tcW w:w="779" w:type="dxa"/>
            <w:tcBorders>
              <w:top w:val="nil"/>
              <w:left w:val="nil"/>
              <w:bottom w:val="single" w:sz="4" w:space="0" w:color="auto"/>
              <w:right w:val="single" w:sz="4" w:space="0" w:color="auto"/>
            </w:tcBorders>
            <w:shd w:val="clear" w:color="auto" w:fill="auto"/>
            <w:noWrap/>
          </w:tcPr>
          <w:p w14:paraId="101BC584"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14750D2E"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69876856"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tcPr>
          <w:p w14:paraId="0ABAA827"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r>
      <w:tr w:rsidR="00D95A3B" w:rsidRPr="0026695D" w14:paraId="1397B6F0"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42EC2031"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Z79</w:t>
            </w:r>
          </w:p>
        </w:tc>
        <w:tc>
          <w:tcPr>
            <w:tcW w:w="3453" w:type="dxa"/>
            <w:tcBorders>
              <w:top w:val="nil"/>
              <w:left w:val="nil"/>
              <w:bottom w:val="single" w:sz="4" w:space="0" w:color="auto"/>
              <w:right w:val="single" w:sz="4" w:space="0" w:color="auto"/>
            </w:tcBorders>
            <w:shd w:val="clear" w:color="auto" w:fill="auto"/>
            <w:noWrap/>
            <w:hideMark/>
          </w:tcPr>
          <w:p w14:paraId="779BDBE7" w14:textId="77777777" w:rsidR="00D95A3B" w:rsidRPr="0026695D"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hideMark/>
          </w:tcPr>
          <w:p w14:paraId="31502089"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0,538</w:t>
            </w:r>
          </w:p>
        </w:tc>
        <w:tc>
          <w:tcPr>
            <w:tcW w:w="779" w:type="dxa"/>
            <w:tcBorders>
              <w:top w:val="nil"/>
              <w:left w:val="nil"/>
              <w:bottom w:val="single" w:sz="4" w:space="0" w:color="auto"/>
              <w:right w:val="single" w:sz="4" w:space="0" w:color="auto"/>
            </w:tcBorders>
            <w:shd w:val="clear" w:color="auto" w:fill="auto"/>
            <w:noWrap/>
            <w:hideMark/>
          </w:tcPr>
          <w:p w14:paraId="69FCE5BC"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hideMark/>
          </w:tcPr>
          <w:p w14:paraId="26063F74"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8BD1D08"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A0F9837"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34F6DCA"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933C93B"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0,538</w:t>
            </w:r>
          </w:p>
        </w:tc>
        <w:tc>
          <w:tcPr>
            <w:tcW w:w="779" w:type="dxa"/>
            <w:tcBorders>
              <w:top w:val="nil"/>
              <w:left w:val="nil"/>
              <w:bottom w:val="single" w:sz="4" w:space="0" w:color="auto"/>
              <w:right w:val="single" w:sz="4" w:space="0" w:color="auto"/>
            </w:tcBorders>
            <w:shd w:val="clear" w:color="auto" w:fill="auto"/>
            <w:noWrap/>
            <w:hideMark/>
          </w:tcPr>
          <w:p w14:paraId="62BBB72C"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66EEB8C" w14:textId="77777777" w:rsidR="00D95A3B" w:rsidRPr="0026695D" w:rsidRDefault="008505DA"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0,538</w:t>
            </w:r>
          </w:p>
        </w:tc>
        <w:tc>
          <w:tcPr>
            <w:tcW w:w="779" w:type="dxa"/>
            <w:tcBorders>
              <w:top w:val="nil"/>
              <w:left w:val="nil"/>
              <w:bottom w:val="single" w:sz="4" w:space="0" w:color="auto"/>
              <w:right w:val="single" w:sz="4" w:space="0" w:color="auto"/>
            </w:tcBorders>
            <w:shd w:val="clear" w:color="auto" w:fill="auto"/>
            <w:noWrap/>
            <w:hideMark/>
          </w:tcPr>
          <w:p w14:paraId="784F4E85"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5843D67"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D346047" w14:textId="77777777" w:rsidR="00D95A3B" w:rsidRPr="0026695D" w:rsidRDefault="00544446" w:rsidP="00F32B0C">
            <w:pPr>
              <w:spacing w:before="20" w:after="20" w:line="240" w:lineRule="auto"/>
              <w:jc w:val="right"/>
              <w:rPr>
                <w:rFonts w:eastAsia="Times New Roman"/>
                <w:color w:val="000000"/>
                <w:sz w:val="20"/>
                <w:szCs w:val="20"/>
                <w:lang w:eastAsia="cs-CZ"/>
              </w:rPr>
            </w:pPr>
            <w:r>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2D5E3EB0" w14:textId="77777777" w:rsidR="00D95A3B" w:rsidRPr="0026695D" w:rsidRDefault="00D95A3B" w:rsidP="00F32B0C">
            <w:pPr>
              <w:spacing w:before="20" w:after="20" w:line="240" w:lineRule="auto"/>
              <w:jc w:val="right"/>
              <w:rPr>
                <w:rFonts w:eastAsia="Times New Roman"/>
                <w:color w:val="000000"/>
                <w:sz w:val="20"/>
                <w:szCs w:val="20"/>
                <w:lang w:eastAsia="cs-CZ"/>
              </w:rPr>
            </w:pPr>
            <w:r w:rsidRPr="0026695D">
              <w:rPr>
                <w:rFonts w:eastAsia="Times New Roman"/>
                <w:color w:val="000000"/>
                <w:sz w:val="20"/>
                <w:szCs w:val="20"/>
                <w:lang w:eastAsia="cs-CZ"/>
              </w:rPr>
              <w:t>0,000</w:t>
            </w:r>
          </w:p>
        </w:tc>
      </w:tr>
      <w:tr w:rsidR="00D95A3B" w:rsidRPr="0026695D" w:rsidDel="00902FB4" w14:paraId="11FF83E9" w14:textId="77777777" w:rsidTr="00A375C3">
        <w:tc>
          <w:tcPr>
            <w:tcW w:w="872" w:type="dxa"/>
            <w:tcBorders>
              <w:top w:val="nil"/>
              <w:left w:val="single" w:sz="4" w:space="0" w:color="auto"/>
              <w:bottom w:val="single" w:sz="4" w:space="0" w:color="auto"/>
              <w:right w:val="single" w:sz="4" w:space="0" w:color="auto"/>
            </w:tcBorders>
            <w:shd w:val="clear" w:color="auto" w:fill="auto"/>
            <w:noWrap/>
          </w:tcPr>
          <w:p w14:paraId="3E51D63A" w14:textId="77777777" w:rsidR="00D95A3B" w:rsidRPr="0026695D" w:rsidDel="00902FB4"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Z105</w:t>
            </w:r>
          </w:p>
        </w:tc>
        <w:tc>
          <w:tcPr>
            <w:tcW w:w="3453" w:type="dxa"/>
            <w:tcBorders>
              <w:top w:val="nil"/>
              <w:left w:val="nil"/>
              <w:bottom w:val="single" w:sz="4" w:space="0" w:color="auto"/>
              <w:right w:val="single" w:sz="4" w:space="0" w:color="auto"/>
            </w:tcBorders>
            <w:shd w:val="clear" w:color="auto" w:fill="auto"/>
            <w:noWrap/>
          </w:tcPr>
          <w:p w14:paraId="64943C05" w14:textId="77777777" w:rsidR="00D95A3B" w:rsidRPr="0026695D" w:rsidDel="00902FB4" w:rsidRDefault="00D95A3B" w:rsidP="00F32B0C">
            <w:pPr>
              <w:spacing w:before="20" w:after="20" w:line="240" w:lineRule="auto"/>
              <w:jc w:val="left"/>
              <w:rPr>
                <w:rFonts w:eastAsia="Times New Roman"/>
                <w:color w:val="000000"/>
                <w:sz w:val="20"/>
                <w:szCs w:val="20"/>
                <w:lang w:eastAsia="cs-CZ"/>
              </w:rPr>
            </w:pPr>
            <w:r w:rsidRPr="002669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tcPr>
          <w:p w14:paraId="25CF7A90" w14:textId="77777777" w:rsidR="00D95A3B" w:rsidRPr="0026695D" w:rsidDel="00902FB4" w:rsidRDefault="00461295" w:rsidP="00F32B0C">
            <w:pPr>
              <w:spacing w:before="20" w:after="20" w:line="240" w:lineRule="auto"/>
              <w:jc w:val="right"/>
              <w:rPr>
                <w:rFonts w:eastAsia="Times New Roman"/>
                <w:color w:val="000000"/>
                <w:sz w:val="20"/>
                <w:szCs w:val="20"/>
                <w:lang w:eastAsia="cs-CZ"/>
              </w:rPr>
            </w:pPr>
            <w:r>
              <w:rPr>
                <w:rFonts w:eastAsia="Times New Roman"/>
                <w:sz w:val="20"/>
                <w:szCs w:val="20"/>
                <w:lang w:eastAsia="cs-CZ"/>
              </w:rPr>
              <w:t>0,917</w:t>
            </w:r>
          </w:p>
        </w:tc>
        <w:tc>
          <w:tcPr>
            <w:tcW w:w="779" w:type="dxa"/>
            <w:tcBorders>
              <w:top w:val="nil"/>
              <w:left w:val="nil"/>
              <w:bottom w:val="single" w:sz="4" w:space="0" w:color="auto"/>
              <w:right w:val="single" w:sz="4" w:space="0" w:color="auto"/>
            </w:tcBorders>
            <w:shd w:val="clear" w:color="auto" w:fill="auto"/>
            <w:noWrap/>
          </w:tcPr>
          <w:p w14:paraId="239DABA0"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0,837</w:t>
            </w:r>
          </w:p>
        </w:tc>
        <w:tc>
          <w:tcPr>
            <w:tcW w:w="945" w:type="dxa"/>
            <w:tcBorders>
              <w:top w:val="nil"/>
              <w:left w:val="nil"/>
              <w:bottom w:val="single" w:sz="4" w:space="0" w:color="auto"/>
              <w:right w:val="single" w:sz="4" w:space="0" w:color="auto"/>
            </w:tcBorders>
            <w:shd w:val="clear" w:color="auto" w:fill="auto"/>
            <w:noWrap/>
          </w:tcPr>
          <w:p w14:paraId="72CDCD46"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C48E074"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72D79CE0"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4AA3C4D"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21D84ACA"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0,079</w:t>
            </w:r>
          </w:p>
        </w:tc>
        <w:tc>
          <w:tcPr>
            <w:tcW w:w="779" w:type="dxa"/>
            <w:tcBorders>
              <w:top w:val="nil"/>
              <w:left w:val="nil"/>
              <w:bottom w:val="single" w:sz="4" w:space="0" w:color="auto"/>
              <w:right w:val="single" w:sz="4" w:space="0" w:color="auto"/>
            </w:tcBorders>
            <w:shd w:val="clear" w:color="auto" w:fill="auto"/>
            <w:noWrap/>
          </w:tcPr>
          <w:p w14:paraId="01B9E1AE"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3138FD3" w14:textId="77777777" w:rsidR="00D95A3B" w:rsidRPr="0026695D" w:rsidDel="00902FB4" w:rsidRDefault="00461295" w:rsidP="00F32B0C">
            <w:pPr>
              <w:spacing w:before="20" w:after="20" w:line="240" w:lineRule="auto"/>
              <w:jc w:val="right"/>
              <w:rPr>
                <w:rFonts w:eastAsia="Times New Roman"/>
                <w:color w:val="000000"/>
                <w:sz w:val="20"/>
                <w:szCs w:val="20"/>
                <w:lang w:eastAsia="cs-CZ"/>
              </w:rPr>
            </w:pPr>
            <w:r>
              <w:rPr>
                <w:rFonts w:eastAsia="Times New Roman"/>
                <w:sz w:val="20"/>
                <w:szCs w:val="20"/>
                <w:lang w:eastAsia="cs-CZ"/>
              </w:rPr>
              <w:t>0,917</w:t>
            </w:r>
          </w:p>
        </w:tc>
        <w:tc>
          <w:tcPr>
            <w:tcW w:w="779" w:type="dxa"/>
            <w:tcBorders>
              <w:top w:val="nil"/>
              <w:left w:val="nil"/>
              <w:bottom w:val="single" w:sz="4" w:space="0" w:color="auto"/>
              <w:right w:val="single" w:sz="4" w:space="0" w:color="auto"/>
            </w:tcBorders>
            <w:shd w:val="clear" w:color="auto" w:fill="auto"/>
            <w:noWrap/>
          </w:tcPr>
          <w:p w14:paraId="308173AA"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713EFB59"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183D872F"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noWrap/>
          </w:tcPr>
          <w:p w14:paraId="0B77E7AD" w14:textId="77777777" w:rsidR="00D95A3B" w:rsidRPr="0026695D" w:rsidDel="00902FB4" w:rsidRDefault="008505DA" w:rsidP="00F32B0C">
            <w:pPr>
              <w:spacing w:before="20" w:after="20" w:line="240" w:lineRule="auto"/>
              <w:jc w:val="right"/>
              <w:rPr>
                <w:rFonts w:eastAsia="Times New Roman"/>
                <w:color w:val="000000"/>
                <w:sz w:val="20"/>
                <w:szCs w:val="20"/>
                <w:lang w:eastAsia="cs-CZ"/>
              </w:rPr>
            </w:pPr>
            <w:r w:rsidRPr="0026695D">
              <w:rPr>
                <w:rFonts w:eastAsia="Times New Roman"/>
                <w:sz w:val="20"/>
                <w:szCs w:val="20"/>
                <w:lang w:eastAsia="cs-CZ"/>
              </w:rPr>
              <w:t>0,000</w:t>
            </w:r>
          </w:p>
        </w:tc>
      </w:tr>
      <w:tr w:rsidR="00D95A3B" w:rsidRPr="0026695D" w14:paraId="4C11D5EA"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12742DA1" w14:textId="77777777" w:rsidR="00D95A3B" w:rsidRPr="0026695D" w:rsidRDefault="00D95A3B" w:rsidP="00F32B0C">
            <w:pPr>
              <w:spacing w:before="20" w:after="20" w:line="240" w:lineRule="auto"/>
              <w:jc w:val="left"/>
              <w:rPr>
                <w:rFonts w:eastAsia="Times New Roman"/>
                <w:b/>
                <w:bCs/>
                <w:sz w:val="20"/>
                <w:szCs w:val="20"/>
                <w:lang w:eastAsia="cs-CZ"/>
              </w:rPr>
            </w:pPr>
            <w:r w:rsidRPr="0026695D">
              <w:rPr>
                <w:rFonts w:eastAsia="Times New Roman"/>
                <w:b/>
                <w:bCs/>
                <w:sz w:val="20"/>
                <w:szCs w:val="20"/>
                <w:lang w:eastAsia="cs-CZ"/>
              </w:rPr>
              <w:t>Plochy smíšené obytné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0E0744DF" w14:textId="77777777" w:rsidR="00D95A3B" w:rsidRPr="0026695D" w:rsidRDefault="0026695D"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3,896</w:t>
            </w:r>
          </w:p>
        </w:tc>
        <w:tc>
          <w:tcPr>
            <w:tcW w:w="779" w:type="dxa"/>
            <w:tcBorders>
              <w:top w:val="nil"/>
              <w:left w:val="nil"/>
              <w:bottom w:val="single" w:sz="4" w:space="0" w:color="auto"/>
              <w:right w:val="single" w:sz="4" w:space="0" w:color="auto"/>
            </w:tcBorders>
            <w:shd w:val="clear" w:color="auto" w:fill="C2D69B" w:themeFill="accent3" w:themeFillTint="99"/>
            <w:hideMark/>
          </w:tcPr>
          <w:p w14:paraId="47E9C826" w14:textId="77777777" w:rsidR="00D95A3B" w:rsidRPr="0026695D" w:rsidRDefault="0026695D"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0,837</w:t>
            </w:r>
          </w:p>
        </w:tc>
        <w:tc>
          <w:tcPr>
            <w:tcW w:w="945" w:type="dxa"/>
            <w:tcBorders>
              <w:top w:val="nil"/>
              <w:left w:val="nil"/>
              <w:bottom w:val="single" w:sz="4" w:space="0" w:color="auto"/>
              <w:right w:val="single" w:sz="4" w:space="0" w:color="auto"/>
            </w:tcBorders>
            <w:shd w:val="clear" w:color="auto" w:fill="C2D69B" w:themeFill="accent3" w:themeFillTint="99"/>
            <w:hideMark/>
          </w:tcPr>
          <w:p w14:paraId="6EB028ED"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71F051B"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C13C422" w14:textId="77777777" w:rsidR="00D95A3B" w:rsidRPr="0026695D" w:rsidRDefault="00D77FFB"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D5838C6"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C86D779" w14:textId="77777777" w:rsidR="00D95A3B" w:rsidRPr="0026695D" w:rsidRDefault="0026695D"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2,881</w:t>
            </w:r>
          </w:p>
        </w:tc>
        <w:tc>
          <w:tcPr>
            <w:tcW w:w="779" w:type="dxa"/>
            <w:tcBorders>
              <w:top w:val="nil"/>
              <w:left w:val="nil"/>
              <w:bottom w:val="single" w:sz="4" w:space="0" w:color="auto"/>
              <w:right w:val="single" w:sz="4" w:space="0" w:color="auto"/>
            </w:tcBorders>
            <w:shd w:val="clear" w:color="auto" w:fill="C2D69B" w:themeFill="accent3" w:themeFillTint="99"/>
            <w:hideMark/>
          </w:tcPr>
          <w:p w14:paraId="3C052B1A"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D535EBC" w14:textId="77777777" w:rsidR="00D95A3B" w:rsidRPr="0026695D" w:rsidRDefault="00461295"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2,320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266276A"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1,399</w:t>
            </w:r>
          </w:p>
        </w:tc>
        <w:tc>
          <w:tcPr>
            <w:tcW w:w="779" w:type="dxa"/>
            <w:tcBorders>
              <w:top w:val="nil"/>
              <w:left w:val="nil"/>
              <w:bottom w:val="single" w:sz="4" w:space="0" w:color="auto"/>
              <w:right w:val="single" w:sz="4" w:space="0" w:color="auto"/>
            </w:tcBorders>
            <w:shd w:val="clear" w:color="auto" w:fill="C2D69B" w:themeFill="accent3" w:themeFillTint="99"/>
            <w:hideMark/>
          </w:tcPr>
          <w:p w14:paraId="5402F489"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06BFC52" w14:textId="77777777" w:rsidR="00D95A3B" w:rsidRPr="0026695D" w:rsidRDefault="00544446" w:rsidP="00544446">
            <w:pPr>
              <w:spacing w:before="20" w:after="20" w:line="240" w:lineRule="auto"/>
              <w:jc w:val="right"/>
              <w:rPr>
                <w:rFonts w:eastAsia="Times New Roman"/>
                <w:b/>
                <w:bCs/>
                <w:sz w:val="20"/>
                <w:szCs w:val="20"/>
                <w:lang w:eastAsia="cs-CZ"/>
              </w:rPr>
            </w:pPr>
            <w:r>
              <w:rPr>
                <w:rFonts w:eastAsia="Times New Roman"/>
                <w:b/>
                <w:bCs/>
                <w:sz w:val="20"/>
                <w:szCs w:val="20"/>
                <w:lang w:eastAsia="cs-CZ"/>
              </w:rPr>
              <w:t xml:space="preserve"> 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19BB9362" w14:textId="77777777" w:rsidR="00D95A3B" w:rsidRPr="0026695D" w:rsidRDefault="00D95A3B" w:rsidP="00F32B0C">
            <w:pPr>
              <w:spacing w:before="20" w:after="20" w:line="240" w:lineRule="auto"/>
              <w:jc w:val="right"/>
              <w:rPr>
                <w:rFonts w:eastAsia="Times New Roman"/>
                <w:b/>
                <w:bCs/>
                <w:sz w:val="20"/>
                <w:szCs w:val="20"/>
                <w:lang w:eastAsia="cs-CZ"/>
              </w:rPr>
            </w:pPr>
            <w:r w:rsidRPr="0026695D">
              <w:rPr>
                <w:rFonts w:eastAsia="Times New Roman"/>
                <w:b/>
                <w:bCs/>
                <w:sz w:val="20"/>
                <w:szCs w:val="20"/>
                <w:lang w:eastAsia="cs-CZ"/>
              </w:rPr>
              <w:t>0,000</w:t>
            </w:r>
          </w:p>
        </w:tc>
      </w:tr>
      <w:tr w:rsidR="00D95A3B" w:rsidRPr="00461C16" w14:paraId="54F642FD"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63485E81" w14:textId="77777777" w:rsidR="00D95A3B" w:rsidRPr="0026695D" w:rsidRDefault="00D95A3B" w:rsidP="00F32B0C">
            <w:pPr>
              <w:spacing w:before="20" w:after="20" w:line="240" w:lineRule="auto"/>
              <w:jc w:val="left"/>
              <w:rPr>
                <w:rFonts w:eastAsia="Times New Roman"/>
                <w:b/>
                <w:bCs/>
                <w:color w:val="FFFFFF"/>
                <w:sz w:val="20"/>
                <w:szCs w:val="20"/>
                <w:lang w:eastAsia="cs-CZ"/>
              </w:rPr>
            </w:pPr>
            <w:r w:rsidRPr="0026695D">
              <w:rPr>
                <w:rFonts w:eastAsia="Times New Roman"/>
                <w:b/>
                <w:bCs/>
                <w:color w:val="FFFFFF"/>
                <w:sz w:val="20"/>
                <w:szCs w:val="20"/>
                <w:lang w:eastAsia="cs-CZ"/>
              </w:rPr>
              <w:t>K.Ú. DOLNÍ SEDLO - ZÁBOR ZPF CELKEM</w:t>
            </w:r>
          </w:p>
        </w:tc>
        <w:tc>
          <w:tcPr>
            <w:tcW w:w="779" w:type="dxa"/>
            <w:tcBorders>
              <w:top w:val="nil"/>
              <w:left w:val="nil"/>
              <w:bottom w:val="single" w:sz="4" w:space="0" w:color="auto"/>
              <w:right w:val="single" w:sz="4" w:space="0" w:color="auto"/>
            </w:tcBorders>
            <w:shd w:val="clear" w:color="auto" w:fill="76923C" w:themeFill="accent3" w:themeFillShade="BF"/>
            <w:hideMark/>
          </w:tcPr>
          <w:p w14:paraId="6A5E554D" w14:textId="77777777" w:rsidR="00D95A3B" w:rsidRPr="0026695D" w:rsidRDefault="00461295"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3,949</w:t>
            </w:r>
          </w:p>
        </w:tc>
        <w:tc>
          <w:tcPr>
            <w:tcW w:w="779" w:type="dxa"/>
            <w:tcBorders>
              <w:top w:val="nil"/>
              <w:left w:val="nil"/>
              <w:bottom w:val="single" w:sz="4" w:space="0" w:color="auto"/>
              <w:right w:val="single" w:sz="4" w:space="0" w:color="auto"/>
            </w:tcBorders>
            <w:shd w:val="clear" w:color="auto" w:fill="76923C" w:themeFill="accent3" w:themeFillShade="BF"/>
            <w:hideMark/>
          </w:tcPr>
          <w:p w14:paraId="3FFB4E07" w14:textId="77777777" w:rsidR="00D95A3B" w:rsidRPr="0026695D" w:rsidRDefault="0026695D"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0,837</w:t>
            </w:r>
          </w:p>
        </w:tc>
        <w:tc>
          <w:tcPr>
            <w:tcW w:w="945" w:type="dxa"/>
            <w:tcBorders>
              <w:top w:val="nil"/>
              <w:left w:val="nil"/>
              <w:bottom w:val="single" w:sz="4" w:space="0" w:color="auto"/>
              <w:right w:val="single" w:sz="4" w:space="0" w:color="auto"/>
            </w:tcBorders>
            <w:shd w:val="clear" w:color="auto" w:fill="76923C" w:themeFill="accent3" w:themeFillShade="BF"/>
            <w:hideMark/>
          </w:tcPr>
          <w:p w14:paraId="26ED4154" w14:textId="77777777" w:rsidR="00D95A3B" w:rsidRPr="0026695D" w:rsidRDefault="00D95A3B" w:rsidP="00F32B0C">
            <w:pPr>
              <w:spacing w:before="20" w:after="20" w:line="240" w:lineRule="auto"/>
              <w:jc w:val="right"/>
              <w:rPr>
                <w:rFonts w:eastAsia="Times New Roman"/>
                <w:b/>
                <w:bCs/>
                <w:color w:val="FFFFFF"/>
                <w:sz w:val="20"/>
                <w:szCs w:val="20"/>
                <w:lang w:eastAsia="cs-CZ"/>
              </w:rPr>
            </w:pPr>
            <w:r w:rsidRPr="0026695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76F004BC" w14:textId="77777777" w:rsidR="00D95A3B" w:rsidRPr="0026695D" w:rsidRDefault="00D95A3B" w:rsidP="00F32B0C">
            <w:pPr>
              <w:spacing w:before="20" w:after="20" w:line="240" w:lineRule="auto"/>
              <w:jc w:val="right"/>
              <w:rPr>
                <w:rFonts w:eastAsia="Times New Roman"/>
                <w:b/>
                <w:bCs/>
                <w:color w:val="FFFFFF"/>
                <w:sz w:val="20"/>
                <w:szCs w:val="20"/>
                <w:lang w:eastAsia="cs-CZ"/>
              </w:rPr>
            </w:pPr>
            <w:r w:rsidRPr="0026695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70F29C9A" w14:textId="77777777" w:rsidR="00D95A3B" w:rsidRPr="0026695D" w:rsidRDefault="00D77FFB"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266EA6F9" w14:textId="77777777" w:rsidR="00D95A3B" w:rsidRPr="0026695D" w:rsidRDefault="00D95A3B" w:rsidP="00F32B0C">
            <w:pPr>
              <w:spacing w:before="20" w:after="20" w:line="240" w:lineRule="auto"/>
              <w:jc w:val="right"/>
              <w:rPr>
                <w:rFonts w:eastAsia="Times New Roman"/>
                <w:b/>
                <w:bCs/>
                <w:color w:val="FFFFFF"/>
                <w:sz w:val="20"/>
                <w:szCs w:val="20"/>
                <w:lang w:eastAsia="cs-CZ"/>
              </w:rPr>
            </w:pPr>
            <w:r w:rsidRPr="0026695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7E086F00" w14:textId="77777777" w:rsidR="00D95A3B" w:rsidRPr="0026695D" w:rsidRDefault="0026695D"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3,111</w:t>
            </w:r>
          </w:p>
        </w:tc>
        <w:tc>
          <w:tcPr>
            <w:tcW w:w="779" w:type="dxa"/>
            <w:tcBorders>
              <w:top w:val="nil"/>
              <w:left w:val="nil"/>
              <w:bottom w:val="single" w:sz="4" w:space="0" w:color="auto"/>
              <w:right w:val="single" w:sz="4" w:space="0" w:color="auto"/>
            </w:tcBorders>
            <w:shd w:val="clear" w:color="auto" w:fill="76923C" w:themeFill="accent3" w:themeFillShade="BF"/>
            <w:hideMark/>
          </w:tcPr>
          <w:p w14:paraId="24975D52" w14:textId="77777777" w:rsidR="00D95A3B" w:rsidRPr="0026695D" w:rsidRDefault="00D95A3B" w:rsidP="00F32B0C">
            <w:pPr>
              <w:spacing w:before="20" w:after="20" w:line="240" w:lineRule="auto"/>
              <w:jc w:val="right"/>
              <w:rPr>
                <w:rFonts w:eastAsia="Times New Roman"/>
                <w:b/>
                <w:bCs/>
                <w:color w:val="FFFFFF"/>
                <w:sz w:val="20"/>
                <w:szCs w:val="20"/>
                <w:lang w:eastAsia="cs-CZ"/>
              </w:rPr>
            </w:pPr>
            <w:r w:rsidRPr="0026695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5DE3D240" w14:textId="77777777" w:rsidR="00D95A3B" w:rsidRPr="0026695D" w:rsidRDefault="00461295"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2,320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0805DBB0" w14:textId="77777777" w:rsidR="00D95A3B" w:rsidRPr="0026695D" w:rsidRDefault="0026695D"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1,506</w:t>
            </w:r>
          </w:p>
        </w:tc>
        <w:tc>
          <w:tcPr>
            <w:tcW w:w="779" w:type="dxa"/>
            <w:tcBorders>
              <w:top w:val="nil"/>
              <w:left w:val="nil"/>
              <w:bottom w:val="single" w:sz="4" w:space="0" w:color="auto"/>
              <w:right w:val="single" w:sz="4" w:space="0" w:color="auto"/>
            </w:tcBorders>
            <w:shd w:val="clear" w:color="auto" w:fill="76923C" w:themeFill="accent3" w:themeFillShade="BF"/>
            <w:hideMark/>
          </w:tcPr>
          <w:p w14:paraId="63C99AC5" w14:textId="77777777" w:rsidR="00D95A3B" w:rsidRPr="0026695D" w:rsidRDefault="0026695D"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48435B5F" w14:textId="77777777" w:rsidR="00D95A3B" w:rsidRPr="0026695D" w:rsidRDefault="00544446" w:rsidP="00544446">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 xml:space="preserve"> 0,123</w:t>
            </w:r>
          </w:p>
        </w:tc>
        <w:tc>
          <w:tcPr>
            <w:tcW w:w="845" w:type="dxa"/>
            <w:tcBorders>
              <w:top w:val="nil"/>
              <w:left w:val="nil"/>
              <w:bottom w:val="single" w:sz="4" w:space="0" w:color="auto"/>
              <w:right w:val="single" w:sz="4" w:space="0" w:color="auto"/>
            </w:tcBorders>
            <w:shd w:val="clear" w:color="auto" w:fill="76923C" w:themeFill="accent3" w:themeFillShade="BF"/>
            <w:hideMark/>
          </w:tcPr>
          <w:p w14:paraId="5B152340" w14:textId="77777777" w:rsidR="00D95A3B" w:rsidRPr="0026695D" w:rsidRDefault="00D95A3B" w:rsidP="00F32B0C">
            <w:pPr>
              <w:spacing w:before="20" w:after="20" w:line="240" w:lineRule="auto"/>
              <w:jc w:val="right"/>
              <w:rPr>
                <w:rFonts w:eastAsia="Times New Roman"/>
                <w:b/>
                <w:bCs/>
                <w:color w:val="FFFFFF"/>
                <w:sz w:val="20"/>
                <w:szCs w:val="20"/>
                <w:lang w:eastAsia="cs-CZ"/>
              </w:rPr>
            </w:pPr>
            <w:r w:rsidRPr="0026695D">
              <w:rPr>
                <w:rFonts w:eastAsia="Times New Roman"/>
                <w:b/>
                <w:bCs/>
                <w:color w:val="FFFFFF"/>
                <w:sz w:val="20"/>
                <w:szCs w:val="20"/>
                <w:lang w:eastAsia="cs-CZ"/>
              </w:rPr>
              <w:t>0,000</w:t>
            </w:r>
          </w:p>
        </w:tc>
      </w:tr>
    </w:tbl>
    <w:p w14:paraId="0674BD9A" w14:textId="77777777" w:rsidR="00F32B0C" w:rsidRPr="00461C16" w:rsidRDefault="00F32B0C">
      <w:r w:rsidRPr="00461C16">
        <w:br w:type="page"/>
      </w:r>
    </w:p>
    <w:tbl>
      <w:tblPr>
        <w:tblW w:w="14684" w:type="dxa"/>
        <w:tblInd w:w="-213" w:type="dxa"/>
        <w:tblCellMar>
          <w:left w:w="70" w:type="dxa"/>
          <w:right w:w="70" w:type="dxa"/>
        </w:tblCellMar>
        <w:tblLook w:val="04A0" w:firstRow="1" w:lastRow="0" w:firstColumn="1" w:lastColumn="0" w:noHBand="0" w:noVBand="1"/>
      </w:tblPr>
      <w:tblGrid>
        <w:gridCol w:w="872"/>
        <w:gridCol w:w="3453"/>
        <w:gridCol w:w="779"/>
        <w:gridCol w:w="779"/>
        <w:gridCol w:w="945"/>
        <w:gridCol w:w="779"/>
        <w:gridCol w:w="779"/>
        <w:gridCol w:w="779"/>
        <w:gridCol w:w="779"/>
        <w:gridCol w:w="779"/>
        <w:gridCol w:w="779"/>
        <w:gridCol w:w="779"/>
        <w:gridCol w:w="779"/>
        <w:gridCol w:w="779"/>
        <w:gridCol w:w="845"/>
      </w:tblGrid>
      <w:tr w:rsidR="00F32B0C" w:rsidRPr="00461C16" w14:paraId="0D4774D9" w14:textId="77777777" w:rsidTr="00F32B0C">
        <w:tc>
          <w:tcPr>
            <w:tcW w:w="14684" w:type="dxa"/>
            <w:gridSpan w:val="15"/>
            <w:tcBorders>
              <w:top w:val="single" w:sz="4" w:space="0" w:color="auto"/>
              <w:left w:val="single" w:sz="4" w:space="0" w:color="auto"/>
              <w:bottom w:val="single" w:sz="4" w:space="0" w:color="auto"/>
              <w:right w:val="single" w:sz="4" w:space="0" w:color="000000"/>
            </w:tcBorders>
            <w:shd w:val="clear" w:color="auto" w:fill="76923C" w:themeFill="accent3" w:themeFillShade="BF"/>
            <w:vAlign w:val="center"/>
            <w:hideMark/>
          </w:tcPr>
          <w:p w14:paraId="479A80AE" w14:textId="77777777" w:rsidR="00F32B0C" w:rsidRPr="00461C16" w:rsidRDefault="00F32B0C" w:rsidP="00F32B0C">
            <w:pPr>
              <w:spacing w:before="20" w:after="20" w:line="240" w:lineRule="auto"/>
              <w:jc w:val="left"/>
              <w:rPr>
                <w:rFonts w:eastAsia="Times New Roman"/>
                <w:b/>
                <w:bCs/>
                <w:color w:val="FFFFFF"/>
                <w:sz w:val="20"/>
                <w:szCs w:val="20"/>
                <w:lang w:eastAsia="cs-CZ"/>
              </w:rPr>
            </w:pPr>
            <w:r w:rsidRPr="00461C16">
              <w:rPr>
                <w:rFonts w:eastAsia="Times New Roman"/>
                <w:b/>
                <w:bCs/>
                <w:color w:val="FFFFFF"/>
                <w:sz w:val="20"/>
                <w:szCs w:val="20"/>
                <w:lang w:eastAsia="cs-CZ"/>
              </w:rPr>
              <w:lastRenderedPageBreak/>
              <w:t>KATASTRÁLNÍ ÚZEMÍ DOLNÍ SUCHÁ U CHOTYNĚ</w:t>
            </w:r>
          </w:p>
        </w:tc>
      </w:tr>
      <w:tr w:rsidR="00F32B0C" w:rsidRPr="00461C16" w14:paraId="1551628E" w14:textId="77777777" w:rsidTr="00F32B0C">
        <w:trPr>
          <w:tblHeader/>
        </w:trPr>
        <w:tc>
          <w:tcPr>
            <w:tcW w:w="872"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095A4FF3" w14:textId="77777777" w:rsidR="00F32B0C" w:rsidRPr="00461C16" w:rsidRDefault="00F32B0C" w:rsidP="00F32B0C">
            <w:pPr>
              <w:spacing w:before="20" w:after="20" w:line="240" w:lineRule="auto"/>
              <w:jc w:val="left"/>
              <w:rPr>
                <w:rFonts w:eastAsia="Times New Roman"/>
                <w:b/>
                <w:bCs/>
                <w:sz w:val="20"/>
                <w:szCs w:val="20"/>
                <w:lang w:eastAsia="cs-CZ"/>
              </w:rPr>
            </w:pPr>
            <w:r w:rsidRPr="00461C16">
              <w:rPr>
                <w:rFonts w:eastAsia="Times New Roman"/>
                <w:b/>
                <w:bCs/>
                <w:sz w:val="20"/>
                <w:szCs w:val="20"/>
                <w:lang w:eastAsia="cs-CZ"/>
              </w:rPr>
              <w:t>Označení plochy</w:t>
            </w:r>
          </w:p>
        </w:tc>
        <w:tc>
          <w:tcPr>
            <w:tcW w:w="3453"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68B9C9B5" w14:textId="77777777" w:rsidR="00F32B0C" w:rsidRPr="00461C16" w:rsidRDefault="00F32B0C" w:rsidP="00F32B0C">
            <w:pPr>
              <w:spacing w:before="20" w:after="20" w:line="240" w:lineRule="auto"/>
              <w:jc w:val="left"/>
              <w:rPr>
                <w:rFonts w:eastAsia="Times New Roman"/>
                <w:b/>
                <w:bCs/>
                <w:sz w:val="20"/>
                <w:szCs w:val="20"/>
                <w:lang w:eastAsia="cs-CZ"/>
              </w:rPr>
            </w:pPr>
            <w:r w:rsidRPr="00461C16">
              <w:rPr>
                <w:rFonts w:eastAsia="Times New Roman"/>
                <w:b/>
                <w:bCs/>
                <w:sz w:val="20"/>
                <w:szCs w:val="20"/>
                <w:lang w:eastAsia="cs-CZ"/>
              </w:rPr>
              <w:t>Způsob využití plochy</w:t>
            </w:r>
          </w:p>
        </w:tc>
        <w:tc>
          <w:tcPr>
            <w:tcW w:w="779"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3A7C19F1"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Celkový zábor ZPF (ha)</w:t>
            </w:r>
          </w:p>
        </w:tc>
        <w:tc>
          <w:tcPr>
            <w:tcW w:w="4840" w:type="dxa"/>
            <w:gridSpan w:val="6"/>
            <w:tcBorders>
              <w:top w:val="single" w:sz="4" w:space="0" w:color="auto"/>
              <w:left w:val="nil"/>
              <w:bottom w:val="single" w:sz="4" w:space="0" w:color="auto"/>
              <w:right w:val="single" w:sz="4" w:space="0" w:color="000000"/>
            </w:tcBorders>
            <w:shd w:val="clear" w:color="000000" w:fill="F2F2F2"/>
            <w:vAlign w:val="center"/>
            <w:hideMark/>
          </w:tcPr>
          <w:p w14:paraId="45FC0FB0" w14:textId="77777777" w:rsidR="00F32B0C" w:rsidRPr="00461C16" w:rsidRDefault="00F32B0C" w:rsidP="00F32B0C">
            <w:pPr>
              <w:spacing w:before="20" w:after="20" w:line="240" w:lineRule="auto"/>
              <w:jc w:val="center"/>
              <w:rPr>
                <w:rFonts w:eastAsia="Times New Roman"/>
                <w:b/>
                <w:bCs/>
                <w:sz w:val="20"/>
                <w:szCs w:val="20"/>
                <w:lang w:eastAsia="cs-CZ"/>
              </w:rPr>
            </w:pPr>
            <w:r w:rsidRPr="00461C16">
              <w:rPr>
                <w:rFonts w:eastAsia="Times New Roman"/>
                <w:b/>
                <w:bCs/>
                <w:sz w:val="20"/>
                <w:szCs w:val="20"/>
                <w:lang w:eastAsia="cs-CZ"/>
              </w:rPr>
              <w:t>Zábor ZPF podle jednotlivých kultur (ha)</w:t>
            </w:r>
          </w:p>
        </w:tc>
        <w:tc>
          <w:tcPr>
            <w:tcW w:w="3895" w:type="dxa"/>
            <w:gridSpan w:val="5"/>
            <w:tcBorders>
              <w:top w:val="single" w:sz="4" w:space="0" w:color="auto"/>
              <w:left w:val="nil"/>
              <w:bottom w:val="single" w:sz="4" w:space="0" w:color="auto"/>
              <w:right w:val="single" w:sz="4" w:space="0" w:color="000000"/>
            </w:tcBorders>
            <w:shd w:val="clear" w:color="000000" w:fill="F2F2F2"/>
            <w:vAlign w:val="center"/>
            <w:hideMark/>
          </w:tcPr>
          <w:p w14:paraId="71F2A44F" w14:textId="77777777" w:rsidR="00F32B0C" w:rsidRPr="00461C16" w:rsidRDefault="00F32B0C" w:rsidP="00F32B0C">
            <w:pPr>
              <w:spacing w:before="20" w:after="20" w:line="240" w:lineRule="auto"/>
              <w:jc w:val="center"/>
              <w:rPr>
                <w:rFonts w:eastAsia="Times New Roman"/>
                <w:b/>
                <w:bCs/>
                <w:sz w:val="20"/>
                <w:szCs w:val="20"/>
                <w:lang w:eastAsia="cs-CZ"/>
              </w:rPr>
            </w:pPr>
            <w:r w:rsidRPr="00461C16">
              <w:rPr>
                <w:rFonts w:eastAsia="Times New Roman"/>
                <w:b/>
                <w:bCs/>
                <w:sz w:val="20"/>
                <w:szCs w:val="20"/>
                <w:lang w:eastAsia="cs-CZ"/>
              </w:rPr>
              <w:t>Zábor ZPF podle tříd ochrany (ha)</w:t>
            </w:r>
          </w:p>
        </w:tc>
        <w:tc>
          <w:tcPr>
            <w:tcW w:w="845"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04964E95"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Investice do půdy (ha)</w:t>
            </w:r>
          </w:p>
        </w:tc>
      </w:tr>
      <w:tr w:rsidR="00F32B0C" w:rsidRPr="00461C16" w14:paraId="56C16A1F" w14:textId="77777777" w:rsidTr="00F32B0C">
        <w:trPr>
          <w:tblHeader/>
        </w:trPr>
        <w:tc>
          <w:tcPr>
            <w:tcW w:w="872" w:type="dxa"/>
            <w:vMerge/>
            <w:tcBorders>
              <w:top w:val="single" w:sz="4" w:space="0" w:color="auto"/>
              <w:left w:val="single" w:sz="4" w:space="0" w:color="auto"/>
              <w:bottom w:val="single" w:sz="4" w:space="0" w:color="000000"/>
              <w:right w:val="single" w:sz="4" w:space="0" w:color="auto"/>
            </w:tcBorders>
            <w:vAlign w:val="center"/>
            <w:hideMark/>
          </w:tcPr>
          <w:p w14:paraId="6E3E8C71" w14:textId="77777777" w:rsidR="00F32B0C" w:rsidRPr="00461C16" w:rsidRDefault="00F32B0C" w:rsidP="00F32B0C">
            <w:pPr>
              <w:spacing w:before="20" w:after="20" w:line="240" w:lineRule="auto"/>
              <w:jc w:val="left"/>
              <w:rPr>
                <w:rFonts w:eastAsia="Times New Roman"/>
                <w:b/>
                <w:bCs/>
                <w:sz w:val="20"/>
                <w:szCs w:val="20"/>
                <w:lang w:eastAsia="cs-CZ"/>
              </w:rPr>
            </w:pPr>
          </w:p>
        </w:tc>
        <w:tc>
          <w:tcPr>
            <w:tcW w:w="3453" w:type="dxa"/>
            <w:vMerge/>
            <w:tcBorders>
              <w:top w:val="single" w:sz="4" w:space="0" w:color="auto"/>
              <w:left w:val="single" w:sz="4" w:space="0" w:color="auto"/>
              <w:bottom w:val="single" w:sz="4" w:space="0" w:color="000000"/>
              <w:right w:val="single" w:sz="4" w:space="0" w:color="auto"/>
            </w:tcBorders>
            <w:vAlign w:val="center"/>
            <w:hideMark/>
          </w:tcPr>
          <w:p w14:paraId="709EC75B" w14:textId="77777777" w:rsidR="00F32B0C" w:rsidRPr="00461C16" w:rsidRDefault="00F32B0C" w:rsidP="00F32B0C">
            <w:pPr>
              <w:spacing w:before="20" w:after="20" w:line="240" w:lineRule="auto"/>
              <w:jc w:val="left"/>
              <w:rPr>
                <w:rFonts w:eastAsia="Times New Roman"/>
                <w:b/>
                <w:bCs/>
                <w:sz w:val="20"/>
                <w:szCs w:val="20"/>
                <w:lang w:eastAsia="cs-CZ"/>
              </w:rPr>
            </w:pPr>
          </w:p>
        </w:tc>
        <w:tc>
          <w:tcPr>
            <w:tcW w:w="779" w:type="dxa"/>
            <w:vMerge/>
            <w:tcBorders>
              <w:top w:val="single" w:sz="4" w:space="0" w:color="auto"/>
              <w:left w:val="single" w:sz="4" w:space="0" w:color="auto"/>
              <w:bottom w:val="single" w:sz="4" w:space="0" w:color="000000"/>
              <w:right w:val="single" w:sz="4" w:space="0" w:color="auto"/>
            </w:tcBorders>
            <w:vAlign w:val="center"/>
            <w:hideMark/>
          </w:tcPr>
          <w:p w14:paraId="1652D516" w14:textId="77777777" w:rsidR="00F32B0C" w:rsidRPr="00461C16" w:rsidRDefault="00F32B0C" w:rsidP="00F32B0C">
            <w:pPr>
              <w:spacing w:before="20" w:after="20" w:line="240" w:lineRule="auto"/>
              <w:jc w:val="left"/>
              <w:rPr>
                <w:rFonts w:eastAsia="Times New Roman"/>
                <w:b/>
                <w:bCs/>
                <w:sz w:val="20"/>
                <w:szCs w:val="20"/>
                <w:lang w:eastAsia="cs-CZ"/>
              </w:rPr>
            </w:pPr>
          </w:p>
        </w:tc>
        <w:tc>
          <w:tcPr>
            <w:tcW w:w="779" w:type="dxa"/>
            <w:tcBorders>
              <w:top w:val="nil"/>
              <w:left w:val="nil"/>
              <w:bottom w:val="single" w:sz="4" w:space="0" w:color="auto"/>
              <w:right w:val="single" w:sz="4" w:space="0" w:color="auto"/>
            </w:tcBorders>
            <w:shd w:val="clear" w:color="000000" w:fill="F2F2F2"/>
            <w:vAlign w:val="center"/>
            <w:hideMark/>
          </w:tcPr>
          <w:p w14:paraId="02C57D8B"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orná půda</w:t>
            </w:r>
          </w:p>
        </w:tc>
        <w:tc>
          <w:tcPr>
            <w:tcW w:w="945" w:type="dxa"/>
            <w:tcBorders>
              <w:top w:val="nil"/>
              <w:left w:val="nil"/>
              <w:bottom w:val="single" w:sz="4" w:space="0" w:color="auto"/>
              <w:right w:val="single" w:sz="4" w:space="0" w:color="auto"/>
            </w:tcBorders>
            <w:shd w:val="clear" w:color="000000" w:fill="F2F2F2"/>
            <w:vAlign w:val="center"/>
            <w:hideMark/>
          </w:tcPr>
          <w:p w14:paraId="6D6DFB16"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chmelnice</w:t>
            </w:r>
          </w:p>
        </w:tc>
        <w:tc>
          <w:tcPr>
            <w:tcW w:w="779" w:type="dxa"/>
            <w:tcBorders>
              <w:top w:val="nil"/>
              <w:left w:val="nil"/>
              <w:bottom w:val="single" w:sz="4" w:space="0" w:color="auto"/>
              <w:right w:val="single" w:sz="4" w:space="0" w:color="auto"/>
            </w:tcBorders>
            <w:shd w:val="clear" w:color="000000" w:fill="F2F2F2"/>
            <w:vAlign w:val="center"/>
            <w:hideMark/>
          </w:tcPr>
          <w:p w14:paraId="2F4660AC"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vinice</w:t>
            </w:r>
          </w:p>
        </w:tc>
        <w:tc>
          <w:tcPr>
            <w:tcW w:w="779" w:type="dxa"/>
            <w:tcBorders>
              <w:top w:val="nil"/>
              <w:left w:val="nil"/>
              <w:bottom w:val="single" w:sz="4" w:space="0" w:color="auto"/>
              <w:right w:val="single" w:sz="4" w:space="0" w:color="auto"/>
            </w:tcBorders>
            <w:shd w:val="clear" w:color="000000" w:fill="F2F2F2"/>
            <w:vAlign w:val="center"/>
            <w:hideMark/>
          </w:tcPr>
          <w:p w14:paraId="39F7839F"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zahrady</w:t>
            </w:r>
          </w:p>
        </w:tc>
        <w:tc>
          <w:tcPr>
            <w:tcW w:w="779" w:type="dxa"/>
            <w:tcBorders>
              <w:top w:val="nil"/>
              <w:left w:val="nil"/>
              <w:bottom w:val="single" w:sz="4" w:space="0" w:color="auto"/>
              <w:right w:val="single" w:sz="4" w:space="0" w:color="auto"/>
            </w:tcBorders>
            <w:shd w:val="clear" w:color="000000" w:fill="F2F2F2"/>
            <w:vAlign w:val="center"/>
            <w:hideMark/>
          </w:tcPr>
          <w:p w14:paraId="67813C22"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ovocné sady</w:t>
            </w:r>
          </w:p>
        </w:tc>
        <w:tc>
          <w:tcPr>
            <w:tcW w:w="779" w:type="dxa"/>
            <w:tcBorders>
              <w:top w:val="nil"/>
              <w:left w:val="nil"/>
              <w:bottom w:val="single" w:sz="4" w:space="0" w:color="auto"/>
              <w:right w:val="single" w:sz="4" w:space="0" w:color="auto"/>
            </w:tcBorders>
            <w:shd w:val="clear" w:color="000000" w:fill="F2F2F2"/>
            <w:vAlign w:val="center"/>
            <w:hideMark/>
          </w:tcPr>
          <w:p w14:paraId="63ECC83B"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trv. travní porosty</w:t>
            </w:r>
          </w:p>
        </w:tc>
        <w:tc>
          <w:tcPr>
            <w:tcW w:w="779" w:type="dxa"/>
            <w:tcBorders>
              <w:top w:val="nil"/>
              <w:left w:val="nil"/>
              <w:bottom w:val="single" w:sz="4" w:space="0" w:color="auto"/>
              <w:right w:val="single" w:sz="4" w:space="0" w:color="auto"/>
            </w:tcBorders>
            <w:shd w:val="clear" w:color="000000" w:fill="F2F2F2"/>
            <w:vAlign w:val="center"/>
            <w:hideMark/>
          </w:tcPr>
          <w:p w14:paraId="0DCA5E25"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w:t>
            </w:r>
          </w:p>
        </w:tc>
        <w:tc>
          <w:tcPr>
            <w:tcW w:w="779" w:type="dxa"/>
            <w:tcBorders>
              <w:top w:val="nil"/>
              <w:left w:val="nil"/>
              <w:bottom w:val="single" w:sz="4" w:space="0" w:color="auto"/>
              <w:right w:val="single" w:sz="4" w:space="0" w:color="auto"/>
            </w:tcBorders>
            <w:shd w:val="clear" w:color="000000" w:fill="F2F2F2"/>
            <w:vAlign w:val="center"/>
            <w:hideMark/>
          </w:tcPr>
          <w:p w14:paraId="278A7BB2"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II</w:t>
            </w:r>
          </w:p>
        </w:tc>
        <w:tc>
          <w:tcPr>
            <w:tcW w:w="779" w:type="dxa"/>
            <w:tcBorders>
              <w:top w:val="nil"/>
              <w:left w:val="nil"/>
              <w:bottom w:val="single" w:sz="4" w:space="0" w:color="auto"/>
              <w:right w:val="single" w:sz="4" w:space="0" w:color="auto"/>
            </w:tcBorders>
            <w:shd w:val="clear" w:color="000000" w:fill="F2F2F2"/>
            <w:vAlign w:val="center"/>
            <w:hideMark/>
          </w:tcPr>
          <w:p w14:paraId="06B835BB"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III</w:t>
            </w:r>
          </w:p>
        </w:tc>
        <w:tc>
          <w:tcPr>
            <w:tcW w:w="779" w:type="dxa"/>
            <w:tcBorders>
              <w:top w:val="nil"/>
              <w:left w:val="nil"/>
              <w:bottom w:val="single" w:sz="4" w:space="0" w:color="auto"/>
              <w:right w:val="single" w:sz="4" w:space="0" w:color="auto"/>
            </w:tcBorders>
            <w:shd w:val="clear" w:color="000000" w:fill="F2F2F2"/>
            <w:vAlign w:val="center"/>
            <w:hideMark/>
          </w:tcPr>
          <w:p w14:paraId="63F20725"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IV</w:t>
            </w:r>
          </w:p>
        </w:tc>
        <w:tc>
          <w:tcPr>
            <w:tcW w:w="779" w:type="dxa"/>
            <w:tcBorders>
              <w:top w:val="nil"/>
              <w:left w:val="nil"/>
              <w:bottom w:val="single" w:sz="4" w:space="0" w:color="auto"/>
              <w:right w:val="single" w:sz="4" w:space="0" w:color="auto"/>
            </w:tcBorders>
            <w:shd w:val="clear" w:color="000000" w:fill="F2F2F2"/>
            <w:vAlign w:val="center"/>
            <w:hideMark/>
          </w:tcPr>
          <w:p w14:paraId="570909D4"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V</w:t>
            </w:r>
          </w:p>
        </w:tc>
        <w:tc>
          <w:tcPr>
            <w:tcW w:w="845" w:type="dxa"/>
            <w:vMerge/>
            <w:tcBorders>
              <w:top w:val="single" w:sz="4" w:space="0" w:color="auto"/>
              <w:left w:val="single" w:sz="4" w:space="0" w:color="auto"/>
              <w:bottom w:val="single" w:sz="4" w:space="0" w:color="000000"/>
              <w:right w:val="single" w:sz="4" w:space="0" w:color="auto"/>
            </w:tcBorders>
            <w:vAlign w:val="center"/>
            <w:hideMark/>
          </w:tcPr>
          <w:p w14:paraId="10CAFFBB" w14:textId="77777777" w:rsidR="00F32B0C" w:rsidRPr="00461C16" w:rsidRDefault="00F32B0C" w:rsidP="00F32B0C">
            <w:pPr>
              <w:spacing w:before="20" w:after="20" w:line="240" w:lineRule="auto"/>
              <w:jc w:val="left"/>
              <w:rPr>
                <w:rFonts w:eastAsia="Times New Roman"/>
                <w:b/>
                <w:bCs/>
                <w:sz w:val="20"/>
                <w:szCs w:val="20"/>
                <w:lang w:eastAsia="cs-CZ"/>
              </w:rPr>
            </w:pPr>
          </w:p>
        </w:tc>
      </w:tr>
      <w:tr w:rsidR="009561A2" w:rsidRPr="00461C16" w14:paraId="23788817"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55110226"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Z87</w:t>
            </w:r>
          </w:p>
        </w:tc>
        <w:tc>
          <w:tcPr>
            <w:tcW w:w="3453" w:type="dxa"/>
            <w:tcBorders>
              <w:top w:val="nil"/>
              <w:left w:val="nil"/>
              <w:bottom w:val="single" w:sz="4" w:space="0" w:color="auto"/>
              <w:right w:val="single" w:sz="4" w:space="0" w:color="auto"/>
            </w:tcBorders>
            <w:shd w:val="clear" w:color="auto" w:fill="auto"/>
            <w:noWrap/>
            <w:vAlign w:val="center"/>
            <w:hideMark/>
          </w:tcPr>
          <w:p w14:paraId="088C524F"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bottom"/>
            <w:hideMark/>
          </w:tcPr>
          <w:p w14:paraId="0A3E66C3"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0,268</w:t>
            </w:r>
          </w:p>
        </w:tc>
        <w:tc>
          <w:tcPr>
            <w:tcW w:w="779" w:type="dxa"/>
            <w:tcBorders>
              <w:top w:val="nil"/>
              <w:left w:val="nil"/>
              <w:bottom w:val="single" w:sz="4" w:space="0" w:color="auto"/>
              <w:right w:val="single" w:sz="4" w:space="0" w:color="auto"/>
            </w:tcBorders>
            <w:shd w:val="clear" w:color="auto" w:fill="auto"/>
            <w:noWrap/>
            <w:vAlign w:val="bottom"/>
            <w:hideMark/>
          </w:tcPr>
          <w:p w14:paraId="16F8F3F3"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hideMark/>
          </w:tcPr>
          <w:p w14:paraId="67B3721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6A2CBAC3"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5105C5F2"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6587BF76"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23C8F6F3"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0,268</w:t>
            </w:r>
          </w:p>
        </w:tc>
        <w:tc>
          <w:tcPr>
            <w:tcW w:w="779" w:type="dxa"/>
            <w:tcBorders>
              <w:top w:val="nil"/>
              <w:left w:val="nil"/>
              <w:bottom w:val="single" w:sz="4" w:space="0" w:color="auto"/>
              <w:right w:val="single" w:sz="4" w:space="0" w:color="auto"/>
            </w:tcBorders>
            <w:shd w:val="clear" w:color="auto" w:fill="auto"/>
            <w:noWrap/>
            <w:vAlign w:val="center"/>
            <w:hideMark/>
          </w:tcPr>
          <w:p w14:paraId="6FB67D06"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46E74A96"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0,268</w:t>
            </w:r>
          </w:p>
        </w:tc>
        <w:tc>
          <w:tcPr>
            <w:tcW w:w="779" w:type="dxa"/>
            <w:tcBorders>
              <w:top w:val="nil"/>
              <w:left w:val="nil"/>
              <w:bottom w:val="single" w:sz="4" w:space="0" w:color="auto"/>
              <w:right w:val="single" w:sz="4" w:space="0" w:color="auto"/>
            </w:tcBorders>
            <w:shd w:val="clear" w:color="auto" w:fill="auto"/>
            <w:noWrap/>
            <w:vAlign w:val="center"/>
            <w:hideMark/>
          </w:tcPr>
          <w:p w14:paraId="32253CA0"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5993A1B0"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0FAEB56E"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hideMark/>
          </w:tcPr>
          <w:p w14:paraId="3C73044B"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r>
      <w:tr w:rsidR="009561A2" w:rsidRPr="00461C16" w14:paraId="37EA21F2"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6209A1D6"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Z88</w:t>
            </w:r>
          </w:p>
        </w:tc>
        <w:tc>
          <w:tcPr>
            <w:tcW w:w="3453" w:type="dxa"/>
            <w:tcBorders>
              <w:top w:val="nil"/>
              <w:left w:val="nil"/>
              <w:bottom w:val="single" w:sz="4" w:space="0" w:color="auto"/>
              <w:right w:val="single" w:sz="4" w:space="0" w:color="auto"/>
            </w:tcBorders>
            <w:shd w:val="clear" w:color="auto" w:fill="auto"/>
            <w:noWrap/>
            <w:vAlign w:val="center"/>
            <w:hideMark/>
          </w:tcPr>
          <w:p w14:paraId="26927386"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hideMark/>
          </w:tcPr>
          <w:p w14:paraId="5B669AEB"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0,165</w:t>
            </w:r>
          </w:p>
        </w:tc>
        <w:tc>
          <w:tcPr>
            <w:tcW w:w="779" w:type="dxa"/>
            <w:tcBorders>
              <w:top w:val="nil"/>
              <w:left w:val="nil"/>
              <w:bottom w:val="single" w:sz="4" w:space="0" w:color="auto"/>
              <w:right w:val="single" w:sz="4" w:space="0" w:color="auto"/>
            </w:tcBorders>
            <w:shd w:val="clear" w:color="auto" w:fill="auto"/>
            <w:noWrap/>
            <w:vAlign w:val="bottom"/>
            <w:hideMark/>
          </w:tcPr>
          <w:p w14:paraId="0A520EE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hideMark/>
          </w:tcPr>
          <w:p w14:paraId="09126C1E"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22CA7738"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C4C5B49"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0,028</w:t>
            </w:r>
          </w:p>
        </w:tc>
        <w:tc>
          <w:tcPr>
            <w:tcW w:w="779" w:type="dxa"/>
            <w:tcBorders>
              <w:top w:val="nil"/>
              <w:left w:val="nil"/>
              <w:bottom w:val="single" w:sz="4" w:space="0" w:color="auto"/>
              <w:right w:val="single" w:sz="4" w:space="0" w:color="auto"/>
            </w:tcBorders>
            <w:shd w:val="clear" w:color="auto" w:fill="auto"/>
            <w:noWrap/>
            <w:vAlign w:val="bottom"/>
            <w:hideMark/>
          </w:tcPr>
          <w:p w14:paraId="2856E559"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28A95B6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0,137</w:t>
            </w:r>
          </w:p>
        </w:tc>
        <w:tc>
          <w:tcPr>
            <w:tcW w:w="779" w:type="dxa"/>
            <w:tcBorders>
              <w:top w:val="nil"/>
              <w:left w:val="nil"/>
              <w:bottom w:val="single" w:sz="4" w:space="0" w:color="auto"/>
              <w:right w:val="single" w:sz="4" w:space="0" w:color="auto"/>
            </w:tcBorders>
            <w:shd w:val="clear" w:color="auto" w:fill="auto"/>
            <w:noWrap/>
            <w:vAlign w:val="center"/>
            <w:hideMark/>
          </w:tcPr>
          <w:p w14:paraId="0424509E"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00357AD8"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0,165</w:t>
            </w:r>
          </w:p>
        </w:tc>
        <w:tc>
          <w:tcPr>
            <w:tcW w:w="779" w:type="dxa"/>
            <w:tcBorders>
              <w:top w:val="nil"/>
              <w:left w:val="nil"/>
              <w:bottom w:val="single" w:sz="4" w:space="0" w:color="auto"/>
              <w:right w:val="single" w:sz="4" w:space="0" w:color="auto"/>
            </w:tcBorders>
            <w:shd w:val="clear" w:color="auto" w:fill="auto"/>
            <w:noWrap/>
            <w:vAlign w:val="center"/>
            <w:hideMark/>
          </w:tcPr>
          <w:p w14:paraId="1EB661D9"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55D49035"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56AD2954"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hideMark/>
          </w:tcPr>
          <w:p w14:paraId="4C1760D1"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r>
      <w:tr w:rsidR="009561A2" w:rsidRPr="00461C16" w14:paraId="057F77B2"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2C250999"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Z89</w:t>
            </w:r>
          </w:p>
        </w:tc>
        <w:tc>
          <w:tcPr>
            <w:tcW w:w="3453" w:type="dxa"/>
            <w:tcBorders>
              <w:top w:val="nil"/>
              <w:left w:val="nil"/>
              <w:bottom w:val="single" w:sz="4" w:space="0" w:color="auto"/>
              <w:right w:val="single" w:sz="4" w:space="0" w:color="auto"/>
            </w:tcBorders>
            <w:shd w:val="clear" w:color="auto" w:fill="auto"/>
            <w:noWrap/>
            <w:vAlign w:val="center"/>
            <w:hideMark/>
          </w:tcPr>
          <w:p w14:paraId="23EDED67"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bottom"/>
            <w:hideMark/>
          </w:tcPr>
          <w:p w14:paraId="79B95272"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0,076</w:t>
            </w:r>
          </w:p>
        </w:tc>
        <w:tc>
          <w:tcPr>
            <w:tcW w:w="779" w:type="dxa"/>
            <w:tcBorders>
              <w:top w:val="nil"/>
              <w:left w:val="nil"/>
              <w:bottom w:val="single" w:sz="4" w:space="0" w:color="auto"/>
              <w:right w:val="single" w:sz="4" w:space="0" w:color="auto"/>
            </w:tcBorders>
            <w:shd w:val="clear" w:color="auto" w:fill="auto"/>
            <w:noWrap/>
            <w:vAlign w:val="bottom"/>
            <w:hideMark/>
          </w:tcPr>
          <w:p w14:paraId="559CCAEF"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hideMark/>
          </w:tcPr>
          <w:p w14:paraId="7B2225D6"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68127BF9"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282AFBC4"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0,051</w:t>
            </w:r>
          </w:p>
        </w:tc>
        <w:tc>
          <w:tcPr>
            <w:tcW w:w="779" w:type="dxa"/>
            <w:tcBorders>
              <w:top w:val="nil"/>
              <w:left w:val="nil"/>
              <w:bottom w:val="single" w:sz="4" w:space="0" w:color="auto"/>
              <w:right w:val="single" w:sz="4" w:space="0" w:color="auto"/>
            </w:tcBorders>
            <w:shd w:val="clear" w:color="auto" w:fill="auto"/>
            <w:noWrap/>
            <w:vAlign w:val="bottom"/>
            <w:hideMark/>
          </w:tcPr>
          <w:p w14:paraId="14094ECB"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44208B40"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0,025</w:t>
            </w:r>
          </w:p>
        </w:tc>
        <w:tc>
          <w:tcPr>
            <w:tcW w:w="779" w:type="dxa"/>
            <w:tcBorders>
              <w:top w:val="nil"/>
              <w:left w:val="nil"/>
              <w:bottom w:val="single" w:sz="4" w:space="0" w:color="auto"/>
              <w:right w:val="single" w:sz="4" w:space="0" w:color="auto"/>
            </w:tcBorders>
            <w:shd w:val="clear" w:color="auto" w:fill="auto"/>
            <w:noWrap/>
            <w:vAlign w:val="bottom"/>
            <w:hideMark/>
          </w:tcPr>
          <w:p w14:paraId="2F8AF75C"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0140477D"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0,066</w:t>
            </w:r>
          </w:p>
        </w:tc>
        <w:tc>
          <w:tcPr>
            <w:tcW w:w="779" w:type="dxa"/>
            <w:tcBorders>
              <w:top w:val="nil"/>
              <w:left w:val="nil"/>
              <w:bottom w:val="single" w:sz="4" w:space="0" w:color="auto"/>
              <w:right w:val="single" w:sz="4" w:space="0" w:color="auto"/>
            </w:tcBorders>
            <w:shd w:val="clear" w:color="auto" w:fill="auto"/>
            <w:noWrap/>
            <w:vAlign w:val="center"/>
            <w:hideMark/>
          </w:tcPr>
          <w:p w14:paraId="1A032954"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065547B9"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0,011</w:t>
            </w:r>
          </w:p>
        </w:tc>
        <w:tc>
          <w:tcPr>
            <w:tcW w:w="779" w:type="dxa"/>
            <w:tcBorders>
              <w:top w:val="nil"/>
              <w:left w:val="nil"/>
              <w:bottom w:val="single" w:sz="4" w:space="0" w:color="auto"/>
              <w:right w:val="single" w:sz="4" w:space="0" w:color="auto"/>
            </w:tcBorders>
            <w:shd w:val="clear" w:color="auto" w:fill="auto"/>
            <w:noWrap/>
            <w:vAlign w:val="center"/>
            <w:hideMark/>
          </w:tcPr>
          <w:p w14:paraId="10AD38C6"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hideMark/>
          </w:tcPr>
          <w:p w14:paraId="6067B45F"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r>
      <w:tr w:rsidR="009561A2" w:rsidRPr="00461C16" w14:paraId="163317C4"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061F94ED"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Z90</w:t>
            </w:r>
          </w:p>
        </w:tc>
        <w:tc>
          <w:tcPr>
            <w:tcW w:w="3453" w:type="dxa"/>
            <w:tcBorders>
              <w:top w:val="nil"/>
              <w:left w:val="nil"/>
              <w:bottom w:val="single" w:sz="4" w:space="0" w:color="auto"/>
              <w:right w:val="single" w:sz="4" w:space="0" w:color="auto"/>
            </w:tcBorders>
            <w:shd w:val="clear" w:color="auto" w:fill="auto"/>
            <w:noWrap/>
            <w:vAlign w:val="center"/>
            <w:hideMark/>
          </w:tcPr>
          <w:p w14:paraId="04A0F07D"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hideMark/>
          </w:tcPr>
          <w:p w14:paraId="2D369B3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0,117</w:t>
            </w:r>
          </w:p>
        </w:tc>
        <w:tc>
          <w:tcPr>
            <w:tcW w:w="779" w:type="dxa"/>
            <w:tcBorders>
              <w:top w:val="nil"/>
              <w:left w:val="nil"/>
              <w:bottom w:val="single" w:sz="4" w:space="0" w:color="auto"/>
              <w:right w:val="single" w:sz="4" w:space="0" w:color="auto"/>
            </w:tcBorders>
            <w:shd w:val="clear" w:color="auto" w:fill="auto"/>
            <w:noWrap/>
            <w:vAlign w:val="bottom"/>
            <w:hideMark/>
          </w:tcPr>
          <w:p w14:paraId="22ED627A"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hideMark/>
          </w:tcPr>
          <w:p w14:paraId="07E79F7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5BDD5419"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54F021F1"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0,102</w:t>
            </w:r>
          </w:p>
        </w:tc>
        <w:tc>
          <w:tcPr>
            <w:tcW w:w="779" w:type="dxa"/>
            <w:tcBorders>
              <w:top w:val="nil"/>
              <w:left w:val="nil"/>
              <w:bottom w:val="single" w:sz="4" w:space="0" w:color="auto"/>
              <w:right w:val="single" w:sz="4" w:space="0" w:color="auto"/>
            </w:tcBorders>
            <w:shd w:val="clear" w:color="auto" w:fill="auto"/>
            <w:noWrap/>
            <w:vAlign w:val="bottom"/>
            <w:hideMark/>
          </w:tcPr>
          <w:p w14:paraId="1B52F2BE"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583734D8"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0,015</w:t>
            </w:r>
          </w:p>
        </w:tc>
        <w:tc>
          <w:tcPr>
            <w:tcW w:w="779" w:type="dxa"/>
            <w:tcBorders>
              <w:top w:val="nil"/>
              <w:left w:val="nil"/>
              <w:bottom w:val="single" w:sz="4" w:space="0" w:color="auto"/>
              <w:right w:val="single" w:sz="4" w:space="0" w:color="auto"/>
            </w:tcBorders>
            <w:shd w:val="clear" w:color="auto" w:fill="auto"/>
            <w:noWrap/>
            <w:vAlign w:val="center"/>
            <w:hideMark/>
          </w:tcPr>
          <w:p w14:paraId="58F329CB"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03973D19"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0,112</w:t>
            </w:r>
          </w:p>
        </w:tc>
        <w:tc>
          <w:tcPr>
            <w:tcW w:w="779" w:type="dxa"/>
            <w:tcBorders>
              <w:top w:val="nil"/>
              <w:left w:val="nil"/>
              <w:bottom w:val="single" w:sz="4" w:space="0" w:color="auto"/>
              <w:right w:val="single" w:sz="4" w:space="0" w:color="auto"/>
            </w:tcBorders>
            <w:shd w:val="clear" w:color="auto" w:fill="auto"/>
            <w:noWrap/>
            <w:vAlign w:val="center"/>
            <w:hideMark/>
          </w:tcPr>
          <w:p w14:paraId="5C0F8E38"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5BCFE5A4"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51A9A29D"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0,005</w:t>
            </w:r>
          </w:p>
        </w:tc>
        <w:tc>
          <w:tcPr>
            <w:tcW w:w="845" w:type="dxa"/>
            <w:tcBorders>
              <w:top w:val="nil"/>
              <w:left w:val="nil"/>
              <w:bottom w:val="single" w:sz="4" w:space="0" w:color="auto"/>
              <w:right w:val="single" w:sz="4" w:space="0" w:color="auto"/>
            </w:tcBorders>
            <w:shd w:val="clear" w:color="auto" w:fill="auto"/>
            <w:noWrap/>
            <w:vAlign w:val="center"/>
            <w:hideMark/>
          </w:tcPr>
          <w:p w14:paraId="73D0394C"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r>
      <w:tr w:rsidR="009561A2" w:rsidRPr="00461C16" w14:paraId="2E810BAA"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4123771F"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Z91</w:t>
            </w:r>
          </w:p>
        </w:tc>
        <w:tc>
          <w:tcPr>
            <w:tcW w:w="3453" w:type="dxa"/>
            <w:tcBorders>
              <w:top w:val="nil"/>
              <w:left w:val="nil"/>
              <w:bottom w:val="single" w:sz="4" w:space="0" w:color="auto"/>
              <w:right w:val="single" w:sz="4" w:space="0" w:color="auto"/>
            </w:tcBorders>
            <w:shd w:val="clear" w:color="auto" w:fill="auto"/>
            <w:noWrap/>
            <w:vAlign w:val="center"/>
            <w:hideMark/>
          </w:tcPr>
          <w:p w14:paraId="089DAD97"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bottom"/>
            <w:hideMark/>
          </w:tcPr>
          <w:p w14:paraId="24193EB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0,179</w:t>
            </w:r>
          </w:p>
        </w:tc>
        <w:tc>
          <w:tcPr>
            <w:tcW w:w="779" w:type="dxa"/>
            <w:tcBorders>
              <w:top w:val="nil"/>
              <w:left w:val="nil"/>
              <w:bottom w:val="single" w:sz="4" w:space="0" w:color="auto"/>
              <w:right w:val="single" w:sz="4" w:space="0" w:color="auto"/>
            </w:tcBorders>
            <w:shd w:val="clear" w:color="auto" w:fill="auto"/>
            <w:noWrap/>
            <w:vAlign w:val="bottom"/>
            <w:hideMark/>
          </w:tcPr>
          <w:p w14:paraId="7787C98B"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0,179</w:t>
            </w:r>
          </w:p>
        </w:tc>
        <w:tc>
          <w:tcPr>
            <w:tcW w:w="945" w:type="dxa"/>
            <w:tcBorders>
              <w:top w:val="nil"/>
              <w:left w:val="nil"/>
              <w:bottom w:val="single" w:sz="4" w:space="0" w:color="auto"/>
              <w:right w:val="single" w:sz="4" w:space="0" w:color="auto"/>
            </w:tcBorders>
            <w:shd w:val="clear" w:color="auto" w:fill="auto"/>
            <w:noWrap/>
            <w:vAlign w:val="center"/>
            <w:hideMark/>
          </w:tcPr>
          <w:p w14:paraId="2F4BDC3F"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0C4D3561"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09059193"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35AE64E2"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7E60F994"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6953ADE8"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4A4382F5"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0,179</w:t>
            </w:r>
          </w:p>
        </w:tc>
        <w:tc>
          <w:tcPr>
            <w:tcW w:w="779" w:type="dxa"/>
            <w:tcBorders>
              <w:top w:val="nil"/>
              <w:left w:val="nil"/>
              <w:bottom w:val="single" w:sz="4" w:space="0" w:color="auto"/>
              <w:right w:val="single" w:sz="4" w:space="0" w:color="auto"/>
            </w:tcBorders>
            <w:shd w:val="clear" w:color="auto" w:fill="auto"/>
            <w:noWrap/>
            <w:vAlign w:val="center"/>
            <w:hideMark/>
          </w:tcPr>
          <w:p w14:paraId="1B03DD81"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7E5551EF"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2A35473F"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hideMark/>
          </w:tcPr>
          <w:p w14:paraId="58FAF475"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r>
      <w:tr w:rsidR="009561A2" w:rsidRPr="00461C16" w14:paraId="0E348C48"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27A94676"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Z92</w:t>
            </w:r>
          </w:p>
        </w:tc>
        <w:tc>
          <w:tcPr>
            <w:tcW w:w="3453" w:type="dxa"/>
            <w:tcBorders>
              <w:top w:val="nil"/>
              <w:left w:val="nil"/>
              <w:bottom w:val="single" w:sz="4" w:space="0" w:color="auto"/>
              <w:right w:val="single" w:sz="4" w:space="0" w:color="auto"/>
            </w:tcBorders>
            <w:shd w:val="clear" w:color="auto" w:fill="auto"/>
            <w:noWrap/>
            <w:vAlign w:val="center"/>
            <w:hideMark/>
          </w:tcPr>
          <w:p w14:paraId="2400DE35"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hideMark/>
          </w:tcPr>
          <w:p w14:paraId="505959B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0,676</w:t>
            </w:r>
          </w:p>
        </w:tc>
        <w:tc>
          <w:tcPr>
            <w:tcW w:w="779" w:type="dxa"/>
            <w:tcBorders>
              <w:top w:val="nil"/>
              <w:left w:val="nil"/>
              <w:bottom w:val="single" w:sz="4" w:space="0" w:color="auto"/>
              <w:right w:val="single" w:sz="4" w:space="0" w:color="auto"/>
            </w:tcBorders>
            <w:shd w:val="clear" w:color="auto" w:fill="auto"/>
            <w:noWrap/>
            <w:vAlign w:val="bottom"/>
            <w:hideMark/>
          </w:tcPr>
          <w:p w14:paraId="0ED39FBE"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0,129</w:t>
            </w:r>
          </w:p>
        </w:tc>
        <w:tc>
          <w:tcPr>
            <w:tcW w:w="945" w:type="dxa"/>
            <w:tcBorders>
              <w:top w:val="nil"/>
              <w:left w:val="nil"/>
              <w:bottom w:val="single" w:sz="4" w:space="0" w:color="auto"/>
              <w:right w:val="single" w:sz="4" w:space="0" w:color="auto"/>
            </w:tcBorders>
            <w:shd w:val="clear" w:color="auto" w:fill="auto"/>
            <w:noWrap/>
            <w:vAlign w:val="center"/>
            <w:hideMark/>
          </w:tcPr>
          <w:p w14:paraId="67A402D4"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1A0D71CF"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10D3D02B"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28E5BD6A"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10A0636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0,547</w:t>
            </w:r>
          </w:p>
        </w:tc>
        <w:tc>
          <w:tcPr>
            <w:tcW w:w="779" w:type="dxa"/>
            <w:tcBorders>
              <w:top w:val="nil"/>
              <w:left w:val="nil"/>
              <w:bottom w:val="single" w:sz="4" w:space="0" w:color="auto"/>
              <w:right w:val="single" w:sz="4" w:space="0" w:color="auto"/>
            </w:tcBorders>
            <w:shd w:val="clear" w:color="auto" w:fill="auto"/>
            <w:noWrap/>
            <w:vAlign w:val="center"/>
            <w:hideMark/>
          </w:tcPr>
          <w:p w14:paraId="74121C5D"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75D71398"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0,653</w:t>
            </w:r>
          </w:p>
        </w:tc>
        <w:tc>
          <w:tcPr>
            <w:tcW w:w="779" w:type="dxa"/>
            <w:tcBorders>
              <w:top w:val="nil"/>
              <w:left w:val="nil"/>
              <w:bottom w:val="single" w:sz="4" w:space="0" w:color="auto"/>
              <w:right w:val="single" w:sz="4" w:space="0" w:color="auto"/>
            </w:tcBorders>
            <w:shd w:val="clear" w:color="auto" w:fill="auto"/>
            <w:noWrap/>
            <w:vAlign w:val="center"/>
            <w:hideMark/>
          </w:tcPr>
          <w:p w14:paraId="57179924"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3F5ADBB6"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1BABA298"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0,023</w:t>
            </w:r>
          </w:p>
        </w:tc>
        <w:tc>
          <w:tcPr>
            <w:tcW w:w="845" w:type="dxa"/>
            <w:tcBorders>
              <w:top w:val="nil"/>
              <w:left w:val="nil"/>
              <w:bottom w:val="single" w:sz="4" w:space="0" w:color="auto"/>
              <w:right w:val="single" w:sz="4" w:space="0" w:color="auto"/>
            </w:tcBorders>
            <w:shd w:val="clear" w:color="auto" w:fill="auto"/>
            <w:noWrap/>
            <w:vAlign w:val="center"/>
            <w:hideMark/>
          </w:tcPr>
          <w:p w14:paraId="22897404"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r>
      <w:tr w:rsidR="009561A2" w:rsidRPr="00461C16" w14:paraId="29FB821F"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10F65CEF"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Z94</w:t>
            </w:r>
          </w:p>
        </w:tc>
        <w:tc>
          <w:tcPr>
            <w:tcW w:w="3453" w:type="dxa"/>
            <w:tcBorders>
              <w:top w:val="nil"/>
              <w:left w:val="nil"/>
              <w:bottom w:val="single" w:sz="4" w:space="0" w:color="auto"/>
              <w:right w:val="single" w:sz="4" w:space="0" w:color="auto"/>
            </w:tcBorders>
            <w:shd w:val="clear" w:color="auto" w:fill="auto"/>
            <w:noWrap/>
            <w:vAlign w:val="center"/>
            <w:hideMark/>
          </w:tcPr>
          <w:p w14:paraId="5657E7D5" w14:textId="77777777" w:rsidR="009561A2" w:rsidRPr="00461C16" w:rsidRDefault="009561A2" w:rsidP="00F32B0C">
            <w:pPr>
              <w:spacing w:before="20" w:after="20" w:line="240" w:lineRule="auto"/>
              <w:jc w:val="left"/>
              <w:rPr>
                <w:rFonts w:eastAsia="Times New Roman"/>
                <w:color w:val="000000"/>
                <w:sz w:val="20"/>
                <w:szCs w:val="20"/>
                <w:lang w:eastAsia="cs-CZ"/>
              </w:rPr>
            </w:pPr>
            <w:r w:rsidRPr="00461C16">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hideMark/>
          </w:tcPr>
          <w:p w14:paraId="0565BA43"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0,971</w:t>
            </w:r>
          </w:p>
        </w:tc>
        <w:tc>
          <w:tcPr>
            <w:tcW w:w="779" w:type="dxa"/>
            <w:tcBorders>
              <w:top w:val="nil"/>
              <w:left w:val="nil"/>
              <w:bottom w:val="single" w:sz="4" w:space="0" w:color="auto"/>
              <w:right w:val="single" w:sz="4" w:space="0" w:color="auto"/>
            </w:tcBorders>
            <w:shd w:val="clear" w:color="auto" w:fill="auto"/>
            <w:noWrap/>
            <w:vAlign w:val="bottom"/>
            <w:hideMark/>
          </w:tcPr>
          <w:p w14:paraId="2AA754B0"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0,971</w:t>
            </w:r>
          </w:p>
        </w:tc>
        <w:tc>
          <w:tcPr>
            <w:tcW w:w="945" w:type="dxa"/>
            <w:tcBorders>
              <w:top w:val="nil"/>
              <w:left w:val="nil"/>
              <w:bottom w:val="single" w:sz="4" w:space="0" w:color="auto"/>
              <w:right w:val="single" w:sz="4" w:space="0" w:color="auto"/>
            </w:tcBorders>
            <w:shd w:val="clear" w:color="auto" w:fill="auto"/>
            <w:noWrap/>
            <w:vAlign w:val="center"/>
            <w:hideMark/>
          </w:tcPr>
          <w:p w14:paraId="7068AE30"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7AEF67DD"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D707003"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6D85FE20"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8730610"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7FBC7823"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7C59DF3B"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1ED5D8D7"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0CEC7412"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0,887</w:t>
            </w:r>
          </w:p>
        </w:tc>
        <w:tc>
          <w:tcPr>
            <w:tcW w:w="779" w:type="dxa"/>
            <w:tcBorders>
              <w:top w:val="nil"/>
              <w:left w:val="nil"/>
              <w:bottom w:val="single" w:sz="4" w:space="0" w:color="auto"/>
              <w:right w:val="single" w:sz="4" w:space="0" w:color="auto"/>
            </w:tcBorders>
            <w:shd w:val="clear" w:color="auto" w:fill="auto"/>
            <w:noWrap/>
            <w:vAlign w:val="center"/>
            <w:hideMark/>
          </w:tcPr>
          <w:p w14:paraId="662D8059"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0,085</w:t>
            </w:r>
          </w:p>
        </w:tc>
        <w:tc>
          <w:tcPr>
            <w:tcW w:w="845" w:type="dxa"/>
            <w:tcBorders>
              <w:top w:val="nil"/>
              <w:left w:val="nil"/>
              <w:bottom w:val="single" w:sz="4" w:space="0" w:color="auto"/>
              <w:right w:val="single" w:sz="4" w:space="0" w:color="auto"/>
            </w:tcBorders>
            <w:shd w:val="clear" w:color="auto" w:fill="auto"/>
            <w:noWrap/>
            <w:vAlign w:val="center"/>
            <w:hideMark/>
          </w:tcPr>
          <w:p w14:paraId="7AA1BDCE" w14:textId="77777777" w:rsidR="009561A2" w:rsidRPr="00461C16" w:rsidRDefault="009561A2" w:rsidP="00F32B0C">
            <w:pPr>
              <w:spacing w:before="20" w:after="20"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r>
      <w:tr w:rsidR="009561A2" w:rsidRPr="00461C16" w14:paraId="234B8DED"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30BBA386" w14:textId="77777777" w:rsidR="009561A2" w:rsidRPr="00F5625D" w:rsidRDefault="009561A2"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Z95</w:t>
            </w:r>
          </w:p>
        </w:tc>
        <w:tc>
          <w:tcPr>
            <w:tcW w:w="3453" w:type="dxa"/>
            <w:tcBorders>
              <w:top w:val="nil"/>
              <w:left w:val="nil"/>
              <w:bottom w:val="single" w:sz="4" w:space="0" w:color="auto"/>
              <w:right w:val="single" w:sz="4" w:space="0" w:color="auto"/>
            </w:tcBorders>
            <w:shd w:val="clear" w:color="auto" w:fill="auto"/>
            <w:noWrap/>
            <w:vAlign w:val="center"/>
            <w:hideMark/>
          </w:tcPr>
          <w:p w14:paraId="297D115D" w14:textId="77777777" w:rsidR="009561A2" w:rsidRPr="00F5625D" w:rsidRDefault="009561A2"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hideMark/>
          </w:tcPr>
          <w:p w14:paraId="3E0FF3C7"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0,591</w:t>
            </w:r>
          </w:p>
        </w:tc>
        <w:tc>
          <w:tcPr>
            <w:tcW w:w="779" w:type="dxa"/>
            <w:tcBorders>
              <w:top w:val="nil"/>
              <w:left w:val="nil"/>
              <w:bottom w:val="single" w:sz="4" w:space="0" w:color="auto"/>
              <w:right w:val="single" w:sz="4" w:space="0" w:color="auto"/>
            </w:tcBorders>
            <w:shd w:val="clear" w:color="auto" w:fill="auto"/>
            <w:noWrap/>
            <w:vAlign w:val="bottom"/>
            <w:hideMark/>
          </w:tcPr>
          <w:p w14:paraId="0507EEB7"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0,028</w:t>
            </w:r>
          </w:p>
        </w:tc>
        <w:tc>
          <w:tcPr>
            <w:tcW w:w="945" w:type="dxa"/>
            <w:tcBorders>
              <w:top w:val="nil"/>
              <w:left w:val="nil"/>
              <w:bottom w:val="single" w:sz="4" w:space="0" w:color="auto"/>
              <w:right w:val="single" w:sz="4" w:space="0" w:color="auto"/>
            </w:tcBorders>
            <w:shd w:val="clear" w:color="auto" w:fill="auto"/>
            <w:noWrap/>
            <w:vAlign w:val="center"/>
            <w:hideMark/>
          </w:tcPr>
          <w:p w14:paraId="1C5D98A8"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4DB62505"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5FB70F4D"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0,115</w:t>
            </w:r>
          </w:p>
        </w:tc>
        <w:tc>
          <w:tcPr>
            <w:tcW w:w="779" w:type="dxa"/>
            <w:tcBorders>
              <w:top w:val="nil"/>
              <w:left w:val="nil"/>
              <w:bottom w:val="single" w:sz="4" w:space="0" w:color="auto"/>
              <w:right w:val="single" w:sz="4" w:space="0" w:color="auto"/>
            </w:tcBorders>
            <w:shd w:val="clear" w:color="auto" w:fill="auto"/>
            <w:noWrap/>
            <w:vAlign w:val="bottom"/>
            <w:hideMark/>
          </w:tcPr>
          <w:p w14:paraId="0CD2D8B0"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0FCF9801"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0,449</w:t>
            </w:r>
          </w:p>
        </w:tc>
        <w:tc>
          <w:tcPr>
            <w:tcW w:w="779" w:type="dxa"/>
            <w:tcBorders>
              <w:top w:val="nil"/>
              <w:left w:val="nil"/>
              <w:bottom w:val="single" w:sz="4" w:space="0" w:color="auto"/>
              <w:right w:val="single" w:sz="4" w:space="0" w:color="auto"/>
            </w:tcBorders>
            <w:shd w:val="clear" w:color="auto" w:fill="auto"/>
            <w:noWrap/>
            <w:vAlign w:val="center"/>
            <w:hideMark/>
          </w:tcPr>
          <w:p w14:paraId="2A071D74"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6E01C2BB"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0,589</w:t>
            </w:r>
          </w:p>
        </w:tc>
        <w:tc>
          <w:tcPr>
            <w:tcW w:w="779" w:type="dxa"/>
            <w:tcBorders>
              <w:top w:val="nil"/>
              <w:left w:val="nil"/>
              <w:bottom w:val="single" w:sz="4" w:space="0" w:color="auto"/>
              <w:right w:val="single" w:sz="4" w:space="0" w:color="auto"/>
            </w:tcBorders>
            <w:shd w:val="clear" w:color="auto" w:fill="auto"/>
            <w:noWrap/>
            <w:vAlign w:val="bottom"/>
            <w:hideMark/>
          </w:tcPr>
          <w:p w14:paraId="549866BC"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0,003</w:t>
            </w:r>
          </w:p>
        </w:tc>
        <w:tc>
          <w:tcPr>
            <w:tcW w:w="779" w:type="dxa"/>
            <w:tcBorders>
              <w:top w:val="nil"/>
              <w:left w:val="nil"/>
              <w:bottom w:val="single" w:sz="4" w:space="0" w:color="auto"/>
              <w:right w:val="single" w:sz="4" w:space="0" w:color="auto"/>
            </w:tcBorders>
            <w:shd w:val="clear" w:color="auto" w:fill="auto"/>
            <w:noWrap/>
            <w:vAlign w:val="bottom"/>
            <w:hideMark/>
          </w:tcPr>
          <w:p w14:paraId="75AA1C3A"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1A09C66C"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hideMark/>
          </w:tcPr>
          <w:p w14:paraId="040DDFB3"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r>
      <w:tr w:rsidR="009561A2" w:rsidRPr="00461C16" w14:paraId="59F6EE44"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249083E8" w14:textId="77777777" w:rsidR="009561A2" w:rsidRPr="00F5625D" w:rsidRDefault="009561A2"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Z96</w:t>
            </w:r>
          </w:p>
        </w:tc>
        <w:tc>
          <w:tcPr>
            <w:tcW w:w="3453" w:type="dxa"/>
            <w:tcBorders>
              <w:top w:val="nil"/>
              <w:left w:val="nil"/>
              <w:bottom w:val="single" w:sz="4" w:space="0" w:color="auto"/>
              <w:right w:val="single" w:sz="4" w:space="0" w:color="auto"/>
            </w:tcBorders>
            <w:shd w:val="clear" w:color="auto" w:fill="auto"/>
            <w:noWrap/>
            <w:vAlign w:val="center"/>
            <w:hideMark/>
          </w:tcPr>
          <w:p w14:paraId="572127B5" w14:textId="77777777" w:rsidR="009561A2" w:rsidRPr="00F5625D" w:rsidRDefault="009561A2"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hideMark/>
          </w:tcPr>
          <w:p w14:paraId="2DFD2F16"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0,607</w:t>
            </w:r>
          </w:p>
        </w:tc>
        <w:tc>
          <w:tcPr>
            <w:tcW w:w="779" w:type="dxa"/>
            <w:tcBorders>
              <w:top w:val="nil"/>
              <w:left w:val="nil"/>
              <w:bottom w:val="single" w:sz="4" w:space="0" w:color="auto"/>
              <w:right w:val="single" w:sz="4" w:space="0" w:color="auto"/>
            </w:tcBorders>
            <w:shd w:val="clear" w:color="auto" w:fill="auto"/>
            <w:noWrap/>
            <w:vAlign w:val="bottom"/>
            <w:hideMark/>
          </w:tcPr>
          <w:p w14:paraId="65041AC8"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hideMark/>
          </w:tcPr>
          <w:p w14:paraId="698468E9"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17B98EF5"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4AE1E73"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66D30C9F"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99830B7"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0,607</w:t>
            </w:r>
          </w:p>
        </w:tc>
        <w:tc>
          <w:tcPr>
            <w:tcW w:w="779" w:type="dxa"/>
            <w:tcBorders>
              <w:top w:val="nil"/>
              <w:left w:val="nil"/>
              <w:bottom w:val="single" w:sz="4" w:space="0" w:color="auto"/>
              <w:right w:val="single" w:sz="4" w:space="0" w:color="auto"/>
            </w:tcBorders>
            <w:shd w:val="clear" w:color="auto" w:fill="auto"/>
            <w:noWrap/>
            <w:vAlign w:val="center"/>
            <w:hideMark/>
          </w:tcPr>
          <w:p w14:paraId="6E91A71B"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64C4B3B6"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692F4586"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0,607</w:t>
            </w:r>
          </w:p>
        </w:tc>
        <w:tc>
          <w:tcPr>
            <w:tcW w:w="779" w:type="dxa"/>
            <w:tcBorders>
              <w:top w:val="nil"/>
              <w:left w:val="nil"/>
              <w:bottom w:val="single" w:sz="4" w:space="0" w:color="auto"/>
              <w:right w:val="single" w:sz="4" w:space="0" w:color="auto"/>
            </w:tcBorders>
            <w:shd w:val="clear" w:color="auto" w:fill="auto"/>
            <w:noWrap/>
            <w:vAlign w:val="bottom"/>
            <w:hideMark/>
          </w:tcPr>
          <w:p w14:paraId="558B21E9"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55A0C7A0"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hideMark/>
          </w:tcPr>
          <w:p w14:paraId="1417391E"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r>
      <w:tr w:rsidR="009561A2" w:rsidRPr="00461C16" w14:paraId="0CB01A9E"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center"/>
            <w:hideMark/>
          </w:tcPr>
          <w:p w14:paraId="711F93A5" w14:textId="77777777" w:rsidR="009561A2" w:rsidRPr="00F5625D" w:rsidRDefault="009561A2"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Z97</w:t>
            </w:r>
          </w:p>
        </w:tc>
        <w:tc>
          <w:tcPr>
            <w:tcW w:w="3453" w:type="dxa"/>
            <w:tcBorders>
              <w:top w:val="nil"/>
              <w:left w:val="nil"/>
              <w:bottom w:val="single" w:sz="4" w:space="0" w:color="auto"/>
              <w:right w:val="single" w:sz="4" w:space="0" w:color="auto"/>
            </w:tcBorders>
            <w:shd w:val="clear" w:color="auto" w:fill="auto"/>
            <w:noWrap/>
            <w:vAlign w:val="center"/>
            <w:hideMark/>
          </w:tcPr>
          <w:p w14:paraId="63702530" w14:textId="77777777" w:rsidR="009561A2" w:rsidRPr="00F5625D" w:rsidRDefault="009561A2"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hideMark/>
          </w:tcPr>
          <w:p w14:paraId="604F9334"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0,766</w:t>
            </w:r>
          </w:p>
        </w:tc>
        <w:tc>
          <w:tcPr>
            <w:tcW w:w="779" w:type="dxa"/>
            <w:tcBorders>
              <w:top w:val="nil"/>
              <w:left w:val="nil"/>
              <w:bottom w:val="single" w:sz="4" w:space="0" w:color="auto"/>
              <w:right w:val="single" w:sz="4" w:space="0" w:color="auto"/>
            </w:tcBorders>
            <w:shd w:val="clear" w:color="auto" w:fill="auto"/>
            <w:noWrap/>
            <w:vAlign w:val="bottom"/>
            <w:hideMark/>
          </w:tcPr>
          <w:p w14:paraId="67CF19E4"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hideMark/>
          </w:tcPr>
          <w:p w14:paraId="0F211E2B"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048EFF0A"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7CDAC492"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6FB4201A"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6C408A71"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0,766</w:t>
            </w:r>
          </w:p>
        </w:tc>
        <w:tc>
          <w:tcPr>
            <w:tcW w:w="779" w:type="dxa"/>
            <w:tcBorders>
              <w:top w:val="nil"/>
              <w:left w:val="nil"/>
              <w:bottom w:val="single" w:sz="4" w:space="0" w:color="auto"/>
              <w:right w:val="single" w:sz="4" w:space="0" w:color="auto"/>
            </w:tcBorders>
            <w:shd w:val="clear" w:color="auto" w:fill="auto"/>
            <w:noWrap/>
            <w:vAlign w:val="center"/>
            <w:hideMark/>
          </w:tcPr>
          <w:p w14:paraId="030BFAC7"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7DA06328"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0,068</w:t>
            </w:r>
          </w:p>
        </w:tc>
        <w:tc>
          <w:tcPr>
            <w:tcW w:w="779" w:type="dxa"/>
            <w:tcBorders>
              <w:top w:val="nil"/>
              <w:left w:val="nil"/>
              <w:bottom w:val="single" w:sz="4" w:space="0" w:color="auto"/>
              <w:right w:val="single" w:sz="4" w:space="0" w:color="auto"/>
            </w:tcBorders>
            <w:shd w:val="clear" w:color="auto" w:fill="auto"/>
            <w:noWrap/>
            <w:vAlign w:val="bottom"/>
            <w:hideMark/>
          </w:tcPr>
          <w:p w14:paraId="0D08DE96"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0,697</w:t>
            </w:r>
          </w:p>
        </w:tc>
        <w:tc>
          <w:tcPr>
            <w:tcW w:w="779" w:type="dxa"/>
            <w:tcBorders>
              <w:top w:val="nil"/>
              <w:left w:val="nil"/>
              <w:bottom w:val="single" w:sz="4" w:space="0" w:color="auto"/>
              <w:right w:val="single" w:sz="4" w:space="0" w:color="auto"/>
            </w:tcBorders>
            <w:shd w:val="clear" w:color="auto" w:fill="auto"/>
            <w:noWrap/>
            <w:vAlign w:val="bottom"/>
            <w:hideMark/>
          </w:tcPr>
          <w:p w14:paraId="284FDE03"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hideMark/>
          </w:tcPr>
          <w:p w14:paraId="1B04D170"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hideMark/>
          </w:tcPr>
          <w:p w14:paraId="22E37FF2" w14:textId="77777777" w:rsidR="009561A2" w:rsidRPr="00F5625D" w:rsidRDefault="009561A2"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r>
      <w:tr w:rsidR="00C2307A" w:rsidRPr="00461C16" w14:paraId="6D62F92F" w14:textId="77777777" w:rsidTr="00C2307A">
        <w:tc>
          <w:tcPr>
            <w:tcW w:w="872" w:type="dxa"/>
            <w:tcBorders>
              <w:top w:val="nil"/>
              <w:left w:val="single" w:sz="4" w:space="0" w:color="auto"/>
              <w:bottom w:val="single" w:sz="4" w:space="0" w:color="auto"/>
              <w:right w:val="single" w:sz="4" w:space="0" w:color="auto"/>
            </w:tcBorders>
            <w:shd w:val="clear" w:color="auto" w:fill="auto"/>
            <w:noWrap/>
            <w:vAlign w:val="center"/>
          </w:tcPr>
          <w:p w14:paraId="5AF9DF9C" w14:textId="77777777" w:rsidR="00C2307A" w:rsidRPr="00F5625D" w:rsidRDefault="00D95A3B" w:rsidP="00F32B0C">
            <w:pPr>
              <w:spacing w:before="20" w:after="20" w:line="240" w:lineRule="auto"/>
              <w:jc w:val="left"/>
              <w:rPr>
                <w:rFonts w:eastAsia="Times New Roman"/>
                <w:color w:val="000000"/>
                <w:sz w:val="20"/>
                <w:szCs w:val="20"/>
                <w:lang w:eastAsia="cs-CZ"/>
              </w:rPr>
            </w:pPr>
            <w:r w:rsidRPr="00F5625D">
              <w:rPr>
                <w:rFonts w:eastAsia="Times New Roman"/>
                <w:sz w:val="20"/>
                <w:szCs w:val="20"/>
                <w:lang w:eastAsia="cs-CZ"/>
              </w:rPr>
              <w:t>Z102</w:t>
            </w:r>
          </w:p>
        </w:tc>
        <w:tc>
          <w:tcPr>
            <w:tcW w:w="3453" w:type="dxa"/>
            <w:tcBorders>
              <w:top w:val="nil"/>
              <w:left w:val="nil"/>
              <w:bottom w:val="single" w:sz="4" w:space="0" w:color="auto"/>
              <w:right w:val="single" w:sz="4" w:space="0" w:color="auto"/>
            </w:tcBorders>
            <w:shd w:val="clear" w:color="auto" w:fill="auto"/>
            <w:noWrap/>
            <w:vAlign w:val="center"/>
          </w:tcPr>
          <w:p w14:paraId="3F045710" w14:textId="77777777" w:rsidR="00C2307A" w:rsidRPr="00F5625D" w:rsidRDefault="00C2307A"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tcPr>
          <w:p w14:paraId="248CD02A" w14:textId="77777777" w:rsidR="00C2307A" w:rsidRPr="00F5625D" w:rsidRDefault="006B4FE6"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0,156</w:t>
            </w:r>
          </w:p>
        </w:tc>
        <w:tc>
          <w:tcPr>
            <w:tcW w:w="779" w:type="dxa"/>
            <w:tcBorders>
              <w:top w:val="nil"/>
              <w:left w:val="nil"/>
              <w:bottom w:val="single" w:sz="4" w:space="0" w:color="auto"/>
              <w:right w:val="single" w:sz="4" w:space="0" w:color="auto"/>
            </w:tcBorders>
            <w:shd w:val="clear" w:color="auto" w:fill="auto"/>
            <w:noWrap/>
            <w:vAlign w:val="center"/>
          </w:tcPr>
          <w:p w14:paraId="491A9C72"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tcPr>
          <w:p w14:paraId="1CF09C4E"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55A91C79"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53B63A61"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0,156</w:t>
            </w:r>
          </w:p>
        </w:tc>
        <w:tc>
          <w:tcPr>
            <w:tcW w:w="779" w:type="dxa"/>
            <w:tcBorders>
              <w:top w:val="nil"/>
              <w:left w:val="nil"/>
              <w:bottom w:val="single" w:sz="4" w:space="0" w:color="auto"/>
              <w:right w:val="single" w:sz="4" w:space="0" w:color="auto"/>
            </w:tcBorders>
            <w:shd w:val="clear" w:color="auto" w:fill="auto"/>
            <w:noWrap/>
            <w:vAlign w:val="center"/>
          </w:tcPr>
          <w:p w14:paraId="10EA6EB6"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0CA5FCEF"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56E514DF"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2D5E83C2"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1DF16DAA"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0,156</w:t>
            </w:r>
          </w:p>
        </w:tc>
        <w:tc>
          <w:tcPr>
            <w:tcW w:w="779" w:type="dxa"/>
            <w:tcBorders>
              <w:top w:val="nil"/>
              <w:left w:val="nil"/>
              <w:bottom w:val="single" w:sz="4" w:space="0" w:color="auto"/>
              <w:right w:val="single" w:sz="4" w:space="0" w:color="auto"/>
            </w:tcBorders>
            <w:shd w:val="clear" w:color="auto" w:fill="auto"/>
            <w:noWrap/>
            <w:vAlign w:val="center"/>
          </w:tcPr>
          <w:p w14:paraId="5208D179"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3758EA12"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tcPr>
          <w:p w14:paraId="69188995" w14:textId="77777777" w:rsidR="00C2307A" w:rsidRPr="00F5625D" w:rsidRDefault="00290312" w:rsidP="00F32B0C">
            <w:pPr>
              <w:spacing w:before="20" w:after="20" w:line="240" w:lineRule="auto"/>
              <w:jc w:val="right"/>
              <w:rPr>
                <w:rFonts w:eastAsia="Times New Roman"/>
                <w:color w:val="000000"/>
                <w:sz w:val="20"/>
                <w:szCs w:val="20"/>
                <w:lang w:eastAsia="cs-CZ"/>
              </w:rPr>
            </w:pPr>
            <w:r w:rsidRPr="00F5625D">
              <w:rPr>
                <w:rFonts w:eastAsia="Times New Roman"/>
                <w:sz w:val="20"/>
                <w:szCs w:val="20"/>
                <w:lang w:eastAsia="cs-CZ"/>
              </w:rPr>
              <w:t>0,0000</w:t>
            </w:r>
          </w:p>
        </w:tc>
      </w:tr>
      <w:tr w:rsidR="005133D5" w:rsidRPr="00461C16" w14:paraId="7F181FEF" w14:textId="77777777" w:rsidTr="00C2307A">
        <w:tc>
          <w:tcPr>
            <w:tcW w:w="872" w:type="dxa"/>
            <w:tcBorders>
              <w:top w:val="nil"/>
              <w:left w:val="single" w:sz="4" w:space="0" w:color="auto"/>
              <w:bottom w:val="single" w:sz="4" w:space="0" w:color="auto"/>
              <w:right w:val="single" w:sz="4" w:space="0" w:color="auto"/>
            </w:tcBorders>
            <w:shd w:val="clear" w:color="auto" w:fill="auto"/>
            <w:noWrap/>
            <w:vAlign w:val="center"/>
          </w:tcPr>
          <w:p w14:paraId="08FE7B09" w14:textId="77777777" w:rsidR="005133D5" w:rsidRPr="00F5625D" w:rsidRDefault="00D95A3B" w:rsidP="00F32B0C">
            <w:pPr>
              <w:spacing w:before="20" w:after="20" w:line="240" w:lineRule="auto"/>
              <w:jc w:val="left"/>
              <w:rPr>
                <w:rFonts w:eastAsia="Times New Roman"/>
                <w:sz w:val="20"/>
                <w:szCs w:val="20"/>
                <w:lang w:eastAsia="cs-CZ"/>
              </w:rPr>
            </w:pPr>
            <w:r w:rsidRPr="00F5625D">
              <w:rPr>
                <w:rFonts w:eastAsia="Times New Roman"/>
                <w:sz w:val="20"/>
                <w:szCs w:val="20"/>
                <w:lang w:eastAsia="cs-CZ"/>
              </w:rPr>
              <w:t>Z103</w:t>
            </w:r>
          </w:p>
        </w:tc>
        <w:tc>
          <w:tcPr>
            <w:tcW w:w="3453" w:type="dxa"/>
            <w:tcBorders>
              <w:top w:val="nil"/>
              <w:left w:val="nil"/>
              <w:bottom w:val="single" w:sz="4" w:space="0" w:color="auto"/>
              <w:right w:val="single" w:sz="4" w:space="0" w:color="auto"/>
            </w:tcBorders>
            <w:shd w:val="clear" w:color="auto" w:fill="auto"/>
            <w:noWrap/>
            <w:vAlign w:val="center"/>
          </w:tcPr>
          <w:p w14:paraId="25C2BE98" w14:textId="77777777" w:rsidR="005133D5" w:rsidRPr="00F5625D" w:rsidRDefault="005133D5"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tcPr>
          <w:p w14:paraId="3B169B25"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0,497</w:t>
            </w:r>
          </w:p>
        </w:tc>
        <w:tc>
          <w:tcPr>
            <w:tcW w:w="779" w:type="dxa"/>
            <w:tcBorders>
              <w:top w:val="nil"/>
              <w:left w:val="nil"/>
              <w:bottom w:val="single" w:sz="4" w:space="0" w:color="auto"/>
              <w:right w:val="single" w:sz="4" w:space="0" w:color="auto"/>
            </w:tcBorders>
            <w:shd w:val="clear" w:color="auto" w:fill="auto"/>
            <w:noWrap/>
            <w:vAlign w:val="center"/>
          </w:tcPr>
          <w:p w14:paraId="6D4AB0AE"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tcPr>
          <w:p w14:paraId="65690609"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091966CF"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2E89B704"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743EE78C"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2C45D08F"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0,497</w:t>
            </w:r>
          </w:p>
        </w:tc>
        <w:tc>
          <w:tcPr>
            <w:tcW w:w="779" w:type="dxa"/>
            <w:tcBorders>
              <w:top w:val="nil"/>
              <w:left w:val="nil"/>
              <w:bottom w:val="single" w:sz="4" w:space="0" w:color="auto"/>
              <w:right w:val="single" w:sz="4" w:space="0" w:color="auto"/>
            </w:tcBorders>
            <w:shd w:val="clear" w:color="auto" w:fill="auto"/>
            <w:noWrap/>
            <w:vAlign w:val="center"/>
          </w:tcPr>
          <w:p w14:paraId="0D5ECA9B"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088F48D2"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0,497</w:t>
            </w:r>
          </w:p>
        </w:tc>
        <w:tc>
          <w:tcPr>
            <w:tcW w:w="779" w:type="dxa"/>
            <w:tcBorders>
              <w:top w:val="nil"/>
              <w:left w:val="nil"/>
              <w:bottom w:val="single" w:sz="4" w:space="0" w:color="auto"/>
              <w:right w:val="single" w:sz="4" w:space="0" w:color="auto"/>
            </w:tcBorders>
            <w:shd w:val="clear" w:color="auto" w:fill="auto"/>
            <w:noWrap/>
            <w:vAlign w:val="center"/>
          </w:tcPr>
          <w:p w14:paraId="7BE94FB7"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40A41EDC"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7340AFAA"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tcPr>
          <w:p w14:paraId="13A0137B" w14:textId="77777777" w:rsidR="005133D5"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r>
      <w:tr w:rsidR="00D137F6" w:rsidRPr="00461C16" w14:paraId="6AFC79C6" w14:textId="77777777" w:rsidTr="00C2307A">
        <w:tc>
          <w:tcPr>
            <w:tcW w:w="872" w:type="dxa"/>
            <w:tcBorders>
              <w:top w:val="nil"/>
              <w:left w:val="single" w:sz="4" w:space="0" w:color="auto"/>
              <w:bottom w:val="single" w:sz="4" w:space="0" w:color="auto"/>
              <w:right w:val="single" w:sz="4" w:space="0" w:color="auto"/>
            </w:tcBorders>
            <w:shd w:val="clear" w:color="auto" w:fill="auto"/>
            <w:noWrap/>
            <w:vAlign w:val="center"/>
          </w:tcPr>
          <w:p w14:paraId="5B8E1440" w14:textId="77777777" w:rsidR="00D137F6" w:rsidRPr="00F5625D" w:rsidRDefault="00D95A3B" w:rsidP="00F32B0C">
            <w:pPr>
              <w:spacing w:before="20" w:after="20" w:line="240" w:lineRule="auto"/>
              <w:jc w:val="left"/>
              <w:rPr>
                <w:rFonts w:eastAsia="Times New Roman"/>
                <w:sz w:val="20"/>
                <w:szCs w:val="20"/>
                <w:lang w:eastAsia="cs-CZ"/>
              </w:rPr>
            </w:pPr>
            <w:r w:rsidRPr="00F5625D">
              <w:rPr>
                <w:rFonts w:eastAsia="Times New Roman"/>
                <w:sz w:val="20"/>
                <w:szCs w:val="20"/>
                <w:lang w:eastAsia="cs-CZ"/>
              </w:rPr>
              <w:t>Z104</w:t>
            </w:r>
          </w:p>
        </w:tc>
        <w:tc>
          <w:tcPr>
            <w:tcW w:w="3453" w:type="dxa"/>
            <w:tcBorders>
              <w:top w:val="nil"/>
              <w:left w:val="nil"/>
              <w:bottom w:val="single" w:sz="4" w:space="0" w:color="auto"/>
              <w:right w:val="single" w:sz="4" w:space="0" w:color="auto"/>
            </w:tcBorders>
            <w:shd w:val="clear" w:color="auto" w:fill="auto"/>
            <w:noWrap/>
            <w:vAlign w:val="center"/>
          </w:tcPr>
          <w:p w14:paraId="74ABC1F9" w14:textId="77777777" w:rsidR="00D137F6" w:rsidRPr="00F5625D" w:rsidRDefault="00D137F6"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tcPr>
          <w:p w14:paraId="7C3D6EC8"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0,184</w:t>
            </w:r>
          </w:p>
        </w:tc>
        <w:tc>
          <w:tcPr>
            <w:tcW w:w="779" w:type="dxa"/>
            <w:tcBorders>
              <w:top w:val="nil"/>
              <w:left w:val="nil"/>
              <w:bottom w:val="single" w:sz="4" w:space="0" w:color="auto"/>
              <w:right w:val="single" w:sz="4" w:space="0" w:color="auto"/>
            </w:tcBorders>
            <w:shd w:val="clear" w:color="auto" w:fill="auto"/>
            <w:noWrap/>
            <w:vAlign w:val="center"/>
          </w:tcPr>
          <w:p w14:paraId="5BCFDC46"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tcPr>
          <w:p w14:paraId="50425FBE"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1D5FCE99"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7F857D80"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0,184</w:t>
            </w:r>
          </w:p>
        </w:tc>
        <w:tc>
          <w:tcPr>
            <w:tcW w:w="779" w:type="dxa"/>
            <w:tcBorders>
              <w:top w:val="nil"/>
              <w:left w:val="nil"/>
              <w:bottom w:val="single" w:sz="4" w:space="0" w:color="auto"/>
              <w:right w:val="single" w:sz="4" w:space="0" w:color="auto"/>
            </w:tcBorders>
            <w:shd w:val="clear" w:color="auto" w:fill="auto"/>
            <w:noWrap/>
            <w:vAlign w:val="center"/>
          </w:tcPr>
          <w:p w14:paraId="3F2C8100"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295DAD40"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09CC3856"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7A99E4AD" w14:textId="77777777" w:rsidR="00D137F6" w:rsidRPr="00F5625D" w:rsidRDefault="00290312" w:rsidP="00A85FA8">
            <w:pPr>
              <w:spacing w:before="20" w:after="20" w:line="240" w:lineRule="auto"/>
              <w:jc w:val="right"/>
              <w:rPr>
                <w:rFonts w:eastAsia="Times New Roman"/>
                <w:sz w:val="20"/>
                <w:szCs w:val="20"/>
                <w:lang w:eastAsia="cs-CZ"/>
              </w:rPr>
            </w:pPr>
            <w:r w:rsidRPr="00F5625D">
              <w:rPr>
                <w:rFonts w:eastAsia="Times New Roman"/>
                <w:sz w:val="20"/>
                <w:szCs w:val="20"/>
                <w:lang w:eastAsia="cs-CZ"/>
              </w:rPr>
              <w:t>0,</w:t>
            </w:r>
            <w:r w:rsidR="00A85FA8">
              <w:rPr>
                <w:rFonts w:eastAsia="Times New Roman"/>
                <w:sz w:val="20"/>
                <w:szCs w:val="20"/>
                <w:lang w:eastAsia="cs-CZ"/>
              </w:rPr>
              <w:t>000</w:t>
            </w:r>
          </w:p>
        </w:tc>
        <w:tc>
          <w:tcPr>
            <w:tcW w:w="779" w:type="dxa"/>
            <w:tcBorders>
              <w:top w:val="nil"/>
              <w:left w:val="nil"/>
              <w:bottom w:val="single" w:sz="4" w:space="0" w:color="auto"/>
              <w:right w:val="single" w:sz="4" w:space="0" w:color="auto"/>
            </w:tcBorders>
            <w:shd w:val="clear" w:color="auto" w:fill="auto"/>
            <w:noWrap/>
            <w:vAlign w:val="center"/>
          </w:tcPr>
          <w:p w14:paraId="7CE6ABD8"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385B65FF"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2564AA1A" w14:textId="77777777" w:rsidR="00D137F6" w:rsidRPr="00F5625D" w:rsidRDefault="00290312" w:rsidP="00A85FA8">
            <w:pPr>
              <w:spacing w:before="20" w:after="20" w:line="240" w:lineRule="auto"/>
              <w:jc w:val="right"/>
              <w:rPr>
                <w:rFonts w:eastAsia="Times New Roman"/>
                <w:sz w:val="20"/>
                <w:szCs w:val="20"/>
                <w:lang w:eastAsia="cs-CZ"/>
              </w:rPr>
            </w:pPr>
            <w:r w:rsidRPr="00F5625D">
              <w:rPr>
                <w:rFonts w:eastAsia="Times New Roman"/>
                <w:sz w:val="20"/>
                <w:szCs w:val="20"/>
                <w:lang w:eastAsia="cs-CZ"/>
              </w:rPr>
              <w:t>0,</w:t>
            </w:r>
            <w:r w:rsidR="00A85FA8">
              <w:rPr>
                <w:rFonts w:eastAsia="Times New Roman"/>
                <w:sz w:val="20"/>
                <w:szCs w:val="20"/>
                <w:lang w:eastAsia="cs-CZ"/>
              </w:rPr>
              <w:t>184</w:t>
            </w:r>
          </w:p>
        </w:tc>
        <w:tc>
          <w:tcPr>
            <w:tcW w:w="845" w:type="dxa"/>
            <w:tcBorders>
              <w:top w:val="nil"/>
              <w:left w:val="nil"/>
              <w:bottom w:val="single" w:sz="4" w:space="0" w:color="auto"/>
              <w:right w:val="single" w:sz="4" w:space="0" w:color="auto"/>
            </w:tcBorders>
            <w:shd w:val="clear" w:color="auto" w:fill="auto"/>
            <w:noWrap/>
            <w:vAlign w:val="center"/>
          </w:tcPr>
          <w:p w14:paraId="21DE5F58" w14:textId="77777777" w:rsidR="00D137F6" w:rsidRPr="00F5625D" w:rsidRDefault="0029031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r>
      <w:tr w:rsidR="00D95A3B" w:rsidRPr="00461C16" w14:paraId="2C04CDC6" w14:textId="77777777" w:rsidTr="00C2307A">
        <w:tc>
          <w:tcPr>
            <w:tcW w:w="872" w:type="dxa"/>
            <w:tcBorders>
              <w:top w:val="nil"/>
              <w:left w:val="single" w:sz="4" w:space="0" w:color="auto"/>
              <w:bottom w:val="single" w:sz="4" w:space="0" w:color="auto"/>
              <w:right w:val="single" w:sz="4" w:space="0" w:color="auto"/>
            </w:tcBorders>
            <w:shd w:val="clear" w:color="auto" w:fill="auto"/>
            <w:noWrap/>
            <w:vAlign w:val="center"/>
          </w:tcPr>
          <w:p w14:paraId="72D893B8" w14:textId="77777777" w:rsidR="00D95A3B" w:rsidRPr="00F5625D" w:rsidRDefault="00D95A3B" w:rsidP="00F32B0C">
            <w:pPr>
              <w:spacing w:before="20" w:after="20" w:line="240" w:lineRule="auto"/>
              <w:jc w:val="left"/>
              <w:rPr>
                <w:rFonts w:eastAsia="Times New Roman"/>
                <w:sz w:val="20"/>
                <w:szCs w:val="20"/>
                <w:lang w:eastAsia="cs-CZ"/>
              </w:rPr>
            </w:pPr>
            <w:r w:rsidRPr="00F5625D">
              <w:rPr>
                <w:rFonts w:eastAsia="Times New Roman"/>
                <w:sz w:val="20"/>
                <w:szCs w:val="20"/>
                <w:lang w:eastAsia="cs-CZ"/>
              </w:rPr>
              <w:t>Z111</w:t>
            </w:r>
          </w:p>
        </w:tc>
        <w:tc>
          <w:tcPr>
            <w:tcW w:w="3453" w:type="dxa"/>
            <w:tcBorders>
              <w:top w:val="nil"/>
              <w:left w:val="nil"/>
              <w:bottom w:val="single" w:sz="4" w:space="0" w:color="auto"/>
              <w:right w:val="single" w:sz="4" w:space="0" w:color="auto"/>
            </w:tcBorders>
            <w:shd w:val="clear" w:color="auto" w:fill="auto"/>
            <w:noWrap/>
            <w:vAlign w:val="center"/>
          </w:tcPr>
          <w:p w14:paraId="79A7DE2B" w14:textId="77777777" w:rsidR="00D95A3B" w:rsidRPr="00F5625D" w:rsidRDefault="00D95A3B"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noWrap/>
            <w:vAlign w:val="center"/>
          </w:tcPr>
          <w:p w14:paraId="38032037"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0,102</w:t>
            </w:r>
          </w:p>
        </w:tc>
        <w:tc>
          <w:tcPr>
            <w:tcW w:w="779" w:type="dxa"/>
            <w:tcBorders>
              <w:top w:val="nil"/>
              <w:left w:val="nil"/>
              <w:bottom w:val="single" w:sz="4" w:space="0" w:color="auto"/>
              <w:right w:val="single" w:sz="4" w:space="0" w:color="auto"/>
            </w:tcBorders>
            <w:shd w:val="clear" w:color="auto" w:fill="auto"/>
            <w:noWrap/>
            <w:vAlign w:val="center"/>
          </w:tcPr>
          <w:p w14:paraId="6AF7BCEA"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center"/>
          </w:tcPr>
          <w:p w14:paraId="3D173C2B"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3F6C0B79"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2F00F03C"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0,102</w:t>
            </w:r>
          </w:p>
        </w:tc>
        <w:tc>
          <w:tcPr>
            <w:tcW w:w="779" w:type="dxa"/>
            <w:tcBorders>
              <w:top w:val="nil"/>
              <w:left w:val="nil"/>
              <w:bottom w:val="single" w:sz="4" w:space="0" w:color="auto"/>
              <w:right w:val="single" w:sz="4" w:space="0" w:color="auto"/>
            </w:tcBorders>
            <w:shd w:val="clear" w:color="auto" w:fill="auto"/>
            <w:noWrap/>
            <w:vAlign w:val="center"/>
          </w:tcPr>
          <w:p w14:paraId="520CE804"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542DC076"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7A3D54FE"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1DF28438"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7BC71A34"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0,102</w:t>
            </w:r>
          </w:p>
        </w:tc>
        <w:tc>
          <w:tcPr>
            <w:tcW w:w="779" w:type="dxa"/>
            <w:tcBorders>
              <w:top w:val="nil"/>
              <w:left w:val="nil"/>
              <w:bottom w:val="single" w:sz="4" w:space="0" w:color="auto"/>
              <w:right w:val="single" w:sz="4" w:space="0" w:color="auto"/>
            </w:tcBorders>
            <w:shd w:val="clear" w:color="auto" w:fill="auto"/>
            <w:noWrap/>
            <w:vAlign w:val="center"/>
          </w:tcPr>
          <w:p w14:paraId="20453022"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center"/>
          </w:tcPr>
          <w:p w14:paraId="195449EB"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center"/>
          </w:tcPr>
          <w:p w14:paraId="51A46D60" w14:textId="77777777" w:rsidR="00D95A3B" w:rsidRPr="00F5625D" w:rsidRDefault="00FC7BE2" w:rsidP="00F32B0C">
            <w:pPr>
              <w:spacing w:before="20" w:after="20" w:line="240" w:lineRule="auto"/>
              <w:jc w:val="right"/>
              <w:rPr>
                <w:rFonts w:eastAsia="Times New Roman"/>
                <w:sz w:val="20"/>
                <w:szCs w:val="20"/>
                <w:lang w:eastAsia="cs-CZ"/>
              </w:rPr>
            </w:pPr>
            <w:r w:rsidRPr="00F5625D">
              <w:rPr>
                <w:rFonts w:eastAsia="Times New Roman"/>
                <w:sz w:val="20"/>
                <w:szCs w:val="20"/>
                <w:lang w:eastAsia="cs-CZ"/>
              </w:rPr>
              <w:t>0,000</w:t>
            </w:r>
          </w:p>
        </w:tc>
      </w:tr>
      <w:tr w:rsidR="00D95A3B" w:rsidRPr="00461C16" w14:paraId="28684669" w14:textId="77777777" w:rsidTr="00F32B0C">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vAlign w:val="center"/>
            <w:hideMark/>
          </w:tcPr>
          <w:p w14:paraId="4F56ECDC" w14:textId="77777777" w:rsidR="00D95A3B" w:rsidRPr="00F5625D" w:rsidRDefault="00D95A3B" w:rsidP="00F32B0C">
            <w:pPr>
              <w:spacing w:before="20" w:after="20" w:line="240" w:lineRule="auto"/>
              <w:jc w:val="left"/>
              <w:rPr>
                <w:rFonts w:eastAsia="Times New Roman"/>
                <w:b/>
                <w:bCs/>
                <w:sz w:val="20"/>
                <w:szCs w:val="20"/>
                <w:lang w:eastAsia="cs-CZ"/>
              </w:rPr>
            </w:pPr>
            <w:r w:rsidRPr="00F5625D">
              <w:rPr>
                <w:rFonts w:eastAsia="Times New Roman"/>
                <w:b/>
                <w:bCs/>
                <w:sz w:val="20"/>
                <w:szCs w:val="20"/>
                <w:lang w:eastAsia="cs-CZ"/>
              </w:rPr>
              <w:t>Plochy bydlení celkem</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54C99C25" w14:textId="77777777" w:rsidR="00D95A3B" w:rsidRPr="00F5625D" w:rsidRDefault="00FC7BE2"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5,355</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55782AAE" w14:textId="77777777" w:rsidR="00D95A3B" w:rsidRPr="00F5625D" w:rsidRDefault="00FC7BE2"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1,307</w:t>
            </w:r>
          </w:p>
        </w:tc>
        <w:tc>
          <w:tcPr>
            <w:tcW w:w="945" w:type="dxa"/>
            <w:tcBorders>
              <w:top w:val="nil"/>
              <w:left w:val="nil"/>
              <w:bottom w:val="single" w:sz="4" w:space="0" w:color="auto"/>
              <w:right w:val="single" w:sz="4" w:space="0" w:color="auto"/>
            </w:tcBorders>
            <w:shd w:val="clear" w:color="auto" w:fill="C2D69B" w:themeFill="accent3" w:themeFillTint="99"/>
            <w:vAlign w:val="center"/>
            <w:hideMark/>
          </w:tcPr>
          <w:p w14:paraId="7E0A3CFC"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69D27F56"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4B6C06BE" w14:textId="77777777" w:rsidR="00D95A3B" w:rsidRPr="00F5625D" w:rsidRDefault="00FC7BE2"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0,738</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0A4B9492"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108F6DF3" w14:textId="77777777" w:rsidR="00D95A3B" w:rsidRPr="00F5625D" w:rsidRDefault="00FC7BE2"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3,311</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6979ACA3"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7BE0CD3E" w14:textId="77777777" w:rsidR="00D95A3B" w:rsidRPr="00F5625D" w:rsidRDefault="00D95A3B" w:rsidP="00FC7BE2">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2,</w:t>
            </w:r>
            <w:r w:rsidR="00A85FA8">
              <w:rPr>
                <w:rFonts w:eastAsia="Times New Roman"/>
                <w:b/>
                <w:bCs/>
                <w:sz w:val="20"/>
                <w:szCs w:val="20"/>
                <w:lang w:eastAsia="cs-CZ"/>
              </w:rPr>
              <w:t>2,597</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7A2EB02B" w14:textId="77777777" w:rsidR="00D95A3B" w:rsidRPr="00F5625D" w:rsidRDefault="00FC7BE2"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1,565</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6C294A25" w14:textId="77777777" w:rsidR="00D95A3B" w:rsidRPr="00F5625D" w:rsidRDefault="00FC7BE2"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0,898</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070E5645" w14:textId="77777777" w:rsidR="00D95A3B" w:rsidRPr="00F5625D" w:rsidRDefault="00A85FA8"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0,29</w:t>
            </w:r>
          </w:p>
        </w:tc>
        <w:tc>
          <w:tcPr>
            <w:tcW w:w="845" w:type="dxa"/>
            <w:tcBorders>
              <w:top w:val="nil"/>
              <w:left w:val="nil"/>
              <w:bottom w:val="single" w:sz="4" w:space="0" w:color="auto"/>
              <w:right w:val="single" w:sz="4" w:space="0" w:color="auto"/>
            </w:tcBorders>
            <w:shd w:val="clear" w:color="auto" w:fill="C2D69B" w:themeFill="accent3" w:themeFillTint="99"/>
            <w:vAlign w:val="center"/>
            <w:hideMark/>
          </w:tcPr>
          <w:p w14:paraId="4C104D0A"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r>
      <w:tr w:rsidR="00D95A3B" w:rsidRPr="00461C16" w14:paraId="680FAF36"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bottom"/>
            <w:hideMark/>
          </w:tcPr>
          <w:p w14:paraId="4361F273" w14:textId="77777777" w:rsidR="00D95A3B" w:rsidRPr="00F5625D" w:rsidRDefault="00D95A3B"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P15</w:t>
            </w:r>
          </w:p>
        </w:tc>
        <w:tc>
          <w:tcPr>
            <w:tcW w:w="3453" w:type="dxa"/>
            <w:tcBorders>
              <w:top w:val="nil"/>
              <w:left w:val="nil"/>
              <w:bottom w:val="single" w:sz="4" w:space="0" w:color="auto"/>
              <w:right w:val="single" w:sz="4" w:space="0" w:color="auto"/>
            </w:tcBorders>
            <w:shd w:val="clear" w:color="auto" w:fill="auto"/>
            <w:noWrap/>
            <w:vAlign w:val="center"/>
            <w:hideMark/>
          </w:tcPr>
          <w:p w14:paraId="1F9F0A7C" w14:textId="77777777" w:rsidR="00D95A3B" w:rsidRPr="00F5625D" w:rsidRDefault="00D95A3B"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vAlign w:val="bottom"/>
            <w:hideMark/>
          </w:tcPr>
          <w:p w14:paraId="3361EF52"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0,511</w:t>
            </w:r>
          </w:p>
        </w:tc>
        <w:tc>
          <w:tcPr>
            <w:tcW w:w="779" w:type="dxa"/>
            <w:tcBorders>
              <w:top w:val="nil"/>
              <w:left w:val="nil"/>
              <w:bottom w:val="single" w:sz="4" w:space="0" w:color="auto"/>
              <w:right w:val="single" w:sz="4" w:space="0" w:color="auto"/>
            </w:tcBorders>
            <w:shd w:val="clear" w:color="auto" w:fill="auto"/>
            <w:noWrap/>
            <w:vAlign w:val="bottom"/>
            <w:hideMark/>
          </w:tcPr>
          <w:p w14:paraId="4F26E013"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bottom"/>
            <w:hideMark/>
          </w:tcPr>
          <w:p w14:paraId="216F1717"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3DD58D32"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49687B6"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5DE13512"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23BDD938"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0,511</w:t>
            </w:r>
          </w:p>
        </w:tc>
        <w:tc>
          <w:tcPr>
            <w:tcW w:w="779" w:type="dxa"/>
            <w:tcBorders>
              <w:top w:val="nil"/>
              <w:left w:val="nil"/>
              <w:bottom w:val="single" w:sz="4" w:space="0" w:color="auto"/>
              <w:right w:val="single" w:sz="4" w:space="0" w:color="auto"/>
            </w:tcBorders>
            <w:shd w:val="clear" w:color="auto" w:fill="auto"/>
            <w:noWrap/>
            <w:vAlign w:val="bottom"/>
            <w:hideMark/>
          </w:tcPr>
          <w:p w14:paraId="4542FF7A"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364FC5C2"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2D628689"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37CFEE31"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0,157</w:t>
            </w:r>
          </w:p>
        </w:tc>
        <w:tc>
          <w:tcPr>
            <w:tcW w:w="779" w:type="dxa"/>
            <w:tcBorders>
              <w:top w:val="nil"/>
              <w:left w:val="nil"/>
              <w:bottom w:val="single" w:sz="4" w:space="0" w:color="auto"/>
              <w:right w:val="single" w:sz="4" w:space="0" w:color="auto"/>
            </w:tcBorders>
            <w:shd w:val="clear" w:color="auto" w:fill="auto"/>
            <w:noWrap/>
            <w:vAlign w:val="bottom"/>
            <w:hideMark/>
          </w:tcPr>
          <w:p w14:paraId="3EF19F06"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0,354</w:t>
            </w:r>
          </w:p>
        </w:tc>
        <w:tc>
          <w:tcPr>
            <w:tcW w:w="845" w:type="dxa"/>
            <w:tcBorders>
              <w:top w:val="nil"/>
              <w:left w:val="nil"/>
              <w:bottom w:val="single" w:sz="4" w:space="0" w:color="auto"/>
              <w:right w:val="single" w:sz="4" w:space="0" w:color="auto"/>
            </w:tcBorders>
            <w:shd w:val="clear" w:color="auto" w:fill="auto"/>
            <w:noWrap/>
            <w:vAlign w:val="bottom"/>
            <w:hideMark/>
          </w:tcPr>
          <w:p w14:paraId="566E7F1F"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r>
      <w:tr w:rsidR="00D95A3B" w:rsidRPr="00461C16" w14:paraId="12F0422F"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bottom"/>
            <w:hideMark/>
          </w:tcPr>
          <w:p w14:paraId="3CC19A7C" w14:textId="77777777" w:rsidR="00D95A3B" w:rsidRPr="00F5625D" w:rsidRDefault="00D95A3B"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Z85</w:t>
            </w:r>
          </w:p>
        </w:tc>
        <w:tc>
          <w:tcPr>
            <w:tcW w:w="3453" w:type="dxa"/>
            <w:tcBorders>
              <w:top w:val="nil"/>
              <w:left w:val="nil"/>
              <w:bottom w:val="single" w:sz="4" w:space="0" w:color="auto"/>
              <w:right w:val="single" w:sz="4" w:space="0" w:color="auto"/>
            </w:tcBorders>
            <w:shd w:val="clear" w:color="auto" w:fill="auto"/>
            <w:noWrap/>
            <w:vAlign w:val="center"/>
            <w:hideMark/>
          </w:tcPr>
          <w:p w14:paraId="6A506827" w14:textId="77777777" w:rsidR="00D95A3B" w:rsidRPr="00F5625D" w:rsidRDefault="00D95A3B"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vAlign w:val="bottom"/>
            <w:hideMark/>
          </w:tcPr>
          <w:p w14:paraId="29B88998"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0,123</w:t>
            </w:r>
          </w:p>
        </w:tc>
        <w:tc>
          <w:tcPr>
            <w:tcW w:w="779" w:type="dxa"/>
            <w:tcBorders>
              <w:top w:val="nil"/>
              <w:left w:val="nil"/>
              <w:bottom w:val="single" w:sz="4" w:space="0" w:color="auto"/>
              <w:right w:val="single" w:sz="4" w:space="0" w:color="auto"/>
            </w:tcBorders>
            <w:shd w:val="clear" w:color="auto" w:fill="auto"/>
            <w:noWrap/>
            <w:vAlign w:val="bottom"/>
            <w:hideMark/>
          </w:tcPr>
          <w:p w14:paraId="27835580"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bottom"/>
            <w:hideMark/>
          </w:tcPr>
          <w:p w14:paraId="7473DBB3"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1BC057D1"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3CF5B515"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3930BD66"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1DDEB292"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0,123</w:t>
            </w:r>
          </w:p>
        </w:tc>
        <w:tc>
          <w:tcPr>
            <w:tcW w:w="779" w:type="dxa"/>
            <w:tcBorders>
              <w:top w:val="nil"/>
              <w:left w:val="nil"/>
              <w:bottom w:val="single" w:sz="4" w:space="0" w:color="auto"/>
              <w:right w:val="single" w:sz="4" w:space="0" w:color="auto"/>
            </w:tcBorders>
            <w:shd w:val="clear" w:color="auto" w:fill="auto"/>
            <w:noWrap/>
            <w:vAlign w:val="bottom"/>
            <w:hideMark/>
          </w:tcPr>
          <w:p w14:paraId="03754D94"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62DE5A1"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0,123</w:t>
            </w:r>
          </w:p>
        </w:tc>
        <w:tc>
          <w:tcPr>
            <w:tcW w:w="779" w:type="dxa"/>
            <w:tcBorders>
              <w:top w:val="nil"/>
              <w:left w:val="nil"/>
              <w:bottom w:val="single" w:sz="4" w:space="0" w:color="auto"/>
              <w:right w:val="single" w:sz="4" w:space="0" w:color="auto"/>
            </w:tcBorders>
            <w:shd w:val="clear" w:color="auto" w:fill="auto"/>
            <w:noWrap/>
            <w:vAlign w:val="bottom"/>
            <w:hideMark/>
          </w:tcPr>
          <w:p w14:paraId="69CF3A89"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E058CEF"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5FC8DA2"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vAlign w:val="bottom"/>
            <w:hideMark/>
          </w:tcPr>
          <w:p w14:paraId="04D24D68"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r>
      <w:tr w:rsidR="00D95A3B" w:rsidRPr="00461C16" w14:paraId="09D215D2" w14:textId="77777777" w:rsidTr="00F32B0C">
        <w:tc>
          <w:tcPr>
            <w:tcW w:w="872" w:type="dxa"/>
            <w:tcBorders>
              <w:top w:val="nil"/>
              <w:left w:val="single" w:sz="4" w:space="0" w:color="auto"/>
              <w:bottom w:val="single" w:sz="4" w:space="0" w:color="auto"/>
              <w:right w:val="single" w:sz="4" w:space="0" w:color="auto"/>
            </w:tcBorders>
            <w:shd w:val="clear" w:color="auto" w:fill="auto"/>
            <w:noWrap/>
            <w:vAlign w:val="bottom"/>
            <w:hideMark/>
          </w:tcPr>
          <w:p w14:paraId="2627CFC8" w14:textId="77777777" w:rsidR="00D95A3B" w:rsidRPr="00F5625D" w:rsidRDefault="00D95A3B"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Z86</w:t>
            </w:r>
          </w:p>
        </w:tc>
        <w:tc>
          <w:tcPr>
            <w:tcW w:w="3453" w:type="dxa"/>
            <w:tcBorders>
              <w:top w:val="nil"/>
              <w:left w:val="nil"/>
              <w:bottom w:val="single" w:sz="4" w:space="0" w:color="auto"/>
              <w:right w:val="single" w:sz="4" w:space="0" w:color="auto"/>
            </w:tcBorders>
            <w:shd w:val="clear" w:color="auto" w:fill="auto"/>
            <w:noWrap/>
            <w:vAlign w:val="center"/>
            <w:hideMark/>
          </w:tcPr>
          <w:p w14:paraId="605AE2CD" w14:textId="77777777" w:rsidR="00D95A3B" w:rsidRPr="00F5625D" w:rsidRDefault="00D95A3B" w:rsidP="00F32B0C">
            <w:pPr>
              <w:spacing w:before="20" w:after="20" w:line="240" w:lineRule="auto"/>
              <w:jc w:val="left"/>
              <w:rPr>
                <w:rFonts w:eastAsia="Times New Roman"/>
                <w:color w:val="000000"/>
                <w:sz w:val="20"/>
                <w:szCs w:val="20"/>
                <w:lang w:eastAsia="cs-CZ"/>
              </w:rPr>
            </w:pPr>
            <w:r w:rsidRPr="00F5625D">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noWrap/>
            <w:vAlign w:val="bottom"/>
            <w:hideMark/>
          </w:tcPr>
          <w:p w14:paraId="19BBC6B0"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1,077</w:t>
            </w:r>
          </w:p>
        </w:tc>
        <w:tc>
          <w:tcPr>
            <w:tcW w:w="779" w:type="dxa"/>
            <w:tcBorders>
              <w:top w:val="nil"/>
              <w:left w:val="nil"/>
              <w:bottom w:val="single" w:sz="4" w:space="0" w:color="auto"/>
              <w:right w:val="single" w:sz="4" w:space="0" w:color="auto"/>
            </w:tcBorders>
            <w:shd w:val="clear" w:color="auto" w:fill="auto"/>
            <w:noWrap/>
            <w:vAlign w:val="bottom"/>
            <w:hideMark/>
          </w:tcPr>
          <w:p w14:paraId="53C21D36"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vAlign w:val="bottom"/>
            <w:hideMark/>
          </w:tcPr>
          <w:p w14:paraId="58E78133"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44546089"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74084DE5"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0,468</w:t>
            </w:r>
          </w:p>
        </w:tc>
        <w:tc>
          <w:tcPr>
            <w:tcW w:w="779" w:type="dxa"/>
            <w:tcBorders>
              <w:top w:val="nil"/>
              <w:left w:val="nil"/>
              <w:bottom w:val="single" w:sz="4" w:space="0" w:color="auto"/>
              <w:right w:val="single" w:sz="4" w:space="0" w:color="auto"/>
            </w:tcBorders>
            <w:shd w:val="clear" w:color="auto" w:fill="auto"/>
            <w:noWrap/>
            <w:vAlign w:val="bottom"/>
            <w:hideMark/>
          </w:tcPr>
          <w:p w14:paraId="7DA13A21"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2D401294"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0,609</w:t>
            </w:r>
          </w:p>
        </w:tc>
        <w:tc>
          <w:tcPr>
            <w:tcW w:w="779" w:type="dxa"/>
            <w:tcBorders>
              <w:top w:val="nil"/>
              <w:left w:val="nil"/>
              <w:bottom w:val="single" w:sz="4" w:space="0" w:color="auto"/>
              <w:right w:val="single" w:sz="4" w:space="0" w:color="auto"/>
            </w:tcBorders>
            <w:shd w:val="clear" w:color="auto" w:fill="auto"/>
            <w:noWrap/>
            <w:vAlign w:val="bottom"/>
            <w:hideMark/>
          </w:tcPr>
          <w:p w14:paraId="0E1584B8"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6A914F39"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63992961"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vAlign w:val="bottom"/>
            <w:hideMark/>
          </w:tcPr>
          <w:p w14:paraId="05D548C1"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0,731</w:t>
            </w:r>
          </w:p>
        </w:tc>
        <w:tc>
          <w:tcPr>
            <w:tcW w:w="779" w:type="dxa"/>
            <w:tcBorders>
              <w:top w:val="nil"/>
              <w:left w:val="nil"/>
              <w:bottom w:val="single" w:sz="4" w:space="0" w:color="auto"/>
              <w:right w:val="single" w:sz="4" w:space="0" w:color="auto"/>
            </w:tcBorders>
            <w:shd w:val="clear" w:color="auto" w:fill="auto"/>
            <w:noWrap/>
            <w:vAlign w:val="bottom"/>
            <w:hideMark/>
          </w:tcPr>
          <w:p w14:paraId="6254D7C6"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0,346</w:t>
            </w:r>
          </w:p>
        </w:tc>
        <w:tc>
          <w:tcPr>
            <w:tcW w:w="845" w:type="dxa"/>
            <w:tcBorders>
              <w:top w:val="nil"/>
              <w:left w:val="nil"/>
              <w:bottom w:val="single" w:sz="4" w:space="0" w:color="auto"/>
              <w:right w:val="single" w:sz="4" w:space="0" w:color="auto"/>
            </w:tcBorders>
            <w:shd w:val="clear" w:color="auto" w:fill="auto"/>
            <w:noWrap/>
            <w:vAlign w:val="bottom"/>
            <w:hideMark/>
          </w:tcPr>
          <w:p w14:paraId="6BE6A197" w14:textId="77777777" w:rsidR="00D95A3B" w:rsidRPr="00F5625D" w:rsidRDefault="00D95A3B" w:rsidP="00F32B0C">
            <w:pPr>
              <w:spacing w:before="20" w:after="20" w:line="240" w:lineRule="auto"/>
              <w:jc w:val="right"/>
              <w:rPr>
                <w:rFonts w:eastAsia="Times New Roman"/>
                <w:color w:val="000000"/>
                <w:sz w:val="20"/>
                <w:szCs w:val="20"/>
                <w:lang w:eastAsia="cs-CZ"/>
              </w:rPr>
            </w:pPr>
            <w:r w:rsidRPr="00F5625D">
              <w:rPr>
                <w:rFonts w:eastAsia="Times New Roman"/>
                <w:color w:val="000000"/>
                <w:sz w:val="20"/>
                <w:szCs w:val="20"/>
                <w:lang w:eastAsia="cs-CZ"/>
              </w:rPr>
              <w:t>0,000</w:t>
            </w:r>
          </w:p>
        </w:tc>
      </w:tr>
      <w:tr w:rsidR="00D95A3B" w:rsidRPr="00461C16" w14:paraId="170E4B7C" w14:textId="77777777" w:rsidTr="00F32B0C">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vAlign w:val="center"/>
            <w:hideMark/>
          </w:tcPr>
          <w:p w14:paraId="5B9BC56C" w14:textId="77777777" w:rsidR="00D95A3B" w:rsidRPr="00F5625D" w:rsidRDefault="00D95A3B" w:rsidP="00F32B0C">
            <w:pPr>
              <w:spacing w:before="20" w:after="20" w:line="240" w:lineRule="auto"/>
              <w:jc w:val="left"/>
              <w:rPr>
                <w:rFonts w:eastAsia="Times New Roman"/>
                <w:b/>
                <w:bCs/>
                <w:sz w:val="20"/>
                <w:szCs w:val="20"/>
                <w:lang w:eastAsia="cs-CZ"/>
              </w:rPr>
            </w:pPr>
            <w:r w:rsidRPr="00F5625D">
              <w:rPr>
                <w:rFonts w:eastAsia="Times New Roman"/>
                <w:b/>
                <w:bCs/>
                <w:sz w:val="20"/>
                <w:szCs w:val="20"/>
                <w:lang w:eastAsia="cs-CZ"/>
              </w:rPr>
              <w:t>Plochy smíšené obytné celkem</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01F1998E"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1,711</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2C9C7D7B"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945" w:type="dxa"/>
            <w:tcBorders>
              <w:top w:val="nil"/>
              <w:left w:val="nil"/>
              <w:bottom w:val="single" w:sz="4" w:space="0" w:color="auto"/>
              <w:right w:val="single" w:sz="4" w:space="0" w:color="auto"/>
            </w:tcBorders>
            <w:shd w:val="clear" w:color="auto" w:fill="C2D69B" w:themeFill="accent3" w:themeFillTint="99"/>
            <w:vAlign w:val="center"/>
            <w:hideMark/>
          </w:tcPr>
          <w:p w14:paraId="0A86A790"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6AD6FB8D"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547D51EC"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0,468</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66BCB4C2"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706F5123"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1,243</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7988A3AC"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09FBF659"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0,123</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2226675C"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365802A6"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0,888</w:t>
            </w:r>
          </w:p>
        </w:tc>
        <w:tc>
          <w:tcPr>
            <w:tcW w:w="779" w:type="dxa"/>
            <w:tcBorders>
              <w:top w:val="nil"/>
              <w:left w:val="nil"/>
              <w:bottom w:val="single" w:sz="4" w:space="0" w:color="auto"/>
              <w:right w:val="single" w:sz="4" w:space="0" w:color="auto"/>
            </w:tcBorders>
            <w:shd w:val="clear" w:color="auto" w:fill="C2D69B" w:themeFill="accent3" w:themeFillTint="99"/>
            <w:vAlign w:val="center"/>
            <w:hideMark/>
          </w:tcPr>
          <w:p w14:paraId="696A660E"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0,700</w:t>
            </w:r>
          </w:p>
        </w:tc>
        <w:tc>
          <w:tcPr>
            <w:tcW w:w="845" w:type="dxa"/>
            <w:tcBorders>
              <w:top w:val="nil"/>
              <w:left w:val="nil"/>
              <w:bottom w:val="single" w:sz="4" w:space="0" w:color="auto"/>
              <w:right w:val="single" w:sz="4" w:space="0" w:color="auto"/>
            </w:tcBorders>
            <w:shd w:val="clear" w:color="auto" w:fill="C2D69B" w:themeFill="accent3" w:themeFillTint="99"/>
            <w:vAlign w:val="center"/>
            <w:hideMark/>
          </w:tcPr>
          <w:p w14:paraId="31DA196D" w14:textId="77777777" w:rsidR="00D95A3B" w:rsidRPr="00F5625D" w:rsidRDefault="00D95A3B" w:rsidP="00F32B0C">
            <w:pPr>
              <w:spacing w:before="20" w:after="20" w:line="240" w:lineRule="auto"/>
              <w:jc w:val="right"/>
              <w:rPr>
                <w:rFonts w:eastAsia="Times New Roman"/>
                <w:b/>
                <w:bCs/>
                <w:sz w:val="20"/>
                <w:szCs w:val="20"/>
                <w:lang w:eastAsia="cs-CZ"/>
              </w:rPr>
            </w:pPr>
            <w:r w:rsidRPr="00F5625D">
              <w:rPr>
                <w:rFonts w:eastAsia="Times New Roman"/>
                <w:b/>
                <w:bCs/>
                <w:sz w:val="20"/>
                <w:szCs w:val="20"/>
                <w:lang w:eastAsia="cs-CZ"/>
              </w:rPr>
              <w:t>0,000</w:t>
            </w:r>
          </w:p>
        </w:tc>
      </w:tr>
      <w:tr w:rsidR="00D95A3B" w:rsidRPr="00461C16" w14:paraId="28848D40" w14:textId="77777777" w:rsidTr="00F32B0C">
        <w:tc>
          <w:tcPr>
            <w:tcW w:w="4325" w:type="dxa"/>
            <w:gridSpan w:val="2"/>
            <w:tcBorders>
              <w:top w:val="single" w:sz="4" w:space="0" w:color="auto"/>
              <w:left w:val="single" w:sz="4" w:space="0" w:color="auto"/>
              <w:bottom w:val="single" w:sz="4" w:space="0" w:color="auto"/>
              <w:right w:val="single" w:sz="4" w:space="0" w:color="000000"/>
            </w:tcBorders>
            <w:shd w:val="clear" w:color="auto" w:fill="76923C" w:themeFill="accent3" w:themeFillShade="BF"/>
            <w:vAlign w:val="center"/>
            <w:hideMark/>
          </w:tcPr>
          <w:p w14:paraId="1A728235" w14:textId="77777777" w:rsidR="00D95A3B" w:rsidRPr="00F5625D" w:rsidRDefault="00D95A3B" w:rsidP="00F32B0C">
            <w:pPr>
              <w:spacing w:before="20" w:after="20" w:line="240" w:lineRule="auto"/>
              <w:jc w:val="left"/>
              <w:rPr>
                <w:rFonts w:eastAsia="Times New Roman"/>
                <w:b/>
                <w:bCs/>
                <w:color w:val="FFFFFF"/>
                <w:sz w:val="20"/>
                <w:szCs w:val="20"/>
                <w:lang w:eastAsia="cs-CZ"/>
              </w:rPr>
            </w:pPr>
            <w:r w:rsidRPr="00F5625D">
              <w:rPr>
                <w:rFonts w:eastAsia="Times New Roman"/>
                <w:b/>
                <w:bCs/>
                <w:color w:val="FFFFFF"/>
                <w:sz w:val="20"/>
                <w:szCs w:val="20"/>
                <w:lang w:eastAsia="cs-CZ"/>
              </w:rPr>
              <w:t>K.Ú. DOLNÍ SUCHÁ U CHOTYNĚ - ZÁBOR ZPF CELKEM</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35F9DA89" w14:textId="77777777" w:rsidR="00D95A3B" w:rsidRPr="00F5625D" w:rsidRDefault="00FC7BE2"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7,066</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4D4184D9" w14:textId="77777777" w:rsidR="00D95A3B" w:rsidRPr="00F5625D" w:rsidRDefault="00FC7BE2"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1,307</w:t>
            </w:r>
          </w:p>
        </w:tc>
        <w:tc>
          <w:tcPr>
            <w:tcW w:w="945" w:type="dxa"/>
            <w:tcBorders>
              <w:top w:val="nil"/>
              <w:left w:val="nil"/>
              <w:bottom w:val="single" w:sz="4" w:space="0" w:color="auto"/>
              <w:right w:val="single" w:sz="4" w:space="0" w:color="auto"/>
            </w:tcBorders>
            <w:shd w:val="clear" w:color="auto" w:fill="76923C" w:themeFill="accent3" w:themeFillShade="BF"/>
            <w:vAlign w:val="center"/>
            <w:hideMark/>
          </w:tcPr>
          <w:p w14:paraId="659252D2" w14:textId="77777777" w:rsidR="00D95A3B" w:rsidRPr="00F5625D" w:rsidRDefault="00D95A3B"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398021E6" w14:textId="77777777" w:rsidR="00D95A3B" w:rsidRPr="00F5625D" w:rsidRDefault="00D95A3B"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03A145B5" w14:textId="77777777" w:rsidR="00D95A3B" w:rsidRPr="00F5625D" w:rsidRDefault="00FC7BE2"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1,206</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5CFBD95D" w14:textId="77777777" w:rsidR="00D95A3B" w:rsidRPr="00F5625D" w:rsidRDefault="00D95A3B"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44CEAFDC" w14:textId="77777777" w:rsidR="00D95A3B" w:rsidRPr="00F5625D" w:rsidRDefault="00FC7BE2"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4,554</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483D540D" w14:textId="77777777" w:rsidR="00D95A3B" w:rsidRPr="00F5625D" w:rsidRDefault="00D95A3B"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73CE5B59" w14:textId="77777777" w:rsidR="00D95A3B" w:rsidRPr="00F5625D" w:rsidRDefault="00A85FA8"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2,720</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4E93635C" w14:textId="77777777" w:rsidR="00D95A3B" w:rsidRPr="00F5625D" w:rsidRDefault="00FC7BE2" w:rsidP="00FC7BE2">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1,565</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0757AE58" w14:textId="77777777" w:rsidR="00D95A3B" w:rsidRPr="00F5625D" w:rsidRDefault="00FC7BE2"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1,786</w:t>
            </w:r>
          </w:p>
        </w:tc>
        <w:tc>
          <w:tcPr>
            <w:tcW w:w="779" w:type="dxa"/>
            <w:tcBorders>
              <w:top w:val="nil"/>
              <w:left w:val="nil"/>
              <w:bottom w:val="single" w:sz="4" w:space="0" w:color="auto"/>
              <w:right w:val="single" w:sz="4" w:space="0" w:color="auto"/>
            </w:tcBorders>
            <w:shd w:val="clear" w:color="auto" w:fill="76923C" w:themeFill="accent3" w:themeFillShade="BF"/>
            <w:vAlign w:val="center"/>
            <w:hideMark/>
          </w:tcPr>
          <w:p w14:paraId="49C82B5A" w14:textId="77777777" w:rsidR="00D95A3B" w:rsidRPr="00F5625D" w:rsidRDefault="00A85FA8"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0,997</w:t>
            </w:r>
          </w:p>
        </w:tc>
        <w:tc>
          <w:tcPr>
            <w:tcW w:w="845" w:type="dxa"/>
            <w:tcBorders>
              <w:top w:val="nil"/>
              <w:left w:val="nil"/>
              <w:bottom w:val="single" w:sz="4" w:space="0" w:color="auto"/>
              <w:right w:val="single" w:sz="4" w:space="0" w:color="auto"/>
            </w:tcBorders>
            <w:shd w:val="clear" w:color="auto" w:fill="76923C" w:themeFill="accent3" w:themeFillShade="BF"/>
            <w:vAlign w:val="center"/>
            <w:hideMark/>
          </w:tcPr>
          <w:p w14:paraId="1F33FD2E" w14:textId="77777777" w:rsidR="00D95A3B" w:rsidRPr="00F5625D" w:rsidRDefault="00D95A3B" w:rsidP="00F32B0C">
            <w:pPr>
              <w:spacing w:before="20" w:after="20" w:line="240" w:lineRule="auto"/>
              <w:jc w:val="right"/>
              <w:rPr>
                <w:rFonts w:eastAsia="Times New Roman"/>
                <w:b/>
                <w:bCs/>
                <w:color w:val="FFFFFF"/>
                <w:sz w:val="20"/>
                <w:szCs w:val="20"/>
                <w:lang w:eastAsia="cs-CZ"/>
              </w:rPr>
            </w:pPr>
            <w:r w:rsidRPr="00F5625D">
              <w:rPr>
                <w:rFonts w:eastAsia="Times New Roman"/>
                <w:b/>
                <w:bCs/>
                <w:color w:val="FFFFFF"/>
                <w:sz w:val="20"/>
                <w:szCs w:val="20"/>
                <w:lang w:eastAsia="cs-CZ"/>
              </w:rPr>
              <w:t>0,000</w:t>
            </w:r>
          </w:p>
        </w:tc>
      </w:tr>
    </w:tbl>
    <w:p w14:paraId="002BAB4B" w14:textId="77777777" w:rsidR="00F32B0C" w:rsidRPr="00461C16" w:rsidRDefault="00F32B0C"/>
    <w:p w14:paraId="265703F6" w14:textId="77777777" w:rsidR="00F32B0C" w:rsidRPr="00461C16" w:rsidRDefault="00F32B0C">
      <w:pPr>
        <w:spacing w:line="240" w:lineRule="auto"/>
        <w:jc w:val="left"/>
      </w:pPr>
      <w:r w:rsidRPr="00461C16">
        <w:br w:type="page"/>
      </w:r>
    </w:p>
    <w:tbl>
      <w:tblPr>
        <w:tblW w:w="14742" w:type="dxa"/>
        <w:tblInd w:w="-213" w:type="dxa"/>
        <w:tblLayout w:type="fixed"/>
        <w:tblCellMar>
          <w:left w:w="70" w:type="dxa"/>
          <w:right w:w="70" w:type="dxa"/>
        </w:tblCellMar>
        <w:tblLook w:val="04A0" w:firstRow="1" w:lastRow="0" w:firstColumn="1" w:lastColumn="0" w:noHBand="0" w:noVBand="1"/>
      </w:tblPr>
      <w:tblGrid>
        <w:gridCol w:w="870"/>
        <w:gridCol w:w="3453"/>
        <w:gridCol w:w="780"/>
        <w:gridCol w:w="709"/>
        <w:gridCol w:w="992"/>
        <w:gridCol w:w="709"/>
        <w:gridCol w:w="851"/>
        <w:gridCol w:w="766"/>
        <w:gridCol w:w="793"/>
        <w:gridCol w:w="709"/>
        <w:gridCol w:w="850"/>
        <w:gridCol w:w="851"/>
        <w:gridCol w:w="850"/>
        <w:gridCol w:w="709"/>
        <w:gridCol w:w="850"/>
      </w:tblGrid>
      <w:tr w:rsidR="00F32B0C" w:rsidRPr="00461C16" w14:paraId="6DA397AD" w14:textId="77777777" w:rsidTr="00045A2D">
        <w:tc>
          <w:tcPr>
            <w:tcW w:w="14742" w:type="dxa"/>
            <w:gridSpan w:val="15"/>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733FB22F" w14:textId="77777777" w:rsidR="00F32B0C" w:rsidRPr="00461C16" w:rsidRDefault="00F32B0C" w:rsidP="00F32B0C">
            <w:pPr>
              <w:spacing w:before="20" w:after="20" w:line="240" w:lineRule="auto"/>
              <w:jc w:val="left"/>
              <w:rPr>
                <w:rFonts w:eastAsia="Times New Roman"/>
                <w:b/>
                <w:bCs/>
                <w:color w:val="FFFFFF"/>
                <w:sz w:val="20"/>
                <w:szCs w:val="20"/>
                <w:lang w:eastAsia="cs-CZ"/>
              </w:rPr>
            </w:pPr>
            <w:r w:rsidRPr="00461C16">
              <w:rPr>
                <w:rFonts w:eastAsia="Times New Roman"/>
                <w:b/>
                <w:bCs/>
                <w:color w:val="FFFFFF"/>
                <w:sz w:val="20"/>
                <w:szCs w:val="20"/>
                <w:lang w:eastAsia="cs-CZ"/>
              </w:rPr>
              <w:lastRenderedPageBreak/>
              <w:t>KATASTRÁLNÍ ÚZEMÍ DONÍN U HRÁDKU NAD NISOU</w:t>
            </w:r>
          </w:p>
        </w:tc>
      </w:tr>
      <w:tr w:rsidR="00E87086" w:rsidRPr="00461C16" w14:paraId="57056782" w14:textId="77777777" w:rsidTr="00045A2D">
        <w:trPr>
          <w:tblHeader/>
        </w:trPr>
        <w:tc>
          <w:tcPr>
            <w:tcW w:w="870"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37FEC98D" w14:textId="77777777" w:rsidR="00F32B0C" w:rsidRPr="00461C16" w:rsidRDefault="00F32B0C" w:rsidP="00F32B0C">
            <w:pPr>
              <w:spacing w:before="20" w:after="20" w:line="240" w:lineRule="auto"/>
              <w:jc w:val="left"/>
              <w:rPr>
                <w:rFonts w:eastAsia="Times New Roman"/>
                <w:b/>
                <w:bCs/>
                <w:sz w:val="20"/>
                <w:szCs w:val="20"/>
                <w:lang w:eastAsia="cs-CZ"/>
              </w:rPr>
            </w:pPr>
            <w:r w:rsidRPr="00461C16">
              <w:rPr>
                <w:rFonts w:eastAsia="Times New Roman"/>
                <w:b/>
                <w:bCs/>
                <w:sz w:val="20"/>
                <w:szCs w:val="20"/>
                <w:lang w:eastAsia="cs-CZ"/>
              </w:rPr>
              <w:t>Označení plochy</w:t>
            </w:r>
          </w:p>
        </w:tc>
        <w:tc>
          <w:tcPr>
            <w:tcW w:w="3453"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4486E9E2" w14:textId="77777777" w:rsidR="00F32B0C" w:rsidRPr="00461C16" w:rsidRDefault="00F32B0C" w:rsidP="00F32B0C">
            <w:pPr>
              <w:spacing w:before="20" w:after="20" w:line="240" w:lineRule="auto"/>
              <w:jc w:val="left"/>
              <w:rPr>
                <w:rFonts w:eastAsia="Times New Roman"/>
                <w:b/>
                <w:bCs/>
                <w:sz w:val="20"/>
                <w:szCs w:val="20"/>
                <w:lang w:eastAsia="cs-CZ"/>
              </w:rPr>
            </w:pPr>
            <w:r w:rsidRPr="00461C16">
              <w:rPr>
                <w:rFonts w:eastAsia="Times New Roman"/>
                <w:b/>
                <w:bCs/>
                <w:sz w:val="20"/>
                <w:szCs w:val="20"/>
                <w:lang w:eastAsia="cs-CZ"/>
              </w:rPr>
              <w:t>Způsob využití plochy</w:t>
            </w:r>
          </w:p>
        </w:tc>
        <w:tc>
          <w:tcPr>
            <w:tcW w:w="780"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06C75DC5"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Celkový zábor ZPF (ha)</w:t>
            </w:r>
          </w:p>
        </w:tc>
        <w:tc>
          <w:tcPr>
            <w:tcW w:w="4820" w:type="dxa"/>
            <w:gridSpan w:val="6"/>
            <w:tcBorders>
              <w:top w:val="single" w:sz="4" w:space="0" w:color="auto"/>
              <w:left w:val="nil"/>
              <w:bottom w:val="single" w:sz="4" w:space="0" w:color="auto"/>
              <w:right w:val="single" w:sz="4" w:space="0" w:color="000000"/>
            </w:tcBorders>
            <w:shd w:val="clear" w:color="000000" w:fill="F2F2F2"/>
            <w:hideMark/>
          </w:tcPr>
          <w:p w14:paraId="2964F9CD" w14:textId="77777777" w:rsidR="00F32B0C" w:rsidRPr="00461C16" w:rsidRDefault="00F32B0C" w:rsidP="00F32B0C">
            <w:pPr>
              <w:spacing w:before="20" w:after="20" w:line="240" w:lineRule="auto"/>
              <w:jc w:val="center"/>
              <w:rPr>
                <w:rFonts w:eastAsia="Times New Roman"/>
                <w:b/>
                <w:bCs/>
                <w:sz w:val="20"/>
                <w:szCs w:val="20"/>
                <w:lang w:eastAsia="cs-CZ"/>
              </w:rPr>
            </w:pPr>
            <w:r w:rsidRPr="00461C16">
              <w:rPr>
                <w:rFonts w:eastAsia="Times New Roman"/>
                <w:b/>
                <w:bCs/>
                <w:sz w:val="20"/>
                <w:szCs w:val="20"/>
                <w:lang w:eastAsia="cs-CZ"/>
              </w:rPr>
              <w:t>Zábor ZPF podle jednotlivých kultur (ha)</w:t>
            </w:r>
          </w:p>
        </w:tc>
        <w:tc>
          <w:tcPr>
            <w:tcW w:w="3969" w:type="dxa"/>
            <w:gridSpan w:val="5"/>
            <w:tcBorders>
              <w:top w:val="single" w:sz="4" w:space="0" w:color="auto"/>
              <w:left w:val="nil"/>
              <w:bottom w:val="single" w:sz="4" w:space="0" w:color="auto"/>
              <w:right w:val="single" w:sz="4" w:space="0" w:color="000000"/>
            </w:tcBorders>
            <w:shd w:val="clear" w:color="000000" w:fill="F2F2F2"/>
            <w:hideMark/>
          </w:tcPr>
          <w:p w14:paraId="21CFFFE5" w14:textId="77777777" w:rsidR="00F32B0C" w:rsidRPr="00461C16" w:rsidRDefault="00F32B0C" w:rsidP="00F32B0C">
            <w:pPr>
              <w:spacing w:before="20" w:after="20" w:line="240" w:lineRule="auto"/>
              <w:jc w:val="center"/>
              <w:rPr>
                <w:rFonts w:eastAsia="Times New Roman"/>
                <w:b/>
                <w:bCs/>
                <w:sz w:val="20"/>
                <w:szCs w:val="20"/>
                <w:lang w:eastAsia="cs-CZ"/>
              </w:rPr>
            </w:pPr>
            <w:r w:rsidRPr="00461C16">
              <w:rPr>
                <w:rFonts w:eastAsia="Times New Roman"/>
                <w:b/>
                <w:bCs/>
                <w:sz w:val="20"/>
                <w:szCs w:val="20"/>
                <w:lang w:eastAsia="cs-CZ"/>
              </w:rPr>
              <w:t>Zábor ZPF podle tříd ochrany (ha)</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4398C68A"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Investice do půdy (ha)</w:t>
            </w:r>
          </w:p>
        </w:tc>
      </w:tr>
      <w:tr w:rsidR="00045A2D" w:rsidRPr="00461C16" w14:paraId="51B16061" w14:textId="77777777" w:rsidTr="00045A2D">
        <w:trPr>
          <w:tblHeader/>
        </w:trPr>
        <w:tc>
          <w:tcPr>
            <w:tcW w:w="870" w:type="dxa"/>
            <w:vMerge/>
            <w:tcBorders>
              <w:top w:val="single" w:sz="4" w:space="0" w:color="auto"/>
              <w:left w:val="single" w:sz="4" w:space="0" w:color="auto"/>
              <w:bottom w:val="single" w:sz="4" w:space="0" w:color="000000"/>
              <w:right w:val="single" w:sz="4" w:space="0" w:color="auto"/>
            </w:tcBorders>
            <w:hideMark/>
          </w:tcPr>
          <w:p w14:paraId="0560DC18" w14:textId="77777777" w:rsidR="00F32B0C" w:rsidRPr="00461C16" w:rsidRDefault="00F32B0C" w:rsidP="00F32B0C">
            <w:pPr>
              <w:spacing w:before="20" w:after="20" w:line="240" w:lineRule="auto"/>
              <w:jc w:val="left"/>
              <w:rPr>
                <w:rFonts w:eastAsia="Times New Roman"/>
                <w:b/>
                <w:bCs/>
                <w:sz w:val="20"/>
                <w:szCs w:val="20"/>
                <w:lang w:eastAsia="cs-CZ"/>
              </w:rPr>
            </w:pPr>
          </w:p>
        </w:tc>
        <w:tc>
          <w:tcPr>
            <w:tcW w:w="3453" w:type="dxa"/>
            <w:vMerge/>
            <w:tcBorders>
              <w:top w:val="single" w:sz="4" w:space="0" w:color="auto"/>
              <w:left w:val="single" w:sz="4" w:space="0" w:color="auto"/>
              <w:bottom w:val="single" w:sz="4" w:space="0" w:color="000000"/>
              <w:right w:val="single" w:sz="4" w:space="0" w:color="auto"/>
            </w:tcBorders>
            <w:hideMark/>
          </w:tcPr>
          <w:p w14:paraId="6FE82D7A" w14:textId="77777777" w:rsidR="00F32B0C" w:rsidRPr="00461C16" w:rsidRDefault="00F32B0C" w:rsidP="00F32B0C">
            <w:pPr>
              <w:spacing w:before="20" w:after="20" w:line="240" w:lineRule="auto"/>
              <w:jc w:val="left"/>
              <w:rPr>
                <w:rFonts w:eastAsia="Times New Roman"/>
                <w:b/>
                <w:bCs/>
                <w:sz w:val="20"/>
                <w:szCs w:val="20"/>
                <w:lang w:eastAsia="cs-CZ"/>
              </w:rPr>
            </w:pPr>
          </w:p>
        </w:tc>
        <w:tc>
          <w:tcPr>
            <w:tcW w:w="780" w:type="dxa"/>
            <w:vMerge/>
            <w:tcBorders>
              <w:top w:val="single" w:sz="4" w:space="0" w:color="auto"/>
              <w:left w:val="single" w:sz="4" w:space="0" w:color="auto"/>
              <w:bottom w:val="single" w:sz="4" w:space="0" w:color="000000"/>
              <w:right w:val="single" w:sz="4" w:space="0" w:color="auto"/>
            </w:tcBorders>
            <w:hideMark/>
          </w:tcPr>
          <w:p w14:paraId="39259A55" w14:textId="77777777" w:rsidR="00F32B0C" w:rsidRPr="00461C16" w:rsidRDefault="00F32B0C" w:rsidP="00F32B0C">
            <w:pPr>
              <w:spacing w:before="20" w:after="20" w:line="240" w:lineRule="auto"/>
              <w:jc w:val="left"/>
              <w:rPr>
                <w:rFonts w:eastAsia="Times New Roman"/>
                <w:b/>
                <w:bCs/>
                <w:sz w:val="20"/>
                <w:szCs w:val="20"/>
                <w:lang w:eastAsia="cs-CZ"/>
              </w:rPr>
            </w:pPr>
          </w:p>
        </w:tc>
        <w:tc>
          <w:tcPr>
            <w:tcW w:w="709" w:type="dxa"/>
            <w:tcBorders>
              <w:top w:val="nil"/>
              <w:left w:val="nil"/>
              <w:bottom w:val="single" w:sz="4" w:space="0" w:color="auto"/>
              <w:right w:val="single" w:sz="4" w:space="0" w:color="auto"/>
            </w:tcBorders>
            <w:shd w:val="clear" w:color="000000" w:fill="F2F2F2"/>
            <w:hideMark/>
          </w:tcPr>
          <w:p w14:paraId="729E6FD7"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orná půda</w:t>
            </w:r>
          </w:p>
        </w:tc>
        <w:tc>
          <w:tcPr>
            <w:tcW w:w="992" w:type="dxa"/>
            <w:tcBorders>
              <w:top w:val="nil"/>
              <w:left w:val="nil"/>
              <w:bottom w:val="single" w:sz="4" w:space="0" w:color="auto"/>
              <w:right w:val="single" w:sz="4" w:space="0" w:color="auto"/>
            </w:tcBorders>
            <w:shd w:val="clear" w:color="000000" w:fill="F2F2F2"/>
            <w:hideMark/>
          </w:tcPr>
          <w:p w14:paraId="43357774"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chmelnice</w:t>
            </w:r>
          </w:p>
        </w:tc>
        <w:tc>
          <w:tcPr>
            <w:tcW w:w="709" w:type="dxa"/>
            <w:tcBorders>
              <w:top w:val="nil"/>
              <w:left w:val="nil"/>
              <w:bottom w:val="single" w:sz="4" w:space="0" w:color="auto"/>
              <w:right w:val="single" w:sz="4" w:space="0" w:color="auto"/>
            </w:tcBorders>
            <w:shd w:val="clear" w:color="000000" w:fill="F2F2F2"/>
            <w:hideMark/>
          </w:tcPr>
          <w:p w14:paraId="753469CA"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vinice</w:t>
            </w:r>
          </w:p>
        </w:tc>
        <w:tc>
          <w:tcPr>
            <w:tcW w:w="851" w:type="dxa"/>
            <w:tcBorders>
              <w:top w:val="nil"/>
              <w:left w:val="nil"/>
              <w:bottom w:val="single" w:sz="4" w:space="0" w:color="auto"/>
              <w:right w:val="single" w:sz="4" w:space="0" w:color="auto"/>
            </w:tcBorders>
            <w:shd w:val="clear" w:color="000000" w:fill="F2F2F2"/>
            <w:hideMark/>
          </w:tcPr>
          <w:p w14:paraId="76CB639D"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zahrady</w:t>
            </w:r>
          </w:p>
        </w:tc>
        <w:tc>
          <w:tcPr>
            <w:tcW w:w="766" w:type="dxa"/>
            <w:tcBorders>
              <w:top w:val="nil"/>
              <w:left w:val="nil"/>
              <w:bottom w:val="single" w:sz="4" w:space="0" w:color="auto"/>
              <w:right w:val="single" w:sz="4" w:space="0" w:color="auto"/>
            </w:tcBorders>
            <w:shd w:val="clear" w:color="000000" w:fill="F2F2F2"/>
            <w:hideMark/>
          </w:tcPr>
          <w:p w14:paraId="73B97A57"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ovocné sady</w:t>
            </w:r>
          </w:p>
        </w:tc>
        <w:tc>
          <w:tcPr>
            <w:tcW w:w="793" w:type="dxa"/>
            <w:tcBorders>
              <w:top w:val="nil"/>
              <w:left w:val="nil"/>
              <w:bottom w:val="single" w:sz="4" w:space="0" w:color="auto"/>
              <w:right w:val="single" w:sz="4" w:space="0" w:color="auto"/>
            </w:tcBorders>
            <w:shd w:val="clear" w:color="000000" w:fill="F2F2F2"/>
            <w:hideMark/>
          </w:tcPr>
          <w:p w14:paraId="2D9742A2"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trv. travní porosty</w:t>
            </w:r>
          </w:p>
        </w:tc>
        <w:tc>
          <w:tcPr>
            <w:tcW w:w="709" w:type="dxa"/>
            <w:tcBorders>
              <w:top w:val="nil"/>
              <w:left w:val="nil"/>
              <w:bottom w:val="single" w:sz="4" w:space="0" w:color="auto"/>
              <w:right w:val="single" w:sz="4" w:space="0" w:color="auto"/>
            </w:tcBorders>
            <w:shd w:val="clear" w:color="000000" w:fill="F2F2F2"/>
            <w:hideMark/>
          </w:tcPr>
          <w:p w14:paraId="1EE41167"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w:t>
            </w:r>
          </w:p>
        </w:tc>
        <w:tc>
          <w:tcPr>
            <w:tcW w:w="850" w:type="dxa"/>
            <w:tcBorders>
              <w:top w:val="nil"/>
              <w:left w:val="nil"/>
              <w:bottom w:val="single" w:sz="4" w:space="0" w:color="auto"/>
              <w:right w:val="single" w:sz="4" w:space="0" w:color="auto"/>
            </w:tcBorders>
            <w:shd w:val="clear" w:color="000000" w:fill="F2F2F2"/>
            <w:hideMark/>
          </w:tcPr>
          <w:p w14:paraId="2E7C5A03"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II</w:t>
            </w:r>
          </w:p>
        </w:tc>
        <w:tc>
          <w:tcPr>
            <w:tcW w:w="851" w:type="dxa"/>
            <w:tcBorders>
              <w:top w:val="nil"/>
              <w:left w:val="nil"/>
              <w:bottom w:val="single" w:sz="4" w:space="0" w:color="auto"/>
              <w:right w:val="single" w:sz="4" w:space="0" w:color="auto"/>
            </w:tcBorders>
            <w:shd w:val="clear" w:color="000000" w:fill="F2F2F2"/>
            <w:hideMark/>
          </w:tcPr>
          <w:p w14:paraId="7395E467"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III</w:t>
            </w:r>
          </w:p>
        </w:tc>
        <w:tc>
          <w:tcPr>
            <w:tcW w:w="850" w:type="dxa"/>
            <w:tcBorders>
              <w:top w:val="nil"/>
              <w:left w:val="nil"/>
              <w:bottom w:val="single" w:sz="4" w:space="0" w:color="auto"/>
              <w:right w:val="single" w:sz="4" w:space="0" w:color="auto"/>
            </w:tcBorders>
            <w:shd w:val="clear" w:color="000000" w:fill="F2F2F2"/>
            <w:hideMark/>
          </w:tcPr>
          <w:p w14:paraId="58682FEA"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IV</w:t>
            </w:r>
          </w:p>
        </w:tc>
        <w:tc>
          <w:tcPr>
            <w:tcW w:w="709" w:type="dxa"/>
            <w:tcBorders>
              <w:top w:val="nil"/>
              <w:left w:val="nil"/>
              <w:bottom w:val="single" w:sz="4" w:space="0" w:color="auto"/>
              <w:right w:val="single" w:sz="4" w:space="0" w:color="auto"/>
            </w:tcBorders>
            <w:shd w:val="clear" w:color="000000" w:fill="F2F2F2"/>
            <w:hideMark/>
          </w:tcPr>
          <w:p w14:paraId="3002FE73" w14:textId="77777777" w:rsidR="00F32B0C" w:rsidRPr="00461C16" w:rsidRDefault="00F32B0C" w:rsidP="00F32B0C">
            <w:pPr>
              <w:spacing w:before="20" w:after="20" w:line="240" w:lineRule="auto"/>
              <w:jc w:val="right"/>
              <w:rPr>
                <w:rFonts w:eastAsia="Times New Roman"/>
                <w:b/>
                <w:bCs/>
                <w:sz w:val="20"/>
                <w:szCs w:val="20"/>
                <w:lang w:eastAsia="cs-CZ"/>
              </w:rPr>
            </w:pPr>
            <w:r w:rsidRPr="00461C16">
              <w:rPr>
                <w:rFonts w:eastAsia="Times New Roman"/>
                <w:b/>
                <w:bCs/>
                <w:sz w:val="20"/>
                <w:szCs w:val="20"/>
                <w:lang w:eastAsia="cs-CZ"/>
              </w:rPr>
              <w:t>V</w:t>
            </w:r>
          </w:p>
        </w:tc>
        <w:tc>
          <w:tcPr>
            <w:tcW w:w="850" w:type="dxa"/>
            <w:vMerge/>
            <w:tcBorders>
              <w:top w:val="single" w:sz="4" w:space="0" w:color="auto"/>
              <w:left w:val="single" w:sz="4" w:space="0" w:color="auto"/>
              <w:bottom w:val="single" w:sz="4" w:space="0" w:color="000000"/>
              <w:right w:val="single" w:sz="4" w:space="0" w:color="auto"/>
            </w:tcBorders>
            <w:hideMark/>
          </w:tcPr>
          <w:p w14:paraId="7DE83E77" w14:textId="77777777" w:rsidR="00F32B0C" w:rsidRPr="00461C16" w:rsidRDefault="00F32B0C" w:rsidP="00F32B0C">
            <w:pPr>
              <w:spacing w:before="20" w:after="20" w:line="240" w:lineRule="auto"/>
              <w:jc w:val="left"/>
              <w:rPr>
                <w:rFonts w:eastAsia="Times New Roman"/>
                <w:b/>
                <w:bCs/>
                <w:sz w:val="20"/>
                <w:szCs w:val="20"/>
                <w:lang w:eastAsia="cs-CZ"/>
              </w:rPr>
            </w:pPr>
          </w:p>
        </w:tc>
      </w:tr>
      <w:tr w:rsidR="00045A2D" w:rsidRPr="00461C16" w14:paraId="044B77D2"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1CCB3A8A" w14:textId="77777777" w:rsidR="009561A2" w:rsidRPr="00A56BC6" w:rsidRDefault="009561A2"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Z66</w:t>
            </w:r>
          </w:p>
        </w:tc>
        <w:tc>
          <w:tcPr>
            <w:tcW w:w="3453" w:type="dxa"/>
            <w:tcBorders>
              <w:top w:val="nil"/>
              <w:left w:val="nil"/>
              <w:bottom w:val="single" w:sz="4" w:space="0" w:color="auto"/>
              <w:right w:val="single" w:sz="4" w:space="0" w:color="auto"/>
            </w:tcBorders>
            <w:shd w:val="clear" w:color="auto" w:fill="auto"/>
            <w:noWrap/>
            <w:hideMark/>
          </w:tcPr>
          <w:p w14:paraId="3B9176AE" w14:textId="77777777" w:rsidR="009561A2" w:rsidRPr="00A56BC6" w:rsidRDefault="009561A2"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BI - bydlení městské a příměstské</w:t>
            </w:r>
          </w:p>
        </w:tc>
        <w:tc>
          <w:tcPr>
            <w:tcW w:w="780" w:type="dxa"/>
            <w:tcBorders>
              <w:top w:val="nil"/>
              <w:left w:val="nil"/>
              <w:bottom w:val="single" w:sz="4" w:space="0" w:color="auto"/>
              <w:right w:val="single" w:sz="4" w:space="0" w:color="auto"/>
            </w:tcBorders>
            <w:shd w:val="clear" w:color="auto" w:fill="auto"/>
            <w:hideMark/>
          </w:tcPr>
          <w:p w14:paraId="5682D40A" w14:textId="77777777" w:rsidR="009561A2"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0,232</w:t>
            </w:r>
          </w:p>
        </w:tc>
        <w:tc>
          <w:tcPr>
            <w:tcW w:w="709" w:type="dxa"/>
            <w:tcBorders>
              <w:top w:val="nil"/>
              <w:left w:val="nil"/>
              <w:bottom w:val="single" w:sz="4" w:space="0" w:color="auto"/>
              <w:right w:val="single" w:sz="4" w:space="0" w:color="auto"/>
            </w:tcBorders>
            <w:shd w:val="clear" w:color="auto" w:fill="auto"/>
            <w:hideMark/>
          </w:tcPr>
          <w:p w14:paraId="740D73DF" w14:textId="77777777" w:rsidR="009561A2"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992" w:type="dxa"/>
            <w:tcBorders>
              <w:top w:val="nil"/>
              <w:left w:val="nil"/>
              <w:bottom w:val="single" w:sz="4" w:space="0" w:color="auto"/>
              <w:right w:val="single" w:sz="4" w:space="0" w:color="auto"/>
            </w:tcBorders>
            <w:shd w:val="clear" w:color="auto" w:fill="auto"/>
            <w:hideMark/>
          </w:tcPr>
          <w:p w14:paraId="432335F6"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38D9F343"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1C562377"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66" w:type="dxa"/>
            <w:tcBorders>
              <w:top w:val="nil"/>
              <w:left w:val="nil"/>
              <w:bottom w:val="single" w:sz="4" w:space="0" w:color="auto"/>
              <w:right w:val="single" w:sz="4" w:space="0" w:color="auto"/>
            </w:tcBorders>
            <w:shd w:val="clear" w:color="auto" w:fill="auto"/>
            <w:hideMark/>
          </w:tcPr>
          <w:p w14:paraId="2F9B42B4"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hideMark/>
          </w:tcPr>
          <w:p w14:paraId="725ACF40"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0,232</w:t>
            </w:r>
          </w:p>
        </w:tc>
        <w:tc>
          <w:tcPr>
            <w:tcW w:w="709" w:type="dxa"/>
            <w:tcBorders>
              <w:top w:val="nil"/>
              <w:left w:val="nil"/>
              <w:bottom w:val="single" w:sz="4" w:space="0" w:color="auto"/>
              <w:right w:val="single" w:sz="4" w:space="0" w:color="auto"/>
            </w:tcBorders>
            <w:shd w:val="clear" w:color="auto" w:fill="auto"/>
            <w:hideMark/>
          </w:tcPr>
          <w:p w14:paraId="20CDBE9E" w14:textId="77777777" w:rsidR="009561A2"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10166A53"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6F9AB19" w14:textId="77777777" w:rsidR="009561A2" w:rsidRPr="00A56BC6" w:rsidRDefault="00447635"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0,232</w:t>
            </w:r>
          </w:p>
        </w:tc>
        <w:tc>
          <w:tcPr>
            <w:tcW w:w="850" w:type="dxa"/>
            <w:tcBorders>
              <w:top w:val="nil"/>
              <w:left w:val="nil"/>
              <w:bottom w:val="single" w:sz="4" w:space="0" w:color="auto"/>
              <w:right w:val="single" w:sz="4" w:space="0" w:color="auto"/>
            </w:tcBorders>
            <w:shd w:val="clear" w:color="auto" w:fill="auto"/>
            <w:noWrap/>
            <w:hideMark/>
          </w:tcPr>
          <w:p w14:paraId="7325B9B7"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0952A74E" w14:textId="77777777" w:rsidR="009561A2"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42E91EB2"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0C010355"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5E406F01" w14:textId="77777777" w:rsidR="009561A2" w:rsidRPr="00A56BC6" w:rsidRDefault="009561A2"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Z67</w:t>
            </w:r>
          </w:p>
        </w:tc>
        <w:tc>
          <w:tcPr>
            <w:tcW w:w="3453" w:type="dxa"/>
            <w:tcBorders>
              <w:top w:val="nil"/>
              <w:left w:val="nil"/>
              <w:bottom w:val="single" w:sz="4" w:space="0" w:color="auto"/>
              <w:right w:val="single" w:sz="4" w:space="0" w:color="auto"/>
            </w:tcBorders>
            <w:shd w:val="clear" w:color="auto" w:fill="auto"/>
            <w:noWrap/>
            <w:hideMark/>
          </w:tcPr>
          <w:p w14:paraId="68EF70A6" w14:textId="77777777" w:rsidR="009561A2" w:rsidRPr="00A56BC6" w:rsidRDefault="009561A2"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BI - bydlení městské a příměstské</w:t>
            </w:r>
          </w:p>
        </w:tc>
        <w:tc>
          <w:tcPr>
            <w:tcW w:w="780" w:type="dxa"/>
            <w:tcBorders>
              <w:top w:val="nil"/>
              <w:left w:val="nil"/>
              <w:bottom w:val="single" w:sz="4" w:space="0" w:color="auto"/>
              <w:right w:val="single" w:sz="4" w:space="0" w:color="auto"/>
            </w:tcBorders>
            <w:shd w:val="clear" w:color="auto" w:fill="auto"/>
            <w:hideMark/>
          </w:tcPr>
          <w:p w14:paraId="44C170BD"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0,340</w:t>
            </w:r>
          </w:p>
        </w:tc>
        <w:tc>
          <w:tcPr>
            <w:tcW w:w="709" w:type="dxa"/>
            <w:tcBorders>
              <w:top w:val="nil"/>
              <w:left w:val="nil"/>
              <w:bottom w:val="single" w:sz="4" w:space="0" w:color="auto"/>
              <w:right w:val="single" w:sz="4" w:space="0" w:color="auto"/>
            </w:tcBorders>
            <w:shd w:val="clear" w:color="auto" w:fill="auto"/>
            <w:hideMark/>
          </w:tcPr>
          <w:p w14:paraId="4C0ED3BB"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992" w:type="dxa"/>
            <w:tcBorders>
              <w:top w:val="nil"/>
              <w:left w:val="nil"/>
              <w:bottom w:val="single" w:sz="4" w:space="0" w:color="auto"/>
              <w:right w:val="single" w:sz="4" w:space="0" w:color="auto"/>
            </w:tcBorders>
            <w:shd w:val="clear" w:color="auto" w:fill="auto"/>
            <w:hideMark/>
          </w:tcPr>
          <w:p w14:paraId="6FDD9B4D"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239BC82B"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2A5AE261"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0,340</w:t>
            </w:r>
          </w:p>
        </w:tc>
        <w:tc>
          <w:tcPr>
            <w:tcW w:w="766" w:type="dxa"/>
            <w:tcBorders>
              <w:top w:val="nil"/>
              <w:left w:val="nil"/>
              <w:bottom w:val="single" w:sz="4" w:space="0" w:color="auto"/>
              <w:right w:val="single" w:sz="4" w:space="0" w:color="auto"/>
            </w:tcBorders>
            <w:shd w:val="clear" w:color="auto" w:fill="auto"/>
            <w:hideMark/>
          </w:tcPr>
          <w:p w14:paraId="7BAB6506"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hideMark/>
          </w:tcPr>
          <w:p w14:paraId="794F8373"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7A72BEBF"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1F0C9BDA"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1C3B46A"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0BED2585"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23C51F15"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0,340</w:t>
            </w:r>
          </w:p>
        </w:tc>
        <w:tc>
          <w:tcPr>
            <w:tcW w:w="850" w:type="dxa"/>
            <w:tcBorders>
              <w:top w:val="nil"/>
              <w:left w:val="nil"/>
              <w:bottom w:val="single" w:sz="4" w:space="0" w:color="auto"/>
              <w:right w:val="single" w:sz="4" w:space="0" w:color="auto"/>
            </w:tcBorders>
            <w:shd w:val="clear" w:color="auto" w:fill="auto"/>
            <w:hideMark/>
          </w:tcPr>
          <w:p w14:paraId="5C463235"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6527EFC1"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1DE992D2" w14:textId="77777777" w:rsidR="009561A2" w:rsidRPr="00A56BC6" w:rsidRDefault="009561A2"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Z68</w:t>
            </w:r>
          </w:p>
        </w:tc>
        <w:tc>
          <w:tcPr>
            <w:tcW w:w="3453" w:type="dxa"/>
            <w:tcBorders>
              <w:top w:val="nil"/>
              <w:left w:val="nil"/>
              <w:bottom w:val="single" w:sz="4" w:space="0" w:color="auto"/>
              <w:right w:val="single" w:sz="4" w:space="0" w:color="auto"/>
            </w:tcBorders>
            <w:shd w:val="clear" w:color="auto" w:fill="auto"/>
            <w:noWrap/>
            <w:hideMark/>
          </w:tcPr>
          <w:p w14:paraId="24B24BF2" w14:textId="77777777" w:rsidR="009561A2" w:rsidRPr="00A56BC6" w:rsidRDefault="009561A2"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BI - bydlení městské a příměstské</w:t>
            </w:r>
          </w:p>
        </w:tc>
        <w:tc>
          <w:tcPr>
            <w:tcW w:w="780" w:type="dxa"/>
            <w:tcBorders>
              <w:top w:val="nil"/>
              <w:left w:val="nil"/>
              <w:bottom w:val="single" w:sz="4" w:space="0" w:color="auto"/>
              <w:right w:val="single" w:sz="4" w:space="0" w:color="auto"/>
            </w:tcBorders>
            <w:shd w:val="clear" w:color="auto" w:fill="auto"/>
            <w:hideMark/>
          </w:tcPr>
          <w:p w14:paraId="67184B98"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0,220</w:t>
            </w:r>
          </w:p>
        </w:tc>
        <w:tc>
          <w:tcPr>
            <w:tcW w:w="709" w:type="dxa"/>
            <w:tcBorders>
              <w:top w:val="nil"/>
              <w:left w:val="nil"/>
              <w:bottom w:val="single" w:sz="4" w:space="0" w:color="auto"/>
              <w:right w:val="single" w:sz="4" w:space="0" w:color="auto"/>
            </w:tcBorders>
            <w:shd w:val="clear" w:color="auto" w:fill="auto"/>
            <w:hideMark/>
          </w:tcPr>
          <w:p w14:paraId="2A18E767"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0,094</w:t>
            </w:r>
          </w:p>
        </w:tc>
        <w:tc>
          <w:tcPr>
            <w:tcW w:w="992" w:type="dxa"/>
            <w:tcBorders>
              <w:top w:val="nil"/>
              <w:left w:val="nil"/>
              <w:bottom w:val="single" w:sz="4" w:space="0" w:color="auto"/>
              <w:right w:val="single" w:sz="4" w:space="0" w:color="auto"/>
            </w:tcBorders>
            <w:shd w:val="clear" w:color="auto" w:fill="auto"/>
            <w:hideMark/>
          </w:tcPr>
          <w:p w14:paraId="18722473"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6DED14EF"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B4907C4"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66" w:type="dxa"/>
            <w:tcBorders>
              <w:top w:val="nil"/>
              <w:left w:val="nil"/>
              <w:bottom w:val="single" w:sz="4" w:space="0" w:color="auto"/>
              <w:right w:val="single" w:sz="4" w:space="0" w:color="auto"/>
            </w:tcBorders>
            <w:shd w:val="clear" w:color="auto" w:fill="auto"/>
            <w:hideMark/>
          </w:tcPr>
          <w:p w14:paraId="7BBBB641"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hideMark/>
          </w:tcPr>
          <w:p w14:paraId="6B4BC376"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0,126</w:t>
            </w:r>
          </w:p>
        </w:tc>
        <w:tc>
          <w:tcPr>
            <w:tcW w:w="709" w:type="dxa"/>
            <w:tcBorders>
              <w:top w:val="nil"/>
              <w:left w:val="nil"/>
              <w:bottom w:val="single" w:sz="4" w:space="0" w:color="auto"/>
              <w:right w:val="single" w:sz="4" w:space="0" w:color="auto"/>
            </w:tcBorders>
            <w:shd w:val="clear" w:color="auto" w:fill="auto"/>
            <w:hideMark/>
          </w:tcPr>
          <w:p w14:paraId="54967CC7"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2C3DC253"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5854B06F"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0,097</w:t>
            </w:r>
          </w:p>
        </w:tc>
        <w:tc>
          <w:tcPr>
            <w:tcW w:w="850" w:type="dxa"/>
            <w:tcBorders>
              <w:top w:val="nil"/>
              <w:left w:val="nil"/>
              <w:bottom w:val="single" w:sz="4" w:space="0" w:color="auto"/>
              <w:right w:val="single" w:sz="4" w:space="0" w:color="auto"/>
            </w:tcBorders>
            <w:shd w:val="clear" w:color="auto" w:fill="auto"/>
            <w:noWrap/>
            <w:hideMark/>
          </w:tcPr>
          <w:p w14:paraId="44017AB3"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07CCFFD8"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0,123</w:t>
            </w:r>
          </w:p>
        </w:tc>
        <w:tc>
          <w:tcPr>
            <w:tcW w:w="850" w:type="dxa"/>
            <w:tcBorders>
              <w:top w:val="nil"/>
              <w:left w:val="nil"/>
              <w:bottom w:val="single" w:sz="4" w:space="0" w:color="auto"/>
              <w:right w:val="single" w:sz="4" w:space="0" w:color="auto"/>
            </w:tcBorders>
            <w:shd w:val="clear" w:color="auto" w:fill="auto"/>
            <w:hideMark/>
          </w:tcPr>
          <w:p w14:paraId="5E7FBAA3"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7D77B95B"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4825B892" w14:textId="77777777" w:rsidR="009561A2" w:rsidRPr="003F5D97" w:rsidRDefault="009561A2" w:rsidP="00F32B0C">
            <w:pPr>
              <w:spacing w:before="20" w:after="20" w:line="240" w:lineRule="auto"/>
              <w:jc w:val="left"/>
              <w:rPr>
                <w:rFonts w:eastAsia="Times New Roman"/>
                <w:sz w:val="20"/>
                <w:szCs w:val="20"/>
                <w:lang w:eastAsia="cs-CZ"/>
              </w:rPr>
            </w:pPr>
            <w:r w:rsidRPr="003F5D97">
              <w:rPr>
                <w:rFonts w:eastAsia="Times New Roman"/>
                <w:sz w:val="20"/>
                <w:szCs w:val="20"/>
                <w:lang w:eastAsia="cs-CZ"/>
              </w:rPr>
              <w:t>Z70</w:t>
            </w:r>
          </w:p>
        </w:tc>
        <w:tc>
          <w:tcPr>
            <w:tcW w:w="3453" w:type="dxa"/>
            <w:tcBorders>
              <w:top w:val="nil"/>
              <w:left w:val="nil"/>
              <w:bottom w:val="single" w:sz="4" w:space="0" w:color="auto"/>
              <w:right w:val="single" w:sz="4" w:space="0" w:color="auto"/>
            </w:tcBorders>
            <w:shd w:val="clear" w:color="auto" w:fill="auto"/>
            <w:noWrap/>
            <w:hideMark/>
          </w:tcPr>
          <w:p w14:paraId="6A26A3BC" w14:textId="77777777" w:rsidR="009561A2" w:rsidRPr="003F5D97" w:rsidRDefault="009561A2" w:rsidP="00F32B0C">
            <w:pPr>
              <w:spacing w:before="20" w:after="20" w:line="240" w:lineRule="auto"/>
              <w:jc w:val="left"/>
              <w:rPr>
                <w:rFonts w:eastAsia="Times New Roman"/>
                <w:color w:val="000000"/>
                <w:sz w:val="20"/>
                <w:szCs w:val="20"/>
                <w:lang w:eastAsia="cs-CZ"/>
              </w:rPr>
            </w:pPr>
            <w:r w:rsidRPr="003F5D97">
              <w:rPr>
                <w:rFonts w:eastAsia="Times New Roman"/>
                <w:color w:val="000000"/>
                <w:sz w:val="20"/>
                <w:szCs w:val="20"/>
                <w:lang w:eastAsia="cs-CZ"/>
              </w:rPr>
              <w:t>BI - bydlení městské a příměstské</w:t>
            </w:r>
          </w:p>
        </w:tc>
        <w:tc>
          <w:tcPr>
            <w:tcW w:w="780" w:type="dxa"/>
            <w:tcBorders>
              <w:top w:val="nil"/>
              <w:left w:val="nil"/>
              <w:bottom w:val="single" w:sz="4" w:space="0" w:color="auto"/>
              <w:right w:val="single" w:sz="4" w:space="0" w:color="auto"/>
            </w:tcBorders>
            <w:shd w:val="clear" w:color="auto" w:fill="auto"/>
            <w:hideMark/>
          </w:tcPr>
          <w:p w14:paraId="6764564F" w14:textId="77777777" w:rsidR="009561A2" w:rsidRPr="003F5D97" w:rsidRDefault="003F5D97" w:rsidP="00F32B0C">
            <w:pPr>
              <w:spacing w:before="20" w:after="20" w:line="240" w:lineRule="auto"/>
              <w:jc w:val="right"/>
              <w:rPr>
                <w:rFonts w:eastAsia="Times New Roman"/>
                <w:sz w:val="20"/>
                <w:szCs w:val="20"/>
                <w:lang w:eastAsia="cs-CZ"/>
              </w:rPr>
            </w:pPr>
            <w:r w:rsidRPr="003F5D97">
              <w:rPr>
                <w:rFonts w:eastAsia="Times New Roman"/>
                <w:sz w:val="20"/>
                <w:szCs w:val="20"/>
                <w:lang w:eastAsia="cs-CZ"/>
              </w:rPr>
              <w:t>1,527</w:t>
            </w:r>
          </w:p>
        </w:tc>
        <w:tc>
          <w:tcPr>
            <w:tcW w:w="709" w:type="dxa"/>
            <w:tcBorders>
              <w:top w:val="nil"/>
              <w:left w:val="nil"/>
              <w:bottom w:val="single" w:sz="4" w:space="0" w:color="auto"/>
              <w:right w:val="single" w:sz="4" w:space="0" w:color="auto"/>
            </w:tcBorders>
            <w:shd w:val="clear" w:color="auto" w:fill="auto"/>
            <w:noWrap/>
            <w:hideMark/>
          </w:tcPr>
          <w:p w14:paraId="0F500DF0" w14:textId="77777777" w:rsidR="009561A2" w:rsidRPr="003F5D97" w:rsidRDefault="005A3CF5" w:rsidP="00F32B0C">
            <w:pPr>
              <w:spacing w:before="20" w:after="20" w:line="240" w:lineRule="auto"/>
              <w:jc w:val="right"/>
              <w:rPr>
                <w:rFonts w:eastAsia="Times New Roman"/>
                <w:color w:val="000000"/>
                <w:sz w:val="20"/>
                <w:szCs w:val="20"/>
                <w:lang w:eastAsia="cs-CZ"/>
              </w:rPr>
            </w:pPr>
            <w:r>
              <w:rPr>
                <w:rFonts w:eastAsia="Times New Roman"/>
                <w:color w:val="000000"/>
                <w:sz w:val="20"/>
                <w:szCs w:val="20"/>
                <w:lang w:eastAsia="cs-CZ"/>
              </w:rPr>
              <w:t>0,837</w:t>
            </w:r>
          </w:p>
        </w:tc>
        <w:tc>
          <w:tcPr>
            <w:tcW w:w="992" w:type="dxa"/>
            <w:tcBorders>
              <w:top w:val="nil"/>
              <w:left w:val="nil"/>
              <w:bottom w:val="single" w:sz="4" w:space="0" w:color="auto"/>
              <w:right w:val="single" w:sz="4" w:space="0" w:color="auto"/>
            </w:tcBorders>
            <w:shd w:val="clear" w:color="auto" w:fill="auto"/>
            <w:hideMark/>
          </w:tcPr>
          <w:p w14:paraId="0D335F9F" w14:textId="77777777" w:rsidR="009561A2" w:rsidRPr="003F5D97" w:rsidRDefault="009561A2" w:rsidP="00F32B0C">
            <w:pPr>
              <w:spacing w:before="20" w:after="20" w:line="240" w:lineRule="auto"/>
              <w:jc w:val="right"/>
              <w:rPr>
                <w:rFonts w:eastAsia="Times New Roman"/>
                <w:sz w:val="20"/>
                <w:szCs w:val="20"/>
                <w:lang w:eastAsia="cs-CZ"/>
              </w:rPr>
            </w:pPr>
            <w:r w:rsidRPr="003F5D97">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06E8096B" w14:textId="77777777" w:rsidR="009561A2" w:rsidRPr="003F5D97" w:rsidRDefault="009561A2" w:rsidP="00F32B0C">
            <w:pPr>
              <w:spacing w:before="20" w:after="20" w:line="240" w:lineRule="auto"/>
              <w:jc w:val="right"/>
              <w:rPr>
                <w:rFonts w:eastAsia="Times New Roman"/>
                <w:sz w:val="20"/>
                <w:szCs w:val="20"/>
                <w:lang w:eastAsia="cs-CZ"/>
              </w:rPr>
            </w:pPr>
            <w:r w:rsidRPr="003F5D97">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0EBDF942" w14:textId="77777777" w:rsidR="009561A2" w:rsidRPr="003F5D97" w:rsidRDefault="009561A2" w:rsidP="00F32B0C">
            <w:pPr>
              <w:spacing w:before="20" w:after="20" w:line="240" w:lineRule="auto"/>
              <w:jc w:val="right"/>
              <w:rPr>
                <w:rFonts w:eastAsia="Times New Roman"/>
                <w:color w:val="000000"/>
                <w:sz w:val="20"/>
                <w:szCs w:val="20"/>
                <w:lang w:eastAsia="cs-CZ"/>
              </w:rPr>
            </w:pPr>
            <w:r w:rsidRPr="003F5D97">
              <w:rPr>
                <w:rFonts w:eastAsia="Times New Roman"/>
                <w:color w:val="000000"/>
                <w:sz w:val="20"/>
                <w:szCs w:val="20"/>
                <w:lang w:eastAsia="cs-CZ"/>
              </w:rPr>
              <w:t>0,000</w:t>
            </w:r>
          </w:p>
        </w:tc>
        <w:tc>
          <w:tcPr>
            <w:tcW w:w="766" w:type="dxa"/>
            <w:tcBorders>
              <w:top w:val="nil"/>
              <w:left w:val="nil"/>
              <w:bottom w:val="single" w:sz="4" w:space="0" w:color="auto"/>
              <w:right w:val="single" w:sz="4" w:space="0" w:color="auto"/>
            </w:tcBorders>
            <w:shd w:val="clear" w:color="auto" w:fill="auto"/>
            <w:hideMark/>
          </w:tcPr>
          <w:p w14:paraId="291012F9" w14:textId="77777777" w:rsidR="009561A2" w:rsidRPr="003F5D97" w:rsidRDefault="009561A2" w:rsidP="00F32B0C">
            <w:pPr>
              <w:spacing w:before="20" w:after="20" w:line="240" w:lineRule="auto"/>
              <w:jc w:val="right"/>
              <w:rPr>
                <w:rFonts w:eastAsia="Times New Roman"/>
                <w:sz w:val="20"/>
                <w:szCs w:val="20"/>
                <w:lang w:eastAsia="cs-CZ"/>
              </w:rPr>
            </w:pPr>
            <w:r w:rsidRPr="003F5D97">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hideMark/>
          </w:tcPr>
          <w:p w14:paraId="68B4A48F" w14:textId="77777777" w:rsidR="009561A2" w:rsidRPr="003F5D97" w:rsidRDefault="005A3CF5" w:rsidP="00F32B0C">
            <w:pPr>
              <w:spacing w:before="20" w:after="20" w:line="240" w:lineRule="auto"/>
              <w:jc w:val="right"/>
              <w:rPr>
                <w:rFonts w:eastAsia="Times New Roman"/>
                <w:sz w:val="20"/>
                <w:szCs w:val="20"/>
                <w:lang w:eastAsia="cs-CZ"/>
              </w:rPr>
            </w:pPr>
            <w:r>
              <w:rPr>
                <w:rFonts w:eastAsia="Times New Roman"/>
                <w:sz w:val="20"/>
                <w:szCs w:val="20"/>
                <w:lang w:eastAsia="cs-CZ"/>
              </w:rPr>
              <w:t>0,691</w:t>
            </w:r>
          </w:p>
        </w:tc>
        <w:tc>
          <w:tcPr>
            <w:tcW w:w="709" w:type="dxa"/>
            <w:tcBorders>
              <w:top w:val="nil"/>
              <w:left w:val="nil"/>
              <w:bottom w:val="single" w:sz="4" w:space="0" w:color="auto"/>
              <w:right w:val="single" w:sz="4" w:space="0" w:color="auto"/>
            </w:tcBorders>
            <w:shd w:val="clear" w:color="auto" w:fill="auto"/>
            <w:hideMark/>
          </w:tcPr>
          <w:p w14:paraId="7519F470" w14:textId="77777777" w:rsidR="009561A2" w:rsidRPr="003F5D97" w:rsidRDefault="009561A2" w:rsidP="00F32B0C">
            <w:pPr>
              <w:spacing w:before="20" w:after="20" w:line="240" w:lineRule="auto"/>
              <w:jc w:val="right"/>
              <w:rPr>
                <w:rFonts w:eastAsia="Times New Roman"/>
                <w:sz w:val="20"/>
                <w:szCs w:val="20"/>
                <w:lang w:eastAsia="cs-CZ"/>
              </w:rPr>
            </w:pPr>
            <w:r w:rsidRPr="003F5D97">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7FC35B81" w14:textId="77777777" w:rsidR="009561A2" w:rsidRPr="003F5D97" w:rsidRDefault="005A3CF5" w:rsidP="00F32B0C">
            <w:pPr>
              <w:spacing w:before="20" w:after="20" w:line="240" w:lineRule="auto"/>
              <w:jc w:val="right"/>
              <w:rPr>
                <w:rFonts w:eastAsia="Times New Roman"/>
                <w:color w:val="000000"/>
                <w:sz w:val="20"/>
                <w:szCs w:val="20"/>
                <w:lang w:eastAsia="cs-CZ"/>
              </w:rPr>
            </w:pPr>
            <w:r>
              <w:rPr>
                <w:rFonts w:eastAsia="Times New Roman"/>
                <w:color w:val="000000"/>
                <w:sz w:val="20"/>
                <w:szCs w:val="20"/>
                <w:lang w:eastAsia="cs-CZ"/>
              </w:rPr>
              <w:t>0,353</w:t>
            </w:r>
          </w:p>
        </w:tc>
        <w:tc>
          <w:tcPr>
            <w:tcW w:w="851" w:type="dxa"/>
            <w:tcBorders>
              <w:top w:val="nil"/>
              <w:left w:val="nil"/>
              <w:bottom w:val="single" w:sz="4" w:space="0" w:color="auto"/>
              <w:right w:val="single" w:sz="4" w:space="0" w:color="auto"/>
            </w:tcBorders>
            <w:shd w:val="clear" w:color="auto" w:fill="auto"/>
            <w:noWrap/>
            <w:hideMark/>
          </w:tcPr>
          <w:p w14:paraId="049A5695" w14:textId="77777777" w:rsidR="009561A2" w:rsidRPr="003F5D97" w:rsidRDefault="005A3CF5" w:rsidP="00F32B0C">
            <w:pPr>
              <w:spacing w:before="20" w:after="20" w:line="240" w:lineRule="auto"/>
              <w:jc w:val="right"/>
              <w:rPr>
                <w:rFonts w:eastAsia="Times New Roman"/>
                <w:color w:val="000000"/>
                <w:sz w:val="20"/>
                <w:szCs w:val="20"/>
                <w:lang w:eastAsia="cs-CZ"/>
              </w:rPr>
            </w:pPr>
            <w:r>
              <w:rPr>
                <w:rFonts w:eastAsia="Times New Roman"/>
                <w:color w:val="000000"/>
                <w:sz w:val="20"/>
                <w:szCs w:val="20"/>
                <w:lang w:eastAsia="cs-CZ"/>
              </w:rPr>
              <w:t>1,174</w:t>
            </w:r>
          </w:p>
        </w:tc>
        <w:tc>
          <w:tcPr>
            <w:tcW w:w="850" w:type="dxa"/>
            <w:tcBorders>
              <w:top w:val="nil"/>
              <w:left w:val="nil"/>
              <w:bottom w:val="single" w:sz="4" w:space="0" w:color="auto"/>
              <w:right w:val="single" w:sz="4" w:space="0" w:color="auto"/>
            </w:tcBorders>
            <w:shd w:val="clear" w:color="auto" w:fill="auto"/>
            <w:noWrap/>
            <w:hideMark/>
          </w:tcPr>
          <w:p w14:paraId="2FF84934" w14:textId="77777777" w:rsidR="009561A2" w:rsidRPr="003F5D97" w:rsidRDefault="009561A2" w:rsidP="00F32B0C">
            <w:pPr>
              <w:spacing w:before="20" w:after="20" w:line="240" w:lineRule="auto"/>
              <w:jc w:val="right"/>
              <w:rPr>
                <w:rFonts w:eastAsia="Times New Roman"/>
                <w:color w:val="000000"/>
                <w:sz w:val="20"/>
                <w:szCs w:val="20"/>
                <w:lang w:eastAsia="cs-CZ"/>
              </w:rPr>
            </w:pPr>
            <w:r w:rsidRPr="003F5D97">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631D16C5" w14:textId="77777777" w:rsidR="009561A2" w:rsidRPr="003F5D97" w:rsidRDefault="009561A2" w:rsidP="00F32B0C">
            <w:pPr>
              <w:spacing w:before="20" w:after="20" w:line="240" w:lineRule="auto"/>
              <w:jc w:val="right"/>
              <w:rPr>
                <w:rFonts w:eastAsia="Times New Roman"/>
                <w:sz w:val="20"/>
                <w:szCs w:val="20"/>
                <w:lang w:eastAsia="cs-CZ"/>
              </w:rPr>
            </w:pPr>
            <w:r w:rsidRPr="003F5D97">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6DFF7D53" w14:textId="77777777" w:rsidR="009561A2" w:rsidRPr="003F5D97" w:rsidRDefault="009561A2" w:rsidP="00F32B0C">
            <w:pPr>
              <w:spacing w:before="20" w:after="20" w:line="240" w:lineRule="auto"/>
              <w:jc w:val="right"/>
              <w:rPr>
                <w:rFonts w:eastAsia="Times New Roman"/>
                <w:sz w:val="20"/>
                <w:szCs w:val="20"/>
                <w:lang w:eastAsia="cs-CZ"/>
              </w:rPr>
            </w:pPr>
            <w:r w:rsidRPr="003F5D97">
              <w:rPr>
                <w:rFonts w:eastAsia="Times New Roman"/>
                <w:sz w:val="20"/>
                <w:szCs w:val="20"/>
                <w:lang w:eastAsia="cs-CZ"/>
              </w:rPr>
              <w:t>0,000</w:t>
            </w:r>
          </w:p>
        </w:tc>
      </w:tr>
      <w:tr w:rsidR="00045A2D" w:rsidRPr="00461C16" w14:paraId="426B2060"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750EE0F3" w14:textId="77777777" w:rsidR="009561A2" w:rsidRPr="00A56BC6" w:rsidRDefault="009561A2"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Z71</w:t>
            </w:r>
          </w:p>
        </w:tc>
        <w:tc>
          <w:tcPr>
            <w:tcW w:w="3453" w:type="dxa"/>
            <w:tcBorders>
              <w:top w:val="nil"/>
              <w:left w:val="nil"/>
              <w:bottom w:val="single" w:sz="4" w:space="0" w:color="auto"/>
              <w:right w:val="single" w:sz="4" w:space="0" w:color="auto"/>
            </w:tcBorders>
            <w:shd w:val="clear" w:color="auto" w:fill="auto"/>
            <w:noWrap/>
            <w:hideMark/>
          </w:tcPr>
          <w:p w14:paraId="56D8C515" w14:textId="77777777" w:rsidR="009561A2" w:rsidRPr="00A56BC6" w:rsidRDefault="009561A2"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BI - bydlení městské a příměstské</w:t>
            </w:r>
          </w:p>
        </w:tc>
        <w:tc>
          <w:tcPr>
            <w:tcW w:w="780" w:type="dxa"/>
            <w:tcBorders>
              <w:top w:val="nil"/>
              <w:left w:val="nil"/>
              <w:bottom w:val="single" w:sz="4" w:space="0" w:color="auto"/>
              <w:right w:val="single" w:sz="4" w:space="0" w:color="auto"/>
            </w:tcBorders>
            <w:shd w:val="clear" w:color="auto" w:fill="auto"/>
            <w:hideMark/>
          </w:tcPr>
          <w:p w14:paraId="550DABBE"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0,154</w:t>
            </w:r>
          </w:p>
        </w:tc>
        <w:tc>
          <w:tcPr>
            <w:tcW w:w="709" w:type="dxa"/>
            <w:tcBorders>
              <w:top w:val="nil"/>
              <w:left w:val="nil"/>
              <w:bottom w:val="single" w:sz="4" w:space="0" w:color="auto"/>
              <w:right w:val="single" w:sz="4" w:space="0" w:color="auto"/>
            </w:tcBorders>
            <w:shd w:val="clear" w:color="auto" w:fill="auto"/>
            <w:noWrap/>
            <w:hideMark/>
          </w:tcPr>
          <w:p w14:paraId="08826E32"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992" w:type="dxa"/>
            <w:tcBorders>
              <w:top w:val="nil"/>
              <w:left w:val="nil"/>
              <w:bottom w:val="single" w:sz="4" w:space="0" w:color="auto"/>
              <w:right w:val="single" w:sz="4" w:space="0" w:color="auto"/>
            </w:tcBorders>
            <w:shd w:val="clear" w:color="auto" w:fill="auto"/>
            <w:hideMark/>
          </w:tcPr>
          <w:p w14:paraId="0ECA234C"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7BB8D7BF"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D39C2FA"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66" w:type="dxa"/>
            <w:tcBorders>
              <w:top w:val="nil"/>
              <w:left w:val="nil"/>
              <w:bottom w:val="single" w:sz="4" w:space="0" w:color="auto"/>
              <w:right w:val="single" w:sz="4" w:space="0" w:color="auto"/>
            </w:tcBorders>
            <w:shd w:val="clear" w:color="auto" w:fill="auto"/>
            <w:hideMark/>
          </w:tcPr>
          <w:p w14:paraId="2BF9F61F"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hideMark/>
          </w:tcPr>
          <w:p w14:paraId="2F63BC22"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0,154</w:t>
            </w:r>
          </w:p>
        </w:tc>
        <w:tc>
          <w:tcPr>
            <w:tcW w:w="709" w:type="dxa"/>
            <w:tcBorders>
              <w:top w:val="nil"/>
              <w:left w:val="nil"/>
              <w:bottom w:val="single" w:sz="4" w:space="0" w:color="auto"/>
              <w:right w:val="single" w:sz="4" w:space="0" w:color="auto"/>
            </w:tcBorders>
            <w:shd w:val="clear" w:color="auto" w:fill="auto"/>
            <w:hideMark/>
          </w:tcPr>
          <w:p w14:paraId="20353906"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34D95866"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0,081</w:t>
            </w:r>
          </w:p>
        </w:tc>
        <w:tc>
          <w:tcPr>
            <w:tcW w:w="851" w:type="dxa"/>
            <w:tcBorders>
              <w:top w:val="nil"/>
              <w:left w:val="nil"/>
              <w:bottom w:val="single" w:sz="4" w:space="0" w:color="auto"/>
              <w:right w:val="single" w:sz="4" w:space="0" w:color="auto"/>
            </w:tcBorders>
            <w:shd w:val="clear" w:color="auto" w:fill="auto"/>
            <w:noWrap/>
            <w:hideMark/>
          </w:tcPr>
          <w:p w14:paraId="112103E5"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0,073</w:t>
            </w:r>
          </w:p>
        </w:tc>
        <w:tc>
          <w:tcPr>
            <w:tcW w:w="850" w:type="dxa"/>
            <w:tcBorders>
              <w:top w:val="nil"/>
              <w:left w:val="nil"/>
              <w:bottom w:val="single" w:sz="4" w:space="0" w:color="auto"/>
              <w:right w:val="single" w:sz="4" w:space="0" w:color="auto"/>
            </w:tcBorders>
            <w:shd w:val="clear" w:color="auto" w:fill="auto"/>
            <w:noWrap/>
            <w:hideMark/>
          </w:tcPr>
          <w:p w14:paraId="3A9F1C91"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0517BF3F"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7B107BD2"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2E74C37F"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22C5CABC" w14:textId="77777777" w:rsidR="009561A2" w:rsidRPr="00A56BC6" w:rsidRDefault="009561A2"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Z73</w:t>
            </w:r>
          </w:p>
        </w:tc>
        <w:tc>
          <w:tcPr>
            <w:tcW w:w="3453" w:type="dxa"/>
            <w:tcBorders>
              <w:top w:val="nil"/>
              <w:left w:val="nil"/>
              <w:bottom w:val="single" w:sz="4" w:space="0" w:color="auto"/>
              <w:right w:val="single" w:sz="4" w:space="0" w:color="auto"/>
            </w:tcBorders>
            <w:shd w:val="clear" w:color="auto" w:fill="auto"/>
            <w:noWrap/>
            <w:hideMark/>
          </w:tcPr>
          <w:p w14:paraId="18FF4931" w14:textId="77777777" w:rsidR="009561A2" w:rsidRPr="00A56BC6" w:rsidRDefault="009561A2"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BV - bydlení venkovské</w:t>
            </w:r>
          </w:p>
        </w:tc>
        <w:tc>
          <w:tcPr>
            <w:tcW w:w="780" w:type="dxa"/>
            <w:tcBorders>
              <w:top w:val="nil"/>
              <w:left w:val="nil"/>
              <w:bottom w:val="single" w:sz="4" w:space="0" w:color="auto"/>
              <w:right w:val="single" w:sz="4" w:space="0" w:color="auto"/>
            </w:tcBorders>
            <w:shd w:val="clear" w:color="auto" w:fill="auto"/>
            <w:hideMark/>
          </w:tcPr>
          <w:p w14:paraId="14A7ADCD"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0,333</w:t>
            </w:r>
          </w:p>
        </w:tc>
        <w:tc>
          <w:tcPr>
            <w:tcW w:w="709" w:type="dxa"/>
            <w:tcBorders>
              <w:top w:val="nil"/>
              <w:left w:val="nil"/>
              <w:bottom w:val="single" w:sz="4" w:space="0" w:color="auto"/>
              <w:right w:val="single" w:sz="4" w:space="0" w:color="auto"/>
            </w:tcBorders>
            <w:shd w:val="clear" w:color="auto" w:fill="auto"/>
            <w:noWrap/>
            <w:hideMark/>
          </w:tcPr>
          <w:p w14:paraId="7FC35282"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992" w:type="dxa"/>
            <w:tcBorders>
              <w:top w:val="nil"/>
              <w:left w:val="nil"/>
              <w:bottom w:val="single" w:sz="4" w:space="0" w:color="auto"/>
              <w:right w:val="single" w:sz="4" w:space="0" w:color="auto"/>
            </w:tcBorders>
            <w:shd w:val="clear" w:color="auto" w:fill="auto"/>
            <w:hideMark/>
          </w:tcPr>
          <w:p w14:paraId="0341388C"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7822F4F3"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01C00EB"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66" w:type="dxa"/>
            <w:tcBorders>
              <w:top w:val="nil"/>
              <w:left w:val="nil"/>
              <w:bottom w:val="single" w:sz="4" w:space="0" w:color="auto"/>
              <w:right w:val="single" w:sz="4" w:space="0" w:color="auto"/>
            </w:tcBorders>
            <w:shd w:val="clear" w:color="auto" w:fill="auto"/>
            <w:hideMark/>
          </w:tcPr>
          <w:p w14:paraId="7D5C24D7"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hideMark/>
          </w:tcPr>
          <w:p w14:paraId="52FE347B"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0,333</w:t>
            </w:r>
          </w:p>
        </w:tc>
        <w:tc>
          <w:tcPr>
            <w:tcW w:w="709" w:type="dxa"/>
            <w:tcBorders>
              <w:top w:val="nil"/>
              <w:left w:val="nil"/>
              <w:bottom w:val="single" w:sz="4" w:space="0" w:color="auto"/>
              <w:right w:val="single" w:sz="4" w:space="0" w:color="auto"/>
            </w:tcBorders>
            <w:shd w:val="clear" w:color="auto" w:fill="auto"/>
            <w:noWrap/>
            <w:hideMark/>
          </w:tcPr>
          <w:p w14:paraId="7D302D91"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3C51208B"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0,234</w:t>
            </w:r>
          </w:p>
        </w:tc>
        <w:tc>
          <w:tcPr>
            <w:tcW w:w="851" w:type="dxa"/>
            <w:tcBorders>
              <w:top w:val="nil"/>
              <w:left w:val="nil"/>
              <w:bottom w:val="single" w:sz="4" w:space="0" w:color="auto"/>
              <w:right w:val="single" w:sz="4" w:space="0" w:color="auto"/>
            </w:tcBorders>
            <w:shd w:val="clear" w:color="auto" w:fill="auto"/>
            <w:noWrap/>
            <w:hideMark/>
          </w:tcPr>
          <w:p w14:paraId="0F5A3A8F"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0,099</w:t>
            </w:r>
          </w:p>
        </w:tc>
        <w:tc>
          <w:tcPr>
            <w:tcW w:w="850" w:type="dxa"/>
            <w:tcBorders>
              <w:top w:val="nil"/>
              <w:left w:val="nil"/>
              <w:bottom w:val="single" w:sz="4" w:space="0" w:color="auto"/>
              <w:right w:val="single" w:sz="4" w:space="0" w:color="auto"/>
            </w:tcBorders>
            <w:shd w:val="clear" w:color="auto" w:fill="auto"/>
            <w:noWrap/>
            <w:hideMark/>
          </w:tcPr>
          <w:p w14:paraId="13852D0F" w14:textId="77777777" w:rsidR="009561A2" w:rsidRPr="00A56BC6" w:rsidRDefault="009561A2"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771E5942"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62533DBF" w14:textId="77777777" w:rsidR="009561A2" w:rsidRPr="00A56BC6" w:rsidRDefault="009561A2"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7A0E7A4B" w14:textId="77777777" w:rsidTr="00045A2D">
        <w:tc>
          <w:tcPr>
            <w:tcW w:w="870" w:type="dxa"/>
            <w:tcBorders>
              <w:top w:val="nil"/>
              <w:left w:val="single" w:sz="4" w:space="0" w:color="auto"/>
              <w:bottom w:val="single" w:sz="4" w:space="0" w:color="auto"/>
              <w:right w:val="single" w:sz="4" w:space="0" w:color="auto"/>
            </w:tcBorders>
            <w:shd w:val="clear" w:color="auto" w:fill="auto"/>
          </w:tcPr>
          <w:p w14:paraId="507CA352" w14:textId="77777777" w:rsidR="00D95A3B" w:rsidRPr="00A56BC6" w:rsidRDefault="00D95A3B"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Z107</w:t>
            </w:r>
          </w:p>
        </w:tc>
        <w:tc>
          <w:tcPr>
            <w:tcW w:w="3453" w:type="dxa"/>
            <w:tcBorders>
              <w:top w:val="nil"/>
              <w:left w:val="nil"/>
              <w:bottom w:val="single" w:sz="4" w:space="0" w:color="auto"/>
              <w:right w:val="single" w:sz="4" w:space="0" w:color="auto"/>
            </w:tcBorders>
            <w:shd w:val="clear" w:color="auto" w:fill="auto"/>
            <w:noWrap/>
          </w:tcPr>
          <w:p w14:paraId="589265DE" w14:textId="77777777" w:rsidR="00D95A3B" w:rsidRPr="00A56BC6" w:rsidRDefault="00D95A3B"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BV - bydlení venkovské</w:t>
            </w:r>
          </w:p>
        </w:tc>
        <w:tc>
          <w:tcPr>
            <w:tcW w:w="780" w:type="dxa"/>
            <w:tcBorders>
              <w:top w:val="nil"/>
              <w:left w:val="nil"/>
              <w:bottom w:val="single" w:sz="4" w:space="0" w:color="auto"/>
              <w:right w:val="single" w:sz="4" w:space="0" w:color="auto"/>
            </w:tcBorders>
            <w:shd w:val="clear" w:color="auto" w:fill="auto"/>
          </w:tcPr>
          <w:p w14:paraId="035AD0C4"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1,128</w:t>
            </w:r>
          </w:p>
        </w:tc>
        <w:tc>
          <w:tcPr>
            <w:tcW w:w="709" w:type="dxa"/>
            <w:tcBorders>
              <w:top w:val="nil"/>
              <w:left w:val="nil"/>
              <w:bottom w:val="single" w:sz="4" w:space="0" w:color="auto"/>
              <w:right w:val="single" w:sz="4" w:space="0" w:color="auto"/>
            </w:tcBorders>
            <w:shd w:val="clear" w:color="auto" w:fill="auto"/>
            <w:noWrap/>
          </w:tcPr>
          <w:p w14:paraId="4E079DE2"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0,495</w:t>
            </w:r>
          </w:p>
        </w:tc>
        <w:tc>
          <w:tcPr>
            <w:tcW w:w="992" w:type="dxa"/>
            <w:tcBorders>
              <w:top w:val="nil"/>
              <w:left w:val="nil"/>
              <w:bottom w:val="single" w:sz="4" w:space="0" w:color="auto"/>
              <w:right w:val="single" w:sz="4" w:space="0" w:color="auto"/>
            </w:tcBorders>
            <w:shd w:val="clear" w:color="auto" w:fill="auto"/>
          </w:tcPr>
          <w:p w14:paraId="1540C72A"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tcPr>
          <w:p w14:paraId="7125447C"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tcPr>
          <w:p w14:paraId="3DC14C06"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0,377</w:t>
            </w:r>
          </w:p>
        </w:tc>
        <w:tc>
          <w:tcPr>
            <w:tcW w:w="766" w:type="dxa"/>
            <w:tcBorders>
              <w:top w:val="nil"/>
              <w:left w:val="nil"/>
              <w:bottom w:val="single" w:sz="4" w:space="0" w:color="auto"/>
              <w:right w:val="single" w:sz="4" w:space="0" w:color="auto"/>
            </w:tcBorders>
            <w:shd w:val="clear" w:color="auto" w:fill="auto"/>
          </w:tcPr>
          <w:p w14:paraId="3B8E4923"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tcPr>
          <w:p w14:paraId="5C989E14"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0,256</w:t>
            </w:r>
          </w:p>
        </w:tc>
        <w:tc>
          <w:tcPr>
            <w:tcW w:w="709" w:type="dxa"/>
            <w:tcBorders>
              <w:top w:val="nil"/>
              <w:left w:val="nil"/>
              <w:bottom w:val="single" w:sz="4" w:space="0" w:color="auto"/>
              <w:right w:val="single" w:sz="4" w:space="0" w:color="auto"/>
            </w:tcBorders>
            <w:shd w:val="clear" w:color="auto" w:fill="auto"/>
            <w:noWrap/>
          </w:tcPr>
          <w:p w14:paraId="65F5415A"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noWrap/>
          </w:tcPr>
          <w:p w14:paraId="0CD8FC9B"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1,106</w:t>
            </w:r>
          </w:p>
        </w:tc>
        <w:tc>
          <w:tcPr>
            <w:tcW w:w="851" w:type="dxa"/>
            <w:tcBorders>
              <w:top w:val="nil"/>
              <w:left w:val="nil"/>
              <w:bottom w:val="single" w:sz="4" w:space="0" w:color="auto"/>
              <w:right w:val="single" w:sz="4" w:space="0" w:color="auto"/>
            </w:tcBorders>
            <w:shd w:val="clear" w:color="auto" w:fill="auto"/>
            <w:noWrap/>
          </w:tcPr>
          <w:p w14:paraId="7B5F70CA"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0,022</w:t>
            </w:r>
          </w:p>
        </w:tc>
        <w:tc>
          <w:tcPr>
            <w:tcW w:w="850" w:type="dxa"/>
            <w:tcBorders>
              <w:top w:val="nil"/>
              <w:left w:val="nil"/>
              <w:bottom w:val="single" w:sz="4" w:space="0" w:color="auto"/>
              <w:right w:val="single" w:sz="4" w:space="0" w:color="auto"/>
            </w:tcBorders>
            <w:shd w:val="clear" w:color="auto" w:fill="auto"/>
            <w:noWrap/>
          </w:tcPr>
          <w:p w14:paraId="1776F537"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tcPr>
          <w:p w14:paraId="49A9EDF6"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tcPr>
          <w:p w14:paraId="171ACBF0"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37A7D742" w14:textId="77777777" w:rsidTr="00045A2D">
        <w:tc>
          <w:tcPr>
            <w:tcW w:w="870" w:type="dxa"/>
            <w:tcBorders>
              <w:top w:val="nil"/>
              <w:left w:val="single" w:sz="4" w:space="0" w:color="auto"/>
              <w:bottom w:val="single" w:sz="4" w:space="0" w:color="auto"/>
              <w:right w:val="single" w:sz="4" w:space="0" w:color="auto"/>
            </w:tcBorders>
            <w:shd w:val="clear" w:color="auto" w:fill="auto"/>
          </w:tcPr>
          <w:p w14:paraId="187693B9" w14:textId="77777777" w:rsidR="00D95A3B" w:rsidRPr="00A56BC6" w:rsidRDefault="00D95A3B"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Z109</w:t>
            </w:r>
          </w:p>
        </w:tc>
        <w:tc>
          <w:tcPr>
            <w:tcW w:w="3453" w:type="dxa"/>
            <w:tcBorders>
              <w:top w:val="nil"/>
              <w:left w:val="nil"/>
              <w:bottom w:val="single" w:sz="4" w:space="0" w:color="auto"/>
              <w:right w:val="single" w:sz="4" w:space="0" w:color="auto"/>
            </w:tcBorders>
            <w:shd w:val="clear" w:color="auto" w:fill="auto"/>
            <w:noWrap/>
          </w:tcPr>
          <w:p w14:paraId="180DD915" w14:textId="77777777" w:rsidR="00D95A3B" w:rsidRPr="00A56BC6" w:rsidRDefault="00D95A3B"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BV - bydlení venkovské</w:t>
            </w:r>
          </w:p>
        </w:tc>
        <w:tc>
          <w:tcPr>
            <w:tcW w:w="780" w:type="dxa"/>
            <w:tcBorders>
              <w:top w:val="nil"/>
              <w:left w:val="nil"/>
              <w:bottom w:val="single" w:sz="4" w:space="0" w:color="auto"/>
              <w:right w:val="single" w:sz="4" w:space="0" w:color="auto"/>
            </w:tcBorders>
            <w:shd w:val="clear" w:color="auto" w:fill="auto"/>
          </w:tcPr>
          <w:p w14:paraId="664DA8EF"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0,676</w:t>
            </w:r>
          </w:p>
        </w:tc>
        <w:tc>
          <w:tcPr>
            <w:tcW w:w="709" w:type="dxa"/>
            <w:tcBorders>
              <w:top w:val="nil"/>
              <w:left w:val="nil"/>
              <w:bottom w:val="single" w:sz="4" w:space="0" w:color="auto"/>
              <w:right w:val="single" w:sz="4" w:space="0" w:color="auto"/>
            </w:tcBorders>
            <w:shd w:val="clear" w:color="auto" w:fill="auto"/>
            <w:noWrap/>
          </w:tcPr>
          <w:p w14:paraId="4C56BC67"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992" w:type="dxa"/>
            <w:tcBorders>
              <w:top w:val="nil"/>
              <w:left w:val="nil"/>
              <w:bottom w:val="single" w:sz="4" w:space="0" w:color="auto"/>
              <w:right w:val="single" w:sz="4" w:space="0" w:color="auto"/>
            </w:tcBorders>
            <w:shd w:val="clear" w:color="auto" w:fill="auto"/>
          </w:tcPr>
          <w:p w14:paraId="3686A49E"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tcPr>
          <w:p w14:paraId="66661C22"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tcPr>
          <w:p w14:paraId="76524347"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66" w:type="dxa"/>
            <w:tcBorders>
              <w:top w:val="nil"/>
              <w:left w:val="nil"/>
              <w:bottom w:val="single" w:sz="4" w:space="0" w:color="auto"/>
              <w:right w:val="single" w:sz="4" w:space="0" w:color="auto"/>
            </w:tcBorders>
            <w:shd w:val="clear" w:color="auto" w:fill="auto"/>
          </w:tcPr>
          <w:p w14:paraId="4CEBEF75"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tcPr>
          <w:p w14:paraId="124E2E4E"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0,676</w:t>
            </w:r>
          </w:p>
        </w:tc>
        <w:tc>
          <w:tcPr>
            <w:tcW w:w="709" w:type="dxa"/>
            <w:tcBorders>
              <w:top w:val="nil"/>
              <w:left w:val="nil"/>
              <w:bottom w:val="single" w:sz="4" w:space="0" w:color="auto"/>
              <w:right w:val="single" w:sz="4" w:space="0" w:color="auto"/>
            </w:tcBorders>
            <w:shd w:val="clear" w:color="auto" w:fill="auto"/>
            <w:noWrap/>
          </w:tcPr>
          <w:p w14:paraId="5C530ECC"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noWrap/>
          </w:tcPr>
          <w:p w14:paraId="796B853E"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tcPr>
          <w:p w14:paraId="2CE39343"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0,676</w:t>
            </w:r>
          </w:p>
        </w:tc>
        <w:tc>
          <w:tcPr>
            <w:tcW w:w="850" w:type="dxa"/>
            <w:tcBorders>
              <w:top w:val="nil"/>
              <w:left w:val="nil"/>
              <w:bottom w:val="single" w:sz="4" w:space="0" w:color="auto"/>
              <w:right w:val="single" w:sz="4" w:space="0" w:color="auto"/>
            </w:tcBorders>
            <w:shd w:val="clear" w:color="auto" w:fill="auto"/>
            <w:noWrap/>
          </w:tcPr>
          <w:p w14:paraId="31952F02"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tcPr>
          <w:p w14:paraId="43392602"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tcPr>
          <w:p w14:paraId="0274031B" w14:textId="77777777" w:rsidR="00D95A3B" w:rsidRPr="00A56BC6" w:rsidRDefault="00447635"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1F216D32" w14:textId="77777777" w:rsidTr="00045A2D">
        <w:tc>
          <w:tcPr>
            <w:tcW w:w="4323"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3CF9DE83" w14:textId="77777777" w:rsidR="00D95A3B" w:rsidRPr="00A56BC6" w:rsidRDefault="00D95A3B" w:rsidP="00F32B0C">
            <w:pPr>
              <w:spacing w:before="20" w:after="20" w:line="240" w:lineRule="auto"/>
              <w:jc w:val="left"/>
              <w:rPr>
                <w:rFonts w:eastAsia="Times New Roman"/>
                <w:b/>
                <w:bCs/>
                <w:sz w:val="20"/>
                <w:szCs w:val="20"/>
                <w:lang w:eastAsia="cs-CZ"/>
              </w:rPr>
            </w:pPr>
            <w:r w:rsidRPr="00A56BC6">
              <w:rPr>
                <w:rFonts w:eastAsia="Times New Roman"/>
                <w:b/>
                <w:bCs/>
                <w:sz w:val="20"/>
                <w:szCs w:val="20"/>
                <w:lang w:eastAsia="cs-CZ"/>
              </w:rPr>
              <w:t>Plochy bydlení celkem</w:t>
            </w:r>
          </w:p>
        </w:tc>
        <w:tc>
          <w:tcPr>
            <w:tcW w:w="780" w:type="dxa"/>
            <w:tcBorders>
              <w:top w:val="nil"/>
              <w:left w:val="nil"/>
              <w:bottom w:val="single" w:sz="4" w:space="0" w:color="auto"/>
              <w:right w:val="single" w:sz="4" w:space="0" w:color="auto"/>
            </w:tcBorders>
            <w:shd w:val="clear" w:color="auto" w:fill="C2D69B" w:themeFill="accent3" w:themeFillTint="99"/>
            <w:hideMark/>
          </w:tcPr>
          <w:p w14:paraId="58DA28C5" w14:textId="77777777" w:rsidR="00D95A3B" w:rsidRPr="00D05A41" w:rsidRDefault="003F5D97" w:rsidP="00F32B0C">
            <w:pPr>
              <w:spacing w:before="20" w:after="20" w:line="240" w:lineRule="auto"/>
              <w:jc w:val="right"/>
              <w:rPr>
                <w:rFonts w:eastAsia="Times New Roman"/>
                <w:b/>
                <w:bCs/>
                <w:sz w:val="20"/>
                <w:szCs w:val="20"/>
                <w:highlight w:val="yellow"/>
                <w:lang w:eastAsia="cs-CZ"/>
              </w:rPr>
            </w:pPr>
            <w:r w:rsidRPr="003F5D97">
              <w:rPr>
                <w:rFonts w:eastAsia="Times New Roman"/>
                <w:b/>
                <w:bCs/>
                <w:sz w:val="20"/>
                <w:szCs w:val="20"/>
                <w:lang w:eastAsia="cs-CZ"/>
              </w:rPr>
              <w:t>4,610</w:t>
            </w:r>
          </w:p>
        </w:tc>
        <w:tc>
          <w:tcPr>
            <w:tcW w:w="709" w:type="dxa"/>
            <w:tcBorders>
              <w:top w:val="nil"/>
              <w:left w:val="nil"/>
              <w:bottom w:val="single" w:sz="4" w:space="0" w:color="auto"/>
              <w:right w:val="single" w:sz="4" w:space="0" w:color="auto"/>
            </w:tcBorders>
            <w:shd w:val="clear" w:color="auto" w:fill="C2D69B" w:themeFill="accent3" w:themeFillTint="99"/>
            <w:hideMark/>
          </w:tcPr>
          <w:p w14:paraId="445AFDF5" w14:textId="77777777" w:rsidR="00D95A3B" w:rsidRPr="00A56BC6" w:rsidRDefault="005A3CF5" w:rsidP="00447635">
            <w:pPr>
              <w:spacing w:before="20" w:after="20" w:line="240" w:lineRule="auto"/>
              <w:jc w:val="right"/>
              <w:rPr>
                <w:rFonts w:eastAsia="Times New Roman"/>
                <w:b/>
                <w:bCs/>
                <w:sz w:val="20"/>
                <w:szCs w:val="20"/>
                <w:lang w:eastAsia="cs-CZ"/>
              </w:rPr>
            </w:pPr>
            <w:r>
              <w:rPr>
                <w:rFonts w:eastAsia="Times New Roman"/>
                <w:b/>
                <w:bCs/>
                <w:sz w:val="20"/>
                <w:szCs w:val="20"/>
                <w:lang w:eastAsia="cs-CZ"/>
              </w:rPr>
              <w:t>1,426</w:t>
            </w:r>
          </w:p>
        </w:tc>
        <w:tc>
          <w:tcPr>
            <w:tcW w:w="992" w:type="dxa"/>
            <w:tcBorders>
              <w:top w:val="nil"/>
              <w:left w:val="nil"/>
              <w:bottom w:val="single" w:sz="4" w:space="0" w:color="auto"/>
              <w:right w:val="single" w:sz="4" w:space="0" w:color="auto"/>
            </w:tcBorders>
            <w:shd w:val="clear" w:color="auto" w:fill="C2D69B" w:themeFill="accent3" w:themeFillTint="99"/>
            <w:hideMark/>
          </w:tcPr>
          <w:p w14:paraId="71CD8B86" w14:textId="77777777" w:rsidR="00D95A3B" w:rsidRPr="00A56BC6" w:rsidRDefault="00D95A3B" w:rsidP="00F32B0C">
            <w:pPr>
              <w:spacing w:before="20" w:after="20" w:line="240" w:lineRule="auto"/>
              <w:jc w:val="right"/>
              <w:rPr>
                <w:rFonts w:eastAsia="Times New Roman"/>
                <w:b/>
                <w:bCs/>
                <w:sz w:val="20"/>
                <w:szCs w:val="20"/>
                <w:lang w:eastAsia="cs-CZ"/>
              </w:rPr>
            </w:pPr>
            <w:r w:rsidRPr="00A56BC6">
              <w:rPr>
                <w:rFonts w:eastAsia="Times New Roman"/>
                <w:b/>
                <w:bCs/>
                <w:sz w:val="20"/>
                <w:szCs w:val="20"/>
                <w:lang w:eastAsia="cs-CZ"/>
              </w:rPr>
              <w:t>0,000</w:t>
            </w:r>
          </w:p>
        </w:tc>
        <w:tc>
          <w:tcPr>
            <w:tcW w:w="709" w:type="dxa"/>
            <w:tcBorders>
              <w:top w:val="nil"/>
              <w:left w:val="nil"/>
              <w:bottom w:val="single" w:sz="4" w:space="0" w:color="auto"/>
              <w:right w:val="single" w:sz="4" w:space="0" w:color="auto"/>
            </w:tcBorders>
            <w:shd w:val="clear" w:color="auto" w:fill="C2D69B" w:themeFill="accent3" w:themeFillTint="99"/>
            <w:hideMark/>
          </w:tcPr>
          <w:p w14:paraId="756E869E" w14:textId="77777777" w:rsidR="00D95A3B" w:rsidRPr="00A56BC6" w:rsidRDefault="00D95A3B" w:rsidP="00F32B0C">
            <w:pPr>
              <w:spacing w:before="20" w:after="20" w:line="240" w:lineRule="auto"/>
              <w:jc w:val="right"/>
              <w:rPr>
                <w:rFonts w:eastAsia="Times New Roman"/>
                <w:b/>
                <w:bCs/>
                <w:sz w:val="20"/>
                <w:szCs w:val="20"/>
                <w:lang w:eastAsia="cs-CZ"/>
              </w:rPr>
            </w:pPr>
            <w:r w:rsidRPr="00A56BC6">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2C2F4DD1" w14:textId="77777777" w:rsidR="00D95A3B" w:rsidRPr="00D05A41" w:rsidRDefault="003F5D97" w:rsidP="00F32B0C">
            <w:pPr>
              <w:spacing w:before="20" w:after="20" w:line="240" w:lineRule="auto"/>
              <w:jc w:val="right"/>
              <w:rPr>
                <w:rFonts w:eastAsia="Times New Roman"/>
                <w:b/>
                <w:bCs/>
                <w:sz w:val="20"/>
                <w:szCs w:val="20"/>
                <w:highlight w:val="yellow"/>
                <w:lang w:eastAsia="cs-CZ"/>
              </w:rPr>
            </w:pPr>
            <w:r w:rsidRPr="003F5D97">
              <w:rPr>
                <w:rFonts w:eastAsia="Times New Roman"/>
                <w:b/>
                <w:bCs/>
                <w:sz w:val="20"/>
                <w:szCs w:val="20"/>
                <w:lang w:eastAsia="cs-CZ"/>
              </w:rPr>
              <w:t>0,717</w:t>
            </w:r>
          </w:p>
        </w:tc>
        <w:tc>
          <w:tcPr>
            <w:tcW w:w="766" w:type="dxa"/>
            <w:tcBorders>
              <w:top w:val="nil"/>
              <w:left w:val="nil"/>
              <w:bottom w:val="single" w:sz="4" w:space="0" w:color="auto"/>
              <w:right w:val="single" w:sz="4" w:space="0" w:color="auto"/>
            </w:tcBorders>
            <w:shd w:val="clear" w:color="auto" w:fill="C2D69B" w:themeFill="accent3" w:themeFillTint="99"/>
            <w:hideMark/>
          </w:tcPr>
          <w:p w14:paraId="2DC90C7D" w14:textId="77777777" w:rsidR="00D95A3B" w:rsidRPr="00A56BC6" w:rsidRDefault="00D95A3B" w:rsidP="00F32B0C">
            <w:pPr>
              <w:spacing w:before="20" w:after="20" w:line="240" w:lineRule="auto"/>
              <w:jc w:val="right"/>
              <w:rPr>
                <w:rFonts w:eastAsia="Times New Roman"/>
                <w:b/>
                <w:bCs/>
                <w:sz w:val="20"/>
                <w:szCs w:val="20"/>
                <w:lang w:eastAsia="cs-CZ"/>
              </w:rPr>
            </w:pPr>
            <w:r w:rsidRPr="00A56BC6">
              <w:rPr>
                <w:rFonts w:eastAsia="Times New Roman"/>
                <w:b/>
                <w:bCs/>
                <w:sz w:val="20"/>
                <w:szCs w:val="20"/>
                <w:lang w:eastAsia="cs-CZ"/>
              </w:rPr>
              <w:t>0,000</w:t>
            </w:r>
          </w:p>
        </w:tc>
        <w:tc>
          <w:tcPr>
            <w:tcW w:w="793" w:type="dxa"/>
            <w:tcBorders>
              <w:top w:val="nil"/>
              <w:left w:val="nil"/>
              <w:bottom w:val="single" w:sz="4" w:space="0" w:color="auto"/>
              <w:right w:val="single" w:sz="4" w:space="0" w:color="auto"/>
            </w:tcBorders>
            <w:shd w:val="clear" w:color="auto" w:fill="C2D69B" w:themeFill="accent3" w:themeFillTint="99"/>
            <w:hideMark/>
          </w:tcPr>
          <w:p w14:paraId="14F0EEC8" w14:textId="77777777" w:rsidR="00D95A3B" w:rsidRPr="003F5D97" w:rsidRDefault="005A3CF5"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2,468</w:t>
            </w:r>
          </w:p>
        </w:tc>
        <w:tc>
          <w:tcPr>
            <w:tcW w:w="709" w:type="dxa"/>
            <w:tcBorders>
              <w:top w:val="nil"/>
              <w:left w:val="nil"/>
              <w:bottom w:val="single" w:sz="4" w:space="0" w:color="auto"/>
              <w:right w:val="single" w:sz="4" w:space="0" w:color="auto"/>
            </w:tcBorders>
            <w:shd w:val="clear" w:color="auto" w:fill="C2D69B" w:themeFill="accent3" w:themeFillTint="99"/>
            <w:hideMark/>
          </w:tcPr>
          <w:p w14:paraId="7A051A30" w14:textId="77777777" w:rsidR="00D95A3B" w:rsidRPr="00A56BC6" w:rsidRDefault="00447635" w:rsidP="00F32B0C">
            <w:pPr>
              <w:spacing w:before="20" w:after="20" w:line="240" w:lineRule="auto"/>
              <w:jc w:val="right"/>
              <w:rPr>
                <w:rFonts w:eastAsia="Times New Roman"/>
                <w:b/>
                <w:bCs/>
                <w:sz w:val="20"/>
                <w:szCs w:val="20"/>
                <w:lang w:eastAsia="cs-CZ"/>
              </w:rPr>
            </w:pPr>
            <w:r w:rsidRPr="00A56BC6">
              <w:rPr>
                <w:rFonts w:eastAsia="Times New Roman"/>
                <w:b/>
                <w:bCs/>
                <w:sz w:val="20"/>
                <w:szCs w:val="20"/>
                <w:lang w:eastAsia="cs-CZ"/>
              </w:rPr>
              <w:t>0,000</w:t>
            </w:r>
          </w:p>
        </w:tc>
        <w:tc>
          <w:tcPr>
            <w:tcW w:w="850" w:type="dxa"/>
            <w:tcBorders>
              <w:top w:val="nil"/>
              <w:left w:val="nil"/>
              <w:bottom w:val="single" w:sz="4" w:space="0" w:color="auto"/>
              <w:right w:val="single" w:sz="4" w:space="0" w:color="auto"/>
            </w:tcBorders>
            <w:shd w:val="clear" w:color="auto" w:fill="C2D69B" w:themeFill="accent3" w:themeFillTint="99"/>
            <w:hideMark/>
          </w:tcPr>
          <w:p w14:paraId="30CA91BC" w14:textId="77777777" w:rsidR="00D95A3B" w:rsidRPr="003F5D97" w:rsidRDefault="005A3CF5"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1,774</w:t>
            </w:r>
          </w:p>
        </w:tc>
        <w:tc>
          <w:tcPr>
            <w:tcW w:w="851" w:type="dxa"/>
            <w:tcBorders>
              <w:top w:val="nil"/>
              <w:left w:val="nil"/>
              <w:bottom w:val="single" w:sz="4" w:space="0" w:color="auto"/>
              <w:right w:val="single" w:sz="4" w:space="0" w:color="auto"/>
            </w:tcBorders>
            <w:shd w:val="clear" w:color="auto" w:fill="C2D69B" w:themeFill="accent3" w:themeFillTint="99"/>
            <w:hideMark/>
          </w:tcPr>
          <w:p w14:paraId="66459B28" w14:textId="77777777" w:rsidR="00D95A3B" w:rsidRPr="00A56BC6" w:rsidRDefault="005A3CF5"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2,373</w:t>
            </w:r>
          </w:p>
        </w:tc>
        <w:tc>
          <w:tcPr>
            <w:tcW w:w="850" w:type="dxa"/>
            <w:tcBorders>
              <w:top w:val="nil"/>
              <w:left w:val="nil"/>
              <w:bottom w:val="single" w:sz="4" w:space="0" w:color="auto"/>
              <w:right w:val="single" w:sz="4" w:space="0" w:color="auto"/>
            </w:tcBorders>
            <w:shd w:val="clear" w:color="auto" w:fill="C2D69B" w:themeFill="accent3" w:themeFillTint="99"/>
            <w:hideMark/>
          </w:tcPr>
          <w:p w14:paraId="175E40C6" w14:textId="77777777" w:rsidR="00D95A3B" w:rsidRPr="003F5D97" w:rsidRDefault="00D95A3B" w:rsidP="005A3CF5">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0,000</w:t>
            </w:r>
          </w:p>
        </w:tc>
        <w:tc>
          <w:tcPr>
            <w:tcW w:w="709" w:type="dxa"/>
            <w:tcBorders>
              <w:top w:val="nil"/>
              <w:left w:val="nil"/>
              <w:bottom w:val="single" w:sz="4" w:space="0" w:color="auto"/>
              <w:right w:val="single" w:sz="4" w:space="0" w:color="auto"/>
            </w:tcBorders>
            <w:shd w:val="clear" w:color="auto" w:fill="C2D69B" w:themeFill="accent3" w:themeFillTint="99"/>
            <w:hideMark/>
          </w:tcPr>
          <w:p w14:paraId="15E7AD58" w14:textId="77777777" w:rsidR="00D95A3B" w:rsidRPr="00A56BC6" w:rsidRDefault="00447635" w:rsidP="00F32B0C">
            <w:pPr>
              <w:spacing w:before="20" w:after="20" w:line="240" w:lineRule="auto"/>
              <w:jc w:val="right"/>
              <w:rPr>
                <w:rFonts w:eastAsia="Times New Roman"/>
                <w:b/>
                <w:bCs/>
                <w:sz w:val="20"/>
                <w:szCs w:val="20"/>
                <w:lang w:eastAsia="cs-CZ"/>
              </w:rPr>
            </w:pPr>
            <w:r w:rsidRPr="00A56BC6">
              <w:rPr>
                <w:rFonts w:eastAsia="Times New Roman"/>
                <w:b/>
                <w:bCs/>
                <w:sz w:val="20"/>
                <w:szCs w:val="20"/>
                <w:lang w:eastAsia="cs-CZ"/>
              </w:rPr>
              <w:t>0,463</w:t>
            </w:r>
          </w:p>
        </w:tc>
        <w:tc>
          <w:tcPr>
            <w:tcW w:w="850" w:type="dxa"/>
            <w:tcBorders>
              <w:top w:val="nil"/>
              <w:left w:val="nil"/>
              <w:bottom w:val="single" w:sz="4" w:space="0" w:color="auto"/>
              <w:right w:val="single" w:sz="4" w:space="0" w:color="auto"/>
            </w:tcBorders>
            <w:shd w:val="clear" w:color="auto" w:fill="C2D69B" w:themeFill="accent3" w:themeFillTint="99"/>
            <w:hideMark/>
          </w:tcPr>
          <w:p w14:paraId="73F1D265" w14:textId="77777777" w:rsidR="00D95A3B" w:rsidRPr="00A56BC6" w:rsidRDefault="00D95A3B" w:rsidP="00F32B0C">
            <w:pPr>
              <w:spacing w:before="20" w:after="20" w:line="240" w:lineRule="auto"/>
              <w:jc w:val="right"/>
              <w:rPr>
                <w:rFonts w:eastAsia="Times New Roman"/>
                <w:b/>
                <w:bCs/>
                <w:sz w:val="20"/>
                <w:szCs w:val="20"/>
                <w:lang w:eastAsia="cs-CZ"/>
              </w:rPr>
            </w:pPr>
            <w:r w:rsidRPr="00A56BC6">
              <w:rPr>
                <w:rFonts w:eastAsia="Times New Roman"/>
                <w:b/>
                <w:bCs/>
                <w:sz w:val="20"/>
                <w:szCs w:val="20"/>
                <w:lang w:eastAsia="cs-CZ"/>
              </w:rPr>
              <w:t>0,000</w:t>
            </w:r>
          </w:p>
        </w:tc>
      </w:tr>
      <w:tr w:rsidR="00045A2D" w:rsidRPr="00461C16" w14:paraId="5660F5D6"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6066DE6B" w14:textId="77777777" w:rsidR="00D95A3B" w:rsidRPr="00A56BC6" w:rsidRDefault="00D95A3B"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P29</w:t>
            </w:r>
          </w:p>
        </w:tc>
        <w:tc>
          <w:tcPr>
            <w:tcW w:w="3453" w:type="dxa"/>
            <w:tcBorders>
              <w:top w:val="nil"/>
              <w:left w:val="nil"/>
              <w:bottom w:val="single" w:sz="4" w:space="0" w:color="auto"/>
              <w:right w:val="single" w:sz="4" w:space="0" w:color="auto"/>
            </w:tcBorders>
            <w:shd w:val="clear" w:color="auto" w:fill="auto"/>
            <w:noWrap/>
            <w:hideMark/>
          </w:tcPr>
          <w:p w14:paraId="656FA51B" w14:textId="77777777" w:rsidR="00D95A3B" w:rsidRPr="00A56BC6" w:rsidRDefault="00D95A3B"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SM - plochy smíšené obytné - městské</w:t>
            </w:r>
          </w:p>
        </w:tc>
        <w:tc>
          <w:tcPr>
            <w:tcW w:w="780" w:type="dxa"/>
            <w:tcBorders>
              <w:top w:val="nil"/>
              <w:left w:val="nil"/>
              <w:bottom w:val="single" w:sz="4" w:space="0" w:color="auto"/>
              <w:right w:val="single" w:sz="4" w:space="0" w:color="auto"/>
            </w:tcBorders>
            <w:shd w:val="clear" w:color="auto" w:fill="auto"/>
            <w:hideMark/>
          </w:tcPr>
          <w:p w14:paraId="071DEEC7"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1,767</w:t>
            </w:r>
          </w:p>
        </w:tc>
        <w:tc>
          <w:tcPr>
            <w:tcW w:w="709" w:type="dxa"/>
            <w:tcBorders>
              <w:top w:val="nil"/>
              <w:left w:val="nil"/>
              <w:bottom w:val="single" w:sz="4" w:space="0" w:color="auto"/>
              <w:right w:val="single" w:sz="4" w:space="0" w:color="auto"/>
            </w:tcBorders>
            <w:shd w:val="clear" w:color="auto" w:fill="auto"/>
            <w:noWrap/>
            <w:hideMark/>
          </w:tcPr>
          <w:p w14:paraId="225E0656"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992" w:type="dxa"/>
            <w:tcBorders>
              <w:top w:val="nil"/>
              <w:left w:val="nil"/>
              <w:bottom w:val="single" w:sz="4" w:space="0" w:color="auto"/>
              <w:right w:val="single" w:sz="4" w:space="0" w:color="auto"/>
            </w:tcBorders>
            <w:shd w:val="clear" w:color="auto" w:fill="auto"/>
            <w:hideMark/>
          </w:tcPr>
          <w:p w14:paraId="0C25D402"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2242FE23"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F1C3B09"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1,767</w:t>
            </w:r>
          </w:p>
        </w:tc>
        <w:tc>
          <w:tcPr>
            <w:tcW w:w="766" w:type="dxa"/>
            <w:tcBorders>
              <w:top w:val="nil"/>
              <w:left w:val="nil"/>
              <w:bottom w:val="single" w:sz="4" w:space="0" w:color="auto"/>
              <w:right w:val="single" w:sz="4" w:space="0" w:color="auto"/>
            </w:tcBorders>
            <w:shd w:val="clear" w:color="auto" w:fill="auto"/>
            <w:hideMark/>
          </w:tcPr>
          <w:p w14:paraId="7911BC8E"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hideMark/>
          </w:tcPr>
          <w:p w14:paraId="387B9031"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77578456"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737CBD97"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hideMark/>
          </w:tcPr>
          <w:p w14:paraId="13824EDB"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1,767</w:t>
            </w:r>
          </w:p>
        </w:tc>
        <w:tc>
          <w:tcPr>
            <w:tcW w:w="850" w:type="dxa"/>
            <w:tcBorders>
              <w:top w:val="nil"/>
              <w:left w:val="nil"/>
              <w:bottom w:val="single" w:sz="4" w:space="0" w:color="auto"/>
              <w:right w:val="single" w:sz="4" w:space="0" w:color="auto"/>
            </w:tcBorders>
            <w:shd w:val="clear" w:color="auto" w:fill="auto"/>
            <w:noWrap/>
            <w:hideMark/>
          </w:tcPr>
          <w:p w14:paraId="0917EAEC"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759C1E85"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014BDCC4"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4345B3A3"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60C3FA25" w14:textId="77777777" w:rsidR="00D95A3B" w:rsidRPr="00A56BC6" w:rsidRDefault="00D95A3B"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Z74</w:t>
            </w:r>
          </w:p>
        </w:tc>
        <w:tc>
          <w:tcPr>
            <w:tcW w:w="3453" w:type="dxa"/>
            <w:tcBorders>
              <w:top w:val="nil"/>
              <w:left w:val="nil"/>
              <w:bottom w:val="single" w:sz="4" w:space="0" w:color="auto"/>
              <w:right w:val="single" w:sz="4" w:space="0" w:color="auto"/>
            </w:tcBorders>
            <w:shd w:val="clear" w:color="auto" w:fill="auto"/>
            <w:noWrap/>
            <w:hideMark/>
          </w:tcPr>
          <w:p w14:paraId="596035DB" w14:textId="77777777" w:rsidR="00D95A3B" w:rsidRPr="00A56BC6" w:rsidRDefault="00D95A3B"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SV - plochy smíšené obytné - venkovské</w:t>
            </w:r>
          </w:p>
        </w:tc>
        <w:tc>
          <w:tcPr>
            <w:tcW w:w="780" w:type="dxa"/>
            <w:tcBorders>
              <w:top w:val="nil"/>
              <w:left w:val="nil"/>
              <w:bottom w:val="single" w:sz="4" w:space="0" w:color="auto"/>
              <w:right w:val="single" w:sz="4" w:space="0" w:color="auto"/>
            </w:tcBorders>
            <w:shd w:val="clear" w:color="auto" w:fill="auto"/>
            <w:hideMark/>
          </w:tcPr>
          <w:p w14:paraId="5AFEF949"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0,505</w:t>
            </w:r>
          </w:p>
        </w:tc>
        <w:tc>
          <w:tcPr>
            <w:tcW w:w="709" w:type="dxa"/>
            <w:tcBorders>
              <w:top w:val="nil"/>
              <w:left w:val="nil"/>
              <w:bottom w:val="single" w:sz="4" w:space="0" w:color="auto"/>
              <w:right w:val="single" w:sz="4" w:space="0" w:color="auto"/>
            </w:tcBorders>
            <w:shd w:val="clear" w:color="auto" w:fill="auto"/>
            <w:noWrap/>
            <w:hideMark/>
          </w:tcPr>
          <w:p w14:paraId="02AE407D"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0,465</w:t>
            </w:r>
          </w:p>
        </w:tc>
        <w:tc>
          <w:tcPr>
            <w:tcW w:w="992" w:type="dxa"/>
            <w:tcBorders>
              <w:top w:val="nil"/>
              <w:left w:val="nil"/>
              <w:bottom w:val="single" w:sz="4" w:space="0" w:color="auto"/>
              <w:right w:val="single" w:sz="4" w:space="0" w:color="auto"/>
            </w:tcBorders>
            <w:shd w:val="clear" w:color="auto" w:fill="auto"/>
            <w:hideMark/>
          </w:tcPr>
          <w:p w14:paraId="71EC9C27"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1D2F6C79"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F612284"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66" w:type="dxa"/>
            <w:tcBorders>
              <w:top w:val="nil"/>
              <w:left w:val="nil"/>
              <w:bottom w:val="single" w:sz="4" w:space="0" w:color="auto"/>
              <w:right w:val="single" w:sz="4" w:space="0" w:color="auto"/>
            </w:tcBorders>
            <w:shd w:val="clear" w:color="auto" w:fill="auto"/>
            <w:noWrap/>
            <w:hideMark/>
          </w:tcPr>
          <w:p w14:paraId="0C760383"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93" w:type="dxa"/>
            <w:tcBorders>
              <w:top w:val="nil"/>
              <w:left w:val="nil"/>
              <w:bottom w:val="single" w:sz="4" w:space="0" w:color="auto"/>
              <w:right w:val="single" w:sz="4" w:space="0" w:color="auto"/>
            </w:tcBorders>
            <w:shd w:val="clear" w:color="auto" w:fill="auto"/>
            <w:hideMark/>
          </w:tcPr>
          <w:p w14:paraId="26717F19"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0,039</w:t>
            </w:r>
          </w:p>
        </w:tc>
        <w:tc>
          <w:tcPr>
            <w:tcW w:w="709" w:type="dxa"/>
            <w:tcBorders>
              <w:top w:val="nil"/>
              <w:left w:val="nil"/>
              <w:bottom w:val="single" w:sz="4" w:space="0" w:color="auto"/>
              <w:right w:val="single" w:sz="4" w:space="0" w:color="auto"/>
            </w:tcBorders>
            <w:shd w:val="clear" w:color="auto" w:fill="auto"/>
            <w:hideMark/>
          </w:tcPr>
          <w:p w14:paraId="6B25B8FF"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21370374"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0,505</w:t>
            </w:r>
          </w:p>
        </w:tc>
        <w:tc>
          <w:tcPr>
            <w:tcW w:w="851" w:type="dxa"/>
            <w:tcBorders>
              <w:top w:val="nil"/>
              <w:left w:val="nil"/>
              <w:bottom w:val="single" w:sz="4" w:space="0" w:color="auto"/>
              <w:right w:val="single" w:sz="4" w:space="0" w:color="auto"/>
            </w:tcBorders>
            <w:shd w:val="clear" w:color="auto" w:fill="auto"/>
            <w:hideMark/>
          </w:tcPr>
          <w:p w14:paraId="568C3382"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5BA0EF2C"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480448DF"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676C5D57"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275A686A" w14:textId="77777777" w:rsidTr="00045A2D">
        <w:tc>
          <w:tcPr>
            <w:tcW w:w="870" w:type="dxa"/>
            <w:tcBorders>
              <w:top w:val="nil"/>
              <w:left w:val="single" w:sz="4" w:space="0" w:color="auto"/>
              <w:bottom w:val="single" w:sz="4" w:space="0" w:color="auto"/>
              <w:right w:val="single" w:sz="4" w:space="0" w:color="auto"/>
            </w:tcBorders>
            <w:shd w:val="clear" w:color="auto" w:fill="auto"/>
            <w:hideMark/>
          </w:tcPr>
          <w:p w14:paraId="640956AB" w14:textId="77777777" w:rsidR="00D95A3B" w:rsidRPr="00A56BC6" w:rsidRDefault="00D95A3B" w:rsidP="00F32B0C">
            <w:pPr>
              <w:spacing w:before="20" w:after="20" w:line="240" w:lineRule="auto"/>
              <w:jc w:val="left"/>
              <w:rPr>
                <w:rFonts w:eastAsia="Times New Roman"/>
                <w:sz w:val="20"/>
                <w:szCs w:val="20"/>
                <w:lang w:eastAsia="cs-CZ"/>
              </w:rPr>
            </w:pPr>
            <w:r w:rsidRPr="00A56BC6">
              <w:rPr>
                <w:rFonts w:eastAsia="Times New Roman"/>
                <w:sz w:val="20"/>
                <w:szCs w:val="20"/>
                <w:lang w:eastAsia="cs-CZ"/>
              </w:rPr>
              <w:t>Z75</w:t>
            </w:r>
          </w:p>
        </w:tc>
        <w:tc>
          <w:tcPr>
            <w:tcW w:w="3453" w:type="dxa"/>
            <w:tcBorders>
              <w:top w:val="nil"/>
              <w:left w:val="nil"/>
              <w:bottom w:val="single" w:sz="4" w:space="0" w:color="auto"/>
              <w:right w:val="single" w:sz="4" w:space="0" w:color="auto"/>
            </w:tcBorders>
            <w:shd w:val="clear" w:color="auto" w:fill="auto"/>
            <w:noWrap/>
            <w:hideMark/>
          </w:tcPr>
          <w:p w14:paraId="554ED1E2" w14:textId="77777777" w:rsidR="00D95A3B" w:rsidRPr="00A56BC6" w:rsidRDefault="00D95A3B" w:rsidP="00F32B0C">
            <w:pPr>
              <w:spacing w:before="20" w:after="20" w:line="240" w:lineRule="auto"/>
              <w:jc w:val="left"/>
              <w:rPr>
                <w:rFonts w:eastAsia="Times New Roman"/>
                <w:color w:val="000000"/>
                <w:sz w:val="20"/>
                <w:szCs w:val="20"/>
                <w:lang w:eastAsia="cs-CZ"/>
              </w:rPr>
            </w:pPr>
            <w:r w:rsidRPr="00A56BC6">
              <w:rPr>
                <w:rFonts w:eastAsia="Times New Roman"/>
                <w:color w:val="000000"/>
                <w:sz w:val="20"/>
                <w:szCs w:val="20"/>
                <w:lang w:eastAsia="cs-CZ"/>
              </w:rPr>
              <w:t>SV - plochy smíšené obytné - venkovské</w:t>
            </w:r>
          </w:p>
        </w:tc>
        <w:tc>
          <w:tcPr>
            <w:tcW w:w="780" w:type="dxa"/>
            <w:tcBorders>
              <w:top w:val="nil"/>
              <w:left w:val="nil"/>
              <w:bottom w:val="single" w:sz="4" w:space="0" w:color="auto"/>
              <w:right w:val="single" w:sz="4" w:space="0" w:color="auto"/>
            </w:tcBorders>
            <w:shd w:val="clear" w:color="auto" w:fill="auto"/>
            <w:hideMark/>
          </w:tcPr>
          <w:p w14:paraId="4BD6BD4B"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0,696</w:t>
            </w:r>
          </w:p>
        </w:tc>
        <w:tc>
          <w:tcPr>
            <w:tcW w:w="709" w:type="dxa"/>
            <w:tcBorders>
              <w:top w:val="nil"/>
              <w:left w:val="nil"/>
              <w:bottom w:val="single" w:sz="4" w:space="0" w:color="auto"/>
              <w:right w:val="single" w:sz="4" w:space="0" w:color="auto"/>
            </w:tcBorders>
            <w:shd w:val="clear" w:color="auto" w:fill="auto"/>
            <w:noWrap/>
            <w:hideMark/>
          </w:tcPr>
          <w:p w14:paraId="0828B932"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992" w:type="dxa"/>
            <w:tcBorders>
              <w:top w:val="nil"/>
              <w:left w:val="nil"/>
              <w:bottom w:val="single" w:sz="4" w:space="0" w:color="auto"/>
              <w:right w:val="single" w:sz="4" w:space="0" w:color="auto"/>
            </w:tcBorders>
            <w:shd w:val="clear" w:color="auto" w:fill="auto"/>
            <w:hideMark/>
          </w:tcPr>
          <w:p w14:paraId="1D556990"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09" w:type="dxa"/>
            <w:tcBorders>
              <w:top w:val="nil"/>
              <w:left w:val="nil"/>
              <w:bottom w:val="single" w:sz="4" w:space="0" w:color="auto"/>
              <w:right w:val="single" w:sz="4" w:space="0" w:color="auto"/>
            </w:tcBorders>
            <w:shd w:val="clear" w:color="auto" w:fill="auto"/>
            <w:hideMark/>
          </w:tcPr>
          <w:p w14:paraId="70BF8E34"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FBF595F"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0,059</w:t>
            </w:r>
          </w:p>
        </w:tc>
        <w:tc>
          <w:tcPr>
            <w:tcW w:w="766" w:type="dxa"/>
            <w:tcBorders>
              <w:top w:val="nil"/>
              <w:left w:val="nil"/>
              <w:bottom w:val="single" w:sz="4" w:space="0" w:color="auto"/>
              <w:right w:val="single" w:sz="4" w:space="0" w:color="auto"/>
            </w:tcBorders>
            <w:shd w:val="clear" w:color="auto" w:fill="auto"/>
            <w:hideMark/>
          </w:tcPr>
          <w:p w14:paraId="6AD494B5"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793" w:type="dxa"/>
            <w:tcBorders>
              <w:top w:val="nil"/>
              <w:left w:val="nil"/>
              <w:bottom w:val="single" w:sz="4" w:space="0" w:color="auto"/>
              <w:right w:val="single" w:sz="4" w:space="0" w:color="auto"/>
            </w:tcBorders>
            <w:shd w:val="clear" w:color="auto" w:fill="auto"/>
            <w:noWrap/>
            <w:hideMark/>
          </w:tcPr>
          <w:p w14:paraId="7859E60D"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0,637</w:t>
            </w:r>
          </w:p>
        </w:tc>
        <w:tc>
          <w:tcPr>
            <w:tcW w:w="709" w:type="dxa"/>
            <w:tcBorders>
              <w:top w:val="nil"/>
              <w:left w:val="nil"/>
              <w:bottom w:val="single" w:sz="4" w:space="0" w:color="auto"/>
              <w:right w:val="single" w:sz="4" w:space="0" w:color="auto"/>
            </w:tcBorders>
            <w:shd w:val="clear" w:color="auto" w:fill="auto"/>
            <w:hideMark/>
          </w:tcPr>
          <w:p w14:paraId="2BDB7C22"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1E35DE20"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0,692</w:t>
            </w:r>
          </w:p>
        </w:tc>
        <w:tc>
          <w:tcPr>
            <w:tcW w:w="851" w:type="dxa"/>
            <w:tcBorders>
              <w:top w:val="nil"/>
              <w:left w:val="nil"/>
              <w:bottom w:val="single" w:sz="4" w:space="0" w:color="auto"/>
              <w:right w:val="single" w:sz="4" w:space="0" w:color="auto"/>
            </w:tcBorders>
            <w:shd w:val="clear" w:color="auto" w:fill="auto"/>
            <w:hideMark/>
          </w:tcPr>
          <w:p w14:paraId="139726D4"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0,003</w:t>
            </w:r>
          </w:p>
        </w:tc>
        <w:tc>
          <w:tcPr>
            <w:tcW w:w="850" w:type="dxa"/>
            <w:tcBorders>
              <w:top w:val="nil"/>
              <w:left w:val="nil"/>
              <w:bottom w:val="single" w:sz="4" w:space="0" w:color="auto"/>
              <w:right w:val="single" w:sz="4" w:space="0" w:color="auto"/>
            </w:tcBorders>
            <w:shd w:val="clear" w:color="auto" w:fill="auto"/>
            <w:noWrap/>
            <w:hideMark/>
          </w:tcPr>
          <w:p w14:paraId="28B94525"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669E63C5" w14:textId="77777777" w:rsidR="00D95A3B" w:rsidRPr="00A56BC6" w:rsidRDefault="00D95A3B" w:rsidP="00F32B0C">
            <w:pPr>
              <w:spacing w:before="20" w:after="20" w:line="240" w:lineRule="auto"/>
              <w:jc w:val="right"/>
              <w:rPr>
                <w:rFonts w:eastAsia="Times New Roman"/>
                <w:color w:val="000000"/>
                <w:sz w:val="20"/>
                <w:szCs w:val="20"/>
                <w:lang w:eastAsia="cs-CZ"/>
              </w:rPr>
            </w:pPr>
            <w:r w:rsidRPr="00A56BC6">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hideMark/>
          </w:tcPr>
          <w:p w14:paraId="656679C5" w14:textId="77777777" w:rsidR="00D95A3B" w:rsidRPr="00A56BC6" w:rsidRDefault="00D95A3B" w:rsidP="00F32B0C">
            <w:pPr>
              <w:spacing w:before="20" w:after="20" w:line="240" w:lineRule="auto"/>
              <w:jc w:val="right"/>
              <w:rPr>
                <w:rFonts w:eastAsia="Times New Roman"/>
                <w:sz w:val="20"/>
                <w:szCs w:val="20"/>
                <w:lang w:eastAsia="cs-CZ"/>
              </w:rPr>
            </w:pPr>
            <w:r w:rsidRPr="00A56BC6">
              <w:rPr>
                <w:rFonts w:eastAsia="Times New Roman"/>
                <w:sz w:val="20"/>
                <w:szCs w:val="20"/>
                <w:lang w:eastAsia="cs-CZ"/>
              </w:rPr>
              <w:t>0,000</w:t>
            </w:r>
          </w:p>
        </w:tc>
      </w:tr>
      <w:tr w:rsidR="00045A2D" w:rsidRPr="00461C16" w14:paraId="6FC09368" w14:textId="77777777" w:rsidTr="00045A2D">
        <w:tc>
          <w:tcPr>
            <w:tcW w:w="4323"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526468EC" w14:textId="77777777" w:rsidR="00D95A3B" w:rsidRPr="003F5D97" w:rsidRDefault="00D95A3B" w:rsidP="00F32B0C">
            <w:pPr>
              <w:spacing w:before="20" w:after="20" w:line="240" w:lineRule="auto"/>
              <w:jc w:val="left"/>
              <w:rPr>
                <w:rFonts w:eastAsia="Times New Roman"/>
                <w:b/>
                <w:bCs/>
                <w:sz w:val="20"/>
                <w:szCs w:val="20"/>
                <w:lang w:eastAsia="cs-CZ"/>
              </w:rPr>
            </w:pPr>
            <w:r w:rsidRPr="003F5D97">
              <w:rPr>
                <w:rFonts w:eastAsia="Times New Roman"/>
                <w:b/>
                <w:bCs/>
                <w:sz w:val="20"/>
                <w:szCs w:val="20"/>
                <w:lang w:eastAsia="cs-CZ"/>
              </w:rPr>
              <w:t>Plochy smíšené obytné celkem</w:t>
            </w:r>
          </w:p>
        </w:tc>
        <w:tc>
          <w:tcPr>
            <w:tcW w:w="780" w:type="dxa"/>
            <w:tcBorders>
              <w:top w:val="nil"/>
              <w:left w:val="nil"/>
              <w:bottom w:val="single" w:sz="4" w:space="0" w:color="auto"/>
              <w:right w:val="single" w:sz="4" w:space="0" w:color="auto"/>
            </w:tcBorders>
            <w:shd w:val="clear" w:color="auto" w:fill="C2D69B" w:themeFill="accent3" w:themeFillTint="99"/>
            <w:hideMark/>
          </w:tcPr>
          <w:p w14:paraId="711A0B56" w14:textId="77777777" w:rsidR="00D95A3B" w:rsidRPr="003F5D97" w:rsidRDefault="003F5D97"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2,968</w:t>
            </w:r>
          </w:p>
        </w:tc>
        <w:tc>
          <w:tcPr>
            <w:tcW w:w="709" w:type="dxa"/>
            <w:tcBorders>
              <w:top w:val="nil"/>
              <w:left w:val="nil"/>
              <w:bottom w:val="single" w:sz="4" w:space="0" w:color="auto"/>
              <w:right w:val="single" w:sz="4" w:space="0" w:color="auto"/>
            </w:tcBorders>
            <w:shd w:val="clear" w:color="auto" w:fill="C2D69B" w:themeFill="accent3" w:themeFillTint="99"/>
            <w:hideMark/>
          </w:tcPr>
          <w:p w14:paraId="0F31C7C6" w14:textId="77777777" w:rsidR="00D95A3B" w:rsidRPr="003F5D97" w:rsidRDefault="003F5D97"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0,465</w:t>
            </w:r>
          </w:p>
        </w:tc>
        <w:tc>
          <w:tcPr>
            <w:tcW w:w="992" w:type="dxa"/>
            <w:tcBorders>
              <w:top w:val="nil"/>
              <w:left w:val="nil"/>
              <w:bottom w:val="single" w:sz="4" w:space="0" w:color="auto"/>
              <w:right w:val="single" w:sz="4" w:space="0" w:color="auto"/>
            </w:tcBorders>
            <w:shd w:val="clear" w:color="auto" w:fill="C2D69B" w:themeFill="accent3" w:themeFillTint="99"/>
            <w:hideMark/>
          </w:tcPr>
          <w:p w14:paraId="03C9AF34"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0,000</w:t>
            </w:r>
          </w:p>
        </w:tc>
        <w:tc>
          <w:tcPr>
            <w:tcW w:w="709" w:type="dxa"/>
            <w:tcBorders>
              <w:top w:val="nil"/>
              <w:left w:val="nil"/>
              <w:bottom w:val="single" w:sz="4" w:space="0" w:color="auto"/>
              <w:right w:val="single" w:sz="4" w:space="0" w:color="auto"/>
            </w:tcBorders>
            <w:shd w:val="clear" w:color="auto" w:fill="C2D69B" w:themeFill="accent3" w:themeFillTint="99"/>
            <w:hideMark/>
          </w:tcPr>
          <w:p w14:paraId="6B53212D"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6F2C9988"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1,826</w:t>
            </w:r>
          </w:p>
        </w:tc>
        <w:tc>
          <w:tcPr>
            <w:tcW w:w="766" w:type="dxa"/>
            <w:tcBorders>
              <w:top w:val="nil"/>
              <w:left w:val="nil"/>
              <w:bottom w:val="single" w:sz="4" w:space="0" w:color="auto"/>
              <w:right w:val="single" w:sz="4" w:space="0" w:color="auto"/>
            </w:tcBorders>
            <w:shd w:val="clear" w:color="auto" w:fill="C2D69B" w:themeFill="accent3" w:themeFillTint="99"/>
            <w:hideMark/>
          </w:tcPr>
          <w:p w14:paraId="1D0ADCB0"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0,000</w:t>
            </w:r>
          </w:p>
        </w:tc>
        <w:tc>
          <w:tcPr>
            <w:tcW w:w="793" w:type="dxa"/>
            <w:tcBorders>
              <w:top w:val="nil"/>
              <w:left w:val="nil"/>
              <w:bottom w:val="single" w:sz="4" w:space="0" w:color="auto"/>
              <w:right w:val="single" w:sz="4" w:space="0" w:color="auto"/>
            </w:tcBorders>
            <w:shd w:val="clear" w:color="auto" w:fill="C2D69B" w:themeFill="accent3" w:themeFillTint="99"/>
            <w:hideMark/>
          </w:tcPr>
          <w:p w14:paraId="44C0FD2A" w14:textId="77777777" w:rsidR="00D95A3B" w:rsidRPr="003F5D97" w:rsidRDefault="003F5D97"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0,676</w:t>
            </w:r>
          </w:p>
        </w:tc>
        <w:tc>
          <w:tcPr>
            <w:tcW w:w="709" w:type="dxa"/>
            <w:tcBorders>
              <w:top w:val="nil"/>
              <w:left w:val="nil"/>
              <w:bottom w:val="single" w:sz="4" w:space="0" w:color="auto"/>
              <w:right w:val="single" w:sz="4" w:space="0" w:color="auto"/>
            </w:tcBorders>
            <w:shd w:val="clear" w:color="auto" w:fill="C2D69B" w:themeFill="accent3" w:themeFillTint="99"/>
            <w:hideMark/>
          </w:tcPr>
          <w:p w14:paraId="3ABD1B0F"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0,000</w:t>
            </w:r>
          </w:p>
        </w:tc>
        <w:tc>
          <w:tcPr>
            <w:tcW w:w="850" w:type="dxa"/>
            <w:tcBorders>
              <w:top w:val="nil"/>
              <w:left w:val="nil"/>
              <w:bottom w:val="single" w:sz="4" w:space="0" w:color="auto"/>
              <w:right w:val="single" w:sz="4" w:space="0" w:color="auto"/>
            </w:tcBorders>
            <w:shd w:val="clear" w:color="auto" w:fill="C2D69B" w:themeFill="accent3" w:themeFillTint="99"/>
            <w:hideMark/>
          </w:tcPr>
          <w:p w14:paraId="03C3F062" w14:textId="77777777" w:rsidR="00D95A3B" w:rsidRPr="003F5D97" w:rsidRDefault="003F5D97"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1,197</w:t>
            </w:r>
          </w:p>
        </w:tc>
        <w:tc>
          <w:tcPr>
            <w:tcW w:w="851" w:type="dxa"/>
            <w:tcBorders>
              <w:top w:val="nil"/>
              <w:left w:val="nil"/>
              <w:bottom w:val="single" w:sz="4" w:space="0" w:color="auto"/>
              <w:right w:val="single" w:sz="4" w:space="0" w:color="auto"/>
            </w:tcBorders>
            <w:shd w:val="clear" w:color="auto" w:fill="C2D69B" w:themeFill="accent3" w:themeFillTint="99"/>
            <w:hideMark/>
          </w:tcPr>
          <w:p w14:paraId="0EE9A297"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1,770</w:t>
            </w:r>
          </w:p>
        </w:tc>
        <w:tc>
          <w:tcPr>
            <w:tcW w:w="850" w:type="dxa"/>
            <w:tcBorders>
              <w:top w:val="nil"/>
              <w:left w:val="nil"/>
              <w:bottom w:val="single" w:sz="4" w:space="0" w:color="auto"/>
              <w:right w:val="single" w:sz="4" w:space="0" w:color="auto"/>
            </w:tcBorders>
            <w:shd w:val="clear" w:color="auto" w:fill="C2D69B" w:themeFill="accent3" w:themeFillTint="99"/>
            <w:hideMark/>
          </w:tcPr>
          <w:p w14:paraId="340F3D2B"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0,000</w:t>
            </w:r>
          </w:p>
        </w:tc>
        <w:tc>
          <w:tcPr>
            <w:tcW w:w="709" w:type="dxa"/>
            <w:tcBorders>
              <w:top w:val="nil"/>
              <w:left w:val="nil"/>
              <w:bottom w:val="single" w:sz="4" w:space="0" w:color="auto"/>
              <w:right w:val="single" w:sz="4" w:space="0" w:color="auto"/>
            </w:tcBorders>
            <w:shd w:val="clear" w:color="auto" w:fill="C2D69B" w:themeFill="accent3" w:themeFillTint="99"/>
            <w:hideMark/>
          </w:tcPr>
          <w:p w14:paraId="47AA6AF2"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0,000</w:t>
            </w:r>
          </w:p>
        </w:tc>
        <w:tc>
          <w:tcPr>
            <w:tcW w:w="850" w:type="dxa"/>
            <w:tcBorders>
              <w:top w:val="nil"/>
              <w:left w:val="nil"/>
              <w:bottom w:val="single" w:sz="4" w:space="0" w:color="auto"/>
              <w:right w:val="single" w:sz="4" w:space="0" w:color="auto"/>
            </w:tcBorders>
            <w:shd w:val="clear" w:color="auto" w:fill="C2D69B" w:themeFill="accent3" w:themeFillTint="99"/>
            <w:hideMark/>
          </w:tcPr>
          <w:p w14:paraId="6FD594F6" w14:textId="77777777" w:rsidR="00D95A3B" w:rsidRPr="003F5D97" w:rsidRDefault="00D95A3B" w:rsidP="00F32B0C">
            <w:pPr>
              <w:spacing w:before="20" w:after="20" w:line="240" w:lineRule="auto"/>
              <w:jc w:val="right"/>
              <w:rPr>
                <w:rFonts w:eastAsia="Times New Roman"/>
                <w:b/>
                <w:bCs/>
                <w:sz w:val="20"/>
                <w:szCs w:val="20"/>
                <w:lang w:eastAsia="cs-CZ"/>
              </w:rPr>
            </w:pPr>
            <w:r w:rsidRPr="003F5D97">
              <w:rPr>
                <w:rFonts w:eastAsia="Times New Roman"/>
                <w:b/>
                <w:bCs/>
                <w:sz w:val="20"/>
                <w:szCs w:val="20"/>
                <w:lang w:eastAsia="cs-CZ"/>
              </w:rPr>
              <w:t>0,000</w:t>
            </w:r>
          </w:p>
        </w:tc>
      </w:tr>
      <w:tr w:rsidR="00045A2D" w:rsidRPr="00461C16" w14:paraId="706C3E73" w14:textId="77777777" w:rsidTr="00045A2D">
        <w:tc>
          <w:tcPr>
            <w:tcW w:w="4323" w:type="dxa"/>
            <w:gridSpan w:val="2"/>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49E3E84E" w14:textId="77777777" w:rsidR="00D95A3B" w:rsidRPr="003F5D97" w:rsidRDefault="00D95A3B" w:rsidP="00F32B0C">
            <w:pPr>
              <w:spacing w:before="20" w:after="20" w:line="240" w:lineRule="auto"/>
              <w:jc w:val="left"/>
              <w:rPr>
                <w:rFonts w:eastAsia="Times New Roman"/>
                <w:b/>
                <w:bCs/>
                <w:color w:val="FFFFFF"/>
                <w:sz w:val="20"/>
                <w:szCs w:val="20"/>
                <w:lang w:eastAsia="cs-CZ"/>
              </w:rPr>
            </w:pPr>
            <w:r w:rsidRPr="003F5D97">
              <w:rPr>
                <w:rFonts w:eastAsia="Times New Roman"/>
                <w:b/>
                <w:bCs/>
                <w:color w:val="FFFFFF"/>
                <w:sz w:val="20"/>
                <w:szCs w:val="20"/>
                <w:lang w:eastAsia="cs-CZ"/>
              </w:rPr>
              <w:t>K.Ú. DONÍN U HRÁDKU NAD NISOU - ZÁBOR ZPF CELKEM</w:t>
            </w:r>
          </w:p>
        </w:tc>
        <w:tc>
          <w:tcPr>
            <w:tcW w:w="780" w:type="dxa"/>
            <w:tcBorders>
              <w:top w:val="nil"/>
              <w:left w:val="nil"/>
              <w:bottom w:val="single" w:sz="4" w:space="0" w:color="auto"/>
              <w:right w:val="single" w:sz="4" w:space="0" w:color="auto"/>
            </w:tcBorders>
            <w:shd w:val="clear" w:color="auto" w:fill="76923C" w:themeFill="accent3" w:themeFillShade="BF"/>
            <w:hideMark/>
          </w:tcPr>
          <w:p w14:paraId="4753C4FD" w14:textId="77777777" w:rsidR="00D95A3B" w:rsidRPr="003F5D97" w:rsidRDefault="003F5D97"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7,578</w:t>
            </w:r>
          </w:p>
        </w:tc>
        <w:tc>
          <w:tcPr>
            <w:tcW w:w="709" w:type="dxa"/>
            <w:tcBorders>
              <w:top w:val="nil"/>
              <w:left w:val="nil"/>
              <w:bottom w:val="single" w:sz="4" w:space="0" w:color="auto"/>
              <w:right w:val="single" w:sz="4" w:space="0" w:color="auto"/>
            </w:tcBorders>
            <w:shd w:val="clear" w:color="auto" w:fill="76923C" w:themeFill="accent3" w:themeFillShade="BF"/>
            <w:hideMark/>
          </w:tcPr>
          <w:p w14:paraId="73B8F0C7" w14:textId="77777777" w:rsidR="00D95A3B" w:rsidRPr="003F5D97" w:rsidRDefault="005A3CF5"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1,891</w:t>
            </w:r>
          </w:p>
        </w:tc>
        <w:tc>
          <w:tcPr>
            <w:tcW w:w="992" w:type="dxa"/>
            <w:tcBorders>
              <w:top w:val="nil"/>
              <w:left w:val="nil"/>
              <w:bottom w:val="single" w:sz="4" w:space="0" w:color="auto"/>
              <w:right w:val="single" w:sz="4" w:space="0" w:color="auto"/>
            </w:tcBorders>
            <w:shd w:val="clear" w:color="auto" w:fill="76923C" w:themeFill="accent3" w:themeFillShade="BF"/>
            <w:hideMark/>
          </w:tcPr>
          <w:p w14:paraId="18F9FE74" w14:textId="77777777" w:rsidR="00D95A3B" w:rsidRPr="003F5D97" w:rsidRDefault="00D95A3B" w:rsidP="00F32B0C">
            <w:pPr>
              <w:spacing w:before="20" w:after="20" w:line="240" w:lineRule="auto"/>
              <w:jc w:val="right"/>
              <w:rPr>
                <w:rFonts w:eastAsia="Times New Roman"/>
                <w:b/>
                <w:bCs/>
                <w:color w:val="FFFFFF"/>
                <w:sz w:val="20"/>
                <w:szCs w:val="20"/>
                <w:lang w:eastAsia="cs-CZ"/>
              </w:rPr>
            </w:pPr>
            <w:r w:rsidRPr="003F5D97">
              <w:rPr>
                <w:rFonts w:eastAsia="Times New Roman"/>
                <w:b/>
                <w:bCs/>
                <w:color w:val="FFFFFF"/>
                <w:sz w:val="20"/>
                <w:szCs w:val="20"/>
                <w:lang w:eastAsia="cs-CZ"/>
              </w:rPr>
              <w:t>0,000</w:t>
            </w:r>
          </w:p>
        </w:tc>
        <w:tc>
          <w:tcPr>
            <w:tcW w:w="709" w:type="dxa"/>
            <w:tcBorders>
              <w:top w:val="nil"/>
              <w:left w:val="nil"/>
              <w:bottom w:val="single" w:sz="4" w:space="0" w:color="auto"/>
              <w:right w:val="single" w:sz="4" w:space="0" w:color="auto"/>
            </w:tcBorders>
            <w:shd w:val="clear" w:color="auto" w:fill="76923C" w:themeFill="accent3" w:themeFillShade="BF"/>
            <w:hideMark/>
          </w:tcPr>
          <w:p w14:paraId="49A35ADE" w14:textId="77777777" w:rsidR="00D95A3B" w:rsidRPr="003F5D97" w:rsidRDefault="00D95A3B" w:rsidP="00F32B0C">
            <w:pPr>
              <w:spacing w:before="20" w:after="20" w:line="240" w:lineRule="auto"/>
              <w:jc w:val="right"/>
              <w:rPr>
                <w:rFonts w:eastAsia="Times New Roman"/>
                <w:b/>
                <w:bCs/>
                <w:color w:val="FFFFFF"/>
                <w:sz w:val="20"/>
                <w:szCs w:val="20"/>
                <w:lang w:eastAsia="cs-CZ"/>
              </w:rPr>
            </w:pPr>
            <w:r w:rsidRPr="003F5D97">
              <w:rPr>
                <w:rFonts w:eastAsia="Times New Roman"/>
                <w:b/>
                <w:bCs/>
                <w:color w:val="FFFFFF"/>
                <w:sz w:val="20"/>
                <w:szCs w:val="20"/>
                <w:lang w:eastAsia="cs-CZ"/>
              </w:rPr>
              <w:t>0,000</w:t>
            </w:r>
          </w:p>
        </w:tc>
        <w:tc>
          <w:tcPr>
            <w:tcW w:w="851" w:type="dxa"/>
            <w:tcBorders>
              <w:top w:val="nil"/>
              <w:left w:val="nil"/>
              <w:bottom w:val="single" w:sz="4" w:space="0" w:color="auto"/>
              <w:right w:val="single" w:sz="4" w:space="0" w:color="auto"/>
            </w:tcBorders>
            <w:shd w:val="clear" w:color="auto" w:fill="76923C" w:themeFill="accent3" w:themeFillShade="BF"/>
            <w:hideMark/>
          </w:tcPr>
          <w:p w14:paraId="1AE1CF5E" w14:textId="77777777" w:rsidR="00D95A3B" w:rsidRPr="003F5D97" w:rsidRDefault="003F5D97"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2,543</w:t>
            </w:r>
          </w:p>
        </w:tc>
        <w:tc>
          <w:tcPr>
            <w:tcW w:w="766" w:type="dxa"/>
            <w:tcBorders>
              <w:top w:val="nil"/>
              <w:left w:val="nil"/>
              <w:bottom w:val="single" w:sz="4" w:space="0" w:color="auto"/>
              <w:right w:val="single" w:sz="4" w:space="0" w:color="auto"/>
            </w:tcBorders>
            <w:shd w:val="clear" w:color="auto" w:fill="76923C" w:themeFill="accent3" w:themeFillShade="BF"/>
            <w:hideMark/>
          </w:tcPr>
          <w:p w14:paraId="63DCFF05" w14:textId="77777777" w:rsidR="00D95A3B" w:rsidRPr="003F5D97" w:rsidRDefault="00D95A3B" w:rsidP="00F32B0C">
            <w:pPr>
              <w:spacing w:before="20" w:after="20" w:line="240" w:lineRule="auto"/>
              <w:jc w:val="right"/>
              <w:rPr>
                <w:rFonts w:eastAsia="Times New Roman"/>
                <w:b/>
                <w:bCs/>
                <w:color w:val="FFFFFF"/>
                <w:sz w:val="20"/>
                <w:szCs w:val="20"/>
                <w:lang w:eastAsia="cs-CZ"/>
              </w:rPr>
            </w:pPr>
            <w:r w:rsidRPr="003F5D97">
              <w:rPr>
                <w:rFonts w:eastAsia="Times New Roman"/>
                <w:b/>
                <w:bCs/>
                <w:color w:val="FFFFFF"/>
                <w:sz w:val="20"/>
                <w:szCs w:val="20"/>
                <w:lang w:eastAsia="cs-CZ"/>
              </w:rPr>
              <w:t>0,000</w:t>
            </w:r>
          </w:p>
        </w:tc>
        <w:tc>
          <w:tcPr>
            <w:tcW w:w="793" w:type="dxa"/>
            <w:tcBorders>
              <w:top w:val="nil"/>
              <w:left w:val="nil"/>
              <w:bottom w:val="single" w:sz="4" w:space="0" w:color="auto"/>
              <w:right w:val="single" w:sz="4" w:space="0" w:color="auto"/>
            </w:tcBorders>
            <w:shd w:val="clear" w:color="auto" w:fill="76923C" w:themeFill="accent3" w:themeFillShade="BF"/>
            <w:hideMark/>
          </w:tcPr>
          <w:p w14:paraId="303053A9" w14:textId="77777777" w:rsidR="00D95A3B" w:rsidRPr="003F5D97" w:rsidRDefault="005A3CF5"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3,144</w:t>
            </w:r>
          </w:p>
        </w:tc>
        <w:tc>
          <w:tcPr>
            <w:tcW w:w="709" w:type="dxa"/>
            <w:tcBorders>
              <w:top w:val="nil"/>
              <w:left w:val="nil"/>
              <w:bottom w:val="single" w:sz="4" w:space="0" w:color="auto"/>
              <w:right w:val="single" w:sz="4" w:space="0" w:color="auto"/>
            </w:tcBorders>
            <w:shd w:val="clear" w:color="auto" w:fill="76923C" w:themeFill="accent3" w:themeFillShade="BF"/>
            <w:hideMark/>
          </w:tcPr>
          <w:p w14:paraId="49064300" w14:textId="77777777" w:rsidR="00D95A3B" w:rsidRPr="003F5D97" w:rsidRDefault="003F5D97"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0,000</w:t>
            </w:r>
          </w:p>
        </w:tc>
        <w:tc>
          <w:tcPr>
            <w:tcW w:w="850" w:type="dxa"/>
            <w:tcBorders>
              <w:top w:val="nil"/>
              <w:left w:val="nil"/>
              <w:bottom w:val="single" w:sz="4" w:space="0" w:color="auto"/>
              <w:right w:val="single" w:sz="4" w:space="0" w:color="auto"/>
            </w:tcBorders>
            <w:shd w:val="clear" w:color="auto" w:fill="76923C" w:themeFill="accent3" w:themeFillShade="BF"/>
            <w:hideMark/>
          </w:tcPr>
          <w:p w14:paraId="10453138" w14:textId="77777777" w:rsidR="00D95A3B" w:rsidRPr="003F5D97" w:rsidRDefault="005A3CF5"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2,971</w:t>
            </w:r>
          </w:p>
        </w:tc>
        <w:tc>
          <w:tcPr>
            <w:tcW w:w="851" w:type="dxa"/>
            <w:tcBorders>
              <w:top w:val="nil"/>
              <w:left w:val="nil"/>
              <w:bottom w:val="single" w:sz="4" w:space="0" w:color="auto"/>
              <w:right w:val="single" w:sz="4" w:space="0" w:color="auto"/>
            </w:tcBorders>
            <w:shd w:val="clear" w:color="auto" w:fill="76923C" w:themeFill="accent3" w:themeFillShade="BF"/>
            <w:hideMark/>
          </w:tcPr>
          <w:p w14:paraId="497DD921" w14:textId="77777777" w:rsidR="00D95A3B" w:rsidRPr="003F5D97" w:rsidRDefault="005A3CF5"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4,143</w:t>
            </w:r>
          </w:p>
        </w:tc>
        <w:tc>
          <w:tcPr>
            <w:tcW w:w="850" w:type="dxa"/>
            <w:tcBorders>
              <w:top w:val="nil"/>
              <w:left w:val="nil"/>
              <w:bottom w:val="single" w:sz="4" w:space="0" w:color="auto"/>
              <w:right w:val="single" w:sz="4" w:space="0" w:color="auto"/>
            </w:tcBorders>
            <w:shd w:val="clear" w:color="auto" w:fill="76923C" w:themeFill="accent3" w:themeFillShade="BF"/>
            <w:hideMark/>
          </w:tcPr>
          <w:p w14:paraId="7BFFB222" w14:textId="77777777" w:rsidR="00D95A3B" w:rsidRPr="003F5D97" w:rsidRDefault="00122659"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0</w:t>
            </w:r>
            <w:r w:rsidR="005A3CF5">
              <w:rPr>
                <w:rFonts w:eastAsia="Times New Roman"/>
                <w:b/>
                <w:bCs/>
                <w:color w:val="FFFFFF"/>
                <w:sz w:val="20"/>
                <w:szCs w:val="20"/>
                <w:lang w:eastAsia="cs-CZ"/>
              </w:rPr>
              <w:t>,000</w:t>
            </w:r>
          </w:p>
        </w:tc>
        <w:tc>
          <w:tcPr>
            <w:tcW w:w="709" w:type="dxa"/>
            <w:tcBorders>
              <w:top w:val="nil"/>
              <w:left w:val="nil"/>
              <w:bottom w:val="single" w:sz="4" w:space="0" w:color="auto"/>
              <w:right w:val="single" w:sz="4" w:space="0" w:color="auto"/>
            </w:tcBorders>
            <w:shd w:val="clear" w:color="auto" w:fill="76923C" w:themeFill="accent3" w:themeFillShade="BF"/>
            <w:hideMark/>
          </w:tcPr>
          <w:p w14:paraId="1B61B8D1" w14:textId="77777777" w:rsidR="00D95A3B" w:rsidRPr="003F5D97" w:rsidRDefault="007578EC" w:rsidP="00F32B0C">
            <w:pPr>
              <w:spacing w:before="20" w:after="20" w:line="240" w:lineRule="auto"/>
              <w:jc w:val="right"/>
              <w:rPr>
                <w:rFonts w:eastAsia="Times New Roman"/>
                <w:b/>
                <w:bCs/>
                <w:color w:val="FFFFFF"/>
                <w:sz w:val="20"/>
                <w:szCs w:val="20"/>
                <w:lang w:eastAsia="cs-CZ"/>
              </w:rPr>
            </w:pPr>
            <w:r w:rsidRPr="003F5D97">
              <w:rPr>
                <w:rFonts w:eastAsia="Times New Roman"/>
                <w:b/>
                <w:bCs/>
                <w:color w:val="FFFFFF"/>
                <w:sz w:val="20"/>
                <w:szCs w:val="20"/>
                <w:lang w:eastAsia="cs-CZ"/>
              </w:rPr>
              <w:t>0,463</w:t>
            </w:r>
          </w:p>
        </w:tc>
        <w:tc>
          <w:tcPr>
            <w:tcW w:w="850" w:type="dxa"/>
            <w:tcBorders>
              <w:top w:val="nil"/>
              <w:left w:val="nil"/>
              <w:bottom w:val="single" w:sz="4" w:space="0" w:color="auto"/>
              <w:right w:val="single" w:sz="4" w:space="0" w:color="auto"/>
            </w:tcBorders>
            <w:shd w:val="clear" w:color="auto" w:fill="76923C" w:themeFill="accent3" w:themeFillShade="BF"/>
            <w:hideMark/>
          </w:tcPr>
          <w:p w14:paraId="0EFBE426" w14:textId="77777777" w:rsidR="00D95A3B" w:rsidRPr="003F5D97" w:rsidRDefault="00D95A3B" w:rsidP="00F32B0C">
            <w:pPr>
              <w:spacing w:before="20" w:after="20" w:line="240" w:lineRule="auto"/>
              <w:jc w:val="right"/>
              <w:rPr>
                <w:rFonts w:eastAsia="Times New Roman"/>
                <w:b/>
                <w:bCs/>
                <w:color w:val="FFFFFF"/>
                <w:sz w:val="20"/>
                <w:szCs w:val="20"/>
                <w:lang w:eastAsia="cs-CZ"/>
              </w:rPr>
            </w:pPr>
            <w:r w:rsidRPr="003F5D97">
              <w:rPr>
                <w:rFonts w:eastAsia="Times New Roman"/>
                <w:b/>
                <w:bCs/>
                <w:color w:val="FFFFFF"/>
                <w:sz w:val="20"/>
                <w:szCs w:val="20"/>
                <w:lang w:eastAsia="cs-CZ"/>
              </w:rPr>
              <w:t>0,000</w:t>
            </w:r>
          </w:p>
        </w:tc>
      </w:tr>
    </w:tbl>
    <w:p w14:paraId="03A4A7E9" w14:textId="77777777" w:rsidR="00F32B0C" w:rsidRPr="00461C16" w:rsidRDefault="00F32B0C"/>
    <w:p w14:paraId="5ECA38EF" w14:textId="77777777" w:rsidR="00F32B0C" w:rsidRPr="00461C16" w:rsidRDefault="00F32B0C">
      <w:pPr>
        <w:spacing w:line="240" w:lineRule="auto"/>
        <w:jc w:val="left"/>
      </w:pPr>
      <w:r w:rsidRPr="00461C16">
        <w:br w:type="page"/>
      </w:r>
    </w:p>
    <w:tbl>
      <w:tblPr>
        <w:tblW w:w="14684" w:type="dxa"/>
        <w:tblInd w:w="-213" w:type="dxa"/>
        <w:tblCellMar>
          <w:left w:w="70" w:type="dxa"/>
          <w:right w:w="70" w:type="dxa"/>
        </w:tblCellMar>
        <w:tblLook w:val="04A0" w:firstRow="1" w:lastRow="0" w:firstColumn="1" w:lastColumn="0" w:noHBand="0" w:noVBand="1"/>
      </w:tblPr>
      <w:tblGrid>
        <w:gridCol w:w="872"/>
        <w:gridCol w:w="3453"/>
        <w:gridCol w:w="779"/>
        <w:gridCol w:w="779"/>
        <w:gridCol w:w="945"/>
        <w:gridCol w:w="779"/>
        <w:gridCol w:w="779"/>
        <w:gridCol w:w="779"/>
        <w:gridCol w:w="779"/>
        <w:gridCol w:w="779"/>
        <w:gridCol w:w="779"/>
        <w:gridCol w:w="779"/>
        <w:gridCol w:w="779"/>
        <w:gridCol w:w="779"/>
        <w:gridCol w:w="845"/>
      </w:tblGrid>
      <w:tr w:rsidR="00F32B0C" w:rsidRPr="00962634" w14:paraId="385B80D5" w14:textId="77777777" w:rsidTr="00A375C3">
        <w:trPr>
          <w:tblHeader/>
        </w:trPr>
        <w:tc>
          <w:tcPr>
            <w:tcW w:w="14684" w:type="dxa"/>
            <w:gridSpan w:val="15"/>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0EF717DF" w14:textId="77777777" w:rsidR="00F32B0C" w:rsidRPr="00962634" w:rsidRDefault="00F32B0C" w:rsidP="00F32B0C">
            <w:pPr>
              <w:spacing w:before="20" w:after="20" w:line="240" w:lineRule="auto"/>
              <w:jc w:val="left"/>
              <w:rPr>
                <w:rFonts w:eastAsia="Times New Roman"/>
                <w:b/>
                <w:bCs/>
                <w:color w:val="FFFFFF"/>
                <w:sz w:val="20"/>
                <w:szCs w:val="20"/>
                <w:lang w:eastAsia="cs-CZ"/>
              </w:rPr>
            </w:pPr>
            <w:r w:rsidRPr="00962634">
              <w:rPr>
                <w:rFonts w:eastAsia="Times New Roman"/>
                <w:b/>
                <w:bCs/>
                <w:color w:val="FFFFFF"/>
                <w:sz w:val="20"/>
                <w:szCs w:val="20"/>
                <w:lang w:eastAsia="cs-CZ"/>
              </w:rPr>
              <w:lastRenderedPageBreak/>
              <w:t>KATASTRÁLNÍ ÚZEMÍ HRÁDEK NAD NISOU</w:t>
            </w:r>
          </w:p>
        </w:tc>
      </w:tr>
      <w:tr w:rsidR="00F32B0C" w:rsidRPr="00962634" w14:paraId="336EEA20" w14:textId="77777777" w:rsidTr="00A375C3">
        <w:trPr>
          <w:tblHeader/>
        </w:trPr>
        <w:tc>
          <w:tcPr>
            <w:tcW w:w="872"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296A3569" w14:textId="77777777" w:rsidR="00F32B0C" w:rsidRPr="00962634" w:rsidRDefault="00F32B0C" w:rsidP="00F32B0C">
            <w:pPr>
              <w:spacing w:before="20" w:after="20" w:line="240" w:lineRule="auto"/>
              <w:jc w:val="left"/>
              <w:rPr>
                <w:rFonts w:eastAsia="Times New Roman"/>
                <w:b/>
                <w:bCs/>
                <w:sz w:val="20"/>
                <w:szCs w:val="20"/>
                <w:lang w:eastAsia="cs-CZ"/>
              </w:rPr>
            </w:pPr>
            <w:r w:rsidRPr="00962634">
              <w:rPr>
                <w:rFonts w:eastAsia="Times New Roman"/>
                <w:b/>
                <w:bCs/>
                <w:sz w:val="20"/>
                <w:szCs w:val="20"/>
                <w:lang w:eastAsia="cs-CZ"/>
              </w:rPr>
              <w:t>Označení plochy</w:t>
            </w:r>
          </w:p>
        </w:tc>
        <w:tc>
          <w:tcPr>
            <w:tcW w:w="3453"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6A8FC24D" w14:textId="77777777" w:rsidR="00F32B0C" w:rsidRPr="00962634" w:rsidRDefault="00F32B0C" w:rsidP="00F32B0C">
            <w:pPr>
              <w:spacing w:before="20" w:after="20" w:line="240" w:lineRule="auto"/>
              <w:jc w:val="left"/>
              <w:rPr>
                <w:rFonts w:eastAsia="Times New Roman"/>
                <w:b/>
                <w:bCs/>
                <w:sz w:val="20"/>
                <w:szCs w:val="20"/>
                <w:lang w:eastAsia="cs-CZ"/>
              </w:rPr>
            </w:pPr>
            <w:r w:rsidRPr="00962634">
              <w:rPr>
                <w:rFonts w:eastAsia="Times New Roman"/>
                <w:b/>
                <w:bCs/>
                <w:sz w:val="20"/>
                <w:szCs w:val="20"/>
                <w:lang w:eastAsia="cs-CZ"/>
              </w:rPr>
              <w:t>Způsob využití plochy</w:t>
            </w:r>
          </w:p>
        </w:tc>
        <w:tc>
          <w:tcPr>
            <w:tcW w:w="779"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281DF6EA"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Celkový zábor ZPF (ha)</w:t>
            </w:r>
          </w:p>
        </w:tc>
        <w:tc>
          <w:tcPr>
            <w:tcW w:w="4840" w:type="dxa"/>
            <w:gridSpan w:val="6"/>
            <w:tcBorders>
              <w:top w:val="single" w:sz="4" w:space="0" w:color="auto"/>
              <w:left w:val="nil"/>
              <w:bottom w:val="single" w:sz="4" w:space="0" w:color="auto"/>
              <w:right w:val="single" w:sz="4" w:space="0" w:color="000000"/>
            </w:tcBorders>
            <w:shd w:val="clear" w:color="000000" w:fill="F2F2F2"/>
            <w:hideMark/>
          </w:tcPr>
          <w:p w14:paraId="20963AEA" w14:textId="77777777" w:rsidR="00F32B0C" w:rsidRPr="00962634" w:rsidRDefault="00F32B0C" w:rsidP="00F32B0C">
            <w:pPr>
              <w:spacing w:before="20" w:after="20" w:line="240" w:lineRule="auto"/>
              <w:jc w:val="center"/>
              <w:rPr>
                <w:rFonts w:eastAsia="Times New Roman"/>
                <w:b/>
                <w:bCs/>
                <w:sz w:val="20"/>
                <w:szCs w:val="20"/>
                <w:lang w:eastAsia="cs-CZ"/>
              </w:rPr>
            </w:pPr>
            <w:r w:rsidRPr="00962634">
              <w:rPr>
                <w:rFonts w:eastAsia="Times New Roman"/>
                <w:b/>
                <w:bCs/>
                <w:sz w:val="20"/>
                <w:szCs w:val="20"/>
                <w:lang w:eastAsia="cs-CZ"/>
              </w:rPr>
              <w:t>Zábor ZPF podle jednotlivých kultur (ha)</w:t>
            </w:r>
          </w:p>
        </w:tc>
        <w:tc>
          <w:tcPr>
            <w:tcW w:w="3895" w:type="dxa"/>
            <w:gridSpan w:val="5"/>
            <w:tcBorders>
              <w:top w:val="single" w:sz="4" w:space="0" w:color="auto"/>
              <w:left w:val="nil"/>
              <w:bottom w:val="single" w:sz="4" w:space="0" w:color="auto"/>
              <w:right w:val="single" w:sz="4" w:space="0" w:color="000000"/>
            </w:tcBorders>
            <w:shd w:val="clear" w:color="000000" w:fill="F2F2F2"/>
            <w:hideMark/>
          </w:tcPr>
          <w:p w14:paraId="3E5ED68F" w14:textId="77777777" w:rsidR="00F32B0C" w:rsidRPr="00962634" w:rsidRDefault="00F32B0C" w:rsidP="00F32B0C">
            <w:pPr>
              <w:spacing w:before="20" w:after="20" w:line="240" w:lineRule="auto"/>
              <w:jc w:val="center"/>
              <w:rPr>
                <w:rFonts w:eastAsia="Times New Roman"/>
                <w:b/>
                <w:bCs/>
                <w:sz w:val="20"/>
                <w:szCs w:val="20"/>
                <w:lang w:eastAsia="cs-CZ"/>
              </w:rPr>
            </w:pPr>
            <w:r w:rsidRPr="00962634">
              <w:rPr>
                <w:rFonts w:eastAsia="Times New Roman"/>
                <w:b/>
                <w:bCs/>
                <w:sz w:val="20"/>
                <w:szCs w:val="20"/>
                <w:lang w:eastAsia="cs-CZ"/>
              </w:rPr>
              <w:t>Zábor ZPF podle tříd ochrany (ha)</w:t>
            </w:r>
          </w:p>
        </w:tc>
        <w:tc>
          <w:tcPr>
            <w:tcW w:w="845"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575A0497"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Investice do půdy (ha)</w:t>
            </w:r>
          </w:p>
        </w:tc>
      </w:tr>
      <w:tr w:rsidR="00F32B0C" w:rsidRPr="00962634" w14:paraId="5AF0BBA5" w14:textId="77777777" w:rsidTr="00A375C3">
        <w:trPr>
          <w:tblHeader/>
        </w:trPr>
        <w:tc>
          <w:tcPr>
            <w:tcW w:w="872" w:type="dxa"/>
            <w:vMerge/>
            <w:tcBorders>
              <w:top w:val="single" w:sz="4" w:space="0" w:color="auto"/>
              <w:left w:val="single" w:sz="4" w:space="0" w:color="auto"/>
              <w:bottom w:val="single" w:sz="4" w:space="0" w:color="000000"/>
              <w:right w:val="single" w:sz="4" w:space="0" w:color="auto"/>
            </w:tcBorders>
            <w:hideMark/>
          </w:tcPr>
          <w:p w14:paraId="41189C3A" w14:textId="77777777" w:rsidR="00F32B0C" w:rsidRPr="00962634" w:rsidRDefault="00F32B0C" w:rsidP="00F32B0C">
            <w:pPr>
              <w:spacing w:before="20" w:after="20" w:line="240" w:lineRule="auto"/>
              <w:jc w:val="left"/>
              <w:rPr>
                <w:rFonts w:eastAsia="Times New Roman"/>
                <w:b/>
                <w:bCs/>
                <w:sz w:val="20"/>
                <w:szCs w:val="20"/>
                <w:lang w:eastAsia="cs-CZ"/>
              </w:rPr>
            </w:pPr>
          </w:p>
        </w:tc>
        <w:tc>
          <w:tcPr>
            <w:tcW w:w="3453" w:type="dxa"/>
            <w:vMerge/>
            <w:tcBorders>
              <w:top w:val="single" w:sz="4" w:space="0" w:color="auto"/>
              <w:left w:val="single" w:sz="4" w:space="0" w:color="auto"/>
              <w:bottom w:val="single" w:sz="4" w:space="0" w:color="000000"/>
              <w:right w:val="single" w:sz="4" w:space="0" w:color="auto"/>
            </w:tcBorders>
            <w:hideMark/>
          </w:tcPr>
          <w:p w14:paraId="682E254D" w14:textId="77777777" w:rsidR="00F32B0C" w:rsidRPr="00962634" w:rsidRDefault="00F32B0C" w:rsidP="00F32B0C">
            <w:pPr>
              <w:spacing w:before="20" w:after="20" w:line="240" w:lineRule="auto"/>
              <w:jc w:val="left"/>
              <w:rPr>
                <w:rFonts w:eastAsia="Times New Roman"/>
                <w:b/>
                <w:bCs/>
                <w:sz w:val="20"/>
                <w:szCs w:val="20"/>
                <w:lang w:eastAsia="cs-CZ"/>
              </w:rPr>
            </w:pPr>
          </w:p>
        </w:tc>
        <w:tc>
          <w:tcPr>
            <w:tcW w:w="779" w:type="dxa"/>
            <w:vMerge/>
            <w:tcBorders>
              <w:top w:val="single" w:sz="4" w:space="0" w:color="auto"/>
              <w:left w:val="single" w:sz="4" w:space="0" w:color="auto"/>
              <w:bottom w:val="single" w:sz="4" w:space="0" w:color="000000"/>
              <w:right w:val="single" w:sz="4" w:space="0" w:color="auto"/>
            </w:tcBorders>
            <w:hideMark/>
          </w:tcPr>
          <w:p w14:paraId="4D59D8B5" w14:textId="77777777" w:rsidR="00F32B0C" w:rsidRPr="00962634" w:rsidRDefault="00F32B0C" w:rsidP="00F32B0C">
            <w:pPr>
              <w:spacing w:before="20" w:after="20" w:line="240" w:lineRule="auto"/>
              <w:jc w:val="left"/>
              <w:rPr>
                <w:rFonts w:eastAsia="Times New Roman"/>
                <w:b/>
                <w:bCs/>
                <w:sz w:val="20"/>
                <w:szCs w:val="20"/>
                <w:lang w:eastAsia="cs-CZ"/>
              </w:rPr>
            </w:pPr>
          </w:p>
        </w:tc>
        <w:tc>
          <w:tcPr>
            <w:tcW w:w="779" w:type="dxa"/>
            <w:tcBorders>
              <w:top w:val="nil"/>
              <w:left w:val="nil"/>
              <w:bottom w:val="single" w:sz="4" w:space="0" w:color="auto"/>
              <w:right w:val="single" w:sz="4" w:space="0" w:color="auto"/>
            </w:tcBorders>
            <w:shd w:val="clear" w:color="000000" w:fill="F2F2F2"/>
            <w:hideMark/>
          </w:tcPr>
          <w:p w14:paraId="0ADB7A83"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orná půda</w:t>
            </w:r>
          </w:p>
        </w:tc>
        <w:tc>
          <w:tcPr>
            <w:tcW w:w="945" w:type="dxa"/>
            <w:tcBorders>
              <w:top w:val="nil"/>
              <w:left w:val="nil"/>
              <w:bottom w:val="single" w:sz="4" w:space="0" w:color="auto"/>
              <w:right w:val="single" w:sz="4" w:space="0" w:color="auto"/>
            </w:tcBorders>
            <w:shd w:val="clear" w:color="000000" w:fill="F2F2F2"/>
            <w:hideMark/>
          </w:tcPr>
          <w:p w14:paraId="20F7B681"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chmelnice</w:t>
            </w:r>
          </w:p>
        </w:tc>
        <w:tc>
          <w:tcPr>
            <w:tcW w:w="779" w:type="dxa"/>
            <w:tcBorders>
              <w:top w:val="nil"/>
              <w:left w:val="nil"/>
              <w:bottom w:val="single" w:sz="4" w:space="0" w:color="auto"/>
              <w:right w:val="single" w:sz="4" w:space="0" w:color="auto"/>
            </w:tcBorders>
            <w:shd w:val="clear" w:color="000000" w:fill="F2F2F2"/>
            <w:hideMark/>
          </w:tcPr>
          <w:p w14:paraId="5A212E35"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vinice</w:t>
            </w:r>
          </w:p>
        </w:tc>
        <w:tc>
          <w:tcPr>
            <w:tcW w:w="779" w:type="dxa"/>
            <w:tcBorders>
              <w:top w:val="nil"/>
              <w:left w:val="nil"/>
              <w:bottom w:val="single" w:sz="4" w:space="0" w:color="auto"/>
              <w:right w:val="single" w:sz="4" w:space="0" w:color="auto"/>
            </w:tcBorders>
            <w:shd w:val="clear" w:color="000000" w:fill="F2F2F2"/>
            <w:hideMark/>
          </w:tcPr>
          <w:p w14:paraId="45F67BB3"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zahrady</w:t>
            </w:r>
          </w:p>
        </w:tc>
        <w:tc>
          <w:tcPr>
            <w:tcW w:w="779" w:type="dxa"/>
            <w:tcBorders>
              <w:top w:val="nil"/>
              <w:left w:val="nil"/>
              <w:bottom w:val="single" w:sz="4" w:space="0" w:color="auto"/>
              <w:right w:val="single" w:sz="4" w:space="0" w:color="auto"/>
            </w:tcBorders>
            <w:shd w:val="clear" w:color="000000" w:fill="F2F2F2"/>
            <w:hideMark/>
          </w:tcPr>
          <w:p w14:paraId="1BF450B4"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ovocné sady</w:t>
            </w:r>
          </w:p>
        </w:tc>
        <w:tc>
          <w:tcPr>
            <w:tcW w:w="779" w:type="dxa"/>
            <w:tcBorders>
              <w:top w:val="nil"/>
              <w:left w:val="nil"/>
              <w:bottom w:val="single" w:sz="4" w:space="0" w:color="auto"/>
              <w:right w:val="single" w:sz="4" w:space="0" w:color="auto"/>
            </w:tcBorders>
            <w:shd w:val="clear" w:color="000000" w:fill="F2F2F2"/>
            <w:hideMark/>
          </w:tcPr>
          <w:p w14:paraId="06C8D898"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trv. travní porosty</w:t>
            </w:r>
          </w:p>
        </w:tc>
        <w:tc>
          <w:tcPr>
            <w:tcW w:w="779" w:type="dxa"/>
            <w:tcBorders>
              <w:top w:val="nil"/>
              <w:left w:val="nil"/>
              <w:bottom w:val="single" w:sz="4" w:space="0" w:color="auto"/>
              <w:right w:val="single" w:sz="4" w:space="0" w:color="auto"/>
            </w:tcBorders>
            <w:shd w:val="clear" w:color="000000" w:fill="F2F2F2"/>
            <w:hideMark/>
          </w:tcPr>
          <w:p w14:paraId="6229F278"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I</w:t>
            </w:r>
          </w:p>
        </w:tc>
        <w:tc>
          <w:tcPr>
            <w:tcW w:w="779" w:type="dxa"/>
            <w:tcBorders>
              <w:top w:val="nil"/>
              <w:left w:val="nil"/>
              <w:bottom w:val="single" w:sz="4" w:space="0" w:color="auto"/>
              <w:right w:val="single" w:sz="4" w:space="0" w:color="auto"/>
            </w:tcBorders>
            <w:shd w:val="clear" w:color="000000" w:fill="F2F2F2"/>
            <w:hideMark/>
          </w:tcPr>
          <w:p w14:paraId="7E47C8B8"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II</w:t>
            </w:r>
          </w:p>
        </w:tc>
        <w:tc>
          <w:tcPr>
            <w:tcW w:w="779" w:type="dxa"/>
            <w:tcBorders>
              <w:top w:val="nil"/>
              <w:left w:val="nil"/>
              <w:bottom w:val="single" w:sz="4" w:space="0" w:color="auto"/>
              <w:right w:val="single" w:sz="4" w:space="0" w:color="auto"/>
            </w:tcBorders>
            <w:shd w:val="clear" w:color="000000" w:fill="F2F2F2"/>
            <w:hideMark/>
          </w:tcPr>
          <w:p w14:paraId="22EC46F6"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III</w:t>
            </w:r>
          </w:p>
        </w:tc>
        <w:tc>
          <w:tcPr>
            <w:tcW w:w="779" w:type="dxa"/>
            <w:tcBorders>
              <w:top w:val="nil"/>
              <w:left w:val="nil"/>
              <w:bottom w:val="single" w:sz="4" w:space="0" w:color="auto"/>
              <w:right w:val="single" w:sz="4" w:space="0" w:color="auto"/>
            </w:tcBorders>
            <w:shd w:val="clear" w:color="000000" w:fill="F2F2F2"/>
            <w:hideMark/>
          </w:tcPr>
          <w:p w14:paraId="5D6B189E"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IV</w:t>
            </w:r>
          </w:p>
        </w:tc>
        <w:tc>
          <w:tcPr>
            <w:tcW w:w="779" w:type="dxa"/>
            <w:tcBorders>
              <w:top w:val="nil"/>
              <w:left w:val="nil"/>
              <w:bottom w:val="single" w:sz="4" w:space="0" w:color="auto"/>
              <w:right w:val="single" w:sz="4" w:space="0" w:color="auto"/>
            </w:tcBorders>
            <w:shd w:val="clear" w:color="000000" w:fill="F2F2F2"/>
            <w:hideMark/>
          </w:tcPr>
          <w:p w14:paraId="709C49A6" w14:textId="77777777" w:rsidR="00F32B0C" w:rsidRPr="00962634" w:rsidRDefault="00F32B0C"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V</w:t>
            </w:r>
          </w:p>
        </w:tc>
        <w:tc>
          <w:tcPr>
            <w:tcW w:w="845" w:type="dxa"/>
            <w:vMerge/>
            <w:tcBorders>
              <w:top w:val="single" w:sz="4" w:space="0" w:color="auto"/>
              <w:left w:val="single" w:sz="4" w:space="0" w:color="auto"/>
              <w:bottom w:val="single" w:sz="4" w:space="0" w:color="000000"/>
              <w:right w:val="single" w:sz="4" w:space="0" w:color="auto"/>
            </w:tcBorders>
            <w:hideMark/>
          </w:tcPr>
          <w:p w14:paraId="36C266DB" w14:textId="77777777" w:rsidR="00F32B0C" w:rsidRPr="00962634" w:rsidRDefault="00F32B0C" w:rsidP="00F32B0C">
            <w:pPr>
              <w:spacing w:before="20" w:after="20" w:line="240" w:lineRule="auto"/>
              <w:jc w:val="left"/>
              <w:rPr>
                <w:rFonts w:eastAsia="Times New Roman"/>
                <w:b/>
                <w:bCs/>
                <w:sz w:val="20"/>
                <w:szCs w:val="20"/>
                <w:lang w:eastAsia="cs-CZ"/>
              </w:rPr>
            </w:pPr>
          </w:p>
        </w:tc>
      </w:tr>
      <w:tr w:rsidR="009561A2" w:rsidRPr="00962634" w14:paraId="2A785E1C"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605B8BD8" w14:textId="77777777" w:rsidR="009561A2" w:rsidRPr="00962634" w:rsidRDefault="009561A2"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P08</w:t>
            </w:r>
          </w:p>
        </w:tc>
        <w:tc>
          <w:tcPr>
            <w:tcW w:w="3453" w:type="dxa"/>
            <w:tcBorders>
              <w:top w:val="nil"/>
              <w:left w:val="nil"/>
              <w:bottom w:val="single" w:sz="4" w:space="0" w:color="auto"/>
              <w:right w:val="single" w:sz="4" w:space="0" w:color="auto"/>
            </w:tcBorders>
            <w:shd w:val="clear" w:color="auto" w:fill="auto"/>
            <w:noWrap/>
            <w:hideMark/>
          </w:tcPr>
          <w:p w14:paraId="3310D4AE" w14:textId="77777777" w:rsidR="009561A2" w:rsidRPr="00962634" w:rsidRDefault="009561A2"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27BBF0AD"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0,924</w:t>
            </w:r>
          </w:p>
        </w:tc>
        <w:tc>
          <w:tcPr>
            <w:tcW w:w="779" w:type="dxa"/>
            <w:tcBorders>
              <w:top w:val="nil"/>
              <w:left w:val="nil"/>
              <w:bottom w:val="single" w:sz="4" w:space="0" w:color="auto"/>
              <w:right w:val="single" w:sz="4" w:space="0" w:color="auto"/>
            </w:tcBorders>
            <w:shd w:val="clear" w:color="auto" w:fill="auto"/>
            <w:noWrap/>
            <w:hideMark/>
          </w:tcPr>
          <w:p w14:paraId="700CF20A"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3BAE57A1"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A6487D8"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DBC2077"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0,924</w:t>
            </w:r>
          </w:p>
        </w:tc>
        <w:tc>
          <w:tcPr>
            <w:tcW w:w="779" w:type="dxa"/>
            <w:tcBorders>
              <w:top w:val="nil"/>
              <w:left w:val="nil"/>
              <w:bottom w:val="single" w:sz="4" w:space="0" w:color="auto"/>
              <w:right w:val="single" w:sz="4" w:space="0" w:color="auto"/>
            </w:tcBorders>
            <w:shd w:val="clear" w:color="auto" w:fill="auto"/>
            <w:hideMark/>
          </w:tcPr>
          <w:p w14:paraId="65365B81"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16161D1"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FF275BA"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0,924</w:t>
            </w:r>
          </w:p>
        </w:tc>
        <w:tc>
          <w:tcPr>
            <w:tcW w:w="779" w:type="dxa"/>
            <w:tcBorders>
              <w:top w:val="nil"/>
              <w:left w:val="nil"/>
              <w:bottom w:val="single" w:sz="4" w:space="0" w:color="auto"/>
              <w:right w:val="single" w:sz="4" w:space="0" w:color="auto"/>
            </w:tcBorders>
            <w:shd w:val="clear" w:color="auto" w:fill="auto"/>
            <w:hideMark/>
          </w:tcPr>
          <w:p w14:paraId="539B4280"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65311DA"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BE09A82"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2943D8D"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7C0A1945"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r>
      <w:tr w:rsidR="009561A2" w:rsidRPr="00962634" w14:paraId="2B8560D0"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66BF1D54" w14:textId="77777777" w:rsidR="009561A2" w:rsidRPr="00962634" w:rsidRDefault="009561A2"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P27</w:t>
            </w:r>
          </w:p>
        </w:tc>
        <w:tc>
          <w:tcPr>
            <w:tcW w:w="3453" w:type="dxa"/>
            <w:tcBorders>
              <w:top w:val="nil"/>
              <w:left w:val="nil"/>
              <w:bottom w:val="single" w:sz="4" w:space="0" w:color="auto"/>
              <w:right w:val="single" w:sz="4" w:space="0" w:color="auto"/>
            </w:tcBorders>
            <w:shd w:val="clear" w:color="auto" w:fill="auto"/>
            <w:noWrap/>
            <w:hideMark/>
          </w:tcPr>
          <w:p w14:paraId="4CD51275" w14:textId="77777777" w:rsidR="009561A2" w:rsidRPr="00962634" w:rsidRDefault="009561A2"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2531DE69"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1,268</w:t>
            </w:r>
          </w:p>
        </w:tc>
        <w:tc>
          <w:tcPr>
            <w:tcW w:w="779" w:type="dxa"/>
            <w:tcBorders>
              <w:top w:val="nil"/>
              <w:left w:val="nil"/>
              <w:bottom w:val="single" w:sz="4" w:space="0" w:color="auto"/>
              <w:right w:val="single" w:sz="4" w:space="0" w:color="auto"/>
            </w:tcBorders>
            <w:shd w:val="clear" w:color="auto" w:fill="auto"/>
            <w:noWrap/>
            <w:hideMark/>
          </w:tcPr>
          <w:p w14:paraId="052E15B3"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5403264E"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7E1539B"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A512FE9"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0,897</w:t>
            </w:r>
          </w:p>
        </w:tc>
        <w:tc>
          <w:tcPr>
            <w:tcW w:w="779" w:type="dxa"/>
            <w:tcBorders>
              <w:top w:val="nil"/>
              <w:left w:val="nil"/>
              <w:bottom w:val="single" w:sz="4" w:space="0" w:color="auto"/>
              <w:right w:val="single" w:sz="4" w:space="0" w:color="auto"/>
            </w:tcBorders>
            <w:shd w:val="clear" w:color="auto" w:fill="auto"/>
            <w:hideMark/>
          </w:tcPr>
          <w:p w14:paraId="57A7C5E0"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A5F001C"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0,371</w:t>
            </w:r>
          </w:p>
        </w:tc>
        <w:tc>
          <w:tcPr>
            <w:tcW w:w="779" w:type="dxa"/>
            <w:tcBorders>
              <w:top w:val="nil"/>
              <w:left w:val="nil"/>
              <w:bottom w:val="single" w:sz="4" w:space="0" w:color="auto"/>
              <w:right w:val="single" w:sz="4" w:space="0" w:color="auto"/>
            </w:tcBorders>
            <w:shd w:val="clear" w:color="auto" w:fill="auto"/>
            <w:hideMark/>
          </w:tcPr>
          <w:p w14:paraId="099414EE"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0F3B160"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0,145</w:t>
            </w:r>
          </w:p>
        </w:tc>
        <w:tc>
          <w:tcPr>
            <w:tcW w:w="779" w:type="dxa"/>
            <w:tcBorders>
              <w:top w:val="nil"/>
              <w:left w:val="nil"/>
              <w:bottom w:val="single" w:sz="4" w:space="0" w:color="auto"/>
              <w:right w:val="single" w:sz="4" w:space="0" w:color="auto"/>
            </w:tcBorders>
            <w:shd w:val="clear" w:color="auto" w:fill="auto"/>
            <w:noWrap/>
            <w:hideMark/>
          </w:tcPr>
          <w:p w14:paraId="6FE86B37"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26617CA"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1AB6F21" w14:textId="77777777" w:rsidR="009561A2" w:rsidRPr="00962634" w:rsidRDefault="009561A2"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1,123</w:t>
            </w:r>
          </w:p>
        </w:tc>
        <w:tc>
          <w:tcPr>
            <w:tcW w:w="845" w:type="dxa"/>
            <w:tcBorders>
              <w:top w:val="nil"/>
              <w:left w:val="nil"/>
              <w:bottom w:val="single" w:sz="4" w:space="0" w:color="auto"/>
              <w:right w:val="single" w:sz="4" w:space="0" w:color="auto"/>
            </w:tcBorders>
            <w:shd w:val="clear" w:color="auto" w:fill="auto"/>
            <w:hideMark/>
          </w:tcPr>
          <w:p w14:paraId="08D34186" w14:textId="77777777" w:rsidR="009561A2" w:rsidRPr="00962634" w:rsidRDefault="009561A2"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r>
      <w:tr w:rsidR="009561A2" w:rsidRPr="00962634" w14:paraId="3ADC1B2E"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36DFC8B4" w14:textId="77777777" w:rsidR="009561A2" w:rsidRPr="005A3CF5" w:rsidRDefault="009561A2"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Z43</w:t>
            </w:r>
          </w:p>
        </w:tc>
        <w:tc>
          <w:tcPr>
            <w:tcW w:w="3453" w:type="dxa"/>
            <w:tcBorders>
              <w:top w:val="nil"/>
              <w:left w:val="nil"/>
              <w:bottom w:val="single" w:sz="4" w:space="0" w:color="auto"/>
              <w:right w:val="single" w:sz="4" w:space="0" w:color="auto"/>
            </w:tcBorders>
            <w:shd w:val="clear" w:color="auto" w:fill="auto"/>
            <w:noWrap/>
            <w:hideMark/>
          </w:tcPr>
          <w:p w14:paraId="4223839F" w14:textId="77777777" w:rsidR="009561A2" w:rsidRPr="005A3CF5" w:rsidRDefault="009561A2"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677D499E" w14:textId="77777777" w:rsidR="009561A2"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7,149</w:t>
            </w:r>
          </w:p>
        </w:tc>
        <w:tc>
          <w:tcPr>
            <w:tcW w:w="779" w:type="dxa"/>
            <w:tcBorders>
              <w:top w:val="nil"/>
              <w:left w:val="nil"/>
              <w:bottom w:val="single" w:sz="4" w:space="0" w:color="auto"/>
              <w:right w:val="single" w:sz="4" w:space="0" w:color="auto"/>
            </w:tcBorders>
            <w:shd w:val="clear" w:color="auto" w:fill="auto"/>
            <w:noWrap/>
            <w:hideMark/>
          </w:tcPr>
          <w:p w14:paraId="4C7E30F4" w14:textId="77777777" w:rsidR="009561A2"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7,139</w:t>
            </w:r>
          </w:p>
        </w:tc>
        <w:tc>
          <w:tcPr>
            <w:tcW w:w="945" w:type="dxa"/>
            <w:tcBorders>
              <w:top w:val="nil"/>
              <w:left w:val="nil"/>
              <w:bottom w:val="single" w:sz="4" w:space="0" w:color="auto"/>
              <w:right w:val="single" w:sz="4" w:space="0" w:color="auto"/>
            </w:tcBorders>
            <w:shd w:val="clear" w:color="auto" w:fill="auto"/>
            <w:hideMark/>
          </w:tcPr>
          <w:p w14:paraId="2028D277" w14:textId="77777777" w:rsidR="009561A2" w:rsidRPr="005A3CF5" w:rsidRDefault="009561A2"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91EE031" w14:textId="77777777" w:rsidR="009561A2" w:rsidRPr="005A3CF5" w:rsidRDefault="009561A2"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08BA426" w14:textId="77777777" w:rsidR="009561A2" w:rsidRPr="005A3CF5" w:rsidRDefault="009561A2"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825124E" w14:textId="77777777" w:rsidR="009561A2" w:rsidRPr="005A3CF5" w:rsidRDefault="009561A2"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13C25A3" w14:textId="77777777" w:rsidR="009561A2"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0,011</w:t>
            </w:r>
          </w:p>
        </w:tc>
        <w:tc>
          <w:tcPr>
            <w:tcW w:w="779" w:type="dxa"/>
            <w:tcBorders>
              <w:top w:val="nil"/>
              <w:left w:val="nil"/>
              <w:bottom w:val="single" w:sz="4" w:space="0" w:color="auto"/>
              <w:right w:val="single" w:sz="4" w:space="0" w:color="auto"/>
            </w:tcBorders>
            <w:shd w:val="clear" w:color="auto" w:fill="auto"/>
            <w:hideMark/>
          </w:tcPr>
          <w:p w14:paraId="1B7C95E4" w14:textId="77777777" w:rsidR="009561A2"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0,289</w:t>
            </w:r>
          </w:p>
        </w:tc>
        <w:tc>
          <w:tcPr>
            <w:tcW w:w="779" w:type="dxa"/>
            <w:tcBorders>
              <w:top w:val="nil"/>
              <w:left w:val="nil"/>
              <w:bottom w:val="single" w:sz="4" w:space="0" w:color="auto"/>
              <w:right w:val="single" w:sz="4" w:space="0" w:color="auto"/>
            </w:tcBorders>
            <w:shd w:val="clear" w:color="auto" w:fill="auto"/>
            <w:noWrap/>
            <w:hideMark/>
          </w:tcPr>
          <w:p w14:paraId="158EFDBC" w14:textId="77777777" w:rsidR="009561A2"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6,860</w:t>
            </w:r>
          </w:p>
        </w:tc>
        <w:tc>
          <w:tcPr>
            <w:tcW w:w="779" w:type="dxa"/>
            <w:tcBorders>
              <w:top w:val="nil"/>
              <w:left w:val="nil"/>
              <w:bottom w:val="single" w:sz="4" w:space="0" w:color="auto"/>
              <w:right w:val="single" w:sz="4" w:space="0" w:color="auto"/>
            </w:tcBorders>
            <w:shd w:val="clear" w:color="auto" w:fill="auto"/>
            <w:noWrap/>
            <w:hideMark/>
          </w:tcPr>
          <w:p w14:paraId="29A8C7BA" w14:textId="77777777" w:rsidR="009561A2" w:rsidRPr="005A3CF5" w:rsidRDefault="009561A2"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B02E769" w14:textId="77777777" w:rsidR="009561A2" w:rsidRPr="005A3CF5" w:rsidRDefault="009561A2"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97493DD" w14:textId="77777777" w:rsidR="009561A2" w:rsidRPr="005A3CF5" w:rsidRDefault="009561A2"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185974A2" w14:textId="77777777" w:rsidR="009561A2" w:rsidRPr="005A3CF5" w:rsidRDefault="009561A2"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r>
      <w:tr w:rsidR="009561A2" w:rsidRPr="00962634" w14:paraId="0D114938"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290B939F" w14:textId="77777777" w:rsidR="009561A2" w:rsidRPr="005A3CF5" w:rsidRDefault="009561A2"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Z44</w:t>
            </w:r>
            <w:r w:rsidR="00C2307A" w:rsidRPr="005A3CF5">
              <w:rPr>
                <w:rFonts w:eastAsia="Times New Roman"/>
                <w:sz w:val="20"/>
                <w:szCs w:val="20"/>
                <w:lang w:eastAsia="cs-CZ"/>
              </w:rPr>
              <w:t>A</w:t>
            </w:r>
          </w:p>
        </w:tc>
        <w:tc>
          <w:tcPr>
            <w:tcW w:w="3453" w:type="dxa"/>
            <w:tcBorders>
              <w:top w:val="nil"/>
              <w:left w:val="nil"/>
              <w:bottom w:val="single" w:sz="4" w:space="0" w:color="auto"/>
              <w:right w:val="single" w:sz="4" w:space="0" w:color="auto"/>
            </w:tcBorders>
            <w:shd w:val="clear" w:color="auto" w:fill="auto"/>
            <w:noWrap/>
            <w:hideMark/>
          </w:tcPr>
          <w:p w14:paraId="3C2B016B" w14:textId="77777777" w:rsidR="009561A2" w:rsidRPr="005A3CF5" w:rsidRDefault="009561A2"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58E24AB9" w14:textId="77777777" w:rsidR="009561A2" w:rsidRPr="005A3CF5" w:rsidRDefault="005A3CF5"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2,171</w:t>
            </w:r>
          </w:p>
        </w:tc>
        <w:tc>
          <w:tcPr>
            <w:tcW w:w="779" w:type="dxa"/>
            <w:tcBorders>
              <w:top w:val="nil"/>
              <w:left w:val="nil"/>
              <w:bottom w:val="single" w:sz="4" w:space="0" w:color="auto"/>
              <w:right w:val="single" w:sz="4" w:space="0" w:color="auto"/>
            </w:tcBorders>
            <w:shd w:val="clear" w:color="auto" w:fill="auto"/>
            <w:noWrap/>
            <w:hideMark/>
          </w:tcPr>
          <w:p w14:paraId="7C5987C6" w14:textId="77777777" w:rsidR="009561A2" w:rsidRPr="005A3CF5" w:rsidRDefault="005A3CF5"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1,953</w:t>
            </w:r>
          </w:p>
        </w:tc>
        <w:tc>
          <w:tcPr>
            <w:tcW w:w="945" w:type="dxa"/>
            <w:tcBorders>
              <w:top w:val="nil"/>
              <w:left w:val="nil"/>
              <w:bottom w:val="single" w:sz="4" w:space="0" w:color="auto"/>
              <w:right w:val="single" w:sz="4" w:space="0" w:color="auto"/>
            </w:tcBorders>
            <w:shd w:val="clear" w:color="auto" w:fill="auto"/>
            <w:hideMark/>
          </w:tcPr>
          <w:p w14:paraId="11BABEB4" w14:textId="77777777" w:rsidR="009561A2" w:rsidRPr="005A3CF5" w:rsidRDefault="009561A2"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432B7F6" w14:textId="77777777" w:rsidR="009561A2" w:rsidRPr="005A3CF5" w:rsidRDefault="009561A2"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8C83786" w14:textId="77777777" w:rsidR="009561A2" w:rsidRPr="005A3CF5" w:rsidRDefault="005A3CF5"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40703BE" w14:textId="77777777" w:rsidR="009561A2" w:rsidRPr="005A3CF5" w:rsidRDefault="009561A2"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C2777B9" w14:textId="77777777" w:rsidR="009561A2" w:rsidRPr="005A3CF5" w:rsidRDefault="005A3CF5"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0,217</w:t>
            </w:r>
          </w:p>
        </w:tc>
        <w:tc>
          <w:tcPr>
            <w:tcW w:w="779" w:type="dxa"/>
            <w:tcBorders>
              <w:top w:val="nil"/>
              <w:left w:val="nil"/>
              <w:bottom w:val="single" w:sz="4" w:space="0" w:color="auto"/>
              <w:right w:val="single" w:sz="4" w:space="0" w:color="auto"/>
            </w:tcBorders>
            <w:shd w:val="clear" w:color="auto" w:fill="auto"/>
            <w:hideMark/>
          </w:tcPr>
          <w:p w14:paraId="1128DD09" w14:textId="77777777" w:rsidR="009561A2" w:rsidRPr="005A3CF5" w:rsidRDefault="005A3CF5"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1,708</w:t>
            </w:r>
          </w:p>
        </w:tc>
        <w:tc>
          <w:tcPr>
            <w:tcW w:w="779" w:type="dxa"/>
            <w:tcBorders>
              <w:top w:val="nil"/>
              <w:left w:val="nil"/>
              <w:bottom w:val="single" w:sz="4" w:space="0" w:color="auto"/>
              <w:right w:val="single" w:sz="4" w:space="0" w:color="auto"/>
            </w:tcBorders>
            <w:shd w:val="clear" w:color="auto" w:fill="auto"/>
            <w:noWrap/>
            <w:hideMark/>
          </w:tcPr>
          <w:p w14:paraId="67B45A3D" w14:textId="77777777" w:rsidR="009561A2"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CF6CA4D" w14:textId="77777777" w:rsidR="009561A2" w:rsidRPr="005A3CF5" w:rsidRDefault="005A3CF5"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0,463</w:t>
            </w:r>
          </w:p>
        </w:tc>
        <w:tc>
          <w:tcPr>
            <w:tcW w:w="779" w:type="dxa"/>
            <w:tcBorders>
              <w:top w:val="nil"/>
              <w:left w:val="nil"/>
              <w:bottom w:val="single" w:sz="4" w:space="0" w:color="auto"/>
              <w:right w:val="single" w:sz="4" w:space="0" w:color="auto"/>
            </w:tcBorders>
            <w:shd w:val="clear" w:color="auto" w:fill="auto"/>
            <w:noWrap/>
            <w:hideMark/>
          </w:tcPr>
          <w:p w14:paraId="72BBB447" w14:textId="77777777" w:rsidR="009561A2" w:rsidRPr="005A3CF5" w:rsidRDefault="009561A2"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5FFEC80" w14:textId="77777777" w:rsidR="009561A2" w:rsidRPr="005A3CF5" w:rsidRDefault="009561A2"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6620A2C5" w14:textId="77777777" w:rsidR="009561A2" w:rsidRPr="005A3CF5" w:rsidRDefault="009561A2"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r>
      <w:tr w:rsidR="00C2307A" w:rsidRPr="00962634" w14:paraId="51F1882A" w14:textId="77777777" w:rsidTr="00A375C3">
        <w:tc>
          <w:tcPr>
            <w:tcW w:w="872" w:type="dxa"/>
            <w:tcBorders>
              <w:top w:val="nil"/>
              <w:left w:val="single" w:sz="4" w:space="0" w:color="auto"/>
              <w:bottom w:val="single" w:sz="4" w:space="0" w:color="auto"/>
              <w:right w:val="single" w:sz="4" w:space="0" w:color="auto"/>
            </w:tcBorders>
            <w:shd w:val="clear" w:color="auto" w:fill="auto"/>
          </w:tcPr>
          <w:p w14:paraId="6B32A12A" w14:textId="77777777" w:rsidR="00C2307A" w:rsidRPr="005A3CF5" w:rsidRDefault="00C2307A"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Z44B</w:t>
            </w:r>
          </w:p>
        </w:tc>
        <w:tc>
          <w:tcPr>
            <w:tcW w:w="3453" w:type="dxa"/>
            <w:tcBorders>
              <w:top w:val="nil"/>
              <w:left w:val="nil"/>
              <w:bottom w:val="single" w:sz="4" w:space="0" w:color="auto"/>
              <w:right w:val="single" w:sz="4" w:space="0" w:color="auto"/>
            </w:tcBorders>
            <w:shd w:val="clear" w:color="auto" w:fill="auto"/>
            <w:noWrap/>
          </w:tcPr>
          <w:p w14:paraId="105DAE77" w14:textId="77777777" w:rsidR="00C2307A" w:rsidRPr="005A3CF5" w:rsidRDefault="00C2307A"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tcPr>
          <w:p w14:paraId="74FAB56A" w14:textId="77777777" w:rsidR="00C2307A" w:rsidRPr="005A3CF5" w:rsidRDefault="00D42A52" w:rsidP="00F32B0C">
            <w:pPr>
              <w:spacing w:before="20" w:after="20" w:line="240" w:lineRule="auto"/>
              <w:jc w:val="right"/>
              <w:rPr>
                <w:rFonts w:eastAsia="Times New Roman"/>
                <w:sz w:val="20"/>
                <w:szCs w:val="20"/>
                <w:lang w:eastAsia="cs-CZ"/>
              </w:rPr>
            </w:pPr>
            <w:r>
              <w:rPr>
                <w:rFonts w:eastAsia="Times New Roman"/>
                <w:sz w:val="20"/>
                <w:szCs w:val="20"/>
                <w:lang w:eastAsia="cs-CZ"/>
              </w:rPr>
              <w:t>8,050</w:t>
            </w:r>
          </w:p>
        </w:tc>
        <w:tc>
          <w:tcPr>
            <w:tcW w:w="779" w:type="dxa"/>
            <w:tcBorders>
              <w:top w:val="nil"/>
              <w:left w:val="nil"/>
              <w:bottom w:val="single" w:sz="4" w:space="0" w:color="auto"/>
              <w:right w:val="single" w:sz="4" w:space="0" w:color="auto"/>
            </w:tcBorders>
            <w:shd w:val="clear" w:color="auto" w:fill="auto"/>
            <w:noWrap/>
          </w:tcPr>
          <w:p w14:paraId="510E8776" w14:textId="77777777" w:rsidR="00C2307A" w:rsidRPr="005A3CF5" w:rsidRDefault="00D42A52" w:rsidP="00F32B0C">
            <w:pPr>
              <w:spacing w:before="20" w:after="20" w:line="240" w:lineRule="auto"/>
              <w:jc w:val="right"/>
              <w:rPr>
                <w:rFonts w:eastAsia="Times New Roman"/>
                <w:color w:val="000000"/>
                <w:sz w:val="20"/>
                <w:szCs w:val="20"/>
                <w:lang w:eastAsia="cs-CZ"/>
              </w:rPr>
            </w:pPr>
            <w:r>
              <w:rPr>
                <w:rFonts w:eastAsia="Times New Roman"/>
                <w:sz w:val="20"/>
                <w:szCs w:val="20"/>
                <w:lang w:eastAsia="cs-CZ"/>
              </w:rPr>
              <w:t>8,026</w:t>
            </w:r>
          </w:p>
        </w:tc>
        <w:tc>
          <w:tcPr>
            <w:tcW w:w="945" w:type="dxa"/>
            <w:tcBorders>
              <w:top w:val="nil"/>
              <w:left w:val="nil"/>
              <w:bottom w:val="single" w:sz="4" w:space="0" w:color="auto"/>
              <w:right w:val="single" w:sz="4" w:space="0" w:color="auto"/>
            </w:tcBorders>
            <w:shd w:val="clear" w:color="auto" w:fill="auto"/>
          </w:tcPr>
          <w:p w14:paraId="356F9FB2"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tcPr>
          <w:p w14:paraId="164E43BD"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389557E"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tcPr>
          <w:p w14:paraId="56A1A694" w14:textId="77777777" w:rsidR="00C2307A" w:rsidRPr="005A3CF5" w:rsidRDefault="003D2C20" w:rsidP="009C570A">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tcPr>
          <w:p w14:paraId="12805382" w14:textId="77777777" w:rsidR="00C2307A" w:rsidRPr="005A3CF5" w:rsidRDefault="00D42A52" w:rsidP="00F32B0C">
            <w:pPr>
              <w:spacing w:before="20" w:after="20" w:line="240" w:lineRule="auto"/>
              <w:jc w:val="right"/>
              <w:rPr>
                <w:rFonts w:eastAsia="Times New Roman"/>
                <w:sz w:val="20"/>
                <w:szCs w:val="20"/>
                <w:lang w:eastAsia="cs-CZ"/>
              </w:rPr>
            </w:pPr>
            <w:r>
              <w:rPr>
                <w:rFonts w:eastAsia="Times New Roman"/>
                <w:sz w:val="20"/>
                <w:szCs w:val="20"/>
                <w:lang w:eastAsia="cs-CZ"/>
              </w:rPr>
              <w:t>0,024</w:t>
            </w:r>
          </w:p>
        </w:tc>
        <w:tc>
          <w:tcPr>
            <w:tcW w:w="779" w:type="dxa"/>
            <w:tcBorders>
              <w:top w:val="nil"/>
              <w:left w:val="nil"/>
              <w:bottom w:val="single" w:sz="4" w:space="0" w:color="auto"/>
              <w:right w:val="single" w:sz="4" w:space="0" w:color="auto"/>
            </w:tcBorders>
            <w:shd w:val="clear" w:color="auto" w:fill="auto"/>
          </w:tcPr>
          <w:p w14:paraId="6010709A"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71BC9DA2" w14:textId="77777777" w:rsidR="00C2307A" w:rsidRPr="005A3CF5" w:rsidRDefault="00D42A52" w:rsidP="00F32B0C">
            <w:pPr>
              <w:spacing w:before="20" w:after="20" w:line="240" w:lineRule="auto"/>
              <w:jc w:val="right"/>
              <w:rPr>
                <w:rFonts w:eastAsia="Times New Roman"/>
                <w:color w:val="000000"/>
                <w:sz w:val="20"/>
                <w:szCs w:val="20"/>
                <w:lang w:eastAsia="cs-CZ"/>
              </w:rPr>
            </w:pPr>
            <w:r>
              <w:rPr>
                <w:rFonts w:eastAsia="Times New Roman"/>
                <w:sz w:val="20"/>
                <w:szCs w:val="20"/>
                <w:lang w:eastAsia="cs-CZ"/>
              </w:rPr>
              <w:t>8,050</w:t>
            </w:r>
          </w:p>
        </w:tc>
        <w:tc>
          <w:tcPr>
            <w:tcW w:w="779" w:type="dxa"/>
            <w:tcBorders>
              <w:top w:val="nil"/>
              <w:left w:val="nil"/>
              <w:bottom w:val="single" w:sz="4" w:space="0" w:color="auto"/>
              <w:right w:val="single" w:sz="4" w:space="0" w:color="auto"/>
            </w:tcBorders>
            <w:shd w:val="clear" w:color="auto" w:fill="auto"/>
            <w:noWrap/>
          </w:tcPr>
          <w:p w14:paraId="6BF839F3"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2CD400E9"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C33B832"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tcPr>
          <w:p w14:paraId="472E2FEE"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0,0000</w:t>
            </w:r>
          </w:p>
        </w:tc>
      </w:tr>
      <w:tr w:rsidR="00C2307A" w:rsidRPr="00962634" w14:paraId="4552793E"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3A0190C5" w14:textId="77777777" w:rsidR="00C2307A" w:rsidRPr="005A3CF5" w:rsidRDefault="00C2307A"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Z45</w:t>
            </w:r>
          </w:p>
        </w:tc>
        <w:tc>
          <w:tcPr>
            <w:tcW w:w="3453" w:type="dxa"/>
            <w:tcBorders>
              <w:top w:val="nil"/>
              <w:left w:val="nil"/>
              <w:bottom w:val="single" w:sz="4" w:space="0" w:color="auto"/>
              <w:right w:val="single" w:sz="4" w:space="0" w:color="auto"/>
            </w:tcBorders>
            <w:shd w:val="clear" w:color="auto" w:fill="auto"/>
            <w:noWrap/>
            <w:hideMark/>
          </w:tcPr>
          <w:p w14:paraId="691BA36A" w14:textId="77777777" w:rsidR="00C2307A" w:rsidRPr="005A3CF5" w:rsidRDefault="00C2307A"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64590F25"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3,786</w:t>
            </w:r>
          </w:p>
        </w:tc>
        <w:tc>
          <w:tcPr>
            <w:tcW w:w="779" w:type="dxa"/>
            <w:tcBorders>
              <w:top w:val="nil"/>
              <w:left w:val="nil"/>
              <w:bottom w:val="single" w:sz="4" w:space="0" w:color="auto"/>
              <w:right w:val="single" w:sz="4" w:space="0" w:color="auto"/>
            </w:tcBorders>
            <w:shd w:val="clear" w:color="auto" w:fill="auto"/>
            <w:noWrap/>
            <w:hideMark/>
          </w:tcPr>
          <w:p w14:paraId="47A6DF06"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3,786</w:t>
            </w:r>
          </w:p>
        </w:tc>
        <w:tc>
          <w:tcPr>
            <w:tcW w:w="945" w:type="dxa"/>
            <w:tcBorders>
              <w:top w:val="nil"/>
              <w:left w:val="nil"/>
              <w:bottom w:val="single" w:sz="4" w:space="0" w:color="auto"/>
              <w:right w:val="single" w:sz="4" w:space="0" w:color="auto"/>
            </w:tcBorders>
            <w:shd w:val="clear" w:color="auto" w:fill="auto"/>
            <w:hideMark/>
          </w:tcPr>
          <w:p w14:paraId="67C6C830"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FFABF90"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193E741"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21B90B1"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68A953D"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D8C352E"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0,071</w:t>
            </w:r>
          </w:p>
        </w:tc>
        <w:tc>
          <w:tcPr>
            <w:tcW w:w="779" w:type="dxa"/>
            <w:tcBorders>
              <w:top w:val="nil"/>
              <w:left w:val="nil"/>
              <w:bottom w:val="single" w:sz="4" w:space="0" w:color="auto"/>
              <w:right w:val="single" w:sz="4" w:space="0" w:color="auto"/>
            </w:tcBorders>
            <w:shd w:val="clear" w:color="auto" w:fill="auto"/>
            <w:noWrap/>
            <w:hideMark/>
          </w:tcPr>
          <w:p w14:paraId="46E10565"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3,715</w:t>
            </w:r>
          </w:p>
        </w:tc>
        <w:tc>
          <w:tcPr>
            <w:tcW w:w="779" w:type="dxa"/>
            <w:tcBorders>
              <w:top w:val="nil"/>
              <w:left w:val="nil"/>
              <w:bottom w:val="single" w:sz="4" w:space="0" w:color="auto"/>
              <w:right w:val="single" w:sz="4" w:space="0" w:color="auto"/>
            </w:tcBorders>
            <w:shd w:val="clear" w:color="auto" w:fill="auto"/>
            <w:noWrap/>
            <w:hideMark/>
          </w:tcPr>
          <w:p w14:paraId="4198CBCF"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DCF8F0E"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EAFD12C"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79F84A97"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r>
      <w:tr w:rsidR="00C2307A" w:rsidRPr="00962634" w14:paraId="76E6C2AE"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08021911" w14:textId="77777777" w:rsidR="00C2307A" w:rsidRPr="005A3CF5" w:rsidRDefault="00C2307A"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Z46</w:t>
            </w:r>
          </w:p>
        </w:tc>
        <w:tc>
          <w:tcPr>
            <w:tcW w:w="3453" w:type="dxa"/>
            <w:tcBorders>
              <w:top w:val="nil"/>
              <w:left w:val="nil"/>
              <w:bottom w:val="single" w:sz="4" w:space="0" w:color="auto"/>
              <w:right w:val="single" w:sz="4" w:space="0" w:color="auto"/>
            </w:tcBorders>
            <w:shd w:val="clear" w:color="auto" w:fill="auto"/>
            <w:noWrap/>
            <w:hideMark/>
          </w:tcPr>
          <w:p w14:paraId="538856F9" w14:textId="77777777" w:rsidR="00C2307A" w:rsidRPr="005A3CF5" w:rsidRDefault="00C2307A"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307D7855"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2,085</w:t>
            </w:r>
          </w:p>
        </w:tc>
        <w:tc>
          <w:tcPr>
            <w:tcW w:w="779" w:type="dxa"/>
            <w:tcBorders>
              <w:top w:val="nil"/>
              <w:left w:val="nil"/>
              <w:bottom w:val="single" w:sz="4" w:space="0" w:color="auto"/>
              <w:right w:val="single" w:sz="4" w:space="0" w:color="auto"/>
            </w:tcBorders>
            <w:shd w:val="clear" w:color="auto" w:fill="auto"/>
            <w:noWrap/>
            <w:hideMark/>
          </w:tcPr>
          <w:p w14:paraId="587E219B"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1,929</w:t>
            </w:r>
          </w:p>
        </w:tc>
        <w:tc>
          <w:tcPr>
            <w:tcW w:w="945" w:type="dxa"/>
            <w:tcBorders>
              <w:top w:val="nil"/>
              <w:left w:val="nil"/>
              <w:bottom w:val="single" w:sz="4" w:space="0" w:color="auto"/>
              <w:right w:val="single" w:sz="4" w:space="0" w:color="auto"/>
            </w:tcBorders>
            <w:shd w:val="clear" w:color="auto" w:fill="auto"/>
            <w:hideMark/>
          </w:tcPr>
          <w:p w14:paraId="79DC1125"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A8AB07B"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5A111DD"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F370116"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C316C81"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0,156</w:t>
            </w:r>
          </w:p>
        </w:tc>
        <w:tc>
          <w:tcPr>
            <w:tcW w:w="779" w:type="dxa"/>
            <w:tcBorders>
              <w:top w:val="nil"/>
              <w:left w:val="nil"/>
              <w:bottom w:val="single" w:sz="4" w:space="0" w:color="auto"/>
              <w:right w:val="single" w:sz="4" w:space="0" w:color="auto"/>
            </w:tcBorders>
            <w:shd w:val="clear" w:color="auto" w:fill="auto"/>
            <w:noWrap/>
            <w:hideMark/>
          </w:tcPr>
          <w:p w14:paraId="1F1C5D98"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0,042</w:t>
            </w:r>
          </w:p>
        </w:tc>
        <w:tc>
          <w:tcPr>
            <w:tcW w:w="779" w:type="dxa"/>
            <w:tcBorders>
              <w:top w:val="nil"/>
              <w:left w:val="nil"/>
              <w:bottom w:val="single" w:sz="4" w:space="0" w:color="auto"/>
              <w:right w:val="single" w:sz="4" w:space="0" w:color="auto"/>
            </w:tcBorders>
            <w:shd w:val="clear" w:color="auto" w:fill="auto"/>
            <w:noWrap/>
            <w:hideMark/>
          </w:tcPr>
          <w:p w14:paraId="1E3F43B2"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2,043</w:t>
            </w:r>
          </w:p>
        </w:tc>
        <w:tc>
          <w:tcPr>
            <w:tcW w:w="779" w:type="dxa"/>
            <w:tcBorders>
              <w:top w:val="nil"/>
              <w:left w:val="nil"/>
              <w:bottom w:val="single" w:sz="4" w:space="0" w:color="auto"/>
              <w:right w:val="single" w:sz="4" w:space="0" w:color="auto"/>
            </w:tcBorders>
            <w:shd w:val="clear" w:color="auto" w:fill="auto"/>
            <w:noWrap/>
            <w:hideMark/>
          </w:tcPr>
          <w:p w14:paraId="7C14D555"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6491DA2"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E029E26"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457A10E4"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r>
      <w:tr w:rsidR="00C2307A" w:rsidRPr="00962634" w14:paraId="072A712D"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0DC794D6" w14:textId="77777777" w:rsidR="00C2307A" w:rsidRPr="005A3CF5" w:rsidRDefault="00C2307A"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Z52</w:t>
            </w:r>
          </w:p>
        </w:tc>
        <w:tc>
          <w:tcPr>
            <w:tcW w:w="3453" w:type="dxa"/>
            <w:tcBorders>
              <w:top w:val="nil"/>
              <w:left w:val="nil"/>
              <w:bottom w:val="single" w:sz="4" w:space="0" w:color="auto"/>
              <w:right w:val="single" w:sz="4" w:space="0" w:color="auto"/>
            </w:tcBorders>
            <w:shd w:val="clear" w:color="auto" w:fill="auto"/>
            <w:noWrap/>
            <w:hideMark/>
          </w:tcPr>
          <w:p w14:paraId="3CA58087" w14:textId="77777777" w:rsidR="00C2307A" w:rsidRPr="005A3CF5" w:rsidRDefault="00C2307A"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34408A05"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1,504</w:t>
            </w:r>
          </w:p>
        </w:tc>
        <w:tc>
          <w:tcPr>
            <w:tcW w:w="779" w:type="dxa"/>
            <w:tcBorders>
              <w:top w:val="nil"/>
              <w:left w:val="nil"/>
              <w:bottom w:val="single" w:sz="4" w:space="0" w:color="auto"/>
              <w:right w:val="single" w:sz="4" w:space="0" w:color="auto"/>
            </w:tcBorders>
            <w:shd w:val="clear" w:color="auto" w:fill="auto"/>
            <w:noWrap/>
            <w:hideMark/>
          </w:tcPr>
          <w:p w14:paraId="2AFBA687"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1,504</w:t>
            </w:r>
          </w:p>
        </w:tc>
        <w:tc>
          <w:tcPr>
            <w:tcW w:w="945" w:type="dxa"/>
            <w:tcBorders>
              <w:top w:val="nil"/>
              <w:left w:val="nil"/>
              <w:bottom w:val="single" w:sz="4" w:space="0" w:color="auto"/>
              <w:right w:val="single" w:sz="4" w:space="0" w:color="auto"/>
            </w:tcBorders>
            <w:shd w:val="clear" w:color="auto" w:fill="auto"/>
            <w:hideMark/>
          </w:tcPr>
          <w:p w14:paraId="1330522D"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FCD469D"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11ACCB4"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C2BDCCC"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9C25BEB"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04D3019"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1,504</w:t>
            </w:r>
          </w:p>
        </w:tc>
        <w:tc>
          <w:tcPr>
            <w:tcW w:w="779" w:type="dxa"/>
            <w:tcBorders>
              <w:top w:val="nil"/>
              <w:left w:val="nil"/>
              <w:bottom w:val="single" w:sz="4" w:space="0" w:color="auto"/>
              <w:right w:val="single" w:sz="4" w:space="0" w:color="auto"/>
            </w:tcBorders>
            <w:shd w:val="clear" w:color="auto" w:fill="auto"/>
            <w:noWrap/>
            <w:hideMark/>
          </w:tcPr>
          <w:p w14:paraId="1C3AEDF3"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BC745F7"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6D3E188"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97FFF37"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4E6EAE88"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r>
      <w:tr w:rsidR="00C2307A" w:rsidRPr="00962634" w14:paraId="5279C51B"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02446FB1" w14:textId="77777777" w:rsidR="00C2307A" w:rsidRPr="005A3CF5" w:rsidRDefault="00C2307A"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Z54</w:t>
            </w:r>
          </w:p>
        </w:tc>
        <w:tc>
          <w:tcPr>
            <w:tcW w:w="3453" w:type="dxa"/>
            <w:tcBorders>
              <w:top w:val="nil"/>
              <w:left w:val="nil"/>
              <w:bottom w:val="single" w:sz="4" w:space="0" w:color="auto"/>
              <w:right w:val="single" w:sz="4" w:space="0" w:color="auto"/>
            </w:tcBorders>
            <w:shd w:val="clear" w:color="auto" w:fill="auto"/>
            <w:noWrap/>
            <w:hideMark/>
          </w:tcPr>
          <w:p w14:paraId="167D9073" w14:textId="77777777" w:rsidR="00C2307A" w:rsidRPr="005A3CF5" w:rsidRDefault="00C2307A"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6A1B59A1"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 xml:space="preserve"> 0,538</w:t>
            </w:r>
          </w:p>
        </w:tc>
        <w:tc>
          <w:tcPr>
            <w:tcW w:w="779" w:type="dxa"/>
            <w:tcBorders>
              <w:top w:val="nil"/>
              <w:left w:val="nil"/>
              <w:bottom w:val="single" w:sz="4" w:space="0" w:color="auto"/>
              <w:right w:val="single" w:sz="4" w:space="0" w:color="auto"/>
            </w:tcBorders>
            <w:shd w:val="clear" w:color="auto" w:fill="auto"/>
            <w:noWrap/>
            <w:hideMark/>
          </w:tcPr>
          <w:p w14:paraId="364A5BC4"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5DAF45B8"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81283AE"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95269E6"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9B58588"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3D0783D"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 xml:space="preserve"> 0,538</w:t>
            </w:r>
          </w:p>
        </w:tc>
        <w:tc>
          <w:tcPr>
            <w:tcW w:w="779" w:type="dxa"/>
            <w:tcBorders>
              <w:top w:val="nil"/>
              <w:left w:val="nil"/>
              <w:bottom w:val="single" w:sz="4" w:space="0" w:color="auto"/>
              <w:right w:val="single" w:sz="4" w:space="0" w:color="auto"/>
            </w:tcBorders>
            <w:shd w:val="clear" w:color="auto" w:fill="auto"/>
            <w:noWrap/>
            <w:hideMark/>
          </w:tcPr>
          <w:p w14:paraId="4FA1A117"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6ADBC89" w14:textId="77777777" w:rsidR="00C2307A" w:rsidRPr="005A3CF5" w:rsidRDefault="00C2307A" w:rsidP="00DB1F21">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 xml:space="preserve"> 0,000</w:t>
            </w:r>
          </w:p>
        </w:tc>
        <w:tc>
          <w:tcPr>
            <w:tcW w:w="779" w:type="dxa"/>
            <w:tcBorders>
              <w:top w:val="nil"/>
              <w:left w:val="nil"/>
              <w:bottom w:val="single" w:sz="4" w:space="0" w:color="auto"/>
              <w:right w:val="single" w:sz="4" w:space="0" w:color="auto"/>
            </w:tcBorders>
            <w:shd w:val="clear" w:color="auto" w:fill="auto"/>
            <w:noWrap/>
            <w:hideMark/>
          </w:tcPr>
          <w:p w14:paraId="52268AB1"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BA3879C"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B96474F"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 xml:space="preserve"> 0,538</w:t>
            </w:r>
          </w:p>
        </w:tc>
        <w:tc>
          <w:tcPr>
            <w:tcW w:w="845" w:type="dxa"/>
            <w:tcBorders>
              <w:top w:val="nil"/>
              <w:left w:val="nil"/>
              <w:bottom w:val="single" w:sz="4" w:space="0" w:color="auto"/>
              <w:right w:val="single" w:sz="4" w:space="0" w:color="auto"/>
            </w:tcBorders>
            <w:shd w:val="clear" w:color="auto" w:fill="auto"/>
            <w:hideMark/>
          </w:tcPr>
          <w:p w14:paraId="0F3A8129"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r>
      <w:tr w:rsidR="00C2307A" w:rsidRPr="00962634" w14:paraId="6BD9DA6E"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248B7407" w14:textId="77777777" w:rsidR="00C2307A" w:rsidRPr="005A3CF5" w:rsidRDefault="00C2307A"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Z55</w:t>
            </w:r>
          </w:p>
        </w:tc>
        <w:tc>
          <w:tcPr>
            <w:tcW w:w="3453" w:type="dxa"/>
            <w:tcBorders>
              <w:top w:val="nil"/>
              <w:left w:val="nil"/>
              <w:bottom w:val="single" w:sz="4" w:space="0" w:color="auto"/>
              <w:right w:val="single" w:sz="4" w:space="0" w:color="auto"/>
            </w:tcBorders>
            <w:shd w:val="clear" w:color="auto" w:fill="auto"/>
            <w:noWrap/>
            <w:hideMark/>
          </w:tcPr>
          <w:p w14:paraId="14EEF482" w14:textId="77777777" w:rsidR="00C2307A" w:rsidRPr="005A3CF5" w:rsidRDefault="00C2307A"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2E26C90A"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1,063</w:t>
            </w:r>
          </w:p>
        </w:tc>
        <w:tc>
          <w:tcPr>
            <w:tcW w:w="779" w:type="dxa"/>
            <w:tcBorders>
              <w:top w:val="nil"/>
              <w:left w:val="nil"/>
              <w:bottom w:val="single" w:sz="4" w:space="0" w:color="auto"/>
              <w:right w:val="single" w:sz="4" w:space="0" w:color="auto"/>
            </w:tcBorders>
            <w:shd w:val="clear" w:color="auto" w:fill="auto"/>
            <w:noWrap/>
            <w:hideMark/>
          </w:tcPr>
          <w:p w14:paraId="20FB45BF"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62AF844E"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2738EF7"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640390D"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8D97EB8"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ADF1EE8"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1,063</w:t>
            </w:r>
          </w:p>
        </w:tc>
        <w:tc>
          <w:tcPr>
            <w:tcW w:w="779" w:type="dxa"/>
            <w:tcBorders>
              <w:top w:val="nil"/>
              <w:left w:val="nil"/>
              <w:bottom w:val="single" w:sz="4" w:space="0" w:color="auto"/>
              <w:right w:val="single" w:sz="4" w:space="0" w:color="auto"/>
            </w:tcBorders>
            <w:shd w:val="clear" w:color="auto" w:fill="auto"/>
            <w:noWrap/>
            <w:hideMark/>
          </w:tcPr>
          <w:p w14:paraId="7CB15762"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A725824"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FAC3B90"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D75DF07"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DF9CF9B" w14:textId="77777777" w:rsidR="00C2307A" w:rsidRPr="005A3CF5" w:rsidRDefault="00C2307A" w:rsidP="00F32B0C">
            <w:pPr>
              <w:spacing w:before="20" w:after="20" w:line="240" w:lineRule="auto"/>
              <w:jc w:val="right"/>
              <w:rPr>
                <w:rFonts w:eastAsia="Times New Roman"/>
                <w:color w:val="000000"/>
                <w:sz w:val="20"/>
                <w:szCs w:val="20"/>
                <w:lang w:eastAsia="cs-CZ"/>
              </w:rPr>
            </w:pPr>
            <w:r w:rsidRPr="005A3CF5">
              <w:rPr>
                <w:rFonts w:eastAsia="Times New Roman"/>
                <w:color w:val="000000"/>
                <w:sz w:val="20"/>
                <w:szCs w:val="20"/>
                <w:lang w:eastAsia="cs-CZ"/>
              </w:rPr>
              <w:t>1,063</w:t>
            </w:r>
          </w:p>
        </w:tc>
        <w:tc>
          <w:tcPr>
            <w:tcW w:w="845" w:type="dxa"/>
            <w:tcBorders>
              <w:top w:val="nil"/>
              <w:left w:val="nil"/>
              <w:bottom w:val="single" w:sz="4" w:space="0" w:color="auto"/>
              <w:right w:val="single" w:sz="4" w:space="0" w:color="auto"/>
            </w:tcBorders>
            <w:shd w:val="clear" w:color="auto" w:fill="auto"/>
            <w:hideMark/>
          </w:tcPr>
          <w:p w14:paraId="039E52C4" w14:textId="77777777" w:rsidR="00C2307A" w:rsidRPr="005A3CF5" w:rsidRDefault="00C2307A"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r>
      <w:tr w:rsidR="00C2307A" w:rsidRPr="00962634" w14:paraId="7A473AF1" w14:textId="77777777" w:rsidTr="00A375C3">
        <w:tc>
          <w:tcPr>
            <w:tcW w:w="872" w:type="dxa"/>
            <w:tcBorders>
              <w:top w:val="nil"/>
              <w:left w:val="single" w:sz="4" w:space="0" w:color="auto"/>
              <w:bottom w:val="single" w:sz="4" w:space="0" w:color="auto"/>
              <w:right w:val="single" w:sz="4" w:space="0" w:color="auto"/>
            </w:tcBorders>
            <w:shd w:val="clear" w:color="auto" w:fill="auto"/>
          </w:tcPr>
          <w:p w14:paraId="1F9D94C4" w14:textId="77777777" w:rsidR="00C2307A" w:rsidRPr="005A3CF5" w:rsidRDefault="00D95A3B" w:rsidP="00F32B0C">
            <w:pPr>
              <w:spacing w:before="20" w:after="20" w:line="240" w:lineRule="auto"/>
              <w:jc w:val="left"/>
              <w:rPr>
                <w:rFonts w:eastAsia="Times New Roman"/>
                <w:sz w:val="20"/>
                <w:szCs w:val="20"/>
                <w:lang w:eastAsia="cs-CZ"/>
              </w:rPr>
            </w:pPr>
            <w:r w:rsidRPr="005A3CF5">
              <w:rPr>
                <w:rFonts w:eastAsia="Times New Roman"/>
                <w:sz w:val="20"/>
                <w:szCs w:val="20"/>
                <w:lang w:eastAsia="cs-CZ"/>
              </w:rPr>
              <w:t>Z99</w:t>
            </w:r>
          </w:p>
        </w:tc>
        <w:tc>
          <w:tcPr>
            <w:tcW w:w="3453" w:type="dxa"/>
            <w:tcBorders>
              <w:top w:val="nil"/>
              <w:left w:val="nil"/>
              <w:bottom w:val="single" w:sz="4" w:space="0" w:color="auto"/>
              <w:right w:val="single" w:sz="4" w:space="0" w:color="auto"/>
            </w:tcBorders>
            <w:shd w:val="clear" w:color="auto" w:fill="auto"/>
            <w:noWrap/>
          </w:tcPr>
          <w:p w14:paraId="7B60DEC5" w14:textId="77777777" w:rsidR="00C2307A" w:rsidRPr="005A3CF5" w:rsidRDefault="00C2307A" w:rsidP="00F32B0C">
            <w:pPr>
              <w:spacing w:before="20" w:after="20" w:line="240" w:lineRule="auto"/>
              <w:jc w:val="left"/>
              <w:rPr>
                <w:rFonts w:eastAsia="Times New Roman"/>
                <w:color w:val="000000"/>
                <w:sz w:val="20"/>
                <w:szCs w:val="20"/>
                <w:lang w:eastAsia="cs-CZ"/>
              </w:rPr>
            </w:pPr>
            <w:r w:rsidRPr="005A3CF5">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tcPr>
          <w:p w14:paraId="4E4F14EA"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1,884</w:t>
            </w:r>
          </w:p>
        </w:tc>
        <w:tc>
          <w:tcPr>
            <w:tcW w:w="779" w:type="dxa"/>
            <w:tcBorders>
              <w:top w:val="nil"/>
              <w:left w:val="nil"/>
              <w:bottom w:val="single" w:sz="4" w:space="0" w:color="auto"/>
              <w:right w:val="single" w:sz="4" w:space="0" w:color="auto"/>
            </w:tcBorders>
            <w:shd w:val="clear" w:color="auto" w:fill="auto"/>
            <w:noWrap/>
          </w:tcPr>
          <w:p w14:paraId="4AE23DD5"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tcPr>
          <w:p w14:paraId="646AF2A3"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tcPr>
          <w:p w14:paraId="75EB4462"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DAB5664"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1,740</w:t>
            </w:r>
          </w:p>
        </w:tc>
        <w:tc>
          <w:tcPr>
            <w:tcW w:w="779" w:type="dxa"/>
            <w:tcBorders>
              <w:top w:val="nil"/>
              <w:left w:val="nil"/>
              <w:bottom w:val="single" w:sz="4" w:space="0" w:color="auto"/>
              <w:right w:val="single" w:sz="4" w:space="0" w:color="auto"/>
            </w:tcBorders>
            <w:shd w:val="clear" w:color="auto" w:fill="auto"/>
          </w:tcPr>
          <w:p w14:paraId="111E1EA9"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4B8AF530"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0,144</w:t>
            </w:r>
          </w:p>
        </w:tc>
        <w:tc>
          <w:tcPr>
            <w:tcW w:w="779" w:type="dxa"/>
            <w:tcBorders>
              <w:top w:val="nil"/>
              <w:left w:val="nil"/>
              <w:bottom w:val="single" w:sz="4" w:space="0" w:color="auto"/>
              <w:right w:val="single" w:sz="4" w:space="0" w:color="auto"/>
            </w:tcBorders>
            <w:shd w:val="clear" w:color="auto" w:fill="auto"/>
            <w:noWrap/>
          </w:tcPr>
          <w:p w14:paraId="2CED0A54"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1,884</w:t>
            </w:r>
          </w:p>
        </w:tc>
        <w:tc>
          <w:tcPr>
            <w:tcW w:w="779" w:type="dxa"/>
            <w:tcBorders>
              <w:top w:val="nil"/>
              <w:left w:val="nil"/>
              <w:bottom w:val="single" w:sz="4" w:space="0" w:color="auto"/>
              <w:right w:val="single" w:sz="4" w:space="0" w:color="auto"/>
            </w:tcBorders>
            <w:shd w:val="clear" w:color="auto" w:fill="auto"/>
            <w:noWrap/>
          </w:tcPr>
          <w:p w14:paraId="1CB214D4"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76D5DA76"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052ACBB8"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tcPr>
          <w:p w14:paraId="55D60638" w14:textId="77777777" w:rsidR="00C2307A" w:rsidRPr="005A3CF5" w:rsidRDefault="003D2C20" w:rsidP="00F32B0C">
            <w:pPr>
              <w:spacing w:before="20" w:after="20" w:line="240" w:lineRule="auto"/>
              <w:jc w:val="right"/>
              <w:rPr>
                <w:rFonts w:eastAsia="Times New Roman"/>
                <w:color w:val="000000"/>
                <w:sz w:val="20"/>
                <w:szCs w:val="20"/>
                <w:lang w:eastAsia="cs-CZ"/>
              </w:rPr>
            </w:pPr>
            <w:r w:rsidRPr="005A3CF5">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tcPr>
          <w:p w14:paraId="0EB96AEA" w14:textId="77777777" w:rsidR="00C2307A" w:rsidRPr="005A3CF5" w:rsidRDefault="003D2C20" w:rsidP="00F32B0C">
            <w:pPr>
              <w:spacing w:before="20" w:after="20" w:line="240" w:lineRule="auto"/>
              <w:jc w:val="right"/>
              <w:rPr>
                <w:rFonts w:eastAsia="Times New Roman"/>
                <w:sz w:val="20"/>
                <w:szCs w:val="20"/>
                <w:lang w:eastAsia="cs-CZ"/>
              </w:rPr>
            </w:pPr>
            <w:r w:rsidRPr="005A3CF5">
              <w:rPr>
                <w:rFonts w:eastAsia="Times New Roman"/>
                <w:sz w:val="20"/>
                <w:szCs w:val="20"/>
                <w:lang w:eastAsia="cs-CZ"/>
              </w:rPr>
              <w:t>0,000</w:t>
            </w:r>
          </w:p>
        </w:tc>
      </w:tr>
      <w:tr w:rsidR="00C2307A" w:rsidRPr="00962634" w14:paraId="38FAC709"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19AD28A3" w14:textId="77777777" w:rsidR="00C2307A" w:rsidRPr="005A3CF5" w:rsidRDefault="00C2307A" w:rsidP="00F32B0C">
            <w:pPr>
              <w:spacing w:before="20" w:after="20" w:line="240" w:lineRule="auto"/>
              <w:jc w:val="left"/>
              <w:rPr>
                <w:rFonts w:eastAsia="Times New Roman"/>
                <w:b/>
                <w:bCs/>
                <w:sz w:val="20"/>
                <w:szCs w:val="20"/>
                <w:lang w:eastAsia="cs-CZ"/>
              </w:rPr>
            </w:pPr>
            <w:r w:rsidRPr="005A3CF5">
              <w:rPr>
                <w:rFonts w:eastAsia="Times New Roman"/>
                <w:b/>
                <w:bCs/>
                <w:sz w:val="20"/>
                <w:szCs w:val="20"/>
                <w:lang w:eastAsia="cs-CZ"/>
              </w:rPr>
              <w:t>Plochy bydlení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22FCBD13" w14:textId="77777777" w:rsidR="00C2307A" w:rsidRPr="005A3CF5" w:rsidRDefault="00D42A52" w:rsidP="00D42A52">
            <w:pPr>
              <w:spacing w:before="20" w:after="20" w:line="240" w:lineRule="auto"/>
              <w:jc w:val="right"/>
              <w:rPr>
                <w:rFonts w:eastAsia="Times New Roman"/>
                <w:b/>
                <w:bCs/>
                <w:sz w:val="20"/>
                <w:szCs w:val="20"/>
                <w:lang w:eastAsia="cs-CZ"/>
              </w:rPr>
            </w:pPr>
            <w:r>
              <w:rPr>
                <w:rFonts w:eastAsia="Times New Roman"/>
                <w:b/>
                <w:bCs/>
                <w:sz w:val="20"/>
                <w:szCs w:val="20"/>
                <w:lang w:eastAsia="cs-CZ"/>
              </w:rPr>
              <w:t xml:space="preserve"> 30,422</w:t>
            </w:r>
          </w:p>
        </w:tc>
        <w:tc>
          <w:tcPr>
            <w:tcW w:w="779" w:type="dxa"/>
            <w:tcBorders>
              <w:top w:val="nil"/>
              <w:left w:val="nil"/>
              <w:bottom w:val="single" w:sz="4" w:space="0" w:color="auto"/>
              <w:right w:val="single" w:sz="4" w:space="0" w:color="auto"/>
            </w:tcBorders>
            <w:shd w:val="clear" w:color="auto" w:fill="C2D69B" w:themeFill="accent3" w:themeFillTint="99"/>
            <w:hideMark/>
          </w:tcPr>
          <w:p w14:paraId="54EE3CCC" w14:textId="77777777" w:rsidR="00C2307A" w:rsidRPr="005A3CF5" w:rsidRDefault="00D42A52" w:rsidP="00D42A52">
            <w:pPr>
              <w:spacing w:before="20" w:after="20" w:line="240" w:lineRule="auto"/>
              <w:jc w:val="right"/>
              <w:rPr>
                <w:rFonts w:eastAsia="Times New Roman"/>
                <w:b/>
                <w:bCs/>
                <w:sz w:val="20"/>
                <w:szCs w:val="20"/>
                <w:lang w:eastAsia="cs-CZ"/>
              </w:rPr>
            </w:pPr>
            <w:r>
              <w:rPr>
                <w:rFonts w:eastAsia="Times New Roman"/>
                <w:b/>
                <w:bCs/>
                <w:sz w:val="20"/>
                <w:szCs w:val="20"/>
                <w:lang w:eastAsia="cs-CZ"/>
              </w:rPr>
              <w:t xml:space="preserve"> 24,337</w:t>
            </w:r>
          </w:p>
        </w:tc>
        <w:tc>
          <w:tcPr>
            <w:tcW w:w="945" w:type="dxa"/>
            <w:tcBorders>
              <w:top w:val="nil"/>
              <w:left w:val="nil"/>
              <w:bottom w:val="single" w:sz="4" w:space="0" w:color="auto"/>
              <w:right w:val="single" w:sz="4" w:space="0" w:color="auto"/>
            </w:tcBorders>
            <w:shd w:val="clear" w:color="auto" w:fill="C2D69B" w:themeFill="accent3" w:themeFillTint="99"/>
            <w:hideMark/>
          </w:tcPr>
          <w:p w14:paraId="529F2F1B" w14:textId="77777777" w:rsidR="00C2307A" w:rsidRPr="005A3CF5" w:rsidRDefault="00C2307A"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FDF0636" w14:textId="77777777" w:rsidR="00C2307A" w:rsidRPr="005A3CF5" w:rsidRDefault="00C2307A"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9FE1291" w14:textId="77777777" w:rsidR="00C2307A" w:rsidRPr="005A3CF5" w:rsidRDefault="005A3CF5"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3,561</w:t>
            </w:r>
          </w:p>
        </w:tc>
        <w:tc>
          <w:tcPr>
            <w:tcW w:w="779" w:type="dxa"/>
            <w:tcBorders>
              <w:top w:val="nil"/>
              <w:left w:val="nil"/>
              <w:bottom w:val="single" w:sz="4" w:space="0" w:color="auto"/>
              <w:right w:val="single" w:sz="4" w:space="0" w:color="auto"/>
            </w:tcBorders>
            <w:shd w:val="clear" w:color="auto" w:fill="C2D69B" w:themeFill="accent3" w:themeFillTint="99"/>
            <w:hideMark/>
          </w:tcPr>
          <w:p w14:paraId="531B336B" w14:textId="77777777" w:rsidR="00C2307A" w:rsidRPr="005A3CF5" w:rsidRDefault="00C2307A"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5907B8B" w14:textId="77777777" w:rsidR="00C2307A" w:rsidRPr="005A3CF5" w:rsidRDefault="00622014" w:rsidP="00622014">
            <w:pPr>
              <w:spacing w:before="20" w:after="20" w:line="240" w:lineRule="auto"/>
              <w:jc w:val="right"/>
              <w:rPr>
                <w:rFonts w:eastAsia="Times New Roman"/>
                <w:b/>
                <w:bCs/>
                <w:sz w:val="20"/>
                <w:szCs w:val="20"/>
                <w:lang w:eastAsia="cs-CZ"/>
              </w:rPr>
            </w:pPr>
            <w:r>
              <w:rPr>
                <w:rFonts w:eastAsia="Times New Roman"/>
                <w:b/>
                <w:bCs/>
                <w:sz w:val="20"/>
                <w:szCs w:val="20"/>
                <w:lang w:eastAsia="cs-CZ"/>
              </w:rPr>
              <w:t xml:space="preserve"> 2,524</w:t>
            </w:r>
          </w:p>
        </w:tc>
        <w:tc>
          <w:tcPr>
            <w:tcW w:w="779" w:type="dxa"/>
            <w:tcBorders>
              <w:top w:val="nil"/>
              <w:left w:val="nil"/>
              <w:bottom w:val="single" w:sz="4" w:space="0" w:color="auto"/>
              <w:right w:val="single" w:sz="4" w:space="0" w:color="auto"/>
            </w:tcBorders>
            <w:shd w:val="clear" w:color="auto" w:fill="C2D69B" w:themeFill="accent3" w:themeFillTint="99"/>
            <w:hideMark/>
          </w:tcPr>
          <w:p w14:paraId="22E05E03" w14:textId="77777777" w:rsidR="00C2307A" w:rsidRPr="005A3CF5" w:rsidRDefault="005A3CF5"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6,422</w:t>
            </w:r>
          </w:p>
        </w:tc>
        <w:tc>
          <w:tcPr>
            <w:tcW w:w="779" w:type="dxa"/>
            <w:tcBorders>
              <w:top w:val="nil"/>
              <w:left w:val="nil"/>
              <w:bottom w:val="single" w:sz="4" w:space="0" w:color="auto"/>
              <w:right w:val="single" w:sz="4" w:space="0" w:color="auto"/>
            </w:tcBorders>
            <w:shd w:val="clear" w:color="auto" w:fill="C2D69B" w:themeFill="accent3" w:themeFillTint="99"/>
            <w:hideMark/>
          </w:tcPr>
          <w:p w14:paraId="14835CC1" w14:textId="77777777" w:rsidR="00C2307A" w:rsidRPr="005A3CF5" w:rsidRDefault="00622014" w:rsidP="00622014">
            <w:pPr>
              <w:spacing w:before="20" w:after="20" w:line="240" w:lineRule="auto"/>
              <w:jc w:val="right"/>
              <w:rPr>
                <w:rFonts w:eastAsia="Times New Roman"/>
                <w:b/>
                <w:bCs/>
                <w:sz w:val="20"/>
                <w:szCs w:val="20"/>
                <w:lang w:eastAsia="cs-CZ"/>
              </w:rPr>
            </w:pPr>
            <w:r>
              <w:rPr>
                <w:rFonts w:eastAsia="Times New Roman"/>
                <w:b/>
                <w:bCs/>
                <w:sz w:val="20"/>
                <w:szCs w:val="20"/>
                <w:lang w:eastAsia="cs-CZ"/>
              </w:rPr>
              <w:t xml:space="preserve"> 20,813</w:t>
            </w:r>
          </w:p>
        </w:tc>
        <w:tc>
          <w:tcPr>
            <w:tcW w:w="779" w:type="dxa"/>
            <w:tcBorders>
              <w:top w:val="nil"/>
              <w:left w:val="nil"/>
              <w:bottom w:val="single" w:sz="4" w:space="0" w:color="auto"/>
              <w:right w:val="single" w:sz="4" w:space="0" w:color="auto"/>
            </w:tcBorders>
            <w:shd w:val="clear" w:color="auto" w:fill="C2D69B" w:themeFill="accent3" w:themeFillTint="99"/>
            <w:hideMark/>
          </w:tcPr>
          <w:p w14:paraId="0E8A0C6B" w14:textId="77777777" w:rsidR="00C2307A" w:rsidRPr="005A3CF5" w:rsidRDefault="005A3CF5"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0,463</w:t>
            </w:r>
          </w:p>
        </w:tc>
        <w:tc>
          <w:tcPr>
            <w:tcW w:w="779" w:type="dxa"/>
            <w:tcBorders>
              <w:top w:val="nil"/>
              <w:left w:val="nil"/>
              <w:bottom w:val="single" w:sz="4" w:space="0" w:color="auto"/>
              <w:right w:val="single" w:sz="4" w:space="0" w:color="auto"/>
            </w:tcBorders>
            <w:shd w:val="clear" w:color="auto" w:fill="C2D69B" w:themeFill="accent3" w:themeFillTint="99"/>
            <w:hideMark/>
          </w:tcPr>
          <w:p w14:paraId="610B101A" w14:textId="77777777" w:rsidR="00C2307A" w:rsidRPr="005A3CF5" w:rsidRDefault="00C2307A"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0075AE3C" w14:textId="77777777" w:rsidR="00C2307A" w:rsidRPr="005A3CF5" w:rsidRDefault="00C2307A"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 xml:space="preserve"> 2,724</w:t>
            </w:r>
          </w:p>
        </w:tc>
        <w:tc>
          <w:tcPr>
            <w:tcW w:w="845" w:type="dxa"/>
            <w:tcBorders>
              <w:top w:val="nil"/>
              <w:left w:val="nil"/>
              <w:bottom w:val="single" w:sz="4" w:space="0" w:color="auto"/>
              <w:right w:val="single" w:sz="4" w:space="0" w:color="auto"/>
            </w:tcBorders>
            <w:shd w:val="clear" w:color="auto" w:fill="C2D69B" w:themeFill="accent3" w:themeFillTint="99"/>
            <w:hideMark/>
          </w:tcPr>
          <w:p w14:paraId="3DA9DFC8" w14:textId="77777777" w:rsidR="00C2307A" w:rsidRPr="005A3CF5" w:rsidRDefault="00A8557D" w:rsidP="00F32B0C">
            <w:pPr>
              <w:spacing w:before="20" w:after="20" w:line="240" w:lineRule="auto"/>
              <w:jc w:val="right"/>
              <w:rPr>
                <w:rFonts w:eastAsia="Times New Roman"/>
                <w:b/>
                <w:bCs/>
                <w:sz w:val="20"/>
                <w:szCs w:val="20"/>
                <w:lang w:eastAsia="cs-CZ"/>
              </w:rPr>
            </w:pPr>
            <w:r w:rsidRPr="005A3CF5">
              <w:rPr>
                <w:rFonts w:eastAsia="Times New Roman"/>
                <w:b/>
                <w:bCs/>
                <w:sz w:val="20"/>
                <w:szCs w:val="20"/>
                <w:lang w:eastAsia="cs-CZ"/>
              </w:rPr>
              <w:t>0</w:t>
            </w:r>
            <w:r w:rsidR="00C2307A" w:rsidRPr="005A3CF5">
              <w:rPr>
                <w:rFonts w:eastAsia="Times New Roman"/>
                <w:b/>
                <w:bCs/>
                <w:sz w:val="20"/>
                <w:szCs w:val="20"/>
                <w:lang w:eastAsia="cs-CZ"/>
              </w:rPr>
              <w:t>,000</w:t>
            </w:r>
          </w:p>
        </w:tc>
      </w:tr>
      <w:tr w:rsidR="00C2307A" w:rsidRPr="00962634" w14:paraId="776F1E22"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07B27F3C"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P19</w:t>
            </w:r>
          </w:p>
        </w:tc>
        <w:tc>
          <w:tcPr>
            <w:tcW w:w="3453" w:type="dxa"/>
            <w:tcBorders>
              <w:top w:val="nil"/>
              <w:left w:val="nil"/>
              <w:bottom w:val="single" w:sz="4" w:space="0" w:color="auto"/>
              <w:right w:val="single" w:sz="4" w:space="0" w:color="auto"/>
            </w:tcBorders>
            <w:shd w:val="clear" w:color="auto" w:fill="auto"/>
            <w:noWrap/>
            <w:hideMark/>
          </w:tcPr>
          <w:p w14:paraId="65C7E7E7"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OS - sport</w:t>
            </w:r>
          </w:p>
        </w:tc>
        <w:tc>
          <w:tcPr>
            <w:tcW w:w="779" w:type="dxa"/>
            <w:tcBorders>
              <w:top w:val="nil"/>
              <w:left w:val="nil"/>
              <w:bottom w:val="single" w:sz="4" w:space="0" w:color="auto"/>
              <w:right w:val="single" w:sz="4" w:space="0" w:color="auto"/>
            </w:tcBorders>
            <w:shd w:val="clear" w:color="auto" w:fill="auto"/>
            <w:noWrap/>
            <w:hideMark/>
          </w:tcPr>
          <w:p w14:paraId="4118713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0,867</w:t>
            </w:r>
          </w:p>
        </w:tc>
        <w:tc>
          <w:tcPr>
            <w:tcW w:w="779" w:type="dxa"/>
            <w:tcBorders>
              <w:top w:val="nil"/>
              <w:left w:val="nil"/>
              <w:bottom w:val="single" w:sz="4" w:space="0" w:color="auto"/>
              <w:right w:val="single" w:sz="4" w:space="0" w:color="auto"/>
            </w:tcBorders>
            <w:shd w:val="clear" w:color="auto" w:fill="auto"/>
            <w:noWrap/>
            <w:hideMark/>
          </w:tcPr>
          <w:p w14:paraId="61BC4530"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hideMark/>
          </w:tcPr>
          <w:p w14:paraId="0EB7261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33D3086"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D7B5B4B"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0,867</w:t>
            </w:r>
          </w:p>
        </w:tc>
        <w:tc>
          <w:tcPr>
            <w:tcW w:w="779" w:type="dxa"/>
            <w:tcBorders>
              <w:top w:val="nil"/>
              <w:left w:val="nil"/>
              <w:bottom w:val="single" w:sz="4" w:space="0" w:color="auto"/>
              <w:right w:val="single" w:sz="4" w:space="0" w:color="auto"/>
            </w:tcBorders>
            <w:shd w:val="clear" w:color="auto" w:fill="auto"/>
            <w:noWrap/>
            <w:hideMark/>
          </w:tcPr>
          <w:p w14:paraId="006A4B8E"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8E12B14"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13E635A"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0,111</w:t>
            </w:r>
          </w:p>
        </w:tc>
        <w:tc>
          <w:tcPr>
            <w:tcW w:w="779" w:type="dxa"/>
            <w:tcBorders>
              <w:top w:val="nil"/>
              <w:left w:val="nil"/>
              <w:bottom w:val="single" w:sz="4" w:space="0" w:color="auto"/>
              <w:right w:val="single" w:sz="4" w:space="0" w:color="auto"/>
            </w:tcBorders>
            <w:shd w:val="clear" w:color="auto" w:fill="auto"/>
            <w:noWrap/>
            <w:hideMark/>
          </w:tcPr>
          <w:p w14:paraId="117644CF"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0,756</w:t>
            </w:r>
          </w:p>
        </w:tc>
        <w:tc>
          <w:tcPr>
            <w:tcW w:w="779" w:type="dxa"/>
            <w:tcBorders>
              <w:top w:val="nil"/>
              <w:left w:val="nil"/>
              <w:bottom w:val="single" w:sz="4" w:space="0" w:color="auto"/>
              <w:right w:val="single" w:sz="4" w:space="0" w:color="auto"/>
            </w:tcBorders>
            <w:shd w:val="clear" w:color="auto" w:fill="auto"/>
            <w:noWrap/>
            <w:hideMark/>
          </w:tcPr>
          <w:p w14:paraId="013A718D"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A22D21D"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4E37C99"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062FEBA0"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r>
      <w:tr w:rsidR="00C2307A" w:rsidRPr="00962634" w14:paraId="5D84A072"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7CE3E35A" w14:textId="77777777" w:rsidR="00C2307A" w:rsidRPr="00962634" w:rsidRDefault="00C2307A" w:rsidP="00F32B0C">
            <w:pPr>
              <w:spacing w:before="20" w:after="20" w:line="240" w:lineRule="auto"/>
              <w:jc w:val="left"/>
              <w:rPr>
                <w:rFonts w:eastAsia="Times New Roman"/>
                <w:b/>
                <w:bCs/>
                <w:sz w:val="20"/>
                <w:szCs w:val="20"/>
                <w:lang w:eastAsia="cs-CZ"/>
              </w:rPr>
            </w:pPr>
            <w:r w:rsidRPr="00962634">
              <w:rPr>
                <w:rFonts w:eastAsia="Times New Roman"/>
                <w:b/>
                <w:bCs/>
                <w:sz w:val="20"/>
                <w:szCs w:val="20"/>
                <w:lang w:eastAsia="cs-CZ"/>
              </w:rPr>
              <w:t>Plochy občanského vybavení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4D95EE34"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0,867</w:t>
            </w:r>
          </w:p>
        </w:tc>
        <w:tc>
          <w:tcPr>
            <w:tcW w:w="779" w:type="dxa"/>
            <w:tcBorders>
              <w:top w:val="nil"/>
              <w:left w:val="nil"/>
              <w:bottom w:val="single" w:sz="4" w:space="0" w:color="auto"/>
              <w:right w:val="single" w:sz="4" w:space="0" w:color="auto"/>
            </w:tcBorders>
            <w:shd w:val="clear" w:color="auto" w:fill="C2D69B" w:themeFill="accent3" w:themeFillTint="99"/>
            <w:hideMark/>
          </w:tcPr>
          <w:p w14:paraId="0BE01A22"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945" w:type="dxa"/>
            <w:tcBorders>
              <w:top w:val="nil"/>
              <w:left w:val="nil"/>
              <w:bottom w:val="single" w:sz="4" w:space="0" w:color="auto"/>
              <w:right w:val="single" w:sz="4" w:space="0" w:color="auto"/>
            </w:tcBorders>
            <w:shd w:val="clear" w:color="auto" w:fill="C2D69B" w:themeFill="accent3" w:themeFillTint="99"/>
            <w:hideMark/>
          </w:tcPr>
          <w:p w14:paraId="2F574AA4"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2D74993"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82E57A1"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0,867</w:t>
            </w:r>
          </w:p>
        </w:tc>
        <w:tc>
          <w:tcPr>
            <w:tcW w:w="779" w:type="dxa"/>
            <w:tcBorders>
              <w:top w:val="nil"/>
              <w:left w:val="nil"/>
              <w:bottom w:val="single" w:sz="4" w:space="0" w:color="auto"/>
              <w:right w:val="single" w:sz="4" w:space="0" w:color="auto"/>
            </w:tcBorders>
            <w:shd w:val="clear" w:color="auto" w:fill="C2D69B" w:themeFill="accent3" w:themeFillTint="99"/>
            <w:hideMark/>
          </w:tcPr>
          <w:p w14:paraId="04E4A36B"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25DF0E0"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8EE9345"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0,111</w:t>
            </w:r>
          </w:p>
        </w:tc>
        <w:tc>
          <w:tcPr>
            <w:tcW w:w="779" w:type="dxa"/>
            <w:tcBorders>
              <w:top w:val="nil"/>
              <w:left w:val="nil"/>
              <w:bottom w:val="single" w:sz="4" w:space="0" w:color="auto"/>
              <w:right w:val="single" w:sz="4" w:space="0" w:color="auto"/>
            </w:tcBorders>
            <w:shd w:val="clear" w:color="auto" w:fill="C2D69B" w:themeFill="accent3" w:themeFillTint="99"/>
            <w:hideMark/>
          </w:tcPr>
          <w:p w14:paraId="7394AC5C"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0,756</w:t>
            </w:r>
          </w:p>
        </w:tc>
        <w:tc>
          <w:tcPr>
            <w:tcW w:w="779" w:type="dxa"/>
            <w:tcBorders>
              <w:top w:val="nil"/>
              <w:left w:val="nil"/>
              <w:bottom w:val="single" w:sz="4" w:space="0" w:color="auto"/>
              <w:right w:val="single" w:sz="4" w:space="0" w:color="auto"/>
            </w:tcBorders>
            <w:shd w:val="clear" w:color="auto" w:fill="C2D69B" w:themeFill="accent3" w:themeFillTint="99"/>
            <w:hideMark/>
          </w:tcPr>
          <w:p w14:paraId="29A52DA6"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0D50642"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75DDA5B"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768EC0BA"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r>
      <w:tr w:rsidR="00C2307A" w:rsidRPr="00962634" w14:paraId="5CB25E73"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7D74CD37"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P21</w:t>
            </w:r>
          </w:p>
        </w:tc>
        <w:tc>
          <w:tcPr>
            <w:tcW w:w="3453" w:type="dxa"/>
            <w:tcBorders>
              <w:top w:val="nil"/>
              <w:left w:val="nil"/>
              <w:bottom w:val="single" w:sz="4" w:space="0" w:color="auto"/>
              <w:right w:val="single" w:sz="4" w:space="0" w:color="auto"/>
            </w:tcBorders>
            <w:shd w:val="clear" w:color="auto" w:fill="auto"/>
            <w:noWrap/>
            <w:hideMark/>
          </w:tcPr>
          <w:p w14:paraId="04F1BE3B"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PX - veřejná prostranství - komunikace</w:t>
            </w:r>
          </w:p>
        </w:tc>
        <w:tc>
          <w:tcPr>
            <w:tcW w:w="779" w:type="dxa"/>
            <w:tcBorders>
              <w:top w:val="nil"/>
              <w:left w:val="nil"/>
              <w:bottom w:val="single" w:sz="4" w:space="0" w:color="auto"/>
              <w:right w:val="single" w:sz="4" w:space="0" w:color="auto"/>
            </w:tcBorders>
            <w:shd w:val="clear" w:color="auto" w:fill="auto"/>
            <w:noWrap/>
            <w:hideMark/>
          </w:tcPr>
          <w:p w14:paraId="491B8BAA"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0,105</w:t>
            </w:r>
          </w:p>
        </w:tc>
        <w:tc>
          <w:tcPr>
            <w:tcW w:w="779" w:type="dxa"/>
            <w:tcBorders>
              <w:top w:val="nil"/>
              <w:left w:val="nil"/>
              <w:bottom w:val="single" w:sz="4" w:space="0" w:color="auto"/>
              <w:right w:val="single" w:sz="4" w:space="0" w:color="auto"/>
            </w:tcBorders>
            <w:shd w:val="clear" w:color="auto" w:fill="auto"/>
            <w:noWrap/>
            <w:hideMark/>
          </w:tcPr>
          <w:p w14:paraId="40C9D55F" w14:textId="77777777" w:rsidR="00C2307A" w:rsidRPr="00962634" w:rsidRDefault="00C2307A" w:rsidP="00F32B0C">
            <w:pPr>
              <w:spacing w:before="20" w:after="20" w:line="240" w:lineRule="auto"/>
              <w:jc w:val="right"/>
              <w:rPr>
                <w:rFonts w:eastAsia="Times New Roman"/>
                <w:b/>
                <w:bCs/>
                <w:color w:val="000000"/>
                <w:sz w:val="20"/>
                <w:szCs w:val="20"/>
                <w:lang w:eastAsia="cs-CZ"/>
              </w:rPr>
            </w:pPr>
            <w:r w:rsidRPr="00962634">
              <w:rPr>
                <w:rFonts w:eastAsia="Times New Roman"/>
                <w:b/>
                <w:bCs/>
                <w:color w:val="000000"/>
                <w:sz w:val="20"/>
                <w:szCs w:val="20"/>
                <w:lang w:eastAsia="cs-CZ"/>
              </w:rPr>
              <w:t>0,105</w:t>
            </w:r>
          </w:p>
        </w:tc>
        <w:tc>
          <w:tcPr>
            <w:tcW w:w="945" w:type="dxa"/>
            <w:tcBorders>
              <w:top w:val="nil"/>
              <w:left w:val="nil"/>
              <w:bottom w:val="single" w:sz="4" w:space="0" w:color="auto"/>
              <w:right w:val="single" w:sz="4" w:space="0" w:color="auto"/>
            </w:tcBorders>
            <w:shd w:val="clear" w:color="auto" w:fill="auto"/>
            <w:noWrap/>
            <w:hideMark/>
          </w:tcPr>
          <w:p w14:paraId="1A0B6479"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21A29F5"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0C8781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5B3ED43"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2A1F431"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A21BA6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AF8E544"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0,105</w:t>
            </w:r>
          </w:p>
        </w:tc>
        <w:tc>
          <w:tcPr>
            <w:tcW w:w="779" w:type="dxa"/>
            <w:tcBorders>
              <w:top w:val="nil"/>
              <w:left w:val="nil"/>
              <w:bottom w:val="single" w:sz="4" w:space="0" w:color="auto"/>
              <w:right w:val="single" w:sz="4" w:space="0" w:color="auto"/>
            </w:tcBorders>
            <w:shd w:val="clear" w:color="auto" w:fill="auto"/>
            <w:noWrap/>
            <w:hideMark/>
          </w:tcPr>
          <w:p w14:paraId="59801A63"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2811E66"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E77E35B"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6859EBA7"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r>
      <w:tr w:rsidR="00C2307A" w:rsidRPr="00962634" w14:paraId="67F92D88"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41DE5A7D"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Z39</w:t>
            </w:r>
          </w:p>
        </w:tc>
        <w:tc>
          <w:tcPr>
            <w:tcW w:w="3453" w:type="dxa"/>
            <w:tcBorders>
              <w:top w:val="nil"/>
              <w:left w:val="nil"/>
              <w:bottom w:val="single" w:sz="4" w:space="0" w:color="auto"/>
              <w:right w:val="single" w:sz="4" w:space="0" w:color="auto"/>
            </w:tcBorders>
            <w:shd w:val="clear" w:color="auto" w:fill="auto"/>
            <w:noWrap/>
            <w:hideMark/>
          </w:tcPr>
          <w:p w14:paraId="0A4238CB"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PX - veřejná prostranství - komunikace</w:t>
            </w:r>
          </w:p>
        </w:tc>
        <w:tc>
          <w:tcPr>
            <w:tcW w:w="779" w:type="dxa"/>
            <w:tcBorders>
              <w:top w:val="nil"/>
              <w:left w:val="nil"/>
              <w:bottom w:val="single" w:sz="4" w:space="0" w:color="auto"/>
              <w:right w:val="single" w:sz="4" w:space="0" w:color="auto"/>
            </w:tcBorders>
            <w:shd w:val="clear" w:color="auto" w:fill="auto"/>
            <w:noWrap/>
            <w:hideMark/>
          </w:tcPr>
          <w:p w14:paraId="29896CE2"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 xml:space="preserve"> 0,458</w:t>
            </w:r>
          </w:p>
        </w:tc>
        <w:tc>
          <w:tcPr>
            <w:tcW w:w="779" w:type="dxa"/>
            <w:tcBorders>
              <w:top w:val="nil"/>
              <w:left w:val="nil"/>
              <w:bottom w:val="single" w:sz="4" w:space="0" w:color="auto"/>
              <w:right w:val="single" w:sz="4" w:space="0" w:color="auto"/>
            </w:tcBorders>
            <w:shd w:val="clear" w:color="auto" w:fill="auto"/>
            <w:noWrap/>
            <w:hideMark/>
          </w:tcPr>
          <w:p w14:paraId="1822E93B" w14:textId="77777777" w:rsidR="00C2307A" w:rsidRPr="00962634" w:rsidRDefault="00C2307A" w:rsidP="00F32B0C">
            <w:pPr>
              <w:spacing w:before="20" w:after="20" w:line="240" w:lineRule="auto"/>
              <w:jc w:val="right"/>
              <w:rPr>
                <w:rFonts w:eastAsia="Times New Roman"/>
                <w:b/>
                <w:bCs/>
                <w:color w:val="000000"/>
                <w:sz w:val="20"/>
                <w:szCs w:val="20"/>
                <w:lang w:eastAsia="cs-CZ"/>
              </w:rPr>
            </w:pPr>
            <w:r w:rsidRPr="00962634">
              <w:rPr>
                <w:rFonts w:eastAsia="Times New Roman"/>
                <w:b/>
                <w:bCs/>
                <w:color w:val="000000"/>
                <w:sz w:val="20"/>
                <w:szCs w:val="20"/>
                <w:lang w:eastAsia="cs-CZ"/>
              </w:rPr>
              <w:t>0,458</w:t>
            </w:r>
          </w:p>
        </w:tc>
        <w:tc>
          <w:tcPr>
            <w:tcW w:w="945" w:type="dxa"/>
            <w:tcBorders>
              <w:top w:val="nil"/>
              <w:left w:val="nil"/>
              <w:bottom w:val="single" w:sz="4" w:space="0" w:color="auto"/>
              <w:right w:val="single" w:sz="4" w:space="0" w:color="auto"/>
            </w:tcBorders>
            <w:shd w:val="clear" w:color="auto" w:fill="auto"/>
            <w:noWrap/>
            <w:hideMark/>
          </w:tcPr>
          <w:p w14:paraId="0E5A28B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3D8DBBC"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1727A50"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FCB1FB0"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E8B677F"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50E54B1"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 xml:space="preserve"> 0,458</w:t>
            </w:r>
          </w:p>
        </w:tc>
        <w:tc>
          <w:tcPr>
            <w:tcW w:w="779" w:type="dxa"/>
            <w:tcBorders>
              <w:top w:val="nil"/>
              <w:left w:val="nil"/>
              <w:bottom w:val="single" w:sz="4" w:space="0" w:color="auto"/>
              <w:right w:val="single" w:sz="4" w:space="0" w:color="auto"/>
            </w:tcBorders>
            <w:shd w:val="clear" w:color="auto" w:fill="auto"/>
            <w:noWrap/>
            <w:hideMark/>
          </w:tcPr>
          <w:p w14:paraId="41D3F752"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BC3E9B7"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5EA0506"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DCF6E41"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39C57A7F"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r>
      <w:tr w:rsidR="00C2307A" w:rsidRPr="00962634" w14:paraId="31FF114F"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5D549A9D" w14:textId="77777777" w:rsidR="00C2307A" w:rsidRPr="00962634" w:rsidRDefault="00C2307A" w:rsidP="00F32B0C">
            <w:pPr>
              <w:spacing w:before="20" w:after="20" w:line="240" w:lineRule="auto"/>
              <w:jc w:val="left"/>
              <w:rPr>
                <w:rFonts w:eastAsia="Times New Roman"/>
                <w:b/>
                <w:bCs/>
                <w:sz w:val="20"/>
                <w:szCs w:val="20"/>
                <w:lang w:eastAsia="cs-CZ"/>
              </w:rPr>
            </w:pPr>
            <w:r w:rsidRPr="00962634">
              <w:rPr>
                <w:rFonts w:eastAsia="Times New Roman"/>
                <w:b/>
                <w:bCs/>
                <w:sz w:val="20"/>
                <w:szCs w:val="20"/>
                <w:lang w:eastAsia="cs-CZ"/>
              </w:rPr>
              <w:t>Plochy veřejných prostranství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11BC5B92" w14:textId="556AD671" w:rsidR="00C2307A" w:rsidRPr="00F1510B" w:rsidRDefault="00C2307A" w:rsidP="00F32B0C">
            <w:pPr>
              <w:spacing w:before="20" w:after="20" w:line="240" w:lineRule="auto"/>
              <w:jc w:val="right"/>
              <w:rPr>
                <w:rFonts w:eastAsia="Times New Roman"/>
                <w:b/>
                <w:bCs/>
                <w:sz w:val="20"/>
                <w:szCs w:val="20"/>
                <w:lang w:eastAsia="cs-CZ"/>
              </w:rPr>
            </w:pPr>
          </w:p>
          <w:p w14:paraId="02119E0D" w14:textId="77777777" w:rsidR="00F1510B" w:rsidRPr="00F1510B" w:rsidRDefault="00F1510B"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0,563</w:t>
            </w:r>
          </w:p>
        </w:tc>
        <w:tc>
          <w:tcPr>
            <w:tcW w:w="779" w:type="dxa"/>
            <w:tcBorders>
              <w:top w:val="nil"/>
              <w:left w:val="nil"/>
              <w:bottom w:val="single" w:sz="4" w:space="0" w:color="auto"/>
              <w:right w:val="single" w:sz="4" w:space="0" w:color="auto"/>
            </w:tcBorders>
            <w:shd w:val="clear" w:color="auto" w:fill="C2D69B" w:themeFill="accent3" w:themeFillTint="99"/>
            <w:hideMark/>
          </w:tcPr>
          <w:p w14:paraId="78E8FA10" w14:textId="7EB18F94" w:rsidR="00C2307A" w:rsidRPr="00F1510B" w:rsidRDefault="00C2307A" w:rsidP="00F32B0C">
            <w:pPr>
              <w:spacing w:before="20" w:after="20" w:line="240" w:lineRule="auto"/>
              <w:jc w:val="right"/>
              <w:rPr>
                <w:rFonts w:eastAsia="Times New Roman"/>
                <w:b/>
                <w:bCs/>
                <w:sz w:val="20"/>
                <w:szCs w:val="20"/>
                <w:lang w:eastAsia="cs-CZ"/>
              </w:rPr>
            </w:pPr>
          </w:p>
          <w:p w14:paraId="1CCE3180" w14:textId="77777777" w:rsidR="00F1510B" w:rsidRPr="00F1510B" w:rsidRDefault="00F1510B"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0,563</w:t>
            </w:r>
          </w:p>
        </w:tc>
        <w:tc>
          <w:tcPr>
            <w:tcW w:w="945" w:type="dxa"/>
            <w:tcBorders>
              <w:top w:val="nil"/>
              <w:left w:val="nil"/>
              <w:bottom w:val="single" w:sz="4" w:space="0" w:color="auto"/>
              <w:right w:val="single" w:sz="4" w:space="0" w:color="auto"/>
            </w:tcBorders>
            <w:shd w:val="clear" w:color="auto" w:fill="C2D69B" w:themeFill="accent3" w:themeFillTint="99"/>
            <w:hideMark/>
          </w:tcPr>
          <w:p w14:paraId="2D4DC575"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B9CD7B2"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B0B985C" w14:textId="77777777" w:rsidR="00C2307A" w:rsidRPr="00F1510B" w:rsidRDefault="00A8557D"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6E0F350"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EE3217F" w14:textId="77777777" w:rsidR="00C2307A" w:rsidRPr="00F1510B" w:rsidRDefault="00A8557D"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A88F263"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 xml:space="preserve"> 0,458</w:t>
            </w:r>
          </w:p>
        </w:tc>
        <w:tc>
          <w:tcPr>
            <w:tcW w:w="779" w:type="dxa"/>
            <w:tcBorders>
              <w:top w:val="nil"/>
              <w:left w:val="nil"/>
              <w:bottom w:val="single" w:sz="4" w:space="0" w:color="auto"/>
              <w:right w:val="single" w:sz="4" w:space="0" w:color="auto"/>
            </w:tcBorders>
            <w:shd w:val="clear" w:color="auto" w:fill="C2D69B" w:themeFill="accent3" w:themeFillTint="99"/>
            <w:hideMark/>
          </w:tcPr>
          <w:p w14:paraId="12C76D26" w14:textId="7CDE1B7F" w:rsidR="00F1510B" w:rsidRPr="00F1510B" w:rsidRDefault="00F1510B" w:rsidP="00F32B0C">
            <w:pPr>
              <w:spacing w:before="20" w:after="20" w:line="240" w:lineRule="auto"/>
              <w:jc w:val="right"/>
              <w:rPr>
                <w:rFonts w:eastAsia="Times New Roman"/>
                <w:b/>
                <w:bCs/>
                <w:sz w:val="20"/>
                <w:szCs w:val="20"/>
                <w:lang w:eastAsia="cs-CZ"/>
              </w:rPr>
            </w:pPr>
          </w:p>
          <w:p w14:paraId="07B31297" w14:textId="77777777" w:rsidR="00C2307A" w:rsidRPr="00F1510B" w:rsidRDefault="00F1510B"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0,105</w:t>
            </w:r>
          </w:p>
        </w:tc>
        <w:tc>
          <w:tcPr>
            <w:tcW w:w="779" w:type="dxa"/>
            <w:tcBorders>
              <w:top w:val="nil"/>
              <w:left w:val="nil"/>
              <w:bottom w:val="single" w:sz="4" w:space="0" w:color="auto"/>
              <w:right w:val="single" w:sz="4" w:space="0" w:color="auto"/>
            </w:tcBorders>
            <w:shd w:val="clear" w:color="auto" w:fill="C2D69B" w:themeFill="accent3" w:themeFillTint="99"/>
            <w:hideMark/>
          </w:tcPr>
          <w:p w14:paraId="7BDCDEC7"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35B73C6"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67559F5"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1F08DC7B"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r>
      <w:tr w:rsidR="00C2307A" w:rsidRPr="00962634" w14:paraId="21D84D9D"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2147C723"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Z35</w:t>
            </w:r>
          </w:p>
        </w:tc>
        <w:tc>
          <w:tcPr>
            <w:tcW w:w="3453" w:type="dxa"/>
            <w:tcBorders>
              <w:top w:val="nil"/>
              <w:left w:val="nil"/>
              <w:bottom w:val="single" w:sz="4" w:space="0" w:color="auto"/>
              <w:right w:val="single" w:sz="4" w:space="0" w:color="auto"/>
            </w:tcBorders>
            <w:shd w:val="clear" w:color="auto" w:fill="auto"/>
            <w:noWrap/>
            <w:hideMark/>
          </w:tcPr>
          <w:p w14:paraId="59AF4F79"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RN - rekreace - na plochách přírodního charakteru</w:t>
            </w:r>
          </w:p>
        </w:tc>
        <w:tc>
          <w:tcPr>
            <w:tcW w:w="779" w:type="dxa"/>
            <w:tcBorders>
              <w:top w:val="nil"/>
              <w:left w:val="nil"/>
              <w:bottom w:val="single" w:sz="4" w:space="0" w:color="auto"/>
              <w:right w:val="single" w:sz="4" w:space="0" w:color="auto"/>
            </w:tcBorders>
            <w:shd w:val="clear" w:color="auto" w:fill="auto"/>
            <w:noWrap/>
            <w:hideMark/>
          </w:tcPr>
          <w:p w14:paraId="3588B2EB"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0,500</w:t>
            </w:r>
          </w:p>
        </w:tc>
        <w:tc>
          <w:tcPr>
            <w:tcW w:w="779" w:type="dxa"/>
            <w:tcBorders>
              <w:top w:val="nil"/>
              <w:left w:val="nil"/>
              <w:bottom w:val="single" w:sz="4" w:space="0" w:color="auto"/>
              <w:right w:val="single" w:sz="4" w:space="0" w:color="auto"/>
            </w:tcBorders>
            <w:shd w:val="clear" w:color="auto" w:fill="auto"/>
            <w:noWrap/>
            <w:hideMark/>
          </w:tcPr>
          <w:p w14:paraId="5844B2AB"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0,500</w:t>
            </w:r>
          </w:p>
        </w:tc>
        <w:tc>
          <w:tcPr>
            <w:tcW w:w="945" w:type="dxa"/>
            <w:tcBorders>
              <w:top w:val="nil"/>
              <w:left w:val="nil"/>
              <w:bottom w:val="single" w:sz="4" w:space="0" w:color="auto"/>
              <w:right w:val="single" w:sz="4" w:space="0" w:color="auto"/>
            </w:tcBorders>
            <w:shd w:val="clear" w:color="auto" w:fill="auto"/>
            <w:noWrap/>
            <w:hideMark/>
          </w:tcPr>
          <w:p w14:paraId="5E87270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1F140BE"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F4D5C8B"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5E3F7B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5A339AA"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1E81749"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0,500</w:t>
            </w:r>
          </w:p>
        </w:tc>
        <w:tc>
          <w:tcPr>
            <w:tcW w:w="779" w:type="dxa"/>
            <w:tcBorders>
              <w:top w:val="nil"/>
              <w:left w:val="nil"/>
              <w:bottom w:val="single" w:sz="4" w:space="0" w:color="auto"/>
              <w:right w:val="single" w:sz="4" w:space="0" w:color="auto"/>
            </w:tcBorders>
            <w:shd w:val="clear" w:color="auto" w:fill="auto"/>
            <w:noWrap/>
            <w:hideMark/>
          </w:tcPr>
          <w:p w14:paraId="5FD20DE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86C5493"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EF55655"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4FDC6EE"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46C58050"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r>
      <w:tr w:rsidR="00C2307A" w:rsidRPr="00962634" w14:paraId="304B7758" w14:textId="77777777" w:rsidTr="00A375C3">
        <w:tc>
          <w:tcPr>
            <w:tcW w:w="872" w:type="dxa"/>
            <w:tcBorders>
              <w:top w:val="nil"/>
              <w:left w:val="single" w:sz="4" w:space="0" w:color="auto"/>
              <w:bottom w:val="single" w:sz="4" w:space="0" w:color="auto"/>
              <w:right w:val="single" w:sz="4" w:space="0" w:color="auto"/>
            </w:tcBorders>
            <w:shd w:val="clear" w:color="auto" w:fill="auto"/>
            <w:noWrap/>
            <w:hideMark/>
          </w:tcPr>
          <w:p w14:paraId="02263DA1"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Z56</w:t>
            </w:r>
          </w:p>
        </w:tc>
        <w:tc>
          <w:tcPr>
            <w:tcW w:w="3453" w:type="dxa"/>
            <w:tcBorders>
              <w:top w:val="nil"/>
              <w:left w:val="nil"/>
              <w:bottom w:val="single" w:sz="4" w:space="0" w:color="auto"/>
              <w:right w:val="single" w:sz="4" w:space="0" w:color="auto"/>
            </w:tcBorders>
            <w:shd w:val="clear" w:color="auto" w:fill="auto"/>
            <w:noWrap/>
            <w:hideMark/>
          </w:tcPr>
          <w:p w14:paraId="101708CE"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RZ - rekreace v zahrádkových osadách</w:t>
            </w:r>
          </w:p>
        </w:tc>
        <w:tc>
          <w:tcPr>
            <w:tcW w:w="779" w:type="dxa"/>
            <w:tcBorders>
              <w:top w:val="nil"/>
              <w:left w:val="nil"/>
              <w:bottom w:val="single" w:sz="4" w:space="0" w:color="auto"/>
              <w:right w:val="single" w:sz="4" w:space="0" w:color="auto"/>
            </w:tcBorders>
            <w:shd w:val="clear" w:color="auto" w:fill="auto"/>
            <w:noWrap/>
            <w:hideMark/>
          </w:tcPr>
          <w:p w14:paraId="5EB98CF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0,421</w:t>
            </w:r>
          </w:p>
        </w:tc>
        <w:tc>
          <w:tcPr>
            <w:tcW w:w="779" w:type="dxa"/>
            <w:tcBorders>
              <w:top w:val="nil"/>
              <w:left w:val="nil"/>
              <w:bottom w:val="single" w:sz="4" w:space="0" w:color="auto"/>
              <w:right w:val="single" w:sz="4" w:space="0" w:color="auto"/>
            </w:tcBorders>
            <w:shd w:val="clear" w:color="auto" w:fill="auto"/>
            <w:noWrap/>
            <w:hideMark/>
          </w:tcPr>
          <w:p w14:paraId="0F61F78A"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945" w:type="dxa"/>
            <w:tcBorders>
              <w:top w:val="nil"/>
              <w:left w:val="nil"/>
              <w:bottom w:val="single" w:sz="4" w:space="0" w:color="auto"/>
              <w:right w:val="single" w:sz="4" w:space="0" w:color="auto"/>
            </w:tcBorders>
            <w:shd w:val="clear" w:color="auto" w:fill="auto"/>
            <w:noWrap/>
            <w:hideMark/>
          </w:tcPr>
          <w:p w14:paraId="3C621CC2"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1AF61E16"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EED0323"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0,421</w:t>
            </w:r>
          </w:p>
        </w:tc>
        <w:tc>
          <w:tcPr>
            <w:tcW w:w="779" w:type="dxa"/>
            <w:tcBorders>
              <w:top w:val="nil"/>
              <w:left w:val="nil"/>
              <w:bottom w:val="single" w:sz="4" w:space="0" w:color="auto"/>
              <w:right w:val="single" w:sz="4" w:space="0" w:color="auto"/>
            </w:tcBorders>
            <w:shd w:val="clear" w:color="auto" w:fill="auto"/>
            <w:noWrap/>
            <w:hideMark/>
          </w:tcPr>
          <w:p w14:paraId="159E4B0E"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4B21CF1"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00D46FA"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868E7B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0,421</w:t>
            </w:r>
          </w:p>
        </w:tc>
        <w:tc>
          <w:tcPr>
            <w:tcW w:w="779" w:type="dxa"/>
            <w:tcBorders>
              <w:top w:val="nil"/>
              <w:left w:val="nil"/>
              <w:bottom w:val="single" w:sz="4" w:space="0" w:color="auto"/>
              <w:right w:val="single" w:sz="4" w:space="0" w:color="auto"/>
            </w:tcBorders>
            <w:shd w:val="clear" w:color="auto" w:fill="auto"/>
            <w:noWrap/>
            <w:hideMark/>
          </w:tcPr>
          <w:p w14:paraId="7B8E6444"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0A99086"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41A160F"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845" w:type="dxa"/>
            <w:tcBorders>
              <w:top w:val="nil"/>
              <w:left w:val="nil"/>
              <w:bottom w:val="single" w:sz="4" w:space="0" w:color="auto"/>
              <w:right w:val="single" w:sz="4" w:space="0" w:color="auto"/>
            </w:tcBorders>
            <w:shd w:val="clear" w:color="auto" w:fill="auto"/>
            <w:noWrap/>
            <w:hideMark/>
          </w:tcPr>
          <w:p w14:paraId="17CD0BD4"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r>
      <w:tr w:rsidR="00C2307A" w:rsidRPr="00962634" w14:paraId="29E232EA"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5A2E2EB4" w14:textId="77777777" w:rsidR="00C2307A" w:rsidRPr="00962634" w:rsidRDefault="00C2307A" w:rsidP="00F32B0C">
            <w:pPr>
              <w:spacing w:before="20" w:after="20" w:line="240" w:lineRule="auto"/>
              <w:jc w:val="left"/>
              <w:rPr>
                <w:rFonts w:eastAsia="Times New Roman"/>
                <w:b/>
                <w:bCs/>
                <w:sz w:val="20"/>
                <w:szCs w:val="20"/>
                <w:lang w:eastAsia="cs-CZ"/>
              </w:rPr>
            </w:pPr>
            <w:r w:rsidRPr="00962634">
              <w:rPr>
                <w:rFonts w:eastAsia="Times New Roman"/>
                <w:b/>
                <w:bCs/>
                <w:sz w:val="20"/>
                <w:szCs w:val="20"/>
                <w:lang w:eastAsia="cs-CZ"/>
              </w:rPr>
              <w:t>Plochy rekreace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38C29106" w14:textId="77777777" w:rsidR="00C2307A" w:rsidRPr="00962634" w:rsidRDefault="00A8557D"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0,921</w:t>
            </w:r>
          </w:p>
        </w:tc>
        <w:tc>
          <w:tcPr>
            <w:tcW w:w="779" w:type="dxa"/>
            <w:tcBorders>
              <w:top w:val="nil"/>
              <w:left w:val="nil"/>
              <w:bottom w:val="single" w:sz="4" w:space="0" w:color="auto"/>
              <w:right w:val="single" w:sz="4" w:space="0" w:color="auto"/>
            </w:tcBorders>
            <w:shd w:val="clear" w:color="auto" w:fill="C2D69B" w:themeFill="accent3" w:themeFillTint="99"/>
            <w:hideMark/>
          </w:tcPr>
          <w:p w14:paraId="1B4260A8" w14:textId="77777777" w:rsidR="00C2307A" w:rsidRPr="00962634" w:rsidRDefault="00A8557D"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0,500</w:t>
            </w:r>
          </w:p>
        </w:tc>
        <w:tc>
          <w:tcPr>
            <w:tcW w:w="945" w:type="dxa"/>
            <w:tcBorders>
              <w:top w:val="nil"/>
              <w:left w:val="nil"/>
              <w:bottom w:val="single" w:sz="4" w:space="0" w:color="auto"/>
              <w:right w:val="single" w:sz="4" w:space="0" w:color="auto"/>
            </w:tcBorders>
            <w:shd w:val="clear" w:color="auto" w:fill="C2D69B" w:themeFill="accent3" w:themeFillTint="99"/>
            <w:hideMark/>
          </w:tcPr>
          <w:p w14:paraId="5C82DFD3"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3D196D8"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A94933E"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0,421</w:t>
            </w:r>
          </w:p>
        </w:tc>
        <w:tc>
          <w:tcPr>
            <w:tcW w:w="779" w:type="dxa"/>
            <w:tcBorders>
              <w:top w:val="nil"/>
              <w:left w:val="nil"/>
              <w:bottom w:val="single" w:sz="4" w:space="0" w:color="auto"/>
              <w:right w:val="single" w:sz="4" w:space="0" w:color="auto"/>
            </w:tcBorders>
            <w:shd w:val="clear" w:color="auto" w:fill="C2D69B" w:themeFill="accent3" w:themeFillTint="99"/>
            <w:hideMark/>
          </w:tcPr>
          <w:p w14:paraId="70E182E5"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6676F13"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91CE453" w14:textId="77777777" w:rsidR="00C2307A" w:rsidRPr="00962634" w:rsidRDefault="00A833A8"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0,500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04701561"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0,421</w:t>
            </w:r>
          </w:p>
        </w:tc>
        <w:tc>
          <w:tcPr>
            <w:tcW w:w="779" w:type="dxa"/>
            <w:tcBorders>
              <w:top w:val="nil"/>
              <w:left w:val="nil"/>
              <w:bottom w:val="single" w:sz="4" w:space="0" w:color="auto"/>
              <w:right w:val="single" w:sz="4" w:space="0" w:color="auto"/>
            </w:tcBorders>
            <w:shd w:val="clear" w:color="auto" w:fill="C2D69B" w:themeFill="accent3" w:themeFillTint="99"/>
            <w:hideMark/>
          </w:tcPr>
          <w:p w14:paraId="5AF0D9D1"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4E10DE0"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8DE3A3F"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706D3DA1" w14:textId="77777777" w:rsidR="00C2307A" w:rsidRPr="00962634" w:rsidRDefault="00C2307A" w:rsidP="00F32B0C">
            <w:pPr>
              <w:spacing w:before="20" w:after="20" w:line="240" w:lineRule="auto"/>
              <w:jc w:val="right"/>
              <w:rPr>
                <w:rFonts w:eastAsia="Times New Roman"/>
                <w:b/>
                <w:bCs/>
                <w:sz w:val="20"/>
                <w:szCs w:val="20"/>
                <w:lang w:eastAsia="cs-CZ"/>
              </w:rPr>
            </w:pPr>
            <w:r w:rsidRPr="00962634">
              <w:rPr>
                <w:rFonts w:eastAsia="Times New Roman"/>
                <w:b/>
                <w:bCs/>
                <w:sz w:val="20"/>
                <w:szCs w:val="20"/>
                <w:lang w:eastAsia="cs-CZ"/>
              </w:rPr>
              <w:t>0,000</w:t>
            </w:r>
          </w:p>
        </w:tc>
      </w:tr>
      <w:tr w:rsidR="00C2307A" w:rsidRPr="00962634" w14:paraId="46021F8C"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65C8045C"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P11</w:t>
            </w:r>
          </w:p>
        </w:tc>
        <w:tc>
          <w:tcPr>
            <w:tcW w:w="3453" w:type="dxa"/>
            <w:tcBorders>
              <w:top w:val="nil"/>
              <w:left w:val="nil"/>
              <w:bottom w:val="single" w:sz="4" w:space="0" w:color="auto"/>
              <w:right w:val="single" w:sz="4" w:space="0" w:color="auto"/>
            </w:tcBorders>
            <w:shd w:val="clear" w:color="auto" w:fill="auto"/>
            <w:noWrap/>
            <w:hideMark/>
          </w:tcPr>
          <w:p w14:paraId="455C36F5"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SM - plochy smíšené obytné - městské</w:t>
            </w:r>
          </w:p>
        </w:tc>
        <w:tc>
          <w:tcPr>
            <w:tcW w:w="779" w:type="dxa"/>
            <w:tcBorders>
              <w:top w:val="nil"/>
              <w:left w:val="nil"/>
              <w:bottom w:val="single" w:sz="4" w:space="0" w:color="auto"/>
              <w:right w:val="single" w:sz="4" w:space="0" w:color="auto"/>
            </w:tcBorders>
            <w:shd w:val="clear" w:color="auto" w:fill="auto"/>
            <w:noWrap/>
            <w:hideMark/>
          </w:tcPr>
          <w:p w14:paraId="7DB5204E"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0,247</w:t>
            </w:r>
          </w:p>
        </w:tc>
        <w:tc>
          <w:tcPr>
            <w:tcW w:w="779" w:type="dxa"/>
            <w:tcBorders>
              <w:top w:val="nil"/>
              <w:left w:val="nil"/>
              <w:bottom w:val="single" w:sz="4" w:space="0" w:color="auto"/>
              <w:right w:val="single" w:sz="4" w:space="0" w:color="auto"/>
            </w:tcBorders>
            <w:shd w:val="clear" w:color="auto" w:fill="auto"/>
            <w:hideMark/>
          </w:tcPr>
          <w:p w14:paraId="28A53F3B"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0,247</w:t>
            </w:r>
          </w:p>
        </w:tc>
        <w:tc>
          <w:tcPr>
            <w:tcW w:w="945" w:type="dxa"/>
            <w:tcBorders>
              <w:top w:val="nil"/>
              <w:left w:val="nil"/>
              <w:bottom w:val="single" w:sz="4" w:space="0" w:color="auto"/>
              <w:right w:val="single" w:sz="4" w:space="0" w:color="auto"/>
            </w:tcBorders>
            <w:shd w:val="clear" w:color="auto" w:fill="auto"/>
            <w:hideMark/>
          </w:tcPr>
          <w:p w14:paraId="66778DAD"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3831E7C"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8353F75"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DD03F2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9127D6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560A20B"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735557D"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0,247</w:t>
            </w:r>
          </w:p>
        </w:tc>
        <w:tc>
          <w:tcPr>
            <w:tcW w:w="779" w:type="dxa"/>
            <w:tcBorders>
              <w:top w:val="nil"/>
              <w:left w:val="nil"/>
              <w:bottom w:val="single" w:sz="4" w:space="0" w:color="auto"/>
              <w:right w:val="single" w:sz="4" w:space="0" w:color="auto"/>
            </w:tcBorders>
            <w:shd w:val="clear" w:color="auto" w:fill="auto"/>
            <w:noWrap/>
            <w:hideMark/>
          </w:tcPr>
          <w:p w14:paraId="341D7FE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AC1163D"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C7F0106"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7F56F501"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r>
      <w:tr w:rsidR="00C2307A" w:rsidRPr="00962634" w14:paraId="47430515"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5A81252F"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P14</w:t>
            </w:r>
          </w:p>
        </w:tc>
        <w:tc>
          <w:tcPr>
            <w:tcW w:w="3453" w:type="dxa"/>
            <w:tcBorders>
              <w:top w:val="nil"/>
              <w:left w:val="nil"/>
              <w:bottom w:val="single" w:sz="4" w:space="0" w:color="auto"/>
              <w:right w:val="single" w:sz="4" w:space="0" w:color="auto"/>
            </w:tcBorders>
            <w:shd w:val="clear" w:color="auto" w:fill="auto"/>
            <w:noWrap/>
            <w:hideMark/>
          </w:tcPr>
          <w:p w14:paraId="277C686C"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SM - plochy smíšené obytné - městské</w:t>
            </w:r>
          </w:p>
        </w:tc>
        <w:tc>
          <w:tcPr>
            <w:tcW w:w="779" w:type="dxa"/>
            <w:tcBorders>
              <w:top w:val="nil"/>
              <w:left w:val="nil"/>
              <w:bottom w:val="single" w:sz="4" w:space="0" w:color="auto"/>
              <w:right w:val="single" w:sz="4" w:space="0" w:color="auto"/>
            </w:tcBorders>
            <w:shd w:val="clear" w:color="auto" w:fill="auto"/>
            <w:hideMark/>
          </w:tcPr>
          <w:p w14:paraId="6ABEC3BC"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0,112</w:t>
            </w:r>
          </w:p>
        </w:tc>
        <w:tc>
          <w:tcPr>
            <w:tcW w:w="779" w:type="dxa"/>
            <w:tcBorders>
              <w:top w:val="nil"/>
              <w:left w:val="nil"/>
              <w:bottom w:val="single" w:sz="4" w:space="0" w:color="auto"/>
              <w:right w:val="single" w:sz="4" w:space="0" w:color="auto"/>
            </w:tcBorders>
            <w:shd w:val="clear" w:color="auto" w:fill="auto"/>
            <w:noWrap/>
            <w:hideMark/>
          </w:tcPr>
          <w:p w14:paraId="3367EE98"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35391B41"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AD764E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445E487"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0,112</w:t>
            </w:r>
          </w:p>
        </w:tc>
        <w:tc>
          <w:tcPr>
            <w:tcW w:w="779" w:type="dxa"/>
            <w:tcBorders>
              <w:top w:val="nil"/>
              <w:left w:val="nil"/>
              <w:bottom w:val="single" w:sz="4" w:space="0" w:color="auto"/>
              <w:right w:val="single" w:sz="4" w:space="0" w:color="auto"/>
            </w:tcBorders>
            <w:shd w:val="clear" w:color="auto" w:fill="auto"/>
            <w:hideMark/>
          </w:tcPr>
          <w:p w14:paraId="685CF252"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0C9277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FFC5E8B"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0,112</w:t>
            </w:r>
          </w:p>
        </w:tc>
        <w:tc>
          <w:tcPr>
            <w:tcW w:w="779" w:type="dxa"/>
            <w:tcBorders>
              <w:top w:val="nil"/>
              <w:left w:val="nil"/>
              <w:bottom w:val="single" w:sz="4" w:space="0" w:color="auto"/>
              <w:right w:val="single" w:sz="4" w:space="0" w:color="auto"/>
            </w:tcBorders>
            <w:shd w:val="clear" w:color="auto" w:fill="auto"/>
            <w:hideMark/>
          </w:tcPr>
          <w:p w14:paraId="1FC3D191"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64B5DB3"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4567472"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3BDF9C8"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2A242242"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r>
      <w:tr w:rsidR="00C2307A" w:rsidRPr="00962634" w14:paraId="35C424C7"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7126DEED"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P22</w:t>
            </w:r>
          </w:p>
        </w:tc>
        <w:tc>
          <w:tcPr>
            <w:tcW w:w="3453" w:type="dxa"/>
            <w:tcBorders>
              <w:top w:val="nil"/>
              <w:left w:val="nil"/>
              <w:bottom w:val="single" w:sz="4" w:space="0" w:color="auto"/>
              <w:right w:val="single" w:sz="4" w:space="0" w:color="auto"/>
            </w:tcBorders>
            <w:shd w:val="clear" w:color="auto" w:fill="auto"/>
            <w:noWrap/>
            <w:hideMark/>
          </w:tcPr>
          <w:p w14:paraId="7B43244D"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SM - plochy smíšené obytné - městské</w:t>
            </w:r>
          </w:p>
        </w:tc>
        <w:tc>
          <w:tcPr>
            <w:tcW w:w="779" w:type="dxa"/>
            <w:tcBorders>
              <w:top w:val="nil"/>
              <w:left w:val="nil"/>
              <w:bottom w:val="single" w:sz="4" w:space="0" w:color="auto"/>
              <w:right w:val="single" w:sz="4" w:space="0" w:color="auto"/>
            </w:tcBorders>
            <w:shd w:val="clear" w:color="auto" w:fill="auto"/>
            <w:hideMark/>
          </w:tcPr>
          <w:p w14:paraId="59D4A81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0,397</w:t>
            </w:r>
          </w:p>
        </w:tc>
        <w:tc>
          <w:tcPr>
            <w:tcW w:w="779" w:type="dxa"/>
            <w:tcBorders>
              <w:top w:val="nil"/>
              <w:left w:val="nil"/>
              <w:bottom w:val="single" w:sz="4" w:space="0" w:color="auto"/>
              <w:right w:val="single" w:sz="4" w:space="0" w:color="auto"/>
            </w:tcBorders>
            <w:shd w:val="clear" w:color="auto" w:fill="auto"/>
            <w:noWrap/>
            <w:hideMark/>
          </w:tcPr>
          <w:p w14:paraId="4E406506"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177070A6"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F9E3F22"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4E8E95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0,397</w:t>
            </w:r>
          </w:p>
        </w:tc>
        <w:tc>
          <w:tcPr>
            <w:tcW w:w="779" w:type="dxa"/>
            <w:tcBorders>
              <w:top w:val="nil"/>
              <w:left w:val="nil"/>
              <w:bottom w:val="single" w:sz="4" w:space="0" w:color="auto"/>
              <w:right w:val="single" w:sz="4" w:space="0" w:color="auto"/>
            </w:tcBorders>
            <w:shd w:val="clear" w:color="auto" w:fill="auto"/>
            <w:hideMark/>
          </w:tcPr>
          <w:p w14:paraId="764CC7AE"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A9561EE"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FDAF44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DD920C8"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0,397</w:t>
            </w:r>
          </w:p>
        </w:tc>
        <w:tc>
          <w:tcPr>
            <w:tcW w:w="779" w:type="dxa"/>
            <w:tcBorders>
              <w:top w:val="nil"/>
              <w:left w:val="nil"/>
              <w:bottom w:val="single" w:sz="4" w:space="0" w:color="auto"/>
              <w:right w:val="single" w:sz="4" w:space="0" w:color="auto"/>
            </w:tcBorders>
            <w:shd w:val="clear" w:color="auto" w:fill="auto"/>
            <w:noWrap/>
            <w:hideMark/>
          </w:tcPr>
          <w:p w14:paraId="2DCB50DB"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BE99DE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C5A7CAD"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366E050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r>
      <w:tr w:rsidR="00C2307A" w:rsidRPr="00962634" w14:paraId="20FDE5BB"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40C3BF75"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P25</w:t>
            </w:r>
          </w:p>
        </w:tc>
        <w:tc>
          <w:tcPr>
            <w:tcW w:w="3453" w:type="dxa"/>
            <w:tcBorders>
              <w:top w:val="nil"/>
              <w:left w:val="nil"/>
              <w:bottom w:val="single" w:sz="4" w:space="0" w:color="auto"/>
              <w:right w:val="single" w:sz="4" w:space="0" w:color="auto"/>
            </w:tcBorders>
            <w:shd w:val="clear" w:color="auto" w:fill="auto"/>
            <w:noWrap/>
            <w:hideMark/>
          </w:tcPr>
          <w:p w14:paraId="3094CB30"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SM - plochy smíšené obytné - městské</w:t>
            </w:r>
          </w:p>
        </w:tc>
        <w:tc>
          <w:tcPr>
            <w:tcW w:w="779" w:type="dxa"/>
            <w:tcBorders>
              <w:top w:val="nil"/>
              <w:left w:val="nil"/>
              <w:bottom w:val="single" w:sz="4" w:space="0" w:color="auto"/>
              <w:right w:val="single" w:sz="4" w:space="0" w:color="auto"/>
            </w:tcBorders>
            <w:shd w:val="clear" w:color="auto" w:fill="auto"/>
            <w:hideMark/>
          </w:tcPr>
          <w:p w14:paraId="5743C88D"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1,823</w:t>
            </w:r>
          </w:p>
        </w:tc>
        <w:tc>
          <w:tcPr>
            <w:tcW w:w="779" w:type="dxa"/>
            <w:tcBorders>
              <w:top w:val="nil"/>
              <w:left w:val="nil"/>
              <w:bottom w:val="single" w:sz="4" w:space="0" w:color="auto"/>
              <w:right w:val="single" w:sz="4" w:space="0" w:color="auto"/>
            </w:tcBorders>
            <w:shd w:val="clear" w:color="auto" w:fill="auto"/>
            <w:noWrap/>
            <w:hideMark/>
          </w:tcPr>
          <w:p w14:paraId="5E71BA7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4C0A4622"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1317253"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20FBAA2E"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1,823</w:t>
            </w:r>
          </w:p>
        </w:tc>
        <w:tc>
          <w:tcPr>
            <w:tcW w:w="779" w:type="dxa"/>
            <w:tcBorders>
              <w:top w:val="nil"/>
              <w:left w:val="nil"/>
              <w:bottom w:val="single" w:sz="4" w:space="0" w:color="auto"/>
              <w:right w:val="single" w:sz="4" w:space="0" w:color="auto"/>
            </w:tcBorders>
            <w:shd w:val="clear" w:color="auto" w:fill="auto"/>
            <w:hideMark/>
          </w:tcPr>
          <w:p w14:paraId="71BC59E2"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1D135A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2032526"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0,091</w:t>
            </w:r>
          </w:p>
        </w:tc>
        <w:tc>
          <w:tcPr>
            <w:tcW w:w="779" w:type="dxa"/>
            <w:tcBorders>
              <w:top w:val="nil"/>
              <w:left w:val="nil"/>
              <w:bottom w:val="single" w:sz="4" w:space="0" w:color="auto"/>
              <w:right w:val="single" w:sz="4" w:space="0" w:color="auto"/>
            </w:tcBorders>
            <w:shd w:val="clear" w:color="auto" w:fill="auto"/>
            <w:hideMark/>
          </w:tcPr>
          <w:p w14:paraId="3DB4FD78"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1,732</w:t>
            </w:r>
          </w:p>
        </w:tc>
        <w:tc>
          <w:tcPr>
            <w:tcW w:w="779" w:type="dxa"/>
            <w:tcBorders>
              <w:top w:val="nil"/>
              <w:left w:val="nil"/>
              <w:bottom w:val="single" w:sz="4" w:space="0" w:color="auto"/>
              <w:right w:val="single" w:sz="4" w:space="0" w:color="auto"/>
            </w:tcBorders>
            <w:shd w:val="clear" w:color="auto" w:fill="auto"/>
            <w:noWrap/>
            <w:hideMark/>
          </w:tcPr>
          <w:p w14:paraId="636CB63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C964838"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C5D850F"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7AC63576"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r>
      <w:tr w:rsidR="00C2307A" w:rsidRPr="00962634" w14:paraId="69331CFF"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47630622"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P26</w:t>
            </w:r>
          </w:p>
        </w:tc>
        <w:tc>
          <w:tcPr>
            <w:tcW w:w="3453" w:type="dxa"/>
            <w:tcBorders>
              <w:top w:val="nil"/>
              <w:left w:val="nil"/>
              <w:bottom w:val="single" w:sz="4" w:space="0" w:color="auto"/>
              <w:right w:val="single" w:sz="4" w:space="0" w:color="auto"/>
            </w:tcBorders>
            <w:shd w:val="clear" w:color="auto" w:fill="auto"/>
            <w:noWrap/>
            <w:hideMark/>
          </w:tcPr>
          <w:p w14:paraId="3CEF1FF7"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SM - plochy smíšené obytné - městské</w:t>
            </w:r>
          </w:p>
        </w:tc>
        <w:tc>
          <w:tcPr>
            <w:tcW w:w="779" w:type="dxa"/>
            <w:tcBorders>
              <w:top w:val="nil"/>
              <w:left w:val="nil"/>
              <w:bottom w:val="single" w:sz="4" w:space="0" w:color="auto"/>
              <w:right w:val="single" w:sz="4" w:space="0" w:color="auto"/>
            </w:tcBorders>
            <w:shd w:val="clear" w:color="auto" w:fill="auto"/>
            <w:hideMark/>
          </w:tcPr>
          <w:p w14:paraId="3CAA29DC"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0,695</w:t>
            </w:r>
          </w:p>
        </w:tc>
        <w:tc>
          <w:tcPr>
            <w:tcW w:w="779" w:type="dxa"/>
            <w:tcBorders>
              <w:top w:val="nil"/>
              <w:left w:val="nil"/>
              <w:bottom w:val="single" w:sz="4" w:space="0" w:color="auto"/>
              <w:right w:val="single" w:sz="4" w:space="0" w:color="auto"/>
            </w:tcBorders>
            <w:shd w:val="clear" w:color="auto" w:fill="auto"/>
            <w:noWrap/>
            <w:hideMark/>
          </w:tcPr>
          <w:p w14:paraId="6714C2AC"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227D33F3"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83EC798"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5B7BF5A6"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0,695</w:t>
            </w:r>
          </w:p>
        </w:tc>
        <w:tc>
          <w:tcPr>
            <w:tcW w:w="779" w:type="dxa"/>
            <w:tcBorders>
              <w:top w:val="nil"/>
              <w:left w:val="nil"/>
              <w:bottom w:val="single" w:sz="4" w:space="0" w:color="auto"/>
              <w:right w:val="single" w:sz="4" w:space="0" w:color="auto"/>
            </w:tcBorders>
            <w:shd w:val="clear" w:color="auto" w:fill="auto"/>
            <w:hideMark/>
          </w:tcPr>
          <w:p w14:paraId="3D8BBC91"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4CDE9A8"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A89A9D9"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E45BF2C"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0,695</w:t>
            </w:r>
          </w:p>
        </w:tc>
        <w:tc>
          <w:tcPr>
            <w:tcW w:w="779" w:type="dxa"/>
            <w:tcBorders>
              <w:top w:val="nil"/>
              <w:left w:val="nil"/>
              <w:bottom w:val="single" w:sz="4" w:space="0" w:color="auto"/>
              <w:right w:val="single" w:sz="4" w:space="0" w:color="auto"/>
            </w:tcBorders>
            <w:shd w:val="clear" w:color="auto" w:fill="auto"/>
            <w:noWrap/>
            <w:hideMark/>
          </w:tcPr>
          <w:p w14:paraId="04C3F6EB"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CE459A1"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F4F618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735D9BE9"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r>
      <w:tr w:rsidR="00C2307A" w:rsidRPr="00962634" w14:paraId="6D0CD21F"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68EC5D71"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Z47</w:t>
            </w:r>
          </w:p>
        </w:tc>
        <w:tc>
          <w:tcPr>
            <w:tcW w:w="3453" w:type="dxa"/>
            <w:tcBorders>
              <w:top w:val="nil"/>
              <w:left w:val="nil"/>
              <w:bottom w:val="single" w:sz="4" w:space="0" w:color="auto"/>
              <w:right w:val="single" w:sz="4" w:space="0" w:color="auto"/>
            </w:tcBorders>
            <w:shd w:val="clear" w:color="auto" w:fill="auto"/>
            <w:noWrap/>
            <w:hideMark/>
          </w:tcPr>
          <w:p w14:paraId="4EC9AD17"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SM - plochy smíšené obytné - městské</w:t>
            </w:r>
          </w:p>
        </w:tc>
        <w:tc>
          <w:tcPr>
            <w:tcW w:w="779" w:type="dxa"/>
            <w:tcBorders>
              <w:top w:val="nil"/>
              <w:left w:val="nil"/>
              <w:bottom w:val="single" w:sz="4" w:space="0" w:color="auto"/>
              <w:right w:val="single" w:sz="4" w:space="0" w:color="auto"/>
            </w:tcBorders>
            <w:shd w:val="clear" w:color="auto" w:fill="auto"/>
            <w:hideMark/>
          </w:tcPr>
          <w:p w14:paraId="2A021A8E"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0,564</w:t>
            </w:r>
          </w:p>
        </w:tc>
        <w:tc>
          <w:tcPr>
            <w:tcW w:w="779" w:type="dxa"/>
            <w:tcBorders>
              <w:top w:val="nil"/>
              <w:left w:val="nil"/>
              <w:bottom w:val="single" w:sz="4" w:space="0" w:color="auto"/>
              <w:right w:val="single" w:sz="4" w:space="0" w:color="auto"/>
            </w:tcBorders>
            <w:shd w:val="clear" w:color="auto" w:fill="auto"/>
            <w:noWrap/>
            <w:hideMark/>
          </w:tcPr>
          <w:p w14:paraId="2DC19334"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7638EEA8"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12888C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B145446"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0,564</w:t>
            </w:r>
          </w:p>
        </w:tc>
        <w:tc>
          <w:tcPr>
            <w:tcW w:w="779" w:type="dxa"/>
            <w:tcBorders>
              <w:top w:val="nil"/>
              <w:left w:val="nil"/>
              <w:bottom w:val="single" w:sz="4" w:space="0" w:color="auto"/>
              <w:right w:val="single" w:sz="4" w:space="0" w:color="auto"/>
            </w:tcBorders>
            <w:shd w:val="clear" w:color="auto" w:fill="auto"/>
            <w:hideMark/>
          </w:tcPr>
          <w:p w14:paraId="25F1BF53"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645937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63799F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0,564</w:t>
            </w:r>
          </w:p>
        </w:tc>
        <w:tc>
          <w:tcPr>
            <w:tcW w:w="779" w:type="dxa"/>
            <w:tcBorders>
              <w:top w:val="nil"/>
              <w:left w:val="nil"/>
              <w:bottom w:val="single" w:sz="4" w:space="0" w:color="auto"/>
              <w:right w:val="single" w:sz="4" w:space="0" w:color="auto"/>
            </w:tcBorders>
            <w:shd w:val="clear" w:color="auto" w:fill="auto"/>
            <w:hideMark/>
          </w:tcPr>
          <w:p w14:paraId="4E1B0E7F"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F07EF95"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E7F11F9"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BE17E9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34C10C97"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r>
      <w:tr w:rsidR="00C2307A" w:rsidRPr="00962634" w14:paraId="2EC60F2F"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1FE5E43A"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lastRenderedPageBreak/>
              <w:t>Z51</w:t>
            </w:r>
          </w:p>
        </w:tc>
        <w:tc>
          <w:tcPr>
            <w:tcW w:w="3453" w:type="dxa"/>
            <w:tcBorders>
              <w:top w:val="nil"/>
              <w:left w:val="nil"/>
              <w:bottom w:val="single" w:sz="4" w:space="0" w:color="auto"/>
              <w:right w:val="single" w:sz="4" w:space="0" w:color="auto"/>
            </w:tcBorders>
            <w:shd w:val="clear" w:color="auto" w:fill="auto"/>
            <w:noWrap/>
            <w:hideMark/>
          </w:tcPr>
          <w:p w14:paraId="51714D60" w14:textId="77777777" w:rsidR="00C2307A" w:rsidRPr="00962634" w:rsidRDefault="00C2307A" w:rsidP="00F32B0C">
            <w:pPr>
              <w:spacing w:before="20" w:after="20" w:line="240" w:lineRule="auto"/>
              <w:jc w:val="left"/>
              <w:rPr>
                <w:rFonts w:eastAsia="Times New Roman"/>
                <w:color w:val="000000"/>
                <w:sz w:val="20"/>
                <w:szCs w:val="20"/>
                <w:lang w:eastAsia="cs-CZ"/>
              </w:rPr>
            </w:pPr>
            <w:r w:rsidRPr="00962634">
              <w:rPr>
                <w:rFonts w:eastAsia="Times New Roman"/>
                <w:color w:val="000000"/>
                <w:sz w:val="20"/>
                <w:szCs w:val="20"/>
                <w:lang w:eastAsia="cs-CZ"/>
              </w:rPr>
              <w:t>SM - plochy smíšené obytné - městské</w:t>
            </w:r>
          </w:p>
        </w:tc>
        <w:tc>
          <w:tcPr>
            <w:tcW w:w="779" w:type="dxa"/>
            <w:tcBorders>
              <w:top w:val="nil"/>
              <w:left w:val="nil"/>
              <w:bottom w:val="single" w:sz="4" w:space="0" w:color="auto"/>
              <w:right w:val="single" w:sz="4" w:space="0" w:color="auto"/>
            </w:tcBorders>
            <w:shd w:val="clear" w:color="auto" w:fill="auto"/>
            <w:hideMark/>
          </w:tcPr>
          <w:p w14:paraId="02B24095"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0,119</w:t>
            </w:r>
          </w:p>
        </w:tc>
        <w:tc>
          <w:tcPr>
            <w:tcW w:w="779" w:type="dxa"/>
            <w:tcBorders>
              <w:top w:val="nil"/>
              <w:left w:val="nil"/>
              <w:bottom w:val="single" w:sz="4" w:space="0" w:color="auto"/>
              <w:right w:val="single" w:sz="4" w:space="0" w:color="auto"/>
            </w:tcBorders>
            <w:shd w:val="clear" w:color="auto" w:fill="auto"/>
            <w:noWrap/>
            <w:hideMark/>
          </w:tcPr>
          <w:p w14:paraId="0B644C67"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21D3CEB5"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5ADC491"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65AE2EE"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7C083FF"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F94CF09"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0,119</w:t>
            </w:r>
          </w:p>
        </w:tc>
        <w:tc>
          <w:tcPr>
            <w:tcW w:w="779" w:type="dxa"/>
            <w:tcBorders>
              <w:top w:val="nil"/>
              <w:left w:val="nil"/>
              <w:bottom w:val="single" w:sz="4" w:space="0" w:color="auto"/>
              <w:right w:val="single" w:sz="4" w:space="0" w:color="auto"/>
            </w:tcBorders>
            <w:shd w:val="clear" w:color="auto" w:fill="auto"/>
            <w:hideMark/>
          </w:tcPr>
          <w:p w14:paraId="6AD780B5"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87183EE"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0,119</w:t>
            </w:r>
          </w:p>
        </w:tc>
        <w:tc>
          <w:tcPr>
            <w:tcW w:w="779" w:type="dxa"/>
            <w:tcBorders>
              <w:top w:val="nil"/>
              <w:left w:val="nil"/>
              <w:bottom w:val="single" w:sz="4" w:space="0" w:color="auto"/>
              <w:right w:val="single" w:sz="4" w:space="0" w:color="auto"/>
            </w:tcBorders>
            <w:shd w:val="clear" w:color="auto" w:fill="auto"/>
            <w:noWrap/>
            <w:hideMark/>
          </w:tcPr>
          <w:p w14:paraId="65DF3C1E"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012320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5150172"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61E524EA"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r>
      <w:tr w:rsidR="00C2307A" w:rsidRPr="00962634" w14:paraId="2E484403"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7F41404F" w14:textId="77777777" w:rsidR="00C2307A" w:rsidRPr="00962634" w:rsidRDefault="00C2307A" w:rsidP="00F32B0C">
            <w:pPr>
              <w:spacing w:before="20" w:after="20" w:line="240" w:lineRule="auto"/>
              <w:jc w:val="left"/>
              <w:rPr>
                <w:rFonts w:eastAsia="Times New Roman"/>
                <w:b/>
                <w:bCs/>
                <w:sz w:val="20"/>
                <w:szCs w:val="20"/>
                <w:lang w:eastAsia="cs-CZ"/>
              </w:rPr>
            </w:pPr>
            <w:r w:rsidRPr="00962634">
              <w:rPr>
                <w:rFonts w:eastAsia="Times New Roman"/>
                <w:b/>
                <w:bCs/>
                <w:sz w:val="20"/>
                <w:szCs w:val="20"/>
                <w:lang w:eastAsia="cs-CZ"/>
              </w:rPr>
              <w:t>Plochy smíšené obytné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054D066C" w14:textId="77777777" w:rsidR="00C2307A" w:rsidRPr="00D55C54" w:rsidRDefault="00A833A8"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3,957</w:t>
            </w:r>
          </w:p>
        </w:tc>
        <w:tc>
          <w:tcPr>
            <w:tcW w:w="779" w:type="dxa"/>
            <w:tcBorders>
              <w:top w:val="nil"/>
              <w:left w:val="nil"/>
              <w:bottom w:val="single" w:sz="4" w:space="0" w:color="auto"/>
              <w:right w:val="single" w:sz="4" w:space="0" w:color="auto"/>
            </w:tcBorders>
            <w:shd w:val="clear" w:color="auto" w:fill="C2D69B" w:themeFill="accent3" w:themeFillTint="99"/>
            <w:hideMark/>
          </w:tcPr>
          <w:p w14:paraId="76FC0A1D"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0,247</w:t>
            </w:r>
          </w:p>
        </w:tc>
        <w:tc>
          <w:tcPr>
            <w:tcW w:w="945" w:type="dxa"/>
            <w:tcBorders>
              <w:top w:val="nil"/>
              <w:left w:val="nil"/>
              <w:bottom w:val="single" w:sz="4" w:space="0" w:color="auto"/>
              <w:right w:val="single" w:sz="4" w:space="0" w:color="auto"/>
            </w:tcBorders>
            <w:shd w:val="clear" w:color="auto" w:fill="C2D69B" w:themeFill="accent3" w:themeFillTint="99"/>
            <w:hideMark/>
          </w:tcPr>
          <w:p w14:paraId="3E1CF32C"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7A9A38A"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1F3ED0E" w14:textId="77777777" w:rsidR="00C2307A" w:rsidRPr="00D55C54" w:rsidRDefault="00A833A8"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3,591</w:t>
            </w:r>
          </w:p>
        </w:tc>
        <w:tc>
          <w:tcPr>
            <w:tcW w:w="779" w:type="dxa"/>
            <w:tcBorders>
              <w:top w:val="nil"/>
              <w:left w:val="nil"/>
              <w:bottom w:val="single" w:sz="4" w:space="0" w:color="auto"/>
              <w:right w:val="single" w:sz="4" w:space="0" w:color="auto"/>
            </w:tcBorders>
            <w:shd w:val="clear" w:color="auto" w:fill="C2D69B" w:themeFill="accent3" w:themeFillTint="99"/>
            <w:hideMark/>
          </w:tcPr>
          <w:p w14:paraId="45D9F8BE"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62875E0" w14:textId="77777777" w:rsidR="00C2307A" w:rsidRPr="00D55C54" w:rsidRDefault="00A833A8"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0,119</w:t>
            </w:r>
          </w:p>
        </w:tc>
        <w:tc>
          <w:tcPr>
            <w:tcW w:w="779" w:type="dxa"/>
            <w:tcBorders>
              <w:top w:val="nil"/>
              <w:left w:val="nil"/>
              <w:bottom w:val="single" w:sz="4" w:space="0" w:color="auto"/>
              <w:right w:val="single" w:sz="4" w:space="0" w:color="auto"/>
            </w:tcBorders>
            <w:shd w:val="clear" w:color="auto" w:fill="C2D69B" w:themeFill="accent3" w:themeFillTint="99"/>
            <w:hideMark/>
          </w:tcPr>
          <w:p w14:paraId="693EFEF2"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0,767</w:t>
            </w:r>
          </w:p>
        </w:tc>
        <w:tc>
          <w:tcPr>
            <w:tcW w:w="779" w:type="dxa"/>
            <w:tcBorders>
              <w:top w:val="nil"/>
              <w:left w:val="nil"/>
              <w:bottom w:val="single" w:sz="4" w:space="0" w:color="auto"/>
              <w:right w:val="single" w:sz="4" w:space="0" w:color="auto"/>
            </w:tcBorders>
            <w:shd w:val="clear" w:color="auto" w:fill="C2D69B" w:themeFill="accent3" w:themeFillTint="99"/>
            <w:hideMark/>
          </w:tcPr>
          <w:p w14:paraId="30C76B52" w14:textId="77777777" w:rsidR="00C2307A" w:rsidRPr="00D55C54" w:rsidRDefault="00A833A8"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3,190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D6D07B9"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0ACE235F"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12F9B00"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3A5A1E46"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r>
      <w:tr w:rsidR="00C2307A" w:rsidRPr="00962634" w14:paraId="429103A4"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4794C25F"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Z36</w:t>
            </w:r>
          </w:p>
        </w:tc>
        <w:tc>
          <w:tcPr>
            <w:tcW w:w="3453" w:type="dxa"/>
            <w:tcBorders>
              <w:top w:val="nil"/>
              <w:left w:val="nil"/>
              <w:bottom w:val="single" w:sz="4" w:space="0" w:color="auto"/>
              <w:right w:val="single" w:sz="4" w:space="0" w:color="auto"/>
            </w:tcBorders>
            <w:shd w:val="clear" w:color="auto" w:fill="auto"/>
            <w:hideMark/>
          </w:tcPr>
          <w:p w14:paraId="30F1A3FC"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VL - lehký průmysl</w:t>
            </w:r>
          </w:p>
        </w:tc>
        <w:tc>
          <w:tcPr>
            <w:tcW w:w="779" w:type="dxa"/>
            <w:tcBorders>
              <w:top w:val="nil"/>
              <w:left w:val="nil"/>
              <w:bottom w:val="single" w:sz="4" w:space="0" w:color="auto"/>
              <w:right w:val="single" w:sz="4" w:space="0" w:color="auto"/>
            </w:tcBorders>
            <w:shd w:val="clear" w:color="auto" w:fill="auto"/>
            <w:hideMark/>
          </w:tcPr>
          <w:p w14:paraId="412CBC7C"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 xml:space="preserve"> 2,631</w:t>
            </w:r>
          </w:p>
        </w:tc>
        <w:tc>
          <w:tcPr>
            <w:tcW w:w="779" w:type="dxa"/>
            <w:tcBorders>
              <w:top w:val="nil"/>
              <w:left w:val="nil"/>
              <w:bottom w:val="single" w:sz="4" w:space="0" w:color="auto"/>
              <w:right w:val="single" w:sz="4" w:space="0" w:color="auto"/>
            </w:tcBorders>
            <w:shd w:val="clear" w:color="auto" w:fill="auto"/>
            <w:hideMark/>
          </w:tcPr>
          <w:p w14:paraId="6C47B4E4"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 xml:space="preserve"> 2,631</w:t>
            </w:r>
          </w:p>
        </w:tc>
        <w:tc>
          <w:tcPr>
            <w:tcW w:w="945" w:type="dxa"/>
            <w:tcBorders>
              <w:top w:val="nil"/>
              <w:left w:val="nil"/>
              <w:bottom w:val="single" w:sz="4" w:space="0" w:color="auto"/>
              <w:right w:val="single" w:sz="4" w:space="0" w:color="auto"/>
            </w:tcBorders>
            <w:shd w:val="clear" w:color="auto" w:fill="auto"/>
            <w:hideMark/>
          </w:tcPr>
          <w:p w14:paraId="15F3727C"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77BC900"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2DAE98E"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33EBD49"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8F0650C"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 xml:space="preserve"> 0,000</w:t>
            </w:r>
          </w:p>
        </w:tc>
        <w:tc>
          <w:tcPr>
            <w:tcW w:w="779" w:type="dxa"/>
            <w:tcBorders>
              <w:top w:val="nil"/>
              <w:left w:val="nil"/>
              <w:bottom w:val="single" w:sz="4" w:space="0" w:color="auto"/>
              <w:right w:val="single" w:sz="4" w:space="0" w:color="auto"/>
            </w:tcBorders>
            <w:shd w:val="clear" w:color="auto" w:fill="auto"/>
            <w:noWrap/>
            <w:hideMark/>
          </w:tcPr>
          <w:p w14:paraId="19615ACC"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6E50AFE"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 xml:space="preserve"> 2,631</w:t>
            </w:r>
          </w:p>
        </w:tc>
        <w:tc>
          <w:tcPr>
            <w:tcW w:w="779" w:type="dxa"/>
            <w:tcBorders>
              <w:top w:val="nil"/>
              <w:left w:val="nil"/>
              <w:bottom w:val="single" w:sz="4" w:space="0" w:color="auto"/>
              <w:right w:val="single" w:sz="4" w:space="0" w:color="auto"/>
            </w:tcBorders>
            <w:shd w:val="clear" w:color="auto" w:fill="auto"/>
            <w:noWrap/>
            <w:hideMark/>
          </w:tcPr>
          <w:p w14:paraId="5BE385AB"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 xml:space="preserve"> 0,000</w:t>
            </w:r>
          </w:p>
        </w:tc>
        <w:tc>
          <w:tcPr>
            <w:tcW w:w="779" w:type="dxa"/>
            <w:tcBorders>
              <w:top w:val="nil"/>
              <w:left w:val="nil"/>
              <w:bottom w:val="single" w:sz="4" w:space="0" w:color="auto"/>
              <w:right w:val="single" w:sz="4" w:space="0" w:color="auto"/>
            </w:tcBorders>
            <w:shd w:val="clear" w:color="auto" w:fill="auto"/>
            <w:noWrap/>
            <w:hideMark/>
          </w:tcPr>
          <w:p w14:paraId="428BD154"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8EA660D"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 xml:space="preserve"> 0,000</w:t>
            </w:r>
          </w:p>
        </w:tc>
        <w:tc>
          <w:tcPr>
            <w:tcW w:w="845" w:type="dxa"/>
            <w:tcBorders>
              <w:top w:val="nil"/>
              <w:left w:val="nil"/>
              <w:bottom w:val="single" w:sz="4" w:space="0" w:color="auto"/>
              <w:right w:val="single" w:sz="4" w:space="0" w:color="auto"/>
            </w:tcBorders>
            <w:shd w:val="clear" w:color="auto" w:fill="auto"/>
            <w:hideMark/>
          </w:tcPr>
          <w:p w14:paraId="2359AEBB"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r>
      <w:tr w:rsidR="00C2307A" w:rsidRPr="00962634" w14:paraId="7520EB2A"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50457DE6"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Z48</w:t>
            </w:r>
          </w:p>
        </w:tc>
        <w:tc>
          <w:tcPr>
            <w:tcW w:w="3453" w:type="dxa"/>
            <w:tcBorders>
              <w:top w:val="nil"/>
              <w:left w:val="nil"/>
              <w:bottom w:val="single" w:sz="4" w:space="0" w:color="auto"/>
              <w:right w:val="single" w:sz="4" w:space="0" w:color="auto"/>
            </w:tcBorders>
            <w:shd w:val="clear" w:color="auto" w:fill="auto"/>
            <w:hideMark/>
          </w:tcPr>
          <w:p w14:paraId="14FBB9CC"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VL - lehký průmysl</w:t>
            </w:r>
          </w:p>
        </w:tc>
        <w:tc>
          <w:tcPr>
            <w:tcW w:w="779" w:type="dxa"/>
            <w:tcBorders>
              <w:top w:val="nil"/>
              <w:left w:val="nil"/>
              <w:bottom w:val="single" w:sz="4" w:space="0" w:color="auto"/>
              <w:right w:val="single" w:sz="4" w:space="0" w:color="auto"/>
            </w:tcBorders>
            <w:shd w:val="clear" w:color="auto" w:fill="auto"/>
            <w:noWrap/>
            <w:hideMark/>
          </w:tcPr>
          <w:p w14:paraId="18138767"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1,494</w:t>
            </w:r>
          </w:p>
        </w:tc>
        <w:tc>
          <w:tcPr>
            <w:tcW w:w="779" w:type="dxa"/>
            <w:tcBorders>
              <w:top w:val="nil"/>
              <w:left w:val="nil"/>
              <w:bottom w:val="single" w:sz="4" w:space="0" w:color="auto"/>
              <w:right w:val="single" w:sz="4" w:space="0" w:color="auto"/>
            </w:tcBorders>
            <w:shd w:val="clear" w:color="auto" w:fill="auto"/>
            <w:noWrap/>
            <w:hideMark/>
          </w:tcPr>
          <w:p w14:paraId="403E280D"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1,494</w:t>
            </w:r>
          </w:p>
        </w:tc>
        <w:tc>
          <w:tcPr>
            <w:tcW w:w="945" w:type="dxa"/>
            <w:tcBorders>
              <w:top w:val="nil"/>
              <w:left w:val="nil"/>
              <w:bottom w:val="single" w:sz="4" w:space="0" w:color="auto"/>
              <w:right w:val="single" w:sz="4" w:space="0" w:color="auto"/>
            </w:tcBorders>
            <w:shd w:val="clear" w:color="auto" w:fill="auto"/>
            <w:hideMark/>
          </w:tcPr>
          <w:p w14:paraId="2B9345F4"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BEF6334"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39BD9942"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9AD4AE0"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81E3B4E"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AD60790"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1,494</w:t>
            </w:r>
          </w:p>
        </w:tc>
        <w:tc>
          <w:tcPr>
            <w:tcW w:w="779" w:type="dxa"/>
            <w:tcBorders>
              <w:top w:val="nil"/>
              <w:left w:val="nil"/>
              <w:bottom w:val="single" w:sz="4" w:space="0" w:color="auto"/>
              <w:right w:val="single" w:sz="4" w:space="0" w:color="auto"/>
            </w:tcBorders>
            <w:shd w:val="clear" w:color="auto" w:fill="auto"/>
            <w:noWrap/>
            <w:hideMark/>
          </w:tcPr>
          <w:p w14:paraId="0FECEC31"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F2DD537"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C596868"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D075E49"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5EB8DDC6"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r>
      <w:tr w:rsidR="00C2307A" w:rsidRPr="00962634" w14:paraId="198FA586"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0AEA9C3A"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Z49</w:t>
            </w:r>
          </w:p>
        </w:tc>
        <w:tc>
          <w:tcPr>
            <w:tcW w:w="3453" w:type="dxa"/>
            <w:tcBorders>
              <w:top w:val="nil"/>
              <w:left w:val="nil"/>
              <w:bottom w:val="single" w:sz="4" w:space="0" w:color="auto"/>
              <w:right w:val="single" w:sz="4" w:space="0" w:color="auto"/>
            </w:tcBorders>
            <w:shd w:val="clear" w:color="auto" w:fill="auto"/>
            <w:hideMark/>
          </w:tcPr>
          <w:p w14:paraId="65781B2F"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VL - lehký průmysl</w:t>
            </w:r>
          </w:p>
        </w:tc>
        <w:tc>
          <w:tcPr>
            <w:tcW w:w="779" w:type="dxa"/>
            <w:tcBorders>
              <w:top w:val="nil"/>
              <w:left w:val="nil"/>
              <w:bottom w:val="single" w:sz="4" w:space="0" w:color="auto"/>
              <w:right w:val="single" w:sz="4" w:space="0" w:color="auto"/>
            </w:tcBorders>
            <w:shd w:val="clear" w:color="auto" w:fill="auto"/>
            <w:noWrap/>
            <w:hideMark/>
          </w:tcPr>
          <w:p w14:paraId="4BB7CA2B"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0,804</w:t>
            </w:r>
          </w:p>
        </w:tc>
        <w:tc>
          <w:tcPr>
            <w:tcW w:w="779" w:type="dxa"/>
            <w:tcBorders>
              <w:top w:val="nil"/>
              <w:left w:val="nil"/>
              <w:bottom w:val="single" w:sz="4" w:space="0" w:color="auto"/>
              <w:right w:val="single" w:sz="4" w:space="0" w:color="auto"/>
            </w:tcBorders>
            <w:shd w:val="clear" w:color="auto" w:fill="auto"/>
            <w:noWrap/>
            <w:hideMark/>
          </w:tcPr>
          <w:p w14:paraId="64D3A345"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0,804</w:t>
            </w:r>
          </w:p>
        </w:tc>
        <w:tc>
          <w:tcPr>
            <w:tcW w:w="945" w:type="dxa"/>
            <w:tcBorders>
              <w:top w:val="nil"/>
              <w:left w:val="nil"/>
              <w:bottom w:val="single" w:sz="4" w:space="0" w:color="auto"/>
              <w:right w:val="single" w:sz="4" w:space="0" w:color="auto"/>
            </w:tcBorders>
            <w:shd w:val="clear" w:color="auto" w:fill="auto"/>
            <w:hideMark/>
          </w:tcPr>
          <w:p w14:paraId="262B6B21"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AB99B64"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D8B3353"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03CFBDB"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E96A80D"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4B9A3A2"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0,783</w:t>
            </w:r>
          </w:p>
        </w:tc>
        <w:tc>
          <w:tcPr>
            <w:tcW w:w="779" w:type="dxa"/>
            <w:tcBorders>
              <w:top w:val="nil"/>
              <w:left w:val="nil"/>
              <w:bottom w:val="single" w:sz="4" w:space="0" w:color="auto"/>
              <w:right w:val="single" w:sz="4" w:space="0" w:color="auto"/>
            </w:tcBorders>
            <w:shd w:val="clear" w:color="auto" w:fill="auto"/>
            <w:noWrap/>
            <w:hideMark/>
          </w:tcPr>
          <w:p w14:paraId="20C75E70"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0,021</w:t>
            </w:r>
          </w:p>
        </w:tc>
        <w:tc>
          <w:tcPr>
            <w:tcW w:w="779" w:type="dxa"/>
            <w:tcBorders>
              <w:top w:val="nil"/>
              <w:left w:val="nil"/>
              <w:bottom w:val="single" w:sz="4" w:space="0" w:color="auto"/>
              <w:right w:val="single" w:sz="4" w:space="0" w:color="auto"/>
            </w:tcBorders>
            <w:shd w:val="clear" w:color="auto" w:fill="auto"/>
            <w:noWrap/>
            <w:hideMark/>
          </w:tcPr>
          <w:p w14:paraId="1B7EA756"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64E64E01" w14:textId="77777777" w:rsidR="00C2307A" w:rsidRPr="00962634" w:rsidRDefault="00C2307A" w:rsidP="00F32B0C">
            <w:pPr>
              <w:spacing w:before="20" w:after="20" w:line="240" w:lineRule="auto"/>
              <w:jc w:val="right"/>
              <w:rPr>
                <w:rFonts w:eastAsia="Times New Roman"/>
                <w:color w:val="000000"/>
                <w:sz w:val="20"/>
                <w:szCs w:val="20"/>
                <w:lang w:eastAsia="cs-CZ"/>
              </w:rPr>
            </w:pPr>
            <w:r w:rsidRPr="0096263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24B6C4E"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5286D469" w14:textId="77777777" w:rsidR="00C2307A" w:rsidRPr="00962634" w:rsidRDefault="00C2307A" w:rsidP="00F32B0C">
            <w:pPr>
              <w:spacing w:before="20" w:after="20" w:line="240" w:lineRule="auto"/>
              <w:jc w:val="right"/>
              <w:rPr>
                <w:rFonts w:eastAsia="Times New Roman"/>
                <w:sz w:val="20"/>
                <w:szCs w:val="20"/>
                <w:lang w:eastAsia="cs-CZ"/>
              </w:rPr>
            </w:pPr>
            <w:r w:rsidRPr="00962634">
              <w:rPr>
                <w:rFonts w:eastAsia="Times New Roman"/>
                <w:sz w:val="20"/>
                <w:szCs w:val="20"/>
                <w:lang w:eastAsia="cs-CZ"/>
              </w:rPr>
              <w:t>0,000</w:t>
            </w:r>
          </w:p>
        </w:tc>
      </w:tr>
      <w:tr w:rsidR="00C2307A" w:rsidRPr="00962634" w14:paraId="29520A30"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36CDD64E"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Z50</w:t>
            </w:r>
          </w:p>
        </w:tc>
        <w:tc>
          <w:tcPr>
            <w:tcW w:w="3453" w:type="dxa"/>
            <w:tcBorders>
              <w:top w:val="nil"/>
              <w:left w:val="nil"/>
              <w:bottom w:val="single" w:sz="4" w:space="0" w:color="auto"/>
              <w:right w:val="single" w:sz="4" w:space="0" w:color="auto"/>
            </w:tcBorders>
            <w:shd w:val="clear" w:color="auto" w:fill="auto"/>
            <w:hideMark/>
          </w:tcPr>
          <w:p w14:paraId="11A332E6"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VD - drobná a řemeslná výroba</w:t>
            </w:r>
          </w:p>
        </w:tc>
        <w:tc>
          <w:tcPr>
            <w:tcW w:w="779" w:type="dxa"/>
            <w:tcBorders>
              <w:top w:val="nil"/>
              <w:left w:val="nil"/>
              <w:bottom w:val="single" w:sz="4" w:space="0" w:color="auto"/>
              <w:right w:val="single" w:sz="4" w:space="0" w:color="auto"/>
            </w:tcBorders>
            <w:shd w:val="clear" w:color="auto" w:fill="auto"/>
            <w:noWrap/>
            <w:hideMark/>
          </w:tcPr>
          <w:p w14:paraId="3CE45CC0" w14:textId="77777777" w:rsidR="00C2307A" w:rsidRPr="00D55C54" w:rsidRDefault="00C2307A" w:rsidP="00F32B0C">
            <w:pPr>
              <w:spacing w:before="20" w:after="20" w:line="240" w:lineRule="auto"/>
              <w:jc w:val="right"/>
              <w:rPr>
                <w:rFonts w:eastAsia="Times New Roman"/>
                <w:color w:val="000000"/>
                <w:sz w:val="20"/>
                <w:szCs w:val="20"/>
                <w:lang w:eastAsia="cs-CZ"/>
              </w:rPr>
            </w:pPr>
            <w:r w:rsidRPr="00D55C54">
              <w:rPr>
                <w:rFonts w:eastAsia="Times New Roman"/>
                <w:color w:val="000000"/>
                <w:sz w:val="20"/>
                <w:szCs w:val="20"/>
                <w:lang w:eastAsia="cs-CZ"/>
              </w:rPr>
              <w:t>2,559</w:t>
            </w:r>
          </w:p>
        </w:tc>
        <w:tc>
          <w:tcPr>
            <w:tcW w:w="779" w:type="dxa"/>
            <w:tcBorders>
              <w:top w:val="nil"/>
              <w:left w:val="nil"/>
              <w:bottom w:val="single" w:sz="4" w:space="0" w:color="auto"/>
              <w:right w:val="single" w:sz="4" w:space="0" w:color="auto"/>
            </w:tcBorders>
            <w:shd w:val="clear" w:color="auto" w:fill="auto"/>
            <w:noWrap/>
            <w:hideMark/>
          </w:tcPr>
          <w:p w14:paraId="1FC6F843" w14:textId="77777777" w:rsidR="00C2307A" w:rsidRPr="00D55C54" w:rsidRDefault="00C2307A" w:rsidP="00F32B0C">
            <w:pPr>
              <w:spacing w:before="20" w:after="20" w:line="240" w:lineRule="auto"/>
              <w:jc w:val="right"/>
              <w:rPr>
                <w:rFonts w:eastAsia="Times New Roman"/>
                <w:color w:val="000000"/>
                <w:sz w:val="20"/>
                <w:szCs w:val="20"/>
                <w:lang w:eastAsia="cs-CZ"/>
              </w:rPr>
            </w:pPr>
            <w:r w:rsidRPr="00D55C54">
              <w:rPr>
                <w:rFonts w:eastAsia="Times New Roman"/>
                <w:color w:val="000000"/>
                <w:sz w:val="20"/>
                <w:szCs w:val="20"/>
                <w:lang w:eastAsia="cs-CZ"/>
              </w:rPr>
              <w:t>1,820</w:t>
            </w:r>
          </w:p>
        </w:tc>
        <w:tc>
          <w:tcPr>
            <w:tcW w:w="945" w:type="dxa"/>
            <w:tcBorders>
              <w:top w:val="nil"/>
              <w:left w:val="nil"/>
              <w:bottom w:val="single" w:sz="4" w:space="0" w:color="auto"/>
              <w:right w:val="single" w:sz="4" w:space="0" w:color="auto"/>
            </w:tcBorders>
            <w:shd w:val="clear" w:color="auto" w:fill="auto"/>
            <w:hideMark/>
          </w:tcPr>
          <w:p w14:paraId="2F2ED2E5"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25D69A4"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44AA993C" w14:textId="77777777" w:rsidR="00C2307A" w:rsidRPr="00D55C54" w:rsidRDefault="00C2307A" w:rsidP="00F32B0C">
            <w:pPr>
              <w:spacing w:before="20" w:after="20" w:line="240" w:lineRule="auto"/>
              <w:jc w:val="right"/>
              <w:rPr>
                <w:rFonts w:eastAsia="Times New Roman"/>
                <w:color w:val="000000"/>
                <w:sz w:val="20"/>
                <w:szCs w:val="20"/>
                <w:lang w:eastAsia="cs-CZ"/>
              </w:rPr>
            </w:pPr>
            <w:r w:rsidRPr="00D55C5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FC578C6"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5B725F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0,739</w:t>
            </w:r>
          </w:p>
        </w:tc>
        <w:tc>
          <w:tcPr>
            <w:tcW w:w="779" w:type="dxa"/>
            <w:tcBorders>
              <w:top w:val="nil"/>
              <w:left w:val="nil"/>
              <w:bottom w:val="single" w:sz="4" w:space="0" w:color="auto"/>
              <w:right w:val="single" w:sz="4" w:space="0" w:color="auto"/>
            </w:tcBorders>
            <w:shd w:val="clear" w:color="auto" w:fill="auto"/>
            <w:noWrap/>
            <w:hideMark/>
          </w:tcPr>
          <w:p w14:paraId="4E373224" w14:textId="77777777" w:rsidR="00C2307A" w:rsidRPr="00D55C54" w:rsidRDefault="00C2307A" w:rsidP="00F32B0C">
            <w:pPr>
              <w:spacing w:before="20" w:after="20" w:line="240" w:lineRule="auto"/>
              <w:jc w:val="right"/>
              <w:rPr>
                <w:rFonts w:eastAsia="Times New Roman"/>
                <w:color w:val="000000"/>
                <w:sz w:val="20"/>
                <w:szCs w:val="20"/>
                <w:lang w:eastAsia="cs-CZ"/>
              </w:rPr>
            </w:pPr>
            <w:r w:rsidRPr="00D55C54">
              <w:rPr>
                <w:rFonts w:eastAsia="Times New Roman"/>
                <w:color w:val="000000"/>
                <w:sz w:val="20"/>
                <w:szCs w:val="20"/>
                <w:lang w:eastAsia="cs-CZ"/>
              </w:rPr>
              <w:t>1,144</w:t>
            </w:r>
          </w:p>
        </w:tc>
        <w:tc>
          <w:tcPr>
            <w:tcW w:w="779" w:type="dxa"/>
            <w:tcBorders>
              <w:top w:val="nil"/>
              <w:left w:val="nil"/>
              <w:bottom w:val="single" w:sz="4" w:space="0" w:color="auto"/>
              <w:right w:val="single" w:sz="4" w:space="0" w:color="auto"/>
            </w:tcBorders>
            <w:shd w:val="clear" w:color="auto" w:fill="auto"/>
            <w:noWrap/>
            <w:hideMark/>
          </w:tcPr>
          <w:p w14:paraId="368B73A2" w14:textId="77777777" w:rsidR="00C2307A" w:rsidRPr="00D55C54" w:rsidRDefault="00C2307A" w:rsidP="00F32B0C">
            <w:pPr>
              <w:spacing w:before="20" w:after="20" w:line="240" w:lineRule="auto"/>
              <w:jc w:val="right"/>
              <w:rPr>
                <w:rFonts w:eastAsia="Times New Roman"/>
                <w:color w:val="000000"/>
                <w:sz w:val="20"/>
                <w:szCs w:val="20"/>
                <w:lang w:eastAsia="cs-CZ"/>
              </w:rPr>
            </w:pPr>
            <w:r w:rsidRPr="00D55C54">
              <w:rPr>
                <w:rFonts w:eastAsia="Times New Roman"/>
                <w:color w:val="000000"/>
                <w:sz w:val="20"/>
                <w:szCs w:val="20"/>
                <w:lang w:eastAsia="cs-CZ"/>
              </w:rPr>
              <w:t>1,414</w:t>
            </w:r>
          </w:p>
        </w:tc>
        <w:tc>
          <w:tcPr>
            <w:tcW w:w="779" w:type="dxa"/>
            <w:tcBorders>
              <w:top w:val="nil"/>
              <w:left w:val="nil"/>
              <w:bottom w:val="single" w:sz="4" w:space="0" w:color="auto"/>
              <w:right w:val="single" w:sz="4" w:space="0" w:color="auto"/>
            </w:tcBorders>
            <w:shd w:val="clear" w:color="auto" w:fill="auto"/>
            <w:noWrap/>
            <w:hideMark/>
          </w:tcPr>
          <w:p w14:paraId="1EDFDE8D" w14:textId="77777777" w:rsidR="00C2307A" w:rsidRPr="00D55C54" w:rsidRDefault="00C2307A" w:rsidP="00F32B0C">
            <w:pPr>
              <w:spacing w:before="20" w:after="20" w:line="240" w:lineRule="auto"/>
              <w:jc w:val="right"/>
              <w:rPr>
                <w:rFonts w:eastAsia="Times New Roman"/>
                <w:color w:val="000000"/>
                <w:sz w:val="20"/>
                <w:szCs w:val="20"/>
                <w:lang w:eastAsia="cs-CZ"/>
              </w:rPr>
            </w:pPr>
            <w:r w:rsidRPr="00D55C5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0D6992C1" w14:textId="77777777" w:rsidR="00C2307A" w:rsidRPr="00D55C54" w:rsidRDefault="00C2307A" w:rsidP="00F32B0C">
            <w:pPr>
              <w:spacing w:before="20" w:after="20" w:line="240" w:lineRule="auto"/>
              <w:jc w:val="right"/>
              <w:rPr>
                <w:rFonts w:eastAsia="Times New Roman"/>
                <w:color w:val="000000"/>
                <w:sz w:val="20"/>
                <w:szCs w:val="20"/>
                <w:lang w:eastAsia="cs-CZ"/>
              </w:rPr>
            </w:pPr>
            <w:r w:rsidRPr="00D55C54">
              <w:rPr>
                <w:rFonts w:eastAsia="Times New Roman"/>
                <w:color w:val="000000"/>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62FAD30"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0E13D153" w14:textId="77777777" w:rsidR="00C2307A" w:rsidRPr="00D55C54" w:rsidRDefault="00C2307A" w:rsidP="00F32B0C">
            <w:pPr>
              <w:spacing w:before="20" w:after="20" w:line="240" w:lineRule="auto"/>
              <w:jc w:val="right"/>
              <w:rPr>
                <w:rFonts w:eastAsia="Times New Roman"/>
                <w:sz w:val="20"/>
                <w:szCs w:val="20"/>
                <w:lang w:eastAsia="cs-CZ"/>
              </w:rPr>
            </w:pPr>
            <w:r w:rsidRPr="00D55C54">
              <w:rPr>
                <w:rFonts w:eastAsia="Times New Roman"/>
                <w:sz w:val="20"/>
                <w:szCs w:val="20"/>
                <w:lang w:eastAsia="cs-CZ"/>
              </w:rPr>
              <w:t>0,000</w:t>
            </w:r>
          </w:p>
        </w:tc>
      </w:tr>
      <w:tr w:rsidR="00C2307A" w:rsidRPr="00962634" w14:paraId="06991BD5" w14:textId="77777777" w:rsidTr="00F1510B">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4B5D8D48" w14:textId="77777777" w:rsidR="00C2307A" w:rsidRPr="00962634" w:rsidRDefault="00C2307A" w:rsidP="00F32B0C">
            <w:pPr>
              <w:spacing w:before="20" w:after="20" w:line="240" w:lineRule="auto"/>
              <w:jc w:val="left"/>
              <w:rPr>
                <w:rFonts w:eastAsia="Times New Roman"/>
                <w:b/>
                <w:bCs/>
                <w:sz w:val="20"/>
                <w:szCs w:val="20"/>
                <w:lang w:eastAsia="cs-CZ"/>
              </w:rPr>
            </w:pPr>
            <w:r w:rsidRPr="00962634">
              <w:rPr>
                <w:rFonts w:eastAsia="Times New Roman"/>
                <w:b/>
                <w:bCs/>
                <w:sz w:val="20"/>
                <w:szCs w:val="20"/>
                <w:lang w:eastAsia="cs-CZ"/>
              </w:rPr>
              <w:t>Plochy výroby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5F01E5AF" w14:textId="6FD1C534" w:rsidR="00C2307A" w:rsidRPr="00D55C54" w:rsidRDefault="00C2307A" w:rsidP="00F32B0C">
            <w:pPr>
              <w:spacing w:before="20" w:after="20" w:line="240" w:lineRule="auto"/>
              <w:jc w:val="right"/>
              <w:rPr>
                <w:rFonts w:eastAsia="Times New Roman"/>
                <w:b/>
                <w:bCs/>
                <w:sz w:val="20"/>
                <w:szCs w:val="20"/>
                <w:lang w:eastAsia="cs-CZ"/>
              </w:rPr>
            </w:pPr>
          </w:p>
          <w:p w14:paraId="66D5654E" w14:textId="77777777" w:rsidR="00F1510B" w:rsidRPr="00D55C54" w:rsidRDefault="00F1510B"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7,488</w:t>
            </w:r>
          </w:p>
        </w:tc>
        <w:tc>
          <w:tcPr>
            <w:tcW w:w="779" w:type="dxa"/>
            <w:tcBorders>
              <w:top w:val="nil"/>
              <w:left w:val="nil"/>
              <w:bottom w:val="single" w:sz="4" w:space="0" w:color="auto"/>
              <w:right w:val="single" w:sz="4" w:space="0" w:color="auto"/>
            </w:tcBorders>
            <w:shd w:val="clear" w:color="auto" w:fill="C2D69B" w:themeFill="accent3" w:themeFillTint="99"/>
          </w:tcPr>
          <w:p w14:paraId="239C4F68" w14:textId="5D8755A6" w:rsidR="00C2307A" w:rsidRPr="00D55C54" w:rsidRDefault="00C2307A" w:rsidP="00F32B0C">
            <w:pPr>
              <w:spacing w:before="20" w:after="20" w:line="240" w:lineRule="auto"/>
              <w:jc w:val="right"/>
              <w:rPr>
                <w:rFonts w:eastAsia="Times New Roman"/>
                <w:b/>
                <w:bCs/>
                <w:sz w:val="20"/>
                <w:szCs w:val="20"/>
                <w:lang w:eastAsia="cs-CZ"/>
              </w:rPr>
            </w:pPr>
          </w:p>
          <w:p w14:paraId="3E9F1C1A" w14:textId="77777777" w:rsidR="00F1510B" w:rsidRPr="00D55C54" w:rsidRDefault="00F1510B"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6,749</w:t>
            </w:r>
          </w:p>
        </w:tc>
        <w:tc>
          <w:tcPr>
            <w:tcW w:w="945" w:type="dxa"/>
            <w:tcBorders>
              <w:top w:val="nil"/>
              <w:left w:val="nil"/>
              <w:bottom w:val="single" w:sz="4" w:space="0" w:color="auto"/>
              <w:right w:val="single" w:sz="4" w:space="0" w:color="auto"/>
            </w:tcBorders>
            <w:shd w:val="clear" w:color="auto" w:fill="C2D69B" w:themeFill="accent3" w:themeFillTint="99"/>
            <w:hideMark/>
          </w:tcPr>
          <w:p w14:paraId="7905EAAF"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3092239"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072DF37" w14:textId="2BEDA197" w:rsidR="00C2307A" w:rsidRPr="00D55C54" w:rsidRDefault="00C2307A" w:rsidP="00F32B0C">
            <w:pPr>
              <w:spacing w:before="20" w:after="20" w:line="240" w:lineRule="auto"/>
              <w:jc w:val="right"/>
              <w:rPr>
                <w:rFonts w:eastAsia="Times New Roman"/>
                <w:b/>
                <w:bCs/>
                <w:sz w:val="20"/>
                <w:szCs w:val="20"/>
                <w:lang w:eastAsia="cs-CZ"/>
              </w:rPr>
            </w:pPr>
          </w:p>
          <w:p w14:paraId="11EA1A39" w14:textId="77777777" w:rsidR="00F1510B" w:rsidRPr="00D55C54" w:rsidRDefault="00F1510B"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CFCBCFE"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6EB56A1"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 xml:space="preserve"> 0,739</w:t>
            </w:r>
          </w:p>
        </w:tc>
        <w:tc>
          <w:tcPr>
            <w:tcW w:w="779" w:type="dxa"/>
            <w:tcBorders>
              <w:top w:val="nil"/>
              <w:left w:val="nil"/>
              <w:bottom w:val="single" w:sz="4" w:space="0" w:color="auto"/>
              <w:right w:val="single" w:sz="4" w:space="0" w:color="auto"/>
            </w:tcBorders>
            <w:shd w:val="clear" w:color="auto" w:fill="C2D69B" w:themeFill="accent3" w:themeFillTint="99"/>
            <w:hideMark/>
          </w:tcPr>
          <w:p w14:paraId="6D675014" w14:textId="77777777" w:rsidR="00C2307A" w:rsidRPr="00D55C54" w:rsidRDefault="00A833A8"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3,421</w:t>
            </w:r>
          </w:p>
        </w:tc>
        <w:tc>
          <w:tcPr>
            <w:tcW w:w="779" w:type="dxa"/>
            <w:tcBorders>
              <w:top w:val="nil"/>
              <w:left w:val="nil"/>
              <w:bottom w:val="single" w:sz="4" w:space="0" w:color="auto"/>
              <w:right w:val="single" w:sz="4" w:space="0" w:color="auto"/>
            </w:tcBorders>
            <w:shd w:val="clear" w:color="auto" w:fill="C2D69B" w:themeFill="accent3" w:themeFillTint="99"/>
            <w:hideMark/>
          </w:tcPr>
          <w:p w14:paraId="2F77F731" w14:textId="565CE0FD" w:rsidR="00C2307A" w:rsidRPr="00D55C54" w:rsidRDefault="00C2307A" w:rsidP="00F32B0C">
            <w:pPr>
              <w:spacing w:before="20" w:after="20" w:line="240" w:lineRule="auto"/>
              <w:jc w:val="right"/>
              <w:rPr>
                <w:rFonts w:eastAsia="Times New Roman"/>
                <w:b/>
                <w:bCs/>
                <w:sz w:val="20"/>
                <w:szCs w:val="20"/>
                <w:lang w:eastAsia="cs-CZ"/>
              </w:rPr>
            </w:pPr>
          </w:p>
          <w:p w14:paraId="2852EA3E" w14:textId="77777777" w:rsidR="00F1510B" w:rsidRPr="00D55C54" w:rsidRDefault="00F1510B"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4,066</w:t>
            </w:r>
          </w:p>
        </w:tc>
        <w:tc>
          <w:tcPr>
            <w:tcW w:w="779" w:type="dxa"/>
            <w:tcBorders>
              <w:top w:val="nil"/>
              <w:left w:val="nil"/>
              <w:bottom w:val="single" w:sz="4" w:space="0" w:color="auto"/>
              <w:right w:val="single" w:sz="4" w:space="0" w:color="auto"/>
            </w:tcBorders>
            <w:shd w:val="clear" w:color="auto" w:fill="C2D69B" w:themeFill="accent3" w:themeFillTint="99"/>
            <w:hideMark/>
          </w:tcPr>
          <w:p w14:paraId="0FF12564" w14:textId="77777777" w:rsidR="00C2307A" w:rsidRPr="00D55C54" w:rsidRDefault="00622014" w:rsidP="00622014">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 xml:space="preserve"> 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1343124"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A4DF451"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 xml:space="preserve"> 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5BA290C7" w14:textId="77777777" w:rsidR="00C2307A" w:rsidRPr="00D55C54" w:rsidRDefault="00C2307A" w:rsidP="00F32B0C">
            <w:pPr>
              <w:spacing w:before="20" w:after="20" w:line="240" w:lineRule="auto"/>
              <w:jc w:val="right"/>
              <w:rPr>
                <w:rFonts w:eastAsia="Times New Roman"/>
                <w:b/>
                <w:bCs/>
                <w:sz w:val="20"/>
                <w:szCs w:val="20"/>
                <w:lang w:eastAsia="cs-CZ"/>
              </w:rPr>
            </w:pPr>
            <w:r w:rsidRPr="00D55C54">
              <w:rPr>
                <w:rFonts w:eastAsia="Times New Roman"/>
                <w:b/>
                <w:bCs/>
                <w:sz w:val="20"/>
                <w:szCs w:val="20"/>
                <w:lang w:eastAsia="cs-CZ"/>
              </w:rPr>
              <w:t>0,000</w:t>
            </w:r>
          </w:p>
        </w:tc>
      </w:tr>
      <w:tr w:rsidR="00C2307A" w:rsidRPr="00962634" w14:paraId="4E36DAE1" w14:textId="77777777" w:rsidTr="00F1510B">
        <w:tc>
          <w:tcPr>
            <w:tcW w:w="872" w:type="dxa"/>
            <w:tcBorders>
              <w:top w:val="nil"/>
              <w:left w:val="single" w:sz="4" w:space="0" w:color="auto"/>
              <w:bottom w:val="single" w:sz="4" w:space="0" w:color="auto"/>
              <w:right w:val="single" w:sz="4" w:space="0" w:color="auto"/>
            </w:tcBorders>
            <w:shd w:val="clear" w:color="auto" w:fill="auto"/>
            <w:hideMark/>
          </w:tcPr>
          <w:p w14:paraId="3ACD5F52"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P10</w:t>
            </w:r>
          </w:p>
        </w:tc>
        <w:tc>
          <w:tcPr>
            <w:tcW w:w="3453" w:type="dxa"/>
            <w:tcBorders>
              <w:top w:val="nil"/>
              <w:left w:val="nil"/>
              <w:bottom w:val="single" w:sz="4" w:space="0" w:color="auto"/>
              <w:right w:val="single" w:sz="4" w:space="0" w:color="auto"/>
            </w:tcBorders>
            <w:shd w:val="clear" w:color="auto" w:fill="auto"/>
            <w:hideMark/>
          </w:tcPr>
          <w:p w14:paraId="73CE9551" w14:textId="77777777" w:rsidR="00C2307A" w:rsidRPr="00962634" w:rsidRDefault="00C2307A" w:rsidP="00F32B0C">
            <w:pPr>
              <w:spacing w:before="20" w:after="20" w:line="240" w:lineRule="auto"/>
              <w:jc w:val="left"/>
              <w:rPr>
                <w:rFonts w:eastAsia="Times New Roman"/>
                <w:sz w:val="20"/>
                <w:szCs w:val="20"/>
                <w:lang w:eastAsia="cs-CZ"/>
              </w:rPr>
            </w:pPr>
            <w:r w:rsidRPr="00962634">
              <w:rPr>
                <w:rFonts w:eastAsia="Times New Roman"/>
                <w:sz w:val="20"/>
                <w:szCs w:val="20"/>
                <w:lang w:eastAsia="cs-CZ"/>
              </w:rPr>
              <w:t>ZV - veřejná prostranství - veřejná zeleň</w:t>
            </w:r>
          </w:p>
        </w:tc>
        <w:tc>
          <w:tcPr>
            <w:tcW w:w="779" w:type="dxa"/>
            <w:tcBorders>
              <w:top w:val="nil"/>
              <w:left w:val="nil"/>
              <w:bottom w:val="single" w:sz="4" w:space="0" w:color="auto"/>
              <w:right w:val="single" w:sz="4" w:space="0" w:color="auto"/>
            </w:tcBorders>
            <w:shd w:val="clear" w:color="auto" w:fill="auto"/>
          </w:tcPr>
          <w:p w14:paraId="57433E09" w14:textId="44304086" w:rsidR="00C2307A" w:rsidRPr="00F1510B" w:rsidRDefault="00C2307A" w:rsidP="00F32B0C">
            <w:pPr>
              <w:spacing w:before="20" w:after="20" w:line="240" w:lineRule="auto"/>
              <w:jc w:val="right"/>
              <w:rPr>
                <w:rFonts w:eastAsia="Times New Roman"/>
                <w:sz w:val="20"/>
                <w:szCs w:val="20"/>
                <w:lang w:eastAsia="cs-CZ"/>
              </w:rPr>
            </w:pPr>
          </w:p>
          <w:p w14:paraId="49AFB19E" w14:textId="77777777" w:rsidR="00F1510B" w:rsidRPr="00F1510B" w:rsidRDefault="00F1510B" w:rsidP="00F1510B">
            <w:pPr>
              <w:spacing w:before="20" w:after="20" w:line="240" w:lineRule="auto"/>
              <w:jc w:val="right"/>
              <w:rPr>
                <w:rFonts w:eastAsia="Times New Roman"/>
                <w:sz w:val="20"/>
                <w:szCs w:val="20"/>
                <w:lang w:eastAsia="cs-CZ"/>
              </w:rPr>
            </w:pPr>
            <w:r w:rsidRPr="00F1510B">
              <w:rPr>
                <w:rFonts w:eastAsia="Times New Roman"/>
                <w:sz w:val="20"/>
                <w:szCs w:val="20"/>
                <w:lang w:eastAsia="cs-CZ"/>
              </w:rPr>
              <w:t>0,100</w:t>
            </w:r>
          </w:p>
        </w:tc>
        <w:tc>
          <w:tcPr>
            <w:tcW w:w="779" w:type="dxa"/>
            <w:tcBorders>
              <w:top w:val="nil"/>
              <w:left w:val="nil"/>
              <w:bottom w:val="single" w:sz="4" w:space="0" w:color="auto"/>
              <w:right w:val="single" w:sz="4" w:space="0" w:color="auto"/>
            </w:tcBorders>
            <w:shd w:val="clear" w:color="auto" w:fill="auto"/>
            <w:hideMark/>
          </w:tcPr>
          <w:p w14:paraId="743DC5C6" w14:textId="0A281CC4" w:rsidR="00C2307A" w:rsidRPr="00F1510B" w:rsidRDefault="00C2307A" w:rsidP="00F32B0C">
            <w:pPr>
              <w:spacing w:before="20" w:after="20" w:line="240" w:lineRule="auto"/>
              <w:jc w:val="right"/>
              <w:rPr>
                <w:rFonts w:eastAsia="Times New Roman"/>
                <w:sz w:val="20"/>
                <w:szCs w:val="20"/>
                <w:lang w:eastAsia="cs-CZ"/>
              </w:rPr>
            </w:pPr>
          </w:p>
          <w:p w14:paraId="00D932CC" w14:textId="77777777" w:rsidR="00F1510B" w:rsidRPr="00F1510B" w:rsidRDefault="00F1510B" w:rsidP="00F1510B">
            <w:pPr>
              <w:spacing w:before="20" w:after="20" w:line="240" w:lineRule="auto"/>
              <w:jc w:val="right"/>
              <w:rPr>
                <w:rFonts w:eastAsia="Times New Roman"/>
                <w:sz w:val="20"/>
                <w:szCs w:val="20"/>
                <w:lang w:eastAsia="cs-CZ"/>
              </w:rPr>
            </w:pPr>
            <w:r w:rsidRPr="00F1510B">
              <w:rPr>
                <w:rFonts w:eastAsia="Times New Roman"/>
                <w:sz w:val="20"/>
                <w:szCs w:val="20"/>
                <w:lang w:eastAsia="cs-CZ"/>
              </w:rPr>
              <w:t>0,100</w:t>
            </w:r>
          </w:p>
        </w:tc>
        <w:tc>
          <w:tcPr>
            <w:tcW w:w="945" w:type="dxa"/>
            <w:tcBorders>
              <w:top w:val="nil"/>
              <w:left w:val="nil"/>
              <w:bottom w:val="single" w:sz="4" w:space="0" w:color="auto"/>
              <w:right w:val="single" w:sz="4" w:space="0" w:color="auto"/>
            </w:tcBorders>
            <w:shd w:val="clear" w:color="auto" w:fill="auto"/>
            <w:hideMark/>
          </w:tcPr>
          <w:p w14:paraId="277E64F2"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6F37188"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45736AD"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0D958ED"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D3539E9"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DFB9A39"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8588334" w14:textId="3FE434A4" w:rsidR="00C2307A" w:rsidRPr="00F1510B" w:rsidRDefault="00C2307A" w:rsidP="00F32B0C">
            <w:pPr>
              <w:spacing w:before="20" w:after="20" w:line="240" w:lineRule="auto"/>
              <w:jc w:val="right"/>
              <w:rPr>
                <w:rFonts w:eastAsia="Times New Roman"/>
                <w:sz w:val="20"/>
                <w:szCs w:val="20"/>
                <w:lang w:eastAsia="cs-CZ"/>
              </w:rPr>
            </w:pPr>
          </w:p>
          <w:p w14:paraId="36AE3D87" w14:textId="77777777" w:rsidR="00F1510B" w:rsidRPr="00F1510B" w:rsidRDefault="00F1510B"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0,100</w:t>
            </w:r>
          </w:p>
        </w:tc>
        <w:tc>
          <w:tcPr>
            <w:tcW w:w="779" w:type="dxa"/>
            <w:tcBorders>
              <w:top w:val="nil"/>
              <w:left w:val="nil"/>
              <w:bottom w:val="single" w:sz="4" w:space="0" w:color="auto"/>
              <w:right w:val="single" w:sz="4" w:space="0" w:color="auto"/>
            </w:tcBorders>
            <w:shd w:val="clear" w:color="auto" w:fill="auto"/>
            <w:hideMark/>
          </w:tcPr>
          <w:p w14:paraId="557B4380"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noWrap/>
            <w:hideMark/>
          </w:tcPr>
          <w:p w14:paraId="74D96F12"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487031E"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5A8F8038" w14:textId="77777777" w:rsidR="00C2307A" w:rsidRPr="00F1510B" w:rsidRDefault="00C2307A"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r>
      <w:tr w:rsidR="00C2307A" w:rsidRPr="00962634" w14:paraId="2007CD32" w14:textId="77777777" w:rsidTr="00F1510B">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7A99A137" w14:textId="77777777" w:rsidR="00C2307A" w:rsidRPr="00962634" w:rsidRDefault="00C2307A" w:rsidP="00F32B0C">
            <w:pPr>
              <w:spacing w:before="20" w:after="20" w:line="240" w:lineRule="auto"/>
              <w:jc w:val="left"/>
              <w:rPr>
                <w:rFonts w:eastAsia="Times New Roman"/>
                <w:b/>
                <w:bCs/>
                <w:sz w:val="20"/>
                <w:szCs w:val="20"/>
                <w:lang w:eastAsia="cs-CZ"/>
              </w:rPr>
            </w:pPr>
            <w:r w:rsidRPr="00962634">
              <w:rPr>
                <w:rFonts w:eastAsia="Times New Roman"/>
                <w:b/>
                <w:bCs/>
                <w:sz w:val="20"/>
                <w:szCs w:val="20"/>
                <w:lang w:eastAsia="cs-CZ"/>
              </w:rPr>
              <w:t>Plochy veřejných prostranství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72CAC213" w14:textId="30C43C37" w:rsidR="00C2307A" w:rsidRPr="00F1510B" w:rsidRDefault="00C2307A" w:rsidP="00F32B0C">
            <w:pPr>
              <w:spacing w:before="20" w:after="20" w:line="240" w:lineRule="auto"/>
              <w:jc w:val="right"/>
              <w:rPr>
                <w:rFonts w:eastAsia="Times New Roman"/>
                <w:b/>
                <w:bCs/>
                <w:sz w:val="20"/>
                <w:szCs w:val="20"/>
                <w:lang w:eastAsia="cs-CZ"/>
              </w:rPr>
            </w:pPr>
          </w:p>
          <w:p w14:paraId="67843FEC" w14:textId="77777777" w:rsidR="00F1510B" w:rsidRPr="00F1510B" w:rsidRDefault="00F1510B" w:rsidP="00F1510B">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0,100</w:t>
            </w:r>
          </w:p>
        </w:tc>
        <w:tc>
          <w:tcPr>
            <w:tcW w:w="779" w:type="dxa"/>
            <w:tcBorders>
              <w:top w:val="nil"/>
              <w:left w:val="nil"/>
              <w:bottom w:val="single" w:sz="4" w:space="0" w:color="auto"/>
              <w:right w:val="single" w:sz="4" w:space="0" w:color="auto"/>
            </w:tcBorders>
            <w:shd w:val="clear" w:color="auto" w:fill="C2D69B" w:themeFill="accent3" w:themeFillTint="99"/>
          </w:tcPr>
          <w:p w14:paraId="579525A9" w14:textId="7346CC24" w:rsidR="00C2307A" w:rsidRPr="00F1510B" w:rsidRDefault="00C2307A" w:rsidP="00F32B0C">
            <w:pPr>
              <w:spacing w:before="20" w:after="20" w:line="240" w:lineRule="auto"/>
              <w:jc w:val="right"/>
              <w:rPr>
                <w:rFonts w:eastAsia="Times New Roman"/>
                <w:b/>
                <w:bCs/>
                <w:sz w:val="20"/>
                <w:szCs w:val="20"/>
                <w:lang w:eastAsia="cs-CZ"/>
              </w:rPr>
            </w:pPr>
          </w:p>
          <w:p w14:paraId="0FD2B7F0" w14:textId="77777777" w:rsidR="00F1510B" w:rsidRPr="00F1510B" w:rsidRDefault="00F1510B" w:rsidP="00F1510B">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0,100</w:t>
            </w:r>
          </w:p>
        </w:tc>
        <w:tc>
          <w:tcPr>
            <w:tcW w:w="945" w:type="dxa"/>
            <w:tcBorders>
              <w:top w:val="nil"/>
              <w:left w:val="nil"/>
              <w:bottom w:val="single" w:sz="4" w:space="0" w:color="auto"/>
              <w:right w:val="single" w:sz="4" w:space="0" w:color="auto"/>
            </w:tcBorders>
            <w:shd w:val="clear" w:color="auto" w:fill="C2D69B" w:themeFill="accent3" w:themeFillTint="99"/>
            <w:hideMark/>
          </w:tcPr>
          <w:p w14:paraId="21E7291D"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C20F67B"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79CA852"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FF23140"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9582775"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5EEB115" w14:textId="77777777" w:rsidR="00C2307A" w:rsidRPr="00F1510B" w:rsidRDefault="00A833A8"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tcPr>
          <w:p w14:paraId="710C5CF3" w14:textId="7E1269D3" w:rsidR="00C2307A" w:rsidRPr="00F1510B" w:rsidRDefault="00C2307A" w:rsidP="00F32B0C">
            <w:pPr>
              <w:spacing w:before="20" w:after="20" w:line="240" w:lineRule="auto"/>
              <w:jc w:val="right"/>
              <w:rPr>
                <w:rFonts w:eastAsia="Times New Roman"/>
                <w:b/>
                <w:bCs/>
                <w:sz w:val="20"/>
                <w:szCs w:val="20"/>
                <w:lang w:eastAsia="cs-CZ"/>
              </w:rPr>
            </w:pPr>
          </w:p>
          <w:p w14:paraId="0256CCD1" w14:textId="77777777" w:rsidR="00F1510B" w:rsidRPr="00F1510B" w:rsidRDefault="00F1510B" w:rsidP="00F1510B">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0,100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6FC2F30"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3AB264C"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7E904A0"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41637838" w14:textId="77777777" w:rsidR="00C2307A" w:rsidRPr="00F1510B" w:rsidRDefault="00C2307A"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r>
      <w:tr w:rsidR="00C2307A" w:rsidRPr="00461C16" w14:paraId="3394FEEF" w14:textId="77777777" w:rsidTr="00D55C54">
        <w:tc>
          <w:tcPr>
            <w:tcW w:w="4325" w:type="dxa"/>
            <w:gridSpan w:val="2"/>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6657AA43" w14:textId="77777777" w:rsidR="00C2307A" w:rsidRPr="00A47843" w:rsidRDefault="00C2307A" w:rsidP="00F32B0C">
            <w:pPr>
              <w:spacing w:before="20" w:after="20" w:line="240" w:lineRule="auto"/>
              <w:jc w:val="left"/>
              <w:rPr>
                <w:rFonts w:eastAsia="Times New Roman"/>
                <w:b/>
                <w:bCs/>
                <w:color w:val="FFFFFF"/>
                <w:sz w:val="20"/>
                <w:szCs w:val="20"/>
                <w:lang w:eastAsia="cs-CZ"/>
              </w:rPr>
            </w:pPr>
            <w:r w:rsidRPr="00A47843">
              <w:rPr>
                <w:rFonts w:eastAsia="Times New Roman"/>
                <w:b/>
                <w:bCs/>
                <w:color w:val="FFFFFF"/>
                <w:sz w:val="20"/>
                <w:szCs w:val="20"/>
                <w:lang w:eastAsia="cs-CZ"/>
              </w:rPr>
              <w:t>K.Ú. HRÁDEK NAD NISOU - ZÁBOR ZPF CELKEM</w:t>
            </w:r>
          </w:p>
        </w:tc>
        <w:tc>
          <w:tcPr>
            <w:tcW w:w="779" w:type="dxa"/>
            <w:tcBorders>
              <w:top w:val="nil"/>
              <w:left w:val="nil"/>
              <w:bottom w:val="single" w:sz="4" w:space="0" w:color="auto"/>
              <w:right w:val="single" w:sz="4" w:space="0" w:color="auto"/>
            </w:tcBorders>
            <w:shd w:val="clear" w:color="auto" w:fill="76923C" w:themeFill="accent3" w:themeFillShade="BF"/>
            <w:hideMark/>
          </w:tcPr>
          <w:p w14:paraId="4C2BC7E5" w14:textId="2372C14F" w:rsidR="00D55C54" w:rsidRPr="00045A2D" w:rsidRDefault="00D55C54" w:rsidP="00622014">
            <w:pPr>
              <w:spacing w:before="20" w:after="20" w:line="240" w:lineRule="auto"/>
              <w:jc w:val="right"/>
              <w:rPr>
                <w:rFonts w:eastAsia="Times New Roman"/>
                <w:b/>
                <w:bCs/>
                <w:color w:val="FFFFFF"/>
                <w:sz w:val="20"/>
                <w:szCs w:val="20"/>
                <w:lang w:eastAsia="cs-CZ"/>
              </w:rPr>
            </w:pPr>
          </w:p>
          <w:p w14:paraId="46A08A30" w14:textId="77777777" w:rsidR="00D55C54" w:rsidRPr="00045A2D" w:rsidRDefault="00D55C54" w:rsidP="00622014">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44,318</w:t>
            </w:r>
          </w:p>
        </w:tc>
        <w:tc>
          <w:tcPr>
            <w:tcW w:w="779" w:type="dxa"/>
            <w:tcBorders>
              <w:top w:val="nil"/>
              <w:left w:val="nil"/>
              <w:bottom w:val="single" w:sz="4" w:space="0" w:color="auto"/>
              <w:right w:val="single" w:sz="4" w:space="0" w:color="auto"/>
            </w:tcBorders>
            <w:shd w:val="clear" w:color="auto" w:fill="76923C" w:themeFill="accent3" w:themeFillShade="BF"/>
          </w:tcPr>
          <w:p w14:paraId="17E21FCB" w14:textId="046EBEB5" w:rsidR="00C2307A" w:rsidRPr="00045A2D" w:rsidRDefault="00C2307A" w:rsidP="00622014">
            <w:pPr>
              <w:spacing w:before="20" w:after="20" w:line="240" w:lineRule="auto"/>
              <w:jc w:val="right"/>
              <w:rPr>
                <w:rFonts w:eastAsia="Times New Roman"/>
                <w:b/>
                <w:bCs/>
                <w:color w:val="FFFFFF"/>
                <w:sz w:val="20"/>
                <w:szCs w:val="20"/>
                <w:lang w:eastAsia="cs-CZ"/>
              </w:rPr>
            </w:pPr>
          </w:p>
          <w:p w14:paraId="58EA65BE" w14:textId="77777777" w:rsidR="00D55C54" w:rsidRPr="00045A2D" w:rsidRDefault="00D55C54" w:rsidP="00622014">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32,496</w:t>
            </w:r>
          </w:p>
        </w:tc>
        <w:tc>
          <w:tcPr>
            <w:tcW w:w="945" w:type="dxa"/>
            <w:tcBorders>
              <w:top w:val="nil"/>
              <w:left w:val="nil"/>
              <w:bottom w:val="single" w:sz="4" w:space="0" w:color="auto"/>
              <w:right w:val="single" w:sz="4" w:space="0" w:color="auto"/>
            </w:tcBorders>
            <w:shd w:val="clear" w:color="auto" w:fill="76923C" w:themeFill="accent3" w:themeFillShade="BF"/>
            <w:hideMark/>
          </w:tcPr>
          <w:p w14:paraId="334E104D" w14:textId="77777777" w:rsidR="00C2307A" w:rsidRPr="00045A2D" w:rsidRDefault="00C2307A" w:rsidP="00F32B0C">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54D4317D" w14:textId="77777777" w:rsidR="00C2307A" w:rsidRPr="00045A2D" w:rsidRDefault="00C2307A" w:rsidP="00F32B0C">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6B7B683E" w14:textId="2796D26A" w:rsidR="00C2307A" w:rsidRPr="00045A2D" w:rsidRDefault="00C2307A" w:rsidP="00F32B0C">
            <w:pPr>
              <w:spacing w:before="20" w:after="20" w:line="240" w:lineRule="auto"/>
              <w:jc w:val="right"/>
              <w:rPr>
                <w:rFonts w:eastAsia="Times New Roman"/>
                <w:b/>
                <w:bCs/>
                <w:color w:val="FFFFFF"/>
                <w:sz w:val="20"/>
                <w:szCs w:val="20"/>
                <w:lang w:eastAsia="cs-CZ"/>
              </w:rPr>
            </w:pPr>
          </w:p>
          <w:p w14:paraId="785AF893" w14:textId="77777777" w:rsidR="00D55C54" w:rsidRPr="00045A2D" w:rsidRDefault="00D55C54" w:rsidP="00F32B0C">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8,440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54FF0887" w14:textId="77777777" w:rsidR="00C2307A" w:rsidRPr="00045A2D" w:rsidRDefault="00C2307A" w:rsidP="00F32B0C">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56F6F6E3" w14:textId="77777777" w:rsidR="00C2307A" w:rsidRPr="00045A2D" w:rsidRDefault="00622014" w:rsidP="00622014">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 xml:space="preserve"> 3,382</w:t>
            </w:r>
          </w:p>
        </w:tc>
        <w:tc>
          <w:tcPr>
            <w:tcW w:w="779" w:type="dxa"/>
            <w:tcBorders>
              <w:top w:val="nil"/>
              <w:left w:val="nil"/>
              <w:bottom w:val="single" w:sz="4" w:space="0" w:color="auto"/>
              <w:right w:val="single" w:sz="4" w:space="0" w:color="auto"/>
            </w:tcBorders>
            <w:shd w:val="clear" w:color="auto" w:fill="76923C" w:themeFill="accent3" w:themeFillShade="BF"/>
            <w:hideMark/>
          </w:tcPr>
          <w:p w14:paraId="5B6A461E" w14:textId="77777777" w:rsidR="00C2307A" w:rsidRPr="00045A2D" w:rsidRDefault="00A47843" w:rsidP="00F32B0C">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11,679</w:t>
            </w:r>
          </w:p>
        </w:tc>
        <w:tc>
          <w:tcPr>
            <w:tcW w:w="779" w:type="dxa"/>
            <w:tcBorders>
              <w:top w:val="nil"/>
              <w:left w:val="nil"/>
              <w:bottom w:val="single" w:sz="4" w:space="0" w:color="auto"/>
              <w:right w:val="single" w:sz="4" w:space="0" w:color="auto"/>
            </w:tcBorders>
            <w:shd w:val="clear" w:color="auto" w:fill="76923C" w:themeFill="accent3" w:themeFillShade="BF"/>
            <w:hideMark/>
          </w:tcPr>
          <w:p w14:paraId="1710DD12" w14:textId="6012E9DF" w:rsidR="00C2307A" w:rsidRPr="00045A2D" w:rsidRDefault="00622014" w:rsidP="00045A2D">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 xml:space="preserve"> </w:t>
            </w:r>
          </w:p>
          <w:p w14:paraId="7CFDABCA" w14:textId="77777777" w:rsidR="00045A2D" w:rsidRPr="00045A2D" w:rsidRDefault="00045A2D" w:rsidP="00045A2D">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29,451</w:t>
            </w:r>
          </w:p>
        </w:tc>
        <w:tc>
          <w:tcPr>
            <w:tcW w:w="779" w:type="dxa"/>
            <w:tcBorders>
              <w:top w:val="nil"/>
              <w:left w:val="nil"/>
              <w:bottom w:val="single" w:sz="4" w:space="0" w:color="auto"/>
              <w:right w:val="single" w:sz="4" w:space="0" w:color="auto"/>
            </w:tcBorders>
            <w:shd w:val="clear" w:color="auto" w:fill="76923C" w:themeFill="accent3" w:themeFillShade="BF"/>
            <w:hideMark/>
          </w:tcPr>
          <w:p w14:paraId="2AB463B0" w14:textId="77777777" w:rsidR="00C2307A" w:rsidRPr="00045A2D" w:rsidRDefault="00622014" w:rsidP="00622014">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0,463</w:t>
            </w:r>
          </w:p>
        </w:tc>
        <w:tc>
          <w:tcPr>
            <w:tcW w:w="779" w:type="dxa"/>
            <w:tcBorders>
              <w:top w:val="nil"/>
              <w:left w:val="nil"/>
              <w:bottom w:val="single" w:sz="4" w:space="0" w:color="auto"/>
              <w:right w:val="single" w:sz="4" w:space="0" w:color="auto"/>
            </w:tcBorders>
            <w:shd w:val="clear" w:color="auto" w:fill="76923C" w:themeFill="accent3" w:themeFillShade="BF"/>
            <w:hideMark/>
          </w:tcPr>
          <w:p w14:paraId="656121CA" w14:textId="77777777" w:rsidR="00C2307A" w:rsidRPr="00045A2D" w:rsidRDefault="00C2307A" w:rsidP="00F32B0C">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5A5A2DD4" w14:textId="77777777" w:rsidR="00C2307A" w:rsidRPr="00045A2D" w:rsidRDefault="00C2307A" w:rsidP="00F32B0C">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 xml:space="preserve"> 2,724</w:t>
            </w:r>
          </w:p>
        </w:tc>
        <w:tc>
          <w:tcPr>
            <w:tcW w:w="845" w:type="dxa"/>
            <w:tcBorders>
              <w:top w:val="nil"/>
              <w:left w:val="nil"/>
              <w:bottom w:val="single" w:sz="4" w:space="0" w:color="auto"/>
              <w:right w:val="single" w:sz="4" w:space="0" w:color="auto"/>
            </w:tcBorders>
            <w:shd w:val="clear" w:color="auto" w:fill="76923C" w:themeFill="accent3" w:themeFillShade="BF"/>
            <w:hideMark/>
          </w:tcPr>
          <w:p w14:paraId="509D09FD" w14:textId="77777777" w:rsidR="00C2307A" w:rsidRPr="00045A2D" w:rsidRDefault="00C2307A" w:rsidP="00F32B0C">
            <w:pPr>
              <w:spacing w:before="20" w:after="20" w:line="240" w:lineRule="auto"/>
              <w:jc w:val="right"/>
              <w:rPr>
                <w:rFonts w:eastAsia="Times New Roman"/>
                <w:b/>
                <w:bCs/>
                <w:color w:val="FFFFFF"/>
                <w:sz w:val="20"/>
                <w:szCs w:val="20"/>
                <w:lang w:eastAsia="cs-CZ"/>
              </w:rPr>
            </w:pPr>
            <w:r w:rsidRPr="00045A2D">
              <w:rPr>
                <w:rFonts w:eastAsia="Times New Roman"/>
                <w:b/>
                <w:bCs/>
                <w:color w:val="FFFFFF"/>
                <w:sz w:val="20"/>
                <w:szCs w:val="20"/>
                <w:lang w:eastAsia="cs-CZ"/>
              </w:rPr>
              <w:t>0,000</w:t>
            </w:r>
          </w:p>
        </w:tc>
      </w:tr>
    </w:tbl>
    <w:p w14:paraId="7604F05C" w14:textId="77777777" w:rsidR="00F32B0C" w:rsidRPr="00461C16" w:rsidRDefault="00F32B0C"/>
    <w:p w14:paraId="3685FBF3" w14:textId="77777777" w:rsidR="00F32B0C" w:rsidRPr="00461C16" w:rsidRDefault="00F32B0C">
      <w:pPr>
        <w:spacing w:line="240" w:lineRule="auto"/>
        <w:jc w:val="left"/>
      </w:pPr>
      <w:r w:rsidRPr="00461C16">
        <w:br w:type="page"/>
      </w:r>
    </w:p>
    <w:tbl>
      <w:tblPr>
        <w:tblW w:w="14684" w:type="dxa"/>
        <w:tblInd w:w="-213" w:type="dxa"/>
        <w:tblCellMar>
          <w:left w:w="70" w:type="dxa"/>
          <w:right w:w="70" w:type="dxa"/>
        </w:tblCellMar>
        <w:tblLook w:val="04A0" w:firstRow="1" w:lastRow="0" w:firstColumn="1" w:lastColumn="0" w:noHBand="0" w:noVBand="1"/>
      </w:tblPr>
      <w:tblGrid>
        <w:gridCol w:w="872"/>
        <w:gridCol w:w="3453"/>
        <w:gridCol w:w="779"/>
        <w:gridCol w:w="779"/>
        <w:gridCol w:w="945"/>
        <w:gridCol w:w="779"/>
        <w:gridCol w:w="779"/>
        <w:gridCol w:w="779"/>
        <w:gridCol w:w="779"/>
        <w:gridCol w:w="779"/>
        <w:gridCol w:w="779"/>
        <w:gridCol w:w="779"/>
        <w:gridCol w:w="779"/>
        <w:gridCol w:w="779"/>
        <w:gridCol w:w="845"/>
      </w:tblGrid>
      <w:tr w:rsidR="00F32B0C" w:rsidRPr="0016348B" w14:paraId="473D3DDA" w14:textId="77777777" w:rsidTr="00A375C3">
        <w:tc>
          <w:tcPr>
            <w:tcW w:w="14684" w:type="dxa"/>
            <w:gridSpan w:val="15"/>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4D1F5CF0" w14:textId="77777777" w:rsidR="00F32B0C" w:rsidRPr="0016348B" w:rsidRDefault="00F32B0C" w:rsidP="00F32B0C">
            <w:pPr>
              <w:spacing w:before="20" w:after="20" w:line="240" w:lineRule="auto"/>
              <w:jc w:val="left"/>
              <w:rPr>
                <w:rFonts w:eastAsia="Times New Roman"/>
                <w:b/>
                <w:bCs/>
                <w:color w:val="FFFFFF"/>
                <w:sz w:val="20"/>
                <w:szCs w:val="20"/>
                <w:lang w:eastAsia="cs-CZ"/>
              </w:rPr>
            </w:pPr>
            <w:r w:rsidRPr="0016348B">
              <w:rPr>
                <w:rFonts w:eastAsia="Times New Roman"/>
                <w:b/>
                <w:bCs/>
                <w:color w:val="FFFFFF"/>
                <w:sz w:val="20"/>
                <w:szCs w:val="20"/>
                <w:lang w:eastAsia="cs-CZ"/>
              </w:rPr>
              <w:lastRenderedPageBreak/>
              <w:t>KATASTRÁLNÍ ÚZEMÍ LOUČNÁ</w:t>
            </w:r>
          </w:p>
        </w:tc>
      </w:tr>
      <w:tr w:rsidR="00F32B0C" w:rsidRPr="0016348B" w14:paraId="73F7DD22" w14:textId="77777777" w:rsidTr="00A375C3">
        <w:trPr>
          <w:tblHeader/>
        </w:trPr>
        <w:tc>
          <w:tcPr>
            <w:tcW w:w="872"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137AA5CC" w14:textId="77777777" w:rsidR="00F32B0C" w:rsidRPr="0016348B" w:rsidRDefault="00F32B0C" w:rsidP="00F32B0C">
            <w:pPr>
              <w:spacing w:before="20" w:after="20" w:line="240" w:lineRule="auto"/>
              <w:jc w:val="left"/>
              <w:rPr>
                <w:rFonts w:eastAsia="Times New Roman"/>
                <w:b/>
                <w:bCs/>
                <w:sz w:val="20"/>
                <w:szCs w:val="20"/>
                <w:lang w:eastAsia="cs-CZ"/>
              </w:rPr>
            </w:pPr>
            <w:r w:rsidRPr="0016348B">
              <w:rPr>
                <w:rFonts w:eastAsia="Times New Roman"/>
                <w:b/>
                <w:bCs/>
                <w:sz w:val="20"/>
                <w:szCs w:val="20"/>
                <w:lang w:eastAsia="cs-CZ"/>
              </w:rPr>
              <w:t>Označení plochy</w:t>
            </w:r>
          </w:p>
        </w:tc>
        <w:tc>
          <w:tcPr>
            <w:tcW w:w="3453"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63372F2A" w14:textId="77777777" w:rsidR="00F32B0C" w:rsidRPr="0016348B" w:rsidRDefault="00F32B0C" w:rsidP="00F32B0C">
            <w:pPr>
              <w:spacing w:before="20" w:after="20" w:line="240" w:lineRule="auto"/>
              <w:jc w:val="left"/>
              <w:rPr>
                <w:rFonts w:eastAsia="Times New Roman"/>
                <w:b/>
                <w:bCs/>
                <w:sz w:val="20"/>
                <w:szCs w:val="20"/>
                <w:lang w:eastAsia="cs-CZ"/>
              </w:rPr>
            </w:pPr>
            <w:r w:rsidRPr="0016348B">
              <w:rPr>
                <w:rFonts w:eastAsia="Times New Roman"/>
                <w:b/>
                <w:bCs/>
                <w:sz w:val="20"/>
                <w:szCs w:val="20"/>
                <w:lang w:eastAsia="cs-CZ"/>
              </w:rPr>
              <w:t>Způsob využití plochy</w:t>
            </w:r>
          </w:p>
        </w:tc>
        <w:tc>
          <w:tcPr>
            <w:tcW w:w="779"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571956F7"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Celkový zábor ZPF (ha)</w:t>
            </w:r>
          </w:p>
        </w:tc>
        <w:tc>
          <w:tcPr>
            <w:tcW w:w="4840" w:type="dxa"/>
            <w:gridSpan w:val="6"/>
            <w:tcBorders>
              <w:top w:val="single" w:sz="4" w:space="0" w:color="auto"/>
              <w:left w:val="nil"/>
              <w:bottom w:val="single" w:sz="4" w:space="0" w:color="auto"/>
              <w:right w:val="single" w:sz="4" w:space="0" w:color="000000"/>
            </w:tcBorders>
            <w:shd w:val="clear" w:color="000000" w:fill="F2F2F2"/>
            <w:hideMark/>
          </w:tcPr>
          <w:p w14:paraId="022A337A" w14:textId="77777777" w:rsidR="00F32B0C" w:rsidRPr="0016348B" w:rsidRDefault="00F32B0C" w:rsidP="00F32B0C">
            <w:pPr>
              <w:spacing w:before="20" w:after="20" w:line="240" w:lineRule="auto"/>
              <w:jc w:val="center"/>
              <w:rPr>
                <w:rFonts w:eastAsia="Times New Roman"/>
                <w:b/>
                <w:bCs/>
                <w:sz w:val="20"/>
                <w:szCs w:val="20"/>
                <w:lang w:eastAsia="cs-CZ"/>
              </w:rPr>
            </w:pPr>
            <w:r w:rsidRPr="0016348B">
              <w:rPr>
                <w:rFonts w:eastAsia="Times New Roman"/>
                <w:b/>
                <w:bCs/>
                <w:sz w:val="20"/>
                <w:szCs w:val="20"/>
                <w:lang w:eastAsia="cs-CZ"/>
              </w:rPr>
              <w:t>Zábor ZPF podle jednotlivých kultur (ha)</w:t>
            </w:r>
          </w:p>
        </w:tc>
        <w:tc>
          <w:tcPr>
            <w:tcW w:w="3895" w:type="dxa"/>
            <w:gridSpan w:val="5"/>
            <w:tcBorders>
              <w:top w:val="single" w:sz="4" w:space="0" w:color="auto"/>
              <w:left w:val="nil"/>
              <w:bottom w:val="single" w:sz="4" w:space="0" w:color="auto"/>
              <w:right w:val="single" w:sz="4" w:space="0" w:color="000000"/>
            </w:tcBorders>
            <w:shd w:val="clear" w:color="000000" w:fill="F2F2F2"/>
            <w:hideMark/>
          </w:tcPr>
          <w:p w14:paraId="28057875" w14:textId="77777777" w:rsidR="00F32B0C" w:rsidRPr="0016348B" w:rsidRDefault="00F32B0C" w:rsidP="00F32B0C">
            <w:pPr>
              <w:spacing w:before="20" w:after="20" w:line="240" w:lineRule="auto"/>
              <w:jc w:val="center"/>
              <w:rPr>
                <w:rFonts w:eastAsia="Times New Roman"/>
                <w:b/>
                <w:bCs/>
                <w:sz w:val="20"/>
                <w:szCs w:val="20"/>
                <w:lang w:eastAsia="cs-CZ"/>
              </w:rPr>
            </w:pPr>
            <w:r w:rsidRPr="0016348B">
              <w:rPr>
                <w:rFonts w:eastAsia="Times New Roman"/>
                <w:b/>
                <w:bCs/>
                <w:sz w:val="20"/>
                <w:szCs w:val="20"/>
                <w:lang w:eastAsia="cs-CZ"/>
              </w:rPr>
              <w:t>Zábor ZPF podle tříd ochrany (ha)</w:t>
            </w:r>
          </w:p>
        </w:tc>
        <w:tc>
          <w:tcPr>
            <w:tcW w:w="845"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74EAEFA1"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Investice do půdy (ha)</w:t>
            </w:r>
          </w:p>
        </w:tc>
      </w:tr>
      <w:tr w:rsidR="0016348B" w:rsidRPr="0016348B" w14:paraId="406417EF" w14:textId="77777777" w:rsidTr="00A375C3">
        <w:trPr>
          <w:tblHeader/>
        </w:trPr>
        <w:tc>
          <w:tcPr>
            <w:tcW w:w="872" w:type="dxa"/>
            <w:vMerge/>
            <w:tcBorders>
              <w:top w:val="single" w:sz="4" w:space="0" w:color="auto"/>
              <w:left w:val="single" w:sz="4" w:space="0" w:color="auto"/>
              <w:bottom w:val="single" w:sz="4" w:space="0" w:color="000000"/>
              <w:right w:val="single" w:sz="4" w:space="0" w:color="auto"/>
            </w:tcBorders>
            <w:hideMark/>
          </w:tcPr>
          <w:p w14:paraId="06EB660E" w14:textId="77777777" w:rsidR="00F32B0C" w:rsidRPr="0016348B" w:rsidRDefault="00F32B0C" w:rsidP="00F32B0C">
            <w:pPr>
              <w:spacing w:before="20" w:after="20" w:line="240" w:lineRule="auto"/>
              <w:jc w:val="left"/>
              <w:rPr>
                <w:rFonts w:eastAsia="Times New Roman"/>
                <w:b/>
                <w:bCs/>
                <w:sz w:val="20"/>
                <w:szCs w:val="20"/>
                <w:lang w:eastAsia="cs-CZ"/>
              </w:rPr>
            </w:pPr>
          </w:p>
        </w:tc>
        <w:tc>
          <w:tcPr>
            <w:tcW w:w="3453" w:type="dxa"/>
            <w:vMerge/>
            <w:tcBorders>
              <w:top w:val="single" w:sz="4" w:space="0" w:color="auto"/>
              <w:left w:val="single" w:sz="4" w:space="0" w:color="auto"/>
              <w:bottom w:val="single" w:sz="4" w:space="0" w:color="000000"/>
              <w:right w:val="single" w:sz="4" w:space="0" w:color="auto"/>
            </w:tcBorders>
            <w:hideMark/>
          </w:tcPr>
          <w:p w14:paraId="0FB6CE94" w14:textId="77777777" w:rsidR="00F32B0C" w:rsidRPr="0016348B" w:rsidRDefault="00F32B0C" w:rsidP="00F32B0C">
            <w:pPr>
              <w:spacing w:before="20" w:after="20" w:line="240" w:lineRule="auto"/>
              <w:jc w:val="left"/>
              <w:rPr>
                <w:rFonts w:eastAsia="Times New Roman"/>
                <w:b/>
                <w:bCs/>
                <w:sz w:val="20"/>
                <w:szCs w:val="20"/>
                <w:lang w:eastAsia="cs-CZ"/>
              </w:rPr>
            </w:pPr>
          </w:p>
        </w:tc>
        <w:tc>
          <w:tcPr>
            <w:tcW w:w="779" w:type="dxa"/>
            <w:vMerge/>
            <w:tcBorders>
              <w:top w:val="single" w:sz="4" w:space="0" w:color="auto"/>
              <w:left w:val="single" w:sz="4" w:space="0" w:color="auto"/>
              <w:bottom w:val="single" w:sz="4" w:space="0" w:color="000000"/>
              <w:right w:val="single" w:sz="4" w:space="0" w:color="auto"/>
            </w:tcBorders>
            <w:hideMark/>
          </w:tcPr>
          <w:p w14:paraId="731FACAC" w14:textId="77777777" w:rsidR="00F32B0C" w:rsidRPr="0016348B" w:rsidRDefault="00F32B0C" w:rsidP="00F32B0C">
            <w:pPr>
              <w:spacing w:before="20" w:after="20" w:line="240" w:lineRule="auto"/>
              <w:jc w:val="left"/>
              <w:rPr>
                <w:rFonts w:eastAsia="Times New Roman"/>
                <w:b/>
                <w:bCs/>
                <w:sz w:val="20"/>
                <w:szCs w:val="20"/>
                <w:lang w:eastAsia="cs-CZ"/>
              </w:rPr>
            </w:pPr>
          </w:p>
        </w:tc>
        <w:tc>
          <w:tcPr>
            <w:tcW w:w="779" w:type="dxa"/>
            <w:tcBorders>
              <w:top w:val="nil"/>
              <w:left w:val="nil"/>
              <w:bottom w:val="single" w:sz="4" w:space="0" w:color="auto"/>
              <w:right w:val="single" w:sz="4" w:space="0" w:color="auto"/>
            </w:tcBorders>
            <w:shd w:val="clear" w:color="000000" w:fill="F2F2F2"/>
            <w:hideMark/>
          </w:tcPr>
          <w:p w14:paraId="2130496F"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orná půda</w:t>
            </w:r>
          </w:p>
        </w:tc>
        <w:tc>
          <w:tcPr>
            <w:tcW w:w="945" w:type="dxa"/>
            <w:tcBorders>
              <w:top w:val="nil"/>
              <w:left w:val="nil"/>
              <w:bottom w:val="single" w:sz="4" w:space="0" w:color="auto"/>
              <w:right w:val="single" w:sz="4" w:space="0" w:color="auto"/>
            </w:tcBorders>
            <w:shd w:val="clear" w:color="000000" w:fill="F2F2F2"/>
            <w:hideMark/>
          </w:tcPr>
          <w:p w14:paraId="547DE00B"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chmelnice</w:t>
            </w:r>
          </w:p>
        </w:tc>
        <w:tc>
          <w:tcPr>
            <w:tcW w:w="779" w:type="dxa"/>
            <w:tcBorders>
              <w:top w:val="nil"/>
              <w:left w:val="nil"/>
              <w:bottom w:val="single" w:sz="4" w:space="0" w:color="auto"/>
              <w:right w:val="single" w:sz="4" w:space="0" w:color="auto"/>
            </w:tcBorders>
            <w:shd w:val="clear" w:color="000000" w:fill="F2F2F2"/>
            <w:hideMark/>
          </w:tcPr>
          <w:p w14:paraId="7C08F317"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vinice</w:t>
            </w:r>
          </w:p>
        </w:tc>
        <w:tc>
          <w:tcPr>
            <w:tcW w:w="779" w:type="dxa"/>
            <w:tcBorders>
              <w:top w:val="nil"/>
              <w:left w:val="nil"/>
              <w:bottom w:val="single" w:sz="4" w:space="0" w:color="auto"/>
              <w:right w:val="single" w:sz="4" w:space="0" w:color="auto"/>
            </w:tcBorders>
            <w:shd w:val="clear" w:color="000000" w:fill="F2F2F2"/>
            <w:hideMark/>
          </w:tcPr>
          <w:p w14:paraId="7E62A52C"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zahrady</w:t>
            </w:r>
          </w:p>
        </w:tc>
        <w:tc>
          <w:tcPr>
            <w:tcW w:w="779" w:type="dxa"/>
            <w:tcBorders>
              <w:top w:val="nil"/>
              <w:left w:val="nil"/>
              <w:bottom w:val="single" w:sz="4" w:space="0" w:color="auto"/>
              <w:right w:val="single" w:sz="4" w:space="0" w:color="auto"/>
            </w:tcBorders>
            <w:shd w:val="clear" w:color="000000" w:fill="F2F2F2"/>
            <w:hideMark/>
          </w:tcPr>
          <w:p w14:paraId="296797E0"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ovocné sady</w:t>
            </w:r>
          </w:p>
        </w:tc>
        <w:tc>
          <w:tcPr>
            <w:tcW w:w="779" w:type="dxa"/>
            <w:tcBorders>
              <w:top w:val="nil"/>
              <w:left w:val="nil"/>
              <w:bottom w:val="single" w:sz="4" w:space="0" w:color="auto"/>
              <w:right w:val="single" w:sz="4" w:space="0" w:color="auto"/>
            </w:tcBorders>
            <w:shd w:val="clear" w:color="000000" w:fill="F2F2F2"/>
            <w:hideMark/>
          </w:tcPr>
          <w:p w14:paraId="063A2ED7"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trv. travní porosty</w:t>
            </w:r>
          </w:p>
        </w:tc>
        <w:tc>
          <w:tcPr>
            <w:tcW w:w="779" w:type="dxa"/>
            <w:tcBorders>
              <w:top w:val="nil"/>
              <w:left w:val="nil"/>
              <w:bottom w:val="single" w:sz="4" w:space="0" w:color="auto"/>
              <w:right w:val="single" w:sz="4" w:space="0" w:color="auto"/>
            </w:tcBorders>
            <w:shd w:val="clear" w:color="000000" w:fill="F2F2F2"/>
            <w:hideMark/>
          </w:tcPr>
          <w:p w14:paraId="0123A602"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I</w:t>
            </w:r>
          </w:p>
        </w:tc>
        <w:tc>
          <w:tcPr>
            <w:tcW w:w="779" w:type="dxa"/>
            <w:tcBorders>
              <w:top w:val="nil"/>
              <w:left w:val="nil"/>
              <w:bottom w:val="single" w:sz="4" w:space="0" w:color="auto"/>
              <w:right w:val="single" w:sz="4" w:space="0" w:color="auto"/>
            </w:tcBorders>
            <w:shd w:val="clear" w:color="000000" w:fill="F2F2F2"/>
            <w:hideMark/>
          </w:tcPr>
          <w:p w14:paraId="4FA43B2B"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II</w:t>
            </w:r>
          </w:p>
        </w:tc>
        <w:tc>
          <w:tcPr>
            <w:tcW w:w="779" w:type="dxa"/>
            <w:tcBorders>
              <w:top w:val="nil"/>
              <w:left w:val="nil"/>
              <w:bottom w:val="single" w:sz="4" w:space="0" w:color="auto"/>
              <w:right w:val="single" w:sz="4" w:space="0" w:color="auto"/>
            </w:tcBorders>
            <w:shd w:val="clear" w:color="000000" w:fill="F2F2F2"/>
            <w:hideMark/>
          </w:tcPr>
          <w:p w14:paraId="6A7ED369"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III</w:t>
            </w:r>
          </w:p>
        </w:tc>
        <w:tc>
          <w:tcPr>
            <w:tcW w:w="779" w:type="dxa"/>
            <w:tcBorders>
              <w:top w:val="nil"/>
              <w:left w:val="nil"/>
              <w:bottom w:val="single" w:sz="4" w:space="0" w:color="auto"/>
              <w:right w:val="single" w:sz="4" w:space="0" w:color="auto"/>
            </w:tcBorders>
            <w:shd w:val="clear" w:color="000000" w:fill="F2F2F2"/>
            <w:hideMark/>
          </w:tcPr>
          <w:p w14:paraId="1E8152F1"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IV</w:t>
            </w:r>
          </w:p>
        </w:tc>
        <w:tc>
          <w:tcPr>
            <w:tcW w:w="779" w:type="dxa"/>
            <w:tcBorders>
              <w:top w:val="nil"/>
              <w:left w:val="nil"/>
              <w:bottom w:val="single" w:sz="4" w:space="0" w:color="auto"/>
              <w:right w:val="single" w:sz="4" w:space="0" w:color="auto"/>
            </w:tcBorders>
            <w:shd w:val="clear" w:color="000000" w:fill="F2F2F2"/>
            <w:hideMark/>
          </w:tcPr>
          <w:p w14:paraId="62579B53" w14:textId="77777777" w:rsidR="00F32B0C" w:rsidRPr="0016348B" w:rsidRDefault="00F32B0C" w:rsidP="00F32B0C">
            <w:pPr>
              <w:spacing w:before="20" w:after="20" w:line="240" w:lineRule="auto"/>
              <w:jc w:val="right"/>
              <w:rPr>
                <w:rFonts w:eastAsia="Times New Roman"/>
                <w:b/>
                <w:bCs/>
                <w:sz w:val="20"/>
                <w:szCs w:val="20"/>
                <w:lang w:eastAsia="cs-CZ"/>
              </w:rPr>
            </w:pPr>
            <w:r w:rsidRPr="0016348B">
              <w:rPr>
                <w:rFonts w:eastAsia="Times New Roman"/>
                <w:b/>
                <w:bCs/>
                <w:sz w:val="20"/>
                <w:szCs w:val="20"/>
                <w:lang w:eastAsia="cs-CZ"/>
              </w:rPr>
              <w:t>V</w:t>
            </w:r>
          </w:p>
        </w:tc>
        <w:tc>
          <w:tcPr>
            <w:tcW w:w="845" w:type="dxa"/>
            <w:vMerge/>
            <w:tcBorders>
              <w:top w:val="single" w:sz="4" w:space="0" w:color="auto"/>
              <w:left w:val="single" w:sz="4" w:space="0" w:color="auto"/>
              <w:bottom w:val="single" w:sz="4" w:space="0" w:color="000000"/>
              <w:right w:val="single" w:sz="4" w:space="0" w:color="auto"/>
            </w:tcBorders>
            <w:hideMark/>
          </w:tcPr>
          <w:p w14:paraId="55EEACB2" w14:textId="77777777" w:rsidR="00F32B0C" w:rsidRPr="0016348B" w:rsidRDefault="00F32B0C" w:rsidP="00F32B0C">
            <w:pPr>
              <w:spacing w:before="20" w:after="20" w:line="240" w:lineRule="auto"/>
              <w:jc w:val="left"/>
              <w:rPr>
                <w:rFonts w:eastAsia="Times New Roman"/>
                <w:b/>
                <w:bCs/>
                <w:sz w:val="20"/>
                <w:szCs w:val="20"/>
                <w:lang w:eastAsia="cs-CZ"/>
              </w:rPr>
            </w:pPr>
          </w:p>
        </w:tc>
      </w:tr>
      <w:tr w:rsidR="0016348B" w:rsidRPr="0016348B" w14:paraId="4AB82759"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5AF6FB8C" w14:textId="77777777" w:rsidR="009561A2" w:rsidRPr="0016348B" w:rsidRDefault="009561A2" w:rsidP="00F32B0C">
            <w:pPr>
              <w:spacing w:before="20" w:after="20" w:line="240" w:lineRule="auto"/>
              <w:jc w:val="left"/>
              <w:rPr>
                <w:rFonts w:eastAsia="Times New Roman"/>
                <w:sz w:val="20"/>
                <w:szCs w:val="20"/>
                <w:lang w:eastAsia="cs-CZ"/>
              </w:rPr>
            </w:pPr>
            <w:r w:rsidRPr="0016348B">
              <w:rPr>
                <w:rFonts w:eastAsia="Times New Roman"/>
                <w:sz w:val="20"/>
                <w:szCs w:val="20"/>
                <w:lang w:eastAsia="cs-CZ"/>
              </w:rPr>
              <w:t>Z57</w:t>
            </w:r>
          </w:p>
        </w:tc>
        <w:tc>
          <w:tcPr>
            <w:tcW w:w="3453" w:type="dxa"/>
            <w:tcBorders>
              <w:top w:val="nil"/>
              <w:left w:val="nil"/>
              <w:bottom w:val="single" w:sz="4" w:space="0" w:color="auto"/>
              <w:right w:val="single" w:sz="4" w:space="0" w:color="auto"/>
            </w:tcBorders>
            <w:shd w:val="clear" w:color="auto" w:fill="auto"/>
            <w:noWrap/>
            <w:hideMark/>
          </w:tcPr>
          <w:p w14:paraId="501D0DE3" w14:textId="77777777" w:rsidR="009561A2" w:rsidRPr="0016348B" w:rsidRDefault="009561A2" w:rsidP="00F32B0C">
            <w:pPr>
              <w:spacing w:before="20" w:after="20" w:line="240" w:lineRule="auto"/>
              <w:jc w:val="left"/>
              <w:rPr>
                <w:rFonts w:eastAsia="Times New Roman"/>
                <w:color w:val="000000"/>
                <w:sz w:val="20"/>
                <w:szCs w:val="20"/>
                <w:lang w:eastAsia="cs-CZ"/>
              </w:rPr>
            </w:pPr>
            <w:r w:rsidRPr="0016348B">
              <w:rPr>
                <w:rFonts w:eastAsia="Times New Roman"/>
                <w:color w:val="000000"/>
                <w:sz w:val="20"/>
                <w:szCs w:val="20"/>
                <w:lang w:eastAsia="cs-CZ"/>
              </w:rPr>
              <w:t>BI - bydlení městské a příměstské</w:t>
            </w:r>
          </w:p>
        </w:tc>
        <w:tc>
          <w:tcPr>
            <w:tcW w:w="779" w:type="dxa"/>
            <w:tcBorders>
              <w:top w:val="nil"/>
              <w:left w:val="nil"/>
              <w:bottom w:val="single" w:sz="4" w:space="0" w:color="auto"/>
              <w:right w:val="single" w:sz="4" w:space="0" w:color="auto"/>
            </w:tcBorders>
            <w:shd w:val="clear" w:color="auto" w:fill="auto"/>
            <w:hideMark/>
          </w:tcPr>
          <w:p w14:paraId="05AAAA1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0,397</w:t>
            </w:r>
          </w:p>
        </w:tc>
        <w:tc>
          <w:tcPr>
            <w:tcW w:w="779" w:type="dxa"/>
            <w:tcBorders>
              <w:top w:val="nil"/>
              <w:left w:val="nil"/>
              <w:bottom w:val="single" w:sz="4" w:space="0" w:color="auto"/>
              <w:right w:val="single" w:sz="4" w:space="0" w:color="auto"/>
            </w:tcBorders>
            <w:shd w:val="clear" w:color="auto" w:fill="auto"/>
            <w:hideMark/>
          </w:tcPr>
          <w:p w14:paraId="7F4CDC8B"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42B5C1AC"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1D3C304"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3ED60FF"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4AEE9BC"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54995A2"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0,397</w:t>
            </w:r>
          </w:p>
        </w:tc>
        <w:tc>
          <w:tcPr>
            <w:tcW w:w="779" w:type="dxa"/>
            <w:tcBorders>
              <w:top w:val="nil"/>
              <w:left w:val="nil"/>
              <w:bottom w:val="single" w:sz="4" w:space="0" w:color="auto"/>
              <w:right w:val="single" w:sz="4" w:space="0" w:color="auto"/>
            </w:tcBorders>
            <w:shd w:val="clear" w:color="auto" w:fill="auto"/>
            <w:hideMark/>
          </w:tcPr>
          <w:p w14:paraId="32FE3481"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D310BBC"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0,397</w:t>
            </w:r>
          </w:p>
        </w:tc>
        <w:tc>
          <w:tcPr>
            <w:tcW w:w="779" w:type="dxa"/>
            <w:tcBorders>
              <w:top w:val="nil"/>
              <w:left w:val="nil"/>
              <w:bottom w:val="single" w:sz="4" w:space="0" w:color="auto"/>
              <w:right w:val="single" w:sz="4" w:space="0" w:color="auto"/>
            </w:tcBorders>
            <w:shd w:val="clear" w:color="auto" w:fill="auto"/>
            <w:hideMark/>
          </w:tcPr>
          <w:p w14:paraId="3D9C0117"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4E2A85F"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6621643"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1BFCC256"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r>
      <w:tr w:rsidR="0016348B" w:rsidRPr="0016348B" w14:paraId="3CFCFBBF"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15CA4D76" w14:textId="77777777" w:rsidR="009561A2" w:rsidRPr="0016348B" w:rsidRDefault="009561A2" w:rsidP="00F32B0C">
            <w:pPr>
              <w:spacing w:before="20" w:after="20" w:line="240" w:lineRule="auto"/>
              <w:jc w:val="left"/>
              <w:rPr>
                <w:rFonts w:eastAsia="Times New Roman"/>
                <w:sz w:val="20"/>
                <w:szCs w:val="20"/>
                <w:lang w:eastAsia="cs-CZ"/>
              </w:rPr>
            </w:pPr>
            <w:r w:rsidRPr="0016348B">
              <w:rPr>
                <w:rFonts w:eastAsia="Times New Roman"/>
                <w:sz w:val="20"/>
                <w:szCs w:val="20"/>
                <w:lang w:eastAsia="cs-CZ"/>
              </w:rPr>
              <w:t>Z59</w:t>
            </w:r>
          </w:p>
        </w:tc>
        <w:tc>
          <w:tcPr>
            <w:tcW w:w="3453" w:type="dxa"/>
            <w:tcBorders>
              <w:top w:val="nil"/>
              <w:left w:val="nil"/>
              <w:bottom w:val="single" w:sz="4" w:space="0" w:color="auto"/>
              <w:right w:val="single" w:sz="4" w:space="0" w:color="auto"/>
            </w:tcBorders>
            <w:shd w:val="clear" w:color="auto" w:fill="auto"/>
            <w:noWrap/>
            <w:hideMark/>
          </w:tcPr>
          <w:p w14:paraId="0D0A7054" w14:textId="77777777" w:rsidR="009561A2" w:rsidRPr="0016348B" w:rsidRDefault="009561A2" w:rsidP="00F32B0C">
            <w:pPr>
              <w:spacing w:before="20" w:after="20" w:line="240" w:lineRule="auto"/>
              <w:jc w:val="left"/>
              <w:rPr>
                <w:rFonts w:eastAsia="Times New Roman"/>
                <w:color w:val="000000"/>
                <w:sz w:val="20"/>
                <w:szCs w:val="20"/>
                <w:lang w:eastAsia="cs-CZ"/>
              </w:rPr>
            </w:pPr>
            <w:r w:rsidRPr="0016348B">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hideMark/>
          </w:tcPr>
          <w:p w14:paraId="6483EC6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0,881</w:t>
            </w:r>
          </w:p>
        </w:tc>
        <w:tc>
          <w:tcPr>
            <w:tcW w:w="779" w:type="dxa"/>
            <w:tcBorders>
              <w:top w:val="nil"/>
              <w:left w:val="nil"/>
              <w:bottom w:val="single" w:sz="4" w:space="0" w:color="auto"/>
              <w:right w:val="single" w:sz="4" w:space="0" w:color="auto"/>
            </w:tcBorders>
            <w:shd w:val="clear" w:color="auto" w:fill="auto"/>
            <w:hideMark/>
          </w:tcPr>
          <w:p w14:paraId="34120E5B"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0,828</w:t>
            </w:r>
          </w:p>
        </w:tc>
        <w:tc>
          <w:tcPr>
            <w:tcW w:w="945" w:type="dxa"/>
            <w:tcBorders>
              <w:top w:val="nil"/>
              <w:left w:val="nil"/>
              <w:bottom w:val="single" w:sz="4" w:space="0" w:color="auto"/>
              <w:right w:val="single" w:sz="4" w:space="0" w:color="auto"/>
            </w:tcBorders>
            <w:shd w:val="clear" w:color="auto" w:fill="auto"/>
            <w:hideMark/>
          </w:tcPr>
          <w:p w14:paraId="33BD7D18"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774D8D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8B05347"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F779F17"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B1EF617"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0,054</w:t>
            </w:r>
          </w:p>
        </w:tc>
        <w:tc>
          <w:tcPr>
            <w:tcW w:w="779" w:type="dxa"/>
            <w:tcBorders>
              <w:top w:val="nil"/>
              <w:left w:val="nil"/>
              <w:bottom w:val="single" w:sz="4" w:space="0" w:color="auto"/>
              <w:right w:val="single" w:sz="4" w:space="0" w:color="auto"/>
            </w:tcBorders>
            <w:shd w:val="clear" w:color="auto" w:fill="auto"/>
            <w:hideMark/>
          </w:tcPr>
          <w:p w14:paraId="6DD3CE28"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198D3D5"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0,799</w:t>
            </w:r>
          </w:p>
        </w:tc>
        <w:tc>
          <w:tcPr>
            <w:tcW w:w="779" w:type="dxa"/>
            <w:tcBorders>
              <w:top w:val="nil"/>
              <w:left w:val="nil"/>
              <w:bottom w:val="single" w:sz="4" w:space="0" w:color="auto"/>
              <w:right w:val="single" w:sz="4" w:space="0" w:color="auto"/>
            </w:tcBorders>
            <w:shd w:val="clear" w:color="auto" w:fill="auto"/>
            <w:hideMark/>
          </w:tcPr>
          <w:p w14:paraId="0F038399"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0,083</w:t>
            </w:r>
          </w:p>
        </w:tc>
        <w:tc>
          <w:tcPr>
            <w:tcW w:w="779" w:type="dxa"/>
            <w:tcBorders>
              <w:top w:val="nil"/>
              <w:left w:val="nil"/>
              <w:bottom w:val="single" w:sz="4" w:space="0" w:color="auto"/>
              <w:right w:val="single" w:sz="4" w:space="0" w:color="auto"/>
            </w:tcBorders>
            <w:shd w:val="clear" w:color="auto" w:fill="auto"/>
            <w:hideMark/>
          </w:tcPr>
          <w:p w14:paraId="14DC49BE"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205CA99"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133A41DA"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r>
      <w:tr w:rsidR="0016348B" w:rsidRPr="0016348B" w14:paraId="3BC97FA3"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5052A707" w14:textId="77777777" w:rsidR="009561A2" w:rsidRPr="0016348B" w:rsidRDefault="009561A2" w:rsidP="00F32B0C">
            <w:pPr>
              <w:spacing w:before="20" w:after="20" w:line="240" w:lineRule="auto"/>
              <w:jc w:val="left"/>
              <w:rPr>
                <w:rFonts w:eastAsia="Times New Roman"/>
                <w:sz w:val="20"/>
                <w:szCs w:val="20"/>
                <w:lang w:eastAsia="cs-CZ"/>
              </w:rPr>
            </w:pPr>
            <w:r w:rsidRPr="0016348B">
              <w:rPr>
                <w:rFonts w:eastAsia="Times New Roman"/>
                <w:sz w:val="20"/>
                <w:szCs w:val="20"/>
                <w:lang w:eastAsia="cs-CZ"/>
              </w:rPr>
              <w:t>Z60</w:t>
            </w:r>
          </w:p>
        </w:tc>
        <w:tc>
          <w:tcPr>
            <w:tcW w:w="3453" w:type="dxa"/>
            <w:tcBorders>
              <w:top w:val="nil"/>
              <w:left w:val="nil"/>
              <w:bottom w:val="single" w:sz="4" w:space="0" w:color="auto"/>
              <w:right w:val="single" w:sz="4" w:space="0" w:color="auto"/>
            </w:tcBorders>
            <w:shd w:val="clear" w:color="auto" w:fill="auto"/>
            <w:noWrap/>
            <w:hideMark/>
          </w:tcPr>
          <w:p w14:paraId="0DDE8CD1" w14:textId="77777777" w:rsidR="009561A2" w:rsidRPr="0016348B" w:rsidRDefault="009561A2" w:rsidP="00F32B0C">
            <w:pPr>
              <w:spacing w:before="20" w:after="20" w:line="240" w:lineRule="auto"/>
              <w:jc w:val="left"/>
              <w:rPr>
                <w:rFonts w:eastAsia="Times New Roman"/>
                <w:color w:val="000000"/>
                <w:sz w:val="20"/>
                <w:szCs w:val="20"/>
                <w:lang w:eastAsia="cs-CZ"/>
              </w:rPr>
            </w:pPr>
            <w:r w:rsidRPr="0016348B">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hideMark/>
          </w:tcPr>
          <w:p w14:paraId="2DCCD62A"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1,184</w:t>
            </w:r>
          </w:p>
        </w:tc>
        <w:tc>
          <w:tcPr>
            <w:tcW w:w="779" w:type="dxa"/>
            <w:tcBorders>
              <w:top w:val="nil"/>
              <w:left w:val="nil"/>
              <w:bottom w:val="single" w:sz="4" w:space="0" w:color="auto"/>
              <w:right w:val="single" w:sz="4" w:space="0" w:color="auto"/>
            </w:tcBorders>
            <w:shd w:val="clear" w:color="auto" w:fill="auto"/>
            <w:hideMark/>
          </w:tcPr>
          <w:p w14:paraId="2640D17E"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1,184</w:t>
            </w:r>
          </w:p>
        </w:tc>
        <w:tc>
          <w:tcPr>
            <w:tcW w:w="945" w:type="dxa"/>
            <w:tcBorders>
              <w:top w:val="nil"/>
              <w:left w:val="nil"/>
              <w:bottom w:val="single" w:sz="4" w:space="0" w:color="auto"/>
              <w:right w:val="single" w:sz="4" w:space="0" w:color="auto"/>
            </w:tcBorders>
            <w:shd w:val="clear" w:color="auto" w:fill="auto"/>
            <w:hideMark/>
          </w:tcPr>
          <w:p w14:paraId="1FB18626"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8741C32"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96A9371"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8A71178"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C560402"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AE48B47"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CC018BB"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1,184</w:t>
            </w:r>
          </w:p>
        </w:tc>
        <w:tc>
          <w:tcPr>
            <w:tcW w:w="779" w:type="dxa"/>
            <w:tcBorders>
              <w:top w:val="nil"/>
              <w:left w:val="nil"/>
              <w:bottom w:val="single" w:sz="4" w:space="0" w:color="auto"/>
              <w:right w:val="single" w:sz="4" w:space="0" w:color="auto"/>
            </w:tcBorders>
            <w:shd w:val="clear" w:color="auto" w:fill="auto"/>
            <w:hideMark/>
          </w:tcPr>
          <w:p w14:paraId="6081942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61E5ECF"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6280A95"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392AD8BC"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r>
      <w:tr w:rsidR="0016348B" w:rsidRPr="0016348B" w14:paraId="5F4323CC"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3C3253CD" w14:textId="77777777" w:rsidR="009561A2" w:rsidRPr="0016348B" w:rsidRDefault="009561A2" w:rsidP="00F32B0C">
            <w:pPr>
              <w:spacing w:before="20" w:after="20" w:line="240" w:lineRule="auto"/>
              <w:jc w:val="left"/>
              <w:rPr>
                <w:rFonts w:eastAsia="Times New Roman"/>
                <w:sz w:val="20"/>
                <w:szCs w:val="20"/>
                <w:lang w:eastAsia="cs-CZ"/>
              </w:rPr>
            </w:pPr>
            <w:r w:rsidRPr="0016348B">
              <w:rPr>
                <w:rFonts w:eastAsia="Times New Roman"/>
                <w:sz w:val="20"/>
                <w:szCs w:val="20"/>
                <w:lang w:eastAsia="cs-CZ"/>
              </w:rPr>
              <w:t>Z61</w:t>
            </w:r>
          </w:p>
        </w:tc>
        <w:tc>
          <w:tcPr>
            <w:tcW w:w="3453" w:type="dxa"/>
            <w:tcBorders>
              <w:top w:val="nil"/>
              <w:left w:val="nil"/>
              <w:bottom w:val="single" w:sz="4" w:space="0" w:color="auto"/>
              <w:right w:val="single" w:sz="4" w:space="0" w:color="auto"/>
            </w:tcBorders>
            <w:shd w:val="clear" w:color="auto" w:fill="auto"/>
            <w:noWrap/>
            <w:hideMark/>
          </w:tcPr>
          <w:p w14:paraId="71C5B32A" w14:textId="77777777" w:rsidR="009561A2" w:rsidRPr="0016348B" w:rsidRDefault="009561A2" w:rsidP="00F32B0C">
            <w:pPr>
              <w:spacing w:before="20" w:after="20" w:line="240" w:lineRule="auto"/>
              <w:jc w:val="left"/>
              <w:rPr>
                <w:rFonts w:eastAsia="Times New Roman"/>
                <w:color w:val="000000"/>
                <w:sz w:val="20"/>
                <w:szCs w:val="20"/>
                <w:lang w:eastAsia="cs-CZ"/>
              </w:rPr>
            </w:pPr>
            <w:r w:rsidRPr="0016348B">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hideMark/>
          </w:tcPr>
          <w:p w14:paraId="48774E57"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1,466</w:t>
            </w:r>
          </w:p>
        </w:tc>
        <w:tc>
          <w:tcPr>
            <w:tcW w:w="779" w:type="dxa"/>
            <w:tcBorders>
              <w:top w:val="nil"/>
              <w:left w:val="nil"/>
              <w:bottom w:val="single" w:sz="4" w:space="0" w:color="auto"/>
              <w:right w:val="single" w:sz="4" w:space="0" w:color="auto"/>
            </w:tcBorders>
            <w:shd w:val="clear" w:color="auto" w:fill="auto"/>
            <w:hideMark/>
          </w:tcPr>
          <w:p w14:paraId="240531A7"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0,853</w:t>
            </w:r>
          </w:p>
        </w:tc>
        <w:tc>
          <w:tcPr>
            <w:tcW w:w="945" w:type="dxa"/>
            <w:tcBorders>
              <w:top w:val="nil"/>
              <w:left w:val="nil"/>
              <w:bottom w:val="single" w:sz="4" w:space="0" w:color="auto"/>
              <w:right w:val="single" w:sz="4" w:space="0" w:color="auto"/>
            </w:tcBorders>
            <w:shd w:val="clear" w:color="auto" w:fill="auto"/>
            <w:hideMark/>
          </w:tcPr>
          <w:p w14:paraId="764EA988"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2CACCC1"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91DD5D0"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8A07444"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E99172B"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0,613</w:t>
            </w:r>
          </w:p>
        </w:tc>
        <w:tc>
          <w:tcPr>
            <w:tcW w:w="779" w:type="dxa"/>
            <w:tcBorders>
              <w:top w:val="nil"/>
              <w:left w:val="nil"/>
              <w:bottom w:val="single" w:sz="4" w:space="0" w:color="auto"/>
              <w:right w:val="single" w:sz="4" w:space="0" w:color="auto"/>
            </w:tcBorders>
            <w:shd w:val="clear" w:color="auto" w:fill="auto"/>
            <w:hideMark/>
          </w:tcPr>
          <w:p w14:paraId="221A8485"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E5AA91F"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0,103</w:t>
            </w:r>
          </w:p>
        </w:tc>
        <w:tc>
          <w:tcPr>
            <w:tcW w:w="779" w:type="dxa"/>
            <w:tcBorders>
              <w:top w:val="nil"/>
              <w:left w:val="nil"/>
              <w:bottom w:val="single" w:sz="4" w:space="0" w:color="auto"/>
              <w:right w:val="single" w:sz="4" w:space="0" w:color="auto"/>
            </w:tcBorders>
            <w:shd w:val="clear" w:color="auto" w:fill="auto"/>
            <w:hideMark/>
          </w:tcPr>
          <w:p w14:paraId="2716FD0E"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1,363</w:t>
            </w:r>
          </w:p>
        </w:tc>
        <w:tc>
          <w:tcPr>
            <w:tcW w:w="779" w:type="dxa"/>
            <w:tcBorders>
              <w:top w:val="nil"/>
              <w:left w:val="nil"/>
              <w:bottom w:val="single" w:sz="4" w:space="0" w:color="auto"/>
              <w:right w:val="single" w:sz="4" w:space="0" w:color="auto"/>
            </w:tcBorders>
            <w:shd w:val="clear" w:color="auto" w:fill="auto"/>
            <w:hideMark/>
          </w:tcPr>
          <w:p w14:paraId="37F6C00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03294E2"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7F8653A0"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r>
      <w:tr w:rsidR="0016348B" w:rsidRPr="0016348B" w14:paraId="0F6381E1"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2DC140EC" w14:textId="77777777" w:rsidR="009561A2" w:rsidRPr="0016348B" w:rsidRDefault="009561A2" w:rsidP="00F32B0C">
            <w:pPr>
              <w:spacing w:before="20" w:after="20" w:line="240" w:lineRule="auto"/>
              <w:jc w:val="left"/>
              <w:rPr>
                <w:rFonts w:eastAsia="Times New Roman"/>
                <w:sz w:val="20"/>
                <w:szCs w:val="20"/>
                <w:lang w:eastAsia="cs-CZ"/>
              </w:rPr>
            </w:pPr>
            <w:r w:rsidRPr="0016348B">
              <w:rPr>
                <w:rFonts w:eastAsia="Times New Roman"/>
                <w:sz w:val="20"/>
                <w:szCs w:val="20"/>
                <w:lang w:eastAsia="cs-CZ"/>
              </w:rPr>
              <w:t>Z62</w:t>
            </w:r>
          </w:p>
        </w:tc>
        <w:tc>
          <w:tcPr>
            <w:tcW w:w="3453" w:type="dxa"/>
            <w:tcBorders>
              <w:top w:val="nil"/>
              <w:left w:val="nil"/>
              <w:bottom w:val="single" w:sz="4" w:space="0" w:color="auto"/>
              <w:right w:val="single" w:sz="4" w:space="0" w:color="auto"/>
            </w:tcBorders>
            <w:shd w:val="clear" w:color="auto" w:fill="auto"/>
            <w:noWrap/>
            <w:hideMark/>
          </w:tcPr>
          <w:p w14:paraId="69E46237" w14:textId="77777777" w:rsidR="009561A2" w:rsidRPr="0016348B" w:rsidRDefault="009561A2" w:rsidP="00F32B0C">
            <w:pPr>
              <w:spacing w:before="20" w:after="20" w:line="240" w:lineRule="auto"/>
              <w:jc w:val="left"/>
              <w:rPr>
                <w:rFonts w:eastAsia="Times New Roman"/>
                <w:color w:val="000000"/>
                <w:sz w:val="20"/>
                <w:szCs w:val="20"/>
                <w:lang w:eastAsia="cs-CZ"/>
              </w:rPr>
            </w:pPr>
            <w:r w:rsidRPr="0016348B">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hideMark/>
          </w:tcPr>
          <w:p w14:paraId="7998D8EE"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0,647</w:t>
            </w:r>
          </w:p>
        </w:tc>
        <w:tc>
          <w:tcPr>
            <w:tcW w:w="779" w:type="dxa"/>
            <w:tcBorders>
              <w:top w:val="nil"/>
              <w:left w:val="nil"/>
              <w:bottom w:val="single" w:sz="4" w:space="0" w:color="auto"/>
              <w:right w:val="single" w:sz="4" w:space="0" w:color="auto"/>
            </w:tcBorders>
            <w:shd w:val="clear" w:color="auto" w:fill="auto"/>
            <w:hideMark/>
          </w:tcPr>
          <w:p w14:paraId="77C71373"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2B421FAF"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2C64E9F"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CC2FFA2"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FD5A379"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1ED2695"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0,647</w:t>
            </w:r>
          </w:p>
        </w:tc>
        <w:tc>
          <w:tcPr>
            <w:tcW w:w="779" w:type="dxa"/>
            <w:tcBorders>
              <w:top w:val="nil"/>
              <w:left w:val="nil"/>
              <w:bottom w:val="single" w:sz="4" w:space="0" w:color="auto"/>
              <w:right w:val="single" w:sz="4" w:space="0" w:color="auto"/>
            </w:tcBorders>
            <w:shd w:val="clear" w:color="auto" w:fill="auto"/>
            <w:hideMark/>
          </w:tcPr>
          <w:p w14:paraId="11EE02D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2F09ED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40B8889"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0,647</w:t>
            </w:r>
          </w:p>
        </w:tc>
        <w:tc>
          <w:tcPr>
            <w:tcW w:w="779" w:type="dxa"/>
            <w:tcBorders>
              <w:top w:val="nil"/>
              <w:left w:val="nil"/>
              <w:bottom w:val="single" w:sz="4" w:space="0" w:color="auto"/>
              <w:right w:val="single" w:sz="4" w:space="0" w:color="auto"/>
            </w:tcBorders>
            <w:shd w:val="clear" w:color="auto" w:fill="auto"/>
            <w:hideMark/>
          </w:tcPr>
          <w:p w14:paraId="1981BA2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0D011FD"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694ECEE1" w14:textId="77777777" w:rsidR="009561A2" w:rsidRPr="0016348B" w:rsidRDefault="009561A2" w:rsidP="00F32B0C">
            <w:pPr>
              <w:spacing w:before="20" w:after="20" w:line="240" w:lineRule="auto"/>
              <w:jc w:val="right"/>
              <w:rPr>
                <w:rFonts w:eastAsia="Times New Roman"/>
                <w:sz w:val="20"/>
                <w:szCs w:val="20"/>
                <w:lang w:eastAsia="cs-CZ"/>
              </w:rPr>
            </w:pPr>
            <w:r w:rsidRPr="0016348B">
              <w:rPr>
                <w:rFonts w:eastAsia="Times New Roman"/>
                <w:sz w:val="20"/>
                <w:szCs w:val="20"/>
                <w:lang w:eastAsia="cs-CZ"/>
              </w:rPr>
              <w:t>0,000</w:t>
            </w:r>
          </w:p>
        </w:tc>
      </w:tr>
      <w:tr w:rsidR="0016348B" w:rsidRPr="0016348B" w14:paraId="16769EF2"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777A5D0B" w14:textId="77777777" w:rsidR="009561A2" w:rsidRPr="0016348B" w:rsidRDefault="009561A2" w:rsidP="00F32B0C">
            <w:pPr>
              <w:spacing w:before="20" w:after="20" w:line="240" w:lineRule="auto"/>
              <w:jc w:val="left"/>
              <w:rPr>
                <w:rFonts w:eastAsia="Times New Roman"/>
                <w:sz w:val="20"/>
                <w:szCs w:val="20"/>
                <w:lang w:eastAsia="cs-CZ"/>
              </w:rPr>
            </w:pPr>
            <w:r w:rsidRPr="0016348B">
              <w:rPr>
                <w:rFonts w:eastAsia="Times New Roman"/>
                <w:sz w:val="20"/>
                <w:szCs w:val="20"/>
                <w:lang w:eastAsia="cs-CZ"/>
              </w:rPr>
              <w:t>Z64</w:t>
            </w:r>
          </w:p>
        </w:tc>
        <w:tc>
          <w:tcPr>
            <w:tcW w:w="3453" w:type="dxa"/>
            <w:tcBorders>
              <w:top w:val="nil"/>
              <w:left w:val="nil"/>
              <w:bottom w:val="single" w:sz="4" w:space="0" w:color="auto"/>
              <w:right w:val="single" w:sz="4" w:space="0" w:color="auto"/>
            </w:tcBorders>
            <w:shd w:val="clear" w:color="auto" w:fill="auto"/>
            <w:noWrap/>
            <w:hideMark/>
          </w:tcPr>
          <w:p w14:paraId="2C5053B4" w14:textId="77777777" w:rsidR="009561A2" w:rsidRPr="0016348B" w:rsidRDefault="009561A2" w:rsidP="00F32B0C">
            <w:pPr>
              <w:spacing w:before="20" w:after="20" w:line="240" w:lineRule="auto"/>
              <w:jc w:val="left"/>
              <w:rPr>
                <w:rFonts w:eastAsia="Times New Roman"/>
                <w:color w:val="000000"/>
                <w:sz w:val="20"/>
                <w:szCs w:val="20"/>
                <w:lang w:eastAsia="cs-CZ"/>
              </w:rPr>
            </w:pPr>
            <w:r w:rsidRPr="0016348B">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hideMark/>
          </w:tcPr>
          <w:p w14:paraId="20A7D8AA" w14:textId="50A30726" w:rsidR="00F1510B" w:rsidRPr="00F1510B" w:rsidRDefault="00F1510B" w:rsidP="0016348B">
            <w:pPr>
              <w:spacing w:before="20" w:after="20" w:line="240" w:lineRule="auto"/>
              <w:jc w:val="right"/>
              <w:rPr>
                <w:rFonts w:eastAsia="Times New Roman"/>
                <w:sz w:val="20"/>
                <w:szCs w:val="20"/>
                <w:lang w:eastAsia="cs-CZ"/>
              </w:rPr>
            </w:pPr>
          </w:p>
          <w:p w14:paraId="622FB50B" w14:textId="77777777" w:rsidR="009561A2" w:rsidRPr="00F1510B" w:rsidRDefault="00F1510B" w:rsidP="0016348B">
            <w:pPr>
              <w:spacing w:before="20" w:after="20" w:line="240" w:lineRule="auto"/>
              <w:jc w:val="right"/>
              <w:rPr>
                <w:rFonts w:eastAsia="Times New Roman"/>
                <w:sz w:val="20"/>
                <w:szCs w:val="20"/>
                <w:lang w:eastAsia="cs-CZ"/>
              </w:rPr>
            </w:pPr>
            <w:r w:rsidRPr="00F1510B">
              <w:rPr>
                <w:rFonts w:eastAsia="Times New Roman"/>
                <w:sz w:val="20"/>
                <w:szCs w:val="20"/>
                <w:lang w:eastAsia="cs-CZ"/>
              </w:rPr>
              <w:t>0,330</w:t>
            </w:r>
          </w:p>
        </w:tc>
        <w:tc>
          <w:tcPr>
            <w:tcW w:w="779" w:type="dxa"/>
            <w:tcBorders>
              <w:top w:val="nil"/>
              <w:left w:val="nil"/>
              <w:bottom w:val="single" w:sz="4" w:space="0" w:color="auto"/>
              <w:right w:val="single" w:sz="4" w:space="0" w:color="auto"/>
            </w:tcBorders>
            <w:shd w:val="clear" w:color="auto" w:fill="auto"/>
            <w:hideMark/>
          </w:tcPr>
          <w:p w14:paraId="5B41452E"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p w14:paraId="7207DBE9" w14:textId="77777777" w:rsidR="00F1510B" w:rsidRPr="00F1510B" w:rsidRDefault="00F1510B" w:rsidP="00F32B0C">
            <w:pPr>
              <w:spacing w:before="20" w:after="20" w:line="240" w:lineRule="auto"/>
              <w:jc w:val="right"/>
              <w:rPr>
                <w:rFonts w:eastAsia="Times New Roman"/>
                <w:sz w:val="20"/>
                <w:szCs w:val="20"/>
                <w:lang w:eastAsia="cs-CZ"/>
              </w:rPr>
            </w:pPr>
          </w:p>
        </w:tc>
        <w:tc>
          <w:tcPr>
            <w:tcW w:w="945" w:type="dxa"/>
            <w:tcBorders>
              <w:top w:val="nil"/>
              <w:left w:val="nil"/>
              <w:bottom w:val="single" w:sz="4" w:space="0" w:color="auto"/>
              <w:right w:val="single" w:sz="4" w:space="0" w:color="auto"/>
            </w:tcBorders>
            <w:shd w:val="clear" w:color="auto" w:fill="auto"/>
            <w:hideMark/>
          </w:tcPr>
          <w:p w14:paraId="328C708F"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0C6DB9D"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7E402AE"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147B597"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70E1662" w14:textId="19560F4E" w:rsidR="009561A2" w:rsidRPr="00F1510B" w:rsidRDefault="009561A2" w:rsidP="00F32B0C">
            <w:pPr>
              <w:spacing w:before="20" w:after="20" w:line="240" w:lineRule="auto"/>
              <w:jc w:val="right"/>
              <w:rPr>
                <w:rFonts w:eastAsia="Times New Roman"/>
                <w:sz w:val="20"/>
                <w:szCs w:val="20"/>
                <w:lang w:eastAsia="cs-CZ"/>
              </w:rPr>
            </w:pPr>
          </w:p>
          <w:p w14:paraId="327D6DBE" w14:textId="77777777" w:rsidR="00F1510B" w:rsidRPr="00F1510B" w:rsidRDefault="00F1510B"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0,330</w:t>
            </w:r>
          </w:p>
        </w:tc>
        <w:tc>
          <w:tcPr>
            <w:tcW w:w="779" w:type="dxa"/>
            <w:tcBorders>
              <w:top w:val="nil"/>
              <w:left w:val="nil"/>
              <w:bottom w:val="single" w:sz="4" w:space="0" w:color="auto"/>
              <w:right w:val="single" w:sz="4" w:space="0" w:color="auto"/>
            </w:tcBorders>
            <w:shd w:val="clear" w:color="auto" w:fill="auto"/>
            <w:hideMark/>
          </w:tcPr>
          <w:p w14:paraId="10E7E38C"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B113D50"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F69FC87"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009B869"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FF46729" w14:textId="1595D64A" w:rsidR="009561A2" w:rsidRPr="00F1510B" w:rsidRDefault="009561A2" w:rsidP="00F32B0C">
            <w:pPr>
              <w:spacing w:before="20" w:after="20" w:line="240" w:lineRule="auto"/>
              <w:jc w:val="right"/>
              <w:rPr>
                <w:rFonts w:eastAsia="Times New Roman"/>
                <w:sz w:val="20"/>
                <w:szCs w:val="20"/>
                <w:lang w:eastAsia="cs-CZ"/>
              </w:rPr>
            </w:pPr>
          </w:p>
          <w:p w14:paraId="5E2699FC" w14:textId="77777777" w:rsidR="00F1510B" w:rsidRPr="00F1510B" w:rsidRDefault="00F1510B"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0,330</w:t>
            </w:r>
          </w:p>
        </w:tc>
        <w:tc>
          <w:tcPr>
            <w:tcW w:w="845" w:type="dxa"/>
            <w:tcBorders>
              <w:top w:val="nil"/>
              <w:left w:val="nil"/>
              <w:bottom w:val="single" w:sz="4" w:space="0" w:color="auto"/>
              <w:right w:val="single" w:sz="4" w:space="0" w:color="auto"/>
            </w:tcBorders>
            <w:shd w:val="clear" w:color="auto" w:fill="auto"/>
            <w:hideMark/>
          </w:tcPr>
          <w:p w14:paraId="09EE4FC3"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r>
      <w:tr w:rsidR="0016348B" w:rsidRPr="0016348B" w14:paraId="510A5EC2"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5FBC58BE" w14:textId="77777777" w:rsidR="009561A2" w:rsidRPr="0016348B" w:rsidRDefault="009561A2" w:rsidP="00F32B0C">
            <w:pPr>
              <w:spacing w:before="20" w:after="20" w:line="240" w:lineRule="auto"/>
              <w:jc w:val="left"/>
              <w:rPr>
                <w:rFonts w:eastAsia="Times New Roman"/>
                <w:sz w:val="20"/>
                <w:szCs w:val="20"/>
                <w:lang w:eastAsia="cs-CZ"/>
              </w:rPr>
            </w:pPr>
            <w:r w:rsidRPr="0016348B">
              <w:rPr>
                <w:rFonts w:eastAsia="Times New Roman"/>
                <w:sz w:val="20"/>
                <w:szCs w:val="20"/>
                <w:lang w:eastAsia="cs-CZ"/>
              </w:rPr>
              <w:t>Z65</w:t>
            </w:r>
          </w:p>
        </w:tc>
        <w:tc>
          <w:tcPr>
            <w:tcW w:w="3453" w:type="dxa"/>
            <w:tcBorders>
              <w:top w:val="nil"/>
              <w:left w:val="nil"/>
              <w:bottom w:val="single" w:sz="4" w:space="0" w:color="auto"/>
              <w:right w:val="single" w:sz="4" w:space="0" w:color="auto"/>
            </w:tcBorders>
            <w:shd w:val="clear" w:color="auto" w:fill="auto"/>
            <w:noWrap/>
            <w:hideMark/>
          </w:tcPr>
          <w:p w14:paraId="57A55F04" w14:textId="77777777" w:rsidR="009561A2" w:rsidRPr="0016348B" w:rsidRDefault="009561A2" w:rsidP="00F32B0C">
            <w:pPr>
              <w:spacing w:before="20" w:after="20" w:line="240" w:lineRule="auto"/>
              <w:jc w:val="left"/>
              <w:rPr>
                <w:rFonts w:eastAsia="Times New Roman"/>
                <w:color w:val="000000"/>
                <w:sz w:val="20"/>
                <w:szCs w:val="20"/>
                <w:lang w:eastAsia="cs-CZ"/>
              </w:rPr>
            </w:pPr>
            <w:r w:rsidRPr="0016348B">
              <w:rPr>
                <w:rFonts w:eastAsia="Times New Roman"/>
                <w:color w:val="000000"/>
                <w:sz w:val="20"/>
                <w:szCs w:val="20"/>
                <w:lang w:eastAsia="cs-CZ"/>
              </w:rPr>
              <w:t>BV - bydlení venkovské</w:t>
            </w:r>
          </w:p>
        </w:tc>
        <w:tc>
          <w:tcPr>
            <w:tcW w:w="779" w:type="dxa"/>
            <w:tcBorders>
              <w:top w:val="nil"/>
              <w:left w:val="nil"/>
              <w:bottom w:val="single" w:sz="4" w:space="0" w:color="auto"/>
              <w:right w:val="single" w:sz="4" w:space="0" w:color="auto"/>
            </w:tcBorders>
            <w:shd w:val="clear" w:color="auto" w:fill="auto"/>
            <w:hideMark/>
          </w:tcPr>
          <w:p w14:paraId="7E3B0F2A"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1,859</w:t>
            </w:r>
          </w:p>
        </w:tc>
        <w:tc>
          <w:tcPr>
            <w:tcW w:w="779" w:type="dxa"/>
            <w:tcBorders>
              <w:top w:val="nil"/>
              <w:left w:val="nil"/>
              <w:bottom w:val="single" w:sz="4" w:space="0" w:color="auto"/>
              <w:right w:val="single" w:sz="4" w:space="0" w:color="auto"/>
            </w:tcBorders>
            <w:shd w:val="clear" w:color="auto" w:fill="auto"/>
            <w:hideMark/>
          </w:tcPr>
          <w:p w14:paraId="3AC1C1FB"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1,859</w:t>
            </w:r>
          </w:p>
        </w:tc>
        <w:tc>
          <w:tcPr>
            <w:tcW w:w="945" w:type="dxa"/>
            <w:tcBorders>
              <w:top w:val="nil"/>
              <w:left w:val="nil"/>
              <w:bottom w:val="single" w:sz="4" w:space="0" w:color="auto"/>
              <w:right w:val="single" w:sz="4" w:space="0" w:color="auto"/>
            </w:tcBorders>
            <w:shd w:val="clear" w:color="auto" w:fill="auto"/>
            <w:hideMark/>
          </w:tcPr>
          <w:p w14:paraId="363BA09D"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88D6620"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393B137"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40271C8"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CD3E796"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8684ED7"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4A576C8"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1,135</w:t>
            </w:r>
          </w:p>
        </w:tc>
        <w:tc>
          <w:tcPr>
            <w:tcW w:w="779" w:type="dxa"/>
            <w:tcBorders>
              <w:top w:val="nil"/>
              <w:left w:val="nil"/>
              <w:bottom w:val="single" w:sz="4" w:space="0" w:color="auto"/>
              <w:right w:val="single" w:sz="4" w:space="0" w:color="auto"/>
            </w:tcBorders>
            <w:shd w:val="clear" w:color="auto" w:fill="auto"/>
            <w:hideMark/>
          </w:tcPr>
          <w:p w14:paraId="6ACAA70D"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0,724</w:t>
            </w:r>
          </w:p>
        </w:tc>
        <w:tc>
          <w:tcPr>
            <w:tcW w:w="779" w:type="dxa"/>
            <w:tcBorders>
              <w:top w:val="nil"/>
              <w:left w:val="nil"/>
              <w:bottom w:val="single" w:sz="4" w:space="0" w:color="auto"/>
              <w:right w:val="single" w:sz="4" w:space="0" w:color="auto"/>
            </w:tcBorders>
            <w:shd w:val="clear" w:color="auto" w:fill="auto"/>
            <w:hideMark/>
          </w:tcPr>
          <w:p w14:paraId="7B779A1A"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65FC55E"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13236C9C"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r>
      <w:tr w:rsidR="0016348B" w:rsidRPr="0016348B" w14:paraId="10B80EC9" w14:textId="77777777" w:rsidTr="00F1510B">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15E21A43" w14:textId="77777777" w:rsidR="009561A2" w:rsidRPr="0016348B" w:rsidRDefault="009561A2" w:rsidP="00F32B0C">
            <w:pPr>
              <w:spacing w:before="20" w:after="20" w:line="240" w:lineRule="auto"/>
              <w:jc w:val="left"/>
              <w:rPr>
                <w:rFonts w:eastAsia="Times New Roman"/>
                <w:b/>
                <w:bCs/>
                <w:sz w:val="20"/>
                <w:szCs w:val="20"/>
                <w:lang w:eastAsia="cs-CZ"/>
              </w:rPr>
            </w:pPr>
            <w:r w:rsidRPr="0016348B">
              <w:rPr>
                <w:rFonts w:eastAsia="Times New Roman"/>
                <w:b/>
                <w:bCs/>
                <w:sz w:val="20"/>
                <w:szCs w:val="20"/>
                <w:lang w:eastAsia="cs-CZ"/>
              </w:rPr>
              <w:t>Plochy bydlení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1E163164" w14:textId="304A9C24" w:rsidR="00F1510B" w:rsidRPr="00F1510B" w:rsidRDefault="00F1510B" w:rsidP="00F1510B">
            <w:pPr>
              <w:spacing w:before="20" w:after="20" w:line="240" w:lineRule="auto"/>
              <w:jc w:val="right"/>
              <w:rPr>
                <w:rFonts w:eastAsia="Times New Roman"/>
                <w:b/>
                <w:bCs/>
                <w:sz w:val="20"/>
                <w:szCs w:val="20"/>
                <w:lang w:eastAsia="cs-CZ"/>
              </w:rPr>
            </w:pPr>
          </w:p>
          <w:p w14:paraId="547193E1" w14:textId="77777777" w:rsidR="009561A2" w:rsidRPr="00F1510B" w:rsidRDefault="00F1510B" w:rsidP="00F1510B">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6,764</w:t>
            </w:r>
          </w:p>
        </w:tc>
        <w:tc>
          <w:tcPr>
            <w:tcW w:w="779" w:type="dxa"/>
            <w:tcBorders>
              <w:top w:val="nil"/>
              <w:left w:val="nil"/>
              <w:bottom w:val="single" w:sz="4" w:space="0" w:color="auto"/>
              <w:right w:val="single" w:sz="4" w:space="0" w:color="auto"/>
            </w:tcBorders>
            <w:shd w:val="clear" w:color="auto" w:fill="C2D69B" w:themeFill="accent3" w:themeFillTint="99"/>
            <w:hideMark/>
          </w:tcPr>
          <w:p w14:paraId="244314AD" w14:textId="77777777" w:rsidR="009561A2" w:rsidRPr="00F1510B" w:rsidRDefault="0016348B"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4,724</w:t>
            </w:r>
          </w:p>
        </w:tc>
        <w:tc>
          <w:tcPr>
            <w:tcW w:w="945" w:type="dxa"/>
            <w:tcBorders>
              <w:top w:val="nil"/>
              <w:left w:val="nil"/>
              <w:bottom w:val="single" w:sz="4" w:space="0" w:color="auto"/>
              <w:right w:val="single" w:sz="4" w:space="0" w:color="auto"/>
            </w:tcBorders>
            <w:shd w:val="clear" w:color="auto" w:fill="C2D69B" w:themeFill="accent3" w:themeFillTint="99"/>
            <w:hideMark/>
          </w:tcPr>
          <w:p w14:paraId="3C7D06F1"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3801A14"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04753288"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F2046E7"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44CC7F0" w14:textId="3954E0F4" w:rsidR="009561A2" w:rsidRPr="00F1510B" w:rsidRDefault="009561A2" w:rsidP="00F32B0C">
            <w:pPr>
              <w:spacing w:before="20" w:after="20" w:line="240" w:lineRule="auto"/>
              <w:jc w:val="right"/>
              <w:rPr>
                <w:rFonts w:eastAsia="Times New Roman"/>
                <w:b/>
                <w:bCs/>
                <w:sz w:val="20"/>
                <w:szCs w:val="20"/>
                <w:lang w:eastAsia="cs-CZ"/>
              </w:rPr>
            </w:pPr>
          </w:p>
          <w:p w14:paraId="009F08A0" w14:textId="77777777" w:rsidR="00F1510B" w:rsidRPr="00F1510B" w:rsidRDefault="00F1510B"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2,041</w:t>
            </w:r>
          </w:p>
        </w:tc>
        <w:tc>
          <w:tcPr>
            <w:tcW w:w="779" w:type="dxa"/>
            <w:tcBorders>
              <w:top w:val="nil"/>
              <w:left w:val="nil"/>
              <w:bottom w:val="single" w:sz="4" w:space="0" w:color="auto"/>
              <w:right w:val="single" w:sz="4" w:space="0" w:color="auto"/>
            </w:tcBorders>
            <w:shd w:val="clear" w:color="auto" w:fill="C2D69B" w:themeFill="accent3" w:themeFillTint="99"/>
            <w:hideMark/>
          </w:tcPr>
          <w:p w14:paraId="701A8BB5"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56E97B0" w14:textId="77777777" w:rsidR="009561A2" w:rsidRPr="00F1510B" w:rsidRDefault="0016348B"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3,618</w:t>
            </w:r>
          </w:p>
        </w:tc>
        <w:tc>
          <w:tcPr>
            <w:tcW w:w="779" w:type="dxa"/>
            <w:tcBorders>
              <w:top w:val="nil"/>
              <w:left w:val="nil"/>
              <w:bottom w:val="single" w:sz="4" w:space="0" w:color="auto"/>
              <w:right w:val="single" w:sz="4" w:space="0" w:color="auto"/>
            </w:tcBorders>
            <w:shd w:val="clear" w:color="auto" w:fill="C2D69B" w:themeFill="accent3" w:themeFillTint="99"/>
            <w:hideMark/>
          </w:tcPr>
          <w:p w14:paraId="3EBE26C2" w14:textId="77777777" w:rsidR="009561A2" w:rsidRPr="00F1510B" w:rsidRDefault="0016348B"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2,817</w:t>
            </w:r>
          </w:p>
        </w:tc>
        <w:tc>
          <w:tcPr>
            <w:tcW w:w="779" w:type="dxa"/>
            <w:tcBorders>
              <w:top w:val="nil"/>
              <w:left w:val="nil"/>
              <w:bottom w:val="single" w:sz="4" w:space="0" w:color="auto"/>
              <w:right w:val="single" w:sz="4" w:space="0" w:color="auto"/>
            </w:tcBorders>
            <w:shd w:val="clear" w:color="auto" w:fill="C2D69B" w:themeFill="accent3" w:themeFillTint="99"/>
            <w:hideMark/>
          </w:tcPr>
          <w:p w14:paraId="1FE1C8EE"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tcPr>
          <w:p w14:paraId="33E60DE1" w14:textId="0846BC3F" w:rsidR="009561A2" w:rsidRPr="00F1510B" w:rsidRDefault="009561A2" w:rsidP="00F32B0C">
            <w:pPr>
              <w:spacing w:before="20" w:after="20" w:line="240" w:lineRule="auto"/>
              <w:jc w:val="right"/>
              <w:rPr>
                <w:rFonts w:eastAsia="Times New Roman"/>
                <w:b/>
                <w:bCs/>
                <w:sz w:val="20"/>
                <w:szCs w:val="20"/>
                <w:lang w:eastAsia="cs-CZ"/>
              </w:rPr>
            </w:pPr>
          </w:p>
          <w:p w14:paraId="1BAF4C27" w14:textId="77777777" w:rsidR="00F1510B" w:rsidRPr="00F1510B" w:rsidRDefault="00F1510B"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0,330</w:t>
            </w:r>
          </w:p>
        </w:tc>
        <w:tc>
          <w:tcPr>
            <w:tcW w:w="845" w:type="dxa"/>
            <w:tcBorders>
              <w:top w:val="nil"/>
              <w:left w:val="nil"/>
              <w:bottom w:val="single" w:sz="4" w:space="0" w:color="auto"/>
              <w:right w:val="single" w:sz="4" w:space="0" w:color="auto"/>
            </w:tcBorders>
            <w:shd w:val="clear" w:color="auto" w:fill="C2D69B" w:themeFill="accent3" w:themeFillTint="99"/>
            <w:hideMark/>
          </w:tcPr>
          <w:p w14:paraId="2F093EB9"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r>
      <w:tr w:rsidR="0016348B" w:rsidRPr="0016348B" w14:paraId="1B512B6F"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001BE4C1" w14:textId="77777777" w:rsidR="009561A2" w:rsidRPr="0016348B" w:rsidRDefault="009561A2" w:rsidP="00F32B0C">
            <w:pPr>
              <w:spacing w:before="20" w:after="20" w:line="240" w:lineRule="auto"/>
              <w:jc w:val="left"/>
              <w:rPr>
                <w:rFonts w:eastAsia="Times New Roman"/>
                <w:sz w:val="20"/>
                <w:szCs w:val="20"/>
                <w:lang w:eastAsia="cs-CZ"/>
              </w:rPr>
            </w:pPr>
            <w:r w:rsidRPr="0016348B">
              <w:rPr>
                <w:rFonts w:eastAsia="Times New Roman"/>
                <w:sz w:val="20"/>
                <w:szCs w:val="20"/>
                <w:lang w:eastAsia="cs-CZ"/>
              </w:rPr>
              <w:t>Z58</w:t>
            </w:r>
          </w:p>
        </w:tc>
        <w:tc>
          <w:tcPr>
            <w:tcW w:w="3453" w:type="dxa"/>
            <w:tcBorders>
              <w:top w:val="nil"/>
              <w:left w:val="nil"/>
              <w:bottom w:val="single" w:sz="4" w:space="0" w:color="auto"/>
              <w:right w:val="single" w:sz="4" w:space="0" w:color="auto"/>
            </w:tcBorders>
            <w:shd w:val="clear" w:color="auto" w:fill="auto"/>
            <w:hideMark/>
          </w:tcPr>
          <w:p w14:paraId="49236846" w14:textId="77777777" w:rsidR="007B0B07" w:rsidRPr="0016348B" w:rsidRDefault="007B0B07" w:rsidP="00A375C3">
            <w:pPr>
              <w:spacing w:before="40" w:line="288" w:lineRule="auto"/>
              <w:jc w:val="left"/>
              <w:rPr>
                <w:color w:val="000000"/>
                <w:sz w:val="20"/>
                <w:szCs w:val="20"/>
              </w:rPr>
            </w:pPr>
            <w:r w:rsidRPr="0016348B">
              <w:rPr>
                <w:color w:val="000000"/>
                <w:sz w:val="20"/>
                <w:szCs w:val="20"/>
              </w:rPr>
              <w:t>ZV – veřejné prostranství – veřejná zeleň</w:t>
            </w:r>
          </w:p>
          <w:p w14:paraId="6E642D0E" w14:textId="77777777" w:rsidR="009561A2" w:rsidRPr="0016348B" w:rsidRDefault="009561A2" w:rsidP="00F32B0C">
            <w:pPr>
              <w:spacing w:before="20" w:after="20" w:line="240" w:lineRule="auto"/>
              <w:jc w:val="left"/>
              <w:rPr>
                <w:rFonts w:eastAsia="Times New Roman"/>
                <w:sz w:val="20"/>
                <w:szCs w:val="20"/>
                <w:lang w:eastAsia="cs-CZ"/>
              </w:rPr>
            </w:pPr>
          </w:p>
        </w:tc>
        <w:tc>
          <w:tcPr>
            <w:tcW w:w="779" w:type="dxa"/>
            <w:tcBorders>
              <w:top w:val="nil"/>
              <w:left w:val="nil"/>
              <w:bottom w:val="single" w:sz="4" w:space="0" w:color="auto"/>
              <w:right w:val="single" w:sz="4" w:space="0" w:color="auto"/>
            </w:tcBorders>
            <w:shd w:val="clear" w:color="auto" w:fill="auto"/>
            <w:hideMark/>
          </w:tcPr>
          <w:p w14:paraId="14216255"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0,401</w:t>
            </w:r>
          </w:p>
        </w:tc>
        <w:tc>
          <w:tcPr>
            <w:tcW w:w="779" w:type="dxa"/>
            <w:tcBorders>
              <w:top w:val="nil"/>
              <w:left w:val="nil"/>
              <w:bottom w:val="single" w:sz="4" w:space="0" w:color="auto"/>
              <w:right w:val="single" w:sz="4" w:space="0" w:color="auto"/>
            </w:tcBorders>
            <w:shd w:val="clear" w:color="auto" w:fill="auto"/>
            <w:hideMark/>
          </w:tcPr>
          <w:p w14:paraId="5FC60E40"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4C1D9001"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52A5FA4"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5A3D1EB"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8B91F2D"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0EDF663"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0,401</w:t>
            </w:r>
          </w:p>
        </w:tc>
        <w:tc>
          <w:tcPr>
            <w:tcW w:w="779" w:type="dxa"/>
            <w:tcBorders>
              <w:top w:val="nil"/>
              <w:left w:val="nil"/>
              <w:bottom w:val="single" w:sz="4" w:space="0" w:color="auto"/>
              <w:right w:val="single" w:sz="4" w:space="0" w:color="auto"/>
            </w:tcBorders>
            <w:shd w:val="clear" w:color="auto" w:fill="auto"/>
            <w:hideMark/>
          </w:tcPr>
          <w:p w14:paraId="5412032A"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2103BDF"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3D5BD24"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0,401</w:t>
            </w:r>
          </w:p>
        </w:tc>
        <w:tc>
          <w:tcPr>
            <w:tcW w:w="779" w:type="dxa"/>
            <w:tcBorders>
              <w:top w:val="nil"/>
              <w:left w:val="nil"/>
              <w:bottom w:val="single" w:sz="4" w:space="0" w:color="auto"/>
              <w:right w:val="single" w:sz="4" w:space="0" w:color="auto"/>
            </w:tcBorders>
            <w:shd w:val="clear" w:color="auto" w:fill="auto"/>
            <w:hideMark/>
          </w:tcPr>
          <w:p w14:paraId="49C5F3D5"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4A27FF7B"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7B80E7FF" w14:textId="77777777" w:rsidR="009561A2" w:rsidRPr="00F1510B" w:rsidRDefault="009561A2" w:rsidP="00F32B0C">
            <w:pPr>
              <w:spacing w:before="20" w:after="20" w:line="240" w:lineRule="auto"/>
              <w:jc w:val="right"/>
              <w:rPr>
                <w:rFonts w:eastAsia="Times New Roman"/>
                <w:sz w:val="20"/>
                <w:szCs w:val="20"/>
                <w:lang w:eastAsia="cs-CZ"/>
              </w:rPr>
            </w:pPr>
            <w:r w:rsidRPr="00F1510B">
              <w:rPr>
                <w:rFonts w:eastAsia="Times New Roman"/>
                <w:sz w:val="20"/>
                <w:szCs w:val="20"/>
                <w:lang w:eastAsia="cs-CZ"/>
              </w:rPr>
              <w:t>0,000</w:t>
            </w:r>
          </w:p>
        </w:tc>
      </w:tr>
      <w:tr w:rsidR="0016348B" w:rsidRPr="0016348B" w14:paraId="649F1BE2"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13FBF64D" w14:textId="77777777" w:rsidR="009561A2" w:rsidRPr="0016348B" w:rsidRDefault="009561A2" w:rsidP="007B0B07">
            <w:pPr>
              <w:spacing w:before="20" w:after="20" w:line="240" w:lineRule="auto"/>
              <w:jc w:val="left"/>
              <w:rPr>
                <w:rFonts w:eastAsia="Times New Roman"/>
                <w:b/>
                <w:bCs/>
                <w:sz w:val="20"/>
                <w:szCs w:val="20"/>
                <w:lang w:eastAsia="cs-CZ"/>
              </w:rPr>
            </w:pPr>
            <w:r w:rsidRPr="0016348B">
              <w:rPr>
                <w:rFonts w:eastAsia="Times New Roman"/>
                <w:b/>
                <w:bCs/>
                <w:sz w:val="20"/>
                <w:szCs w:val="20"/>
                <w:lang w:eastAsia="cs-CZ"/>
              </w:rPr>
              <w:t xml:space="preserve">Plochy </w:t>
            </w:r>
            <w:r w:rsidR="007B0B07" w:rsidRPr="0016348B">
              <w:rPr>
                <w:rFonts w:eastAsia="Times New Roman"/>
                <w:b/>
                <w:bCs/>
                <w:sz w:val="20"/>
                <w:szCs w:val="20"/>
                <w:lang w:eastAsia="cs-CZ"/>
              </w:rPr>
              <w:t xml:space="preserve">veřejných prostranství </w:t>
            </w:r>
            <w:r w:rsidRPr="0016348B">
              <w:rPr>
                <w:rFonts w:eastAsia="Times New Roman"/>
                <w:b/>
                <w:bCs/>
                <w:sz w:val="20"/>
                <w:szCs w:val="20"/>
                <w:lang w:eastAsia="cs-CZ"/>
              </w:rPr>
              <w:t>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4424AB8F"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0,401</w:t>
            </w:r>
          </w:p>
        </w:tc>
        <w:tc>
          <w:tcPr>
            <w:tcW w:w="779" w:type="dxa"/>
            <w:tcBorders>
              <w:top w:val="nil"/>
              <w:left w:val="nil"/>
              <w:bottom w:val="single" w:sz="4" w:space="0" w:color="auto"/>
              <w:right w:val="single" w:sz="4" w:space="0" w:color="auto"/>
            </w:tcBorders>
            <w:shd w:val="clear" w:color="auto" w:fill="C2D69B" w:themeFill="accent3" w:themeFillTint="99"/>
            <w:hideMark/>
          </w:tcPr>
          <w:p w14:paraId="4DD660A5"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945" w:type="dxa"/>
            <w:tcBorders>
              <w:top w:val="nil"/>
              <w:left w:val="nil"/>
              <w:bottom w:val="single" w:sz="4" w:space="0" w:color="auto"/>
              <w:right w:val="single" w:sz="4" w:space="0" w:color="auto"/>
            </w:tcBorders>
            <w:shd w:val="clear" w:color="auto" w:fill="C2D69B" w:themeFill="accent3" w:themeFillTint="99"/>
            <w:hideMark/>
          </w:tcPr>
          <w:p w14:paraId="34466FA9"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0D367872"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DB75CEA"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E74835A"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6E007C2"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0,401</w:t>
            </w:r>
          </w:p>
        </w:tc>
        <w:tc>
          <w:tcPr>
            <w:tcW w:w="779" w:type="dxa"/>
            <w:tcBorders>
              <w:top w:val="nil"/>
              <w:left w:val="nil"/>
              <w:bottom w:val="single" w:sz="4" w:space="0" w:color="auto"/>
              <w:right w:val="single" w:sz="4" w:space="0" w:color="auto"/>
            </w:tcBorders>
            <w:shd w:val="clear" w:color="auto" w:fill="C2D69B" w:themeFill="accent3" w:themeFillTint="99"/>
            <w:hideMark/>
          </w:tcPr>
          <w:p w14:paraId="6B968540"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0882D80C"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1EA6F823"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0,401</w:t>
            </w:r>
          </w:p>
        </w:tc>
        <w:tc>
          <w:tcPr>
            <w:tcW w:w="779" w:type="dxa"/>
            <w:tcBorders>
              <w:top w:val="nil"/>
              <w:left w:val="nil"/>
              <w:bottom w:val="single" w:sz="4" w:space="0" w:color="auto"/>
              <w:right w:val="single" w:sz="4" w:space="0" w:color="auto"/>
            </w:tcBorders>
            <w:shd w:val="clear" w:color="auto" w:fill="C2D69B" w:themeFill="accent3" w:themeFillTint="99"/>
            <w:hideMark/>
          </w:tcPr>
          <w:p w14:paraId="068A1DE7"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BA9C975"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3BA28397" w14:textId="77777777" w:rsidR="009561A2" w:rsidRPr="00F1510B" w:rsidRDefault="009561A2" w:rsidP="00F32B0C">
            <w:pPr>
              <w:spacing w:before="20" w:after="20" w:line="240" w:lineRule="auto"/>
              <w:jc w:val="right"/>
              <w:rPr>
                <w:rFonts w:eastAsia="Times New Roman"/>
                <w:b/>
                <w:bCs/>
                <w:sz w:val="20"/>
                <w:szCs w:val="20"/>
                <w:lang w:eastAsia="cs-CZ"/>
              </w:rPr>
            </w:pPr>
            <w:r w:rsidRPr="00F1510B">
              <w:rPr>
                <w:rFonts w:eastAsia="Times New Roman"/>
                <w:b/>
                <w:bCs/>
                <w:sz w:val="20"/>
                <w:szCs w:val="20"/>
                <w:lang w:eastAsia="cs-CZ"/>
              </w:rPr>
              <w:t>0,000</w:t>
            </w:r>
          </w:p>
        </w:tc>
      </w:tr>
      <w:tr w:rsidR="0016348B" w:rsidRPr="00461C16" w14:paraId="194C4F67"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46FD99BF" w14:textId="77777777" w:rsidR="009561A2" w:rsidRPr="0016348B" w:rsidRDefault="009561A2" w:rsidP="00F32B0C">
            <w:pPr>
              <w:spacing w:before="20" w:after="20" w:line="240" w:lineRule="auto"/>
              <w:jc w:val="left"/>
              <w:rPr>
                <w:rFonts w:eastAsia="Times New Roman"/>
                <w:b/>
                <w:bCs/>
                <w:color w:val="FFFFFF"/>
                <w:sz w:val="20"/>
                <w:szCs w:val="20"/>
                <w:lang w:eastAsia="cs-CZ"/>
              </w:rPr>
            </w:pPr>
            <w:r w:rsidRPr="0016348B">
              <w:rPr>
                <w:rFonts w:eastAsia="Times New Roman"/>
                <w:b/>
                <w:bCs/>
                <w:color w:val="FFFFFF"/>
                <w:sz w:val="20"/>
                <w:szCs w:val="20"/>
                <w:lang w:eastAsia="cs-CZ"/>
              </w:rPr>
              <w:t>K.Ú. LOUČNÁ - ZÁBOR ZPF CELKEM</w:t>
            </w:r>
          </w:p>
        </w:tc>
        <w:tc>
          <w:tcPr>
            <w:tcW w:w="779" w:type="dxa"/>
            <w:tcBorders>
              <w:top w:val="nil"/>
              <w:left w:val="nil"/>
              <w:bottom w:val="single" w:sz="4" w:space="0" w:color="auto"/>
              <w:right w:val="single" w:sz="4" w:space="0" w:color="auto"/>
            </w:tcBorders>
            <w:shd w:val="clear" w:color="auto" w:fill="76923C" w:themeFill="accent3" w:themeFillShade="BF"/>
            <w:hideMark/>
          </w:tcPr>
          <w:p w14:paraId="0A001CC4" w14:textId="1CB07AEE" w:rsidR="009561A2" w:rsidRPr="00F1510B" w:rsidRDefault="009561A2" w:rsidP="00F32B0C">
            <w:pPr>
              <w:spacing w:before="20" w:after="20" w:line="240" w:lineRule="auto"/>
              <w:jc w:val="right"/>
              <w:rPr>
                <w:rFonts w:eastAsia="Times New Roman"/>
                <w:b/>
                <w:bCs/>
                <w:color w:val="FFFFFF"/>
                <w:sz w:val="20"/>
                <w:szCs w:val="20"/>
                <w:lang w:eastAsia="cs-CZ"/>
              </w:rPr>
            </w:pPr>
          </w:p>
          <w:p w14:paraId="415C3FA7" w14:textId="77777777" w:rsidR="00F1510B" w:rsidRPr="00F1510B" w:rsidRDefault="00F1510B"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7,165</w:t>
            </w:r>
          </w:p>
        </w:tc>
        <w:tc>
          <w:tcPr>
            <w:tcW w:w="779" w:type="dxa"/>
            <w:tcBorders>
              <w:top w:val="nil"/>
              <w:left w:val="nil"/>
              <w:bottom w:val="single" w:sz="4" w:space="0" w:color="auto"/>
              <w:right w:val="single" w:sz="4" w:space="0" w:color="auto"/>
            </w:tcBorders>
            <w:shd w:val="clear" w:color="auto" w:fill="76923C" w:themeFill="accent3" w:themeFillShade="BF"/>
            <w:hideMark/>
          </w:tcPr>
          <w:p w14:paraId="0B02C935" w14:textId="77777777" w:rsidR="009561A2" w:rsidRPr="00F1510B" w:rsidRDefault="0016348B"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4,724</w:t>
            </w:r>
          </w:p>
        </w:tc>
        <w:tc>
          <w:tcPr>
            <w:tcW w:w="945" w:type="dxa"/>
            <w:tcBorders>
              <w:top w:val="nil"/>
              <w:left w:val="nil"/>
              <w:bottom w:val="single" w:sz="4" w:space="0" w:color="auto"/>
              <w:right w:val="single" w:sz="4" w:space="0" w:color="auto"/>
            </w:tcBorders>
            <w:shd w:val="clear" w:color="auto" w:fill="76923C" w:themeFill="accent3" w:themeFillShade="BF"/>
            <w:hideMark/>
          </w:tcPr>
          <w:p w14:paraId="04ED9A13" w14:textId="77777777" w:rsidR="009561A2" w:rsidRPr="00F1510B" w:rsidRDefault="009561A2"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2A3C77A3" w14:textId="77777777" w:rsidR="009561A2" w:rsidRPr="00F1510B" w:rsidRDefault="009561A2"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6CC66C8C" w14:textId="77777777" w:rsidR="009561A2" w:rsidRPr="00F1510B" w:rsidRDefault="009561A2"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133F29E1" w14:textId="77777777" w:rsidR="009561A2" w:rsidRPr="00F1510B" w:rsidRDefault="009561A2"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79364951" w14:textId="3968BF39" w:rsidR="009561A2" w:rsidRPr="00F1510B" w:rsidRDefault="009561A2" w:rsidP="00F32B0C">
            <w:pPr>
              <w:spacing w:before="20" w:after="20" w:line="240" w:lineRule="auto"/>
              <w:jc w:val="right"/>
              <w:rPr>
                <w:rFonts w:eastAsia="Times New Roman"/>
                <w:b/>
                <w:bCs/>
                <w:color w:val="FFFFFF"/>
                <w:sz w:val="20"/>
                <w:szCs w:val="20"/>
                <w:lang w:eastAsia="cs-CZ"/>
              </w:rPr>
            </w:pPr>
          </w:p>
          <w:p w14:paraId="32A7AB8D" w14:textId="77777777" w:rsidR="00F1510B" w:rsidRPr="00F1510B" w:rsidRDefault="00F1510B"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2,442</w:t>
            </w:r>
          </w:p>
        </w:tc>
        <w:tc>
          <w:tcPr>
            <w:tcW w:w="779" w:type="dxa"/>
            <w:tcBorders>
              <w:top w:val="nil"/>
              <w:left w:val="nil"/>
              <w:bottom w:val="single" w:sz="4" w:space="0" w:color="auto"/>
              <w:right w:val="single" w:sz="4" w:space="0" w:color="auto"/>
            </w:tcBorders>
            <w:shd w:val="clear" w:color="auto" w:fill="76923C" w:themeFill="accent3" w:themeFillShade="BF"/>
            <w:hideMark/>
          </w:tcPr>
          <w:p w14:paraId="656D1544" w14:textId="77777777" w:rsidR="009561A2" w:rsidRPr="00F1510B" w:rsidRDefault="009561A2"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24D5B1C3" w14:textId="77777777" w:rsidR="009561A2" w:rsidRPr="00F1510B" w:rsidRDefault="00CD4FB7"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3,618</w:t>
            </w:r>
          </w:p>
        </w:tc>
        <w:tc>
          <w:tcPr>
            <w:tcW w:w="779" w:type="dxa"/>
            <w:tcBorders>
              <w:top w:val="nil"/>
              <w:left w:val="nil"/>
              <w:bottom w:val="single" w:sz="4" w:space="0" w:color="auto"/>
              <w:right w:val="single" w:sz="4" w:space="0" w:color="auto"/>
            </w:tcBorders>
            <w:shd w:val="clear" w:color="auto" w:fill="76923C" w:themeFill="accent3" w:themeFillShade="BF"/>
            <w:hideMark/>
          </w:tcPr>
          <w:p w14:paraId="35115A6F" w14:textId="77777777" w:rsidR="009561A2" w:rsidRPr="00F1510B" w:rsidRDefault="00CD4FB7"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3,218</w:t>
            </w:r>
          </w:p>
        </w:tc>
        <w:tc>
          <w:tcPr>
            <w:tcW w:w="779" w:type="dxa"/>
            <w:tcBorders>
              <w:top w:val="nil"/>
              <w:left w:val="nil"/>
              <w:bottom w:val="single" w:sz="4" w:space="0" w:color="auto"/>
              <w:right w:val="single" w:sz="4" w:space="0" w:color="auto"/>
            </w:tcBorders>
            <w:shd w:val="clear" w:color="auto" w:fill="76923C" w:themeFill="accent3" w:themeFillShade="BF"/>
            <w:hideMark/>
          </w:tcPr>
          <w:p w14:paraId="75C730EF" w14:textId="77777777" w:rsidR="009561A2" w:rsidRPr="00F1510B" w:rsidRDefault="009561A2"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75AD2E24" w14:textId="027CC17B" w:rsidR="009561A2" w:rsidRPr="00F1510B" w:rsidRDefault="009561A2" w:rsidP="00F32B0C">
            <w:pPr>
              <w:spacing w:before="20" w:after="20" w:line="240" w:lineRule="auto"/>
              <w:jc w:val="right"/>
              <w:rPr>
                <w:rFonts w:eastAsia="Times New Roman"/>
                <w:b/>
                <w:bCs/>
                <w:color w:val="FFFFFF"/>
                <w:sz w:val="20"/>
                <w:szCs w:val="20"/>
                <w:lang w:eastAsia="cs-CZ"/>
              </w:rPr>
            </w:pPr>
          </w:p>
          <w:p w14:paraId="0FD01BE2" w14:textId="77777777" w:rsidR="00F1510B" w:rsidRPr="00F1510B" w:rsidRDefault="00F1510B"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0,330</w:t>
            </w:r>
          </w:p>
        </w:tc>
        <w:tc>
          <w:tcPr>
            <w:tcW w:w="845" w:type="dxa"/>
            <w:tcBorders>
              <w:top w:val="nil"/>
              <w:left w:val="nil"/>
              <w:bottom w:val="single" w:sz="4" w:space="0" w:color="auto"/>
              <w:right w:val="single" w:sz="4" w:space="0" w:color="auto"/>
            </w:tcBorders>
            <w:shd w:val="clear" w:color="auto" w:fill="76923C" w:themeFill="accent3" w:themeFillShade="BF"/>
            <w:hideMark/>
          </w:tcPr>
          <w:p w14:paraId="3DCA69DE" w14:textId="77777777" w:rsidR="009561A2" w:rsidRPr="00F1510B" w:rsidRDefault="009561A2" w:rsidP="00F32B0C">
            <w:pPr>
              <w:spacing w:before="20" w:after="20" w:line="240" w:lineRule="auto"/>
              <w:jc w:val="right"/>
              <w:rPr>
                <w:rFonts w:eastAsia="Times New Roman"/>
                <w:b/>
                <w:bCs/>
                <w:color w:val="FFFFFF"/>
                <w:sz w:val="20"/>
                <w:szCs w:val="20"/>
                <w:lang w:eastAsia="cs-CZ"/>
              </w:rPr>
            </w:pPr>
            <w:r w:rsidRPr="00F1510B">
              <w:rPr>
                <w:rFonts w:eastAsia="Times New Roman"/>
                <w:b/>
                <w:bCs/>
                <w:color w:val="FFFFFF"/>
                <w:sz w:val="20"/>
                <w:szCs w:val="20"/>
                <w:lang w:eastAsia="cs-CZ"/>
              </w:rPr>
              <w:t>0,000</w:t>
            </w:r>
          </w:p>
        </w:tc>
      </w:tr>
    </w:tbl>
    <w:p w14:paraId="1F8EEF86" w14:textId="77777777" w:rsidR="00F32B0C" w:rsidRPr="00461C16" w:rsidRDefault="00F32B0C"/>
    <w:p w14:paraId="498797A2" w14:textId="77777777" w:rsidR="00EE305D" w:rsidRDefault="00EE305D">
      <w:r>
        <w:br w:type="page"/>
      </w:r>
    </w:p>
    <w:tbl>
      <w:tblPr>
        <w:tblW w:w="14684" w:type="dxa"/>
        <w:tblInd w:w="-213" w:type="dxa"/>
        <w:tblCellMar>
          <w:left w:w="70" w:type="dxa"/>
          <w:right w:w="70" w:type="dxa"/>
        </w:tblCellMar>
        <w:tblLook w:val="04A0" w:firstRow="1" w:lastRow="0" w:firstColumn="1" w:lastColumn="0" w:noHBand="0" w:noVBand="1"/>
      </w:tblPr>
      <w:tblGrid>
        <w:gridCol w:w="872"/>
        <w:gridCol w:w="3453"/>
        <w:gridCol w:w="779"/>
        <w:gridCol w:w="779"/>
        <w:gridCol w:w="945"/>
        <w:gridCol w:w="779"/>
        <w:gridCol w:w="779"/>
        <w:gridCol w:w="779"/>
        <w:gridCol w:w="779"/>
        <w:gridCol w:w="779"/>
        <w:gridCol w:w="779"/>
        <w:gridCol w:w="779"/>
        <w:gridCol w:w="779"/>
        <w:gridCol w:w="779"/>
        <w:gridCol w:w="845"/>
      </w:tblGrid>
      <w:tr w:rsidR="00F32B0C" w:rsidRPr="00CE6E44" w14:paraId="7AC4766A" w14:textId="77777777" w:rsidTr="00EE305D">
        <w:trPr>
          <w:tblHeader/>
        </w:trPr>
        <w:tc>
          <w:tcPr>
            <w:tcW w:w="14684" w:type="dxa"/>
            <w:gridSpan w:val="15"/>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71D10547" w14:textId="77777777" w:rsidR="00F32B0C" w:rsidRPr="00CE6E44" w:rsidRDefault="00F32B0C" w:rsidP="00F32B0C">
            <w:pPr>
              <w:spacing w:before="20" w:after="20" w:line="240" w:lineRule="auto"/>
              <w:jc w:val="left"/>
              <w:rPr>
                <w:rFonts w:eastAsia="Times New Roman"/>
                <w:b/>
                <w:bCs/>
                <w:color w:val="FFFFFF"/>
                <w:sz w:val="20"/>
                <w:szCs w:val="20"/>
                <w:lang w:eastAsia="cs-CZ"/>
              </w:rPr>
            </w:pPr>
            <w:r w:rsidRPr="00CE6E44">
              <w:rPr>
                <w:rFonts w:eastAsia="Times New Roman"/>
                <w:b/>
                <w:bCs/>
                <w:color w:val="FFFFFF"/>
                <w:sz w:val="20"/>
                <w:szCs w:val="20"/>
                <w:lang w:eastAsia="cs-CZ"/>
              </w:rPr>
              <w:lastRenderedPageBreak/>
              <w:t>KATASTRÁLNÍ ÚZEMÍ OLDŘICHOV NA HRANICÍCH</w:t>
            </w:r>
          </w:p>
        </w:tc>
      </w:tr>
      <w:tr w:rsidR="00F32B0C" w:rsidRPr="00CE6E44" w14:paraId="33621027" w14:textId="77777777" w:rsidTr="00EE305D">
        <w:trPr>
          <w:tblHeader/>
        </w:trPr>
        <w:tc>
          <w:tcPr>
            <w:tcW w:w="872"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5DFFCA00" w14:textId="77777777" w:rsidR="00F32B0C" w:rsidRPr="00CE6E44" w:rsidRDefault="00F32B0C" w:rsidP="00F32B0C">
            <w:pPr>
              <w:spacing w:before="20" w:after="20" w:line="240" w:lineRule="auto"/>
              <w:jc w:val="left"/>
              <w:rPr>
                <w:rFonts w:eastAsia="Times New Roman"/>
                <w:b/>
                <w:bCs/>
                <w:sz w:val="20"/>
                <w:szCs w:val="20"/>
                <w:lang w:eastAsia="cs-CZ"/>
              </w:rPr>
            </w:pPr>
            <w:r w:rsidRPr="00CE6E44">
              <w:rPr>
                <w:rFonts w:eastAsia="Times New Roman"/>
                <w:b/>
                <w:bCs/>
                <w:sz w:val="20"/>
                <w:szCs w:val="20"/>
                <w:lang w:eastAsia="cs-CZ"/>
              </w:rPr>
              <w:t>Označení plochy</w:t>
            </w:r>
          </w:p>
        </w:tc>
        <w:tc>
          <w:tcPr>
            <w:tcW w:w="3453"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38F547D4" w14:textId="77777777" w:rsidR="00F32B0C" w:rsidRPr="00CE6E44" w:rsidRDefault="00F32B0C" w:rsidP="00F32B0C">
            <w:pPr>
              <w:spacing w:before="20" w:after="20" w:line="240" w:lineRule="auto"/>
              <w:jc w:val="left"/>
              <w:rPr>
                <w:rFonts w:eastAsia="Times New Roman"/>
                <w:b/>
                <w:bCs/>
                <w:sz w:val="20"/>
                <w:szCs w:val="20"/>
                <w:lang w:eastAsia="cs-CZ"/>
              </w:rPr>
            </w:pPr>
            <w:r w:rsidRPr="00CE6E44">
              <w:rPr>
                <w:rFonts w:eastAsia="Times New Roman"/>
                <w:b/>
                <w:bCs/>
                <w:sz w:val="20"/>
                <w:szCs w:val="20"/>
                <w:lang w:eastAsia="cs-CZ"/>
              </w:rPr>
              <w:t>Způsob využití plochy</w:t>
            </w:r>
          </w:p>
        </w:tc>
        <w:tc>
          <w:tcPr>
            <w:tcW w:w="779"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34D16416"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Celkový zábor ZPF (ha)</w:t>
            </w:r>
          </w:p>
        </w:tc>
        <w:tc>
          <w:tcPr>
            <w:tcW w:w="4840" w:type="dxa"/>
            <w:gridSpan w:val="6"/>
            <w:tcBorders>
              <w:top w:val="single" w:sz="4" w:space="0" w:color="auto"/>
              <w:left w:val="nil"/>
              <w:bottom w:val="single" w:sz="4" w:space="0" w:color="auto"/>
              <w:right w:val="single" w:sz="4" w:space="0" w:color="000000"/>
            </w:tcBorders>
            <w:shd w:val="clear" w:color="000000" w:fill="F2F2F2"/>
            <w:hideMark/>
          </w:tcPr>
          <w:p w14:paraId="5FF97230" w14:textId="77777777" w:rsidR="00F32B0C" w:rsidRPr="00CE6E44" w:rsidRDefault="00F32B0C" w:rsidP="00F32B0C">
            <w:pPr>
              <w:spacing w:before="20" w:after="20" w:line="240" w:lineRule="auto"/>
              <w:jc w:val="center"/>
              <w:rPr>
                <w:rFonts w:eastAsia="Times New Roman"/>
                <w:b/>
                <w:bCs/>
                <w:sz w:val="20"/>
                <w:szCs w:val="20"/>
                <w:lang w:eastAsia="cs-CZ"/>
              </w:rPr>
            </w:pPr>
            <w:r w:rsidRPr="00CE6E44">
              <w:rPr>
                <w:rFonts w:eastAsia="Times New Roman"/>
                <w:b/>
                <w:bCs/>
                <w:sz w:val="20"/>
                <w:szCs w:val="20"/>
                <w:lang w:eastAsia="cs-CZ"/>
              </w:rPr>
              <w:t>Zábor ZPF podle jednotlivých kultur (ha)</w:t>
            </w:r>
          </w:p>
        </w:tc>
        <w:tc>
          <w:tcPr>
            <w:tcW w:w="3895" w:type="dxa"/>
            <w:gridSpan w:val="5"/>
            <w:tcBorders>
              <w:top w:val="single" w:sz="4" w:space="0" w:color="auto"/>
              <w:left w:val="nil"/>
              <w:bottom w:val="single" w:sz="4" w:space="0" w:color="auto"/>
              <w:right w:val="single" w:sz="4" w:space="0" w:color="000000"/>
            </w:tcBorders>
            <w:shd w:val="clear" w:color="000000" w:fill="F2F2F2"/>
            <w:hideMark/>
          </w:tcPr>
          <w:p w14:paraId="7F9E7F3D" w14:textId="77777777" w:rsidR="00F32B0C" w:rsidRPr="00CE6E44" w:rsidRDefault="00F32B0C" w:rsidP="00F32B0C">
            <w:pPr>
              <w:spacing w:before="20" w:after="20" w:line="240" w:lineRule="auto"/>
              <w:jc w:val="center"/>
              <w:rPr>
                <w:rFonts w:eastAsia="Times New Roman"/>
                <w:b/>
                <w:bCs/>
                <w:sz w:val="20"/>
                <w:szCs w:val="20"/>
                <w:lang w:eastAsia="cs-CZ"/>
              </w:rPr>
            </w:pPr>
            <w:r w:rsidRPr="00CE6E44">
              <w:rPr>
                <w:rFonts w:eastAsia="Times New Roman"/>
                <w:b/>
                <w:bCs/>
                <w:sz w:val="20"/>
                <w:szCs w:val="20"/>
                <w:lang w:eastAsia="cs-CZ"/>
              </w:rPr>
              <w:t>Zábor ZPF podle tříd ochrany (ha)</w:t>
            </w:r>
          </w:p>
        </w:tc>
        <w:tc>
          <w:tcPr>
            <w:tcW w:w="845"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7E844543"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Investice do půdy (ha)</w:t>
            </w:r>
          </w:p>
        </w:tc>
      </w:tr>
      <w:tr w:rsidR="00CE6E44" w:rsidRPr="00CE6E44" w14:paraId="4D93FC07" w14:textId="77777777" w:rsidTr="00A375C3">
        <w:trPr>
          <w:tblHeader/>
        </w:trPr>
        <w:tc>
          <w:tcPr>
            <w:tcW w:w="872" w:type="dxa"/>
            <w:vMerge/>
            <w:tcBorders>
              <w:top w:val="single" w:sz="4" w:space="0" w:color="auto"/>
              <w:left w:val="single" w:sz="4" w:space="0" w:color="auto"/>
              <w:bottom w:val="single" w:sz="4" w:space="0" w:color="000000"/>
              <w:right w:val="single" w:sz="4" w:space="0" w:color="auto"/>
            </w:tcBorders>
            <w:hideMark/>
          </w:tcPr>
          <w:p w14:paraId="541288E6" w14:textId="77777777" w:rsidR="00F32B0C" w:rsidRPr="00CE6E44" w:rsidRDefault="00F32B0C" w:rsidP="00F32B0C">
            <w:pPr>
              <w:spacing w:before="20" w:after="20" w:line="240" w:lineRule="auto"/>
              <w:jc w:val="left"/>
              <w:rPr>
                <w:rFonts w:eastAsia="Times New Roman"/>
                <w:b/>
                <w:bCs/>
                <w:sz w:val="20"/>
                <w:szCs w:val="20"/>
                <w:lang w:eastAsia="cs-CZ"/>
              </w:rPr>
            </w:pPr>
          </w:p>
        </w:tc>
        <w:tc>
          <w:tcPr>
            <w:tcW w:w="3453" w:type="dxa"/>
            <w:vMerge/>
            <w:tcBorders>
              <w:top w:val="single" w:sz="4" w:space="0" w:color="auto"/>
              <w:left w:val="single" w:sz="4" w:space="0" w:color="auto"/>
              <w:bottom w:val="single" w:sz="4" w:space="0" w:color="000000"/>
              <w:right w:val="single" w:sz="4" w:space="0" w:color="auto"/>
            </w:tcBorders>
            <w:hideMark/>
          </w:tcPr>
          <w:p w14:paraId="661ACC80" w14:textId="77777777" w:rsidR="00F32B0C" w:rsidRPr="00CE6E44" w:rsidRDefault="00F32B0C" w:rsidP="00F32B0C">
            <w:pPr>
              <w:spacing w:before="20" w:after="20" w:line="240" w:lineRule="auto"/>
              <w:jc w:val="left"/>
              <w:rPr>
                <w:rFonts w:eastAsia="Times New Roman"/>
                <w:b/>
                <w:bCs/>
                <w:sz w:val="20"/>
                <w:szCs w:val="20"/>
                <w:lang w:eastAsia="cs-CZ"/>
              </w:rPr>
            </w:pPr>
          </w:p>
        </w:tc>
        <w:tc>
          <w:tcPr>
            <w:tcW w:w="779" w:type="dxa"/>
            <w:vMerge/>
            <w:tcBorders>
              <w:top w:val="single" w:sz="4" w:space="0" w:color="auto"/>
              <w:left w:val="single" w:sz="4" w:space="0" w:color="auto"/>
              <w:bottom w:val="single" w:sz="4" w:space="0" w:color="000000"/>
              <w:right w:val="single" w:sz="4" w:space="0" w:color="auto"/>
            </w:tcBorders>
            <w:hideMark/>
          </w:tcPr>
          <w:p w14:paraId="2D242863" w14:textId="77777777" w:rsidR="00F32B0C" w:rsidRPr="00CE6E44" w:rsidRDefault="00F32B0C" w:rsidP="00F32B0C">
            <w:pPr>
              <w:spacing w:before="20" w:after="20" w:line="240" w:lineRule="auto"/>
              <w:jc w:val="left"/>
              <w:rPr>
                <w:rFonts w:eastAsia="Times New Roman"/>
                <w:b/>
                <w:bCs/>
                <w:sz w:val="20"/>
                <w:szCs w:val="20"/>
                <w:lang w:eastAsia="cs-CZ"/>
              </w:rPr>
            </w:pPr>
          </w:p>
        </w:tc>
        <w:tc>
          <w:tcPr>
            <w:tcW w:w="779" w:type="dxa"/>
            <w:tcBorders>
              <w:top w:val="nil"/>
              <w:left w:val="nil"/>
              <w:bottom w:val="single" w:sz="4" w:space="0" w:color="auto"/>
              <w:right w:val="single" w:sz="4" w:space="0" w:color="auto"/>
            </w:tcBorders>
            <w:shd w:val="clear" w:color="000000" w:fill="F2F2F2"/>
            <w:hideMark/>
          </w:tcPr>
          <w:p w14:paraId="5F2E284B"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orná půda</w:t>
            </w:r>
          </w:p>
        </w:tc>
        <w:tc>
          <w:tcPr>
            <w:tcW w:w="945" w:type="dxa"/>
            <w:tcBorders>
              <w:top w:val="nil"/>
              <w:left w:val="nil"/>
              <w:bottom w:val="single" w:sz="4" w:space="0" w:color="auto"/>
              <w:right w:val="single" w:sz="4" w:space="0" w:color="auto"/>
            </w:tcBorders>
            <w:shd w:val="clear" w:color="000000" w:fill="F2F2F2"/>
            <w:hideMark/>
          </w:tcPr>
          <w:p w14:paraId="08CCA648"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chmelnice</w:t>
            </w:r>
          </w:p>
        </w:tc>
        <w:tc>
          <w:tcPr>
            <w:tcW w:w="779" w:type="dxa"/>
            <w:tcBorders>
              <w:top w:val="nil"/>
              <w:left w:val="nil"/>
              <w:bottom w:val="single" w:sz="4" w:space="0" w:color="auto"/>
              <w:right w:val="single" w:sz="4" w:space="0" w:color="auto"/>
            </w:tcBorders>
            <w:shd w:val="clear" w:color="000000" w:fill="F2F2F2"/>
            <w:hideMark/>
          </w:tcPr>
          <w:p w14:paraId="2E13D440"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vinice</w:t>
            </w:r>
          </w:p>
        </w:tc>
        <w:tc>
          <w:tcPr>
            <w:tcW w:w="779" w:type="dxa"/>
            <w:tcBorders>
              <w:top w:val="nil"/>
              <w:left w:val="nil"/>
              <w:bottom w:val="single" w:sz="4" w:space="0" w:color="auto"/>
              <w:right w:val="single" w:sz="4" w:space="0" w:color="auto"/>
            </w:tcBorders>
            <w:shd w:val="clear" w:color="000000" w:fill="F2F2F2"/>
            <w:hideMark/>
          </w:tcPr>
          <w:p w14:paraId="49C268A7"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zahrady</w:t>
            </w:r>
          </w:p>
        </w:tc>
        <w:tc>
          <w:tcPr>
            <w:tcW w:w="779" w:type="dxa"/>
            <w:tcBorders>
              <w:top w:val="nil"/>
              <w:left w:val="nil"/>
              <w:bottom w:val="single" w:sz="4" w:space="0" w:color="auto"/>
              <w:right w:val="single" w:sz="4" w:space="0" w:color="auto"/>
            </w:tcBorders>
            <w:shd w:val="clear" w:color="000000" w:fill="F2F2F2"/>
            <w:hideMark/>
          </w:tcPr>
          <w:p w14:paraId="42359A7F"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ovocné sady</w:t>
            </w:r>
          </w:p>
        </w:tc>
        <w:tc>
          <w:tcPr>
            <w:tcW w:w="779" w:type="dxa"/>
            <w:tcBorders>
              <w:top w:val="nil"/>
              <w:left w:val="nil"/>
              <w:bottom w:val="single" w:sz="4" w:space="0" w:color="auto"/>
              <w:right w:val="single" w:sz="4" w:space="0" w:color="auto"/>
            </w:tcBorders>
            <w:shd w:val="clear" w:color="000000" w:fill="F2F2F2"/>
            <w:hideMark/>
          </w:tcPr>
          <w:p w14:paraId="1D74CD16"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trv. travní porosty</w:t>
            </w:r>
          </w:p>
        </w:tc>
        <w:tc>
          <w:tcPr>
            <w:tcW w:w="779" w:type="dxa"/>
            <w:tcBorders>
              <w:top w:val="nil"/>
              <w:left w:val="nil"/>
              <w:bottom w:val="single" w:sz="4" w:space="0" w:color="auto"/>
              <w:right w:val="single" w:sz="4" w:space="0" w:color="auto"/>
            </w:tcBorders>
            <w:shd w:val="clear" w:color="000000" w:fill="F2F2F2"/>
            <w:hideMark/>
          </w:tcPr>
          <w:p w14:paraId="24EC7B64"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I</w:t>
            </w:r>
          </w:p>
        </w:tc>
        <w:tc>
          <w:tcPr>
            <w:tcW w:w="779" w:type="dxa"/>
            <w:tcBorders>
              <w:top w:val="nil"/>
              <w:left w:val="nil"/>
              <w:bottom w:val="single" w:sz="4" w:space="0" w:color="auto"/>
              <w:right w:val="single" w:sz="4" w:space="0" w:color="auto"/>
            </w:tcBorders>
            <w:shd w:val="clear" w:color="000000" w:fill="F2F2F2"/>
            <w:hideMark/>
          </w:tcPr>
          <w:p w14:paraId="1F468039"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II</w:t>
            </w:r>
          </w:p>
        </w:tc>
        <w:tc>
          <w:tcPr>
            <w:tcW w:w="779" w:type="dxa"/>
            <w:tcBorders>
              <w:top w:val="nil"/>
              <w:left w:val="nil"/>
              <w:bottom w:val="single" w:sz="4" w:space="0" w:color="auto"/>
              <w:right w:val="single" w:sz="4" w:space="0" w:color="auto"/>
            </w:tcBorders>
            <w:shd w:val="clear" w:color="000000" w:fill="F2F2F2"/>
            <w:hideMark/>
          </w:tcPr>
          <w:p w14:paraId="6EB1DCD3"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III</w:t>
            </w:r>
          </w:p>
        </w:tc>
        <w:tc>
          <w:tcPr>
            <w:tcW w:w="779" w:type="dxa"/>
            <w:tcBorders>
              <w:top w:val="nil"/>
              <w:left w:val="nil"/>
              <w:bottom w:val="single" w:sz="4" w:space="0" w:color="auto"/>
              <w:right w:val="single" w:sz="4" w:space="0" w:color="auto"/>
            </w:tcBorders>
            <w:shd w:val="clear" w:color="000000" w:fill="F2F2F2"/>
            <w:hideMark/>
          </w:tcPr>
          <w:p w14:paraId="38718DDA"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IV</w:t>
            </w:r>
          </w:p>
        </w:tc>
        <w:tc>
          <w:tcPr>
            <w:tcW w:w="779" w:type="dxa"/>
            <w:tcBorders>
              <w:top w:val="nil"/>
              <w:left w:val="nil"/>
              <w:bottom w:val="single" w:sz="4" w:space="0" w:color="auto"/>
              <w:right w:val="single" w:sz="4" w:space="0" w:color="auto"/>
            </w:tcBorders>
            <w:shd w:val="clear" w:color="000000" w:fill="F2F2F2"/>
            <w:hideMark/>
          </w:tcPr>
          <w:p w14:paraId="775BC021" w14:textId="77777777" w:rsidR="00F32B0C" w:rsidRPr="00CE6E44" w:rsidRDefault="00F32B0C"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V</w:t>
            </w:r>
          </w:p>
        </w:tc>
        <w:tc>
          <w:tcPr>
            <w:tcW w:w="845" w:type="dxa"/>
            <w:vMerge/>
            <w:tcBorders>
              <w:top w:val="single" w:sz="4" w:space="0" w:color="auto"/>
              <w:left w:val="single" w:sz="4" w:space="0" w:color="auto"/>
              <w:bottom w:val="single" w:sz="4" w:space="0" w:color="000000"/>
              <w:right w:val="single" w:sz="4" w:space="0" w:color="auto"/>
            </w:tcBorders>
            <w:hideMark/>
          </w:tcPr>
          <w:p w14:paraId="15E6AD53" w14:textId="77777777" w:rsidR="00F32B0C" w:rsidRPr="00CE6E44" w:rsidRDefault="00F32B0C" w:rsidP="00F32B0C">
            <w:pPr>
              <w:spacing w:before="20" w:after="20" w:line="240" w:lineRule="auto"/>
              <w:jc w:val="left"/>
              <w:rPr>
                <w:rFonts w:eastAsia="Times New Roman"/>
                <w:b/>
                <w:bCs/>
                <w:sz w:val="20"/>
                <w:szCs w:val="20"/>
                <w:lang w:eastAsia="cs-CZ"/>
              </w:rPr>
            </w:pPr>
          </w:p>
        </w:tc>
      </w:tr>
      <w:tr w:rsidR="00CE6E44" w:rsidRPr="00CE6E44" w14:paraId="0621CB0E"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41387F32" w14:textId="77777777" w:rsidR="009561A2" w:rsidRPr="00CE6E44" w:rsidRDefault="009561A2" w:rsidP="00F32B0C">
            <w:pPr>
              <w:spacing w:before="20" w:after="20" w:line="240" w:lineRule="auto"/>
              <w:jc w:val="left"/>
              <w:rPr>
                <w:rFonts w:eastAsia="Times New Roman"/>
                <w:sz w:val="20"/>
                <w:szCs w:val="20"/>
                <w:lang w:eastAsia="cs-CZ"/>
              </w:rPr>
            </w:pPr>
            <w:r w:rsidRPr="00CE6E44">
              <w:rPr>
                <w:rFonts w:eastAsia="Times New Roman"/>
                <w:sz w:val="20"/>
                <w:szCs w:val="20"/>
                <w:lang w:eastAsia="cs-CZ"/>
              </w:rPr>
              <w:t>Z30</w:t>
            </w:r>
          </w:p>
        </w:tc>
        <w:tc>
          <w:tcPr>
            <w:tcW w:w="3453" w:type="dxa"/>
            <w:tcBorders>
              <w:top w:val="nil"/>
              <w:left w:val="nil"/>
              <w:bottom w:val="single" w:sz="4" w:space="0" w:color="auto"/>
              <w:right w:val="single" w:sz="4" w:space="0" w:color="auto"/>
            </w:tcBorders>
            <w:shd w:val="clear" w:color="auto" w:fill="auto"/>
            <w:noWrap/>
            <w:hideMark/>
          </w:tcPr>
          <w:p w14:paraId="2F747529" w14:textId="77777777" w:rsidR="009561A2" w:rsidRPr="00CE6E44" w:rsidRDefault="009561A2" w:rsidP="00F32B0C">
            <w:pPr>
              <w:spacing w:before="20" w:after="20" w:line="240" w:lineRule="auto"/>
              <w:jc w:val="left"/>
              <w:rPr>
                <w:rFonts w:eastAsia="Times New Roman"/>
                <w:color w:val="000000"/>
                <w:sz w:val="20"/>
                <w:szCs w:val="20"/>
                <w:lang w:eastAsia="cs-CZ"/>
              </w:rPr>
            </w:pPr>
            <w:r w:rsidRPr="00CE6E44">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hideMark/>
          </w:tcPr>
          <w:p w14:paraId="21BF7120"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0,424</w:t>
            </w:r>
          </w:p>
        </w:tc>
        <w:tc>
          <w:tcPr>
            <w:tcW w:w="779" w:type="dxa"/>
            <w:tcBorders>
              <w:top w:val="nil"/>
              <w:left w:val="nil"/>
              <w:bottom w:val="single" w:sz="4" w:space="0" w:color="auto"/>
              <w:right w:val="single" w:sz="4" w:space="0" w:color="auto"/>
            </w:tcBorders>
            <w:shd w:val="clear" w:color="auto" w:fill="auto"/>
            <w:hideMark/>
          </w:tcPr>
          <w:p w14:paraId="48639A30"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0,349</w:t>
            </w:r>
          </w:p>
        </w:tc>
        <w:tc>
          <w:tcPr>
            <w:tcW w:w="945" w:type="dxa"/>
            <w:tcBorders>
              <w:top w:val="nil"/>
              <w:left w:val="nil"/>
              <w:bottom w:val="single" w:sz="4" w:space="0" w:color="auto"/>
              <w:right w:val="single" w:sz="4" w:space="0" w:color="auto"/>
            </w:tcBorders>
            <w:shd w:val="clear" w:color="auto" w:fill="auto"/>
            <w:hideMark/>
          </w:tcPr>
          <w:p w14:paraId="301EFACE"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F8882BC"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30C2E3B"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5564F4C"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7B2CE37C"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0,075</w:t>
            </w:r>
          </w:p>
        </w:tc>
        <w:tc>
          <w:tcPr>
            <w:tcW w:w="779" w:type="dxa"/>
            <w:tcBorders>
              <w:top w:val="nil"/>
              <w:left w:val="nil"/>
              <w:bottom w:val="single" w:sz="4" w:space="0" w:color="auto"/>
              <w:right w:val="single" w:sz="4" w:space="0" w:color="auto"/>
            </w:tcBorders>
            <w:shd w:val="clear" w:color="auto" w:fill="auto"/>
            <w:hideMark/>
          </w:tcPr>
          <w:p w14:paraId="041FF3D4"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8D9AF28"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0,192</w:t>
            </w:r>
          </w:p>
        </w:tc>
        <w:tc>
          <w:tcPr>
            <w:tcW w:w="779" w:type="dxa"/>
            <w:tcBorders>
              <w:top w:val="nil"/>
              <w:left w:val="nil"/>
              <w:bottom w:val="single" w:sz="4" w:space="0" w:color="auto"/>
              <w:right w:val="single" w:sz="4" w:space="0" w:color="auto"/>
            </w:tcBorders>
            <w:shd w:val="clear" w:color="auto" w:fill="auto"/>
            <w:hideMark/>
          </w:tcPr>
          <w:p w14:paraId="322172A4"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0,232</w:t>
            </w:r>
          </w:p>
        </w:tc>
        <w:tc>
          <w:tcPr>
            <w:tcW w:w="779" w:type="dxa"/>
            <w:tcBorders>
              <w:top w:val="nil"/>
              <w:left w:val="nil"/>
              <w:bottom w:val="single" w:sz="4" w:space="0" w:color="auto"/>
              <w:right w:val="single" w:sz="4" w:space="0" w:color="auto"/>
            </w:tcBorders>
            <w:shd w:val="clear" w:color="auto" w:fill="auto"/>
            <w:hideMark/>
          </w:tcPr>
          <w:p w14:paraId="4837C0A4"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DE61CDC"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1FEDF020"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r>
      <w:tr w:rsidR="00CE6E44" w:rsidRPr="00CE6E44" w14:paraId="67044E96"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597779E1" w14:textId="77777777" w:rsidR="009561A2" w:rsidRPr="00CE6E44" w:rsidRDefault="009561A2" w:rsidP="00F32B0C">
            <w:pPr>
              <w:spacing w:before="20" w:after="20" w:line="240" w:lineRule="auto"/>
              <w:jc w:val="left"/>
              <w:rPr>
                <w:rFonts w:eastAsia="Times New Roman"/>
                <w:sz w:val="20"/>
                <w:szCs w:val="20"/>
                <w:lang w:eastAsia="cs-CZ"/>
              </w:rPr>
            </w:pPr>
            <w:r w:rsidRPr="00CE6E44">
              <w:rPr>
                <w:rFonts w:eastAsia="Times New Roman"/>
                <w:sz w:val="20"/>
                <w:szCs w:val="20"/>
                <w:lang w:eastAsia="cs-CZ"/>
              </w:rPr>
              <w:t>Z38</w:t>
            </w:r>
          </w:p>
        </w:tc>
        <w:tc>
          <w:tcPr>
            <w:tcW w:w="3453" w:type="dxa"/>
            <w:tcBorders>
              <w:top w:val="nil"/>
              <w:left w:val="nil"/>
              <w:bottom w:val="single" w:sz="4" w:space="0" w:color="auto"/>
              <w:right w:val="single" w:sz="4" w:space="0" w:color="auto"/>
            </w:tcBorders>
            <w:shd w:val="clear" w:color="auto" w:fill="auto"/>
            <w:noWrap/>
            <w:hideMark/>
          </w:tcPr>
          <w:p w14:paraId="578B8381" w14:textId="77777777" w:rsidR="009561A2" w:rsidRPr="00CE6E44" w:rsidRDefault="009561A2" w:rsidP="00F32B0C">
            <w:pPr>
              <w:spacing w:before="20" w:after="20" w:line="240" w:lineRule="auto"/>
              <w:jc w:val="left"/>
              <w:rPr>
                <w:rFonts w:eastAsia="Times New Roman"/>
                <w:color w:val="000000"/>
                <w:sz w:val="20"/>
                <w:szCs w:val="20"/>
                <w:lang w:eastAsia="cs-CZ"/>
              </w:rPr>
            </w:pPr>
            <w:r w:rsidRPr="00CE6E44">
              <w:rPr>
                <w:rFonts w:eastAsia="Times New Roman"/>
                <w:color w:val="000000"/>
                <w:sz w:val="20"/>
                <w:szCs w:val="20"/>
                <w:lang w:eastAsia="cs-CZ"/>
              </w:rPr>
              <w:t>SV - plochy smíšené obytné - venkovské</w:t>
            </w:r>
          </w:p>
        </w:tc>
        <w:tc>
          <w:tcPr>
            <w:tcW w:w="779" w:type="dxa"/>
            <w:tcBorders>
              <w:top w:val="nil"/>
              <w:left w:val="nil"/>
              <w:bottom w:val="single" w:sz="4" w:space="0" w:color="auto"/>
              <w:right w:val="single" w:sz="4" w:space="0" w:color="auto"/>
            </w:tcBorders>
            <w:shd w:val="clear" w:color="auto" w:fill="auto"/>
            <w:hideMark/>
          </w:tcPr>
          <w:p w14:paraId="1E40D2BE"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0,436</w:t>
            </w:r>
          </w:p>
        </w:tc>
        <w:tc>
          <w:tcPr>
            <w:tcW w:w="779" w:type="dxa"/>
            <w:tcBorders>
              <w:top w:val="nil"/>
              <w:left w:val="nil"/>
              <w:bottom w:val="single" w:sz="4" w:space="0" w:color="auto"/>
              <w:right w:val="single" w:sz="4" w:space="0" w:color="auto"/>
            </w:tcBorders>
            <w:shd w:val="clear" w:color="auto" w:fill="auto"/>
            <w:hideMark/>
          </w:tcPr>
          <w:p w14:paraId="37E18590"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945" w:type="dxa"/>
            <w:tcBorders>
              <w:top w:val="nil"/>
              <w:left w:val="nil"/>
              <w:bottom w:val="single" w:sz="4" w:space="0" w:color="auto"/>
              <w:right w:val="single" w:sz="4" w:space="0" w:color="auto"/>
            </w:tcBorders>
            <w:shd w:val="clear" w:color="auto" w:fill="auto"/>
            <w:hideMark/>
          </w:tcPr>
          <w:p w14:paraId="61CDA42D"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9203B66"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49384DB"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A5CA65E"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0F6731B4"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0,436</w:t>
            </w:r>
          </w:p>
        </w:tc>
        <w:tc>
          <w:tcPr>
            <w:tcW w:w="779" w:type="dxa"/>
            <w:tcBorders>
              <w:top w:val="nil"/>
              <w:left w:val="nil"/>
              <w:bottom w:val="single" w:sz="4" w:space="0" w:color="auto"/>
              <w:right w:val="single" w:sz="4" w:space="0" w:color="auto"/>
            </w:tcBorders>
            <w:shd w:val="clear" w:color="auto" w:fill="auto"/>
            <w:hideMark/>
          </w:tcPr>
          <w:p w14:paraId="04EA79CC"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24F2B73"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0,256</w:t>
            </w:r>
          </w:p>
        </w:tc>
        <w:tc>
          <w:tcPr>
            <w:tcW w:w="779" w:type="dxa"/>
            <w:tcBorders>
              <w:top w:val="nil"/>
              <w:left w:val="nil"/>
              <w:bottom w:val="single" w:sz="4" w:space="0" w:color="auto"/>
              <w:right w:val="single" w:sz="4" w:space="0" w:color="auto"/>
            </w:tcBorders>
            <w:shd w:val="clear" w:color="auto" w:fill="auto"/>
            <w:hideMark/>
          </w:tcPr>
          <w:p w14:paraId="2242B84A"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0,180</w:t>
            </w:r>
          </w:p>
        </w:tc>
        <w:tc>
          <w:tcPr>
            <w:tcW w:w="779" w:type="dxa"/>
            <w:tcBorders>
              <w:top w:val="nil"/>
              <w:left w:val="nil"/>
              <w:bottom w:val="single" w:sz="4" w:space="0" w:color="auto"/>
              <w:right w:val="single" w:sz="4" w:space="0" w:color="auto"/>
            </w:tcBorders>
            <w:shd w:val="clear" w:color="auto" w:fill="auto"/>
            <w:hideMark/>
          </w:tcPr>
          <w:p w14:paraId="74A4BCBB"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EE94792"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066B8CC6"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r>
      <w:tr w:rsidR="00CE6E44" w:rsidRPr="00CE6E44" w14:paraId="11D149B7"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2B47B559" w14:textId="77777777" w:rsidR="009561A2" w:rsidRPr="00CE6E44" w:rsidRDefault="009561A2" w:rsidP="00F32B0C">
            <w:pPr>
              <w:spacing w:before="20" w:after="20" w:line="240" w:lineRule="auto"/>
              <w:jc w:val="left"/>
              <w:rPr>
                <w:rFonts w:eastAsia="Times New Roman"/>
                <w:b/>
                <w:bCs/>
                <w:sz w:val="20"/>
                <w:szCs w:val="20"/>
                <w:lang w:eastAsia="cs-CZ"/>
              </w:rPr>
            </w:pPr>
            <w:r w:rsidRPr="00CE6E44">
              <w:rPr>
                <w:rFonts w:eastAsia="Times New Roman"/>
                <w:b/>
                <w:bCs/>
                <w:sz w:val="20"/>
                <w:szCs w:val="20"/>
                <w:lang w:eastAsia="cs-CZ"/>
              </w:rPr>
              <w:t>Plochy smíšené obytné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7904DD89"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0,860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AB3D88A"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0,349</w:t>
            </w:r>
          </w:p>
        </w:tc>
        <w:tc>
          <w:tcPr>
            <w:tcW w:w="945" w:type="dxa"/>
            <w:tcBorders>
              <w:top w:val="nil"/>
              <w:left w:val="nil"/>
              <w:bottom w:val="single" w:sz="4" w:space="0" w:color="auto"/>
              <w:right w:val="single" w:sz="4" w:space="0" w:color="auto"/>
            </w:tcBorders>
            <w:shd w:val="clear" w:color="auto" w:fill="C2D69B" w:themeFill="accent3" w:themeFillTint="99"/>
            <w:hideMark/>
          </w:tcPr>
          <w:p w14:paraId="70870510"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06DA3C57"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7D497D17"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0750D0FF"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26E8102"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0,511</w:t>
            </w:r>
          </w:p>
        </w:tc>
        <w:tc>
          <w:tcPr>
            <w:tcW w:w="779" w:type="dxa"/>
            <w:tcBorders>
              <w:top w:val="nil"/>
              <w:left w:val="nil"/>
              <w:bottom w:val="single" w:sz="4" w:space="0" w:color="auto"/>
              <w:right w:val="single" w:sz="4" w:space="0" w:color="auto"/>
            </w:tcBorders>
            <w:shd w:val="clear" w:color="auto" w:fill="C2D69B" w:themeFill="accent3" w:themeFillTint="99"/>
            <w:hideMark/>
          </w:tcPr>
          <w:p w14:paraId="2457F050"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5CAAE495"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0,448</w:t>
            </w:r>
          </w:p>
        </w:tc>
        <w:tc>
          <w:tcPr>
            <w:tcW w:w="779" w:type="dxa"/>
            <w:tcBorders>
              <w:top w:val="nil"/>
              <w:left w:val="nil"/>
              <w:bottom w:val="single" w:sz="4" w:space="0" w:color="auto"/>
              <w:right w:val="single" w:sz="4" w:space="0" w:color="auto"/>
            </w:tcBorders>
            <w:shd w:val="clear" w:color="auto" w:fill="C2D69B" w:themeFill="accent3" w:themeFillTint="99"/>
            <w:hideMark/>
          </w:tcPr>
          <w:p w14:paraId="231018D3"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0,412</w:t>
            </w:r>
          </w:p>
        </w:tc>
        <w:tc>
          <w:tcPr>
            <w:tcW w:w="779" w:type="dxa"/>
            <w:tcBorders>
              <w:top w:val="nil"/>
              <w:left w:val="nil"/>
              <w:bottom w:val="single" w:sz="4" w:space="0" w:color="auto"/>
              <w:right w:val="single" w:sz="4" w:space="0" w:color="auto"/>
            </w:tcBorders>
            <w:shd w:val="clear" w:color="auto" w:fill="C2D69B" w:themeFill="accent3" w:themeFillTint="99"/>
            <w:hideMark/>
          </w:tcPr>
          <w:p w14:paraId="3B951152"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0C6593E"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345A934A"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r>
      <w:tr w:rsidR="00CE6E44" w:rsidRPr="00CE6E44" w14:paraId="387E2AA9"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25059E11" w14:textId="77777777" w:rsidR="009561A2" w:rsidRPr="00CE6E44" w:rsidRDefault="009561A2" w:rsidP="00F32B0C">
            <w:pPr>
              <w:spacing w:before="20" w:after="20" w:line="240" w:lineRule="auto"/>
              <w:jc w:val="left"/>
              <w:rPr>
                <w:rFonts w:eastAsia="Times New Roman"/>
                <w:sz w:val="20"/>
                <w:szCs w:val="20"/>
                <w:lang w:eastAsia="cs-CZ"/>
              </w:rPr>
            </w:pPr>
            <w:r w:rsidRPr="00CE6E44">
              <w:rPr>
                <w:rFonts w:eastAsia="Times New Roman"/>
                <w:sz w:val="20"/>
                <w:szCs w:val="20"/>
                <w:lang w:eastAsia="cs-CZ"/>
              </w:rPr>
              <w:t>Z37</w:t>
            </w:r>
          </w:p>
        </w:tc>
        <w:tc>
          <w:tcPr>
            <w:tcW w:w="3453" w:type="dxa"/>
            <w:tcBorders>
              <w:top w:val="nil"/>
              <w:left w:val="nil"/>
              <w:bottom w:val="single" w:sz="4" w:space="0" w:color="auto"/>
              <w:right w:val="single" w:sz="4" w:space="0" w:color="auto"/>
            </w:tcBorders>
            <w:shd w:val="clear" w:color="auto" w:fill="auto"/>
            <w:hideMark/>
          </w:tcPr>
          <w:p w14:paraId="638DA892" w14:textId="77777777" w:rsidR="009561A2" w:rsidRPr="00CE6E44" w:rsidRDefault="009561A2" w:rsidP="00F32B0C">
            <w:pPr>
              <w:spacing w:before="20" w:after="20" w:line="240" w:lineRule="auto"/>
              <w:jc w:val="left"/>
              <w:rPr>
                <w:rFonts w:eastAsia="Times New Roman"/>
                <w:sz w:val="20"/>
                <w:szCs w:val="20"/>
                <w:lang w:eastAsia="cs-CZ"/>
              </w:rPr>
            </w:pPr>
            <w:r w:rsidRPr="00CE6E44">
              <w:rPr>
                <w:rFonts w:eastAsia="Times New Roman"/>
                <w:sz w:val="20"/>
                <w:szCs w:val="20"/>
                <w:lang w:eastAsia="cs-CZ"/>
              </w:rPr>
              <w:t>VL - lehký průmysl</w:t>
            </w:r>
          </w:p>
        </w:tc>
        <w:tc>
          <w:tcPr>
            <w:tcW w:w="779" w:type="dxa"/>
            <w:tcBorders>
              <w:top w:val="nil"/>
              <w:left w:val="nil"/>
              <w:bottom w:val="single" w:sz="4" w:space="0" w:color="auto"/>
              <w:right w:val="single" w:sz="4" w:space="0" w:color="auto"/>
            </w:tcBorders>
            <w:shd w:val="clear" w:color="auto" w:fill="auto"/>
            <w:hideMark/>
          </w:tcPr>
          <w:p w14:paraId="4C88E44C"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7,804</w:t>
            </w:r>
          </w:p>
        </w:tc>
        <w:tc>
          <w:tcPr>
            <w:tcW w:w="779" w:type="dxa"/>
            <w:tcBorders>
              <w:top w:val="nil"/>
              <w:left w:val="nil"/>
              <w:bottom w:val="single" w:sz="4" w:space="0" w:color="auto"/>
              <w:right w:val="single" w:sz="4" w:space="0" w:color="auto"/>
            </w:tcBorders>
            <w:shd w:val="clear" w:color="auto" w:fill="auto"/>
            <w:hideMark/>
          </w:tcPr>
          <w:p w14:paraId="3AAB09BB"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7,047</w:t>
            </w:r>
          </w:p>
        </w:tc>
        <w:tc>
          <w:tcPr>
            <w:tcW w:w="945" w:type="dxa"/>
            <w:tcBorders>
              <w:top w:val="nil"/>
              <w:left w:val="nil"/>
              <w:bottom w:val="single" w:sz="4" w:space="0" w:color="auto"/>
              <w:right w:val="single" w:sz="4" w:space="0" w:color="auto"/>
            </w:tcBorders>
            <w:shd w:val="clear" w:color="auto" w:fill="auto"/>
            <w:hideMark/>
          </w:tcPr>
          <w:p w14:paraId="4EA127C5"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77F8C6E"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33B25F7"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F2C2B94"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3C90A51B"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0,757</w:t>
            </w:r>
          </w:p>
        </w:tc>
        <w:tc>
          <w:tcPr>
            <w:tcW w:w="779" w:type="dxa"/>
            <w:tcBorders>
              <w:top w:val="nil"/>
              <w:left w:val="nil"/>
              <w:bottom w:val="single" w:sz="4" w:space="0" w:color="auto"/>
              <w:right w:val="single" w:sz="4" w:space="0" w:color="auto"/>
            </w:tcBorders>
            <w:shd w:val="clear" w:color="auto" w:fill="auto"/>
            <w:hideMark/>
          </w:tcPr>
          <w:p w14:paraId="141ADC92"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58C85C2"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2,188</w:t>
            </w:r>
          </w:p>
        </w:tc>
        <w:tc>
          <w:tcPr>
            <w:tcW w:w="779" w:type="dxa"/>
            <w:tcBorders>
              <w:top w:val="nil"/>
              <w:left w:val="nil"/>
              <w:bottom w:val="single" w:sz="4" w:space="0" w:color="auto"/>
              <w:right w:val="single" w:sz="4" w:space="0" w:color="auto"/>
            </w:tcBorders>
            <w:shd w:val="clear" w:color="auto" w:fill="auto"/>
            <w:hideMark/>
          </w:tcPr>
          <w:p w14:paraId="5AF45092"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5,617</w:t>
            </w:r>
          </w:p>
        </w:tc>
        <w:tc>
          <w:tcPr>
            <w:tcW w:w="779" w:type="dxa"/>
            <w:tcBorders>
              <w:top w:val="nil"/>
              <w:left w:val="nil"/>
              <w:bottom w:val="single" w:sz="4" w:space="0" w:color="auto"/>
              <w:right w:val="single" w:sz="4" w:space="0" w:color="auto"/>
            </w:tcBorders>
            <w:shd w:val="clear" w:color="auto" w:fill="auto"/>
            <w:hideMark/>
          </w:tcPr>
          <w:p w14:paraId="69C3DCDC"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9FCCC60"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845" w:type="dxa"/>
            <w:tcBorders>
              <w:top w:val="nil"/>
              <w:left w:val="nil"/>
              <w:bottom w:val="single" w:sz="4" w:space="0" w:color="auto"/>
              <w:right w:val="single" w:sz="4" w:space="0" w:color="auto"/>
            </w:tcBorders>
            <w:shd w:val="clear" w:color="auto" w:fill="auto"/>
            <w:hideMark/>
          </w:tcPr>
          <w:p w14:paraId="12393A4C"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r>
      <w:tr w:rsidR="00CE6E44" w:rsidRPr="00CE6E44" w14:paraId="0BE69B9B" w14:textId="77777777" w:rsidTr="00A375C3">
        <w:tc>
          <w:tcPr>
            <w:tcW w:w="872" w:type="dxa"/>
            <w:tcBorders>
              <w:top w:val="nil"/>
              <w:left w:val="single" w:sz="4" w:space="0" w:color="auto"/>
              <w:bottom w:val="single" w:sz="4" w:space="0" w:color="auto"/>
              <w:right w:val="single" w:sz="4" w:space="0" w:color="auto"/>
            </w:tcBorders>
            <w:shd w:val="clear" w:color="auto" w:fill="auto"/>
            <w:hideMark/>
          </w:tcPr>
          <w:p w14:paraId="5B375FF2" w14:textId="77777777" w:rsidR="009561A2" w:rsidRPr="00CE6E44" w:rsidRDefault="009561A2" w:rsidP="00F32B0C">
            <w:pPr>
              <w:spacing w:before="20" w:after="20" w:line="240" w:lineRule="auto"/>
              <w:jc w:val="left"/>
              <w:rPr>
                <w:rFonts w:eastAsia="Times New Roman"/>
                <w:sz w:val="20"/>
                <w:szCs w:val="20"/>
                <w:lang w:eastAsia="cs-CZ"/>
              </w:rPr>
            </w:pPr>
            <w:r w:rsidRPr="00CE6E44">
              <w:rPr>
                <w:rFonts w:eastAsia="Times New Roman"/>
                <w:sz w:val="20"/>
                <w:szCs w:val="20"/>
                <w:lang w:eastAsia="cs-CZ"/>
              </w:rPr>
              <w:t>Z41</w:t>
            </w:r>
          </w:p>
        </w:tc>
        <w:tc>
          <w:tcPr>
            <w:tcW w:w="3453" w:type="dxa"/>
            <w:tcBorders>
              <w:top w:val="nil"/>
              <w:left w:val="nil"/>
              <w:bottom w:val="single" w:sz="4" w:space="0" w:color="auto"/>
              <w:right w:val="single" w:sz="4" w:space="0" w:color="auto"/>
            </w:tcBorders>
            <w:shd w:val="clear" w:color="auto" w:fill="auto"/>
            <w:hideMark/>
          </w:tcPr>
          <w:p w14:paraId="7668BCD9" w14:textId="77777777" w:rsidR="009561A2" w:rsidRPr="00CE6E44" w:rsidRDefault="009561A2" w:rsidP="00F32B0C">
            <w:pPr>
              <w:spacing w:before="20" w:after="20" w:line="240" w:lineRule="auto"/>
              <w:jc w:val="left"/>
              <w:rPr>
                <w:rFonts w:eastAsia="Times New Roman"/>
                <w:sz w:val="20"/>
                <w:szCs w:val="20"/>
                <w:lang w:eastAsia="cs-CZ"/>
              </w:rPr>
            </w:pPr>
            <w:r w:rsidRPr="00CE6E44">
              <w:rPr>
                <w:rFonts w:eastAsia="Times New Roman"/>
                <w:sz w:val="20"/>
                <w:szCs w:val="20"/>
                <w:lang w:eastAsia="cs-CZ"/>
              </w:rPr>
              <w:t>VX - výroba a skladování - se specifickým využitím</w:t>
            </w:r>
          </w:p>
        </w:tc>
        <w:tc>
          <w:tcPr>
            <w:tcW w:w="779" w:type="dxa"/>
            <w:tcBorders>
              <w:top w:val="nil"/>
              <w:left w:val="nil"/>
              <w:bottom w:val="single" w:sz="4" w:space="0" w:color="auto"/>
              <w:right w:val="single" w:sz="4" w:space="0" w:color="auto"/>
            </w:tcBorders>
            <w:shd w:val="clear" w:color="auto" w:fill="auto"/>
            <w:hideMark/>
          </w:tcPr>
          <w:p w14:paraId="2B21CD4A" w14:textId="77777777" w:rsidR="009561A2" w:rsidRPr="00CE6E44" w:rsidRDefault="00CE6E44"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10,549</w:t>
            </w:r>
          </w:p>
        </w:tc>
        <w:tc>
          <w:tcPr>
            <w:tcW w:w="779" w:type="dxa"/>
            <w:tcBorders>
              <w:top w:val="nil"/>
              <w:left w:val="nil"/>
              <w:bottom w:val="single" w:sz="4" w:space="0" w:color="auto"/>
              <w:right w:val="single" w:sz="4" w:space="0" w:color="auto"/>
            </w:tcBorders>
            <w:shd w:val="clear" w:color="auto" w:fill="auto"/>
            <w:hideMark/>
          </w:tcPr>
          <w:p w14:paraId="4ACD5E7B" w14:textId="77777777" w:rsidR="009561A2" w:rsidRPr="00CE6E44" w:rsidRDefault="00CE6E44"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9,643</w:t>
            </w:r>
          </w:p>
        </w:tc>
        <w:tc>
          <w:tcPr>
            <w:tcW w:w="945" w:type="dxa"/>
            <w:tcBorders>
              <w:top w:val="nil"/>
              <w:left w:val="nil"/>
              <w:bottom w:val="single" w:sz="4" w:space="0" w:color="auto"/>
              <w:right w:val="single" w:sz="4" w:space="0" w:color="auto"/>
            </w:tcBorders>
            <w:shd w:val="clear" w:color="auto" w:fill="auto"/>
            <w:hideMark/>
          </w:tcPr>
          <w:p w14:paraId="43AE8347"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8EF1888"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78CD5CD"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0F2DC62"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5FFD7D4E" w14:textId="77777777" w:rsidR="009561A2" w:rsidRPr="00CE6E44" w:rsidRDefault="00CE6E44"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0,907</w:t>
            </w:r>
          </w:p>
        </w:tc>
        <w:tc>
          <w:tcPr>
            <w:tcW w:w="779" w:type="dxa"/>
            <w:tcBorders>
              <w:top w:val="nil"/>
              <w:left w:val="nil"/>
              <w:bottom w:val="single" w:sz="4" w:space="0" w:color="auto"/>
              <w:right w:val="single" w:sz="4" w:space="0" w:color="auto"/>
            </w:tcBorders>
            <w:shd w:val="clear" w:color="auto" w:fill="auto"/>
            <w:hideMark/>
          </w:tcPr>
          <w:p w14:paraId="1ABD1425"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62BA9E1D" w14:textId="77777777" w:rsidR="009561A2" w:rsidRPr="00CE6E44" w:rsidRDefault="00544446" w:rsidP="00F32B0C">
            <w:pPr>
              <w:spacing w:before="20" w:after="20" w:line="240" w:lineRule="auto"/>
              <w:jc w:val="right"/>
              <w:rPr>
                <w:rFonts w:eastAsia="Times New Roman"/>
                <w:sz w:val="20"/>
                <w:szCs w:val="20"/>
                <w:lang w:eastAsia="cs-CZ"/>
              </w:rPr>
            </w:pPr>
            <w:r>
              <w:rPr>
                <w:rFonts w:eastAsia="Times New Roman"/>
                <w:sz w:val="20"/>
                <w:szCs w:val="20"/>
                <w:lang w:eastAsia="cs-CZ"/>
              </w:rPr>
              <w:t xml:space="preserve"> </w:t>
            </w:r>
            <w:r w:rsidR="00CE6E44" w:rsidRPr="00CE6E44">
              <w:rPr>
                <w:rFonts w:eastAsia="Times New Roman"/>
                <w:sz w:val="20"/>
                <w:szCs w:val="20"/>
                <w:lang w:eastAsia="cs-CZ"/>
              </w:rPr>
              <w:t>10,509</w:t>
            </w:r>
          </w:p>
        </w:tc>
        <w:tc>
          <w:tcPr>
            <w:tcW w:w="779" w:type="dxa"/>
            <w:tcBorders>
              <w:top w:val="nil"/>
              <w:left w:val="nil"/>
              <w:bottom w:val="single" w:sz="4" w:space="0" w:color="auto"/>
              <w:right w:val="single" w:sz="4" w:space="0" w:color="auto"/>
            </w:tcBorders>
            <w:shd w:val="clear" w:color="auto" w:fill="auto"/>
            <w:hideMark/>
          </w:tcPr>
          <w:p w14:paraId="2C50B419" w14:textId="77777777" w:rsidR="009561A2" w:rsidRPr="00CE6E44" w:rsidRDefault="00CE6E44"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2F19FCB3"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c>
          <w:tcPr>
            <w:tcW w:w="779" w:type="dxa"/>
            <w:tcBorders>
              <w:top w:val="nil"/>
              <w:left w:val="nil"/>
              <w:bottom w:val="single" w:sz="4" w:space="0" w:color="auto"/>
              <w:right w:val="single" w:sz="4" w:space="0" w:color="auto"/>
            </w:tcBorders>
            <w:shd w:val="clear" w:color="auto" w:fill="auto"/>
            <w:hideMark/>
          </w:tcPr>
          <w:p w14:paraId="13001BCC" w14:textId="77777777" w:rsidR="009561A2" w:rsidRPr="00CE6E44" w:rsidRDefault="00CE6E44"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0,040</w:t>
            </w:r>
          </w:p>
        </w:tc>
        <w:tc>
          <w:tcPr>
            <w:tcW w:w="845" w:type="dxa"/>
            <w:tcBorders>
              <w:top w:val="nil"/>
              <w:left w:val="nil"/>
              <w:bottom w:val="single" w:sz="4" w:space="0" w:color="auto"/>
              <w:right w:val="single" w:sz="4" w:space="0" w:color="auto"/>
            </w:tcBorders>
            <w:shd w:val="clear" w:color="auto" w:fill="auto"/>
            <w:hideMark/>
          </w:tcPr>
          <w:p w14:paraId="06372081" w14:textId="77777777" w:rsidR="009561A2" w:rsidRPr="00CE6E44" w:rsidRDefault="009561A2" w:rsidP="00F32B0C">
            <w:pPr>
              <w:spacing w:before="20" w:after="20" w:line="240" w:lineRule="auto"/>
              <w:jc w:val="right"/>
              <w:rPr>
                <w:rFonts w:eastAsia="Times New Roman"/>
                <w:sz w:val="20"/>
                <w:szCs w:val="20"/>
                <w:lang w:eastAsia="cs-CZ"/>
              </w:rPr>
            </w:pPr>
            <w:r w:rsidRPr="00CE6E44">
              <w:rPr>
                <w:rFonts w:eastAsia="Times New Roman"/>
                <w:sz w:val="20"/>
                <w:szCs w:val="20"/>
                <w:lang w:eastAsia="cs-CZ"/>
              </w:rPr>
              <w:t>0,000</w:t>
            </w:r>
          </w:p>
        </w:tc>
      </w:tr>
      <w:tr w:rsidR="00CE6E44" w:rsidRPr="00CE6E44" w14:paraId="5C3FBFBB"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28EC3944" w14:textId="77777777" w:rsidR="009561A2" w:rsidRPr="00CE6E44" w:rsidRDefault="009561A2" w:rsidP="00F32B0C">
            <w:pPr>
              <w:spacing w:before="20" w:after="20" w:line="240" w:lineRule="auto"/>
              <w:jc w:val="left"/>
              <w:rPr>
                <w:rFonts w:eastAsia="Times New Roman"/>
                <w:b/>
                <w:bCs/>
                <w:sz w:val="20"/>
                <w:szCs w:val="20"/>
                <w:lang w:eastAsia="cs-CZ"/>
              </w:rPr>
            </w:pPr>
            <w:r w:rsidRPr="00CE6E44">
              <w:rPr>
                <w:rFonts w:eastAsia="Times New Roman"/>
                <w:b/>
                <w:bCs/>
                <w:sz w:val="20"/>
                <w:szCs w:val="20"/>
                <w:lang w:eastAsia="cs-CZ"/>
              </w:rPr>
              <w:t>Plochy výroby celkem</w:t>
            </w:r>
          </w:p>
        </w:tc>
        <w:tc>
          <w:tcPr>
            <w:tcW w:w="779" w:type="dxa"/>
            <w:tcBorders>
              <w:top w:val="nil"/>
              <w:left w:val="nil"/>
              <w:bottom w:val="single" w:sz="4" w:space="0" w:color="auto"/>
              <w:right w:val="single" w:sz="4" w:space="0" w:color="auto"/>
            </w:tcBorders>
            <w:shd w:val="clear" w:color="auto" w:fill="C2D69B" w:themeFill="accent3" w:themeFillTint="99"/>
            <w:hideMark/>
          </w:tcPr>
          <w:p w14:paraId="095DA2C6" w14:textId="77777777" w:rsidR="009561A2" w:rsidRPr="00CE6E44" w:rsidRDefault="00CE6E44"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18,353</w:t>
            </w:r>
          </w:p>
        </w:tc>
        <w:tc>
          <w:tcPr>
            <w:tcW w:w="779" w:type="dxa"/>
            <w:tcBorders>
              <w:top w:val="nil"/>
              <w:left w:val="nil"/>
              <w:bottom w:val="single" w:sz="4" w:space="0" w:color="auto"/>
              <w:right w:val="single" w:sz="4" w:space="0" w:color="auto"/>
            </w:tcBorders>
            <w:shd w:val="clear" w:color="auto" w:fill="C2D69B" w:themeFill="accent3" w:themeFillTint="99"/>
            <w:hideMark/>
          </w:tcPr>
          <w:p w14:paraId="683A3AD4" w14:textId="77777777" w:rsidR="009561A2" w:rsidRPr="00CE6E44" w:rsidRDefault="00CE6E44"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16,690</w:t>
            </w:r>
          </w:p>
        </w:tc>
        <w:tc>
          <w:tcPr>
            <w:tcW w:w="945" w:type="dxa"/>
            <w:tcBorders>
              <w:top w:val="nil"/>
              <w:left w:val="nil"/>
              <w:bottom w:val="single" w:sz="4" w:space="0" w:color="auto"/>
              <w:right w:val="single" w:sz="4" w:space="0" w:color="auto"/>
            </w:tcBorders>
            <w:shd w:val="clear" w:color="auto" w:fill="C2D69B" w:themeFill="accent3" w:themeFillTint="99"/>
            <w:hideMark/>
          </w:tcPr>
          <w:p w14:paraId="1CEFBA00"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33BF4374"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B8B8E7C"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3E6009D"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69B27182" w14:textId="77777777" w:rsidR="009561A2" w:rsidRPr="00CE6E44" w:rsidRDefault="00CE6E44"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1,664</w:t>
            </w:r>
          </w:p>
        </w:tc>
        <w:tc>
          <w:tcPr>
            <w:tcW w:w="779" w:type="dxa"/>
            <w:tcBorders>
              <w:top w:val="nil"/>
              <w:left w:val="nil"/>
              <w:bottom w:val="single" w:sz="4" w:space="0" w:color="auto"/>
              <w:right w:val="single" w:sz="4" w:space="0" w:color="auto"/>
            </w:tcBorders>
            <w:shd w:val="clear" w:color="auto" w:fill="C2D69B" w:themeFill="accent3" w:themeFillTint="99"/>
            <w:hideMark/>
          </w:tcPr>
          <w:p w14:paraId="7DB96655"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4C97D07A" w14:textId="77777777" w:rsidR="009561A2" w:rsidRPr="00CE6E44" w:rsidRDefault="00544446"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 xml:space="preserve"> </w:t>
            </w:r>
            <w:r w:rsidR="00CE6E44">
              <w:rPr>
                <w:rFonts w:eastAsia="Times New Roman"/>
                <w:b/>
                <w:bCs/>
                <w:sz w:val="20"/>
                <w:szCs w:val="20"/>
                <w:lang w:eastAsia="cs-CZ"/>
              </w:rPr>
              <w:t>12,697</w:t>
            </w:r>
          </w:p>
        </w:tc>
        <w:tc>
          <w:tcPr>
            <w:tcW w:w="779" w:type="dxa"/>
            <w:tcBorders>
              <w:top w:val="nil"/>
              <w:left w:val="nil"/>
              <w:bottom w:val="single" w:sz="4" w:space="0" w:color="auto"/>
              <w:right w:val="single" w:sz="4" w:space="0" w:color="auto"/>
            </w:tcBorders>
            <w:shd w:val="clear" w:color="auto" w:fill="C2D69B" w:themeFill="accent3" w:themeFillTint="99"/>
            <w:hideMark/>
          </w:tcPr>
          <w:p w14:paraId="7725AD10" w14:textId="77777777" w:rsidR="009561A2" w:rsidRPr="00CE6E44" w:rsidRDefault="00CE6E44"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5,617</w:t>
            </w:r>
          </w:p>
        </w:tc>
        <w:tc>
          <w:tcPr>
            <w:tcW w:w="779" w:type="dxa"/>
            <w:tcBorders>
              <w:top w:val="nil"/>
              <w:left w:val="nil"/>
              <w:bottom w:val="single" w:sz="4" w:space="0" w:color="auto"/>
              <w:right w:val="single" w:sz="4" w:space="0" w:color="auto"/>
            </w:tcBorders>
            <w:shd w:val="clear" w:color="auto" w:fill="C2D69B" w:themeFill="accent3" w:themeFillTint="99"/>
            <w:hideMark/>
          </w:tcPr>
          <w:p w14:paraId="7B6D295B"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779" w:type="dxa"/>
            <w:tcBorders>
              <w:top w:val="nil"/>
              <w:left w:val="nil"/>
              <w:bottom w:val="single" w:sz="4" w:space="0" w:color="auto"/>
              <w:right w:val="single" w:sz="4" w:space="0" w:color="auto"/>
            </w:tcBorders>
            <w:shd w:val="clear" w:color="auto" w:fill="C2D69B" w:themeFill="accent3" w:themeFillTint="99"/>
            <w:hideMark/>
          </w:tcPr>
          <w:p w14:paraId="25D893A7"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c>
          <w:tcPr>
            <w:tcW w:w="845" w:type="dxa"/>
            <w:tcBorders>
              <w:top w:val="nil"/>
              <w:left w:val="nil"/>
              <w:bottom w:val="single" w:sz="4" w:space="0" w:color="auto"/>
              <w:right w:val="single" w:sz="4" w:space="0" w:color="auto"/>
            </w:tcBorders>
            <w:shd w:val="clear" w:color="auto" w:fill="C2D69B" w:themeFill="accent3" w:themeFillTint="99"/>
            <w:hideMark/>
          </w:tcPr>
          <w:p w14:paraId="00A5306F" w14:textId="77777777" w:rsidR="009561A2" w:rsidRPr="00CE6E44" w:rsidRDefault="009561A2" w:rsidP="00F32B0C">
            <w:pPr>
              <w:spacing w:before="20" w:after="20" w:line="240" w:lineRule="auto"/>
              <w:jc w:val="right"/>
              <w:rPr>
                <w:rFonts w:eastAsia="Times New Roman"/>
                <w:b/>
                <w:bCs/>
                <w:sz w:val="20"/>
                <w:szCs w:val="20"/>
                <w:lang w:eastAsia="cs-CZ"/>
              </w:rPr>
            </w:pPr>
            <w:r w:rsidRPr="00CE6E44">
              <w:rPr>
                <w:rFonts w:eastAsia="Times New Roman"/>
                <w:b/>
                <w:bCs/>
                <w:sz w:val="20"/>
                <w:szCs w:val="20"/>
                <w:lang w:eastAsia="cs-CZ"/>
              </w:rPr>
              <w:t>0,000</w:t>
            </w:r>
          </w:p>
        </w:tc>
      </w:tr>
      <w:tr w:rsidR="00CE6E44" w:rsidRPr="00461C16" w14:paraId="78A61F5B" w14:textId="77777777" w:rsidTr="00A375C3">
        <w:tc>
          <w:tcPr>
            <w:tcW w:w="4325" w:type="dxa"/>
            <w:gridSpan w:val="2"/>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14AB45A0" w14:textId="77777777" w:rsidR="009561A2" w:rsidRPr="00CE6E44" w:rsidRDefault="009561A2" w:rsidP="00F32B0C">
            <w:pPr>
              <w:spacing w:before="20" w:after="20" w:line="240" w:lineRule="auto"/>
              <w:jc w:val="left"/>
              <w:rPr>
                <w:rFonts w:eastAsia="Times New Roman"/>
                <w:b/>
                <w:bCs/>
                <w:color w:val="FFFFFF"/>
                <w:sz w:val="20"/>
                <w:szCs w:val="20"/>
                <w:lang w:eastAsia="cs-CZ"/>
              </w:rPr>
            </w:pPr>
            <w:r w:rsidRPr="00CE6E44">
              <w:rPr>
                <w:rFonts w:eastAsia="Times New Roman"/>
                <w:b/>
                <w:bCs/>
                <w:color w:val="FFFFFF"/>
                <w:sz w:val="20"/>
                <w:szCs w:val="20"/>
                <w:lang w:eastAsia="cs-CZ"/>
              </w:rPr>
              <w:t>K.Ú. OLDŘICHOV NA HRANICÍCH - ZÁBOR ZPF CELKEM</w:t>
            </w:r>
          </w:p>
        </w:tc>
        <w:tc>
          <w:tcPr>
            <w:tcW w:w="779" w:type="dxa"/>
            <w:tcBorders>
              <w:top w:val="nil"/>
              <w:left w:val="nil"/>
              <w:bottom w:val="single" w:sz="4" w:space="0" w:color="auto"/>
              <w:right w:val="single" w:sz="4" w:space="0" w:color="auto"/>
            </w:tcBorders>
            <w:shd w:val="clear" w:color="auto" w:fill="76923C" w:themeFill="accent3" w:themeFillShade="BF"/>
            <w:hideMark/>
          </w:tcPr>
          <w:p w14:paraId="099ABE28" w14:textId="77777777" w:rsidR="009561A2" w:rsidRPr="00CE6E44" w:rsidRDefault="00CE6E44"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19,213</w:t>
            </w:r>
          </w:p>
        </w:tc>
        <w:tc>
          <w:tcPr>
            <w:tcW w:w="779" w:type="dxa"/>
            <w:tcBorders>
              <w:top w:val="nil"/>
              <w:left w:val="nil"/>
              <w:bottom w:val="single" w:sz="4" w:space="0" w:color="auto"/>
              <w:right w:val="single" w:sz="4" w:space="0" w:color="auto"/>
            </w:tcBorders>
            <w:shd w:val="clear" w:color="auto" w:fill="76923C" w:themeFill="accent3" w:themeFillShade="BF"/>
            <w:hideMark/>
          </w:tcPr>
          <w:p w14:paraId="107DAC65" w14:textId="77777777" w:rsidR="009561A2" w:rsidRPr="00CE6E44" w:rsidRDefault="00CE6E44"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17,039</w:t>
            </w:r>
          </w:p>
        </w:tc>
        <w:tc>
          <w:tcPr>
            <w:tcW w:w="945" w:type="dxa"/>
            <w:tcBorders>
              <w:top w:val="nil"/>
              <w:left w:val="nil"/>
              <w:bottom w:val="single" w:sz="4" w:space="0" w:color="auto"/>
              <w:right w:val="single" w:sz="4" w:space="0" w:color="auto"/>
            </w:tcBorders>
            <w:shd w:val="clear" w:color="auto" w:fill="76923C" w:themeFill="accent3" w:themeFillShade="BF"/>
            <w:hideMark/>
          </w:tcPr>
          <w:p w14:paraId="404B6A72" w14:textId="77777777" w:rsidR="009561A2" w:rsidRPr="00CE6E44" w:rsidRDefault="009561A2" w:rsidP="00F32B0C">
            <w:pPr>
              <w:spacing w:before="20" w:after="20" w:line="240" w:lineRule="auto"/>
              <w:jc w:val="right"/>
              <w:rPr>
                <w:rFonts w:eastAsia="Times New Roman"/>
                <w:b/>
                <w:bCs/>
                <w:color w:val="FFFFFF"/>
                <w:sz w:val="20"/>
                <w:szCs w:val="20"/>
                <w:lang w:eastAsia="cs-CZ"/>
              </w:rPr>
            </w:pPr>
            <w:r w:rsidRPr="00CE6E44">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283F6365" w14:textId="77777777" w:rsidR="009561A2" w:rsidRPr="00CE6E44" w:rsidRDefault="009561A2" w:rsidP="00F32B0C">
            <w:pPr>
              <w:spacing w:before="20" w:after="20" w:line="240" w:lineRule="auto"/>
              <w:jc w:val="right"/>
              <w:rPr>
                <w:rFonts w:eastAsia="Times New Roman"/>
                <w:b/>
                <w:bCs/>
                <w:color w:val="FFFFFF"/>
                <w:sz w:val="20"/>
                <w:szCs w:val="20"/>
                <w:lang w:eastAsia="cs-CZ"/>
              </w:rPr>
            </w:pPr>
            <w:r w:rsidRPr="00CE6E44">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22D4D436" w14:textId="77777777" w:rsidR="009561A2" w:rsidRPr="00CE6E44" w:rsidRDefault="009561A2" w:rsidP="00F32B0C">
            <w:pPr>
              <w:spacing w:before="20" w:after="20" w:line="240" w:lineRule="auto"/>
              <w:jc w:val="right"/>
              <w:rPr>
                <w:rFonts w:eastAsia="Times New Roman"/>
                <w:b/>
                <w:bCs/>
                <w:color w:val="FFFFFF"/>
                <w:sz w:val="20"/>
                <w:szCs w:val="20"/>
                <w:lang w:eastAsia="cs-CZ"/>
              </w:rPr>
            </w:pPr>
            <w:r w:rsidRPr="00CE6E44">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59DDF023" w14:textId="77777777" w:rsidR="009561A2" w:rsidRPr="00CE6E44" w:rsidRDefault="009561A2" w:rsidP="00F32B0C">
            <w:pPr>
              <w:spacing w:before="20" w:after="20" w:line="240" w:lineRule="auto"/>
              <w:jc w:val="right"/>
              <w:rPr>
                <w:rFonts w:eastAsia="Times New Roman"/>
                <w:b/>
                <w:bCs/>
                <w:color w:val="FFFFFF"/>
                <w:sz w:val="20"/>
                <w:szCs w:val="20"/>
                <w:lang w:eastAsia="cs-CZ"/>
              </w:rPr>
            </w:pPr>
            <w:r w:rsidRPr="00CE6E44">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3252445C" w14:textId="77777777" w:rsidR="009561A2" w:rsidRPr="00CE6E44" w:rsidRDefault="00CE6E44"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2,175</w:t>
            </w:r>
          </w:p>
        </w:tc>
        <w:tc>
          <w:tcPr>
            <w:tcW w:w="779" w:type="dxa"/>
            <w:tcBorders>
              <w:top w:val="nil"/>
              <w:left w:val="nil"/>
              <w:bottom w:val="single" w:sz="4" w:space="0" w:color="auto"/>
              <w:right w:val="single" w:sz="4" w:space="0" w:color="auto"/>
            </w:tcBorders>
            <w:shd w:val="clear" w:color="auto" w:fill="76923C" w:themeFill="accent3" w:themeFillShade="BF"/>
            <w:hideMark/>
          </w:tcPr>
          <w:p w14:paraId="19154881" w14:textId="77777777" w:rsidR="009561A2" w:rsidRPr="00CE6E44" w:rsidRDefault="009561A2" w:rsidP="00F32B0C">
            <w:pPr>
              <w:spacing w:before="20" w:after="20" w:line="240" w:lineRule="auto"/>
              <w:jc w:val="right"/>
              <w:rPr>
                <w:rFonts w:eastAsia="Times New Roman"/>
                <w:b/>
                <w:bCs/>
                <w:color w:val="FFFFFF"/>
                <w:sz w:val="20"/>
                <w:szCs w:val="20"/>
                <w:lang w:eastAsia="cs-CZ"/>
              </w:rPr>
            </w:pPr>
            <w:r w:rsidRPr="00CE6E44">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608B307D" w14:textId="77777777" w:rsidR="009561A2" w:rsidRPr="00CE6E44" w:rsidRDefault="00544446"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 xml:space="preserve"> </w:t>
            </w:r>
            <w:r w:rsidR="00CE6E44">
              <w:rPr>
                <w:rFonts w:eastAsia="Times New Roman"/>
                <w:b/>
                <w:bCs/>
                <w:color w:val="FFFFFF"/>
                <w:sz w:val="20"/>
                <w:szCs w:val="20"/>
                <w:lang w:eastAsia="cs-CZ"/>
              </w:rPr>
              <w:t>13,145</w:t>
            </w:r>
          </w:p>
        </w:tc>
        <w:tc>
          <w:tcPr>
            <w:tcW w:w="779" w:type="dxa"/>
            <w:tcBorders>
              <w:top w:val="nil"/>
              <w:left w:val="nil"/>
              <w:bottom w:val="single" w:sz="4" w:space="0" w:color="auto"/>
              <w:right w:val="single" w:sz="4" w:space="0" w:color="auto"/>
            </w:tcBorders>
            <w:shd w:val="clear" w:color="auto" w:fill="76923C" w:themeFill="accent3" w:themeFillShade="BF"/>
            <w:hideMark/>
          </w:tcPr>
          <w:p w14:paraId="56D00B05" w14:textId="77777777" w:rsidR="009561A2" w:rsidRPr="00CE6E44" w:rsidRDefault="00CE6E44"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6,029</w:t>
            </w:r>
          </w:p>
        </w:tc>
        <w:tc>
          <w:tcPr>
            <w:tcW w:w="779" w:type="dxa"/>
            <w:tcBorders>
              <w:top w:val="nil"/>
              <w:left w:val="nil"/>
              <w:bottom w:val="single" w:sz="4" w:space="0" w:color="auto"/>
              <w:right w:val="single" w:sz="4" w:space="0" w:color="auto"/>
            </w:tcBorders>
            <w:shd w:val="clear" w:color="auto" w:fill="76923C" w:themeFill="accent3" w:themeFillShade="BF"/>
            <w:hideMark/>
          </w:tcPr>
          <w:p w14:paraId="06438FF8" w14:textId="77777777" w:rsidR="009561A2" w:rsidRPr="00CE6E44" w:rsidRDefault="009561A2" w:rsidP="00F32B0C">
            <w:pPr>
              <w:spacing w:before="20" w:after="20" w:line="240" w:lineRule="auto"/>
              <w:jc w:val="right"/>
              <w:rPr>
                <w:rFonts w:eastAsia="Times New Roman"/>
                <w:b/>
                <w:bCs/>
                <w:color w:val="FFFFFF"/>
                <w:sz w:val="20"/>
                <w:szCs w:val="20"/>
                <w:lang w:eastAsia="cs-CZ"/>
              </w:rPr>
            </w:pPr>
            <w:r w:rsidRPr="00CE6E44">
              <w:rPr>
                <w:rFonts w:eastAsia="Times New Roman"/>
                <w:b/>
                <w:bCs/>
                <w:color w:val="FFFFFF"/>
                <w:sz w:val="20"/>
                <w:szCs w:val="20"/>
                <w:lang w:eastAsia="cs-CZ"/>
              </w:rPr>
              <w:t>0,000</w:t>
            </w:r>
          </w:p>
        </w:tc>
        <w:tc>
          <w:tcPr>
            <w:tcW w:w="779" w:type="dxa"/>
            <w:tcBorders>
              <w:top w:val="nil"/>
              <w:left w:val="nil"/>
              <w:bottom w:val="single" w:sz="4" w:space="0" w:color="auto"/>
              <w:right w:val="single" w:sz="4" w:space="0" w:color="auto"/>
            </w:tcBorders>
            <w:shd w:val="clear" w:color="auto" w:fill="76923C" w:themeFill="accent3" w:themeFillShade="BF"/>
            <w:hideMark/>
          </w:tcPr>
          <w:p w14:paraId="68F6C5B4" w14:textId="77777777" w:rsidR="009561A2" w:rsidRPr="00CE6E44" w:rsidRDefault="00CE6E44" w:rsidP="00F32B0C">
            <w:pPr>
              <w:spacing w:before="20" w:after="20" w:line="240" w:lineRule="auto"/>
              <w:jc w:val="right"/>
              <w:rPr>
                <w:rFonts w:eastAsia="Times New Roman"/>
                <w:b/>
                <w:bCs/>
                <w:color w:val="FFFFFF"/>
                <w:sz w:val="20"/>
                <w:szCs w:val="20"/>
                <w:lang w:eastAsia="cs-CZ"/>
              </w:rPr>
            </w:pPr>
            <w:r>
              <w:rPr>
                <w:rFonts w:eastAsia="Times New Roman"/>
                <w:b/>
                <w:bCs/>
                <w:color w:val="FFFFFF"/>
                <w:sz w:val="20"/>
                <w:szCs w:val="20"/>
                <w:lang w:eastAsia="cs-CZ"/>
              </w:rPr>
              <w:t>0,040</w:t>
            </w:r>
          </w:p>
        </w:tc>
        <w:tc>
          <w:tcPr>
            <w:tcW w:w="845" w:type="dxa"/>
            <w:tcBorders>
              <w:top w:val="nil"/>
              <w:left w:val="nil"/>
              <w:bottom w:val="single" w:sz="4" w:space="0" w:color="auto"/>
              <w:right w:val="single" w:sz="4" w:space="0" w:color="auto"/>
            </w:tcBorders>
            <w:shd w:val="clear" w:color="auto" w:fill="76923C" w:themeFill="accent3" w:themeFillShade="BF"/>
            <w:hideMark/>
          </w:tcPr>
          <w:p w14:paraId="5E0B7576" w14:textId="77777777" w:rsidR="009561A2" w:rsidRPr="00CE6E44" w:rsidRDefault="009561A2" w:rsidP="00F32B0C">
            <w:pPr>
              <w:spacing w:before="20" w:after="20" w:line="240" w:lineRule="auto"/>
              <w:jc w:val="right"/>
              <w:rPr>
                <w:rFonts w:eastAsia="Times New Roman"/>
                <w:b/>
                <w:bCs/>
                <w:color w:val="FFFFFF"/>
                <w:sz w:val="20"/>
                <w:szCs w:val="20"/>
                <w:lang w:eastAsia="cs-CZ"/>
              </w:rPr>
            </w:pPr>
            <w:r w:rsidRPr="00CE6E44">
              <w:rPr>
                <w:rFonts w:eastAsia="Times New Roman"/>
                <w:b/>
                <w:bCs/>
                <w:color w:val="FFFFFF"/>
                <w:sz w:val="20"/>
                <w:szCs w:val="20"/>
                <w:lang w:eastAsia="cs-CZ"/>
              </w:rPr>
              <w:t>0,000</w:t>
            </w:r>
          </w:p>
        </w:tc>
      </w:tr>
    </w:tbl>
    <w:p w14:paraId="180DF10E" w14:textId="77777777" w:rsidR="00F32B0C" w:rsidRPr="00461C16" w:rsidRDefault="00F32B0C"/>
    <w:p w14:paraId="69E55776" w14:textId="77777777" w:rsidR="00CE6E44" w:rsidRDefault="00CE6E44"/>
    <w:p w14:paraId="1E593E9C" w14:textId="77777777" w:rsidR="00EE305D" w:rsidRDefault="00EE305D">
      <w:r>
        <w:br w:type="page"/>
      </w:r>
    </w:p>
    <w:tbl>
      <w:tblPr>
        <w:tblW w:w="15167" w:type="dxa"/>
        <w:tblInd w:w="-213" w:type="dxa"/>
        <w:tblLayout w:type="fixed"/>
        <w:tblCellMar>
          <w:left w:w="70" w:type="dxa"/>
          <w:right w:w="70" w:type="dxa"/>
        </w:tblCellMar>
        <w:tblLook w:val="04A0" w:firstRow="1" w:lastRow="0" w:firstColumn="1" w:lastColumn="0" w:noHBand="0" w:noVBand="1"/>
      </w:tblPr>
      <w:tblGrid>
        <w:gridCol w:w="872"/>
        <w:gridCol w:w="3453"/>
        <w:gridCol w:w="961"/>
        <w:gridCol w:w="809"/>
        <w:gridCol w:w="851"/>
        <w:gridCol w:w="708"/>
        <w:gridCol w:w="851"/>
        <w:gridCol w:w="850"/>
        <w:gridCol w:w="851"/>
        <w:gridCol w:w="850"/>
        <w:gridCol w:w="851"/>
        <w:gridCol w:w="850"/>
        <w:gridCol w:w="851"/>
        <w:gridCol w:w="709"/>
        <w:gridCol w:w="850"/>
      </w:tblGrid>
      <w:tr w:rsidR="009561A2" w:rsidRPr="00AD0493" w14:paraId="4AF7B5BC" w14:textId="77777777" w:rsidTr="009D03C3">
        <w:trPr>
          <w:tblHeader/>
        </w:trPr>
        <w:tc>
          <w:tcPr>
            <w:tcW w:w="15167" w:type="dxa"/>
            <w:gridSpan w:val="15"/>
            <w:tcBorders>
              <w:top w:val="single" w:sz="4" w:space="0" w:color="auto"/>
              <w:left w:val="single" w:sz="4" w:space="0" w:color="auto"/>
              <w:bottom w:val="single" w:sz="4" w:space="0" w:color="auto"/>
              <w:right w:val="single" w:sz="4" w:space="0" w:color="000000"/>
            </w:tcBorders>
            <w:shd w:val="clear" w:color="auto" w:fill="76923C" w:themeFill="accent3" w:themeFillShade="BF"/>
            <w:hideMark/>
          </w:tcPr>
          <w:p w14:paraId="60C399FF" w14:textId="77777777" w:rsidR="009561A2" w:rsidRPr="00AD0493" w:rsidRDefault="009561A2" w:rsidP="00F32B0C">
            <w:pPr>
              <w:spacing w:before="20" w:after="20" w:line="240" w:lineRule="auto"/>
              <w:jc w:val="left"/>
              <w:rPr>
                <w:rFonts w:eastAsia="Times New Roman"/>
                <w:b/>
                <w:bCs/>
                <w:color w:val="FFFFFF"/>
                <w:sz w:val="20"/>
                <w:szCs w:val="20"/>
                <w:lang w:eastAsia="cs-CZ"/>
              </w:rPr>
            </w:pPr>
            <w:r w:rsidRPr="00AD0493">
              <w:rPr>
                <w:rFonts w:eastAsia="Times New Roman"/>
                <w:b/>
                <w:bCs/>
                <w:color w:val="FFFFFF"/>
                <w:sz w:val="20"/>
                <w:szCs w:val="20"/>
                <w:lang w:eastAsia="cs-CZ"/>
              </w:rPr>
              <w:lastRenderedPageBreak/>
              <w:t>KATASTRÁLNÍ ÚZEMÍ VÁCLAVICE U HRÁDKU NAD NISOU</w:t>
            </w:r>
          </w:p>
        </w:tc>
      </w:tr>
      <w:tr w:rsidR="00F32B0C" w:rsidRPr="00AD0493" w14:paraId="539DDAAC" w14:textId="77777777" w:rsidTr="009D03C3">
        <w:trPr>
          <w:tblHeader/>
        </w:trPr>
        <w:tc>
          <w:tcPr>
            <w:tcW w:w="872"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1C03CEEE" w14:textId="77777777" w:rsidR="00F32B0C" w:rsidRPr="00AD0493" w:rsidRDefault="00F32B0C" w:rsidP="00F32B0C">
            <w:pPr>
              <w:spacing w:before="20" w:after="20" w:line="240" w:lineRule="auto"/>
              <w:jc w:val="left"/>
              <w:rPr>
                <w:rFonts w:eastAsia="Times New Roman"/>
                <w:b/>
                <w:bCs/>
                <w:sz w:val="20"/>
                <w:szCs w:val="20"/>
                <w:lang w:eastAsia="cs-CZ"/>
              </w:rPr>
            </w:pPr>
            <w:r w:rsidRPr="00AD0493">
              <w:rPr>
                <w:rFonts w:eastAsia="Times New Roman"/>
                <w:b/>
                <w:bCs/>
                <w:sz w:val="20"/>
                <w:szCs w:val="20"/>
                <w:lang w:eastAsia="cs-CZ"/>
              </w:rPr>
              <w:t>Označení plochy</w:t>
            </w:r>
          </w:p>
        </w:tc>
        <w:tc>
          <w:tcPr>
            <w:tcW w:w="3453"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59264DF0" w14:textId="77777777" w:rsidR="00F32B0C" w:rsidRPr="00AD0493" w:rsidRDefault="00F32B0C" w:rsidP="00F32B0C">
            <w:pPr>
              <w:spacing w:before="20" w:after="20" w:line="240" w:lineRule="auto"/>
              <w:jc w:val="left"/>
              <w:rPr>
                <w:rFonts w:eastAsia="Times New Roman"/>
                <w:b/>
                <w:bCs/>
                <w:sz w:val="20"/>
                <w:szCs w:val="20"/>
                <w:lang w:eastAsia="cs-CZ"/>
              </w:rPr>
            </w:pPr>
            <w:r w:rsidRPr="00AD0493">
              <w:rPr>
                <w:rFonts w:eastAsia="Times New Roman"/>
                <w:b/>
                <w:bCs/>
                <w:sz w:val="20"/>
                <w:szCs w:val="20"/>
                <w:lang w:eastAsia="cs-CZ"/>
              </w:rPr>
              <w:t>Způsob využití plochy</w:t>
            </w:r>
          </w:p>
        </w:tc>
        <w:tc>
          <w:tcPr>
            <w:tcW w:w="961"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2D88C2FC"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Celkový zábor ZPF (ha)</w:t>
            </w:r>
          </w:p>
        </w:tc>
        <w:tc>
          <w:tcPr>
            <w:tcW w:w="4920" w:type="dxa"/>
            <w:gridSpan w:val="6"/>
            <w:tcBorders>
              <w:top w:val="single" w:sz="4" w:space="0" w:color="auto"/>
              <w:left w:val="nil"/>
              <w:bottom w:val="single" w:sz="4" w:space="0" w:color="auto"/>
              <w:right w:val="single" w:sz="4" w:space="0" w:color="000000"/>
            </w:tcBorders>
            <w:shd w:val="clear" w:color="000000" w:fill="F2F2F2"/>
            <w:hideMark/>
          </w:tcPr>
          <w:p w14:paraId="72AD0C5E" w14:textId="77777777" w:rsidR="00F32B0C" w:rsidRPr="00AD0493" w:rsidRDefault="00F32B0C" w:rsidP="00F32B0C">
            <w:pPr>
              <w:spacing w:before="20" w:after="20" w:line="240" w:lineRule="auto"/>
              <w:jc w:val="center"/>
              <w:rPr>
                <w:rFonts w:eastAsia="Times New Roman"/>
                <w:b/>
                <w:bCs/>
                <w:sz w:val="20"/>
                <w:szCs w:val="20"/>
                <w:lang w:eastAsia="cs-CZ"/>
              </w:rPr>
            </w:pPr>
            <w:r w:rsidRPr="00AD0493">
              <w:rPr>
                <w:rFonts w:eastAsia="Times New Roman"/>
                <w:b/>
                <w:bCs/>
                <w:sz w:val="20"/>
                <w:szCs w:val="20"/>
                <w:lang w:eastAsia="cs-CZ"/>
              </w:rPr>
              <w:t>Zábor ZPF podle jednotlivých kultur (ha)</w:t>
            </w:r>
          </w:p>
        </w:tc>
        <w:tc>
          <w:tcPr>
            <w:tcW w:w="4111" w:type="dxa"/>
            <w:gridSpan w:val="5"/>
            <w:tcBorders>
              <w:top w:val="single" w:sz="4" w:space="0" w:color="auto"/>
              <w:left w:val="nil"/>
              <w:bottom w:val="single" w:sz="4" w:space="0" w:color="auto"/>
              <w:right w:val="single" w:sz="4" w:space="0" w:color="000000"/>
            </w:tcBorders>
            <w:shd w:val="clear" w:color="000000" w:fill="F2F2F2"/>
            <w:hideMark/>
          </w:tcPr>
          <w:p w14:paraId="73C075A5" w14:textId="77777777" w:rsidR="00F32B0C" w:rsidRPr="00AD0493" w:rsidRDefault="00F32B0C" w:rsidP="00F32B0C">
            <w:pPr>
              <w:spacing w:before="20" w:after="20" w:line="240" w:lineRule="auto"/>
              <w:jc w:val="center"/>
              <w:rPr>
                <w:rFonts w:eastAsia="Times New Roman"/>
                <w:b/>
                <w:bCs/>
                <w:sz w:val="20"/>
                <w:szCs w:val="20"/>
                <w:lang w:eastAsia="cs-CZ"/>
              </w:rPr>
            </w:pPr>
            <w:r w:rsidRPr="00AD0493">
              <w:rPr>
                <w:rFonts w:eastAsia="Times New Roman"/>
                <w:b/>
                <w:bCs/>
                <w:sz w:val="20"/>
                <w:szCs w:val="20"/>
                <w:lang w:eastAsia="cs-CZ"/>
              </w:rPr>
              <w:t>Zábor ZPF podle tříd ochrany (ha)</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F2F2F2"/>
            <w:hideMark/>
          </w:tcPr>
          <w:p w14:paraId="396E32C1"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Investice do půdy (ha)</w:t>
            </w:r>
          </w:p>
        </w:tc>
      </w:tr>
      <w:tr w:rsidR="009D03C3" w:rsidRPr="00AD0493" w14:paraId="75FA50B3" w14:textId="77777777" w:rsidTr="009D03C3">
        <w:trPr>
          <w:tblHeader/>
        </w:trPr>
        <w:tc>
          <w:tcPr>
            <w:tcW w:w="872" w:type="dxa"/>
            <w:vMerge/>
            <w:tcBorders>
              <w:top w:val="single" w:sz="4" w:space="0" w:color="auto"/>
              <w:left w:val="single" w:sz="4" w:space="0" w:color="auto"/>
              <w:bottom w:val="single" w:sz="4" w:space="0" w:color="000000"/>
              <w:right w:val="single" w:sz="4" w:space="0" w:color="auto"/>
            </w:tcBorders>
            <w:hideMark/>
          </w:tcPr>
          <w:p w14:paraId="69DADA0A" w14:textId="77777777" w:rsidR="00F32B0C" w:rsidRPr="00AD0493" w:rsidRDefault="00F32B0C" w:rsidP="00F32B0C">
            <w:pPr>
              <w:spacing w:before="20" w:after="20" w:line="240" w:lineRule="auto"/>
              <w:jc w:val="left"/>
              <w:rPr>
                <w:rFonts w:eastAsia="Times New Roman"/>
                <w:b/>
                <w:bCs/>
                <w:sz w:val="20"/>
                <w:szCs w:val="20"/>
                <w:lang w:eastAsia="cs-CZ"/>
              </w:rPr>
            </w:pPr>
          </w:p>
        </w:tc>
        <w:tc>
          <w:tcPr>
            <w:tcW w:w="3453" w:type="dxa"/>
            <w:vMerge/>
            <w:tcBorders>
              <w:top w:val="single" w:sz="4" w:space="0" w:color="auto"/>
              <w:left w:val="single" w:sz="4" w:space="0" w:color="auto"/>
              <w:bottom w:val="single" w:sz="4" w:space="0" w:color="000000"/>
              <w:right w:val="single" w:sz="4" w:space="0" w:color="auto"/>
            </w:tcBorders>
            <w:hideMark/>
          </w:tcPr>
          <w:p w14:paraId="0BEB9E82" w14:textId="77777777" w:rsidR="00F32B0C" w:rsidRPr="00AD0493" w:rsidRDefault="00F32B0C" w:rsidP="00F32B0C">
            <w:pPr>
              <w:spacing w:before="20" w:after="20" w:line="240" w:lineRule="auto"/>
              <w:jc w:val="left"/>
              <w:rPr>
                <w:rFonts w:eastAsia="Times New Roman"/>
                <w:b/>
                <w:bCs/>
                <w:sz w:val="20"/>
                <w:szCs w:val="20"/>
                <w:lang w:eastAsia="cs-CZ"/>
              </w:rPr>
            </w:pPr>
          </w:p>
        </w:tc>
        <w:tc>
          <w:tcPr>
            <w:tcW w:w="961" w:type="dxa"/>
            <w:vMerge/>
            <w:tcBorders>
              <w:top w:val="single" w:sz="4" w:space="0" w:color="auto"/>
              <w:left w:val="single" w:sz="4" w:space="0" w:color="auto"/>
              <w:bottom w:val="single" w:sz="4" w:space="0" w:color="000000"/>
              <w:right w:val="single" w:sz="4" w:space="0" w:color="auto"/>
            </w:tcBorders>
            <w:hideMark/>
          </w:tcPr>
          <w:p w14:paraId="692C91C7" w14:textId="77777777" w:rsidR="00F32B0C" w:rsidRPr="00AD0493" w:rsidRDefault="00F32B0C" w:rsidP="00F32B0C">
            <w:pPr>
              <w:spacing w:before="20" w:after="20" w:line="240" w:lineRule="auto"/>
              <w:jc w:val="left"/>
              <w:rPr>
                <w:rFonts w:eastAsia="Times New Roman"/>
                <w:b/>
                <w:bCs/>
                <w:sz w:val="20"/>
                <w:szCs w:val="20"/>
                <w:lang w:eastAsia="cs-CZ"/>
              </w:rPr>
            </w:pPr>
          </w:p>
        </w:tc>
        <w:tc>
          <w:tcPr>
            <w:tcW w:w="809" w:type="dxa"/>
            <w:tcBorders>
              <w:top w:val="nil"/>
              <w:left w:val="nil"/>
              <w:bottom w:val="single" w:sz="4" w:space="0" w:color="auto"/>
              <w:right w:val="single" w:sz="4" w:space="0" w:color="auto"/>
            </w:tcBorders>
            <w:shd w:val="clear" w:color="000000" w:fill="F2F2F2"/>
            <w:hideMark/>
          </w:tcPr>
          <w:p w14:paraId="6DE1741B"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orná půda</w:t>
            </w:r>
          </w:p>
        </w:tc>
        <w:tc>
          <w:tcPr>
            <w:tcW w:w="851" w:type="dxa"/>
            <w:tcBorders>
              <w:top w:val="nil"/>
              <w:left w:val="nil"/>
              <w:bottom w:val="single" w:sz="4" w:space="0" w:color="auto"/>
              <w:right w:val="single" w:sz="4" w:space="0" w:color="auto"/>
            </w:tcBorders>
            <w:shd w:val="clear" w:color="000000" w:fill="F2F2F2"/>
            <w:hideMark/>
          </w:tcPr>
          <w:p w14:paraId="7D301076"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chmelnice</w:t>
            </w:r>
          </w:p>
        </w:tc>
        <w:tc>
          <w:tcPr>
            <w:tcW w:w="708" w:type="dxa"/>
            <w:tcBorders>
              <w:top w:val="nil"/>
              <w:left w:val="nil"/>
              <w:bottom w:val="single" w:sz="4" w:space="0" w:color="auto"/>
              <w:right w:val="single" w:sz="4" w:space="0" w:color="auto"/>
            </w:tcBorders>
            <w:shd w:val="clear" w:color="000000" w:fill="F2F2F2"/>
            <w:hideMark/>
          </w:tcPr>
          <w:p w14:paraId="37F48B5C"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vinice</w:t>
            </w:r>
          </w:p>
        </w:tc>
        <w:tc>
          <w:tcPr>
            <w:tcW w:w="851" w:type="dxa"/>
            <w:tcBorders>
              <w:top w:val="nil"/>
              <w:left w:val="nil"/>
              <w:bottom w:val="single" w:sz="4" w:space="0" w:color="auto"/>
              <w:right w:val="single" w:sz="4" w:space="0" w:color="auto"/>
            </w:tcBorders>
            <w:shd w:val="clear" w:color="000000" w:fill="F2F2F2"/>
            <w:hideMark/>
          </w:tcPr>
          <w:p w14:paraId="3B931214"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zahrady</w:t>
            </w:r>
          </w:p>
        </w:tc>
        <w:tc>
          <w:tcPr>
            <w:tcW w:w="850" w:type="dxa"/>
            <w:tcBorders>
              <w:top w:val="nil"/>
              <w:left w:val="nil"/>
              <w:bottom w:val="single" w:sz="4" w:space="0" w:color="auto"/>
              <w:right w:val="single" w:sz="4" w:space="0" w:color="auto"/>
            </w:tcBorders>
            <w:shd w:val="clear" w:color="000000" w:fill="F2F2F2"/>
            <w:hideMark/>
          </w:tcPr>
          <w:p w14:paraId="142951F3"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ovocné sady</w:t>
            </w:r>
          </w:p>
        </w:tc>
        <w:tc>
          <w:tcPr>
            <w:tcW w:w="851" w:type="dxa"/>
            <w:tcBorders>
              <w:top w:val="nil"/>
              <w:left w:val="nil"/>
              <w:bottom w:val="single" w:sz="4" w:space="0" w:color="auto"/>
              <w:right w:val="single" w:sz="4" w:space="0" w:color="auto"/>
            </w:tcBorders>
            <w:shd w:val="clear" w:color="000000" w:fill="F2F2F2"/>
            <w:hideMark/>
          </w:tcPr>
          <w:p w14:paraId="10399219"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trv. travní porosty</w:t>
            </w:r>
          </w:p>
        </w:tc>
        <w:tc>
          <w:tcPr>
            <w:tcW w:w="850" w:type="dxa"/>
            <w:tcBorders>
              <w:top w:val="nil"/>
              <w:left w:val="nil"/>
              <w:bottom w:val="single" w:sz="4" w:space="0" w:color="auto"/>
              <w:right w:val="single" w:sz="4" w:space="0" w:color="auto"/>
            </w:tcBorders>
            <w:shd w:val="clear" w:color="000000" w:fill="F2F2F2"/>
            <w:hideMark/>
          </w:tcPr>
          <w:p w14:paraId="0BA6931D"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I</w:t>
            </w:r>
          </w:p>
        </w:tc>
        <w:tc>
          <w:tcPr>
            <w:tcW w:w="851" w:type="dxa"/>
            <w:tcBorders>
              <w:top w:val="nil"/>
              <w:left w:val="nil"/>
              <w:bottom w:val="single" w:sz="4" w:space="0" w:color="auto"/>
              <w:right w:val="single" w:sz="4" w:space="0" w:color="auto"/>
            </w:tcBorders>
            <w:shd w:val="clear" w:color="000000" w:fill="F2F2F2"/>
            <w:hideMark/>
          </w:tcPr>
          <w:p w14:paraId="106684B2"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II</w:t>
            </w:r>
          </w:p>
        </w:tc>
        <w:tc>
          <w:tcPr>
            <w:tcW w:w="850" w:type="dxa"/>
            <w:tcBorders>
              <w:top w:val="nil"/>
              <w:left w:val="nil"/>
              <w:bottom w:val="single" w:sz="4" w:space="0" w:color="auto"/>
              <w:right w:val="single" w:sz="4" w:space="0" w:color="auto"/>
            </w:tcBorders>
            <w:shd w:val="clear" w:color="000000" w:fill="F2F2F2"/>
            <w:hideMark/>
          </w:tcPr>
          <w:p w14:paraId="47FD6D3E"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III</w:t>
            </w:r>
          </w:p>
        </w:tc>
        <w:tc>
          <w:tcPr>
            <w:tcW w:w="851" w:type="dxa"/>
            <w:tcBorders>
              <w:top w:val="nil"/>
              <w:left w:val="nil"/>
              <w:bottom w:val="single" w:sz="4" w:space="0" w:color="auto"/>
              <w:right w:val="single" w:sz="4" w:space="0" w:color="auto"/>
            </w:tcBorders>
            <w:shd w:val="clear" w:color="000000" w:fill="F2F2F2"/>
            <w:hideMark/>
          </w:tcPr>
          <w:p w14:paraId="6054AF6D"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IV</w:t>
            </w:r>
          </w:p>
        </w:tc>
        <w:tc>
          <w:tcPr>
            <w:tcW w:w="709" w:type="dxa"/>
            <w:tcBorders>
              <w:top w:val="nil"/>
              <w:left w:val="nil"/>
              <w:bottom w:val="single" w:sz="4" w:space="0" w:color="auto"/>
              <w:right w:val="single" w:sz="4" w:space="0" w:color="auto"/>
            </w:tcBorders>
            <w:shd w:val="clear" w:color="000000" w:fill="F2F2F2"/>
            <w:hideMark/>
          </w:tcPr>
          <w:p w14:paraId="2BDAC283" w14:textId="77777777" w:rsidR="00F32B0C" w:rsidRPr="00AD0493" w:rsidRDefault="00F32B0C"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V</w:t>
            </w:r>
          </w:p>
        </w:tc>
        <w:tc>
          <w:tcPr>
            <w:tcW w:w="850" w:type="dxa"/>
            <w:vMerge/>
            <w:tcBorders>
              <w:top w:val="single" w:sz="4" w:space="0" w:color="auto"/>
              <w:left w:val="single" w:sz="4" w:space="0" w:color="auto"/>
              <w:bottom w:val="single" w:sz="4" w:space="0" w:color="000000"/>
              <w:right w:val="single" w:sz="4" w:space="0" w:color="auto"/>
            </w:tcBorders>
            <w:hideMark/>
          </w:tcPr>
          <w:p w14:paraId="0264F43C" w14:textId="77777777" w:rsidR="00F32B0C" w:rsidRPr="00AD0493" w:rsidRDefault="00F32B0C" w:rsidP="00F32B0C">
            <w:pPr>
              <w:spacing w:before="20" w:after="20" w:line="240" w:lineRule="auto"/>
              <w:jc w:val="left"/>
              <w:rPr>
                <w:rFonts w:eastAsia="Times New Roman"/>
                <w:b/>
                <w:bCs/>
                <w:sz w:val="20"/>
                <w:szCs w:val="20"/>
                <w:lang w:eastAsia="cs-CZ"/>
              </w:rPr>
            </w:pPr>
          </w:p>
        </w:tc>
      </w:tr>
      <w:tr w:rsidR="009D03C3" w:rsidRPr="00AD0493" w14:paraId="174E5B33"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1EF6D7FF"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Z29</w:t>
            </w:r>
          </w:p>
        </w:tc>
        <w:tc>
          <w:tcPr>
            <w:tcW w:w="3453" w:type="dxa"/>
            <w:tcBorders>
              <w:top w:val="nil"/>
              <w:left w:val="nil"/>
              <w:bottom w:val="single" w:sz="4" w:space="0" w:color="auto"/>
              <w:right w:val="single" w:sz="4" w:space="0" w:color="auto"/>
            </w:tcBorders>
            <w:shd w:val="clear" w:color="auto" w:fill="auto"/>
            <w:noWrap/>
            <w:hideMark/>
          </w:tcPr>
          <w:p w14:paraId="7EC90A81"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BV - bydlení venkovské</w:t>
            </w:r>
          </w:p>
        </w:tc>
        <w:tc>
          <w:tcPr>
            <w:tcW w:w="961" w:type="dxa"/>
            <w:tcBorders>
              <w:top w:val="nil"/>
              <w:left w:val="nil"/>
              <w:bottom w:val="single" w:sz="4" w:space="0" w:color="auto"/>
              <w:right w:val="single" w:sz="4" w:space="0" w:color="auto"/>
            </w:tcBorders>
            <w:shd w:val="clear" w:color="auto" w:fill="auto"/>
            <w:noWrap/>
            <w:hideMark/>
          </w:tcPr>
          <w:p w14:paraId="01A4F1E6" w14:textId="77777777" w:rsidR="009561A2" w:rsidRPr="00AD0493" w:rsidRDefault="00AD0493"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0,380</w:t>
            </w:r>
          </w:p>
        </w:tc>
        <w:tc>
          <w:tcPr>
            <w:tcW w:w="809" w:type="dxa"/>
            <w:tcBorders>
              <w:top w:val="nil"/>
              <w:left w:val="nil"/>
              <w:bottom w:val="single" w:sz="4" w:space="0" w:color="auto"/>
              <w:right w:val="single" w:sz="4" w:space="0" w:color="auto"/>
            </w:tcBorders>
            <w:shd w:val="clear" w:color="auto" w:fill="auto"/>
            <w:hideMark/>
          </w:tcPr>
          <w:p w14:paraId="2FE0C1E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5C7C4B8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2769983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1901AAB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0,106</w:t>
            </w:r>
          </w:p>
        </w:tc>
        <w:tc>
          <w:tcPr>
            <w:tcW w:w="850" w:type="dxa"/>
            <w:tcBorders>
              <w:top w:val="nil"/>
              <w:left w:val="nil"/>
              <w:bottom w:val="single" w:sz="4" w:space="0" w:color="auto"/>
              <w:right w:val="single" w:sz="4" w:space="0" w:color="auto"/>
            </w:tcBorders>
            <w:shd w:val="clear" w:color="auto" w:fill="auto"/>
            <w:noWrap/>
            <w:hideMark/>
          </w:tcPr>
          <w:p w14:paraId="6FFEC01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1B1C0022" w14:textId="77777777" w:rsidR="009561A2" w:rsidRPr="00AD0493" w:rsidRDefault="009D03C3" w:rsidP="00F32B0C">
            <w:pPr>
              <w:spacing w:before="20" w:after="20" w:line="240" w:lineRule="auto"/>
              <w:jc w:val="right"/>
              <w:rPr>
                <w:rFonts w:eastAsia="Times New Roman"/>
                <w:color w:val="000000"/>
                <w:sz w:val="20"/>
                <w:szCs w:val="20"/>
                <w:lang w:eastAsia="cs-CZ"/>
              </w:rPr>
            </w:pPr>
            <w:r>
              <w:rPr>
                <w:rFonts w:eastAsia="Times New Roman"/>
                <w:color w:val="000000"/>
                <w:sz w:val="20"/>
                <w:szCs w:val="20"/>
                <w:lang w:eastAsia="cs-CZ"/>
              </w:rPr>
              <w:t xml:space="preserve"> </w:t>
            </w:r>
            <w:r w:rsidR="00AD0493" w:rsidRPr="00AD0493">
              <w:rPr>
                <w:rFonts w:eastAsia="Times New Roman"/>
                <w:color w:val="000000"/>
                <w:sz w:val="20"/>
                <w:szCs w:val="20"/>
                <w:lang w:eastAsia="cs-CZ"/>
              </w:rPr>
              <w:t>0,274</w:t>
            </w:r>
          </w:p>
        </w:tc>
        <w:tc>
          <w:tcPr>
            <w:tcW w:w="850" w:type="dxa"/>
            <w:tcBorders>
              <w:top w:val="nil"/>
              <w:left w:val="nil"/>
              <w:bottom w:val="single" w:sz="4" w:space="0" w:color="auto"/>
              <w:right w:val="single" w:sz="4" w:space="0" w:color="auto"/>
            </w:tcBorders>
            <w:shd w:val="clear" w:color="auto" w:fill="auto"/>
            <w:noWrap/>
            <w:hideMark/>
          </w:tcPr>
          <w:p w14:paraId="1C3DE0CF"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0CE6317B" w14:textId="77777777" w:rsidR="009561A2" w:rsidRPr="00AD0493" w:rsidRDefault="00AD0493"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0,380</w:t>
            </w:r>
          </w:p>
        </w:tc>
        <w:tc>
          <w:tcPr>
            <w:tcW w:w="850" w:type="dxa"/>
            <w:tcBorders>
              <w:top w:val="nil"/>
              <w:left w:val="nil"/>
              <w:bottom w:val="single" w:sz="4" w:space="0" w:color="auto"/>
              <w:right w:val="single" w:sz="4" w:space="0" w:color="auto"/>
            </w:tcBorders>
            <w:shd w:val="clear" w:color="auto" w:fill="auto"/>
            <w:noWrap/>
            <w:hideMark/>
          </w:tcPr>
          <w:p w14:paraId="7604EBB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5D38F8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1035921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7232861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4D620B22" w14:textId="77777777" w:rsidTr="009D03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340D7457" w14:textId="77777777" w:rsidR="009561A2" w:rsidRPr="00AD0493" w:rsidRDefault="009561A2" w:rsidP="00F32B0C">
            <w:pPr>
              <w:spacing w:before="20" w:after="20" w:line="240" w:lineRule="auto"/>
              <w:jc w:val="left"/>
              <w:rPr>
                <w:rFonts w:eastAsia="Times New Roman"/>
                <w:b/>
                <w:bCs/>
                <w:sz w:val="20"/>
                <w:szCs w:val="20"/>
                <w:lang w:eastAsia="cs-CZ"/>
              </w:rPr>
            </w:pPr>
            <w:r w:rsidRPr="00AD0493">
              <w:rPr>
                <w:rFonts w:eastAsia="Times New Roman"/>
                <w:b/>
                <w:bCs/>
                <w:sz w:val="20"/>
                <w:szCs w:val="20"/>
                <w:lang w:eastAsia="cs-CZ"/>
              </w:rPr>
              <w:t>Plochy bydlení celkem</w:t>
            </w:r>
          </w:p>
        </w:tc>
        <w:tc>
          <w:tcPr>
            <w:tcW w:w="961" w:type="dxa"/>
            <w:tcBorders>
              <w:top w:val="nil"/>
              <w:left w:val="nil"/>
              <w:bottom w:val="single" w:sz="4" w:space="0" w:color="auto"/>
              <w:right w:val="single" w:sz="4" w:space="0" w:color="auto"/>
            </w:tcBorders>
            <w:shd w:val="clear" w:color="auto" w:fill="C2D69B" w:themeFill="accent3" w:themeFillTint="99"/>
            <w:hideMark/>
          </w:tcPr>
          <w:p w14:paraId="03350C05" w14:textId="77777777" w:rsidR="009561A2" w:rsidRPr="00AD0493" w:rsidRDefault="00AD0493"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0,380</w:t>
            </w:r>
          </w:p>
        </w:tc>
        <w:tc>
          <w:tcPr>
            <w:tcW w:w="809" w:type="dxa"/>
            <w:tcBorders>
              <w:top w:val="nil"/>
              <w:left w:val="nil"/>
              <w:bottom w:val="single" w:sz="4" w:space="0" w:color="auto"/>
              <w:right w:val="single" w:sz="4" w:space="0" w:color="auto"/>
            </w:tcBorders>
            <w:shd w:val="clear" w:color="auto" w:fill="C2D69B" w:themeFill="accent3" w:themeFillTint="99"/>
            <w:hideMark/>
          </w:tcPr>
          <w:p w14:paraId="251ACA33"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0FCBCAB8"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708" w:type="dxa"/>
            <w:tcBorders>
              <w:top w:val="nil"/>
              <w:left w:val="nil"/>
              <w:bottom w:val="single" w:sz="4" w:space="0" w:color="auto"/>
              <w:right w:val="single" w:sz="4" w:space="0" w:color="auto"/>
            </w:tcBorders>
            <w:shd w:val="clear" w:color="auto" w:fill="C2D69B" w:themeFill="accent3" w:themeFillTint="99"/>
            <w:hideMark/>
          </w:tcPr>
          <w:p w14:paraId="182CA434"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03A40A94"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0,106</w:t>
            </w:r>
          </w:p>
        </w:tc>
        <w:tc>
          <w:tcPr>
            <w:tcW w:w="850" w:type="dxa"/>
            <w:tcBorders>
              <w:top w:val="nil"/>
              <w:left w:val="nil"/>
              <w:bottom w:val="single" w:sz="4" w:space="0" w:color="auto"/>
              <w:right w:val="single" w:sz="4" w:space="0" w:color="auto"/>
            </w:tcBorders>
            <w:shd w:val="clear" w:color="auto" w:fill="C2D69B" w:themeFill="accent3" w:themeFillTint="99"/>
            <w:hideMark/>
          </w:tcPr>
          <w:p w14:paraId="47367F45"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10BD5A0E" w14:textId="77777777" w:rsidR="009561A2" w:rsidRPr="00AD0493" w:rsidRDefault="009D03C3"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 xml:space="preserve"> </w:t>
            </w:r>
            <w:r w:rsidR="00AD0493" w:rsidRPr="00AD0493">
              <w:rPr>
                <w:rFonts w:eastAsia="Times New Roman"/>
                <w:b/>
                <w:bCs/>
                <w:sz w:val="20"/>
                <w:szCs w:val="20"/>
                <w:lang w:eastAsia="cs-CZ"/>
              </w:rPr>
              <w:t>0,274</w:t>
            </w:r>
          </w:p>
        </w:tc>
        <w:tc>
          <w:tcPr>
            <w:tcW w:w="850" w:type="dxa"/>
            <w:tcBorders>
              <w:top w:val="nil"/>
              <w:left w:val="nil"/>
              <w:bottom w:val="single" w:sz="4" w:space="0" w:color="auto"/>
              <w:right w:val="single" w:sz="4" w:space="0" w:color="auto"/>
            </w:tcBorders>
            <w:shd w:val="clear" w:color="auto" w:fill="C2D69B" w:themeFill="accent3" w:themeFillTint="99"/>
            <w:hideMark/>
          </w:tcPr>
          <w:p w14:paraId="4B347259"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3613A111" w14:textId="77777777" w:rsidR="009561A2" w:rsidRPr="00AD0493" w:rsidRDefault="00AD0493"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0,380</w:t>
            </w:r>
          </w:p>
        </w:tc>
        <w:tc>
          <w:tcPr>
            <w:tcW w:w="850" w:type="dxa"/>
            <w:tcBorders>
              <w:top w:val="nil"/>
              <w:left w:val="nil"/>
              <w:bottom w:val="single" w:sz="4" w:space="0" w:color="auto"/>
              <w:right w:val="single" w:sz="4" w:space="0" w:color="auto"/>
            </w:tcBorders>
            <w:shd w:val="clear" w:color="auto" w:fill="C2D69B" w:themeFill="accent3" w:themeFillTint="99"/>
            <w:hideMark/>
          </w:tcPr>
          <w:p w14:paraId="2A16CFC3"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482D235D"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709" w:type="dxa"/>
            <w:tcBorders>
              <w:top w:val="nil"/>
              <w:left w:val="nil"/>
              <w:bottom w:val="single" w:sz="4" w:space="0" w:color="auto"/>
              <w:right w:val="single" w:sz="4" w:space="0" w:color="auto"/>
            </w:tcBorders>
            <w:shd w:val="clear" w:color="auto" w:fill="C2D69B" w:themeFill="accent3" w:themeFillTint="99"/>
            <w:hideMark/>
          </w:tcPr>
          <w:p w14:paraId="06B2711E"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0" w:type="dxa"/>
            <w:tcBorders>
              <w:top w:val="nil"/>
              <w:left w:val="nil"/>
              <w:bottom w:val="single" w:sz="4" w:space="0" w:color="auto"/>
              <w:right w:val="single" w:sz="4" w:space="0" w:color="auto"/>
            </w:tcBorders>
            <w:shd w:val="clear" w:color="auto" w:fill="C2D69B" w:themeFill="accent3" w:themeFillTint="99"/>
            <w:hideMark/>
          </w:tcPr>
          <w:p w14:paraId="06AA4692"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r>
      <w:tr w:rsidR="009D03C3" w:rsidRPr="00AD0493" w14:paraId="1718B1D0"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4551E4C1"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P01</w:t>
            </w:r>
          </w:p>
        </w:tc>
        <w:tc>
          <w:tcPr>
            <w:tcW w:w="3453" w:type="dxa"/>
            <w:tcBorders>
              <w:top w:val="nil"/>
              <w:left w:val="nil"/>
              <w:bottom w:val="single" w:sz="4" w:space="0" w:color="auto"/>
              <w:right w:val="single" w:sz="4" w:space="0" w:color="auto"/>
            </w:tcBorders>
            <w:shd w:val="clear" w:color="auto" w:fill="auto"/>
            <w:noWrap/>
            <w:hideMark/>
          </w:tcPr>
          <w:p w14:paraId="71C18BF0"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29226F8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0,015</w:t>
            </w:r>
          </w:p>
        </w:tc>
        <w:tc>
          <w:tcPr>
            <w:tcW w:w="809" w:type="dxa"/>
            <w:tcBorders>
              <w:top w:val="nil"/>
              <w:left w:val="nil"/>
              <w:bottom w:val="single" w:sz="4" w:space="0" w:color="auto"/>
              <w:right w:val="single" w:sz="4" w:space="0" w:color="auto"/>
            </w:tcBorders>
            <w:shd w:val="clear" w:color="auto" w:fill="auto"/>
            <w:noWrap/>
            <w:hideMark/>
          </w:tcPr>
          <w:p w14:paraId="291C37F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A9C275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139D42C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13181C9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0,015</w:t>
            </w:r>
          </w:p>
        </w:tc>
        <w:tc>
          <w:tcPr>
            <w:tcW w:w="850" w:type="dxa"/>
            <w:tcBorders>
              <w:top w:val="nil"/>
              <w:left w:val="nil"/>
              <w:bottom w:val="single" w:sz="4" w:space="0" w:color="auto"/>
              <w:right w:val="single" w:sz="4" w:space="0" w:color="auto"/>
            </w:tcBorders>
            <w:shd w:val="clear" w:color="auto" w:fill="auto"/>
            <w:noWrap/>
            <w:hideMark/>
          </w:tcPr>
          <w:p w14:paraId="1F0DCB9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6F470CB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13BF5AD7"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0,015</w:t>
            </w:r>
          </w:p>
        </w:tc>
        <w:tc>
          <w:tcPr>
            <w:tcW w:w="851" w:type="dxa"/>
            <w:tcBorders>
              <w:top w:val="nil"/>
              <w:left w:val="nil"/>
              <w:bottom w:val="single" w:sz="4" w:space="0" w:color="auto"/>
              <w:right w:val="single" w:sz="4" w:space="0" w:color="auto"/>
            </w:tcBorders>
            <w:shd w:val="clear" w:color="auto" w:fill="auto"/>
            <w:noWrap/>
            <w:hideMark/>
          </w:tcPr>
          <w:p w14:paraId="2F0CB0E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14EBCD7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534FFA7"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4D408BD3"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4040F58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40B3A3F9"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296A23A6"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P02</w:t>
            </w:r>
          </w:p>
        </w:tc>
        <w:tc>
          <w:tcPr>
            <w:tcW w:w="3453" w:type="dxa"/>
            <w:tcBorders>
              <w:top w:val="nil"/>
              <w:left w:val="nil"/>
              <w:bottom w:val="single" w:sz="4" w:space="0" w:color="auto"/>
              <w:right w:val="single" w:sz="4" w:space="0" w:color="auto"/>
            </w:tcBorders>
            <w:shd w:val="clear" w:color="auto" w:fill="auto"/>
            <w:noWrap/>
            <w:hideMark/>
          </w:tcPr>
          <w:p w14:paraId="67E65BC9"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0B5C2EF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0,447</w:t>
            </w:r>
          </w:p>
        </w:tc>
        <w:tc>
          <w:tcPr>
            <w:tcW w:w="809" w:type="dxa"/>
            <w:tcBorders>
              <w:top w:val="nil"/>
              <w:left w:val="nil"/>
              <w:bottom w:val="single" w:sz="4" w:space="0" w:color="auto"/>
              <w:right w:val="single" w:sz="4" w:space="0" w:color="auto"/>
            </w:tcBorders>
            <w:shd w:val="clear" w:color="auto" w:fill="auto"/>
            <w:hideMark/>
          </w:tcPr>
          <w:p w14:paraId="6A82D11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79C0F8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790CCCB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B1763E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4B6138E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6BD13D4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0,447</w:t>
            </w:r>
          </w:p>
        </w:tc>
        <w:tc>
          <w:tcPr>
            <w:tcW w:w="850" w:type="dxa"/>
            <w:tcBorders>
              <w:top w:val="nil"/>
              <w:left w:val="nil"/>
              <w:bottom w:val="single" w:sz="4" w:space="0" w:color="auto"/>
              <w:right w:val="single" w:sz="4" w:space="0" w:color="auto"/>
            </w:tcBorders>
            <w:shd w:val="clear" w:color="auto" w:fill="auto"/>
            <w:noWrap/>
            <w:hideMark/>
          </w:tcPr>
          <w:p w14:paraId="55299A13"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808A25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3E48E2D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0,447</w:t>
            </w:r>
          </w:p>
        </w:tc>
        <w:tc>
          <w:tcPr>
            <w:tcW w:w="851" w:type="dxa"/>
            <w:tcBorders>
              <w:top w:val="nil"/>
              <w:left w:val="nil"/>
              <w:bottom w:val="single" w:sz="4" w:space="0" w:color="auto"/>
              <w:right w:val="single" w:sz="4" w:space="0" w:color="auto"/>
            </w:tcBorders>
            <w:shd w:val="clear" w:color="auto" w:fill="auto"/>
            <w:noWrap/>
            <w:hideMark/>
          </w:tcPr>
          <w:p w14:paraId="0D32EF8E"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761CDCD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4C50540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0F31BF15"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46A659BA"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P03</w:t>
            </w:r>
          </w:p>
        </w:tc>
        <w:tc>
          <w:tcPr>
            <w:tcW w:w="3453" w:type="dxa"/>
            <w:tcBorders>
              <w:top w:val="nil"/>
              <w:left w:val="nil"/>
              <w:bottom w:val="single" w:sz="4" w:space="0" w:color="auto"/>
              <w:right w:val="single" w:sz="4" w:space="0" w:color="auto"/>
            </w:tcBorders>
            <w:shd w:val="clear" w:color="auto" w:fill="auto"/>
            <w:noWrap/>
            <w:hideMark/>
          </w:tcPr>
          <w:p w14:paraId="76CD1F57"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36384697"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0,128</w:t>
            </w:r>
          </w:p>
        </w:tc>
        <w:tc>
          <w:tcPr>
            <w:tcW w:w="809" w:type="dxa"/>
            <w:tcBorders>
              <w:top w:val="nil"/>
              <w:left w:val="nil"/>
              <w:bottom w:val="single" w:sz="4" w:space="0" w:color="auto"/>
              <w:right w:val="single" w:sz="4" w:space="0" w:color="auto"/>
            </w:tcBorders>
            <w:shd w:val="clear" w:color="auto" w:fill="auto"/>
            <w:hideMark/>
          </w:tcPr>
          <w:p w14:paraId="27F8DD9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115A597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522772D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E6C7911"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326D636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298B6BA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0,128</w:t>
            </w:r>
          </w:p>
        </w:tc>
        <w:tc>
          <w:tcPr>
            <w:tcW w:w="850" w:type="dxa"/>
            <w:tcBorders>
              <w:top w:val="nil"/>
              <w:left w:val="nil"/>
              <w:bottom w:val="single" w:sz="4" w:space="0" w:color="auto"/>
              <w:right w:val="single" w:sz="4" w:space="0" w:color="auto"/>
            </w:tcBorders>
            <w:shd w:val="clear" w:color="auto" w:fill="auto"/>
            <w:noWrap/>
            <w:hideMark/>
          </w:tcPr>
          <w:p w14:paraId="64AD4AC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671A3963"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7418724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0,128</w:t>
            </w:r>
          </w:p>
        </w:tc>
        <w:tc>
          <w:tcPr>
            <w:tcW w:w="851" w:type="dxa"/>
            <w:tcBorders>
              <w:top w:val="nil"/>
              <w:left w:val="nil"/>
              <w:bottom w:val="single" w:sz="4" w:space="0" w:color="auto"/>
              <w:right w:val="single" w:sz="4" w:space="0" w:color="auto"/>
            </w:tcBorders>
            <w:shd w:val="clear" w:color="auto" w:fill="auto"/>
            <w:noWrap/>
            <w:hideMark/>
          </w:tcPr>
          <w:p w14:paraId="68E56D3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449C3D1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38E047D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36A16B9C"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027C3B49"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P04</w:t>
            </w:r>
          </w:p>
        </w:tc>
        <w:tc>
          <w:tcPr>
            <w:tcW w:w="3453" w:type="dxa"/>
            <w:tcBorders>
              <w:top w:val="nil"/>
              <w:left w:val="nil"/>
              <w:bottom w:val="single" w:sz="4" w:space="0" w:color="auto"/>
              <w:right w:val="single" w:sz="4" w:space="0" w:color="auto"/>
            </w:tcBorders>
            <w:shd w:val="clear" w:color="auto" w:fill="auto"/>
            <w:noWrap/>
            <w:hideMark/>
          </w:tcPr>
          <w:p w14:paraId="72FB0AE6"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23DE204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0,123</w:t>
            </w:r>
          </w:p>
        </w:tc>
        <w:tc>
          <w:tcPr>
            <w:tcW w:w="809" w:type="dxa"/>
            <w:tcBorders>
              <w:top w:val="nil"/>
              <w:left w:val="nil"/>
              <w:bottom w:val="single" w:sz="4" w:space="0" w:color="auto"/>
              <w:right w:val="single" w:sz="4" w:space="0" w:color="auto"/>
            </w:tcBorders>
            <w:shd w:val="clear" w:color="auto" w:fill="auto"/>
            <w:hideMark/>
          </w:tcPr>
          <w:p w14:paraId="1B8924F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75C54D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2C2FF45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6BE13B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0506FFFE"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89762B3"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0,123</w:t>
            </w:r>
          </w:p>
        </w:tc>
        <w:tc>
          <w:tcPr>
            <w:tcW w:w="850" w:type="dxa"/>
            <w:tcBorders>
              <w:top w:val="nil"/>
              <w:left w:val="nil"/>
              <w:bottom w:val="single" w:sz="4" w:space="0" w:color="auto"/>
              <w:right w:val="single" w:sz="4" w:space="0" w:color="auto"/>
            </w:tcBorders>
            <w:shd w:val="clear" w:color="auto" w:fill="auto"/>
            <w:noWrap/>
            <w:hideMark/>
          </w:tcPr>
          <w:p w14:paraId="62B26C67"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1F5A38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778F526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0,123</w:t>
            </w:r>
          </w:p>
        </w:tc>
        <w:tc>
          <w:tcPr>
            <w:tcW w:w="851" w:type="dxa"/>
            <w:tcBorders>
              <w:top w:val="nil"/>
              <w:left w:val="nil"/>
              <w:bottom w:val="single" w:sz="4" w:space="0" w:color="auto"/>
              <w:right w:val="single" w:sz="4" w:space="0" w:color="auto"/>
            </w:tcBorders>
            <w:shd w:val="clear" w:color="auto" w:fill="auto"/>
            <w:noWrap/>
            <w:hideMark/>
          </w:tcPr>
          <w:p w14:paraId="505903A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01EEB7A1"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3E073C4F"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42246181"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69AA0008"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Z19</w:t>
            </w:r>
          </w:p>
        </w:tc>
        <w:tc>
          <w:tcPr>
            <w:tcW w:w="3453" w:type="dxa"/>
            <w:tcBorders>
              <w:top w:val="nil"/>
              <w:left w:val="nil"/>
              <w:bottom w:val="single" w:sz="4" w:space="0" w:color="auto"/>
              <w:right w:val="single" w:sz="4" w:space="0" w:color="auto"/>
            </w:tcBorders>
            <w:shd w:val="clear" w:color="auto" w:fill="auto"/>
            <w:noWrap/>
            <w:hideMark/>
          </w:tcPr>
          <w:p w14:paraId="39D0343C"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0370A8E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0,281</w:t>
            </w:r>
          </w:p>
        </w:tc>
        <w:tc>
          <w:tcPr>
            <w:tcW w:w="809" w:type="dxa"/>
            <w:tcBorders>
              <w:top w:val="nil"/>
              <w:left w:val="nil"/>
              <w:bottom w:val="single" w:sz="4" w:space="0" w:color="auto"/>
              <w:right w:val="single" w:sz="4" w:space="0" w:color="auto"/>
            </w:tcBorders>
            <w:shd w:val="clear" w:color="auto" w:fill="auto"/>
            <w:hideMark/>
          </w:tcPr>
          <w:p w14:paraId="140C8E3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0B8CE3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0CCAEB1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5FA9C18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0E72084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7B5248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0,281</w:t>
            </w:r>
          </w:p>
        </w:tc>
        <w:tc>
          <w:tcPr>
            <w:tcW w:w="850" w:type="dxa"/>
            <w:tcBorders>
              <w:top w:val="nil"/>
              <w:left w:val="nil"/>
              <w:bottom w:val="single" w:sz="4" w:space="0" w:color="auto"/>
              <w:right w:val="single" w:sz="4" w:space="0" w:color="auto"/>
            </w:tcBorders>
            <w:shd w:val="clear" w:color="auto" w:fill="auto"/>
            <w:noWrap/>
            <w:hideMark/>
          </w:tcPr>
          <w:p w14:paraId="0B480001"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0,281</w:t>
            </w:r>
          </w:p>
        </w:tc>
        <w:tc>
          <w:tcPr>
            <w:tcW w:w="851" w:type="dxa"/>
            <w:tcBorders>
              <w:top w:val="nil"/>
              <w:left w:val="nil"/>
              <w:bottom w:val="single" w:sz="4" w:space="0" w:color="auto"/>
              <w:right w:val="single" w:sz="4" w:space="0" w:color="auto"/>
            </w:tcBorders>
            <w:shd w:val="clear" w:color="auto" w:fill="auto"/>
            <w:noWrap/>
            <w:hideMark/>
          </w:tcPr>
          <w:p w14:paraId="6434E47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5C2E0C6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6D9F0E27"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09EEF19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2EB71EC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5425B1D6"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08BD67F6"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Z20</w:t>
            </w:r>
          </w:p>
        </w:tc>
        <w:tc>
          <w:tcPr>
            <w:tcW w:w="3453" w:type="dxa"/>
            <w:tcBorders>
              <w:top w:val="nil"/>
              <w:left w:val="nil"/>
              <w:bottom w:val="single" w:sz="4" w:space="0" w:color="auto"/>
              <w:right w:val="single" w:sz="4" w:space="0" w:color="auto"/>
            </w:tcBorders>
            <w:shd w:val="clear" w:color="auto" w:fill="auto"/>
            <w:noWrap/>
            <w:hideMark/>
          </w:tcPr>
          <w:p w14:paraId="6549F087"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609D52A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0,171</w:t>
            </w:r>
          </w:p>
        </w:tc>
        <w:tc>
          <w:tcPr>
            <w:tcW w:w="809" w:type="dxa"/>
            <w:tcBorders>
              <w:top w:val="nil"/>
              <w:left w:val="nil"/>
              <w:bottom w:val="single" w:sz="4" w:space="0" w:color="auto"/>
              <w:right w:val="single" w:sz="4" w:space="0" w:color="auto"/>
            </w:tcBorders>
            <w:shd w:val="clear" w:color="auto" w:fill="auto"/>
            <w:hideMark/>
          </w:tcPr>
          <w:p w14:paraId="0E794BF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5E649833"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542FC953"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84B451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0AA6C90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B7A7EB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0,171</w:t>
            </w:r>
          </w:p>
        </w:tc>
        <w:tc>
          <w:tcPr>
            <w:tcW w:w="850" w:type="dxa"/>
            <w:tcBorders>
              <w:top w:val="nil"/>
              <w:left w:val="nil"/>
              <w:bottom w:val="single" w:sz="4" w:space="0" w:color="auto"/>
              <w:right w:val="single" w:sz="4" w:space="0" w:color="auto"/>
            </w:tcBorders>
            <w:shd w:val="clear" w:color="auto" w:fill="auto"/>
            <w:noWrap/>
            <w:hideMark/>
          </w:tcPr>
          <w:p w14:paraId="655CDBC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0,153</w:t>
            </w:r>
          </w:p>
        </w:tc>
        <w:tc>
          <w:tcPr>
            <w:tcW w:w="851" w:type="dxa"/>
            <w:tcBorders>
              <w:top w:val="nil"/>
              <w:left w:val="nil"/>
              <w:bottom w:val="single" w:sz="4" w:space="0" w:color="auto"/>
              <w:right w:val="single" w:sz="4" w:space="0" w:color="auto"/>
            </w:tcBorders>
            <w:shd w:val="clear" w:color="auto" w:fill="auto"/>
            <w:noWrap/>
            <w:hideMark/>
          </w:tcPr>
          <w:p w14:paraId="3668F15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73001E8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0,018</w:t>
            </w:r>
          </w:p>
        </w:tc>
        <w:tc>
          <w:tcPr>
            <w:tcW w:w="851" w:type="dxa"/>
            <w:tcBorders>
              <w:top w:val="nil"/>
              <w:left w:val="nil"/>
              <w:bottom w:val="single" w:sz="4" w:space="0" w:color="auto"/>
              <w:right w:val="single" w:sz="4" w:space="0" w:color="auto"/>
            </w:tcBorders>
            <w:shd w:val="clear" w:color="auto" w:fill="auto"/>
            <w:noWrap/>
            <w:hideMark/>
          </w:tcPr>
          <w:p w14:paraId="669F0AA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7E68E077"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187824BA"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775EF387"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45243669"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Z21</w:t>
            </w:r>
          </w:p>
        </w:tc>
        <w:tc>
          <w:tcPr>
            <w:tcW w:w="3453" w:type="dxa"/>
            <w:tcBorders>
              <w:top w:val="nil"/>
              <w:left w:val="nil"/>
              <w:bottom w:val="single" w:sz="4" w:space="0" w:color="auto"/>
              <w:right w:val="single" w:sz="4" w:space="0" w:color="auto"/>
            </w:tcBorders>
            <w:shd w:val="clear" w:color="auto" w:fill="auto"/>
            <w:noWrap/>
            <w:hideMark/>
          </w:tcPr>
          <w:p w14:paraId="1948218E"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7F3BFC0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0,454</w:t>
            </w:r>
          </w:p>
        </w:tc>
        <w:tc>
          <w:tcPr>
            <w:tcW w:w="809" w:type="dxa"/>
            <w:tcBorders>
              <w:top w:val="nil"/>
              <w:left w:val="nil"/>
              <w:bottom w:val="single" w:sz="4" w:space="0" w:color="auto"/>
              <w:right w:val="single" w:sz="4" w:space="0" w:color="auto"/>
            </w:tcBorders>
            <w:shd w:val="clear" w:color="auto" w:fill="auto"/>
            <w:hideMark/>
          </w:tcPr>
          <w:p w14:paraId="3B40A8A1"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A920DB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10250E8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8AB443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5D64860F"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477E15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0,454</w:t>
            </w:r>
          </w:p>
        </w:tc>
        <w:tc>
          <w:tcPr>
            <w:tcW w:w="850" w:type="dxa"/>
            <w:tcBorders>
              <w:top w:val="nil"/>
              <w:left w:val="nil"/>
              <w:bottom w:val="single" w:sz="4" w:space="0" w:color="auto"/>
              <w:right w:val="single" w:sz="4" w:space="0" w:color="auto"/>
            </w:tcBorders>
            <w:shd w:val="clear" w:color="auto" w:fill="auto"/>
            <w:noWrap/>
            <w:hideMark/>
          </w:tcPr>
          <w:p w14:paraId="360D868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0,187</w:t>
            </w:r>
          </w:p>
        </w:tc>
        <w:tc>
          <w:tcPr>
            <w:tcW w:w="851" w:type="dxa"/>
            <w:tcBorders>
              <w:top w:val="nil"/>
              <w:left w:val="nil"/>
              <w:bottom w:val="single" w:sz="4" w:space="0" w:color="auto"/>
              <w:right w:val="single" w:sz="4" w:space="0" w:color="auto"/>
            </w:tcBorders>
            <w:shd w:val="clear" w:color="auto" w:fill="auto"/>
            <w:noWrap/>
            <w:hideMark/>
          </w:tcPr>
          <w:p w14:paraId="3FEF9A1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65F6B65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0,267</w:t>
            </w:r>
          </w:p>
        </w:tc>
        <w:tc>
          <w:tcPr>
            <w:tcW w:w="851" w:type="dxa"/>
            <w:tcBorders>
              <w:top w:val="nil"/>
              <w:left w:val="nil"/>
              <w:bottom w:val="single" w:sz="4" w:space="0" w:color="auto"/>
              <w:right w:val="single" w:sz="4" w:space="0" w:color="auto"/>
            </w:tcBorders>
            <w:shd w:val="clear" w:color="auto" w:fill="auto"/>
            <w:noWrap/>
            <w:hideMark/>
          </w:tcPr>
          <w:p w14:paraId="44BE604E"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5681605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3C5A82F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4F8BA426"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10B16BEB"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Z22</w:t>
            </w:r>
          </w:p>
        </w:tc>
        <w:tc>
          <w:tcPr>
            <w:tcW w:w="3453" w:type="dxa"/>
            <w:tcBorders>
              <w:top w:val="nil"/>
              <w:left w:val="nil"/>
              <w:bottom w:val="single" w:sz="4" w:space="0" w:color="auto"/>
              <w:right w:val="single" w:sz="4" w:space="0" w:color="auto"/>
            </w:tcBorders>
            <w:shd w:val="clear" w:color="auto" w:fill="auto"/>
            <w:noWrap/>
            <w:hideMark/>
          </w:tcPr>
          <w:p w14:paraId="0185E32D"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0868EFC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0,237</w:t>
            </w:r>
          </w:p>
        </w:tc>
        <w:tc>
          <w:tcPr>
            <w:tcW w:w="809" w:type="dxa"/>
            <w:tcBorders>
              <w:top w:val="nil"/>
              <w:left w:val="nil"/>
              <w:bottom w:val="single" w:sz="4" w:space="0" w:color="auto"/>
              <w:right w:val="single" w:sz="4" w:space="0" w:color="auto"/>
            </w:tcBorders>
            <w:shd w:val="clear" w:color="auto" w:fill="auto"/>
            <w:hideMark/>
          </w:tcPr>
          <w:p w14:paraId="3CC40C4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0,237</w:t>
            </w:r>
          </w:p>
        </w:tc>
        <w:tc>
          <w:tcPr>
            <w:tcW w:w="851" w:type="dxa"/>
            <w:tcBorders>
              <w:top w:val="nil"/>
              <w:left w:val="nil"/>
              <w:bottom w:val="single" w:sz="4" w:space="0" w:color="auto"/>
              <w:right w:val="single" w:sz="4" w:space="0" w:color="auto"/>
            </w:tcBorders>
            <w:shd w:val="clear" w:color="auto" w:fill="auto"/>
            <w:noWrap/>
            <w:hideMark/>
          </w:tcPr>
          <w:p w14:paraId="4818A4E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7479FEB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072C939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5425A4E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333DE2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37DD51E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09C1AC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0,123</w:t>
            </w:r>
          </w:p>
        </w:tc>
        <w:tc>
          <w:tcPr>
            <w:tcW w:w="850" w:type="dxa"/>
            <w:tcBorders>
              <w:top w:val="nil"/>
              <w:left w:val="nil"/>
              <w:bottom w:val="single" w:sz="4" w:space="0" w:color="auto"/>
              <w:right w:val="single" w:sz="4" w:space="0" w:color="auto"/>
            </w:tcBorders>
            <w:shd w:val="clear" w:color="auto" w:fill="auto"/>
            <w:noWrap/>
            <w:hideMark/>
          </w:tcPr>
          <w:p w14:paraId="3FBC3AE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0,114</w:t>
            </w:r>
          </w:p>
        </w:tc>
        <w:tc>
          <w:tcPr>
            <w:tcW w:w="851" w:type="dxa"/>
            <w:tcBorders>
              <w:top w:val="nil"/>
              <w:left w:val="nil"/>
              <w:bottom w:val="single" w:sz="4" w:space="0" w:color="auto"/>
              <w:right w:val="single" w:sz="4" w:space="0" w:color="auto"/>
            </w:tcBorders>
            <w:shd w:val="clear" w:color="auto" w:fill="auto"/>
            <w:noWrap/>
            <w:hideMark/>
          </w:tcPr>
          <w:p w14:paraId="332C9E5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51C4259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6CE2B02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7D275E65"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3B252EA1"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Z23</w:t>
            </w:r>
          </w:p>
        </w:tc>
        <w:tc>
          <w:tcPr>
            <w:tcW w:w="3453" w:type="dxa"/>
            <w:tcBorders>
              <w:top w:val="nil"/>
              <w:left w:val="nil"/>
              <w:bottom w:val="single" w:sz="4" w:space="0" w:color="auto"/>
              <w:right w:val="single" w:sz="4" w:space="0" w:color="auto"/>
            </w:tcBorders>
            <w:shd w:val="clear" w:color="auto" w:fill="auto"/>
            <w:noWrap/>
            <w:hideMark/>
          </w:tcPr>
          <w:p w14:paraId="1C7AB4C0"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2A74F08F"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0,814</w:t>
            </w:r>
          </w:p>
        </w:tc>
        <w:tc>
          <w:tcPr>
            <w:tcW w:w="809" w:type="dxa"/>
            <w:tcBorders>
              <w:top w:val="nil"/>
              <w:left w:val="nil"/>
              <w:bottom w:val="single" w:sz="4" w:space="0" w:color="auto"/>
              <w:right w:val="single" w:sz="4" w:space="0" w:color="auto"/>
            </w:tcBorders>
            <w:shd w:val="clear" w:color="auto" w:fill="auto"/>
            <w:hideMark/>
          </w:tcPr>
          <w:p w14:paraId="633D6A6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4626C93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5901B20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1184E4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0C7EC991"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7076AC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0,814</w:t>
            </w:r>
          </w:p>
        </w:tc>
        <w:tc>
          <w:tcPr>
            <w:tcW w:w="850" w:type="dxa"/>
            <w:tcBorders>
              <w:top w:val="nil"/>
              <w:left w:val="nil"/>
              <w:bottom w:val="single" w:sz="4" w:space="0" w:color="auto"/>
              <w:right w:val="single" w:sz="4" w:space="0" w:color="auto"/>
            </w:tcBorders>
            <w:shd w:val="clear" w:color="auto" w:fill="auto"/>
            <w:noWrap/>
            <w:hideMark/>
          </w:tcPr>
          <w:p w14:paraId="72977F5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8FC6DE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47109C7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0,814</w:t>
            </w:r>
          </w:p>
        </w:tc>
        <w:tc>
          <w:tcPr>
            <w:tcW w:w="851" w:type="dxa"/>
            <w:tcBorders>
              <w:top w:val="nil"/>
              <w:left w:val="nil"/>
              <w:bottom w:val="single" w:sz="4" w:space="0" w:color="auto"/>
              <w:right w:val="single" w:sz="4" w:space="0" w:color="auto"/>
            </w:tcBorders>
            <w:shd w:val="clear" w:color="auto" w:fill="auto"/>
            <w:noWrap/>
            <w:hideMark/>
          </w:tcPr>
          <w:p w14:paraId="634F7CD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7B75F8E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77D9E4B1"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1925DFF9"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6A5D51E2"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Z25</w:t>
            </w:r>
          </w:p>
        </w:tc>
        <w:tc>
          <w:tcPr>
            <w:tcW w:w="3453" w:type="dxa"/>
            <w:tcBorders>
              <w:top w:val="nil"/>
              <w:left w:val="nil"/>
              <w:bottom w:val="single" w:sz="4" w:space="0" w:color="auto"/>
              <w:right w:val="single" w:sz="4" w:space="0" w:color="auto"/>
            </w:tcBorders>
            <w:shd w:val="clear" w:color="auto" w:fill="auto"/>
            <w:noWrap/>
            <w:hideMark/>
          </w:tcPr>
          <w:p w14:paraId="191B3B6C"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44C35C6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0,153</w:t>
            </w:r>
          </w:p>
        </w:tc>
        <w:tc>
          <w:tcPr>
            <w:tcW w:w="809" w:type="dxa"/>
            <w:tcBorders>
              <w:top w:val="nil"/>
              <w:left w:val="nil"/>
              <w:bottom w:val="single" w:sz="4" w:space="0" w:color="auto"/>
              <w:right w:val="single" w:sz="4" w:space="0" w:color="auto"/>
            </w:tcBorders>
            <w:shd w:val="clear" w:color="auto" w:fill="auto"/>
            <w:hideMark/>
          </w:tcPr>
          <w:p w14:paraId="15BD924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24A2392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7E76D126"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2F428C0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0,153</w:t>
            </w:r>
          </w:p>
        </w:tc>
        <w:tc>
          <w:tcPr>
            <w:tcW w:w="850" w:type="dxa"/>
            <w:tcBorders>
              <w:top w:val="nil"/>
              <w:left w:val="nil"/>
              <w:bottom w:val="single" w:sz="4" w:space="0" w:color="auto"/>
              <w:right w:val="single" w:sz="4" w:space="0" w:color="auto"/>
            </w:tcBorders>
            <w:shd w:val="clear" w:color="auto" w:fill="auto"/>
            <w:noWrap/>
            <w:hideMark/>
          </w:tcPr>
          <w:p w14:paraId="2703A24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5174F8D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0F7B772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0E95B56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205C314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0BDACE2E"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9" w:type="dxa"/>
            <w:tcBorders>
              <w:top w:val="nil"/>
              <w:left w:val="nil"/>
              <w:bottom w:val="single" w:sz="4" w:space="0" w:color="auto"/>
              <w:right w:val="single" w:sz="4" w:space="0" w:color="auto"/>
            </w:tcBorders>
            <w:shd w:val="clear" w:color="auto" w:fill="auto"/>
            <w:noWrap/>
            <w:hideMark/>
          </w:tcPr>
          <w:p w14:paraId="6424715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0,153</w:t>
            </w:r>
          </w:p>
        </w:tc>
        <w:tc>
          <w:tcPr>
            <w:tcW w:w="850" w:type="dxa"/>
            <w:tcBorders>
              <w:top w:val="nil"/>
              <w:left w:val="nil"/>
              <w:bottom w:val="single" w:sz="4" w:space="0" w:color="auto"/>
              <w:right w:val="single" w:sz="4" w:space="0" w:color="auto"/>
            </w:tcBorders>
            <w:shd w:val="clear" w:color="auto" w:fill="auto"/>
            <w:noWrap/>
            <w:hideMark/>
          </w:tcPr>
          <w:p w14:paraId="651CB3A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5D4D1463"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5D0E0B0D"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Z26</w:t>
            </w:r>
          </w:p>
        </w:tc>
        <w:tc>
          <w:tcPr>
            <w:tcW w:w="3453" w:type="dxa"/>
            <w:tcBorders>
              <w:top w:val="nil"/>
              <w:left w:val="nil"/>
              <w:bottom w:val="single" w:sz="4" w:space="0" w:color="auto"/>
              <w:right w:val="single" w:sz="4" w:space="0" w:color="auto"/>
            </w:tcBorders>
            <w:shd w:val="clear" w:color="auto" w:fill="auto"/>
            <w:noWrap/>
            <w:hideMark/>
          </w:tcPr>
          <w:p w14:paraId="7ECAE961"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49683183"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0,318</w:t>
            </w:r>
          </w:p>
        </w:tc>
        <w:tc>
          <w:tcPr>
            <w:tcW w:w="809" w:type="dxa"/>
            <w:tcBorders>
              <w:top w:val="nil"/>
              <w:left w:val="nil"/>
              <w:bottom w:val="single" w:sz="4" w:space="0" w:color="auto"/>
              <w:right w:val="single" w:sz="4" w:space="0" w:color="auto"/>
            </w:tcBorders>
            <w:shd w:val="clear" w:color="auto" w:fill="auto"/>
            <w:hideMark/>
          </w:tcPr>
          <w:p w14:paraId="3D40516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6780661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43DA441F"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27742E1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2F18A6C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5FC3279D"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0,318</w:t>
            </w:r>
          </w:p>
        </w:tc>
        <w:tc>
          <w:tcPr>
            <w:tcW w:w="850" w:type="dxa"/>
            <w:tcBorders>
              <w:top w:val="nil"/>
              <w:left w:val="nil"/>
              <w:bottom w:val="single" w:sz="4" w:space="0" w:color="auto"/>
              <w:right w:val="single" w:sz="4" w:space="0" w:color="auto"/>
            </w:tcBorders>
            <w:shd w:val="clear" w:color="auto" w:fill="auto"/>
            <w:noWrap/>
            <w:hideMark/>
          </w:tcPr>
          <w:p w14:paraId="5CD38D8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AE91F34"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1C5ED959"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DC4DB6F"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0,318</w:t>
            </w:r>
          </w:p>
        </w:tc>
        <w:tc>
          <w:tcPr>
            <w:tcW w:w="709" w:type="dxa"/>
            <w:tcBorders>
              <w:top w:val="nil"/>
              <w:left w:val="nil"/>
              <w:bottom w:val="single" w:sz="4" w:space="0" w:color="auto"/>
              <w:right w:val="single" w:sz="4" w:space="0" w:color="auto"/>
            </w:tcBorders>
            <w:shd w:val="clear" w:color="auto" w:fill="auto"/>
            <w:noWrap/>
            <w:hideMark/>
          </w:tcPr>
          <w:p w14:paraId="042322B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52F6B36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3C182698" w14:textId="77777777" w:rsidTr="009D03C3">
        <w:tc>
          <w:tcPr>
            <w:tcW w:w="872" w:type="dxa"/>
            <w:tcBorders>
              <w:top w:val="nil"/>
              <w:left w:val="single" w:sz="4" w:space="0" w:color="auto"/>
              <w:bottom w:val="single" w:sz="4" w:space="0" w:color="auto"/>
              <w:right w:val="single" w:sz="4" w:space="0" w:color="auto"/>
            </w:tcBorders>
            <w:shd w:val="clear" w:color="auto" w:fill="auto"/>
            <w:noWrap/>
            <w:hideMark/>
          </w:tcPr>
          <w:p w14:paraId="71140CFA"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Z28</w:t>
            </w:r>
          </w:p>
        </w:tc>
        <w:tc>
          <w:tcPr>
            <w:tcW w:w="3453" w:type="dxa"/>
            <w:tcBorders>
              <w:top w:val="nil"/>
              <w:left w:val="nil"/>
              <w:bottom w:val="single" w:sz="4" w:space="0" w:color="auto"/>
              <w:right w:val="single" w:sz="4" w:space="0" w:color="auto"/>
            </w:tcBorders>
            <w:shd w:val="clear" w:color="auto" w:fill="auto"/>
            <w:noWrap/>
            <w:hideMark/>
          </w:tcPr>
          <w:p w14:paraId="2942CC0E" w14:textId="77777777" w:rsidR="009561A2" w:rsidRPr="00AD0493" w:rsidRDefault="009561A2"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SV - plochy smíšené obytné - venkovské</w:t>
            </w:r>
          </w:p>
        </w:tc>
        <w:tc>
          <w:tcPr>
            <w:tcW w:w="961" w:type="dxa"/>
            <w:tcBorders>
              <w:top w:val="nil"/>
              <w:left w:val="nil"/>
              <w:bottom w:val="single" w:sz="4" w:space="0" w:color="auto"/>
              <w:right w:val="single" w:sz="4" w:space="0" w:color="auto"/>
            </w:tcBorders>
            <w:shd w:val="clear" w:color="auto" w:fill="auto"/>
            <w:noWrap/>
            <w:hideMark/>
          </w:tcPr>
          <w:p w14:paraId="029B0B0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0,428</w:t>
            </w:r>
          </w:p>
        </w:tc>
        <w:tc>
          <w:tcPr>
            <w:tcW w:w="809" w:type="dxa"/>
            <w:tcBorders>
              <w:top w:val="nil"/>
              <w:left w:val="nil"/>
              <w:bottom w:val="single" w:sz="4" w:space="0" w:color="auto"/>
              <w:right w:val="single" w:sz="4" w:space="0" w:color="auto"/>
            </w:tcBorders>
            <w:shd w:val="clear" w:color="auto" w:fill="auto"/>
            <w:hideMark/>
          </w:tcPr>
          <w:p w14:paraId="1102F27F"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91DBBA5"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708" w:type="dxa"/>
            <w:tcBorders>
              <w:top w:val="nil"/>
              <w:left w:val="nil"/>
              <w:bottom w:val="single" w:sz="4" w:space="0" w:color="auto"/>
              <w:right w:val="single" w:sz="4" w:space="0" w:color="auto"/>
            </w:tcBorders>
            <w:shd w:val="clear" w:color="auto" w:fill="auto"/>
            <w:noWrap/>
            <w:hideMark/>
          </w:tcPr>
          <w:p w14:paraId="44B47AB0"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5AD3924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0,091</w:t>
            </w:r>
          </w:p>
        </w:tc>
        <w:tc>
          <w:tcPr>
            <w:tcW w:w="850" w:type="dxa"/>
            <w:tcBorders>
              <w:top w:val="nil"/>
              <w:left w:val="nil"/>
              <w:bottom w:val="single" w:sz="4" w:space="0" w:color="auto"/>
              <w:right w:val="single" w:sz="4" w:space="0" w:color="auto"/>
            </w:tcBorders>
            <w:shd w:val="clear" w:color="auto" w:fill="auto"/>
            <w:noWrap/>
            <w:hideMark/>
          </w:tcPr>
          <w:p w14:paraId="01A037B8"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7A86339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0,337</w:t>
            </w:r>
          </w:p>
        </w:tc>
        <w:tc>
          <w:tcPr>
            <w:tcW w:w="850" w:type="dxa"/>
            <w:tcBorders>
              <w:top w:val="nil"/>
              <w:left w:val="nil"/>
              <w:bottom w:val="single" w:sz="4" w:space="0" w:color="auto"/>
              <w:right w:val="single" w:sz="4" w:space="0" w:color="auto"/>
            </w:tcBorders>
            <w:shd w:val="clear" w:color="auto" w:fill="auto"/>
            <w:noWrap/>
            <w:hideMark/>
          </w:tcPr>
          <w:p w14:paraId="0976B02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294FB9E2"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729AC90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1" w:type="dxa"/>
            <w:tcBorders>
              <w:top w:val="nil"/>
              <w:left w:val="nil"/>
              <w:bottom w:val="single" w:sz="4" w:space="0" w:color="auto"/>
              <w:right w:val="single" w:sz="4" w:space="0" w:color="auto"/>
            </w:tcBorders>
            <w:shd w:val="clear" w:color="auto" w:fill="auto"/>
            <w:noWrap/>
            <w:hideMark/>
          </w:tcPr>
          <w:p w14:paraId="371FC92C"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0,428</w:t>
            </w:r>
          </w:p>
        </w:tc>
        <w:tc>
          <w:tcPr>
            <w:tcW w:w="709" w:type="dxa"/>
            <w:tcBorders>
              <w:top w:val="nil"/>
              <w:left w:val="nil"/>
              <w:bottom w:val="single" w:sz="4" w:space="0" w:color="auto"/>
              <w:right w:val="single" w:sz="4" w:space="0" w:color="auto"/>
            </w:tcBorders>
            <w:shd w:val="clear" w:color="auto" w:fill="auto"/>
            <w:noWrap/>
            <w:hideMark/>
          </w:tcPr>
          <w:p w14:paraId="5975618B"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c>
          <w:tcPr>
            <w:tcW w:w="850" w:type="dxa"/>
            <w:tcBorders>
              <w:top w:val="nil"/>
              <w:left w:val="nil"/>
              <w:bottom w:val="single" w:sz="4" w:space="0" w:color="auto"/>
              <w:right w:val="single" w:sz="4" w:space="0" w:color="auto"/>
            </w:tcBorders>
            <w:shd w:val="clear" w:color="auto" w:fill="auto"/>
            <w:noWrap/>
            <w:hideMark/>
          </w:tcPr>
          <w:p w14:paraId="072BF30E" w14:textId="77777777" w:rsidR="009561A2" w:rsidRPr="00AD0493" w:rsidRDefault="009561A2" w:rsidP="00F32B0C">
            <w:pPr>
              <w:spacing w:before="20" w:after="20" w:line="240" w:lineRule="auto"/>
              <w:jc w:val="right"/>
              <w:rPr>
                <w:rFonts w:eastAsia="Times New Roman"/>
                <w:color w:val="000000"/>
                <w:sz w:val="20"/>
                <w:szCs w:val="20"/>
                <w:lang w:eastAsia="cs-CZ"/>
              </w:rPr>
            </w:pPr>
            <w:r w:rsidRPr="00AD0493">
              <w:rPr>
                <w:rFonts w:eastAsia="Times New Roman"/>
                <w:color w:val="000000"/>
                <w:sz w:val="20"/>
                <w:szCs w:val="20"/>
                <w:lang w:eastAsia="cs-CZ"/>
              </w:rPr>
              <w:t>0,000</w:t>
            </w:r>
          </w:p>
        </w:tc>
      </w:tr>
      <w:tr w:rsidR="009D03C3" w:rsidRPr="00AD0493" w14:paraId="1163BC7D" w14:textId="77777777" w:rsidTr="009D03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058D6C24" w14:textId="77777777" w:rsidR="009561A2" w:rsidRPr="00AD0493" w:rsidRDefault="009561A2" w:rsidP="00F32B0C">
            <w:pPr>
              <w:spacing w:before="20" w:after="20" w:line="240" w:lineRule="auto"/>
              <w:jc w:val="left"/>
              <w:rPr>
                <w:rFonts w:eastAsia="Times New Roman"/>
                <w:b/>
                <w:bCs/>
                <w:sz w:val="20"/>
                <w:szCs w:val="20"/>
                <w:lang w:eastAsia="cs-CZ"/>
              </w:rPr>
            </w:pPr>
            <w:r w:rsidRPr="00AD0493">
              <w:rPr>
                <w:rFonts w:eastAsia="Times New Roman"/>
                <w:b/>
                <w:bCs/>
                <w:sz w:val="20"/>
                <w:szCs w:val="20"/>
                <w:lang w:eastAsia="cs-CZ"/>
              </w:rPr>
              <w:t>Plochy smíšené obytné celkem</w:t>
            </w:r>
          </w:p>
        </w:tc>
        <w:tc>
          <w:tcPr>
            <w:tcW w:w="961" w:type="dxa"/>
            <w:tcBorders>
              <w:top w:val="nil"/>
              <w:left w:val="nil"/>
              <w:bottom w:val="single" w:sz="4" w:space="0" w:color="auto"/>
              <w:right w:val="single" w:sz="4" w:space="0" w:color="auto"/>
            </w:tcBorders>
            <w:shd w:val="clear" w:color="auto" w:fill="C2D69B" w:themeFill="accent3" w:themeFillTint="99"/>
            <w:hideMark/>
          </w:tcPr>
          <w:p w14:paraId="1D7A492B" w14:textId="77777777" w:rsidR="009561A2" w:rsidRPr="00AD0493" w:rsidRDefault="00AD0493"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3,569</w:t>
            </w:r>
          </w:p>
        </w:tc>
        <w:tc>
          <w:tcPr>
            <w:tcW w:w="809" w:type="dxa"/>
            <w:tcBorders>
              <w:top w:val="nil"/>
              <w:left w:val="nil"/>
              <w:bottom w:val="single" w:sz="4" w:space="0" w:color="auto"/>
              <w:right w:val="single" w:sz="4" w:space="0" w:color="auto"/>
            </w:tcBorders>
            <w:shd w:val="clear" w:color="auto" w:fill="C2D69B" w:themeFill="accent3" w:themeFillTint="99"/>
            <w:hideMark/>
          </w:tcPr>
          <w:p w14:paraId="7755B0EA"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0,237</w:t>
            </w:r>
          </w:p>
        </w:tc>
        <w:tc>
          <w:tcPr>
            <w:tcW w:w="851" w:type="dxa"/>
            <w:tcBorders>
              <w:top w:val="nil"/>
              <w:left w:val="nil"/>
              <w:bottom w:val="single" w:sz="4" w:space="0" w:color="auto"/>
              <w:right w:val="single" w:sz="4" w:space="0" w:color="auto"/>
            </w:tcBorders>
            <w:shd w:val="clear" w:color="auto" w:fill="C2D69B" w:themeFill="accent3" w:themeFillTint="99"/>
            <w:hideMark/>
          </w:tcPr>
          <w:p w14:paraId="2D70E6FD"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708" w:type="dxa"/>
            <w:tcBorders>
              <w:top w:val="nil"/>
              <w:left w:val="nil"/>
              <w:bottom w:val="single" w:sz="4" w:space="0" w:color="auto"/>
              <w:right w:val="single" w:sz="4" w:space="0" w:color="auto"/>
            </w:tcBorders>
            <w:shd w:val="clear" w:color="auto" w:fill="C2D69B" w:themeFill="accent3" w:themeFillTint="99"/>
            <w:hideMark/>
          </w:tcPr>
          <w:p w14:paraId="5F5A33A0"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227B786A"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0,259</w:t>
            </w:r>
          </w:p>
        </w:tc>
        <w:tc>
          <w:tcPr>
            <w:tcW w:w="850" w:type="dxa"/>
            <w:tcBorders>
              <w:top w:val="nil"/>
              <w:left w:val="nil"/>
              <w:bottom w:val="single" w:sz="4" w:space="0" w:color="auto"/>
              <w:right w:val="single" w:sz="4" w:space="0" w:color="auto"/>
            </w:tcBorders>
            <w:shd w:val="clear" w:color="auto" w:fill="C2D69B" w:themeFill="accent3" w:themeFillTint="99"/>
            <w:hideMark/>
          </w:tcPr>
          <w:p w14:paraId="75C73493"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7638E2D6" w14:textId="77777777" w:rsidR="009561A2" w:rsidRPr="00AD0493" w:rsidRDefault="00AD0493"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3,073</w:t>
            </w:r>
          </w:p>
        </w:tc>
        <w:tc>
          <w:tcPr>
            <w:tcW w:w="850" w:type="dxa"/>
            <w:tcBorders>
              <w:top w:val="nil"/>
              <w:left w:val="nil"/>
              <w:bottom w:val="single" w:sz="4" w:space="0" w:color="auto"/>
              <w:right w:val="single" w:sz="4" w:space="0" w:color="auto"/>
            </w:tcBorders>
            <w:shd w:val="clear" w:color="auto" w:fill="C2D69B" w:themeFill="accent3" w:themeFillTint="99"/>
            <w:hideMark/>
          </w:tcPr>
          <w:p w14:paraId="7F631A42" w14:textId="77777777" w:rsidR="009561A2" w:rsidRPr="00AD0493" w:rsidRDefault="00AD0493"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0,636</w:t>
            </w:r>
          </w:p>
        </w:tc>
        <w:tc>
          <w:tcPr>
            <w:tcW w:w="851" w:type="dxa"/>
            <w:tcBorders>
              <w:top w:val="nil"/>
              <w:left w:val="nil"/>
              <w:bottom w:val="single" w:sz="4" w:space="0" w:color="auto"/>
              <w:right w:val="single" w:sz="4" w:space="0" w:color="auto"/>
            </w:tcBorders>
            <w:shd w:val="clear" w:color="auto" w:fill="C2D69B" w:themeFill="accent3" w:themeFillTint="99"/>
            <w:hideMark/>
          </w:tcPr>
          <w:p w14:paraId="17F3532F" w14:textId="77777777" w:rsidR="009561A2" w:rsidRPr="00AD0493" w:rsidRDefault="00AD0493"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0,123</w:t>
            </w:r>
          </w:p>
        </w:tc>
        <w:tc>
          <w:tcPr>
            <w:tcW w:w="850" w:type="dxa"/>
            <w:tcBorders>
              <w:top w:val="nil"/>
              <w:left w:val="nil"/>
              <w:bottom w:val="single" w:sz="4" w:space="0" w:color="auto"/>
              <w:right w:val="single" w:sz="4" w:space="0" w:color="auto"/>
            </w:tcBorders>
            <w:shd w:val="clear" w:color="auto" w:fill="C2D69B" w:themeFill="accent3" w:themeFillTint="99"/>
            <w:hideMark/>
          </w:tcPr>
          <w:p w14:paraId="6CCAF9A1" w14:textId="77777777" w:rsidR="009561A2" w:rsidRPr="00AD0493" w:rsidRDefault="00AD0493"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1,911</w:t>
            </w:r>
          </w:p>
        </w:tc>
        <w:tc>
          <w:tcPr>
            <w:tcW w:w="851" w:type="dxa"/>
            <w:tcBorders>
              <w:top w:val="nil"/>
              <w:left w:val="nil"/>
              <w:bottom w:val="single" w:sz="4" w:space="0" w:color="auto"/>
              <w:right w:val="single" w:sz="4" w:space="0" w:color="auto"/>
            </w:tcBorders>
            <w:shd w:val="clear" w:color="auto" w:fill="C2D69B" w:themeFill="accent3" w:themeFillTint="99"/>
            <w:hideMark/>
          </w:tcPr>
          <w:p w14:paraId="41D7813C"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0,746</w:t>
            </w:r>
          </w:p>
        </w:tc>
        <w:tc>
          <w:tcPr>
            <w:tcW w:w="709" w:type="dxa"/>
            <w:tcBorders>
              <w:top w:val="nil"/>
              <w:left w:val="nil"/>
              <w:bottom w:val="single" w:sz="4" w:space="0" w:color="auto"/>
              <w:right w:val="single" w:sz="4" w:space="0" w:color="auto"/>
            </w:tcBorders>
            <w:shd w:val="clear" w:color="auto" w:fill="C2D69B" w:themeFill="accent3" w:themeFillTint="99"/>
            <w:hideMark/>
          </w:tcPr>
          <w:p w14:paraId="0385BC6F"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0,153</w:t>
            </w:r>
          </w:p>
        </w:tc>
        <w:tc>
          <w:tcPr>
            <w:tcW w:w="850" w:type="dxa"/>
            <w:tcBorders>
              <w:top w:val="nil"/>
              <w:left w:val="nil"/>
              <w:bottom w:val="single" w:sz="4" w:space="0" w:color="auto"/>
              <w:right w:val="single" w:sz="4" w:space="0" w:color="auto"/>
            </w:tcBorders>
            <w:shd w:val="clear" w:color="auto" w:fill="C2D69B" w:themeFill="accent3" w:themeFillTint="99"/>
            <w:hideMark/>
          </w:tcPr>
          <w:p w14:paraId="3C9A9570"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r>
      <w:tr w:rsidR="009D03C3" w:rsidRPr="00AD0493" w:rsidDel="00D95A3B" w14:paraId="0D7AF3A7" w14:textId="77777777" w:rsidTr="009D03C3">
        <w:tc>
          <w:tcPr>
            <w:tcW w:w="872" w:type="dxa"/>
            <w:tcBorders>
              <w:top w:val="nil"/>
              <w:left w:val="single" w:sz="4" w:space="0" w:color="auto"/>
              <w:bottom w:val="single" w:sz="4" w:space="0" w:color="auto"/>
              <w:right w:val="single" w:sz="4" w:space="0" w:color="auto"/>
            </w:tcBorders>
            <w:shd w:val="clear" w:color="auto" w:fill="auto"/>
            <w:noWrap/>
          </w:tcPr>
          <w:p w14:paraId="3A42AFDF" w14:textId="77777777" w:rsidR="00D95A3B" w:rsidRPr="00AD0493" w:rsidDel="00D95A3B" w:rsidRDefault="00D95A3B"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Z101</w:t>
            </w:r>
          </w:p>
        </w:tc>
        <w:tc>
          <w:tcPr>
            <w:tcW w:w="3453" w:type="dxa"/>
            <w:tcBorders>
              <w:top w:val="nil"/>
              <w:left w:val="nil"/>
              <w:bottom w:val="single" w:sz="4" w:space="0" w:color="auto"/>
              <w:right w:val="single" w:sz="4" w:space="0" w:color="auto"/>
            </w:tcBorders>
            <w:shd w:val="clear" w:color="auto" w:fill="auto"/>
            <w:noWrap/>
          </w:tcPr>
          <w:p w14:paraId="2B61DB26" w14:textId="77777777" w:rsidR="00D95A3B" w:rsidRPr="00AD0493" w:rsidDel="00D95A3B" w:rsidRDefault="00D95A3B" w:rsidP="00F32B0C">
            <w:pPr>
              <w:spacing w:before="20" w:after="20" w:line="240" w:lineRule="auto"/>
              <w:jc w:val="left"/>
              <w:rPr>
                <w:rFonts w:eastAsia="Times New Roman"/>
                <w:color w:val="000000"/>
                <w:sz w:val="20"/>
                <w:szCs w:val="20"/>
                <w:lang w:eastAsia="cs-CZ"/>
              </w:rPr>
            </w:pPr>
            <w:r w:rsidRPr="00AD0493">
              <w:rPr>
                <w:rFonts w:eastAsia="Times New Roman"/>
                <w:color w:val="000000"/>
                <w:sz w:val="20"/>
                <w:szCs w:val="20"/>
                <w:lang w:eastAsia="cs-CZ"/>
              </w:rPr>
              <w:t>VZ - zemědělská výroba</w:t>
            </w:r>
          </w:p>
        </w:tc>
        <w:tc>
          <w:tcPr>
            <w:tcW w:w="961" w:type="dxa"/>
            <w:tcBorders>
              <w:top w:val="nil"/>
              <w:left w:val="nil"/>
              <w:bottom w:val="single" w:sz="4" w:space="0" w:color="auto"/>
              <w:right w:val="single" w:sz="4" w:space="0" w:color="auto"/>
            </w:tcBorders>
            <w:shd w:val="clear" w:color="auto" w:fill="auto"/>
          </w:tcPr>
          <w:p w14:paraId="6421122D" w14:textId="77777777" w:rsidR="00D95A3B" w:rsidRPr="00AD0493" w:rsidDel="00D95A3B" w:rsidRDefault="00AD0493" w:rsidP="00F32B0C">
            <w:pPr>
              <w:spacing w:before="20" w:after="20" w:line="240" w:lineRule="auto"/>
              <w:jc w:val="right"/>
              <w:rPr>
                <w:rFonts w:eastAsia="Times New Roman"/>
                <w:sz w:val="20"/>
                <w:szCs w:val="20"/>
                <w:lang w:eastAsia="cs-CZ"/>
              </w:rPr>
            </w:pPr>
            <w:r w:rsidRPr="00AD0493">
              <w:rPr>
                <w:rFonts w:eastAsia="Times New Roman"/>
                <w:sz w:val="20"/>
                <w:szCs w:val="20"/>
                <w:lang w:eastAsia="cs-CZ"/>
              </w:rPr>
              <w:t>4,281</w:t>
            </w:r>
          </w:p>
        </w:tc>
        <w:tc>
          <w:tcPr>
            <w:tcW w:w="809" w:type="dxa"/>
            <w:tcBorders>
              <w:top w:val="nil"/>
              <w:left w:val="nil"/>
              <w:bottom w:val="single" w:sz="4" w:space="0" w:color="auto"/>
              <w:right w:val="single" w:sz="4" w:space="0" w:color="auto"/>
            </w:tcBorders>
            <w:shd w:val="clear" w:color="auto" w:fill="auto"/>
            <w:noWrap/>
          </w:tcPr>
          <w:p w14:paraId="63C32C3A" w14:textId="77777777" w:rsidR="00D95A3B" w:rsidRPr="00AD0493" w:rsidDel="00D95A3B" w:rsidRDefault="00AD0493" w:rsidP="00F32B0C">
            <w:pPr>
              <w:spacing w:before="20" w:after="20" w:line="240" w:lineRule="auto"/>
              <w:jc w:val="right"/>
              <w:rPr>
                <w:rFonts w:eastAsia="Times New Roman"/>
                <w:color w:val="000000"/>
                <w:sz w:val="20"/>
                <w:szCs w:val="20"/>
                <w:lang w:eastAsia="cs-CZ"/>
              </w:rPr>
            </w:pPr>
            <w:r w:rsidRPr="00AD0493">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tcPr>
          <w:p w14:paraId="51848BC7" w14:textId="77777777" w:rsidR="00D95A3B" w:rsidRPr="00AD0493" w:rsidDel="00D95A3B" w:rsidRDefault="00AD0493" w:rsidP="00F32B0C">
            <w:pPr>
              <w:spacing w:before="20" w:after="20" w:line="240" w:lineRule="auto"/>
              <w:jc w:val="right"/>
              <w:rPr>
                <w:rFonts w:eastAsia="Times New Roman"/>
                <w:sz w:val="20"/>
                <w:szCs w:val="20"/>
                <w:lang w:eastAsia="cs-CZ"/>
              </w:rPr>
            </w:pPr>
            <w:r w:rsidRPr="00AD0493">
              <w:rPr>
                <w:rFonts w:eastAsia="Times New Roman"/>
                <w:sz w:val="20"/>
                <w:szCs w:val="20"/>
                <w:lang w:eastAsia="cs-CZ"/>
              </w:rPr>
              <w:t>0,000</w:t>
            </w:r>
          </w:p>
        </w:tc>
        <w:tc>
          <w:tcPr>
            <w:tcW w:w="708" w:type="dxa"/>
            <w:tcBorders>
              <w:top w:val="nil"/>
              <w:left w:val="nil"/>
              <w:bottom w:val="single" w:sz="4" w:space="0" w:color="auto"/>
              <w:right w:val="single" w:sz="4" w:space="0" w:color="auto"/>
            </w:tcBorders>
            <w:shd w:val="clear" w:color="auto" w:fill="auto"/>
          </w:tcPr>
          <w:p w14:paraId="64F341E9" w14:textId="77777777" w:rsidR="00D95A3B" w:rsidRPr="00AD0493" w:rsidDel="00D95A3B" w:rsidRDefault="00AD0493" w:rsidP="00F32B0C">
            <w:pPr>
              <w:spacing w:before="20" w:after="20" w:line="240" w:lineRule="auto"/>
              <w:jc w:val="right"/>
              <w:rPr>
                <w:rFonts w:eastAsia="Times New Roman"/>
                <w:sz w:val="20"/>
                <w:szCs w:val="20"/>
                <w:lang w:eastAsia="cs-CZ"/>
              </w:rPr>
            </w:pPr>
            <w:r w:rsidRPr="00AD0493">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tcPr>
          <w:p w14:paraId="633461B5" w14:textId="77777777" w:rsidR="00D95A3B" w:rsidRPr="00AD0493" w:rsidDel="00D95A3B" w:rsidRDefault="00AD0493" w:rsidP="00F32B0C">
            <w:pPr>
              <w:spacing w:before="20" w:after="20" w:line="240" w:lineRule="auto"/>
              <w:jc w:val="right"/>
              <w:rPr>
                <w:rFonts w:eastAsia="Times New Roman"/>
                <w:color w:val="000000"/>
                <w:sz w:val="20"/>
                <w:szCs w:val="20"/>
                <w:lang w:eastAsia="cs-CZ"/>
              </w:rPr>
            </w:pPr>
            <w:r w:rsidRPr="00AD0493">
              <w:rPr>
                <w:rFonts w:eastAsia="Times New Roman"/>
                <w:sz w:val="20"/>
                <w:szCs w:val="20"/>
                <w:lang w:eastAsia="cs-CZ"/>
              </w:rPr>
              <w:t>0,893</w:t>
            </w:r>
          </w:p>
        </w:tc>
        <w:tc>
          <w:tcPr>
            <w:tcW w:w="850" w:type="dxa"/>
            <w:tcBorders>
              <w:top w:val="nil"/>
              <w:left w:val="nil"/>
              <w:bottom w:val="single" w:sz="4" w:space="0" w:color="auto"/>
              <w:right w:val="single" w:sz="4" w:space="0" w:color="auto"/>
            </w:tcBorders>
            <w:shd w:val="clear" w:color="auto" w:fill="auto"/>
            <w:noWrap/>
          </w:tcPr>
          <w:p w14:paraId="6B954354" w14:textId="77777777" w:rsidR="00D95A3B" w:rsidRPr="00AD0493" w:rsidDel="00D95A3B" w:rsidRDefault="00AD0493" w:rsidP="00F32B0C">
            <w:pPr>
              <w:spacing w:before="20" w:after="20" w:line="240" w:lineRule="auto"/>
              <w:jc w:val="right"/>
              <w:rPr>
                <w:rFonts w:eastAsia="Times New Roman"/>
                <w:color w:val="000000"/>
                <w:sz w:val="20"/>
                <w:szCs w:val="20"/>
                <w:lang w:eastAsia="cs-CZ"/>
              </w:rPr>
            </w:pPr>
            <w:r w:rsidRPr="00AD0493">
              <w:rPr>
                <w:rFonts w:eastAsia="Times New Roman"/>
                <w:sz w:val="20"/>
                <w:szCs w:val="20"/>
                <w:lang w:eastAsia="cs-CZ"/>
              </w:rPr>
              <w:t>0,000</w:t>
            </w:r>
          </w:p>
        </w:tc>
        <w:tc>
          <w:tcPr>
            <w:tcW w:w="851" w:type="dxa"/>
            <w:tcBorders>
              <w:top w:val="nil"/>
              <w:left w:val="nil"/>
              <w:bottom w:val="single" w:sz="4" w:space="0" w:color="auto"/>
              <w:right w:val="single" w:sz="4" w:space="0" w:color="auto"/>
            </w:tcBorders>
            <w:shd w:val="clear" w:color="auto" w:fill="auto"/>
            <w:noWrap/>
          </w:tcPr>
          <w:p w14:paraId="5844E0E7" w14:textId="77777777" w:rsidR="00D95A3B" w:rsidRPr="00AD0493" w:rsidDel="00D95A3B" w:rsidRDefault="00AD0493" w:rsidP="00F32B0C">
            <w:pPr>
              <w:spacing w:before="20" w:after="20" w:line="240" w:lineRule="auto"/>
              <w:jc w:val="right"/>
              <w:rPr>
                <w:rFonts w:eastAsia="Times New Roman"/>
                <w:color w:val="000000"/>
                <w:sz w:val="20"/>
                <w:szCs w:val="20"/>
                <w:lang w:eastAsia="cs-CZ"/>
              </w:rPr>
            </w:pPr>
            <w:r w:rsidRPr="00AD0493">
              <w:rPr>
                <w:rFonts w:eastAsia="Times New Roman"/>
                <w:sz w:val="20"/>
                <w:szCs w:val="20"/>
                <w:lang w:eastAsia="cs-CZ"/>
              </w:rPr>
              <w:t>3,388</w:t>
            </w:r>
          </w:p>
        </w:tc>
        <w:tc>
          <w:tcPr>
            <w:tcW w:w="850" w:type="dxa"/>
            <w:tcBorders>
              <w:top w:val="nil"/>
              <w:left w:val="nil"/>
              <w:bottom w:val="single" w:sz="4" w:space="0" w:color="auto"/>
              <w:right w:val="single" w:sz="4" w:space="0" w:color="auto"/>
            </w:tcBorders>
            <w:shd w:val="clear" w:color="auto" w:fill="auto"/>
          </w:tcPr>
          <w:p w14:paraId="6574F3A1" w14:textId="77777777" w:rsidR="00D95A3B" w:rsidRPr="00AD0493" w:rsidDel="00D95A3B" w:rsidRDefault="00AD0493" w:rsidP="00F32B0C">
            <w:pPr>
              <w:spacing w:before="20" w:after="20" w:line="240" w:lineRule="auto"/>
              <w:jc w:val="right"/>
              <w:rPr>
                <w:rFonts w:eastAsia="Times New Roman"/>
                <w:sz w:val="20"/>
                <w:szCs w:val="20"/>
                <w:lang w:eastAsia="cs-CZ"/>
              </w:rPr>
            </w:pPr>
            <w:r w:rsidRPr="00AD0493">
              <w:rPr>
                <w:rFonts w:eastAsia="Times New Roman"/>
                <w:sz w:val="20"/>
                <w:szCs w:val="20"/>
                <w:lang w:eastAsia="cs-CZ"/>
              </w:rPr>
              <w:t>0,019</w:t>
            </w:r>
          </w:p>
        </w:tc>
        <w:tc>
          <w:tcPr>
            <w:tcW w:w="851" w:type="dxa"/>
            <w:tcBorders>
              <w:top w:val="nil"/>
              <w:left w:val="nil"/>
              <w:bottom w:val="single" w:sz="4" w:space="0" w:color="auto"/>
              <w:right w:val="single" w:sz="4" w:space="0" w:color="auto"/>
            </w:tcBorders>
            <w:shd w:val="clear" w:color="auto" w:fill="auto"/>
            <w:noWrap/>
          </w:tcPr>
          <w:p w14:paraId="52B34F0A" w14:textId="77777777" w:rsidR="00D95A3B" w:rsidRPr="00AD0493" w:rsidDel="00D95A3B" w:rsidRDefault="00AD0493" w:rsidP="00F32B0C">
            <w:pPr>
              <w:spacing w:before="20" w:after="20" w:line="240" w:lineRule="auto"/>
              <w:jc w:val="right"/>
              <w:rPr>
                <w:rFonts w:eastAsia="Times New Roman"/>
                <w:color w:val="000000"/>
                <w:sz w:val="20"/>
                <w:szCs w:val="20"/>
                <w:lang w:eastAsia="cs-CZ"/>
              </w:rPr>
            </w:pPr>
            <w:r w:rsidRPr="00AD0493">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tcPr>
          <w:p w14:paraId="43EC0D85" w14:textId="77777777" w:rsidR="00D95A3B" w:rsidRPr="00AD0493" w:rsidDel="00D95A3B" w:rsidRDefault="00AD0493" w:rsidP="00F32B0C">
            <w:pPr>
              <w:spacing w:before="20" w:after="20" w:line="240" w:lineRule="auto"/>
              <w:jc w:val="right"/>
              <w:rPr>
                <w:rFonts w:eastAsia="Times New Roman"/>
                <w:sz w:val="20"/>
                <w:szCs w:val="20"/>
                <w:lang w:eastAsia="cs-CZ"/>
              </w:rPr>
            </w:pPr>
            <w:r w:rsidRPr="00AD0493">
              <w:rPr>
                <w:rFonts w:eastAsia="Times New Roman"/>
                <w:sz w:val="20"/>
                <w:szCs w:val="20"/>
                <w:lang w:eastAsia="cs-CZ"/>
              </w:rPr>
              <w:t>4,244</w:t>
            </w:r>
          </w:p>
        </w:tc>
        <w:tc>
          <w:tcPr>
            <w:tcW w:w="851" w:type="dxa"/>
            <w:tcBorders>
              <w:top w:val="nil"/>
              <w:left w:val="nil"/>
              <w:bottom w:val="single" w:sz="4" w:space="0" w:color="auto"/>
              <w:right w:val="single" w:sz="4" w:space="0" w:color="auto"/>
            </w:tcBorders>
            <w:shd w:val="clear" w:color="auto" w:fill="auto"/>
            <w:noWrap/>
          </w:tcPr>
          <w:p w14:paraId="51CF8DD1" w14:textId="77777777" w:rsidR="00D95A3B" w:rsidRPr="00AD0493" w:rsidDel="00D95A3B" w:rsidRDefault="00AD0493" w:rsidP="00F32B0C">
            <w:pPr>
              <w:spacing w:before="20" w:after="20" w:line="240" w:lineRule="auto"/>
              <w:jc w:val="right"/>
              <w:rPr>
                <w:rFonts w:eastAsia="Times New Roman"/>
                <w:color w:val="000000"/>
                <w:sz w:val="20"/>
                <w:szCs w:val="20"/>
                <w:lang w:eastAsia="cs-CZ"/>
              </w:rPr>
            </w:pPr>
            <w:r w:rsidRPr="00AD0493">
              <w:rPr>
                <w:rFonts w:eastAsia="Times New Roman"/>
                <w:sz w:val="20"/>
                <w:szCs w:val="20"/>
                <w:lang w:eastAsia="cs-CZ"/>
              </w:rPr>
              <w:t>0,018</w:t>
            </w:r>
          </w:p>
        </w:tc>
        <w:tc>
          <w:tcPr>
            <w:tcW w:w="709" w:type="dxa"/>
            <w:tcBorders>
              <w:top w:val="nil"/>
              <w:left w:val="nil"/>
              <w:bottom w:val="single" w:sz="4" w:space="0" w:color="auto"/>
              <w:right w:val="single" w:sz="4" w:space="0" w:color="auto"/>
            </w:tcBorders>
            <w:shd w:val="clear" w:color="auto" w:fill="auto"/>
          </w:tcPr>
          <w:p w14:paraId="22807759" w14:textId="77777777" w:rsidR="00D95A3B" w:rsidRPr="00AD0493" w:rsidDel="00D95A3B" w:rsidRDefault="00AD0493" w:rsidP="00F32B0C">
            <w:pPr>
              <w:spacing w:before="20" w:after="20" w:line="240" w:lineRule="auto"/>
              <w:jc w:val="right"/>
              <w:rPr>
                <w:rFonts w:eastAsia="Times New Roman"/>
                <w:sz w:val="20"/>
                <w:szCs w:val="20"/>
                <w:lang w:eastAsia="cs-CZ"/>
              </w:rPr>
            </w:pPr>
            <w:r w:rsidRPr="00AD0493">
              <w:rPr>
                <w:rFonts w:eastAsia="Times New Roman"/>
                <w:sz w:val="20"/>
                <w:szCs w:val="20"/>
                <w:lang w:eastAsia="cs-CZ"/>
              </w:rPr>
              <w:t>0,000</w:t>
            </w:r>
          </w:p>
        </w:tc>
        <w:tc>
          <w:tcPr>
            <w:tcW w:w="850" w:type="dxa"/>
            <w:tcBorders>
              <w:top w:val="nil"/>
              <w:left w:val="nil"/>
              <w:bottom w:val="single" w:sz="4" w:space="0" w:color="auto"/>
              <w:right w:val="single" w:sz="4" w:space="0" w:color="auto"/>
            </w:tcBorders>
            <w:shd w:val="clear" w:color="auto" w:fill="auto"/>
          </w:tcPr>
          <w:p w14:paraId="356F64CE" w14:textId="77777777" w:rsidR="00D95A3B" w:rsidRPr="00AD0493" w:rsidDel="00D95A3B" w:rsidRDefault="00AD0493" w:rsidP="00F32B0C">
            <w:pPr>
              <w:spacing w:before="20" w:after="20" w:line="240" w:lineRule="auto"/>
              <w:jc w:val="right"/>
              <w:rPr>
                <w:rFonts w:eastAsia="Times New Roman"/>
                <w:sz w:val="20"/>
                <w:szCs w:val="20"/>
                <w:lang w:eastAsia="cs-CZ"/>
              </w:rPr>
            </w:pPr>
            <w:r w:rsidRPr="00AD0493">
              <w:rPr>
                <w:rFonts w:eastAsia="Times New Roman"/>
                <w:sz w:val="20"/>
                <w:szCs w:val="20"/>
                <w:lang w:eastAsia="cs-CZ"/>
              </w:rPr>
              <w:t>0,000</w:t>
            </w:r>
          </w:p>
        </w:tc>
      </w:tr>
      <w:tr w:rsidR="009D03C3" w:rsidRPr="00AD0493" w14:paraId="521CB806" w14:textId="77777777" w:rsidTr="009D03C3">
        <w:tc>
          <w:tcPr>
            <w:tcW w:w="4325"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hideMark/>
          </w:tcPr>
          <w:p w14:paraId="40E205B7" w14:textId="77777777" w:rsidR="009561A2" w:rsidRPr="00AD0493" w:rsidRDefault="009561A2" w:rsidP="00F32B0C">
            <w:pPr>
              <w:spacing w:before="20" w:after="20" w:line="240" w:lineRule="auto"/>
              <w:jc w:val="left"/>
              <w:rPr>
                <w:rFonts w:eastAsia="Times New Roman"/>
                <w:b/>
                <w:bCs/>
                <w:sz w:val="20"/>
                <w:szCs w:val="20"/>
                <w:lang w:eastAsia="cs-CZ"/>
              </w:rPr>
            </w:pPr>
            <w:r w:rsidRPr="00AD0493">
              <w:rPr>
                <w:rFonts w:eastAsia="Times New Roman"/>
                <w:b/>
                <w:bCs/>
                <w:sz w:val="20"/>
                <w:szCs w:val="20"/>
                <w:lang w:eastAsia="cs-CZ"/>
              </w:rPr>
              <w:t>Plochy výroby celkem</w:t>
            </w:r>
          </w:p>
        </w:tc>
        <w:tc>
          <w:tcPr>
            <w:tcW w:w="961" w:type="dxa"/>
            <w:tcBorders>
              <w:top w:val="nil"/>
              <w:left w:val="nil"/>
              <w:bottom w:val="single" w:sz="4" w:space="0" w:color="auto"/>
              <w:right w:val="single" w:sz="4" w:space="0" w:color="auto"/>
            </w:tcBorders>
            <w:shd w:val="clear" w:color="auto" w:fill="C2D69B" w:themeFill="accent3" w:themeFillTint="99"/>
            <w:hideMark/>
          </w:tcPr>
          <w:p w14:paraId="3A02123A" w14:textId="77777777" w:rsidR="009561A2" w:rsidRPr="00AD0493" w:rsidRDefault="0010316F"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4,281</w:t>
            </w:r>
          </w:p>
        </w:tc>
        <w:tc>
          <w:tcPr>
            <w:tcW w:w="809" w:type="dxa"/>
            <w:tcBorders>
              <w:top w:val="nil"/>
              <w:left w:val="nil"/>
              <w:bottom w:val="single" w:sz="4" w:space="0" w:color="auto"/>
              <w:right w:val="single" w:sz="4" w:space="0" w:color="auto"/>
            </w:tcBorders>
            <w:shd w:val="clear" w:color="auto" w:fill="C2D69B" w:themeFill="accent3" w:themeFillTint="99"/>
            <w:hideMark/>
          </w:tcPr>
          <w:p w14:paraId="7C81FF40" w14:textId="77777777" w:rsidR="009561A2" w:rsidRPr="00AD0493" w:rsidRDefault="0010316F"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222A45B2"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708" w:type="dxa"/>
            <w:tcBorders>
              <w:top w:val="nil"/>
              <w:left w:val="nil"/>
              <w:bottom w:val="single" w:sz="4" w:space="0" w:color="auto"/>
              <w:right w:val="single" w:sz="4" w:space="0" w:color="auto"/>
            </w:tcBorders>
            <w:shd w:val="clear" w:color="auto" w:fill="C2D69B" w:themeFill="accent3" w:themeFillTint="99"/>
            <w:hideMark/>
          </w:tcPr>
          <w:p w14:paraId="4AC0727D"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53F5016C" w14:textId="77777777" w:rsidR="009561A2" w:rsidRPr="00AD0493" w:rsidRDefault="0010316F"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0,893</w:t>
            </w:r>
          </w:p>
        </w:tc>
        <w:tc>
          <w:tcPr>
            <w:tcW w:w="850" w:type="dxa"/>
            <w:tcBorders>
              <w:top w:val="nil"/>
              <w:left w:val="nil"/>
              <w:bottom w:val="single" w:sz="4" w:space="0" w:color="auto"/>
              <w:right w:val="single" w:sz="4" w:space="0" w:color="auto"/>
            </w:tcBorders>
            <w:shd w:val="clear" w:color="auto" w:fill="C2D69B" w:themeFill="accent3" w:themeFillTint="99"/>
            <w:hideMark/>
          </w:tcPr>
          <w:p w14:paraId="7944682B"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1" w:type="dxa"/>
            <w:tcBorders>
              <w:top w:val="nil"/>
              <w:left w:val="nil"/>
              <w:bottom w:val="single" w:sz="4" w:space="0" w:color="auto"/>
              <w:right w:val="single" w:sz="4" w:space="0" w:color="auto"/>
            </w:tcBorders>
            <w:shd w:val="clear" w:color="auto" w:fill="C2D69B" w:themeFill="accent3" w:themeFillTint="99"/>
            <w:hideMark/>
          </w:tcPr>
          <w:p w14:paraId="505D34F4" w14:textId="77777777" w:rsidR="009561A2" w:rsidRPr="00AD0493" w:rsidRDefault="0010316F"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3,388</w:t>
            </w:r>
          </w:p>
        </w:tc>
        <w:tc>
          <w:tcPr>
            <w:tcW w:w="850" w:type="dxa"/>
            <w:tcBorders>
              <w:top w:val="nil"/>
              <w:left w:val="nil"/>
              <w:bottom w:val="single" w:sz="4" w:space="0" w:color="auto"/>
              <w:right w:val="single" w:sz="4" w:space="0" w:color="auto"/>
            </w:tcBorders>
            <w:shd w:val="clear" w:color="auto" w:fill="C2D69B" w:themeFill="accent3" w:themeFillTint="99"/>
            <w:hideMark/>
          </w:tcPr>
          <w:p w14:paraId="22C54DE2" w14:textId="77777777" w:rsidR="009561A2" w:rsidRPr="00AD0493" w:rsidRDefault="0010316F"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0,019</w:t>
            </w:r>
          </w:p>
        </w:tc>
        <w:tc>
          <w:tcPr>
            <w:tcW w:w="851" w:type="dxa"/>
            <w:tcBorders>
              <w:top w:val="nil"/>
              <w:left w:val="nil"/>
              <w:bottom w:val="single" w:sz="4" w:space="0" w:color="auto"/>
              <w:right w:val="single" w:sz="4" w:space="0" w:color="auto"/>
            </w:tcBorders>
            <w:shd w:val="clear" w:color="auto" w:fill="C2D69B" w:themeFill="accent3" w:themeFillTint="99"/>
            <w:hideMark/>
          </w:tcPr>
          <w:p w14:paraId="06499765"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c>
          <w:tcPr>
            <w:tcW w:w="850" w:type="dxa"/>
            <w:tcBorders>
              <w:top w:val="nil"/>
              <w:left w:val="nil"/>
              <w:bottom w:val="single" w:sz="4" w:space="0" w:color="auto"/>
              <w:right w:val="single" w:sz="4" w:space="0" w:color="auto"/>
            </w:tcBorders>
            <w:shd w:val="clear" w:color="auto" w:fill="C2D69B" w:themeFill="accent3" w:themeFillTint="99"/>
            <w:hideMark/>
          </w:tcPr>
          <w:p w14:paraId="5041AB52" w14:textId="77777777" w:rsidR="009561A2" w:rsidRPr="00AD0493" w:rsidRDefault="0010316F"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4,244</w:t>
            </w:r>
          </w:p>
        </w:tc>
        <w:tc>
          <w:tcPr>
            <w:tcW w:w="851" w:type="dxa"/>
            <w:tcBorders>
              <w:top w:val="nil"/>
              <w:left w:val="nil"/>
              <w:bottom w:val="single" w:sz="4" w:space="0" w:color="auto"/>
              <w:right w:val="single" w:sz="4" w:space="0" w:color="auto"/>
            </w:tcBorders>
            <w:shd w:val="clear" w:color="auto" w:fill="C2D69B" w:themeFill="accent3" w:themeFillTint="99"/>
            <w:hideMark/>
          </w:tcPr>
          <w:p w14:paraId="02565A62" w14:textId="77777777" w:rsidR="009561A2" w:rsidRPr="00AD0493" w:rsidRDefault="0010316F"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0,018</w:t>
            </w:r>
          </w:p>
        </w:tc>
        <w:tc>
          <w:tcPr>
            <w:tcW w:w="709" w:type="dxa"/>
            <w:tcBorders>
              <w:top w:val="nil"/>
              <w:left w:val="nil"/>
              <w:bottom w:val="single" w:sz="4" w:space="0" w:color="auto"/>
              <w:right w:val="single" w:sz="4" w:space="0" w:color="auto"/>
            </w:tcBorders>
            <w:shd w:val="clear" w:color="auto" w:fill="C2D69B" w:themeFill="accent3" w:themeFillTint="99"/>
            <w:hideMark/>
          </w:tcPr>
          <w:p w14:paraId="45D6232A" w14:textId="77777777" w:rsidR="009561A2" w:rsidRPr="00AD0493" w:rsidRDefault="0010316F" w:rsidP="00F32B0C">
            <w:pPr>
              <w:spacing w:before="20" w:after="20" w:line="240" w:lineRule="auto"/>
              <w:jc w:val="right"/>
              <w:rPr>
                <w:rFonts w:eastAsia="Times New Roman"/>
                <w:b/>
                <w:bCs/>
                <w:sz w:val="20"/>
                <w:szCs w:val="20"/>
                <w:lang w:eastAsia="cs-CZ"/>
              </w:rPr>
            </w:pPr>
            <w:r>
              <w:rPr>
                <w:rFonts w:eastAsia="Times New Roman"/>
                <w:b/>
                <w:bCs/>
                <w:sz w:val="20"/>
                <w:szCs w:val="20"/>
                <w:lang w:eastAsia="cs-CZ"/>
              </w:rPr>
              <w:t>0,000</w:t>
            </w:r>
          </w:p>
        </w:tc>
        <w:tc>
          <w:tcPr>
            <w:tcW w:w="850" w:type="dxa"/>
            <w:tcBorders>
              <w:top w:val="nil"/>
              <w:left w:val="nil"/>
              <w:bottom w:val="single" w:sz="4" w:space="0" w:color="auto"/>
              <w:right w:val="single" w:sz="4" w:space="0" w:color="auto"/>
            </w:tcBorders>
            <w:shd w:val="clear" w:color="auto" w:fill="C2D69B" w:themeFill="accent3" w:themeFillTint="99"/>
            <w:hideMark/>
          </w:tcPr>
          <w:p w14:paraId="430FD9A0" w14:textId="77777777" w:rsidR="009561A2" w:rsidRPr="00AD0493" w:rsidRDefault="009561A2" w:rsidP="00F32B0C">
            <w:pPr>
              <w:spacing w:before="20" w:after="20" w:line="240" w:lineRule="auto"/>
              <w:jc w:val="right"/>
              <w:rPr>
                <w:rFonts w:eastAsia="Times New Roman"/>
                <w:b/>
                <w:bCs/>
                <w:sz w:val="20"/>
                <w:szCs w:val="20"/>
                <w:lang w:eastAsia="cs-CZ"/>
              </w:rPr>
            </w:pPr>
            <w:r w:rsidRPr="00AD0493">
              <w:rPr>
                <w:rFonts w:eastAsia="Times New Roman"/>
                <w:b/>
                <w:bCs/>
                <w:sz w:val="20"/>
                <w:szCs w:val="20"/>
                <w:lang w:eastAsia="cs-CZ"/>
              </w:rPr>
              <w:t>0,000</w:t>
            </w:r>
          </w:p>
        </w:tc>
      </w:tr>
      <w:tr w:rsidR="00EE305D" w:rsidRPr="00AD0493" w14:paraId="0BBF89B6" w14:textId="77777777" w:rsidTr="00EE305D">
        <w:tc>
          <w:tcPr>
            <w:tcW w:w="4325" w:type="dxa"/>
            <w:gridSpan w:val="2"/>
            <w:tcBorders>
              <w:top w:val="single" w:sz="4" w:space="0" w:color="auto"/>
              <w:left w:val="single" w:sz="4" w:space="0" w:color="auto"/>
              <w:bottom w:val="single" w:sz="4" w:space="0" w:color="auto"/>
              <w:right w:val="single" w:sz="4" w:space="0" w:color="000000"/>
            </w:tcBorders>
            <w:shd w:val="clear" w:color="auto" w:fill="76923C" w:themeFill="accent3" w:themeFillShade="BF"/>
          </w:tcPr>
          <w:p w14:paraId="32CCA369" w14:textId="77777777" w:rsidR="00EE305D" w:rsidRPr="00AD0493" w:rsidRDefault="00EE305D" w:rsidP="00F32B0C">
            <w:pPr>
              <w:spacing w:before="20" w:after="20" w:line="240" w:lineRule="auto"/>
              <w:jc w:val="left"/>
              <w:rPr>
                <w:rFonts w:eastAsia="Times New Roman"/>
                <w:b/>
                <w:bCs/>
                <w:sz w:val="20"/>
                <w:szCs w:val="20"/>
                <w:lang w:eastAsia="cs-CZ"/>
              </w:rPr>
            </w:pPr>
            <w:r w:rsidRPr="00E07170">
              <w:rPr>
                <w:rFonts w:eastAsia="Times New Roman"/>
                <w:b/>
                <w:bCs/>
                <w:color w:val="FFFFFF"/>
                <w:sz w:val="20"/>
                <w:szCs w:val="20"/>
                <w:lang w:eastAsia="cs-CZ"/>
              </w:rPr>
              <w:t>K.Ú. VÁCLAVICE U HRÁDKU NAD NISOU - ZÁBOR ZPF CELKEM</w:t>
            </w:r>
          </w:p>
        </w:tc>
        <w:tc>
          <w:tcPr>
            <w:tcW w:w="961" w:type="dxa"/>
            <w:tcBorders>
              <w:top w:val="nil"/>
              <w:left w:val="nil"/>
              <w:bottom w:val="single" w:sz="4" w:space="0" w:color="auto"/>
              <w:right w:val="single" w:sz="4" w:space="0" w:color="auto"/>
            </w:tcBorders>
            <w:shd w:val="clear" w:color="auto" w:fill="76923C" w:themeFill="accent3" w:themeFillShade="BF"/>
          </w:tcPr>
          <w:p w14:paraId="6FA5B5D4" w14:textId="77777777" w:rsidR="00EE305D" w:rsidRDefault="00EE305D" w:rsidP="00F32B0C">
            <w:pPr>
              <w:spacing w:before="20" w:after="20" w:line="240" w:lineRule="auto"/>
              <w:jc w:val="right"/>
              <w:rPr>
                <w:rFonts w:eastAsia="Times New Roman"/>
                <w:b/>
                <w:bCs/>
                <w:sz w:val="20"/>
                <w:szCs w:val="20"/>
                <w:lang w:eastAsia="cs-CZ"/>
              </w:rPr>
            </w:pPr>
            <w:r>
              <w:rPr>
                <w:rFonts w:eastAsia="Times New Roman"/>
                <w:b/>
                <w:bCs/>
                <w:color w:val="FFFFFF"/>
                <w:sz w:val="20"/>
                <w:szCs w:val="20"/>
                <w:lang w:eastAsia="cs-CZ"/>
              </w:rPr>
              <w:t>8,230</w:t>
            </w:r>
          </w:p>
        </w:tc>
        <w:tc>
          <w:tcPr>
            <w:tcW w:w="809" w:type="dxa"/>
            <w:tcBorders>
              <w:top w:val="nil"/>
              <w:left w:val="nil"/>
              <w:bottom w:val="single" w:sz="4" w:space="0" w:color="auto"/>
              <w:right w:val="single" w:sz="4" w:space="0" w:color="auto"/>
            </w:tcBorders>
            <w:shd w:val="clear" w:color="auto" w:fill="76923C" w:themeFill="accent3" w:themeFillShade="BF"/>
          </w:tcPr>
          <w:p w14:paraId="433D792E" w14:textId="77777777" w:rsidR="00EE305D" w:rsidRDefault="00EE305D" w:rsidP="00F32B0C">
            <w:pPr>
              <w:spacing w:before="20" w:after="20" w:line="240" w:lineRule="auto"/>
              <w:jc w:val="right"/>
              <w:rPr>
                <w:rFonts w:eastAsia="Times New Roman"/>
                <w:b/>
                <w:bCs/>
                <w:sz w:val="20"/>
                <w:szCs w:val="20"/>
                <w:lang w:eastAsia="cs-CZ"/>
              </w:rPr>
            </w:pPr>
            <w:r w:rsidRPr="00AD0493">
              <w:rPr>
                <w:rFonts w:eastAsia="Times New Roman"/>
                <w:b/>
                <w:bCs/>
                <w:color w:val="FFFFFF"/>
                <w:sz w:val="20"/>
                <w:szCs w:val="20"/>
                <w:lang w:eastAsia="cs-CZ"/>
              </w:rPr>
              <w:t>0,237</w:t>
            </w:r>
          </w:p>
        </w:tc>
        <w:tc>
          <w:tcPr>
            <w:tcW w:w="851" w:type="dxa"/>
            <w:tcBorders>
              <w:top w:val="nil"/>
              <w:left w:val="nil"/>
              <w:bottom w:val="single" w:sz="4" w:space="0" w:color="auto"/>
              <w:right w:val="single" w:sz="4" w:space="0" w:color="auto"/>
            </w:tcBorders>
            <w:shd w:val="clear" w:color="auto" w:fill="76923C" w:themeFill="accent3" w:themeFillShade="BF"/>
          </w:tcPr>
          <w:p w14:paraId="285EBA98" w14:textId="77777777" w:rsidR="00EE305D" w:rsidRPr="00AD0493" w:rsidRDefault="00EE305D" w:rsidP="00F32B0C">
            <w:pPr>
              <w:spacing w:before="20" w:after="20" w:line="240" w:lineRule="auto"/>
              <w:jc w:val="right"/>
              <w:rPr>
                <w:rFonts w:eastAsia="Times New Roman"/>
                <w:b/>
                <w:bCs/>
                <w:sz w:val="20"/>
                <w:szCs w:val="20"/>
                <w:lang w:eastAsia="cs-CZ"/>
              </w:rPr>
            </w:pPr>
            <w:r w:rsidRPr="00AD0493">
              <w:rPr>
                <w:rFonts w:eastAsia="Times New Roman"/>
                <w:b/>
                <w:bCs/>
                <w:color w:val="FFFFFF"/>
                <w:sz w:val="20"/>
                <w:szCs w:val="20"/>
                <w:lang w:eastAsia="cs-CZ"/>
              </w:rPr>
              <w:t>0,000</w:t>
            </w:r>
          </w:p>
        </w:tc>
        <w:tc>
          <w:tcPr>
            <w:tcW w:w="708" w:type="dxa"/>
            <w:tcBorders>
              <w:top w:val="nil"/>
              <w:left w:val="nil"/>
              <w:bottom w:val="single" w:sz="4" w:space="0" w:color="auto"/>
              <w:right w:val="single" w:sz="4" w:space="0" w:color="auto"/>
            </w:tcBorders>
            <w:shd w:val="clear" w:color="auto" w:fill="76923C" w:themeFill="accent3" w:themeFillShade="BF"/>
          </w:tcPr>
          <w:p w14:paraId="55292DBD" w14:textId="77777777" w:rsidR="00EE305D" w:rsidRPr="00AD0493" w:rsidRDefault="00EE305D" w:rsidP="00F32B0C">
            <w:pPr>
              <w:spacing w:before="20" w:after="20" w:line="240" w:lineRule="auto"/>
              <w:jc w:val="right"/>
              <w:rPr>
                <w:rFonts w:eastAsia="Times New Roman"/>
                <w:b/>
                <w:bCs/>
                <w:sz w:val="20"/>
                <w:szCs w:val="20"/>
                <w:lang w:eastAsia="cs-CZ"/>
              </w:rPr>
            </w:pPr>
            <w:r w:rsidRPr="00AD0493">
              <w:rPr>
                <w:rFonts w:eastAsia="Times New Roman"/>
                <w:b/>
                <w:bCs/>
                <w:color w:val="FFFFFF"/>
                <w:sz w:val="20"/>
                <w:szCs w:val="20"/>
                <w:lang w:eastAsia="cs-CZ"/>
              </w:rPr>
              <w:t>0,000</w:t>
            </w:r>
          </w:p>
        </w:tc>
        <w:tc>
          <w:tcPr>
            <w:tcW w:w="851" w:type="dxa"/>
            <w:tcBorders>
              <w:top w:val="nil"/>
              <w:left w:val="nil"/>
              <w:bottom w:val="single" w:sz="4" w:space="0" w:color="auto"/>
              <w:right w:val="single" w:sz="4" w:space="0" w:color="auto"/>
            </w:tcBorders>
            <w:shd w:val="clear" w:color="auto" w:fill="76923C" w:themeFill="accent3" w:themeFillShade="BF"/>
          </w:tcPr>
          <w:p w14:paraId="27CC814E" w14:textId="77777777" w:rsidR="00EE305D" w:rsidRDefault="00EE305D" w:rsidP="00F32B0C">
            <w:pPr>
              <w:spacing w:before="20" w:after="20" w:line="240" w:lineRule="auto"/>
              <w:jc w:val="right"/>
              <w:rPr>
                <w:rFonts w:eastAsia="Times New Roman"/>
                <w:b/>
                <w:bCs/>
                <w:sz w:val="20"/>
                <w:szCs w:val="20"/>
                <w:lang w:eastAsia="cs-CZ"/>
              </w:rPr>
            </w:pPr>
            <w:r>
              <w:rPr>
                <w:rFonts w:eastAsia="Times New Roman"/>
                <w:b/>
                <w:bCs/>
                <w:color w:val="FFFFFF"/>
                <w:sz w:val="20"/>
                <w:szCs w:val="20"/>
                <w:lang w:eastAsia="cs-CZ"/>
              </w:rPr>
              <w:t>1,258</w:t>
            </w:r>
          </w:p>
        </w:tc>
        <w:tc>
          <w:tcPr>
            <w:tcW w:w="850" w:type="dxa"/>
            <w:tcBorders>
              <w:top w:val="nil"/>
              <w:left w:val="nil"/>
              <w:bottom w:val="single" w:sz="4" w:space="0" w:color="auto"/>
              <w:right w:val="single" w:sz="4" w:space="0" w:color="auto"/>
            </w:tcBorders>
            <w:shd w:val="clear" w:color="auto" w:fill="76923C" w:themeFill="accent3" w:themeFillShade="BF"/>
          </w:tcPr>
          <w:p w14:paraId="6B895869" w14:textId="77777777" w:rsidR="00EE305D" w:rsidRPr="00AD0493" w:rsidRDefault="00EE305D" w:rsidP="00F32B0C">
            <w:pPr>
              <w:spacing w:before="20" w:after="20" w:line="240" w:lineRule="auto"/>
              <w:jc w:val="right"/>
              <w:rPr>
                <w:rFonts w:eastAsia="Times New Roman"/>
                <w:b/>
                <w:bCs/>
                <w:sz w:val="20"/>
                <w:szCs w:val="20"/>
                <w:lang w:eastAsia="cs-CZ"/>
              </w:rPr>
            </w:pPr>
            <w:r w:rsidRPr="00AD0493">
              <w:rPr>
                <w:rFonts w:eastAsia="Times New Roman"/>
                <w:b/>
                <w:bCs/>
                <w:color w:val="FFFFFF"/>
                <w:sz w:val="20"/>
                <w:szCs w:val="20"/>
                <w:lang w:eastAsia="cs-CZ"/>
              </w:rPr>
              <w:t>0,000</w:t>
            </w:r>
          </w:p>
        </w:tc>
        <w:tc>
          <w:tcPr>
            <w:tcW w:w="851" w:type="dxa"/>
            <w:tcBorders>
              <w:top w:val="nil"/>
              <w:left w:val="nil"/>
              <w:bottom w:val="single" w:sz="4" w:space="0" w:color="auto"/>
              <w:right w:val="single" w:sz="4" w:space="0" w:color="auto"/>
            </w:tcBorders>
            <w:shd w:val="clear" w:color="auto" w:fill="76923C" w:themeFill="accent3" w:themeFillShade="BF"/>
          </w:tcPr>
          <w:p w14:paraId="0F11B480" w14:textId="77777777" w:rsidR="00EE305D" w:rsidRDefault="00EE305D" w:rsidP="00F32B0C">
            <w:pPr>
              <w:spacing w:before="20" w:after="20" w:line="240" w:lineRule="auto"/>
              <w:jc w:val="right"/>
              <w:rPr>
                <w:rFonts w:eastAsia="Times New Roman"/>
                <w:b/>
                <w:bCs/>
                <w:sz w:val="20"/>
                <w:szCs w:val="20"/>
                <w:lang w:eastAsia="cs-CZ"/>
              </w:rPr>
            </w:pPr>
            <w:r>
              <w:rPr>
                <w:rFonts w:eastAsia="Times New Roman"/>
                <w:b/>
                <w:bCs/>
                <w:color w:val="FFFFFF"/>
                <w:sz w:val="20"/>
                <w:szCs w:val="20"/>
                <w:lang w:eastAsia="cs-CZ"/>
              </w:rPr>
              <w:t>6,735</w:t>
            </w:r>
          </w:p>
        </w:tc>
        <w:tc>
          <w:tcPr>
            <w:tcW w:w="850" w:type="dxa"/>
            <w:tcBorders>
              <w:top w:val="nil"/>
              <w:left w:val="nil"/>
              <w:bottom w:val="single" w:sz="4" w:space="0" w:color="auto"/>
              <w:right w:val="single" w:sz="4" w:space="0" w:color="auto"/>
            </w:tcBorders>
            <w:shd w:val="clear" w:color="auto" w:fill="76923C" w:themeFill="accent3" w:themeFillShade="BF"/>
          </w:tcPr>
          <w:p w14:paraId="35464BD2" w14:textId="77777777" w:rsidR="00EE305D" w:rsidRDefault="00EE305D" w:rsidP="00F32B0C">
            <w:pPr>
              <w:spacing w:before="20" w:after="20" w:line="240" w:lineRule="auto"/>
              <w:jc w:val="right"/>
              <w:rPr>
                <w:rFonts w:eastAsia="Times New Roman"/>
                <w:b/>
                <w:bCs/>
                <w:sz w:val="20"/>
                <w:szCs w:val="20"/>
                <w:lang w:eastAsia="cs-CZ"/>
              </w:rPr>
            </w:pPr>
            <w:r>
              <w:rPr>
                <w:rFonts w:eastAsia="Times New Roman"/>
                <w:b/>
                <w:bCs/>
                <w:color w:val="FFFFFF"/>
                <w:sz w:val="20"/>
                <w:szCs w:val="20"/>
                <w:lang w:eastAsia="cs-CZ"/>
              </w:rPr>
              <w:t>0,655</w:t>
            </w:r>
          </w:p>
        </w:tc>
        <w:tc>
          <w:tcPr>
            <w:tcW w:w="851" w:type="dxa"/>
            <w:tcBorders>
              <w:top w:val="nil"/>
              <w:left w:val="nil"/>
              <w:bottom w:val="single" w:sz="4" w:space="0" w:color="auto"/>
              <w:right w:val="single" w:sz="4" w:space="0" w:color="auto"/>
            </w:tcBorders>
            <w:shd w:val="clear" w:color="auto" w:fill="76923C" w:themeFill="accent3" w:themeFillShade="BF"/>
          </w:tcPr>
          <w:p w14:paraId="64D78F67" w14:textId="77777777" w:rsidR="00EE305D" w:rsidRPr="00AD0493" w:rsidRDefault="00EE305D" w:rsidP="00F32B0C">
            <w:pPr>
              <w:spacing w:before="20" w:after="20" w:line="240" w:lineRule="auto"/>
              <w:jc w:val="right"/>
              <w:rPr>
                <w:rFonts w:eastAsia="Times New Roman"/>
                <w:b/>
                <w:bCs/>
                <w:sz w:val="20"/>
                <w:szCs w:val="20"/>
                <w:lang w:eastAsia="cs-CZ"/>
              </w:rPr>
            </w:pPr>
            <w:r>
              <w:rPr>
                <w:rFonts w:eastAsia="Times New Roman"/>
                <w:b/>
                <w:bCs/>
                <w:color w:val="FFFFFF"/>
                <w:sz w:val="20"/>
                <w:szCs w:val="20"/>
                <w:lang w:eastAsia="cs-CZ"/>
              </w:rPr>
              <w:t>0,503</w:t>
            </w:r>
          </w:p>
        </w:tc>
        <w:tc>
          <w:tcPr>
            <w:tcW w:w="850" w:type="dxa"/>
            <w:tcBorders>
              <w:top w:val="nil"/>
              <w:left w:val="nil"/>
              <w:bottom w:val="single" w:sz="4" w:space="0" w:color="auto"/>
              <w:right w:val="single" w:sz="4" w:space="0" w:color="auto"/>
            </w:tcBorders>
            <w:shd w:val="clear" w:color="auto" w:fill="76923C" w:themeFill="accent3" w:themeFillShade="BF"/>
          </w:tcPr>
          <w:p w14:paraId="3CA553A3" w14:textId="77777777" w:rsidR="00EE305D" w:rsidRDefault="00EE305D" w:rsidP="00F32B0C">
            <w:pPr>
              <w:spacing w:before="20" w:after="20" w:line="240" w:lineRule="auto"/>
              <w:jc w:val="right"/>
              <w:rPr>
                <w:rFonts w:eastAsia="Times New Roman"/>
                <w:b/>
                <w:bCs/>
                <w:sz w:val="20"/>
                <w:szCs w:val="20"/>
                <w:lang w:eastAsia="cs-CZ"/>
              </w:rPr>
            </w:pPr>
            <w:r>
              <w:rPr>
                <w:rFonts w:eastAsia="Times New Roman"/>
                <w:b/>
                <w:bCs/>
                <w:color w:val="FFFFFF"/>
                <w:sz w:val="20"/>
                <w:szCs w:val="20"/>
                <w:lang w:eastAsia="cs-CZ"/>
              </w:rPr>
              <w:t>6,155</w:t>
            </w:r>
          </w:p>
        </w:tc>
        <w:tc>
          <w:tcPr>
            <w:tcW w:w="851" w:type="dxa"/>
            <w:tcBorders>
              <w:top w:val="nil"/>
              <w:left w:val="nil"/>
              <w:bottom w:val="single" w:sz="4" w:space="0" w:color="auto"/>
              <w:right w:val="single" w:sz="4" w:space="0" w:color="auto"/>
            </w:tcBorders>
            <w:shd w:val="clear" w:color="auto" w:fill="76923C" w:themeFill="accent3" w:themeFillShade="BF"/>
          </w:tcPr>
          <w:p w14:paraId="2D86594D" w14:textId="77777777" w:rsidR="00EE305D" w:rsidRDefault="00EE305D" w:rsidP="00F32B0C">
            <w:pPr>
              <w:spacing w:before="20" w:after="20" w:line="240" w:lineRule="auto"/>
              <w:jc w:val="right"/>
              <w:rPr>
                <w:rFonts w:eastAsia="Times New Roman"/>
                <w:b/>
                <w:bCs/>
                <w:sz w:val="20"/>
                <w:szCs w:val="20"/>
                <w:lang w:eastAsia="cs-CZ"/>
              </w:rPr>
            </w:pPr>
            <w:r>
              <w:rPr>
                <w:rFonts w:eastAsia="Times New Roman"/>
                <w:b/>
                <w:bCs/>
                <w:color w:val="FFFFFF"/>
                <w:sz w:val="20"/>
                <w:szCs w:val="20"/>
                <w:lang w:eastAsia="cs-CZ"/>
              </w:rPr>
              <w:t>0,764</w:t>
            </w:r>
          </w:p>
        </w:tc>
        <w:tc>
          <w:tcPr>
            <w:tcW w:w="709" w:type="dxa"/>
            <w:tcBorders>
              <w:top w:val="nil"/>
              <w:left w:val="nil"/>
              <w:bottom w:val="single" w:sz="4" w:space="0" w:color="auto"/>
              <w:right w:val="single" w:sz="4" w:space="0" w:color="auto"/>
            </w:tcBorders>
            <w:shd w:val="clear" w:color="auto" w:fill="76923C" w:themeFill="accent3" w:themeFillShade="BF"/>
          </w:tcPr>
          <w:p w14:paraId="161CA495" w14:textId="77777777" w:rsidR="00EE305D" w:rsidRDefault="00EE305D" w:rsidP="00F32B0C">
            <w:pPr>
              <w:spacing w:before="20" w:after="20" w:line="240" w:lineRule="auto"/>
              <w:jc w:val="right"/>
              <w:rPr>
                <w:rFonts w:eastAsia="Times New Roman"/>
                <w:b/>
                <w:bCs/>
                <w:sz w:val="20"/>
                <w:szCs w:val="20"/>
                <w:lang w:eastAsia="cs-CZ"/>
              </w:rPr>
            </w:pPr>
            <w:r w:rsidRPr="00AD0493">
              <w:rPr>
                <w:rFonts w:eastAsia="Times New Roman"/>
                <w:b/>
                <w:bCs/>
                <w:color w:val="FFFFFF"/>
                <w:sz w:val="20"/>
                <w:szCs w:val="20"/>
                <w:lang w:eastAsia="cs-CZ"/>
              </w:rPr>
              <w:t>0,153</w:t>
            </w:r>
          </w:p>
        </w:tc>
        <w:tc>
          <w:tcPr>
            <w:tcW w:w="850" w:type="dxa"/>
            <w:tcBorders>
              <w:top w:val="nil"/>
              <w:left w:val="nil"/>
              <w:bottom w:val="single" w:sz="4" w:space="0" w:color="auto"/>
              <w:right w:val="single" w:sz="4" w:space="0" w:color="auto"/>
            </w:tcBorders>
            <w:shd w:val="clear" w:color="auto" w:fill="76923C" w:themeFill="accent3" w:themeFillShade="BF"/>
          </w:tcPr>
          <w:p w14:paraId="63E2B827" w14:textId="77777777" w:rsidR="00EE305D" w:rsidRPr="00AD0493" w:rsidRDefault="00EE305D" w:rsidP="00F32B0C">
            <w:pPr>
              <w:spacing w:before="20" w:after="20" w:line="240" w:lineRule="auto"/>
              <w:jc w:val="right"/>
              <w:rPr>
                <w:rFonts w:eastAsia="Times New Roman"/>
                <w:b/>
                <w:bCs/>
                <w:sz w:val="20"/>
                <w:szCs w:val="20"/>
                <w:lang w:eastAsia="cs-CZ"/>
              </w:rPr>
            </w:pPr>
            <w:r w:rsidRPr="00AD0493">
              <w:rPr>
                <w:rFonts w:eastAsia="Times New Roman"/>
                <w:b/>
                <w:bCs/>
                <w:color w:val="FFFFFF"/>
                <w:sz w:val="20"/>
                <w:szCs w:val="20"/>
                <w:lang w:eastAsia="cs-CZ"/>
              </w:rPr>
              <w:t>0,000</w:t>
            </w:r>
          </w:p>
        </w:tc>
      </w:tr>
    </w:tbl>
    <w:p w14:paraId="4E12C0EA" w14:textId="77777777" w:rsidR="00F32B0C" w:rsidRPr="00461C16" w:rsidRDefault="00F32B0C"/>
    <w:p w14:paraId="407FBAE2" w14:textId="77777777" w:rsidR="00D82BB3" w:rsidRDefault="00D82BB3">
      <w:r>
        <w:br w:type="page"/>
      </w:r>
    </w:p>
    <w:tbl>
      <w:tblPr>
        <w:tblW w:w="15167" w:type="dxa"/>
        <w:tblInd w:w="-213" w:type="dxa"/>
        <w:tblLayout w:type="fixed"/>
        <w:tblCellMar>
          <w:left w:w="70" w:type="dxa"/>
          <w:right w:w="70" w:type="dxa"/>
        </w:tblCellMar>
        <w:tblLook w:val="04A0" w:firstRow="1" w:lastRow="0" w:firstColumn="1" w:lastColumn="0" w:noHBand="0" w:noVBand="1"/>
      </w:tblPr>
      <w:tblGrid>
        <w:gridCol w:w="2154"/>
        <w:gridCol w:w="1235"/>
        <w:gridCol w:w="1144"/>
        <w:gridCol w:w="944"/>
        <w:gridCol w:w="902"/>
        <w:gridCol w:w="850"/>
        <w:gridCol w:w="992"/>
        <w:gridCol w:w="1134"/>
        <w:gridCol w:w="964"/>
        <w:gridCol w:w="1144"/>
        <w:gridCol w:w="869"/>
        <w:gridCol w:w="992"/>
        <w:gridCol w:w="851"/>
        <w:gridCol w:w="992"/>
      </w:tblGrid>
      <w:tr w:rsidR="00F32B0C" w:rsidRPr="0010316F" w14:paraId="1EF76ADB" w14:textId="77777777" w:rsidTr="00AC303E">
        <w:tc>
          <w:tcPr>
            <w:tcW w:w="15167" w:type="dxa"/>
            <w:gridSpan w:val="14"/>
            <w:tcBorders>
              <w:top w:val="single" w:sz="4" w:space="0" w:color="auto"/>
              <w:left w:val="single" w:sz="4" w:space="0" w:color="auto"/>
              <w:bottom w:val="single" w:sz="4" w:space="0" w:color="auto"/>
              <w:right w:val="single" w:sz="4" w:space="0" w:color="000000"/>
            </w:tcBorders>
            <w:shd w:val="clear" w:color="auto" w:fill="76923C" w:themeFill="accent3" w:themeFillShade="BF"/>
            <w:vAlign w:val="center"/>
            <w:hideMark/>
          </w:tcPr>
          <w:p w14:paraId="7F313CD3" w14:textId="77777777" w:rsidR="00F32B0C" w:rsidRPr="0010316F" w:rsidRDefault="00F32B0C" w:rsidP="00F32B0C">
            <w:pPr>
              <w:shd w:val="clear" w:color="auto" w:fill="76923C" w:themeFill="accent3" w:themeFillShade="BF"/>
              <w:spacing w:before="20" w:after="20" w:line="240" w:lineRule="auto"/>
              <w:jc w:val="left"/>
              <w:rPr>
                <w:rFonts w:eastAsia="Times New Roman"/>
                <w:b/>
                <w:bCs/>
                <w:color w:val="FFFFFF"/>
                <w:sz w:val="20"/>
                <w:szCs w:val="20"/>
                <w:lang w:eastAsia="cs-CZ"/>
              </w:rPr>
            </w:pPr>
            <w:r w:rsidRPr="0010316F">
              <w:rPr>
                <w:rFonts w:eastAsia="Times New Roman"/>
                <w:b/>
                <w:bCs/>
                <w:color w:val="FFFFFF"/>
                <w:sz w:val="20"/>
                <w:szCs w:val="20"/>
                <w:lang w:eastAsia="cs-CZ"/>
              </w:rPr>
              <w:lastRenderedPageBreak/>
              <w:t>ZÁBOR CELKEM</w:t>
            </w:r>
          </w:p>
        </w:tc>
      </w:tr>
      <w:tr w:rsidR="00D11C9E" w:rsidRPr="0010316F" w14:paraId="08FBB602" w14:textId="77777777" w:rsidTr="00AC303E">
        <w:trPr>
          <w:tblHeader/>
        </w:trPr>
        <w:tc>
          <w:tcPr>
            <w:tcW w:w="2154" w:type="dxa"/>
            <w:vMerge w:val="restart"/>
            <w:tcBorders>
              <w:top w:val="single" w:sz="4" w:space="0" w:color="auto"/>
              <w:left w:val="single" w:sz="4" w:space="0" w:color="auto"/>
              <w:right w:val="single" w:sz="4" w:space="0" w:color="auto"/>
            </w:tcBorders>
            <w:shd w:val="clear" w:color="000000" w:fill="F2F2F2"/>
            <w:vAlign w:val="center"/>
          </w:tcPr>
          <w:p w14:paraId="14CB254F" w14:textId="77777777" w:rsidR="00F32B0C" w:rsidRPr="0010316F" w:rsidRDefault="00F32B0C" w:rsidP="00F32B0C">
            <w:pPr>
              <w:spacing w:before="20" w:after="20" w:line="240" w:lineRule="auto"/>
              <w:jc w:val="left"/>
              <w:rPr>
                <w:rFonts w:eastAsia="Times New Roman"/>
                <w:b/>
                <w:bCs/>
                <w:sz w:val="20"/>
                <w:szCs w:val="20"/>
                <w:lang w:eastAsia="cs-CZ"/>
              </w:rPr>
            </w:pPr>
          </w:p>
        </w:tc>
        <w:tc>
          <w:tcPr>
            <w:tcW w:w="1235"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506301B1"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Celkový zábor ZPF (ha)</w:t>
            </w:r>
          </w:p>
        </w:tc>
        <w:tc>
          <w:tcPr>
            <w:tcW w:w="5966" w:type="dxa"/>
            <w:gridSpan w:val="6"/>
            <w:tcBorders>
              <w:top w:val="single" w:sz="4" w:space="0" w:color="auto"/>
              <w:left w:val="nil"/>
              <w:bottom w:val="single" w:sz="4" w:space="0" w:color="auto"/>
              <w:right w:val="single" w:sz="4" w:space="0" w:color="000000"/>
            </w:tcBorders>
            <w:shd w:val="clear" w:color="000000" w:fill="F2F2F2"/>
            <w:vAlign w:val="center"/>
            <w:hideMark/>
          </w:tcPr>
          <w:p w14:paraId="0144D3C6" w14:textId="77777777" w:rsidR="00F32B0C" w:rsidRPr="0010316F" w:rsidRDefault="00F32B0C" w:rsidP="00F32B0C">
            <w:pPr>
              <w:spacing w:before="20" w:after="20" w:line="240" w:lineRule="auto"/>
              <w:jc w:val="center"/>
              <w:rPr>
                <w:rFonts w:eastAsia="Times New Roman"/>
                <w:b/>
                <w:bCs/>
                <w:sz w:val="20"/>
                <w:szCs w:val="20"/>
                <w:lang w:eastAsia="cs-CZ"/>
              </w:rPr>
            </w:pPr>
            <w:r w:rsidRPr="0010316F">
              <w:rPr>
                <w:rFonts w:eastAsia="Times New Roman"/>
                <w:b/>
                <w:bCs/>
                <w:sz w:val="20"/>
                <w:szCs w:val="20"/>
                <w:lang w:eastAsia="cs-CZ"/>
              </w:rPr>
              <w:t>Zábor ZPF podle jednotlivých kultur (ha)</w:t>
            </w:r>
          </w:p>
        </w:tc>
        <w:tc>
          <w:tcPr>
            <w:tcW w:w="4820" w:type="dxa"/>
            <w:gridSpan w:val="5"/>
            <w:tcBorders>
              <w:top w:val="single" w:sz="4" w:space="0" w:color="auto"/>
              <w:left w:val="nil"/>
              <w:bottom w:val="single" w:sz="4" w:space="0" w:color="auto"/>
              <w:right w:val="single" w:sz="4" w:space="0" w:color="000000"/>
            </w:tcBorders>
            <w:shd w:val="clear" w:color="000000" w:fill="F2F2F2"/>
            <w:vAlign w:val="center"/>
            <w:hideMark/>
          </w:tcPr>
          <w:p w14:paraId="487CF8B2" w14:textId="77777777" w:rsidR="00F32B0C" w:rsidRPr="0010316F" w:rsidRDefault="00F32B0C" w:rsidP="00F32B0C">
            <w:pPr>
              <w:spacing w:before="20" w:after="20" w:line="240" w:lineRule="auto"/>
              <w:jc w:val="center"/>
              <w:rPr>
                <w:rFonts w:eastAsia="Times New Roman"/>
                <w:b/>
                <w:bCs/>
                <w:sz w:val="20"/>
                <w:szCs w:val="20"/>
                <w:lang w:eastAsia="cs-CZ"/>
              </w:rPr>
            </w:pPr>
            <w:r w:rsidRPr="0010316F">
              <w:rPr>
                <w:rFonts w:eastAsia="Times New Roman"/>
                <w:b/>
                <w:bCs/>
                <w:sz w:val="20"/>
                <w:szCs w:val="20"/>
                <w:lang w:eastAsia="cs-CZ"/>
              </w:rPr>
              <w:t>Zábor ZPF podle tříd ochrany (ha)</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7D5D8D1E"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Investice do půdy (ha)</w:t>
            </w:r>
          </w:p>
        </w:tc>
      </w:tr>
      <w:tr w:rsidR="00AC303E" w:rsidRPr="0010316F" w14:paraId="6751B2F0" w14:textId="77777777" w:rsidTr="00AC303E">
        <w:trPr>
          <w:tblHeader/>
        </w:trPr>
        <w:tc>
          <w:tcPr>
            <w:tcW w:w="2154" w:type="dxa"/>
            <w:vMerge/>
            <w:tcBorders>
              <w:left w:val="single" w:sz="4" w:space="0" w:color="auto"/>
              <w:bottom w:val="single" w:sz="4" w:space="0" w:color="000000"/>
              <w:right w:val="single" w:sz="4" w:space="0" w:color="auto"/>
            </w:tcBorders>
            <w:vAlign w:val="center"/>
          </w:tcPr>
          <w:p w14:paraId="3B8212D0" w14:textId="77777777" w:rsidR="00F32B0C" w:rsidRPr="0010316F" w:rsidRDefault="00F32B0C" w:rsidP="00F32B0C">
            <w:pPr>
              <w:spacing w:before="20" w:after="20" w:line="240" w:lineRule="auto"/>
              <w:jc w:val="left"/>
              <w:rPr>
                <w:rFonts w:eastAsia="Times New Roman"/>
                <w:b/>
                <w:bCs/>
                <w:sz w:val="20"/>
                <w:szCs w:val="20"/>
                <w:lang w:eastAsia="cs-CZ"/>
              </w:rPr>
            </w:pPr>
          </w:p>
        </w:tc>
        <w:tc>
          <w:tcPr>
            <w:tcW w:w="1235" w:type="dxa"/>
            <w:vMerge/>
            <w:tcBorders>
              <w:top w:val="single" w:sz="4" w:space="0" w:color="auto"/>
              <w:left w:val="single" w:sz="4" w:space="0" w:color="auto"/>
              <w:bottom w:val="single" w:sz="4" w:space="0" w:color="000000"/>
              <w:right w:val="single" w:sz="4" w:space="0" w:color="auto"/>
            </w:tcBorders>
            <w:vAlign w:val="center"/>
            <w:hideMark/>
          </w:tcPr>
          <w:p w14:paraId="08189639" w14:textId="77777777" w:rsidR="00F32B0C" w:rsidRPr="0010316F" w:rsidRDefault="00F32B0C" w:rsidP="00F32B0C">
            <w:pPr>
              <w:spacing w:before="20" w:after="20" w:line="240" w:lineRule="auto"/>
              <w:jc w:val="left"/>
              <w:rPr>
                <w:rFonts w:eastAsia="Times New Roman"/>
                <w:b/>
                <w:bCs/>
                <w:sz w:val="20"/>
                <w:szCs w:val="20"/>
                <w:lang w:eastAsia="cs-CZ"/>
              </w:rPr>
            </w:pPr>
          </w:p>
        </w:tc>
        <w:tc>
          <w:tcPr>
            <w:tcW w:w="1144" w:type="dxa"/>
            <w:tcBorders>
              <w:top w:val="nil"/>
              <w:left w:val="nil"/>
              <w:bottom w:val="single" w:sz="4" w:space="0" w:color="auto"/>
              <w:right w:val="single" w:sz="4" w:space="0" w:color="auto"/>
            </w:tcBorders>
            <w:shd w:val="clear" w:color="000000" w:fill="F2F2F2"/>
            <w:vAlign w:val="center"/>
            <w:hideMark/>
          </w:tcPr>
          <w:p w14:paraId="3247C853"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orná půda</w:t>
            </w:r>
          </w:p>
        </w:tc>
        <w:tc>
          <w:tcPr>
            <w:tcW w:w="944" w:type="dxa"/>
            <w:tcBorders>
              <w:top w:val="nil"/>
              <w:left w:val="nil"/>
              <w:bottom w:val="single" w:sz="4" w:space="0" w:color="auto"/>
              <w:right w:val="single" w:sz="4" w:space="0" w:color="auto"/>
            </w:tcBorders>
            <w:shd w:val="clear" w:color="000000" w:fill="F2F2F2"/>
            <w:vAlign w:val="center"/>
            <w:hideMark/>
          </w:tcPr>
          <w:p w14:paraId="06DCD3CD"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chmelnice</w:t>
            </w:r>
          </w:p>
        </w:tc>
        <w:tc>
          <w:tcPr>
            <w:tcW w:w="902" w:type="dxa"/>
            <w:tcBorders>
              <w:top w:val="nil"/>
              <w:left w:val="nil"/>
              <w:bottom w:val="single" w:sz="4" w:space="0" w:color="auto"/>
              <w:right w:val="single" w:sz="4" w:space="0" w:color="auto"/>
            </w:tcBorders>
            <w:shd w:val="clear" w:color="000000" w:fill="F2F2F2"/>
            <w:vAlign w:val="center"/>
            <w:hideMark/>
          </w:tcPr>
          <w:p w14:paraId="60B60310"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vinice</w:t>
            </w:r>
          </w:p>
        </w:tc>
        <w:tc>
          <w:tcPr>
            <w:tcW w:w="850" w:type="dxa"/>
            <w:tcBorders>
              <w:top w:val="nil"/>
              <w:left w:val="nil"/>
              <w:bottom w:val="single" w:sz="4" w:space="0" w:color="auto"/>
              <w:right w:val="single" w:sz="4" w:space="0" w:color="auto"/>
            </w:tcBorders>
            <w:shd w:val="clear" w:color="000000" w:fill="F2F2F2"/>
            <w:vAlign w:val="center"/>
            <w:hideMark/>
          </w:tcPr>
          <w:p w14:paraId="41A0615E"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zahrady</w:t>
            </w:r>
          </w:p>
        </w:tc>
        <w:tc>
          <w:tcPr>
            <w:tcW w:w="992" w:type="dxa"/>
            <w:tcBorders>
              <w:top w:val="nil"/>
              <w:left w:val="nil"/>
              <w:bottom w:val="single" w:sz="4" w:space="0" w:color="auto"/>
              <w:right w:val="single" w:sz="4" w:space="0" w:color="auto"/>
            </w:tcBorders>
            <w:shd w:val="clear" w:color="000000" w:fill="F2F2F2"/>
            <w:vAlign w:val="center"/>
            <w:hideMark/>
          </w:tcPr>
          <w:p w14:paraId="40C423D9"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ovocné sady</w:t>
            </w:r>
          </w:p>
        </w:tc>
        <w:tc>
          <w:tcPr>
            <w:tcW w:w="1134" w:type="dxa"/>
            <w:tcBorders>
              <w:top w:val="nil"/>
              <w:left w:val="nil"/>
              <w:bottom w:val="single" w:sz="4" w:space="0" w:color="auto"/>
              <w:right w:val="single" w:sz="4" w:space="0" w:color="auto"/>
            </w:tcBorders>
            <w:shd w:val="clear" w:color="000000" w:fill="F2F2F2"/>
            <w:vAlign w:val="center"/>
            <w:hideMark/>
          </w:tcPr>
          <w:p w14:paraId="3FA0075C"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trv. travní porosty</w:t>
            </w:r>
          </w:p>
        </w:tc>
        <w:tc>
          <w:tcPr>
            <w:tcW w:w="964" w:type="dxa"/>
            <w:tcBorders>
              <w:top w:val="nil"/>
              <w:left w:val="nil"/>
              <w:bottom w:val="single" w:sz="4" w:space="0" w:color="auto"/>
              <w:right w:val="single" w:sz="4" w:space="0" w:color="auto"/>
            </w:tcBorders>
            <w:shd w:val="clear" w:color="000000" w:fill="F2F2F2"/>
            <w:vAlign w:val="center"/>
            <w:hideMark/>
          </w:tcPr>
          <w:p w14:paraId="794731DB"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I</w:t>
            </w:r>
          </w:p>
        </w:tc>
        <w:tc>
          <w:tcPr>
            <w:tcW w:w="1144" w:type="dxa"/>
            <w:tcBorders>
              <w:top w:val="nil"/>
              <w:left w:val="nil"/>
              <w:bottom w:val="single" w:sz="4" w:space="0" w:color="auto"/>
              <w:right w:val="single" w:sz="4" w:space="0" w:color="auto"/>
            </w:tcBorders>
            <w:shd w:val="clear" w:color="000000" w:fill="F2F2F2"/>
            <w:vAlign w:val="center"/>
            <w:hideMark/>
          </w:tcPr>
          <w:p w14:paraId="3B508BCE"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II</w:t>
            </w:r>
          </w:p>
        </w:tc>
        <w:tc>
          <w:tcPr>
            <w:tcW w:w="869" w:type="dxa"/>
            <w:tcBorders>
              <w:top w:val="nil"/>
              <w:left w:val="nil"/>
              <w:bottom w:val="single" w:sz="4" w:space="0" w:color="auto"/>
              <w:right w:val="single" w:sz="4" w:space="0" w:color="auto"/>
            </w:tcBorders>
            <w:shd w:val="clear" w:color="000000" w:fill="F2F2F2"/>
            <w:vAlign w:val="center"/>
            <w:hideMark/>
          </w:tcPr>
          <w:p w14:paraId="1C103162"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III</w:t>
            </w:r>
          </w:p>
        </w:tc>
        <w:tc>
          <w:tcPr>
            <w:tcW w:w="992" w:type="dxa"/>
            <w:tcBorders>
              <w:top w:val="nil"/>
              <w:left w:val="nil"/>
              <w:bottom w:val="single" w:sz="4" w:space="0" w:color="auto"/>
              <w:right w:val="single" w:sz="4" w:space="0" w:color="auto"/>
            </w:tcBorders>
            <w:shd w:val="clear" w:color="000000" w:fill="F2F2F2"/>
            <w:vAlign w:val="center"/>
            <w:hideMark/>
          </w:tcPr>
          <w:p w14:paraId="34434462"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IV</w:t>
            </w:r>
          </w:p>
        </w:tc>
        <w:tc>
          <w:tcPr>
            <w:tcW w:w="851" w:type="dxa"/>
            <w:tcBorders>
              <w:top w:val="nil"/>
              <w:left w:val="nil"/>
              <w:bottom w:val="single" w:sz="4" w:space="0" w:color="auto"/>
              <w:right w:val="single" w:sz="4" w:space="0" w:color="auto"/>
            </w:tcBorders>
            <w:shd w:val="clear" w:color="000000" w:fill="F2F2F2"/>
            <w:vAlign w:val="center"/>
            <w:hideMark/>
          </w:tcPr>
          <w:p w14:paraId="13A33DE5" w14:textId="77777777" w:rsidR="00F32B0C" w:rsidRPr="0010316F" w:rsidRDefault="00F32B0C" w:rsidP="00F32B0C">
            <w:pPr>
              <w:spacing w:before="20" w:after="20" w:line="240" w:lineRule="auto"/>
              <w:jc w:val="right"/>
              <w:rPr>
                <w:rFonts w:eastAsia="Times New Roman"/>
                <w:b/>
                <w:bCs/>
                <w:sz w:val="20"/>
                <w:szCs w:val="20"/>
                <w:lang w:eastAsia="cs-CZ"/>
              </w:rPr>
            </w:pPr>
            <w:r w:rsidRPr="0010316F">
              <w:rPr>
                <w:rFonts w:eastAsia="Times New Roman"/>
                <w:b/>
                <w:bCs/>
                <w:sz w:val="20"/>
                <w:szCs w:val="20"/>
                <w:lang w:eastAsia="cs-CZ"/>
              </w:rPr>
              <w:t>V</w:t>
            </w: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88A28F2" w14:textId="77777777" w:rsidR="00F32B0C" w:rsidRPr="0010316F" w:rsidRDefault="00F32B0C" w:rsidP="00F32B0C">
            <w:pPr>
              <w:spacing w:before="20" w:after="20" w:line="240" w:lineRule="auto"/>
              <w:jc w:val="left"/>
              <w:rPr>
                <w:rFonts w:eastAsia="Times New Roman"/>
                <w:b/>
                <w:bCs/>
                <w:sz w:val="20"/>
                <w:szCs w:val="20"/>
                <w:lang w:eastAsia="cs-CZ"/>
              </w:rPr>
            </w:pPr>
          </w:p>
        </w:tc>
      </w:tr>
      <w:tr w:rsidR="00AC303E" w:rsidRPr="00461C16" w14:paraId="5A7AF98D" w14:textId="77777777" w:rsidTr="00AC303E">
        <w:tc>
          <w:tcPr>
            <w:tcW w:w="2154" w:type="dxa"/>
            <w:tcBorders>
              <w:top w:val="single" w:sz="4" w:space="0" w:color="auto"/>
              <w:left w:val="single" w:sz="4" w:space="0" w:color="auto"/>
              <w:bottom w:val="single" w:sz="4" w:space="0" w:color="auto"/>
              <w:right w:val="single" w:sz="4" w:space="0" w:color="000000"/>
            </w:tcBorders>
            <w:shd w:val="clear" w:color="auto" w:fill="76923C" w:themeFill="accent3" w:themeFillShade="BF"/>
            <w:vAlign w:val="center"/>
            <w:hideMark/>
          </w:tcPr>
          <w:p w14:paraId="444A9819" w14:textId="77777777" w:rsidR="009561A2" w:rsidRPr="00EE305D" w:rsidRDefault="009561A2" w:rsidP="00EE305D">
            <w:pPr>
              <w:jc w:val="left"/>
              <w:rPr>
                <w:b/>
                <w:color w:val="FFFFFF" w:themeColor="background1"/>
                <w:sz w:val="20"/>
                <w:szCs w:val="20"/>
              </w:rPr>
            </w:pPr>
            <w:r w:rsidRPr="00EE305D">
              <w:rPr>
                <w:b/>
                <w:color w:val="FFFFFF" w:themeColor="background1"/>
                <w:sz w:val="20"/>
                <w:szCs w:val="20"/>
              </w:rPr>
              <w:t>ZÁBOR ZPF CELKEM</w:t>
            </w:r>
          </w:p>
        </w:tc>
        <w:tc>
          <w:tcPr>
            <w:tcW w:w="1235" w:type="dxa"/>
            <w:tcBorders>
              <w:top w:val="nil"/>
              <w:left w:val="nil"/>
              <w:bottom w:val="single" w:sz="4" w:space="0" w:color="auto"/>
              <w:right w:val="single" w:sz="4" w:space="0" w:color="auto"/>
            </w:tcBorders>
            <w:shd w:val="clear" w:color="auto" w:fill="76923C" w:themeFill="accent3" w:themeFillShade="BF"/>
            <w:vAlign w:val="center"/>
            <w:hideMark/>
          </w:tcPr>
          <w:p w14:paraId="7CB9DB08" w14:textId="07174203" w:rsidR="009561A2" w:rsidRPr="00EE305D" w:rsidRDefault="009561A2" w:rsidP="00EE305D">
            <w:pPr>
              <w:jc w:val="right"/>
              <w:rPr>
                <w:b/>
                <w:color w:val="FFFFFF" w:themeColor="background1"/>
                <w:sz w:val="20"/>
                <w:szCs w:val="20"/>
              </w:rPr>
            </w:pPr>
          </w:p>
          <w:p w14:paraId="0114CDF4" w14:textId="77777777" w:rsidR="00D82BB3" w:rsidRPr="00EE305D" w:rsidRDefault="00D82BB3" w:rsidP="00EE305D">
            <w:pPr>
              <w:jc w:val="right"/>
              <w:rPr>
                <w:b/>
                <w:color w:val="FFFFFF" w:themeColor="background1"/>
                <w:sz w:val="20"/>
                <w:szCs w:val="20"/>
              </w:rPr>
            </w:pPr>
            <w:r w:rsidRPr="00EE305D">
              <w:rPr>
                <w:b/>
                <w:color w:val="FFFFFF" w:themeColor="background1"/>
                <w:sz w:val="20"/>
                <w:szCs w:val="20"/>
              </w:rPr>
              <w:t>97,519</w:t>
            </w:r>
          </w:p>
        </w:tc>
        <w:tc>
          <w:tcPr>
            <w:tcW w:w="1144" w:type="dxa"/>
            <w:tcBorders>
              <w:top w:val="nil"/>
              <w:left w:val="nil"/>
              <w:bottom w:val="single" w:sz="4" w:space="0" w:color="auto"/>
              <w:right w:val="single" w:sz="4" w:space="0" w:color="auto"/>
            </w:tcBorders>
            <w:shd w:val="clear" w:color="auto" w:fill="76923C" w:themeFill="accent3" w:themeFillShade="BF"/>
            <w:vAlign w:val="center"/>
            <w:hideMark/>
          </w:tcPr>
          <w:p w14:paraId="162DA97D" w14:textId="224C14A8" w:rsidR="009561A2" w:rsidRPr="00EE305D" w:rsidRDefault="009561A2" w:rsidP="00EE305D">
            <w:pPr>
              <w:jc w:val="right"/>
              <w:rPr>
                <w:b/>
                <w:color w:val="FFFFFF" w:themeColor="background1"/>
                <w:sz w:val="20"/>
                <w:szCs w:val="20"/>
              </w:rPr>
            </w:pPr>
          </w:p>
          <w:p w14:paraId="70CBDB74" w14:textId="77777777" w:rsidR="00D82BB3" w:rsidRPr="00EE305D" w:rsidRDefault="00D82BB3" w:rsidP="00EE305D">
            <w:pPr>
              <w:jc w:val="right"/>
              <w:rPr>
                <w:b/>
                <w:color w:val="FFFFFF" w:themeColor="background1"/>
                <w:sz w:val="20"/>
                <w:szCs w:val="20"/>
              </w:rPr>
            </w:pPr>
            <w:r w:rsidRPr="00EE305D">
              <w:rPr>
                <w:b/>
                <w:color w:val="FFFFFF" w:themeColor="background1"/>
                <w:sz w:val="20"/>
                <w:szCs w:val="20"/>
              </w:rPr>
              <w:t>58,531</w:t>
            </w:r>
          </w:p>
        </w:tc>
        <w:tc>
          <w:tcPr>
            <w:tcW w:w="944" w:type="dxa"/>
            <w:tcBorders>
              <w:top w:val="nil"/>
              <w:left w:val="nil"/>
              <w:bottom w:val="single" w:sz="4" w:space="0" w:color="auto"/>
              <w:right w:val="single" w:sz="4" w:space="0" w:color="auto"/>
            </w:tcBorders>
            <w:shd w:val="clear" w:color="auto" w:fill="76923C" w:themeFill="accent3" w:themeFillShade="BF"/>
            <w:vAlign w:val="center"/>
            <w:hideMark/>
          </w:tcPr>
          <w:p w14:paraId="57AEDB93" w14:textId="77777777" w:rsidR="009561A2" w:rsidRPr="00EE305D" w:rsidRDefault="009561A2" w:rsidP="00EE305D">
            <w:pPr>
              <w:jc w:val="right"/>
              <w:rPr>
                <w:b/>
                <w:color w:val="FFFFFF" w:themeColor="background1"/>
                <w:sz w:val="20"/>
                <w:szCs w:val="20"/>
              </w:rPr>
            </w:pPr>
            <w:r w:rsidRPr="00EE305D">
              <w:rPr>
                <w:b/>
                <w:color w:val="FFFFFF" w:themeColor="background1"/>
                <w:sz w:val="20"/>
                <w:szCs w:val="20"/>
              </w:rPr>
              <w:t>0,000</w:t>
            </w:r>
          </w:p>
        </w:tc>
        <w:tc>
          <w:tcPr>
            <w:tcW w:w="902" w:type="dxa"/>
            <w:tcBorders>
              <w:top w:val="nil"/>
              <w:left w:val="nil"/>
              <w:bottom w:val="single" w:sz="4" w:space="0" w:color="auto"/>
              <w:right w:val="single" w:sz="4" w:space="0" w:color="auto"/>
            </w:tcBorders>
            <w:shd w:val="clear" w:color="auto" w:fill="76923C" w:themeFill="accent3" w:themeFillShade="BF"/>
            <w:vAlign w:val="center"/>
            <w:hideMark/>
          </w:tcPr>
          <w:p w14:paraId="6A2A8452" w14:textId="77777777" w:rsidR="009561A2" w:rsidRPr="00EE305D" w:rsidRDefault="009561A2" w:rsidP="00EE305D">
            <w:pPr>
              <w:jc w:val="right"/>
              <w:rPr>
                <w:b/>
                <w:color w:val="FFFFFF" w:themeColor="background1"/>
                <w:sz w:val="20"/>
                <w:szCs w:val="20"/>
              </w:rPr>
            </w:pPr>
            <w:r w:rsidRPr="00EE305D">
              <w:rPr>
                <w:b/>
                <w:color w:val="FFFFFF" w:themeColor="background1"/>
                <w:sz w:val="20"/>
                <w:szCs w:val="20"/>
              </w:rPr>
              <w:t>0,000</w:t>
            </w:r>
          </w:p>
        </w:tc>
        <w:tc>
          <w:tcPr>
            <w:tcW w:w="850" w:type="dxa"/>
            <w:tcBorders>
              <w:top w:val="nil"/>
              <w:left w:val="nil"/>
              <w:bottom w:val="single" w:sz="4" w:space="0" w:color="auto"/>
              <w:right w:val="single" w:sz="4" w:space="0" w:color="auto"/>
            </w:tcBorders>
            <w:shd w:val="clear" w:color="auto" w:fill="76923C" w:themeFill="accent3" w:themeFillShade="BF"/>
            <w:vAlign w:val="center"/>
            <w:hideMark/>
          </w:tcPr>
          <w:p w14:paraId="7C232988" w14:textId="5BC137E7" w:rsidR="009561A2" w:rsidRPr="00EE305D" w:rsidRDefault="009561A2" w:rsidP="00EE305D">
            <w:pPr>
              <w:jc w:val="right"/>
              <w:rPr>
                <w:b/>
                <w:color w:val="FFFFFF" w:themeColor="background1"/>
                <w:sz w:val="20"/>
                <w:szCs w:val="20"/>
              </w:rPr>
            </w:pPr>
          </w:p>
          <w:p w14:paraId="6BFD4E40" w14:textId="77777777" w:rsidR="00D82BB3" w:rsidRPr="00EE305D" w:rsidRDefault="00D82BB3" w:rsidP="00EE305D">
            <w:pPr>
              <w:jc w:val="right"/>
              <w:rPr>
                <w:b/>
                <w:color w:val="FFFFFF" w:themeColor="background1"/>
                <w:sz w:val="20"/>
                <w:szCs w:val="20"/>
              </w:rPr>
            </w:pPr>
            <w:r w:rsidRPr="00EE305D">
              <w:rPr>
                <w:b/>
                <w:color w:val="FFFFFF" w:themeColor="background1"/>
                <w:sz w:val="20"/>
                <w:szCs w:val="20"/>
              </w:rPr>
              <w:t>13,447</w:t>
            </w:r>
          </w:p>
        </w:tc>
        <w:tc>
          <w:tcPr>
            <w:tcW w:w="992" w:type="dxa"/>
            <w:tcBorders>
              <w:top w:val="nil"/>
              <w:left w:val="nil"/>
              <w:bottom w:val="single" w:sz="4" w:space="0" w:color="auto"/>
              <w:right w:val="single" w:sz="4" w:space="0" w:color="auto"/>
            </w:tcBorders>
            <w:shd w:val="clear" w:color="auto" w:fill="76923C" w:themeFill="accent3" w:themeFillShade="BF"/>
            <w:vAlign w:val="center"/>
            <w:hideMark/>
          </w:tcPr>
          <w:p w14:paraId="6FAFD33A" w14:textId="77777777" w:rsidR="009561A2" w:rsidRPr="00EE305D" w:rsidRDefault="009561A2" w:rsidP="00EE305D">
            <w:pPr>
              <w:jc w:val="right"/>
              <w:rPr>
                <w:b/>
                <w:color w:val="FFFFFF" w:themeColor="background1"/>
                <w:sz w:val="20"/>
                <w:szCs w:val="20"/>
              </w:rPr>
            </w:pPr>
            <w:r w:rsidRPr="00EE305D">
              <w:rPr>
                <w:b/>
                <w:color w:val="FFFFFF" w:themeColor="background1"/>
                <w:sz w:val="20"/>
                <w:szCs w:val="20"/>
              </w:rPr>
              <w:t>0,000</w:t>
            </w:r>
          </w:p>
        </w:tc>
        <w:tc>
          <w:tcPr>
            <w:tcW w:w="1134" w:type="dxa"/>
            <w:tcBorders>
              <w:top w:val="nil"/>
              <w:left w:val="nil"/>
              <w:bottom w:val="single" w:sz="4" w:space="0" w:color="auto"/>
              <w:right w:val="single" w:sz="4" w:space="0" w:color="auto"/>
            </w:tcBorders>
            <w:shd w:val="clear" w:color="auto" w:fill="76923C" w:themeFill="accent3" w:themeFillShade="BF"/>
            <w:vAlign w:val="center"/>
            <w:hideMark/>
          </w:tcPr>
          <w:p w14:paraId="47473A27" w14:textId="1E8A836E" w:rsidR="009561A2" w:rsidRPr="00EE305D" w:rsidRDefault="009561A2" w:rsidP="00EE305D">
            <w:pPr>
              <w:jc w:val="right"/>
              <w:rPr>
                <w:b/>
                <w:color w:val="FFFFFF" w:themeColor="background1"/>
                <w:sz w:val="20"/>
                <w:szCs w:val="20"/>
              </w:rPr>
            </w:pPr>
          </w:p>
          <w:p w14:paraId="128EBB2B" w14:textId="77777777" w:rsidR="00D82BB3" w:rsidRPr="00EE305D" w:rsidRDefault="00D82BB3" w:rsidP="00EE305D">
            <w:pPr>
              <w:jc w:val="right"/>
              <w:rPr>
                <w:b/>
                <w:color w:val="FFFFFF" w:themeColor="background1"/>
                <w:sz w:val="20"/>
                <w:szCs w:val="20"/>
              </w:rPr>
            </w:pPr>
            <w:r w:rsidRPr="00EE305D">
              <w:rPr>
                <w:b/>
                <w:color w:val="FFFFFF" w:themeColor="background1"/>
                <w:sz w:val="20"/>
                <w:szCs w:val="20"/>
              </w:rPr>
              <w:t>25,543</w:t>
            </w:r>
          </w:p>
        </w:tc>
        <w:tc>
          <w:tcPr>
            <w:tcW w:w="964" w:type="dxa"/>
            <w:tcBorders>
              <w:top w:val="nil"/>
              <w:left w:val="nil"/>
              <w:bottom w:val="single" w:sz="4" w:space="0" w:color="auto"/>
              <w:right w:val="single" w:sz="4" w:space="0" w:color="auto"/>
            </w:tcBorders>
            <w:shd w:val="clear" w:color="auto" w:fill="76923C" w:themeFill="accent3" w:themeFillShade="BF"/>
            <w:vAlign w:val="center"/>
            <w:hideMark/>
          </w:tcPr>
          <w:p w14:paraId="08AF21AA" w14:textId="77777777" w:rsidR="009561A2" w:rsidRPr="00EE305D" w:rsidRDefault="0048797D" w:rsidP="00EE305D">
            <w:pPr>
              <w:jc w:val="right"/>
              <w:rPr>
                <w:b/>
                <w:color w:val="FFFFFF" w:themeColor="background1"/>
                <w:sz w:val="20"/>
                <w:szCs w:val="20"/>
              </w:rPr>
            </w:pPr>
            <w:r w:rsidRPr="00EE305D">
              <w:rPr>
                <w:b/>
                <w:color w:val="FFFFFF" w:themeColor="background1"/>
                <w:sz w:val="20"/>
                <w:szCs w:val="20"/>
              </w:rPr>
              <w:t xml:space="preserve"> 12,334</w:t>
            </w:r>
          </w:p>
        </w:tc>
        <w:tc>
          <w:tcPr>
            <w:tcW w:w="1144" w:type="dxa"/>
            <w:tcBorders>
              <w:top w:val="nil"/>
              <w:left w:val="nil"/>
              <w:bottom w:val="single" w:sz="4" w:space="0" w:color="auto"/>
              <w:right w:val="single" w:sz="4" w:space="0" w:color="auto"/>
            </w:tcBorders>
            <w:shd w:val="clear" w:color="auto" w:fill="76923C" w:themeFill="accent3" w:themeFillShade="BF"/>
            <w:vAlign w:val="center"/>
            <w:hideMark/>
          </w:tcPr>
          <w:p w14:paraId="41AB1D59" w14:textId="42E0E169" w:rsidR="009561A2" w:rsidRPr="00EE305D" w:rsidRDefault="009561A2" w:rsidP="00EE305D">
            <w:pPr>
              <w:jc w:val="right"/>
              <w:rPr>
                <w:b/>
                <w:color w:val="FFFFFF" w:themeColor="background1"/>
                <w:sz w:val="20"/>
                <w:szCs w:val="20"/>
              </w:rPr>
            </w:pPr>
          </w:p>
          <w:p w14:paraId="5C91A7B6" w14:textId="77777777" w:rsidR="00D82BB3" w:rsidRPr="00EE305D" w:rsidRDefault="00D82BB3" w:rsidP="00EE305D">
            <w:pPr>
              <w:jc w:val="right"/>
              <w:rPr>
                <w:b/>
                <w:color w:val="FFFFFF" w:themeColor="background1"/>
                <w:sz w:val="20"/>
                <w:szCs w:val="20"/>
              </w:rPr>
            </w:pPr>
            <w:r w:rsidRPr="00EE305D">
              <w:rPr>
                <w:b/>
                <w:color w:val="FFFFFF" w:themeColor="background1"/>
                <w:sz w:val="20"/>
                <w:szCs w:val="20"/>
              </w:rPr>
              <w:t>54,728</w:t>
            </w:r>
          </w:p>
        </w:tc>
        <w:tc>
          <w:tcPr>
            <w:tcW w:w="869" w:type="dxa"/>
            <w:tcBorders>
              <w:top w:val="nil"/>
              <w:left w:val="nil"/>
              <w:bottom w:val="single" w:sz="4" w:space="0" w:color="auto"/>
              <w:right w:val="single" w:sz="4" w:space="0" w:color="auto"/>
            </w:tcBorders>
            <w:shd w:val="clear" w:color="auto" w:fill="76923C" w:themeFill="accent3" w:themeFillShade="BF"/>
            <w:vAlign w:val="center"/>
            <w:hideMark/>
          </w:tcPr>
          <w:p w14:paraId="5ADBDCCA" w14:textId="77777777" w:rsidR="009561A2" w:rsidRPr="00EE305D" w:rsidRDefault="00544446" w:rsidP="00EE305D">
            <w:pPr>
              <w:jc w:val="right"/>
              <w:rPr>
                <w:b/>
                <w:color w:val="FFFFFF" w:themeColor="background1"/>
                <w:sz w:val="20"/>
                <w:szCs w:val="20"/>
              </w:rPr>
            </w:pPr>
            <w:r w:rsidRPr="00EE305D">
              <w:rPr>
                <w:b/>
                <w:color w:val="FFFFFF" w:themeColor="background1"/>
                <w:sz w:val="20"/>
                <w:szCs w:val="20"/>
              </w:rPr>
              <w:t xml:space="preserve">  23,079</w:t>
            </w:r>
          </w:p>
        </w:tc>
        <w:tc>
          <w:tcPr>
            <w:tcW w:w="992" w:type="dxa"/>
            <w:tcBorders>
              <w:top w:val="nil"/>
              <w:left w:val="nil"/>
              <w:bottom w:val="single" w:sz="4" w:space="0" w:color="auto"/>
              <w:right w:val="single" w:sz="4" w:space="0" w:color="auto"/>
            </w:tcBorders>
            <w:shd w:val="clear" w:color="auto" w:fill="76923C" w:themeFill="accent3" w:themeFillShade="BF"/>
            <w:vAlign w:val="center"/>
            <w:hideMark/>
          </w:tcPr>
          <w:p w14:paraId="3FB20BE6" w14:textId="77777777" w:rsidR="009561A2" w:rsidRPr="00EE305D" w:rsidRDefault="00D11C9E" w:rsidP="00EE305D">
            <w:pPr>
              <w:jc w:val="right"/>
              <w:rPr>
                <w:b/>
                <w:color w:val="FFFFFF" w:themeColor="background1"/>
                <w:sz w:val="20"/>
                <w:szCs w:val="20"/>
              </w:rPr>
            </w:pPr>
            <w:r w:rsidRPr="00EE305D">
              <w:rPr>
                <w:b/>
                <w:color w:val="FFFFFF" w:themeColor="background1"/>
                <w:sz w:val="20"/>
                <w:szCs w:val="20"/>
              </w:rPr>
              <w:t>2,550</w:t>
            </w:r>
          </w:p>
        </w:tc>
        <w:tc>
          <w:tcPr>
            <w:tcW w:w="851" w:type="dxa"/>
            <w:tcBorders>
              <w:top w:val="nil"/>
              <w:left w:val="nil"/>
              <w:bottom w:val="single" w:sz="4" w:space="0" w:color="auto"/>
              <w:right w:val="single" w:sz="4" w:space="0" w:color="auto"/>
            </w:tcBorders>
            <w:shd w:val="clear" w:color="auto" w:fill="76923C" w:themeFill="accent3" w:themeFillShade="BF"/>
            <w:vAlign w:val="center"/>
            <w:hideMark/>
          </w:tcPr>
          <w:p w14:paraId="2C7F3A37" w14:textId="483459CD" w:rsidR="009561A2" w:rsidRPr="00EE305D" w:rsidRDefault="009561A2" w:rsidP="00EE305D">
            <w:pPr>
              <w:jc w:val="right"/>
              <w:rPr>
                <w:b/>
                <w:color w:val="FFFFFF" w:themeColor="background1"/>
                <w:sz w:val="20"/>
                <w:szCs w:val="20"/>
              </w:rPr>
            </w:pPr>
          </w:p>
          <w:p w14:paraId="27E92AA5" w14:textId="77777777" w:rsidR="00D82BB3" w:rsidRPr="00EE305D" w:rsidRDefault="00D82BB3" w:rsidP="00EE305D">
            <w:pPr>
              <w:jc w:val="right"/>
              <w:rPr>
                <w:b/>
                <w:color w:val="FFFFFF" w:themeColor="background1"/>
                <w:sz w:val="20"/>
                <w:szCs w:val="20"/>
              </w:rPr>
            </w:pPr>
            <w:r w:rsidRPr="00EE305D">
              <w:rPr>
                <w:b/>
                <w:color w:val="FFFFFF" w:themeColor="background1"/>
                <w:sz w:val="20"/>
                <w:szCs w:val="20"/>
              </w:rPr>
              <w:t>4,830</w:t>
            </w:r>
          </w:p>
        </w:tc>
        <w:tc>
          <w:tcPr>
            <w:tcW w:w="992" w:type="dxa"/>
            <w:tcBorders>
              <w:top w:val="nil"/>
              <w:left w:val="nil"/>
              <w:bottom w:val="single" w:sz="4" w:space="0" w:color="auto"/>
              <w:right w:val="single" w:sz="4" w:space="0" w:color="auto"/>
            </w:tcBorders>
            <w:shd w:val="clear" w:color="auto" w:fill="76923C" w:themeFill="accent3" w:themeFillShade="BF"/>
            <w:vAlign w:val="center"/>
            <w:hideMark/>
          </w:tcPr>
          <w:p w14:paraId="3715CD8A" w14:textId="77777777" w:rsidR="009561A2" w:rsidRPr="00EE305D" w:rsidRDefault="009561A2" w:rsidP="00EE305D">
            <w:pPr>
              <w:jc w:val="right"/>
              <w:rPr>
                <w:b/>
                <w:color w:val="FFFFFF" w:themeColor="background1"/>
                <w:sz w:val="20"/>
                <w:szCs w:val="20"/>
              </w:rPr>
            </w:pPr>
            <w:r w:rsidRPr="00EE305D">
              <w:rPr>
                <w:b/>
                <w:color w:val="FFFFFF" w:themeColor="background1"/>
                <w:sz w:val="20"/>
                <w:szCs w:val="20"/>
              </w:rPr>
              <w:t>0,000</w:t>
            </w:r>
          </w:p>
        </w:tc>
      </w:tr>
    </w:tbl>
    <w:p w14:paraId="3AC48EEF" w14:textId="77777777" w:rsidR="00A80189" w:rsidRPr="00461C16" w:rsidRDefault="00A80189" w:rsidP="00A80189">
      <w:pPr>
        <w:pStyle w:val="1text"/>
      </w:pPr>
      <w:r w:rsidRPr="00461C16">
        <w:t>Jednotlivé lokality zásahu do ZPF jsou zak</w:t>
      </w:r>
      <w:r w:rsidR="00E244E2" w:rsidRPr="00461C16">
        <w:t>resleny ve výkresu II.3</w:t>
      </w:r>
      <w:r w:rsidRPr="00461C16">
        <w:t>.</w:t>
      </w:r>
    </w:p>
    <w:p w14:paraId="21AC3234" w14:textId="77777777" w:rsidR="00FA5102" w:rsidRPr="00461C16" w:rsidRDefault="00FA5102" w:rsidP="00CA702F">
      <w:pPr>
        <w:spacing w:line="240" w:lineRule="auto"/>
        <w:jc w:val="left"/>
        <w:rPr>
          <w:rFonts w:cs="Arial"/>
          <w:b/>
          <w:bCs/>
          <w:sz w:val="26"/>
          <w:szCs w:val="26"/>
        </w:rPr>
        <w:sectPr w:rsidR="00FA5102" w:rsidRPr="00461C16" w:rsidSect="00045A2D">
          <w:pgSz w:w="16839" w:h="11907" w:orient="landscape" w:code="9"/>
          <w:pgMar w:top="1418" w:right="1701" w:bottom="1419" w:left="1418" w:header="720" w:footer="720" w:gutter="0"/>
          <w:cols w:space="720"/>
          <w:docGrid w:linePitch="360"/>
        </w:sectPr>
      </w:pPr>
      <w:bookmarkStart w:id="205" w:name="_Toc455061866"/>
    </w:p>
    <w:p w14:paraId="660EC463" w14:textId="77777777" w:rsidR="00A80189" w:rsidRPr="00461C16" w:rsidRDefault="00A80189" w:rsidP="00FA5102">
      <w:pPr>
        <w:pStyle w:val="Heading3"/>
      </w:pPr>
      <w:bookmarkStart w:id="206" w:name="_Toc36116335"/>
      <w:r w:rsidRPr="00461C16">
        <w:lastRenderedPageBreak/>
        <w:t>8.1.</w:t>
      </w:r>
      <w:r w:rsidR="00E4588D">
        <w:t>3</w:t>
      </w:r>
      <w:r w:rsidR="00E93EBA" w:rsidRPr="00461C16">
        <w:tab/>
      </w:r>
      <w:r w:rsidRPr="00461C16">
        <w:t xml:space="preserve">Vyhodnocení předpokládaných důsledků </w:t>
      </w:r>
      <w:r w:rsidR="00E93EBA" w:rsidRPr="00461C16">
        <w:t xml:space="preserve">ploch </w:t>
      </w:r>
      <w:r w:rsidRPr="00461C16">
        <w:t>změn na zemědělský půdní fond</w:t>
      </w:r>
      <w:r w:rsidR="00E4588D">
        <w:t xml:space="preserve"> dle způsobu využití</w:t>
      </w:r>
      <w:bookmarkEnd w:id="206"/>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14"/>
        <w:gridCol w:w="1070"/>
        <w:gridCol w:w="849"/>
        <w:gridCol w:w="916"/>
        <w:gridCol w:w="954"/>
        <w:gridCol w:w="908"/>
        <w:gridCol w:w="841"/>
      </w:tblGrid>
      <w:tr w:rsidR="00A80189" w:rsidRPr="00C646C5" w14:paraId="11C43973" w14:textId="77777777" w:rsidTr="00FF655B">
        <w:trPr>
          <w:trHeight w:val="278"/>
          <w:tblHeader/>
          <w:jc w:val="center"/>
        </w:trPr>
        <w:tc>
          <w:tcPr>
            <w:tcW w:w="3514" w:type="dxa"/>
            <w:vMerge w:val="restart"/>
            <w:shd w:val="clear" w:color="auto" w:fill="F2F2F2" w:themeFill="background1" w:themeFillShade="F2"/>
            <w:vAlign w:val="center"/>
            <w:hideMark/>
          </w:tcPr>
          <w:p w14:paraId="5F90FF73" w14:textId="77777777" w:rsidR="00A80189" w:rsidRPr="00C646C5" w:rsidRDefault="00B6745C" w:rsidP="00A80189">
            <w:pPr>
              <w:pStyle w:val="7tabulka"/>
              <w:spacing w:before="20" w:after="20"/>
              <w:jc w:val="left"/>
              <w:rPr>
                <w:b/>
                <w:sz w:val="20"/>
                <w:szCs w:val="20"/>
                <w:lang w:eastAsia="cs-CZ"/>
              </w:rPr>
            </w:pPr>
            <w:r w:rsidRPr="00C646C5">
              <w:rPr>
                <w:b/>
                <w:sz w:val="20"/>
                <w:szCs w:val="20"/>
                <w:lang w:eastAsia="cs-CZ"/>
              </w:rPr>
              <w:t>Využi</w:t>
            </w:r>
            <w:r w:rsidR="00A80189" w:rsidRPr="00C646C5">
              <w:rPr>
                <w:b/>
                <w:sz w:val="20"/>
                <w:szCs w:val="20"/>
                <w:lang w:eastAsia="cs-CZ"/>
              </w:rPr>
              <w:t xml:space="preserve">tí </w:t>
            </w:r>
          </w:p>
        </w:tc>
        <w:tc>
          <w:tcPr>
            <w:tcW w:w="1070" w:type="dxa"/>
            <w:vMerge w:val="restart"/>
            <w:shd w:val="clear" w:color="auto" w:fill="F2F2F2" w:themeFill="background1" w:themeFillShade="F2"/>
            <w:vAlign w:val="center"/>
          </w:tcPr>
          <w:p w14:paraId="58A4D7C9" w14:textId="77777777" w:rsidR="00A80189" w:rsidRPr="00C646C5" w:rsidRDefault="00A80189" w:rsidP="00A80189">
            <w:pPr>
              <w:pStyle w:val="7tabulka"/>
              <w:spacing w:before="20" w:after="20"/>
              <w:jc w:val="left"/>
              <w:rPr>
                <w:b/>
                <w:sz w:val="20"/>
                <w:szCs w:val="20"/>
                <w:lang w:eastAsia="cs-CZ"/>
              </w:rPr>
            </w:pPr>
            <w:r w:rsidRPr="00C646C5">
              <w:rPr>
                <w:b/>
                <w:sz w:val="20"/>
                <w:szCs w:val="20"/>
                <w:lang w:eastAsia="cs-CZ"/>
              </w:rPr>
              <w:t>Celkový zábor ZPF ha]</w:t>
            </w:r>
          </w:p>
        </w:tc>
        <w:tc>
          <w:tcPr>
            <w:tcW w:w="4468" w:type="dxa"/>
            <w:gridSpan w:val="5"/>
            <w:shd w:val="clear" w:color="auto" w:fill="F2F2F2" w:themeFill="background1" w:themeFillShade="F2"/>
            <w:vAlign w:val="center"/>
            <w:hideMark/>
          </w:tcPr>
          <w:p w14:paraId="46F72145" w14:textId="77777777" w:rsidR="00A80189" w:rsidRPr="00C646C5" w:rsidRDefault="00A80189" w:rsidP="00A80189">
            <w:pPr>
              <w:pStyle w:val="7tabulka"/>
              <w:spacing w:before="20" w:after="20"/>
              <w:jc w:val="left"/>
              <w:rPr>
                <w:b/>
                <w:sz w:val="20"/>
                <w:szCs w:val="20"/>
                <w:lang w:eastAsia="cs-CZ"/>
              </w:rPr>
            </w:pPr>
            <w:r w:rsidRPr="00C646C5">
              <w:rPr>
                <w:b/>
                <w:sz w:val="20"/>
                <w:szCs w:val="20"/>
                <w:lang w:eastAsia="cs-CZ"/>
              </w:rPr>
              <w:t>Zábor podle třídy ochrany ZPF [ha]</w:t>
            </w:r>
          </w:p>
        </w:tc>
      </w:tr>
      <w:tr w:rsidR="00A80189" w:rsidRPr="00C646C5" w14:paraId="56B1A032" w14:textId="77777777" w:rsidTr="00FF655B">
        <w:trPr>
          <w:trHeight w:val="745"/>
          <w:tblHeader/>
          <w:jc w:val="center"/>
        </w:trPr>
        <w:tc>
          <w:tcPr>
            <w:tcW w:w="3514" w:type="dxa"/>
            <w:vMerge/>
            <w:shd w:val="clear" w:color="auto" w:fill="F2F2F2" w:themeFill="background1" w:themeFillShade="F2"/>
            <w:vAlign w:val="center"/>
            <w:hideMark/>
          </w:tcPr>
          <w:p w14:paraId="2FDC9B0A" w14:textId="77777777" w:rsidR="00A80189" w:rsidRPr="00C646C5" w:rsidRDefault="00A80189" w:rsidP="00A80189">
            <w:pPr>
              <w:pStyle w:val="7tabulka"/>
              <w:spacing w:before="20" w:after="20"/>
              <w:jc w:val="left"/>
              <w:rPr>
                <w:b/>
                <w:szCs w:val="20"/>
                <w:lang w:eastAsia="cs-CZ"/>
              </w:rPr>
            </w:pPr>
          </w:p>
        </w:tc>
        <w:tc>
          <w:tcPr>
            <w:tcW w:w="1070" w:type="dxa"/>
            <w:vMerge/>
            <w:shd w:val="clear" w:color="auto" w:fill="F2F2F2" w:themeFill="background1" w:themeFillShade="F2"/>
            <w:vAlign w:val="center"/>
          </w:tcPr>
          <w:p w14:paraId="3D349331" w14:textId="77777777" w:rsidR="00A80189" w:rsidRPr="00C646C5" w:rsidRDefault="00A80189" w:rsidP="00A80189">
            <w:pPr>
              <w:pStyle w:val="7tabulka"/>
              <w:spacing w:before="20" w:after="20"/>
              <w:jc w:val="left"/>
              <w:rPr>
                <w:b/>
                <w:szCs w:val="20"/>
                <w:lang w:eastAsia="cs-CZ"/>
              </w:rPr>
            </w:pPr>
          </w:p>
        </w:tc>
        <w:tc>
          <w:tcPr>
            <w:tcW w:w="849" w:type="dxa"/>
            <w:shd w:val="clear" w:color="auto" w:fill="F2F2F2" w:themeFill="background1" w:themeFillShade="F2"/>
            <w:vAlign w:val="center"/>
            <w:hideMark/>
          </w:tcPr>
          <w:p w14:paraId="24FFA05C" w14:textId="77777777" w:rsidR="00A80189" w:rsidRPr="00C646C5" w:rsidRDefault="00A80189" w:rsidP="006F3F20">
            <w:pPr>
              <w:pStyle w:val="7tabulka"/>
              <w:spacing w:before="20" w:after="20"/>
              <w:jc w:val="right"/>
              <w:rPr>
                <w:b/>
                <w:szCs w:val="20"/>
                <w:lang w:eastAsia="cs-CZ"/>
              </w:rPr>
            </w:pPr>
            <w:r w:rsidRPr="00C646C5">
              <w:rPr>
                <w:b/>
                <w:szCs w:val="20"/>
                <w:lang w:eastAsia="cs-CZ"/>
              </w:rPr>
              <w:t>I.</w:t>
            </w:r>
          </w:p>
        </w:tc>
        <w:tc>
          <w:tcPr>
            <w:tcW w:w="916" w:type="dxa"/>
            <w:shd w:val="clear" w:color="auto" w:fill="F2F2F2" w:themeFill="background1" w:themeFillShade="F2"/>
            <w:vAlign w:val="center"/>
            <w:hideMark/>
          </w:tcPr>
          <w:p w14:paraId="7DB7AFED" w14:textId="77777777" w:rsidR="00A80189" w:rsidRPr="00C646C5" w:rsidRDefault="00A80189" w:rsidP="006F3F20">
            <w:pPr>
              <w:pStyle w:val="7tabulka"/>
              <w:spacing w:before="20" w:after="20"/>
              <w:jc w:val="right"/>
              <w:rPr>
                <w:b/>
                <w:szCs w:val="20"/>
                <w:lang w:eastAsia="cs-CZ"/>
              </w:rPr>
            </w:pPr>
            <w:r w:rsidRPr="00C646C5">
              <w:rPr>
                <w:b/>
                <w:szCs w:val="20"/>
                <w:lang w:eastAsia="cs-CZ"/>
              </w:rPr>
              <w:t>II.</w:t>
            </w:r>
          </w:p>
        </w:tc>
        <w:tc>
          <w:tcPr>
            <w:tcW w:w="954" w:type="dxa"/>
            <w:shd w:val="clear" w:color="auto" w:fill="F2F2F2" w:themeFill="background1" w:themeFillShade="F2"/>
            <w:vAlign w:val="center"/>
            <w:hideMark/>
          </w:tcPr>
          <w:p w14:paraId="0AE51462" w14:textId="77777777" w:rsidR="00A80189" w:rsidRPr="00C646C5" w:rsidRDefault="00A80189" w:rsidP="006F3F20">
            <w:pPr>
              <w:pStyle w:val="7tabulka"/>
              <w:spacing w:before="20" w:after="20"/>
              <w:jc w:val="right"/>
              <w:rPr>
                <w:b/>
                <w:szCs w:val="20"/>
                <w:lang w:eastAsia="cs-CZ"/>
              </w:rPr>
            </w:pPr>
            <w:r w:rsidRPr="00C646C5">
              <w:rPr>
                <w:b/>
                <w:szCs w:val="20"/>
                <w:lang w:eastAsia="cs-CZ"/>
              </w:rPr>
              <w:t>III.</w:t>
            </w:r>
          </w:p>
        </w:tc>
        <w:tc>
          <w:tcPr>
            <w:tcW w:w="908" w:type="dxa"/>
            <w:shd w:val="clear" w:color="auto" w:fill="F2F2F2" w:themeFill="background1" w:themeFillShade="F2"/>
            <w:vAlign w:val="center"/>
            <w:hideMark/>
          </w:tcPr>
          <w:p w14:paraId="114B9BB1" w14:textId="77777777" w:rsidR="00A80189" w:rsidRPr="00C646C5" w:rsidRDefault="00A80189" w:rsidP="006F3F20">
            <w:pPr>
              <w:pStyle w:val="7tabulka"/>
              <w:spacing w:before="20" w:after="20"/>
              <w:jc w:val="right"/>
              <w:rPr>
                <w:b/>
                <w:szCs w:val="20"/>
                <w:lang w:eastAsia="cs-CZ"/>
              </w:rPr>
            </w:pPr>
            <w:r w:rsidRPr="00C646C5">
              <w:rPr>
                <w:b/>
                <w:szCs w:val="20"/>
                <w:lang w:eastAsia="cs-CZ"/>
              </w:rPr>
              <w:t>IV.</w:t>
            </w:r>
          </w:p>
        </w:tc>
        <w:tc>
          <w:tcPr>
            <w:tcW w:w="841" w:type="dxa"/>
            <w:shd w:val="clear" w:color="auto" w:fill="F2F2F2" w:themeFill="background1" w:themeFillShade="F2"/>
            <w:vAlign w:val="center"/>
            <w:hideMark/>
          </w:tcPr>
          <w:p w14:paraId="1CA08F99" w14:textId="77777777" w:rsidR="00A80189" w:rsidRPr="00C646C5" w:rsidRDefault="00A80189" w:rsidP="006F3F20">
            <w:pPr>
              <w:pStyle w:val="7tabulka"/>
              <w:spacing w:before="20" w:after="20"/>
              <w:jc w:val="right"/>
              <w:rPr>
                <w:b/>
                <w:szCs w:val="20"/>
                <w:lang w:eastAsia="cs-CZ"/>
              </w:rPr>
            </w:pPr>
            <w:r w:rsidRPr="00C646C5">
              <w:rPr>
                <w:b/>
                <w:szCs w:val="20"/>
                <w:lang w:eastAsia="cs-CZ"/>
              </w:rPr>
              <w:t>V.</w:t>
            </w:r>
          </w:p>
        </w:tc>
      </w:tr>
      <w:tr w:rsidR="00A80189" w:rsidRPr="00C646C5" w14:paraId="3452A1E7" w14:textId="77777777" w:rsidTr="00FF655B">
        <w:trPr>
          <w:trHeight w:val="283"/>
          <w:jc w:val="center"/>
        </w:trPr>
        <w:tc>
          <w:tcPr>
            <w:tcW w:w="3514" w:type="dxa"/>
            <w:shd w:val="clear" w:color="auto" w:fill="auto"/>
            <w:noWrap/>
            <w:vAlign w:val="center"/>
          </w:tcPr>
          <w:p w14:paraId="775B802B" w14:textId="77777777" w:rsidR="00A80189" w:rsidRPr="00DF22EA" w:rsidRDefault="00B6745C" w:rsidP="00A80189">
            <w:pPr>
              <w:pStyle w:val="7tabulka"/>
              <w:spacing w:before="20" w:after="20"/>
              <w:jc w:val="left"/>
              <w:rPr>
                <w:szCs w:val="20"/>
                <w:lang w:eastAsia="cs-CZ"/>
              </w:rPr>
            </w:pPr>
            <w:r w:rsidRPr="00DF22EA">
              <w:rPr>
                <w:szCs w:val="20"/>
                <w:lang w:eastAsia="cs-CZ"/>
              </w:rPr>
              <w:t>Bydlení venkovské (BV)</w:t>
            </w:r>
          </w:p>
        </w:tc>
        <w:tc>
          <w:tcPr>
            <w:tcW w:w="1070" w:type="dxa"/>
            <w:shd w:val="clear" w:color="auto" w:fill="F2F2F2" w:themeFill="background1" w:themeFillShade="F2"/>
            <w:vAlign w:val="center"/>
          </w:tcPr>
          <w:p w14:paraId="0C50E1F1" w14:textId="1B65F374" w:rsidR="00A80189" w:rsidRPr="0020087A" w:rsidRDefault="00E07170" w:rsidP="00A80189">
            <w:pPr>
              <w:jc w:val="right"/>
              <w:rPr>
                <w:szCs w:val="20"/>
                <w:lang w:eastAsia="cs-CZ"/>
              </w:rPr>
            </w:pPr>
            <w:r>
              <w:rPr>
                <w:szCs w:val="20"/>
                <w:lang w:eastAsia="cs-CZ"/>
              </w:rPr>
              <w:t xml:space="preserve"> </w:t>
            </w:r>
            <w:r w:rsidR="0020087A" w:rsidRPr="0020087A">
              <w:rPr>
                <w:szCs w:val="20"/>
                <w:lang w:eastAsia="cs-CZ"/>
              </w:rPr>
              <w:t>14,469</w:t>
            </w:r>
          </w:p>
        </w:tc>
        <w:tc>
          <w:tcPr>
            <w:tcW w:w="849" w:type="dxa"/>
            <w:shd w:val="clear" w:color="auto" w:fill="auto"/>
            <w:noWrap/>
            <w:vAlign w:val="center"/>
          </w:tcPr>
          <w:p w14:paraId="15F898D2" w14:textId="77777777" w:rsidR="00A80189" w:rsidRPr="0020087A" w:rsidRDefault="004F5F70" w:rsidP="00A80189">
            <w:pPr>
              <w:jc w:val="right"/>
              <w:rPr>
                <w:szCs w:val="20"/>
                <w:lang w:eastAsia="cs-CZ"/>
              </w:rPr>
            </w:pPr>
            <w:r w:rsidRPr="0020087A">
              <w:rPr>
                <w:szCs w:val="20"/>
                <w:lang w:eastAsia="cs-CZ"/>
              </w:rPr>
              <w:t>0,000</w:t>
            </w:r>
          </w:p>
        </w:tc>
        <w:tc>
          <w:tcPr>
            <w:tcW w:w="916" w:type="dxa"/>
            <w:shd w:val="clear" w:color="auto" w:fill="auto"/>
            <w:noWrap/>
            <w:vAlign w:val="center"/>
          </w:tcPr>
          <w:p w14:paraId="7D0B6197" w14:textId="77777777" w:rsidR="00A80189" w:rsidRPr="0020087A" w:rsidRDefault="004F5F70" w:rsidP="00A80189">
            <w:pPr>
              <w:jc w:val="right"/>
              <w:rPr>
                <w:szCs w:val="20"/>
                <w:lang w:eastAsia="cs-CZ"/>
              </w:rPr>
            </w:pPr>
            <w:r w:rsidRPr="0020087A">
              <w:rPr>
                <w:szCs w:val="20"/>
                <w:lang w:eastAsia="cs-CZ"/>
              </w:rPr>
              <w:t>7,</w:t>
            </w:r>
            <w:r w:rsidR="00A85FA8" w:rsidRPr="0020087A">
              <w:rPr>
                <w:szCs w:val="20"/>
                <w:lang w:eastAsia="cs-CZ"/>
              </w:rPr>
              <w:t>538</w:t>
            </w:r>
          </w:p>
        </w:tc>
        <w:tc>
          <w:tcPr>
            <w:tcW w:w="954" w:type="dxa"/>
            <w:shd w:val="clear" w:color="auto" w:fill="auto"/>
            <w:noWrap/>
            <w:vAlign w:val="center"/>
          </w:tcPr>
          <w:p w14:paraId="38ABCBA0" w14:textId="77777777" w:rsidR="00A80189" w:rsidRPr="0020087A" w:rsidRDefault="004F5F70" w:rsidP="00A80189">
            <w:pPr>
              <w:jc w:val="right"/>
              <w:rPr>
                <w:szCs w:val="20"/>
                <w:lang w:eastAsia="cs-CZ"/>
              </w:rPr>
            </w:pPr>
            <w:r w:rsidRPr="0020087A">
              <w:rPr>
                <w:szCs w:val="20"/>
                <w:lang w:eastAsia="cs-CZ"/>
              </w:rPr>
              <w:t>5,286</w:t>
            </w:r>
          </w:p>
        </w:tc>
        <w:tc>
          <w:tcPr>
            <w:tcW w:w="908" w:type="dxa"/>
            <w:shd w:val="clear" w:color="auto" w:fill="auto"/>
            <w:noWrap/>
            <w:vAlign w:val="center"/>
          </w:tcPr>
          <w:p w14:paraId="31AF9703" w14:textId="77777777" w:rsidR="00A80189" w:rsidRPr="0020087A" w:rsidRDefault="004F5F70" w:rsidP="00835D41">
            <w:pPr>
              <w:jc w:val="right"/>
              <w:rPr>
                <w:szCs w:val="20"/>
                <w:lang w:eastAsia="cs-CZ"/>
              </w:rPr>
            </w:pPr>
            <w:r w:rsidRPr="0020087A">
              <w:rPr>
                <w:szCs w:val="20"/>
                <w:lang w:eastAsia="cs-CZ"/>
              </w:rPr>
              <w:t>0,898</w:t>
            </w:r>
          </w:p>
        </w:tc>
        <w:tc>
          <w:tcPr>
            <w:tcW w:w="841" w:type="dxa"/>
            <w:shd w:val="clear" w:color="auto" w:fill="auto"/>
            <w:noWrap/>
            <w:vAlign w:val="center"/>
          </w:tcPr>
          <w:p w14:paraId="3841186B" w14:textId="01DC3CFA" w:rsidR="00A80189" w:rsidRPr="0020087A" w:rsidRDefault="00E07170" w:rsidP="00A85FA8">
            <w:pPr>
              <w:jc w:val="right"/>
              <w:rPr>
                <w:szCs w:val="20"/>
                <w:lang w:eastAsia="cs-CZ"/>
              </w:rPr>
            </w:pPr>
            <w:r>
              <w:rPr>
                <w:szCs w:val="20"/>
                <w:lang w:eastAsia="cs-CZ"/>
              </w:rPr>
              <w:t xml:space="preserve"> </w:t>
            </w:r>
            <w:r w:rsidR="0020087A" w:rsidRPr="0020087A">
              <w:rPr>
                <w:szCs w:val="20"/>
                <w:lang w:eastAsia="cs-CZ"/>
              </w:rPr>
              <w:t>0,750</w:t>
            </w:r>
          </w:p>
        </w:tc>
      </w:tr>
      <w:tr w:rsidR="00A80189" w:rsidRPr="00C646C5" w14:paraId="7EA6AD6B" w14:textId="77777777" w:rsidTr="00FF655B">
        <w:trPr>
          <w:trHeight w:val="283"/>
          <w:jc w:val="center"/>
        </w:trPr>
        <w:tc>
          <w:tcPr>
            <w:tcW w:w="3514" w:type="dxa"/>
            <w:shd w:val="clear" w:color="auto" w:fill="auto"/>
            <w:noWrap/>
            <w:vAlign w:val="center"/>
          </w:tcPr>
          <w:p w14:paraId="6119FD5F" w14:textId="77777777" w:rsidR="00A80189" w:rsidRPr="00DF22EA" w:rsidRDefault="007B4DC4" w:rsidP="00A80189">
            <w:pPr>
              <w:pStyle w:val="7tabulka"/>
              <w:spacing w:before="20" w:after="20"/>
              <w:jc w:val="left"/>
              <w:rPr>
                <w:szCs w:val="20"/>
                <w:lang w:eastAsia="cs-CZ"/>
              </w:rPr>
            </w:pPr>
            <w:r w:rsidRPr="00DF22EA">
              <w:rPr>
                <w:szCs w:val="20"/>
                <w:lang w:eastAsia="cs-CZ"/>
              </w:rPr>
              <w:t>Bydlení městské a příměstské (BI)</w:t>
            </w:r>
          </w:p>
        </w:tc>
        <w:tc>
          <w:tcPr>
            <w:tcW w:w="1070" w:type="dxa"/>
            <w:shd w:val="clear" w:color="auto" w:fill="F2F2F2" w:themeFill="background1" w:themeFillShade="F2"/>
            <w:vAlign w:val="center"/>
          </w:tcPr>
          <w:p w14:paraId="3D1A1947" w14:textId="77777777" w:rsidR="001F4EC2" w:rsidRPr="0020087A" w:rsidRDefault="00E93864" w:rsidP="00E93864">
            <w:pPr>
              <w:jc w:val="right"/>
              <w:rPr>
                <w:szCs w:val="20"/>
                <w:lang w:eastAsia="cs-CZ"/>
              </w:rPr>
            </w:pPr>
            <w:r w:rsidRPr="0020087A">
              <w:rPr>
                <w:szCs w:val="20"/>
                <w:lang w:eastAsia="cs-CZ"/>
              </w:rPr>
              <w:t>33,292</w:t>
            </w:r>
          </w:p>
        </w:tc>
        <w:tc>
          <w:tcPr>
            <w:tcW w:w="849" w:type="dxa"/>
            <w:shd w:val="clear" w:color="auto" w:fill="auto"/>
            <w:noWrap/>
            <w:vAlign w:val="center"/>
          </w:tcPr>
          <w:p w14:paraId="2D48849F" w14:textId="77777777" w:rsidR="00A80189" w:rsidRPr="0020087A" w:rsidRDefault="00DF22EA" w:rsidP="00A80189">
            <w:pPr>
              <w:jc w:val="right"/>
              <w:rPr>
                <w:szCs w:val="20"/>
                <w:lang w:eastAsia="cs-CZ"/>
              </w:rPr>
            </w:pPr>
            <w:r w:rsidRPr="0020087A">
              <w:rPr>
                <w:szCs w:val="20"/>
                <w:lang w:eastAsia="cs-CZ"/>
              </w:rPr>
              <w:t>6,422</w:t>
            </w:r>
          </w:p>
        </w:tc>
        <w:tc>
          <w:tcPr>
            <w:tcW w:w="916" w:type="dxa"/>
            <w:shd w:val="clear" w:color="auto" w:fill="auto"/>
            <w:noWrap/>
            <w:vAlign w:val="center"/>
          </w:tcPr>
          <w:p w14:paraId="52149AB5" w14:textId="77777777" w:rsidR="001F4EC2" w:rsidRPr="0020087A" w:rsidRDefault="00E93864" w:rsidP="00A80189">
            <w:pPr>
              <w:jc w:val="right"/>
              <w:rPr>
                <w:szCs w:val="20"/>
                <w:lang w:eastAsia="cs-CZ"/>
              </w:rPr>
            </w:pPr>
            <w:r w:rsidRPr="0020087A">
              <w:rPr>
                <w:szCs w:val="20"/>
                <w:lang w:eastAsia="cs-CZ"/>
              </w:rPr>
              <w:t>21,644</w:t>
            </w:r>
          </w:p>
        </w:tc>
        <w:tc>
          <w:tcPr>
            <w:tcW w:w="954" w:type="dxa"/>
            <w:shd w:val="clear" w:color="auto" w:fill="auto"/>
            <w:noWrap/>
            <w:vAlign w:val="center"/>
          </w:tcPr>
          <w:p w14:paraId="7B7FEE83" w14:textId="77777777" w:rsidR="00A80189" w:rsidRPr="0020087A" w:rsidRDefault="00DF22EA" w:rsidP="00A80189">
            <w:pPr>
              <w:jc w:val="right"/>
              <w:rPr>
                <w:szCs w:val="20"/>
                <w:lang w:eastAsia="cs-CZ"/>
              </w:rPr>
            </w:pPr>
            <w:r w:rsidRPr="0020087A">
              <w:rPr>
                <w:szCs w:val="20"/>
                <w:lang w:eastAsia="cs-CZ"/>
              </w:rPr>
              <w:t>2,039</w:t>
            </w:r>
          </w:p>
        </w:tc>
        <w:tc>
          <w:tcPr>
            <w:tcW w:w="908" w:type="dxa"/>
            <w:shd w:val="clear" w:color="auto" w:fill="auto"/>
            <w:noWrap/>
            <w:vAlign w:val="center"/>
          </w:tcPr>
          <w:p w14:paraId="75EE12D8" w14:textId="77777777" w:rsidR="00A80189" w:rsidRPr="0020087A" w:rsidRDefault="00DF22EA" w:rsidP="00A80189">
            <w:pPr>
              <w:jc w:val="right"/>
              <w:rPr>
                <w:szCs w:val="20"/>
                <w:lang w:eastAsia="cs-CZ"/>
              </w:rPr>
            </w:pPr>
            <w:r w:rsidRPr="0020087A">
              <w:rPr>
                <w:szCs w:val="20"/>
                <w:lang w:eastAsia="cs-CZ"/>
              </w:rPr>
              <w:t>0,000</w:t>
            </w:r>
          </w:p>
        </w:tc>
        <w:tc>
          <w:tcPr>
            <w:tcW w:w="841" w:type="dxa"/>
            <w:shd w:val="clear" w:color="auto" w:fill="auto"/>
            <w:noWrap/>
            <w:vAlign w:val="center"/>
          </w:tcPr>
          <w:p w14:paraId="4955E107" w14:textId="77777777" w:rsidR="00A80189" w:rsidRPr="0020087A" w:rsidRDefault="00DF22EA" w:rsidP="00A80189">
            <w:pPr>
              <w:jc w:val="right"/>
              <w:rPr>
                <w:szCs w:val="20"/>
                <w:lang w:eastAsia="cs-CZ"/>
              </w:rPr>
            </w:pPr>
            <w:r w:rsidRPr="0020087A">
              <w:rPr>
                <w:szCs w:val="20"/>
                <w:lang w:eastAsia="cs-CZ"/>
              </w:rPr>
              <w:t>3,187</w:t>
            </w:r>
          </w:p>
        </w:tc>
      </w:tr>
      <w:tr w:rsidR="00A80189" w:rsidRPr="00C646C5" w14:paraId="1DB0CE2C" w14:textId="77777777" w:rsidTr="00E15AA5">
        <w:trPr>
          <w:trHeight w:val="301"/>
          <w:jc w:val="center"/>
        </w:trPr>
        <w:tc>
          <w:tcPr>
            <w:tcW w:w="3514" w:type="dxa"/>
            <w:shd w:val="clear" w:color="auto" w:fill="auto"/>
            <w:noWrap/>
            <w:vAlign w:val="center"/>
          </w:tcPr>
          <w:p w14:paraId="5B57E6F1" w14:textId="77777777" w:rsidR="00A80189" w:rsidRPr="00DF22EA" w:rsidRDefault="0097459F" w:rsidP="00A80189">
            <w:pPr>
              <w:pStyle w:val="7tabulka"/>
              <w:spacing w:before="20" w:after="20"/>
              <w:jc w:val="left"/>
              <w:rPr>
                <w:szCs w:val="20"/>
                <w:lang w:eastAsia="cs-CZ"/>
              </w:rPr>
            </w:pPr>
            <w:r w:rsidRPr="00DF22EA">
              <w:rPr>
                <w:szCs w:val="20"/>
                <w:lang w:eastAsia="cs-CZ"/>
              </w:rPr>
              <w:t>Sport (OS)</w:t>
            </w:r>
          </w:p>
        </w:tc>
        <w:tc>
          <w:tcPr>
            <w:tcW w:w="1070" w:type="dxa"/>
            <w:shd w:val="clear" w:color="auto" w:fill="F2F2F2" w:themeFill="background1" w:themeFillShade="F2"/>
            <w:vAlign w:val="center"/>
          </w:tcPr>
          <w:p w14:paraId="56439C2B" w14:textId="77777777" w:rsidR="00A80189" w:rsidRPr="00E07170" w:rsidRDefault="0097459F" w:rsidP="0097459F">
            <w:pPr>
              <w:jc w:val="right"/>
              <w:rPr>
                <w:szCs w:val="20"/>
                <w:lang w:eastAsia="cs-CZ"/>
              </w:rPr>
            </w:pPr>
            <w:r w:rsidRPr="00E07170">
              <w:rPr>
                <w:szCs w:val="20"/>
                <w:lang w:eastAsia="cs-CZ"/>
              </w:rPr>
              <w:t>0,867</w:t>
            </w:r>
          </w:p>
        </w:tc>
        <w:tc>
          <w:tcPr>
            <w:tcW w:w="849" w:type="dxa"/>
            <w:shd w:val="clear" w:color="auto" w:fill="auto"/>
            <w:noWrap/>
            <w:vAlign w:val="center"/>
          </w:tcPr>
          <w:p w14:paraId="7ACAF7AE" w14:textId="77777777" w:rsidR="00A80189" w:rsidRPr="00E07170" w:rsidRDefault="0097459F" w:rsidP="00A80189">
            <w:pPr>
              <w:jc w:val="right"/>
              <w:rPr>
                <w:szCs w:val="20"/>
                <w:lang w:eastAsia="cs-CZ"/>
              </w:rPr>
            </w:pPr>
            <w:r w:rsidRPr="00E07170">
              <w:rPr>
                <w:szCs w:val="20"/>
                <w:lang w:eastAsia="cs-CZ"/>
              </w:rPr>
              <w:t>0,111</w:t>
            </w:r>
          </w:p>
        </w:tc>
        <w:tc>
          <w:tcPr>
            <w:tcW w:w="916" w:type="dxa"/>
            <w:shd w:val="clear" w:color="auto" w:fill="auto"/>
            <w:noWrap/>
            <w:vAlign w:val="center"/>
          </w:tcPr>
          <w:p w14:paraId="578CDB26" w14:textId="77777777" w:rsidR="00A80189" w:rsidRPr="00E07170" w:rsidRDefault="0097459F" w:rsidP="00A80189">
            <w:pPr>
              <w:jc w:val="right"/>
              <w:rPr>
                <w:szCs w:val="20"/>
                <w:lang w:eastAsia="cs-CZ"/>
              </w:rPr>
            </w:pPr>
            <w:r w:rsidRPr="00E07170">
              <w:rPr>
                <w:szCs w:val="20"/>
                <w:lang w:eastAsia="cs-CZ"/>
              </w:rPr>
              <w:t>0,756</w:t>
            </w:r>
          </w:p>
        </w:tc>
        <w:tc>
          <w:tcPr>
            <w:tcW w:w="954" w:type="dxa"/>
            <w:shd w:val="clear" w:color="auto" w:fill="auto"/>
            <w:noWrap/>
            <w:vAlign w:val="center"/>
          </w:tcPr>
          <w:p w14:paraId="51C03445" w14:textId="77777777" w:rsidR="00A80189" w:rsidRPr="00E07170" w:rsidRDefault="004F5F70" w:rsidP="00A80189">
            <w:pPr>
              <w:jc w:val="right"/>
              <w:rPr>
                <w:szCs w:val="20"/>
                <w:lang w:eastAsia="cs-CZ"/>
              </w:rPr>
            </w:pPr>
            <w:r w:rsidRPr="00E07170">
              <w:rPr>
                <w:szCs w:val="20"/>
                <w:lang w:eastAsia="cs-CZ"/>
              </w:rPr>
              <w:t>0,000</w:t>
            </w:r>
          </w:p>
        </w:tc>
        <w:tc>
          <w:tcPr>
            <w:tcW w:w="908" w:type="dxa"/>
            <w:shd w:val="clear" w:color="auto" w:fill="auto"/>
            <w:noWrap/>
            <w:vAlign w:val="center"/>
          </w:tcPr>
          <w:p w14:paraId="55A21162" w14:textId="77777777" w:rsidR="00A80189" w:rsidRPr="00E07170" w:rsidRDefault="004F5F70" w:rsidP="00A80189">
            <w:pPr>
              <w:jc w:val="right"/>
              <w:rPr>
                <w:szCs w:val="20"/>
                <w:lang w:eastAsia="cs-CZ"/>
              </w:rPr>
            </w:pPr>
            <w:r w:rsidRPr="00E07170">
              <w:rPr>
                <w:szCs w:val="20"/>
                <w:lang w:eastAsia="cs-CZ"/>
              </w:rPr>
              <w:t>0,000</w:t>
            </w:r>
          </w:p>
        </w:tc>
        <w:tc>
          <w:tcPr>
            <w:tcW w:w="841" w:type="dxa"/>
            <w:shd w:val="clear" w:color="auto" w:fill="auto"/>
            <w:noWrap/>
            <w:vAlign w:val="center"/>
          </w:tcPr>
          <w:p w14:paraId="4581C008" w14:textId="77777777" w:rsidR="00A80189" w:rsidRPr="00E07170" w:rsidRDefault="004F5F70" w:rsidP="00A80189">
            <w:pPr>
              <w:jc w:val="right"/>
              <w:rPr>
                <w:szCs w:val="20"/>
                <w:lang w:eastAsia="cs-CZ"/>
              </w:rPr>
            </w:pPr>
            <w:r w:rsidRPr="00E07170">
              <w:rPr>
                <w:szCs w:val="20"/>
                <w:lang w:eastAsia="cs-CZ"/>
              </w:rPr>
              <w:t>0,000</w:t>
            </w:r>
          </w:p>
        </w:tc>
      </w:tr>
      <w:tr w:rsidR="00A80189" w:rsidRPr="00C646C5" w14:paraId="6BE15F2F" w14:textId="77777777" w:rsidTr="00FF655B">
        <w:trPr>
          <w:trHeight w:val="283"/>
          <w:jc w:val="center"/>
        </w:trPr>
        <w:tc>
          <w:tcPr>
            <w:tcW w:w="3514" w:type="dxa"/>
            <w:shd w:val="clear" w:color="auto" w:fill="auto"/>
            <w:noWrap/>
            <w:vAlign w:val="center"/>
          </w:tcPr>
          <w:p w14:paraId="22E22A9A" w14:textId="77777777" w:rsidR="00A80189" w:rsidRPr="00DF22EA" w:rsidRDefault="0097459F" w:rsidP="00A80189">
            <w:pPr>
              <w:pStyle w:val="7tabulka"/>
              <w:spacing w:before="20" w:after="20"/>
              <w:jc w:val="left"/>
              <w:rPr>
                <w:szCs w:val="20"/>
                <w:lang w:eastAsia="cs-CZ"/>
              </w:rPr>
            </w:pPr>
            <w:r w:rsidRPr="00DF22EA">
              <w:rPr>
                <w:szCs w:val="20"/>
                <w:lang w:eastAsia="cs-CZ"/>
              </w:rPr>
              <w:t>Veřejná prostranství – komunikace (PX)</w:t>
            </w:r>
          </w:p>
        </w:tc>
        <w:tc>
          <w:tcPr>
            <w:tcW w:w="1070" w:type="dxa"/>
            <w:shd w:val="clear" w:color="auto" w:fill="F2F2F2" w:themeFill="background1" w:themeFillShade="F2"/>
            <w:vAlign w:val="center"/>
          </w:tcPr>
          <w:p w14:paraId="59892DC3" w14:textId="791C0102" w:rsidR="001F4EC2" w:rsidRPr="00E07170" w:rsidRDefault="00E07170" w:rsidP="00A80189">
            <w:pPr>
              <w:jc w:val="right"/>
              <w:rPr>
                <w:szCs w:val="20"/>
                <w:lang w:eastAsia="cs-CZ"/>
              </w:rPr>
            </w:pPr>
            <w:r>
              <w:rPr>
                <w:szCs w:val="20"/>
                <w:lang w:eastAsia="cs-CZ"/>
              </w:rPr>
              <w:t xml:space="preserve"> </w:t>
            </w:r>
            <w:r w:rsidRPr="00E07170">
              <w:rPr>
                <w:szCs w:val="20"/>
                <w:lang w:eastAsia="cs-CZ"/>
              </w:rPr>
              <w:t>0,563</w:t>
            </w:r>
          </w:p>
        </w:tc>
        <w:tc>
          <w:tcPr>
            <w:tcW w:w="849" w:type="dxa"/>
            <w:shd w:val="clear" w:color="auto" w:fill="auto"/>
            <w:noWrap/>
            <w:vAlign w:val="center"/>
          </w:tcPr>
          <w:p w14:paraId="7EAD672E" w14:textId="77777777" w:rsidR="001F4EC2" w:rsidRPr="00E07170" w:rsidRDefault="001F4EC2" w:rsidP="00E07170">
            <w:pPr>
              <w:jc w:val="right"/>
              <w:rPr>
                <w:szCs w:val="20"/>
                <w:lang w:eastAsia="cs-CZ"/>
              </w:rPr>
            </w:pPr>
            <w:r w:rsidRPr="00E07170">
              <w:rPr>
                <w:szCs w:val="20"/>
                <w:lang w:eastAsia="cs-CZ"/>
              </w:rPr>
              <w:t>0,458</w:t>
            </w:r>
            <w:r w:rsidR="00E07170" w:rsidRPr="00E07170">
              <w:rPr>
                <w:szCs w:val="20"/>
                <w:lang w:eastAsia="cs-CZ"/>
              </w:rPr>
              <w:t xml:space="preserve"> </w:t>
            </w:r>
          </w:p>
        </w:tc>
        <w:tc>
          <w:tcPr>
            <w:tcW w:w="916" w:type="dxa"/>
            <w:shd w:val="clear" w:color="auto" w:fill="auto"/>
            <w:noWrap/>
            <w:vAlign w:val="center"/>
          </w:tcPr>
          <w:p w14:paraId="5D5C4BA4" w14:textId="425FA0CA" w:rsidR="00A80189" w:rsidRPr="00E07170" w:rsidRDefault="00E07170" w:rsidP="00E07170">
            <w:pPr>
              <w:jc w:val="right"/>
              <w:rPr>
                <w:szCs w:val="20"/>
                <w:lang w:eastAsia="cs-CZ"/>
              </w:rPr>
            </w:pPr>
            <w:r>
              <w:rPr>
                <w:szCs w:val="20"/>
                <w:lang w:eastAsia="cs-CZ"/>
              </w:rPr>
              <w:t xml:space="preserve"> </w:t>
            </w:r>
            <w:r w:rsidRPr="00E07170">
              <w:rPr>
                <w:szCs w:val="20"/>
                <w:lang w:eastAsia="cs-CZ"/>
              </w:rPr>
              <w:t xml:space="preserve"> 0,</w:t>
            </w:r>
            <w:r>
              <w:rPr>
                <w:szCs w:val="20"/>
                <w:lang w:eastAsia="cs-CZ"/>
              </w:rPr>
              <w:t>105</w:t>
            </w:r>
            <w:r w:rsidRPr="00E07170">
              <w:rPr>
                <w:szCs w:val="20"/>
                <w:lang w:eastAsia="cs-CZ"/>
              </w:rPr>
              <w:t xml:space="preserve"> </w:t>
            </w:r>
          </w:p>
        </w:tc>
        <w:tc>
          <w:tcPr>
            <w:tcW w:w="954" w:type="dxa"/>
            <w:shd w:val="clear" w:color="auto" w:fill="auto"/>
            <w:noWrap/>
            <w:vAlign w:val="center"/>
          </w:tcPr>
          <w:p w14:paraId="38CEBD34" w14:textId="77777777" w:rsidR="00A80189" w:rsidRPr="00E07170" w:rsidRDefault="004F5F70" w:rsidP="00A80189">
            <w:pPr>
              <w:jc w:val="right"/>
              <w:rPr>
                <w:szCs w:val="20"/>
                <w:lang w:eastAsia="cs-CZ"/>
              </w:rPr>
            </w:pPr>
            <w:r w:rsidRPr="00E07170">
              <w:rPr>
                <w:szCs w:val="20"/>
                <w:lang w:eastAsia="cs-CZ"/>
              </w:rPr>
              <w:t>0,000</w:t>
            </w:r>
          </w:p>
        </w:tc>
        <w:tc>
          <w:tcPr>
            <w:tcW w:w="908" w:type="dxa"/>
            <w:shd w:val="clear" w:color="auto" w:fill="auto"/>
            <w:noWrap/>
            <w:vAlign w:val="center"/>
          </w:tcPr>
          <w:p w14:paraId="6E3D3992" w14:textId="77777777" w:rsidR="00A80189" w:rsidRPr="00E07170" w:rsidRDefault="004F5F70" w:rsidP="00A80189">
            <w:pPr>
              <w:jc w:val="right"/>
              <w:rPr>
                <w:szCs w:val="20"/>
                <w:lang w:eastAsia="cs-CZ"/>
              </w:rPr>
            </w:pPr>
            <w:r w:rsidRPr="00E07170">
              <w:rPr>
                <w:szCs w:val="20"/>
                <w:lang w:eastAsia="cs-CZ"/>
              </w:rPr>
              <w:t>0,000</w:t>
            </w:r>
          </w:p>
        </w:tc>
        <w:tc>
          <w:tcPr>
            <w:tcW w:w="841" w:type="dxa"/>
            <w:shd w:val="clear" w:color="auto" w:fill="auto"/>
            <w:noWrap/>
            <w:vAlign w:val="center"/>
          </w:tcPr>
          <w:p w14:paraId="3DD69365" w14:textId="77777777" w:rsidR="00A80189" w:rsidRPr="00E07170" w:rsidRDefault="004F5F70" w:rsidP="00A80189">
            <w:pPr>
              <w:jc w:val="right"/>
              <w:rPr>
                <w:szCs w:val="20"/>
                <w:lang w:eastAsia="cs-CZ"/>
              </w:rPr>
            </w:pPr>
            <w:r w:rsidRPr="00E07170">
              <w:rPr>
                <w:szCs w:val="20"/>
                <w:lang w:eastAsia="cs-CZ"/>
              </w:rPr>
              <w:t>0,000</w:t>
            </w:r>
          </w:p>
        </w:tc>
      </w:tr>
      <w:tr w:rsidR="00A80189" w:rsidRPr="00C646C5" w14:paraId="00010CB0" w14:textId="77777777" w:rsidTr="00FF655B">
        <w:trPr>
          <w:trHeight w:val="283"/>
          <w:jc w:val="center"/>
        </w:trPr>
        <w:tc>
          <w:tcPr>
            <w:tcW w:w="3514" w:type="dxa"/>
            <w:shd w:val="clear" w:color="auto" w:fill="auto"/>
            <w:noWrap/>
            <w:vAlign w:val="center"/>
          </w:tcPr>
          <w:p w14:paraId="400D7194" w14:textId="77777777" w:rsidR="00A80189" w:rsidRPr="00DF22EA" w:rsidRDefault="0097459F" w:rsidP="00A80189">
            <w:pPr>
              <w:pStyle w:val="7tabulka"/>
              <w:spacing w:before="20" w:after="20"/>
              <w:jc w:val="left"/>
              <w:rPr>
                <w:szCs w:val="20"/>
                <w:lang w:eastAsia="cs-CZ"/>
              </w:rPr>
            </w:pPr>
            <w:r w:rsidRPr="00DF22EA">
              <w:rPr>
                <w:szCs w:val="20"/>
                <w:lang w:eastAsia="cs-CZ"/>
              </w:rPr>
              <w:t>Rekreace – na plochách přírodního charakteru (RN)</w:t>
            </w:r>
          </w:p>
        </w:tc>
        <w:tc>
          <w:tcPr>
            <w:tcW w:w="1070" w:type="dxa"/>
            <w:shd w:val="clear" w:color="auto" w:fill="F2F2F2" w:themeFill="background1" w:themeFillShade="F2"/>
            <w:vAlign w:val="center"/>
          </w:tcPr>
          <w:p w14:paraId="5ECB1CFF" w14:textId="77777777" w:rsidR="00A80189" w:rsidRPr="00E07170" w:rsidRDefault="004F5F70" w:rsidP="00A80189">
            <w:pPr>
              <w:jc w:val="right"/>
              <w:rPr>
                <w:szCs w:val="20"/>
                <w:lang w:eastAsia="cs-CZ"/>
              </w:rPr>
            </w:pPr>
            <w:r w:rsidRPr="00E07170">
              <w:rPr>
                <w:szCs w:val="20"/>
                <w:lang w:eastAsia="cs-CZ"/>
              </w:rPr>
              <w:t>0,500</w:t>
            </w:r>
          </w:p>
        </w:tc>
        <w:tc>
          <w:tcPr>
            <w:tcW w:w="849" w:type="dxa"/>
            <w:shd w:val="clear" w:color="auto" w:fill="auto"/>
            <w:noWrap/>
            <w:vAlign w:val="center"/>
          </w:tcPr>
          <w:p w14:paraId="3124417F" w14:textId="77777777" w:rsidR="00A80189" w:rsidRPr="00E07170" w:rsidRDefault="0097459F" w:rsidP="00A80189">
            <w:pPr>
              <w:jc w:val="right"/>
              <w:rPr>
                <w:szCs w:val="20"/>
                <w:lang w:eastAsia="cs-CZ"/>
              </w:rPr>
            </w:pPr>
            <w:r w:rsidRPr="00E07170">
              <w:rPr>
                <w:szCs w:val="20"/>
                <w:lang w:eastAsia="cs-CZ"/>
              </w:rPr>
              <w:t>0,500</w:t>
            </w:r>
          </w:p>
        </w:tc>
        <w:tc>
          <w:tcPr>
            <w:tcW w:w="916" w:type="dxa"/>
            <w:shd w:val="clear" w:color="auto" w:fill="auto"/>
            <w:noWrap/>
            <w:vAlign w:val="center"/>
          </w:tcPr>
          <w:p w14:paraId="56F17D54" w14:textId="77777777" w:rsidR="00A80189" w:rsidRPr="00E07170" w:rsidRDefault="004F5F70" w:rsidP="00A80189">
            <w:pPr>
              <w:jc w:val="right"/>
              <w:rPr>
                <w:szCs w:val="20"/>
                <w:lang w:eastAsia="cs-CZ"/>
              </w:rPr>
            </w:pPr>
            <w:r w:rsidRPr="00E07170">
              <w:rPr>
                <w:szCs w:val="20"/>
                <w:lang w:eastAsia="cs-CZ"/>
              </w:rPr>
              <w:t>0,000</w:t>
            </w:r>
          </w:p>
        </w:tc>
        <w:tc>
          <w:tcPr>
            <w:tcW w:w="954" w:type="dxa"/>
            <w:shd w:val="clear" w:color="auto" w:fill="auto"/>
            <w:noWrap/>
            <w:vAlign w:val="center"/>
          </w:tcPr>
          <w:p w14:paraId="0961D157" w14:textId="77777777" w:rsidR="00A80189" w:rsidRPr="00E07170" w:rsidRDefault="004F5F70" w:rsidP="00A80189">
            <w:pPr>
              <w:jc w:val="right"/>
              <w:rPr>
                <w:szCs w:val="20"/>
                <w:lang w:eastAsia="cs-CZ"/>
              </w:rPr>
            </w:pPr>
            <w:r w:rsidRPr="00E07170">
              <w:rPr>
                <w:szCs w:val="20"/>
                <w:lang w:eastAsia="cs-CZ"/>
              </w:rPr>
              <w:t>0,000</w:t>
            </w:r>
          </w:p>
        </w:tc>
        <w:tc>
          <w:tcPr>
            <w:tcW w:w="908" w:type="dxa"/>
            <w:shd w:val="clear" w:color="auto" w:fill="auto"/>
            <w:noWrap/>
            <w:vAlign w:val="center"/>
          </w:tcPr>
          <w:p w14:paraId="08A8B792" w14:textId="77777777" w:rsidR="00A80189" w:rsidRPr="00E07170" w:rsidRDefault="004F5F70" w:rsidP="00A80189">
            <w:pPr>
              <w:jc w:val="right"/>
              <w:rPr>
                <w:szCs w:val="20"/>
                <w:lang w:eastAsia="cs-CZ"/>
              </w:rPr>
            </w:pPr>
            <w:r w:rsidRPr="00E07170">
              <w:rPr>
                <w:szCs w:val="20"/>
                <w:lang w:eastAsia="cs-CZ"/>
              </w:rPr>
              <w:t>0,000</w:t>
            </w:r>
          </w:p>
        </w:tc>
        <w:tc>
          <w:tcPr>
            <w:tcW w:w="841" w:type="dxa"/>
            <w:shd w:val="clear" w:color="auto" w:fill="auto"/>
            <w:noWrap/>
            <w:vAlign w:val="center"/>
          </w:tcPr>
          <w:p w14:paraId="4B972206" w14:textId="77777777" w:rsidR="00A80189" w:rsidRPr="00E07170" w:rsidRDefault="0097459F" w:rsidP="004F5F70">
            <w:pPr>
              <w:jc w:val="right"/>
              <w:rPr>
                <w:szCs w:val="20"/>
                <w:lang w:eastAsia="cs-CZ"/>
              </w:rPr>
            </w:pPr>
            <w:r w:rsidRPr="00E07170">
              <w:rPr>
                <w:szCs w:val="20"/>
                <w:lang w:eastAsia="cs-CZ"/>
              </w:rPr>
              <w:t>0,</w:t>
            </w:r>
            <w:r w:rsidR="004F5F70" w:rsidRPr="00E07170">
              <w:rPr>
                <w:szCs w:val="20"/>
                <w:lang w:eastAsia="cs-CZ"/>
              </w:rPr>
              <w:t>0,000</w:t>
            </w:r>
          </w:p>
        </w:tc>
      </w:tr>
      <w:tr w:rsidR="00A80189" w:rsidRPr="00C646C5" w14:paraId="6B5FA27C" w14:textId="77777777" w:rsidTr="00FF655B">
        <w:trPr>
          <w:trHeight w:val="283"/>
          <w:jc w:val="center"/>
        </w:trPr>
        <w:tc>
          <w:tcPr>
            <w:tcW w:w="3514" w:type="dxa"/>
            <w:shd w:val="clear" w:color="auto" w:fill="auto"/>
            <w:noWrap/>
            <w:vAlign w:val="center"/>
          </w:tcPr>
          <w:p w14:paraId="43505A82" w14:textId="77777777" w:rsidR="00A80189" w:rsidRPr="00DF22EA" w:rsidRDefault="0097459F" w:rsidP="00A80189">
            <w:pPr>
              <w:pStyle w:val="7tabulka"/>
              <w:spacing w:before="20" w:after="20"/>
              <w:jc w:val="left"/>
              <w:rPr>
                <w:szCs w:val="20"/>
                <w:lang w:eastAsia="cs-CZ"/>
              </w:rPr>
            </w:pPr>
            <w:r w:rsidRPr="00DF22EA">
              <w:rPr>
                <w:szCs w:val="20"/>
                <w:lang w:eastAsia="cs-CZ"/>
              </w:rPr>
              <w:t>Rekreace v zahrádkových osadách (RZ)</w:t>
            </w:r>
          </w:p>
        </w:tc>
        <w:tc>
          <w:tcPr>
            <w:tcW w:w="1070" w:type="dxa"/>
            <w:shd w:val="clear" w:color="auto" w:fill="F2F2F2" w:themeFill="background1" w:themeFillShade="F2"/>
            <w:vAlign w:val="center"/>
          </w:tcPr>
          <w:p w14:paraId="7CAD0B42" w14:textId="77777777" w:rsidR="00A80189" w:rsidRPr="00E07170" w:rsidRDefault="0097459F" w:rsidP="00A80189">
            <w:pPr>
              <w:jc w:val="right"/>
              <w:rPr>
                <w:szCs w:val="20"/>
                <w:lang w:eastAsia="cs-CZ"/>
              </w:rPr>
            </w:pPr>
            <w:r w:rsidRPr="00E07170">
              <w:rPr>
                <w:szCs w:val="20"/>
                <w:lang w:eastAsia="cs-CZ"/>
              </w:rPr>
              <w:t>0,421</w:t>
            </w:r>
          </w:p>
        </w:tc>
        <w:tc>
          <w:tcPr>
            <w:tcW w:w="849" w:type="dxa"/>
            <w:shd w:val="clear" w:color="auto" w:fill="auto"/>
            <w:noWrap/>
            <w:vAlign w:val="center"/>
          </w:tcPr>
          <w:p w14:paraId="1595EF78" w14:textId="77777777" w:rsidR="00A80189" w:rsidRPr="00E07170" w:rsidRDefault="0097459F" w:rsidP="00A80189">
            <w:pPr>
              <w:jc w:val="right"/>
              <w:rPr>
                <w:szCs w:val="20"/>
                <w:lang w:eastAsia="cs-CZ"/>
              </w:rPr>
            </w:pPr>
            <w:r w:rsidRPr="00E07170">
              <w:rPr>
                <w:szCs w:val="20"/>
                <w:lang w:eastAsia="cs-CZ"/>
              </w:rPr>
              <w:t>0</w:t>
            </w:r>
            <w:r w:rsidR="004F5F70" w:rsidRPr="00E07170">
              <w:rPr>
                <w:szCs w:val="20"/>
                <w:lang w:eastAsia="cs-CZ"/>
              </w:rPr>
              <w:t>,000</w:t>
            </w:r>
          </w:p>
        </w:tc>
        <w:tc>
          <w:tcPr>
            <w:tcW w:w="916" w:type="dxa"/>
            <w:shd w:val="clear" w:color="auto" w:fill="auto"/>
            <w:noWrap/>
            <w:vAlign w:val="center"/>
          </w:tcPr>
          <w:p w14:paraId="34109840" w14:textId="77777777" w:rsidR="00A80189" w:rsidRPr="00E07170" w:rsidRDefault="0097459F" w:rsidP="00A80189">
            <w:pPr>
              <w:jc w:val="right"/>
              <w:rPr>
                <w:szCs w:val="20"/>
                <w:lang w:eastAsia="cs-CZ"/>
              </w:rPr>
            </w:pPr>
            <w:r w:rsidRPr="00E07170">
              <w:rPr>
                <w:szCs w:val="20"/>
                <w:lang w:eastAsia="cs-CZ"/>
              </w:rPr>
              <w:t>0,421</w:t>
            </w:r>
          </w:p>
        </w:tc>
        <w:tc>
          <w:tcPr>
            <w:tcW w:w="954" w:type="dxa"/>
            <w:shd w:val="clear" w:color="auto" w:fill="auto"/>
            <w:noWrap/>
            <w:vAlign w:val="center"/>
          </w:tcPr>
          <w:p w14:paraId="7BAD97ED" w14:textId="77777777" w:rsidR="00A80189" w:rsidRPr="00E07170" w:rsidRDefault="00A80189" w:rsidP="00A80189">
            <w:pPr>
              <w:jc w:val="right"/>
              <w:rPr>
                <w:szCs w:val="20"/>
                <w:lang w:eastAsia="cs-CZ"/>
              </w:rPr>
            </w:pPr>
            <w:r w:rsidRPr="00E07170">
              <w:rPr>
                <w:szCs w:val="20"/>
                <w:lang w:eastAsia="cs-CZ"/>
              </w:rPr>
              <w:t>0</w:t>
            </w:r>
            <w:r w:rsidR="004F5F70" w:rsidRPr="00E07170">
              <w:rPr>
                <w:szCs w:val="20"/>
                <w:lang w:eastAsia="cs-CZ"/>
              </w:rPr>
              <w:t>,000</w:t>
            </w:r>
          </w:p>
        </w:tc>
        <w:tc>
          <w:tcPr>
            <w:tcW w:w="908" w:type="dxa"/>
            <w:shd w:val="clear" w:color="auto" w:fill="auto"/>
            <w:noWrap/>
            <w:vAlign w:val="center"/>
          </w:tcPr>
          <w:p w14:paraId="4DAA66A4" w14:textId="77777777" w:rsidR="00A80189" w:rsidRPr="00E07170" w:rsidRDefault="00A80189" w:rsidP="00A80189">
            <w:pPr>
              <w:jc w:val="right"/>
              <w:rPr>
                <w:szCs w:val="20"/>
                <w:lang w:eastAsia="cs-CZ"/>
              </w:rPr>
            </w:pPr>
            <w:r w:rsidRPr="00E07170">
              <w:rPr>
                <w:szCs w:val="20"/>
                <w:lang w:eastAsia="cs-CZ"/>
              </w:rPr>
              <w:t>0</w:t>
            </w:r>
            <w:r w:rsidR="004F5F70" w:rsidRPr="00E07170">
              <w:rPr>
                <w:szCs w:val="20"/>
                <w:lang w:eastAsia="cs-CZ"/>
              </w:rPr>
              <w:t>,000</w:t>
            </w:r>
          </w:p>
        </w:tc>
        <w:tc>
          <w:tcPr>
            <w:tcW w:w="841" w:type="dxa"/>
            <w:shd w:val="clear" w:color="auto" w:fill="auto"/>
            <w:noWrap/>
            <w:vAlign w:val="center"/>
          </w:tcPr>
          <w:p w14:paraId="1D30920C" w14:textId="77777777" w:rsidR="00A80189" w:rsidRPr="00E07170" w:rsidRDefault="0097459F" w:rsidP="00A80189">
            <w:pPr>
              <w:jc w:val="right"/>
              <w:rPr>
                <w:szCs w:val="20"/>
                <w:lang w:eastAsia="cs-CZ"/>
              </w:rPr>
            </w:pPr>
            <w:r w:rsidRPr="00E07170">
              <w:rPr>
                <w:szCs w:val="20"/>
                <w:lang w:eastAsia="cs-CZ"/>
              </w:rPr>
              <w:t>0</w:t>
            </w:r>
            <w:r w:rsidR="004F5F70" w:rsidRPr="00E07170">
              <w:rPr>
                <w:szCs w:val="20"/>
                <w:lang w:eastAsia="cs-CZ"/>
              </w:rPr>
              <w:t>,000</w:t>
            </w:r>
          </w:p>
        </w:tc>
      </w:tr>
      <w:tr w:rsidR="00A80189" w:rsidRPr="00C646C5" w14:paraId="34977EDB" w14:textId="77777777" w:rsidTr="00FF655B">
        <w:trPr>
          <w:trHeight w:val="283"/>
          <w:jc w:val="center"/>
        </w:trPr>
        <w:tc>
          <w:tcPr>
            <w:tcW w:w="3514" w:type="dxa"/>
            <w:shd w:val="clear" w:color="auto" w:fill="auto"/>
            <w:noWrap/>
            <w:vAlign w:val="center"/>
          </w:tcPr>
          <w:p w14:paraId="4EE95DDE" w14:textId="77777777" w:rsidR="00A80189" w:rsidRPr="00DF22EA" w:rsidRDefault="0097459F" w:rsidP="00A80189">
            <w:pPr>
              <w:pStyle w:val="7tabulka"/>
              <w:spacing w:before="20" w:after="20"/>
              <w:jc w:val="left"/>
              <w:rPr>
                <w:szCs w:val="20"/>
                <w:lang w:eastAsia="cs-CZ"/>
              </w:rPr>
            </w:pPr>
            <w:r w:rsidRPr="00DF22EA">
              <w:rPr>
                <w:szCs w:val="20"/>
                <w:lang w:eastAsia="cs-CZ"/>
              </w:rPr>
              <w:t>Plochy smíšené obytné – městské (SM)</w:t>
            </w:r>
          </w:p>
        </w:tc>
        <w:tc>
          <w:tcPr>
            <w:tcW w:w="1070" w:type="dxa"/>
            <w:shd w:val="clear" w:color="auto" w:fill="F2F2F2" w:themeFill="background1" w:themeFillShade="F2"/>
            <w:vAlign w:val="center"/>
          </w:tcPr>
          <w:p w14:paraId="69C2DA00" w14:textId="77777777" w:rsidR="00A80189" w:rsidRPr="00E07170" w:rsidRDefault="00DF22EA" w:rsidP="00A80189">
            <w:pPr>
              <w:jc w:val="right"/>
              <w:rPr>
                <w:szCs w:val="20"/>
                <w:lang w:eastAsia="cs-CZ"/>
              </w:rPr>
            </w:pPr>
            <w:r w:rsidRPr="00E07170">
              <w:rPr>
                <w:szCs w:val="20"/>
                <w:lang w:eastAsia="cs-CZ"/>
              </w:rPr>
              <w:t>5,724</w:t>
            </w:r>
          </w:p>
        </w:tc>
        <w:tc>
          <w:tcPr>
            <w:tcW w:w="849" w:type="dxa"/>
            <w:shd w:val="clear" w:color="auto" w:fill="auto"/>
            <w:noWrap/>
            <w:vAlign w:val="center"/>
          </w:tcPr>
          <w:p w14:paraId="73320F5C" w14:textId="77777777" w:rsidR="00A80189" w:rsidRPr="00E07170" w:rsidRDefault="0097459F" w:rsidP="00A80189">
            <w:pPr>
              <w:jc w:val="right"/>
              <w:rPr>
                <w:szCs w:val="20"/>
                <w:lang w:eastAsia="cs-CZ"/>
              </w:rPr>
            </w:pPr>
            <w:r w:rsidRPr="00E07170">
              <w:rPr>
                <w:szCs w:val="20"/>
                <w:lang w:eastAsia="cs-CZ"/>
              </w:rPr>
              <w:t>0,767</w:t>
            </w:r>
          </w:p>
        </w:tc>
        <w:tc>
          <w:tcPr>
            <w:tcW w:w="916" w:type="dxa"/>
            <w:shd w:val="clear" w:color="auto" w:fill="auto"/>
            <w:noWrap/>
            <w:vAlign w:val="center"/>
          </w:tcPr>
          <w:p w14:paraId="628422B2" w14:textId="77777777" w:rsidR="00A80189" w:rsidRPr="00E07170" w:rsidRDefault="00DF22EA" w:rsidP="00A80189">
            <w:pPr>
              <w:jc w:val="right"/>
              <w:rPr>
                <w:szCs w:val="20"/>
                <w:lang w:eastAsia="cs-CZ"/>
              </w:rPr>
            </w:pPr>
            <w:r w:rsidRPr="00E07170">
              <w:rPr>
                <w:szCs w:val="20"/>
                <w:lang w:eastAsia="cs-CZ"/>
              </w:rPr>
              <w:t>3,190</w:t>
            </w:r>
          </w:p>
        </w:tc>
        <w:tc>
          <w:tcPr>
            <w:tcW w:w="954" w:type="dxa"/>
            <w:shd w:val="clear" w:color="auto" w:fill="auto"/>
            <w:noWrap/>
            <w:vAlign w:val="center"/>
          </w:tcPr>
          <w:p w14:paraId="0234049F" w14:textId="77777777" w:rsidR="00A80189" w:rsidRPr="00E07170" w:rsidRDefault="00E15AA5" w:rsidP="00A80189">
            <w:pPr>
              <w:jc w:val="right"/>
              <w:rPr>
                <w:szCs w:val="20"/>
                <w:lang w:eastAsia="cs-CZ"/>
              </w:rPr>
            </w:pPr>
            <w:r w:rsidRPr="00E07170">
              <w:rPr>
                <w:szCs w:val="20"/>
                <w:lang w:eastAsia="cs-CZ"/>
              </w:rPr>
              <w:t>1,767</w:t>
            </w:r>
          </w:p>
        </w:tc>
        <w:tc>
          <w:tcPr>
            <w:tcW w:w="908" w:type="dxa"/>
            <w:shd w:val="clear" w:color="auto" w:fill="auto"/>
            <w:noWrap/>
            <w:vAlign w:val="center"/>
          </w:tcPr>
          <w:p w14:paraId="20A20834" w14:textId="77777777" w:rsidR="00A80189" w:rsidRPr="00E07170" w:rsidRDefault="004F5F70" w:rsidP="00A80189">
            <w:pPr>
              <w:jc w:val="right"/>
              <w:rPr>
                <w:szCs w:val="20"/>
                <w:lang w:eastAsia="cs-CZ"/>
              </w:rPr>
            </w:pPr>
            <w:r w:rsidRPr="00E07170">
              <w:rPr>
                <w:szCs w:val="20"/>
                <w:lang w:eastAsia="cs-CZ"/>
              </w:rPr>
              <w:t>0,000</w:t>
            </w:r>
          </w:p>
        </w:tc>
        <w:tc>
          <w:tcPr>
            <w:tcW w:w="841" w:type="dxa"/>
            <w:shd w:val="clear" w:color="auto" w:fill="auto"/>
            <w:noWrap/>
            <w:vAlign w:val="center"/>
          </w:tcPr>
          <w:p w14:paraId="03216E77" w14:textId="77777777" w:rsidR="00A80189" w:rsidRPr="00E07170" w:rsidRDefault="004F5F70" w:rsidP="00A80189">
            <w:pPr>
              <w:jc w:val="right"/>
              <w:rPr>
                <w:szCs w:val="20"/>
                <w:lang w:eastAsia="cs-CZ"/>
              </w:rPr>
            </w:pPr>
            <w:r w:rsidRPr="00E07170">
              <w:rPr>
                <w:szCs w:val="20"/>
                <w:lang w:eastAsia="cs-CZ"/>
              </w:rPr>
              <w:t>0,000</w:t>
            </w:r>
          </w:p>
        </w:tc>
      </w:tr>
      <w:tr w:rsidR="00A80189" w:rsidRPr="00E07170" w14:paraId="0509D12A" w14:textId="77777777" w:rsidTr="00E15AA5">
        <w:trPr>
          <w:trHeight w:val="283"/>
          <w:jc w:val="center"/>
        </w:trPr>
        <w:tc>
          <w:tcPr>
            <w:tcW w:w="3514" w:type="dxa"/>
            <w:shd w:val="clear" w:color="auto" w:fill="auto"/>
            <w:noWrap/>
            <w:vAlign w:val="center"/>
            <w:hideMark/>
          </w:tcPr>
          <w:p w14:paraId="32EA772C" w14:textId="77777777" w:rsidR="00A80189" w:rsidRPr="00DF22EA" w:rsidRDefault="008E008E" w:rsidP="00A80189">
            <w:pPr>
              <w:pStyle w:val="7tabulka"/>
              <w:spacing w:before="20" w:after="20"/>
              <w:jc w:val="left"/>
              <w:rPr>
                <w:szCs w:val="20"/>
                <w:lang w:eastAsia="cs-CZ"/>
              </w:rPr>
            </w:pPr>
            <w:r w:rsidRPr="00DF22EA">
              <w:rPr>
                <w:szCs w:val="20"/>
                <w:lang w:eastAsia="cs-CZ"/>
              </w:rPr>
              <w:t>Plochy smíšené obytné – venkovské (SV)</w:t>
            </w:r>
          </w:p>
        </w:tc>
        <w:tc>
          <w:tcPr>
            <w:tcW w:w="1070" w:type="dxa"/>
            <w:shd w:val="clear" w:color="auto" w:fill="F2F2F2" w:themeFill="background1" w:themeFillShade="F2"/>
            <w:vAlign w:val="center"/>
          </w:tcPr>
          <w:p w14:paraId="67EA94C5" w14:textId="77777777" w:rsidR="00A80189" w:rsidRPr="00E07170" w:rsidRDefault="00E93864" w:rsidP="00A80189">
            <w:pPr>
              <w:pStyle w:val="7tabulka"/>
              <w:spacing w:before="20" w:after="20"/>
              <w:jc w:val="right"/>
              <w:rPr>
                <w:szCs w:val="20"/>
                <w:lang w:eastAsia="cs-CZ"/>
              </w:rPr>
            </w:pPr>
            <w:r w:rsidRPr="00E07170">
              <w:rPr>
                <w:szCs w:val="20"/>
                <w:lang w:eastAsia="cs-CZ"/>
              </w:rPr>
              <w:t>11,060</w:t>
            </w:r>
          </w:p>
        </w:tc>
        <w:tc>
          <w:tcPr>
            <w:tcW w:w="849" w:type="dxa"/>
            <w:shd w:val="clear" w:color="auto" w:fill="auto"/>
            <w:noWrap/>
            <w:vAlign w:val="center"/>
          </w:tcPr>
          <w:p w14:paraId="2D5A35D7" w14:textId="77777777" w:rsidR="00A80189" w:rsidRPr="00E07170" w:rsidRDefault="004F5F70" w:rsidP="004F5F70">
            <w:pPr>
              <w:pStyle w:val="7tabulka"/>
              <w:spacing w:before="20" w:after="20"/>
              <w:jc w:val="right"/>
              <w:rPr>
                <w:szCs w:val="20"/>
                <w:lang w:eastAsia="cs-CZ"/>
              </w:rPr>
            </w:pPr>
            <w:r w:rsidRPr="00E07170">
              <w:rPr>
                <w:szCs w:val="20"/>
                <w:lang w:eastAsia="cs-CZ"/>
              </w:rPr>
              <w:t>0,636</w:t>
            </w:r>
          </w:p>
        </w:tc>
        <w:tc>
          <w:tcPr>
            <w:tcW w:w="916" w:type="dxa"/>
            <w:shd w:val="clear" w:color="auto" w:fill="auto"/>
            <w:noWrap/>
            <w:vAlign w:val="center"/>
          </w:tcPr>
          <w:p w14:paraId="78D03EA3" w14:textId="77777777" w:rsidR="00A80189" w:rsidRPr="00E07170" w:rsidRDefault="00E93864" w:rsidP="00A80189">
            <w:pPr>
              <w:pStyle w:val="7tabulka"/>
              <w:spacing w:before="20" w:after="20"/>
              <w:jc w:val="right"/>
              <w:rPr>
                <w:szCs w:val="20"/>
                <w:lang w:eastAsia="cs-CZ"/>
              </w:rPr>
            </w:pPr>
            <w:r w:rsidRPr="00E07170">
              <w:rPr>
                <w:szCs w:val="20"/>
                <w:lang w:eastAsia="cs-CZ"/>
              </w:rPr>
              <w:t>4,211</w:t>
            </w:r>
          </w:p>
        </w:tc>
        <w:tc>
          <w:tcPr>
            <w:tcW w:w="954" w:type="dxa"/>
            <w:shd w:val="clear" w:color="auto" w:fill="auto"/>
            <w:noWrap/>
            <w:vAlign w:val="center"/>
          </w:tcPr>
          <w:p w14:paraId="67FFE2A2" w14:textId="77777777" w:rsidR="00A80189" w:rsidRPr="00E07170" w:rsidRDefault="004F5F70" w:rsidP="00A80189">
            <w:pPr>
              <w:pStyle w:val="7tabulka"/>
              <w:spacing w:before="20" w:after="20"/>
              <w:jc w:val="right"/>
              <w:rPr>
                <w:szCs w:val="20"/>
                <w:lang w:eastAsia="cs-CZ"/>
              </w:rPr>
            </w:pPr>
            <w:r w:rsidRPr="00E07170">
              <w:rPr>
                <w:szCs w:val="20"/>
                <w:lang w:eastAsia="cs-CZ"/>
              </w:rPr>
              <w:t>3,725</w:t>
            </w:r>
          </w:p>
        </w:tc>
        <w:tc>
          <w:tcPr>
            <w:tcW w:w="908" w:type="dxa"/>
            <w:shd w:val="clear" w:color="auto" w:fill="auto"/>
            <w:noWrap/>
            <w:vAlign w:val="center"/>
          </w:tcPr>
          <w:p w14:paraId="5EA63E96" w14:textId="77777777" w:rsidR="00A80189" w:rsidRPr="00E07170" w:rsidRDefault="008E008E" w:rsidP="00A80189">
            <w:pPr>
              <w:pStyle w:val="7tabulka"/>
              <w:spacing w:before="20" w:after="20"/>
              <w:jc w:val="right"/>
              <w:rPr>
                <w:szCs w:val="20"/>
                <w:lang w:eastAsia="cs-CZ"/>
              </w:rPr>
            </w:pPr>
            <w:r w:rsidRPr="00E07170">
              <w:rPr>
                <w:szCs w:val="20"/>
                <w:lang w:eastAsia="cs-CZ"/>
              </w:rPr>
              <w:t>1,63</w:t>
            </w:r>
            <w:r w:rsidR="009626C9" w:rsidRPr="00E07170">
              <w:rPr>
                <w:szCs w:val="20"/>
                <w:lang w:eastAsia="cs-CZ"/>
              </w:rPr>
              <w:t>4</w:t>
            </w:r>
          </w:p>
        </w:tc>
        <w:tc>
          <w:tcPr>
            <w:tcW w:w="841" w:type="dxa"/>
            <w:shd w:val="clear" w:color="auto" w:fill="auto"/>
            <w:noWrap/>
            <w:vAlign w:val="center"/>
          </w:tcPr>
          <w:p w14:paraId="2ABBE340" w14:textId="77777777" w:rsidR="00A80189" w:rsidRPr="00E07170" w:rsidRDefault="00E93864" w:rsidP="00A80189">
            <w:pPr>
              <w:pStyle w:val="7tabulka"/>
              <w:spacing w:before="20" w:after="20"/>
              <w:jc w:val="right"/>
              <w:rPr>
                <w:szCs w:val="20"/>
                <w:lang w:eastAsia="cs-CZ"/>
              </w:rPr>
            </w:pPr>
            <w:r w:rsidRPr="00E07170">
              <w:rPr>
                <w:szCs w:val="20"/>
                <w:lang w:eastAsia="cs-CZ"/>
              </w:rPr>
              <w:t>0,853</w:t>
            </w:r>
          </w:p>
        </w:tc>
      </w:tr>
      <w:tr w:rsidR="008E008E" w:rsidRPr="00C646C5" w14:paraId="4F0D74E7" w14:textId="77777777" w:rsidTr="00FF655B">
        <w:trPr>
          <w:trHeight w:val="283"/>
          <w:jc w:val="center"/>
        </w:trPr>
        <w:tc>
          <w:tcPr>
            <w:tcW w:w="3514" w:type="dxa"/>
            <w:shd w:val="clear" w:color="auto" w:fill="auto"/>
            <w:noWrap/>
            <w:vAlign w:val="center"/>
          </w:tcPr>
          <w:p w14:paraId="64A9F399" w14:textId="77777777" w:rsidR="008E008E" w:rsidRPr="00DF22EA" w:rsidRDefault="008E008E" w:rsidP="00A80189">
            <w:pPr>
              <w:pStyle w:val="7tabulka"/>
              <w:spacing w:before="20" w:after="20"/>
              <w:jc w:val="left"/>
              <w:rPr>
                <w:szCs w:val="20"/>
                <w:lang w:eastAsia="cs-CZ"/>
              </w:rPr>
            </w:pPr>
            <w:r w:rsidRPr="00DF22EA">
              <w:rPr>
                <w:szCs w:val="20"/>
                <w:lang w:eastAsia="cs-CZ"/>
              </w:rPr>
              <w:t>Drobná a řemeslná výroba (VD)</w:t>
            </w:r>
          </w:p>
        </w:tc>
        <w:tc>
          <w:tcPr>
            <w:tcW w:w="1070" w:type="dxa"/>
            <w:shd w:val="clear" w:color="auto" w:fill="F2F2F2" w:themeFill="background1" w:themeFillShade="F2"/>
            <w:vAlign w:val="center"/>
          </w:tcPr>
          <w:p w14:paraId="66F32F63" w14:textId="77777777" w:rsidR="008E008E" w:rsidRPr="00E07170" w:rsidRDefault="008E008E" w:rsidP="00A80189">
            <w:pPr>
              <w:pStyle w:val="7tabulka"/>
              <w:spacing w:before="20" w:after="20"/>
              <w:jc w:val="right"/>
              <w:rPr>
                <w:szCs w:val="20"/>
                <w:lang w:eastAsia="cs-CZ"/>
              </w:rPr>
            </w:pPr>
            <w:r w:rsidRPr="00E07170">
              <w:rPr>
                <w:szCs w:val="20"/>
                <w:lang w:eastAsia="cs-CZ"/>
              </w:rPr>
              <w:t>2,559</w:t>
            </w:r>
          </w:p>
        </w:tc>
        <w:tc>
          <w:tcPr>
            <w:tcW w:w="849" w:type="dxa"/>
            <w:shd w:val="clear" w:color="auto" w:fill="auto"/>
            <w:noWrap/>
            <w:vAlign w:val="center"/>
          </w:tcPr>
          <w:p w14:paraId="1A6DDE01" w14:textId="77777777" w:rsidR="008E008E" w:rsidRPr="00E07170" w:rsidRDefault="008E008E" w:rsidP="00A80189">
            <w:pPr>
              <w:pStyle w:val="7tabulka"/>
              <w:spacing w:before="20" w:after="20"/>
              <w:jc w:val="right"/>
              <w:rPr>
                <w:szCs w:val="20"/>
                <w:lang w:eastAsia="cs-CZ"/>
              </w:rPr>
            </w:pPr>
            <w:r w:rsidRPr="00E07170">
              <w:rPr>
                <w:szCs w:val="20"/>
                <w:lang w:eastAsia="cs-CZ"/>
              </w:rPr>
              <w:t>1,144</w:t>
            </w:r>
          </w:p>
        </w:tc>
        <w:tc>
          <w:tcPr>
            <w:tcW w:w="916" w:type="dxa"/>
            <w:shd w:val="clear" w:color="auto" w:fill="auto"/>
            <w:noWrap/>
            <w:vAlign w:val="center"/>
          </w:tcPr>
          <w:p w14:paraId="03EA9B91" w14:textId="77777777" w:rsidR="008E008E" w:rsidRPr="00E07170" w:rsidRDefault="008E008E" w:rsidP="00A80189">
            <w:pPr>
              <w:pStyle w:val="7tabulka"/>
              <w:spacing w:before="20" w:after="20"/>
              <w:jc w:val="right"/>
              <w:rPr>
                <w:szCs w:val="20"/>
                <w:lang w:eastAsia="cs-CZ"/>
              </w:rPr>
            </w:pPr>
            <w:r w:rsidRPr="00E07170">
              <w:rPr>
                <w:szCs w:val="20"/>
                <w:lang w:eastAsia="cs-CZ"/>
              </w:rPr>
              <w:t>1,414</w:t>
            </w:r>
          </w:p>
        </w:tc>
        <w:tc>
          <w:tcPr>
            <w:tcW w:w="954" w:type="dxa"/>
            <w:shd w:val="clear" w:color="auto" w:fill="auto"/>
            <w:noWrap/>
            <w:vAlign w:val="center"/>
          </w:tcPr>
          <w:p w14:paraId="5A5EBCED" w14:textId="77777777" w:rsidR="008E008E" w:rsidRPr="00E07170" w:rsidRDefault="008E008E" w:rsidP="00A80189">
            <w:pPr>
              <w:pStyle w:val="7tabulka"/>
              <w:spacing w:before="20" w:after="20"/>
              <w:jc w:val="right"/>
              <w:rPr>
                <w:szCs w:val="20"/>
                <w:lang w:eastAsia="cs-CZ"/>
              </w:rPr>
            </w:pPr>
            <w:r w:rsidRPr="00E07170">
              <w:rPr>
                <w:szCs w:val="20"/>
                <w:lang w:eastAsia="cs-CZ"/>
              </w:rPr>
              <w:t>0</w:t>
            </w:r>
            <w:r w:rsidR="00C646C5" w:rsidRPr="00E07170">
              <w:rPr>
                <w:szCs w:val="20"/>
                <w:lang w:eastAsia="cs-CZ"/>
              </w:rPr>
              <w:t>,000</w:t>
            </w:r>
          </w:p>
        </w:tc>
        <w:tc>
          <w:tcPr>
            <w:tcW w:w="908" w:type="dxa"/>
            <w:shd w:val="clear" w:color="auto" w:fill="auto"/>
            <w:noWrap/>
            <w:vAlign w:val="center"/>
          </w:tcPr>
          <w:p w14:paraId="7F82B339" w14:textId="77777777" w:rsidR="008E008E" w:rsidRPr="00E07170" w:rsidRDefault="008E008E" w:rsidP="00A80189">
            <w:pPr>
              <w:pStyle w:val="7tabulka"/>
              <w:spacing w:before="20" w:after="20"/>
              <w:jc w:val="right"/>
              <w:rPr>
                <w:szCs w:val="20"/>
                <w:lang w:eastAsia="cs-CZ"/>
              </w:rPr>
            </w:pPr>
            <w:r w:rsidRPr="00E07170">
              <w:rPr>
                <w:szCs w:val="20"/>
                <w:lang w:eastAsia="cs-CZ"/>
              </w:rPr>
              <w:t>0</w:t>
            </w:r>
            <w:r w:rsidR="00C646C5" w:rsidRPr="00E07170">
              <w:rPr>
                <w:szCs w:val="20"/>
                <w:lang w:eastAsia="cs-CZ"/>
              </w:rPr>
              <w:t>,000</w:t>
            </w:r>
          </w:p>
        </w:tc>
        <w:tc>
          <w:tcPr>
            <w:tcW w:w="841" w:type="dxa"/>
            <w:shd w:val="clear" w:color="auto" w:fill="auto"/>
            <w:noWrap/>
            <w:vAlign w:val="center"/>
          </w:tcPr>
          <w:p w14:paraId="54229DD2" w14:textId="77777777" w:rsidR="008E008E" w:rsidRPr="00E07170" w:rsidRDefault="00B8016F" w:rsidP="00A80189">
            <w:pPr>
              <w:pStyle w:val="7tabulka"/>
              <w:spacing w:before="20" w:after="20"/>
              <w:jc w:val="right"/>
              <w:rPr>
                <w:szCs w:val="20"/>
                <w:lang w:eastAsia="cs-CZ"/>
              </w:rPr>
            </w:pPr>
            <w:r w:rsidRPr="00E07170">
              <w:rPr>
                <w:szCs w:val="20"/>
                <w:lang w:eastAsia="cs-CZ"/>
              </w:rPr>
              <w:t>0,000</w:t>
            </w:r>
          </w:p>
        </w:tc>
      </w:tr>
      <w:tr w:rsidR="008E008E" w:rsidRPr="00C646C5" w14:paraId="31326A49" w14:textId="77777777" w:rsidTr="00FF655B">
        <w:trPr>
          <w:trHeight w:val="283"/>
          <w:jc w:val="center"/>
        </w:trPr>
        <w:tc>
          <w:tcPr>
            <w:tcW w:w="3514" w:type="dxa"/>
            <w:shd w:val="clear" w:color="auto" w:fill="auto"/>
            <w:noWrap/>
            <w:vAlign w:val="center"/>
          </w:tcPr>
          <w:p w14:paraId="524AA62C" w14:textId="77777777" w:rsidR="008E008E" w:rsidRPr="00DF22EA" w:rsidRDefault="008E008E" w:rsidP="00A80189">
            <w:pPr>
              <w:pStyle w:val="7tabulka"/>
              <w:spacing w:before="20" w:after="20"/>
              <w:jc w:val="left"/>
              <w:rPr>
                <w:szCs w:val="20"/>
                <w:lang w:eastAsia="cs-CZ"/>
              </w:rPr>
            </w:pPr>
            <w:r w:rsidRPr="00DF22EA">
              <w:rPr>
                <w:szCs w:val="20"/>
                <w:lang w:eastAsia="cs-CZ"/>
              </w:rPr>
              <w:t>Lehký průmysl (VL)</w:t>
            </w:r>
          </w:p>
        </w:tc>
        <w:tc>
          <w:tcPr>
            <w:tcW w:w="1070" w:type="dxa"/>
            <w:shd w:val="clear" w:color="auto" w:fill="F2F2F2" w:themeFill="background1" w:themeFillShade="F2"/>
            <w:vAlign w:val="center"/>
          </w:tcPr>
          <w:p w14:paraId="14D5C12D" w14:textId="69A847E9" w:rsidR="008E008E" w:rsidRPr="00E07170" w:rsidRDefault="00E07170" w:rsidP="00A80189">
            <w:pPr>
              <w:pStyle w:val="7tabulka"/>
              <w:spacing w:before="20" w:after="20"/>
              <w:jc w:val="right"/>
              <w:rPr>
                <w:szCs w:val="20"/>
                <w:lang w:eastAsia="cs-CZ"/>
              </w:rPr>
            </w:pPr>
            <w:r>
              <w:rPr>
                <w:szCs w:val="20"/>
                <w:lang w:eastAsia="cs-CZ"/>
              </w:rPr>
              <w:t xml:space="preserve"> </w:t>
            </w:r>
            <w:r w:rsidRPr="00E07170">
              <w:rPr>
                <w:szCs w:val="20"/>
                <w:lang w:eastAsia="cs-CZ"/>
              </w:rPr>
              <w:t>12,733</w:t>
            </w:r>
          </w:p>
        </w:tc>
        <w:tc>
          <w:tcPr>
            <w:tcW w:w="849" w:type="dxa"/>
            <w:shd w:val="clear" w:color="auto" w:fill="auto"/>
            <w:noWrap/>
            <w:vAlign w:val="center"/>
          </w:tcPr>
          <w:p w14:paraId="676090FF" w14:textId="77777777" w:rsidR="008E008E" w:rsidRPr="00E07170" w:rsidRDefault="00C646C5" w:rsidP="00A80189">
            <w:pPr>
              <w:pStyle w:val="7tabulka"/>
              <w:spacing w:before="20" w:after="20"/>
              <w:jc w:val="right"/>
              <w:rPr>
                <w:szCs w:val="20"/>
                <w:lang w:eastAsia="cs-CZ"/>
              </w:rPr>
            </w:pPr>
            <w:r w:rsidRPr="00E07170">
              <w:rPr>
                <w:szCs w:val="20"/>
                <w:lang w:eastAsia="cs-CZ"/>
              </w:rPr>
              <w:t>2,277</w:t>
            </w:r>
          </w:p>
        </w:tc>
        <w:tc>
          <w:tcPr>
            <w:tcW w:w="916" w:type="dxa"/>
            <w:shd w:val="clear" w:color="auto" w:fill="auto"/>
            <w:noWrap/>
            <w:vAlign w:val="center"/>
          </w:tcPr>
          <w:p w14:paraId="7EA76292" w14:textId="77DBB060" w:rsidR="008E008E" w:rsidRPr="00E07170" w:rsidRDefault="00E07170" w:rsidP="00A80189">
            <w:pPr>
              <w:pStyle w:val="7tabulka"/>
              <w:spacing w:before="20" w:after="20"/>
              <w:jc w:val="right"/>
              <w:rPr>
                <w:szCs w:val="20"/>
                <w:lang w:eastAsia="cs-CZ"/>
              </w:rPr>
            </w:pPr>
            <w:r>
              <w:rPr>
                <w:szCs w:val="20"/>
                <w:lang w:eastAsia="cs-CZ"/>
              </w:rPr>
              <w:t xml:space="preserve"> </w:t>
            </w:r>
            <w:r w:rsidRPr="00E07170">
              <w:rPr>
                <w:szCs w:val="20"/>
                <w:lang w:eastAsia="cs-CZ"/>
              </w:rPr>
              <w:t>4,840</w:t>
            </w:r>
          </w:p>
        </w:tc>
        <w:tc>
          <w:tcPr>
            <w:tcW w:w="954" w:type="dxa"/>
            <w:shd w:val="clear" w:color="auto" w:fill="auto"/>
            <w:noWrap/>
            <w:vAlign w:val="center"/>
          </w:tcPr>
          <w:p w14:paraId="767D765E" w14:textId="77777777" w:rsidR="008E008E" w:rsidRPr="00E07170" w:rsidRDefault="001F4EC2" w:rsidP="00A80189">
            <w:pPr>
              <w:pStyle w:val="7tabulka"/>
              <w:spacing w:before="20" w:after="20"/>
              <w:jc w:val="right"/>
              <w:rPr>
                <w:szCs w:val="20"/>
                <w:lang w:eastAsia="cs-CZ"/>
              </w:rPr>
            </w:pPr>
            <w:r w:rsidRPr="00E07170">
              <w:rPr>
                <w:szCs w:val="20"/>
                <w:lang w:eastAsia="cs-CZ"/>
              </w:rPr>
              <w:t xml:space="preserve"> 5,617</w:t>
            </w:r>
          </w:p>
        </w:tc>
        <w:tc>
          <w:tcPr>
            <w:tcW w:w="908" w:type="dxa"/>
            <w:shd w:val="clear" w:color="auto" w:fill="auto"/>
            <w:noWrap/>
            <w:vAlign w:val="center"/>
          </w:tcPr>
          <w:p w14:paraId="4632F3C0" w14:textId="77777777" w:rsidR="008E008E" w:rsidRPr="00E07170" w:rsidRDefault="008E008E" w:rsidP="00A80189">
            <w:pPr>
              <w:pStyle w:val="7tabulka"/>
              <w:spacing w:before="20" w:after="20"/>
              <w:jc w:val="right"/>
              <w:rPr>
                <w:szCs w:val="20"/>
                <w:lang w:eastAsia="cs-CZ"/>
              </w:rPr>
            </w:pPr>
            <w:r w:rsidRPr="00E07170">
              <w:rPr>
                <w:szCs w:val="20"/>
                <w:lang w:eastAsia="cs-CZ"/>
              </w:rPr>
              <w:t>0</w:t>
            </w:r>
            <w:r w:rsidR="00C646C5" w:rsidRPr="00E07170">
              <w:rPr>
                <w:szCs w:val="20"/>
                <w:lang w:eastAsia="cs-CZ"/>
              </w:rPr>
              <w:t>,000</w:t>
            </w:r>
          </w:p>
        </w:tc>
        <w:tc>
          <w:tcPr>
            <w:tcW w:w="841" w:type="dxa"/>
            <w:shd w:val="clear" w:color="auto" w:fill="auto"/>
            <w:noWrap/>
            <w:vAlign w:val="center"/>
          </w:tcPr>
          <w:p w14:paraId="2BBDF37A" w14:textId="77777777" w:rsidR="008E008E" w:rsidRPr="00E07170" w:rsidRDefault="00C646C5" w:rsidP="001F4EC2">
            <w:pPr>
              <w:pStyle w:val="7tabulka"/>
              <w:spacing w:before="20" w:after="20"/>
              <w:jc w:val="right"/>
              <w:rPr>
                <w:szCs w:val="20"/>
                <w:lang w:eastAsia="cs-CZ"/>
              </w:rPr>
            </w:pPr>
            <w:r w:rsidRPr="00E07170">
              <w:rPr>
                <w:szCs w:val="20"/>
                <w:lang w:eastAsia="cs-CZ"/>
              </w:rPr>
              <w:t>0,000</w:t>
            </w:r>
          </w:p>
        </w:tc>
      </w:tr>
      <w:tr w:rsidR="008E008E" w:rsidRPr="00C646C5" w14:paraId="61C496A8" w14:textId="77777777" w:rsidTr="00FF655B">
        <w:trPr>
          <w:trHeight w:val="283"/>
          <w:jc w:val="center"/>
        </w:trPr>
        <w:tc>
          <w:tcPr>
            <w:tcW w:w="3514" w:type="dxa"/>
            <w:shd w:val="clear" w:color="auto" w:fill="auto"/>
            <w:noWrap/>
            <w:vAlign w:val="center"/>
          </w:tcPr>
          <w:p w14:paraId="762439A0" w14:textId="77777777" w:rsidR="008E008E" w:rsidRPr="00DF22EA" w:rsidRDefault="008E008E" w:rsidP="00A80189">
            <w:pPr>
              <w:pStyle w:val="7tabulka"/>
              <w:spacing w:before="20" w:after="20"/>
              <w:jc w:val="left"/>
              <w:rPr>
                <w:szCs w:val="20"/>
                <w:lang w:eastAsia="cs-CZ"/>
              </w:rPr>
            </w:pPr>
            <w:r w:rsidRPr="00DF22EA">
              <w:rPr>
                <w:szCs w:val="20"/>
                <w:lang w:eastAsia="cs-CZ"/>
              </w:rPr>
              <w:t>Výroba a skladování se specifickým využitím (VX)</w:t>
            </w:r>
          </w:p>
        </w:tc>
        <w:tc>
          <w:tcPr>
            <w:tcW w:w="1070" w:type="dxa"/>
            <w:shd w:val="clear" w:color="auto" w:fill="F2F2F2" w:themeFill="background1" w:themeFillShade="F2"/>
            <w:vAlign w:val="center"/>
          </w:tcPr>
          <w:p w14:paraId="66C3976C" w14:textId="77777777" w:rsidR="008E008E" w:rsidRPr="00E07170" w:rsidRDefault="00C646C5" w:rsidP="00A80189">
            <w:pPr>
              <w:pStyle w:val="7tabulka"/>
              <w:spacing w:before="20" w:after="20"/>
              <w:jc w:val="right"/>
              <w:rPr>
                <w:szCs w:val="20"/>
                <w:lang w:eastAsia="cs-CZ"/>
              </w:rPr>
            </w:pPr>
            <w:r w:rsidRPr="00E07170">
              <w:rPr>
                <w:szCs w:val="20"/>
                <w:lang w:eastAsia="cs-CZ"/>
              </w:rPr>
              <w:t>10,549</w:t>
            </w:r>
          </w:p>
        </w:tc>
        <w:tc>
          <w:tcPr>
            <w:tcW w:w="849" w:type="dxa"/>
            <w:shd w:val="clear" w:color="auto" w:fill="auto"/>
            <w:noWrap/>
            <w:vAlign w:val="center"/>
          </w:tcPr>
          <w:p w14:paraId="78950470" w14:textId="77777777" w:rsidR="008E008E" w:rsidRPr="00E07170" w:rsidRDefault="008E008E" w:rsidP="00A80189">
            <w:pPr>
              <w:pStyle w:val="7tabulka"/>
              <w:spacing w:before="20" w:after="20"/>
              <w:jc w:val="right"/>
              <w:rPr>
                <w:szCs w:val="20"/>
                <w:lang w:eastAsia="cs-CZ"/>
              </w:rPr>
            </w:pPr>
            <w:r w:rsidRPr="00E07170">
              <w:rPr>
                <w:szCs w:val="20"/>
                <w:lang w:eastAsia="cs-CZ"/>
              </w:rPr>
              <w:t>0</w:t>
            </w:r>
            <w:r w:rsidR="00C646C5" w:rsidRPr="00E07170">
              <w:rPr>
                <w:szCs w:val="20"/>
                <w:lang w:eastAsia="cs-CZ"/>
              </w:rPr>
              <w:t>,000</w:t>
            </w:r>
          </w:p>
        </w:tc>
        <w:tc>
          <w:tcPr>
            <w:tcW w:w="916" w:type="dxa"/>
            <w:shd w:val="clear" w:color="auto" w:fill="auto"/>
            <w:noWrap/>
            <w:vAlign w:val="center"/>
          </w:tcPr>
          <w:p w14:paraId="07D846B6" w14:textId="77777777" w:rsidR="008E008E" w:rsidRPr="00E07170" w:rsidRDefault="00C646C5" w:rsidP="00C646C5">
            <w:pPr>
              <w:pStyle w:val="7tabulka"/>
              <w:spacing w:before="20" w:after="20"/>
              <w:jc w:val="right"/>
              <w:rPr>
                <w:szCs w:val="20"/>
                <w:lang w:eastAsia="cs-CZ"/>
              </w:rPr>
            </w:pPr>
            <w:r w:rsidRPr="00E07170">
              <w:rPr>
                <w:szCs w:val="20"/>
                <w:lang w:eastAsia="cs-CZ"/>
              </w:rPr>
              <w:t>10,509</w:t>
            </w:r>
          </w:p>
        </w:tc>
        <w:tc>
          <w:tcPr>
            <w:tcW w:w="954" w:type="dxa"/>
            <w:shd w:val="clear" w:color="auto" w:fill="auto"/>
            <w:noWrap/>
            <w:vAlign w:val="center"/>
          </w:tcPr>
          <w:p w14:paraId="0F1D57B6" w14:textId="420A40F2" w:rsidR="008E008E" w:rsidRPr="00E07170" w:rsidRDefault="00C646C5" w:rsidP="00C646C5">
            <w:pPr>
              <w:pStyle w:val="7tabulka"/>
              <w:spacing w:before="20" w:after="20"/>
              <w:jc w:val="right"/>
              <w:rPr>
                <w:szCs w:val="20"/>
                <w:lang w:eastAsia="cs-CZ"/>
              </w:rPr>
            </w:pPr>
            <w:r w:rsidRPr="00E07170">
              <w:rPr>
                <w:szCs w:val="20"/>
                <w:lang w:eastAsia="cs-CZ"/>
              </w:rPr>
              <w:t>0,000</w:t>
            </w:r>
          </w:p>
        </w:tc>
        <w:tc>
          <w:tcPr>
            <w:tcW w:w="908" w:type="dxa"/>
            <w:shd w:val="clear" w:color="auto" w:fill="auto"/>
            <w:noWrap/>
            <w:vAlign w:val="center"/>
          </w:tcPr>
          <w:p w14:paraId="73BA9F4E" w14:textId="77777777" w:rsidR="008E008E" w:rsidRPr="00E07170" w:rsidRDefault="00B8016F" w:rsidP="00A80189">
            <w:pPr>
              <w:pStyle w:val="7tabulka"/>
              <w:spacing w:before="20" w:after="20"/>
              <w:jc w:val="right"/>
              <w:rPr>
                <w:szCs w:val="20"/>
                <w:lang w:eastAsia="cs-CZ"/>
              </w:rPr>
            </w:pPr>
            <w:r w:rsidRPr="00E07170">
              <w:rPr>
                <w:szCs w:val="20"/>
                <w:lang w:eastAsia="cs-CZ"/>
              </w:rPr>
              <w:t>0</w:t>
            </w:r>
            <w:r w:rsidR="00C646C5" w:rsidRPr="00E07170">
              <w:rPr>
                <w:szCs w:val="20"/>
                <w:lang w:eastAsia="cs-CZ"/>
              </w:rPr>
              <w:t>,000</w:t>
            </w:r>
          </w:p>
        </w:tc>
        <w:tc>
          <w:tcPr>
            <w:tcW w:w="841" w:type="dxa"/>
            <w:shd w:val="clear" w:color="auto" w:fill="auto"/>
            <w:noWrap/>
            <w:vAlign w:val="center"/>
          </w:tcPr>
          <w:p w14:paraId="597E6A65" w14:textId="77777777" w:rsidR="008E008E" w:rsidRPr="00E07170" w:rsidRDefault="008E008E" w:rsidP="008E008E">
            <w:pPr>
              <w:pStyle w:val="7tabulka"/>
              <w:spacing w:before="20" w:after="20"/>
              <w:jc w:val="right"/>
              <w:rPr>
                <w:szCs w:val="20"/>
                <w:lang w:eastAsia="cs-CZ"/>
              </w:rPr>
            </w:pPr>
            <w:r w:rsidRPr="00E07170">
              <w:rPr>
                <w:szCs w:val="20"/>
                <w:lang w:eastAsia="cs-CZ"/>
              </w:rPr>
              <w:t>0</w:t>
            </w:r>
            <w:r w:rsidR="00C646C5" w:rsidRPr="00E07170">
              <w:rPr>
                <w:szCs w:val="20"/>
                <w:lang w:eastAsia="cs-CZ"/>
              </w:rPr>
              <w:t>,040</w:t>
            </w:r>
          </w:p>
        </w:tc>
      </w:tr>
      <w:tr w:rsidR="00C646C5" w:rsidRPr="00C646C5" w14:paraId="5CC3D198" w14:textId="77777777" w:rsidTr="00FF655B">
        <w:trPr>
          <w:trHeight w:val="283"/>
          <w:jc w:val="center"/>
        </w:trPr>
        <w:tc>
          <w:tcPr>
            <w:tcW w:w="3514" w:type="dxa"/>
            <w:shd w:val="clear" w:color="auto" w:fill="auto"/>
            <w:noWrap/>
            <w:vAlign w:val="center"/>
          </w:tcPr>
          <w:p w14:paraId="4DD48F6F" w14:textId="77777777" w:rsidR="00C646C5" w:rsidRPr="00DF22EA" w:rsidRDefault="00C646C5" w:rsidP="00A80189">
            <w:pPr>
              <w:pStyle w:val="7tabulka"/>
              <w:spacing w:before="20" w:after="20"/>
              <w:jc w:val="left"/>
              <w:rPr>
                <w:szCs w:val="20"/>
                <w:lang w:eastAsia="cs-CZ"/>
              </w:rPr>
            </w:pPr>
            <w:r w:rsidRPr="00DF22EA">
              <w:rPr>
                <w:szCs w:val="20"/>
                <w:lang w:eastAsia="cs-CZ"/>
              </w:rPr>
              <w:t>Zemědělská výroba (VZ)</w:t>
            </w:r>
          </w:p>
        </w:tc>
        <w:tc>
          <w:tcPr>
            <w:tcW w:w="1070" w:type="dxa"/>
            <w:shd w:val="clear" w:color="auto" w:fill="F2F2F2" w:themeFill="background1" w:themeFillShade="F2"/>
            <w:vAlign w:val="center"/>
          </w:tcPr>
          <w:p w14:paraId="6E8F7E72" w14:textId="77777777" w:rsidR="00C646C5" w:rsidRPr="00E07170" w:rsidDel="00C646C5" w:rsidRDefault="00C646C5" w:rsidP="00A80189">
            <w:pPr>
              <w:pStyle w:val="7tabulka"/>
              <w:spacing w:before="20" w:after="20"/>
              <w:jc w:val="right"/>
              <w:rPr>
                <w:szCs w:val="20"/>
                <w:lang w:eastAsia="cs-CZ"/>
              </w:rPr>
            </w:pPr>
            <w:r w:rsidRPr="00E07170">
              <w:rPr>
                <w:szCs w:val="20"/>
                <w:lang w:eastAsia="cs-CZ"/>
              </w:rPr>
              <w:t>4,281</w:t>
            </w:r>
          </w:p>
        </w:tc>
        <w:tc>
          <w:tcPr>
            <w:tcW w:w="849" w:type="dxa"/>
            <w:shd w:val="clear" w:color="auto" w:fill="auto"/>
            <w:noWrap/>
            <w:vAlign w:val="center"/>
          </w:tcPr>
          <w:p w14:paraId="11F2D58D" w14:textId="77777777" w:rsidR="00C646C5" w:rsidRPr="00E07170" w:rsidDel="00C646C5" w:rsidRDefault="00C646C5" w:rsidP="00A80189">
            <w:pPr>
              <w:pStyle w:val="7tabulka"/>
              <w:spacing w:before="20" w:after="20"/>
              <w:jc w:val="right"/>
              <w:rPr>
                <w:szCs w:val="20"/>
                <w:lang w:eastAsia="cs-CZ"/>
              </w:rPr>
            </w:pPr>
            <w:r w:rsidRPr="00E07170">
              <w:rPr>
                <w:szCs w:val="20"/>
                <w:lang w:eastAsia="cs-CZ"/>
              </w:rPr>
              <w:t>0,019</w:t>
            </w:r>
          </w:p>
        </w:tc>
        <w:tc>
          <w:tcPr>
            <w:tcW w:w="916" w:type="dxa"/>
            <w:shd w:val="clear" w:color="auto" w:fill="auto"/>
            <w:noWrap/>
            <w:vAlign w:val="center"/>
          </w:tcPr>
          <w:p w14:paraId="2BF738B2" w14:textId="77777777" w:rsidR="00C646C5" w:rsidRPr="00E07170" w:rsidRDefault="00C646C5" w:rsidP="00C646C5">
            <w:pPr>
              <w:pStyle w:val="7tabulka"/>
              <w:spacing w:before="20" w:after="20"/>
              <w:jc w:val="right"/>
              <w:rPr>
                <w:szCs w:val="20"/>
                <w:lang w:eastAsia="cs-CZ"/>
              </w:rPr>
            </w:pPr>
            <w:r w:rsidRPr="00E07170">
              <w:rPr>
                <w:szCs w:val="20"/>
                <w:lang w:eastAsia="cs-CZ"/>
              </w:rPr>
              <w:t>0,000</w:t>
            </w:r>
          </w:p>
        </w:tc>
        <w:tc>
          <w:tcPr>
            <w:tcW w:w="954" w:type="dxa"/>
            <w:shd w:val="clear" w:color="auto" w:fill="auto"/>
            <w:noWrap/>
            <w:vAlign w:val="center"/>
          </w:tcPr>
          <w:p w14:paraId="4646E087" w14:textId="77777777" w:rsidR="00C646C5" w:rsidRPr="00E07170" w:rsidRDefault="00C646C5" w:rsidP="00A80189">
            <w:pPr>
              <w:pStyle w:val="7tabulka"/>
              <w:spacing w:before="20" w:after="20"/>
              <w:jc w:val="right"/>
              <w:rPr>
                <w:szCs w:val="20"/>
                <w:lang w:eastAsia="cs-CZ"/>
              </w:rPr>
            </w:pPr>
            <w:r w:rsidRPr="00E07170">
              <w:rPr>
                <w:szCs w:val="20"/>
                <w:lang w:eastAsia="cs-CZ"/>
              </w:rPr>
              <w:t>4,244</w:t>
            </w:r>
          </w:p>
        </w:tc>
        <w:tc>
          <w:tcPr>
            <w:tcW w:w="908" w:type="dxa"/>
            <w:shd w:val="clear" w:color="auto" w:fill="auto"/>
            <w:noWrap/>
            <w:vAlign w:val="center"/>
          </w:tcPr>
          <w:p w14:paraId="2820690C" w14:textId="77777777" w:rsidR="00C646C5" w:rsidRPr="00E07170" w:rsidRDefault="00C646C5" w:rsidP="00A80189">
            <w:pPr>
              <w:pStyle w:val="7tabulka"/>
              <w:spacing w:before="20" w:after="20"/>
              <w:jc w:val="right"/>
              <w:rPr>
                <w:szCs w:val="20"/>
                <w:lang w:eastAsia="cs-CZ"/>
              </w:rPr>
            </w:pPr>
            <w:r w:rsidRPr="00E07170">
              <w:rPr>
                <w:szCs w:val="20"/>
                <w:lang w:eastAsia="cs-CZ"/>
              </w:rPr>
              <w:t>0,018</w:t>
            </w:r>
          </w:p>
        </w:tc>
        <w:tc>
          <w:tcPr>
            <w:tcW w:w="841" w:type="dxa"/>
            <w:shd w:val="clear" w:color="auto" w:fill="auto"/>
            <w:noWrap/>
            <w:vAlign w:val="center"/>
          </w:tcPr>
          <w:p w14:paraId="7E6AA834" w14:textId="77777777" w:rsidR="00C646C5" w:rsidRPr="00E07170" w:rsidRDefault="00C646C5" w:rsidP="008E008E">
            <w:pPr>
              <w:pStyle w:val="7tabulka"/>
              <w:spacing w:before="20" w:after="20"/>
              <w:jc w:val="right"/>
              <w:rPr>
                <w:szCs w:val="20"/>
                <w:lang w:eastAsia="cs-CZ"/>
              </w:rPr>
            </w:pPr>
            <w:r w:rsidRPr="00E07170">
              <w:rPr>
                <w:szCs w:val="20"/>
                <w:lang w:eastAsia="cs-CZ"/>
              </w:rPr>
              <w:t>0,000</w:t>
            </w:r>
          </w:p>
        </w:tc>
      </w:tr>
      <w:tr w:rsidR="008E008E" w:rsidRPr="00C646C5" w14:paraId="2E7A3F3A" w14:textId="77777777" w:rsidTr="00FF655B">
        <w:trPr>
          <w:trHeight w:val="283"/>
          <w:jc w:val="center"/>
        </w:trPr>
        <w:tc>
          <w:tcPr>
            <w:tcW w:w="3514" w:type="dxa"/>
            <w:shd w:val="clear" w:color="auto" w:fill="auto"/>
            <w:noWrap/>
            <w:vAlign w:val="center"/>
          </w:tcPr>
          <w:p w14:paraId="5F4C940D" w14:textId="77777777" w:rsidR="008E008E" w:rsidRPr="00DF22EA" w:rsidRDefault="00A424A6" w:rsidP="00A80189">
            <w:pPr>
              <w:pStyle w:val="7tabulka"/>
              <w:spacing w:before="20" w:after="20"/>
              <w:jc w:val="left"/>
              <w:rPr>
                <w:szCs w:val="20"/>
                <w:lang w:eastAsia="cs-CZ"/>
              </w:rPr>
            </w:pPr>
            <w:r w:rsidRPr="00DF22EA">
              <w:rPr>
                <w:szCs w:val="20"/>
                <w:lang w:eastAsia="cs-CZ"/>
              </w:rPr>
              <w:t>Veřejná prostranství – veřejná zeleň (ZV)</w:t>
            </w:r>
          </w:p>
        </w:tc>
        <w:tc>
          <w:tcPr>
            <w:tcW w:w="1070" w:type="dxa"/>
            <w:shd w:val="clear" w:color="auto" w:fill="F2F2F2" w:themeFill="background1" w:themeFillShade="F2"/>
            <w:vAlign w:val="center"/>
          </w:tcPr>
          <w:p w14:paraId="17D89CC7" w14:textId="1E6A5750" w:rsidR="008E008E" w:rsidRPr="00E07170" w:rsidRDefault="00E07170" w:rsidP="00A80189">
            <w:pPr>
              <w:pStyle w:val="7tabulka"/>
              <w:spacing w:before="20" w:after="20"/>
              <w:jc w:val="right"/>
              <w:rPr>
                <w:szCs w:val="20"/>
                <w:lang w:eastAsia="cs-CZ"/>
              </w:rPr>
            </w:pPr>
            <w:r w:rsidRPr="00E07170">
              <w:rPr>
                <w:szCs w:val="20"/>
                <w:lang w:eastAsia="cs-CZ"/>
              </w:rPr>
              <w:t xml:space="preserve"> 0,501</w:t>
            </w:r>
          </w:p>
        </w:tc>
        <w:tc>
          <w:tcPr>
            <w:tcW w:w="849" w:type="dxa"/>
            <w:shd w:val="clear" w:color="auto" w:fill="auto"/>
            <w:noWrap/>
            <w:vAlign w:val="center"/>
          </w:tcPr>
          <w:p w14:paraId="6C0340E7" w14:textId="77777777" w:rsidR="008E008E" w:rsidRPr="00E07170" w:rsidRDefault="00C646C5" w:rsidP="00A80189">
            <w:pPr>
              <w:pStyle w:val="7tabulka"/>
              <w:spacing w:before="20" w:after="20"/>
              <w:jc w:val="right"/>
              <w:rPr>
                <w:szCs w:val="20"/>
                <w:lang w:eastAsia="cs-CZ"/>
              </w:rPr>
            </w:pPr>
            <w:r w:rsidRPr="00E07170">
              <w:rPr>
                <w:szCs w:val="20"/>
                <w:lang w:eastAsia="cs-CZ"/>
              </w:rPr>
              <w:t>0,000</w:t>
            </w:r>
          </w:p>
        </w:tc>
        <w:tc>
          <w:tcPr>
            <w:tcW w:w="916" w:type="dxa"/>
            <w:shd w:val="clear" w:color="auto" w:fill="auto"/>
            <w:noWrap/>
            <w:vAlign w:val="center"/>
          </w:tcPr>
          <w:p w14:paraId="53DDCA1D" w14:textId="70A451E8" w:rsidR="008E008E" w:rsidRPr="00E07170" w:rsidRDefault="00E07170" w:rsidP="00C646C5">
            <w:pPr>
              <w:pStyle w:val="7tabulka"/>
              <w:spacing w:before="20" w:after="20"/>
              <w:jc w:val="right"/>
              <w:rPr>
                <w:szCs w:val="20"/>
                <w:lang w:eastAsia="cs-CZ"/>
              </w:rPr>
            </w:pPr>
            <w:r w:rsidRPr="00E07170">
              <w:rPr>
                <w:szCs w:val="20"/>
                <w:lang w:eastAsia="cs-CZ"/>
              </w:rPr>
              <w:t xml:space="preserve"> 0,100</w:t>
            </w:r>
          </w:p>
        </w:tc>
        <w:tc>
          <w:tcPr>
            <w:tcW w:w="954" w:type="dxa"/>
            <w:shd w:val="clear" w:color="auto" w:fill="auto"/>
            <w:noWrap/>
            <w:vAlign w:val="center"/>
          </w:tcPr>
          <w:p w14:paraId="7E9F9F76" w14:textId="77777777" w:rsidR="008E008E" w:rsidRPr="00E07170" w:rsidRDefault="00B8016F" w:rsidP="00A80189">
            <w:pPr>
              <w:pStyle w:val="7tabulka"/>
              <w:spacing w:before="20" w:after="20"/>
              <w:jc w:val="right"/>
              <w:rPr>
                <w:szCs w:val="20"/>
                <w:lang w:eastAsia="cs-CZ"/>
              </w:rPr>
            </w:pPr>
            <w:r w:rsidRPr="00E07170">
              <w:rPr>
                <w:szCs w:val="20"/>
                <w:lang w:eastAsia="cs-CZ"/>
              </w:rPr>
              <w:t>0,</w:t>
            </w:r>
            <w:r w:rsidR="00C646C5" w:rsidRPr="00E07170">
              <w:rPr>
                <w:szCs w:val="20"/>
                <w:lang w:eastAsia="cs-CZ"/>
              </w:rPr>
              <w:t>401</w:t>
            </w:r>
          </w:p>
        </w:tc>
        <w:tc>
          <w:tcPr>
            <w:tcW w:w="908" w:type="dxa"/>
            <w:shd w:val="clear" w:color="auto" w:fill="auto"/>
            <w:noWrap/>
            <w:vAlign w:val="center"/>
          </w:tcPr>
          <w:p w14:paraId="4CB56568" w14:textId="77777777" w:rsidR="008E008E" w:rsidRPr="00E07170" w:rsidRDefault="00A424A6" w:rsidP="00A80189">
            <w:pPr>
              <w:pStyle w:val="7tabulka"/>
              <w:spacing w:before="20" w:after="20"/>
              <w:jc w:val="right"/>
              <w:rPr>
                <w:szCs w:val="20"/>
                <w:lang w:eastAsia="cs-CZ"/>
              </w:rPr>
            </w:pPr>
            <w:r w:rsidRPr="00E07170">
              <w:rPr>
                <w:szCs w:val="20"/>
                <w:lang w:eastAsia="cs-CZ"/>
              </w:rPr>
              <w:t>0</w:t>
            </w:r>
            <w:r w:rsidR="00C646C5" w:rsidRPr="00E07170">
              <w:rPr>
                <w:szCs w:val="20"/>
                <w:lang w:eastAsia="cs-CZ"/>
              </w:rPr>
              <w:t>,000</w:t>
            </w:r>
          </w:p>
        </w:tc>
        <w:tc>
          <w:tcPr>
            <w:tcW w:w="841" w:type="dxa"/>
            <w:shd w:val="clear" w:color="auto" w:fill="auto"/>
            <w:noWrap/>
            <w:vAlign w:val="center"/>
          </w:tcPr>
          <w:p w14:paraId="66002437" w14:textId="77777777" w:rsidR="008E008E" w:rsidRPr="00E07170" w:rsidRDefault="00A424A6" w:rsidP="008E008E">
            <w:pPr>
              <w:pStyle w:val="7tabulka"/>
              <w:spacing w:before="20" w:after="20"/>
              <w:jc w:val="right"/>
              <w:rPr>
                <w:szCs w:val="20"/>
                <w:lang w:eastAsia="cs-CZ"/>
              </w:rPr>
            </w:pPr>
            <w:r w:rsidRPr="00E07170">
              <w:rPr>
                <w:szCs w:val="20"/>
                <w:lang w:eastAsia="cs-CZ"/>
              </w:rPr>
              <w:t>0</w:t>
            </w:r>
            <w:r w:rsidR="00C646C5" w:rsidRPr="00E07170">
              <w:rPr>
                <w:szCs w:val="20"/>
                <w:lang w:eastAsia="cs-CZ"/>
              </w:rPr>
              <w:t>,000</w:t>
            </w:r>
          </w:p>
        </w:tc>
      </w:tr>
      <w:tr w:rsidR="00EB7818" w:rsidRPr="00461C16" w14:paraId="17E5F9B5" w14:textId="77777777" w:rsidTr="00E93EBA">
        <w:trPr>
          <w:trHeight w:val="283"/>
          <w:jc w:val="center"/>
        </w:trPr>
        <w:tc>
          <w:tcPr>
            <w:tcW w:w="3514" w:type="dxa"/>
            <w:shd w:val="clear" w:color="auto" w:fill="76923C" w:themeFill="accent3" w:themeFillShade="BF"/>
            <w:noWrap/>
            <w:vAlign w:val="center"/>
          </w:tcPr>
          <w:p w14:paraId="22D86778" w14:textId="77777777" w:rsidR="00EB7818" w:rsidRPr="00DF22EA" w:rsidRDefault="00EB7818" w:rsidP="00A80189">
            <w:pPr>
              <w:pStyle w:val="7tabulka"/>
              <w:spacing w:before="20" w:after="20"/>
              <w:jc w:val="left"/>
              <w:rPr>
                <w:b/>
                <w:color w:val="FFFFFF" w:themeColor="background1"/>
                <w:szCs w:val="20"/>
                <w:lang w:eastAsia="cs-CZ"/>
              </w:rPr>
            </w:pPr>
            <w:r w:rsidRPr="00DF22EA">
              <w:rPr>
                <w:b/>
                <w:color w:val="FFFFFF" w:themeColor="background1"/>
                <w:szCs w:val="20"/>
                <w:lang w:eastAsia="cs-CZ"/>
              </w:rPr>
              <w:t>Město Hrádek nad Nisou celkem</w:t>
            </w:r>
          </w:p>
        </w:tc>
        <w:tc>
          <w:tcPr>
            <w:tcW w:w="1070" w:type="dxa"/>
            <w:shd w:val="clear" w:color="auto" w:fill="76923C" w:themeFill="accent3" w:themeFillShade="BF"/>
            <w:vAlign w:val="center"/>
          </w:tcPr>
          <w:p w14:paraId="63062070" w14:textId="6AE713CF" w:rsidR="00EB7818" w:rsidRPr="00E07170" w:rsidRDefault="00E07170" w:rsidP="009176CD">
            <w:pPr>
              <w:jc w:val="right"/>
              <w:rPr>
                <w:b/>
                <w:color w:val="FFFFFF" w:themeColor="background1"/>
                <w:lang w:eastAsia="cs-CZ"/>
              </w:rPr>
            </w:pPr>
            <w:r>
              <w:rPr>
                <w:b/>
                <w:color w:val="FFFFFF" w:themeColor="background1"/>
              </w:rPr>
              <w:t xml:space="preserve"> 97,519</w:t>
            </w:r>
          </w:p>
        </w:tc>
        <w:tc>
          <w:tcPr>
            <w:tcW w:w="849" w:type="dxa"/>
            <w:shd w:val="clear" w:color="auto" w:fill="76923C" w:themeFill="accent3" w:themeFillShade="BF"/>
            <w:noWrap/>
            <w:vAlign w:val="center"/>
          </w:tcPr>
          <w:p w14:paraId="7D174B37" w14:textId="77777777" w:rsidR="00EB7818" w:rsidRPr="00E07170" w:rsidRDefault="00E93864" w:rsidP="00A80189">
            <w:pPr>
              <w:jc w:val="right"/>
              <w:rPr>
                <w:b/>
                <w:color w:val="FFFFFF" w:themeColor="background1"/>
                <w:lang w:eastAsia="cs-CZ"/>
              </w:rPr>
            </w:pPr>
            <w:r w:rsidRPr="00E07170">
              <w:rPr>
                <w:b/>
                <w:color w:val="FFFFFF" w:themeColor="background1"/>
              </w:rPr>
              <w:t>12,334</w:t>
            </w:r>
          </w:p>
        </w:tc>
        <w:tc>
          <w:tcPr>
            <w:tcW w:w="916" w:type="dxa"/>
            <w:shd w:val="clear" w:color="auto" w:fill="76923C" w:themeFill="accent3" w:themeFillShade="BF"/>
            <w:noWrap/>
            <w:vAlign w:val="center"/>
          </w:tcPr>
          <w:p w14:paraId="01AD77B8" w14:textId="3DEFE702" w:rsidR="00EB7818" w:rsidRPr="00E07170" w:rsidRDefault="00E07170" w:rsidP="009176CD">
            <w:pPr>
              <w:jc w:val="right"/>
              <w:rPr>
                <w:b/>
                <w:color w:val="FFFFFF" w:themeColor="background1"/>
                <w:lang w:eastAsia="cs-CZ"/>
              </w:rPr>
            </w:pPr>
            <w:r>
              <w:rPr>
                <w:b/>
                <w:color w:val="FFFFFF" w:themeColor="background1"/>
              </w:rPr>
              <w:t xml:space="preserve"> 54,728</w:t>
            </w:r>
          </w:p>
        </w:tc>
        <w:tc>
          <w:tcPr>
            <w:tcW w:w="954" w:type="dxa"/>
            <w:shd w:val="clear" w:color="auto" w:fill="76923C" w:themeFill="accent3" w:themeFillShade="BF"/>
            <w:noWrap/>
            <w:vAlign w:val="center"/>
          </w:tcPr>
          <w:p w14:paraId="76D66F55" w14:textId="77777777" w:rsidR="00EB7818" w:rsidRPr="00E07170" w:rsidRDefault="00E93864" w:rsidP="00A80189">
            <w:pPr>
              <w:jc w:val="right"/>
              <w:rPr>
                <w:b/>
                <w:color w:val="FFFFFF" w:themeColor="background1"/>
                <w:lang w:eastAsia="cs-CZ"/>
              </w:rPr>
            </w:pPr>
            <w:r w:rsidRPr="00E07170">
              <w:rPr>
                <w:b/>
                <w:color w:val="FFFFFF" w:themeColor="background1"/>
              </w:rPr>
              <w:t>23,079</w:t>
            </w:r>
          </w:p>
        </w:tc>
        <w:tc>
          <w:tcPr>
            <w:tcW w:w="908" w:type="dxa"/>
            <w:shd w:val="clear" w:color="auto" w:fill="76923C" w:themeFill="accent3" w:themeFillShade="BF"/>
            <w:noWrap/>
            <w:vAlign w:val="center"/>
          </w:tcPr>
          <w:p w14:paraId="1B7A1781" w14:textId="77777777" w:rsidR="00EB7818" w:rsidRPr="00E07170" w:rsidRDefault="00826C16" w:rsidP="00FA5B26">
            <w:pPr>
              <w:jc w:val="right"/>
              <w:rPr>
                <w:b/>
                <w:color w:val="FFFFFF" w:themeColor="background1"/>
                <w:lang w:eastAsia="cs-CZ"/>
              </w:rPr>
            </w:pPr>
            <w:r w:rsidRPr="00E07170">
              <w:rPr>
                <w:b/>
                <w:color w:val="FFFFFF" w:themeColor="background1"/>
                <w:lang w:eastAsia="cs-CZ"/>
              </w:rPr>
              <w:t xml:space="preserve"> </w:t>
            </w:r>
            <w:r w:rsidR="00DF22EA" w:rsidRPr="00E07170">
              <w:rPr>
                <w:b/>
                <w:color w:val="FFFFFF" w:themeColor="background1"/>
              </w:rPr>
              <w:t>2,550</w:t>
            </w:r>
          </w:p>
        </w:tc>
        <w:tc>
          <w:tcPr>
            <w:tcW w:w="841" w:type="dxa"/>
            <w:shd w:val="clear" w:color="auto" w:fill="76923C" w:themeFill="accent3" w:themeFillShade="BF"/>
            <w:noWrap/>
            <w:vAlign w:val="center"/>
          </w:tcPr>
          <w:p w14:paraId="35E47194" w14:textId="377E067A" w:rsidR="00EB7818" w:rsidRPr="00E07170" w:rsidRDefault="00E07170" w:rsidP="00A85FA8">
            <w:pPr>
              <w:jc w:val="right"/>
              <w:rPr>
                <w:b/>
                <w:color w:val="FFFFFF" w:themeColor="background1"/>
                <w:lang w:eastAsia="cs-CZ"/>
              </w:rPr>
            </w:pPr>
            <w:r>
              <w:rPr>
                <w:b/>
                <w:color w:val="FFFFFF" w:themeColor="background1"/>
              </w:rPr>
              <w:t xml:space="preserve"> 4,830</w:t>
            </w:r>
          </w:p>
        </w:tc>
      </w:tr>
    </w:tbl>
    <w:p w14:paraId="6CA95E68" w14:textId="77777777" w:rsidR="00E4588D" w:rsidRDefault="00A80189" w:rsidP="00A80189">
      <w:pPr>
        <w:spacing w:line="240" w:lineRule="auto"/>
        <w:jc w:val="left"/>
        <w:sectPr w:rsidR="00E4588D" w:rsidSect="00D977BD">
          <w:pgSz w:w="11909" w:h="16834" w:code="9"/>
          <w:pgMar w:top="1701" w:right="1419" w:bottom="1418" w:left="1418" w:header="720" w:footer="720" w:gutter="0"/>
          <w:cols w:space="720"/>
          <w:docGrid w:linePitch="360"/>
        </w:sectPr>
      </w:pPr>
      <w:r w:rsidRPr="00461C16">
        <w:br w:type="page"/>
      </w:r>
    </w:p>
    <w:p w14:paraId="3897AAD3" w14:textId="77777777" w:rsidR="00E4588D" w:rsidRPr="00461C16" w:rsidRDefault="00E4588D" w:rsidP="00E4588D">
      <w:pPr>
        <w:pStyle w:val="Heading3"/>
        <w:ind w:left="0" w:firstLine="0"/>
      </w:pPr>
      <w:bookmarkStart w:id="207" w:name="_Toc36116336"/>
      <w:r w:rsidRPr="00461C16">
        <w:lastRenderedPageBreak/>
        <w:t>8.1.</w:t>
      </w:r>
      <w:r>
        <w:t>4</w:t>
      </w:r>
      <w:r w:rsidRPr="00461C16">
        <w:tab/>
        <w:t>Vyhodnocení předpokládaných důsledků vymezení koridorů změn na zemědělský půdní fond</w:t>
      </w:r>
      <w:bookmarkEnd w:id="207"/>
    </w:p>
    <w:p w14:paraId="2D8141FC" w14:textId="77777777" w:rsidR="00E4588D" w:rsidRPr="00461C16" w:rsidRDefault="00E4588D" w:rsidP="00E4588D">
      <w:pPr>
        <w:spacing w:line="240" w:lineRule="auto"/>
        <w:jc w:val="left"/>
        <w:rPr>
          <w:rFonts w:cs="Arial"/>
          <w:b/>
          <w:bCs/>
          <w:sz w:val="26"/>
          <w:szCs w:val="26"/>
        </w:rPr>
      </w:pPr>
    </w:p>
    <w:tbl>
      <w:tblPr>
        <w:tblW w:w="14510" w:type="dxa"/>
        <w:tblInd w:w="55" w:type="dxa"/>
        <w:tblLayout w:type="fixed"/>
        <w:tblCellMar>
          <w:left w:w="70" w:type="dxa"/>
          <w:right w:w="70" w:type="dxa"/>
        </w:tblCellMar>
        <w:tblLook w:val="04A0" w:firstRow="1" w:lastRow="0" w:firstColumn="1" w:lastColumn="0" w:noHBand="0" w:noVBand="1"/>
      </w:tblPr>
      <w:tblGrid>
        <w:gridCol w:w="811"/>
        <w:gridCol w:w="905"/>
        <w:gridCol w:w="807"/>
        <w:gridCol w:w="923"/>
        <w:gridCol w:w="791"/>
        <w:gridCol w:w="924"/>
        <w:gridCol w:w="794"/>
        <w:gridCol w:w="1057"/>
        <w:gridCol w:w="923"/>
        <w:gridCol w:w="924"/>
        <w:gridCol w:w="1057"/>
        <w:gridCol w:w="923"/>
        <w:gridCol w:w="791"/>
        <w:gridCol w:w="1091"/>
        <w:gridCol w:w="894"/>
        <w:gridCol w:w="895"/>
      </w:tblGrid>
      <w:tr w:rsidR="00E4588D" w:rsidRPr="00461C16" w14:paraId="0101DD81" w14:textId="77777777" w:rsidTr="006D5245">
        <w:trPr>
          <w:trHeight w:val="734"/>
        </w:trPr>
        <w:tc>
          <w:tcPr>
            <w:tcW w:w="811"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52CD3883"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Označení koridoru</w:t>
            </w:r>
          </w:p>
        </w:tc>
        <w:tc>
          <w:tcPr>
            <w:tcW w:w="905"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25FDDCDF" w14:textId="77777777" w:rsidR="00E4588D" w:rsidRPr="00461C16" w:rsidRDefault="00E4588D" w:rsidP="00E4588D">
            <w:pPr>
              <w:spacing w:line="240" w:lineRule="auto"/>
              <w:jc w:val="left"/>
              <w:rPr>
                <w:rFonts w:eastAsia="Times New Roman"/>
                <w:b/>
                <w:bCs/>
                <w:sz w:val="20"/>
                <w:szCs w:val="20"/>
                <w:lang w:eastAsia="cs-CZ"/>
              </w:rPr>
            </w:pPr>
            <w:r w:rsidRPr="00461C16">
              <w:rPr>
                <w:rFonts w:eastAsia="Times New Roman"/>
                <w:b/>
                <w:bCs/>
                <w:sz w:val="20"/>
                <w:szCs w:val="20"/>
                <w:lang w:eastAsia="cs-CZ"/>
              </w:rPr>
              <w:t>Způsob využití koridoru</w:t>
            </w:r>
          </w:p>
        </w:tc>
        <w:tc>
          <w:tcPr>
            <w:tcW w:w="4239" w:type="dxa"/>
            <w:gridSpan w:val="5"/>
            <w:tcBorders>
              <w:top w:val="single" w:sz="4" w:space="0" w:color="auto"/>
              <w:left w:val="nil"/>
              <w:bottom w:val="single" w:sz="4" w:space="0" w:color="auto"/>
              <w:right w:val="single" w:sz="4" w:space="0" w:color="000000"/>
            </w:tcBorders>
            <w:shd w:val="clear" w:color="000000" w:fill="F2F2F2"/>
            <w:vAlign w:val="center"/>
            <w:hideMark/>
          </w:tcPr>
          <w:p w14:paraId="170F2457"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Zábor ZPF podle tříd ochrany celým koridorem (ha) - informativní charakter</w:t>
            </w:r>
          </w:p>
        </w:tc>
        <w:tc>
          <w:tcPr>
            <w:tcW w:w="1057"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3AF1E277"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Celkový zábor ZPF koridorem (ha)</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C89C64B"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šířka koridoru [m]</w:t>
            </w:r>
          </w:p>
        </w:tc>
        <w:tc>
          <w:tcPr>
            <w:tcW w:w="924" w:type="dxa"/>
            <w:vMerge w:val="restart"/>
            <w:tcBorders>
              <w:top w:val="single" w:sz="4" w:space="0" w:color="auto"/>
              <w:left w:val="single" w:sz="4" w:space="0" w:color="auto"/>
              <w:bottom w:val="single" w:sz="4" w:space="0" w:color="000000"/>
              <w:right w:val="single" w:sz="4" w:space="0" w:color="auto"/>
            </w:tcBorders>
            <w:shd w:val="clear" w:color="000000" w:fill="F2F2F2"/>
            <w:vAlign w:val="center"/>
            <w:hideMark/>
          </w:tcPr>
          <w:p w14:paraId="7C892DFE"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reálná šířka stavby [m]</w:t>
            </w:r>
          </w:p>
        </w:tc>
        <w:tc>
          <w:tcPr>
            <w:tcW w:w="1057" w:type="dxa"/>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5B66821"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Koeficient redukce (reálná šířka stavby/šířka koridoru)</w:t>
            </w:r>
          </w:p>
        </w:tc>
        <w:tc>
          <w:tcPr>
            <w:tcW w:w="4594" w:type="dxa"/>
            <w:gridSpan w:val="5"/>
            <w:tcBorders>
              <w:top w:val="single" w:sz="4" w:space="0" w:color="auto"/>
              <w:left w:val="nil"/>
              <w:bottom w:val="single" w:sz="4" w:space="0" w:color="auto"/>
              <w:right w:val="single" w:sz="4" w:space="0" w:color="000000"/>
            </w:tcBorders>
            <w:shd w:val="clear" w:color="000000" w:fill="F2F2F2"/>
            <w:vAlign w:val="center"/>
            <w:hideMark/>
          </w:tcPr>
          <w:p w14:paraId="31C58165"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REÁLNÝ ZÁBOR ZPF podle tříd ochrany celým koridorem (ha)</w:t>
            </w:r>
          </w:p>
        </w:tc>
      </w:tr>
      <w:tr w:rsidR="00E4588D" w:rsidRPr="00461C16" w14:paraId="53D3657A" w14:textId="77777777" w:rsidTr="006D5245">
        <w:trPr>
          <w:trHeight w:val="661"/>
        </w:trPr>
        <w:tc>
          <w:tcPr>
            <w:tcW w:w="811" w:type="dxa"/>
            <w:vMerge/>
            <w:tcBorders>
              <w:top w:val="single" w:sz="4" w:space="0" w:color="auto"/>
              <w:left w:val="single" w:sz="4" w:space="0" w:color="auto"/>
              <w:bottom w:val="single" w:sz="4" w:space="0" w:color="000000"/>
              <w:right w:val="single" w:sz="4" w:space="0" w:color="auto"/>
            </w:tcBorders>
            <w:vAlign w:val="center"/>
            <w:hideMark/>
          </w:tcPr>
          <w:p w14:paraId="3F9B6139" w14:textId="77777777" w:rsidR="00E4588D" w:rsidRPr="00461C16" w:rsidRDefault="00E4588D" w:rsidP="00E4588D">
            <w:pPr>
              <w:spacing w:line="240" w:lineRule="auto"/>
              <w:jc w:val="left"/>
              <w:rPr>
                <w:rFonts w:eastAsia="Times New Roman"/>
                <w:b/>
                <w:bCs/>
                <w:sz w:val="20"/>
                <w:szCs w:val="20"/>
                <w:lang w:eastAsia="cs-CZ"/>
              </w:rPr>
            </w:pPr>
          </w:p>
        </w:tc>
        <w:tc>
          <w:tcPr>
            <w:tcW w:w="905" w:type="dxa"/>
            <w:vMerge/>
            <w:tcBorders>
              <w:top w:val="single" w:sz="4" w:space="0" w:color="auto"/>
              <w:left w:val="single" w:sz="4" w:space="0" w:color="auto"/>
              <w:bottom w:val="single" w:sz="4" w:space="0" w:color="000000"/>
              <w:right w:val="single" w:sz="4" w:space="0" w:color="auto"/>
            </w:tcBorders>
            <w:vAlign w:val="center"/>
            <w:hideMark/>
          </w:tcPr>
          <w:p w14:paraId="46EDACDC" w14:textId="77777777" w:rsidR="00E4588D" w:rsidRPr="00461C16" w:rsidRDefault="00E4588D" w:rsidP="00E4588D">
            <w:pPr>
              <w:spacing w:line="240" w:lineRule="auto"/>
              <w:jc w:val="left"/>
              <w:rPr>
                <w:rFonts w:eastAsia="Times New Roman"/>
                <w:b/>
                <w:bCs/>
                <w:sz w:val="20"/>
                <w:szCs w:val="20"/>
                <w:lang w:eastAsia="cs-CZ"/>
              </w:rPr>
            </w:pPr>
          </w:p>
        </w:tc>
        <w:tc>
          <w:tcPr>
            <w:tcW w:w="807" w:type="dxa"/>
            <w:tcBorders>
              <w:top w:val="nil"/>
              <w:left w:val="nil"/>
              <w:bottom w:val="single" w:sz="4" w:space="0" w:color="auto"/>
              <w:right w:val="single" w:sz="4" w:space="0" w:color="auto"/>
            </w:tcBorders>
            <w:shd w:val="clear" w:color="000000" w:fill="F2F2F2"/>
            <w:vAlign w:val="center"/>
            <w:hideMark/>
          </w:tcPr>
          <w:p w14:paraId="270D6178"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I</w:t>
            </w:r>
          </w:p>
        </w:tc>
        <w:tc>
          <w:tcPr>
            <w:tcW w:w="923" w:type="dxa"/>
            <w:tcBorders>
              <w:top w:val="nil"/>
              <w:left w:val="nil"/>
              <w:bottom w:val="single" w:sz="4" w:space="0" w:color="auto"/>
              <w:right w:val="single" w:sz="4" w:space="0" w:color="auto"/>
            </w:tcBorders>
            <w:shd w:val="clear" w:color="000000" w:fill="F2F2F2"/>
            <w:vAlign w:val="center"/>
            <w:hideMark/>
          </w:tcPr>
          <w:p w14:paraId="47610180"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II</w:t>
            </w:r>
          </w:p>
        </w:tc>
        <w:tc>
          <w:tcPr>
            <w:tcW w:w="791" w:type="dxa"/>
            <w:tcBorders>
              <w:top w:val="nil"/>
              <w:left w:val="nil"/>
              <w:bottom w:val="single" w:sz="4" w:space="0" w:color="auto"/>
              <w:right w:val="single" w:sz="4" w:space="0" w:color="auto"/>
            </w:tcBorders>
            <w:shd w:val="clear" w:color="000000" w:fill="F2F2F2"/>
            <w:vAlign w:val="center"/>
            <w:hideMark/>
          </w:tcPr>
          <w:p w14:paraId="6F835B39"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III</w:t>
            </w:r>
          </w:p>
        </w:tc>
        <w:tc>
          <w:tcPr>
            <w:tcW w:w="924" w:type="dxa"/>
            <w:tcBorders>
              <w:top w:val="nil"/>
              <w:left w:val="nil"/>
              <w:bottom w:val="single" w:sz="4" w:space="0" w:color="auto"/>
              <w:right w:val="single" w:sz="4" w:space="0" w:color="auto"/>
            </w:tcBorders>
            <w:shd w:val="clear" w:color="000000" w:fill="F2F2F2"/>
            <w:vAlign w:val="center"/>
            <w:hideMark/>
          </w:tcPr>
          <w:p w14:paraId="1D4F7DBD"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IV</w:t>
            </w:r>
          </w:p>
        </w:tc>
        <w:tc>
          <w:tcPr>
            <w:tcW w:w="794" w:type="dxa"/>
            <w:tcBorders>
              <w:top w:val="nil"/>
              <w:left w:val="nil"/>
              <w:bottom w:val="single" w:sz="4" w:space="0" w:color="auto"/>
              <w:right w:val="single" w:sz="4" w:space="0" w:color="auto"/>
            </w:tcBorders>
            <w:shd w:val="clear" w:color="000000" w:fill="F2F2F2"/>
            <w:vAlign w:val="center"/>
            <w:hideMark/>
          </w:tcPr>
          <w:p w14:paraId="0D978205"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V</w:t>
            </w:r>
          </w:p>
        </w:tc>
        <w:tc>
          <w:tcPr>
            <w:tcW w:w="1057" w:type="dxa"/>
            <w:vMerge/>
            <w:tcBorders>
              <w:top w:val="single" w:sz="4" w:space="0" w:color="auto"/>
              <w:left w:val="single" w:sz="4" w:space="0" w:color="auto"/>
              <w:bottom w:val="single" w:sz="4" w:space="0" w:color="000000"/>
              <w:right w:val="single" w:sz="4" w:space="0" w:color="auto"/>
            </w:tcBorders>
            <w:vAlign w:val="center"/>
            <w:hideMark/>
          </w:tcPr>
          <w:p w14:paraId="0863C2CD" w14:textId="77777777" w:rsidR="00E4588D" w:rsidRPr="00461C16" w:rsidRDefault="00E4588D" w:rsidP="00E4588D">
            <w:pPr>
              <w:spacing w:line="240" w:lineRule="auto"/>
              <w:jc w:val="left"/>
              <w:rPr>
                <w:rFonts w:eastAsia="Times New Roman"/>
                <w:b/>
                <w:bCs/>
                <w:sz w:val="20"/>
                <w:szCs w:val="20"/>
                <w:lang w:eastAsia="cs-CZ"/>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7634E2CC" w14:textId="77777777" w:rsidR="00E4588D" w:rsidRPr="00461C16" w:rsidRDefault="00E4588D" w:rsidP="00E4588D">
            <w:pPr>
              <w:spacing w:line="240" w:lineRule="auto"/>
              <w:jc w:val="left"/>
              <w:rPr>
                <w:rFonts w:eastAsia="Times New Roman"/>
                <w:b/>
                <w:bCs/>
                <w:sz w:val="20"/>
                <w:szCs w:val="20"/>
                <w:lang w:eastAsia="cs-CZ"/>
              </w:rPr>
            </w:pPr>
          </w:p>
        </w:tc>
        <w:tc>
          <w:tcPr>
            <w:tcW w:w="924" w:type="dxa"/>
            <w:vMerge/>
            <w:tcBorders>
              <w:top w:val="single" w:sz="4" w:space="0" w:color="auto"/>
              <w:left w:val="single" w:sz="4" w:space="0" w:color="auto"/>
              <w:bottom w:val="single" w:sz="4" w:space="0" w:color="000000"/>
              <w:right w:val="single" w:sz="4" w:space="0" w:color="auto"/>
            </w:tcBorders>
            <w:vAlign w:val="center"/>
            <w:hideMark/>
          </w:tcPr>
          <w:p w14:paraId="65EDB261" w14:textId="77777777" w:rsidR="00E4588D" w:rsidRPr="00461C16" w:rsidRDefault="00E4588D" w:rsidP="00E4588D">
            <w:pPr>
              <w:spacing w:line="240" w:lineRule="auto"/>
              <w:jc w:val="left"/>
              <w:rPr>
                <w:rFonts w:eastAsia="Times New Roman"/>
                <w:b/>
                <w:bCs/>
                <w:sz w:val="20"/>
                <w:szCs w:val="20"/>
                <w:lang w:eastAsia="cs-CZ"/>
              </w:rPr>
            </w:pPr>
          </w:p>
        </w:tc>
        <w:tc>
          <w:tcPr>
            <w:tcW w:w="1057" w:type="dxa"/>
            <w:vMerge/>
            <w:tcBorders>
              <w:top w:val="single" w:sz="4" w:space="0" w:color="auto"/>
              <w:left w:val="single" w:sz="4" w:space="0" w:color="auto"/>
              <w:bottom w:val="single" w:sz="4" w:space="0" w:color="auto"/>
              <w:right w:val="single" w:sz="4" w:space="0" w:color="auto"/>
            </w:tcBorders>
            <w:vAlign w:val="center"/>
            <w:hideMark/>
          </w:tcPr>
          <w:p w14:paraId="6AE12042" w14:textId="77777777" w:rsidR="00E4588D" w:rsidRPr="00461C16" w:rsidRDefault="00E4588D" w:rsidP="00E4588D">
            <w:pPr>
              <w:spacing w:line="240" w:lineRule="auto"/>
              <w:jc w:val="left"/>
              <w:rPr>
                <w:rFonts w:eastAsia="Times New Roman"/>
                <w:b/>
                <w:bCs/>
                <w:sz w:val="20"/>
                <w:szCs w:val="20"/>
                <w:lang w:eastAsia="cs-CZ"/>
              </w:rPr>
            </w:pPr>
          </w:p>
        </w:tc>
        <w:tc>
          <w:tcPr>
            <w:tcW w:w="923" w:type="dxa"/>
            <w:tcBorders>
              <w:top w:val="nil"/>
              <w:left w:val="nil"/>
              <w:bottom w:val="nil"/>
              <w:right w:val="single" w:sz="4" w:space="0" w:color="auto"/>
            </w:tcBorders>
            <w:shd w:val="clear" w:color="000000" w:fill="F2F2F2"/>
            <w:vAlign w:val="center"/>
            <w:hideMark/>
          </w:tcPr>
          <w:p w14:paraId="599F68D4"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I</w:t>
            </w:r>
          </w:p>
        </w:tc>
        <w:tc>
          <w:tcPr>
            <w:tcW w:w="791" w:type="dxa"/>
            <w:tcBorders>
              <w:top w:val="nil"/>
              <w:left w:val="nil"/>
              <w:bottom w:val="nil"/>
              <w:right w:val="single" w:sz="4" w:space="0" w:color="auto"/>
            </w:tcBorders>
            <w:shd w:val="clear" w:color="000000" w:fill="F2F2F2"/>
            <w:vAlign w:val="center"/>
            <w:hideMark/>
          </w:tcPr>
          <w:p w14:paraId="538579BC"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II</w:t>
            </w:r>
          </w:p>
        </w:tc>
        <w:tc>
          <w:tcPr>
            <w:tcW w:w="1091" w:type="dxa"/>
            <w:tcBorders>
              <w:top w:val="nil"/>
              <w:left w:val="nil"/>
              <w:bottom w:val="nil"/>
              <w:right w:val="single" w:sz="4" w:space="0" w:color="auto"/>
            </w:tcBorders>
            <w:shd w:val="clear" w:color="000000" w:fill="F2F2F2"/>
            <w:vAlign w:val="center"/>
            <w:hideMark/>
          </w:tcPr>
          <w:p w14:paraId="429C10A4"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III</w:t>
            </w:r>
          </w:p>
        </w:tc>
        <w:tc>
          <w:tcPr>
            <w:tcW w:w="894" w:type="dxa"/>
            <w:tcBorders>
              <w:top w:val="nil"/>
              <w:left w:val="nil"/>
              <w:bottom w:val="nil"/>
              <w:right w:val="single" w:sz="4" w:space="0" w:color="auto"/>
            </w:tcBorders>
            <w:shd w:val="clear" w:color="000000" w:fill="F2F2F2"/>
            <w:vAlign w:val="center"/>
            <w:hideMark/>
          </w:tcPr>
          <w:p w14:paraId="78373A44"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IV</w:t>
            </w:r>
          </w:p>
        </w:tc>
        <w:tc>
          <w:tcPr>
            <w:tcW w:w="895" w:type="dxa"/>
            <w:tcBorders>
              <w:top w:val="nil"/>
              <w:left w:val="nil"/>
              <w:bottom w:val="nil"/>
              <w:right w:val="single" w:sz="4" w:space="0" w:color="auto"/>
            </w:tcBorders>
            <w:shd w:val="clear" w:color="000000" w:fill="F2F2F2"/>
            <w:vAlign w:val="center"/>
            <w:hideMark/>
          </w:tcPr>
          <w:p w14:paraId="79C348F9" w14:textId="77777777" w:rsidR="00E4588D" w:rsidRPr="00461C16" w:rsidRDefault="00E4588D" w:rsidP="00E4588D">
            <w:pPr>
              <w:spacing w:line="240" w:lineRule="auto"/>
              <w:jc w:val="center"/>
              <w:rPr>
                <w:rFonts w:eastAsia="Times New Roman"/>
                <w:b/>
                <w:bCs/>
                <w:sz w:val="20"/>
                <w:szCs w:val="20"/>
                <w:lang w:eastAsia="cs-CZ"/>
              </w:rPr>
            </w:pPr>
            <w:r w:rsidRPr="00461C16">
              <w:rPr>
                <w:rFonts w:eastAsia="Times New Roman"/>
                <w:b/>
                <w:bCs/>
                <w:sz w:val="20"/>
                <w:szCs w:val="20"/>
                <w:lang w:eastAsia="cs-CZ"/>
              </w:rPr>
              <w:t>V</w:t>
            </w:r>
          </w:p>
        </w:tc>
      </w:tr>
      <w:tr w:rsidR="00E4588D" w:rsidRPr="00461C16" w14:paraId="07F9C94A" w14:textId="77777777" w:rsidTr="006D5245">
        <w:trPr>
          <w:trHeight w:val="294"/>
        </w:trPr>
        <w:tc>
          <w:tcPr>
            <w:tcW w:w="811" w:type="dxa"/>
            <w:tcBorders>
              <w:top w:val="nil"/>
              <w:left w:val="single" w:sz="4" w:space="0" w:color="auto"/>
              <w:bottom w:val="single" w:sz="4" w:space="0" w:color="auto"/>
              <w:right w:val="single" w:sz="4" w:space="0" w:color="auto"/>
            </w:tcBorders>
            <w:shd w:val="clear" w:color="auto" w:fill="auto"/>
            <w:noWrap/>
            <w:vAlign w:val="center"/>
            <w:hideMark/>
          </w:tcPr>
          <w:p w14:paraId="6FE8DE3F" w14:textId="77777777" w:rsidR="00E4588D" w:rsidRPr="00461C16" w:rsidRDefault="00E4588D" w:rsidP="00E4588D">
            <w:pPr>
              <w:spacing w:line="240" w:lineRule="auto"/>
              <w:jc w:val="left"/>
              <w:rPr>
                <w:rFonts w:eastAsia="Times New Roman"/>
                <w:color w:val="000000"/>
                <w:sz w:val="20"/>
                <w:szCs w:val="20"/>
                <w:lang w:eastAsia="cs-CZ"/>
              </w:rPr>
            </w:pPr>
            <w:r w:rsidRPr="00461C16">
              <w:rPr>
                <w:rFonts w:eastAsia="Times New Roman"/>
                <w:color w:val="000000"/>
                <w:sz w:val="20"/>
                <w:szCs w:val="20"/>
                <w:lang w:eastAsia="cs-CZ"/>
              </w:rPr>
              <w:t>X01</w:t>
            </w:r>
          </w:p>
        </w:tc>
        <w:tc>
          <w:tcPr>
            <w:tcW w:w="905" w:type="dxa"/>
            <w:tcBorders>
              <w:top w:val="nil"/>
              <w:left w:val="nil"/>
              <w:bottom w:val="single" w:sz="4" w:space="0" w:color="auto"/>
              <w:right w:val="single" w:sz="4" w:space="0" w:color="auto"/>
            </w:tcBorders>
            <w:shd w:val="clear" w:color="auto" w:fill="auto"/>
            <w:noWrap/>
            <w:vAlign w:val="center"/>
            <w:hideMark/>
          </w:tcPr>
          <w:p w14:paraId="53A30A6D" w14:textId="77777777" w:rsidR="00E4588D" w:rsidRPr="00F35BB0" w:rsidRDefault="00E4588D" w:rsidP="00E4588D">
            <w:pPr>
              <w:spacing w:line="240" w:lineRule="auto"/>
              <w:jc w:val="left"/>
              <w:rPr>
                <w:rFonts w:eastAsia="Times New Roman"/>
                <w:color w:val="000000"/>
                <w:sz w:val="20"/>
                <w:szCs w:val="20"/>
                <w:lang w:eastAsia="cs-CZ"/>
              </w:rPr>
            </w:pPr>
            <w:r w:rsidRPr="00F35BB0">
              <w:rPr>
                <w:rFonts w:eastAsia="Times New Roman"/>
                <w:color w:val="000000"/>
                <w:sz w:val="20"/>
                <w:szCs w:val="20"/>
                <w:lang w:eastAsia="cs-CZ"/>
              </w:rPr>
              <w:t>DZ.k</w:t>
            </w:r>
          </w:p>
        </w:tc>
        <w:tc>
          <w:tcPr>
            <w:tcW w:w="807" w:type="dxa"/>
            <w:tcBorders>
              <w:top w:val="nil"/>
              <w:left w:val="nil"/>
              <w:bottom w:val="nil"/>
              <w:right w:val="nil"/>
            </w:tcBorders>
            <w:shd w:val="clear" w:color="auto" w:fill="auto"/>
            <w:noWrap/>
            <w:vAlign w:val="center"/>
            <w:hideMark/>
          </w:tcPr>
          <w:p w14:paraId="30D3D509" w14:textId="77777777" w:rsidR="00E4588D" w:rsidRPr="00F35BB0" w:rsidRDefault="00E4588D" w:rsidP="00E4588D">
            <w:pPr>
              <w:spacing w:line="240" w:lineRule="auto"/>
              <w:jc w:val="right"/>
              <w:rPr>
                <w:rFonts w:eastAsia="Times New Roman"/>
                <w:color w:val="000000"/>
                <w:sz w:val="20"/>
                <w:szCs w:val="20"/>
                <w:lang w:eastAsia="cs-CZ"/>
              </w:rPr>
            </w:pPr>
            <w:r w:rsidRPr="00F35BB0">
              <w:rPr>
                <w:rFonts w:eastAsia="Times New Roman"/>
                <w:color w:val="000000"/>
                <w:sz w:val="20"/>
                <w:szCs w:val="20"/>
                <w:lang w:eastAsia="cs-CZ"/>
              </w:rPr>
              <w:t>1,873</w:t>
            </w:r>
          </w:p>
        </w:tc>
        <w:tc>
          <w:tcPr>
            <w:tcW w:w="923" w:type="dxa"/>
            <w:tcBorders>
              <w:top w:val="nil"/>
              <w:left w:val="single" w:sz="4" w:space="0" w:color="auto"/>
              <w:bottom w:val="single" w:sz="4" w:space="0" w:color="auto"/>
              <w:right w:val="single" w:sz="4" w:space="0" w:color="auto"/>
            </w:tcBorders>
            <w:shd w:val="clear" w:color="000000" w:fill="FFFFFF"/>
            <w:noWrap/>
            <w:vAlign w:val="center"/>
            <w:hideMark/>
          </w:tcPr>
          <w:p w14:paraId="49A08127"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2,889</w:t>
            </w:r>
          </w:p>
        </w:tc>
        <w:tc>
          <w:tcPr>
            <w:tcW w:w="791" w:type="dxa"/>
            <w:tcBorders>
              <w:top w:val="nil"/>
              <w:left w:val="nil"/>
              <w:bottom w:val="single" w:sz="4" w:space="0" w:color="auto"/>
              <w:right w:val="single" w:sz="4" w:space="0" w:color="auto"/>
            </w:tcBorders>
            <w:shd w:val="clear" w:color="000000" w:fill="FFFFFF"/>
            <w:noWrap/>
            <w:vAlign w:val="center"/>
            <w:hideMark/>
          </w:tcPr>
          <w:p w14:paraId="2D878891"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0,034</w:t>
            </w:r>
          </w:p>
        </w:tc>
        <w:tc>
          <w:tcPr>
            <w:tcW w:w="924" w:type="dxa"/>
            <w:tcBorders>
              <w:top w:val="nil"/>
              <w:left w:val="nil"/>
              <w:bottom w:val="single" w:sz="4" w:space="0" w:color="auto"/>
              <w:right w:val="single" w:sz="4" w:space="0" w:color="auto"/>
            </w:tcBorders>
            <w:shd w:val="clear" w:color="000000" w:fill="FFFFFF"/>
            <w:noWrap/>
            <w:vAlign w:val="center"/>
            <w:hideMark/>
          </w:tcPr>
          <w:p w14:paraId="438EDC85"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3,250</w:t>
            </w:r>
          </w:p>
        </w:tc>
        <w:tc>
          <w:tcPr>
            <w:tcW w:w="794" w:type="dxa"/>
            <w:tcBorders>
              <w:top w:val="nil"/>
              <w:left w:val="nil"/>
              <w:bottom w:val="single" w:sz="4" w:space="0" w:color="auto"/>
              <w:right w:val="nil"/>
            </w:tcBorders>
            <w:shd w:val="clear" w:color="000000" w:fill="FFFFFF"/>
            <w:noWrap/>
            <w:vAlign w:val="center"/>
            <w:hideMark/>
          </w:tcPr>
          <w:p w14:paraId="5AAEBCD9"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0,630</w:t>
            </w:r>
          </w:p>
        </w:tc>
        <w:tc>
          <w:tcPr>
            <w:tcW w:w="1057" w:type="dxa"/>
            <w:tcBorders>
              <w:top w:val="nil"/>
              <w:left w:val="single" w:sz="4" w:space="0" w:color="auto"/>
              <w:bottom w:val="single" w:sz="4" w:space="0" w:color="auto"/>
              <w:right w:val="single" w:sz="4" w:space="0" w:color="auto"/>
            </w:tcBorders>
            <w:shd w:val="clear" w:color="000000" w:fill="FFFFFF"/>
            <w:noWrap/>
            <w:vAlign w:val="center"/>
            <w:hideMark/>
          </w:tcPr>
          <w:p w14:paraId="7C8FA533"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8,676</w:t>
            </w:r>
          </w:p>
        </w:tc>
        <w:tc>
          <w:tcPr>
            <w:tcW w:w="923" w:type="dxa"/>
            <w:tcBorders>
              <w:top w:val="nil"/>
              <w:left w:val="nil"/>
              <w:bottom w:val="single" w:sz="4" w:space="0" w:color="auto"/>
              <w:right w:val="single" w:sz="4" w:space="0" w:color="auto"/>
            </w:tcBorders>
            <w:shd w:val="clear" w:color="000000" w:fill="FFFFFF"/>
            <w:noWrap/>
            <w:vAlign w:val="center"/>
            <w:hideMark/>
          </w:tcPr>
          <w:p w14:paraId="2DC18399"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70</w:t>
            </w:r>
          </w:p>
        </w:tc>
        <w:tc>
          <w:tcPr>
            <w:tcW w:w="924" w:type="dxa"/>
            <w:tcBorders>
              <w:top w:val="nil"/>
              <w:left w:val="nil"/>
              <w:bottom w:val="single" w:sz="4" w:space="0" w:color="auto"/>
              <w:right w:val="single" w:sz="4" w:space="0" w:color="auto"/>
            </w:tcBorders>
            <w:shd w:val="clear" w:color="000000" w:fill="FFFFFF"/>
            <w:noWrap/>
            <w:vAlign w:val="center"/>
            <w:hideMark/>
          </w:tcPr>
          <w:p w14:paraId="73E257F9"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8</w:t>
            </w:r>
          </w:p>
        </w:tc>
        <w:tc>
          <w:tcPr>
            <w:tcW w:w="1057" w:type="dxa"/>
            <w:tcBorders>
              <w:top w:val="nil"/>
              <w:left w:val="nil"/>
              <w:bottom w:val="single" w:sz="4" w:space="0" w:color="auto"/>
              <w:right w:val="single" w:sz="4" w:space="0" w:color="auto"/>
            </w:tcBorders>
            <w:shd w:val="clear" w:color="000000" w:fill="FFFFFF"/>
            <w:noWrap/>
            <w:vAlign w:val="center"/>
            <w:hideMark/>
          </w:tcPr>
          <w:p w14:paraId="4D55F207"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0,11429</w:t>
            </w:r>
          </w:p>
        </w:tc>
        <w:tc>
          <w:tcPr>
            <w:tcW w:w="923" w:type="dxa"/>
            <w:tcBorders>
              <w:top w:val="single" w:sz="4" w:space="0" w:color="auto"/>
              <w:left w:val="nil"/>
              <w:bottom w:val="single" w:sz="4" w:space="0" w:color="auto"/>
              <w:right w:val="single" w:sz="4" w:space="0" w:color="auto"/>
            </w:tcBorders>
            <w:shd w:val="clear" w:color="000000" w:fill="FFFFFF"/>
            <w:noWrap/>
            <w:vAlign w:val="center"/>
            <w:hideMark/>
          </w:tcPr>
          <w:p w14:paraId="7532D912"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0,214</w:t>
            </w:r>
          </w:p>
        </w:tc>
        <w:tc>
          <w:tcPr>
            <w:tcW w:w="791" w:type="dxa"/>
            <w:tcBorders>
              <w:top w:val="single" w:sz="4" w:space="0" w:color="auto"/>
              <w:left w:val="nil"/>
              <w:bottom w:val="single" w:sz="4" w:space="0" w:color="auto"/>
              <w:right w:val="single" w:sz="4" w:space="0" w:color="auto"/>
            </w:tcBorders>
            <w:shd w:val="clear" w:color="000000" w:fill="FFFFFF"/>
            <w:noWrap/>
            <w:vAlign w:val="center"/>
            <w:hideMark/>
          </w:tcPr>
          <w:p w14:paraId="3ABE8246"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0,330</w:t>
            </w:r>
          </w:p>
        </w:tc>
        <w:tc>
          <w:tcPr>
            <w:tcW w:w="1091" w:type="dxa"/>
            <w:tcBorders>
              <w:top w:val="single" w:sz="4" w:space="0" w:color="auto"/>
              <w:left w:val="nil"/>
              <w:bottom w:val="single" w:sz="4" w:space="0" w:color="auto"/>
              <w:right w:val="single" w:sz="4" w:space="0" w:color="auto"/>
            </w:tcBorders>
            <w:shd w:val="clear" w:color="000000" w:fill="FFFFFF"/>
            <w:noWrap/>
            <w:vAlign w:val="center"/>
            <w:hideMark/>
          </w:tcPr>
          <w:p w14:paraId="39987F49"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0,004</w:t>
            </w:r>
          </w:p>
        </w:tc>
        <w:tc>
          <w:tcPr>
            <w:tcW w:w="894" w:type="dxa"/>
            <w:tcBorders>
              <w:top w:val="single" w:sz="4" w:space="0" w:color="auto"/>
              <w:left w:val="nil"/>
              <w:bottom w:val="single" w:sz="4" w:space="0" w:color="auto"/>
              <w:right w:val="single" w:sz="4" w:space="0" w:color="auto"/>
            </w:tcBorders>
            <w:shd w:val="clear" w:color="000000" w:fill="FFFFFF"/>
            <w:noWrap/>
            <w:vAlign w:val="center"/>
            <w:hideMark/>
          </w:tcPr>
          <w:p w14:paraId="2A57F4C7"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0,371</w:t>
            </w:r>
          </w:p>
        </w:tc>
        <w:tc>
          <w:tcPr>
            <w:tcW w:w="895" w:type="dxa"/>
            <w:tcBorders>
              <w:top w:val="single" w:sz="4" w:space="0" w:color="auto"/>
              <w:left w:val="nil"/>
              <w:bottom w:val="single" w:sz="4" w:space="0" w:color="auto"/>
              <w:right w:val="single" w:sz="4" w:space="0" w:color="auto"/>
            </w:tcBorders>
            <w:shd w:val="clear" w:color="000000" w:fill="FFFFFF"/>
            <w:noWrap/>
            <w:vAlign w:val="center"/>
            <w:hideMark/>
          </w:tcPr>
          <w:p w14:paraId="0B56474B"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0,072</w:t>
            </w:r>
          </w:p>
        </w:tc>
      </w:tr>
      <w:tr w:rsidR="00E4588D" w:rsidRPr="00461C16" w14:paraId="2007838A" w14:textId="77777777" w:rsidTr="006D5245">
        <w:trPr>
          <w:trHeight w:val="558"/>
        </w:trPr>
        <w:tc>
          <w:tcPr>
            <w:tcW w:w="1716"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vAlign w:val="center"/>
            <w:hideMark/>
          </w:tcPr>
          <w:p w14:paraId="14ABC279" w14:textId="77777777" w:rsidR="00E4588D" w:rsidRPr="00461C16" w:rsidRDefault="00E4588D" w:rsidP="00E4588D">
            <w:pPr>
              <w:spacing w:line="240" w:lineRule="auto"/>
              <w:jc w:val="left"/>
              <w:rPr>
                <w:rFonts w:eastAsia="Times New Roman"/>
                <w:b/>
                <w:bCs/>
                <w:sz w:val="20"/>
                <w:szCs w:val="20"/>
                <w:lang w:eastAsia="cs-CZ"/>
              </w:rPr>
            </w:pPr>
            <w:r w:rsidRPr="00461C16">
              <w:rPr>
                <w:rFonts w:eastAsia="Times New Roman"/>
                <w:b/>
                <w:bCs/>
                <w:sz w:val="20"/>
                <w:szCs w:val="20"/>
                <w:lang w:eastAsia="cs-CZ"/>
              </w:rPr>
              <w:t>Koridory dopravní infrastruktury celkem</w:t>
            </w:r>
          </w:p>
        </w:tc>
        <w:tc>
          <w:tcPr>
            <w:tcW w:w="807" w:type="dxa"/>
            <w:tcBorders>
              <w:top w:val="single" w:sz="4" w:space="0" w:color="auto"/>
              <w:left w:val="nil"/>
              <w:bottom w:val="single" w:sz="4" w:space="0" w:color="auto"/>
              <w:right w:val="single" w:sz="4" w:space="0" w:color="auto"/>
            </w:tcBorders>
            <w:shd w:val="clear" w:color="auto" w:fill="C2D69B" w:themeFill="accent3" w:themeFillTint="99"/>
            <w:vAlign w:val="center"/>
            <w:hideMark/>
          </w:tcPr>
          <w:p w14:paraId="1C506457"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1,873</w:t>
            </w:r>
          </w:p>
        </w:tc>
        <w:tc>
          <w:tcPr>
            <w:tcW w:w="923" w:type="dxa"/>
            <w:tcBorders>
              <w:top w:val="nil"/>
              <w:left w:val="nil"/>
              <w:bottom w:val="single" w:sz="4" w:space="0" w:color="auto"/>
              <w:right w:val="single" w:sz="4" w:space="0" w:color="auto"/>
            </w:tcBorders>
            <w:shd w:val="clear" w:color="auto" w:fill="C2D69B" w:themeFill="accent3" w:themeFillTint="99"/>
            <w:vAlign w:val="center"/>
            <w:hideMark/>
          </w:tcPr>
          <w:p w14:paraId="532622EA"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2,889</w:t>
            </w:r>
          </w:p>
        </w:tc>
        <w:tc>
          <w:tcPr>
            <w:tcW w:w="791" w:type="dxa"/>
            <w:tcBorders>
              <w:top w:val="nil"/>
              <w:left w:val="nil"/>
              <w:bottom w:val="single" w:sz="4" w:space="0" w:color="auto"/>
              <w:right w:val="single" w:sz="4" w:space="0" w:color="auto"/>
            </w:tcBorders>
            <w:shd w:val="clear" w:color="auto" w:fill="C2D69B" w:themeFill="accent3" w:themeFillTint="99"/>
            <w:vAlign w:val="center"/>
            <w:hideMark/>
          </w:tcPr>
          <w:p w14:paraId="79164585"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0,034</w:t>
            </w:r>
          </w:p>
        </w:tc>
        <w:tc>
          <w:tcPr>
            <w:tcW w:w="924" w:type="dxa"/>
            <w:tcBorders>
              <w:top w:val="nil"/>
              <w:left w:val="nil"/>
              <w:bottom w:val="single" w:sz="4" w:space="0" w:color="auto"/>
              <w:right w:val="single" w:sz="4" w:space="0" w:color="auto"/>
            </w:tcBorders>
            <w:shd w:val="clear" w:color="auto" w:fill="C2D69B" w:themeFill="accent3" w:themeFillTint="99"/>
            <w:vAlign w:val="center"/>
            <w:hideMark/>
          </w:tcPr>
          <w:p w14:paraId="6675E957"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3,250</w:t>
            </w:r>
          </w:p>
        </w:tc>
        <w:tc>
          <w:tcPr>
            <w:tcW w:w="794" w:type="dxa"/>
            <w:tcBorders>
              <w:top w:val="nil"/>
              <w:left w:val="nil"/>
              <w:bottom w:val="single" w:sz="4" w:space="0" w:color="auto"/>
              <w:right w:val="nil"/>
            </w:tcBorders>
            <w:shd w:val="clear" w:color="auto" w:fill="C2D69B" w:themeFill="accent3" w:themeFillTint="99"/>
            <w:vAlign w:val="center"/>
            <w:hideMark/>
          </w:tcPr>
          <w:p w14:paraId="54858958"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0,630</w:t>
            </w:r>
          </w:p>
        </w:tc>
        <w:tc>
          <w:tcPr>
            <w:tcW w:w="1057"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21F2CD89"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8,676</w:t>
            </w:r>
          </w:p>
        </w:tc>
        <w:tc>
          <w:tcPr>
            <w:tcW w:w="923" w:type="dxa"/>
            <w:tcBorders>
              <w:top w:val="nil"/>
              <w:left w:val="nil"/>
              <w:bottom w:val="single" w:sz="4" w:space="0" w:color="auto"/>
              <w:right w:val="single" w:sz="4" w:space="0" w:color="auto"/>
            </w:tcBorders>
            <w:shd w:val="clear" w:color="auto" w:fill="C2D69B" w:themeFill="accent3" w:themeFillTint="99"/>
            <w:vAlign w:val="center"/>
            <w:hideMark/>
          </w:tcPr>
          <w:p w14:paraId="7AC3CF11"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 </w:t>
            </w:r>
          </w:p>
        </w:tc>
        <w:tc>
          <w:tcPr>
            <w:tcW w:w="924" w:type="dxa"/>
            <w:tcBorders>
              <w:top w:val="nil"/>
              <w:left w:val="nil"/>
              <w:bottom w:val="single" w:sz="4" w:space="0" w:color="auto"/>
              <w:right w:val="single" w:sz="4" w:space="0" w:color="auto"/>
            </w:tcBorders>
            <w:shd w:val="clear" w:color="auto" w:fill="C2D69B" w:themeFill="accent3" w:themeFillTint="99"/>
            <w:vAlign w:val="center"/>
            <w:hideMark/>
          </w:tcPr>
          <w:p w14:paraId="44EBB843"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 </w:t>
            </w:r>
          </w:p>
        </w:tc>
        <w:tc>
          <w:tcPr>
            <w:tcW w:w="1057" w:type="dxa"/>
            <w:tcBorders>
              <w:top w:val="nil"/>
              <w:left w:val="nil"/>
              <w:bottom w:val="single" w:sz="4" w:space="0" w:color="auto"/>
              <w:right w:val="single" w:sz="4" w:space="0" w:color="auto"/>
            </w:tcBorders>
            <w:shd w:val="clear" w:color="auto" w:fill="C2D69B" w:themeFill="accent3" w:themeFillTint="99"/>
            <w:vAlign w:val="center"/>
            <w:hideMark/>
          </w:tcPr>
          <w:p w14:paraId="2208AA33"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 </w:t>
            </w:r>
          </w:p>
        </w:tc>
        <w:tc>
          <w:tcPr>
            <w:tcW w:w="923" w:type="dxa"/>
            <w:tcBorders>
              <w:top w:val="nil"/>
              <w:left w:val="nil"/>
              <w:bottom w:val="single" w:sz="4" w:space="0" w:color="auto"/>
              <w:right w:val="single" w:sz="4" w:space="0" w:color="auto"/>
            </w:tcBorders>
            <w:shd w:val="clear" w:color="auto" w:fill="C2D69B" w:themeFill="accent3" w:themeFillTint="99"/>
            <w:vAlign w:val="center"/>
            <w:hideMark/>
          </w:tcPr>
          <w:p w14:paraId="4176216C"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0,214</w:t>
            </w:r>
          </w:p>
        </w:tc>
        <w:tc>
          <w:tcPr>
            <w:tcW w:w="791" w:type="dxa"/>
            <w:tcBorders>
              <w:top w:val="nil"/>
              <w:left w:val="nil"/>
              <w:bottom w:val="single" w:sz="4" w:space="0" w:color="auto"/>
              <w:right w:val="single" w:sz="4" w:space="0" w:color="auto"/>
            </w:tcBorders>
            <w:shd w:val="clear" w:color="auto" w:fill="C2D69B" w:themeFill="accent3" w:themeFillTint="99"/>
            <w:vAlign w:val="center"/>
            <w:hideMark/>
          </w:tcPr>
          <w:p w14:paraId="6BECFD3B"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0,330</w:t>
            </w:r>
          </w:p>
        </w:tc>
        <w:tc>
          <w:tcPr>
            <w:tcW w:w="1091" w:type="dxa"/>
            <w:tcBorders>
              <w:top w:val="nil"/>
              <w:left w:val="nil"/>
              <w:bottom w:val="single" w:sz="4" w:space="0" w:color="auto"/>
              <w:right w:val="single" w:sz="4" w:space="0" w:color="auto"/>
            </w:tcBorders>
            <w:shd w:val="clear" w:color="auto" w:fill="C2D69B" w:themeFill="accent3" w:themeFillTint="99"/>
            <w:vAlign w:val="center"/>
            <w:hideMark/>
          </w:tcPr>
          <w:p w14:paraId="7DBBA7D5"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0,004</w:t>
            </w:r>
          </w:p>
        </w:tc>
        <w:tc>
          <w:tcPr>
            <w:tcW w:w="894" w:type="dxa"/>
            <w:tcBorders>
              <w:top w:val="nil"/>
              <w:left w:val="nil"/>
              <w:bottom w:val="single" w:sz="4" w:space="0" w:color="auto"/>
              <w:right w:val="single" w:sz="4" w:space="0" w:color="auto"/>
            </w:tcBorders>
            <w:shd w:val="clear" w:color="auto" w:fill="C2D69B" w:themeFill="accent3" w:themeFillTint="99"/>
            <w:vAlign w:val="center"/>
            <w:hideMark/>
          </w:tcPr>
          <w:p w14:paraId="232289B2"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0,371</w:t>
            </w:r>
          </w:p>
        </w:tc>
        <w:tc>
          <w:tcPr>
            <w:tcW w:w="895" w:type="dxa"/>
            <w:tcBorders>
              <w:top w:val="nil"/>
              <w:left w:val="nil"/>
              <w:bottom w:val="single" w:sz="4" w:space="0" w:color="auto"/>
              <w:right w:val="single" w:sz="4" w:space="0" w:color="auto"/>
            </w:tcBorders>
            <w:shd w:val="clear" w:color="auto" w:fill="C2D69B" w:themeFill="accent3" w:themeFillTint="99"/>
            <w:vAlign w:val="center"/>
            <w:hideMark/>
          </w:tcPr>
          <w:p w14:paraId="7F093A1E"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0,072</w:t>
            </w:r>
          </w:p>
        </w:tc>
      </w:tr>
      <w:tr w:rsidR="00E4588D" w:rsidRPr="00461C16" w14:paraId="27FC5320" w14:textId="77777777" w:rsidTr="006D5245">
        <w:trPr>
          <w:trHeight w:val="294"/>
        </w:trPr>
        <w:tc>
          <w:tcPr>
            <w:tcW w:w="811" w:type="dxa"/>
            <w:tcBorders>
              <w:top w:val="nil"/>
              <w:left w:val="single" w:sz="4" w:space="0" w:color="auto"/>
              <w:bottom w:val="single" w:sz="4" w:space="0" w:color="auto"/>
              <w:right w:val="single" w:sz="4" w:space="0" w:color="auto"/>
            </w:tcBorders>
            <w:shd w:val="clear" w:color="auto" w:fill="auto"/>
            <w:noWrap/>
            <w:vAlign w:val="center"/>
            <w:hideMark/>
          </w:tcPr>
          <w:p w14:paraId="5B4E1BAC" w14:textId="77777777" w:rsidR="00E4588D" w:rsidRPr="00461C16" w:rsidRDefault="00E4588D" w:rsidP="00E4588D">
            <w:pPr>
              <w:spacing w:line="240" w:lineRule="auto"/>
              <w:jc w:val="left"/>
              <w:rPr>
                <w:rFonts w:eastAsia="Times New Roman"/>
                <w:color w:val="000000"/>
                <w:sz w:val="20"/>
                <w:szCs w:val="20"/>
                <w:lang w:eastAsia="cs-CZ"/>
              </w:rPr>
            </w:pPr>
            <w:r w:rsidRPr="00461C16">
              <w:rPr>
                <w:rFonts w:eastAsia="Times New Roman"/>
                <w:color w:val="000000"/>
                <w:sz w:val="20"/>
                <w:szCs w:val="20"/>
                <w:lang w:eastAsia="cs-CZ"/>
              </w:rPr>
              <w:t>X02</w:t>
            </w:r>
          </w:p>
        </w:tc>
        <w:tc>
          <w:tcPr>
            <w:tcW w:w="905" w:type="dxa"/>
            <w:tcBorders>
              <w:top w:val="nil"/>
              <w:left w:val="nil"/>
              <w:bottom w:val="single" w:sz="4" w:space="0" w:color="auto"/>
              <w:right w:val="single" w:sz="4" w:space="0" w:color="auto"/>
            </w:tcBorders>
            <w:shd w:val="clear" w:color="auto" w:fill="auto"/>
            <w:noWrap/>
            <w:vAlign w:val="center"/>
            <w:hideMark/>
          </w:tcPr>
          <w:p w14:paraId="5E888DD1" w14:textId="77777777" w:rsidR="00E4588D" w:rsidRPr="00461C16" w:rsidRDefault="00E4588D" w:rsidP="00E4588D">
            <w:pPr>
              <w:spacing w:line="240" w:lineRule="auto"/>
              <w:jc w:val="left"/>
              <w:rPr>
                <w:rFonts w:eastAsia="Times New Roman"/>
                <w:color w:val="000000"/>
                <w:sz w:val="20"/>
                <w:szCs w:val="20"/>
                <w:lang w:eastAsia="cs-CZ"/>
              </w:rPr>
            </w:pPr>
            <w:r w:rsidRPr="00461C16">
              <w:rPr>
                <w:rFonts w:eastAsia="Times New Roman"/>
                <w:color w:val="000000"/>
                <w:sz w:val="20"/>
                <w:szCs w:val="20"/>
                <w:lang w:eastAsia="cs-CZ"/>
              </w:rPr>
              <w:t>TI.k</w:t>
            </w:r>
          </w:p>
        </w:tc>
        <w:tc>
          <w:tcPr>
            <w:tcW w:w="807" w:type="dxa"/>
            <w:tcBorders>
              <w:top w:val="nil"/>
              <w:left w:val="nil"/>
              <w:bottom w:val="single" w:sz="4" w:space="0" w:color="auto"/>
              <w:right w:val="single" w:sz="4" w:space="0" w:color="auto"/>
            </w:tcBorders>
            <w:shd w:val="clear" w:color="000000" w:fill="FFFFFF"/>
            <w:noWrap/>
            <w:vAlign w:val="center"/>
            <w:hideMark/>
          </w:tcPr>
          <w:p w14:paraId="37B58030"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923" w:type="dxa"/>
            <w:tcBorders>
              <w:top w:val="nil"/>
              <w:left w:val="nil"/>
              <w:bottom w:val="single" w:sz="4" w:space="0" w:color="auto"/>
              <w:right w:val="single" w:sz="4" w:space="0" w:color="auto"/>
            </w:tcBorders>
            <w:shd w:val="clear" w:color="000000" w:fill="FFFFFF"/>
            <w:noWrap/>
            <w:vAlign w:val="center"/>
            <w:hideMark/>
          </w:tcPr>
          <w:p w14:paraId="4903958B"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6,876</w:t>
            </w:r>
          </w:p>
        </w:tc>
        <w:tc>
          <w:tcPr>
            <w:tcW w:w="791" w:type="dxa"/>
            <w:tcBorders>
              <w:top w:val="nil"/>
              <w:left w:val="nil"/>
              <w:bottom w:val="single" w:sz="4" w:space="0" w:color="auto"/>
              <w:right w:val="single" w:sz="4" w:space="0" w:color="auto"/>
            </w:tcBorders>
            <w:shd w:val="clear" w:color="000000" w:fill="FFFFFF"/>
            <w:noWrap/>
            <w:vAlign w:val="center"/>
            <w:hideMark/>
          </w:tcPr>
          <w:p w14:paraId="298CC2C0"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924" w:type="dxa"/>
            <w:tcBorders>
              <w:top w:val="nil"/>
              <w:left w:val="nil"/>
              <w:bottom w:val="single" w:sz="4" w:space="0" w:color="auto"/>
              <w:right w:val="single" w:sz="4" w:space="0" w:color="auto"/>
            </w:tcBorders>
            <w:shd w:val="clear" w:color="000000" w:fill="FFFFFF"/>
            <w:noWrap/>
            <w:vAlign w:val="center"/>
            <w:hideMark/>
          </w:tcPr>
          <w:p w14:paraId="1817FDA5"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794" w:type="dxa"/>
            <w:tcBorders>
              <w:top w:val="nil"/>
              <w:left w:val="nil"/>
              <w:bottom w:val="single" w:sz="4" w:space="0" w:color="auto"/>
              <w:right w:val="nil"/>
            </w:tcBorders>
            <w:shd w:val="clear" w:color="000000" w:fill="FFFFFF"/>
            <w:noWrap/>
            <w:vAlign w:val="center"/>
            <w:hideMark/>
          </w:tcPr>
          <w:p w14:paraId="6B6A57C3"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0,000</w:t>
            </w:r>
          </w:p>
        </w:tc>
        <w:tc>
          <w:tcPr>
            <w:tcW w:w="1057" w:type="dxa"/>
            <w:tcBorders>
              <w:top w:val="nil"/>
              <w:left w:val="single" w:sz="4" w:space="0" w:color="auto"/>
              <w:bottom w:val="single" w:sz="4" w:space="0" w:color="auto"/>
              <w:right w:val="single" w:sz="4" w:space="0" w:color="auto"/>
            </w:tcBorders>
            <w:shd w:val="clear" w:color="000000" w:fill="FFFFFF"/>
            <w:noWrap/>
            <w:vAlign w:val="center"/>
            <w:hideMark/>
          </w:tcPr>
          <w:p w14:paraId="69B5D636" w14:textId="77777777" w:rsidR="00E4588D" w:rsidRPr="00461C16" w:rsidRDefault="00E4588D" w:rsidP="00E4588D">
            <w:pPr>
              <w:spacing w:line="240" w:lineRule="auto"/>
              <w:jc w:val="right"/>
              <w:rPr>
                <w:rFonts w:eastAsia="Times New Roman"/>
                <w:color w:val="000000"/>
                <w:sz w:val="20"/>
                <w:szCs w:val="20"/>
                <w:lang w:eastAsia="cs-CZ"/>
              </w:rPr>
            </w:pPr>
            <w:r w:rsidRPr="00461C16">
              <w:rPr>
                <w:rFonts w:eastAsia="Times New Roman"/>
                <w:color w:val="000000"/>
                <w:sz w:val="20"/>
                <w:szCs w:val="20"/>
                <w:lang w:eastAsia="cs-CZ"/>
              </w:rPr>
              <w:t>6,876</w:t>
            </w:r>
          </w:p>
        </w:tc>
        <w:tc>
          <w:tcPr>
            <w:tcW w:w="923" w:type="dxa"/>
            <w:tcBorders>
              <w:top w:val="nil"/>
              <w:left w:val="nil"/>
              <w:bottom w:val="single" w:sz="4" w:space="0" w:color="auto"/>
              <w:right w:val="single" w:sz="4" w:space="0" w:color="auto"/>
            </w:tcBorders>
            <w:shd w:val="clear" w:color="000000" w:fill="FFFFFF"/>
            <w:noWrap/>
            <w:vAlign w:val="center"/>
            <w:hideMark/>
          </w:tcPr>
          <w:p w14:paraId="7FE7D7EA"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50</w:t>
            </w:r>
          </w:p>
        </w:tc>
        <w:tc>
          <w:tcPr>
            <w:tcW w:w="924" w:type="dxa"/>
            <w:tcBorders>
              <w:top w:val="nil"/>
              <w:left w:val="nil"/>
              <w:bottom w:val="single" w:sz="4" w:space="0" w:color="auto"/>
              <w:right w:val="single" w:sz="4" w:space="0" w:color="auto"/>
            </w:tcBorders>
            <w:shd w:val="clear" w:color="000000" w:fill="FFFFFF"/>
            <w:noWrap/>
            <w:vAlign w:val="center"/>
            <w:hideMark/>
          </w:tcPr>
          <w:p w14:paraId="7C532756"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4</w:t>
            </w:r>
          </w:p>
        </w:tc>
        <w:tc>
          <w:tcPr>
            <w:tcW w:w="1057" w:type="dxa"/>
            <w:tcBorders>
              <w:top w:val="nil"/>
              <w:left w:val="nil"/>
              <w:bottom w:val="single" w:sz="4" w:space="0" w:color="auto"/>
              <w:right w:val="single" w:sz="4" w:space="0" w:color="auto"/>
            </w:tcBorders>
            <w:shd w:val="clear" w:color="000000" w:fill="FFFFFF"/>
            <w:noWrap/>
            <w:vAlign w:val="center"/>
            <w:hideMark/>
          </w:tcPr>
          <w:p w14:paraId="1D190DD9" w14:textId="77777777" w:rsidR="00E4588D" w:rsidRPr="00461C16" w:rsidRDefault="00E4588D"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0,08000</w:t>
            </w:r>
          </w:p>
        </w:tc>
        <w:tc>
          <w:tcPr>
            <w:tcW w:w="923" w:type="dxa"/>
            <w:tcBorders>
              <w:top w:val="nil"/>
              <w:left w:val="nil"/>
              <w:bottom w:val="single" w:sz="4" w:space="0" w:color="auto"/>
              <w:right w:val="single" w:sz="4" w:space="0" w:color="auto"/>
            </w:tcBorders>
            <w:shd w:val="clear" w:color="000000" w:fill="FFFFFF"/>
            <w:noWrap/>
            <w:vAlign w:val="center"/>
            <w:hideMark/>
          </w:tcPr>
          <w:p w14:paraId="6534FE32"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0,000</w:t>
            </w:r>
          </w:p>
        </w:tc>
        <w:tc>
          <w:tcPr>
            <w:tcW w:w="791" w:type="dxa"/>
            <w:tcBorders>
              <w:top w:val="nil"/>
              <w:left w:val="nil"/>
              <w:bottom w:val="single" w:sz="4" w:space="0" w:color="auto"/>
              <w:right w:val="single" w:sz="4" w:space="0" w:color="auto"/>
            </w:tcBorders>
            <w:shd w:val="clear" w:color="000000" w:fill="FFFFFF"/>
            <w:noWrap/>
            <w:vAlign w:val="center"/>
            <w:hideMark/>
          </w:tcPr>
          <w:p w14:paraId="3D089F21"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0,550</w:t>
            </w:r>
          </w:p>
        </w:tc>
        <w:tc>
          <w:tcPr>
            <w:tcW w:w="1091" w:type="dxa"/>
            <w:tcBorders>
              <w:top w:val="nil"/>
              <w:left w:val="nil"/>
              <w:bottom w:val="single" w:sz="4" w:space="0" w:color="auto"/>
              <w:right w:val="single" w:sz="4" w:space="0" w:color="auto"/>
            </w:tcBorders>
            <w:shd w:val="clear" w:color="000000" w:fill="FFFFFF"/>
            <w:noWrap/>
            <w:vAlign w:val="center"/>
            <w:hideMark/>
          </w:tcPr>
          <w:p w14:paraId="0ECD7C19"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0,000</w:t>
            </w:r>
          </w:p>
        </w:tc>
        <w:tc>
          <w:tcPr>
            <w:tcW w:w="894" w:type="dxa"/>
            <w:tcBorders>
              <w:top w:val="nil"/>
              <w:left w:val="nil"/>
              <w:bottom w:val="single" w:sz="4" w:space="0" w:color="auto"/>
              <w:right w:val="single" w:sz="4" w:space="0" w:color="auto"/>
            </w:tcBorders>
            <w:shd w:val="clear" w:color="000000" w:fill="FFFFFF"/>
            <w:noWrap/>
            <w:vAlign w:val="center"/>
            <w:hideMark/>
          </w:tcPr>
          <w:p w14:paraId="7C1E8D04"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0,000</w:t>
            </w:r>
          </w:p>
        </w:tc>
        <w:tc>
          <w:tcPr>
            <w:tcW w:w="895" w:type="dxa"/>
            <w:tcBorders>
              <w:top w:val="nil"/>
              <w:left w:val="nil"/>
              <w:bottom w:val="single" w:sz="4" w:space="0" w:color="auto"/>
              <w:right w:val="single" w:sz="4" w:space="0" w:color="auto"/>
            </w:tcBorders>
            <w:shd w:val="clear" w:color="000000" w:fill="FFFFFF"/>
            <w:noWrap/>
            <w:vAlign w:val="center"/>
            <w:hideMark/>
          </w:tcPr>
          <w:p w14:paraId="3B14CCA9" w14:textId="77777777" w:rsidR="00E4588D" w:rsidRPr="00461C16" w:rsidRDefault="00E4588D" w:rsidP="00E4588D">
            <w:pPr>
              <w:spacing w:line="240" w:lineRule="auto"/>
              <w:jc w:val="right"/>
              <w:rPr>
                <w:rFonts w:eastAsia="Times New Roman"/>
                <w:sz w:val="20"/>
                <w:szCs w:val="20"/>
                <w:lang w:eastAsia="cs-CZ"/>
              </w:rPr>
            </w:pPr>
            <w:r w:rsidRPr="00461C16">
              <w:rPr>
                <w:rFonts w:eastAsia="Times New Roman"/>
                <w:sz w:val="20"/>
                <w:szCs w:val="20"/>
                <w:lang w:eastAsia="cs-CZ"/>
              </w:rPr>
              <w:t>0,000</w:t>
            </w:r>
          </w:p>
        </w:tc>
      </w:tr>
      <w:tr w:rsidR="006D5245" w:rsidRPr="00461C16" w14:paraId="700CCED7" w14:textId="77777777" w:rsidTr="006D5245">
        <w:trPr>
          <w:trHeight w:val="558"/>
        </w:trPr>
        <w:tc>
          <w:tcPr>
            <w:tcW w:w="1716" w:type="dxa"/>
            <w:gridSpan w:val="2"/>
            <w:tcBorders>
              <w:top w:val="single" w:sz="4" w:space="0" w:color="auto"/>
              <w:left w:val="single" w:sz="4" w:space="0" w:color="auto"/>
              <w:bottom w:val="single" w:sz="4" w:space="0" w:color="auto"/>
              <w:right w:val="single" w:sz="4" w:space="0" w:color="000000"/>
            </w:tcBorders>
            <w:shd w:val="clear" w:color="auto" w:fill="C2D69B" w:themeFill="accent3" w:themeFillTint="99"/>
            <w:vAlign w:val="center"/>
            <w:hideMark/>
          </w:tcPr>
          <w:p w14:paraId="160DC367" w14:textId="77777777" w:rsidR="006D5245" w:rsidRPr="00461C16" w:rsidRDefault="006D5245" w:rsidP="00E4588D">
            <w:pPr>
              <w:spacing w:line="240" w:lineRule="auto"/>
              <w:jc w:val="left"/>
              <w:rPr>
                <w:rFonts w:eastAsia="Times New Roman"/>
                <w:b/>
                <w:bCs/>
                <w:sz w:val="20"/>
                <w:szCs w:val="20"/>
                <w:lang w:eastAsia="cs-CZ"/>
              </w:rPr>
            </w:pPr>
            <w:r w:rsidRPr="00461C16">
              <w:rPr>
                <w:rFonts w:eastAsia="Times New Roman"/>
                <w:b/>
                <w:bCs/>
                <w:sz w:val="20"/>
                <w:szCs w:val="20"/>
                <w:lang w:eastAsia="cs-CZ"/>
              </w:rPr>
              <w:t>Koridory technické infrastruktury celkem</w:t>
            </w:r>
          </w:p>
        </w:tc>
        <w:tc>
          <w:tcPr>
            <w:tcW w:w="807" w:type="dxa"/>
            <w:tcBorders>
              <w:top w:val="nil"/>
              <w:left w:val="nil"/>
              <w:bottom w:val="single" w:sz="4" w:space="0" w:color="auto"/>
              <w:right w:val="single" w:sz="4" w:space="0" w:color="auto"/>
            </w:tcBorders>
            <w:shd w:val="clear" w:color="auto" w:fill="C2D69B" w:themeFill="accent3" w:themeFillTint="99"/>
            <w:vAlign w:val="center"/>
            <w:hideMark/>
          </w:tcPr>
          <w:p w14:paraId="290DF28D" w14:textId="77777777" w:rsidR="006D5245" w:rsidRPr="00461C16" w:rsidRDefault="006D5245"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0,000</w:t>
            </w:r>
          </w:p>
        </w:tc>
        <w:tc>
          <w:tcPr>
            <w:tcW w:w="923" w:type="dxa"/>
            <w:tcBorders>
              <w:top w:val="nil"/>
              <w:left w:val="nil"/>
              <w:bottom w:val="single" w:sz="4" w:space="0" w:color="auto"/>
              <w:right w:val="single" w:sz="4" w:space="0" w:color="auto"/>
            </w:tcBorders>
            <w:shd w:val="clear" w:color="auto" w:fill="C2D69B" w:themeFill="accent3" w:themeFillTint="99"/>
            <w:vAlign w:val="center"/>
            <w:hideMark/>
          </w:tcPr>
          <w:p w14:paraId="171EE48A" w14:textId="77777777" w:rsidR="006D5245" w:rsidRPr="006D5245" w:rsidRDefault="006D5245" w:rsidP="00E4588D">
            <w:pPr>
              <w:spacing w:line="240" w:lineRule="auto"/>
              <w:jc w:val="right"/>
              <w:rPr>
                <w:rFonts w:eastAsia="Times New Roman"/>
                <w:b/>
                <w:bCs/>
                <w:sz w:val="20"/>
                <w:szCs w:val="20"/>
                <w:lang w:eastAsia="cs-CZ"/>
              </w:rPr>
            </w:pPr>
            <w:r w:rsidRPr="006D5245">
              <w:rPr>
                <w:rFonts w:eastAsia="Times New Roman"/>
                <w:b/>
                <w:color w:val="000000"/>
                <w:sz w:val="20"/>
                <w:szCs w:val="20"/>
                <w:lang w:eastAsia="cs-CZ"/>
              </w:rPr>
              <w:t>6,876</w:t>
            </w:r>
          </w:p>
        </w:tc>
        <w:tc>
          <w:tcPr>
            <w:tcW w:w="791" w:type="dxa"/>
            <w:tcBorders>
              <w:top w:val="nil"/>
              <w:left w:val="nil"/>
              <w:bottom w:val="single" w:sz="4" w:space="0" w:color="auto"/>
              <w:right w:val="single" w:sz="4" w:space="0" w:color="auto"/>
            </w:tcBorders>
            <w:shd w:val="clear" w:color="auto" w:fill="C2D69B" w:themeFill="accent3" w:themeFillTint="99"/>
            <w:vAlign w:val="center"/>
            <w:hideMark/>
          </w:tcPr>
          <w:p w14:paraId="17324964" w14:textId="77777777" w:rsidR="006D5245" w:rsidRPr="00461C16" w:rsidRDefault="006D5245"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0,000</w:t>
            </w:r>
          </w:p>
        </w:tc>
        <w:tc>
          <w:tcPr>
            <w:tcW w:w="924" w:type="dxa"/>
            <w:tcBorders>
              <w:top w:val="nil"/>
              <w:left w:val="nil"/>
              <w:bottom w:val="single" w:sz="4" w:space="0" w:color="auto"/>
              <w:right w:val="single" w:sz="4" w:space="0" w:color="auto"/>
            </w:tcBorders>
            <w:shd w:val="clear" w:color="auto" w:fill="C2D69B" w:themeFill="accent3" w:themeFillTint="99"/>
            <w:vAlign w:val="center"/>
            <w:hideMark/>
          </w:tcPr>
          <w:p w14:paraId="7F365133" w14:textId="77777777" w:rsidR="006D5245" w:rsidRPr="00461C16" w:rsidRDefault="006D5245"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0,000</w:t>
            </w:r>
          </w:p>
        </w:tc>
        <w:tc>
          <w:tcPr>
            <w:tcW w:w="794" w:type="dxa"/>
            <w:tcBorders>
              <w:top w:val="nil"/>
              <w:left w:val="nil"/>
              <w:bottom w:val="single" w:sz="4" w:space="0" w:color="auto"/>
              <w:right w:val="nil"/>
            </w:tcBorders>
            <w:shd w:val="clear" w:color="auto" w:fill="C2D69B" w:themeFill="accent3" w:themeFillTint="99"/>
            <w:vAlign w:val="center"/>
            <w:hideMark/>
          </w:tcPr>
          <w:p w14:paraId="61D6037E" w14:textId="77777777" w:rsidR="006D5245" w:rsidRPr="00461C16" w:rsidRDefault="006D5245"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0,000</w:t>
            </w:r>
          </w:p>
        </w:tc>
        <w:tc>
          <w:tcPr>
            <w:tcW w:w="1057" w:type="dxa"/>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6A50DD40" w14:textId="77777777" w:rsidR="006D5245" w:rsidRPr="006D5245" w:rsidRDefault="006D5245" w:rsidP="00E4588D">
            <w:pPr>
              <w:spacing w:line="240" w:lineRule="auto"/>
              <w:jc w:val="right"/>
              <w:rPr>
                <w:rFonts w:eastAsia="Times New Roman"/>
                <w:b/>
                <w:bCs/>
                <w:sz w:val="20"/>
                <w:szCs w:val="20"/>
                <w:lang w:eastAsia="cs-CZ"/>
              </w:rPr>
            </w:pPr>
            <w:r w:rsidRPr="006D5245">
              <w:rPr>
                <w:rFonts w:eastAsia="Times New Roman"/>
                <w:b/>
                <w:color w:val="000000"/>
                <w:sz w:val="20"/>
                <w:szCs w:val="20"/>
                <w:lang w:eastAsia="cs-CZ"/>
              </w:rPr>
              <w:t>6,876</w:t>
            </w:r>
          </w:p>
        </w:tc>
        <w:tc>
          <w:tcPr>
            <w:tcW w:w="923" w:type="dxa"/>
            <w:tcBorders>
              <w:top w:val="nil"/>
              <w:left w:val="nil"/>
              <w:bottom w:val="single" w:sz="4" w:space="0" w:color="auto"/>
              <w:right w:val="single" w:sz="4" w:space="0" w:color="auto"/>
            </w:tcBorders>
            <w:shd w:val="clear" w:color="auto" w:fill="C2D69B" w:themeFill="accent3" w:themeFillTint="99"/>
            <w:vAlign w:val="center"/>
            <w:hideMark/>
          </w:tcPr>
          <w:p w14:paraId="3B44D058" w14:textId="77777777" w:rsidR="006D5245" w:rsidRPr="00461C16" w:rsidRDefault="006D5245"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 </w:t>
            </w:r>
          </w:p>
        </w:tc>
        <w:tc>
          <w:tcPr>
            <w:tcW w:w="924" w:type="dxa"/>
            <w:tcBorders>
              <w:top w:val="nil"/>
              <w:left w:val="nil"/>
              <w:bottom w:val="single" w:sz="4" w:space="0" w:color="auto"/>
              <w:right w:val="single" w:sz="4" w:space="0" w:color="auto"/>
            </w:tcBorders>
            <w:shd w:val="clear" w:color="auto" w:fill="C2D69B" w:themeFill="accent3" w:themeFillTint="99"/>
            <w:vAlign w:val="center"/>
            <w:hideMark/>
          </w:tcPr>
          <w:p w14:paraId="59F98F9E" w14:textId="77777777" w:rsidR="006D5245" w:rsidRPr="00461C16" w:rsidRDefault="006D5245"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 </w:t>
            </w:r>
          </w:p>
        </w:tc>
        <w:tc>
          <w:tcPr>
            <w:tcW w:w="1057" w:type="dxa"/>
            <w:tcBorders>
              <w:top w:val="nil"/>
              <w:left w:val="nil"/>
              <w:bottom w:val="single" w:sz="4" w:space="0" w:color="auto"/>
              <w:right w:val="single" w:sz="4" w:space="0" w:color="auto"/>
            </w:tcBorders>
            <w:shd w:val="clear" w:color="auto" w:fill="C2D69B" w:themeFill="accent3" w:themeFillTint="99"/>
            <w:vAlign w:val="center"/>
            <w:hideMark/>
          </w:tcPr>
          <w:p w14:paraId="56077D75" w14:textId="77777777" w:rsidR="006D5245" w:rsidRPr="00461C16" w:rsidRDefault="006D5245"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 </w:t>
            </w:r>
          </w:p>
        </w:tc>
        <w:tc>
          <w:tcPr>
            <w:tcW w:w="923" w:type="dxa"/>
            <w:tcBorders>
              <w:top w:val="nil"/>
              <w:left w:val="nil"/>
              <w:bottom w:val="single" w:sz="4" w:space="0" w:color="auto"/>
              <w:right w:val="single" w:sz="4" w:space="0" w:color="auto"/>
            </w:tcBorders>
            <w:shd w:val="clear" w:color="auto" w:fill="C2D69B" w:themeFill="accent3" w:themeFillTint="99"/>
            <w:vAlign w:val="center"/>
            <w:hideMark/>
          </w:tcPr>
          <w:p w14:paraId="7864E245" w14:textId="77777777" w:rsidR="006D5245" w:rsidRPr="00461C16" w:rsidRDefault="006D5245" w:rsidP="00E4588D">
            <w:pPr>
              <w:spacing w:line="240" w:lineRule="auto"/>
              <w:jc w:val="right"/>
              <w:rPr>
                <w:rFonts w:eastAsia="Times New Roman"/>
                <w:b/>
                <w:bCs/>
                <w:sz w:val="20"/>
                <w:szCs w:val="20"/>
                <w:lang w:eastAsia="cs-CZ"/>
              </w:rPr>
            </w:pPr>
            <w:r w:rsidRPr="00461C16">
              <w:rPr>
                <w:rFonts w:eastAsia="Times New Roman"/>
                <w:b/>
                <w:bCs/>
                <w:sz w:val="20"/>
                <w:szCs w:val="20"/>
                <w:lang w:eastAsia="cs-CZ"/>
              </w:rPr>
              <w:t>0,000</w:t>
            </w:r>
          </w:p>
        </w:tc>
        <w:tc>
          <w:tcPr>
            <w:tcW w:w="791" w:type="dxa"/>
            <w:tcBorders>
              <w:top w:val="nil"/>
              <w:left w:val="nil"/>
              <w:bottom w:val="single" w:sz="4" w:space="0" w:color="auto"/>
              <w:right w:val="single" w:sz="4" w:space="0" w:color="auto"/>
            </w:tcBorders>
            <w:shd w:val="clear" w:color="auto" w:fill="C2D69B" w:themeFill="accent3" w:themeFillTint="99"/>
            <w:vAlign w:val="center"/>
            <w:hideMark/>
          </w:tcPr>
          <w:p w14:paraId="51495911" w14:textId="77777777" w:rsidR="006D5245" w:rsidRPr="006D5245" w:rsidRDefault="006D5245" w:rsidP="00E4588D">
            <w:pPr>
              <w:spacing w:line="240" w:lineRule="auto"/>
              <w:jc w:val="right"/>
              <w:rPr>
                <w:rFonts w:eastAsia="Times New Roman"/>
                <w:b/>
                <w:bCs/>
                <w:sz w:val="20"/>
                <w:szCs w:val="20"/>
                <w:lang w:eastAsia="cs-CZ"/>
              </w:rPr>
            </w:pPr>
            <w:r w:rsidRPr="006D5245">
              <w:rPr>
                <w:rFonts w:eastAsia="Times New Roman"/>
                <w:b/>
                <w:sz w:val="20"/>
                <w:szCs w:val="20"/>
                <w:lang w:eastAsia="cs-CZ"/>
              </w:rPr>
              <w:t>0,550</w:t>
            </w:r>
          </w:p>
        </w:tc>
        <w:tc>
          <w:tcPr>
            <w:tcW w:w="1091" w:type="dxa"/>
            <w:tcBorders>
              <w:top w:val="nil"/>
              <w:left w:val="nil"/>
              <w:bottom w:val="single" w:sz="4" w:space="0" w:color="auto"/>
              <w:right w:val="single" w:sz="4" w:space="0" w:color="auto"/>
            </w:tcBorders>
            <w:shd w:val="clear" w:color="auto" w:fill="C2D69B" w:themeFill="accent3" w:themeFillTint="99"/>
            <w:vAlign w:val="center"/>
            <w:hideMark/>
          </w:tcPr>
          <w:p w14:paraId="05EABF84" w14:textId="77777777" w:rsidR="006D5245" w:rsidRPr="006D5245" w:rsidRDefault="006D5245" w:rsidP="00E4588D">
            <w:pPr>
              <w:spacing w:line="240" w:lineRule="auto"/>
              <w:jc w:val="right"/>
              <w:rPr>
                <w:rFonts w:eastAsia="Times New Roman"/>
                <w:b/>
                <w:bCs/>
                <w:sz w:val="20"/>
                <w:szCs w:val="20"/>
                <w:lang w:eastAsia="cs-CZ"/>
              </w:rPr>
            </w:pPr>
            <w:r w:rsidRPr="006D5245">
              <w:rPr>
                <w:rFonts w:eastAsia="Times New Roman"/>
                <w:b/>
                <w:sz w:val="20"/>
                <w:szCs w:val="20"/>
                <w:lang w:eastAsia="cs-CZ"/>
              </w:rPr>
              <w:t>0,000</w:t>
            </w:r>
          </w:p>
        </w:tc>
        <w:tc>
          <w:tcPr>
            <w:tcW w:w="894" w:type="dxa"/>
            <w:tcBorders>
              <w:top w:val="nil"/>
              <w:left w:val="nil"/>
              <w:bottom w:val="single" w:sz="4" w:space="0" w:color="auto"/>
              <w:right w:val="single" w:sz="4" w:space="0" w:color="auto"/>
            </w:tcBorders>
            <w:shd w:val="clear" w:color="auto" w:fill="C2D69B" w:themeFill="accent3" w:themeFillTint="99"/>
            <w:vAlign w:val="center"/>
            <w:hideMark/>
          </w:tcPr>
          <w:p w14:paraId="19C1D25E" w14:textId="77777777" w:rsidR="006D5245" w:rsidRPr="006D5245" w:rsidRDefault="006D5245" w:rsidP="00E4588D">
            <w:pPr>
              <w:spacing w:line="240" w:lineRule="auto"/>
              <w:jc w:val="right"/>
              <w:rPr>
                <w:rFonts w:eastAsia="Times New Roman"/>
                <w:b/>
                <w:bCs/>
                <w:sz w:val="20"/>
                <w:szCs w:val="20"/>
                <w:lang w:eastAsia="cs-CZ"/>
              </w:rPr>
            </w:pPr>
            <w:r w:rsidRPr="006D5245">
              <w:rPr>
                <w:rFonts w:eastAsia="Times New Roman"/>
                <w:b/>
                <w:sz w:val="20"/>
                <w:szCs w:val="20"/>
                <w:lang w:eastAsia="cs-CZ"/>
              </w:rPr>
              <w:t>0,000</w:t>
            </w:r>
          </w:p>
        </w:tc>
        <w:tc>
          <w:tcPr>
            <w:tcW w:w="895" w:type="dxa"/>
            <w:tcBorders>
              <w:top w:val="nil"/>
              <w:left w:val="nil"/>
              <w:bottom w:val="single" w:sz="4" w:space="0" w:color="auto"/>
              <w:right w:val="single" w:sz="4" w:space="0" w:color="auto"/>
            </w:tcBorders>
            <w:shd w:val="clear" w:color="auto" w:fill="C2D69B" w:themeFill="accent3" w:themeFillTint="99"/>
            <w:vAlign w:val="center"/>
            <w:hideMark/>
          </w:tcPr>
          <w:p w14:paraId="3BB02874" w14:textId="77777777" w:rsidR="006D5245" w:rsidRPr="006D5245" w:rsidRDefault="006D5245" w:rsidP="00E4588D">
            <w:pPr>
              <w:spacing w:line="240" w:lineRule="auto"/>
              <w:jc w:val="right"/>
              <w:rPr>
                <w:rFonts w:eastAsia="Times New Roman"/>
                <w:b/>
                <w:bCs/>
                <w:sz w:val="20"/>
                <w:szCs w:val="20"/>
                <w:lang w:eastAsia="cs-CZ"/>
              </w:rPr>
            </w:pPr>
            <w:r w:rsidRPr="006D5245">
              <w:rPr>
                <w:rFonts w:eastAsia="Times New Roman"/>
                <w:b/>
                <w:sz w:val="20"/>
                <w:szCs w:val="20"/>
                <w:lang w:eastAsia="cs-CZ"/>
              </w:rPr>
              <w:t>0,000</w:t>
            </w:r>
          </w:p>
        </w:tc>
      </w:tr>
      <w:tr w:rsidR="00E4588D" w:rsidRPr="00461C16" w14:paraId="1D7ACC49" w14:textId="77777777" w:rsidTr="006D5245">
        <w:trPr>
          <w:trHeight w:val="294"/>
        </w:trPr>
        <w:tc>
          <w:tcPr>
            <w:tcW w:w="1716" w:type="dxa"/>
            <w:gridSpan w:val="2"/>
            <w:tcBorders>
              <w:top w:val="single" w:sz="4" w:space="0" w:color="auto"/>
              <w:left w:val="single" w:sz="4" w:space="0" w:color="auto"/>
              <w:bottom w:val="single" w:sz="4" w:space="0" w:color="auto"/>
              <w:right w:val="single" w:sz="4" w:space="0" w:color="000000"/>
            </w:tcBorders>
            <w:shd w:val="clear" w:color="auto" w:fill="76923C" w:themeFill="accent3" w:themeFillShade="BF"/>
            <w:vAlign w:val="center"/>
            <w:hideMark/>
          </w:tcPr>
          <w:p w14:paraId="3668131B" w14:textId="77777777" w:rsidR="00E4588D" w:rsidRPr="00461C16" w:rsidRDefault="00E4588D" w:rsidP="00E4588D">
            <w:pPr>
              <w:spacing w:line="240" w:lineRule="auto"/>
              <w:jc w:val="left"/>
              <w:rPr>
                <w:rFonts w:eastAsia="Times New Roman"/>
                <w:b/>
                <w:bCs/>
                <w:color w:val="FFFFFF"/>
                <w:sz w:val="20"/>
                <w:szCs w:val="20"/>
                <w:lang w:eastAsia="cs-CZ"/>
              </w:rPr>
            </w:pPr>
            <w:r w:rsidRPr="00461C16">
              <w:rPr>
                <w:rFonts w:eastAsia="Times New Roman"/>
                <w:b/>
                <w:bCs/>
                <w:color w:val="FFFFFF"/>
                <w:sz w:val="20"/>
                <w:szCs w:val="20"/>
                <w:lang w:eastAsia="cs-CZ"/>
              </w:rPr>
              <w:t>ZÁBOR ZPF CELKEM</w:t>
            </w:r>
          </w:p>
        </w:tc>
        <w:tc>
          <w:tcPr>
            <w:tcW w:w="807" w:type="dxa"/>
            <w:tcBorders>
              <w:top w:val="nil"/>
              <w:left w:val="nil"/>
              <w:bottom w:val="single" w:sz="4" w:space="0" w:color="auto"/>
              <w:right w:val="single" w:sz="4" w:space="0" w:color="auto"/>
            </w:tcBorders>
            <w:shd w:val="clear" w:color="auto" w:fill="76923C" w:themeFill="accent3" w:themeFillShade="BF"/>
            <w:vAlign w:val="center"/>
            <w:hideMark/>
          </w:tcPr>
          <w:p w14:paraId="51B1B62B"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923" w:type="dxa"/>
            <w:tcBorders>
              <w:top w:val="nil"/>
              <w:left w:val="nil"/>
              <w:bottom w:val="single" w:sz="4" w:space="0" w:color="auto"/>
              <w:right w:val="single" w:sz="4" w:space="0" w:color="auto"/>
            </w:tcBorders>
            <w:shd w:val="clear" w:color="auto" w:fill="76923C" w:themeFill="accent3" w:themeFillShade="BF"/>
            <w:vAlign w:val="center"/>
            <w:hideMark/>
          </w:tcPr>
          <w:p w14:paraId="29A674C7"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791" w:type="dxa"/>
            <w:tcBorders>
              <w:top w:val="nil"/>
              <w:left w:val="nil"/>
              <w:bottom w:val="single" w:sz="4" w:space="0" w:color="auto"/>
              <w:right w:val="single" w:sz="4" w:space="0" w:color="auto"/>
            </w:tcBorders>
            <w:shd w:val="clear" w:color="auto" w:fill="76923C" w:themeFill="accent3" w:themeFillShade="BF"/>
            <w:vAlign w:val="center"/>
            <w:hideMark/>
          </w:tcPr>
          <w:p w14:paraId="71DAB202"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924" w:type="dxa"/>
            <w:tcBorders>
              <w:top w:val="nil"/>
              <w:left w:val="nil"/>
              <w:bottom w:val="single" w:sz="4" w:space="0" w:color="auto"/>
              <w:right w:val="single" w:sz="4" w:space="0" w:color="auto"/>
            </w:tcBorders>
            <w:shd w:val="clear" w:color="auto" w:fill="76923C" w:themeFill="accent3" w:themeFillShade="BF"/>
            <w:vAlign w:val="center"/>
            <w:hideMark/>
          </w:tcPr>
          <w:p w14:paraId="6DEBEE03"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794" w:type="dxa"/>
            <w:tcBorders>
              <w:top w:val="nil"/>
              <w:left w:val="nil"/>
              <w:bottom w:val="single" w:sz="4" w:space="0" w:color="auto"/>
              <w:right w:val="nil"/>
            </w:tcBorders>
            <w:shd w:val="clear" w:color="auto" w:fill="76923C" w:themeFill="accent3" w:themeFillShade="BF"/>
            <w:vAlign w:val="center"/>
            <w:hideMark/>
          </w:tcPr>
          <w:p w14:paraId="0F16C987"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1057" w:type="dxa"/>
            <w:tcBorders>
              <w:top w:val="nil"/>
              <w:left w:val="single" w:sz="4" w:space="0" w:color="auto"/>
              <w:bottom w:val="single" w:sz="4" w:space="0" w:color="auto"/>
              <w:right w:val="nil"/>
            </w:tcBorders>
            <w:shd w:val="clear" w:color="auto" w:fill="76923C" w:themeFill="accent3" w:themeFillShade="BF"/>
            <w:vAlign w:val="center"/>
            <w:hideMark/>
          </w:tcPr>
          <w:p w14:paraId="783DEAD3"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923" w:type="dxa"/>
            <w:tcBorders>
              <w:top w:val="nil"/>
              <w:left w:val="single" w:sz="4" w:space="0" w:color="auto"/>
              <w:bottom w:val="single" w:sz="4" w:space="0" w:color="auto"/>
              <w:right w:val="single" w:sz="4" w:space="0" w:color="auto"/>
            </w:tcBorders>
            <w:shd w:val="clear" w:color="auto" w:fill="76923C" w:themeFill="accent3" w:themeFillShade="BF"/>
            <w:vAlign w:val="center"/>
            <w:hideMark/>
          </w:tcPr>
          <w:p w14:paraId="7A6695FD"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924" w:type="dxa"/>
            <w:tcBorders>
              <w:top w:val="nil"/>
              <w:left w:val="nil"/>
              <w:bottom w:val="single" w:sz="4" w:space="0" w:color="auto"/>
              <w:right w:val="single" w:sz="4" w:space="0" w:color="auto"/>
            </w:tcBorders>
            <w:shd w:val="clear" w:color="auto" w:fill="76923C" w:themeFill="accent3" w:themeFillShade="BF"/>
            <w:vAlign w:val="center"/>
            <w:hideMark/>
          </w:tcPr>
          <w:p w14:paraId="4C94F622"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1057" w:type="dxa"/>
            <w:tcBorders>
              <w:top w:val="nil"/>
              <w:left w:val="nil"/>
              <w:bottom w:val="single" w:sz="4" w:space="0" w:color="auto"/>
              <w:right w:val="single" w:sz="4" w:space="0" w:color="auto"/>
            </w:tcBorders>
            <w:shd w:val="clear" w:color="auto" w:fill="76923C" w:themeFill="accent3" w:themeFillShade="BF"/>
            <w:vAlign w:val="center"/>
            <w:hideMark/>
          </w:tcPr>
          <w:p w14:paraId="09B34D7F" w14:textId="77777777" w:rsidR="00E4588D" w:rsidRPr="00461C16" w:rsidRDefault="00E4588D" w:rsidP="00E4588D">
            <w:pPr>
              <w:spacing w:line="240" w:lineRule="auto"/>
              <w:jc w:val="right"/>
              <w:rPr>
                <w:rFonts w:eastAsia="Times New Roman"/>
                <w:b/>
                <w:bCs/>
                <w:color w:val="FFFFFF"/>
                <w:sz w:val="20"/>
                <w:szCs w:val="20"/>
                <w:lang w:eastAsia="cs-CZ"/>
              </w:rPr>
            </w:pPr>
            <w:r w:rsidRPr="00461C16">
              <w:rPr>
                <w:rFonts w:eastAsia="Times New Roman"/>
                <w:b/>
                <w:bCs/>
                <w:color w:val="FFFFFF"/>
                <w:sz w:val="20"/>
                <w:szCs w:val="20"/>
                <w:lang w:eastAsia="cs-CZ"/>
              </w:rPr>
              <w:t> </w:t>
            </w:r>
          </w:p>
        </w:tc>
        <w:tc>
          <w:tcPr>
            <w:tcW w:w="4594" w:type="dxa"/>
            <w:gridSpan w:val="5"/>
            <w:tcBorders>
              <w:top w:val="single" w:sz="4" w:space="0" w:color="auto"/>
              <w:left w:val="nil"/>
              <w:bottom w:val="single" w:sz="4" w:space="0" w:color="auto"/>
              <w:right w:val="single" w:sz="4" w:space="0" w:color="000000"/>
            </w:tcBorders>
            <w:shd w:val="clear" w:color="auto" w:fill="76923C" w:themeFill="accent3" w:themeFillShade="BF"/>
            <w:vAlign w:val="center"/>
            <w:hideMark/>
          </w:tcPr>
          <w:p w14:paraId="3EB0BE21" w14:textId="77777777" w:rsidR="00E4588D" w:rsidRPr="00461C16" w:rsidRDefault="006D5245" w:rsidP="00E4588D">
            <w:pPr>
              <w:spacing w:line="240" w:lineRule="auto"/>
              <w:jc w:val="center"/>
              <w:rPr>
                <w:rFonts w:eastAsia="Times New Roman"/>
                <w:b/>
                <w:bCs/>
                <w:color w:val="FFFFFF"/>
                <w:sz w:val="20"/>
                <w:szCs w:val="20"/>
                <w:lang w:eastAsia="cs-CZ"/>
              </w:rPr>
            </w:pPr>
            <w:r>
              <w:rPr>
                <w:rFonts w:eastAsia="Times New Roman"/>
                <w:b/>
                <w:bCs/>
                <w:color w:val="FFFFFF"/>
                <w:sz w:val="20"/>
                <w:szCs w:val="20"/>
                <w:lang w:eastAsia="cs-CZ"/>
              </w:rPr>
              <w:t>1,541</w:t>
            </w:r>
          </w:p>
        </w:tc>
      </w:tr>
    </w:tbl>
    <w:p w14:paraId="0AFBCD43" w14:textId="77777777" w:rsidR="00E4588D" w:rsidRPr="00461C16" w:rsidRDefault="00E4588D" w:rsidP="00E4588D">
      <w:pPr>
        <w:spacing w:line="240" w:lineRule="auto"/>
        <w:jc w:val="left"/>
        <w:rPr>
          <w:rFonts w:cs="Arial"/>
          <w:b/>
          <w:bCs/>
          <w:sz w:val="26"/>
          <w:szCs w:val="26"/>
        </w:rPr>
        <w:sectPr w:rsidR="00E4588D" w:rsidRPr="00461C16" w:rsidSect="00D977BD">
          <w:pgSz w:w="16834" w:h="11909" w:orient="landscape" w:code="9"/>
          <w:pgMar w:top="1418" w:right="1701" w:bottom="1419" w:left="1418" w:header="720" w:footer="720" w:gutter="0"/>
          <w:cols w:space="720"/>
          <w:docGrid w:linePitch="360"/>
        </w:sectPr>
      </w:pPr>
    </w:p>
    <w:p w14:paraId="78FE346A" w14:textId="77777777" w:rsidR="00A80189" w:rsidRPr="00461C16" w:rsidRDefault="00A80189" w:rsidP="00A80189">
      <w:pPr>
        <w:pStyle w:val="Heading3"/>
        <w:spacing w:after="240"/>
      </w:pPr>
      <w:bookmarkStart w:id="208" w:name="_Toc36116337"/>
      <w:r w:rsidRPr="00461C16">
        <w:lastRenderedPageBreak/>
        <w:t>8.1.5 Odůvodnění záboru ZPF</w:t>
      </w:r>
      <w:bookmarkEnd w:id="208"/>
    </w:p>
    <w:p w14:paraId="4B2DC5BC" w14:textId="77777777" w:rsidR="00DB5AC9" w:rsidRPr="00DB5AC9" w:rsidRDefault="00DB5AC9" w:rsidP="00DB5AC9">
      <w:pPr>
        <w:spacing w:before="240" w:after="120"/>
        <w:rPr>
          <w:szCs w:val="20"/>
          <w:u w:val="single"/>
        </w:rPr>
      </w:pPr>
      <w:r>
        <w:rPr>
          <w:szCs w:val="20"/>
          <w:u w:val="single"/>
        </w:rPr>
        <w:t>Způsob vymezení ploch změn s ohledem na pozemky</w:t>
      </w:r>
      <w:r w:rsidRPr="00DB5AC9">
        <w:rPr>
          <w:szCs w:val="20"/>
          <w:u w:val="single"/>
        </w:rPr>
        <w:t xml:space="preserve"> ZPF</w:t>
      </w:r>
    </w:p>
    <w:p w14:paraId="3607A79F" w14:textId="77777777" w:rsidR="00AB1CF1" w:rsidRDefault="00AB1CF1" w:rsidP="00A80189">
      <w:pPr>
        <w:autoSpaceDE w:val="0"/>
        <w:autoSpaceDN w:val="0"/>
        <w:adjustRightInd w:val="0"/>
        <w:spacing w:after="120"/>
        <w:rPr>
          <w:rFonts w:cs="Arial"/>
          <w:szCs w:val="20"/>
          <w:lang w:eastAsia="en-US"/>
        </w:rPr>
      </w:pPr>
      <w:r>
        <w:rPr>
          <w:rFonts w:cs="Arial"/>
          <w:szCs w:val="20"/>
          <w:lang w:eastAsia="en-US"/>
        </w:rPr>
        <w:t>Plochy změn jsou v ÚP přednostně vymezeny</w:t>
      </w:r>
      <w:r w:rsidR="004D6103">
        <w:rPr>
          <w:rFonts w:cs="Arial"/>
          <w:szCs w:val="20"/>
          <w:lang w:eastAsia="en-US"/>
        </w:rPr>
        <w:t xml:space="preserve"> </w:t>
      </w:r>
      <w:r w:rsidR="004D6103" w:rsidRPr="004D6103">
        <w:rPr>
          <w:rFonts w:cs="Arial"/>
          <w:b/>
          <w:szCs w:val="20"/>
          <w:lang w:eastAsia="en-US"/>
        </w:rPr>
        <w:t>uvnitř zastavěného území</w:t>
      </w:r>
      <w:r w:rsidR="004D6103">
        <w:rPr>
          <w:rFonts w:cs="Arial"/>
          <w:szCs w:val="20"/>
          <w:lang w:eastAsia="en-US"/>
        </w:rPr>
        <w:t xml:space="preserve">, </w:t>
      </w:r>
      <w:r>
        <w:rPr>
          <w:rFonts w:cs="Arial"/>
          <w:szCs w:val="20"/>
          <w:lang w:eastAsia="en-US"/>
        </w:rPr>
        <w:t>v</w:t>
      </w:r>
      <w:r w:rsidR="004D6103">
        <w:rPr>
          <w:rFonts w:cs="Arial"/>
          <w:szCs w:val="20"/>
          <w:lang w:eastAsia="en-US"/>
        </w:rPr>
        <w:t xml:space="preserve"> identifikovaných areálech </w:t>
      </w:r>
      <w:r w:rsidR="004D6103" w:rsidRPr="004D6103">
        <w:rPr>
          <w:rFonts w:cs="Arial"/>
          <w:b/>
          <w:szCs w:val="20"/>
          <w:lang w:eastAsia="en-US"/>
        </w:rPr>
        <w:t xml:space="preserve">brownfields, v </w:t>
      </w:r>
      <w:r w:rsidRPr="004D6103">
        <w:rPr>
          <w:rFonts w:cs="Arial"/>
          <w:b/>
          <w:szCs w:val="20"/>
          <w:lang w:eastAsia="en-US"/>
        </w:rPr>
        <w:t xml:space="preserve">prolukách a </w:t>
      </w:r>
      <w:r w:rsidR="004D6103" w:rsidRPr="004D6103">
        <w:rPr>
          <w:rFonts w:cs="Arial"/>
          <w:b/>
          <w:szCs w:val="20"/>
          <w:lang w:eastAsia="en-US"/>
        </w:rPr>
        <w:t xml:space="preserve">v </w:t>
      </w:r>
      <w:r w:rsidRPr="004D6103">
        <w:rPr>
          <w:rFonts w:cs="Arial"/>
          <w:b/>
          <w:szCs w:val="20"/>
          <w:lang w:eastAsia="en-US"/>
        </w:rPr>
        <w:t>dalších územích vhodných pro rozvoj zástavby</w:t>
      </w:r>
      <w:r>
        <w:rPr>
          <w:rFonts w:cs="Arial"/>
          <w:szCs w:val="20"/>
          <w:lang w:eastAsia="en-US"/>
        </w:rPr>
        <w:t>, zejména:</w:t>
      </w:r>
    </w:p>
    <w:p w14:paraId="5EB64EEF" w14:textId="77777777" w:rsidR="004D6103" w:rsidRPr="004D6103" w:rsidRDefault="004D6103" w:rsidP="00A06EB9">
      <w:pPr>
        <w:pStyle w:val="ListParagraph"/>
        <w:numPr>
          <w:ilvl w:val="0"/>
          <w:numId w:val="91"/>
        </w:numPr>
        <w:autoSpaceDE w:val="0"/>
        <w:autoSpaceDN w:val="0"/>
        <w:adjustRightInd w:val="0"/>
        <w:rPr>
          <w:rFonts w:cs="Arial"/>
          <w:szCs w:val="20"/>
          <w:lang w:eastAsia="en-US"/>
        </w:rPr>
      </w:pPr>
      <w:r w:rsidRPr="004D6103">
        <w:rPr>
          <w:rFonts w:cs="Arial"/>
          <w:b/>
          <w:szCs w:val="20"/>
          <w:lang w:eastAsia="en-US"/>
        </w:rPr>
        <w:t>v jádrech sídel</w:t>
      </w:r>
      <w:r w:rsidRPr="004D6103">
        <w:rPr>
          <w:rFonts w:cs="Arial"/>
          <w:szCs w:val="20"/>
          <w:lang w:eastAsia="en-US"/>
        </w:rPr>
        <w:t xml:space="preserve">, kde směřují k posílení kompaktnosti zástavby a významového těžiště </w:t>
      </w:r>
    </w:p>
    <w:p w14:paraId="12FF0E4E" w14:textId="77777777" w:rsidR="004D6103" w:rsidRPr="004D6103" w:rsidRDefault="004D6103" w:rsidP="00A06EB9">
      <w:pPr>
        <w:pStyle w:val="ListParagraph"/>
        <w:numPr>
          <w:ilvl w:val="0"/>
          <w:numId w:val="91"/>
        </w:numPr>
        <w:autoSpaceDE w:val="0"/>
        <w:autoSpaceDN w:val="0"/>
        <w:adjustRightInd w:val="0"/>
        <w:spacing w:before="60" w:after="120"/>
        <w:rPr>
          <w:rFonts w:cs="Arial"/>
          <w:szCs w:val="20"/>
          <w:lang w:eastAsia="en-US"/>
        </w:rPr>
      </w:pPr>
      <w:r w:rsidRPr="004D6103">
        <w:rPr>
          <w:rFonts w:cs="Arial"/>
          <w:b/>
          <w:szCs w:val="20"/>
          <w:lang w:eastAsia="en-US"/>
        </w:rPr>
        <w:t>při dopravních osách</w:t>
      </w:r>
      <w:r w:rsidRPr="004D6103">
        <w:rPr>
          <w:rFonts w:cs="Arial"/>
          <w:szCs w:val="20"/>
          <w:lang w:eastAsia="en-US"/>
        </w:rPr>
        <w:t>, které zajišťují přístup do území (zpravidla za účelem doplnění oboustranného obestavění komunikace</w:t>
      </w:r>
      <w:r>
        <w:rPr>
          <w:rFonts w:cs="Arial"/>
          <w:szCs w:val="20"/>
          <w:lang w:eastAsia="en-US"/>
        </w:rPr>
        <w:t xml:space="preserve"> a ochrany volné krajiny před fragmentací</w:t>
      </w:r>
      <w:r w:rsidRPr="004D6103">
        <w:rPr>
          <w:rFonts w:cs="Arial"/>
          <w:szCs w:val="20"/>
          <w:lang w:eastAsia="en-US"/>
        </w:rPr>
        <w:t>)</w:t>
      </w:r>
    </w:p>
    <w:p w14:paraId="5DD473E4" w14:textId="77777777" w:rsidR="00A80189" w:rsidRPr="00461C16" w:rsidRDefault="00A80189" w:rsidP="00A80189">
      <w:pPr>
        <w:autoSpaceDE w:val="0"/>
        <w:autoSpaceDN w:val="0"/>
        <w:adjustRightInd w:val="0"/>
        <w:spacing w:after="120"/>
        <w:rPr>
          <w:rFonts w:cs="Arial"/>
          <w:szCs w:val="20"/>
          <w:lang w:eastAsia="en-US"/>
        </w:rPr>
      </w:pPr>
      <w:r w:rsidRPr="00461C16">
        <w:rPr>
          <w:rFonts w:cs="Arial"/>
          <w:szCs w:val="20"/>
          <w:lang w:eastAsia="en-US"/>
        </w:rPr>
        <w:t xml:space="preserve">Vzhledem </w:t>
      </w:r>
      <w:r w:rsidR="00206BBC">
        <w:rPr>
          <w:rFonts w:cs="Arial"/>
          <w:szCs w:val="20"/>
          <w:lang w:eastAsia="en-US"/>
        </w:rPr>
        <w:t xml:space="preserve">k </w:t>
      </w:r>
      <w:r w:rsidR="00A52FFD" w:rsidRPr="00461C16">
        <w:rPr>
          <w:rFonts w:cs="Arial"/>
          <w:szCs w:val="20"/>
          <w:lang w:eastAsia="en-US"/>
        </w:rPr>
        <w:t>omezenému rozsahu</w:t>
      </w:r>
      <w:r w:rsidRPr="00461C16">
        <w:rPr>
          <w:rFonts w:cs="Arial"/>
          <w:szCs w:val="20"/>
          <w:lang w:eastAsia="en-US"/>
        </w:rPr>
        <w:t xml:space="preserve"> disponibilních proluk a dalších vnitřních rozvojových rezerv v zastavěné</w:t>
      </w:r>
      <w:r w:rsidR="000F4E25" w:rsidRPr="00461C16">
        <w:rPr>
          <w:rFonts w:cs="Arial"/>
          <w:szCs w:val="20"/>
          <w:lang w:eastAsia="en-US"/>
        </w:rPr>
        <w:t>m území na území města Hrádek nad Nisou</w:t>
      </w:r>
      <w:r w:rsidRPr="00461C16">
        <w:rPr>
          <w:rFonts w:cs="Arial"/>
          <w:szCs w:val="20"/>
          <w:lang w:eastAsia="en-US"/>
        </w:rPr>
        <w:t xml:space="preserve"> vymezuje ÚP s cílem zajištění podmínek pro udržitelný rozvoj území, zejména pro zajištění podmínek pro sociální soudržnost města, pro stabilizaci počtu obyvatel a vytvoření podmínek pro jejich možný další růst, i rozvojové plochy, zejména pro funkci bydlení, rekreace a výroby a skladování, také mimo zastavěné území. </w:t>
      </w:r>
    </w:p>
    <w:p w14:paraId="3A6EDC74" w14:textId="77777777" w:rsidR="00A80189" w:rsidRPr="00461C16" w:rsidRDefault="00A80189" w:rsidP="00A80189">
      <w:pPr>
        <w:spacing w:after="120"/>
        <w:rPr>
          <w:szCs w:val="20"/>
        </w:rPr>
      </w:pPr>
      <w:r w:rsidRPr="00461C16">
        <w:rPr>
          <w:szCs w:val="20"/>
        </w:rPr>
        <w:t xml:space="preserve">Plochy mimo zastavěné území vymezené v ÚP jako zastavitelné jsou navrženy vždy přednostně </w:t>
      </w:r>
      <w:r w:rsidRPr="004D6103">
        <w:rPr>
          <w:b/>
          <w:szCs w:val="20"/>
        </w:rPr>
        <w:t>ve vazbě na hranici zastavěného území</w:t>
      </w:r>
      <w:r w:rsidRPr="00461C16">
        <w:rPr>
          <w:szCs w:val="20"/>
        </w:rPr>
        <w:t xml:space="preserve">, aby byla zajištěna </w:t>
      </w:r>
      <w:r w:rsidRPr="004D6103">
        <w:rPr>
          <w:b/>
          <w:szCs w:val="20"/>
        </w:rPr>
        <w:t>ochrana volné krajiny a aby nedocházelo k narušování organizace a celistvosti ploch ZPF a spojitosti sítě zemědělských účelových komunikací</w:t>
      </w:r>
      <w:r w:rsidRPr="00461C16">
        <w:rPr>
          <w:szCs w:val="20"/>
        </w:rPr>
        <w:t>.</w:t>
      </w:r>
      <w:r w:rsidR="00DB5AC9">
        <w:rPr>
          <w:szCs w:val="20"/>
        </w:rPr>
        <w:t xml:space="preserve"> Dalším významným hlediskem je i efektivní vynakládání peněz z veřejného rozpočtu, tedy vymezení ploch změn </w:t>
      </w:r>
      <w:r w:rsidR="00DB5AC9" w:rsidRPr="00DB5AC9">
        <w:rPr>
          <w:b/>
          <w:szCs w:val="20"/>
        </w:rPr>
        <w:t>v polohách s dostupností veřejné dopravní a technické infrastruktury</w:t>
      </w:r>
      <w:r w:rsidR="00DB5AC9">
        <w:rPr>
          <w:szCs w:val="20"/>
        </w:rPr>
        <w:t>.</w:t>
      </w:r>
      <w:r w:rsidR="005C7D46">
        <w:rPr>
          <w:szCs w:val="20"/>
        </w:rPr>
        <w:t xml:space="preserve"> V  prostorových prolukách mimo zastavěné území, avšak mezi fragmenty zastavěného území, je další zemědělské obhospodařování často obtížné a do budoucna může intenzivnější zemědělská činnost v těchto polohách snižovat pohodu a kvalitu bydlení v navazujícím území.</w:t>
      </w:r>
    </w:p>
    <w:p w14:paraId="4A0C13D3" w14:textId="77777777" w:rsidR="008B7394" w:rsidRDefault="008B7394" w:rsidP="008B7394">
      <w:pPr>
        <w:spacing w:after="120"/>
        <w:rPr>
          <w:szCs w:val="20"/>
        </w:rPr>
      </w:pPr>
      <w:r>
        <w:rPr>
          <w:szCs w:val="20"/>
        </w:rPr>
        <w:t>Z hlediska poměru vymezení ploch zastavitelných a ploch přestavby je bilance následující:</w:t>
      </w:r>
    </w:p>
    <w:tbl>
      <w:tblPr>
        <w:tblStyle w:val="TableGrid"/>
        <w:tblW w:w="0" w:type="auto"/>
        <w:tblLook w:val="04A0" w:firstRow="1" w:lastRow="0" w:firstColumn="1" w:lastColumn="0" w:noHBand="0" w:noVBand="1"/>
      </w:tblPr>
      <w:tblGrid>
        <w:gridCol w:w="2473"/>
        <w:gridCol w:w="2321"/>
        <w:gridCol w:w="2187"/>
        <w:gridCol w:w="2307"/>
      </w:tblGrid>
      <w:tr w:rsidR="00AC1FBF" w14:paraId="2C1EFE8B" w14:textId="77777777" w:rsidTr="00F756D6">
        <w:trPr>
          <w:tblHeader/>
        </w:trPr>
        <w:tc>
          <w:tcPr>
            <w:tcW w:w="2473" w:type="dxa"/>
            <w:shd w:val="clear" w:color="auto" w:fill="F2F2F2" w:themeFill="background1" w:themeFillShade="F2"/>
          </w:tcPr>
          <w:p w14:paraId="4C615CA5" w14:textId="77777777" w:rsidR="00AC1FBF" w:rsidRPr="008B7394" w:rsidRDefault="00AC1FBF" w:rsidP="008B7394">
            <w:pPr>
              <w:spacing w:before="40" w:after="40"/>
              <w:rPr>
                <w:sz w:val="20"/>
                <w:szCs w:val="20"/>
              </w:rPr>
            </w:pPr>
          </w:p>
        </w:tc>
        <w:tc>
          <w:tcPr>
            <w:tcW w:w="2321" w:type="dxa"/>
            <w:shd w:val="clear" w:color="auto" w:fill="F2F2F2" w:themeFill="background1" w:themeFillShade="F2"/>
          </w:tcPr>
          <w:p w14:paraId="4E2BFB5C" w14:textId="77777777" w:rsidR="00AC1FBF" w:rsidRPr="008B7394" w:rsidRDefault="00AC1FBF" w:rsidP="008B7394">
            <w:pPr>
              <w:spacing w:before="40" w:after="40"/>
              <w:rPr>
                <w:b/>
                <w:sz w:val="20"/>
                <w:szCs w:val="20"/>
              </w:rPr>
            </w:pPr>
            <w:r w:rsidRPr="008B7394">
              <w:rPr>
                <w:b/>
                <w:sz w:val="20"/>
                <w:szCs w:val="20"/>
              </w:rPr>
              <w:t>počet</w:t>
            </w:r>
          </w:p>
        </w:tc>
        <w:tc>
          <w:tcPr>
            <w:tcW w:w="2187" w:type="dxa"/>
            <w:shd w:val="clear" w:color="auto" w:fill="F2F2F2" w:themeFill="background1" w:themeFillShade="F2"/>
          </w:tcPr>
          <w:p w14:paraId="0856D4F6" w14:textId="77777777" w:rsidR="00AC1FBF" w:rsidRPr="008B7394" w:rsidRDefault="00AC1FBF" w:rsidP="008B7394">
            <w:pPr>
              <w:spacing w:before="40" w:after="40"/>
              <w:rPr>
                <w:b/>
                <w:sz w:val="20"/>
                <w:szCs w:val="20"/>
              </w:rPr>
            </w:pPr>
            <w:r>
              <w:rPr>
                <w:b/>
                <w:sz w:val="20"/>
                <w:szCs w:val="20"/>
              </w:rPr>
              <w:t>výměra</w:t>
            </w:r>
            <w:r w:rsidR="00A33A52">
              <w:rPr>
                <w:b/>
                <w:sz w:val="20"/>
                <w:szCs w:val="20"/>
              </w:rPr>
              <w:t xml:space="preserve"> (ha)</w:t>
            </w:r>
          </w:p>
        </w:tc>
        <w:tc>
          <w:tcPr>
            <w:tcW w:w="2307" w:type="dxa"/>
            <w:shd w:val="clear" w:color="auto" w:fill="F2F2F2" w:themeFill="background1" w:themeFillShade="F2"/>
          </w:tcPr>
          <w:p w14:paraId="0634A15C" w14:textId="77777777" w:rsidR="00AC1FBF" w:rsidRPr="008B7394" w:rsidRDefault="00AC1FBF" w:rsidP="00AC1FBF">
            <w:pPr>
              <w:spacing w:before="40" w:after="40"/>
              <w:rPr>
                <w:b/>
                <w:sz w:val="20"/>
                <w:szCs w:val="20"/>
              </w:rPr>
            </w:pPr>
            <w:r w:rsidRPr="008B7394">
              <w:rPr>
                <w:b/>
                <w:sz w:val="20"/>
                <w:szCs w:val="20"/>
              </w:rPr>
              <w:t xml:space="preserve">podíl </w:t>
            </w:r>
            <w:r w:rsidR="009508C8">
              <w:rPr>
                <w:b/>
                <w:sz w:val="20"/>
                <w:szCs w:val="20"/>
              </w:rPr>
              <w:t>výměry</w:t>
            </w:r>
          </w:p>
        </w:tc>
      </w:tr>
      <w:tr w:rsidR="00656A8B" w14:paraId="3EAC2AF3" w14:textId="77777777" w:rsidTr="00AC1FBF">
        <w:tc>
          <w:tcPr>
            <w:tcW w:w="2473" w:type="dxa"/>
            <w:shd w:val="clear" w:color="auto" w:fill="F2F2F2" w:themeFill="background1" w:themeFillShade="F2"/>
          </w:tcPr>
          <w:p w14:paraId="3C17F635" w14:textId="77777777" w:rsidR="00656A8B" w:rsidRPr="008B7394" w:rsidRDefault="00656A8B" w:rsidP="004B1A50">
            <w:pPr>
              <w:spacing w:before="40" w:after="40"/>
              <w:jc w:val="left"/>
              <w:rPr>
                <w:b/>
                <w:i/>
                <w:sz w:val="20"/>
                <w:szCs w:val="20"/>
              </w:rPr>
            </w:pPr>
            <w:r w:rsidRPr="008B7394">
              <w:rPr>
                <w:b/>
                <w:i/>
                <w:sz w:val="20"/>
                <w:szCs w:val="20"/>
              </w:rPr>
              <w:t>vymezené plochy změn celkem</w:t>
            </w:r>
          </w:p>
        </w:tc>
        <w:tc>
          <w:tcPr>
            <w:tcW w:w="2321" w:type="dxa"/>
          </w:tcPr>
          <w:p w14:paraId="7E4D35AD" w14:textId="2A422CE8" w:rsidR="00656A8B" w:rsidRPr="00310D4F" w:rsidRDefault="00EE305D" w:rsidP="00EE305D">
            <w:pPr>
              <w:spacing w:before="40" w:after="40"/>
              <w:rPr>
                <w:sz w:val="20"/>
                <w:szCs w:val="20"/>
              </w:rPr>
            </w:pPr>
            <w:r>
              <w:rPr>
                <w:sz w:val="20"/>
                <w:szCs w:val="20"/>
              </w:rPr>
              <w:t>1</w:t>
            </w:r>
            <w:r w:rsidRPr="00310D4F">
              <w:rPr>
                <w:sz w:val="20"/>
                <w:szCs w:val="20"/>
              </w:rPr>
              <w:t>08</w:t>
            </w:r>
          </w:p>
        </w:tc>
        <w:tc>
          <w:tcPr>
            <w:tcW w:w="2187" w:type="dxa"/>
          </w:tcPr>
          <w:p w14:paraId="731139A9" w14:textId="47C17D7F" w:rsidR="00656A8B" w:rsidRPr="00310D4F" w:rsidRDefault="00310D4F" w:rsidP="00310D4F">
            <w:pPr>
              <w:spacing w:before="40" w:after="40"/>
              <w:rPr>
                <w:sz w:val="20"/>
                <w:szCs w:val="20"/>
              </w:rPr>
            </w:pPr>
            <w:r>
              <w:rPr>
                <w:sz w:val="20"/>
                <w:szCs w:val="20"/>
              </w:rPr>
              <w:t>133,714</w:t>
            </w:r>
          </w:p>
        </w:tc>
        <w:tc>
          <w:tcPr>
            <w:tcW w:w="2307" w:type="dxa"/>
          </w:tcPr>
          <w:p w14:paraId="76DE067F" w14:textId="77777777" w:rsidR="00656A8B" w:rsidRPr="00310D4F" w:rsidRDefault="00656A8B" w:rsidP="008B7394">
            <w:pPr>
              <w:spacing w:before="40" w:after="40"/>
              <w:rPr>
                <w:sz w:val="20"/>
                <w:szCs w:val="20"/>
              </w:rPr>
            </w:pPr>
            <w:r w:rsidRPr="00310D4F">
              <w:rPr>
                <w:sz w:val="20"/>
                <w:szCs w:val="20"/>
              </w:rPr>
              <w:t>100%</w:t>
            </w:r>
          </w:p>
        </w:tc>
      </w:tr>
      <w:tr w:rsidR="00656A8B" w14:paraId="474CF8DD" w14:textId="77777777" w:rsidTr="00AC1FBF">
        <w:tc>
          <w:tcPr>
            <w:tcW w:w="2473" w:type="dxa"/>
            <w:shd w:val="clear" w:color="auto" w:fill="F2F2F2" w:themeFill="background1" w:themeFillShade="F2"/>
          </w:tcPr>
          <w:p w14:paraId="6DF88D02" w14:textId="77777777" w:rsidR="00656A8B" w:rsidRPr="008B7394" w:rsidRDefault="00656A8B" w:rsidP="008B7394">
            <w:pPr>
              <w:spacing w:before="40" w:after="40"/>
              <w:rPr>
                <w:i/>
                <w:sz w:val="20"/>
                <w:szCs w:val="20"/>
              </w:rPr>
            </w:pPr>
            <w:r w:rsidRPr="008B7394">
              <w:rPr>
                <w:i/>
                <w:sz w:val="20"/>
                <w:szCs w:val="20"/>
              </w:rPr>
              <w:t>z toho:</w:t>
            </w:r>
          </w:p>
        </w:tc>
        <w:tc>
          <w:tcPr>
            <w:tcW w:w="2321" w:type="dxa"/>
          </w:tcPr>
          <w:p w14:paraId="734672AB" w14:textId="77777777" w:rsidR="00656A8B" w:rsidRPr="00310D4F" w:rsidRDefault="00656A8B" w:rsidP="008B7394">
            <w:pPr>
              <w:spacing w:before="40" w:after="40"/>
              <w:rPr>
                <w:sz w:val="20"/>
                <w:szCs w:val="20"/>
              </w:rPr>
            </w:pPr>
          </w:p>
        </w:tc>
        <w:tc>
          <w:tcPr>
            <w:tcW w:w="2187" w:type="dxa"/>
          </w:tcPr>
          <w:p w14:paraId="70AA0E84" w14:textId="77777777" w:rsidR="00656A8B" w:rsidRPr="00310D4F" w:rsidRDefault="00656A8B" w:rsidP="008B7394">
            <w:pPr>
              <w:spacing w:before="40" w:after="40"/>
              <w:rPr>
                <w:sz w:val="20"/>
                <w:szCs w:val="20"/>
              </w:rPr>
            </w:pPr>
          </w:p>
        </w:tc>
        <w:tc>
          <w:tcPr>
            <w:tcW w:w="2307" w:type="dxa"/>
          </w:tcPr>
          <w:p w14:paraId="46FBDCA8" w14:textId="77777777" w:rsidR="00656A8B" w:rsidRPr="00310D4F" w:rsidRDefault="00656A8B" w:rsidP="008B7394">
            <w:pPr>
              <w:spacing w:before="40" w:after="40"/>
              <w:rPr>
                <w:sz w:val="20"/>
                <w:szCs w:val="20"/>
              </w:rPr>
            </w:pPr>
          </w:p>
        </w:tc>
      </w:tr>
      <w:tr w:rsidR="00656A8B" w14:paraId="22C1E3DD" w14:textId="77777777" w:rsidTr="00AC1FBF">
        <w:tc>
          <w:tcPr>
            <w:tcW w:w="2473" w:type="dxa"/>
            <w:shd w:val="clear" w:color="auto" w:fill="F2F2F2" w:themeFill="background1" w:themeFillShade="F2"/>
          </w:tcPr>
          <w:p w14:paraId="6EF41C56" w14:textId="77777777" w:rsidR="00656A8B" w:rsidRPr="008B7394" w:rsidRDefault="00656A8B" w:rsidP="008B7394">
            <w:pPr>
              <w:spacing w:before="40" w:after="40"/>
              <w:rPr>
                <w:b/>
                <w:i/>
                <w:sz w:val="20"/>
                <w:szCs w:val="20"/>
              </w:rPr>
            </w:pPr>
            <w:r w:rsidRPr="008B7394">
              <w:rPr>
                <w:b/>
                <w:i/>
                <w:sz w:val="20"/>
                <w:szCs w:val="20"/>
              </w:rPr>
              <w:t>plochy přestavby</w:t>
            </w:r>
          </w:p>
        </w:tc>
        <w:tc>
          <w:tcPr>
            <w:tcW w:w="2321" w:type="dxa"/>
          </w:tcPr>
          <w:p w14:paraId="25EFF838" w14:textId="64F85A56" w:rsidR="00656A8B" w:rsidRPr="00310D4F" w:rsidRDefault="00310D4F" w:rsidP="00755109">
            <w:pPr>
              <w:spacing w:before="40" w:after="40"/>
              <w:rPr>
                <w:sz w:val="20"/>
                <w:szCs w:val="20"/>
              </w:rPr>
            </w:pPr>
            <w:r w:rsidRPr="00310D4F">
              <w:rPr>
                <w:sz w:val="20"/>
                <w:szCs w:val="20"/>
              </w:rPr>
              <w:t>28</w:t>
            </w:r>
          </w:p>
        </w:tc>
        <w:tc>
          <w:tcPr>
            <w:tcW w:w="2187" w:type="dxa"/>
          </w:tcPr>
          <w:p w14:paraId="02124242" w14:textId="0D0AC8C1" w:rsidR="00656A8B" w:rsidRPr="00310D4F" w:rsidRDefault="00310D4F" w:rsidP="00551922">
            <w:pPr>
              <w:spacing w:before="40" w:after="40"/>
              <w:rPr>
                <w:sz w:val="20"/>
                <w:szCs w:val="20"/>
              </w:rPr>
            </w:pPr>
            <w:r w:rsidRPr="00310D4F">
              <w:rPr>
                <w:sz w:val="20"/>
                <w:szCs w:val="20"/>
              </w:rPr>
              <w:t>22,706</w:t>
            </w:r>
          </w:p>
        </w:tc>
        <w:tc>
          <w:tcPr>
            <w:tcW w:w="2307" w:type="dxa"/>
          </w:tcPr>
          <w:p w14:paraId="11847D26" w14:textId="10409172" w:rsidR="00656A8B" w:rsidRPr="00310D4F" w:rsidRDefault="00310D4F" w:rsidP="00310D4F">
            <w:pPr>
              <w:spacing w:before="40" w:after="40"/>
              <w:rPr>
                <w:sz w:val="20"/>
                <w:szCs w:val="20"/>
              </w:rPr>
            </w:pPr>
            <w:r w:rsidRPr="00310D4F">
              <w:rPr>
                <w:sz w:val="20"/>
                <w:szCs w:val="20"/>
              </w:rPr>
              <w:t>17</w:t>
            </w:r>
            <w:r w:rsidR="00656A8B" w:rsidRPr="00310D4F">
              <w:rPr>
                <w:sz w:val="20"/>
                <w:szCs w:val="20"/>
              </w:rPr>
              <w:t>%</w:t>
            </w:r>
          </w:p>
        </w:tc>
      </w:tr>
      <w:tr w:rsidR="00551922" w14:paraId="4494D14B" w14:textId="77777777" w:rsidTr="00AC1FBF">
        <w:tc>
          <w:tcPr>
            <w:tcW w:w="2473" w:type="dxa"/>
            <w:shd w:val="clear" w:color="auto" w:fill="F2F2F2" w:themeFill="background1" w:themeFillShade="F2"/>
          </w:tcPr>
          <w:p w14:paraId="034F6397" w14:textId="77777777" w:rsidR="00551922" w:rsidRPr="008B7394" w:rsidRDefault="00551922" w:rsidP="008B7394">
            <w:pPr>
              <w:spacing w:before="40" w:after="40"/>
              <w:rPr>
                <w:b/>
                <w:i/>
                <w:sz w:val="20"/>
                <w:szCs w:val="20"/>
              </w:rPr>
            </w:pPr>
            <w:r w:rsidRPr="008B7394">
              <w:rPr>
                <w:b/>
                <w:i/>
                <w:sz w:val="20"/>
                <w:szCs w:val="20"/>
              </w:rPr>
              <w:t>plochy zastavitelné</w:t>
            </w:r>
          </w:p>
        </w:tc>
        <w:tc>
          <w:tcPr>
            <w:tcW w:w="2321" w:type="dxa"/>
          </w:tcPr>
          <w:p w14:paraId="17AC4437" w14:textId="77777777" w:rsidR="00551922" w:rsidRPr="00310D4F" w:rsidRDefault="00551922" w:rsidP="00720A3D">
            <w:pPr>
              <w:spacing w:before="40" w:after="40"/>
              <w:rPr>
                <w:sz w:val="20"/>
                <w:szCs w:val="20"/>
              </w:rPr>
            </w:pPr>
            <w:r w:rsidRPr="00310D4F">
              <w:rPr>
                <w:sz w:val="20"/>
                <w:szCs w:val="20"/>
              </w:rPr>
              <w:t>80</w:t>
            </w:r>
          </w:p>
        </w:tc>
        <w:tc>
          <w:tcPr>
            <w:tcW w:w="2187" w:type="dxa"/>
          </w:tcPr>
          <w:p w14:paraId="46C1B9D7" w14:textId="46C2E035" w:rsidR="00551922" w:rsidRPr="00310D4F" w:rsidRDefault="00310D4F" w:rsidP="00310D4F">
            <w:pPr>
              <w:spacing w:before="40" w:after="40"/>
              <w:rPr>
                <w:sz w:val="20"/>
                <w:szCs w:val="20"/>
              </w:rPr>
            </w:pPr>
            <w:r>
              <w:rPr>
                <w:sz w:val="20"/>
                <w:szCs w:val="20"/>
              </w:rPr>
              <w:t>111,008</w:t>
            </w:r>
          </w:p>
        </w:tc>
        <w:tc>
          <w:tcPr>
            <w:tcW w:w="2307" w:type="dxa"/>
          </w:tcPr>
          <w:p w14:paraId="11033F01" w14:textId="15EB6BDA" w:rsidR="00551922" w:rsidRPr="00310D4F" w:rsidRDefault="00310D4F" w:rsidP="00310D4F">
            <w:pPr>
              <w:spacing w:before="40" w:after="40"/>
              <w:rPr>
                <w:sz w:val="20"/>
                <w:szCs w:val="20"/>
              </w:rPr>
            </w:pPr>
            <w:r w:rsidRPr="00310D4F">
              <w:rPr>
                <w:sz w:val="20"/>
                <w:szCs w:val="20"/>
              </w:rPr>
              <w:t>83</w:t>
            </w:r>
            <w:r w:rsidR="00551922" w:rsidRPr="00310D4F">
              <w:rPr>
                <w:sz w:val="20"/>
                <w:szCs w:val="20"/>
              </w:rPr>
              <w:t>%</w:t>
            </w:r>
          </w:p>
        </w:tc>
      </w:tr>
    </w:tbl>
    <w:p w14:paraId="1C2E1279" w14:textId="77777777" w:rsidR="0074574A" w:rsidRDefault="0074574A" w:rsidP="00ED4309">
      <w:pPr>
        <w:spacing w:before="240"/>
        <w:rPr>
          <w:szCs w:val="20"/>
        </w:rPr>
      </w:pPr>
      <w:r>
        <w:rPr>
          <w:szCs w:val="20"/>
        </w:rPr>
        <w:t xml:space="preserve">Zemědělská půda tvoří téměř </w:t>
      </w:r>
      <w:r w:rsidRPr="0074574A">
        <w:rPr>
          <w:b/>
          <w:szCs w:val="20"/>
        </w:rPr>
        <w:t>60% rozlohy správního území Hrádku nad Nisou</w:t>
      </w:r>
      <w:r>
        <w:rPr>
          <w:szCs w:val="20"/>
        </w:rPr>
        <w:t xml:space="preserve">. Ta je z většiny tvořena ornou půdou (36%) a dále trvalými travními porosty (19%). Z hlediska tříd ochrany </w:t>
      </w:r>
      <w:r w:rsidRPr="0074574A">
        <w:rPr>
          <w:b/>
          <w:szCs w:val="20"/>
        </w:rPr>
        <w:t>podíl nejcennější půd představuje 53% ZPF</w:t>
      </w:r>
      <w:r>
        <w:rPr>
          <w:szCs w:val="20"/>
        </w:rPr>
        <w:t xml:space="preserve">, přičemž do I. třídy je zařazeno 13% a do II. třídy 40% zemědělské půdy. </w:t>
      </w:r>
      <w:r w:rsidR="00A80189" w:rsidRPr="00461C16">
        <w:rPr>
          <w:szCs w:val="20"/>
        </w:rPr>
        <w:t>Plochy změn vymezené v ÚP jsou lokalizovány přednostně na půdách nižší třídy ochrany</w:t>
      </w:r>
      <w:r>
        <w:rPr>
          <w:szCs w:val="20"/>
        </w:rPr>
        <w:t>, vzhledem k rozsahu pozemků ZPF zařazených do I. a II. třídy ochrany je nicméně úplné vyloučení zásahu do nejcennější půdy obtížné</w:t>
      </w:r>
      <w:r w:rsidR="00A80189" w:rsidRPr="00461C16">
        <w:rPr>
          <w:szCs w:val="20"/>
        </w:rPr>
        <w:t>.</w:t>
      </w:r>
      <w:r w:rsidR="00ED4309">
        <w:rPr>
          <w:szCs w:val="20"/>
        </w:rPr>
        <w:t xml:space="preserve"> </w:t>
      </w:r>
    </w:p>
    <w:p w14:paraId="2E8778D6" w14:textId="77777777" w:rsidR="00DB5AC9" w:rsidRPr="00DB5AC9" w:rsidRDefault="00DB5AC9" w:rsidP="00DB5AC9">
      <w:pPr>
        <w:spacing w:before="240" w:after="120"/>
        <w:rPr>
          <w:szCs w:val="20"/>
          <w:u w:val="single"/>
        </w:rPr>
      </w:pPr>
      <w:r w:rsidRPr="00DB5AC9">
        <w:rPr>
          <w:szCs w:val="20"/>
          <w:u w:val="single"/>
        </w:rPr>
        <w:t>Odůvodnění nemožnosti využití nižších tříd ochrany ZPF</w:t>
      </w:r>
    </w:p>
    <w:p w14:paraId="1E336B28" w14:textId="77777777" w:rsidR="006E67C3" w:rsidRPr="00FE54DB" w:rsidRDefault="006E67C3" w:rsidP="00190008">
      <w:pPr>
        <w:spacing w:before="120" w:after="120"/>
        <w:rPr>
          <w:szCs w:val="20"/>
        </w:rPr>
      </w:pPr>
      <w:r w:rsidRPr="00FE54DB">
        <w:rPr>
          <w:szCs w:val="20"/>
        </w:rPr>
        <w:t>HRÁDEK NAD NISOU</w:t>
      </w:r>
    </w:p>
    <w:p w14:paraId="35A2A6F6" w14:textId="77777777" w:rsidR="00FE54DB" w:rsidRPr="00FE54DB" w:rsidRDefault="00FE54DB" w:rsidP="00190008">
      <w:pPr>
        <w:spacing w:before="120" w:after="120"/>
        <w:rPr>
          <w:szCs w:val="20"/>
        </w:rPr>
      </w:pPr>
      <w:r w:rsidRPr="00FE54DB">
        <w:rPr>
          <w:szCs w:val="20"/>
        </w:rPr>
        <w:t xml:space="preserve">Na půdách I. a II. třídy ochrany se nachází v podstatě celé zastavěné území města. Pokud má být rozvoj soustředěn do proluk uvnitř zastavěného území a do území v přímé návaznosti na jeho hranici, nelze střet s nejcennějšími půdami vyloučit. Urbanistické principy, stejně jako požadavky PÚR a ZÚR Libereckého kraje, přitom požadují území využívat </w:t>
      </w:r>
      <w:r w:rsidRPr="00FE54DB">
        <w:rPr>
          <w:b/>
          <w:szCs w:val="20"/>
        </w:rPr>
        <w:t>hospodárně a chránit volnou krajinu</w:t>
      </w:r>
      <w:r w:rsidRPr="00FE54DB">
        <w:rPr>
          <w:szCs w:val="20"/>
        </w:rPr>
        <w:t xml:space="preserve">. </w:t>
      </w:r>
    </w:p>
    <w:p w14:paraId="3BEC0582" w14:textId="77777777" w:rsidR="00FE54DB" w:rsidRDefault="00FE54DB" w:rsidP="00190008">
      <w:pPr>
        <w:spacing w:before="120" w:after="120"/>
        <w:rPr>
          <w:szCs w:val="20"/>
        </w:rPr>
      </w:pPr>
      <w:r w:rsidRPr="00FE54DB">
        <w:rPr>
          <w:szCs w:val="20"/>
        </w:rPr>
        <w:t xml:space="preserve">Území na méně hodnotných půdách nejsou pro zastavění vhodná i z důvodu omezení dalšími zákonnými limity – v lokalitě Severní město jde o </w:t>
      </w:r>
      <w:r w:rsidRPr="00FE54DB">
        <w:rPr>
          <w:b/>
          <w:szCs w:val="20"/>
        </w:rPr>
        <w:t>dobývací prostor a pozemky lesa</w:t>
      </w:r>
      <w:r w:rsidRPr="00FE54DB">
        <w:rPr>
          <w:szCs w:val="20"/>
        </w:rPr>
        <w:t xml:space="preserve">, na jihovýchodním okraji zástavby pod stávající zahrádkovou osadou rovněž o </w:t>
      </w:r>
      <w:r w:rsidRPr="00FE54DB">
        <w:rPr>
          <w:b/>
          <w:szCs w:val="20"/>
        </w:rPr>
        <w:t>pozemky lesa</w:t>
      </w:r>
      <w:r w:rsidRPr="00FE54DB">
        <w:rPr>
          <w:szCs w:val="20"/>
        </w:rPr>
        <w:t xml:space="preserve">, podél toku Nisy pak </w:t>
      </w:r>
      <w:r w:rsidRPr="00FE54DB">
        <w:rPr>
          <w:b/>
          <w:szCs w:val="20"/>
        </w:rPr>
        <w:t>záplavové území s aktivní zónou záplavového území</w:t>
      </w:r>
      <w:r w:rsidRPr="00FE54DB">
        <w:rPr>
          <w:szCs w:val="20"/>
        </w:rPr>
        <w:t xml:space="preserve">. Mimo ZPF I. a II. třídy ochrany se tak nachází pouze rekreační areál Kristýna, který je v ÚP </w:t>
      </w:r>
      <w:r w:rsidRPr="00FE54DB">
        <w:rPr>
          <w:szCs w:val="20"/>
        </w:rPr>
        <w:lastRenderedPageBreak/>
        <w:t>navržen k rozvoji, vzhledem k jeho izolované poloze vůči vlastnímu sídlu Hrádek nad Nisou však zde není možné rozvíjet městské a obytné funkce.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FE54DB" w14:paraId="39BAFE72" w14:textId="77777777" w:rsidTr="00DA7292">
        <w:trPr>
          <w:trHeight w:val="8245"/>
        </w:trPr>
        <w:tc>
          <w:tcPr>
            <w:tcW w:w="9212" w:type="dxa"/>
          </w:tcPr>
          <w:p w14:paraId="689C1368" w14:textId="77777777" w:rsidR="006F131D" w:rsidRDefault="00DB5AC9" w:rsidP="00FE54DB">
            <w:pPr>
              <w:rPr>
                <w:szCs w:val="20"/>
              </w:rPr>
            </w:pPr>
            <w:r>
              <w:rPr>
                <w:szCs w:val="20"/>
              </w:rPr>
              <w:t xml:space="preserve">Z výše uvedeného vyplývá, že při zohlednění limitů využití území včetně ochrany ZPF a zároveň požadavků PÚR a nadřazené dokumentace, by </w:t>
            </w:r>
            <w:r w:rsidRPr="00DB5AC9">
              <w:rPr>
                <w:b/>
                <w:szCs w:val="20"/>
              </w:rPr>
              <w:t>nebylo možné město rozvíjet žádným způsobe</w:t>
            </w:r>
            <w:r>
              <w:rPr>
                <w:b/>
                <w:szCs w:val="20"/>
              </w:rPr>
              <w:t>m a v žádném směru</w:t>
            </w:r>
            <w:r>
              <w:rPr>
                <w:szCs w:val="20"/>
              </w:rPr>
              <w:t>.</w:t>
            </w:r>
          </w:p>
          <w:p w14:paraId="46A16C0D" w14:textId="77777777" w:rsidR="00FE54DB" w:rsidRDefault="006F131D" w:rsidP="006F131D">
            <w:pPr>
              <w:spacing w:before="120"/>
              <w:rPr>
                <w:szCs w:val="20"/>
                <w:highlight w:val="yellow"/>
              </w:rPr>
            </w:pPr>
            <w:r>
              <w:rPr>
                <w:noProof/>
                <w:lang w:eastAsia="cs-CZ"/>
              </w:rPr>
              <w:drawing>
                <wp:anchor distT="0" distB="0" distL="114300" distR="114300" simplePos="0" relativeHeight="251696128" behindDoc="0" locked="0" layoutInCell="1" allowOverlap="1" wp14:anchorId="25F33E69" wp14:editId="7FADF9F6">
                  <wp:simplePos x="0" y="0"/>
                  <wp:positionH relativeFrom="column">
                    <wp:posOffset>-8255</wp:posOffset>
                  </wp:positionH>
                  <wp:positionV relativeFrom="paragraph">
                    <wp:posOffset>514350</wp:posOffset>
                  </wp:positionV>
                  <wp:extent cx="5779135" cy="4491355"/>
                  <wp:effectExtent l="0" t="0" r="0" b="444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779135" cy="4491355"/>
                          </a:xfrm>
                          <a:prstGeom prst="rect">
                            <a:avLst/>
                          </a:prstGeom>
                        </pic:spPr>
                      </pic:pic>
                    </a:graphicData>
                  </a:graphic>
                  <wp14:sizeRelH relativeFrom="page">
                    <wp14:pctWidth>0</wp14:pctWidth>
                  </wp14:sizeRelH>
                  <wp14:sizeRelV relativeFrom="page">
                    <wp14:pctHeight>0</wp14:pctHeight>
                  </wp14:sizeRelV>
                </wp:anchor>
              </w:drawing>
            </w:r>
            <w:r w:rsidR="00DB5AC9" w:rsidRPr="000C02F9">
              <w:rPr>
                <w:szCs w:val="20"/>
              </w:rPr>
              <w:t xml:space="preserve">Na následujícím výřezu je zobrazen vztah zastavěného území sídla </w:t>
            </w:r>
            <w:r w:rsidR="00DB5AC9">
              <w:rPr>
                <w:szCs w:val="20"/>
              </w:rPr>
              <w:t>Hrádek nad Nisou</w:t>
            </w:r>
            <w:r w:rsidR="00DB5AC9" w:rsidRPr="000C02F9">
              <w:rPr>
                <w:szCs w:val="20"/>
              </w:rPr>
              <w:t xml:space="preserve"> a půd I. a II. třídy ochrany (</w:t>
            </w:r>
            <w:r w:rsidR="00DA7292">
              <w:rPr>
                <w:szCs w:val="20"/>
              </w:rPr>
              <w:t>zelenou</w:t>
            </w:r>
            <w:r w:rsidR="00DB5AC9" w:rsidRPr="000C02F9">
              <w:rPr>
                <w:szCs w:val="20"/>
              </w:rPr>
              <w:t xml:space="preserve"> šrafou)</w:t>
            </w:r>
            <w:r w:rsidR="00D56E8E" w:rsidRPr="00D56E8E">
              <w:rPr>
                <w:rStyle w:val="FootnoteReference"/>
                <w:rFonts w:ascii="Arial Narrow" w:hAnsi="Arial Narrow"/>
                <w:sz w:val="22"/>
                <w:szCs w:val="22"/>
              </w:rPr>
              <w:footnoteReference w:id="18"/>
            </w:r>
            <w:r w:rsidR="00DB5AC9" w:rsidRPr="000C02F9">
              <w:rPr>
                <w:szCs w:val="20"/>
              </w:rPr>
              <w:t>:</w:t>
            </w:r>
            <w:r w:rsidR="00E34352">
              <w:rPr>
                <w:szCs w:val="20"/>
              </w:rPr>
              <w:t xml:space="preserve"> </w:t>
            </w:r>
          </w:p>
        </w:tc>
      </w:tr>
    </w:tbl>
    <w:p w14:paraId="55C03F71" w14:textId="77777777" w:rsidR="006E67C3" w:rsidRPr="000C02F9" w:rsidRDefault="006E67C3" w:rsidP="00190008">
      <w:pPr>
        <w:spacing w:before="120" w:after="120"/>
        <w:rPr>
          <w:szCs w:val="20"/>
        </w:rPr>
      </w:pPr>
      <w:r w:rsidRPr="000C02F9">
        <w:rPr>
          <w:szCs w:val="20"/>
        </w:rPr>
        <w:t>DOLNÍ SEDLO</w:t>
      </w:r>
    </w:p>
    <w:p w14:paraId="4B4EBEB2" w14:textId="77777777" w:rsidR="000C02F9" w:rsidRPr="00DC4270" w:rsidRDefault="000C02F9" w:rsidP="000C02F9">
      <w:pPr>
        <w:spacing w:before="120"/>
        <w:rPr>
          <w:szCs w:val="20"/>
        </w:rPr>
      </w:pPr>
      <w:r w:rsidRPr="00DC4270">
        <w:rPr>
          <w:szCs w:val="20"/>
        </w:rPr>
        <w:t xml:space="preserve">Téměř celé zastavěné území, resp. jeho vnitřní část (bez izolované zástavby roztroušené v krajině) leží na půdách I. a II. třídy ochrany. Pokud mají nové plochy změn navazovat na zastavěné území v zájmu hospodárného využívání území a ochrany volné krajiny, nelze v podstatě střet s nejcennějšími půdami vyloučit. Rozvoj zástavby na nižších třídách ochrany by </w:t>
      </w:r>
      <w:r w:rsidRPr="00DC4270">
        <w:rPr>
          <w:b/>
          <w:szCs w:val="20"/>
        </w:rPr>
        <w:t>nežádoucím způsobem</w:t>
      </w:r>
      <w:r w:rsidRPr="00DC4270">
        <w:rPr>
          <w:szCs w:val="20"/>
        </w:rPr>
        <w:t xml:space="preserve"> </w:t>
      </w:r>
      <w:r w:rsidRPr="00DC4270">
        <w:rPr>
          <w:b/>
          <w:szCs w:val="20"/>
        </w:rPr>
        <w:t>podpořil solitérní objekty a prohloubil fragmentaci krajiny</w:t>
      </w:r>
      <w:r w:rsidR="00DA7292">
        <w:rPr>
          <w:b/>
          <w:szCs w:val="20"/>
        </w:rPr>
        <w:t>, zároveň by plochy nebyly vhodně dopravně napojitelné a byl by poškozen urbanistický ráz sídla</w:t>
      </w:r>
      <w:r w:rsidRPr="00DC4270">
        <w:rPr>
          <w:szCs w:val="20"/>
        </w:rPr>
        <w:t xml:space="preserve">. </w:t>
      </w:r>
    </w:p>
    <w:p w14:paraId="26F69B0B" w14:textId="77777777" w:rsidR="000C02F9" w:rsidRPr="00DC4270" w:rsidRDefault="000C02F9" w:rsidP="000C02F9">
      <w:pPr>
        <w:spacing w:before="120"/>
        <w:rPr>
          <w:szCs w:val="20"/>
        </w:rPr>
      </w:pPr>
      <w:r w:rsidRPr="00DC4270">
        <w:rPr>
          <w:szCs w:val="20"/>
        </w:rPr>
        <w:t xml:space="preserve">Jako nejvýhodnější polohu pro rozvoj zástavby lze s ohledem na výše uvedené označit východní hranu silnice III/2716, která je v ÚP plně využita. Další postup zástavby je však ve východním směru omezen </w:t>
      </w:r>
      <w:r w:rsidRPr="00DC4270">
        <w:rPr>
          <w:b/>
          <w:szCs w:val="20"/>
        </w:rPr>
        <w:t>ochranným pásmem VN vedení, pozemky lesa a koridorem ÚSES</w:t>
      </w:r>
      <w:r w:rsidRPr="00DC4270">
        <w:rPr>
          <w:szCs w:val="20"/>
        </w:rPr>
        <w:t>.</w:t>
      </w:r>
    </w:p>
    <w:p w14:paraId="5DA6A972" w14:textId="77777777" w:rsidR="000C02F9" w:rsidRPr="00DC4270" w:rsidRDefault="000C02F9" w:rsidP="00864C32">
      <w:pPr>
        <w:spacing w:before="120" w:after="120"/>
        <w:rPr>
          <w:szCs w:val="20"/>
        </w:rPr>
      </w:pPr>
      <w:r w:rsidRPr="00DC4270">
        <w:rPr>
          <w:szCs w:val="20"/>
        </w:rPr>
        <w:t>Na následujícím výřezu je zobrazen vztah zastavěného území sídla Dolní Sedlo a půd I. a II. třídy ochrany (</w:t>
      </w:r>
      <w:r w:rsidR="00DA7292">
        <w:rPr>
          <w:szCs w:val="20"/>
        </w:rPr>
        <w:t>zelenou</w:t>
      </w:r>
      <w:r w:rsidRPr="00DC4270">
        <w:rPr>
          <w:szCs w:val="20"/>
        </w:rPr>
        <w:t xml:space="preserve"> šrafou)</w:t>
      </w:r>
      <w:r w:rsidR="00D56E8E" w:rsidRPr="00D56E8E">
        <w:rPr>
          <w:rStyle w:val="FootnoteReference"/>
          <w:rFonts w:ascii="Arial Narrow" w:hAnsi="Arial Narrow"/>
          <w:sz w:val="22"/>
          <w:szCs w:val="22"/>
        </w:rPr>
        <w:footnoteReference w:id="19"/>
      </w:r>
      <w:r w:rsidRPr="00DC4270">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0C02F9" w14:paraId="10EA8976" w14:textId="77777777" w:rsidTr="00864C32">
        <w:trPr>
          <w:trHeight w:val="326"/>
        </w:trPr>
        <w:tc>
          <w:tcPr>
            <w:tcW w:w="9288" w:type="dxa"/>
          </w:tcPr>
          <w:p w14:paraId="5DBF59F2" w14:textId="77777777" w:rsidR="000C02F9" w:rsidRDefault="00864C32" w:rsidP="000C02F9">
            <w:pPr>
              <w:rPr>
                <w:szCs w:val="20"/>
              </w:rPr>
            </w:pPr>
            <w:r>
              <w:rPr>
                <w:noProof/>
                <w:lang w:eastAsia="cs-CZ"/>
              </w:rPr>
              <w:lastRenderedPageBreak/>
              <w:drawing>
                <wp:anchor distT="0" distB="0" distL="114300" distR="114300" simplePos="0" relativeHeight="251688960" behindDoc="0" locked="0" layoutInCell="1" allowOverlap="1" wp14:anchorId="505B5EEF" wp14:editId="5C55C75F">
                  <wp:simplePos x="897890" y="-3140710"/>
                  <wp:positionH relativeFrom="margin">
                    <wp:align>left</wp:align>
                  </wp:positionH>
                  <wp:positionV relativeFrom="margin">
                    <wp:align>center</wp:align>
                  </wp:positionV>
                  <wp:extent cx="5812155" cy="4850765"/>
                  <wp:effectExtent l="0" t="0" r="0" b="698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813746" cy="4851999"/>
                          </a:xfrm>
                          <a:prstGeom prst="rect">
                            <a:avLst/>
                          </a:prstGeom>
                        </pic:spPr>
                      </pic:pic>
                    </a:graphicData>
                  </a:graphic>
                  <wp14:sizeRelH relativeFrom="margin">
                    <wp14:pctWidth>0</wp14:pctWidth>
                  </wp14:sizeRelH>
                  <wp14:sizeRelV relativeFrom="margin">
                    <wp14:pctHeight>0</wp14:pctHeight>
                  </wp14:sizeRelV>
                </wp:anchor>
              </w:drawing>
            </w:r>
          </w:p>
        </w:tc>
      </w:tr>
    </w:tbl>
    <w:p w14:paraId="10A8209A" w14:textId="77777777" w:rsidR="006E67C3" w:rsidRDefault="006E67C3" w:rsidP="00190008">
      <w:pPr>
        <w:spacing w:before="120" w:after="120"/>
        <w:rPr>
          <w:szCs w:val="20"/>
        </w:rPr>
      </w:pPr>
      <w:r>
        <w:rPr>
          <w:szCs w:val="20"/>
        </w:rPr>
        <w:t>HORNÍ SEDLO</w:t>
      </w:r>
    </w:p>
    <w:p w14:paraId="1CF77848" w14:textId="77777777" w:rsidR="00900416" w:rsidRPr="00DC4270" w:rsidRDefault="00900416" w:rsidP="00190008">
      <w:pPr>
        <w:spacing w:before="120" w:after="120"/>
        <w:rPr>
          <w:szCs w:val="20"/>
        </w:rPr>
      </w:pPr>
      <w:r w:rsidRPr="00DC4270">
        <w:rPr>
          <w:szCs w:val="20"/>
        </w:rPr>
        <w:t xml:space="preserve">Na území Horního Sedla </w:t>
      </w:r>
      <w:r w:rsidRPr="00DC4270">
        <w:rPr>
          <w:b/>
          <w:szCs w:val="20"/>
        </w:rPr>
        <w:t>se nenachází půdy I. a II. třídy ochrany</w:t>
      </w:r>
      <w:r w:rsidRPr="00DC4270">
        <w:rPr>
          <w:szCs w:val="20"/>
        </w:rPr>
        <w:t xml:space="preserve">. Rozvoj </w:t>
      </w:r>
      <w:r w:rsidRPr="00DC4270">
        <w:rPr>
          <w:b/>
          <w:szCs w:val="20"/>
        </w:rPr>
        <w:t xml:space="preserve">je </w:t>
      </w:r>
      <w:r w:rsidR="00FE788D" w:rsidRPr="00DC4270">
        <w:rPr>
          <w:b/>
          <w:szCs w:val="20"/>
        </w:rPr>
        <w:t>soustředěn na půdách nižší ochrany</w:t>
      </w:r>
      <w:r w:rsidR="00FE788D" w:rsidRPr="00DC4270">
        <w:rPr>
          <w:szCs w:val="20"/>
        </w:rPr>
        <w:t xml:space="preserve"> a je orientován</w:t>
      </w:r>
      <w:r w:rsidRPr="00DC4270">
        <w:rPr>
          <w:szCs w:val="20"/>
        </w:rPr>
        <w:t xml:space="preserve"> výhradně na dostavby proluk podél silnice III/2716 (</w:t>
      </w:r>
      <w:r w:rsidR="00DA7292">
        <w:rPr>
          <w:szCs w:val="20"/>
        </w:rPr>
        <w:t>částečně</w:t>
      </w:r>
      <w:r w:rsidRPr="00DC4270">
        <w:rPr>
          <w:szCs w:val="20"/>
        </w:rPr>
        <w:t xml:space="preserve"> dle platného ÚPSÚ), bez dalšího rozšiřování zástavby do volné krajiny. Zakládání druhé řady zástavby by narušilo ulicové uspořádání sídla a vzhledem k výrazné morfologii by vedlo k poškození krajinného rázu. Rozvoj je ve všech směrech omezen limity využití území, na jihu </w:t>
      </w:r>
      <w:r w:rsidR="00FE788D" w:rsidRPr="00DC4270">
        <w:rPr>
          <w:szCs w:val="20"/>
        </w:rPr>
        <w:t xml:space="preserve">a západě </w:t>
      </w:r>
      <w:r w:rsidRPr="00DC4270">
        <w:rPr>
          <w:szCs w:val="20"/>
        </w:rPr>
        <w:t>územním systémem ekologické stability (včetně nadregionální úrovně) a II. a III. zónou CHKO, na východ</w:t>
      </w:r>
      <w:r w:rsidR="00FE788D" w:rsidRPr="00DC4270">
        <w:rPr>
          <w:szCs w:val="20"/>
        </w:rPr>
        <w:t>ě ochranným pásmem VTL plynovodu, na severu prudkým terénním zlomem.</w:t>
      </w:r>
      <w:r w:rsidRPr="00DC4270">
        <w:rPr>
          <w:szCs w:val="20"/>
        </w:rPr>
        <w:t xml:space="preserve"> </w:t>
      </w:r>
    </w:p>
    <w:p w14:paraId="5CCE2ECE" w14:textId="77777777" w:rsidR="006E67C3" w:rsidRDefault="006E67C3" w:rsidP="00190008">
      <w:pPr>
        <w:spacing w:before="120" w:after="120"/>
        <w:rPr>
          <w:szCs w:val="20"/>
        </w:rPr>
      </w:pPr>
      <w:r w:rsidRPr="00940813">
        <w:rPr>
          <w:szCs w:val="20"/>
        </w:rPr>
        <w:t>DONÍN</w:t>
      </w:r>
    </w:p>
    <w:p w14:paraId="6CE68E11" w14:textId="77777777" w:rsidR="00940813" w:rsidRPr="00DC4270" w:rsidRDefault="00940813" w:rsidP="00190008">
      <w:pPr>
        <w:spacing w:before="120" w:after="120"/>
        <w:rPr>
          <w:szCs w:val="20"/>
        </w:rPr>
      </w:pPr>
      <w:r w:rsidRPr="00DC4270">
        <w:rPr>
          <w:szCs w:val="20"/>
        </w:rPr>
        <w:t xml:space="preserve">Páteří zástavby je ul. Donínská (silnice III/2711). Z urbanistického hlediska je žádoucí posilovat kompaktnost jádra sídla, bohužel současná zástavba podél této komunikace je oboustranně situována právě na půdách I. a II. třídy ochrany. V tomto případě je upřednostněno </w:t>
      </w:r>
      <w:r w:rsidRPr="00DC4270">
        <w:rPr>
          <w:b/>
          <w:szCs w:val="20"/>
        </w:rPr>
        <w:t>účelné a hospodárné využívání území a ochrana volné krajiny</w:t>
      </w:r>
      <w:r w:rsidRPr="00DC4270">
        <w:rPr>
          <w:szCs w:val="20"/>
        </w:rPr>
        <w:t>, vyjádřené vymezením ploch změn v prolukách. V ÚP jsou využity i další prostorové rezervy na nižších třídách ochrany.</w:t>
      </w:r>
    </w:p>
    <w:p w14:paraId="63E51E55" w14:textId="77777777" w:rsidR="00940813" w:rsidRDefault="00940813" w:rsidP="00190008">
      <w:pPr>
        <w:spacing w:before="120" w:after="120"/>
        <w:rPr>
          <w:szCs w:val="20"/>
        </w:rPr>
      </w:pPr>
      <w:r w:rsidRPr="00DC4270">
        <w:rPr>
          <w:szCs w:val="20"/>
        </w:rPr>
        <w:t xml:space="preserve">Rozvoj v severním směru je z prostorového hlediska nereálný, je omezen </w:t>
      </w:r>
      <w:r w:rsidRPr="00DC4270">
        <w:rPr>
          <w:b/>
          <w:szCs w:val="20"/>
        </w:rPr>
        <w:t>tokem Lužické Nisy se stanoveným záplavovým územím a aktivní zónou záplavového území</w:t>
      </w:r>
      <w:r w:rsidRPr="00DC4270">
        <w:rPr>
          <w:szCs w:val="20"/>
        </w:rPr>
        <w:t xml:space="preserve">, která znemožňuje jakoukoliv zástavbu. V jižním směru je potenciální zástavba limitována </w:t>
      </w:r>
      <w:r w:rsidRPr="00DC4270">
        <w:rPr>
          <w:b/>
          <w:szCs w:val="20"/>
        </w:rPr>
        <w:t>ochranným pásmem VN vedení a pozemky lesa</w:t>
      </w:r>
      <w:r w:rsidRPr="00DC4270">
        <w:rPr>
          <w:szCs w:val="20"/>
        </w:rPr>
        <w:t>. Umisťování nové zástavby v této poloze je nežádoucí i vzhledem k </w:t>
      </w:r>
      <w:r w:rsidRPr="00DC4270">
        <w:rPr>
          <w:b/>
          <w:szCs w:val="20"/>
        </w:rPr>
        <w:t xml:space="preserve">morfologii terénu </w:t>
      </w:r>
      <w:r w:rsidRPr="00DC4270">
        <w:rPr>
          <w:szCs w:val="20"/>
        </w:rPr>
        <w:t>(exponovaný svah).</w:t>
      </w:r>
    </w:p>
    <w:p w14:paraId="67C97BF7" w14:textId="77777777" w:rsidR="00864C32" w:rsidRPr="00DC4270" w:rsidRDefault="00864C32" w:rsidP="00190008">
      <w:pPr>
        <w:spacing w:before="120" w:after="120"/>
        <w:rPr>
          <w:szCs w:val="20"/>
        </w:rPr>
      </w:pPr>
      <w:r w:rsidRPr="00DC4270">
        <w:rPr>
          <w:szCs w:val="20"/>
        </w:rPr>
        <w:lastRenderedPageBreak/>
        <w:t>Na následujícím výřezu je zobrazen vztah zastavěného území sídla Donín a půd I. a II. třídy ochrany (</w:t>
      </w:r>
      <w:r>
        <w:rPr>
          <w:szCs w:val="20"/>
        </w:rPr>
        <w:t>zelen</w:t>
      </w:r>
      <w:r w:rsidRPr="00DC4270">
        <w:rPr>
          <w:szCs w:val="20"/>
        </w:rPr>
        <w:t>ou šrafou)</w:t>
      </w:r>
      <w:r w:rsidRPr="00D56E8E">
        <w:rPr>
          <w:rStyle w:val="FootnoteReference"/>
          <w:rFonts w:ascii="Arial Narrow" w:hAnsi="Arial Narrow"/>
          <w:sz w:val="22"/>
          <w:szCs w:val="22"/>
        </w:rPr>
        <w:footnoteReference w:id="20"/>
      </w:r>
      <w:r w:rsidRPr="00D56E8E">
        <w:t>:</w:t>
      </w:r>
      <w:r>
        <w:t xml:space="preserve"> </w:t>
      </w:r>
      <w:r>
        <w:rPr>
          <w:noProof/>
          <w:lang w:eastAsia="cs-CZ"/>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40813" w14:paraId="6AA32E6F" w14:textId="77777777" w:rsidTr="00864C32">
        <w:tc>
          <w:tcPr>
            <w:tcW w:w="9288" w:type="dxa"/>
          </w:tcPr>
          <w:p w14:paraId="37A5B1CF" w14:textId="77777777" w:rsidR="00940813" w:rsidRDefault="00864C32" w:rsidP="00940813">
            <w:pPr>
              <w:rPr>
                <w:szCs w:val="20"/>
              </w:rPr>
            </w:pPr>
            <w:r>
              <w:rPr>
                <w:noProof/>
                <w:lang w:eastAsia="cs-CZ"/>
              </w:rPr>
              <w:drawing>
                <wp:anchor distT="0" distB="0" distL="114300" distR="114300" simplePos="0" relativeHeight="251689984" behindDoc="0" locked="0" layoutInCell="1" allowOverlap="1" wp14:anchorId="61CE6B77" wp14:editId="46FD99E8">
                  <wp:simplePos x="897890" y="-1836420"/>
                  <wp:positionH relativeFrom="margin">
                    <wp:align>left</wp:align>
                  </wp:positionH>
                  <wp:positionV relativeFrom="margin">
                    <wp:align>center</wp:align>
                  </wp:positionV>
                  <wp:extent cx="5772150" cy="3712845"/>
                  <wp:effectExtent l="0" t="0" r="0" b="190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780323" cy="3717941"/>
                          </a:xfrm>
                          <a:prstGeom prst="rect">
                            <a:avLst/>
                          </a:prstGeom>
                        </pic:spPr>
                      </pic:pic>
                    </a:graphicData>
                  </a:graphic>
                  <wp14:sizeRelH relativeFrom="margin">
                    <wp14:pctWidth>0</wp14:pctWidth>
                  </wp14:sizeRelH>
                  <wp14:sizeRelV relativeFrom="margin">
                    <wp14:pctHeight>0</wp14:pctHeight>
                  </wp14:sizeRelV>
                </wp:anchor>
              </w:drawing>
            </w:r>
          </w:p>
        </w:tc>
      </w:tr>
    </w:tbl>
    <w:p w14:paraId="1139492B" w14:textId="77777777" w:rsidR="006E67C3" w:rsidRDefault="006E67C3" w:rsidP="00190008">
      <w:pPr>
        <w:spacing w:before="120" w:after="120"/>
        <w:rPr>
          <w:szCs w:val="20"/>
        </w:rPr>
      </w:pPr>
      <w:r>
        <w:rPr>
          <w:szCs w:val="20"/>
        </w:rPr>
        <w:t>DOLNÍ SUCHÁ</w:t>
      </w:r>
    </w:p>
    <w:p w14:paraId="5DB8BF3A" w14:textId="0F96DF38" w:rsidR="001E738D" w:rsidRPr="00DC4270" w:rsidRDefault="001E738D" w:rsidP="001E738D">
      <w:pPr>
        <w:pStyle w:val="1text"/>
      </w:pPr>
      <w:r w:rsidRPr="00DC4270">
        <w:t xml:space="preserve">Na půdách I. a II. třídy ochrany se nachází veškerá </w:t>
      </w:r>
      <w:r w:rsidR="009918EB" w:rsidRPr="00DC4270">
        <w:t xml:space="preserve">(stabilizovaná) </w:t>
      </w:r>
      <w:r w:rsidRPr="00DC4270">
        <w:t>zástavba podél páteřních komunikací sídla s předpokladem posilování kompaktnosti zástavby, tj. silnice III/2711 a III/</w:t>
      </w:r>
      <w:r w:rsidR="009D47B0" w:rsidRPr="00DC4270">
        <w:t>271</w:t>
      </w:r>
      <w:r w:rsidR="009D47B0">
        <w:t>3</w:t>
      </w:r>
      <w:r w:rsidRPr="00DC4270">
        <w:t xml:space="preserve">. Rozvoj je orientován na doplnění proluk, za účelem scelení fragmentované zástavby. Část pozemků podél těchto komunikací mimo nejcennější půdy není možné zastavět z důvodu stanoveného </w:t>
      </w:r>
      <w:r w:rsidRPr="00DC4270">
        <w:rPr>
          <w:b/>
        </w:rPr>
        <w:t xml:space="preserve">záplavového území s aktivní </w:t>
      </w:r>
      <w:r w:rsidR="00206BBC" w:rsidRPr="00DC4270">
        <w:rPr>
          <w:b/>
        </w:rPr>
        <w:t>zón</w:t>
      </w:r>
      <w:r w:rsidR="00206BBC">
        <w:rPr>
          <w:b/>
        </w:rPr>
        <w:t>ou</w:t>
      </w:r>
      <w:r w:rsidR="00206BBC" w:rsidRPr="00DC4270">
        <w:rPr>
          <w:b/>
        </w:rPr>
        <w:t xml:space="preserve"> </w:t>
      </w:r>
      <w:r w:rsidRPr="00DC4270">
        <w:rPr>
          <w:b/>
        </w:rPr>
        <w:t>záplavového území</w:t>
      </w:r>
      <w:r w:rsidRPr="00DC4270">
        <w:t xml:space="preserve"> (v severní části) a </w:t>
      </w:r>
      <w:r w:rsidRPr="00DC4270">
        <w:rPr>
          <w:b/>
        </w:rPr>
        <w:t>pozemků lesa a polohy na hranici II. zóny CHKO</w:t>
      </w:r>
      <w:r w:rsidRPr="00DC4270">
        <w:t xml:space="preserve"> (v jižní části). </w:t>
      </w:r>
    </w:p>
    <w:p w14:paraId="138CEE49" w14:textId="77777777" w:rsidR="001E738D" w:rsidRPr="00DC4270" w:rsidRDefault="001E738D" w:rsidP="001E738D">
      <w:pPr>
        <w:pStyle w:val="1text"/>
      </w:pPr>
      <w:r w:rsidRPr="00DC4270">
        <w:t>Zbývající část zástavby sídla, která se nachází mimo půdy I. a II. třídy ochrany je roztroušena ve volné krajině a další výraznější zahušťování a dostavby by vedly k </w:t>
      </w:r>
      <w:r w:rsidRPr="00DC4270">
        <w:rPr>
          <w:b/>
        </w:rPr>
        <w:t>nežádoucí degradaci jedinečného urbanistického rázu Dolní Suché</w:t>
      </w:r>
      <w:r w:rsidRPr="00DC4270">
        <w:t>.</w:t>
      </w:r>
    </w:p>
    <w:p w14:paraId="209E34AC" w14:textId="77777777" w:rsidR="001E738D" w:rsidRPr="00DC4270" w:rsidRDefault="001E738D" w:rsidP="001E738D">
      <w:pPr>
        <w:spacing w:before="120" w:after="120"/>
        <w:rPr>
          <w:szCs w:val="20"/>
        </w:rPr>
      </w:pPr>
      <w:r w:rsidRPr="00DC4270">
        <w:rPr>
          <w:szCs w:val="20"/>
        </w:rPr>
        <w:t>Na následujícím výřezu je zobrazen vztah zastavěného území sídla Dolní Suchá a pů</w:t>
      </w:r>
      <w:r w:rsidR="00DA7292">
        <w:rPr>
          <w:szCs w:val="20"/>
        </w:rPr>
        <w:t>d I. a II. třídy ochrany (zelen</w:t>
      </w:r>
      <w:r w:rsidRPr="00DC4270">
        <w:rPr>
          <w:szCs w:val="20"/>
        </w:rPr>
        <w:t>ou šrafou)</w:t>
      </w:r>
      <w:r w:rsidR="00D56E8E" w:rsidRPr="00D56E8E">
        <w:rPr>
          <w:rStyle w:val="FootnoteReference"/>
          <w:rFonts w:ascii="Arial Narrow" w:hAnsi="Arial Narrow"/>
          <w:sz w:val="22"/>
          <w:szCs w:val="22"/>
        </w:rPr>
        <w:footnoteReference w:id="21"/>
      </w:r>
      <w:r w:rsidRPr="00DC4270">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1E738D" w14:paraId="65547A2A" w14:textId="77777777" w:rsidTr="00E57ACF">
        <w:tc>
          <w:tcPr>
            <w:tcW w:w="9212" w:type="dxa"/>
          </w:tcPr>
          <w:p w14:paraId="70576F44" w14:textId="77777777" w:rsidR="001E738D" w:rsidRDefault="00864C32" w:rsidP="001E738D">
            <w:pPr>
              <w:rPr>
                <w:szCs w:val="20"/>
              </w:rPr>
            </w:pPr>
            <w:r>
              <w:rPr>
                <w:noProof/>
                <w:lang w:eastAsia="cs-CZ"/>
              </w:rPr>
              <w:lastRenderedPageBreak/>
              <w:drawing>
                <wp:anchor distT="0" distB="0" distL="114300" distR="114300" simplePos="0" relativeHeight="251691008" behindDoc="0" locked="0" layoutInCell="1" allowOverlap="1" wp14:anchorId="0A0645C8" wp14:editId="2DAFBDBC">
                  <wp:simplePos x="897890" y="2861945"/>
                  <wp:positionH relativeFrom="margin">
                    <wp:align>left</wp:align>
                  </wp:positionH>
                  <wp:positionV relativeFrom="margin">
                    <wp:align>center</wp:align>
                  </wp:positionV>
                  <wp:extent cx="5788025" cy="4773295"/>
                  <wp:effectExtent l="0" t="0" r="3175"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789888" cy="4774841"/>
                          </a:xfrm>
                          <a:prstGeom prst="rect">
                            <a:avLst/>
                          </a:prstGeom>
                        </pic:spPr>
                      </pic:pic>
                    </a:graphicData>
                  </a:graphic>
                  <wp14:sizeRelH relativeFrom="margin">
                    <wp14:pctWidth>0</wp14:pctWidth>
                  </wp14:sizeRelH>
                  <wp14:sizeRelV relativeFrom="margin">
                    <wp14:pctHeight>0</wp14:pctHeight>
                  </wp14:sizeRelV>
                </wp:anchor>
              </w:drawing>
            </w:r>
          </w:p>
        </w:tc>
      </w:tr>
    </w:tbl>
    <w:p w14:paraId="74DF7DD6" w14:textId="77777777" w:rsidR="008E4204" w:rsidRDefault="008E4204" w:rsidP="00190008">
      <w:pPr>
        <w:spacing w:before="120" w:after="120"/>
        <w:rPr>
          <w:szCs w:val="20"/>
        </w:rPr>
      </w:pPr>
      <w:r w:rsidRPr="00E14EFC">
        <w:rPr>
          <w:szCs w:val="20"/>
        </w:rPr>
        <w:t>LOUČNÁ</w:t>
      </w:r>
    </w:p>
    <w:p w14:paraId="3CEB801D" w14:textId="29FE2948" w:rsidR="00E14EFC" w:rsidRDefault="00E14EFC" w:rsidP="00E14EFC">
      <w:pPr>
        <w:spacing w:before="120" w:after="120"/>
        <w:rPr>
          <w:szCs w:val="20"/>
        </w:rPr>
      </w:pPr>
      <w:r>
        <w:rPr>
          <w:szCs w:val="20"/>
        </w:rPr>
        <w:t xml:space="preserve">Páteří zástavby jsou ul. Hartavská a ul. Lipová. Z urbanistického hlediska je žádoucí posilovat kompaktnost jádra sídla, bohužel současná zástavba podél této komunikace je oboustranně situována právě na půdách I. a II. třídy ochrany, podél ul. Hartavská zcela, </w:t>
      </w:r>
      <w:r w:rsidR="00206BBC">
        <w:rPr>
          <w:szCs w:val="20"/>
        </w:rPr>
        <w:t xml:space="preserve">podél </w:t>
      </w:r>
      <w:r>
        <w:rPr>
          <w:szCs w:val="20"/>
        </w:rPr>
        <w:t xml:space="preserve">ul. Lipová z velké části. Nejcennější půdy se nachází v celé severní části Loučné až k toku Lužické Nisy, která tvoří hranici sídla. Území mezi ulicemi Hartavská a ul. Lipová je významně dotčeno </w:t>
      </w:r>
      <w:r w:rsidRPr="00E14EFC">
        <w:rPr>
          <w:b/>
          <w:szCs w:val="20"/>
        </w:rPr>
        <w:t>aktivní zónou záplavového území</w:t>
      </w:r>
      <w:r>
        <w:rPr>
          <w:szCs w:val="20"/>
        </w:rPr>
        <w:t>, která znemožňuje jakoukoliv zástavbu. V ÚP je</w:t>
      </w:r>
      <w:r w:rsidR="00A444DF">
        <w:rPr>
          <w:szCs w:val="20"/>
        </w:rPr>
        <w:t xml:space="preserve"> tak</w:t>
      </w:r>
      <w:r>
        <w:rPr>
          <w:szCs w:val="20"/>
        </w:rPr>
        <w:t xml:space="preserve"> upřednostněno </w:t>
      </w:r>
      <w:r w:rsidRPr="00940813">
        <w:rPr>
          <w:b/>
          <w:szCs w:val="20"/>
        </w:rPr>
        <w:t>účelné a hospodárné využívání území a ochrana volné krajiny</w:t>
      </w:r>
      <w:r>
        <w:rPr>
          <w:szCs w:val="20"/>
        </w:rPr>
        <w:t>, vyjádřené vymezením ploch změn v prolukách. V ÚP jsou využity i další prostorové rezervy na nižších třídách ochrany.</w:t>
      </w:r>
    </w:p>
    <w:p w14:paraId="319EBEAA" w14:textId="77777777" w:rsidR="00E14EFC" w:rsidRPr="00940813" w:rsidRDefault="00E14EFC" w:rsidP="00E14EFC">
      <w:pPr>
        <w:spacing w:before="120" w:after="120"/>
        <w:rPr>
          <w:szCs w:val="20"/>
        </w:rPr>
      </w:pPr>
      <w:r>
        <w:rPr>
          <w:szCs w:val="20"/>
        </w:rPr>
        <w:t xml:space="preserve">Rozvoj v jižním směru je podobně jako v případě Donína omezen požadavky na </w:t>
      </w:r>
      <w:r w:rsidRPr="00E14EFC">
        <w:rPr>
          <w:b/>
          <w:szCs w:val="20"/>
        </w:rPr>
        <w:t>ochranu krajinného rázu a pozemky lesa</w:t>
      </w:r>
      <w:r>
        <w:rPr>
          <w:szCs w:val="20"/>
        </w:rPr>
        <w:t>. Expanze zástavby v jižním směru by navíc vedla k </w:t>
      </w:r>
      <w:r w:rsidRPr="00E14EFC">
        <w:rPr>
          <w:b/>
          <w:szCs w:val="20"/>
        </w:rPr>
        <w:t>rozvolňování a rozmělňování původní urbanistické struktury</w:t>
      </w:r>
      <w:r>
        <w:rPr>
          <w:szCs w:val="20"/>
        </w:rPr>
        <w:t>.</w:t>
      </w:r>
    </w:p>
    <w:p w14:paraId="32054957" w14:textId="77777777" w:rsidR="00E14EFC" w:rsidRDefault="00E14EFC" w:rsidP="00E14EFC">
      <w:pPr>
        <w:spacing w:before="120" w:after="120"/>
        <w:rPr>
          <w:szCs w:val="20"/>
        </w:rPr>
      </w:pPr>
      <w:r>
        <w:rPr>
          <w:szCs w:val="20"/>
        </w:rPr>
        <w:t xml:space="preserve">Na následujícím výřezu je zobrazen vztah zastavěného území sídla </w:t>
      </w:r>
      <w:r w:rsidR="00DB5AC9">
        <w:rPr>
          <w:szCs w:val="20"/>
        </w:rPr>
        <w:t>Loučná</w:t>
      </w:r>
      <w:r w:rsidR="00E57ACF">
        <w:rPr>
          <w:szCs w:val="20"/>
        </w:rPr>
        <w:t xml:space="preserve"> a půd I. a II. třídy ochrany (zeleno</w:t>
      </w:r>
      <w:r>
        <w:rPr>
          <w:szCs w:val="20"/>
        </w:rPr>
        <w:t>u šrafou)</w:t>
      </w:r>
      <w:r w:rsidR="00D56E8E" w:rsidRPr="00D56E8E">
        <w:rPr>
          <w:rStyle w:val="FootnoteReference"/>
          <w:rFonts w:ascii="Arial Narrow" w:hAnsi="Arial Narrow"/>
          <w:sz w:val="22"/>
          <w:szCs w:val="22"/>
        </w:rPr>
        <w:footnoteReference w:id="22"/>
      </w:r>
      <w:r>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940813" w14:paraId="6BA518BA" w14:textId="77777777" w:rsidTr="00E57ACF">
        <w:tc>
          <w:tcPr>
            <w:tcW w:w="9288" w:type="dxa"/>
          </w:tcPr>
          <w:p w14:paraId="0FDB5052" w14:textId="77777777" w:rsidR="00940813" w:rsidRDefault="00864C32" w:rsidP="00940813">
            <w:pPr>
              <w:rPr>
                <w:szCs w:val="20"/>
              </w:rPr>
            </w:pPr>
            <w:r>
              <w:rPr>
                <w:noProof/>
                <w:lang w:eastAsia="cs-CZ"/>
              </w:rPr>
              <w:lastRenderedPageBreak/>
              <w:drawing>
                <wp:anchor distT="0" distB="0" distL="114300" distR="114300" simplePos="0" relativeHeight="251692032" behindDoc="0" locked="0" layoutInCell="1" allowOverlap="1" wp14:anchorId="4A0E91FD" wp14:editId="2C0375B2">
                  <wp:simplePos x="897890" y="4428490"/>
                  <wp:positionH relativeFrom="margin">
                    <wp:align>left</wp:align>
                  </wp:positionH>
                  <wp:positionV relativeFrom="margin">
                    <wp:align>center</wp:align>
                  </wp:positionV>
                  <wp:extent cx="5708650" cy="4025900"/>
                  <wp:effectExtent l="0" t="0" r="635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714551" cy="4029834"/>
                          </a:xfrm>
                          <a:prstGeom prst="rect">
                            <a:avLst/>
                          </a:prstGeom>
                        </pic:spPr>
                      </pic:pic>
                    </a:graphicData>
                  </a:graphic>
                  <wp14:sizeRelH relativeFrom="margin">
                    <wp14:pctWidth>0</wp14:pctWidth>
                  </wp14:sizeRelH>
                  <wp14:sizeRelV relativeFrom="margin">
                    <wp14:pctHeight>0</wp14:pctHeight>
                  </wp14:sizeRelV>
                </wp:anchor>
              </w:drawing>
            </w:r>
          </w:p>
        </w:tc>
      </w:tr>
    </w:tbl>
    <w:p w14:paraId="37B28797" w14:textId="77777777" w:rsidR="008E4204" w:rsidRDefault="008E4204" w:rsidP="00190008">
      <w:pPr>
        <w:spacing w:before="120" w:after="120"/>
        <w:rPr>
          <w:szCs w:val="20"/>
        </w:rPr>
      </w:pPr>
      <w:r>
        <w:rPr>
          <w:szCs w:val="20"/>
        </w:rPr>
        <w:t>OLDŘICHOV NA HRANICÍCH</w:t>
      </w:r>
    </w:p>
    <w:p w14:paraId="5708749C" w14:textId="77777777" w:rsidR="009C427D" w:rsidRDefault="009C427D" w:rsidP="009C427D">
      <w:pPr>
        <w:spacing w:before="120"/>
        <w:rPr>
          <w:szCs w:val="20"/>
        </w:rPr>
      </w:pPr>
      <w:r>
        <w:rPr>
          <w:szCs w:val="20"/>
        </w:rPr>
        <w:t xml:space="preserve">Téměř celé zastavěné území leží na půdách I. a II. třídy ochrany, vymezení ploch změn mimo nejcennější půdy by v podstatě znamenalo </w:t>
      </w:r>
      <w:r w:rsidRPr="006E67C3">
        <w:rPr>
          <w:b/>
          <w:szCs w:val="20"/>
        </w:rPr>
        <w:t>zakládání nové zástavby ve volné krajině bez vazby na zastavěné území</w:t>
      </w:r>
      <w:r>
        <w:rPr>
          <w:szCs w:val="20"/>
        </w:rPr>
        <w:t xml:space="preserve"> a způsobilo by tak </w:t>
      </w:r>
      <w:r w:rsidRPr="006E67C3">
        <w:rPr>
          <w:b/>
          <w:szCs w:val="20"/>
        </w:rPr>
        <w:t>fragmentaci volné krajiny a poškození krajinného rázu</w:t>
      </w:r>
      <w:r>
        <w:rPr>
          <w:szCs w:val="20"/>
        </w:rPr>
        <w:t>. Navržený rozvoj je omezen na doplnění proluk podél páteřní komunikace (silnice III/27110) a dotvoření ulicového uspořádání zástavby. Proluky zachované jako nezastavitelné území respektují vymezený územní systém ekologické stability. Rozvoj v severním směru je navíc omezen polohou při státní hranici s Polskem</w:t>
      </w:r>
      <w:r w:rsidRPr="009C427D">
        <w:rPr>
          <w:rFonts w:cs="Arial"/>
        </w:rPr>
        <w:t>.</w:t>
      </w:r>
    </w:p>
    <w:p w14:paraId="7A6E6CD2" w14:textId="77777777" w:rsidR="009C427D" w:rsidRDefault="009C427D" w:rsidP="009C427D">
      <w:pPr>
        <w:spacing w:before="120" w:after="120"/>
        <w:rPr>
          <w:szCs w:val="20"/>
        </w:rPr>
      </w:pPr>
      <w:r>
        <w:rPr>
          <w:szCs w:val="20"/>
        </w:rPr>
        <w:t>Na následujícím výřezu je zobrazen vztah zastavěného území sídla Oldřichov na Hranicích a půd I. a II. třídy ochrany (</w:t>
      </w:r>
      <w:r w:rsidR="00E57ACF">
        <w:rPr>
          <w:szCs w:val="20"/>
        </w:rPr>
        <w:t>zelen</w:t>
      </w:r>
      <w:r w:rsidR="00407B64">
        <w:rPr>
          <w:szCs w:val="20"/>
        </w:rPr>
        <w:t xml:space="preserve">ou </w:t>
      </w:r>
      <w:r>
        <w:rPr>
          <w:szCs w:val="20"/>
        </w:rPr>
        <w:t>šrafou)</w:t>
      </w:r>
      <w:r w:rsidR="00D56E8E" w:rsidRPr="00D56E8E">
        <w:rPr>
          <w:rStyle w:val="FootnoteReference"/>
          <w:rFonts w:ascii="Arial Narrow" w:hAnsi="Arial Narrow"/>
          <w:sz w:val="22"/>
          <w:szCs w:val="22"/>
        </w:rPr>
        <w:footnoteReference w:id="23"/>
      </w:r>
      <w:r>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6"/>
      </w:tblGrid>
      <w:tr w:rsidR="00407B64" w14:paraId="4B8979EC" w14:textId="77777777" w:rsidTr="00E57ACF">
        <w:tc>
          <w:tcPr>
            <w:tcW w:w="9212" w:type="dxa"/>
          </w:tcPr>
          <w:p w14:paraId="7951A08F" w14:textId="77777777" w:rsidR="00407B64" w:rsidRDefault="00864C32" w:rsidP="00407B64">
            <w:pPr>
              <w:rPr>
                <w:szCs w:val="20"/>
              </w:rPr>
            </w:pPr>
            <w:r>
              <w:rPr>
                <w:noProof/>
                <w:lang w:eastAsia="cs-CZ"/>
              </w:rPr>
              <w:lastRenderedPageBreak/>
              <w:drawing>
                <wp:anchor distT="0" distB="0" distL="114300" distR="114300" simplePos="0" relativeHeight="251693056" behindDoc="0" locked="0" layoutInCell="1" allowOverlap="1" wp14:anchorId="1BC6FEE4" wp14:editId="3C2D2068">
                  <wp:simplePos x="897890" y="2631440"/>
                  <wp:positionH relativeFrom="margin">
                    <wp:align>left</wp:align>
                  </wp:positionH>
                  <wp:positionV relativeFrom="margin">
                    <wp:align>center</wp:align>
                  </wp:positionV>
                  <wp:extent cx="5709920" cy="4476115"/>
                  <wp:effectExtent l="0" t="0" r="5080" b="63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711485" cy="4477620"/>
                          </a:xfrm>
                          <a:prstGeom prst="rect">
                            <a:avLst/>
                          </a:prstGeom>
                        </pic:spPr>
                      </pic:pic>
                    </a:graphicData>
                  </a:graphic>
                  <wp14:sizeRelH relativeFrom="margin">
                    <wp14:pctWidth>0</wp14:pctWidth>
                  </wp14:sizeRelH>
                  <wp14:sizeRelV relativeFrom="margin">
                    <wp14:pctHeight>0</wp14:pctHeight>
                  </wp14:sizeRelV>
                </wp:anchor>
              </w:drawing>
            </w:r>
          </w:p>
        </w:tc>
      </w:tr>
    </w:tbl>
    <w:p w14:paraId="741722D4" w14:textId="77777777" w:rsidR="00D64D76" w:rsidRDefault="008E4204" w:rsidP="00190008">
      <w:pPr>
        <w:spacing w:before="120" w:after="120"/>
        <w:rPr>
          <w:szCs w:val="20"/>
        </w:rPr>
      </w:pPr>
      <w:r>
        <w:rPr>
          <w:szCs w:val="20"/>
        </w:rPr>
        <w:t>VÁCLAVICE</w:t>
      </w:r>
      <w:r w:rsidR="000A74FE">
        <w:rPr>
          <w:szCs w:val="20"/>
        </w:rPr>
        <w:t xml:space="preserve"> </w:t>
      </w:r>
    </w:p>
    <w:p w14:paraId="36A025E3" w14:textId="77777777" w:rsidR="008E4204" w:rsidRDefault="00D64D76" w:rsidP="00190008">
      <w:pPr>
        <w:spacing w:before="120" w:after="120"/>
        <w:rPr>
          <w:szCs w:val="20"/>
        </w:rPr>
      </w:pPr>
      <w:r>
        <w:rPr>
          <w:szCs w:val="20"/>
        </w:rPr>
        <w:t>R</w:t>
      </w:r>
      <w:r w:rsidR="000A74FE">
        <w:rPr>
          <w:szCs w:val="20"/>
        </w:rPr>
        <w:t xml:space="preserve">ozvoj je omezen </w:t>
      </w:r>
      <w:r w:rsidR="00DF046B">
        <w:rPr>
          <w:szCs w:val="20"/>
        </w:rPr>
        <w:t>přednostně</w:t>
      </w:r>
      <w:r w:rsidR="000A74FE">
        <w:rPr>
          <w:szCs w:val="20"/>
        </w:rPr>
        <w:t xml:space="preserve"> na doplnění proluk a dotvoření ulicového uspořádání zástavby podél silnic III/2713, III/2712 a III/27521. Plochy na I. a II. třídy ochrany </w:t>
      </w:r>
      <w:r w:rsidR="00190008">
        <w:rPr>
          <w:szCs w:val="20"/>
        </w:rPr>
        <w:t xml:space="preserve">jsou z velké části převzaty z platného ÚPSÚ, kde jsou vymezeny jako </w:t>
      </w:r>
      <w:r w:rsidR="00190008" w:rsidRPr="00190008">
        <w:rPr>
          <w:b/>
          <w:szCs w:val="20"/>
        </w:rPr>
        <w:t>stabilizované území, s ohledem na požadavky §58 stavebního zákona však tyto plochy v novém ÚP nelze zahrnout do zastavěného území</w:t>
      </w:r>
      <w:r w:rsidR="00190008">
        <w:rPr>
          <w:szCs w:val="20"/>
        </w:rPr>
        <w:t xml:space="preserve">. Proluky, které jsou v ÚP ponechány bez zastavění, respektují </w:t>
      </w:r>
      <w:r w:rsidR="00190008" w:rsidRPr="00190008">
        <w:rPr>
          <w:b/>
          <w:szCs w:val="20"/>
        </w:rPr>
        <w:t>limity využití území, zejména vymezený územní systém ekologické stability a pozemky lesa</w:t>
      </w:r>
      <w:r w:rsidR="00190008">
        <w:rPr>
          <w:szCs w:val="20"/>
        </w:rPr>
        <w:t xml:space="preserve">. </w:t>
      </w:r>
      <w:r w:rsidR="000A74FE">
        <w:rPr>
          <w:szCs w:val="20"/>
        </w:rPr>
        <w:t xml:space="preserve">Rozvoj </w:t>
      </w:r>
      <w:r w:rsidR="00190008">
        <w:rPr>
          <w:szCs w:val="20"/>
        </w:rPr>
        <w:t xml:space="preserve">na půdách nižší třídy ochrany </w:t>
      </w:r>
      <w:r w:rsidR="000A74FE">
        <w:rPr>
          <w:szCs w:val="20"/>
        </w:rPr>
        <w:t xml:space="preserve">v území navazujících na zástavbu podél páteřní komunikace by vedl k zakládání druhé řady zástavby, která by </w:t>
      </w:r>
      <w:r w:rsidR="000A74FE" w:rsidRPr="000A74FE">
        <w:rPr>
          <w:b/>
          <w:szCs w:val="20"/>
        </w:rPr>
        <w:t>narušila původní urbanistickou strukturu sídla</w:t>
      </w:r>
      <w:r w:rsidR="000A74FE">
        <w:rPr>
          <w:szCs w:val="20"/>
        </w:rPr>
        <w:t xml:space="preserve"> a vzhledem k výrazné morfologii by </w:t>
      </w:r>
      <w:r w:rsidR="000A74FE" w:rsidRPr="000A74FE">
        <w:rPr>
          <w:b/>
          <w:szCs w:val="20"/>
        </w:rPr>
        <w:t>negativně ovlivnila krajinný ráz</w:t>
      </w:r>
      <w:r w:rsidR="000A74FE">
        <w:rPr>
          <w:szCs w:val="20"/>
        </w:rPr>
        <w:t>.</w:t>
      </w:r>
      <w:r w:rsidR="00DF046B">
        <w:rPr>
          <w:szCs w:val="20"/>
        </w:rPr>
        <w:t xml:space="preserve"> </w:t>
      </w:r>
    </w:p>
    <w:p w14:paraId="38DA4D82" w14:textId="77777777" w:rsidR="00190008" w:rsidRDefault="00190008" w:rsidP="00190008">
      <w:pPr>
        <w:spacing w:before="120" w:after="120"/>
        <w:rPr>
          <w:szCs w:val="20"/>
        </w:rPr>
      </w:pPr>
      <w:r>
        <w:rPr>
          <w:szCs w:val="20"/>
        </w:rPr>
        <w:t>Na následujícím výřezu je zobrazen vztah zastavěného území sídla Václavice a půd I. a II. třídy ochrany (</w:t>
      </w:r>
      <w:r w:rsidR="00E57ACF">
        <w:rPr>
          <w:szCs w:val="20"/>
        </w:rPr>
        <w:t>zelen</w:t>
      </w:r>
      <w:r w:rsidR="00407B64">
        <w:rPr>
          <w:szCs w:val="20"/>
        </w:rPr>
        <w:t xml:space="preserve">ou </w:t>
      </w:r>
      <w:r>
        <w:rPr>
          <w:szCs w:val="20"/>
        </w:rPr>
        <w:t>šrafou)</w:t>
      </w:r>
      <w:r w:rsidR="00D56E8E" w:rsidRPr="00D56E8E">
        <w:rPr>
          <w:rStyle w:val="FootnoteReference"/>
          <w:rFonts w:ascii="Arial Narrow" w:hAnsi="Arial Narrow"/>
          <w:sz w:val="22"/>
          <w:szCs w:val="22"/>
        </w:rPr>
        <w:footnoteReference w:id="24"/>
      </w:r>
      <w:r>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94"/>
      </w:tblGrid>
      <w:tr w:rsidR="00190008" w14:paraId="006179BF" w14:textId="77777777" w:rsidTr="00E57ACF">
        <w:trPr>
          <w:trHeight w:val="562"/>
        </w:trPr>
        <w:tc>
          <w:tcPr>
            <w:tcW w:w="8977" w:type="dxa"/>
          </w:tcPr>
          <w:p w14:paraId="29DC381D" w14:textId="77777777" w:rsidR="00190008" w:rsidRDefault="00864C32" w:rsidP="00D64D76">
            <w:pPr>
              <w:rPr>
                <w:szCs w:val="20"/>
              </w:rPr>
            </w:pPr>
            <w:r>
              <w:rPr>
                <w:noProof/>
                <w:lang w:eastAsia="cs-CZ"/>
              </w:rPr>
              <w:lastRenderedPageBreak/>
              <w:drawing>
                <wp:anchor distT="0" distB="0" distL="114300" distR="114300" simplePos="0" relativeHeight="251694080" behindDoc="0" locked="0" layoutInCell="1" allowOverlap="1" wp14:anchorId="2A411CBC" wp14:editId="1EF821CE">
                  <wp:simplePos x="897890" y="3983355"/>
                  <wp:positionH relativeFrom="margin">
                    <wp:align>left</wp:align>
                  </wp:positionH>
                  <wp:positionV relativeFrom="margin">
                    <wp:align>center</wp:align>
                  </wp:positionV>
                  <wp:extent cx="5701030" cy="37719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03110" cy="3773777"/>
                          </a:xfrm>
                          <a:prstGeom prst="rect">
                            <a:avLst/>
                          </a:prstGeom>
                        </pic:spPr>
                      </pic:pic>
                    </a:graphicData>
                  </a:graphic>
                  <wp14:sizeRelH relativeFrom="margin">
                    <wp14:pctWidth>0</wp14:pctWidth>
                  </wp14:sizeRelH>
                  <wp14:sizeRelV relativeFrom="margin">
                    <wp14:pctHeight>0</wp14:pctHeight>
                  </wp14:sizeRelV>
                </wp:anchor>
              </w:drawing>
            </w:r>
          </w:p>
        </w:tc>
      </w:tr>
    </w:tbl>
    <w:p w14:paraId="36883342" w14:textId="77777777" w:rsidR="00D64D76" w:rsidRDefault="006E67C3" w:rsidP="00D64D76">
      <w:pPr>
        <w:rPr>
          <w:szCs w:val="20"/>
        </w:rPr>
      </w:pPr>
      <w:r w:rsidRPr="006E67C3">
        <w:rPr>
          <w:szCs w:val="20"/>
        </w:rPr>
        <w:t>UHELNÁ</w:t>
      </w:r>
      <w:r w:rsidR="0074574A">
        <w:rPr>
          <w:szCs w:val="20"/>
        </w:rPr>
        <w:t xml:space="preserve"> </w:t>
      </w:r>
    </w:p>
    <w:p w14:paraId="22233E86" w14:textId="77777777" w:rsidR="0074574A" w:rsidRDefault="00D64D76" w:rsidP="00D64D76">
      <w:pPr>
        <w:spacing w:before="120"/>
        <w:rPr>
          <w:szCs w:val="20"/>
        </w:rPr>
      </w:pPr>
      <w:r>
        <w:rPr>
          <w:szCs w:val="20"/>
        </w:rPr>
        <w:t>T</w:t>
      </w:r>
      <w:r w:rsidR="0074574A">
        <w:rPr>
          <w:szCs w:val="20"/>
        </w:rPr>
        <w:t>éměř celé zastavěné území leží na půdách I. a II. třídy ochrany, vymezení ploch změn mimo nejcennější půdy by</w:t>
      </w:r>
      <w:r w:rsidR="006E67C3">
        <w:rPr>
          <w:szCs w:val="20"/>
        </w:rPr>
        <w:t xml:space="preserve"> znamenalo </w:t>
      </w:r>
      <w:r w:rsidR="006E67C3" w:rsidRPr="006E67C3">
        <w:rPr>
          <w:b/>
          <w:szCs w:val="20"/>
        </w:rPr>
        <w:t>zakládání nové zástavby ve volné krajině bez vazby na zastavěné území</w:t>
      </w:r>
      <w:r w:rsidR="006E67C3">
        <w:rPr>
          <w:szCs w:val="20"/>
        </w:rPr>
        <w:t xml:space="preserve"> a způsobilo by tak </w:t>
      </w:r>
      <w:r w:rsidR="006E67C3" w:rsidRPr="006E67C3">
        <w:rPr>
          <w:b/>
          <w:szCs w:val="20"/>
        </w:rPr>
        <w:t>fragmentaci volné krajiny a poškození krajinného rázu</w:t>
      </w:r>
      <w:r w:rsidR="006E67C3">
        <w:rPr>
          <w:szCs w:val="20"/>
        </w:rPr>
        <w:t xml:space="preserve">. Rozvoj v jižním směru je navíc omezen stanoveným </w:t>
      </w:r>
      <w:r w:rsidR="006E67C3" w:rsidRPr="006E67C3">
        <w:rPr>
          <w:b/>
          <w:szCs w:val="20"/>
        </w:rPr>
        <w:t>chráněným ložiskovým územím</w:t>
      </w:r>
      <w:r w:rsidR="006E67C3">
        <w:rPr>
          <w:szCs w:val="20"/>
        </w:rPr>
        <w:t xml:space="preserve">, které rovněž zasahuje do stabilizované zástavby. Rozvoj v severním směru by vedl k zakládání druhé řady zástavby, která by </w:t>
      </w:r>
      <w:r w:rsidR="006E67C3" w:rsidRPr="006E67C3">
        <w:rPr>
          <w:b/>
          <w:szCs w:val="20"/>
        </w:rPr>
        <w:t>narušila původní návesní uspořádání zástavby</w:t>
      </w:r>
      <w:r w:rsidR="006E67C3">
        <w:rPr>
          <w:szCs w:val="20"/>
        </w:rPr>
        <w:t>, představující urbanisticky hodnotné území.</w:t>
      </w:r>
    </w:p>
    <w:p w14:paraId="3D2270D9" w14:textId="77777777" w:rsidR="0069467F" w:rsidRDefault="0069467F" w:rsidP="00D64D76">
      <w:pPr>
        <w:spacing w:before="120" w:after="120"/>
        <w:rPr>
          <w:szCs w:val="20"/>
        </w:rPr>
      </w:pPr>
      <w:r>
        <w:rPr>
          <w:szCs w:val="20"/>
        </w:rPr>
        <w:t>Na následujícím výřezu je zobrazen vztah zastavěného území sídla Uhelná a půd I. a II. třídy ochrany (</w:t>
      </w:r>
      <w:r w:rsidR="00E57ACF">
        <w:rPr>
          <w:szCs w:val="20"/>
        </w:rPr>
        <w:t>zelen</w:t>
      </w:r>
      <w:r w:rsidR="00407B64">
        <w:rPr>
          <w:szCs w:val="20"/>
        </w:rPr>
        <w:t xml:space="preserve">ou </w:t>
      </w:r>
      <w:r>
        <w:rPr>
          <w:szCs w:val="20"/>
        </w:rPr>
        <w:t>šrafou)</w:t>
      </w:r>
      <w:r w:rsidR="00D56E8E" w:rsidRPr="00D56E8E">
        <w:rPr>
          <w:rStyle w:val="FootnoteReference"/>
          <w:rFonts w:ascii="Arial Narrow" w:hAnsi="Arial Narrow"/>
          <w:sz w:val="22"/>
          <w:szCs w:val="22"/>
        </w:rPr>
        <w:footnoteReference w:id="25"/>
      </w:r>
      <w:r>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69467F" w14:paraId="32A8F5A9" w14:textId="77777777" w:rsidTr="00E57ACF">
        <w:trPr>
          <w:trHeight w:val="911"/>
        </w:trPr>
        <w:tc>
          <w:tcPr>
            <w:tcW w:w="8815" w:type="dxa"/>
          </w:tcPr>
          <w:p w14:paraId="6D500A53" w14:textId="77777777" w:rsidR="0069467F" w:rsidRDefault="00864C32" w:rsidP="00D64D76">
            <w:pPr>
              <w:rPr>
                <w:szCs w:val="20"/>
              </w:rPr>
            </w:pPr>
            <w:r>
              <w:rPr>
                <w:noProof/>
                <w:lang w:eastAsia="cs-CZ"/>
              </w:rPr>
              <w:lastRenderedPageBreak/>
              <w:drawing>
                <wp:anchor distT="0" distB="0" distL="114300" distR="114300" simplePos="0" relativeHeight="251695104" behindDoc="0" locked="0" layoutInCell="1" allowOverlap="1" wp14:anchorId="30359695" wp14:editId="12DE9531">
                  <wp:simplePos x="897890" y="2520315"/>
                  <wp:positionH relativeFrom="margin">
                    <wp:align>left</wp:align>
                  </wp:positionH>
                  <wp:positionV relativeFrom="margin">
                    <wp:align>center</wp:align>
                  </wp:positionV>
                  <wp:extent cx="5748655" cy="4137025"/>
                  <wp:effectExtent l="0" t="0" r="444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758718" cy="4144246"/>
                          </a:xfrm>
                          <a:prstGeom prst="rect">
                            <a:avLst/>
                          </a:prstGeom>
                        </pic:spPr>
                      </pic:pic>
                    </a:graphicData>
                  </a:graphic>
                  <wp14:sizeRelH relativeFrom="margin">
                    <wp14:pctWidth>0</wp14:pctWidth>
                  </wp14:sizeRelH>
                  <wp14:sizeRelV relativeFrom="margin">
                    <wp14:pctHeight>0</wp14:pctHeight>
                  </wp14:sizeRelV>
                </wp:anchor>
              </w:drawing>
            </w:r>
          </w:p>
        </w:tc>
      </w:tr>
    </w:tbl>
    <w:p w14:paraId="16E51044" w14:textId="77777777" w:rsidR="00DB5AC9" w:rsidRDefault="00DB5AC9" w:rsidP="008E0712">
      <w:pPr>
        <w:spacing w:before="240" w:after="120"/>
        <w:rPr>
          <w:u w:val="single"/>
        </w:rPr>
      </w:pPr>
      <w:r w:rsidRPr="00DB5AC9">
        <w:rPr>
          <w:u w:val="single"/>
        </w:rPr>
        <w:t>Bilance záborů ZPF</w:t>
      </w:r>
      <w:r w:rsidR="00896F6E">
        <w:rPr>
          <w:u w:val="single"/>
        </w:rPr>
        <w:t xml:space="preserve"> v ÚPSÚ Hrádek nad Nisou</w:t>
      </w:r>
    </w:p>
    <w:p w14:paraId="6CADB932" w14:textId="77777777" w:rsidR="00896F6E" w:rsidRDefault="00896F6E" w:rsidP="008E0712">
      <w:pPr>
        <w:spacing w:before="120" w:after="120"/>
      </w:pPr>
      <w:r>
        <w:t xml:space="preserve">V následující tabulce jsou uvedeny </w:t>
      </w:r>
      <w:r w:rsidR="00172D35">
        <w:t xml:space="preserve">jednotlivé </w:t>
      </w:r>
      <w:r>
        <w:t>plochy se záborem ZPF, projednané a schválené v rámci ÚPSÚ Hrádek nad Nisou, s informací, jakým způsobem byly tyto plochy vymezeny v ÚP Hrádek nad Nisou</w:t>
      </w:r>
      <w:r w:rsidR="00CB42B3">
        <w:t>:</w:t>
      </w:r>
      <w:r w:rsidR="00F1414D">
        <w:t xml:space="preserve"> </w:t>
      </w:r>
      <w:r w:rsidR="00CB42B3">
        <w:t xml:space="preserve"> </w:t>
      </w:r>
    </w:p>
    <w:tbl>
      <w:tblPr>
        <w:tblStyle w:val="TableGrid"/>
        <w:tblW w:w="0" w:type="auto"/>
        <w:tblLook w:val="04A0" w:firstRow="1" w:lastRow="0" w:firstColumn="1" w:lastColumn="0" w:noHBand="0" w:noVBand="1"/>
      </w:tblPr>
      <w:tblGrid>
        <w:gridCol w:w="1952"/>
        <w:gridCol w:w="1133"/>
        <w:gridCol w:w="2978"/>
        <w:gridCol w:w="3118"/>
      </w:tblGrid>
      <w:tr w:rsidR="00CB42B3" w:rsidRPr="00A566E0" w14:paraId="25D15E87" w14:textId="77777777" w:rsidTr="00A566E0">
        <w:trPr>
          <w:tblHeader/>
        </w:trPr>
        <w:tc>
          <w:tcPr>
            <w:tcW w:w="1952" w:type="dxa"/>
            <w:shd w:val="clear" w:color="auto" w:fill="C2D69B" w:themeFill="accent3" w:themeFillTint="99"/>
          </w:tcPr>
          <w:p w14:paraId="5FA6B1B7" w14:textId="77777777" w:rsidR="00CB42B3" w:rsidRPr="00A566E0" w:rsidRDefault="00CB42B3" w:rsidP="00A566E0">
            <w:pPr>
              <w:pStyle w:val="1text"/>
              <w:spacing w:before="40" w:after="40"/>
              <w:jc w:val="left"/>
              <w:rPr>
                <w:b/>
                <w:sz w:val="20"/>
                <w:szCs w:val="20"/>
              </w:rPr>
            </w:pPr>
            <w:r w:rsidRPr="00A566E0">
              <w:rPr>
                <w:b/>
                <w:sz w:val="20"/>
                <w:szCs w:val="20"/>
              </w:rPr>
              <w:t>číslo plochy z ÚPSÚ Hrádek nad Nisou</w:t>
            </w:r>
          </w:p>
        </w:tc>
        <w:tc>
          <w:tcPr>
            <w:tcW w:w="1133" w:type="dxa"/>
            <w:shd w:val="clear" w:color="auto" w:fill="C2D69B" w:themeFill="accent3" w:themeFillTint="99"/>
          </w:tcPr>
          <w:p w14:paraId="18FCB1BE" w14:textId="77777777" w:rsidR="00CB42B3" w:rsidRPr="00A566E0" w:rsidRDefault="00CB42B3" w:rsidP="00A566E0">
            <w:pPr>
              <w:pStyle w:val="1text"/>
              <w:spacing w:before="40" w:after="40"/>
              <w:jc w:val="left"/>
              <w:rPr>
                <w:b/>
                <w:sz w:val="20"/>
                <w:szCs w:val="20"/>
              </w:rPr>
            </w:pPr>
            <w:r w:rsidRPr="00A566E0">
              <w:rPr>
                <w:b/>
                <w:sz w:val="20"/>
                <w:szCs w:val="20"/>
              </w:rPr>
              <w:t>zábor ZPF (ha)</w:t>
            </w:r>
          </w:p>
        </w:tc>
        <w:tc>
          <w:tcPr>
            <w:tcW w:w="2978" w:type="dxa"/>
            <w:shd w:val="clear" w:color="auto" w:fill="C2D69B" w:themeFill="accent3" w:themeFillTint="99"/>
          </w:tcPr>
          <w:p w14:paraId="313B8DF5" w14:textId="77777777" w:rsidR="00CB42B3" w:rsidRPr="00A566E0" w:rsidRDefault="00CB42B3" w:rsidP="00A566E0">
            <w:pPr>
              <w:pStyle w:val="1text"/>
              <w:spacing w:before="40" w:after="40"/>
              <w:jc w:val="left"/>
              <w:rPr>
                <w:b/>
                <w:sz w:val="20"/>
                <w:szCs w:val="20"/>
              </w:rPr>
            </w:pPr>
            <w:r w:rsidRPr="00A566E0">
              <w:rPr>
                <w:b/>
                <w:sz w:val="20"/>
                <w:szCs w:val="20"/>
              </w:rPr>
              <w:t>způsob vymezení plochy v ÚP Hrádek nad Nisou</w:t>
            </w:r>
          </w:p>
        </w:tc>
        <w:tc>
          <w:tcPr>
            <w:tcW w:w="3118" w:type="dxa"/>
            <w:shd w:val="clear" w:color="auto" w:fill="C2D69B" w:themeFill="accent3" w:themeFillTint="99"/>
          </w:tcPr>
          <w:p w14:paraId="54C1B1DD" w14:textId="77777777" w:rsidR="00CB42B3" w:rsidRPr="00A566E0" w:rsidRDefault="00CB42B3" w:rsidP="00A566E0">
            <w:pPr>
              <w:pStyle w:val="1text"/>
              <w:spacing w:before="40" w:after="40"/>
              <w:jc w:val="left"/>
              <w:rPr>
                <w:b/>
                <w:sz w:val="20"/>
                <w:szCs w:val="20"/>
              </w:rPr>
            </w:pPr>
            <w:r w:rsidRPr="00A566E0">
              <w:rPr>
                <w:b/>
                <w:sz w:val="20"/>
                <w:szCs w:val="20"/>
              </w:rPr>
              <w:t xml:space="preserve">poznámka  </w:t>
            </w:r>
          </w:p>
        </w:tc>
      </w:tr>
      <w:tr w:rsidR="00CB42B3" w:rsidRPr="00A566E0" w14:paraId="414AABEF" w14:textId="77777777" w:rsidTr="00A566E0">
        <w:tc>
          <w:tcPr>
            <w:tcW w:w="9181" w:type="dxa"/>
            <w:gridSpan w:val="4"/>
            <w:shd w:val="clear" w:color="auto" w:fill="D9D9D9" w:themeFill="background1" w:themeFillShade="D9"/>
          </w:tcPr>
          <w:p w14:paraId="6C242274" w14:textId="77777777" w:rsidR="00CB42B3" w:rsidRPr="00A566E0" w:rsidRDefault="00CB42B3" w:rsidP="00A566E0">
            <w:pPr>
              <w:pStyle w:val="1text"/>
              <w:spacing w:before="40" w:after="40"/>
              <w:jc w:val="left"/>
              <w:rPr>
                <w:b/>
                <w:sz w:val="20"/>
                <w:szCs w:val="20"/>
              </w:rPr>
            </w:pPr>
            <w:r w:rsidRPr="00A566E0">
              <w:rPr>
                <w:b/>
                <w:sz w:val="20"/>
                <w:szCs w:val="20"/>
              </w:rPr>
              <w:t>K.Ú. DOLNÍ SEDLO</w:t>
            </w:r>
          </w:p>
        </w:tc>
      </w:tr>
      <w:tr w:rsidR="00CB42B3" w:rsidRPr="00A566E0" w14:paraId="2DFACFEA" w14:textId="77777777" w:rsidTr="00A566E0">
        <w:tc>
          <w:tcPr>
            <w:tcW w:w="9181" w:type="dxa"/>
            <w:gridSpan w:val="4"/>
          </w:tcPr>
          <w:p w14:paraId="68B2C9F6" w14:textId="77777777" w:rsidR="00CB42B3" w:rsidRPr="00A566E0" w:rsidRDefault="00CB42B3" w:rsidP="00A566E0">
            <w:pPr>
              <w:pStyle w:val="1text"/>
              <w:spacing w:before="40" w:after="40"/>
              <w:jc w:val="left"/>
              <w:rPr>
                <w:sz w:val="20"/>
                <w:szCs w:val="20"/>
              </w:rPr>
            </w:pPr>
            <w:r w:rsidRPr="00A566E0">
              <w:rPr>
                <w:sz w:val="20"/>
                <w:szCs w:val="20"/>
              </w:rPr>
              <w:t>Plochy smíšené obytné</w:t>
            </w:r>
          </w:p>
        </w:tc>
      </w:tr>
      <w:tr w:rsidR="00CB42B3" w:rsidRPr="00A566E0" w14:paraId="52C7DA77" w14:textId="77777777" w:rsidTr="00A566E0">
        <w:tc>
          <w:tcPr>
            <w:tcW w:w="1952" w:type="dxa"/>
          </w:tcPr>
          <w:p w14:paraId="0A070CEB"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153</w:t>
            </w:r>
          </w:p>
        </w:tc>
        <w:tc>
          <w:tcPr>
            <w:tcW w:w="1133" w:type="dxa"/>
          </w:tcPr>
          <w:p w14:paraId="4B873CBB"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1,406</w:t>
            </w:r>
          </w:p>
        </w:tc>
        <w:tc>
          <w:tcPr>
            <w:tcW w:w="2978" w:type="dxa"/>
          </w:tcPr>
          <w:p w14:paraId="1E31B5F7" w14:textId="77777777" w:rsidR="00CB42B3" w:rsidRPr="00A566E0" w:rsidRDefault="00CB42B3" w:rsidP="00A566E0">
            <w:pPr>
              <w:spacing w:before="40" w:after="40" w:line="240" w:lineRule="auto"/>
              <w:jc w:val="left"/>
              <w:rPr>
                <w:rFonts w:eastAsia="Times New Roman"/>
                <w:b/>
                <w:sz w:val="20"/>
                <w:szCs w:val="20"/>
                <w:lang w:eastAsia="cs-CZ"/>
              </w:rPr>
            </w:pPr>
            <w:r w:rsidRPr="00A566E0">
              <w:rPr>
                <w:rFonts w:eastAsia="Times New Roman"/>
                <w:b/>
                <w:sz w:val="20"/>
                <w:szCs w:val="20"/>
                <w:lang w:eastAsia="cs-CZ"/>
              </w:rPr>
              <w:t>převzato do ÚP</w:t>
            </w:r>
          </w:p>
        </w:tc>
        <w:tc>
          <w:tcPr>
            <w:tcW w:w="3118" w:type="dxa"/>
          </w:tcPr>
          <w:p w14:paraId="741E8B03" w14:textId="77777777" w:rsidR="00CB42B3" w:rsidRPr="00A566E0" w:rsidRDefault="00CB42B3" w:rsidP="00A566E0">
            <w:pPr>
              <w:pStyle w:val="1text"/>
              <w:spacing w:before="40" w:after="40"/>
              <w:jc w:val="left"/>
              <w:rPr>
                <w:b/>
                <w:sz w:val="20"/>
                <w:szCs w:val="20"/>
              </w:rPr>
            </w:pPr>
            <w:r w:rsidRPr="00A566E0">
              <w:rPr>
                <w:b/>
                <w:sz w:val="20"/>
                <w:szCs w:val="20"/>
              </w:rPr>
              <w:t xml:space="preserve">plocha Z76 </w:t>
            </w:r>
          </w:p>
        </w:tc>
      </w:tr>
      <w:tr w:rsidR="00CB42B3" w:rsidRPr="00A566E0" w14:paraId="27FA1390" w14:textId="77777777" w:rsidTr="00A566E0">
        <w:tc>
          <w:tcPr>
            <w:tcW w:w="1952" w:type="dxa"/>
          </w:tcPr>
          <w:p w14:paraId="5814E21E"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154</w:t>
            </w:r>
          </w:p>
        </w:tc>
        <w:tc>
          <w:tcPr>
            <w:tcW w:w="1133" w:type="dxa"/>
          </w:tcPr>
          <w:p w14:paraId="34337F67"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0,434</w:t>
            </w:r>
          </w:p>
        </w:tc>
        <w:tc>
          <w:tcPr>
            <w:tcW w:w="2978" w:type="dxa"/>
            <w:shd w:val="clear" w:color="auto" w:fill="auto"/>
          </w:tcPr>
          <w:p w14:paraId="36AB587A" w14:textId="77777777" w:rsidR="00CB42B3" w:rsidRPr="00A566E0" w:rsidRDefault="00CB42B3" w:rsidP="00A566E0">
            <w:pPr>
              <w:spacing w:before="40" w:after="40" w:line="240" w:lineRule="auto"/>
              <w:jc w:val="left"/>
              <w:rPr>
                <w:b/>
                <w:sz w:val="20"/>
                <w:szCs w:val="20"/>
              </w:rPr>
            </w:pPr>
            <w:r w:rsidRPr="00A566E0">
              <w:rPr>
                <w:b/>
                <w:sz w:val="20"/>
                <w:szCs w:val="20"/>
              </w:rPr>
              <w:t xml:space="preserve">v rozsahu </w:t>
            </w:r>
            <w:r w:rsidRPr="00A566E0">
              <w:rPr>
                <w:b/>
                <w:bCs/>
                <w:sz w:val="20"/>
                <w:szCs w:val="20"/>
              </w:rPr>
              <w:t>0,107 ha</w:t>
            </w:r>
            <w:r w:rsidRPr="00A566E0">
              <w:rPr>
                <w:b/>
                <w:sz w:val="20"/>
                <w:szCs w:val="20"/>
              </w:rPr>
              <w:t xml:space="preserve"> převzato do ÚP</w:t>
            </w:r>
            <w:r w:rsidRPr="00A566E0">
              <w:rPr>
                <w:sz w:val="20"/>
                <w:szCs w:val="20"/>
              </w:rPr>
              <w:t>, zbývající část vypuštěna</w:t>
            </w:r>
          </w:p>
        </w:tc>
        <w:tc>
          <w:tcPr>
            <w:tcW w:w="3118" w:type="dxa"/>
          </w:tcPr>
          <w:p w14:paraId="666E13CA" w14:textId="77777777" w:rsidR="00CB42B3" w:rsidRPr="00A566E0" w:rsidRDefault="00CB42B3" w:rsidP="00A566E0">
            <w:pPr>
              <w:pStyle w:val="1text"/>
              <w:spacing w:before="40" w:after="40"/>
              <w:jc w:val="left"/>
              <w:rPr>
                <w:b/>
                <w:sz w:val="20"/>
                <w:szCs w:val="20"/>
              </w:rPr>
            </w:pPr>
            <w:r w:rsidRPr="00A566E0">
              <w:rPr>
                <w:b/>
                <w:sz w:val="20"/>
                <w:szCs w:val="20"/>
              </w:rPr>
              <w:t>plocha Z106</w:t>
            </w:r>
          </w:p>
        </w:tc>
      </w:tr>
      <w:tr w:rsidR="00CB42B3" w:rsidRPr="00A566E0" w14:paraId="073E1920" w14:textId="77777777" w:rsidTr="00A566E0">
        <w:tc>
          <w:tcPr>
            <w:tcW w:w="1952" w:type="dxa"/>
          </w:tcPr>
          <w:p w14:paraId="3FCD335C"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155</w:t>
            </w:r>
          </w:p>
        </w:tc>
        <w:tc>
          <w:tcPr>
            <w:tcW w:w="1133" w:type="dxa"/>
          </w:tcPr>
          <w:p w14:paraId="3E38252B"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1,513</w:t>
            </w:r>
          </w:p>
        </w:tc>
        <w:tc>
          <w:tcPr>
            <w:tcW w:w="2978" w:type="dxa"/>
            <w:shd w:val="clear" w:color="auto" w:fill="auto"/>
          </w:tcPr>
          <w:p w14:paraId="0AF6A6CF" w14:textId="77777777" w:rsidR="00CB42B3" w:rsidRPr="00A566E0" w:rsidRDefault="00CB42B3" w:rsidP="00A566E0">
            <w:pPr>
              <w:spacing w:before="40" w:after="40" w:line="240" w:lineRule="auto"/>
              <w:jc w:val="left"/>
              <w:rPr>
                <w:b/>
                <w:sz w:val="20"/>
                <w:szCs w:val="20"/>
                <w:highlight w:val="green"/>
              </w:rPr>
            </w:pPr>
            <w:r w:rsidRPr="00A566E0">
              <w:rPr>
                <w:b/>
                <w:sz w:val="20"/>
                <w:szCs w:val="20"/>
              </w:rPr>
              <w:t xml:space="preserve">v rozsahu </w:t>
            </w:r>
            <w:r w:rsidRPr="00A566E0">
              <w:rPr>
                <w:rFonts w:eastAsia="Times New Roman"/>
                <w:b/>
                <w:sz w:val="20"/>
                <w:szCs w:val="20"/>
                <w:lang w:eastAsia="cs-CZ"/>
              </w:rPr>
              <w:t xml:space="preserve">0,917 </w:t>
            </w:r>
            <w:r w:rsidRPr="00A566E0">
              <w:rPr>
                <w:b/>
                <w:bCs/>
                <w:sz w:val="20"/>
                <w:szCs w:val="20"/>
              </w:rPr>
              <w:t>ha</w:t>
            </w:r>
            <w:r w:rsidRPr="00A566E0">
              <w:rPr>
                <w:b/>
                <w:sz w:val="20"/>
                <w:szCs w:val="20"/>
              </w:rPr>
              <w:t xml:space="preserve"> převzato do ÚP</w:t>
            </w:r>
            <w:r w:rsidRPr="00A566E0">
              <w:rPr>
                <w:sz w:val="20"/>
                <w:szCs w:val="20"/>
              </w:rPr>
              <w:t>, zbývající část vypuštěna</w:t>
            </w:r>
          </w:p>
        </w:tc>
        <w:tc>
          <w:tcPr>
            <w:tcW w:w="3118" w:type="dxa"/>
          </w:tcPr>
          <w:p w14:paraId="336A11EA"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Z105</w:t>
            </w:r>
          </w:p>
        </w:tc>
      </w:tr>
      <w:tr w:rsidR="00CB42B3" w:rsidRPr="00A566E0" w14:paraId="2530AA18" w14:textId="77777777" w:rsidTr="00A566E0">
        <w:tc>
          <w:tcPr>
            <w:tcW w:w="1952" w:type="dxa"/>
          </w:tcPr>
          <w:p w14:paraId="74568F4D"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sz w:val="20"/>
                <w:szCs w:val="20"/>
                <w:lang w:eastAsia="cs-CZ"/>
              </w:rPr>
              <w:t>156</w:t>
            </w:r>
          </w:p>
        </w:tc>
        <w:tc>
          <w:tcPr>
            <w:tcW w:w="1133" w:type="dxa"/>
          </w:tcPr>
          <w:p w14:paraId="37C48365"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0,983</w:t>
            </w:r>
          </w:p>
        </w:tc>
        <w:tc>
          <w:tcPr>
            <w:tcW w:w="2978" w:type="dxa"/>
            <w:shd w:val="clear" w:color="auto" w:fill="auto"/>
          </w:tcPr>
          <w:p w14:paraId="08F18E70"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35F222E0" w14:textId="77777777" w:rsidR="00CB42B3" w:rsidRPr="00A566E0" w:rsidRDefault="00CB42B3" w:rsidP="00A566E0">
            <w:pPr>
              <w:pStyle w:val="1text"/>
              <w:spacing w:before="40" w:after="40"/>
              <w:jc w:val="left"/>
              <w:rPr>
                <w:sz w:val="20"/>
                <w:szCs w:val="20"/>
              </w:rPr>
            </w:pPr>
            <w:r w:rsidRPr="00A566E0">
              <w:rPr>
                <w:sz w:val="20"/>
                <w:szCs w:val="20"/>
              </w:rPr>
              <w:t>dle §58 stavebního zákona (proluka)</w:t>
            </w:r>
          </w:p>
        </w:tc>
      </w:tr>
      <w:tr w:rsidR="00CB42B3" w:rsidRPr="00A566E0" w14:paraId="3E1E50CB" w14:textId="77777777" w:rsidTr="00A566E0">
        <w:tc>
          <w:tcPr>
            <w:tcW w:w="1952" w:type="dxa"/>
          </w:tcPr>
          <w:p w14:paraId="56FA0F78"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sz w:val="20"/>
                <w:szCs w:val="20"/>
                <w:lang w:eastAsia="cs-CZ"/>
              </w:rPr>
              <w:t>157</w:t>
            </w:r>
          </w:p>
        </w:tc>
        <w:tc>
          <w:tcPr>
            <w:tcW w:w="1133" w:type="dxa"/>
          </w:tcPr>
          <w:p w14:paraId="523043A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0,216</w:t>
            </w:r>
          </w:p>
        </w:tc>
        <w:tc>
          <w:tcPr>
            <w:tcW w:w="2978" w:type="dxa"/>
            <w:shd w:val="clear" w:color="auto" w:fill="auto"/>
          </w:tcPr>
          <w:p w14:paraId="209FA446"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276DE607" w14:textId="77777777" w:rsidR="00CB42B3" w:rsidRPr="00A566E0" w:rsidRDefault="00CB42B3" w:rsidP="00A566E0">
            <w:pPr>
              <w:pStyle w:val="1text"/>
              <w:spacing w:before="40" w:after="40"/>
              <w:jc w:val="left"/>
              <w:rPr>
                <w:sz w:val="20"/>
                <w:szCs w:val="20"/>
                <w:highlight w:val="green"/>
              </w:rPr>
            </w:pPr>
            <w:r w:rsidRPr="00A566E0">
              <w:rPr>
                <w:sz w:val="20"/>
                <w:szCs w:val="20"/>
              </w:rPr>
              <w:t>dle §58 stavebního zákona (proluka)</w:t>
            </w:r>
          </w:p>
        </w:tc>
      </w:tr>
      <w:tr w:rsidR="00CB42B3" w:rsidRPr="00A566E0" w14:paraId="63E3872C" w14:textId="77777777" w:rsidTr="00A566E0">
        <w:tc>
          <w:tcPr>
            <w:tcW w:w="1952" w:type="dxa"/>
          </w:tcPr>
          <w:p w14:paraId="2C0E42B4"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158</w:t>
            </w:r>
          </w:p>
        </w:tc>
        <w:tc>
          <w:tcPr>
            <w:tcW w:w="1133" w:type="dxa"/>
          </w:tcPr>
          <w:p w14:paraId="3A21CDC1"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1,211</w:t>
            </w:r>
          </w:p>
        </w:tc>
        <w:tc>
          <w:tcPr>
            <w:tcW w:w="2978" w:type="dxa"/>
            <w:shd w:val="clear" w:color="auto" w:fill="auto"/>
          </w:tcPr>
          <w:p w14:paraId="3DDF4133" w14:textId="77777777" w:rsidR="00CB42B3" w:rsidRPr="00A566E0" w:rsidRDefault="00CB42B3" w:rsidP="00A566E0">
            <w:pPr>
              <w:spacing w:before="40" w:after="40" w:line="240" w:lineRule="auto"/>
              <w:jc w:val="left"/>
              <w:rPr>
                <w:b/>
                <w:sz w:val="20"/>
                <w:szCs w:val="20"/>
              </w:rPr>
            </w:pPr>
            <w:r w:rsidRPr="00A566E0">
              <w:rPr>
                <w:b/>
                <w:sz w:val="20"/>
                <w:szCs w:val="20"/>
              </w:rPr>
              <w:t xml:space="preserve">v rozsahu </w:t>
            </w:r>
            <w:r w:rsidRPr="00A566E0">
              <w:rPr>
                <w:b/>
                <w:bCs/>
                <w:sz w:val="20"/>
                <w:szCs w:val="20"/>
              </w:rPr>
              <w:t>0,865 ha</w:t>
            </w:r>
            <w:r w:rsidRPr="00A566E0">
              <w:rPr>
                <w:b/>
                <w:sz w:val="20"/>
                <w:szCs w:val="20"/>
              </w:rPr>
              <w:t xml:space="preserve"> převzato do ÚP</w:t>
            </w:r>
            <w:r w:rsidRPr="00A566E0">
              <w:rPr>
                <w:sz w:val="20"/>
                <w:szCs w:val="20"/>
              </w:rPr>
              <w:t>, zbývající část vymezena jako stabilizovaná plocha</w:t>
            </w:r>
          </w:p>
        </w:tc>
        <w:tc>
          <w:tcPr>
            <w:tcW w:w="3118" w:type="dxa"/>
          </w:tcPr>
          <w:p w14:paraId="38D5246F" w14:textId="77777777" w:rsidR="00CB42B3" w:rsidRPr="00A566E0" w:rsidRDefault="00CB42B3" w:rsidP="00A566E0">
            <w:pPr>
              <w:pStyle w:val="1text"/>
              <w:spacing w:before="40" w:after="40"/>
              <w:jc w:val="left"/>
              <w:rPr>
                <w:b/>
                <w:sz w:val="20"/>
                <w:szCs w:val="20"/>
                <w:highlight w:val="green"/>
              </w:rPr>
            </w:pPr>
            <w:r w:rsidRPr="00A566E0">
              <w:rPr>
                <w:b/>
                <w:sz w:val="20"/>
                <w:szCs w:val="20"/>
              </w:rPr>
              <w:t>plochy Z77, Z78A a Z78B</w:t>
            </w:r>
            <w:r w:rsidRPr="00A566E0">
              <w:rPr>
                <w:sz w:val="20"/>
                <w:szCs w:val="20"/>
              </w:rPr>
              <w:t xml:space="preserve">, část realizována </w:t>
            </w:r>
          </w:p>
        </w:tc>
      </w:tr>
      <w:tr w:rsidR="00CB42B3" w:rsidRPr="00A566E0" w14:paraId="2B83E71E" w14:textId="77777777" w:rsidTr="00A566E0">
        <w:tc>
          <w:tcPr>
            <w:tcW w:w="1952" w:type="dxa"/>
          </w:tcPr>
          <w:p w14:paraId="2AC57C7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sz w:val="20"/>
                <w:szCs w:val="20"/>
                <w:lang w:eastAsia="cs-CZ"/>
              </w:rPr>
              <w:t>160</w:t>
            </w:r>
          </w:p>
        </w:tc>
        <w:tc>
          <w:tcPr>
            <w:tcW w:w="1133" w:type="dxa"/>
          </w:tcPr>
          <w:p w14:paraId="75441CF8"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0,590</w:t>
            </w:r>
          </w:p>
        </w:tc>
        <w:tc>
          <w:tcPr>
            <w:tcW w:w="2978" w:type="dxa"/>
          </w:tcPr>
          <w:p w14:paraId="51184416"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2AF8F2B6" w14:textId="77777777" w:rsidR="00CB42B3" w:rsidRPr="00A566E0" w:rsidRDefault="00CB42B3" w:rsidP="00A566E0">
            <w:pPr>
              <w:pStyle w:val="1text"/>
              <w:spacing w:before="40" w:after="40"/>
              <w:jc w:val="left"/>
              <w:rPr>
                <w:sz w:val="20"/>
                <w:szCs w:val="20"/>
                <w:highlight w:val="green"/>
              </w:rPr>
            </w:pPr>
          </w:p>
        </w:tc>
      </w:tr>
      <w:tr w:rsidR="00CB42B3" w:rsidRPr="00A566E0" w14:paraId="15AF9154" w14:textId="77777777" w:rsidTr="00A566E0">
        <w:tc>
          <w:tcPr>
            <w:tcW w:w="1952" w:type="dxa"/>
          </w:tcPr>
          <w:p w14:paraId="7E4629C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sz w:val="20"/>
                <w:szCs w:val="20"/>
                <w:lang w:eastAsia="cs-CZ"/>
              </w:rPr>
              <w:t>161</w:t>
            </w:r>
          </w:p>
        </w:tc>
        <w:tc>
          <w:tcPr>
            <w:tcW w:w="1133" w:type="dxa"/>
          </w:tcPr>
          <w:p w14:paraId="64BEE814"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0,632</w:t>
            </w:r>
          </w:p>
        </w:tc>
        <w:tc>
          <w:tcPr>
            <w:tcW w:w="2978" w:type="dxa"/>
          </w:tcPr>
          <w:p w14:paraId="0ADA271A"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6E1AD022" w14:textId="77777777" w:rsidR="00CB42B3" w:rsidRPr="00A566E0" w:rsidRDefault="00CB42B3" w:rsidP="00A566E0">
            <w:pPr>
              <w:pStyle w:val="1text"/>
              <w:spacing w:before="40" w:after="40"/>
              <w:jc w:val="left"/>
              <w:rPr>
                <w:sz w:val="20"/>
                <w:szCs w:val="20"/>
              </w:rPr>
            </w:pPr>
            <w:r w:rsidRPr="00A566E0">
              <w:rPr>
                <w:sz w:val="20"/>
                <w:szCs w:val="20"/>
              </w:rPr>
              <w:t>dle §58 a §2, odst. 1c stavebního zákona (oplocený pozemek přilehlého RD)</w:t>
            </w:r>
          </w:p>
        </w:tc>
      </w:tr>
      <w:tr w:rsidR="00CB42B3" w:rsidRPr="00A566E0" w14:paraId="6A131AD7" w14:textId="77777777" w:rsidTr="00A566E0">
        <w:tc>
          <w:tcPr>
            <w:tcW w:w="1952" w:type="dxa"/>
          </w:tcPr>
          <w:p w14:paraId="0B67096D"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162</w:t>
            </w:r>
          </w:p>
        </w:tc>
        <w:tc>
          <w:tcPr>
            <w:tcW w:w="1133" w:type="dxa"/>
          </w:tcPr>
          <w:p w14:paraId="0AE16022"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0,976</w:t>
            </w:r>
          </w:p>
        </w:tc>
        <w:tc>
          <w:tcPr>
            <w:tcW w:w="2978" w:type="dxa"/>
            <w:shd w:val="clear" w:color="auto" w:fill="auto"/>
          </w:tcPr>
          <w:p w14:paraId="0331C169" w14:textId="77777777" w:rsidR="00CB42B3" w:rsidRPr="00A566E0" w:rsidRDefault="00CB42B3" w:rsidP="00A566E0">
            <w:pPr>
              <w:spacing w:before="40" w:after="40" w:line="240" w:lineRule="auto"/>
              <w:jc w:val="left"/>
              <w:rPr>
                <w:b/>
                <w:sz w:val="20"/>
                <w:szCs w:val="20"/>
              </w:rPr>
            </w:pPr>
            <w:r w:rsidRPr="00A566E0">
              <w:rPr>
                <w:b/>
                <w:sz w:val="20"/>
                <w:szCs w:val="20"/>
              </w:rPr>
              <w:t>v rozsahu 0,123 ha převzato do ÚP</w:t>
            </w:r>
            <w:r w:rsidRPr="00A566E0">
              <w:rPr>
                <w:sz w:val="20"/>
                <w:szCs w:val="20"/>
              </w:rPr>
              <w:t xml:space="preserve">, zbývající část vymezena jako </w:t>
            </w:r>
            <w:r w:rsidRPr="00A566E0">
              <w:rPr>
                <w:sz w:val="20"/>
                <w:szCs w:val="20"/>
              </w:rPr>
              <w:lastRenderedPageBreak/>
              <w:t>stabilizovaná plocha</w:t>
            </w:r>
          </w:p>
        </w:tc>
        <w:tc>
          <w:tcPr>
            <w:tcW w:w="3118" w:type="dxa"/>
          </w:tcPr>
          <w:p w14:paraId="26D59072" w14:textId="77777777" w:rsidR="00CB42B3" w:rsidRPr="00A566E0" w:rsidRDefault="00CB42B3" w:rsidP="00A566E0">
            <w:pPr>
              <w:pStyle w:val="1text"/>
              <w:spacing w:before="40" w:after="40"/>
              <w:jc w:val="left"/>
              <w:rPr>
                <w:b/>
                <w:sz w:val="20"/>
                <w:szCs w:val="20"/>
              </w:rPr>
            </w:pPr>
            <w:r w:rsidRPr="00A566E0">
              <w:rPr>
                <w:b/>
                <w:sz w:val="20"/>
                <w:szCs w:val="20"/>
              </w:rPr>
              <w:lastRenderedPageBreak/>
              <w:t>plocha Z84</w:t>
            </w:r>
            <w:r w:rsidRPr="00A566E0">
              <w:rPr>
                <w:sz w:val="20"/>
                <w:szCs w:val="20"/>
              </w:rPr>
              <w:t>, část realizována</w:t>
            </w:r>
            <w:r w:rsidRPr="00A566E0">
              <w:rPr>
                <w:b/>
                <w:sz w:val="20"/>
                <w:szCs w:val="20"/>
              </w:rPr>
              <w:t xml:space="preserve"> </w:t>
            </w:r>
          </w:p>
        </w:tc>
      </w:tr>
      <w:tr w:rsidR="00CB42B3" w:rsidRPr="00A566E0" w14:paraId="101E3596" w14:textId="77777777" w:rsidTr="00A566E0">
        <w:tc>
          <w:tcPr>
            <w:tcW w:w="1952" w:type="dxa"/>
          </w:tcPr>
          <w:p w14:paraId="79F9882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lastRenderedPageBreak/>
              <w:t>Z12.01</w:t>
            </w:r>
          </w:p>
        </w:tc>
        <w:tc>
          <w:tcPr>
            <w:tcW w:w="1133" w:type="dxa"/>
          </w:tcPr>
          <w:p w14:paraId="74E8A557"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0,018</w:t>
            </w:r>
          </w:p>
        </w:tc>
        <w:tc>
          <w:tcPr>
            <w:tcW w:w="2978" w:type="dxa"/>
          </w:tcPr>
          <w:p w14:paraId="1C1BF9E9"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84F2A7F" w14:textId="77777777" w:rsidR="00CB42B3" w:rsidRPr="00A566E0" w:rsidRDefault="00CB42B3" w:rsidP="00A566E0">
            <w:pPr>
              <w:pStyle w:val="1text"/>
              <w:spacing w:before="40" w:after="40"/>
              <w:jc w:val="left"/>
              <w:rPr>
                <w:sz w:val="20"/>
                <w:szCs w:val="20"/>
              </w:rPr>
            </w:pPr>
            <w:r w:rsidRPr="00A566E0">
              <w:rPr>
                <w:sz w:val="20"/>
                <w:szCs w:val="20"/>
              </w:rPr>
              <w:t>dle §58 a §2, odst. 1c stavebního zákona (oplocený pozemek přilehlého RD)</w:t>
            </w:r>
          </w:p>
        </w:tc>
      </w:tr>
      <w:tr w:rsidR="00CB42B3" w:rsidRPr="00A566E0" w14:paraId="3948C922" w14:textId="77777777" w:rsidTr="00A566E0">
        <w:tc>
          <w:tcPr>
            <w:tcW w:w="1952" w:type="dxa"/>
          </w:tcPr>
          <w:p w14:paraId="71FA813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Z12.02</w:t>
            </w:r>
          </w:p>
        </w:tc>
        <w:tc>
          <w:tcPr>
            <w:tcW w:w="1133" w:type="dxa"/>
          </w:tcPr>
          <w:p w14:paraId="323D523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0,740</w:t>
            </w:r>
          </w:p>
        </w:tc>
        <w:tc>
          <w:tcPr>
            <w:tcW w:w="2978" w:type="dxa"/>
          </w:tcPr>
          <w:p w14:paraId="7587B310"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1ED57A8" w14:textId="77777777" w:rsidR="00CB42B3" w:rsidRPr="00A566E0" w:rsidRDefault="00CB42B3" w:rsidP="00A566E0">
            <w:pPr>
              <w:pStyle w:val="1text"/>
              <w:spacing w:before="40" w:after="40"/>
              <w:jc w:val="left"/>
              <w:rPr>
                <w:sz w:val="20"/>
                <w:szCs w:val="20"/>
              </w:rPr>
            </w:pPr>
            <w:r w:rsidRPr="00A566E0">
              <w:rPr>
                <w:sz w:val="20"/>
                <w:szCs w:val="20"/>
              </w:rPr>
              <w:t>dle §58 a §2, odst. 1c stavebního zákona (oplocený pozemek přilehlého RD)</w:t>
            </w:r>
          </w:p>
        </w:tc>
      </w:tr>
      <w:tr w:rsidR="00CB42B3" w:rsidRPr="00A566E0" w14:paraId="18FD5ECD" w14:textId="77777777" w:rsidTr="00A566E0">
        <w:tc>
          <w:tcPr>
            <w:tcW w:w="1952" w:type="dxa"/>
          </w:tcPr>
          <w:p w14:paraId="3858F5FE"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Z12.07</w:t>
            </w:r>
          </w:p>
        </w:tc>
        <w:tc>
          <w:tcPr>
            <w:tcW w:w="1133" w:type="dxa"/>
          </w:tcPr>
          <w:p w14:paraId="47E1E68B"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0,021</w:t>
            </w:r>
          </w:p>
        </w:tc>
        <w:tc>
          <w:tcPr>
            <w:tcW w:w="2978" w:type="dxa"/>
          </w:tcPr>
          <w:p w14:paraId="40563119"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45A65450" w14:textId="77777777" w:rsidR="00CB42B3" w:rsidRPr="00A566E0" w:rsidRDefault="00CB42B3" w:rsidP="00A566E0">
            <w:pPr>
              <w:pStyle w:val="1text"/>
              <w:spacing w:before="40" w:after="40"/>
              <w:jc w:val="left"/>
              <w:rPr>
                <w:sz w:val="20"/>
                <w:szCs w:val="20"/>
              </w:rPr>
            </w:pPr>
          </w:p>
        </w:tc>
      </w:tr>
      <w:tr w:rsidR="00CB42B3" w:rsidRPr="00A566E0" w14:paraId="337257FF" w14:textId="77777777" w:rsidTr="00A566E0">
        <w:tc>
          <w:tcPr>
            <w:tcW w:w="1952" w:type="dxa"/>
          </w:tcPr>
          <w:p w14:paraId="4B2A9ADD"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Z12.12</w:t>
            </w:r>
          </w:p>
        </w:tc>
        <w:tc>
          <w:tcPr>
            <w:tcW w:w="1133" w:type="dxa"/>
          </w:tcPr>
          <w:p w14:paraId="3C83F98F"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0,528</w:t>
            </w:r>
          </w:p>
        </w:tc>
        <w:tc>
          <w:tcPr>
            <w:tcW w:w="2978" w:type="dxa"/>
          </w:tcPr>
          <w:p w14:paraId="2E09C4A8" w14:textId="77777777" w:rsidR="00CB42B3" w:rsidRPr="00A566E0" w:rsidRDefault="00CB42B3" w:rsidP="00A566E0">
            <w:pPr>
              <w:spacing w:before="40" w:after="40" w:line="240" w:lineRule="auto"/>
              <w:jc w:val="left"/>
              <w:rPr>
                <w:rFonts w:eastAsia="Times New Roman"/>
                <w:b/>
                <w:sz w:val="20"/>
                <w:szCs w:val="20"/>
                <w:lang w:eastAsia="cs-CZ"/>
              </w:rPr>
            </w:pPr>
            <w:r w:rsidRPr="00A566E0">
              <w:rPr>
                <w:rFonts w:eastAsia="Times New Roman"/>
                <w:b/>
                <w:sz w:val="20"/>
                <w:szCs w:val="20"/>
                <w:lang w:eastAsia="cs-CZ"/>
              </w:rPr>
              <w:t>převzato do ÚP</w:t>
            </w:r>
          </w:p>
        </w:tc>
        <w:tc>
          <w:tcPr>
            <w:tcW w:w="3118" w:type="dxa"/>
          </w:tcPr>
          <w:p w14:paraId="47CA357A" w14:textId="77777777" w:rsidR="00CB42B3" w:rsidRPr="00A566E0" w:rsidRDefault="00CB42B3" w:rsidP="00A566E0">
            <w:pPr>
              <w:pStyle w:val="1text"/>
              <w:spacing w:before="40" w:after="40"/>
              <w:jc w:val="left"/>
              <w:rPr>
                <w:b/>
                <w:sz w:val="20"/>
                <w:szCs w:val="20"/>
              </w:rPr>
            </w:pPr>
            <w:r w:rsidRPr="00A566E0">
              <w:rPr>
                <w:b/>
                <w:sz w:val="20"/>
                <w:szCs w:val="20"/>
              </w:rPr>
              <w:t>plocha Z79</w:t>
            </w:r>
          </w:p>
        </w:tc>
      </w:tr>
      <w:tr w:rsidR="00CB42B3" w:rsidRPr="00A566E0" w14:paraId="2A6CED0E" w14:textId="77777777" w:rsidTr="00A566E0">
        <w:tc>
          <w:tcPr>
            <w:tcW w:w="1952" w:type="dxa"/>
          </w:tcPr>
          <w:p w14:paraId="44A6A0D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Z15.5</w:t>
            </w:r>
          </w:p>
        </w:tc>
        <w:tc>
          <w:tcPr>
            <w:tcW w:w="1133" w:type="dxa"/>
          </w:tcPr>
          <w:p w14:paraId="47750B5B"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0,179</w:t>
            </w:r>
          </w:p>
        </w:tc>
        <w:tc>
          <w:tcPr>
            <w:tcW w:w="2978" w:type="dxa"/>
          </w:tcPr>
          <w:p w14:paraId="70418530"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1C9F6831" w14:textId="77777777" w:rsidR="00CB42B3" w:rsidRPr="00A566E0" w:rsidRDefault="00CB42B3" w:rsidP="00A566E0">
            <w:pPr>
              <w:pStyle w:val="1text"/>
              <w:spacing w:before="40" w:after="40"/>
              <w:jc w:val="left"/>
              <w:rPr>
                <w:sz w:val="20"/>
                <w:szCs w:val="20"/>
              </w:rPr>
            </w:pPr>
            <w:r w:rsidRPr="00A566E0">
              <w:rPr>
                <w:sz w:val="20"/>
                <w:szCs w:val="20"/>
              </w:rPr>
              <w:t>dle §58 stavebního zákona (proluka)</w:t>
            </w:r>
          </w:p>
        </w:tc>
      </w:tr>
      <w:tr w:rsidR="00CB42B3" w:rsidRPr="00A566E0" w14:paraId="79EF998C" w14:textId="77777777" w:rsidTr="00A566E0">
        <w:tc>
          <w:tcPr>
            <w:tcW w:w="1952" w:type="dxa"/>
          </w:tcPr>
          <w:p w14:paraId="2FCEEFFA"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Z15.6</w:t>
            </w:r>
          </w:p>
        </w:tc>
        <w:tc>
          <w:tcPr>
            <w:tcW w:w="1133" w:type="dxa"/>
          </w:tcPr>
          <w:p w14:paraId="30D9250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0,005</w:t>
            </w:r>
          </w:p>
        </w:tc>
        <w:tc>
          <w:tcPr>
            <w:tcW w:w="2978" w:type="dxa"/>
          </w:tcPr>
          <w:p w14:paraId="156D99BE"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28AFC399" w14:textId="77777777" w:rsidR="00CB42B3" w:rsidRPr="00A566E0" w:rsidRDefault="00CB42B3" w:rsidP="00A566E0">
            <w:pPr>
              <w:pStyle w:val="1text"/>
              <w:spacing w:before="40" w:after="40"/>
              <w:jc w:val="left"/>
              <w:rPr>
                <w:sz w:val="20"/>
                <w:szCs w:val="20"/>
              </w:rPr>
            </w:pPr>
            <w:r w:rsidRPr="00A566E0">
              <w:rPr>
                <w:sz w:val="20"/>
                <w:szCs w:val="20"/>
              </w:rPr>
              <w:t>dle §58 stavebního zákona (proluka)</w:t>
            </w:r>
          </w:p>
        </w:tc>
      </w:tr>
      <w:tr w:rsidR="00CB42B3" w:rsidRPr="00A566E0" w14:paraId="49A0C8DA" w14:textId="77777777" w:rsidTr="00A566E0">
        <w:tc>
          <w:tcPr>
            <w:tcW w:w="9181" w:type="dxa"/>
            <w:gridSpan w:val="4"/>
          </w:tcPr>
          <w:p w14:paraId="77E28F4F" w14:textId="77777777" w:rsidR="00CB42B3" w:rsidRPr="00A566E0" w:rsidRDefault="00CB42B3" w:rsidP="00A566E0">
            <w:pPr>
              <w:pStyle w:val="1text"/>
              <w:spacing w:before="40" w:after="40"/>
              <w:jc w:val="left"/>
              <w:rPr>
                <w:sz w:val="20"/>
                <w:szCs w:val="20"/>
              </w:rPr>
            </w:pPr>
            <w:r w:rsidRPr="00A566E0">
              <w:rPr>
                <w:sz w:val="20"/>
                <w:szCs w:val="20"/>
              </w:rPr>
              <w:t>Plochy občanského vybavení</w:t>
            </w:r>
          </w:p>
        </w:tc>
      </w:tr>
      <w:tr w:rsidR="00CB42B3" w:rsidRPr="00A566E0" w14:paraId="0E8A926A" w14:textId="77777777" w:rsidTr="00A566E0">
        <w:tc>
          <w:tcPr>
            <w:tcW w:w="1952" w:type="dxa"/>
          </w:tcPr>
          <w:p w14:paraId="3846367A"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157</w:t>
            </w:r>
          </w:p>
        </w:tc>
        <w:tc>
          <w:tcPr>
            <w:tcW w:w="1133" w:type="dxa"/>
          </w:tcPr>
          <w:p w14:paraId="78A4B3A5"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0,605</w:t>
            </w:r>
          </w:p>
        </w:tc>
        <w:tc>
          <w:tcPr>
            <w:tcW w:w="2978" w:type="dxa"/>
          </w:tcPr>
          <w:p w14:paraId="618CAC29"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6CB59E66" w14:textId="77777777" w:rsidR="00CB42B3" w:rsidRPr="00A566E0" w:rsidRDefault="00CB42B3" w:rsidP="00A566E0">
            <w:pPr>
              <w:pStyle w:val="1text"/>
              <w:spacing w:before="40" w:after="40"/>
              <w:jc w:val="left"/>
              <w:rPr>
                <w:sz w:val="20"/>
                <w:szCs w:val="20"/>
              </w:rPr>
            </w:pPr>
            <w:r w:rsidRPr="00A566E0">
              <w:rPr>
                <w:sz w:val="20"/>
                <w:szCs w:val="20"/>
              </w:rPr>
              <w:t>dle §58 stavebního zákona (proluka), část realizována</w:t>
            </w:r>
          </w:p>
        </w:tc>
      </w:tr>
      <w:tr w:rsidR="00CB42B3" w:rsidRPr="00A566E0" w14:paraId="155490A6" w14:textId="77777777" w:rsidTr="00A566E0">
        <w:tc>
          <w:tcPr>
            <w:tcW w:w="1952" w:type="dxa"/>
          </w:tcPr>
          <w:p w14:paraId="751F9A9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Z12.30</w:t>
            </w:r>
          </w:p>
        </w:tc>
        <w:tc>
          <w:tcPr>
            <w:tcW w:w="1133" w:type="dxa"/>
          </w:tcPr>
          <w:p w14:paraId="587A6187"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0,193</w:t>
            </w:r>
          </w:p>
        </w:tc>
        <w:tc>
          <w:tcPr>
            <w:tcW w:w="2978" w:type="dxa"/>
          </w:tcPr>
          <w:p w14:paraId="69FC6DC1"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140B6CAB"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2B3E0B79" w14:textId="77777777" w:rsidTr="00A566E0">
        <w:tc>
          <w:tcPr>
            <w:tcW w:w="9181" w:type="dxa"/>
            <w:gridSpan w:val="4"/>
          </w:tcPr>
          <w:p w14:paraId="683DF071" w14:textId="77777777" w:rsidR="00CB42B3" w:rsidRPr="00A566E0" w:rsidRDefault="00CB42B3" w:rsidP="00A566E0">
            <w:pPr>
              <w:pStyle w:val="1text"/>
              <w:spacing w:before="40" w:after="40"/>
              <w:jc w:val="left"/>
              <w:rPr>
                <w:sz w:val="20"/>
                <w:szCs w:val="20"/>
              </w:rPr>
            </w:pPr>
            <w:r w:rsidRPr="00A566E0">
              <w:rPr>
                <w:sz w:val="20"/>
                <w:szCs w:val="20"/>
              </w:rPr>
              <w:t>Plochy dopravní infrastruktury</w:t>
            </w:r>
          </w:p>
        </w:tc>
      </w:tr>
      <w:tr w:rsidR="00CB42B3" w:rsidRPr="00A566E0" w14:paraId="1A8BA0E2" w14:textId="77777777" w:rsidTr="00A566E0">
        <w:tc>
          <w:tcPr>
            <w:tcW w:w="1952" w:type="dxa"/>
            <w:tcBorders>
              <w:bottom w:val="single" w:sz="12" w:space="0" w:color="auto"/>
            </w:tcBorders>
          </w:tcPr>
          <w:p w14:paraId="064AF46E"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sz w:val="20"/>
                <w:szCs w:val="20"/>
                <w:lang w:eastAsia="cs-CZ"/>
              </w:rPr>
              <w:t>150</w:t>
            </w:r>
          </w:p>
        </w:tc>
        <w:tc>
          <w:tcPr>
            <w:tcW w:w="1133" w:type="dxa"/>
            <w:tcBorders>
              <w:bottom w:val="single" w:sz="12" w:space="0" w:color="auto"/>
            </w:tcBorders>
          </w:tcPr>
          <w:p w14:paraId="048FE0C7"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3,944</w:t>
            </w:r>
          </w:p>
        </w:tc>
        <w:tc>
          <w:tcPr>
            <w:tcW w:w="2978" w:type="dxa"/>
            <w:tcBorders>
              <w:bottom w:val="single" w:sz="12" w:space="0" w:color="auto"/>
            </w:tcBorders>
          </w:tcPr>
          <w:p w14:paraId="1EAEEA57"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Borders>
              <w:bottom w:val="single" w:sz="12" w:space="0" w:color="auto"/>
            </w:tcBorders>
          </w:tcPr>
          <w:p w14:paraId="3760E05A" w14:textId="77777777" w:rsidR="00CB42B3" w:rsidRPr="00A566E0" w:rsidRDefault="00CB42B3" w:rsidP="00A566E0">
            <w:pPr>
              <w:pStyle w:val="1text"/>
              <w:spacing w:before="40" w:after="40"/>
              <w:jc w:val="left"/>
              <w:rPr>
                <w:sz w:val="20"/>
                <w:szCs w:val="20"/>
                <w:highlight w:val="green"/>
              </w:rPr>
            </w:pPr>
          </w:p>
        </w:tc>
      </w:tr>
      <w:tr w:rsidR="00CB42B3" w:rsidRPr="00A566E0" w14:paraId="274749AE" w14:textId="77777777" w:rsidTr="00A566E0">
        <w:tc>
          <w:tcPr>
            <w:tcW w:w="1952" w:type="dxa"/>
            <w:tcBorders>
              <w:top w:val="single" w:sz="12" w:space="0" w:color="auto"/>
              <w:left w:val="single" w:sz="12" w:space="0" w:color="auto"/>
            </w:tcBorders>
            <w:shd w:val="clear" w:color="auto" w:fill="F2F2F2" w:themeFill="background1" w:themeFillShade="F2"/>
          </w:tcPr>
          <w:p w14:paraId="79A7BCD0"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CELKEM K.U. DOLNÍ SEDLO</w:t>
            </w:r>
          </w:p>
        </w:tc>
        <w:tc>
          <w:tcPr>
            <w:tcW w:w="7229" w:type="dxa"/>
            <w:gridSpan w:val="3"/>
            <w:tcBorders>
              <w:top w:val="single" w:sz="12" w:space="0" w:color="auto"/>
              <w:right w:val="single" w:sz="12" w:space="0" w:color="auto"/>
            </w:tcBorders>
            <w:shd w:val="clear" w:color="auto" w:fill="F2F2F2" w:themeFill="background1" w:themeFillShade="F2"/>
          </w:tcPr>
          <w:p w14:paraId="3303790A" w14:textId="77777777" w:rsidR="00CB42B3" w:rsidRPr="00A566E0" w:rsidRDefault="00CB42B3" w:rsidP="00A566E0">
            <w:pPr>
              <w:pStyle w:val="1text"/>
              <w:spacing w:before="40" w:after="40"/>
              <w:jc w:val="left"/>
              <w:rPr>
                <w:b/>
                <w:sz w:val="20"/>
                <w:szCs w:val="20"/>
                <w:highlight w:val="green"/>
              </w:rPr>
            </w:pPr>
            <w:r w:rsidRPr="00A566E0">
              <w:rPr>
                <w:rFonts w:eastAsia="Times New Roman"/>
                <w:b/>
                <w:color w:val="000000"/>
                <w:sz w:val="20"/>
                <w:szCs w:val="20"/>
                <w:lang w:eastAsia="cs-CZ"/>
              </w:rPr>
              <w:t>14,194 ha</w:t>
            </w:r>
          </w:p>
        </w:tc>
      </w:tr>
      <w:tr w:rsidR="00CB42B3" w:rsidRPr="00A566E0" w14:paraId="1D8B16BE" w14:textId="77777777" w:rsidTr="00A566E0">
        <w:tc>
          <w:tcPr>
            <w:tcW w:w="1952" w:type="dxa"/>
            <w:vMerge w:val="restart"/>
            <w:tcBorders>
              <w:left w:val="single" w:sz="12" w:space="0" w:color="auto"/>
            </w:tcBorders>
          </w:tcPr>
          <w:p w14:paraId="74E251E7"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z toho:</w:t>
            </w:r>
          </w:p>
        </w:tc>
        <w:tc>
          <w:tcPr>
            <w:tcW w:w="1133" w:type="dxa"/>
            <w:shd w:val="clear" w:color="auto" w:fill="auto"/>
          </w:tcPr>
          <w:p w14:paraId="296D05E1"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3,625 ha</w:t>
            </w:r>
          </w:p>
        </w:tc>
        <w:tc>
          <w:tcPr>
            <w:tcW w:w="6096" w:type="dxa"/>
            <w:gridSpan w:val="2"/>
            <w:tcBorders>
              <w:right w:val="single" w:sz="12" w:space="0" w:color="auto"/>
            </w:tcBorders>
          </w:tcPr>
          <w:p w14:paraId="56873F0F" w14:textId="77777777" w:rsidR="00CB42B3" w:rsidRPr="00A566E0" w:rsidRDefault="00CB42B3" w:rsidP="00A566E0">
            <w:pPr>
              <w:pStyle w:val="1text"/>
              <w:spacing w:before="40" w:after="40"/>
              <w:jc w:val="left"/>
              <w:rPr>
                <w:sz w:val="20"/>
                <w:szCs w:val="20"/>
              </w:rPr>
            </w:pPr>
            <w:r w:rsidRPr="00A566E0">
              <w:rPr>
                <w:b/>
                <w:sz w:val="20"/>
                <w:szCs w:val="20"/>
              </w:rPr>
              <w:t>záborů ZPF převzato</w:t>
            </w:r>
          </w:p>
        </w:tc>
      </w:tr>
      <w:tr w:rsidR="00CB42B3" w:rsidRPr="00A566E0" w14:paraId="6C5CC61B" w14:textId="77777777" w:rsidTr="00A566E0">
        <w:tc>
          <w:tcPr>
            <w:tcW w:w="1952" w:type="dxa"/>
            <w:vMerge/>
            <w:tcBorders>
              <w:left w:val="single" w:sz="12" w:space="0" w:color="auto"/>
            </w:tcBorders>
          </w:tcPr>
          <w:p w14:paraId="7BF426E6" w14:textId="77777777" w:rsidR="00CB42B3" w:rsidRPr="00A566E0" w:rsidRDefault="00CB42B3" w:rsidP="00A566E0">
            <w:pPr>
              <w:pStyle w:val="1text"/>
              <w:spacing w:before="40" w:after="40"/>
              <w:jc w:val="left"/>
              <w:rPr>
                <w:rFonts w:eastAsia="Times New Roman"/>
                <w:b/>
                <w:sz w:val="20"/>
                <w:szCs w:val="20"/>
                <w:lang w:eastAsia="cs-CZ"/>
              </w:rPr>
            </w:pPr>
          </w:p>
        </w:tc>
        <w:tc>
          <w:tcPr>
            <w:tcW w:w="1133" w:type="dxa"/>
            <w:shd w:val="clear" w:color="auto" w:fill="auto"/>
          </w:tcPr>
          <w:p w14:paraId="60854861"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4,770 ha</w:t>
            </w:r>
          </w:p>
        </w:tc>
        <w:tc>
          <w:tcPr>
            <w:tcW w:w="6096" w:type="dxa"/>
            <w:gridSpan w:val="2"/>
            <w:tcBorders>
              <w:right w:val="single" w:sz="12" w:space="0" w:color="auto"/>
            </w:tcBorders>
          </w:tcPr>
          <w:p w14:paraId="743690C5" w14:textId="77777777" w:rsidR="00CB42B3" w:rsidRPr="00A566E0" w:rsidRDefault="00CB42B3" w:rsidP="00A566E0">
            <w:pPr>
              <w:pStyle w:val="1text"/>
              <w:spacing w:before="40" w:after="40"/>
              <w:jc w:val="left"/>
              <w:rPr>
                <w:sz w:val="20"/>
                <w:szCs w:val="20"/>
              </w:rPr>
            </w:pPr>
            <w:r w:rsidRPr="00A566E0">
              <w:rPr>
                <w:b/>
                <w:sz w:val="20"/>
                <w:szCs w:val="20"/>
              </w:rPr>
              <w:t>záborů ZPF vymezeno jako stabilizovaná plocha</w:t>
            </w:r>
          </w:p>
        </w:tc>
      </w:tr>
      <w:tr w:rsidR="00CB42B3" w:rsidRPr="00A566E0" w14:paraId="10D04DB6" w14:textId="77777777" w:rsidTr="00A566E0">
        <w:tc>
          <w:tcPr>
            <w:tcW w:w="1952" w:type="dxa"/>
            <w:vMerge/>
            <w:tcBorders>
              <w:left w:val="single" w:sz="12" w:space="0" w:color="auto"/>
              <w:bottom w:val="single" w:sz="12" w:space="0" w:color="auto"/>
            </w:tcBorders>
          </w:tcPr>
          <w:p w14:paraId="3E28F36B" w14:textId="77777777" w:rsidR="00CB42B3" w:rsidRPr="00A566E0" w:rsidRDefault="00CB42B3" w:rsidP="00A566E0">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auto"/>
          </w:tcPr>
          <w:p w14:paraId="440F2238"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5,799 ha</w:t>
            </w:r>
          </w:p>
        </w:tc>
        <w:tc>
          <w:tcPr>
            <w:tcW w:w="6096" w:type="dxa"/>
            <w:gridSpan w:val="2"/>
            <w:tcBorders>
              <w:bottom w:val="single" w:sz="12" w:space="0" w:color="auto"/>
              <w:right w:val="single" w:sz="12" w:space="0" w:color="auto"/>
            </w:tcBorders>
          </w:tcPr>
          <w:p w14:paraId="13A089BA" w14:textId="77777777" w:rsidR="00CB42B3" w:rsidRPr="00A566E0" w:rsidRDefault="00CB42B3" w:rsidP="00A566E0">
            <w:pPr>
              <w:pStyle w:val="1text"/>
              <w:spacing w:before="40" w:after="40"/>
              <w:jc w:val="left"/>
              <w:rPr>
                <w:sz w:val="20"/>
                <w:szCs w:val="20"/>
              </w:rPr>
            </w:pPr>
            <w:r w:rsidRPr="00A566E0">
              <w:rPr>
                <w:b/>
                <w:sz w:val="20"/>
                <w:szCs w:val="20"/>
              </w:rPr>
              <w:t>záborů ZPF vypuštěno</w:t>
            </w:r>
          </w:p>
        </w:tc>
      </w:tr>
      <w:tr w:rsidR="00CB42B3" w:rsidRPr="00A566E0" w14:paraId="55697562" w14:textId="77777777" w:rsidTr="00A566E0">
        <w:tc>
          <w:tcPr>
            <w:tcW w:w="9181" w:type="dxa"/>
            <w:gridSpan w:val="4"/>
            <w:tcBorders>
              <w:top w:val="single" w:sz="12" w:space="0" w:color="auto"/>
            </w:tcBorders>
            <w:shd w:val="clear" w:color="auto" w:fill="D9D9D9" w:themeFill="background1" w:themeFillShade="D9"/>
          </w:tcPr>
          <w:p w14:paraId="2241E7E1" w14:textId="77777777" w:rsidR="00CB42B3" w:rsidRPr="00A566E0" w:rsidRDefault="00CB42B3" w:rsidP="00A566E0">
            <w:pPr>
              <w:pStyle w:val="1text"/>
              <w:spacing w:before="40" w:after="40"/>
              <w:jc w:val="left"/>
              <w:rPr>
                <w:b/>
                <w:sz w:val="20"/>
                <w:szCs w:val="20"/>
              </w:rPr>
            </w:pPr>
            <w:r w:rsidRPr="00A566E0">
              <w:rPr>
                <w:b/>
                <w:sz w:val="20"/>
                <w:szCs w:val="20"/>
              </w:rPr>
              <w:t>K.Ú. DOLNÍ SUCHÁ U CHOTYNĚ</w:t>
            </w:r>
          </w:p>
        </w:tc>
      </w:tr>
      <w:tr w:rsidR="00CB42B3" w:rsidRPr="00A566E0" w14:paraId="42A4EB93" w14:textId="77777777" w:rsidTr="00A566E0">
        <w:tc>
          <w:tcPr>
            <w:tcW w:w="9181" w:type="dxa"/>
            <w:gridSpan w:val="4"/>
          </w:tcPr>
          <w:p w14:paraId="49C917DA" w14:textId="77777777" w:rsidR="00CB42B3" w:rsidRPr="00A566E0" w:rsidRDefault="00CB42B3" w:rsidP="00A566E0">
            <w:pPr>
              <w:pStyle w:val="1text"/>
              <w:spacing w:before="40" w:after="40"/>
              <w:jc w:val="left"/>
              <w:rPr>
                <w:sz w:val="20"/>
                <w:szCs w:val="20"/>
              </w:rPr>
            </w:pPr>
            <w:r w:rsidRPr="00A566E0">
              <w:rPr>
                <w:sz w:val="20"/>
                <w:szCs w:val="20"/>
              </w:rPr>
              <w:t>Plochy smíšené obytné</w:t>
            </w:r>
          </w:p>
        </w:tc>
      </w:tr>
      <w:tr w:rsidR="00CB42B3" w:rsidRPr="00A566E0" w14:paraId="412838EE" w14:textId="77777777" w:rsidTr="00A566E0">
        <w:tc>
          <w:tcPr>
            <w:tcW w:w="1952" w:type="dxa"/>
          </w:tcPr>
          <w:p w14:paraId="4BEE3706"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230</w:t>
            </w:r>
          </w:p>
        </w:tc>
        <w:tc>
          <w:tcPr>
            <w:tcW w:w="1133" w:type="dxa"/>
          </w:tcPr>
          <w:p w14:paraId="0CC1CC1B"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1,053</w:t>
            </w:r>
          </w:p>
        </w:tc>
        <w:tc>
          <w:tcPr>
            <w:tcW w:w="2978" w:type="dxa"/>
          </w:tcPr>
          <w:p w14:paraId="01BFE302"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Pr>
          <w:p w14:paraId="397463DF"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Z86</w:t>
            </w:r>
          </w:p>
        </w:tc>
      </w:tr>
      <w:tr w:rsidR="00CB42B3" w:rsidRPr="00A566E0" w14:paraId="2F098AC2" w14:textId="77777777" w:rsidTr="00A566E0">
        <w:tc>
          <w:tcPr>
            <w:tcW w:w="1952" w:type="dxa"/>
          </w:tcPr>
          <w:p w14:paraId="3F1CE7EA"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231</w:t>
            </w:r>
          </w:p>
        </w:tc>
        <w:tc>
          <w:tcPr>
            <w:tcW w:w="1133" w:type="dxa"/>
          </w:tcPr>
          <w:p w14:paraId="52F9D399"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0,488</w:t>
            </w:r>
          </w:p>
        </w:tc>
        <w:tc>
          <w:tcPr>
            <w:tcW w:w="2978" w:type="dxa"/>
          </w:tcPr>
          <w:p w14:paraId="55377B62"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Pr>
          <w:p w14:paraId="4C854088"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P15</w:t>
            </w:r>
          </w:p>
        </w:tc>
      </w:tr>
      <w:tr w:rsidR="00CB42B3" w:rsidRPr="00A566E0" w14:paraId="2E276BF7" w14:textId="77777777" w:rsidTr="00A566E0">
        <w:tc>
          <w:tcPr>
            <w:tcW w:w="1952" w:type="dxa"/>
          </w:tcPr>
          <w:p w14:paraId="1C1CF6C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232</w:t>
            </w:r>
          </w:p>
        </w:tc>
        <w:tc>
          <w:tcPr>
            <w:tcW w:w="1133" w:type="dxa"/>
          </w:tcPr>
          <w:p w14:paraId="1E3473B5"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0,221</w:t>
            </w:r>
          </w:p>
        </w:tc>
        <w:tc>
          <w:tcPr>
            <w:tcW w:w="2978" w:type="dxa"/>
          </w:tcPr>
          <w:p w14:paraId="5D47B5CD"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23166B84" w14:textId="77777777" w:rsidR="00CB42B3" w:rsidRPr="00A566E0" w:rsidRDefault="00CB42B3" w:rsidP="00A566E0">
            <w:pPr>
              <w:pStyle w:val="1text"/>
              <w:spacing w:before="40" w:after="40"/>
              <w:jc w:val="left"/>
              <w:rPr>
                <w:sz w:val="20"/>
                <w:szCs w:val="20"/>
                <w:highlight w:val="green"/>
              </w:rPr>
            </w:pPr>
          </w:p>
        </w:tc>
      </w:tr>
      <w:tr w:rsidR="00CB42B3" w:rsidRPr="00A566E0" w14:paraId="10709CF3" w14:textId="77777777" w:rsidTr="00A566E0">
        <w:tc>
          <w:tcPr>
            <w:tcW w:w="1952" w:type="dxa"/>
          </w:tcPr>
          <w:p w14:paraId="3965A15F"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240</w:t>
            </w:r>
          </w:p>
        </w:tc>
        <w:tc>
          <w:tcPr>
            <w:tcW w:w="1133" w:type="dxa"/>
            <w:shd w:val="clear" w:color="auto" w:fill="auto"/>
          </w:tcPr>
          <w:p w14:paraId="0AEC8DA9"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0,617</w:t>
            </w:r>
          </w:p>
        </w:tc>
        <w:tc>
          <w:tcPr>
            <w:tcW w:w="2978" w:type="dxa"/>
            <w:shd w:val="clear" w:color="auto" w:fill="auto"/>
          </w:tcPr>
          <w:p w14:paraId="30033F32" w14:textId="77777777" w:rsidR="00CB42B3" w:rsidRPr="00A566E0" w:rsidRDefault="00CB42B3" w:rsidP="00A566E0">
            <w:pPr>
              <w:spacing w:before="40" w:after="40" w:line="240" w:lineRule="auto"/>
              <w:jc w:val="left"/>
              <w:rPr>
                <w:b/>
                <w:sz w:val="20"/>
                <w:szCs w:val="20"/>
              </w:rPr>
            </w:pPr>
            <w:r w:rsidRPr="00A566E0">
              <w:rPr>
                <w:b/>
                <w:color w:val="000000"/>
                <w:sz w:val="20"/>
                <w:szCs w:val="20"/>
              </w:rPr>
              <w:t xml:space="preserve">v rozsahu 0,384 </w:t>
            </w:r>
            <w:r w:rsidRPr="00A566E0">
              <w:rPr>
                <w:b/>
                <w:sz w:val="20"/>
                <w:szCs w:val="20"/>
              </w:rPr>
              <w:t>ha převzato do ÚP</w:t>
            </w:r>
            <w:r w:rsidRPr="00A566E0">
              <w:rPr>
                <w:sz w:val="20"/>
                <w:szCs w:val="20"/>
              </w:rPr>
              <w:t>, zbývající část vymezena jako stabilizovaná plocha</w:t>
            </w:r>
          </w:p>
        </w:tc>
        <w:tc>
          <w:tcPr>
            <w:tcW w:w="3118" w:type="dxa"/>
          </w:tcPr>
          <w:p w14:paraId="079C40DA" w14:textId="77777777" w:rsidR="00CB42B3" w:rsidRPr="00A566E0" w:rsidRDefault="00CB42B3" w:rsidP="00A566E0">
            <w:pPr>
              <w:pStyle w:val="1text"/>
              <w:spacing w:before="40" w:after="40"/>
              <w:jc w:val="left"/>
              <w:rPr>
                <w:b/>
                <w:sz w:val="20"/>
                <w:szCs w:val="20"/>
              </w:rPr>
            </w:pPr>
            <w:r w:rsidRPr="00A566E0">
              <w:rPr>
                <w:b/>
                <w:sz w:val="20"/>
                <w:szCs w:val="20"/>
              </w:rPr>
              <w:t>plocha Z95</w:t>
            </w:r>
            <w:r w:rsidRPr="00A566E0">
              <w:rPr>
                <w:sz w:val="20"/>
                <w:szCs w:val="20"/>
              </w:rPr>
              <w:t>, část přičleněna pod společné oplocení (§58 a §2, odst. 1c stavebního zákona)</w:t>
            </w:r>
          </w:p>
        </w:tc>
      </w:tr>
      <w:tr w:rsidR="00CB42B3" w:rsidRPr="00A566E0" w14:paraId="4DDD2764" w14:textId="77777777" w:rsidTr="00A566E0">
        <w:tc>
          <w:tcPr>
            <w:tcW w:w="1952" w:type="dxa"/>
          </w:tcPr>
          <w:p w14:paraId="4B41E12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241</w:t>
            </w:r>
          </w:p>
        </w:tc>
        <w:tc>
          <w:tcPr>
            <w:tcW w:w="1133" w:type="dxa"/>
          </w:tcPr>
          <w:p w14:paraId="39669A70"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0,235</w:t>
            </w:r>
          </w:p>
        </w:tc>
        <w:tc>
          <w:tcPr>
            <w:tcW w:w="2978" w:type="dxa"/>
          </w:tcPr>
          <w:p w14:paraId="303F804C" w14:textId="77777777" w:rsidR="00CB42B3" w:rsidRPr="00A566E0" w:rsidRDefault="00CB42B3" w:rsidP="00A566E0">
            <w:pPr>
              <w:spacing w:before="40" w:after="40" w:line="240" w:lineRule="auto"/>
              <w:jc w:val="left"/>
              <w:rPr>
                <w:sz w:val="20"/>
                <w:szCs w:val="20"/>
                <w:highlight w:val="green"/>
              </w:rPr>
            </w:pPr>
            <w:r w:rsidRPr="00A566E0">
              <w:rPr>
                <w:sz w:val="20"/>
                <w:szCs w:val="20"/>
              </w:rPr>
              <w:t>částečně vymezena jako stabilizovaná plocha, část vypuštěna</w:t>
            </w:r>
          </w:p>
        </w:tc>
        <w:tc>
          <w:tcPr>
            <w:tcW w:w="3118" w:type="dxa"/>
          </w:tcPr>
          <w:p w14:paraId="0F29B3A3" w14:textId="77777777" w:rsidR="00CB42B3" w:rsidRPr="00A566E0" w:rsidRDefault="00CB42B3" w:rsidP="00A566E0">
            <w:pPr>
              <w:pStyle w:val="1text"/>
              <w:spacing w:before="40" w:after="40"/>
              <w:jc w:val="left"/>
              <w:rPr>
                <w:sz w:val="20"/>
                <w:szCs w:val="20"/>
                <w:highlight w:val="green"/>
              </w:rPr>
            </w:pPr>
            <w:r w:rsidRPr="00A566E0">
              <w:rPr>
                <w:sz w:val="20"/>
                <w:szCs w:val="20"/>
              </w:rPr>
              <w:t>část realizována</w:t>
            </w:r>
          </w:p>
        </w:tc>
      </w:tr>
      <w:tr w:rsidR="00CB42B3" w:rsidRPr="00A566E0" w14:paraId="25F4A43E" w14:textId="77777777" w:rsidTr="00A566E0">
        <w:tc>
          <w:tcPr>
            <w:tcW w:w="1952" w:type="dxa"/>
          </w:tcPr>
          <w:p w14:paraId="383D037E"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242</w:t>
            </w:r>
          </w:p>
        </w:tc>
        <w:tc>
          <w:tcPr>
            <w:tcW w:w="1133" w:type="dxa"/>
          </w:tcPr>
          <w:p w14:paraId="17BBBC49"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0,595</w:t>
            </w:r>
          </w:p>
        </w:tc>
        <w:tc>
          <w:tcPr>
            <w:tcW w:w="2978" w:type="dxa"/>
          </w:tcPr>
          <w:p w14:paraId="18330940"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Pr>
          <w:p w14:paraId="78F68FB9"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Z96</w:t>
            </w:r>
          </w:p>
        </w:tc>
      </w:tr>
      <w:tr w:rsidR="00CB42B3" w:rsidRPr="00A566E0" w14:paraId="4191EB9D" w14:textId="77777777" w:rsidTr="00A566E0">
        <w:tc>
          <w:tcPr>
            <w:tcW w:w="1952" w:type="dxa"/>
          </w:tcPr>
          <w:p w14:paraId="354DB810"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243</w:t>
            </w:r>
          </w:p>
        </w:tc>
        <w:tc>
          <w:tcPr>
            <w:tcW w:w="1133" w:type="dxa"/>
          </w:tcPr>
          <w:p w14:paraId="019B19FA"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0,619</w:t>
            </w:r>
          </w:p>
        </w:tc>
        <w:tc>
          <w:tcPr>
            <w:tcW w:w="2978" w:type="dxa"/>
          </w:tcPr>
          <w:p w14:paraId="36404F55"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Pr>
          <w:p w14:paraId="5C303C9B"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Z97</w:t>
            </w:r>
          </w:p>
        </w:tc>
      </w:tr>
      <w:tr w:rsidR="00CB42B3" w:rsidRPr="00A566E0" w14:paraId="76F65CDE" w14:textId="77777777" w:rsidTr="00A566E0">
        <w:tc>
          <w:tcPr>
            <w:tcW w:w="1952" w:type="dxa"/>
          </w:tcPr>
          <w:p w14:paraId="1608AFB1"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Z12.09</w:t>
            </w:r>
          </w:p>
        </w:tc>
        <w:tc>
          <w:tcPr>
            <w:tcW w:w="1133" w:type="dxa"/>
          </w:tcPr>
          <w:p w14:paraId="6648E1FB"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0,472</w:t>
            </w:r>
          </w:p>
        </w:tc>
        <w:tc>
          <w:tcPr>
            <w:tcW w:w="2978" w:type="dxa"/>
          </w:tcPr>
          <w:p w14:paraId="15123B5E"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Pr>
          <w:p w14:paraId="777C4F2D"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Z103</w:t>
            </w:r>
          </w:p>
        </w:tc>
      </w:tr>
      <w:tr w:rsidR="00CB42B3" w:rsidRPr="00A566E0" w14:paraId="7169A5EE" w14:textId="77777777" w:rsidTr="00A566E0">
        <w:tc>
          <w:tcPr>
            <w:tcW w:w="1952" w:type="dxa"/>
          </w:tcPr>
          <w:p w14:paraId="6455A3A9"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Z12.10</w:t>
            </w:r>
          </w:p>
        </w:tc>
        <w:tc>
          <w:tcPr>
            <w:tcW w:w="1133" w:type="dxa"/>
          </w:tcPr>
          <w:p w14:paraId="447483B4"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0,588</w:t>
            </w:r>
          </w:p>
        </w:tc>
        <w:tc>
          <w:tcPr>
            <w:tcW w:w="2978" w:type="dxa"/>
          </w:tcPr>
          <w:p w14:paraId="44ED6D27"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Pr>
          <w:p w14:paraId="6381460F"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Z92</w:t>
            </w:r>
          </w:p>
        </w:tc>
      </w:tr>
      <w:tr w:rsidR="00CB42B3" w:rsidRPr="00A566E0" w14:paraId="36A82B57" w14:textId="77777777" w:rsidTr="00A566E0">
        <w:tc>
          <w:tcPr>
            <w:tcW w:w="1952" w:type="dxa"/>
            <w:tcBorders>
              <w:bottom w:val="single" w:sz="12" w:space="0" w:color="auto"/>
            </w:tcBorders>
          </w:tcPr>
          <w:p w14:paraId="7D0F9EA8"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Z12.11</w:t>
            </w:r>
          </w:p>
        </w:tc>
        <w:tc>
          <w:tcPr>
            <w:tcW w:w="1133" w:type="dxa"/>
            <w:tcBorders>
              <w:bottom w:val="single" w:sz="12" w:space="0" w:color="auto"/>
            </w:tcBorders>
          </w:tcPr>
          <w:p w14:paraId="5B469555"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0,176</w:t>
            </w:r>
          </w:p>
        </w:tc>
        <w:tc>
          <w:tcPr>
            <w:tcW w:w="2978" w:type="dxa"/>
            <w:tcBorders>
              <w:bottom w:val="single" w:sz="12" w:space="0" w:color="auto"/>
            </w:tcBorders>
          </w:tcPr>
          <w:p w14:paraId="3DDBB2EC"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Borders>
              <w:bottom w:val="single" w:sz="12" w:space="0" w:color="auto"/>
            </w:tcBorders>
          </w:tcPr>
          <w:p w14:paraId="306BE7CB"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Z104</w:t>
            </w:r>
          </w:p>
        </w:tc>
      </w:tr>
      <w:tr w:rsidR="00CB42B3" w:rsidRPr="00A566E0" w14:paraId="7A2F7068" w14:textId="77777777" w:rsidTr="00A566E0">
        <w:tc>
          <w:tcPr>
            <w:tcW w:w="1952" w:type="dxa"/>
            <w:tcBorders>
              <w:top w:val="single" w:sz="12" w:space="0" w:color="auto"/>
              <w:left w:val="single" w:sz="12" w:space="0" w:color="auto"/>
            </w:tcBorders>
            <w:shd w:val="clear" w:color="auto" w:fill="F2F2F2" w:themeFill="background1" w:themeFillShade="F2"/>
          </w:tcPr>
          <w:p w14:paraId="6C938537"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sz w:val="20"/>
                <w:szCs w:val="20"/>
                <w:lang w:eastAsia="cs-CZ"/>
              </w:rPr>
              <w:t>CELKEM K.U. DOLNÍ SUCHÁ U CHOTYNĚ</w:t>
            </w:r>
          </w:p>
        </w:tc>
        <w:tc>
          <w:tcPr>
            <w:tcW w:w="7229" w:type="dxa"/>
            <w:gridSpan w:val="3"/>
            <w:tcBorders>
              <w:top w:val="single" w:sz="12" w:space="0" w:color="auto"/>
              <w:right w:val="single" w:sz="12" w:space="0" w:color="auto"/>
            </w:tcBorders>
            <w:shd w:val="clear" w:color="auto" w:fill="F2F2F2" w:themeFill="background1" w:themeFillShade="F2"/>
          </w:tcPr>
          <w:p w14:paraId="726A7C4C" w14:textId="77777777" w:rsidR="00CB42B3" w:rsidRPr="00A566E0" w:rsidRDefault="00CB42B3" w:rsidP="00A566E0">
            <w:pPr>
              <w:pStyle w:val="1text"/>
              <w:spacing w:before="40" w:after="40"/>
              <w:jc w:val="left"/>
              <w:rPr>
                <w:b/>
                <w:sz w:val="20"/>
                <w:szCs w:val="20"/>
                <w:highlight w:val="green"/>
              </w:rPr>
            </w:pPr>
            <w:r w:rsidRPr="00A566E0">
              <w:rPr>
                <w:rFonts w:eastAsia="Times New Roman"/>
                <w:b/>
                <w:color w:val="000000"/>
                <w:sz w:val="20"/>
                <w:szCs w:val="20"/>
                <w:lang w:eastAsia="cs-CZ"/>
              </w:rPr>
              <w:t>5,064</w:t>
            </w:r>
          </w:p>
        </w:tc>
      </w:tr>
      <w:tr w:rsidR="00CB42B3" w:rsidRPr="00A566E0" w14:paraId="7FA4BC8D" w14:textId="77777777" w:rsidTr="00A566E0">
        <w:tc>
          <w:tcPr>
            <w:tcW w:w="1952" w:type="dxa"/>
            <w:vMerge w:val="restart"/>
            <w:tcBorders>
              <w:left w:val="single" w:sz="12" w:space="0" w:color="auto"/>
            </w:tcBorders>
          </w:tcPr>
          <w:p w14:paraId="08F84F47"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 toho:</w:t>
            </w:r>
          </w:p>
        </w:tc>
        <w:tc>
          <w:tcPr>
            <w:tcW w:w="1133" w:type="dxa"/>
            <w:shd w:val="clear" w:color="auto" w:fill="auto"/>
          </w:tcPr>
          <w:p w14:paraId="39061642"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4,375 ha</w:t>
            </w:r>
          </w:p>
        </w:tc>
        <w:tc>
          <w:tcPr>
            <w:tcW w:w="6096" w:type="dxa"/>
            <w:gridSpan w:val="2"/>
            <w:tcBorders>
              <w:right w:val="single" w:sz="12" w:space="0" w:color="auto"/>
            </w:tcBorders>
          </w:tcPr>
          <w:p w14:paraId="3990B60C" w14:textId="77777777" w:rsidR="00CB42B3" w:rsidRPr="00A566E0" w:rsidRDefault="00CB42B3" w:rsidP="00A566E0">
            <w:pPr>
              <w:pStyle w:val="1text"/>
              <w:spacing w:before="40" w:after="40"/>
              <w:jc w:val="left"/>
              <w:rPr>
                <w:sz w:val="20"/>
                <w:szCs w:val="20"/>
              </w:rPr>
            </w:pPr>
            <w:r w:rsidRPr="00A566E0">
              <w:rPr>
                <w:b/>
                <w:sz w:val="20"/>
                <w:szCs w:val="20"/>
              </w:rPr>
              <w:t>záborů ZPF převzato</w:t>
            </w:r>
          </w:p>
        </w:tc>
      </w:tr>
      <w:tr w:rsidR="00CB42B3" w:rsidRPr="00A566E0" w14:paraId="64961191" w14:textId="77777777" w:rsidTr="00A566E0">
        <w:tc>
          <w:tcPr>
            <w:tcW w:w="1952" w:type="dxa"/>
            <w:vMerge/>
            <w:tcBorders>
              <w:left w:val="single" w:sz="12" w:space="0" w:color="auto"/>
            </w:tcBorders>
          </w:tcPr>
          <w:p w14:paraId="6DE27763" w14:textId="77777777" w:rsidR="00CB42B3" w:rsidRPr="00A566E0" w:rsidRDefault="00CB42B3" w:rsidP="00A566E0">
            <w:pPr>
              <w:pStyle w:val="1text"/>
              <w:spacing w:before="40" w:after="40"/>
              <w:jc w:val="left"/>
              <w:rPr>
                <w:rFonts w:eastAsia="Times New Roman"/>
                <w:b/>
                <w:color w:val="000000"/>
                <w:sz w:val="20"/>
                <w:szCs w:val="20"/>
                <w:lang w:eastAsia="cs-CZ"/>
              </w:rPr>
            </w:pPr>
          </w:p>
        </w:tc>
        <w:tc>
          <w:tcPr>
            <w:tcW w:w="1133" w:type="dxa"/>
            <w:shd w:val="clear" w:color="auto" w:fill="auto"/>
          </w:tcPr>
          <w:p w14:paraId="240B0F12"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0,384 ha</w:t>
            </w:r>
          </w:p>
        </w:tc>
        <w:tc>
          <w:tcPr>
            <w:tcW w:w="6096" w:type="dxa"/>
            <w:gridSpan w:val="2"/>
            <w:tcBorders>
              <w:right w:val="single" w:sz="12" w:space="0" w:color="auto"/>
            </w:tcBorders>
          </w:tcPr>
          <w:p w14:paraId="574DF3FD" w14:textId="77777777" w:rsidR="00CB42B3" w:rsidRPr="00A566E0" w:rsidRDefault="00CB42B3" w:rsidP="00A566E0">
            <w:pPr>
              <w:pStyle w:val="1text"/>
              <w:spacing w:before="40" w:after="40"/>
              <w:jc w:val="left"/>
              <w:rPr>
                <w:sz w:val="20"/>
                <w:szCs w:val="20"/>
              </w:rPr>
            </w:pPr>
            <w:r w:rsidRPr="00A566E0">
              <w:rPr>
                <w:b/>
                <w:sz w:val="20"/>
                <w:szCs w:val="20"/>
              </w:rPr>
              <w:t>záborů ZPF vymezeno jako stabilizovaná plocha</w:t>
            </w:r>
          </w:p>
        </w:tc>
      </w:tr>
      <w:tr w:rsidR="00CB42B3" w:rsidRPr="00A566E0" w14:paraId="3052E407" w14:textId="77777777" w:rsidTr="00A566E0">
        <w:tc>
          <w:tcPr>
            <w:tcW w:w="1952" w:type="dxa"/>
            <w:vMerge/>
            <w:tcBorders>
              <w:left w:val="single" w:sz="12" w:space="0" w:color="auto"/>
              <w:bottom w:val="single" w:sz="12" w:space="0" w:color="auto"/>
            </w:tcBorders>
          </w:tcPr>
          <w:p w14:paraId="6C2CCDA7" w14:textId="77777777" w:rsidR="00CB42B3" w:rsidRPr="00A566E0" w:rsidRDefault="00CB42B3" w:rsidP="00A566E0">
            <w:pPr>
              <w:pStyle w:val="1text"/>
              <w:spacing w:before="40" w:after="40"/>
              <w:jc w:val="left"/>
              <w:rPr>
                <w:rFonts w:eastAsia="Times New Roman"/>
                <w:b/>
                <w:color w:val="000000"/>
                <w:sz w:val="20"/>
                <w:szCs w:val="20"/>
                <w:lang w:eastAsia="cs-CZ"/>
              </w:rPr>
            </w:pPr>
          </w:p>
        </w:tc>
        <w:tc>
          <w:tcPr>
            <w:tcW w:w="1133" w:type="dxa"/>
            <w:tcBorders>
              <w:bottom w:val="single" w:sz="12" w:space="0" w:color="auto"/>
            </w:tcBorders>
            <w:shd w:val="clear" w:color="auto" w:fill="auto"/>
          </w:tcPr>
          <w:p w14:paraId="0DDA61AD"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0,305 ha</w:t>
            </w:r>
          </w:p>
        </w:tc>
        <w:tc>
          <w:tcPr>
            <w:tcW w:w="6096" w:type="dxa"/>
            <w:gridSpan w:val="2"/>
            <w:tcBorders>
              <w:bottom w:val="single" w:sz="12" w:space="0" w:color="auto"/>
              <w:right w:val="single" w:sz="12" w:space="0" w:color="auto"/>
            </w:tcBorders>
          </w:tcPr>
          <w:p w14:paraId="0DE1F3CE" w14:textId="77777777" w:rsidR="00CB42B3" w:rsidRPr="00A566E0" w:rsidRDefault="00CB42B3" w:rsidP="00A566E0">
            <w:pPr>
              <w:pStyle w:val="1text"/>
              <w:spacing w:before="40" w:after="40"/>
              <w:jc w:val="left"/>
              <w:rPr>
                <w:sz w:val="20"/>
                <w:szCs w:val="20"/>
              </w:rPr>
            </w:pPr>
            <w:r w:rsidRPr="00A566E0">
              <w:rPr>
                <w:b/>
                <w:sz w:val="20"/>
                <w:szCs w:val="20"/>
              </w:rPr>
              <w:t>záborů ZPF vypuštěno</w:t>
            </w:r>
          </w:p>
        </w:tc>
      </w:tr>
      <w:tr w:rsidR="00CB42B3" w:rsidRPr="00A566E0" w14:paraId="3D56630D" w14:textId="77777777" w:rsidTr="00A566E0">
        <w:tc>
          <w:tcPr>
            <w:tcW w:w="9181" w:type="dxa"/>
            <w:gridSpan w:val="4"/>
            <w:tcBorders>
              <w:top w:val="single" w:sz="12" w:space="0" w:color="auto"/>
            </w:tcBorders>
            <w:shd w:val="clear" w:color="auto" w:fill="D9D9D9" w:themeFill="background1" w:themeFillShade="D9"/>
          </w:tcPr>
          <w:p w14:paraId="7702B13D" w14:textId="77777777" w:rsidR="00CB42B3" w:rsidRPr="00A566E0" w:rsidRDefault="00CB42B3" w:rsidP="00A566E0">
            <w:pPr>
              <w:pStyle w:val="1text"/>
              <w:spacing w:before="40" w:after="40"/>
              <w:jc w:val="left"/>
              <w:rPr>
                <w:b/>
                <w:sz w:val="20"/>
                <w:szCs w:val="20"/>
              </w:rPr>
            </w:pPr>
            <w:r w:rsidRPr="00A566E0">
              <w:rPr>
                <w:b/>
                <w:sz w:val="20"/>
                <w:szCs w:val="20"/>
              </w:rPr>
              <w:t>K.Ú. DONÍN U HRÁDKU NAD NISOU</w:t>
            </w:r>
          </w:p>
        </w:tc>
      </w:tr>
      <w:tr w:rsidR="00CB42B3" w:rsidRPr="00A566E0" w14:paraId="6F3F36C6" w14:textId="77777777" w:rsidTr="00A566E0">
        <w:tc>
          <w:tcPr>
            <w:tcW w:w="9181" w:type="dxa"/>
            <w:gridSpan w:val="4"/>
          </w:tcPr>
          <w:p w14:paraId="3622C729" w14:textId="77777777" w:rsidR="00CB42B3" w:rsidRPr="00A566E0" w:rsidRDefault="00CB42B3" w:rsidP="00A566E0">
            <w:pPr>
              <w:pStyle w:val="1text"/>
              <w:spacing w:before="40" w:after="40"/>
              <w:jc w:val="left"/>
              <w:rPr>
                <w:sz w:val="20"/>
                <w:szCs w:val="20"/>
                <w:highlight w:val="green"/>
              </w:rPr>
            </w:pPr>
            <w:r w:rsidRPr="00A566E0">
              <w:rPr>
                <w:sz w:val="20"/>
                <w:szCs w:val="20"/>
              </w:rPr>
              <w:lastRenderedPageBreak/>
              <w:t>Plochy smíšené obytné</w:t>
            </w:r>
          </w:p>
        </w:tc>
      </w:tr>
      <w:tr w:rsidR="00CB42B3" w:rsidRPr="00A566E0" w14:paraId="251D78ED" w14:textId="77777777" w:rsidTr="00A566E0">
        <w:tc>
          <w:tcPr>
            <w:tcW w:w="1952" w:type="dxa"/>
          </w:tcPr>
          <w:p w14:paraId="672543B0"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52</w:t>
            </w:r>
          </w:p>
        </w:tc>
        <w:tc>
          <w:tcPr>
            <w:tcW w:w="1133" w:type="dxa"/>
          </w:tcPr>
          <w:p w14:paraId="1BA29739"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0,389</w:t>
            </w:r>
          </w:p>
        </w:tc>
        <w:tc>
          <w:tcPr>
            <w:tcW w:w="2978" w:type="dxa"/>
          </w:tcPr>
          <w:p w14:paraId="479028D8"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007BB6B9" w14:textId="77777777" w:rsidR="00CB42B3" w:rsidRPr="00A566E0" w:rsidRDefault="00CB42B3" w:rsidP="00A566E0">
            <w:pPr>
              <w:pStyle w:val="1text"/>
              <w:spacing w:before="40" w:after="40"/>
              <w:jc w:val="left"/>
              <w:rPr>
                <w:sz w:val="20"/>
                <w:szCs w:val="20"/>
                <w:highlight w:val="green"/>
              </w:rPr>
            </w:pPr>
          </w:p>
        </w:tc>
      </w:tr>
      <w:tr w:rsidR="00CB42B3" w:rsidRPr="00A566E0" w14:paraId="08393843" w14:textId="77777777" w:rsidTr="00A566E0">
        <w:tc>
          <w:tcPr>
            <w:tcW w:w="1952" w:type="dxa"/>
          </w:tcPr>
          <w:p w14:paraId="76B4EBE5"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53</w:t>
            </w:r>
          </w:p>
        </w:tc>
        <w:tc>
          <w:tcPr>
            <w:tcW w:w="1133" w:type="dxa"/>
          </w:tcPr>
          <w:p w14:paraId="15CAA6B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0,240</w:t>
            </w:r>
          </w:p>
        </w:tc>
        <w:tc>
          <w:tcPr>
            <w:tcW w:w="2978" w:type="dxa"/>
          </w:tcPr>
          <w:p w14:paraId="1A69A527"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61F17C44" w14:textId="77777777" w:rsidR="00CB42B3" w:rsidRPr="00A566E0" w:rsidRDefault="00CB42B3" w:rsidP="00A566E0">
            <w:pPr>
              <w:pStyle w:val="1text"/>
              <w:spacing w:before="40" w:after="40"/>
              <w:jc w:val="left"/>
              <w:rPr>
                <w:sz w:val="20"/>
                <w:szCs w:val="20"/>
                <w:highlight w:val="green"/>
              </w:rPr>
            </w:pPr>
          </w:p>
        </w:tc>
      </w:tr>
      <w:tr w:rsidR="00CB42B3" w:rsidRPr="00A566E0" w14:paraId="47FF83A9" w14:textId="77777777" w:rsidTr="00A566E0">
        <w:tc>
          <w:tcPr>
            <w:tcW w:w="1952" w:type="dxa"/>
          </w:tcPr>
          <w:p w14:paraId="163029F9"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68</w:t>
            </w:r>
          </w:p>
        </w:tc>
        <w:tc>
          <w:tcPr>
            <w:tcW w:w="1133" w:type="dxa"/>
          </w:tcPr>
          <w:p w14:paraId="50C701CF"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0,598</w:t>
            </w:r>
          </w:p>
        </w:tc>
        <w:tc>
          <w:tcPr>
            <w:tcW w:w="2978" w:type="dxa"/>
          </w:tcPr>
          <w:p w14:paraId="7D9D3F8E"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149C373B"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5CA43284" w14:textId="77777777" w:rsidTr="00A566E0">
        <w:tc>
          <w:tcPr>
            <w:tcW w:w="1952" w:type="dxa"/>
          </w:tcPr>
          <w:p w14:paraId="306AD133"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151</w:t>
            </w:r>
          </w:p>
        </w:tc>
        <w:tc>
          <w:tcPr>
            <w:tcW w:w="1133" w:type="dxa"/>
          </w:tcPr>
          <w:p w14:paraId="0CE84D19"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2,000</w:t>
            </w:r>
          </w:p>
        </w:tc>
        <w:tc>
          <w:tcPr>
            <w:tcW w:w="2978" w:type="dxa"/>
            <w:shd w:val="clear" w:color="auto" w:fill="auto"/>
          </w:tcPr>
          <w:p w14:paraId="46E27B11" w14:textId="77777777" w:rsidR="00CB42B3" w:rsidRPr="00A566E0" w:rsidRDefault="00CB42B3" w:rsidP="00A566E0">
            <w:pPr>
              <w:spacing w:before="40" w:after="40" w:line="240" w:lineRule="auto"/>
              <w:jc w:val="left"/>
              <w:rPr>
                <w:sz w:val="20"/>
                <w:szCs w:val="20"/>
                <w:highlight w:val="green"/>
              </w:rPr>
            </w:pPr>
            <w:r w:rsidRPr="00A566E0">
              <w:rPr>
                <w:b/>
                <w:sz w:val="20"/>
                <w:szCs w:val="20"/>
              </w:rPr>
              <w:t>v rozsahu 1,461 ha převzato do ÚP</w:t>
            </w:r>
            <w:r w:rsidRPr="00A566E0">
              <w:rPr>
                <w:sz w:val="20"/>
                <w:szCs w:val="20"/>
              </w:rPr>
              <w:t>, část vymezena jako stabilizovaná plocha, v části záměr vypuštěn</w:t>
            </w:r>
          </w:p>
        </w:tc>
        <w:tc>
          <w:tcPr>
            <w:tcW w:w="3118" w:type="dxa"/>
          </w:tcPr>
          <w:p w14:paraId="799823D9" w14:textId="77777777" w:rsidR="00CB42B3" w:rsidRPr="00A566E0" w:rsidRDefault="00CB42B3" w:rsidP="00A566E0">
            <w:pPr>
              <w:pStyle w:val="1text"/>
              <w:spacing w:before="40" w:after="40"/>
              <w:jc w:val="left"/>
              <w:rPr>
                <w:sz w:val="20"/>
                <w:szCs w:val="20"/>
                <w:highlight w:val="green"/>
              </w:rPr>
            </w:pPr>
            <w:r w:rsidRPr="00A566E0">
              <w:rPr>
                <w:b/>
                <w:sz w:val="20"/>
                <w:szCs w:val="20"/>
              </w:rPr>
              <w:t>plochy Z73 a Z107</w:t>
            </w:r>
            <w:r w:rsidRPr="00A566E0">
              <w:rPr>
                <w:sz w:val="20"/>
                <w:szCs w:val="20"/>
              </w:rPr>
              <w:t>, část realizována, část přičleněna pod společné oplocení (§58 a §2, odst. 1c stavebního zákona)</w:t>
            </w:r>
          </w:p>
        </w:tc>
      </w:tr>
      <w:tr w:rsidR="00CB42B3" w:rsidRPr="00A566E0" w14:paraId="69E0F437" w14:textId="77777777" w:rsidTr="00A566E0">
        <w:tc>
          <w:tcPr>
            <w:tcW w:w="1952" w:type="dxa"/>
          </w:tcPr>
          <w:p w14:paraId="2232E75E"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152</w:t>
            </w:r>
          </w:p>
        </w:tc>
        <w:tc>
          <w:tcPr>
            <w:tcW w:w="1133" w:type="dxa"/>
          </w:tcPr>
          <w:p w14:paraId="15E2CCD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0,154</w:t>
            </w:r>
          </w:p>
        </w:tc>
        <w:tc>
          <w:tcPr>
            <w:tcW w:w="2978" w:type="dxa"/>
          </w:tcPr>
          <w:p w14:paraId="38D8A606"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6A66192E" w14:textId="77777777" w:rsidR="00CB42B3" w:rsidRPr="00A566E0" w:rsidRDefault="00CB42B3" w:rsidP="00A566E0">
            <w:pPr>
              <w:pStyle w:val="1text"/>
              <w:spacing w:before="40" w:after="40"/>
              <w:jc w:val="left"/>
              <w:rPr>
                <w:sz w:val="20"/>
                <w:szCs w:val="20"/>
                <w:highlight w:val="green"/>
              </w:rPr>
            </w:pPr>
            <w:r w:rsidRPr="00A566E0">
              <w:rPr>
                <w:sz w:val="20"/>
                <w:szCs w:val="20"/>
              </w:rPr>
              <w:t>dle §58 stavebního zákona (proluka)</w:t>
            </w:r>
          </w:p>
        </w:tc>
      </w:tr>
      <w:tr w:rsidR="00CB42B3" w:rsidRPr="00A566E0" w14:paraId="5121B7A3" w14:textId="77777777" w:rsidTr="00A566E0">
        <w:tc>
          <w:tcPr>
            <w:tcW w:w="1952" w:type="dxa"/>
          </w:tcPr>
          <w:p w14:paraId="7605E181"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153</w:t>
            </w:r>
          </w:p>
        </w:tc>
        <w:tc>
          <w:tcPr>
            <w:tcW w:w="1133" w:type="dxa"/>
          </w:tcPr>
          <w:p w14:paraId="5AA917E9"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0,756</w:t>
            </w:r>
          </w:p>
        </w:tc>
        <w:tc>
          <w:tcPr>
            <w:tcW w:w="2978" w:type="dxa"/>
          </w:tcPr>
          <w:p w14:paraId="24071DD6"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Pr>
          <w:p w14:paraId="40106C90"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Z109</w:t>
            </w:r>
          </w:p>
        </w:tc>
      </w:tr>
      <w:tr w:rsidR="00CB42B3" w:rsidRPr="00A566E0" w14:paraId="27E42A45" w14:textId="77777777" w:rsidTr="00A566E0">
        <w:tc>
          <w:tcPr>
            <w:tcW w:w="1952" w:type="dxa"/>
          </w:tcPr>
          <w:p w14:paraId="158ED490"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159</w:t>
            </w:r>
          </w:p>
        </w:tc>
        <w:tc>
          <w:tcPr>
            <w:tcW w:w="1133" w:type="dxa"/>
          </w:tcPr>
          <w:p w14:paraId="237D64D1"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0,980</w:t>
            </w:r>
          </w:p>
        </w:tc>
        <w:tc>
          <w:tcPr>
            <w:tcW w:w="2978" w:type="dxa"/>
          </w:tcPr>
          <w:p w14:paraId="1C916ADD" w14:textId="77777777" w:rsidR="00CB42B3" w:rsidRPr="00A566E0" w:rsidRDefault="00CB42B3" w:rsidP="00A566E0">
            <w:pPr>
              <w:spacing w:before="40" w:after="40" w:line="240" w:lineRule="auto"/>
              <w:jc w:val="left"/>
              <w:rPr>
                <w:b/>
                <w:sz w:val="20"/>
                <w:szCs w:val="20"/>
                <w:highlight w:val="green"/>
              </w:rPr>
            </w:pPr>
            <w:r w:rsidRPr="00A566E0">
              <w:rPr>
                <w:rFonts w:eastAsia="Times New Roman"/>
                <w:b/>
                <w:sz w:val="20"/>
                <w:szCs w:val="20"/>
                <w:lang w:eastAsia="cs-CZ"/>
              </w:rPr>
              <w:t>převzato do ÚP</w:t>
            </w:r>
          </w:p>
        </w:tc>
        <w:tc>
          <w:tcPr>
            <w:tcW w:w="3118" w:type="dxa"/>
          </w:tcPr>
          <w:p w14:paraId="11BD57F6" w14:textId="77777777" w:rsidR="00CB42B3" w:rsidRPr="00A566E0" w:rsidRDefault="00CB42B3" w:rsidP="00A566E0">
            <w:pPr>
              <w:pStyle w:val="1text"/>
              <w:spacing w:before="40" w:after="40"/>
              <w:jc w:val="left"/>
              <w:rPr>
                <w:b/>
                <w:sz w:val="20"/>
                <w:szCs w:val="20"/>
                <w:highlight w:val="green"/>
              </w:rPr>
            </w:pPr>
            <w:r w:rsidRPr="00A566E0">
              <w:rPr>
                <w:b/>
                <w:sz w:val="20"/>
                <w:szCs w:val="20"/>
              </w:rPr>
              <w:t>plochy Z74 a Z75</w:t>
            </w:r>
          </w:p>
        </w:tc>
      </w:tr>
      <w:tr w:rsidR="00CB42B3" w:rsidRPr="00A566E0" w14:paraId="103A8ED0" w14:textId="77777777" w:rsidTr="00A566E0">
        <w:tc>
          <w:tcPr>
            <w:tcW w:w="1952" w:type="dxa"/>
          </w:tcPr>
          <w:p w14:paraId="773671D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Z12.04</w:t>
            </w:r>
          </w:p>
        </w:tc>
        <w:tc>
          <w:tcPr>
            <w:tcW w:w="1133" w:type="dxa"/>
          </w:tcPr>
          <w:p w14:paraId="7EBAC1C3"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0,007</w:t>
            </w:r>
          </w:p>
        </w:tc>
        <w:tc>
          <w:tcPr>
            <w:tcW w:w="2978" w:type="dxa"/>
          </w:tcPr>
          <w:p w14:paraId="5DA8428F"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1B0E575F" w14:textId="77777777" w:rsidR="00CB42B3" w:rsidRPr="00A566E0" w:rsidRDefault="00CB42B3" w:rsidP="00A566E0">
            <w:pPr>
              <w:pStyle w:val="1text"/>
              <w:spacing w:before="40" w:after="40"/>
              <w:jc w:val="left"/>
              <w:rPr>
                <w:sz w:val="20"/>
                <w:szCs w:val="20"/>
                <w:highlight w:val="green"/>
              </w:rPr>
            </w:pPr>
          </w:p>
        </w:tc>
      </w:tr>
      <w:tr w:rsidR="00CB42B3" w:rsidRPr="00A566E0" w14:paraId="68328EF1" w14:textId="77777777" w:rsidTr="00A566E0">
        <w:tc>
          <w:tcPr>
            <w:tcW w:w="9181" w:type="dxa"/>
            <w:gridSpan w:val="4"/>
          </w:tcPr>
          <w:p w14:paraId="318576FD" w14:textId="77777777" w:rsidR="00CB42B3" w:rsidRPr="00A566E0" w:rsidRDefault="00CB42B3" w:rsidP="00A566E0">
            <w:pPr>
              <w:pStyle w:val="1text"/>
              <w:spacing w:before="40" w:after="40"/>
              <w:jc w:val="left"/>
              <w:rPr>
                <w:sz w:val="20"/>
                <w:szCs w:val="20"/>
              </w:rPr>
            </w:pPr>
            <w:r w:rsidRPr="00A566E0">
              <w:rPr>
                <w:sz w:val="20"/>
                <w:szCs w:val="20"/>
              </w:rPr>
              <w:t>Plochy bydlení</w:t>
            </w:r>
          </w:p>
        </w:tc>
      </w:tr>
      <w:tr w:rsidR="00CB42B3" w:rsidRPr="00A566E0" w14:paraId="13CDEE06" w14:textId="77777777" w:rsidTr="00A566E0">
        <w:tc>
          <w:tcPr>
            <w:tcW w:w="1952" w:type="dxa"/>
          </w:tcPr>
          <w:p w14:paraId="76A294E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61</w:t>
            </w:r>
          </w:p>
        </w:tc>
        <w:tc>
          <w:tcPr>
            <w:tcW w:w="1133" w:type="dxa"/>
          </w:tcPr>
          <w:p w14:paraId="56367A11"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1,700</w:t>
            </w:r>
          </w:p>
        </w:tc>
        <w:tc>
          <w:tcPr>
            <w:tcW w:w="2978" w:type="dxa"/>
          </w:tcPr>
          <w:p w14:paraId="02F5C19C"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29113293"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0C9A3E2D" w14:textId="77777777" w:rsidTr="00A566E0">
        <w:tc>
          <w:tcPr>
            <w:tcW w:w="1952" w:type="dxa"/>
          </w:tcPr>
          <w:p w14:paraId="5E3124A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62</w:t>
            </w:r>
          </w:p>
        </w:tc>
        <w:tc>
          <w:tcPr>
            <w:tcW w:w="1133" w:type="dxa"/>
          </w:tcPr>
          <w:p w14:paraId="1E574D7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0,450</w:t>
            </w:r>
          </w:p>
        </w:tc>
        <w:tc>
          <w:tcPr>
            <w:tcW w:w="2978" w:type="dxa"/>
          </w:tcPr>
          <w:p w14:paraId="1644B12B"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644D82A7" w14:textId="77777777" w:rsidR="00CB42B3" w:rsidRPr="00A566E0" w:rsidRDefault="00CB42B3" w:rsidP="00A566E0">
            <w:pPr>
              <w:pStyle w:val="1text"/>
              <w:spacing w:before="40" w:after="40"/>
              <w:jc w:val="left"/>
              <w:rPr>
                <w:sz w:val="20"/>
                <w:szCs w:val="20"/>
                <w:highlight w:val="green"/>
              </w:rPr>
            </w:pPr>
            <w:r w:rsidRPr="00A566E0">
              <w:rPr>
                <w:sz w:val="20"/>
                <w:szCs w:val="20"/>
              </w:rPr>
              <w:t>dle §58 stavebního zákona (proluka)</w:t>
            </w:r>
          </w:p>
        </w:tc>
      </w:tr>
      <w:tr w:rsidR="00CB42B3" w:rsidRPr="00A566E0" w14:paraId="57FE5ED2" w14:textId="77777777" w:rsidTr="00A566E0">
        <w:tc>
          <w:tcPr>
            <w:tcW w:w="1952" w:type="dxa"/>
          </w:tcPr>
          <w:p w14:paraId="14500158"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63</w:t>
            </w:r>
          </w:p>
        </w:tc>
        <w:tc>
          <w:tcPr>
            <w:tcW w:w="1133" w:type="dxa"/>
          </w:tcPr>
          <w:p w14:paraId="5C503AE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2,219</w:t>
            </w:r>
          </w:p>
        </w:tc>
        <w:tc>
          <w:tcPr>
            <w:tcW w:w="2978" w:type="dxa"/>
          </w:tcPr>
          <w:p w14:paraId="0CF070A9"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F1EB478" w14:textId="77777777" w:rsidR="00CB42B3" w:rsidRPr="00A566E0" w:rsidRDefault="00CB42B3" w:rsidP="00A566E0">
            <w:pPr>
              <w:pStyle w:val="1text"/>
              <w:spacing w:before="40" w:after="40"/>
              <w:jc w:val="left"/>
              <w:rPr>
                <w:sz w:val="20"/>
                <w:szCs w:val="20"/>
                <w:highlight w:val="green"/>
              </w:rPr>
            </w:pPr>
            <w:r w:rsidRPr="00A566E0">
              <w:rPr>
                <w:sz w:val="20"/>
                <w:szCs w:val="20"/>
              </w:rPr>
              <w:t>dle §58 stavebního zákona (proluka)</w:t>
            </w:r>
          </w:p>
        </w:tc>
      </w:tr>
      <w:tr w:rsidR="00CB42B3" w:rsidRPr="00A566E0" w14:paraId="6AECBDD1" w14:textId="77777777" w:rsidTr="00A566E0">
        <w:tc>
          <w:tcPr>
            <w:tcW w:w="1952" w:type="dxa"/>
          </w:tcPr>
          <w:p w14:paraId="5488889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64</w:t>
            </w:r>
          </w:p>
        </w:tc>
        <w:tc>
          <w:tcPr>
            <w:tcW w:w="1133" w:type="dxa"/>
          </w:tcPr>
          <w:p w14:paraId="14EDBF3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1,402</w:t>
            </w:r>
          </w:p>
        </w:tc>
        <w:tc>
          <w:tcPr>
            <w:tcW w:w="2978" w:type="dxa"/>
          </w:tcPr>
          <w:p w14:paraId="7FCD3BBA"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7F7948DA" w14:textId="77777777" w:rsidR="00CB42B3" w:rsidRPr="00A566E0" w:rsidRDefault="00CB42B3" w:rsidP="00A566E0">
            <w:pPr>
              <w:pStyle w:val="1text"/>
              <w:spacing w:before="40" w:after="40"/>
              <w:jc w:val="left"/>
              <w:rPr>
                <w:sz w:val="20"/>
                <w:szCs w:val="20"/>
              </w:rPr>
            </w:pPr>
            <w:r w:rsidRPr="00A566E0">
              <w:rPr>
                <w:sz w:val="20"/>
                <w:szCs w:val="20"/>
              </w:rPr>
              <w:t>dle §58 stavebního zákona (proluka), část realizována</w:t>
            </w:r>
          </w:p>
        </w:tc>
      </w:tr>
      <w:tr w:rsidR="00CB42B3" w:rsidRPr="00A566E0" w14:paraId="721074F3" w14:textId="77777777" w:rsidTr="00A566E0">
        <w:tc>
          <w:tcPr>
            <w:tcW w:w="1952" w:type="dxa"/>
          </w:tcPr>
          <w:p w14:paraId="173AE70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65</w:t>
            </w:r>
          </w:p>
        </w:tc>
        <w:tc>
          <w:tcPr>
            <w:tcW w:w="1133" w:type="dxa"/>
          </w:tcPr>
          <w:p w14:paraId="49BE9565"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0,447</w:t>
            </w:r>
          </w:p>
        </w:tc>
        <w:tc>
          <w:tcPr>
            <w:tcW w:w="2978" w:type="dxa"/>
          </w:tcPr>
          <w:p w14:paraId="2F761BF5"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611B5ECB" w14:textId="77777777" w:rsidR="00CB42B3" w:rsidRPr="00A566E0" w:rsidRDefault="00CB42B3" w:rsidP="00A566E0">
            <w:pPr>
              <w:pStyle w:val="1text"/>
              <w:spacing w:before="40" w:after="40"/>
              <w:jc w:val="left"/>
              <w:rPr>
                <w:sz w:val="20"/>
                <w:szCs w:val="20"/>
              </w:rPr>
            </w:pPr>
            <w:r w:rsidRPr="00A566E0">
              <w:rPr>
                <w:sz w:val="20"/>
                <w:szCs w:val="20"/>
              </w:rPr>
              <w:t>dle §58 stavebního zákona (proluka), část realizována</w:t>
            </w:r>
          </w:p>
        </w:tc>
      </w:tr>
      <w:tr w:rsidR="00CB42B3" w:rsidRPr="00A566E0" w14:paraId="07071C46" w14:textId="77777777" w:rsidTr="00A566E0">
        <w:tc>
          <w:tcPr>
            <w:tcW w:w="1952" w:type="dxa"/>
          </w:tcPr>
          <w:p w14:paraId="7C637AFF"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67</w:t>
            </w:r>
          </w:p>
        </w:tc>
        <w:tc>
          <w:tcPr>
            <w:tcW w:w="1133" w:type="dxa"/>
          </w:tcPr>
          <w:p w14:paraId="0F72780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0,472</w:t>
            </w:r>
          </w:p>
        </w:tc>
        <w:tc>
          <w:tcPr>
            <w:tcW w:w="2978" w:type="dxa"/>
            <w:shd w:val="clear" w:color="auto" w:fill="auto"/>
          </w:tcPr>
          <w:p w14:paraId="35748ED2" w14:textId="77777777" w:rsidR="00CB42B3" w:rsidRPr="00A566E0" w:rsidRDefault="00CB42B3" w:rsidP="00A566E0">
            <w:pPr>
              <w:spacing w:before="40" w:after="40" w:line="240" w:lineRule="auto"/>
              <w:jc w:val="left"/>
              <w:rPr>
                <w:sz w:val="20"/>
                <w:szCs w:val="20"/>
                <w:highlight w:val="green"/>
              </w:rPr>
            </w:pPr>
            <w:r w:rsidRPr="00A566E0">
              <w:rPr>
                <w:b/>
                <w:sz w:val="20"/>
                <w:szCs w:val="20"/>
              </w:rPr>
              <w:t xml:space="preserve">v rozsahu </w:t>
            </w:r>
            <w:r w:rsidRPr="00A566E0">
              <w:rPr>
                <w:rFonts w:eastAsia="Times New Roman"/>
                <w:b/>
                <w:sz w:val="20"/>
                <w:szCs w:val="20"/>
                <w:lang w:eastAsia="cs-CZ"/>
              </w:rPr>
              <w:t xml:space="preserve">0,220 </w:t>
            </w:r>
            <w:r w:rsidRPr="00A566E0">
              <w:rPr>
                <w:b/>
                <w:sz w:val="20"/>
                <w:szCs w:val="20"/>
              </w:rPr>
              <w:t>ha převzato do ÚP</w:t>
            </w:r>
            <w:r w:rsidRPr="00A566E0">
              <w:rPr>
                <w:sz w:val="20"/>
                <w:szCs w:val="20"/>
              </w:rPr>
              <w:t>, část vymezena jako stabilizovaná plocha, v části záměr vypuštěn</w:t>
            </w:r>
          </w:p>
        </w:tc>
        <w:tc>
          <w:tcPr>
            <w:tcW w:w="3118" w:type="dxa"/>
          </w:tcPr>
          <w:p w14:paraId="5397F10B" w14:textId="77777777" w:rsidR="00CB42B3" w:rsidRPr="00A566E0" w:rsidRDefault="00CB42B3" w:rsidP="00A566E0">
            <w:pPr>
              <w:pStyle w:val="1text"/>
              <w:spacing w:before="40" w:after="40"/>
              <w:jc w:val="left"/>
              <w:rPr>
                <w:sz w:val="20"/>
                <w:szCs w:val="20"/>
                <w:highlight w:val="green"/>
              </w:rPr>
            </w:pPr>
            <w:r w:rsidRPr="00A566E0">
              <w:rPr>
                <w:b/>
                <w:sz w:val="20"/>
                <w:szCs w:val="20"/>
              </w:rPr>
              <w:t>plocha Z68</w:t>
            </w:r>
            <w:r w:rsidRPr="00A566E0">
              <w:rPr>
                <w:sz w:val="20"/>
                <w:szCs w:val="20"/>
              </w:rPr>
              <w:t>, část dle §58 stavebního zákona (proluka)</w:t>
            </w:r>
          </w:p>
        </w:tc>
      </w:tr>
      <w:tr w:rsidR="00CB42B3" w:rsidRPr="00A566E0" w14:paraId="5E0DD5D9" w14:textId="77777777" w:rsidTr="00A566E0">
        <w:tc>
          <w:tcPr>
            <w:tcW w:w="1952" w:type="dxa"/>
          </w:tcPr>
          <w:p w14:paraId="36D464C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Z3/2</w:t>
            </w:r>
          </w:p>
        </w:tc>
        <w:tc>
          <w:tcPr>
            <w:tcW w:w="1133" w:type="dxa"/>
          </w:tcPr>
          <w:p w14:paraId="0D2AD46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4,220</w:t>
            </w:r>
          </w:p>
        </w:tc>
        <w:tc>
          <w:tcPr>
            <w:tcW w:w="2978" w:type="dxa"/>
          </w:tcPr>
          <w:p w14:paraId="3F22358D"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1E6D316D" w14:textId="77777777" w:rsidR="00CB42B3" w:rsidRPr="00A566E0" w:rsidRDefault="00CB42B3" w:rsidP="00A566E0">
            <w:pPr>
              <w:pStyle w:val="1text"/>
              <w:spacing w:before="40" w:after="40"/>
              <w:jc w:val="left"/>
              <w:rPr>
                <w:sz w:val="20"/>
                <w:szCs w:val="20"/>
                <w:highlight w:val="green"/>
              </w:rPr>
            </w:pPr>
          </w:p>
        </w:tc>
      </w:tr>
      <w:tr w:rsidR="00CB42B3" w:rsidRPr="00A566E0" w14:paraId="14184FE1" w14:textId="77777777" w:rsidTr="00A566E0">
        <w:tc>
          <w:tcPr>
            <w:tcW w:w="1952" w:type="dxa"/>
          </w:tcPr>
          <w:p w14:paraId="53D1C8F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Z3/3</w:t>
            </w:r>
          </w:p>
        </w:tc>
        <w:tc>
          <w:tcPr>
            <w:tcW w:w="1133" w:type="dxa"/>
          </w:tcPr>
          <w:p w14:paraId="32176B1F"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1,717</w:t>
            </w:r>
          </w:p>
        </w:tc>
        <w:tc>
          <w:tcPr>
            <w:tcW w:w="2978" w:type="dxa"/>
          </w:tcPr>
          <w:p w14:paraId="4775515D"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7ABF3319" w14:textId="77777777" w:rsidR="00CB42B3" w:rsidRPr="00A566E0" w:rsidRDefault="00CB42B3" w:rsidP="00A566E0">
            <w:pPr>
              <w:pStyle w:val="1text"/>
              <w:spacing w:before="40" w:after="40"/>
              <w:jc w:val="left"/>
              <w:rPr>
                <w:sz w:val="20"/>
                <w:szCs w:val="20"/>
              </w:rPr>
            </w:pPr>
            <w:r w:rsidRPr="00A566E0">
              <w:rPr>
                <w:sz w:val="20"/>
                <w:szCs w:val="20"/>
              </w:rPr>
              <w:t>dle §58 stavebního zákona (proluka), část realizována</w:t>
            </w:r>
          </w:p>
        </w:tc>
      </w:tr>
      <w:tr w:rsidR="00CB42B3" w:rsidRPr="00A566E0" w14:paraId="53D2EDFB" w14:textId="77777777" w:rsidTr="00A566E0">
        <w:tc>
          <w:tcPr>
            <w:tcW w:w="1952" w:type="dxa"/>
          </w:tcPr>
          <w:p w14:paraId="03BD1FB7"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Z12.15</w:t>
            </w:r>
          </w:p>
        </w:tc>
        <w:tc>
          <w:tcPr>
            <w:tcW w:w="1133" w:type="dxa"/>
          </w:tcPr>
          <w:p w14:paraId="0976731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0,141</w:t>
            </w:r>
          </w:p>
        </w:tc>
        <w:tc>
          <w:tcPr>
            <w:tcW w:w="2978" w:type="dxa"/>
          </w:tcPr>
          <w:p w14:paraId="202926DF"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65C50EBA" w14:textId="77777777" w:rsidR="00CB42B3" w:rsidRPr="00A566E0" w:rsidRDefault="00CB42B3" w:rsidP="00A566E0">
            <w:pPr>
              <w:pStyle w:val="1text"/>
              <w:spacing w:before="40" w:after="40"/>
              <w:jc w:val="left"/>
              <w:rPr>
                <w:sz w:val="20"/>
                <w:szCs w:val="20"/>
                <w:highlight w:val="green"/>
              </w:rPr>
            </w:pPr>
          </w:p>
        </w:tc>
      </w:tr>
      <w:tr w:rsidR="00CB42B3" w:rsidRPr="00A566E0" w14:paraId="4D2FB70A" w14:textId="77777777" w:rsidTr="00A566E0">
        <w:tc>
          <w:tcPr>
            <w:tcW w:w="1952" w:type="dxa"/>
          </w:tcPr>
          <w:p w14:paraId="5E008C0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Z12.19</w:t>
            </w:r>
          </w:p>
        </w:tc>
        <w:tc>
          <w:tcPr>
            <w:tcW w:w="1133" w:type="dxa"/>
          </w:tcPr>
          <w:p w14:paraId="5609AEB4"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0,090</w:t>
            </w:r>
          </w:p>
        </w:tc>
        <w:tc>
          <w:tcPr>
            <w:tcW w:w="2978" w:type="dxa"/>
          </w:tcPr>
          <w:p w14:paraId="4C802361" w14:textId="77777777" w:rsidR="00CB42B3" w:rsidRPr="00A566E0" w:rsidRDefault="00CB42B3" w:rsidP="00A566E0">
            <w:pPr>
              <w:spacing w:before="40" w:after="40" w:line="240" w:lineRule="auto"/>
              <w:jc w:val="left"/>
              <w:rPr>
                <w:sz w:val="20"/>
                <w:szCs w:val="20"/>
                <w:highlight w:val="green"/>
              </w:rPr>
            </w:pPr>
            <w:r w:rsidRPr="00A566E0">
              <w:rPr>
                <w:rFonts w:eastAsia="Times New Roman"/>
                <w:sz w:val="20"/>
                <w:szCs w:val="20"/>
                <w:lang w:eastAsia="cs-CZ"/>
              </w:rPr>
              <w:t>částečně převzato do ÚP, část vymezena jako stabilizovaná plocha</w:t>
            </w:r>
          </w:p>
        </w:tc>
        <w:tc>
          <w:tcPr>
            <w:tcW w:w="3118" w:type="dxa"/>
          </w:tcPr>
          <w:p w14:paraId="6ADA20F8" w14:textId="77777777" w:rsidR="00CB42B3" w:rsidRPr="00A566E0" w:rsidRDefault="00CB42B3" w:rsidP="00A566E0">
            <w:pPr>
              <w:pStyle w:val="1text"/>
              <w:spacing w:before="40" w:after="40"/>
              <w:jc w:val="left"/>
              <w:rPr>
                <w:sz w:val="20"/>
                <w:szCs w:val="20"/>
                <w:highlight w:val="green"/>
              </w:rPr>
            </w:pPr>
            <w:r w:rsidRPr="00A566E0">
              <w:rPr>
                <w:b/>
                <w:sz w:val="20"/>
                <w:szCs w:val="20"/>
              </w:rPr>
              <w:t>plocha Z66</w:t>
            </w:r>
            <w:r w:rsidRPr="00A566E0">
              <w:rPr>
                <w:sz w:val="20"/>
                <w:szCs w:val="20"/>
              </w:rPr>
              <w:t>, částečně zastavěno</w:t>
            </w:r>
          </w:p>
        </w:tc>
      </w:tr>
      <w:tr w:rsidR="00CB42B3" w:rsidRPr="00A566E0" w14:paraId="156D7105" w14:textId="77777777" w:rsidTr="00A566E0">
        <w:tc>
          <w:tcPr>
            <w:tcW w:w="1952" w:type="dxa"/>
          </w:tcPr>
          <w:p w14:paraId="3A8DD8AB"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Z12.21</w:t>
            </w:r>
          </w:p>
        </w:tc>
        <w:tc>
          <w:tcPr>
            <w:tcW w:w="1133" w:type="dxa"/>
          </w:tcPr>
          <w:p w14:paraId="6EBDF06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0,099</w:t>
            </w:r>
          </w:p>
        </w:tc>
        <w:tc>
          <w:tcPr>
            <w:tcW w:w="2978" w:type="dxa"/>
          </w:tcPr>
          <w:p w14:paraId="07BBDEC2"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4D5D7565" w14:textId="77777777" w:rsidR="00CB42B3" w:rsidRPr="00A566E0" w:rsidRDefault="00CB42B3" w:rsidP="00A566E0">
            <w:pPr>
              <w:pStyle w:val="1text"/>
              <w:spacing w:before="40" w:after="40"/>
              <w:jc w:val="left"/>
              <w:rPr>
                <w:sz w:val="20"/>
                <w:szCs w:val="20"/>
                <w:highlight w:val="green"/>
              </w:rPr>
            </w:pPr>
            <w:r w:rsidRPr="00A566E0">
              <w:rPr>
                <w:sz w:val="20"/>
                <w:szCs w:val="20"/>
              </w:rPr>
              <w:t xml:space="preserve">dle §58 stavebního zákona (proluka), část zastavěna </w:t>
            </w:r>
          </w:p>
        </w:tc>
      </w:tr>
      <w:tr w:rsidR="00CB42B3" w:rsidRPr="00A566E0" w14:paraId="3BA36689" w14:textId="77777777" w:rsidTr="00A566E0">
        <w:tc>
          <w:tcPr>
            <w:tcW w:w="1952" w:type="dxa"/>
          </w:tcPr>
          <w:p w14:paraId="229591A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Z17.2</w:t>
            </w:r>
          </w:p>
        </w:tc>
        <w:tc>
          <w:tcPr>
            <w:tcW w:w="1133" w:type="dxa"/>
          </w:tcPr>
          <w:p w14:paraId="5F0270EA"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0,313</w:t>
            </w:r>
          </w:p>
        </w:tc>
        <w:tc>
          <w:tcPr>
            <w:tcW w:w="2978" w:type="dxa"/>
          </w:tcPr>
          <w:p w14:paraId="7BB29D64"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0E4D041C" w14:textId="77777777" w:rsidR="00CB42B3" w:rsidRPr="00A566E0" w:rsidRDefault="00CB42B3" w:rsidP="00A566E0">
            <w:pPr>
              <w:pStyle w:val="1text"/>
              <w:spacing w:before="40" w:after="40"/>
              <w:jc w:val="left"/>
              <w:rPr>
                <w:sz w:val="20"/>
                <w:szCs w:val="20"/>
                <w:highlight w:val="green"/>
              </w:rPr>
            </w:pPr>
            <w:r w:rsidRPr="00A566E0">
              <w:rPr>
                <w:sz w:val="20"/>
                <w:szCs w:val="20"/>
              </w:rPr>
              <w:t>dle §58 stavebního zákona (proluka), část realizována</w:t>
            </w:r>
          </w:p>
        </w:tc>
      </w:tr>
      <w:tr w:rsidR="00CB42B3" w:rsidRPr="00A566E0" w14:paraId="42F4CF98" w14:textId="77777777" w:rsidTr="00A566E0">
        <w:tc>
          <w:tcPr>
            <w:tcW w:w="1952" w:type="dxa"/>
          </w:tcPr>
          <w:p w14:paraId="06A170BC"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Z18.11</w:t>
            </w:r>
          </w:p>
        </w:tc>
        <w:tc>
          <w:tcPr>
            <w:tcW w:w="1133" w:type="dxa"/>
          </w:tcPr>
          <w:p w14:paraId="7A6EA367"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0,059</w:t>
            </w:r>
          </w:p>
        </w:tc>
        <w:tc>
          <w:tcPr>
            <w:tcW w:w="2978" w:type="dxa"/>
          </w:tcPr>
          <w:p w14:paraId="017F8EB9"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1592FCB1" w14:textId="77777777" w:rsidR="00CB42B3" w:rsidRPr="00A566E0" w:rsidRDefault="00CB42B3" w:rsidP="00A566E0">
            <w:pPr>
              <w:pStyle w:val="1text"/>
              <w:spacing w:before="40" w:after="40"/>
              <w:jc w:val="left"/>
              <w:rPr>
                <w:sz w:val="20"/>
                <w:szCs w:val="20"/>
                <w:highlight w:val="green"/>
              </w:rPr>
            </w:pPr>
            <w:r w:rsidRPr="00A566E0">
              <w:rPr>
                <w:sz w:val="20"/>
                <w:szCs w:val="20"/>
              </w:rPr>
              <w:t xml:space="preserve">zastavěno </w:t>
            </w:r>
          </w:p>
        </w:tc>
      </w:tr>
      <w:tr w:rsidR="00CB42B3" w:rsidRPr="00A566E0" w14:paraId="00422CFD" w14:textId="77777777" w:rsidTr="00A566E0">
        <w:tc>
          <w:tcPr>
            <w:tcW w:w="9181" w:type="dxa"/>
            <w:gridSpan w:val="4"/>
          </w:tcPr>
          <w:p w14:paraId="44CCCF86" w14:textId="77777777" w:rsidR="00CB42B3" w:rsidRPr="00A566E0" w:rsidRDefault="00CB42B3" w:rsidP="00A566E0">
            <w:pPr>
              <w:pStyle w:val="1text"/>
              <w:spacing w:before="40" w:after="40"/>
              <w:jc w:val="left"/>
              <w:rPr>
                <w:sz w:val="20"/>
                <w:szCs w:val="20"/>
              </w:rPr>
            </w:pPr>
            <w:r w:rsidRPr="00A566E0">
              <w:rPr>
                <w:sz w:val="20"/>
                <w:szCs w:val="20"/>
              </w:rPr>
              <w:t>Plochy rekreace</w:t>
            </w:r>
          </w:p>
        </w:tc>
      </w:tr>
      <w:tr w:rsidR="00CB42B3" w:rsidRPr="00A566E0" w14:paraId="1DDA1EEB" w14:textId="77777777" w:rsidTr="00A566E0">
        <w:tc>
          <w:tcPr>
            <w:tcW w:w="1952" w:type="dxa"/>
          </w:tcPr>
          <w:p w14:paraId="05C4893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66</w:t>
            </w:r>
          </w:p>
        </w:tc>
        <w:tc>
          <w:tcPr>
            <w:tcW w:w="1133" w:type="dxa"/>
            <w:shd w:val="clear" w:color="auto" w:fill="auto"/>
          </w:tcPr>
          <w:p w14:paraId="5FD05892"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1,423</w:t>
            </w:r>
          </w:p>
        </w:tc>
        <w:tc>
          <w:tcPr>
            <w:tcW w:w="2978" w:type="dxa"/>
            <w:shd w:val="clear" w:color="auto" w:fill="auto"/>
          </w:tcPr>
          <w:p w14:paraId="56E2C898" w14:textId="77777777" w:rsidR="00CB42B3" w:rsidRPr="00A566E0" w:rsidRDefault="00CB42B3" w:rsidP="00A566E0">
            <w:pPr>
              <w:spacing w:before="40" w:after="40" w:line="240" w:lineRule="auto"/>
              <w:jc w:val="left"/>
              <w:rPr>
                <w:sz w:val="20"/>
                <w:szCs w:val="20"/>
                <w:highlight w:val="green"/>
              </w:rPr>
            </w:pPr>
            <w:r w:rsidRPr="00A566E0">
              <w:rPr>
                <w:b/>
                <w:sz w:val="20"/>
                <w:szCs w:val="20"/>
              </w:rPr>
              <w:t>v rozsahu 0,245 ha převzato do ÚP</w:t>
            </w:r>
            <w:r w:rsidRPr="00A566E0">
              <w:rPr>
                <w:sz w:val="20"/>
                <w:szCs w:val="20"/>
              </w:rPr>
              <w:t>, zbývající část vypuštěna</w:t>
            </w:r>
          </w:p>
        </w:tc>
        <w:tc>
          <w:tcPr>
            <w:tcW w:w="3118" w:type="dxa"/>
          </w:tcPr>
          <w:p w14:paraId="553643F6"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Z67</w:t>
            </w:r>
          </w:p>
        </w:tc>
      </w:tr>
      <w:tr w:rsidR="00CB42B3" w:rsidRPr="00A566E0" w14:paraId="7468131A" w14:textId="77777777" w:rsidTr="00A566E0">
        <w:tc>
          <w:tcPr>
            <w:tcW w:w="9181" w:type="dxa"/>
            <w:gridSpan w:val="4"/>
          </w:tcPr>
          <w:p w14:paraId="53E0DC16" w14:textId="77777777" w:rsidR="00CB42B3" w:rsidRPr="00A566E0" w:rsidRDefault="00CB42B3" w:rsidP="00A566E0">
            <w:pPr>
              <w:pStyle w:val="1text"/>
              <w:spacing w:before="40" w:after="40"/>
              <w:jc w:val="left"/>
              <w:rPr>
                <w:sz w:val="20"/>
                <w:szCs w:val="20"/>
              </w:rPr>
            </w:pPr>
            <w:r w:rsidRPr="00A566E0">
              <w:rPr>
                <w:sz w:val="20"/>
                <w:szCs w:val="20"/>
              </w:rPr>
              <w:t>Plochy občanského vybavení</w:t>
            </w:r>
          </w:p>
        </w:tc>
      </w:tr>
      <w:tr w:rsidR="00CB42B3" w:rsidRPr="00A566E0" w14:paraId="14A9A4D0" w14:textId="77777777" w:rsidTr="00A566E0">
        <w:tc>
          <w:tcPr>
            <w:tcW w:w="1952" w:type="dxa"/>
          </w:tcPr>
          <w:p w14:paraId="57B1C7D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Z3/1</w:t>
            </w:r>
          </w:p>
        </w:tc>
        <w:tc>
          <w:tcPr>
            <w:tcW w:w="1133" w:type="dxa"/>
          </w:tcPr>
          <w:p w14:paraId="5A4CD654"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1,697</w:t>
            </w:r>
          </w:p>
        </w:tc>
        <w:tc>
          <w:tcPr>
            <w:tcW w:w="2978" w:type="dxa"/>
          </w:tcPr>
          <w:p w14:paraId="50C73014"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048C47C3" w14:textId="77777777" w:rsidR="00CB42B3" w:rsidRPr="00A566E0" w:rsidRDefault="00CB42B3" w:rsidP="00A566E0">
            <w:pPr>
              <w:pStyle w:val="1text"/>
              <w:spacing w:before="40" w:after="40"/>
              <w:jc w:val="left"/>
              <w:rPr>
                <w:sz w:val="20"/>
                <w:szCs w:val="20"/>
                <w:highlight w:val="green"/>
              </w:rPr>
            </w:pPr>
          </w:p>
        </w:tc>
      </w:tr>
      <w:tr w:rsidR="00CB42B3" w:rsidRPr="00A566E0" w14:paraId="4FEB1D7A" w14:textId="77777777" w:rsidTr="00A566E0">
        <w:tc>
          <w:tcPr>
            <w:tcW w:w="9181" w:type="dxa"/>
            <w:gridSpan w:val="4"/>
          </w:tcPr>
          <w:p w14:paraId="4B24700A" w14:textId="77777777" w:rsidR="00CB42B3" w:rsidRPr="00A566E0" w:rsidRDefault="00CB42B3" w:rsidP="00A566E0">
            <w:pPr>
              <w:pStyle w:val="1text"/>
              <w:spacing w:before="40" w:after="40"/>
              <w:jc w:val="left"/>
              <w:rPr>
                <w:sz w:val="20"/>
                <w:szCs w:val="20"/>
              </w:rPr>
            </w:pPr>
            <w:r w:rsidRPr="00A566E0">
              <w:rPr>
                <w:sz w:val="20"/>
                <w:szCs w:val="20"/>
              </w:rPr>
              <w:t>Plochy výroby</w:t>
            </w:r>
          </w:p>
        </w:tc>
      </w:tr>
      <w:tr w:rsidR="00CB42B3" w:rsidRPr="00A566E0" w14:paraId="20CE5E32" w14:textId="77777777" w:rsidTr="00A566E0">
        <w:tc>
          <w:tcPr>
            <w:tcW w:w="1952" w:type="dxa"/>
            <w:tcBorders>
              <w:bottom w:val="single" w:sz="12" w:space="0" w:color="auto"/>
            </w:tcBorders>
          </w:tcPr>
          <w:p w14:paraId="09D6B61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69</w:t>
            </w:r>
          </w:p>
        </w:tc>
        <w:tc>
          <w:tcPr>
            <w:tcW w:w="1133" w:type="dxa"/>
            <w:tcBorders>
              <w:bottom w:val="single" w:sz="12" w:space="0" w:color="auto"/>
            </w:tcBorders>
          </w:tcPr>
          <w:p w14:paraId="0D14C2B0"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0,117</w:t>
            </w:r>
          </w:p>
        </w:tc>
        <w:tc>
          <w:tcPr>
            <w:tcW w:w="2978" w:type="dxa"/>
            <w:tcBorders>
              <w:bottom w:val="single" w:sz="12" w:space="0" w:color="auto"/>
            </w:tcBorders>
          </w:tcPr>
          <w:p w14:paraId="707D9919"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Borders>
              <w:bottom w:val="single" w:sz="12" w:space="0" w:color="auto"/>
            </w:tcBorders>
          </w:tcPr>
          <w:p w14:paraId="1D675902" w14:textId="77777777" w:rsidR="00CB42B3" w:rsidRPr="00A566E0" w:rsidRDefault="00CB42B3" w:rsidP="00A566E0">
            <w:pPr>
              <w:pStyle w:val="1text"/>
              <w:spacing w:before="40" w:after="40"/>
              <w:jc w:val="left"/>
              <w:rPr>
                <w:sz w:val="20"/>
                <w:szCs w:val="20"/>
                <w:highlight w:val="green"/>
              </w:rPr>
            </w:pPr>
            <w:r w:rsidRPr="00A566E0">
              <w:rPr>
                <w:sz w:val="20"/>
                <w:szCs w:val="20"/>
              </w:rPr>
              <w:t xml:space="preserve">zastavěno </w:t>
            </w:r>
          </w:p>
        </w:tc>
      </w:tr>
      <w:tr w:rsidR="00CB42B3" w:rsidRPr="00A566E0" w14:paraId="62671DF2" w14:textId="77777777" w:rsidTr="00A566E0">
        <w:tc>
          <w:tcPr>
            <w:tcW w:w="1952" w:type="dxa"/>
            <w:tcBorders>
              <w:top w:val="single" w:sz="12" w:space="0" w:color="auto"/>
              <w:left w:val="single" w:sz="12" w:space="0" w:color="auto"/>
            </w:tcBorders>
            <w:shd w:val="clear" w:color="auto" w:fill="F2F2F2" w:themeFill="background1" w:themeFillShade="F2"/>
          </w:tcPr>
          <w:p w14:paraId="28006E0C"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sz w:val="20"/>
                <w:szCs w:val="20"/>
                <w:lang w:eastAsia="cs-CZ"/>
              </w:rPr>
              <w:t>CELKEM K.U. DONÍN U HRÁDKU NAD NISOU</w:t>
            </w:r>
          </w:p>
        </w:tc>
        <w:tc>
          <w:tcPr>
            <w:tcW w:w="7229" w:type="dxa"/>
            <w:gridSpan w:val="3"/>
            <w:tcBorders>
              <w:top w:val="single" w:sz="12" w:space="0" w:color="auto"/>
              <w:right w:val="single" w:sz="12" w:space="0" w:color="auto"/>
            </w:tcBorders>
            <w:shd w:val="clear" w:color="auto" w:fill="F2F2F2" w:themeFill="background1" w:themeFillShade="F2"/>
          </w:tcPr>
          <w:p w14:paraId="338A7995" w14:textId="77777777" w:rsidR="00CB42B3" w:rsidRPr="00A566E0" w:rsidRDefault="00CB42B3" w:rsidP="00A566E0">
            <w:pPr>
              <w:pStyle w:val="1text"/>
              <w:spacing w:before="40" w:after="40"/>
              <w:jc w:val="left"/>
              <w:rPr>
                <w:b/>
                <w:sz w:val="20"/>
                <w:szCs w:val="20"/>
                <w:highlight w:val="green"/>
              </w:rPr>
            </w:pPr>
            <w:r w:rsidRPr="00A566E0">
              <w:rPr>
                <w:rFonts w:eastAsia="Times New Roman"/>
                <w:b/>
                <w:color w:val="000000"/>
                <w:sz w:val="20"/>
                <w:szCs w:val="20"/>
                <w:lang w:eastAsia="cs-CZ"/>
              </w:rPr>
              <w:t>21,690</w:t>
            </w:r>
          </w:p>
        </w:tc>
      </w:tr>
      <w:tr w:rsidR="00CB42B3" w:rsidRPr="00A566E0" w14:paraId="54814571" w14:textId="77777777" w:rsidTr="00A566E0">
        <w:tc>
          <w:tcPr>
            <w:tcW w:w="1952" w:type="dxa"/>
            <w:vMerge w:val="restart"/>
            <w:tcBorders>
              <w:left w:val="single" w:sz="12" w:space="0" w:color="auto"/>
            </w:tcBorders>
          </w:tcPr>
          <w:p w14:paraId="28F4BE6F"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 toho:</w:t>
            </w:r>
          </w:p>
        </w:tc>
        <w:tc>
          <w:tcPr>
            <w:tcW w:w="1133" w:type="dxa"/>
            <w:shd w:val="clear" w:color="auto" w:fill="auto"/>
          </w:tcPr>
          <w:p w14:paraId="503A62EB"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3,752 ha</w:t>
            </w:r>
          </w:p>
        </w:tc>
        <w:tc>
          <w:tcPr>
            <w:tcW w:w="6096" w:type="dxa"/>
            <w:gridSpan w:val="2"/>
            <w:tcBorders>
              <w:right w:val="single" w:sz="12" w:space="0" w:color="auto"/>
            </w:tcBorders>
          </w:tcPr>
          <w:p w14:paraId="6AF1ACDB" w14:textId="77777777" w:rsidR="00CB42B3" w:rsidRPr="00A566E0" w:rsidRDefault="00CB42B3" w:rsidP="00A566E0">
            <w:pPr>
              <w:pStyle w:val="1text"/>
              <w:spacing w:before="40" w:after="40"/>
              <w:jc w:val="left"/>
              <w:rPr>
                <w:sz w:val="20"/>
                <w:szCs w:val="20"/>
              </w:rPr>
            </w:pPr>
            <w:r w:rsidRPr="00A566E0">
              <w:rPr>
                <w:b/>
                <w:sz w:val="20"/>
                <w:szCs w:val="20"/>
              </w:rPr>
              <w:t>záborů ZPF převzato</w:t>
            </w:r>
          </w:p>
        </w:tc>
      </w:tr>
      <w:tr w:rsidR="00CB42B3" w:rsidRPr="00A566E0" w14:paraId="26569DAF" w14:textId="77777777" w:rsidTr="00A566E0">
        <w:tc>
          <w:tcPr>
            <w:tcW w:w="1952" w:type="dxa"/>
            <w:vMerge/>
            <w:tcBorders>
              <w:left w:val="single" w:sz="12" w:space="0" w:color="auto"/>
            </w:tcBorders>
          </w:tcPr>
          <w:p w14:paraId="7E51F1DD" w14:textId="77777777" w:rsidR="00CB42B3" w:rsidRPr="00A566E0" w:rsidRDefault="00CB42B3" w:rsidP="00A566E0">
            <w:pPr>
              <w:pStyle w:val="1text"/>
              <w:spacing w:before="40" w:after="40"/>
              <w:jc w:val="left"/>
              <w:rPr>
                <w:rFonts w:eastAsia="Times New Roman"/>
                <w:color w:val="000000"/>
                <w:sz w:val="20"/>
                <w:szCs w:val="20"/>
                <w:lang w:eastAsia="cs-CZ"/>
              </w:rPr>
            </w:pPr>
          </w:p>
        </w:tc>
        <w:tc>
          <w:tcPr>
            <w:tcW w:w="1133" w:type="dxa"/>
            <w:shd w:val="clear" w:color="auto" w:fill="auto"/>
          </w:tcPr>
          <w:p w14:paraId="28B8A81E"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9,715 ha</w:t>
            </w:r>
          </w:p>
        </w:tc>
        <w:tc>
          <w:tcPr>
            <w:tcW w:w="6096" w:type="dxa"/>
            <w:gridSpan w:val="2"/>
            <w:tcBorders>
              <w:right w:val="single" w:sz="12" w:space="0" w:color="auto"/>
            </w:tcBorders>
          </w:tcPr>
          <w:p w14:paraId="4F16520D" w14:textId="77777777" w:rsidR="00CB42B3" w:rsidRPr="00A566E0" w:rsidRDefault="00CB42B3" w:rsidP="00A566E0">
            <w:pPr>
              <w:pStyle w:val="1text"/>
              <w:spacing w:before="40" w:after="40"/>
              <w:jc w:val="left"/>
              <w:rPr>
                <w:sz w:val="20"/>
                <w:szCs w:val="20"/>
              </w:rPr>
            </w:pPr>
            <w:r w:rsidRPr="00A566E0">
              <w:rPr>
                <w:b/>
                <w:sz w:val="20"/>
                <w:szCs w:val="20"/>
              </w:rPr>
              <w:t>záborů ZPF vymezeno jako stabilizovaná plocha</w:t>
            </w:r>
          </w:p>
        </w:tc>
      </w:tr>
      <w:tr w:rsidR="00CB42B3" w:rsidRPr="00A566E0" w14:paraId="53491664" w14:textId="77777777" w:rsidTr="00A566E0">
        <w:tc>
          <w:tcPr>
            <w:tcW w:w="1952" w:type="dxa"/>
            <w:vMerge/>
            <w:tcBorders>
              <w:left w:val="single" w:sz="12" w:space="0" w:color="auto"/>
              <w:bottom w:val="single" w:sz="12" w:space="0" w:color="auto"/>
            </w:tcBorders>
          </w:tcPr>
          <w:p w14:paraId="63EBF7B2" w14:textId="77777777" w:rsidR="00CB42B3" w:rsidRPr="00A566E0" w:rsidRDefault="00CB42B3" w:rsidP="00A566E0">
            <w:pPr>
              <w:pStyle w:val="1text"/>
              <w:spacing w:before="40" w:after="40"/>
              <w:jc w:val="left"/>
              <w:rPr>
                <w:rFonts w:eastAsia="Times New Roman"/>
                <w:color w:val="000000"/>
                <w:sz w:val="20"/>
                <w:szCs w:val="20"/>
                <w:lang w:eastAsia="cs-CZ"/>
              </w:rPr>
            </w:pPr>
          </w:p>
        </w:tc>
        <w:tc>
          <w:tcPr>
            <w:tcW w:w="1133" w:type="dxa"/>
            <w:tcBorders>
              <w:bottom w:val="single" w:sz="12" w:space="0" w:color="auto"/>
            </w:tcBorders>
            <w:shd w:val="clear" w:color="auto" w:fill="auto"/>
          </w:tcPr>
          <w:p w14:paraId="6E8A5F8C"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8,223 ha</w:t>
            </w:r>
          </w:p>
        </w:tc>
        <w:tc>
          <w:tcPr>
            <w:tcW w:w="6096" w:type="dxa"/>
            <w:gridSpan w:val="2"/>
            <w:tcBorders>
              <w:bottom w:val="single" w:sz="12" w:space="0" w:color="auto"/>
              <w:right w:val="single" w:sz="12" w:space="0" w:color="auto"/>
            </w:tcBorders>
          </w:tcPr>
          <w:p w14:paraId="4D806FAD" w14:textId="77777777" w:rsidR="00CB42B3" w:rsidRPr="00A566E0" w:rsidRDefault="00CB42B3" w:rsidP="00A566E0">
            <w:pPr>
              <w:pStyle w:val="1text"/>
              <w:spacing w:before="40" w:after="40"/>
              <w:jc w:val="left"/>
              <w:rPr>
                <w:sz w:val="20"/>
                <w:szCs w:val="20"/>
              </w:rPr>
            </w:pPr>
            <w:r w:rsidRPr="00A566E0">
              <w:rPr>
                <w:b/>
                <w:sz w:val="20"/>
                <w:szCs w:val="20"/>
              </w:rPr>
              <w:t>záborů ZPF vypuštěno</w:t>
            </w:r>
          </w:p>
        </w:tc>
      </w:tr>
      <w:tr w:rsidR="00CB42B3" w:rsidRPr="00A566E0" w14:paraId="586674DF" w14:textId="77777777" w:rsidTr="00A566E0">
        <w:tc>
          <w:tcPr>
            <w:tcW w:w="9181" w:type="dxa"/>
            <w:gridSpan w:val="4"/>
            <w:tcBorders>
              <w:top w:val="single" w:sz="12" w:space="0" w:color="auto"/>
            </w:tcBorders>
            <w:shd w:val="clear" w:color="auto" w:fill="D9D9D9" w:themeFill="background1" w:themeFillShade="D9"/>
          </w:tcPr>
          <w:p w14:paraId="35ECCC4D" w14:textId="77777777" w:rsidR="00CB42B3" w:rsidRPr="00A566E0" w:rsidRDefault="00CB42B3" w:rsidP="00A566E0">
            <w:pPr>
              <w:pStyle w:val="1text"/>
              <w:spacing w:before="40" w:after="40"/>
              <w:jc w:val="left"/>
              <w:rPr>
                <w:b/>
                <w:sz w:val="20"/>
                <w:szCs w:val="20"/>
              </w:rPr>
            </w:pPr>
            <w:r w:rsidRPr="00A566E0">
              <w:rPr>
                <w:b/>
                <w:sz w:val="20"/>
                <w:szCs w:val="20"/>
              </w:rPr>
              <w:t>K.Ú. HRÁDEK NAD NISOU</w:t>
            </w:r>
          </w:p>
        </w:tc>
      </w:tr>
      <w:tr w:rsidR="00CB42B3" w:rsidRPr="00A566E0" w14:paraId="72B31326" w14:textId="77777777" w:rsidTr="00A566E0">
        <w:tc>
          <w:tcPr>
            <w:tcW w:w="9181" w:type="dxa"/>
            <w:gridSpan w:val="4"/>
          </w:tcPr>
          <w:p w14:paraId="6D9E731D" w14:textId="77777777" w:rsidR="00CB42B3" w:rsidRPr="00A566E0" w:rsidRDefault="00CB42B3" w:rsidP="00A566E0">
            <w:pPr>
              <w:pStyle w:val="1text"/>
              <w:spacing w:before="40" w:after="40"/>
              <w:jc w:val="left"/>
              <w:rPr>
                <w:sz w:val="20"/>
                <w:szCs w:val="20"/>
              </w:rPr>
            </w:pPr>
            <w:r w:rsidRPr="00A566E0">
              <w:rPr>
                <w:sz w:val="20"/>
                <w:szCs w:val="20"/>
              </w:rPr>
              <w:t>Plochy smíšené obytné</w:t>
            </w:r>
          </w:p>
        </w:tc>
      </w:tr>
      <w:tr w:rsidR="00CB42B3" w:rsidRPr="00A566E0" w14:paraId="2EC66245" w14:textId="77777777" w:rsidTr="00A566E0">
        <w:tc>
          <w:tcPr>
            <w:tcW w:w="1952" w:type="dxa"/>
          </w:tcPr>
          <w:p w14:paraId="5AF27D2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w:t>
            </w:r>
          </w:p>
        </w:tc>
        <w:tc>
          <w:tcPr>
            <w:tcW w:w="1133" w:type="dxa"/>
          </w:tcPr>
          <w:p w14:paraId="23B7639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0,200</w:t>
            </w:r>
          </w:p>
        </w:tc>
        <w:tc>
          <w:tcPr>
            <w:tcW w:w="2978" w:type="dxa"/>
          </w:tcPr>
          <w:p w14:paraId="4D7429FD"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7C7BA719" w14:textId="77777777" w:rsidR="00CB42B3" w:rsidRPr="00A566E0" w:rsidRDefault="00CB42B3" w:rsidP="00A566E0">
            <w:pPr>
              <w:pStyle w:val="1text"/>
              <w:spacing w:before="40" w:after="40"/>
              <w:jc w:val="left"/>
              <w:rPr>
                <w:sz w:val="20"/>
                <w:szCs w:val="20"/>
              </w:rPr>
            </w:pPr>
          </w:p>
        </w:tc>
      </w:tr>
      <w:tr w:rsidR="00CB42B3" w:rsidRPr="00A566E0" w14:paraId="64F9FF98" w14:textId="77777777" w:rsidTr="00A566E0">
        <w:tc>
          <w:tcPr>
            <w:tcW w:w="1952" w:type="dxa"/>
          </w:tcPr>
          <w:p w14:paraId="0BB4B208"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20</w:t>
            </w:r>
          </w:p>
        </w:tc>
        <w:tc>
          <w:tcPr>
            <w:tcW w:w="1133" w:type="dxa"/>
          </w:tcPr>
          <w:p w14:paraId="2E1EA2E4"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0,560</w:t>
            </w:r>
          </w:p>
        </w:tc>
        <w:tc>
          <w:tcPr>
            <w:tcW w:w="2978" w:type="dxa"/>
          </w:tcPr>
          <w:p w14:paraId="685BD154" w14:textId="77777777" w:rsidR="00CB42B3" w:rsidRPr="00A566E0" w:rsidRDefault="00CB42B3" w:rsidP="00A566E0">
            <w:pPr>
              <w:spacing w:before="40" w:after="40" w:line="240" w:lineRule="auto"/>
              <w:jc w:val="left"/>
              <w:rPr>
                <w:b/>
                <w:sz w:val="20"/>
                <w:szCs w:val="20"/>
              </w:rPr>
            </w:pPr>
            <w:r w:rsidRPr="00A566E0">
              <w:rPr>
                <w:b/>
                <w:sz w:val="20"/>
                <w:szCs w:val="20"/>
              </w:rPr>
              <w:t>převzato do ÚP</w:t>
            </w:r>
          </w:p>
        </w:tc>
        <w:tc>
          <w:tcPr>
            <w:tcW w:w="3118" w:type="dxa"/>
          </w:tcPr>
          <w:p w14:paraId="257A6ED1" w14:textId="77777777" w:rsidR="00CB42B3" w:rsidRPr="00A566E0" w:rsidRDefault="00CB42B3" w:rsidP="00A566E0">
            <w:pPr>
              <w:pStyle w:val="1text"/>
              <w:spacing w:before="40" w:after="40"/>
              <w:jc w:val="left"/>
              <w:rPr>
                <w:b/>
                <w:sz w:val="20"/>
                <w:szCs w:val="20"/>
              </w:rPr>
            </w:pPr>
            <w:r w:rsidRPr="00A566E0">
              <w:rPr>
                <w:b/>
                <w:sz w:val="20"/>
                <w:szCs w:val="20"/>
              </w:rPr>
              <w:t>plochy Z50 a Z51</w:t>
            </w:r>
          </w:p>
        </w:tc>
      </w:tr>
      <w:tr w:rsidR="00CB42B3" w:rsidRPr="00A566E0" w14:paraId="4AC9FA1F" w14:textId="77777777" w:rsidTr="00A566E0">
        <w:tc>
          <w:tcPr>
            <w:tcW w:w="1952" w:type="dxa"/>
          </w:tcPr>
          <w:p w14:paraId="65CF68D8"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28</w:t>
            </w:r>
          </w:p>
        </w:tc>
        <w:tc>
          <w:tcPr>
            <w:tcW w:w="1133" w:type="dxa"/>
          </w:tcPr>
          <w:p w14:paraId="60F6259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0,299</w:t>
            </w:r>
          </w:p>
        </w:tc>
        <w:tc>
          <w:tcPr>
            <w:tcW w:w="2978" w:type="dxa"/>
          </w:tcPr>
          <w:p w14:paraId="5E0E27F7"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60201B73"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0A31A56E" w14:textId="77777777" w:rsidTr="00A566E0">
        <w:tc>
          <w:tcPr>
            <w:tcW w:w="1952" w:type="dxa"/>
          </w:tcPr>
          <w:p w14:paraId="418D4DF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29</w:t>
            </w:r>
          </w:p>
        </w:tc>
        <w:tc>
          <w:tcPr>
            <w:tcW w:w="1133" w:type="dxa"/>
          </w:tcPr>
          <w:p w14:paraId="64F4698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0,034</w:t>
            </w:r>
          </w:p>
        </w:tc>
        <w:tc>
          <w:tcPr>
            <w:tcW w:w="2978" w:type="dxa"/>
          </w:tcPr>
          <w:p w14:paraId="0F820CE2"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0B34F898"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4FD4D267" w14:textId="77777777" w:rsidTr="00A566E0">
        <w:tc>
          <w:tcPr>
            <w:tcW w:w="1952" w:type="dxa"/>
          </w:tcPr>
          <w:p w14:paraId="2DA4280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40</w:t>
            </w:r>
          </w:p>
        </w:tc>
        <w:tc>
          <w:tcPr>
            <w:tcW w:w="1133" w:type="dxa"/>
          </w:tcPr>
          <w:p w14:paraId="0D9F8D4D"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0,131</w:t>
            </w:r>
          </w:p>
        </w:tc>
        <w:tc>
          <w:tcPr>
            <w:tcW w:w="2978" w:type="dxa"/>
          </w:tcPr>
          <w:p w14:paraId="3CFC7BC5"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3D250244" w14:textId="77777777" w:rsidR="00CB42B3" w:rsidRPr="00A566E0" w:rsidRDefault="00CB42B3" w:rsidP="00A566E0">
            <w:pPr>
              <w:pStyle w:val="1text"/>
              <w:spacing w:before="40" w:after="40"/>
              <w:jc w:val="left"/>
              <w:rPr>
                <w:sz w:val="20"/>
                <w:szCs w:val="20"/>
                <w:highlight w:val="green"/>
              </w:rPr>
            </w:pPr>
            <w:r w:rsidRPr="00A566E0">
              <w:rPr>
                <w:sz w:val="20"/>
                <w:szCs w:val="20"/>
              </w:rPr>
              <w:t>dle §58 stavebního zákona (proluka)</w:t>
            </w:r>
          </w:p>
        </w:tc>
      </w:tr>
      <w:tr w:rsidR="00CB42B3" w:rsidRPr="00A566E0" w14:paraId="390C5761" w14:textId="77777777" w:rsidTr="00A566E0">
        <w:tc>
          <w:tcPr>
            <w:tcW w:w="1952" w:type="dxa"/>
          </w:tcPr>
          <w:p w14:paraId="3298A23E"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Z11/1</w:t>
            </w:r>
          </w:p>
        </w:tc>
        <w:tc>
          <w:tcPr>
            <w:tcW w:w="1133" w:type="dxa"/>
          </w:tcPr>
          <w:p w14:paraId="249502C9"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0,027</w:t>
            </w:r>
          </w:p>
        </w:tc>
        <w:tc>
          <w:tcPr>
            <w:tcW w:w="2978" w:type="dxa"/>
          </w:tcPr>
          <w:p w14:paraId="03989FD5"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11385472"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751B2B0E" w14:textId="77777777" w:rsidTr="00A566E0">
        <w:tc>
          <w:tcPr>
            <w:tcW w:w="1952" w:type="dxa"/>
          </w:tcPr>
          <w:p w14:paraId="2981066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Z12.17</w:t>
            </w:r>
          </w:p>
        </w:tc>
        <w:tc>
          <w:tcPr>
            <w:tcW w:w="1133" w:type="dxa"/>
          </w:tcPr>
          <w:p w14:paraId="55DF289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1,864</w:t>
            </w:r>
          </w:p>
        </w:tc>
        <w:tc>
          <w:tcPr>
            <w:tcW w:w="2978" w:type="dxa"/>
          </w:tcPr>
          <w:p w14:paraId="6D24B870" w14:textId="77777777" w:rsidR="00CB42B3" w:rsidRPr="00A566E0" w:rsidRDefault="00CB42B3" w:rsidP="00A566E0">
            <w:pPr>
              <w:spacing w:before="40" w:after="40" w:line="240" w:lineRule="auto"/>
              <w:jc w:val="left"/>
              <w:rPr>
                <w:b/>
                <w:sz w:val="20"/>
                <w:szCs w:val="20"/>
              </w:rPr>
            </w:pPr>
            <w:r w:rsidRPr="00A566E0">
              <w:rPr>
                <w:b/>
                <w:sz w:val="20"/>
                <w:szCs w:val="20"/>
              </w:rPr>
              <w:t>převzato do ÚP</w:t>
            </w:r>
          </w:p>
        </w:tc>
        <w:tc>
          <w:tcPr>
            <w:tcW w:w="3118" w:type="dxa"/>
          </w:tcPr>
          <w:p w14:paraId="34C49880" w14:textId="77777777" w:rsidR="00CB42B3" w:rsidRPr="00A566E0" w:rsidRDefault="00CB42B3" w:rsidP="00A566E0">
            <w:pPr>
              <w:pStyle w:val="1text"/>
              <w:spacing w:before="40" w:after="40"/>
              <w:jc w:val="left"/>
              <w:rPr>
                <w:b/>
                <w:sz w:val="20"/>
                <w:szCs w:val="20"/>
              </w:rPr>
            </w:pPr>
            <w:r w:rsidRPr="00A566E0">
              <w:rPr>
                <w:b/>
                <w:sz w:val="20"/>
                <w:szCs w:val="20"/>
              </w:rPr>
              <w:t>plocha Z99</w:t>
            </w:r>
          </w:p>
        </w:tc>
      </w:tr>
      <w:tr w:rsidR="00CB42B3" w:rsidRPr="00A566E0" w14:paraId="521ED086" w14:textId="77777777" w:rsidTr="00A566E0">
        <w:tc>
          <w:tcPr>
            <w:tcW w:w="1952" w:type="dxa"/>
          </w:tcPr>
          <w:p w14:paraId="2E4FC002"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Z12.24</w:t>
            </w:r>
          </w:p>
        </w:tc>
        <w:tc>
          <w:tcPr>
            <w:tcW w:w="1133" w:type="dxa"/>
          </w:tcPr>
          <w:p w14:paraId="4485D362"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0,112</w:t>
            </w:r>
          </w:p>
        </w:tc>
        <w:tc>
          <w:tcPr>
            <w:tcW w:w="2978" w:type="dxa"/>
          </w:tcPr>
          <w:p w14:paraId="5D0B3B74" w14:textId="77777777" w:rsidR="00CB42B3" w:rsidRPr="00A566E0" w:rsidRDefault="00417584" w:rsidP="00A566E0">
            <w:pPr>
              <w:spacing w:before="40" w:after="40" w:line="240" w:lineRule="auto"/>
              <w:jc w:val="left"/>
              <w:rPr>
                <w:b/>
                <w:sz w:val="20"/>
                <w:szCs w:val="20"/>
              </w:rPr>
            </w:pPr>
            <w:r>
              <w:rPr>
                <w:b/>
                <w:sz w:val="20"/>
                <w:szCs w:val="20"/>
              </w:rPr>
              <w:t xml:space="preserve">v rozsahu 0,072 ha </w:t>
            </w:r>
            <w:r w:rsidR="00CB42B3" w:rsidRPr="00A566E0">
              <w:rPr>
                <w:b/>
                <w:sz w:val="20"/>
                <w:szCs w:val="20"/>
              </w:rPr>
              <w:t>převzato do ÚP</w:t>
            </w:r>
            <w:r>
              <w:rPr>
                <w:b/>
                <w:sz w:val="20"/>
                <w:szCs w:val="20"/>
              </w:rPr>
              <w:t xml:space="preserve">, </w:t>
            </w:r>
            <w:r w:rsidRPr="00417584">
              <w:rPr>
                <w:sz w:val="20"/>
                <w:szCs w:val="20"/>
              </w:rPr>
              <w:t>zbývající část vymezena jako stabilizovaná plocha</w:t>
            </w:r>
          </w:p>
        </w:tc>
        <w:tc>
          <w:tcPr>
            <w:tcW w:w="3118" w:type="dxa"/>
          </w:tcPr>
          <w:p w14:paraId="12F4BDB7" w14:textId="77777777" w:rsidR="00CB42B3" w:rsidRPr="00A566E0" w:rsidRDefault="00CB42B3" w:rsidP="00A566E0">
            <w:pPr>
              <w:pStyle w:val="1text"/>
              <w:spacing w:before="40" w:after="40"/>
              <w:jc w:val="left"/>
              <w:rPr>
                <w:b/>
                <w:sz w:val="20"/>
                <w:szCs w:val="20"/>
              </w:rPr>
            </w:pPr>
            <w:r w:rsidRPr="00A566E0">
              <w:rPr>
                <w:b/>
                <w:sz w:val="20"/>
                <w:szCs w:val="20"/>
              </w:rPr>
              <w:t>plocha P11</w:t>
            </w:r>
          </w:p>
        </w:tc>
      </w:tr>
      <w:tr w:rsidR="00CB42B3" w:rsidRPr="00A566E0" w14:paraId="5EC0C9AB" w14:textId="77777777" w:rsidTr="00A566E0">
        <w:tc>
          <w:tcPr>
            <w:tcW w:w="1952" w:type="dxa"/>
          </w:tcPr>
          <w:p w14:paraId="0332839E"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Z12.25</w:t>
            </w:r>
          </w:p>
        </w:tc>
        <w:tc>
          <w:tcPr>
            <w:tcW w:w="1133" w:type="dxa"/>
          </w:tcPr>
          <w:p w14:paraId="43EFFD32"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10,240</w:t>
            </w:r>
          </w:p>
        </w:tc>
        <w:tc>
          <w:tcPr>
            <w:tcW w:w="2978" w:type="dxa"/>
            <w:shd w:val="clear" w:color="auto" w:fill="auto"/>
          </w:tcPr>
          <w:p w14:paraId="68D134DD" w14:textId="77777777" w:rsidR="00CB42B3" w:rsidRPr="00A566E0" w:rsidRDefault="00CB42B3" w:rsidP="00A566E0">
            <w:pPr>
              <w:spacing w:before="40" w:after="40" w:line="240" w:lineRule="auto"/>
              <w:jc w:val="left"/>
              <w:rPr>
                <w:b/>
                <w:sz w:val="20"/>
                <w:szCs w:val="20"/>
                <w:highlight w:val="green"/>
              </w:rPr>
            </w:pPr>
            <w:r w:rsidRPr="00A566E0">
              <w:rPr>
                <w:b/>
                <w:sz w:val="20"/>
                <w:szCs w:val="20"/>
              </w:rPr>
              <w:t>v rozsahu 4,820 ha převzato do ÚP</w:t>
            </w:r>
            <w:r w:rsidRPr="00A566E0">
              <w:rPr>
                <w:sz w:val="20"/>
                <w:szCs w:val="20"/>
              </w:rPr>
              <w:t>, zbývající část vypuštěna</w:t>
            </w:r>
          </w:p>
        </w:tc>
        <w:tc>
          <w:tcPr>
            <w:tcW w:w="3118" w:type="dxa"/>
          </w:tcPr>
          <w:p w14:paraId="3CE600FD" w14:textId="77777777" w:rsidR="00CB42B3" w:rsidRPr="00A566E0" w:rsidRDefault="00CB42B3" w:rsidP="00A566E0">
            <w:pPr>
              <w:pStyle w:val="1text"/>
              <w:spacing w:before="40" w:after="40"/>
              <w:jc w:val="left"/>
              <w:rPr>
                <w:b/>
                <w:sz w:val="20"/>
                <w:szCs w:val="20"/>
                <w:highlight w:val="green"/>
              </w:rPr>
            </w:pPr>
            <w:r w:rsidRPr="00A566E0">
              <w:rPr>
                <w:b/>
                <w:sz w:val="20"/>
                <w:szCs w:val="20"/>
              </w:rPr>
              <w:t>plochy P18, Z44A, Z46, Z47</w:t>
            </w:r>
          </w:p>
        </w:tc>
      </w:tr>
      <w:tr w:rsidR="00CB42B3" w:rsidRPr="00A566E0" w14:paraId="49A0D35D" w14:textId="77777777" w:rsidTr="00A566E0">
        <w:tc>
          <w:tcPr>
            <w:tcW w:w="1952" w:type="dxa"/>
          </w:tcPr>
          <w:p w14:paraId="25058435"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Z12.26</w:t>
            </w:r>
          </w:p>
        </w:tc>
        <w:tc>
          <w:tcPr>
            <w:tcW w:w="1133" w:type="dxa"/>
          </w:tcPr>
          <w:p w14:paraId="5FADABF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0,002</w:t>
            </w:r>
          </w:p>
        </w:tc>
        <w:tc>
          <w:tcPr>
            <w:tcW w:w="2978" w:type="dxa"/>
          </w:tcPr>
          <w:p w14:paraId="24ABCE5F"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6E18D499" w14:textId="77777777" w:rsidR="00CB42B3" w:rsidRPr="00A566E0" w:rsidRDefault="00CB42B3" w:rsidP="00A566E0">
            <w:pPr>
              <w:pStyle w:val="1text"/>
              <w:spacing w:before="40" w:after="40"/>
              <w:jc w:val="left"/>
              <w:rPr>
                <w:sz w:val="20"/>
                <w:szCs w:val="20"/>
                <w:highlight w:val="green"/>
              </w:rPr>
            </w:pPr>
          </w:p>
        </w:tc>
      </w:tr>
      <w:tr w:rsidR="00CB42B3" w:rsidRPr="00A566E0" w14:paraId="4CFC2397" w14:textId="77777777" w:rsidTr="00A566E0">
        <w:tc>
          <w:tcPr>
            <w:tcW w:w="1952" w:type="dxa"/>
          </w:tcPr>
          <w:p w14:paraId="39D9724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Z12.27</w:t>
            </w:r>
          </w:p>
        </w:tc>
        <w:tc>
          <w:tcPr>
            <w:tcW w:w="1133" w:type="dxa"/>
          </w:tcPr>
          <w:p w14:paraId="6601B8F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0,037</w:t>
            </w:r>
          </w:p>
        </w:tc>
        <w:tc>
          <w:tcPr>
            <w:tcW w:w="2978" w:type="dxa"/>
          </w:tcPr>
          <w:p w14:paraId="6B213417"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3D8532F"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7FE9F617" w14:textId="77777777" w:rsidTr="00A566E0">
        <w:tc>
          <w:tcPr>
            <w:tcW w:w="1952" w:type="dxa"/>
          </w:tcPr>
          <w:p w14:paraId="7FEE38E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Z18.1</w:t>
            </w:r>
          </w:p>
        </w:tc>
        <w:tc>
          <w:tcPr>
            <w:tcW w:w="1133" w:type="dxa"/>
          </w:tcPr>
          <w:p w14:paraId="71093EEB"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0,088</w:t>
            </w:r>
          </w:p>
        </w:tc>
        <w:tc>
          <w:tcPr>
            <w:tcW w:w="2978" w:type="dxa"/>
          </w:tcPr>
          <w:p w14:paraId="0ABFB14A"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701175B"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31430F2C" w14:textId="77777777" w:rsidTr="00A566E0">
        <w:tc>
          <w:tcPr>
            <w:tcW w:w="1952" w:type="dxa"/>
          </w:tcPr>
          <w:p w14:paraId="4D92D04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Z18.3</w:t>
            </w:r>
          </w:p>
        </w:tc>
        <w:tc>
          <w:tcPr>
            <w:tcW w:w="1133" w:type="dxa"/>
          </w:tcPr>
          <w:p w14:paraId="144C5037"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0,139</w:t>
            </w:r>
          </w:p>
        </w:tc>
        <w:tc>
          <w:tcPr>
            <w:tcW w:w="2978" w:type="dxa"/>
          </w:tcPr>
          <w:p w14:paraId="4EAE1875"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07ED2F7A" w14:textId="77777777" w:rsidR="00CB42B3" w:rsidRPr="00A566E0" w:rsidRDefault="00CB42B3" w:rsidP="00A566E0">
            <w:pPr>
              <w:pStyle w:val="1text"/>
              <w:spacing w:before="40" w:after="40"/>
              <w:jc w:val="left"/>
              <w:rPr>
                <w:sz w:val="20"/>
                <w:szCs w:val="20"/>
                <w:highlight w:val="green"/>
              </w:rPr>
            </w:pPr>
            <w:r w:rsidRPr="00A566E0">
              <w:rPr>
                <w:sz w:val="20"/>
                <w:szCs w:val="20"/>
              </w:rPr>
              <w:t xml:space="preserve">zastavěno </w:t>
            </w:r>
          </w:p>
        </w:tc>
      </w:tr>
      <w:tr w:rsidR="00CB42B3" w:rsidRPr="00A566E0" w14:paraId="32FBD880" w14:textId="77777777" w:rsidTr="00A566E0">
        <w:tc>
          <w:tcPr>
            <w:tcW w:w="9181" w:type="dxa"/>
            <w:gridSpan w:val="4"/>
          </w:tcPr>
          <w:p w14:paraId="74A9D922" w14:textId="77777777" w:rsidR="00CB42B3" w:rsidRPr="00A566E0" w:rsidRDefault="00CB42B3" w:rsidP="00A566E0">
            <w:pPr>
              <w:pStyle w:val="1text"/>
              <w:spacing w:before="40" w:after="40"/>
              <w:jc w:val="left"/>
              <w:rPr>
                <w:sz w:val="20"/>
                <w:szCs w:val="20"/>
              </w:rPr>
            </w:pPr>
            <w:r w:rsidRPr="00A566E0">
              <w:rPr>
                <w:sz w:val="20"/>
                <w:szCs w:val="20"/>
              </w:rPr>
              <w:t>Plochy bydlení</w:t>
            </w:r>
          </w:p>
        </w:tc>
      </w:tr>
      <w:tr w:rsidR="00CB42B3" w:rsidRPr="00A566E0" w14:paraId="3003DFCB" w14:textId="77777777" w:rsidTr="00A566E0">
        <w:tc>
          <w:tcPr>
            <w:tcW w:w="1952" w:type="dxa"/>
          </w:tcPr>
          <w:p w14:paraId="02AD76C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4</w:t>
            </w:r>
          </w:p>
        </w:tc>
        <w:tc>
          <w:tcPr>
            <w:tcW w:w="1133" w:type="dxa"/>
          </w:tcPr>
          <w:p w14:paraId="53B16BD5" w14:textId="77777777" w:rsidR="00CB42B3" w:rsidRPr="00A566E0" w:rsidRDefault="00CB42B3" w:rsidP="00A566E0">
            <w:pPr>
              <w:pStyle w:val="1text"/>
              <w:spacing w:before="40" w:after="40"/>
              <w:jc w:val="left"/>
              <w:rPr>
                <w:rFonts w:eastAsia="Times New Roman"/>
                <w:sz w:val="20"/>
                <w:szCs w:val="20"/>
                <w:highlight w:val="green"/>
                <w:lang w:eastAsia="cs-CZ"/>
              </w:rPr>
            </w:pPr>
            <w:r w:rsidRPr="00A566E0">
              <w:rPr>
                <w:rFonts w:eastAsia="Times New Roman"/>
                <w:color w:val="000000"/>
                <w:sz w:val="20"/>
                <w:szCs w:val="20"/>
                <w:lang w:eastAsia="cs-CZ"/>
              </w:rPr>
              <w:t>0,244</w:t>
            </w:r>
          </w:p>
        </w:tc>
        <w:tc>
          <w:tcPr>
            <w:tcW w:w="2978" w:type="dxa"/>
          </w:tcPr>
          <w:p w14:paraId="58829A2E"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2561B25A" w14:textId="77777777" w:rsidR="00CB42B3" w:rsidRPr="00A566E0" w:rsidRDefault="00CB42B3" w:rsidP="00A566E0">
            <w:pPr>
              <w:pStyle w:val="1text"/>
              <w:spacing w:before="40" w:after="40"/>
              <w:jc w:val="left"/>
              <w:rPr>
                <w:sz w:val="20"/>
                <w:szCs w:val="20"/>
                <w:highlight w:val="green"/>
              </w:rPr>
            </w:pPr>
          </w:p>
        </w:tc>
      </w:tr>
      <w:tr w:rsidR="00CB42B3" w:rsidRPr="00A566E0" w14:paraId="5102D9B9" w14:textId="77777777" w:rsidTr="00A566E0">
        <w:tc>
          <w:tcPr>
            <w:tcW w:w="1952" w:type="dxa"/>
          </w:tcPr>
          <w:p w14:paraId="1FAD31F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31</w:t>
            </w:r>
          </w:p>
        </w:tc>
        <w:tc>
          <w:tcPr>
            <w:tcW w:w="1133" w:type="dxa"/>
          </w:tcPr>
          <w:p w14:paraId="52625B38"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0,232</w:t>
            </w:r>
          </w:p>
        </w:tc>
        <w:tc>
          <w:tcPr>
            <w:tcW w:w="2978" w:type="dxa"/>
          </w:tcPr>
          <w:p w14:paraId="22525DAB"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4CE0394B"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 zčásti realizováno</w:t>
            </w:r>
          </w:p>
        </w:tc>
      </w:tr>
      <w:tr w:rsidR="00CB42B3" w:rsidRPr="00A566E0" w14:paraId="1EC1083D" w14:textId="77777777" w:rsidTr="00A566E0">
        <w:tc>
          <w:tcPr>
            <w:tcW w:w="1952" w:type="dxa"/>
          </w:tcPr>
          <w:p w14:paraId="75676220"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32</w:t>
            </w:r>
          </w:p>
        </w:tc>
        <w:tc>
          <w:tcPr>
            <w:tcW w:w="1133" w:type="dxa"/>
          </w:tcPr>
          <w:p w14:paraId="1A2C5040"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1,385</w:t>
            </w:r>
          </w:p>
        </w:tc>
        <w:tc>
          <w:tcPr>
            <w:tcW w:w="2978" w:type="dxa"/>
          </w:tcPr>
          <w:p w14:paraId="310F6D02"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37D5C3B0"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Z46</w:t>
            </w:r>
          </w:p>
        </w:tc>
      </w:tr>
      <w:tr w:rsidR="00CB42B3" w:rsidRPr="00A566E0" w14:paraId="3D693FF1" w14:textId="77777777" w:rsidTr="00A566E0">
        <w:tc>
          <w:tcPr>
            <w:tcW w:w="1952" w:type="dxa"/>
          </w:tcPr>
          <w:p w14:paraId="6E65C2B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33</w:t>
            </w:r>
          </w:p>
        </w:tc>
        <w:tc>
          <w:tcPr>
            <w:tcW w:w="1133" w:type="dxa"/>
          </w:tcPr>
          <w:p w14:paraId="50EB7C95"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0,330</w:t>
            </w:r>
          </w:p>
        </w:tc>
        <w:tc>
          <w:tcPr>
            <w:tcW w:w="2978" w:type="dxa"/>
          </w:tcPr>
          <w:p w14:paraId="75175072"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1A7609F8"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Z46</w:t>
            </w:r>
          </w:p>
        </w:tc>
      </w:tr>
      <w:tr w:rsidR="00CB42B3" w:rsidRPr="00A566E0" w14:paraId="5AE6A17E" w14:textId="77777777" w:rsidTr="00A566E0">
        <w:tc>
          <w:tcPr>
            <w:tcW w:w="1952" w:type="dxa"/>
          </w:tcPr>
          <w:p w14:paraId="09C6DA05"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34</w:t>
            </w:r>
          </w:p>
        </w:tc>
        <w:tc>
          <w:tcPr>
            <w:tcW w:w="1133" w:type="dxa"/>
          </w:tcPr>
          <w:p w14:paraId="2CA6A0A6" w14:textId="77777777" w:rsidR="00CB42B3" w:rsidRPr="00A566E0" w:rsidRDefault="00CB42B3" w:rsidP="00A566E0">
            <w:pPr>
              <w:pStyle w:val="1text"/>
              <w:spacing w:before="40" w:after="40"/>
              <w:jc w:val="left"/>
              <w:rPr>
                <w:rFonts w:eastAsia="Times New Roman"/>
                <w:sz w:val="20"/>
                <w:szCs w:val="20"/>
                <w:highlight w:val="green"/>
                <w:lang w:eastAsia="cs-CZ"/>
              </w:rPr>
            </w:pPr>
            <w:r w:rsidRPr="00A566E0">
              <w:rPr>
                <w:rFonts w:eastAsia="Times New Roman"/>
                <w:color w:val="000000"/>
                <w:sz w:val="20"/>
                <w:szCs w:val="20"/>
                <w:lang w:eastAsia="cs-CZ"/>
              </w:rPr>
              <w:t>2,173</w:t>
            </w:r>
          </w:p>
        </w:tc>
        <w:tc>
          <w:tcPr>
            <w:tcW w:w="2978" w:type="dxa"/>
          </w:tcPr>
          <w:p w14:paraId="0F6DC7F0"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019C0E8B"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3C7F4827" w14:textId="77777777" w:rsidTr="00A566E0">
        <w:tc>
          <w:tcPr>
            <w:tcW w:w="1952" w:type="dxa"/>
          </w:tcPr>
          <w:p w14:paraId="5CCE450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35</w:t>
            </w:r>
          </w:p>
        </w:tc>
        <w:tc>
          <w:tcPr>
            <w:tcW w:w="1133" w:type="dxa"/>
          </w:tcPr>
          <w:p w14:paraId="703BE6B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1,173</w:t>
            </w:r>
          </w:p>
        </w:tc>
        <w:tc>
          <w:tcPr>
            <w:tcW w:w="2978" w:type="dxa"/>
          </w:tcPr>
          <w:p w14:paraId="450E5F35"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53674999"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19F81F53" w14:textId="77777777" w:rsidTr="00A566E0">
        <w:tc>
          <w:tcPr>
            <w:tcW w:w="1952" w:type="dxa"/>
          </w:tcPr>
          <w:p w14:paraId="79FFC446"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36</w:t>
            </w:r>
          </w:p>
        </w:tc>
        <w:tc>
          <w:tcPr>
            <w:tcW w:w="1133" w:type="dxa"/>
          </w:tcPr>
          <w:p w14:paraId="6419B5E7"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3,313</w:t>
            </w:r>
          </w:p>
        </w:tc>
        <w:tc>
          <w:tcPr>
            <w:tcW w:w="2978" w:type="dxa"/>
          </w:tcPr>
          <w:p w14:paraId="49643E27"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25B132D7"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Z43</w:t>
            </w:r>
          </w:p>
        </w:tc>
      </w:tr>
      <w:tr w:rsidR="00CB42B3" w:rsidRPr="00A566E0" w14:paraId="5C1555C8" w14:textId="77777777" w:rsidTr="00A566E0">
        <w:tc>
          <w:tcPr>
            <w:tcW w:w="1952" w:type="dxa"/>
          </w:tcPr>
          <w:p w14:paraId="5ED675FD"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37</w:t>
            </w:r>
          </w:p>
        </w:tc>
        <w:tc>
          <w:tcPr>
            <w:tcW w:w="1133" w:type="dxa"/>
          </w:tcPr>
          <w:p w14:paraId="647945A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4,010</w:t>
            </w:r>
          </w:p>
        </w:tc>
        <w:tc>
          <w:tcPr>
            <w:tcW w:w="2978" w:type="dxa"/>
            <w:shd w:val="clear" w:color="auto" w:fill="auto"/>
          </w:tcPr>
          <w:p w14:paraId="1B71C9DF" w14:textId="77777777" w:rsidR="00CB42B3" w:rsidRPr="00A566E0" w:rsidRDefault="00CB42B3" w:rsidP="00A566E0">
            <w:pPr>
              <w:spacing w:before="40" w:after="40" w:line="240" w:lineRule="auto"/>
              <w:jc w:val="left"/>
              <w:rPr>
                <w:sz w:val="20"/>
                <w:szCs w:val="20"/>
              </w:rPr>
            </w:pPr>
            <w:r w:rsidRPr="00A566E0">
              <w:rPr>
                <w:b/>
                <w:sz w:val="20"/>
                <w:szCs w:val="20"/>
              </w:rPr>
              <w:t>v rozsahu 3,947 ha převzato do ÚP</w:t>
            </w:r>
            <w:r w:rsidRPr="00A566E0">
              <w:rPr>
                <w:sz w:val="20"/>
                <w:szCs w:val="20"/>
              </w:rPr>
              <w:t>, zbývající část vymezena jako stabilizovaná plocha</w:t>
            </w:r>
          </w:p>
        </w:tc>
        <w:tc>
          <w:tcPr>
            <w:tcW w:w="3118" w:type="dxa"/>
          </w:tcPr>
          <w:p w14:paraId="775A3E4F" w14:textId="77777777" w:rsidR="00CB42B3" w:rsidRPr="00A566E0" w:rsidRDefault="00CB42B3" w:rsidP="00A566E0">
            <w:pPr>
              <w:pStyle w:val="1text"/>
              <w:spacing w:before="40" w:after="40"/>
              <w:jc w:val="left"/>
              <w:rPr>
                <w:sz w:val="20"/>
                <w:szCs w:val="20"/>
              </w:rPr>
            </w:pPr>
            <w:r w:rsidRPr="00A566E0">
              <w:rPr>
                <w:b/>
                <w:sz w:val="20"/>
                <w:szCs w:val="20"/>
              </w:rPr>
              <w:t>plochy Z43 a P22</w:t>
            </w:r>
            <w:r w:rsidRPr="00A566E0">
              <w:rPr>
                <w:sz w:val="20"/>
                <w:szCs w:val="20"/>
              </w:rPr>
              <w:t>, zčásti realizováno</w:t>
            </w:r>
          </w:p>
        </w:tc>
      </w:tr>
      <w:tr w:rsidR="00CB42B3" w:rsidRPr="00A566E0" w14:paraId="3B6BC6C0" w14:textId="77777777" w:rsidTr="00A566E0">
        <w:tc>
          <w:tcPr>
            <w:tcW w:w="1952" w:type="dxa"/>
          </w:tcPr>
          <w:p w14:paraId="3988C7E0"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41</w:t>
            </w:r>
          </w:p>
        </w:tc>
        <w:tc>
          <w:tcPr>
            <w:tcW w:w="1133" w:type="dxa"/>
          </w:tcPr>
          <w:p w14:paraId="4F68BDA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0,174</w:t>
            </w:r>
          </w:p>
        </w:tc>
        <w:tc>
          <w:tcPr>
            <w:tcW w:w="2978" w:type="dxa"/>
          </w:tcPr>
          <w:p w14:paraId="003FC0DA"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28D62C3C"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1F5129D9" w14:textId="77777777" w:rsidTr="00A566E0">
        <w:tc>
          <w:tcPr>
            <w:tcW w:w="1952" w:type="dxa"/>
          </w:tcPr>
          <w:p w14:paraId="30B48A8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43</w:t>
            </w:r>
          </w:p>
        </w:tc>
        <w:tc>
          <w:tcPr>
            <w:tcW w:w="1133" w:type="dxa"/>
          </w:tcPr>
          <w:p w14:paraId="1932D0D5"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0,687</w:t>
            </w:r>
          </w:p>
        </w:tc>
        <w:tc>
          <w:tcPr>
            <w:tcW w:w="2978" w:type="dxa"/>
          </w:tcPr>
          <w:p w14:paraId="4D823DEA"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188E1F3D"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P26</w:t>
            </w:r>
          </w:p>
        </w:tc>
      </w:tr>
      <w:tr w:rsidR="00CB42B3" w:rsidRPr="00A566E0" w14:paraId="51E25FEA" w14:textId="77777777" w:rsidTr="00A566E0">
        <w:tc>
          <w:tcPr>
            <w:tcW w:w="1952" w:type="dxa"/>
          </w:tcPr>
          <w:p w14:paraId="07BF36A3"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46</w:t>
            </w:r>
          </w:p>
        </w:tc>
        <w:tc>
          <w:tcPr>
            <w:tcW w:w="1133" w:type="dxa"/>
          </w:tcPr>
          <w:p w14:paraId="4D9FC5A9"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2,054</w:t>
            </w:r>
          </w:p>
        </w:tc>
        <w:tc>
          <w:tcPr>
            <w:tcW w:w="2978" w:type="dxa"/>
            <w:shd w:val="clear" w:color="auto" w:fill="auto"/>
          </w:tcPr>
          <w:p w14:paraId="056EB1F3" w14:textId="77777777" w:rsidR="00CB42B3" w:rsidRPr="00A566E0" w:rsidRDefault="00CB42B3" w:rsidP="00A566E0">
            <w:pPr>
              <w:spacing w:before="40" w:after="40" w:line="240" w:lineRule="auto"/>
              <w:jc w:val="left"/>
              <w:rPr>
                <w:sz w:val="20"/>
                <w:szCs w:val="20"/>
                <w:highlight w:val="green"/>
              </w:rPr>
            </w:pPr>
            <w:r w:rsidRPr="00A566E0">
              <w:rPr>
                <w:b/>
                <w:sz w:val="20"/>
                <w:szCs w:val="20"/>
              </w:rPr>
              <w:t>v rozsahu 1,601 ha převzato do ÚP</w:t>
            </w:r>
            <w:r w:rsidRPr="00A566E0">
              <w:rPr>
                <w:sz w:val="20"/>
                <w:szCs w:val="20"/>
              </w:rPr>
              <w:t>, zbývající část vymezena jako stabilizovaná plocha</w:t>
            </w:r>
          </w:p>
        </w:tc>
        <w:tc>
          <w:tcPr>
            <w:tcW w:w="3118" w:type="dxa"/>
          </w:tcPr>
          <w:p w14:paraId="02AD6AAF" w14:textId="77777777" w:rsidR="00CB42B3" w:rsidRPr="00A566E0" w:rsidRDefault="00CB42B3" w:rsidP="00A566E0">
            <w:pPr>
              <w:pStyle w:val="1text"/>
              <w:spacing w:before="40" w:after="40"/>
              <w:jc w:val="left"/>
              <w:rPr>
                <w:sz w:val="20"/>
                <w:szCs w:val="20"/>
                <w:highlight w:val="green"/>
              </w:rPr>
            </w:pPr>
            <w:r w:rsidRPr="00A566E0">
              <w:rPr>
                <w:b/>
                <w:sz w:val="20"/>
                <w:szCs w:val="20"/>
              </w:rPr>
              <w:t>plochy Z54 a Z55</w:t>
            </w:r>
            <w:r w:rsidRPr="00A566E0">
              <w:rPr>
                <w:sz w:val="20"/>
                <w:szCs w:val="20"/>
              </w:rPr>
              <w:t>, zčásti realizováno</w:t>
            </w:r>
          </w:p>
        </w:tc>
      </w:tr>
      <w:tr w:rsidR="00CB42B3" w:rsidRPr="00A566E0" w14:paraId="6DC086F8" w14:textId="77777777" w:rsidTr="00A566E0">
        <w:tc>
          <w:tcPr>
            <w:tcW w:w="1952" w:type="dxa"/>
          </w:tcPr>
          <w:p w14:paraId="74867185"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51</w:t>
            </w:r>
          </w:p>
        </w:tc>
        <w:tc>
          <w:tcPr>
            <w:tcW w:w="1133" w:type="dxa"/>
          </w:tcPr>
          <w:p w14:paraId="64BDE02B"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0,282</w:t>
            </w:r>
          </w:p>
        </w:tc>
        <w:tc>
          <w:tcPr>
            <w:tcW w:w="2978" w:type="dxa"/>
          </w:tcPr>
          <w:p w14:paraId="634DBE57" w14:textId="77777777" w:rsidR="00CB42B3" w:rsidRPr="00A566E0" w:rsidRDefault="00CB42B3" w:rsidP="00A566E0">
            <w:pPr>
              <w:spacing w:before="40" w:after="40" w:line="240" w:lineRule="auto"/>
              <w:jc w:val="left"/>
              <w:rPr>
                <w:sz w:val="20"/>
                <w:szCs w:val="20"/>
              </w:rPr>
            </w:pPr>
            <w:r w:rsidRPr="00A566E0">
              <w:rPr>
                <w:sz w:val="20"/>
                <w:szCs w:val="20"/>
              </w:rPr>
              <w:t>zčásti vymezeno jako stabilizovaná plocha, zčásti záměr vypuštěn</w:t>
            </w:r>
          </w:p>
        </w:tc>
        <w:tc>
          <w:tcPr>
            <w:tcW w:w="3118" w:type="dxa"/>
          </w:tcPr>
          <w:p w14:paraId="388BFEF3" w14:textId="77777777" w:rsidR="00CB42B3" w:rsidRPr="00A566E0" w:rsidRDefault="00CB42B3" w:rsidP="00A566E0">
            <w:pPr>
              <w:pStyle w:val="1text"/>
              <w:spacing w:before="40" w:after="40"/>
              <w:jc w:val="left"/>
              <w:rPr>
                <w:sz w:val="20"/>
                <w:szCs w:val="20"/>
              </w:rPr>
            </w:pPr>
            <w:r w:rsidRPr="00A566E0">
              <w:rPr>
                <w:sz w:val="20"/>
                <w:szCs w:val="20"/>
              </w:rPr>
              <w:t>zčásti realizováno</w:t>
            </w:r>
          </w:p>
        </w:tc>
      </w:tr>
      <w:tr w:rsidR="00CB42B3" w:rsidRPr="00A566E0" w14:paraId="7BA6E0B4" w14:textId="77777777" w:rsidTr="00A566E0">
        <w:tc>
          <w:tcPr>
            <w:tcW w:w="1952" w:type="dxa"/>
          </w:tcPr>
          <w:p w14:paraId="0E06B80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57</w:t>
            </w:r>
          </w:p>
        </w:tc>
        <w:tc>
          <w:tcPr>
            <w:tcW w:w="1133" w:type="dxa"/>
          </w:tcPr>
          <w:p w14:paraId="32CDC50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0,003</w:t>
            </w:r>
          </w:p>
        </w:tc>
        <w:tc>
          <w:tcPr>
            <w:tcW w:w="2978" w:type="dxa"/>
          </w:tcPr>
          <w:p w14:paraId="1B0C35AC"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3E73CDB1" w14:textId="77777777" w:rsidR="00CB42B3" w:rsidRPr="00A566E0" w:rsidRDefault="00CB42B3" w:rsidP="00A566E0">
            <w:pPr>
              <w:pStyle w:val="1text"/>
              <w:spacing w:before="40" w:after="40"/>
              <w:jc w:val="left"/>
              <w:rPr>
                <w:sz w:val="20"/>
                <w:szCs w:val="20"/>
                <w:highlight w:val="green"/>
              </w:rPr>
            </w:pPr>
          </w:p>
        </w:tc>
      </w:tr>
      <w:tr w:rsidR="00CB42B3" w:rsidRPr="00A566E0" w14:paraId="2C662116" w14:textId="77777777" w:rsidTr="00A566E0">
        <w:tc>
          <w:tcPr>
            <w:tcW w:w="1952" w:type="dxa"/>
          </w:tcPr>
          <w:p w14:paraId="4C075EB0"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106</w:t>
            </w:r>
          </w:p>
        </w:tc>
        <w:tc>
          <w:tcPr>
            <w:tcW w:w="1133" w:type="dxa"/>
          </w:tcPr>
          <w:p w14:paraId="51C8652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0,002</w:t>
            </w:r>
          </w:p>
        </w:tc>
        <w:tc>
          <w:tcPr>
            <w:tcW w:w="2978" w:type="dxa"/>
          </w:tcPr>
          <w:p w14:paraId="0FDE1DA8"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5724733F" w14:textId="77777777" w:rsidR="00CB42B3" w:rsidRPr="00A566E0" w:rsidRDefault="00CB42B3" w:rsidP="00A566E0">
            <w:pPr>
              <w:pStyle w:val="1text"/>
              <w:spacing w:before="40" w:after="40"/>
              <w:jc w:val="left"/>
              <w:rPr>
                <w:sz w:val="20"/>
                <w:szCs w:val="20"/>
              </w:rPr>
            </w:pPr>
            <w:r w:rsidRPr="00A566E0">
              <w:rPr>
                <w:sz w:val="20"/>
                <w:szCs w:val="20"/>
              </w:rPr>
              <w:t xml:space="preserve">dle §58 a §2, odst. 1c stavebního </w:t>
            </w:r>
            <w:r w:rsidRPr="00A566E0">
              <w:rPr>
                <w:sz w:val="20"/>
                <w:szCs w:val="20"/>
              </w:rPr>
              <w:lastRenderedPageBreak/>
              <w:t>zákona, zčásti zastavěno</w:t>
            </w:r>
          </w:p>
        </w:tc>
      </w:tr>
      <w:tr w:rsidR="00CB42B3" w:rsidRPr="00A566E0" w14:paraId="2D2E8A06" w14:textId="77777777" w:rsidTr="00A566E0">
        <w:tc>
          <w:tcPr>
            <w:tcW w:w="1952" w:type="dxa"/>
          </w:tcPr>
          <w:p w14:paraId="651023B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lastRenderedPageBreak/>
              <w:t>Z17.1b</w:t>
            </w:r>
          </w:p>
        </w:tc>
        <w:tc>
          <w:tcPr>
            <w:tcW w:w="1133" w:type="dxa"/>
          </w:tcPr>
          <w:p w14:paraId="37379580"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0,309</w:t>
            </w:r>
          </w:p>
        </w:tc>
        <w:tc>
          <w:tcPr>
            <w:tcW w:w="2978" w:type="dxa"/>
          </w:tcPr>
          <w:p w14:paraId="6A6F1DCC"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43D71432"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4428CE46" w14:textId="77777777" w:rsidTr="00A566E0">
        <w:tc>
          <w:tcPr>
            <w:tcW w:w="1952" w:type="dxa"/>
          </w:tcPr>
          <w:p w14:paraId="6D71C312"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Z17.4a</w:t>
            </w:r>
          </w:p>
        </w:tc>
        <w:tc>
          <w:tcPr>
            <w:tcW w:w="1133" w:type="dxa"/>
          </w:tcPr>
          <w:p w14:paraId="405580E6"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2,015</w:t>
            </w:r>
          </w:p>
        </w:tc>
        <w:tc>
          <w:tcPr>
            <w:tcW w:w="2978" w:type="dxa"/>
            <w:shd w:val="clear" w:color="auto" w:fill="auto"/>
          </w:tcPr>
          <w:p w14:paraId="2B3EDF08" w14:textId="77777777" w:rsidR="00CB42B3" w:rsidRPr="00A566E0" w:rsidRDefault="00CB42B3" w:rsidP="00A566E0">
            <w:pPr>
              <w:spacing w:before="40" w:after="40" w:line="240" w:lineRule="auto"/>
              <w:jc w:val="left"/>
              <w:rPr>
                <w:sz w:val="20"/>
                <w:szCs w:val="20"/>
                <w:highlight w:val="green"/>
              </w:rPr>
            </w:pPr>
            <w:r w:rsidRPr="00A566E0">
              <w:rPr>
                <w:b/>
                <w:color w:val="000000"/>
                <w:sz w:val="20"/>
                <w:szCs w:val="20"/>
              </w:rPr>
              <w:t xml:space="preserve">v </w:t>
            </w:r>
            <w:r w:rsidRPr="00A566E0">
              <w:rPr>
                <w:b/>
                <w:sz w:val="20"/>
                <w:szCs w:val="20"/>
              </w:rPr>
              <w:t xml:space="preserve">rozsahu </w:t>
            </w:r>
            <w:r w:rsidRPr="00A566E0">
              <w:rPr>
                <w:rFonts w:eastAsia="Times New Roman"/>
                <w:b/>
                <w:sz w:val="20"/>
                <w:szCs w:val="20"/>
                <w:lang w:eastAsia="cs-CZ"/>
              </w:rPr>
              <w:t xml:space="preserve">1,823 </w:t>
            </w:r>
            <w:r w:rsidRPr="00A566E0">
              <w:rPr>
                <w:b/>
                <w:sz w:val="20"/>
                <w:szCs w:val="20"/>
              </w:rPr>
              <w:t>ha převzato do ÚP</w:t>
            </w:r>
            <w:r w:rsidRPr="00A566E0">
              <w:rPr>
                <w:sz w:val="20"/>
                <w:szCs w:val="20"/>
              </w:rPr>
              <w:t>, zbývající část vymezena jako stabilizovaná plocha</w:t>
            </w:r>
          </w:p>
        </w:tc>
        <w:tc>
          <w:tcPr>
            <w:tcW w:w="3118" w:type="dxa"/>
          </w:tcPr>
          <w:p w14:paraId="25FF09D4" w14:textId="77777777" w:rsidR="00CB42B3" w:rsidRPr="00A566E0" w:rsidRDefault="00CB42B3" w:rsidP="00A566E0">
            <w:pPr>
              <w:pStyle w:val="1text"/>
              <w:spacing w:before="40" w:after="40"/>
              <w:jc w:val="left"/>
              <w:rPr>
                <w:sz w:val="20"/>
                <w:szCs w:val="20"/>
                <w:highlight w:val="green"/>
              </w:rPr>
            </w:pPr>
            <w:r w:rsidRPr="00A566E0">
              <w:rPr>
                <w:b/>
                <w:sz w:val="20"/>
                <w:szCs w:val="20"/>
              </w:rPr>
              <w:t>plocha P25</w:t>
            </w:r>
            <w:r w:rsidRPr="00A566E0">
              <w:rPr>
                <w:sz w:val="20"/>
                <w:szCs w:val="20"/>
              </w:rPr>
              <w:t>, zčásti zastavěno</w:t>
            </w:r>
          </w:p>
        </w:tc>
      </w:tr>
      <w:tr w:rsidR="00CB42B3" w:rsidRPr="00A566E0" w14:paraId="73A0DF95" w14:textId="77777777" w:rsidTr="00A566E0">
        <w:tc>
          <w:tcPr>
            <w:tcW w:w="1952" w:type="dxa"/>
          </w:tcPr>
          <w:p w14:paraId="6C7E3F79"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Z17.4b</w:t>
            </w:r>
          </w:p>
        </w:tc>
        <w:tc>
          <w:tcPr>
            <w:tcW w:w="1133" w:type="dxa"/>
          </w:tcPr>
          <w:p w14:paraId="42560250"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0,307</w:t>
            </w:r>
          </w:p>
        </w:tc>
        <w:tc>
          <w:tcPr>
            <w:tcW w:w="2978" w:type="dxa"/>
          </w:tcPr>
          <w:p w14:paraId="78A38C8D"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35540717"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2519C10A" w14:textId="77777777" w:rsidTr="00A566E0">
        <w:tc>
          <w:tcPr>
            <w:tcW w:w="9181" w:type="dxa"/>
            <w:gridSpan w:val="4"/>
          </w:tcPr>
          <w:p w14:paraId="7DAE5C59" w14:textId="77777777" w:rsidR="00CB42B3" w:rsidRPr="00A566E0" w:rsidRDefault="00CB42B3" w:rsidP="00A566E0">
            <w:pPr>
              <w:pStyle w:val="1text"/>
              <w:spacing w:before="40" w:after="40"/>
              <w:jc w:val="left"/>
              <w:rPr>
                <w:sz w:val="20"/>
                <w:szCs w:val="20"/>
              </w:rPr>
            </w:pPr>
            <w:r w:rsidRPr="00A566E0">
              <w:rPr>
                <w:sz w:val="20"/>
                <w:szCs w:val="20"/>
              </w:rPr>
              <w:t>Plochy rekreace</w:t>
            </w:r>
          </w:p>
        </w:tc>
      </w:tr>
      <w:tr w:rsidR="00CB42B3" w:rsidRPr="00A566E0" w14:paraId="01D34715" w14:textId="77777777" w:rsidTr="00A566E0">
        <w:tc>
          <w:tcPr>
            <w:tcW w:w="1952" w:type="dxa"/>
          </w:tcPr>
          <w:p w14:paraId="680F561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44</w:t>
            </w:r>
          </w:p>
        </w:tc>
        <w:tc>
          <w:tcPr>
            <w:tcW w:w="1133" w:type="dxa"/>
          </w:tcPr>
          <w:p w14:paraId="2F670980"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0,906</w:t>
            </w:r>
          </w:p>
        </w:tc>
        <w:tc>
          <w:tcPr>
            <w:tcW w:w="2978" w:type="dxa"/>
          </w:tcPr>
          <w:p w14:paraId="1EE4361D" w14:textId="77777777" w:rsidR="00CB42B3" w:rsidRPr="00A566E0" w:rsidRDefault="00CB42B3" w:rsidP="00A566E0">
            <w:pPr>
              <w:spacing w:before="40" w:after="40" w:line="240" w:lineRule="auto"/>
              <w:jc w:val="left"/>
              <w:rPr>
                <w:sz w:val="20"/>
                <w:szCs w:val="20"/>
                <w:highlight w:val="green"/>
              </w:rPr>
            </w:pPr>
            <w:r w:rsidRPr="00A566E0">
              <w:rPr>
                <w:sz w:val="20"/>
                <w:szCs w:val="20"/>
              </w:rPr>
              <w:t>zčásti vymezeno jako stabilizovaná plocha, zčásti záměr vypuštěn</w:t>
            </w:r>
          </w:p>
        </w:tc>
        <w:tc>
          <w:tcPr>
            <w:tcW w:w="3118" w:type="dxa"/>
          </w:tcPr>
          <w:p w14:paraId="33FCBC5F" w14:textId="77777777" w:rsidR="00CB42B3" w:rsidRPr="00A566E0" w:rsidRDefault="00CB42B3" w:rsidP="00A566E0">
            <w:pPr>
              <w:pStyle w:val="1text"/>
              <w:spacing w:before="40" w:after="40"/>
              <w:jc w:val="left"/>
              <w:rPr>
                <w:sz w:val="20"/>
                <w:szCs w:val="20"/>
                <w:highlight w:val="green"/>
              </w:rPr>
            </w:pPr>
            <w:r w:rsidRPr="00A566E0">
              <w:rPr>
                <w:sz w:val="20"/>
                <w:szCs w:val="20"/>
              </w:rPr>
              <w:t>zčásti realizováno</w:t>
            </w:r>
          </w:p>
        </w:tc>
      </w:tr>
      <w:tr w:rsidR="00CB42B3" w:rsidRPr="00A566E0" w14:paraId="4A7DF4D0" w14:textId="77777777" w:rsidTr="00A566E0">
        <w:tc>
          <w:tcPr>
            <w:tcW w:w="1952" w:type="dxa"/>
          </w:tcPr>
          <w:p w14:paraId="215A977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45</w:t>
            </w:r>
          </w:p>
        </w:tc>
        <w:tc>
          <w:tcPr>
            <w:tcW w:w="1133" w:type="dxa"/>
          </w:tcPr>
          <w:p w14:paraId="2B70A757"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0,828</w:t>
            </w:r>
          </w:p>
        </w:tc>
        <w:tc>
          <w:tcPr>
            <w:tcW w:w="2978" w:type="dxa"/>
          </w:tcPr>
          <w:p w14:paraId="1BD0848E"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297A0E29"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44EBE0E8" w14:textId="77777777" w:rsidTr="00A566E0">
        <w:tc>
          <w:tcPr>
            <w:tcW w:w="1952" w:type="dxa"/>
          </w:tcPr>
          <w:p w14:paraId="5D25B90F"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120</w:t>
            </w:r>
          </w:p>
        </w:tc>
        <w:tc>
          <w:tcPr>
            <w:tcW w:w="1133" w:type="dxa"/>
          </w:tcPr>
          <w:p w14:paraId="0B396B10"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1,115</w:t>
            </w:r>
          </w:p>
        </w:tc>
        <w:tc>
          <w:tcPr>
            <w:tcW w:w="2978" w:type="dxa"/>
          </w:tcPr>
          <w:p w14:paraId="34CD0CE5"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39747CFE" w14:textId="77777777" w:rsidR="00CB42B3" w:rsidRPr="00A566E0" w:rsidRDefault="00CB42B3" w:rsidP="00A566E0">
            <w:pPr>
              <w:pStyle w:val="1text"/>
              <w:spacing w:before="40" w:after="40"/>
              <w:jc w:val="left"/>
              <w:rPr>
                <w:sz w:val="20"/>
                <w:szCs w:val="20"/>
                <w:highlight w:val="green"/>
              </w:rPr>
            </w:pPr>
          </w:p>
        </w:tc>
      </w:tr>
      <w:tr w:rsidR="00CB42B3" w:rsidRPr="00A566E0" w14:paraId="10390334" w14:textId="77777777" w:rsidTr="00A566E0">
        <w:tc>
          <w:tcPr>
            <w:tcW w:w="1952" w:type="dxa"/>
          </w:tcPr>
          <w:p w14:paraId="28200CCF"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Z12.29</w:t>
            </w:r>
          </w:p>
        </w:tc>
        <w:tc>
          <w:tcPr>
            <w:tcW w:w="1133" w:type="dxa"/>
            <w:shd w:val="clear" w:color="auto" w:fill="auto"/>
          </w:tcPr>
          <w:p w14:paraId="7098239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0,896</w:t>
            </w:r>
          </w:p>
        </w:tc>
        <w:tc>
          <w:tcPr>
            <w:tcW w:w="2978" w:type="dxa"/>
            <w:shd w:val="clear" w:color="auto" w:fill="auto"/>
          </w:tcPr>
          <w:p w14:paraId="179A08C9" w14:textId="77777777" w:rsidR="00CB42B3" w:rsidRPr="00A566E0" w:rsidRDefault="00CB42B3" w:rsidP="00A566E0">
            <w:pPr>
              <w:spacing w:before="40" w:after="40" w:line="240" w:lineRule="auto"/>
              <w:jc w:val="left"/>
              <w:rPr>
                <w:sz w:val="20"/>
                <w:szCs w:val="20"/>
              </w:rPr>
            </w:pPr>
            <w:r w:rsidRPr="00A566E0">
              <w:rPr>
                <w:b/>
                <w:color w:val="000000"/>
                <w:sz w:val="20"/>
                <w:szCs w:val="20"/>
              </w:rPr>
              <w:t xml:space="preserve">v rozsahu 0,843 </w:t>
            </w:r>
            <w:r w:rsidRPr="00A566E0">
              <w:rPr>
                <w:b/>
                <w:sz w:val="20"/>
                <w:szCs w:val="20"/>
              </w:rPr>
              <w:t>ha převzato do ÚP</w:t>
            </w:r>
            <w:r w:rsidRPr="00A566E0">
              <w:rPr>
                <w:sz w:val="20"/>
                <w:szCs w:val="20"/>
              </w:rPr>
              <w:t xml:space="preserve"> s jiným využitím, zbývající část vymezena jako stabilizovaná plocha</w:t>
            </w:r>
          </w:p>
        </w:tc>
        <w:tc>
          <w:tcPr>
            <w:tcW w:w="3118" w:type="dxa"/>
          </w:tcPr>
          <w:p w14:paraId="0B4FD207" w14:textId="77777777" w:rsidR="00CB42B3" w:rsidRPr="00A566E0" w:rsidRDefault="00CB42B3" w:rsidP="00A566E0">
            <w:pPr>
              <w:pStyle w:val="1text"/>
              <w:spacing w:before="40" w:after="40"/>
              <w:jc w:val="left"/>
              <w:rPr>
                <w:sz w:val="20"/>
                <w:szCs w:val="20"/>
              </w:rPr>
            </w:pPr>
            <w:r w:rsidRPr="00A566E0">
              <w:rPr>
                <w:b/>
                <w:sz w:val="20"/>
                <w:szCs w:val="20"/>
              </w:rPr>
              <w:t>plocha P19</w:t>
            </w:r>
            <w:r w:rsidRPr="00A566E0">
              <w:rPr>
                <w:sz w:val="20"/>
                <w:szCs w:val="20"/>
              </w:rPr>
              <w:t>, zčásti realizováno</w:t>
            </w:r>
          </w:p>
        </w:tc>
      </w:tr>
      <w:tr w:rsidR="00CB42B3" w:rsidRPr="00A566E0" w14:paraId="0EB677C1" w14:textId="77777777" w:rsidTr="00A566E0">
        <w:tc>
          <w:tcPr>
            <w:tcW w:w="9181" w:type="dxa"/>
            <w:gridSpan w:val="4"/>
          </w:tcPr>
          <w:p w14:paraId="763C9F41" w14:textId="77777777" w:rsidR="00CB42B3" w:rsidRPr="00A566E0" w:rsidRDefault="00CB42B3" w:rsidP="00A566E0">
            <w:pPr>
              <w:pStyle w:val="1text"/>
              <w:spacing w:before="40" w:after="40"/>
              <w:jc w:val="left"/>
              <w:rPr>
                <w:sz w:val="20"/>
                <w:szCs w:val="20"/>
              </w:rPr>
            </w:pPr>
            <w:r w:rsidRPr="00A566E0">
              <w:rPr>
                <w:sz w:val="20"/>
                <w:szCs w:val="20"/>
              </w:rPr>
              <w:t>Plochy občanského vybavení</w:t>
            </w:r>
          </w:p>
        </w:tc>
      </w:tr>
      <w:tr w:rsidR="00CB42B3" w:rsidRPr="00A566E0" w14:paraId="76E4C18C" w14:textId="77777777" w:rsidTr="00A566E0">
        <w:tc>
          <w:tcPr>
            <w:tcW w:w="1952" w:type="dxa"/>
          </w:tcPr>
          <w:p w14:paraId="091CD36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w:t>
            </w:r>
          </w:p>
        </w:tc>
        <w:tc>
          <w:tcPr>
            <w:tcW w:w="1133" w:type="dxa"/>
          </w:tcPr>
          <w:p w14:paraId="31E6B0F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0,003</w:t>
            </w:r>
          </w:p>
        </w:tc>
        <w:tc>
          <w:tcPr>
            <w:tcW w:w="2978" w:type="dxa"/>
          </w:tcPr>
          <w:p w14:paraId="7A1EF2ED"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105A6516" w14:textId="77777777" w:rsidR="00CB42B3" w:rsidRPr="00A566E0" w:rsidRDefault="00CB42B3" w:rsidP="00A566E0">
            <w:pPr>
              <w:pStyle w:val="1text"/>
              <w:spacing w:before="40" w:after="40"/>
              <w:jc w:val="left"/>
              <w:rPr>
                <w:sz w:val="20"/>
                <w:szCs w:val="20"/>
                <w:highlight w:val="green"/>
              </w:rPr>
            </w:pPr>
          </w:p>
        </w:tc>
      </w:tr>
      <w:tr w:rsidR="00CB42B3" w:rsidRPr="00A566E0" w14:paraId="4BE7AB2C" w14:textId="77777777" w:rsidTr="00A566E0">
        <w:tc>
          <w:tcPr>
            <w:tcW w:w="1952" w:type="dxa"/>
          </w:tcPr>
          <w:p w14:paraId="40E21FC8"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101</w:t>
            </w:r>
          </w:p>
        </w:tc>
        <w:tc>
          <w:tcPr>
            <w:tcW w:w="1133" w:type="dxa"/>
          </w:tcPr>
          <w:p w14:paraId="3DEA0250"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1,428</w:t>
            </w:r>
          </w:p>
        </w:tc>
        <w:tc>
          <w:tcPr>
            <w:tcW w:w="2978" w:type="dxa"/>
            <w:shd w:val="clear" w:color="auto" w:fill="auto"/>
          </w:tcPr>
          <w:p w14:paraId="55679BEA" w14:textId="77777777" w:rsidR="00CB42B3" w:rsidRPr="00A566E0" w:rsidRDefault="00CB42B3" w:rsidP="00A566E0">
            <w:pPr>
              <w:spacing w:before="40" w:after="40" w:line="240" w:lineRule="auto"/>
              <w:jc w:val="left"/>
              <w:rPr>
                <w:sz w:val="20"/>
                <w:szCs w:val="20"/>
                <w:highlight w:val="green"/>
              </w:rPr>
            </w:pPr>
            <w:r w:rsidRPr="00A566E0">
              <w:rPr>
                <w:b/>
                <w:sz w:val="20"/>
                <w:szCs w:val="20"/>
              </w:rPr>
              <w:t xml:space="preserve">v rozsahu </w:t>
            </w:r>
            <w:r w:rsidRPr="00A566E0">
              <w:rPr>
                <w:rFonts w:eastAsia="Times New Roman"/>
                <w:b/>
                <w:sz w:val="20"/>
                <w:szCs w:val="20"/>
                <w:lang w:eastAsia="cs-CZ"/>
              </w:rPr>
              <w:t>0,924</w:t>
            </w:r>
            <w:r w:rsidRPr="00A566E0">
              <w:rPr>
                <w:rFonts w:eastAsia="Times New Roman"/>
                <w:sz w:val="20"/>
                <w:szCs w:val="20"/>
                <w:lang w:eastAsia="cs-CZ"/>
              </w:rPr>
              <w:t xml:space="preserve"> </w:t>
            </w:r>
            <w:r w:rsidRPr="00A566E0">
              <w:rPr>
                <w:b/>
                <w:sz w:val="20"/>
                <w:szCs w:val="20"/>
              </w:rPr>
              <w:t>ha převzato do ÚP</w:t>
            </w:r>
            <w:r w:rsidRPr="00A566E0">
              <w:rPr>
                <w:sz w:val="20"/>
                <w:szCs w:val="20"/>
              </w:rPr>
              <w:t>, zbývající část vypuštěna</w:t>
            </w:r>
          </w:p>
        </w:tc>
        <w:tc>
          <w:tcPr>
            <w:tcW w:w="3118" w:type="dxa"/>
          </w:tcPr>
          <w:p w14:paraId="02D54C95"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P08</w:t>
            </w:r>
          </w:p>
        </w:tc>
      </w:tr>
      <w:tr w:rsidR="00CB42B3" w:rsidRPr="00A566E0" w14:paraId="522AD34D" w14:textId="77777777" w:rsidTr="00A566E0">
        <w:tc>
          <w:tcPr>
            <w:tcW w:w="1952" w:type="dxa"/>
          </w:tcPr>
          <w:p w14:paraId="119E95E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111</w:t>
            </w:r>
          </w:p>
        </w:tc>
        <w:tc>
          <w:tcPr>
            <w:tcW w:w="1133" w:type="dxa"/>
          </w:tcPr>
          <w:p w14:paraId="0BEA4E89"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1,687</w:t>
            </w:r>
          </w:p>
        </w:tc>
        <w:tc>
          <w:tcPr>
            <w:tcW w:w="2978" w:type="dxa"/>
          </w:tcPr>
          <w:p w14:paraId="36D3A268"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700A31F1" w14:textId="77777777" w:rsidR="00CB42B3" w:rsidRPr="00A566E0" w:rsidRDefault="00CB42B3" w:rsidP="00A566E0">
            <w:pPr>
              <w:pStyle w:val="1text"/>
              <w:spacing w:before="40" w:after="40"/>
              <w:jc w:val="left"/>
              <w:rPr>
                <w:sz w:val="20"/>
                <w:szCs w:val="20"/>
                <w:highlight w:val="green"/>
              </w:rPr>
            </w:pPr>
          </w:p>
        </w:tc>
      </w:tr>
      <w:tr w:rsidR="00CB42B3" w:rsidRPr="00A566E0" w14:paraId="0BE4E6B5" w14:textId="77777777" w:rsidTr="00A566E0">
        <w:tc>
          <w:tcPr>
            <w:tcW w:w="1952" w:type="dxa"/>
          </w:tcPr>
          <w:p w14:paraId="4FF9086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121</w:t>
            </w:r>
          </w:p>
        </w:tc>
        <w:tc>
          <w:tcPr>
            <w:tcW w:w="1133" w:type="dxa"/>
          </w:tcPr>
          <w:p w14:paraId="1FC4A360"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0,337</w:t>
            </w:r>
          </w:p>
        </w:tc>
        <w:tc>
          <w:tcPr>
            <w:tcW w:w="2978" w:type="dxa"/>
          </w:tcPr>
          <w:p w14:paraId="55BC5DAF"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3662EB2D" w14:textId="77777777" w:rsidR="00CB42B3" w:rsidRPr="00A566E0" w:rsidRDefault="00CB42B3" w:rsidP="00A566E0">
            <w:pPr>
              <w:pStyle w:val="1text"/>
              <w:spacing w:before="40" w:after="40"/>
              <w:jc w:val="left"/>
              <w:rPr>
                <w:sz w:val="20"/>
                <w:szCs w:val="20"/>
                <w:highlight w:val="green"/>
              </w:rPr>
            </w:pPr>
          </w:p>
        </w:tc>
      </w:tr>
      <w:tr w:rsidR="00CB42B3" w:rsidRPr="00A566E0" w14:paraId="009A8D08" w14:textId="77777777" w:rsidTr="00A566E0">
        <w:tc>
          <w:tcPr>
            <w:tcW w:w="1952" w:type="dxa"/>
          </w:tcPr>
          <w:p w14:paraId="67735A8F"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Z12.32</w:t>
            </w:r>
          </w:p>
        </w:tc>
        <w:tc>
          <w:tcPr>
            <w:tcW w:w="1133" w:type="dxa"/>
          </w:tcPr>
          <w:p w14:paraId="4F66119D"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0,192</w:t>
            </w:r>
          </w:p>
        </w:tc>
        <w:tc>
          <w:tcPr>
            <w:tcW w:w="2978" w:type="dxa"/>
          </w:tcPr>
          <w:p w14:paraId="19BEA2EF"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417D57B5"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P11</w:t>
            </w:r>
          </w:p>
        </w:tc>
      </w:tr>
      <w:tr w:rsidR="00CB42B3" w:rsidRPr="00A566E0" w14:paraId="60A40971" w14:textId="77777777" w:rsidTr="00A566E0">
        <w:tc>
          <w:tcPr>
            <w:tcW w:w="1952" w:type="dxa"/>
          </w:tcPr>
          <w:p w14:paraId="442109F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Z15.8</w:t>
            </w:r>
          </w:p>
        </w:tc>
        <w:tc>
          <w:tcPr>
            <w:tcW w:w="1133" w:type="dxa"/>
          </w:tcPr>
          <w:p w14:paraId="4287A94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0,147</w:t>
            </w:r>
          </w:p>
        </w:tc>
        <w:tc>
          <w:tcPr>
            <w:tcW w:w="2978" w:type="dxa"/>
          </w:tcPr>
          <w:p w14:paraId="6975498D"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53939ABC"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 zčásti realizováno</w:t>
            </w:r>
          </w:p>
        </w:tc>
      </w:tr>
      <w:tr w:rsidR="00CB42B3" w:rsidRPr="00A566E0" w14:paraId="1E72C0F2" w14:textId="77777777" w:rsidTr="00A566E0">
        <w:tc>
          <w:tcPr>
            <w:tcW w:w="1952" w:type="dxa"/>
          </w:tcPr>
          <w:p w14:paraId="100B2A84"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Z18.2</w:t>
            </w:r>
          </w:p>
        </w:tc>
        <w:tc>
          <w:tcPr>
            <w:tcW w:w="1133" w:type="dxa"/>
          </w:tcPr>
          <w:p w14:paraId="176AC41A"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0,112</w:t>
            </w:r>
          </w:p>
        </w:tc>
        <w:tc>
          <w:tcPr>
            <w:tcW w:w="2978" w:type="dxa"/>
          </w:tcPr>
          <w:p w14:paraId="75F1CB1F"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580A4E82"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P14</w:t>
            </w:r>
          </w:p>
        </w:tc>
      </w:tr>
      <w:tr w:rsidR="00CB42B3" w:rsidRPr="00A566E0" w14:paraId="2528324C" w14:textId="77777777" w:rsidTr="00A566E0">
        <w:tc>
          <w:tcPr>
            <w:tcW w:w="9181" w:type="dxa"/>
            <w:gridSpan w:val="4"/>
          </w:tcPr>
          <w:p w14:paraId="3360D716" w14:textId="77777777" w:rsidR="00CB42B3" w:rsidRPr="00A566E0" w:rsidRDefault="00CB42B3" w:rsidP="00A566E0">
            <w:pPr>
              <w:pStyle w:val="1text"/>
              <w:spacing w:before="40" w:after="40"/>
              <w:jc w:val="left"/>
              <w:rPr>
                <w:sz w:val="20"/>
                <w:szCs w:val="20"/>
              </w:rPr>
            </w:pPr>
            <w:r w:rsidRPr="00A566E0">
              <w:rPr>
                <w:sz w:val="20"/>
                <w:szCs w:val="20"/>
              </w:rPr>
              <w:t>Plochy výroby</w:t>
            </w:r>
          </w:p>
        </w:tc>
      </w:tr>
      <w:tr w:rsidR="00CB42B3" w:rsidRPr="00A566E0" w14:paraId="1B83B26D" w14:textId="77777777" w:rsidTr="00A566E0">
        <w:tc>
          <w:tcPr>
            <w:tcW w:w="1952" w:type="dxa"/>
          </w:tcPr>
          <w:p w14:paraId="121E562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21</w:t>
            </w:r>
          </w:p>
        </w:tc>
        <w:tc>
          <w:tcPr>
            <w:tcW w:w="1133" w:type="dxa"/>
          </w:tcPr>
          <w:p w14:paraId="30DB7653" w14:textId="77777777" w:rsidR="00CB42B3" w:rsidRPr="003F68C9" w:rsidRDefault="00CB42B3" w:rsidP="00A566E0">
            <w:pPr>
              <w:pStyle w:val="1text"/>
              <w:spacing w:before="40" w:after="40"/>
              <w:jc w:val="left"/>
              <w:rPr>
                <w:rFonts w:eastAsia="Times New Roman"/>
                <w:b/>
                <w:color w:val="000000"/>
                <w:sz w:val="20"/>
                <w:szCs w:val="20"/>
                <w:lang w:eastAsia="cs-CZ"/>
              </w:rPr>
            </w:pPr>
            <w:r w:rsidRPr="003F68C9">
              <w:rPr>
                <w:rFonts w:eastAsia="Times New Roman"/>
                <w:b/>
                <w:color w:val="000000"/>
                <w:sz w:val="20"/>
                <w:szCs w:val="20"/>
                <w:lang w:eastAsia="cs-CZ"/>
              </w:rPr>
              <w:t>4,213</w:t>
            </w:r>
          </w:p>
        </w:tc>
        <w:tc>
          <w:tcPr>
            <w:tcW w:w="2978" w:type="dxa"/>
          </w:tcPr>
          <w:p w14:paraId="6E57206C"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1F83BA02" w14:textId="77777777" w:rsidR="00CB42B3" w:rsidRPr="00A566E0" w:rsidRDefault="00B46012" w:rsidP="00A566E0">
            <w:pPr>
              <w:pStyle w:val="1text"/>
              <w:spacing w:before="40" w:after="40"/>
              <w:jc w:val="left"/>
              <w:rPr>
                <w:b/>
                <w:sz w:val="20"/>
                <w:szCs w:val="20"/>
                <w:highlight w:val="green"/>
              </w:rPr>
            </w:pPr>
            <w:r w:rsidRPr="00A566E0">
              <w:rPr>
                <w:b/>
                <w:sz w:val="20"/>
                <w:szCs w:val="20"/>
              </w:rPr>
              <w:t>plochy Z</w:t>
            </w:r>
            <w:r w:rsidR="00CB42B3" w:rsidRPr="00A566E0">
              <w:rPr>
                <w:b/>
                <w:sz w:val="20"/>
                <w:szCs w:val="20"/>
              </w:rPr>
              <w:t xml:space="preserve">48, </w:t>
            </w:r>
            <w:r w:rsidRPr="00A566E0">
              <w:rPr>
                <w:b/>
                <w:sz w:val="20"/>
                <w:szCs w:val="20"/>
              </w:rPr>
              <w:t>Z</w:t>
            </w:r>
            <w:r w:rsidR="00CB42B3" w:rsidRPr="00A566E0">
              <w:rPr>
                <w:b/>
                <w:sz w:val="20"/>
                <w:szCs w:val="20"/>
              </w:rPr>
              <w:t xml:space="preserve">49, </w:t>
            </w:r>
            <w:r w:rsidRPr="00A566E0">
              <w:rPr>
                <w:b/>
                <w:sz w:val="20"/>
                <w:szCs w:val="20"/>
              </w:rPr>
              <w:t>Z</w:t>
            </w:r>
            <w:r w:rsidR="00CB42B3" w:rsidRPr="00A566E0">
              <w:rPr>
                <w:b/>
                <w:sz w:val="20"/>
                <w:szCs w:val="20"/>
              </w:rPr>
              <w:t>50</w:t>
            </w:r>
          </w:p>
        </w:tc>
      </w:tr>
      <w:tr w:rsidR="00566987" w:rsidRPr="00A566E0" w14:paraId="24A4E0EB" w14:textId="77777777" w:rsidTr="00A566E0">
        <w:tc>
          <w:tcPr>
            <w:tcW w:w="1952" w:type="dxa"/>
          </w:tcPr>
          <w:p w14:paraId="2660AEF4" w14:textId="77777777" w:rsidR="00566987" w:rsidRPr="00A566E0" w:rsidRDefault="00566987"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22</w:t>
            </w:r>
          </w:p>
        </w:tc>
        <w:tc>
          <w:tcPr>
            <w:tcW w:w="1133" w:type="dxa"/>
          </w:tcPr>
          <w:p w14:paraId="662498AF" w14:textId="77777777" w:rsidR="00566987" w:rsidRPr="003F68C9" w:rsidRDefault="00566987" w:rsidP="00A566E0">
            <w:pPr>
              <w:pStyle w:val="1text"/>
              <w:spacing w:before="40" w:after="40"/>
              <w:jc w:val="left"/>
              <w:rPr>
                <w:rFonts w:eastAsia="Times New Roman"/>
                <w:b/>
                <w:color w:val="000000"/>
                <w:sz w:val="20"/>
                <w:szCs w:val="20"/>
                <w:lang w:eastAsia="cs-CZ"/>
              </w:rPr>
            </w:pPr>
            <w:r w:rsidRPr="003F68C9">
              <w:rPr>
                <w:rFonts w:eastAsia="Times New Roman"/>
                <w:b/>
                <w:color w:val="000000"/>
                <w:sz w:val="20"/>
                <w:szCs w:val="20"/>
                <w:lang w:eastAsia="cs-CZ"/>
              </w:rPr>
              <w:t>0,958</w:t>
            </w:r>
          </w:p>
        </w:tc>
        <w:tc>
          <w:tcPr>
            <w:tcW w:w="2978" w:type="dxa"/>
          </w:tcPr>
          <w:p w14:paraId="25026DCF" w14:textId="16828301" w:rsidR="00566987" w:rsidRPr="00A566E0" w:rsidRDefault="00566987" w:rsidP="003F68C9">
            <w:pPr>
              <w:spacing w:before="40" w:after="40" w:line="240" w:lineRule="auto"/>
              <w:jc w:val="left"/>
              <w:rPr>
                <w:b/>
                <w:sz w:val="20"/>
                <w:szCs w:val="20"/>
                <w:highlight w:val="green"/>
              </w:rPr>
            </w:pPr>
            <w:r w:rsidRPr="00A566E0">
              <w:rPr>
                <w:sz w:val="20"/>
                <w:szCs w:val="20"/>
              </w:rPr>
              <w:t>vymezeno jako stabilizovaná plocha</w:t>
            </w:r>
          </w:p>
        </w:tc>
        <w:tc>
          <w:tcPr>
            <w:tcW w:w="3118" w:type="dxa"/>
          </w:tcPr>
          <w:p w14:paraId="693B57D1" w14:textId="27E87AA8" w:rsidR="00566987" w:rsidRPr="00A566E0" w:rsidRDefault="00566987" w:rsidP="00A566E0">
            <w:pPr>
              <w:pStyle w:val="1text"/>
              <w:spacing w:before="40" w:after="40"/>
              <w:jc w:val="left"/>
              <w:rPr>
                <w:b/>
                <w:sz w:val="20"/>
                <w:szCs w:val="20"/>
                <w:highlight w:val="green"/>
              </w:rPr>
            </w:pPr>
            <w:r w:rsidRPr="00A566E0">
              <w:rPr>
                <w:sz w:val="20"/>
                <w:szCs w:val="20"/>
              </w:rPr>
              <w:t>realizováno</w:t>
            </w:r>
          </w:p>
        </w:tc>
      </w:tr>
      <w:tr w:rsidR="00CB42B3" w:rsidRPr="00A566E0" w14:paraId="5C811ECE" w14:textId="77777777" w:rsidTr="00A566E0">
        <w:tc>
          <w:tcPr>
            <w:tcW w:w="1952" w:type="dxa"/>
          </w:tcPr>
          <w:p w14:paraId="645551B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23</w:t>
            </w:r>
          </w:p>
        </w:tc>
        <w:tc>
          <w:tcPr>
            <w:tcW w:w="1133" w:type="dxa"/>
          </w:tcPr>
          <w:p w14:paraId="382DAC9B"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2,618</w:t>
            </w:r>
          </w:p>
        </w:tc>
        <w:tc>
          <w:tcPr>
            <w:tcW w:w="2978" w:type="dxa"/>
          </w:tcPr>
          <w:p w14:paraId="4B439432"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A990C7D"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64E60BBD" w14:textId="77777777" w:rsidTr="00A566E0">
        <w:tc>
          <w:tcPr>
            <w:tcW w:w="1952" w:type="dxa"/>
          </w:tcPr>
          <w:p w14:paraId="6087A75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109</w:t>
            </w:r>
          </w:p>
        </w:tc>
        <w:tc>
          <w:tcPr>
            <w:tcW w:w="1133" w:type="dxa"/>
          </w:tcPr>
          <w:p w14:paraId="4F2C958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0,132</w:t>
            </w:r>
          </w:p>
        </w:tc>
        <w:tc>
          <w:tcPr>
            <w:tcW w:w="2978" w:type="dxa"/>
          </w:tcPr>
          <w:p w14:paraId="7C70D705"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0FF5D481" w14:textId="77777777" w:rsidR="00CB42B3" w:rsidRPr="00A566E0" w:rsidRDefault="00CB42B3" w:rsidP="00A566E0">
            <w:pPr>
              <w:pStyle w:val="1text"/>
              <w:spacing w:before="40" w:after="40"/>
              <w:jc w:val="left"/>
              <w:rPr>
                <w:sz w:val="20"/>
                <w:szCs w:val="20"/>
                <w:highlight w:val="green"/>
              </w:rPr>
            </w:pPr>
          </w:p>
        </w:tc>
      </w:tr>
      <w:tr w:rsidR="00CB42B3" w:rsidRPr="00A566E0" w14:paraId="6E552E4B" w14:textId="77777777" w:rsidTr="00A566E0">
        <w:tc>
          <w:tcPr>
            <w:tcW w:w="1952" w:type="dxa"/>
          </w:tcPr>
          <w:p w14:paraId="685D384F"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112</w:t>
            </w:r>
          </w:p>
        </w:tc>
        <w:tc>
          <w:tcPr>
            <w:tcW w:w="1133" w:type="dxa"/>
          </w:tcPr>
          <w:p w14:paraId="5B46290E"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16,662</w:t>
            </w:r>
          </w:p>
        </w:tc>
        <w:tc>
          <w:tcPr>
            <w:tcW w:w="2978" w:type="dxa"/>
            <w:shd w:val="clear" w:color="auto" w:fill="auto"/>
          </w:tcPr>
          <w:p w14:paraId="2DA1EFAE" w14:textId="77777777" w:rsidR="00CB42B3" w:rsidRPr="00A566E0" w:rsidRDefault="00CB42B3" w:rsidP="00A566E0">
            <w:pPr>
              <w:spacing w:before="40" w:after="40" w:line="240" w:lineRule="auto"/>
              <w:jc w:val="left"/>
              <w:rPr>
                <w:sz w:val="20"/>
                <w:szCs w:val="20"/>
                <w:highlight w:val="green"/>
              </w:rPr>
            </w:pPr>
            <w:r w:rsidRPr="00A566E0">
              <w:rPr>
                <w:b/>
                <w:sz w:val="20"/>
                <w:szCs w:val="20"/>
              </w:rPr>
              <w:t>v rozsahu 1,187 ha převzato do ÚP</w:t>
            </w:r>
            <w:r w:rsidRPr="00A566E0">
              <w:rPr>
                <w:sz w:val="20"/>
                <w:szCs w:val="20"/>
              </w:rPr>
              <w:t>, zbývající část vymezena jako stabilizovaná plocha</w:t>
            </w:r>
          </w:p>
        </w:tc>
        <w:tc>
          <w:tcPr>
            <w:tcW w:w="3118" w:type="dxa"/>
          </w:tcPr>
          <w:p w14:paraId="3874A7C6" w14:textId="77777777" w:rsidR="00CB42B3" w:rsidRPr="00A566E0" w:rsidRDefault="00CB42B3" w:rsidP="00A566E0">
            <w:pPr>
              <w:pStyle w:val="1text"/>
              <w:spacing w:before="40" w:after="40"/>
              <w:jc w:val="left"/>
              <w:rPr>
                <w:sz w:val="20"/>
                <w:szCs w:val="20"/>
                <w:highlight w:val="green"/>
              </w:rPr>
            </w:pPr>
            <w:r w:rsidRPr="00A566E0">
              <w:rPr>
                <w:b/>
                <w:sz w:val="20"/>
                <w:szCs w:val="20"/>
              </w:rPr>
              <w:t>plocha Z36</w:t>
            </w:r>
            <w:r w:rsidRPr="00A566E0">
              <w:rPr>
                <w:sz w:val="20"/>
                <w:szCs w:val="20"/>
              </w:rPr>
              <w:t>, zčásti zastavěno</w:t>
            </w:r>
          </w:p>
        </w:tc>
      </w:tr>
      <w:tr w:rsidR="00CB42B3" w:rsidRPr="00A566E0" w14:paraId="6B0E77AC" w14:textId="77777777" w:rsidTr="00A566E0">
        <w:tc>
          <w:tcPr>
            <w:tcW w:w="1952" w:type="dxa"/>
          </w:tcPr>
          <w:p w14:paraId="54DDEB8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Z4</w:t>
            </w:r>
          </w:p>
        </w:tc>
        <w:tc>
          <w:tcPr>
            <w:tcW w:w="1133" w:type="dxa"/>
          </w:tcPr>
          <w:p w14:paraId="60A0A23B"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0,262</w:t>
            </w:r>
          </w:p>
        </w:tc>
        <w:tc>
          <w:tcPr>
            <w:tcW w:w="2978" w:type="dxa"/>
          </w:tcPr>
          <w:p w14:paraId="0D7CA0A1"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012B093F"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4CCA46A9" w14:textId="77777777" w:rsidTr="00A566E0">
        <w:tc>
          <w:tcPr>
            <w:tcW w:w="1952" w:type="dxa"/>
          </w:tcPr>
          <w:p w14:paraId="2511EDC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Z12.38</w:t>
            </w:r>
          </w:p>
        </w:tc>
        <w:tc>
          <w:tcPr>
            <w:tcW w:w="1133" w:type="dxa"/>
          </w:tcPr>
          <w:p w14:paraId="3BDAFCA0"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0,046</w:t>
            </w:r>
          </w:p>
        </w:tc>
        <w:tc>
          <w:tcPr>
            <w:tcW w:w="2978" w:type="dxa"/>
          </w:tcPr>
          <w:p w14:paraId="5B1A5519" w14:textId="77777777" w:rsidR="00CB42B3" w:rsidRPr="00A566E0" w:rsidRDefault="00CB42B3" w:rsidP="00A566E0">
            <w:pPr>
              <w:spacing w:before="40" w:after="40" w:line="240" w:lineRule="auto"/>
              <w:jc w:val="left"/>
              <w:rPr>
                <w:b/>
                <w:sz w:val="20"/>
                <w:szCs w:val="20"/>
                <w:highlight w:val="green"/>
              </w:rPr>
            </w:pPr>
            <w:r w:rsidRPr="00A566E0">
              <w:rPr>
                <w:sz w:val="20"/>
                <w:szCs w:val="20"/>
              </w:rPr>
              <w:t>vymezeno jako stabilizovaná plocha</w:t>
            </w:r>
          </w:p>
        </w:tc>
        <w:tc>
          <w:tcPr>
            <w:tcW w:w="3118" w:type="dxa"/>
          </w:tcPr>
          <w:p w14:paraId="1C3F8B28"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7D5933B0" w14:textId="77777777" w:rsidTr="00A566E0">
        <w:tc>
          <w:tcPr>
            <w:tcW w:w="1952" w:type="dxa"/>
          </w:tcPr>
          <w:p w14:paraId="0705A607"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Z17.1a</w:t>
            </w:r>
          </w:p>
        </w:tc>
        <w:tc>
          <w:tcPr>
            <w:tcW w:w="1133" w:type="dxa"/>
          </w:tcPr>
          <w:p w14:paraId="7EBF0BD8"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0,137</w:t>
            </w:r>
          </w:p>
        </w:tc>
        <w:tc>
          <w:tcPr>
            <w:tcW w:w="2978" w:type="dxa"/>
          </w:tcPr>
          <w:p w14:paraId="02364B3E"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7F1410B"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2219AFCB" w14:textId="77777777" w:rsidTr="00A566E0">
        <w:tc>
          <w:tcPr>
            <w:tcW w:w="9181" w:type="dxa"/>
            <w:gridSpan w:val="4"/>
          </w:tcPr>
          <w:p w14:paraId="6220DF0C" w14:textId="77777777" w:rsidR="00CB42B3" w:rsidRPr="00A566E0" w:rsidRDefault="00CB42B3" w:rsidP="00A566E0">
            <w:pPr>
              <w:pStyle w:val="1text"/>
              <w:spacing w:before="40" w:after="40"/>
              <w:jc w:val="left"/>
              <w:rPr>
                <w:sz w:val="20"/>
                <w:szCs w:val="20"/>
              </w:rPr>
            </w:pPr>
            <w:r w:rsidRPr="00A566E0">
              <w:rPr>
                <w:sz w:val="20"/>
                <w:szCs w:val="20"/>
              </w:rPr>
              <w:t>Plochy dopravní infrastruktury</w:t>
            </w:r>
          </w:p>
        </w:tc>
      </w:tr>
      <w:tr w:rsidR="00CB42B3" w:rsidRPr="00A566E0" w14:paraId="1E300CFD" w14:textId="77777777" w:rsidTr="00A566E0">
        <w:tc>
          <w:tcPr>
            <w:tcW w:w="1952" w:type="dxa"/>
          </w:tcPr>
          <w:p w14:paraId="4E79CFD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8</w:t>
            </w:r>
          </w:p>
        </w:tc>
        <w:tc>
          <w:tcPr>
            <w:tcW w:w="1133" w:type="dxa"/>
          </w:tcPr>
          <w:p w14:paraId="3226734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0,019</w:t>
            </w:r>
          </w:p>
        </w:tc>
        <w:tc>
          <w:tcPr>
            <w:tcW w:w="2978" w:type="dxa"/>
          </w:tcPr>
          <w:p w14:paraId="0821F372"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1984FECF"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19B3B24C" w14:textId="77777777" w:rsidTr="00A566E0">
        <w:tc>
          <w:tcPr>
            <w:tcW w:w="1952" w:type="dxa"/>
          </w:tcPr>
          <w:p w14:paraId="346F0BD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9</w:t>
            </w:r>
          </w:p>
        </w:tc>
        <w:tc>
          <w:tcPr>
            <w:tcW w:w="1133" w:type="dxa"/>
          </w:tcPr>
          <w:p w14:paraId="23253CD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0,318</w:t>
            </w:r>
          </w:p>
        </w:tc>
        <w:tc>
          <w:tcPr>
            <w:tcW w:w="2978" w:type="dxa"/>
          </w:tcPr>
          <w:p w14:paraId="669B33B5"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6B1B8469" w14:textId="77777777" w:rsidR="00CB42B3" w:rsidRPr="00A566E0" w:rsidRDefault="00CB42B3" w:rsidP="00A566E0">
            <w:pPr>
              <w:pStyle w:val="1text"/>
              <w:spacing w:before="40" w:after="40"/>
              <w:jc w:val="left"/>
              <w:rPr>
                <w:sz w:val="20"/>
                <w:szCs w:val="20"/>
                <w:highlight w:val="green"/>
              </w:rPr>
            </w:pPr>
          </w:p>
        </w:tc>
      </w:tr>
      <w:tr w:rsidR="00CB42B3" w:rsidRPr="00A566E0" w14:paraId="74B93656" w14:textId="77777777" w:rsidTr="00A566E0">
        <w:tc>
          <w:tcPr>
            <w:tcW w:w="1952" w:type="dxa"/>
          </w:tcPr>
          <w:p w14:paraId="1DCBD4B8"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10</w:t>
            </w:r>
          </w:p>
        </w:tc>
        <w:tc>
          <w:tcPr>
            <w:tcW w:w="1133" w:type="dxa"/>
          </w:tcPr>
          <w:p w14:paraId="2FAC58C8"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0,065</w:t>
            </w:r>
          </w:p>
        </w:tc>
        <w:tc>
          <w:tcPr>
            <w:tcW w:w="2978" w:type="dxa"/>
          </w:tcPr>
          <w:p w14:paraId="01D6C481"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273D4628" w14:textId="77777777" w:rsidR="00CB42B3" w:rsidRPr="00A566E0" w:rsidRDefault="00CB42B3" w:rsidP="00A566E0">
            <w:pPr>
              <w:pStyle w:val="1text"/>
              <w:spacing w:before="40" w:after="40"/>
              <w:jc w:val="left"/>
              <w:rPr>
                <w:sz w:val="20"/>
                <w:szCs w:val="20"/>
                <w:highlight w:val="green"/>
              </w:rPr>
            </w:pPr>
          </w:p>
        </w:tc>
      </w:tr>
      <w:tr w:rsidR="00CB42B3" w:rsidRPr="00A566E0" w14:paraId="62FC6EA1" w14:textId="77777777" w:rsidTr="00A566E0">
        <w:tc>
          <w:tcPr>
            <w:tcW w:w="1952" w:type="dxa"/>
          </w:tcPr>
          <w:p w14:paraId="00666EDE"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12</w:t>
            </w:r>
          </w:p>
        </w:tc>
        <w:tc>
          <w:tcPr>
            <w:tcW w:w="1133" w:type="dxa"/>
          </w:tcPr>
          <w:p w14:paraId="74B7E43B"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0,138</w:t>
            </w:r>
          </w:p>
        </w:tc>
        <w:tc>
          <w:tcPr>
            <w:tcW w:w="2978" w:type="dxa"/>
          </w:tcPr>
          <w:p w14:paraId="4DBBA45E"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329D98D2"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6F6C26E4" w14:textId="77777777" w:rsidTr="00A566E0">
        <w:tc>
          <w:tcPr>
            <w:tcW w:w="1952" w:type="dxa"/>
          </w:tcPr>
          <w:p w14:paraId="092CF520"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24</w:t>
            </w:r>
          </w:p>
        </w:tc>
        <w:tc>
          <w:tcPr>
            <w:tcW w:w="1133" w:type="dxa"/>
          </w:tcPr>
          <w:p w14:paraId="1CC48FEA"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0,045</w:t>
            </w:r>
          </w:p>
        </w:tc>
        <w:tc>
          <w:tcPr>
            <w:tcW w:w="2978" w:type="dxa"/>
            <w:shd w:val="clear" w:color="auto" w:fill="auto"/>
          </w:tcPr>
          <w:p w14:paraId="3BD1BBD4" w14:textId="77777777" w:rsidR="00CB42B3" w:rsidRPr="00A566E0" w:rsidRDefault="00CB42B3" w:rsidP="00A566E0">
            <w:pPr>
              <w:spacing w:before="40" w:after="40" w:line="240" w:lineRule="auto"/>
              <w:jc w:val="left"/>
              <w:rPr>
                <w:sz w:val="20"/>
                <w:szCs w:val="20"/>
                <w:highlight w:val="green"/>
              </w:rPr>
            </w:pPr>
            <w:r w:rsidRPr="00A566E0">
              <w:rPr>
                <w:b/>
                <w:color w:val="000000"/>
                <w:sz w:val="20"/>
                <w:szCs w:val="20"/>
              </w:rPr>
              <w:t>část (bez záboru ZPF)</w:t>
            </w:r>
            <w:r w:rsidRPr="00A566E0">
              <w:rPr>
                <w:b/>
                <w:sz w:val="20"/>
                <w:szCs w:val="20"/>
              </w:rPr>
              <w:t xml:space="preserve"> převzata do ÚP</w:t>
            </w:r>
            <w:r w:rsidRPr="00A566E0">
              <w:rPr>
                <w:sz w:val="20"/>
                <w:szCs w:val="20"/>
              </w:rPr>
              <w:t xml:space="preserve">, zbývající část vymezena jako </w:t>
            </w:r>
            <w:r w:rsidRPr="00A566E0">
              <w:rPr>
                <w:sz w:val="20"/>
                <w:szCs w:val="20"/>
              </w:rPr>
              <w:lastRenderedPageBreak/>
              <w:t>stabilizovaná plocha</w:t>
            </w:r>
          </w:p>
        </w:tc>
        <w:tc>
          <w:tcPr>
            <w:tcW w:w="3118" w:type="dxa"/>
          </w:tcPr>
          <w:p w14:paraId="781F9A37" w14:textId="77777777" w:rsidR="00CB42B3" w:rsidRPr="00A566E0" w:rsidRDefault="00CB42B3" w:rsidP="00A566E0">
            <w:pPr>
              <w:pStyle w:val="1text"/>
              <w:spacing w:before="40" w:after="40"/>
              <w:jc w:val="left"/>
              <w:rPr>
                <w:sz w:val="20"/>
                <w:szCs w:val="20"/>
                <w:highlight w:val="green"/>
              </w:rPr>
            </w:pPr>
            <w:r w:rsidRPr="00A566E0">
              <w:rPr>
                <w:b/>
                <w:sz w:val="20"/>
                <w:szCs w:val="20"/>
              </w:rPr>
              <w:lastRenderedPageBreak/>
              <w:t>plocha P17</w:t>
            </w:r>
            <w:r w:rsidRPr="00A566E0">
              <w:rPr>
                <w:sz w:val="20"/>
                <w:szCs w:val="20"/>
              </w:rPr>
              <w:t xml:space="preserve">, zčásti zastavěno, zbývající část dle §58 a §2, odst. 1c stavebního </w:t>
            </w:r>
            <w:r w:rsidRPr="00A566E0">
              <w:rPr>
                <w:sz w:val="20"/>
                <w:szCs w:val="20"/>
              </w:rPr>
              <w:lastRenderedPageBreak/>
              <w:t>zákona</w:t>
            </w:r>
          </w:p>
        </w:tc>
      </w:tr>
      <w:tr w:rsidR="00CB42B3" w:rsidRPr="00A566E0" w14:paraId="1F3DD3B1" w14:textId="77777777" w:rsidTr="00A566E0">
        <w:tc>
          <w:tcPr>
            <w:tcW w:w="1952" w:type="dxa"/>
          </w:tcPr>
          <w:p w14:paraId="231CDCDC"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lastRenderedPageBreak/>
              <w:t>26</w:t>
            </w:r>
          </w:p>
        </w:tc>
        <w:tc>
          <w:tcPr>
            <w:tcW w:w="1133" w:type="dxa"/>
          </w:tcPr>
          <w:p w14:paraId="2551AA48"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0,101</w:t>
            </w:r>
          </w:p>
        </w:tc>
        <w:tc>
          <w:tcPr>
            <w:tcW w:w="2978" w:type="dxa"/>
          </w:tcPr>
          <w:p w14:paraId="48FE5523"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6014F668" w14:textId="77777777" w:rsidR="00CB42B3" w:rsidRPr="00A566E0" w:rsidRDefault="00CB42B3" w:rsidP="00A566E0">
            <w:pPr>
              <w:pStyle w:val="1text"/>
              <w:spacing w:before="40" w:after="40"/>
              <w:jc w:val="left"/>
              <w:rPr>
                <w:sz w:val="20"/>
                <w:szCs w:val="20"/>
                <w:highlight w:val="green"/>
              </w:rPr>
            </w:pPr>
          </w:p>
        </w:tc>
      </w:tr>
      <w:tr w:rsidR="00CB42B3" w:rsidRPr="00A566E0" w14:paraId="360140A0" w14:textId="77777777" w:rsidTr="00A566E0">
        <w:tc>
          <w:tcPr>
            <w:tcW w:w="1952" w:type="dxa"/>
          </w:tcPr>
          <w:p w14:paraId="21EEF3F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27</w:t>
            </w:r>
          </w:p>
        </w:tc>
        <w:tc>
          <w:tcPr>
            <w:tcW w:w="1133" w:type="dxa"/>
          </w:tcPr>
          <w:p w14:paraId="6711E2DB"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0,797</w:t>
            </w:r>
          </w:p>
        </w:tc>
        <w:tc>
          <w:tcPr>
            <w:tcW w:w="2978" w:type="dxa"/>
          </w:tcPr>
          <w:p w14:paraId="3438D821"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03C84B66" w14:textId="77777777" w:rsidR="00CB42B3" w:rsidRPr="00A566E0" w:rsidRDefault="00CB42B3" w:rsidP="00A566E0">
            <w:pPr>
              <w:pStyle w:val="1text"/>
              <w:spacing w:before="40" w:after="40"/>
              <w:jc w:val="left"/>
              <w:rPr>
                <w:sz w:val="20"/>
                <w:szCs w:val="20"/>
                <w:highlight w:val="green"/>
              </w:rPr>
            </w:pPr>
          </w:p>
        </w:tc>
      </w:tr>
      <w:tr w:rsidR="00CB42B3" w:rsidRPr="00A566E0" w14:paraId="7DD1CE8C" w14:textId="77777777" w:rsidTr="00A566E0">
        <w:tc>
          <w:tcPr>
            <w:tcW w:w="1952" w:type="dxa"/>
          </w:tcPr>
          <w:p w14:paraId="69191948"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39</w:t>
            </w:r>
          </w:p>
        </w:tc>
        <w:tc>
          <w:tcPr>
            <w:tcW w:w="1133" w:type="dxa"/>
          </w:tcPr>
          <w:p w14:paraId="02EBD339"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0,664</w:t>
            </w:r>
          </w:p>
        </w:tc>
        <w:tc>
          <w:tcPr>
            <w:tcW w:w="2978" w:type="dxa"/>
          </w:tcPr>
          <w:p w14:paraId="2C12F30C"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6E02D5D2"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73E03FC6" w14:textId="77777777" w:rsidTr="00A566E0">
        <w:tc>
          <w:tcPr>
            <w:tcW w:w="1952" w:type="dxa"/>
          </w:tcPr>
          <w:p w14:paraId="74EDDB6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42</w:t>
            </w:r>
          </w:p>
        </w:tc>
        <w:tc>
          <w:tcPr>
            <w:tcW w:w="1133" w:type="dxa"/>
          </w:tcPr>
          <w:p w14:paraId="6406D2B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0,142</w:t>
            </w:r>
          </w:p>
        </w:tc>
        <w:tc>
          <w:tcPr>
            <w:tcW w:w="2978" w:type="dxa"/>
          </w:tcPr>
          <w:p w14:paraId="74CE774A"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2FC356A8" w14:textId="77777777" w:rsidR="00CB42B3" w:rsidRPr="00A566E0" w:rsidRDefault="00CB42B3" w:rsidP="00A566E0">
            <w:pPr>
              <w:pStyle w:val="1text"/>
              <w:spacing w:before="40" w:after="40"/>
              <w:jc w:val="left"/>
              <w:rPr>
                <w:sz w:val="20"/>
                <w:szCs w:val="20"/>
                <w:highlight w:val="green"/>
              </w:rPr>
            </w:pPr>
          </w:p>
        </w:tc>
      </w:tr>
      <w:tr w:rsidR="00CB42B3" w:rsidRPr="00A566E0" w14:paraId="7ED6C01C" w14:textId="77777777" w:rsidTr="00A566E0">
        <w:tc>
          <w:tcPr>
            <w:tcW w:w="1952" w:type="dxa"/>
          </w:tcPr>
          <w:p w14:paraId="7CFB7979"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47</w:t>
            </w:r>
          </w:p>
        </w:tc>
        <w:tc>
          <w:tcPr>
            <w:tcW w:w="1133" w:type="dxa"/>
          </w:tcPr>
          <w:p w14:paraId="5670228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0,039</w:t>
            </w:r>
          </w:p>
        </w:tc>
        <w:tc>
          <w:tcPr>
            <w:tcW w:w="2978" w:type="dxa"/>
          </w:tcPr>
          <w:p w14:paraId="26EA3DFC"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0358C052" w14:textId="77777777" w:rsidR="00CB42B3" w:rsidRPr="00A566E0" w:rsidRDefault="00CB42B3" w:rsidP="00A566E0">
            <w:pPr>
              <w:pStyle w:val="1text"/>
              <w:spacing w:before="40" w:after="40"/>
              <w:jc w:val="left"/>
              <w:rPr>
                <w:sz w:val="20"/>
                <w:szCs w:val="20"/>
                <w:highlight w:val="green"/>
              </w:rPr>
            </w:pPr>
          </w:p>
        </w:tc>
      </w:tr>
      <w:tr w:rsidR="00CB42B3" w:rsidRPr="00A566E0" w14:paraId="248D0B68" w14:textId="77777777" w:rsidTr="00A566E0">
        <w:tc>
          <w:tcPr>
            <w:tcW w:w="1952" w:type="dxa"/>
          </w:tcPr>
          <w:p w14:paraId="0F94E677"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50</w:t>
            </w:r>
          </w:p>
        </w:tc>
        <w:tc>
          <w:tcPr>
            <w:tcW w:w="1133" w:type="dxa"/>
          </w:tcPr>
          <w:p w14:paraId="5E5A131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0,205</w:t>
            </w:r>
          </w:p>
        </w:tc>
        <w:tc>
          <w:tcPr>
            <w:tcW w:w="2978" w:type="dxa"/>
          </w:tcPr>
          <w:p w14:paraId="409BF5A2"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3A2B273C" w14:textId="77777777" w:rsidR="00CB42B3" w:rsidRPr="00A566E0" w:rsidRDefault="00CB42B3" w:rsidP="00A566E0">
            <w:pPr>
              <w:pStyle w:val="1text"/>
              <w:spacing w:before="40" w:after="40"/>
              <w:jc w:val="left"/>
              <w:rPr>
                <w:sz w:val="20"/>
                <w:szCs w:val="20"/>
                <w:highlight w:val="green"/>
              </w:rPr>
            </w:pPr>
          </w:p>
        </w:tc>
      </w:tr>
      <w:tr w:rsidR="00CB42B3" w:rsidRPr="00A566E0" w14:paraId="065DADF7" w14:textId="77777777" w:rsidTr="00A566E0">
        <w:tc>
          <w:tcPr>
            <w:tcW w:w="1952" w:type="dxa"/>
          </w:tcPr>
          <w:p w14:paraId="51FB49C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54</w:t>
            </w:r>
          </w:p>
        </w:tc>
        <w:tc>
          <w:tcPr>
            <w:tcW w:w="1133" w:type="dxa"/>
          </w:tcPr>
          <w:p w14:paraId="30495B10"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0,005</w:t>
            </w:r>
          </w:p>
        </w:tc>
        <w:tc>
          <w:tcPr>
            <w:tcW w:w="2978" w:type="dxa"/>
          </w:tcPr>
          <w:p w14:paraId="09374883"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28E578F2" w14:textId="77777777" w:rsidR="00CB42B3" w:rsidRPr="00A566E0" w:rsidRDefault="00CB42B3" w:rsidP="00A566E0">
            <w:pPr>
              <w:pStyle w:val="1text"/>
              <w:spacing w:before="40" w:after="40"/>
              <w:jc w:val="left"/>
              <w:rPr>
                <w:sz w:val="20"/>
                <w:szCs w:val="20"/>
                <w:highlight w:val="green"/>
              </w:rPr>
            </w:pPr>
          </w:p>
        </w:tc>
      </w:tr>
      <w:tr w:rsidR="00CB42B3" w:rsidRPr="00A566E0" w14:paraId="3439C669" w14:textId="77777777" w:rsidTr="00A566E0">
        <w:tc>
          <w:tcPr>
            <w:tcW w:w="1952" w:type="dxa"/>
          </w:tcPr>
          <w:p w14:paraId="52E78C3C"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55</w:t>
            </w:r>
          </w:p>
        </w:tc>
        <w:tc>
          <w:tcPr>
            <w:tcW w:w="1133" w:type="dxa"/>
          </w:tcPr>
          <w:p w14:paraId="17FBB9C8"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0,038</w:t>
            </w:r>
          </w:p>
        </w:tc>
        <w:tc>
          <w:tcPr>
            <w:tcW w:w="2978" w:type="dxa"/>
          </w:tcPr>
          <w:p w14:paraId="2F12FB49"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063ED9E4" w14:textId="77777777" w:rsidR="00CB42B3" w:rsidRPr="00A566E0" w:rsidRDefault="00CB42B3" w:rsidP="00A566E0">
            <w:pPr>
              <w:pStyle w:val="1text"/>
              <w:spacing w:before="40" w:after="40"/>
              <w:jc w:val="left"/>
              <w:rPr>
                <w:sz w:val="20"/>
                <w:szCs w:val="20"/>
                <w:highlight w:val="green"/>
              </w:rPr>
            </w:pPr>
          </w:p>
        </w:tc>
      </w:tr>
      <w:tr w:rsidR="00CB42B3" w:rsidRPr="00A566E0" w14:paraId="6154E15B" w14:textId="77777777" w:rsidTr="00A566E0">
        <w:tc>
          <w:tcPr>
            <w:tcW w:w="1952" w:type="dxa"/>
          </w:tcPr>
          <w:p w14:paraId="277D8808"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57</w:t>
            </w:r>
          </w:p>
        </w:tc>
        <w:tc>
          <w:tcPr>
            <w:tcW w:w="1133" w:type="dxa"/>
          </w:tcPr>
          <w:p w14:paraId="15D8653D"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0,005</w:t>
            </w:r>
          </w:p>
        </w:tc>
        <w:tc>
          <w:tcPr>
            <w:tcW w:w="2978" w:type="dxa"/>
          </w:tcPr>
          <w:p w14:paraId="29B08FD5"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758A9A78" w14:textId="77777777" w:rsidR="00CB42B3" w:rsidRPr="00A566E0" w:rsidRDefault="00CB42B3" w:rsidP="00A566E0">
            <w:pPr>
              <w:pStyle w:val="1text"/>
              <w:spacing w:before="40" w:after="40"/>
              <w:jc w:val="left"/>
              <w:rPr>
                <w:sz w:val="20"/>
                <w:szCs w:val="20"/>
              </w:rPr>
            </w:pPr>
            <w:r w:rsidRPr="00A566E0">
              <w:rPr>
                <w:sz w:val="20"/>
                <w:szCs w:val="20"/>
              </w:rPr>
              <w:t>zčásti zastavěno, zbývající část dle §58 a §2, odst. 1c stavebního zákona</w:t>
            </w:r>
          </w:p>
        </w:tc>
      </w:tr>
      <w:tr w:rsidR="00CB42B3" w:rsidRPr="00A566E0" w14:paraId="58975FEA" w14:textId="77777777" w:rsidTr="00A566E0">
        <w:tc>
          <w:tcPr>
            <w:tcW w:w="1952" w:type="dxa"/>
          </w:tcPr>
          <w:p w14:paraId="1056525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92</w:t>
            </w:r>
          </w:p>
        </w:tc>
        <w:tc>
          <w:tcPr>
            <w:tcW w:w="1133" w:type="dxa"/>
          </w:tcPr>
          <w:p w14:paraId="5AA11411"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0,063</w:t>
            </w:r>
          </w:p>
        </w:tc>
        <w:tc>
          <w:tcPr>
            <w:tcW w:w="2978" w:type="dxa"/>
          </w:tcPr>
          <w:p w14:paraId="708BA8D0"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38D82F32" w14:textId="77777777" w:rsidR="00CB42B3" w:rsidRPr="00A566E0" w:rsidRDefault="00CB42B3" w:rsidP="00A566E0">
            <w:pPr>
              <w:pStyle w:val="1text"/>
              <w:spacing w:before="40" w:after="40"/>
              <w:jc w:val="left"/>
              <w:rPr>
                <w:sz w:val="20"/>
                <w:szCs w:val="20"/>
                <w:highlight w:val="green"/>
              </w:rPr>
            </w:pPr>
          </w:p>
        </w:tc>
      </w:tr>
      <w:tr w:rsidR="00CB42B3" w:rsidRPr="00A566E0" w14:paraId="34AE12C7" w14:textId="77777777" w:rsidTr="00A566E0">
        <w:tc>
          <w:tcPr>
            <w:tcW w:w="1952" w:type="dxa"/>
          </w:tcPr>
          <w:p w14:paraId="42476A2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93</w:t>
            </w:r>
          </w:p>
        </w:tc>
        <w:tc>
          <w:tcPr>
            <w:tcW w:w="1133" w:type="dxa"/>
          </w:tcPr>
          <w:p w14:paraId="48C115D7"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0,051</w:t>
            </w:r>
          </w:p>
        </w:tc>
        <w:tc>
          <w:tcPr>
            <w:tcW w:w="2978" w:type="dxa"/>
          </w:tcPr>
          <w:p w14:paraId="326FBC9D"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03A38EE8" w14:textId="77777777" w:rsidR="00CB42B3" w:rsidRPr="00A566E0" w:rsidRDefault="00CB42B3" w:rsidP="00A566E0">
            <w:pPr>
              <w:pStyle w:val="1text"/>
              <w:spacing w:before="40" w:after="40"/>
              <w:jc w:val="left"/>
              <w:rPr>
                <w:sz w:val="20"/>
                <w:szCs w:val="20"/>
                <w:highlight w:val="green"/>
              </w:rPr>
            </w:pPr>
          </w:p>
        </w:tc>
      </w:tr>
      <w:tr w:rsidR="00CB42B3" w:rsidRPr="00A566E0" w14:paraId="0338AC57" w14:textId="77777777" w:rsidTr="00A566E0">
        <w:tc>
          <w:tcPr>
            <w:tcW w:w="1952" w:type="dxa"/>
          </w:tcPr>
          <w:p w14:paraId="1513347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108</w:t>
            </w:r>
          </w:p>
        </w:tc>
        <w:tc>
          <w:tcPr>
            <w:tcW w:w="1133" w:type="dxa"/>
          </w:tcPr>
          <w:p w14:paraId="1CD14AD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0,220</w:t>
            </w:r>
          </w:p>
        </w:tc>
        <w:tc>
          <w:tcPr>
            <w:tcW w:w="2978" w:type="dxa"/>
          </w:tcPr>
          <w:p w14:paraId="24320DFA"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2F4EF5CE"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092A3D20" w14:textId="77777777" w:rsidTr="00A566E0">
        <w:tc>
          <w:tcPr>
            <w:tcW w:w="1952" w:type="dxa"/>
          </w:tcPr>
          <w:p w14:paraId="30384A8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114</w:t>
            </w:r>
          </w:p>
        </w:tc>
        <w:tc>
          <w:tcPr>
            <w:tcW w:w="1133" w:type="dxa"/>
          </w:tcPr>
          <w:p w14:paraId="7A906E2B"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0,797</w:t>
            </w:r>
          </w:p>
        </w:tc>
        <w:tc>
          <w:tcPr>
            <w:tcW w:w="2978" w:type="dxa"/>
          </w:tcPr>
          <w:p w14:paraId="11DF56E5"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401538A1" w14:textId="77777777" w:rsidR="00CB42B3" w:rsidRPr="00A566E0" w:rsidRDefault="00CB42B3" w:rsidP="00A566E0">
            <w:pPr>
              <w:pStyle w:val="1text"/>
              <w:spacing w:before="40" w:after="40"/>
              <w:jc w:val="left"/>
              <w:rPr>
                <w:sz w:val="20"/>
                <w:szCs w:val="20"/>
                <w:highlight w:val="green"/>
              </w:rPr>
            </w:pPr>
          </w:p>
        </w:tc>
      </w:tr>
      <w:tr w:rsidR="00CB42B3" w:rsidRPr="00A566E0" w14:paraId="2E0EC61F" w14:textId="77777777" w:rsidTr="00A566E0">
        <w:tc>
          <w:tcPr>
            <w:tcW w:w="1952" w:type="dxa"/>
          </w:tcPr>
          <w:p w14:paraId="3477B6C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172</w:t>
            </w:r>
          </w:p>
        </w:tc>
        <w:tc>
          <w:tcPr>
            <w:tcW w:w="1133" w:type="dxa"/>
          </w:tcPr>
          <w:p w14:paraId="6FAC25C4"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17,324</w:t>
            </w:r>
          </w:p>
        </w:tc>
        <w:tc>
          <w:tcPr>
            <w:tcW w:w="2978" w:type="dxa"/>
          </w:tcPr>
          <w:p w14:paraId="3A31CDDC"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23B33BED" w14:textId="77777777" w:rsidR="00CB42B3" w:rsidRPr="00A566E0" w:rsidRDefault="00CB42B3" w:rsidP="00A566E0">
            <w:pPr>
              <w:pStyle w:val="1text"/>
              <w:spacing w:before="40" w:after="40"/>
              <w:jc w:val="left"/>
              <w:rPr>
                <w:sz w:val="20"/>
                <w:szCs w:val="20"/>
                <w:highlight w:val="green"/>
              </w:rPr>
            </w:pPr>
          </w:p>
        </w:tc>
      </w:tr>
      <w:tr w:rsidR="00CB42B3" w:rsidRPr="00A566E0" w14:paraId="50C90143" w14:textId="77777777" w:rsidTr="00A566E0">
        <w:tc>
          <w:tcPr>
            <w:tcW w:w="9181" w:type="dxa"/>
            <w:gridSpan w:val="4"/>
          </w:tcPr>
          <w:p w14:paraId="07D350A2" w14:textId="77777777" w:rsidR="00CB42B3" w:rsidRPr="00A566E0" w:rsidRDefault="00CB42B3" w:rsidP="00A566E0">
            <w:pPr>
              <w:pStyle w:val="1text"/>
              <w:spacing w:before="40" w:after="40"/>
              <w:jc w:val="left"/>
              <w:rPr>
                <w:sz w:val="20"/>
                <w:szCs w:val="20"/>
              </w:rPr>
            </w:pPr>
            <w:r w:rsidRPr="00A566E0">
              <w:rPr>
                <w:sz w:val="20"/>
                <w:szCs w:val="20"/>
              </w:rPr>
              <w:t>Plochy zeleně</w:t>
            </w:r>
          </w:p>
        </w:tc>
      </w:tr>
      <w:tr w:rsidR="00CB42B3" w:rsidRPr="00A566E0" w14:paraId="6BD29517" w14:textId="77777777" w:rsidTr="00A566E0">
        <w:tc>
          <w:tcPr>
            <w:tcW w:w="1952" w:type="dxa"/>
          </w:tcPr>
          <w:p w14:paraId="4A4239D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11</w:t>
            </w:r>
          </w:p>
        </w:tc>
        <w:tc>
          <w:tcPr>
            <w:tcW w:w="1133" w:type="dxa"/>
          </w:tcPr>
          <w:p w14:paraId="69B1A00E"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0,564</w:t>
            </w:r>
          </w:p>
        </w:tc>
        <w:tc>
          <w:tcPr>
            <w:tcW w:w="2978" w:type="dxa"/>
          </w:tcPr>
          <w:p w14:paraId="5E5626B4"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2A17BDA1"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7A81318B" w14:textId="77777777" w:rsidTr="00A566E0">
        <w:tc>
          <w:tcPr>
            <w:tcW w:w="1952" w:type="dxa"/>
          </w:tcPr>
          <w:p w14:paraId="08AE77C3"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Z11/2</w:t>
            </w:r>
          </w:p>
        </w:tc>
        <w:tc>
          <w:tcPr>
            <w:tcW w:w="1133" w:type="dxa"/>
          </w:tcPr>
          <w:p w14:paraId="2835369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0,034</w:t>
            </w:r>
          </w:p>
        </w:tc>
        <w:tc>
          <w:tcPr>
            <w:tcW w:w="2978" w:type="dxa"/>
          </w:tcPr>
          <w:p w14:paraId="1C7C85B8"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70229A2A"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78214553" w14:textId="77777777" w:rsidTr="00A566E0">
        <w:tc>
          <w:tcPr>
            <w:tcW w:w="1952" w:type="dxa"/>
          </w:tcPr>
          <w:p w14:paraId="49569E1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Z12.34</w:t>
            </w:r>
          </w:p>
        </w:tc>
        <w:tc>
          <w:tcPr>
            <w:tcW w:w="1133" w:type="dxa"/>
          </w:tcPr>
          <w:p w14:paraId="1AFC27F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0,050</w:t>
            </w:r>
          </w:p>
        </w:tc>
        <w:tc>
          <w:tcPr>
            <w:tcW w:w="2978" w:type="dxa"/>
          </w:tcPr>
          <w:p w14:paraId="5696AE89"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6DB29C40" w14:textId="77777777" w:rsidR="00CB42B3" w:rsidRPr="00A566E0" w:rsidRDefault="00CB42B3" w:rsidP="00A566E0">
            <w:pPr>
              <w:pStyle w:val="1text"/>
              <w:spacing w:before="40" w:after="40"/>
              <w:jc w:val="left"/>
              <w:rPr>
                <w:sz w:val="20"/>
                <w:szCs w:val="20"/>
              </w:rPr>
            </w:pPr>
          </w:p>
        </w:tc>
      </w:tr>
      <w:tr w:rsidR="00CB42B3" w:rsidRPr="00A566E0" w14:paraId="63D17042" w14:textId="77777777" w:rsidTr="00A566E0">
        <w:tc>
          <w:tcPr>
            <w:tcW w:w="1952" w:type="dxa"/>
            <w:tcBorders>
              <w:bottom w:val="single" w:sz="12" w:space="0" w:color="auto"/>
            </w:tcBorders>
          </w:tcPr>
          <w:p w14:paraId="2F6D679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Z12.36</w:t>
            </w:r>
          </w:p>
        </w:tc>
        <w:tc>
          <w:tcPr>
            <w:tcW w:w="1133" w:type="dxa"/>
            <w:tcBorders>
              <w:bottom w:val="single" w:sz="12" w:space="0" w:color="auto"/>
            </w:tcBorders>
          </w:tcPr>
          <w:p w14:paraId="132B7E4C" w14:textId="77777777" w:rsidR="00CB42B3" w:rsidRPr="003F68C9" w:rsidRDefault="00CB42B3" w:rsidP="00A566E0">
            <w:pPr>
              <w:pStyle w:val="1text"/>
              <w:spacing w:before="40" w:after="40"/>
              <w:jc w:val="left"/>
              <w:rPr>
                <w:rFonts w:eastAsia="Times New Roman"/>
                <w:b/>
                <w:sz w:val="20"/>
                <w:szCs w:val="20"/>
                <w:lang w:eastAsia="cs-CZ"/>
              </w:rPr>
            </w:pPr>
            <w:r w:rsidRPr="003F68C9">
              <w:rPr>
                <w:rFonts w:eastAsia="Times New Roman"/>
                <w:b/>
                <w:color w:val="000000"/>
                <w:sz w:val="20"/>
                <w:szCs w:val="20"/>
                <w:lang w:eastAsia="cs-CZ"/>
              </w:rPr>
              <w:t>0,274</w:t>
            </w:r>
          </w:p>
        </w:tc>
        <w:tc>
          <w:tcPr>
            <w:tcW w:w="2978" w:type="dxa"/>
            <w:tcBorders>
              <w:bottom w:val="single" w:sz="12" w:space="0" w:color="auto"/>
            </w:tcBorders>
          </w:tcPr>
          <w:p w14:paraId="0698E1CF" w14:textId="77777777" w:rsidR="00CB42B3" w:rsidRPr="00A566E0" w:rsidRDefault="00CB42B3" w:rsidP="00A566E0">
            <w:pPr>
              <w:spacing w:before="40" w:after="40" w:line="240" w:lineRule="auto"/>
              <w:jc w:val="left"/>
              <w:rPr>
                <w:b/>
                <w:sz w:val="20"/>
                <w:szCs w:val="20"/>
              </w:rPr>
            </w:pPr>
            <w:r w:rsidRPr="00A566E0">
              <w:rPr>
                <w:b/>
                <w:sz w:val="20"/>
                <w:szCs w:val="20"/>
              </w:rPr>
              <w:t xml:space="preserve">převzato do ÚP </w:t>
            </w:r>
          </w:p>
        </w:tc>
        <w:tc>
          <w:tcPr>
            <w:tcW w:w="3118" w:type="dxa"/>
            <w:tcBorders>
              <w:bottom w:val="single" w:sz="12" w:space="0" w:color="auto"/>
            </w:tcBorders>
          </w:tcPr>
          <w:p w14:paraId="321B7E85" w14:textId="1815105D" w:rsidR="00CB42B3" w:rsidRPr="00A566E0" w:rsidRDefault="00605C40" w:rsidP="00605C40">
            <w:pPr>
              <w:pStyle w:val="1text"/>
              <w:spacing w:before="40" w:after="40"/>
              <w:jc w:val="left"/>
              <w:rPr>
                <w:b/>
                <w:sz w:val="20"/>
                <w:szCs w:val="20"/>
              </w:rPr>
            </w:pPr>
            <w:r w:rsidRPr="00A566E0">
              <w:rPr>
                <w:b/>
                <w:sz w:val="20"/>
                <w:szCs w:val="20"/>
              </w:rPr>
              <w:t>ploch</w:t>
            </w:r>
            <w:r>
              <w:rPr>
                <w:b/>
                <w:sz w:val="20"/>
                <w:szCs w:val="20"/>
              </w:rPr>
              <w:t>a</w:t>
            </w:r>
            <w:r w:rsidRPr="00A566E0">
              <w:rPr>
                <w:b/>
                <w:sz w:val="20"/>
                <w:szCs w:val="20"/>
              </w:rPr>
              <w:t xml:space="preserve"> </w:t>
            </w:r>
            <w:r w:rsidR="00CB42B3" w:rsidRPr="00A566E0">
              <w:rPr>
                <w:b/>
                <w:sz w:val="20"/>
                <w:szCs w:val="20"/>
              </w:rPr>
              <w:t>P10</w:t>
            </w:r>
          </w:p>
        </w:tc>
      </w:tr>
      <w:tr w:rsidR="00CB42B3" w:rsidRPr="00A566E0" w14:paraId="675B41A0" w14:textId="77777777" w:rsidTr="00A566E0">
        <w:tc>
          <w:tcPr>
            <w:tcW w:w="1952" w:type="dxa"/>
            <w:tcBorders>
              <w:top w:val="single" w:sz="12" w:space="0" w:color="auto"/>
              <w:left w:val="single" w:sz="12" w:space="0" w:color="auto"/>
            </w:tcBorders>
            <w:shd w:val="clear" w:color="auto" w:fill="F2F2F2" w:themeFill="background1" w:themeFillShade="F2"/>
          </w:tcPr>
          <w:p w14:paraId="74CC79CD"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sz w:val="20"/>
                <w:szCs w:val="20"/>
                <w:lang w:eastAsia="cs-CZ"/>
              </w:rPr>
              <w:t>CELKEM K.U. HRÁDEK NAD NISOU</w:t>
            </w:r>
          </w:p>
        </w:tc>
        <w:tc>
          <w:tcPr>
            <w:tcW w:w="7229" w:type="dxa"/>
            <w:gridSpan w:val="3"/>
            <w:tcBorders>
              <w:top w:val="single" w:sz="12" w:space="0" w:color="auto"/>
              <w:right w:val="single" w:sz="12" w:space="0" w:color="auto"/>
            </w:tcBorders>
            <w:shd w:val="clear" w:color="auto" w:fill="F2F2F2" w:themeFill="background1" w:themeFillShade="F2"/>
          </w:tcPr>
          <w:p w14:paraId="6369A7E7" w14:textId="77777777" w:rsidR="00CB42B3" w:rsidRPr="00A566E0" w:rsidRDefault="00CB42B3" w:rsidP="00A566E0">
            <w:pPr>
              <w:pStyle w:val="1text"/>
              <w:spacing w:before="40" w:after="40"/>
              <w:jc w:val="left"/>
              <w:rPr>
                <w:b/>
                <w:sz w:val="20"/>
                <w:szCs w:val="20"/>
              </w:rPr>
            </w:pPr>
            <w:r w:rsidRPr="00A566E0">
              <w:rPr>
                <w:rFonts w:eastAsia="Times New Roman"/>
                <w:b/>
                <w:color w:val="000000"/>
                <w:sz w:val="20"/>
                <w:szCs w:val="20"/>
                <w:lang w:eastAsia="cs-CZ"/>
              </w:rPr>
              <w:t>87,063</w:t>
            </w:r>
          </w:p>
        </w:tc>
      </w:tr>
      <w:tr w:rsidR="00CB42B3" w:rsidRPr="00A566E0" w14:paraId="40D2591B" w14:textId="77777777" w:rsidTr="00FA2029">
        <w:tc>
          <w:tcPr>
            <w:tcW w:w="1952" w:type="dxa"/>
            <w:vMerge w:val="restart"/>
            <w:tcBorders>
              <w:left w:val="single" w:sz="12" w:space="0" w:color="auto"/>
            </w:tcBorders>
          </w:tcPr>
          <w:p w14:paraId="32F188DE"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z toho:</w:t>
            </w:r>
          </w:p>
        </w:tc>
        <w:tc>
          <w:tcPr>
            <w:tcW w:w="1133" w:type="dxa"/>
            <w:shd w:val="clear" w:color="auto" w:fill="auto"/>
          </w:tcPr>
          <w:p w14:paraId="771C7C25" w14:textId="7B21725C" w:rsidR="00CB42B3" w:rsidRPr="00D85284" w:rsidRDefault="00D85284" w:rsidP="00417584">
            <w:pPr>
              <w:pStyle w:val="1text"/>
              <w:spacing w:before="40" w:after="40"/>
              <w:jc w:val="left"/>
              <w:rPr>
                <w:rFonts w:eastAsia="Times New Roman"/>
                <w:b/>
                <w:color w:val="000000"/>
                <w:sz w:val="20"/>
                <w:szCs w:val="20"/>
                <w:lang w:eastAsia="cs-CZ"/>
              </w:rPr>
            </w:pPr>
            <w:r w:rsidRPr="00D85284">
              <w:rPr>
                <w:rFonts w:eastAsia="Times New Roman"/>
                <w:b/>
                <w:color w:val="000000"/>
                <w:sz w:val="20"/>
                <w:szCs w:val="20"/>
                <w:lang w:eastAsia="cs-CZ"/>
              </w:rPr>
              <w:t>28,1</w:t>
            </w:r>
            <w:r w:rsidR="00417584">
              <w:rPr>
                <w:rFonts w:eastAsia="Times New Roman"/>
                <w:b/>
                <w:color w:val="000000"/>
                <w:sz w:val="20"/>
                <w:szCs w:val="20"/>
                <w:lang w:eastAsia="cs-CZ"/>
              </w:rPr>
              <w:t>4</w:t>
            </w:r>
            <w:r w:rsidRPr="00D85284">
              <w:rPr>
                <w:rFonts w:eastAsia="Times New Roman"/>
                <w:b/>
                <w:color w:val="000000"/>
                <w:sz w:val="20"/>
                <w:szCs w:val="20"/>
                <w:lang w:eastAsia="cs-CZ"/>
              </w:rPr>
              <w:t>7</w:t>
            </w:r>
            <w:r w:rsidR="00CB42B3" w:rsidRPr="00D85284">
              <w:rPr>
                <w:rFonts w:eastAsia="Times New Roman"/>
                <w:b/>
                <w:color w:val="000000"/>
                <w:sz w:val="20"/>
                <w:szCs w:val="20"/>
                <w:lang w:eastAsia="cs-CZ"/>
              </w:rPr>
              <w:t xml:space="preserve"> ha</w:t>
            </w:r>
          </w:p>
        </w:tc>
        <w:tc>
          <w:tcPr>
            <w:tcW w:w="6096" w:type="dxa"/>
            <w:gridSpan w:val="2"/>
            <w:tcBorders>
              <w:right w:val="single" w:sz="12" w:space="0" w:color="auto"/>
            </w:tcBorders>
          </w:tcPr>
          <w:p w14:paraId="1AD38CEE" w14:textId="77777777" w:rsidR="00CB42B3" w:rsidRPr="00A566E0" w:rsidRDefault="00CB42B3" w:rsidP="00A566E0">
            <w:pPr>
              <w:pStyle w:val="1text"/>
              <w:spacing w:before="40" w:after="40"/>
              <w:jc w:val="left"/>
              <w:rPr>
                <w:sz w:val="20"/>
                <w:szCs w:val="20"/>
              </w:rPr>
            </w:pPr>
            <w:r w:rsidRPr="00A566E0">
              <w:rPr>
                <w:b/>
                <w:sz w:val="20"/>
                <w:szCs w:val="20"/>
              </w:rPr>
              <w:t>záborů ZPF převzato</w:t>
            </w:r>
          </w:p>
        </w:tc>
      </w:tr>
      <w:tr w:rsidR="00CB42B3" w:rsidRPr="00A566E0" w14:paraId="1CA32524" w14:textId="77777777" w:rsidTr="00FA2029">
        <w:tc>
          <w:tcPr>
            <w:tcW w:w="1952" w:type="dxa"/>
            <w:vMerge/>
            <w:tcBorders>
              <w:left w:val="single" w:sz="12" w:space="0" w:color="auto"/>
            </w:tcBorders>
          </w:tcPr>
          <w:p w14:paraId="60B1480F" w14:textId="77777777" w:rsidR="00CB42B3" w:rsidRPr="00A566E0" w:rsidRDefault="00CB42B3" w:rsidP="00A566E0">
            <w:pPr>
              <w:pStyle w:val="1text"/>
              <w:spacing w:before="40" w:after="40"/>
              <w:jc w:val="left"/>
              <w:rPr>
                <w:rFonts w:eastAsia="Times New Roman"/>
                <w:b/>
                <w:sz w:val="20"/>
                <w:szCs w:val="20"/>
                <w:lang w:eastAsia="cs-CZ"/>
              </w:rPr>
            </w:pPr>
          </w:p>
        </w:tc>
        <w:tc>
          <w:tcPr>
            <w:tcW w:w="1133" w:type="dxa"/>
            <w:shd w:val="clear" w:color="auto" w:fill="auto"/>
          </w:tcPr>
          <w:p w14:paraId="0C264CD5" w14:textId="4D2D2490" w:rsidR="00CB42B3" w:rsidRPr="00D85284" w:rsidRDefault="00D85284" w:rsidP="00417584">
            <w:pPr>
              <w:pStyle w:val="1text"/>
              <w:spacing w:before="40" w:after="40"/>
              <w:jc w:val="left"/>
              <w:rPr>
                <w:rFonts w:eastAsia="Times New Roman"/>
                <w:b/>
                <w:color w:val="000000"/>
                <w:sz w:val="20"/>
                <w:szCs w:val="20"/>
                <w:lang w:eastAsia="cs-CZ"/>
              </w:rPr>
            </w:pPr>
            <w:r w:rsidRPr="00D85284">
              <w:rPr>
                <w:rFonts w:eastAsia="Times New Roman"/>
                <w:b/>
                <w:color w:val="000000"/>
                <w:sz w:val="20"/>
                <w:szCs w:val="20"/>
                <w:lang w:eastAsia="cs-CZ"/>
              </w:rPr>
              <w:t>29,0</w:t>
            </w:r>
            <w:r w:rsidR="00417584">
              <w:rPr>
                <w:rFonts w:eastAsia="Times New Roman"/>
                <w:b/>
                <w:color w:val="000000"/>
                <w:sz w:val="20"/>
                <w:szCs w:val="20"/>
                <w:lang w:eastAsia="cs-CZ"/>
              </w:rPr>
              <w:t>9</w:t>
            </w:r>
            <w:r w:rsidRPr="00D85284">
              <w:rPr>
                <w:rFonts w:eastAsia="Times New Roman"/>
                <w:b/>
                <w:color w:val="000000"/>
                <w:sz w:val="20"/>
                <w:szCs w:val="20"/>
                <w:lang w:eastAsia="cs-CZ"/>
              </w:rPr>
              <w:t>5</w:t>
            </w:r>
            <w:r w:rsidR="00CB42B3" w:rsidRPr="00D85284">
              <w:rPr>
                <w:rFonts w:eastAsia="Times New Roman"/>
                <w:b/>
                <w:color w:val="000000"/>
                <w:sz w:val="20"/>
                <w:szCs w:val="20"/>
                <w:lang w:eastAsia="cs-CZ"/>
              </w:rPr>
              <w:t xml:space="preserve"> ha</w:t>
            </w:r>
          </w:p>
        </w:tc>
        <w:tc>
          <w:tcPr>
            <w:tcW w:w="6096" w:type="dxa"/>
            <w:gridSpan w:val="2"/>
            <w:tcBorders>
              <w:right w:val="single" w:sz="12" w:space="0" w:color="auto"/>
            </w:tcBorders>
          </w:tcPr>
          <w:p w14:paraId="345E31A4" w14:textId="77777777" w:rsidR="00CB42B3" w:rsidRPr="00A566E0" w:rsidRDefault="00CB42B3" w:rsidP="00A566E0">
            <w:pPr>
              <w:pStyle w:val="1text"/>
              <w:spacing w:before="40" w:after="40"/>
              <w:jc w:val="left"/>
              <w:rPr>
                <w:sz w:val="20"/>
                <w:szCs w:val="20"/>
              </w:rPr>
            </w:pPr>
            <w:r w:rsidRPr="00A566E0">
              <w:rPr>
                <w:b/>
                <w:sz w:val="20"/>
                <w:szCs w:val="20"/>
              </w:rPr>
              <w:t>záborů ZPF vymezeno jako stabilizovaná plocha</w:t>
            </w:r>
          </w:p>
        </w:tc>
      </w:tr>
      <w:tr w:rsidR="00CB42B3" w:rsidRPr="00A566E0" w14:paraId="5E892042" w14:textId="77777777" w:rsidTr="00A566E0">
        <w:tc>
          <w:tcPr>
            <w:tcW w:w="1952" w:type="dxa"/>
            <w:vMerge/>
            <w:tcBorders>
              <w:left w:val="single" w:sz="12" w:space="0" w:color="auto"/>
              <w:bottom w:val="single" w:sz="12" w:space="0" w:color="auto"/>
            </w:tcBorders>
          </w:tcPr>
          <w:p w14:paraId="39D49146" w14:textId="77777777" w:rsidR="00CB42B3" w:rsidRPr="00A566E0" w:rsidRDefault="00CB42B3" w:rsidP="00A566E0">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auto"/>
          </w:tcPr>
          <w:p w14:paraId="2AD5F0F0"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29,822 ha</w:t>
            </w:r>
          </w:p>
        </w:tc>
        <w:tc>
          <w:tcPr>
            <w:tcW w:w="6096" w:type="dxa"/>
            <w:gridSpan w:val="2"/>
            <w:tcBorders>
              <w:bottom w:val="single" w:sz="12" w:space="0" w:color="auto"/>
              <w:right w:val="single" w:sz="12" w:space="0" w:color="auto"/>
            </w:tcBorders>
          </w:tcPr>
          <w:p w14:paraId="6C88FE1A" w14:textId="77777777" w:rsidR="00CB42B3" w:rsidRPr="00A566E0" w:rsidRDefault="00CB42B3" w:rsidP="00A566E0">
            <w:pPr>
              <w:pStyle w:val="1text"/>
              <w:spacing w:before="40" w:after="40"/>
              <w:jc w:val="left"/>
              <w:rPr>
                <w:sz w:val="20"/>
                <w:szCs w:val="20"/>
              </w:rPr>
            </w:pPr>
            <w:r w:rsidRPr="00A566E0">
              <w:rPr>
                <w:b/>
                <w:sz w:val="20"/>
                <w:szCs w:val="20"/>
              </w:rPr>
              <w:t>záborů ZPF vypuštěno</w:t>
            </w:r>
          </w:p>
        </w:tc>
      </w:tr>
      <w:tr w:rsidR="00CB42B3" w:rsidRPr="00A566E0" w14:paraId="29CF60B4" w14:textId="77777777" w:rsidTr="00A566E0">
        <w:tc>
          <w:tcPr>
            <w:tcW w:w="9181" w:type="dxa"/>
            <w:gridSpan w:val="4"/>
            <w:tcBorders>
              <w:top w:val="single" w:sz="12" w:space="0" w:color="auto"/>
            </w:tcBorders>
            <w:shd w:val="clear" w:color="auto" w:fill="D9D9D9" w:themeFill="background1" w:themeFillShade="D9"/>
          </w:tcPr>
          <w:p w14:paraId="4DA764B5" w14:textId="77777777" w:rsidR="00CB42B3" w:rsidRPr="00A566E0" w:rsidRDefault="00CB42B3" w:rsidP="00A566E0">
            <w:pPr>
              <w:pStyle w:val="1text"/>
              <w:spacing w:before="40" w:after="40"/>
              <w:jc w:val="left"/>
              <w:rPr>
                <w:b/>
                <w:sz w:val="20"/>
                <w:szCs w:val="20"/>
              </w:rPr>
            </w:pPr>
            <w:r w:rsidRPr="00A566E0">
              <w:rPr>
                <w:b/>
                <w:sz w:val="20"/>
                <w:szCs w:val="20"/>
              </w:rPr>
              <w:t>K.Ú. LOUČNÁ</w:t>
            </w:r>
          </w:p>
        </w:tc>
      </w:tr>
      <w:tr w:rsidR="00CB42B3" w:rsidRPr="00A566E0" w14:paraId="6A6D2B56" w14:textId="77777777" w:rsidTr="00A566E0">
        <w:tc>
          <w:tcPr>
            <w:tcW w:w="9181" w:type="dxa"/>
            <w:gridSpan w:val="4"/>
          </w:tcPr>
          <w:p w14:paraId="13BD90EA" w14:textId="77777777" w:rsidR="00CB42B3" w:rsidRPr="00A566E0" w:rsidRDefault="00CB42B3" w:rsidP="00A566E0">
            <w:pPr>
              <w:pStyle w:val="1text"/>
              <w:spacing w:before="40" w:after="40"/>
              <w:jc w:val="left"/>
              <w:rPr>
                <w:sz w:val="20"/>
                <w:szCs w:val="20"/>
              </w:rPr>
            </w:pPr>
            <w:r w:rsidRPr="00A566E0">
              <w:rPr>
                <w:sz w:val="20"/>
                <w:szCs w:val="20"/>
              </w:rPr>
              <w:t>Plochy smíšené obytné</w:t>
            </w:r>
          </w:p>
        </w:tc>
      </w:tr>
      <w:tr w:rsidR="00CB42B3" w:rsidRPr="00A566E0" w14:paraId="060D860D" w14:textId="77777777" w:rsidTr="00A566E0">
        <w:tc>
          <w:tcPr>
            <w:tcW w:w="1952" w:type="dxa"/>
          </w:tcPr>
          <w:p w14:paraId="7924634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80</w:t>
            </w:r>
          </w:p>
        </w:tc>
        <w:tc>
          <w:tcPr>
            <w:tcW w:w="1133" w:type="dxa"/>
          </w:tcPr>
          <w:p w14:paraId="040156E4"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0,188</w:t>
            </w:r>
          </w:p>
        </w:tc>
        <w:tc>
          <w:tcPr>
            <w:tcW w:w="2978" w:type="dxa"/>
            <w:shd w:val="clear" w:color="auto" w:fill="auto"/>
          </w:tcPr>
          <w:p w14:paraId="426F1004" w14:textId="77777777" w:rsidR="00CB42B3" w:rsidRPr="00A566E0" w:rsidRDefault="00CB42B3" w:rsidP="00A566E0">
            <w:pPr>
              <w:spacing w:before="40" w:after="40" w:line="240" w:lineRule="auto"/>
              <w:jc w:val="left"/>
              <w:rPr>
                <w:sz w:val="20"/>
                <w:szCs w:val="20"/>
              </w:rPr>
            </w:pPr>
            <w:r w:rsidRPr="00A566E0">
              <w:rPr>
                <w:b/>
                <w:color w:val="000000"/>
                <w:sz w:val="20"/>
                <w:szCs w:val="20"/>
              </w:rPr>
              <w:t>část (bez záboru ZPF)</w:t>
            </w:r>
            <w:r w:rsidRPr="00A566E0">
              <w:rPr>
                <w:b/>
                <w:sz w:val="20"/>
                <w:szCs w:val="20"/>
              </w:rPr>
              <w:t xml:space="preserve"> převzata do ÚP </w:t>
            </w:r>
            <w:r w:rsidRPr="00A566E0">
              <w:rPr>
                <w:sz w:val="20"/>
                <w:szCs w:val="20"/>
              </w:rPr>
              <w:t>s jiným využitím, ve zbývající části záměr vypuštěn</w:t>
            </w:r>
          </w:p>
        </w:tc>
        <w:tc>
          <w:tcPr>
            <w:tcW w:w="3118" w:type="dxa"/>
          </w:tcPr>
          <w:p w14:paraId="39C64338" w14:textId="77777777" w:rsidR="00CB42B3" w:rsidRPr="00A566E0" w:rsidRDefault="00CB42B3" w:rsidP="00A566E0">
            <w:pPr>
              <w:pStyle w:val="1text"/>
              <w:spacing w:before="40" w:after="40"/>
              <w:jc w:val="left"/>
              <w:rPr>
                <w:b/>
                <w:sz w:val="20"/>
                <w:szCs w:val="20"/>
              </w:rPr>
            </w:pPr>
            <w:r w:rsidRPr="00A566E0">
              <w:rPr>
                <w:b/>
                <w:sz w:val="20"/>
                <w:szCs w:val="20"/>
              </w:rPr>
              <w:t>plocha Z58</w:t>
            </w:r>
          </w:p>
        </w:tc>
      </w:tr>
      <w:tr w:rsidR="00CB42B3" w:rsidRPr="00A566E0" w14:paraId="25BECA6B" w14:textId="77777777" w:rsidTr="00A566E0">
        <w:tc>
          <w:tcPr>
            <w:tcW w:w="1952" w:type="dxa"/>
          </w:tcPr>
          <w:p w14:paraId="4FDC57DF"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81</w:t>
            </w:r>
          </w:p>
        </w:tc>
        <w:tc>
          <w:tcPr>
            <w:tcW w:w="1133" w:type="dxa"/>
          </w:tcPr>
          <w:p w14:paraId="5323D3DD"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0,318</w:t>
            </w:r>
          </w:p>
        </w:tc>
        <w:tc>
          <w:tcPr>
            <w:tcW w:w="2978" w:type="dxa"/>
          </w:tcPr>
          <w:p w14:paraId="20839490"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72E71287" w14:textId="77777777" w:rsidR="00CB42B3" w:rsidRPr="00A566E0" w:rsidRDefault="00CB42B3" w:rsidP="00A566E0">
            <w:pPr>
              <w:pStyle w:val="1text"/>
              <w:spacing w:before="40" w:after="40"/>
              <w:jc w:val="left"/>
              <w:rPr>
                <w:sz w:val="20"/>
                <w:szCs w:val="20"/>
                <w:highlight w:val="green"/>
              </w:rPr>
            </w:pPr>
          </w:p>
        </w:tc>
      </w:tr>
      <w:tr w:rsidR="00CB42B3" w:rsidRPr="00A566E0" w14:paraId="7B37BCBE" w14:textId="77777777" w:rsidTr="00A566E0">
        <w:tc>
          <w:tcPr>
            <w:tcW w:w="1952" w:type="dxa"/>
          </w:tcPr>
          <w:p w14:paraId="23682AA3"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82</w:t>
            </w:r>
          </w:p>
        </w:tc>
        <w:tc>
          <w:tcPr>
            <w:tcW w:w="1133" w:type="dxa"/>
          </w:tcPr>
          <w:p w14:paraId="6E3878CB"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0,624</w:t>
            </w:r>
          </w:p>
        </w:tc>
        <w:tc>
          <w:tcPr>
            <w:tcW w:w="2978" w:type="dxa"/>
          </w:tcPr>
          <w:p w14:paraId="077EEBD3" w14:textId="77777777" w:rsidR="00CB42B3" w:rsidRPr="00A566E0" w:rsidRDefault="00CB42B3" w:rsidP="00A566E0">
            <w:pPr>
              <w:spacing w:before="40" w:after="40" w:line="240" w:lineRule="auto"/>
              <w:jc w:val="left"/>
              <w:rPr>
                <w:b/>
                <w:sz w:val="20"/>
                <w:szCs w:val="20"/>
              </w:rPr>
            </w:pPr>
            <w:r w:rsidRPr="00A566E0">
              <w:rPr>
                <w:b/>
                <w:sz w:val="20"/>
                <w:szCs w:val="20"/>
              </w:rPr>
              <w:t xml:space="preserve">převzato do ÚP </w:t>
            </w:r>
          </w:p>
        </w:tc>
        <w:tc>
          <w:tcPr>
            <w:tcW w:w="3118" w:type="dxa"/>
          </w:tcPr>
          <w:p w14:paraId="2B29BCAB" w14:textId="77777777" w:rsidR="00CB42B3" w:rsidRPr="00A566E0" w:rsidRDefault="00CB42B3" w:rsidP="00A566E0">
            <w:pPr>
              <w:pStyle w:val="1text"/>
              <w:spacing w:before="40" w:after="40"/>
              <w:jc w:val="left"/>
              <w:rPr>
                <w:b/>
                <w:sz w:val="20"/>
                <w:szCs w:val="20"/>
              </w:rPr>
            </w:pPr>
            <w:r w:rsidRPr="00A566E0">
              <w:rPr>
                <w:b/>
                <w:sz w:val="20"/>
                <w:szCs w:val="20"/>
              </w:rPr>
              <w:t>plocha Z62</w:t>
            </w:r>
          </w:p>
        </w:tc>
      </w:tr>
      <w:tr w:rsidR="00CB42B3" w:rsidRPr="00A566E0" w14:paraId="22BD0C89" w14:textId="77777777" w:rsidTr="00FA2029">
        <w:tc>
          <w:tcPr>
            <w:tcW w:w="1952" w:type="dxa"/>
          </w:tcPr>
          <w:p w14:paraId="2450AFF3"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83</w:t>
            </w:r>
          </w:p>
        </w:tc>
        <w:tc>
          <w:tcPr>
            <w:tcW w:w="1133" w:type="dxa"/>
          </w:tcPr>
          <w:p w14:paraId="467AB88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0,169</w:t>
            </w:r>
          </w:p>
        </w:tc>
        <w:tc>
          <w:tcPr>
            <w:tcW w:w="2978" w:type="dxa"/>
            <w:shd w:val="clear" w:color="auto" w:fill="auto"/>
          </w:tcPr>
          <w:p w14:paraId="6D06A055"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3241D60A" w14:textId="77777777" w:rsidR="00CB42B3" w:rsidRPr="00A566E0" w:rsidRDefault="00CB42B3" w:rsidP="00A566E0">
            <w:pPr>
              <w:pStyle w:val="1text"/>
              <w:spacing w:before="40" w:after="40"/>
              <w:jc w:val="left"/>
              <w:rPr>
                <w:sz w:val="20"/>
                <w:szCs w:val="20"/>
                <w:highlight w:val="green"/>
              </w:rPr>
            </w:pPr>
            <w:r w:rsidRPr="00A566E0">
              <w:rPr>
                <w:sz w:val="20"/>
                <w:szCs w:val="20"/>
              </w:rPr>
              <w:t>zastavěno</w:t>
            </w:r>
          </w:p>
        </w:tc>
      </w:tr>
      <w:tr w:rsidR="00CB42B3" w:rsidRPr="00A566E0" w14:paraId="469363AF" w14:textId="77777777" w:rsidTr="00FA2029">
        <w:tc>
          <w:tcPr>
            <w:tcW w:w="1952" w:type="dxa"/>
          </w:tcPr>
          <w:p w14:paraId="4996A183"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84</w:t>
            </w:r>
          </w:p>
        </w:tc>
        <w:tc>
          <w:tcPr>
            <w:tcW w:w="1133" w:type="dxa"/>
          </w:tcPr>
          <w:p w14:paraId="32BEEBD8" w14:textId="77777777" w:rsidR="00CB42B3" w:rsidRPr="003F68C9" w:rsidRDefault="00CB42B3" w:rsidP="00A566E0">
            <w:pPr>
              <w:pStyle w:val="1text"/>
              <w:spacing w:before="40" w:after="40"/>
              <w:jc w:val="left"/>
              <w:rPr>
                <w:rFonts w:eastAsia="Times New Roman"/>
                <w:b/>
                <w:sz w:val="20"/>
                <w:szCs w:val="20"/>
                <w:lang w:eastAsia="cs-CZ"/>
              </w:rPr>
            </w:pPr>
            <w:r w:rsidRPr="003F68C9">
              <w:rPr>
                <w:rFonts w:eastAsia="Times New Roman"/>
                <w:b/>
                <w:color w:val="000000"/>
                <w:sz w:val="20"/>
                <w:szCs w:val="20"/>
                <w:lang w:eastAsia="cs-CZ"/>
              </w:rPr>
              <w:t>0,236</w:t>
            </w:r>
          </w:p>
        </w:tc>
        <w:tc>
          <w:tcPr>
            <w:tcW w:w="2978" w:type="dxa"/>
            <w:shd w:val="clear" w:color="auto" w:fill="auto"/>
          </w:tcPr>
          <w:p w14:paraId="616A7B5C" w14:textId="77777777" w:rsidR="00CB42B3" w:rsidRPr="00A566E0" w:rsidRDefault="003F68C9" w:rsidP="00B37344">
            <w:pPr>
              <w:spacing w:before="40" w:after="40" w:line="240" w:lineRule="auto"/>
              <w:jc w:val="left"/>
              <w:rPr>
                <w:b/>
                <w:sz w:val="20"/>
                <w:szCs w:val="20"/>
              </w:rPr>
            </w:pPr>
            <w:r w:rsidRPr="00A566E0">
              <w:rPr>
                <w:b/>
                <w:color w:val="000000"/>
                <w:sz w:val="20"/>
                <w:szCs w:val="20"/>
              </w:rPr>
              <w:t xml:space="preserve">v rozsahu </w:t>
            </w:r>
            <w:r w:rsidR="00B37344">
              <w:rPr>
                <w:b/>
                <w:color w:val="000000"/>
                <w:sz w:val="20"/>
                <w:szCs w:val="20"/>
              </w:rPr>
              <w:t>0,155</w:t>
            </w:r>
            <w:r w:rsidRPr="00A566E0">
              <w:rPr>
                <w:b/>
                <w:color w:val="000000"/>
                <w:sz w:val="20"/>
                <w:szCs w:val="20"/>
              </w:rPr>
              <w:t xml:space="preserve"> </w:t>
            </w:r>
            <w:r w:rsidRPr="00A566E0">
              <w:rPr>
                <w:b/>
                <w:sz w:val="20"/>
                <w:szCs w:val="20"/>
              </w:rPr>
              <w:t xml:space="preserve">ha </w:t>
            </w:r>
            <w:r w:rsidR="00CB42B3" w:rsidRPr="00A566E0">
              <w:rPr>
                <w:b/>
                <w:sz w:val="20"/>
                <w:szCs w:val="20"/>
              </w:rPr>
              <w:t>převzato do ÚP</w:t>
            </w:r>
            <w:r w:rsidRPr="003F68C9">
              <w:rPr>
                <w:sz w:val="20"/>
                <w:szCs w:val="20"/>
              </w:rPr>
              <w:t>,</w:t>
            </w:r>
            <w:r w:rsidR="00CB42B3" w:rsidRPr="003F68C9">
              <w:rPr>
                <w:sz w:val="20"/>
                <w:szCs w:val="20"/>
              </w:rPr>
              <w:t xml:space="preserve"> </w:t>
            </w:r>
            <w:r w:rsidR="00B37344">
              <w:rPr>
                <w:sz w:val="20"/>
                <w:szCs w:val="20"/>
              </w:rPr>
              <w:t>zbývající část</w:t>
            </w:r>
            <w:r w:rsidRPr="003F68C9">
              <w:rPr>
                <w:sz w:val="20"/>
                <w:szCs w:val="20"/>
              </w:rPr>
              <w:t xml:space="preserve"> </w:t>
            </w:r>
            <w:r w:rsidRPr="00A566E0">
              <w:rPr>
                <w:sz w:val="20"/>
                <w:szCs w:val="20"/>
              </w:rPr>
              <w:t>vymezen</w:t>
            </w:r>
            <w:r w:rsidR="00B37344">
              <w:rPr>
                <w:sz w:val="20"/>
                <w:szCs w:val="20"/>
              </w:rPr>
              <w:t>a</w:t>
            </w:r>
            <w:r w:rsidRPr="00A566E0">
              <w:rPr>
                <w:sz w:val="20"/>
                <w:szCs w:val="20"/>
              </w:rPr>
              <w:t xml:space="preserve"> jako stabilizovaná plocha</w:t>
            </w:r>
          </w:p>
        </w:tc>
        <w:tc>
          <w:tcPr>
            <w:tcW w:w="3118" w:type="dxa"/>
          </w:tcPr>
          <w:p w14:paraId="4D0B539C"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Z64</w:t>
            </w:r>
            <w:r w:rsidR="003F68C9">
              <w:rPr>
                <w:sz w:val="20"/>
                <w:szCs w:val="20"/>
              </w:rPr>
              <w:t xml:space="preserve">, </w:t>
            </w:r>
            <w:r w:rsidR="003F68C9" w:rsidRPr="00A566E0">
              <w:rPr>
                <w:sz w:val="20"/>
                <w:szCs w:val="20"/>
              </w:rPr>
              <w:t>zčásti realizováno</w:t>
            </w:r>
          </w:p>
        </w:tc>
      </w:tr>
      <w:tr w:rsidR="00CB42B3" w:rsidRPr="00A566E0" w14:paraId="2D090392" w14:textId="77777777" w:rsidTr="00A566E0">
        <w:tc>
          <w:tcPr>
            <w:tcW w:w="1952" w:type="dxa"/>
          </w:tcPr>
          <w:p w14:paraId="1F640C83"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85</w:t>
            </w:r>
          </w:p>
        </w:tc>
        <w:tc>
          <w:tcPr>
            <w:tcW w:w="1133" w:type="dxa"/>
          </w:tcPr>
          <w:p w14:paraId="5C40D28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0,766</w:t>
            </w:r>
          </w:p>
        </w:tc>
        <w:tc>
          <w:tcPr>
            <w:tcW w:w="2978" w:type="dxa"/>
          </w:tcPr>
          <w:p w14:paraId="3DDA910A"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04FB055A" w14:textId="77777777" w:rsidR="00CB42B3" w:rsidRPr="00A566E0" w:rsidRDefault="00CB42B3" w:rsidP="00A566E0">
            <w:pPr>
              <w:pStyle w:val="1text"/>
              <w:spacing w:before="40" w:after="40"/>
              <w:jc w:val="left"/>
              <w:rPr>
                <w:sz w:val="20"/>
                <w:szCs w:val="20"/>
              </w:rPr>
            </w:pPr>
            <w:r w:rsidRPr="00A566E0">
              <w:rPr>
                <w:sz w:val="20"/>
                <w:szCs w:val="20"/>
              </w:rPr>
              <w:t>zčásti realizováno, zbývající část dle §58 a §2, odst. 1c stavebního zákona</w:t>
            </w:r>
          </w:p>
        </w:tc>
      </w:tr>
      <w:tr w:rsidR="00CB42B3" w:rsidRPr="00A566E0" w14:paraId="303EB7BF" w14:textId="77777777" w:rsidTr="00A566E0">
        <w:tc>
          <w:tcPr>
            <w:tcW w:w="1952" w:type="dxa"/>
          </w:tcPr>
          <w:p w14:paraId="4DDAC28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90</w:t>
            </w:r>
          </w:p>
        </w:tc>
        <w:tc>
          <w:tcPr>
            <w:tcW w:w="1133" w:type="dxa"/>
          </w:tcPr>
          <w:p w14:paraId="5C6530E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0,008</w:t>
            </w:r>
          </w:p>
        </w:tc>
        <w:tc>
          <w:tcPr>
            <w:tcW w:w="2978" w:type="dxa"/>
          </w:tcPr>
          <w:p w14:paraId="3112A7F3"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33C1E36E"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6DFCAA14" w14:textId="77777777" w:rsidTr="00A566E0">
        <w:tc>
          <w:tcPr>
            <w:tcW w:w="1952" w:type="dxa"/>
          </w:tcPr>
          <w:p w14:paraId="711BEA7B"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91</w:t>
            </w:r>
          </w:p>
        </w:tc>
        <w:tc>
          <w:tcPr>
            <w:tcW w:w="1133" w:type="dxa"/>
          </w:tcPr>
          <w:p w14:paraId="56FF778E"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0,619</w:t>
            </w:r>
          </w:p>
        </w:tc>
        <w:tc>
          <w:tcPr>
            <w:tcW w:w="2978" w:type="dxa"/>
          </w:tcPr>
          <w:p w14:paraId="219A5AA1"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39939660" w14:textId="77777777" w:rsidR="00CB42B3" w:rsidRPr="00A566E0" w:rsidRDefault="00CB42B3" w:rsidP="00A566E0">
            <w:pPr>
              <w:pStyle w:val="1text"/>
              <w:spacing w:before="40" w:after="40"/>
              <w:jc w:val="left"/>
              <w:rPr>
                <w:sz w:val="20"/>
                <w:szCs w:val="20"/>
              </w:rPr>
            </w:pPr>
            <w:r w:rsidRPr="00A566E0">
              <w:rPr>
                <w:sz w:val="20"/>
                <w:szCs w:val="20"/>
              </w:rPr>
              <w:t>dle §58 a §2, odst. 1c stavebního zákona</w:t>
            </w:r>
          </w:p>
        </w:tc>
      </w:tr>
      <w:tr w:rsidR="00CB42B3" w:rsidRPr="00A566E0" w14:paraId="60272F31" w14:textId="77777777" w:rsidTr="00A566E0">
        <w:tc>
          <w:tcPr>
            <w:tcW w:w="1952" w:type="dxa"/>
          </w:tcPr>
          <w:p w14:paraId="1115ACDE"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Z12.05</w:t>
            </w:r>
          </w:p>
        </w:tc>
        <w:tc>
          <w:tcPr>
            <w:tcW w:w="1133" w:type="dxa"/>
          </w:tcPr>
          <w:p w14:paraId="07956DD5"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1,256</w:t>
            </w:r>
          </w:p>
        </w:tc>
        <w:tc>
          <w:tcPr>
            <w:tcW w:w="2978" w:type="dxa"/>
          </w:tcPr>
          <w:p w14:paraId="0AA34C2A"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35AD9B2F" w14:textId="77777777" w:rsidR="00CB42B3" w:rsidRPr="00A566E0" w:rsidRDefault="00CB42B3" w:rsidP="00A566E0">
            <w:pPr>
              <w:pStyle w:val="1text"/>
              <w:spacing w:before="40" w:after="40"/>
              <w:jc w:val="left"/>
              <w:rPr>
                <w:sz w:val="20"/>
                <w:szCs w:val="20"/>
              </w:rPr>
            </w:pPr>
            <w:r w:rsidRPr="00A566E0">
              <w:rPr>
                <w:sz w:val="20"/>
                <w:szCs w:val="20"/>
              </w:rPr>
              <w:t xml:space="preserve">zčásti realizováno, zbývající část dle </w:t>
            </w:r>
            <w:r w:rsidRPr="00A566E0">
              <w:rPr>
                <w:sz w:val="20"/>
                <w:szCs w:val="20"/>
              </w:rPr>
              <w:lastRenderedPageBreak/>
              <w:t>§58 a §2, odst. 1c stavebního zákona</w:t>
            </w:r>
          </w:p>
        </w:tc>
      </w:tr>
      <w:tr w:rsidR="00CB42B3" w:rsidRPr="00A566E0" w14:paraId="0DAB4568" w14:textId="77777777" w:rsidTr="00A566E0">
        <w:tc>
          <w:tcPr>
            <w:tcW w:w="1952" w:type="dxa"/>
          </w:tcPr>
          <w:p w14:paraId="5A4A51D3"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lastRenderedPageBreak/>
              <w:t>Z12.16</w:t>
            </w:r>
          </w:p>
        </w:tc>
        <w:tc>
          <w:tcPr>
            <w:tcW w:w="1133" w:type="dxa"/>
          </w:tcPr>
          <w:p w14:paraId="7032027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0,924</w:t>
            </w:r>
          </w:p>
        </w:tc>
        <w:tc>
          <w:tcPr>
            <w:tcW w:w="2978" w:type="dxa"/>
          </w:tcPr>
          <w:p w14:paraId="49965265"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26E3D691" w14:textId="77777777" w:rsidR="00CB42B3" w:rsidRPr="00A566E0" w:rsidRDefault="00CB42B3" w:rsidP="00A566E0">
            <w:pPr>
              <w:pStyle w:val="1text"/>
              <w:spacing w:before="40" w:after="40"/>
              <w:jc w:val="left"/>
              <w:rPr>
                <w:sz w:val="20"/>
                <w:szCs w:val="20"/>
              </w:rPr>
            </w:pPr>
            <w:r w:rsidRPr="00A566E0">
              <w:rPr>
                <w:sz w:val="20"/>
                <w:szCs w:val="20"/>
              </w:rPr>
              <w:t>zčásti realizováno, zbývající část dle §58 a §2, odst. 1c stavebního zákona</w:t>
            </w:r>
          </w:p>
        </w:tc>
      </w:tr>
      <w:tr w:rsidR="00CB42B3" w:rsidRPr="00A566E0" w14:paraId="4DED605D" w14:textId="77777777" w:rsidTr="00A566E0">
        <w:tc>
          <w:tcPr>
            <w:tcW w:w="1952" w:type="dxa"/>
          </w:tcPr>
          <w:p w14:paraId="7E925A4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Z15.3</w:t>
            </w:r>
          </w:p>
        </w:tc>
        <w:tc>
          <w:tcPr>
            <w:tcW w:w="1133" w:type="dxa"/>
          </w:tcPr>
          <w:p w14:paraId="4F9D67A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0,023</w:t>
            </w:r>
          </w:p>
        </w:tc>
        <w:tc>
          <w:tcPr>
            <w:tcW w:w="2978" w:type="dxa"/>
          </w:tcPr>
          <w:p w14:paraId="649E24D8"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21F84EA2" w14:textId="77777777" w:rsidR="00CB42B3" w:rsidRPr="00A566E0" w:rsidRDefault="00CB42B3" w:rsidP="00A566E0">
            <w:pPr>
              <w:pStyle w:val="1text"/>
              <w:spacing w:before="40" w:after="40"/>
              <w:jc w:val="left"/>
              <w:rPr>
                <w:sz w:val="20"/>
                <w:szCs w:val="20"/>
                <w:highlight w:val="green"/>
              </w:rPr>
            </w:pPr>
            <w:r w:rsidRPr="00A566E0">
              <w:rPr>
                <w:sz w:val="20"/>
                <w:szCs w:val="20"/>
              </w:rPr>
              <w:t>zastavěno</w:t>
            </w:r>
          </w:p>
        </w:tc>
      </w:tr>
      <w:tr w:rsidR="00CB42B3" w:rsidRPr="00A566E0" w14:paraId="7AFF276D" w14:textId="77777777" w:rsidTr="00A566E0">
        <w:tc>
          <w:tcPr>
            <w:tcW w:w="9181" w:type="dxa"/>
            <w:gridSpan w:val="4"/>
          </w:tcPr>
          <w:p w14:paraId="26969C83" w14:textId="77777777" w:rsidR="00CB42B3" w:rsidRPr="00A566E0" w:rsidRDefault="00CB42B3" w:rsidP="00A566E0">
            <w:pPr>
              <w:pStyle w:val="1text"/>
              <w:spacing w:before="40" w:after="40"/>
              <w:jc w:val="left"/>
              <w:rPr>
                <w:sz w:val="20"/>
                <w:szCs w:val="20"/>
              </w:rPr>
            </w:pPr>
            <w:r w:rsidRPr="00A566E0">
              <w:rPr>
                <w:sz w:val="20"/>
                <w:szCs w:val="20"/>
              </w:rPr>
              <w:t>Plochy bydlení</w:t>
            </w:r>
          </w:p>
        </w:tc>
      </w:tr>
      <w:tr w:rsidR="00CB42B3" w:rsidRPr="00A566E0" w14:paraId="5DE4DE3F" w14:textId="77777777" w:rsidTr="00A566E0">
        <w:tc>
          <w:tcPr>
            <w:tcW w:w="1952" w:type="dxa"/>
          </w:tcPr>
          <w:p w14:paraId="299878A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71</w:t>
            </w:r>
          </w:p>
        </w:tc>
        <w:tc>
          <w:tcPr>
            <w:tcW w:w="1133" w:type="dxa"/>
          </w:tcPr>
          <w:p w14:paraId="5958B864"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0,669</w:t>
            </w:r>
          </w:p>
        </w:tc>
        <w:tc>
          <w:tcPr>
            <w:tcW w:w="2978" w:type="dxa"/>
          </w:tcPr>
          <w:p w14:paraId="3BA6B07E" w14:textId="77777777" w:rsidR="00CB42B3" w:rsidRPr="00A566E0" w:rsidRDefault="00CB42B3" w:rsidP="00A566E0">
            <w:pPr>
              <w:spacing w:before="40" w:after="40" w:line="240" w:lineRule="auto"/>
              <w:jc w:val="left"/>
              <w:rPr>
                <w:sz w:val="20"/>
                <w:szCs w:val="20"/>
              </w:rPr>
            </w:pPr>
            <w:r w:rsidRPr="00A566E0">
              <w:rPr>
                <w:sz w:val="20"/>
                <w:szCs w:val="20"/>
              </w:rPr>
              <w:t>z převážné části záměr vypuštěn, zbývající část vymezena jako stabilizovaná plocha</w:t>
            </w:r>
          </w:p>
        </w:tc>
        <w:tc>
          <w:tcPr>
            <w:tcW w:w="3118" w:type="dxa"/>
          </w:tcPr>
          <w:p w14:paraId="04CD954A" w14:textId="77777777" w:rsidR="00CB42B3" w:rsidRPr="00A566E0" w:rsidRDefault="00CB42B3" w:rsidP="00A566E0">
            <w:pPr>
              <w:pStyle w:val="1text"/>
              <w:spacing w:before="40" w:after="40"/>
              <w:jc w:val="left"/>
              <w:rPr>
                <w:sz w:val="20"/>
                <w:szCs w:val="20"/>
              </w:rPr>
            </w:pPr>
            <w:r w:rsidRPr="00A566E0">
              <w:rPr>
                <w:sz w:val="20"/>
                <w:szCs w:val="20"/>
              </w:rPr>
              <w:t>část přičleněna pod společné oplocení (§58 a §2, odst. 1c stavebního zákona)</w:t>
            </w:r>
          </w:p>
        </w:tc>
      </w:tr>
      <w:tr w:rsidR="00CB42B3" w:rsidRPr="00A566E0" w14:paraId="3DC1AC8D" w14:textId="77777777" w:rsidTr="00A566E0">
        <w:tc>
          <w:tcPr>
            <w:tcW w:w="1952" w:type="dxa"/>
          </w:tcPr>
          <w:p w14:paraId="302EF0B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72</w:t>
            </w:r>
          </w:p>
        </w:tc>
        <w:tc>
          <w:tcPr>
            <w:tcW w:w="1133" w:type="dxa"/>
          </w:tcPr>
          <w:p w14:paraId="13D5E13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0,695</w:t>
            </w:r>
          </w:p>
        </w:tc>
        <w:tc>
          <w:tcPr>
            <w:tcW w:w="2978" w:type="dxa"/>
          </w:tcPr>
          <w:p w14:paraId="0F2EE0EB" w14:textId="77777777" w:rsidR="00CB42B3" w:rsidRPr="00A566E0" w:rsidRDefault="00CB42B3" w:rsidP="00A566E0">
            <w:pPr>
              <w:spacing w:before="40" w:after="40" w:line="240" w:lineRule="auto"/>
              <w:jc w:val="left"/>
              <w:rPr>
                <w:sz w:val="20"/>
                <w:szCs w:val="20"/>
              </w:rPr>
            </w:pPr>
            <w:r w:rsidRPr="00A566E0">
              <w:rPr>
                <w:sz w:val="20"/>
                <w:szCs w:val="20"/>
              </w:rPr>
              <w:t>z převážné části záměr vypuštěn, zbývající část vymezena jako stabilizovaná plocha</w:t>
            </w:r>
          </w:p>
        </w:tc>
        <w:tc>
          <w:tcPr>
            <w:tcW w:w="3118" w:type="dxa"/>
          </w:tcPr>
          <w:p w14:paraId="14773F3C" w14:textId="77777777" w:rsidR="00CB42B3" w:rsidRPr="00A566E0" w:rsidRDefault="00CB42B3" w:rsidP="00A566E0">
            <w:pPr>
              <w:pStyle w:val="1text"/>
              <w:spacing w:before="40" w:after="40"/>
              <w:jc w:val="left"/>
              <w:rPr>
                <w:sz w:val="20"/>
                <w:szCs w:val="20"/>
              </w:rPr>
            </w:pPr>
            <w:r w:rsidRPr="00A566E0">
              <w:rPr>
                <w:sz w:val="20"/>
                <w:szCs w:val="20"/>
              </w:rPr>
              <w:t>část přičleněna pod společné oplocení (§58 a §2, odst. 1c stavebního zákona)</w:t>
            </w:r>
          </w:p>
        </w:tc>
      </w:tr>
      <w:tr w:rsidR="00CB42B3" w:rsidRPr="00A566E0" w14:paraId="61764F92" w14:textId="77777777" w:rsidTr="00A566E0">
        <w:tc>
          <w:tcPr>
            <w:tcW w:w="1952" w:type="dxa"/>
          </w:tcPr>
          <w:p w14:paraId="4A056933"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Z12.23</w:t>
            </w:r>
          </w:p>
        </w:tc>
        <w:tc>
          <w:tcPr>
            <w:tcW w:w="1133" w:type="dxa"/>
          </w:tcPr>
          <w:p w14:paraId="4CA1AA69"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0,372</w:t>
            </w:r>
          </w:p>
        </w:tc>
        <w:tc>
          <w:tcPr>
            <w:tcW w:w="2978" w:type="dxa"/>
          </w:tcPr>
          <w:p w14:paraId="711352A9"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0D571967"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6EB0361F" w14:textId="77777777" w:rsidTr="00A566E0">
        <w:tc>
          <w:tcPr>
            <w:tcW w:w="9181" w:type="dxa"/>
            <w:gridSpan w:val="4"/>
          </w:tcPr>
          <w:p w14:paraId="12D77500" w14:textId="77777777" w:rsidR="00CB42B3" w:rsidRPr="00A566E0" w:rsidRDefault="00CB42B3" w:rsidP="00A566E0">
            <w:pPr>
              <w:pStyle w:val="1text"/>
              <w:spacing w:before="40" w:after="40"/>
              <w:jc w:val="left"/>
              <w:rPr>
                <w:sz w:val="20"/>
                <w:szCs w:val="20"/>
              </w:rPr>
            </w:pPr>
            <w:r w:rsidRPr="00A566E0">
              <w:rPr>
                <w:sz w:val="20"/>
                <w:szCs w:val="20"/>
              </w:rPr>
              <w:t>Plochy občanského vybavení</w:t>
            </w:r>
          </w:p>
        </w:tc>
      </w:tr>
      <w:tr w:rsidR="00CB42B3" w:rsidRPr="00A566E0" w14:paraId="09024BC9" w14:textId="77777777" w:rsidTr="00A566E0">
        <w:tc>
          <w:tcPr>
            <w:tcW w:w="1952" w:type="dxa"/>
          </w:tcPr>
          <w:p w14:paraId="79193B25"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Z12.31</w:t>
            </w:r>
          </w:p>
        </w:tc>
        <w:tc>
          <w:tcPr>
            <w:tcW w:w="1133" w:type="dxa"/>
          </w:tcPr>
          <w:p w14:paraId="57FEEC4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0,129</w:t>
            </w:r>
          </w:p>
        </w:tc>
        <w:tc>
          <w:tcPr>
            <w:tcW w:w="2978" w:type="dxa"/>
          </w:tcPr>
          <w:p w14:paraId="69BA7684"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31619E4A"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0F8FD518" w14:textId="77777777" w:rsidTr="00A566E0">
        <w:tc>
          <w:tcPr>
            <w:tcW w:w="9181" w:type="dxa"/>
            <w:gridSpan w:val="4"/>
          </w:tcPr>
          <w:p w14:paraId="38221BC3" w14:textId="77777777" w:rsidR="00CB42B3" w:rsidRPr="00A566E0" w:rsidRDefault="00CB42B3" w:rsidP="00A566E0">
            <w:pPr>
              <w:pStyle w:val="1text"/>
              <w:spacing w:before="40" w:after="40"/>
              <w:jc w:val="left"/>
              <w:rPr>
                <w:sz w:val="20"/>
                <w:szCs w:val="20"/>
              </w:rPr>
            </w:pPr>
            <w:r w:rsidRPr="00A566E0">
              <w:rPr>
                <w:sz w:val="20"/>
                <w:szCs w:val="20"/>
              </w:rPr>
              <w:t>Plochy dopravní infrastruktury</w:t>
            </w:r>
          </w:p>
        </w:tc>
      </w:tr>
      <w:tr w:rsidR="00CB42B3" w:rsidRPr="00A566E0" w14:paraId="7E73C2CE" w14:textId="77777777" w:rsidTr="00A566E0">
        <w:tc>
          <w:tcPr>
            <w:tcW w:w="1952" w:type="dxa"/>
            <w:tcBorders>
              <w:bottom w:val="single" w:sz="12" w:space="0" w:color="auto"/>
            </w:tcBorders>
          </w:tcPr>
          <w:p w14:paraId="1BEEB79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74</w:t>
            </w:r>
          </w:p>
        </w:tc>
        <w:tc>
          <w:tcPr>
            <w:tcW w:w="1133" w:type="dxa"/>
            <w:tcBorders>
              <w:bottom w:val="single" w:sz="12" w:space="0" w:color="auto"/>
            </w:tcBorders>
          </w:tcPr>
          <w:p w14:paraId="3006B6D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0,017</w:t>
            </w:r>
          </w:p>
        </w:tc>
        <w:tc>
          <w:tcPr>
            <w:tcW w:w="2978" w:type="dxa"/>
            <w:tcBorders>
              <w:bottom w:val="single" w:sz="12" w:space="0" w:color="auto"/>
            </w:tcBorders>
          </w:tcPr>
          <w:p w14:paraId="0CA1F1F0"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Borders>
              <w:bottom w:val="single" w:sz="12" w:space="0" w:color="auto"/>
            </w:tcBorders>
          </w:tcPr>
          <w:p w14:paraId="3BCB39C3" w14:textId="77777777" w:rsidR="00CB42B3" w:rsidRPr="00A566E0" w:rsidRDefault="00CB42B3" w:rsidP="00A566E0">
            <w:pPr>
              <w:pStyle w:val="1text"/>
              <w:spacing w:before="40" w:after="40"/>
              <w:jc w:val="left"/>
              <w:rPr>
                <w:sz w:val="20"/>
                <w:szCs w:val="20"/>
                <w:highlight w:val="green"/>
              </w:rPr>
            </w:pPr>
          </w:p>
        </w:tc>
      </w:tr>
      <w:tr w:rsidR="00CB42B3" w:rsidRPr="00A566E0" w14:paraId="287C94B1" w14:textId="77777777" w:rsidTr="00417584">
        <w:tc>
          <w:tcPr>
            <w:tcW w:w="1952" w:type="dxa"/>
            <w:tcBorders>
              <w:top w:val="single" w:sz="12" w:space="0" w:color="auto"/>
              <w:left w:val="single" w:sz="12" w:space="0" w:color="auto"/>
            </w:tcBorders>
            <w:shd w:val="clear" w:color="auto" w:fill="F2F2F2" w:themeFill="background1" w:themeFillShade="F2"/>
          </w:tcPr>
          <w:p w14:paraId="3A05584A"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sz w:val="20"/>
                <w:szCs w:val="20"/>
                <w:lang w:eastAsia="cs-CZ"/>
              </w:rPr>
              <w:t>CELKEM K.U. LOUČNÁ</w:t>
            </w:r>
          </w:p>
        </w:tc>
        <w:tc>
          <w:tcPr>
            <w:tcW w:w="7229" w:type="dxa"/>
            <w:gridSpan w:val="3"/>
            <w:tcBorders>
              <w:top w:val="single" w:sz="12" w:space="0" w:color="auto"/>
              <w:right w:val="single" w:sz="12" w:space="0" w:color="auto"/>
            </w:tcBorders>
            <w:shd w:val="clear" w:color="auto" w:fill="F2F2F2" w:themeFill="background1" w:themeFillShade="F2"/>
          </w:tcPr>
          <w:p w14:paraId="7A18E7AB" w14:textId="77777777" w:rsidR="00CB42B3" w:rsidRPr="00A566E0" w:rsidRDefault="00CB42B3" w:rsidP="00A566E0">
            <w:pPr>
              <w:pStyle w:val="1text"/>
              <w:spacing w:before="40" w:after="40"/>
              <w:jc w:val="left"/>
              <w:rPr>
                <w:b/>
                <w:sz w:val="20"/>
                <w:szCs w:val="20"/>
                <w:highlight w:val="green"/>
              </w:rPr>
            </w:pPr>
            <w:r w:rsidRPr="00A566E0">
              <w:rPr>
                <w:rFonts w:eastAsia="Times New Roman"/>
                <w:b/>
                <w:color w:val="000000"/>
                <w:sz w:val="20"/>
                <w:szCs w:val="20"/>
                <w:lang w:eastAsia="cs-CZ"/>
              </w:rPr>
              <w:t>7,013</w:t>
            </w:r>
          </w:p>
        </w:tc>
      </w:tr>
      <w:tr w:rsidR="00CB42B3" w:rsidRPr="00A566E0" w14:paraId="62799BA8" w14:textId="77777777" w:rsidTr="00FA2029">
        <w:tc>
          <w:tcPr>
            <w:tcW w:w="1952" w:type="dxa"/>
            <w:vMerge w:val="restart"/>
            <w:tcBorders>
              <w:left w:val="single" w:sz="12" w:space="0" w:color="auto"/>
            </w:tcBorders>
          </w:tcPr>
          <w:p w14:paraId="4E6110A8"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z toho:</w:t>
            </w:r>
          </w:p>
        </w:tc>
        <w:tc>
          <w:tcPr>
            <w:tcW w:w="1133" w:type="dxa"/>
            <w:shd w:val="clear" w:color="auto" w:fill="auto"/>
          </w:tcPr>
          <w:p w14:paraId="7CC8EC5F" w14:textId="57E08CCA" w:rsidR="00CB42B3" w:rsidRPr="00D85284" w:rsidRDefault="00CB42B3" w:rsidP="00D85284">
            <w:pPr>
              <w:pStyle w:val="1text"/>
              <w:spacing w:before="40" w:after="40"/>
              <w:jc w:val="left"/>
              <w:rPr>
                <w:rFonts w:eastAsia="Times New Roman"/>
                <w:b/>
                <w:color w:val="000000"/>
                <w:sz w:val="20"/>
                <w:szCs w:val="20"/>
                <w:lang w:eastAsia="cs-CZ"/>
              </w:rPr>
            </w:pPr>
            <w:r w:rsidRPr="00D85284">
              <w:rPr>
                <w:rFonts w:eastAsia="Times New Roman"/>
                <w:b/>
                <w:color w:val="000000"/>
                <w:sz w:val="20"/>
                <w:szCs w:val="20"/>
                <w:lang w:eastAsia="cs-CZ"/>
              </w:rPr>
              <w:t>0,</w:t>
            </w:r>
            <w:r w:rsidR="00D85284" w:rsidRPr="00D85284">
              <w:rPr>
                <w:rFonts w:eastAsia="Times New Roman"/>
                <w:b/>
                <w:color w:val="000000"/>
                <w:sz w:val="20"/>
                <w:szCs w:val="20"/>
                <w:lang w:eastAsia="cs-CZ"/>
              </w:rPr>
              <w:t xml:space="preserve">779 </w:t>
            </w:r>
            <w:r w:rsidRPr="00D85284">
              <w:rPr>
                <w:rFonts w:eastAsia="Times New Roman"/>
                <w:b/>
                <w:color w:val="000000"/>
                <w:sz w:val="20"/>
                <w:szCs w:val="20"/>
                <w:lang w:eastAsia="cs-CZ"/>
              </w:rPr>
              <w:t>ha</w:t>
            </w:r>
          </w:p>
        </w:tc>
        <w:tc>
          <w:tcPr>
            <w:tcW w:w="6096" w:type="dxa"/>
            <w:gridSpan w:val="2"/>
            <w:tcBorders>
              <w:right w:val="single" w:sz="12" w:space="0" w:color="auto"/>
            </w:tcBorders>
          </w:tcPr>
          <w:p w14:paraId="4320F591" w14:textId="77777777" w:rsidR="00CB42B3" w:rsidRPr="00A566E0" w:rsidRDefault="00CB42B3" w:rsidP="00A566E0">
            <w:pPr>
              <w:pStyle w:val="1text"/>
              <w:spacing w:before="40" w:after="40"/>
              <w:jc w:val="left"/>
              <w:rPr>
                <w:sz w:val="20"/>
                <w:szCs w:val="20"/>
              </w:rPr>
            </w:pPr>
            <w:r w:rsidRPr="00A566E0">
              <w:rPr>
                <w:b/>
                <w:sz w:val="20"/>
                <w:szCs w:val="20"/>
              </w:rPr>
              <w:t>záborů ZPF převzato</w:t>
            </w:r>
          </w:p>
        </w:tc>
      </w:tr>
      <w:tr w:rsidR="00CB42B3" w:rsidRPr="00A566E0" w14:paraId="62C75797" w14:textId="77777777" w:rsidTr="00FA2029">
        <w:tc>
          <w:tcPr>
            <w:tcW w:w="1952" w:type="dxa"/>
            <w:vMerge/>
            <w:tcBorders>
              <w:left w:val="single" w:sz="12" w:space="0" w:color="auto"/>
            </w:tcBorders>
          </w:tcPr>
          <w:p w14:paraId="6E557005" w14:textId="77777777" w:rsidR="00CB42B3" w:rsidRPr="00A566E0" w:rsidRDefault="00CB42B3" w:rsidP="00A566E0">
            <w:pPr>
              <w:pStyle w:val="1text"/>
              <w:spacing w:before="40" w:after="40"/>
              <w:jc w:val="left"/>
              <w:rPr>
                <w:rFonts w:eastAsia="Times New Roman"/>
                <w:b/>
                <w:sz w:val="20"/>
                <w:szCs w:val="20"/>
                <w:lang w:eastAsia="cs-CZ"/>
              </w:rPr>
            </w:pPr>
          </w:p>
        </w:tc>
        <w:tc>
          <w:tcPr>
            <w:tcW w:w="1133" w:type="dxa"/>
            <w:shd w:val="clear" w:color="auto" w:fill="auto"/>
          </w:tcPr>
          <w:p w14:paraId="5EB7508C" w14:textId="5C861179" w:rsidR="00CB42B3" w:rsidRPr="00D85284" w:rsidRDefault="00CB42B3" w:rsidP="00D85284">
            <w:pPr>
              <w:pStyle w:val="1text"/>
              <w:spacing w:before="40" w:after="40"/>
              <w:jc w:val="left"/>
              <w:rPr>
                <w:rFonts w:eastAsia="Times New Roman"/>
                <w:b/>
                <w:color w:val="000000"/>
                <w:sz w:val="20"/>
                <w:szCs w:val="20"/>
                <w:lang w:eastAsia="cs-CZ"/>
              </w:rPr>
            </w:pPr>
            <w:r w:rsidRPr="00D85284">
              <w:rPr>
                <w:rFonts w:eastAsia="Times New Roman"/>
                <w:b/>
                <w:color w:val="000000"/>
                <w:sz w:val="20"/>
                <w:szCs w:val="20"/>
                <w:lang w:eastAsia="cs-CZ"/>
              </w:rPr>
              <w:t>4,</w:t>
            </w:r>
            <w:r w:rsidR="00D85284" w:rsidRPr="00D85284">
              <w:rPr>
                <w:rFonts w:eastAsia="Times New Roman"/>
                <w:b/>
                <w:color w:val="000000"/>
                <w:sz w:val="20"/>
                <w:szCs w:val="20"/>
                <w:lang w:eastAsia="cs-CZ"/>
              </w:rPr>
              <w:t xml:space="preserve">582 </w:t>
            </w:r>
            <w:r w:rsidRPr="00D85284">
              <w:rPr>
                <w:rFonts w:eastAsia="Times New Roman"/>
                <w:b/>
                <w:color w:val="000000"/>
                <w:sz w:val="20"/>
                <w:szCs w:val="20"/>
                <w:lang w:eastAsia="cs-CZ"/>
              </w:rPr>
              <w:t>ha</w:t>
            </w:r>
          </w:p>
        </w:tc>
        <w:tc>
          <w:tcPr>
            <w:tcW w:w="6096" w:type="dxa"/>
            <w:gridSpan w:val="2"/>
            <w:tcBorders>
              <w:right w:val="single" w:sz="12" w:space="0" w:color="auto"/>
            </w:tcBorders>
          </w:tcPr>
          <w:p w14:paraId="3999F7E1" w14:textId="77777777" w:rsidR="00CB42B3" w:rsidRPr="00A566E0" w:rsidRDefault="00CB42B3" w:rsidP="00A566E0">
            <w:pPr>
              <w:pStyle w:val="1text"/>
              <w:spacing w:before="40" w:after="40"/>
              <w:jc w:val="left"/>
              <w:rPr>
                <w:sz w:val="20"/>
                <w:szCs w:val="20"/>
              </w:rPr>
            </w:pPr>
            <w:r w:rsidRPr="00A566E0">
              <w:rPr>
                <w:b/>
                <w:sz w:val="20"/>
                <w:szCs w:val="20"/>
              </w:rPr>
              <w:t>záborů ZPF vymezeno jako stabilizovaná plocha</w:t>
            </w:r>
          </w:p>
        </w:tc>
      </w:tr>
      <w:tr w:rsidR="00CB42B3" w:rsidRPr="00A566E0" w14:paraId="7FB50AC4" w14:textId="77777777" w:rsidTr="00A566E0">
        <w:tc>
          <w:tcPr>
            <w:tcW w:w="1952" w:type="dxa"/>
            <w:vMerge/>
            <w:tcBorders>
              <w:left w:val="single" w:sz="12" w:space="0" w:color="auto"/>
              <w:bottom w:val="single" w:sz="12" w:space="0" w:color="auto"/>
            </w:tcBorders>
          </w:tcPr>
          <w:p w14:paraId="1478286E" w14:textId="77777777" w:rsidR="00CB42B3" w:rsidRPr="00A566E0" w:rsidRDefault="00CB42B3" w:rsidP="00A566E0">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auto"/>
          </w:tcPr>
          <w:p w14:paraId="60B3BF01"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1,652 ha</w:t>
            </w:r>
          </w:p>
        </w:tc>
        <w:tc>
          <w:tcPr>
            <w:tcW w:w="6096" w:type="dxa"/>
            <w:gridSpan w:val="2"/>
            <w:tcBorders>
              <w:bottom w:val="single" w:sz="12" w:space="0" w:color="auto"/>
              <w:right w:val="single" w:sz="12" w:space="0" w:color="auto"/>
            </w:tcBorders>
          </w:tcPr>
          <w:p w14:paraId="6AB3684C" w14:textId="77777777" w:rsidR="00CB42B3" w:rsidRPr="00A566E0" w:rsidRDefault="00CB42B3" w:rsidP="00A566E0">
            <w:pPr>
              <w:pStyle w:val="1text"/>
              <w:spacing w:before="40" w:after="40"/>
              <w:jc w:val="left"/>
              <w:rPr>
                <w:sz w:val="20"/>
                <w:szCs w:val="20"/>
              </w:rPr>
            </w:pPr>
            <w:r w:rsidRPr="00A566E0">
              <w:rPr>
                <w:b/>
                <w:sz w:val="20"/>
                <w:szCs w:val="20"/>
              </w:rPr>
              <w:t>záborů ZPF vypuštěno</w:t>
            </w:r>
          </w:p>
        </w:tc>
      </w:tr>
      <w:tr w:rsidR="00CB42B3" w:rsidRPr="00A566E0" w14:paraId="2550197B" w14:textId="77777777" w:rsidTr="00A566E0">
        <w:tc>
          <w:tcPr>
            <w:tcW w:w="9181" w:type="dxa"/>
            <w:gridSpan w:val="4"/>
            <w:tcBorders>
              <w:top w:val="single" w:sz="12" w:space="0" w:color="auto"/>
            </w:tcBorders>
            <w:shd w:val="clear" w:color="auto" w:fill="D9D9D9" w:themeFill="background1" w:themeFillShade="D9"/>
          </w:tcPr>
          <w:p w14:paraId="5F6AF544" w14:textId="77777777" w:rsidR="00CB42B3" w:rsidRPr="00A566E0" w:rsidRDefault="00CB42B3" w:rsidP="00A566E0">
            <w:pPr>
              <w:pStyle w:val="1text"/>
              <w:spacing w:before="40" w:after="40"/>
              <w:jc w:val="left"/>
              <w:rPr>
                <w:b/>
                <w:sz w:val="20"/>
                <w:szCs w:val="20"/>
              </w:rPr>
            </w:pPr>
            <w:r w:rsidRPr="00A566E0">
              <w:rPr>
                <w:b/>
                <w:sz w:val="20"/>
                <w:szCs w:val="20"/>
              </w:rPr>
              <w:t>K.Ú. OLDŘICHOV NA HRANICÍCH</w:t>
            </w:r>
          </w:p>
        </w:tc>
      </w:tr>
      <w:tr w:rsidR="00CB42B3" w:rsidRPr="00A566E0" w14:paraId="2D112BAD" w14:textId="77777777" w:rsidTr="00A566E0">
        <w:tc>
          <w:tcPr>
            <w:tcW w:w="9181" w:type="dxa"/>
            <w:gridSpan w:val="4"/>
          </w:tcPr>
          <w:p w14:paraId="0CEE4D1E" w14:textId="77777777" w:rsidR="00CB42B3" w:rsidRPr="00A566E0" w:rsidRDefault="00CB42B3" w:rsidP="00A566E0">
            <w:pPr>
              <w:pStyle w:val="1text"/>
              <w:spacing w:before="40" w:after="40"/>
              <w:jc w:val="left"/>
              <w:rPr>
                <w:sz w:val="20"/>
                <w:szCs w:val="20"/>
              </w:rPr>
            </w:pPr>
            <w:r w:rsidRPr="00A566E0">
              <w:rPr>
                <w:sz w:val="20"/>
                <w:szCs w:val="20"/>
              </w:rPr>
              <w:t>Plochy smíšené obytné</w:t>
            </w:r>
          </w:p>
        </w:tc>
      </w:tr>
      <w:tr w:rsidR="00CB42B3" w:rsidRPr="00A566E0" w14:paraId="2EF4A895" w14:textId="77777777" w:rsidTr="00A566E0">
        <w:tc>
          <w:tcPr>
            <w:tcW w:w="1952" w:type="dxa"/>
          </w:tcPr>
          <w:p w14:paraId="06C55309"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173</w:t>
            </w:r>
          </w:p>
        </w:tc>
        <w:tc>
          <w:tcPr>
            <w:tcW w:w="1133" w:type="dxa"/>
          </w:tcPr>
          <w:p w14:paraId="5B0F22CF"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0,389</w:t>
            </w:r>
          </w:p>
        </w:tc>
        <w:tc>
          <w:tcPr>
            <w:tcW w:w="2978" w:type="dxa"/>
          </w:tcPr>
          <w:p w14:paraId="6EB75549" w14:textId="77777777" w:rsidR="00CB42B3" w:rsidRPr="00A566E0" w:rsidRDefault="00CB42B3" w:rsidP="00A566E0">
            <w:pPr>
              <w:spacing w:before="40" w:after="40" w:line="240" w:lineRule="auto"/>
              <w:jc w:val="left"/>
              <w:rPr>
                <w:b/>
                <w:sz w:val="20"/>
                <w:szCs w:val="20"/>
              </w:rPr>
            </w:pPr>
            <w:r w:rsidRPr="00A566E0">
              <w:rPr>
                <w:b/>
                <w:sz w:val="20"/>
                <w:szCs w:val="20"/>
              </w:rPr>
              <w:t xml:space="preserve">převzato do ÚP </w:t>
            </w:r>
          </w:p>
        </w:tc>
        <w:tc>
          <w:tcPr>
            <w:tcW w:w="3118" w:type="dxa"/>
          </w:tcPr>
          <w:p w14:paraId="0A4FB58D" w14:textId="77777777" w:rsidR="00CB42B3" w:rsidRPr="00A566E0" w:rsidRDefault="00CB42B3" w:rsidP="00A566E0">
            <w:pPr>
              <w:pStyle w:val="1text"/>
              <w:spacing w:before="40" w:after="40"/>
              <w:jc w:val="left"/>
              <w:rPr>
                <w:b/>
                <w:sz w:val="20"/>
                <w:szCs w:val="20"/>
              </w:rPr>
            </w:pPr>
            <w:r w:rsidRPr="00A566E0">
              <w:rPr>
                <w:b/>
                <w:sz w:val="20"/>
                <w:szCs w:val="20"/>
              </w:rPr>
              <w:t>plocha Z38</w:t>
            </w:r>
          </w:p>
        </w:tc>
      </w:tr>
      <w:tr w:rsidR="00CB42B3" w:rsidRPr="00A566E0" w14:paraId="59545D09" w14:textId="77777777" w:rsidTr="00A566E0">
        <w:tc>
          <w:tcPr>
            <w:tcW w:w="1952" w:type="dxa"/>
          </w:tcPr>
          <w:p w14:paraId="7AF4251B"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174</w:t>
            </w:r>
          </w:p>
        </w:tc>
        <w:tc>
          <w:tcPr>
            <w:tcW w:w="1133" w:type="dxa"/>
          </w:tcPr>
          <w:p w14:paraId="034079DE"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0,205</w:t>
            </w:r>
          </w:p>
        </w:tc>
        <w:tc>
          <w:tcPr>
            <w:tcW w:w="2978" w:type="dxa"/>
          </w:tcPr>
          <w:p w14:paraId="5B8FF344" w14:textId="77777777" w:rsidR="00CB42B3" w:rsidRPr="00A566E0" w:rsidRDefault="00CB42B3" w:rsidP="00A566E0">
            <w:pPr>
              <w:spacing w:before="40" w:after="40" w:line="240" w:lineRule="auto"/>
              <w:jc w:val="left"/>
              <w:rPr>
                <w:sz w:val="20"/>
                <w:szCs w:val="20"/>
              </w:rPr>
            </w:pPr>
            <w:r w:rsidRPr="00A566E0">
              <w:rPr>
                <w:sz w:val="20"/>
                <w:szCs w:val="20"/>
              </w:rPr>
              <w:t>záměr vypuštěn, v malé části vymezeno jako stabilizovaná plocha</w:t>
            </w:r>
          </w:p>
        </w:tc>
        <w:tc>
          <w:tcPr>
            <w:tcW w:w="3118" w:type="dxa"/>
          </w:tcPr>
          <w:p w14:paraId="3C746BB2" w14:textId="77777777" w:rsidR="00CB42B3" w:rsidRPr="00A566E0" w:rsidRDefault="00CB42B3" w:rsidP="00A566E0">
            <w:pPr>
              <w:pStyle w:val="1text"/>
              <w:spacing w:before="40" w:after="40"/>
              <w:jc w:val="left"/>
              <w:rPr>
                <w:sz w:val="20"/>
                <w:szCs w:val="20"/>
              </w:rPr>
            </w:pPr>
            <w:r w:rsidRPr="00A566E0">
              <w:rPr>
                <w:sz w:val="20"/>
                <w:szCs w:val="20"/>
              </w:rPr>
              <w:t>dle §58 a §2, odst. 1c stavebního zákona</w:t>
            </w:r>
          </w:p>
        </w:tc>
      </w:tr>
      <w:tr w:rsidR="00CB42B3" w:rsidRPr="00A566E0" w14:paraId="54932100" w14:textId="77777777" w:rsidTr="00A566E0">
        <w:tc>
          <w:tcPr>
            <w:tcW w:w="1952" w:type="dxa"/>
          </w:tcPr>
          <w:p w14:paraId="14820627"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175</w:t>
            </w:r>
          </w:p>
        </w:tc>
        <w:tc>
          <w:tcPr>
            <w:tcW w:w="1133" w:type="dxa"/>
          </w:tcPr>
          <w:p w14:paraId="5B32BE8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0,257</w:t>
            </w:r>
          </w:p>
        </w:tc>
        <w:tc>
          <w:tcPr>
            <w:tcW w:w="2978" w:type="dxa"/>
          </w:tcPr>
          <w:p w14:paraId="44C39835"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1EB30352" w14:textId="77777777" w:rsidR="00CB42B3" w:rsidRPr="00A566E0" w:rsidRDefault="00CB42B3" w:rsidP="00A566E0">
            <w:pPr>
              <w:pStyle w:val="1text"/>
              <w:spacing w:before="40" w:after="40"/>
              <w:jc w:val="left"/>
              <w:rPr>
                <w:sz w:val="20"/>
                <w:szCs w:val="20"/>
                <w:highlight w:val="green"/>
              </w:rPr>
            </w:pPr>
            <w:r w:rsidRPr="00A566E0">
              <w:rPr>
                <w:sz w:val="20"/>
                <w:szCs w:val="20"/>
              </w:rPr>
              <w:t>zastavěno</w:t>
            </w:r>
          </w:p>
        </w:tc>
      </w:tr>
      <w:tr w:rsidR="00CB42B3" w:rsidRPr="00A566E0" w14:paraId="4A8821AB" w14:textId="77777777" w:rsidTr="00A566E0">
        <w:tc>
          <w:tcPr>
            <w:tcW w:w="1952" w:type="dxa"/>
          </w:tcPr>
          <w:p w14:paraId="2B65F06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176</w:t>
            </w:r>
          </w:p>
        </w:tc>
        <w:tc>
          <w:tcPr>
            <w:tcW w:w="1133" w:type="dxa"/>
          </w:tcPr>
          <w:p w14:paraId="00C3FBAE"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0,276</w:t>
            </w:r>
          </w:p>
        </w:tc>
        <w:tc>
          <w:tcPr>
            <w:tcW w:w="2978" w:type="dxa"/>
          </w:tcPr>
          <w:p w14:paraId="799B0365"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4ADE3AF2"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2B96C445" w14:textId="77777777" w:rsidTr="00A566E0">
        <w:tc>
          <w:tcPr>
            <w:tcW w:w="1952" w:type="dxa"/>
          </w:tcPr>
          <w:p w14:paraId="63806919"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177</w:t>
            </w:r>
          </w:p>
        </w:tc>
        <w:tc>
          <w:tcPr>
            <w:tcW w:w="1133" w:type="dxa"/>
          </w:tcPr>
          <w:p w14:paraId="504CC4F7"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0,193</w:t>
            </w:r>
          </w:p>
        </w:tc>
        <w:tc>
          <w:tcPr>
            <w:tcW w:w="2978" w:type="dxa"/>
          </w:tcPr>
          <w:p w14:paraId="2C2D0C40"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573BC8E4"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3BB5B6D8" w14:textId="77777777" w:rsidTr="00A566E0">
        <w:tc>
          <w:tcPr>
            <w:tcW w:w="1952" w:type="dxa"/>
          </w:tcPr>
          <w:p w14:paraId="51F4650E"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178</w:t>
            </w:r>
          </w:p>
        </w:tc>
        <w:tc>
          <w:tcPr>
            <w:tcW w:w="1133" w:type="dxa"/>
          </w:tcPr>
          <w:p w14:paraId="27D5A9B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0,241</w:t>
            </w:r>
          </w:p>
        </w:tc>
        <w:tc>
          <w:tcPr>
            <w:tcW w:w="2978" w:type="dxa"/>
          </w:tcPr>
          <w:p w14:paraId="4ADBE2D0"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0991489"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48ADD5C7" w14:textId="77777777" w:rsidTr="00A566E0">
        <w:tc>
          <w:tcPr>
            <w:tcW w:w="1952" w:type="dxa"/>
          </w:tcPr>
          <w:p w14:paraId="453445AC"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Z12.08</w:t>
            </w:r>
          </w:p>
        </w:tc>
        <w:tc>
          <w:tcPr>
            <w:tcW w:w="1133" w:type="dxa"/>
          </w:tcPr>
          <w:p w14:paraId="0161C316"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0,211</w:t>
            </w:r>
          </w:p>
        </w:tc>
        <w:tc>
          <w:tcPr>
            <w:tcW w:w="2978" w:type="dxa"/>
          </w:tcPr>
          <w:p w14:paraId="1E85D02D"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0E901622"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22A005C0" w14:textId="77777777" w:rsidTr="00A566E0">
        <w:tc>
          <w:tcPr>
            <w:tcW w:w="1952" w:type="dxa"/>
          </w:tcPr>
          <w:p w14:paraId="4FEF170F"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Z17.3a</w:t>
            </w:r>
          </w:p>
        </w:tc>
        <w:tc>
          <w:tcPr>
            <w:tcW w:w="1133" w:type="dxa"/>
          </w:tcPr>
          <w:p w14:paraId="225481DA"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0,065</w:t>
            </w:r>
          </w:p>
        </w:tc>
        <w:tc>
          <w:tcPr>
            <w:tcW w:w="2978" w:type="dxa"/>
          </w:tcPr>
          <w:p w14:paraId="1F065526"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50FD5B2F"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2F8B4394" w14:textId="77777777" w:rsidTr="00A566E0">
        <w:tc>
          <w:tcPr>
            <w:tcW w:w="9181" w:type="dxa"/>
            <w:gridSpan w:val="4"/>
          </w:tcPr>
          <w:p w14:paraId="70094AE6" w14:textId="77777777" w:rsidR="00CB42B3" w:rsidRPr="00A566E0" w:rsidRDefault="00CB42B3" w:rsidP="00A566E0">
            <w:pPr>
              <w:pStyle w:val="1text"/>
              <w:spacing w:before="40" w:after="40"/>
              <w:jc w:val="left"/>
              <w:rPr>
                <w:sz w:val="20"/>
                <w:szCs w:val="20"/>
              </w:rPr>
            </w:pPr>
            <w:r w:rsidRPr="00A566E0">
              <w:rPr>
                <w:sz w:val="20"/>
                <w:szCs w:val="20"/>
              </w:rPr>
              <w:t>Plochy výroby</w:t>
            </w:r>
          </w:p>
        </w:tc>
      </w:tr>
      <w:tr w:rsidR="00CB42B3" w:rsidRPr="00A566E0" w14:paraId="4B8800AB" w14:textId="77777777" w:rsidTr="00A566E0">
        <w:tc>
          <w:tcPr>
            <w:tcW w:w="1952" w:type="dxa"/>
          </w:tcPr>
          <w:p w14:paraId="0CAC5F82"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171</w:t>
            </w:r>
          </w:p>
        </w:tc>
        <w:tc>
          <w:tcPr>
            <w:tcW w:w="1133" w:type="dxa"/>
          </w:tcPr>
          <w:p w14:paraId="4BD8B06E"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5,125</w:t>
            </w:r>
          </w:p>
        </w:tc>
        <w:tc>
          <w:tcPr>
            <w:tcW w:w="2978" w:type="dxa"/>
          </w:tcPr>
          <w:p w14:paraId="52F53A43" w14:textId="77777777" w:rsidR="00CB42B3" w:rsidRPr="00A566E0" w:rsidRDefault="00CB42B3" w:rsidP="00A566E0">
            <w:pPr>
              <w:spacing w:before="40" w:after="40" w:line="240" w:lineRule="auto"/>
              <w:jc w:val="left"/>
              <w:rPr>
                <w:b/>
                <w:sz w:val="20"/>
                <w:szCs w:val="20"/>
              </w:rPr>
            </w:pPr>
            <w:r w:rsidRPr="00A566E0">
              <w:rPr>
                <w:b/>
                <w:sz w:val="20"/>
                <w:szCs w:val="20"/>
              </w:rPr>
              <w:t xml:space="preserve">převzato do ÚP </w:t>
            </w:r>
          </w:p>
        </w:tc>
        <w:tc>
          <w:tcPr>
            <w:tcW w:w="3118" w:type="dxa"/>
          </w:tcPr>
          <w:p w14:paraId="24C8EF10" w14:textId="77777777" w:rsidR="00CB42B3" w:rsidRPr="00A566E0" w:rsidRDefault="00CB42B3" w:rsidP="00A566E0">
            <w:pPr>
              <w:pStyle w:val="1text"/>
              <w:spacing w:before="40" w:after="40"/>
              <w:jc w:val="left"/>
              <w:rPr>
                <w:b/>
                <w:sz w:val="20"/>
                <w:szCs w:val="20"/>
              </w:rPr>
            </w:pPr>
            <w:r w:rsidRPr="00A566E0">
              <w:rPr>
                <w:b/>
                <w:sz w:val="20"/>
                <w:szCs w:val="20"/>
              </w:rPr>
              <w:t>plocha Z37</w:t>
            </w:r>
          </w:p>
        </w:tc>
      </w:tr>
      <w:tr w:rsidR="00CB42B3" w:rsidRPr="00A566E0" w14:paraId="6CAB2410" w14:textId="77777777" w:rsidTr="00A566E0">
        <w:tc>
          <w:tcPr>
            <w:tcW w:w="1952" w:type="dxa"/>
          </w:tcPr>
          <w:p w14:paraId="3B8E816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Z2/2</w:t>
            </w:r>
          </w:p>
        </w:tc>
        <w:tc>
          <w:tcPr>
            <w:tcW w:w="1133" w:type="dxa"/>
          </w:tcPr>
          <w:p w14:paraId="6506373C"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8,037</w:t>
            </w:r>
          </w:p>
        </w:tc>
        <w:tc>
          <w:tcPr>
            <w:tcW w:w="2978" w:type="dxa"/>
          </w:tcPr>
          <w:p w14:paraId="3A81E033" w14:textId="77777777" w:rsidR="00CB42B3" w:rsidRPr="00A566E0" w:rsidRDefault="00CB42B3" w:rsidP="00A566E0">
            <w:pPr>
              <w:spacing w:before="40" w:after="40" w:line="240" w:lineRule="auto"/>
              <w:jc w:val="left"/>
              <w:rPr>
                <w:sz w:val="20"/>
                <w:szCs w:val="20"/>
              </w:rPr>
            </w:pPr>
            <w:r w:rsidRPr="00A566E0">
              <w:rPr>
                <w:sz w:val="20"/>
                <w:szCs w:val="20"/>
              </w:rPr>
              <w:t>záměr vypuštěn</w:t>
            </w:r>
          </w:p>
        </w:tc>
        <w:tc>
          <w:tcPr>
            <w:tcW w:w="3118" w:type="dxa"/>
          </w:tcPr>
          <w:p w14:paraId="2382D17B" w14:textId="77777777" w:rsidR="00CB42B3" w:rsidRPr="00A566E0" w:rsidRDefault="00CB42B3" w:rsidP="00A566E0">
            <w:pPr>
              <w:pStyle w:val="1text"/>
              <w:spacing w:before="40" w:after="40"/>
              <w:jc w:val="left"/>
              <w:rPr>
                <w:sz w:val="20"/>
                <w:szCs w:val="20"/>
              </w:rPr>
            </w:pPr>
          </w:p>
        </w:tc>
      </w:tr>
      <w:tr w:rsidR="00CB42B3" w:rsidRPr="00A566E0" w14:paraId="26BEBEF4" w14:textId="77777777" w:rsidTr="00A566E0">
        <w:tc>
          <w:tcPr>
            <w:tcW w:w="1952" w:type="dxa"/>
          </w:tcPr>
          <w:p w14:paraId="7C93657B"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Z15.9</w:t>
            </w:r>
          </w:p>
        </w:tc>
        <w:tc>
          <w:tcPr>
            <w:tcW w:w="1133" w:type="dxa"/>
          </w:tcPr>
          <w:p w14:paraId="3DA920A3"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0,430</w:t>
            </w:r>
          </w:p>
        </w:tc>
        <w:tc>
          <w:tcPr>
            <w:tcW w:w="2978" w:type="dxa"/>
          </w:tcPr>
          <w:p w14:paraId="1C55D7EC" w14:textId="77777777" w:rsidR="00CB42B3" w:rsidRPr="00A566E0" w:rsidRDefault="00CB42B3" w:rsidP="00A566E0">
            <w:pPr>
              <w:spacing w:before="40" w:after="40" w:line="240" w:lineRule="auto"/>
              <w:jc w:val="left"/>
              <w:rPr>
                <w:b/>
                <w:sz w:val="20"/>
                <w:szCs w:val="20"/>
              </w:rPr>
            </w:pPr>
            <w:r w:rsidRPr="00A566E0">
              <w:rPr>
                <w:b/>
                <w:sz w:val="20"/>
                <w:szCs w:val="20"/>
              </w:rPr>
              <w:t xml:space="preserve">převzato do ÚP </w:t>
            </w:r>
          </w:p>
        </w:tc>
        <w:tc>
          <w:tcPr>
            <w:tcW w:w="3118" w:type="dxa"/>
          </w:tcPr>
          <w:p w14:paraId="24492FE2" w14:textId="77777777" w:rsidR="00CB42B3" w:rsidRPr="00A566E0" w:rsidRDefault="00CB42B3" w:rsidP="00A566E0">
            <w:pPr>
              <w:pStyle w:val="1text"/>
              <w:spacing w:before="40" w:after="40"/>
              <w:jc w:val="left"/>
              <w:rPr>
                <w:b/>
                <w:sz w:val="20"/>
                <w:szCs w:val="20"/>
              </w:rPr>
            </w:pPr>
            <w:r w:rsidRPr="00A566E0">
              <w:rPr>
                <w:b/>
                <w:sz w:val="20"/>
                <w:szCs w:val="20"/>
              </w:rPr>
              <w:t>plocha Z37</w:t>
            </w:r>
          </w:p>
        </w:tc>
      </w:tr>
      <w:tr w:rsidR="00CB42B3" w:rsidRPr="00A566E0" w14:paraId="5042A297" w14:textId="77777777" w:rsidTr="00A566E0">
        <w:tc>
          <w:tcPr>
            <w:tcW w:w="9181" w:type="dxa"/>
            <w:gridSpan w:val="4"/>
          </w:tcPr>
          <w:p w14:paraId="7EB065E9" w14:textId="77777777" w:rsidR="00CB42B3" w:rsidRPr="00A566E0" w:rsidRDefault="00CB42B3" w:rsidP="00A566E0">
            <w:pPr>
              <w:pStyle w:val="1text"/>
              <w:spacing w:before="40" w:after="40"/>
              <w:jc w:val="left"/>
              <w:rPr>
                <w:sz w:val="20"/>
                <w:szCs w:val="20"/>
              </w:rPr>
            </w:pPr>
            <w:r w:rsidRPr="00A566E0">
              <w:rPr>
                <w:sz w:val="20"/>
                <w:szCs w:val="20"/>
              </w:rPr>
              <w:t>Plochy dopravní infrastruktury</w:t>
            </w:r>
          </w:p>
        </w:tc>
      </w:tr>
      <w:tr w:rsidR="00CB42B3" w:rsidRPr="00A566E0" w14:paraId="168BF5DA" w14:textId="77777777" w:rsidTr="00A566E0">
        <w:tc>
          <w:tcPr>
            <w:tcW w:w="1952" w:type="dxa"/>
          </w:tcPr>
          <w:p w14:paraId="276459F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170</w:t>
            </w:r>
          </w:p>
        </w:tc>
        <w:tc>
          <w:tcPr>
            <w:tcW w:w="1133" w:type="dxa"/>
          </w:tcPr>
          <w:p w14:paraId="4FDB3948"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3,310</w:t>
            </w:r>
          </w:p>
        </w:tc>
        <w:tc>
          <w:tcPr>
            <w:tcW w:w="2978" w:type="dxa"/>
          </w:tcPr>
          <w:p w14:paraId="28316AFB"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0AE1E146"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09967872" w14:textId="77777777" w:rsidTr="00A566E0">
        <w:tc>
          <w:tcPr>
            <w:tcW w:w="9181" w:type="dxa"/>
            <w:gridSpan w:val="4"/>
          </w:tcPr>
          <w:p w14:paraId="1263613F" w14:textId="77777777" w:rsidR="00CB42B3" w:rsidRPr="00A566E0" w:rsidRDefault="00CB42B3" w:rsidP="00A566E0">
            <w:pPr>
              <w:pStyle w:val="1text"/>
              <w:spacing w:before="40" w:after="40"/>
              <w:jc w:val="left"/>
              <w:rPr>
                <w:sz w:val="20"/>
                <w:szCs w:val="20"/>
              </w:rPr>
            </w:pPr>
            <w:r w:rsidRPr="00A566E0">
              <w:rPr>
                <w:sz w:val="20"/>
                <w:szCs w:val="20"/>
              </w:rPr>
              <w:t>Plochy zeleně</w:t>
            </w:r>
          </w:p>
        </w:tc>
      </w:tr>
      <w:tr w:rsidR="00CB42B3" w:rsidRPr="00A566E0" w14:paraId="00994D2E" w14:textId="77777777" w:rsidTr="00A566E0">
        <w:tc>
          <w:tcPr>
            <w:tcW w:w="1952" w:type="dxa"/>
            <w:tcBorders>
              <w:bottom w:val="single" w:sz="12" w:space="0" w:color="auto"/>
            </w:tcBorders>
          </w:tcPr>
          <w:p w14:paraId="6C97569F"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Z17.3b</w:t>
            </w:r>
          </w:p>
        </w:tc>
        <w:tc>
          <w:tcPr>
            <w:tcW w:w="1133" w:type="dxa"/>
            <w:tcBorders>
              <w:bottom w:val="single" w:sz="12" w:space="0" w:color="auto"/>
            </w:tcBorders>
          </w:tcPr>
          <w:p w14:paraId="04E30E39"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0,080</w:t>
            </w:r>
          </w:p>
        </w:tc>
        <w:tc>
          <w:tcPr>
            <w:tcW w:w="2978" w:type="dxa"/>
            <w:tcBorders>
              <w:bottom w:val="single" w:sz="12" w:space="0" w:color="auto"/>
            </w:tcBorders>
          </w:tcPr>
          <w:p w14:paraId="15A548F2"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Borders>
              <w:bottom w:val="single" w:sz="12" w:space="0" w:color="auto"/>
            </w:tcBorders>
          </w:tcPr>
          <w:p w14:paraId="00EC3426"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0DFD59B3" w14:textId="77777777" w:rsidTr="00A566E0">
        <w:tc>
          <w:tcPr>
            <w:tcW w:w="1952" w:type="dxa"/>
            <w:tcBorders>
              <w:top w:val="single" w:sz="12" w:space="0" w:color="auto"/>
              <w:left w:val="single" w:sz="12" w:space="0" w:color="auto"/>
            </w:tcBorders>
            <w:shd w:val="clear" w:color="auto" w:fill="F2F2F2" w:themeFill="background1" w:themeFillShade="F2"/>
          </w:tcPr>
          <w:p w14:paraId="14329A1B"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sz w:val="20"/>
                <w:szCs w:val="20"/>
                <w:lang w:eastAsia="cs-CZ"/>
              </w:rPr>
              <w:lastRenderedPageBreak/>
              <w:t>CELKEM K.U. OLDŘICHOV NA HRANICÍCH</w:t>
            </w:r>
          </w:p>
        </w:tc>
        <w:tc>
          <w:tcPr>
            <w:tcW w:w="7229" w:type="dxa"/>
            <w:gridSpan w:val="3"/>
            <w:tcBorders>
              <w:top w:val="single" w:sz="12" w:space="0" w:color="auto"/>
              <w:right w:val="single" w:sz="12" w:space="0" w:color="auto"/>
            </w:tcBorders>
            <w:shd w:val="clear" w:color="auto" w:fill="F2F2F2" w:themeFill="background1" w:themeFillShade="F2"/>
          </w:tcPr>
          <w:p w14:paraId="744ECC37" w14:textId="77777777" w:rsidR="00CB42B3" w:rsidRPr="00A566E0" w:rsidRDefault="00CB42B3" w:rsidP="00A566E0">
            <w:pPr>
              <w:pStyle w:val="1text"/>
              <w:spacing w:before="40" w:after="40"/>
              <w:jc w:val="left"/>
              <w:rPr>
                <w:b/>
                <w:sz w:val="20"/>
                <w:szCs w:val="20"/>
              </w:rPr>
            </w:pPr>
            <w:r w:rsidRPr="00A566E0">
              <w:rPr>
                <w:rFonts w:eastAsia="Times New Roman"/>
                <w:b/>
                <w:color w:val="000000"/>
                <w:sz w:val="20"/>
                <w:szCs w:val="20"/>
                <w:lang w:eastAsia="cs-CZ"/>
              </w:rPr>
              <w:t>18,819</w:t>
            </w:r>
          </w:p>
        </w:tc>
      </w:tr>
      <w:tr w:rsidR="00CB42B3" w:rsidRPr="00A566E0" w14:paraId="5AB0D879" w14:textId="77777777" w:rsidTr="00A566E0">
        <w:tc>
          <w:tcPr>
            <w:tcW w:w="1952" w:type="dxa"/>
            <w:vMerge w:val="restart"/>
            <w:tcBorders>
              <w:left w:val="single" w:sz="12" w:space="0" w:color="auto"/>
            </w:tcBorders>
          </w:tcPr>
          <w:p w14:paraId="4B66DFB3"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z toho:</w:t>
            </w:r>
          </w:p>
        </w:tc>
        <w:tc>
          <w:tcPr>
            <w:tcW w:w="1133" w:type="dxa"/>
            <w:shd w:val="clear" w:color="auto" w:fill="auto"/>
          </w:tcPr>
          <w:p w14:paraId="44A0AE4B"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5,944 ha</w:t>
            </w:r>
          </w:p>
        </w:tc>
        <w:tc>
          <w:tcPr>
            <w:tcW w:w="6096" w:type="dxa"/>
            <w:gridSpan w:val="2"/>
            <w:tcBorders>
              <w:right w:val="single" w:sz="12" w:space="0" w:color="auto"/>
            </w:tcBorders>
          </w:tcPr>
          <w:p w14:paraId="634B4C09" w14:textId="77777777" w:rsidR="00CB42B3" w:rsidRPr="00A566E0" w:rsidRDefault="00CB42B3" w:rsidP="00A566E0">
            <w:pPr>
              <w:pStyle w:val="1text"/>
              <w:spacing w:before="40" w:after="40"/>
              <w:jc w:val="left"/>
              <w:rPr>
                <w:sz w:val="20"/>
                <w:szCs w:val="20"/>
              </w:rPr>
            </w:pPr>
            <w:r w:rsidRPr="00A566E0">
              <w:rPr>
                <w:b/>
                <w:sz w:val="20"/>
                <w:szCs w:val="20"/>
              </w:rPr>
              <w:t>záborů ZPF převzato</w:t>
            </w:r>
          </w:p>
        </w:tc>
      </w:tr>
      <w:tr w:rsidR="00CB42B3" w:rsidRPr="00A566E0" w14:paraId="1C0AD1C2" w14:textId="77777777" w:rsidTr="00A566E0">
        <w:tc>
          <w:tcPr>
            <w:tcW w:w="1952" w:type="dxa"/>
            <w:vMerge/>
            <w:tcBorders>
              <w:left w:val="single" w:sz="12" w:space="0" w:color="auto"/>
            </w:tcBorders>
          </w:tcPr>
          <w:p w14:paraId="4D6D86AD" w14:textId="77777777" w:rsidR="00CB42B3" w:rsidRPr="00A566E0" w:rsidRDefault="00CB42B3" w:rsidP="00A566E0">
            <w:pPr>
              <w:pStyle w:val="1text"/>
              <w:spacing w:before="40" w:after="40"/>
              <w:jc w:val="left"/>
              <w:rPr>
                <w:rFonts w:eastAsia="Times New Roman"/>
                <w:color w:val="000000"/>
                <w:sz w:val="20"/>
                <w:szCs w:val="20"/>
                <w:lang w:eastAsia="cs-CZ"/>
              </w:rPr>
            </w:pPr>
          </w:p>
        </w:tc>
        <w:tc>
          <w:tcPr>
            <w:tcW w:w="1133" w:type="dxa"/>
            <w:shd w:val="clear" w:color="auto" w:fill="auto"/>
          </w:tcPr>
          <w:p w14:paraId="7DD48A30"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4,681 ha</w:t>
            </w:r>
          </w:p>
        </w:tc>
        <w:tc>
          <w:tcPr>
            <w:tcW w:w="6096" w:type="dxa"/>
            <w:gridSpan w:val="2"/>
            <w:tcBorders>
              <w:right w:val="single" w:sz="12" w:space="0" w:color="auto"/>
            </w:tcBorders>
          </w:tcPr>
          <w:p w14:paraId="5DC6507E" w14:textId="77777777" w:rsidR="00CB42B3" w:rsidRPr="00A566E0" w:rsidRDefault="00CB42B3" w:rsidP="00A566E0">
            <w:pPr>
              <w:pStyle w:val="1text"/>
              <w:spacing w:before="40" w:after="40"/>
              <w:jc w:val="left"/>
              <w:rPr>
                <w:sz w:val="20"/>
                <w:szCs w:val="20"/>
              </w:rPr>
            </w:pPr>
            <w:r w:rsidRPr="00A566E0">
              <w:rPr>
                <w:b/>
                <w:sz w:val="20"/>
                <w:szCs w:val="20"/>
              </w:rPr>
              <w:t>záborů ZPF vymezeno jako stabilizovaná plocha</w:t>
            </w:r>
          </w:p>
        </w:tc>
      </w:tr>
      <w:tr w:rsidR="00CB42B3" w:rsidRPr="00A566E0" w14:paraId="76B5B121" w14:textId="77777777" w:rsidTr="00A566E0">
        <w:tc>
          <w:tcPr>
            <w:tcW w:w="1952" w:type="dxa"/>
            <w:vMerge/>
            <w:tcBorders>
              <w:left w:val="single" w:sz="12" w:space="0" w:color="auto"/>
              <w:bottom w:val="single" w:sz="12" w:space="0" w:color="auto"/>
            </w:tcBorders>
          </w:tcPr>
          <w:p w14:paraId="661DCD1A" w14:textId="77777777" w:rsidR="00CB42B3" w:rsidRPr="00A566E0" w:rsidRDefault="00CB42B3" w:rsidP="00A566E0">
            <w:pPr>
              <w:pStyle w:val="1text"/>
              <w:spacing w:before="40" w:after="40"/>
              <w:jc w:val="left"/>
              <w:rPr>
                <w:rFonts w:eastAsia="Times New Roman"/>
                <w:color w:val="000000"/>
                <w:sz w:val="20"/>
                <w:szCs w:val="20"/>
                <w:lang w:eastAsia="cs-CZ"/>
              </w:rPr>
            </w:pPr>
          </w:p>
        </w:tc>
        <w:tc>
          <w:tcPr>
            <w:tcW w:w="1133" w:type="dxa"/>
            <w:tcBorders>
              <w:bottom w:val="single" w:sz="12" w:space="0" w:color="auto"/>
            </w:tcBorders>
            <w:shd w:val="clear" w:color="auto" w:fill="auto"/>
          </w:tcPr>
          <w:p w14:paraId="20523F2E"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8,194 ha</w:t>
            </w:r>
          </w:p>
        </w:tc>
        <w:tc>
          <w:tcPr>
            <w:tcW w:w="6096" w:type="dxa"/>
            <w:gridSpan w:val="2"/>
            <w:tcBorders>
              <w:bottom w:val="single" w:sz="12" w:space="0" w:color="auto"/>
              <w:right w:val="single" w:sz="12" w:space="0" w:color="auto"/>
            </w:tcBorders>
          </w:tcPr>
          <w:p w14:paraId="0E4E8E4C" w14:textId="77777777" w:rsidR="00CB42B3" w:rsidRPr="00A566E0" w:rsidRDefault="00CB42B3" w:rsidP="00A566E0">
            <w:pPr>
              <w:pStyle w:val="1text"/>
              <w:spacing w:before="40" w:after="40"/>
              <w:jc w:val="left"/>
              <w:rPr>
                <w:sz w:val="20"/>
                <w:szCs w:val="20"/>
              </w:rPr>
            </w:pPr>
            <w:r w:rsidRPr="00A566E0">
              <w:rPr>
                <w:b/>
                <w:sz w:val="20"/>
                <w:szCs w:val="20"/>
              </w:rPr>
              <w:t>záborů ZPF vypuštěno</w:t>
            </w:r>
          </w:p>
        </w:tc>
      </w:tr>
      <w:tr w:rsidR="00CB42B3" w:rsidRPr="00A566E0" w14:paraId="7F87073D" w14:textId="77777777" w:rsidTr="00A566E0">
        <w:tc>
          <w:tcPr>
            <w:tcW w:w="9181" w:type="dxa"/>
            <w:gridSpan w:val="4"/>
            <w:tcBorders>
              <w:top w:val="single" w:sz="12" w:space="0" w:color="auto"/>
            </w:tcBorders>
            <w:shd w:val="clear" w:color="auto" w:fill="D9D9D9" w:themeFill="background1" w:themeFillShade="D9"/>
          </w:tcPr>
          <w:p w14:paraId="33592FAE" w14:textId="77777777" w:rsidR="00CB42B3" w:rsidRPr="00A566E0" w:rsidRDefault="00CB42B3" w:rsidP="00A566E0">
            <w:pPr>
              <w:pStyle w:val="1text"/>
              <w:spacing w:before="40" w:after="40"/>
              <w:jc w:val="left"/>
              <w:rPr>
                <w:b/>
                <w:sz w:val="20"/>
                <w:szCs w:val="20"/>
              </w:rPr>
            </w:pPr>
            <w:r w:rsidRPr="00A566E0">
              <w:rPr>
                <w:b/>
                <w:sz w:val="20"/>
                <w:szCs w:val="20"/>
              </w:rPr>
              <w:t>K.Ú. VÁCLAVICE U HRÁDKU NAD NISOU</w:t>
            </w:r>
          </w:p>
        </w:tc>
      </w:tr>
      <w:tr w:rsidR="00CB42B3" w:rsidRPr="00A566E0" w14:paraId="46F7E5BC" w14:textId="77777777" w:rsidTr="00A566E0">
        <w:tc>
          <w:tcPr>
            <w:tcW w:w="9181" w:type="dxa"/>
            <w:gridSpan w:val="4"/>
          </w:tcPr>
          <w:p w14:paraId="7A2DB7FA" w14:textId="77777777" w:rsidR="00CB42B3" w:rsidRPr="00A566E0" w:rsidRDefault="00CB42B3" w:rsidP="00A566E0">
            <w:pPr>
              <w:pStyle w:val="1text"/>
              <w:spacing w:before="40" w:after="40"/>
              <w:jc w:val="left"/>
              <w:rPr>
                <w:sz w:val="20"/>
                <w:szCs w:val="20"/>
                <w:highlight w:val="green"/>
              </w:rPr>
            </w:pPr>
            <w:r w:rsidRPr="00A566E0">
              <w:rPr>
                <w:sz w:val="20"/>
                <w:szCs w:val="20"/>
              </w:rPr>
              <w:t>Plochy smíšené obytné</w:t>
            </w:r>
          </w:p>
        </w:tc>
      </w:tr>
      <w:tr w:rsidR="00CB42B3" w:rsidRPr="00A566E0" w14:paraId="51D56746" w14:textId="77777777" w:rsidTr="00A566E0">
        <w:tc>
          <w:tcPr>
            <w:tcW w:w="1952" w:type="dxa"/>
          </w:tcPr>
          <w:p w14:paraId="2F353723"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180</w:t>
            </w:r>
          </w:p>
        </w:tc>
        <w:tc>
          <w:tcPr>
            <w:tcW w:w="1133" w:type="dxa"/>
          </w:tcPr>
          <w:p w14:paraId="27910B63"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0,450</w:t>
            </w:r>
          </w:p>
        </w:tc>
        <w:tc>
          <w:tcPr>
            <w:tcW w:w="2978" w:type="dxa"/>
            <w:shd w:val="clear" w:color="auto" w:fill="auto"/>
          </w:tcPr>
          <w:p w14:paraId="026EAE5C" w14:textId="77777777" w:rsidR="00CB42B3" w:rsidRPr="00A566E0" w:rsidRDefault="00CB42B3" w:rsidP="00A566E0">
            <w:pPr>
              <w:spacing w:before="40" w:after="40" w:line="240" w:lineRule="auto"/>
              <w:jc w:val="left"/>
              <w:rPr>
                <w:sz w:val="20"/>
                <w:szCs w:val="20"/>
              </w:rPr>
            </w:pPr>
            <w:r w:rsidRPr="00A566E0">
              <w:rPr>
                <w:b/>
                <w:sz w:val="20"/>
                <w:szCs w:val="20"/>
              </w:rPr>
              <w:t>v rozsahu 0,380 ha převzato do ÚP</w:t>
            </w:r>
            <w:r w:rsidRPr="00A566E0">
              <w:rPr>
                <w:sz w:val="20"/>
                <w:szCs w:val="20"/>
              </w:rPr>
              <w:t>, část vymezena jako stabilizovaná plocha</w:t>
            </w:r>
          </w:p>
        </w:tc>
        <w:tc>
          <w:tcPr>
            <w:tcW w:w="3118" w:type="dxa"/>
          </w:tcPr>
          <w:p w14:paraId="6B23A748" w14:textId="77777777" w:rsidR="00CB42B3" w:rsidRPr="00A566E0" w:rsidRDefault="00CB42B3" w:rsidP="00A566E0">
            <w:pPr>
              <w:pStyle w:val="1text"/>
              <w:spacing w:before="40" w:after="40"/>
              <w:jc w:val="left"/>
              <w:rPr>
                <w:sz w:val="20"/>
                <w:szCs w:val="20"/>
              </w:rPr>
            </w:pPr>
            <w:r w:rsidRPr="00A566E0">
              <w:rPr>
                <w:b/>
                <w:sz w:val="20"/>
                <w:szCs w:val="20"/>
              </w:rPr>
              <w:t>plocha Z29</w:t>
            </w:r>
            <w:r w:rsidRPr="00A566E0">
              <w:rPr>
                <w:sz w:val="20"/>
                <w:szCs w:val="20"/>
              </w:rPr>
              <w:t>, část realizována, část dle §58 stavebního zákona (proluka)</w:t>
            </w:r>
          </w:p>
        </w:tc>
      </w:tr>
      <w:tr w:rsidR="00CB42B3" w:rsidRPr="00A566E0" w14:paraId="4DECC758" w14:textId="77777777" w:rsidTr="00A566E0">
        <w:tc>
          <w:tcPr>
            <w:tcW w:w="1952" w:type="dxa"/>
          </w:tcPr>
          <w:p w14:paraId="02E7CB6A"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181</w:t>
            </w:r>
          </w:p>
        </w:tc>
        <w:tc>
          <w:tcPr>
            <w:tcW w:w="1133" w:type="dxa"/>
          </w:tcPr>
          <w:p w14:paraId="117352F7"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0,465</w:t>
            </w:r>
          </w:p>
        </w:tc>
        <w:tc>
          <w:tcPr>
            <w:tcW w:w="2978" w:type="dxa"/>
          </w:tcPr>
          <w:p w14:paraId="10427CB7"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61B73EB0" w14:textId="77777777" w:rsidR="00CB42B3" w:rsidRPr="00A566E0" w:rsidRDefault="00CB42B3" w:rsidP="00A566E0">
            <w:pPr>
              <w:pStyle w:val="1text"/>
              <w:spacing w:before="40" w:after="40"/>
              <w:jc w:val="left"/>
              <w:rPr>
                <w:sz w:val="20"/>
                <w:szCs w:val="20"/>
                <w:highlight w:val="green"/>
              </w:rPr>
            </w:pPr>
            <w:r w:rsidRPr="00A566E0">
              <w:rPr>
                <w:sz w:val="20"/>
                <w:szCs w:val="20"/>
              </w:rPr>
              <w:t>část realizována, zbývající část dle §58 a §2, odst. 1c stavebního zákona</w:t>
            </w:r>
          </w:p>
        </w:tc>
      </w:tr>
      <w:tr w:rsidR="00CB42B3" w:rsidRPr="00A566E0" w14:paraId="4EFA09C9" w14:textId="77777777" w:rsidTr="00A566E0">
        <w:tc>
          <w:tcPr>
            <w:tcW w:w="1952" w:type="dxa"/>
          </w:tcPr>
          <w:p w14:paraId="0FA859E8"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182</w:t>
            </w:r>
          </w:p>
        </w:tc>
        <w:tc>
          <w:tcPr>
            <w:tcW w:w="1133" w:type="dxa"/>
          </w:tcPr>
          <w:p w14:paraId="488DD214"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0,181</w:t>
            </w:r>
          </w:p>
        </w:tc>
        <w:tc>
          <w:tcPr>
            <w:tcW w:w="2978" w:type="dxa"/>
          </w:tcPr>
          <w:p w14:paraId="03C116F8"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219AE96F" w14:textId="77777777" w:rsidR="00CB42B3" w:rsidRPr="00A566E0" w:rsidRDefault="00CB42B3" w:rsidP="00A566E0">
            <w:pPr>
              <w:pStyle w:val="1text"/>
              <w:spacing w:before="40" w:after="40"/>
              <w:jc w:val="left"/>
              <w:rPr>
                <w:sz w:val="20"/>
                <w:szCs w:val="20"/>
                <w:highlight w:val="green"/>
              </w:rPr>
            </w:pPr>
            <w:r w:rsidRPr="00A566E0">
              <w:rPr>
                <w:sz w:val="20"/>
                <w:szCs w:val="20"/>
              </w:rPr>
              <w:t>dle §58 stavebního zákona (proluka)</w:t>
            </w:r>
          </w:p>
        </w:tc>
      </w:tr>
      <w:tr w:rsidR="00CB42B3" w:rsidRPr="00A566E0" w14:paraId="2331F614" w14:textId="77777777" w:rsidTr="00A566E0">
        <w:tc>
          <w:tcPr>
            <w:tcW w:w="1952" w:type="dxa"/>
          </w:tcPr>
          <w:p w14:paraId="69564247"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191</w:t>
            </w:r>
          </w:p>
        </w:tc>
        <w:tc>
          <w:tcPr>
            <w:tcW w:w="1133" w:type="dxa"/>
          </w:tcPr>
          <w:p w14:paraId="2D398AF7"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0,428</w:t>
            </w:r>
          </w:p>
        </w:tc>
        <w:tc>
          <w:tcPr>
            <w:tcW w:w="2978" w:type="dxa"/>
          </w:tcPr>
          <w:p w14:paraId="1394F229" w14:textId="77777777" w:rsidR="00CB42B3" w:rsidRPr="00A566E0" w:rsidRDefault="00CB42B3" w:rsidP="00A566E0">
            <w:pPr>
              <w:spacing w:before="40" w:after="40" w:line="240" w:lineRule="auto"/>
              <w:jc w:val="left"/>
              <w:rPr>
                <w:b/>
                <w:sz w:val="20"/>
                <w:szCs w:val="20"/>
              </w:rPr>
            </w:pPr>
            <w:r w:rsidRPr="00A566E0">
              <w:rPr>
                <w:b/>
                <w:sz w:val="20"/>
                <w:szCs w:val="20"/>
              </w:rPr>
              <w:t xml:space="preserve">převzato do ÚP </w:t>
            </w:r>
          </w:p>
        </w:tc>
        <w:tc>
          <w:tcPr>
            <w:tcW w:w="3118" w:type="dxa"/>
          </w:tcPr>
          <w:p w14:paraId="541ACCDC" w14:textId="77777777" w:rsidR="00CB42B3" w:rsidRPr="00A566E0" w:rsidRDefault="00CB42B3" w:rsidP="00A566E0">
            <w:pPr>
              <w:pStyle w:val="1text"/>
              <w:spacing w:before="40" w:after="40"/>
              <w:jc w:val="left"/>
              <w:rPr>
                <w:b/>
                <w:sz w:val="20"/>
                <w:szCs w:val="20"/>
              </w:rPr>
            </w:pPr>
            <w:r w:rsidRPr="00A566E0">
              <w:rPr>
                <w:b/>
                <w:sz w:val="20"/>
                <w:szCs w:val="20"/>
              </w:rPr>
              <w:t>plocha Z28</w:t>
            </w:r>
          </w:p>
        </w:tc>
      </w:tr>
      <w:tr w:rsidR="00CB42B3" w:rsidRPr="00A566E0" w14:paraId="1F114926" w14:textId="77777777" w:rsidTr="00A566E0">
        <w:tc>
          <w:tcPr>
            <w:tcW w:w="1952" w:type="dxa"/>
          </w:tcPr>
          <w:p w14:paraId="4EBA3528"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192</w:t>
            </w:r>
          </w:p>
        </w:tc>
        <w:tc>
          <w:tcPr>
            <w:tcW w:w="1133" w:type="dxa"/>
          </w:tcPr>
          <w:p w14:paraId="58961BD7"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0,129</w:t>
            </w:r>
          </w:p>
        </w:tc>
        <w:tc>
          <w:tcPr>
            <w:tcW w:w="2978" w:type="dxa"/>
          </w:tcPr>
          <w:p w14:paraId="11B6FEEB" w14:textId="77777777" w:rsidR="00CB42B3" w:rsidRPr="00A566E0" w:rsidRDefault="00CB42B3" w:rsidP="00A566E0">
            <w:pPr>
              <w:spacing w:before="40" w:after="40" w:line="240" w:lineRule="auto"/>
              <w:jc w:val="left"/>
              <w:rPr>
                <w:b/>
                <w:sz w:val="20"/>
                <w:szCs w:val="20"/>
                <w:highlight w:val="green"/>
              </w:rPr>
            </w:pPr>
            <w:r w:rsidRPr="00A566E0">
              <w:rPr>
                <w:b/>
                <w:sz w:val="20"/>
                <w:szCs w:val="20"/>
              </w:rPr>
              <w:t xml:space="preserve">převzato do ÚP </w:t>
            </w:r>
          </w:p>
        </w:tc>
        <w:tc>
          <w:tcPr>
            <w:tcW w:w="3118" w:type="dxa"/>
          </w:tcPr>
          <w:p w14:paraId="345E41DB"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Z25</w:t>
            </w:r>
          </w:p>
        </w:tc>
      </w:tr>
      <w:tr w:rsidR="00CB42B3" w:rsidRPr="00A566E0" w14:paraId="2F1FEA64" w14:textId="77777777" w:rsidTr="00A566E0">
        <w:tc>
          <w:tcPr>
            <w:tcW w:w="1952" w:type="dxa"/>
          </w:tcPr>
          <w:p w14:paraId="7530016E"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201</w:t>
            </w:r>
          </w:p>
        </w:tc>
        <w:tc>
          <w:tcPr>
            <w:tcW w:w="1133" w:type="dxa"/>
          </w:tcPr>
          <w:p w14:paraId="4DB3D5DE"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1,023</w:t>
            </w:r>
          </w:p>
        </w:tc>
        <w:tc>
          <w:tcPr>
            <w:tcW w:w="2978" w:type="dxa"/>
          </w:tcPr>
          <w:p w14:paraId="072077B3" w14:textId="77777777" w:rsidR="00CB42B3" w:rsidRPr="00A566E0" w:rsidRDefault="00CB42B3" w:rsidP="00A566E0">
            <w:pPr>
              <w:spacing w:before="40" w:after="40" w:line="240" w:lineRule="auto"/>
              <w:jc w:val="left"/>
              <w:rPr>
                <w:sz w:val="20"/>
                <w:szCs w:val="20"/>
                <w:highlight w:val="green"/>
              </w:rPr>
            </w:pPr>
            <w:r w:rsidRPr="00A566E0">
              <w:rPr>
                <w:sz w:val="20"/>
                <w:szCs w:val="20"/>
              </w:rPr>
              <w:t>část vymezena jako stabilizovaná plocha, v části záměr vypuštěn</w:t>
            </w:r>
          </w:p>
        </w:tc>
        <w:tc>
          <w:tcPr>
            <w:tcW w:w="3118" w:type="dxa"/>
          </w:tcPr>
          <w:p w14:paraId="039CBD89" w14:textId="77777777" w:rsidR="00CB42B3" w:rsidRPr="00A566E0" w:rsidRDefault="00CB42B3" w:rsidP="00A566E0">
            <w:pPr>
              <w:pStyle w:val="1text"/>
              <w:spacing w:before="40" w:after="40"/>
              <w:jc w:val="left"/>
              <w:rPr>
                <w:sz w:val="20"/>
                <w:szCs w:val="20"/>
                <w:highlight w:val="green"/>
              </w:rPr>
            </w:pPr>
            <w:r w:rsidRPr="00A566E0">
              <w:rPr>
                <w:sz w:val="20"/>
                <w:szCs w:val="20"/>
              </w:rPr>
              <w:t>dle §58 a §2, odst. 1c stavebního zákona</w:t>
            </w:r>
          </w:p>
        </w:tc>
      </w:tr>
      <w:tr w:rsidR="00CB42B3" w:rsidRPr="00A566E0" w14:paraId="2A5A5F8D" w14:textId="77777777" w:rsidTr="00A566E0">
        <w:tc>
          <w:tcPr>
            <w:tcW w:w="1952" w:type="dxa"/>
          </w:tcPr>
          <w:p w14:paraId="766FCBF3"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202</w:t>
            </w:r>
          </w:p>
        </w:tc>
        <w:tc>
          <w:tcPr>
            <w:tcW w:w="1133" w:type="dxa"/>
          </w:tcPr>
          <w:p w14:paraId="39F03060"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1,468</w:t>
            </w:r>
          </w:p>
        </w:tc>
        <w:tc>
          <w:tcPr>
            <w:tcW w:w="2978" w:type="dxa"/>
            <w:shd w:val="clear" w:color="auto" w:fill="auto"/>
          </w:tcPr>
          <w:p w14:paraId="4E7C9988" w14:textId="77777777" w:rsidR="00CB42B3" w:rsidRPr="00A566E0" w:rsidRDefault="00CB42B3" w:rsidP="00A566E0">
            <w:pPr>
              <w:spacing w:before="40" w:after="40" w:line="240" w:lineRule="auto"/>
              <w:jc w:val="left"/>
              <w:rPr>
                <w:sz w:val="20"/>
                <w:szCs w:val="20"/>
              </w:rPr>
            </w:pPr>
            <w:r w:rsidRPr="00A566E0">
              <w:rPr>
                <w:b/>
                <w:sz w:val="20"/>
                <w:szCs w:val="20"/>
              </w:rPr>
              <w:t>v rozsahu 1,289 ha převzato do ÚP</w:t>
            </w:r>
            <w:r w:rsidRPr="00A566E0">
              <w:rPr>
                <w:sz w:val="20"/>
                <w:szCs w:val="20"/>
              </w:rPr>
              <w:t>, zbývající část vymezena jako stabilizovaná plocha</w:t>
            </w:r>
          </w:p>
        </w:tc>
        <w:tc>
          <w:tcPr>
            <w:tcW w:w="3118" w:type="dxa"/>
          </w:tcPr>
          <w:p w14:paraId="1D1ADB43" w14:textId="77777777" w:rsidR="00CB42B3" w:rsidRPr="00A566E0" w:rsidRDefault="00CB42B3" w:rsidP="00A566E0">
            <w:pPr>
              <w:pStyle w:val="1text"/>
              <w:spacing w:before="40" w:after="40"/>
              <w:jc w:val="left"/>
              <w:rPr>
                <w:sz w:val="20"/>
                <w:szCs w:val="20"/>
              </w:rPr>
            </w:pPr>
            <w:r w:rsidRPr="00A566E0">
              <w:rPr>
                <w:b/>
                <w:sz w:val="20"/>
                <w:szCs w:val="20"/>
              </w:rPr>
              <w:t>plochy Z23 a P02</w:t>
            </w:r>
            <w:r w:rsidRPr="00A566E0">
              <w:rPr>
                <w:sz w:val="20"/>
                <w:szCs w:val="20"/>
              </w:rPr>
              <w:t>, zbývající část dle §58 a §2, odst. 1c stavebního zákona</w:t>
            </w:r>
          </w:p>
        </w:tc>
      </w:tr>
      <w:tr w:rsidR="00CB42B3" w:rsidRPr="00A566E0" w14:paraId="5E49E51A" w14:textId="77777777" w:rsidTr="00A566E0">
        <w:tc>
          <w:tcPr>
            <w:tcW w:w="1952" w:type="dxa"/>
          </w:tcPr>
          <w:p w14:paraId="68105F4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203</w:t>
            </w:r>
          </w:p>
        </w:tc>
        <w:tc>
          <w:tcPr>
            <w:tcW w:w="1133" w:type="dxa"/>
          </w:tcPr>
          <w:p w14:paraId="572392A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0,137</w:t>
            </w:r>
          </w:p>
        </w:tc>
        <w:tc>
          <w:tcPr>
            <w:tcW w:w="2978" w:type="dxa"/>
          </w:tcPr>
          <w:p w14:paraId="0ABD5661"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1CA76E94" w14:textId="77777777" w:rsidR="00CB42B3" w:rsidRPr="00A566E0" w:rsidRDefault="00CB42B3" w:rsidP="00A566E0">
            <w:pPr>
              <w:pStyle w:val="1text"/>
              <w:spacing w:before="40" w:after="40"/>
              <w:jc w:val="left"/>
              <w:rPr>
                <w:sz w:val="20"/>
                <w:szCs w:val="20"/>
                <w:highlight w:val="green"/>
              </w:rPr>
            </w:pPr>
          </w:p>
        </w:tc>
      </w:tr>
      <w:tr w:rsidR="00CB42B3" w:rsidRPr="00A566E0" w14:paraId="3DD41B18" w14:textId="77777777" w:rsidTr="00A566E0">
        <w:tc>
          <w:tcPr>
            <w:tcW w:w="1952" w:type="dxa"/>
          </w:tcPr>
          <w:p w14:paraId="53E6FF45"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204</w:t>
            </w:r>
          </w:p>
        </w:tc>
        <w:tc>
          <w:tcPr>
            <w:tcW w:w="1133" w:type="dxa"/>
          </w:tcPr>
          <w:p w14:paraId="5FDBD85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0,188</w:t>
            </w:r>
          </w:p>
        </w:tc>
        <w:tc>
          <w:tcPr>
            <w:tcW w:w="2978" w:type="dxa"/>
          </w:tcPr>
          <w:p w14:paraId="1006D553"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1329D94" w14:textId="77777777" w:rsidR="00CB42B3" w:rsidRPr="00A566E0" w:rsidRDefault="00CB42B3" w:rsidP="00A566E0">
            <w:pPr>
              <w:pStyle w:val="1text"/>
              <w:spacing w:before="40" w:after="40"/>
              <w:jc w:val="left"/>
              <w:rPr>
                <w:sz w:val="20"/>
                <w:szCs w:val="20"/>
                <w:highlight w:val="green"/>
              </w:rPr>
            </w:pPr>
            <w:r w:rsidRPr="00A566E0">
              <w:rPr>
                <w:sz w:val="20"/>
                <w:szCs w:val="20"/>
              </w:rPr>
              <w:t>dle §58 stavebního zákona (proluka)</w:t>
            </w:r>
          </w:p>
        </w:tc>
      </w:tr>
      <w:tr w:rsidR="00CB42B3" w:rsidRPr="00A566E0" w14:paraId="19C896C6" w14:textId="77777777" w:rsidTr="00A566E0">
        <w:tc>
          <w:tcPr>
            <w:tcW w:w="1952" w:type="dxa"/>
          </w:tcPr>
          <w:p w14:paraId="0D2049F4"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Z15.4</w:t>
            </w:r>
          </w:p>
        </w:tc>
        <w:tc>
          <w:tcPr>
            <w:tcW w:w="1133" w:type="dxa"/>
          </w:tcPr>
          <w:p w14:paraId="2AC1CE2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0,051</w:t>
            </w:r>
          </w:p>
        </w:tc>
        <w:tc>
          <w:tcPr>
            <w:tcW w:w="2978" w:type="dxa"/>
          </w:tcPr>
          <w:p w14:paraId="680DECE7"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7946521A" w14:textId="77777777" w:rsidR="00CB42B3" w:rsidRPr="00A566E0" w:rsidRDefault="00CB42B3" w:rsidP="00A566E0">
            <w:pPr>
              <w:pStyle w:val="1text"/>
              <w:spacing w:before="40" w:after="40"/>
              <w:jc w:val="left"/>
              <w:rPr>
                <w:sz w:val="20"/>
                <w:szCs w:val="20"/>
                <w:highlight w:val="green"/>
              </w:rPr>
            </w:pPr>
            <w:r w:rsidRPr="00A566E0">
              <w:rPr>
                <w:sz w:val="20"/>
                <w:szCs w:val="20"/>
              </w:rPr>
              <w:t>zastavěno</w:t>
            </w:r>
          </w:p>
        </w:tc>
      </w:tr>
      <w:tr w:rsidR="00CB42B3" w:rsidRPr="00A566E0" w14:paraId="47FA8C1D" w14:textId="77777777" w:rsidTr="00A566E0">
        <w:tc>
          <w:tcPr>
            <w:tcW w:w="1952" w:type="dxa"/>
          </w:tcPr>
          <w:p w14:paraId="3F4CEFF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Z18.6b</w:t>
            </w:r>
          </w:p>
        </w:tc>
        <w:tc>
          <w:tcPr>
            <w:tcW w:w="1133" w:type="dxa"/>
          </w:tcPr>
          <w:p w14:paraId="059F906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0,060</w:t>
            </w:r>
          </w:p>
        </w:tc>
        <w:tc>
          <w:tcPr>
            <w:tcW w:w="2978" w:type="dxa"/>
          </w:tcPr>
          <w:p w14:paraId="5572C06A"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2E4C80EB" w14:textId="77777777" w:rsidR="00CB42B3" w:rsidRPr="00A566E0" w:rsidRDefault="00CB42B3" w:rsidP="00A566E0">
            <w:pPr>
              <w:pStyle w:val="1text"/>
              <w:spacing w:before="40" w:after="40"/>
              <w:jc w:val="left"/>
              <w:rPr>
                <w:sz w:val="20"/>
                <w:szCs w:val="20"/>
                <w:highlight w:val="green"/>
              </w:rPr>
            </w:pPr>
            <w:r w:rsidRPr="00A566E0">
              <w:rPr>
                <w:sz w:val="20"/>
                <w:szCs w:val="20"/>
              </w:rPr>
              <w:t>zastavěno</w:t>
            </w:r>
          </w:p>
        </w:tc>
      </w:tr>
      <w:tr w:rsidR="00CB42B3" w:rsidRPr="00A566E0" w14:paraId="1ECB901F" w14:textId="77777777" w:rsidTr="00A566E0">
        <w:tc>
          <w:tcPr>
            <w:tcW w:w="1952" w:type="dxa"/>
          </w:tcPr>
          <w:p w14:paraId="71DE1F1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Z18.7</w:t>
            </w:r>
          </w:p>
        </w:tc>
        <w:tc>
          <w:tcPr>
            <w:tcW w:w="1133" w:type="dxa"/>
          </w:tcPr>
          <w:p w14:paraId="715B4DB4"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0,015</w:t>
            </w:r>
          </w:p>
        </w:tc>
        <w:tc>
          <w:tcPr>
            <w:tcW w:w="2978" w:type="dxa"/>
          </w:tcPr>
          <w:p w14:paraId="56C0F3F1" w14:textId="77777777" w:rsidR="00CB42B3" w:rsidRPr="00A566E0" w:rsidRDefault="00CB42B3" w:rsidP="00A566E0">
            <w:pPr>
              <w:spacing w:before="40" w:after="40" w:line="240" w:lineRule="auto"/>
              <w:jc w:val="left"/>
              <w:rPr>
                <w:b/>
                <w:sz w:val="20"/>
                <w:szCs w:val="20"/>
                <w:highlight w:val="green"/>
              </w:rPr>
            </w:pPr>
            <w:r w:rsidRPr="00A566E0">
              <w:rPr>
                <w:b/>
                <w:sz w:val="20"/>
                <w:szCs w:val="20"/>
              </w:rPr>
              <w:t xml:space="preserve">převzato do ÚP </w:t>
            </w:r>
          </w:p>
        </w:tc>
        <w:tc>
          <w:tcPr>
            <w:tcW w:w="3118" w:type="dxa"/>
          </w:tcPr>
          <w:p w14:paraId="435B40A3" w14:textId="77777777" w:rsidR="00CB42B3" w:rsidRPr="00A566E0" w:rsidRDefault="00CB42B3" w:rsidP="00A566E0">
            <w:pPr>
              <w:pStyle w:val="1text"/>
              <w:spacing w:before="40" w:after="40"/>
              <w:jc w:val="left"/>
              <w:rPr>
                <w:b/>
                <w:sz w:val="20"/>
                <w:szCs w:val="20"/>
                <w:highlight w:val="green"/>
              </w:rPr>
            </w:pPr>
            <w:r w:rsidRPr="00A566E0">
              <w:rPr>
                <w:b/>
                <w:sz w:val="20"/>
                <w:szCs w:val="20"/>
              </w:rPr>
              <w:t>plocha P01</w:t>
            </w:r>
          </w:p>
        </w:tc>
      </w:tr>
      <w:tr w:rsidR="00CB42B3" w:rsidRPr="00A566E0" w14:paraId="6F10F9A2" w14:textId="77777777" w:rsidTr="00A566E0">
        <w:tc>
          <w:tcPr>
            <w:tcW w:w="9181" w:type="dxa"/>
            <w:gridSpan w:val="4"/>
          </w:tcPr>
          <w:p w14:paraId="0264C61D" w14:textId="77777777" w:rsidR="00CB42B3" w:rsidRPr="00A566E0" w:rsidRDefault="00CB42B3" w:rsidP="00A566E0">
            <w:pPr>
              <w:pStyle w:val="1text"/>
              <w:spacing w:before="40" w:after="40"/>
              <w:jc w:val="left"/>
              <w:rPr>
                <w:sz w:val="20"/>
                <w:szCs w:val="20"/>
              </w:rPr>
            </w:pPr>
            <w:r w:rsidRPr="00A566E0">
              <w:rPr>
                <w:sz w:val="20"/>
                <w:szCs w:val="20"/>
              </w:rPr>
              <w:t>Plochy občanského vybavení</w:t>
            </w:r>
          </w:p>
        </w:tc>
      </w:tr>
      <w:tr w:rsidR="00CB42B3" w:rsidRPr="00A566E0" w14:paraId="5182FE78" w14:textId="77777777" w:rsidTr="00A566E0">
        <w:tc>
          <w:tcPr>
            <w:tcW w:w="1952" w:type="dxa"/>
          </w:tcPr>
          <w:p w14:paraId="7945B768"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200</w:t>
            </w:r>
          </w:p>
        </w:tc>
        <w:tc>
          <w:tcPr>
            <w:tcW w:w="1133" w:type="dxa"/>
          </w:tcPr>
          <w:p w14:paraId="029A15C8"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0,111</w:t>
            </w:r>
          </w:p>
        </w:tc>
        <w:tc>
          <w:tcPr>
            <w:tcW w:w="2978" w:type="dxa"/>
          </w:tcPr>
          <w:p w14:paraId="6C425D04" w14:textId="77777777" w:rsidR="00CB42B3" w:rsidRPr="00A566E0" w:rsidRDefault="00CB42B3" w:rsidP="00A566E0">
            <w:pPr>
              <w:spacing w:before="40" w:after="40" w:line="240" w:lineRule="auto"/>
              <w:jc w:val="left"/>
              <w:rPr>
                <w:b/>
                <w:sz w:val="20"/>
                <w:szCs w:val="20"/>
              </w:rPr>
            </w:pPr>
            <w:r w:rsidRPr="00A566E0">
              <w:rPr>
                <w:b/>
                <w:sz w:val="20"/>
                <w:szCs w:val="20"/>
              </w:rPr>
              <w:t xml:space="preserve">převzato do ÚP </w:t>
            </w:r>
          </w:p>
        </w:tc>
        <w:tc>
          <w:tcPr>
            <w:tcW w:w="3118" w:type="dxa"/>
          </w:tcPr>
          <w:p w14:paraId="48F7479C" w14:textId="77777777" w:rsidR="00CB42B3" w:rsidRPr="00A566E0" w:rsidRDefault="00CB42B3" w:rsidP="00A566E0">
            <w:pPr>
              <w:pStyle w:val="1text"/>
              <w:spacing w:before="40" w:after="40"/>
              <w:jc w:val="left"/>
              <w:rPr>
                <w:b/>
                <w:sz w:val="20"/>
                <w:szCs w:val="20"/>
              </w:rPr>
            </w:pPr>
            <w:r w:rsidRPr="00A566E0">
              <w:rPr>
                <w:b/>
                <w:sz w:val="20"/>
                <w:szCs w:val="20"/>
              </w:rPr>
              <w:t>plochy P03, P04 a Z24</w:t>
            </w:r>
          </w:p>
        </w:tc>
      </w:tr>
      <w:tr w:rsidR="00CB42B3" w:rsidRPr="00A566E0" w14:paraId="3EA7B602" w14:textId="77777777" w:rsidTr="00A566E0">
        <w:tc>
          <w:tcPr>
            <w:tcW w:w="9181" w:type="dxa"/>
            <w:gridSpan w:val="4"/>
          </w:tcPr>
          <w:p w14:paraId="2969106C" w14:textId="77777777" w:rsidR="00CB42B3" w:rsidRPr="00A566E0" w:rsidRDefault="00CB42B3" w:rsidP="00A566E0">
            <w:pPr>
              <w:pStyle w:val="1text"/>
              <w:spacing w:before="40" w:after="40"/>
              <w:jc w:val="left"/>
              <w:rPr>
                <w:sz w:val="20"/>
                <w:szCs w:val="20"/>
              </w:rPr>
            </w:pPr>
            <w:r w:rsidRPr="00A566E0">
              <w:rPr>
                <w:sz w:val="20"/>
                <w:szCs w:val="20"/>
              </w:rPr>
              <w:t>Plochy výroby</w:t>
            </w:r>
          </w:p>
        </w:tc>
      </w:tr>
      <w:tr w:rsidR="00CB42B3" w:rsidRPr="00A566E0" w14:paraId="25218F75" w14:textId="77777777" w:rsidTr="00A566E0">
        <w:tc>
          <w:tcPr>
            <w:tcW w:w="1952" w:type="dxa"/>
          </w:tcPr>
          <w:p w14:paraId="42FE3C19"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193</w:t>
            </w:r>
          </w:p>
        </w:tc>
        <w:tc>
          <w:tcPr>
            <w:tcW w:w="1133" w:type="dxa"/>
            <w:shd w:val="clear" w:color="auto" w:fill="auto"/>
          </w:tcPr>
          <w:p w14:paraId="2E546EF6"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1,001</w:t>
            </w:r>
          </w:p>
        </w:tc>
        <w:tc>
          <w:tcPr>
            <w:tcW w:w="2978" w:type="dxa"/>
            <w:shd w:val="clear" w:color="auto" w:fill="auto"/>
          </w:tcPr>
          <w:p w14:paraId="7831B213" w14:textId="77777777" w:rsidR="00CB42B3" w:rsidRPr="00A566E0" w:rsidRDefault="00CB42B3" w:rsidP="00A566E0">
            <w:pPr>
              <w:spacing w:before="40" w:after="40" w:line="240" w:lineRule="auto"/>
              <w:jc w:val="left"/>
              <w:rPr>
                <w:sz w:val="20"/>
                <w:szCs w:val="20"/>
              </w:rPr>
            </w:pPr>
            <w:r w:rsidRPr="00A566E0">
              <w:rPr>
                <w:b/>
                <w:sz w:val="20"/>
                <w:szCs w:val="20"/>
              </w:rPr>
              <w:t>v rozsahu 0,864 ha převzato do ÚP</w:t>
            </w:r>
            <w:r w:rsidRPr="00A566E0">
              <w:rPr>
                <w:sz w:val="20"/>
                <w:szCs w:val="20"/>
              </w:rPr>
              <w:t>, zbývající část vymezena jako stabilizovaná plocha</w:t>
            </w:r>
          </w:p>
        </w:tc>
        <w:tc>
          <w:tcPr>
            <w:tcW w:w="3118" w:type="dxa"/>
          </w:tcPr>
          <w:p w14:paraId="25897386" w14:textId="77777777" w:rsidR="00CB42B3" w:rsidRPr="00A566E0" w:rsidRDefault="00CB42B3" w:rsidP="00A566E0">
            <w:pPr>
              <w:pStyle w:val="1text"/>
              <w:spacing w:before="40" w:after="40"/>
              <w:jc w:val="left"/>
              <w:rPr>
                <w:sz w:val="20"/>
                <w:szCs w:val="20"/>
              </w:rPr>
            </w:pPr>
            <w:r w:rsidRPr="00A566E0">
              <w:rPr>
                <w:b/>
                <w:sz w:val="20"/>
                <w:szCs w:val="20"/>
              </w:rPr>
              <w:t>plocha Z101</w:t>
            </w:r>
            <w:r w:rsidRPr="00A566E0">
              <w:rPr>
                <w:sz w:val="20"/>
                <w:szCs w:val="20"/>
              </w:rPr>
              <w:t>, část přičleněna pod společné oplocení (§58 a §2, odst. 1c stavebního zákona)</w:t>
            </w:r>
          </w:p>
        </w:tc>
      </w:tr>
      <w:tr w:rsidR="00CB42B3" w:rsidRPr="00A566E0" w14:paraId="7957E8A9" w14:textId="77777777" w:rsidTr="00A566E0">
        <w:tc>
          <w:tcPr>
            <w:tcW w:w="1952" w:type="dxa"/>
          </w:tcPr>
          <w:p w14:paraId="138942B0"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Z2/1</w:t>
            </w:r>
          </w:p>
        </w:tc>
        <w:tc>
          <w:tcPr>
            <w:tcW w:w="1133" w:type="dxa"/>
          </w:tcPr>
          <w:p w14:paraId="13D022D9"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5,255</w:t>
            </w:r>
          </w:p>
        </w:tc>
        <w:tc>
          <w:tcPr>
            <w:tcW w:w="2978" w:type="dxa"/>
          </w:tcPr>
          <w:p w14:paraId="32D58832"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 zčásti záměr vypuštěn</w:t>
            </w:r>
          </w:p>
        </w:tc>
        <w:tc>
          <w:tcPr>
            <w:tcW w:w="3118" w:type="dxa"/>
          </w:tcPr>
          <w:p w14:paraId="44D6A3D5" w14:textId="77777777" w:rsidR="00CB42B3" w:rsidRPr="00A566E0" w:rsidRDefault="00CB42B3" w:rsidP="00A566E0">
            <w:pPr>
              <w:pStyle w:val="1text"/>
              <w:spacing w:before="40" w:after="40"/>
              <w:jc w:val="left"/>
              <w:rPr>
                <w:sz w:val="20"/>
                <w:szCs w:val="20"/>
              </w:rPr>
            </w:pPr>
            <w:r w:rsidRPr="00A566E0">
              <w:rPr>
                <w:sz w:val="20"/>
                <w:szCs w:val="20"/>
              </w:rPr>
              <w:t>zčásti realizováno</w:t>
            </w:r>
          </w:p>
        </w:tc>
      </w:tr>
      <w:tr w:rsidR="00CB42B3" w:rsidRPr="00A566E0" w14:paraId="2A23AE79" w14:textId="77777777" w:rsidTr="00A566E0">
        <w:tc>
          <w:tcPr>
            <w:tcW w:w="1952" w:type="dxa"/>
          </w:tcPr>
          <w:p w14:paraId="3C8583C5"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Z18.9</w:t>
            </w:r>
          </w:p>
        </w:tc>
        <w:tc>
          <w:tcPr>
            <w:tcW w:w="1133" w:type="dxa"/>
          </w:tcPr>
          <w:p w14:paraId="691CF774"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2,561</w:t>
            </w:r>
          </w:p>
        </w:tc>
        <w:tc>
          <w:tcPr>
            <w:tcW w:w="2978" w:type="dxa"/>
          </w:tcPr>
          <w:p w14:paraId="174E03A5" w14:textId="77777777" w:rsidR="00CB42B3" w:rsidRPr="00A566E0" w:rsidRDefault="00CB42B3" w:rsidP="00A566E0">
            <w:pPr>
              <w:spacing w:before="40" w:after="40" w:line="240" w:lineRule="auto"/>
              <w:jc w:val="left"/>
              <w:rPr>
                <w:b/>
                <w:sz w:val="20"/>
                <w:szCs w:val="20"/>
              </w:rPr>
            </w:pPr>
            <w:r w:rsidRPr="00A566E0">
              <w:rPr>
                <w:b/>
                <w:sz w:val="20"/>
                <w:szCs w:val="20"/>
              </w:rPr>
              <w:t xml:space="preserve">převzato do ÚP </w:t>
            </w:r>
          </w:p>
        </w:tc>
        <w:tc>
          <w:tcPr>
            <w:tcW w:w="3118" w:type="dxa"/>
          </w:tcPr>
          <w:p w14:paraId="26EE9700" w14:textId="77777777" w:rsidR="00CB42B3" w:rsidRPr="00A566E0" w:rsidRDefault="00CB42B3" w:rsidP="00A566E0">
            <w:pPr>
              <w:pStyle w:val="1text"/>
              <w:spacing w:before="40" w:after="40"/>
              <w:jc w:val="left"/>
              <w:rPr>
                <w:b/>
                <w:sz w:val="20"/>
                <w:szCs w:val="20"/>
              </w:rPr>
            </w:pPr>
            <w:r w:rsidRPr="00A566E0">
              <w:rPr>
                <w:b/>
                <w:sz w:val="20"/>
                <w:szCs w:val="20"/>
              </w:rPr>
              <w:t xml:space="preserve">plocha Z101 </w:t>
            </w:r>
          </w:p>
        </w:tc>
      </w:tr>
      <w:tr w:rsidR="00CB42B3" w:rsidRPr="00A566E0" w14:paraId="4A681BFA" w14:textId="77777777" w:rsidTr="00A566E0">
        <w:tc>
          <w:tcPr>
            <w:tcW w:w="9181" w:type="dxa"/>
            <w:gridSpan w:val="4"/>
          </w:tcPr>
          <w:p w14:paraId="35E918C5" w14:textId="77777777" w:rsidR="00CB42B3" w:rsidRPr="00A566E0" w:rsidRDefault="00CB42B3" w:rsidP="00A566E0">
            <w:pPr>
              <w:pStyle w:val="1text"/>
              <w:spacing w:before="40" w:after="40"/>
              <w:jc w:val="left"/>
              <w:rPr>
                <w:sz w:val="20"/>
                <w:szCs w:val="20"/>
              </w:rPr>
            </w:pPr>
            <w:r w:rsidRPr="00A566E0">
              <w:rPr>
                <w:sz w:val="20"/>
                <w:szCs w:val="20"/>
              </w:rPr>
              <w:t>Plochy dopravní infrastruktury</w:t>
            </w:r>
          </w:p>
        </w:tc>
      </w:tr>
      <w:tr w:rsidR="00CB42B3" w:rsidRPr="00A566E0" w14:paraId="41F7F194" w14:textId="77777777" w:rsidTr="00A566E0">
        <w:tc>
          <w:tcPr>
            <w:tcW w:w="1952" w:type="dxa"/>
          </w:tcPr>
          <w:p w14:paraId="17061A91"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190</w:t>
            </w:r>
          </w:p>
        </w:tc>
        <w:tc>
          <w:tcPr>
            <w:tcW w:w="1133" w:type="dxa"/>
          </w:tcPr>
          <w:p w14:paraId="6035F0DC"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29,173</w:t>
            </w:r>
          </w:p>
        </w:tc>
        <w:tc>
          <w:tcPr>
            <w:tcW w:w="2978" w:type="dxa"/>
          </w:tcPr>
          <w:p w14:paraId="10660D01" w14:textId="77777777" w:rsidR="00CB42B3" w:rsidRPr="00A566E0" w:rsidRDefault="00CB42B3" w:rsidP="00A566E0">
            <w:pPr>
              <w:spacing w:before="40" w:after="40" w:line="240" w:lineRule="auto"/>
              <w:jc w:val="left"/>
              <w:rPr>
                <w:sz w:val="20"/>
                <w:szCs w:val="20"/>
                <w:highlight w:val="green"/>
              </w:rPr>
            </w:pPr>
            <w:r w:rsidRPr="00A566E0">
              <w:rPr>
                <w:sz w:val="20"/>
                <w:szCs w:val="20"/>
              </w:rPr>
              <w:t>záměr vypuštěn</w:t>
            </w:r>
          </w:p>
        </w:tc>
        <w:tc>
          <w:tcPr>
            <w:tcW w:w="3118" w:type="dxa"/>
          </w:tcPr>
          <w:p w14:paraId="360D941D" w14:textId="77777777" w:rsidR="00CB42B3" w:rsidRPr="00A566E0" w:rsidRDefault="00CB42B3" w:rsidP="00A566E0">
            <w:pPr>
              <w:pStyle w:val="1text"/>
              <w:spacing w:before="40" w:after="40"/>
              <w:jc w:val="left"/>
              <w:rPr>
                <w:sz w:val="20"/>
                <w:szCs w:val="20"/>
                <w:highlight w:val="green"/>
              </w:rPr>
            </w:pPr>
          </w:p>
        </w:tc>
      </w:tr>
      <w:tr w:rsidR="00CB42B3" w:rsidRPr="00A566E0" w14:paraId="4488D1DE" w14:textId="77777777" w:rsidTr="00A566E0">
        <w:tc>
          <w:tcPr>
            <w:tcW w:w="1952" w:type="dxa"/>
          </w:tcPr>
          <w:p w14:paraId="5FFB9AD2"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194</w:t>
            </w:r>
          </w:p>
        </w:tc>
        <w:tc>
          <w:tcPr>
            <w:tcW w:w="1133" w:type="dxa"/>
          </w:tcPr>
          <w:p w14:paraId="526F653F"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0,071</w:t>
            </w:r>
          </w:p>
        </w:tc>
        <w:tc>
          <w:tcPr>
            <w:tcW w:w="2978" w:type="dxa"/>
          </w:tcPr>
          <w:p w14:paraId="168BFE80"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13AF3B76"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665E37D1" w14:textId="77777777" w:rsidTr="00A566E0">
        <w:tc>
          <w:tcPr>
            <w:tcW w:w="1952" w:type="dxa"/>
          </w:tcPr>
          <w:p w14:paraId="4FE80DBC"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205</w:t>
            </w:r>
          </w:p>
        </w:tc>
        <w:tc>
          <w:tcPr>
            <w:tcW w:w="1133" w:type="dxa"/>
          </w:tcPr>
          <w:p w14:paraId="1463C835"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6,986</w:t>
            </w:r>
          </w:p>
        </w:tc>
        <w:tc>
          <w:tcPr>
            <w:tcW w:w="2978" w:type="dxa"/>
          </w:tcPr>
          <w:p w14:paraId="530443BD" w14:textId="77777777" w:rsidR="00CB42B3" w:rsidRPr="00A566E0" w:rsidRDefault="00CB42B3" w:rsidP="00A566E0">
            <w:pPr>
              <w:spacing w:before="40" w:after="40" w:line="240" w:lineRule="auto"/>
              <w:jc w:val="left"/>
              <w:rPr>
                <w:sz w:val="20"/>
                <w:szCs w:val="20"/>
                <w:highlight w:val="green"/>
              </w:rPr>
            </w:pPr>
            <w:r w:rsidRPr="00A566E0">
              <w:rPr>
                <w:sz w:val="20"/>
                <w:szCs w:val="20"/>
              </w:rPr>
              <w:t>vymezeno jako stabilizovaná plocha</w:t>
            </w:r>
          </w:p>
        </w:tc>
        <w:tc>
          <w:tcPr>
            <w:tcW w:w="3118" w:type="dxa"/>
          </w:tcPr>
          <w:p w14:paraId="65A7831F" w14:textId="77777777" w:rsidR="00CB42B3" w:rsidRPr="00A566E0" w:rsidRDefault="00CB42B3" w:rsidP="00A566E0">
            <w:pPr>
              <w:pStyle w:val="1text"/>
              <w:spacing w:before="40" w:after="40"/>
              <w:jc w:val="left"/>
              <w:rPr>
                <w:sz w:val="20"/>
                <w:szCs w:val="20"/>
                <w:highlight w:val="green"/>
              </w:rPr>
            </w:pPr>
            <w:r w:rsidRPr="00A566E0">
              <w:rPr>
                <w:sz w:val="20"/>
                <w:szCs w:val="20"/>
              </w:rPr>
              <w:t>realizováno</w:t>
            </w:r>
          </w:p>
        </w:tc>
      </w:tr>
      <w:tr w:rsidR="00CB42B3" w:rsidRPr="00A566E0" w14:paraId="03313C17" w14:textId="77777777" w:rsidTr="00A566E0">
        <w:tc>
          <w:tcPr>
            <w:tcW w:w="9181" w:type="dxa"/>
            <w:gridSpan w:val="4"/>
          </w:tcPr>
          <w:p w14:paraId="47903AEC" w14:textId="77777777" w:rsidR="00CB42B3" w:rsidRPr="00A566E0" w:rsidRDefault="00CB42B3" w:rsidP="00A566E0">
            <w:pPr>
              <w:pStyle w:val="1text"/>
              <w:spacing w:before="40" w:after="40"/>
              <w:jc w:val="left"/>
              <w:rPr>
                <w:sz w:val="20"/>
                <w:szCs w:val="20"/>
                <w:highlight w:val="green"/>
              </w:rPr>
            </w:pPr>
            <w:r w:rsidRPr="00A566E0">
              <w:rPr>
                <w:sz w:val="20"/>
                <w:szCs w:val="20"/>
              </w:rPr>
              <w:t>Plochy vodní a vodohospodářské</w:t>
            </w:r>
          </w:p>
        </w:tc>
      </w:tr>
      <w:tr w:rsidR="00CB42B3" w:rsidRPr="00A566E0" w14:paraId="2F7BD73E" w14:textId="77777777" w:rsidTr="00A566E0">
        <w:tc>
          <w:tcPr>
            <w:tcW w:w="1952" w:type="dxa"/>
          </w:tcPr>
          <w:p w14:paraId="12DAF55B"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Z18.8a</w:t>
            </w:r>
          </w:p>
        </w:tc>
        <w:tc>
          <w:tcPr>
            <w:tcW w:w="1133" w:type="dxa"/>
          </w:tcPr>
          <w:p w14:paraId="750363F9"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0,987</w:t>
            </w:r>
          </w:p>
        </w:tc>
        <w:tc>
          <w:tcPr>
            <w:tcW w:w="2978" w:type="dxa"/>
          </w:tcPr>
          <w:p w14:paraId="1E1F35FB"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2E668EAA" w14:textId="77777777" w:rsidR="00CB42B3" w:rsidRPr="00A566E0" w:rsidRDefault="00CB42B3" w:rsidP="00A566E0">
            <w:pPr>
              <w:pStyle w:val="1text"/>
              <w:spacing w:before="40" w:after="40"/>
              <w:jc w:val="left"/>
              <w:rPr>
                <w:b/>
                <w:sz w:val="20"/>
                <w:szCs w:val="20"/>
              </w:rPr>
            </w:pPr>
            <w:r w:rsidRPr="00A566E0">
              <w:rPr>
                <w:b/>
                <w:sz w:val="20"/>
                <w:szCs w:val="20"/>
              </w:rPr>
              <w:t>plocha K24</w:t>
            </w:r>
          </w:p>
        </w:tc>
      </w:tr>
      <w:tr w:rsidR="00CB42B3" w:rsidRPr="00A566E0" w14:paraId="27BF8B93" w14:textId="77777777" w:rsidTr="00A566E0">
        <w:tc>
          <w:tcPr>
            <w:tcW w:w="1952" w:type="dxa"/>
          </w:tcPr>
          <w:p w14:paraId="3CFD23F0"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Z18.8b</w:t>
            </w:r>
          </w:p>
        </w:tc>
        <w:tc>
          <w:tcPr>
            <w:tcW w:w="1133" w:type="dxa"/>
          </w:tcPr>
          <w:p w14:paraId="565893CA"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0,052</w:t>
            </w:r>
          </w:p>
        </w:tc>
        <w:tc>
          <w:tcPr>
            <w:tcW w:w="2978" w:type="dxa"/>
          </w:tcPr>
          <w:p w14:paraId="1F2A91EA"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3F2C7634" w14:textId="77777777" w:rsidR="00CB42B3" w:rsidRPr="00A566E0" w:rsidRDefault="00CB42B3" w:rsidP="00A566E0">
            <w:pPr>
              <w:pStyle w:val="1text"/>
              <w:spacing w:before="40" w:after="40"/>
              <w:jc w:val="left"/>
              <w:rPr>
                <w:b/>
                <w:sz w:val="20"/>
                <w:szCs w:val="20"/>
              </w:rPr>
            </w:pPr>
            <w:r w:rsidRPr="00A566E0">
              <w:rPr>
                <w:b/>
                <w:sz w:val="20"/>
                <w:szCs w:val="20"/>
              </w:rPr>
              <w:t>plocha K25</w:t>
            </w:r>
          </w:p>
        </w:tc>
      </w:tr>
      <w:tr w:rsidR="00CB42B3" w:rsidRPr="00A566E0" w14:paraId="712F70D8" w14:textId="77777777" w:rsidTr="00A566E0">
        <w:tc>
          <w:tcPr>
            <w:tcW w:w="1952" w:type="dxa"/>
          </w:tcPr>
          <w:p w14:paraId="7A5A4257"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Z18.8c</w:t>
            </w:r>
          </w:p>
        </w:tc>
        <w:tc>
          <w:tcPr>
            <w:tcW w:w="1133" w:type="dxa"/>
          </w:tcPr>
          <w:p w14:paraId="73B00FCB"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0,151</w:t>
            </w:r>
          </w:p>
        </w:tc>
        <w:tc>
          <w:tcPr>
            <w:tcW w:w="2978" w:type="dxa"/>
          </w:tcPr>
          <w:p w14:paraId="445AD941"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6C4D6BDA" w14:textId="77777777" w:rsidR="00CB42B3" w:rsidRPr="00A566E0" w:rsidRDefault="00CB42B3" w:rsidP="00A566E0">
            <w:pPr>
              <w:pStyle w:val="1text"/>
              <w:spacing w:before="40" w:after="40"/>
              <w:jc w:val="left"/>
              <w:rPr>
                <w:b/>
                <w:sz w:val="20"/>
                <w:szCs w:val="20"/>
              </w:rPr>
            </w:pPr>
            <w:r w:rsidRPr="00A566E0">
              <w:rPr>
                <w:b/>
                <w:sz w:val="20"/>
                <w:szCs w:val="20"/>
              </w:rPr>
              <w:t>plocha K26</w:t>
            </w:r>
          </w:p>
        </w:tc>
      </w:tr>
      <w:tr w:rsidR="00CB42B3" w:rsidRPr="00A566E0" w14:paraId="27ACDD48" w14:textId="77777777" w:rsidTr="00A566E0">
        <w:tc>
          <w:tcPr>
            <w:tcW w:w="1952" w:type="dxa"/>
          </w:tcPr>
          <w:p w14:paraId="440908FA"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Z18.8d</w:t>
            </w:r>
          </w:p>
        </w:tc>
        <w:tc>
          <w:tcPr>
            <w:tcW w:w="1133" w:type="dxa"/>
          </w:tcPr>
          <w:p w14:paraId="29AA3810"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0,244</w:t>
            </w:r>
          </w:p>
        </w:tc>
        <w:tc>
          <w:tcPr>
            <w:tcW w:w="2978" w:type="dxa"/>
          </w:tcPr>
          <w:p w14:paraId="02357E1B"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59337F70" w14:textId="77777777" w:rsidR="00CB42B3" w:rsidRPr="00A566E0" w:rsidRDefault="00CB42B3" w:rsidP="00A566E0">
            <w:pPr>
              <w:pStyle w:val="1text"/>
              <w:spacing w:before="40" w:after="40"/>
              <w:jc w:val="left"/>
              <w:rPr>
                <w:b/>
                <w:sz w:val="20"/>
                <w:szCs w:val="20"/>
              </w:rPr>
            </w:pPr>
            <w:r w:rsidRPr="00A566E0">
              <w:rPr>
                <w:b/>
                <w:sz w:val="20"/>
                <w:szCs w:val="20"/>
              </w:rPr>
              <w:t>plocha K27</w:t>
            </w:r>
          </w:p>
        </w:tc>
      </w:tr>
      <w:tr w:rsidR="00CB42B3" w:rsidRPr="00A566E0" w14:paraId="1BA3169C" w14:textId="77777777" w:rsidTr="00A566E0">
        <w:tc>
          <w:tcPr>
            <w:tcW w:w="1952" w:type="dxa"/>
          </w:tcPr>
          <w:p w14:paraId="2DB1EBB9"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lastRenderedPageBreak/>
              <w:t>Z18.8e</w:t>
            </w:r>
          </w:p>
        </w:tc>
        <w:tc>
          <w:tcPr>
            <w:tcW w:w="1133" w:type="dxa"/>
          </w:tcPr>
          <w:p w14:paraId="1DACE682"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0,058</w:t>
            </w:r>
          </w:p>
        </w:tc>
        <w:tc>
          <w:tcPr>
            <w:tcW w:w="2978" w:type="dxa"/>
          </w:tcPr>
          <w:p w14:paraId="0D13DBF3" w14:textId="77777777" w:rsidR="00CB42B3" w:rsidRPr="00A566E0" w:rsidRDefault="00CB42B3" w:rsidP="00A566E0">
            <w:pPr>
              <w:spacing w:before="40" w:after="40" w:line="240" w:lineRule="auto"/>
              <w:jc w:val="left"/>
              <w:rPr>
                <w:b/>
                <w:sz w:val="20"/>
                <w:szCs w:val="20"/>
                <w:highlight w:val="green"/>
              </w:rPr>
            </w:pPr>
            <w:r w:rsidRPr="00A566E0">
              <w:rPr>
                <w:b/>
                <w:sz w:val="20"/>
                <w:szCs w:val="20"/>
              </w:rPr>
              <w:t>převzato do ÚP</w:t>
            </w:r>
          </w:p>
        </w:tc>
        <w:tc>
          <w:tcPr>
            <w:tcW w:w="3118" w:type="dxa"/>
          </w:tcPr>
          <w:p w14:paraId="4DE9C122" w14:textId="77777777" w:rsidR="00CB42B3" w:rsidRPr="00A566E0" w:rsidRDefault="00CB42B3" w:rsidP="00A566E0">
            <w:pPr>
              <w:pStyle w:val="1text"/>
              <w:spacing w:before="40" w:after="40"/>
              <w:jc w:val="left"/>
              <w:rPr>
                <w:b/>
                <w:sz w:val="20"/>
                <w:szCs w:val="20"/>
              </w:rPr>
            </w:pPr>
            <w:r w:rsidRPr="00A566E0">
              <w:rPr>
                <w:b/>
                <w:sz w:val="20"/>
                <w:szCs w:val="20"/>
              </w:rPr>
              <w:t>plocha K28</w:t>
            </w:r>
          </w:p>
        </w:tc>
      </w:tr>
      <w:tr w:rsidR="00CB42B3" w:rsidRPr="00A566E0" w14:paraId="7652E11A" w14:textId="77777777" w:rsidTr="00A566E0">
        <w:tc>
          <w:tcPr>
            <w:tcW w:w="1952" w:type="dxa"/>
          </w:tcPr>
          <w:p w14:paraId="5AA72FAB"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Z18.8f</w:t>
            </w:r>
          </w:p>
        </w:tc>
        <w:tc>
          <w:tcPr>
            <w:tcW w:w="1133" w:type="dxa"/>
          </w:tcPr>
          <w:p w14:paraId="5ADC9A85"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0,326</w:t>
            </w:r>
          </w:p>
        </w:tc>
        <w:tc>
          <w:tcPr>
            <w:tcW w:w="2978" w:type="dxa"/>
          </w:tcPr>
          <w:p w14:paraId="5C20D3A1"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7263B63B"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38D09C31" w14:textId="77777777" w:rsidTr="00A566E0">
        <w:tc>
          <w:tcPr>
            <w:tcW w:w="1952" w:type="dxa"/>
          </w:tcPr>
          <w:p w14:paraId="6492A365"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Z18.8g</w:t>
            </w:r>
          </w:p>
        </w:tc>
        <w:tc>
          <w:tcPr>
            <w:tcW w:w="1133" w:type="dxa"/>
          </w:tcPr>
          <w:p w14:paraId="68934AC2"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0,183</w:t>
            </w:r>
          </w:p>
        </w:tc>
        <w:tc>
          <w:tcPr>
            <w:tcW w:w="2978" w:type="dxa"/>
          </w:tcPr>
          <w:p w14:paraId="75A7D1FC"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422FA4C3"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11457531" w14:textId="77777777" w:rsidTr="00A566E0">
        <w:tc>
          <w:tcPr>
            <w:tcW w:w="1952" w:type="dxa"/>
          </w:tcPr>
          <w:p w14:paraId="3604C4FD" w14:textId="77777777" w:rsidR="00CB42B3" w:rsidRPr="00A566E0" w:rsidRDefault="00CB42B3"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Z18.8i</w:t>
            </w:r>
          </w:p>
        </w:tc>
        <w:tc>
          <w:tcPr>
            <w:tcW w:w="1133" w:type="dxa"/>
          </w:tcPr>
          <w:p w14:paraId="7005F8CC" w14:textId="77777777" w:rsidR="00CB42B3" w:rsidRPr="00A566E0" w:rsidRDefault="00CB42B3" w:rsidP="00A566E0">
            <w:pPr>
              <w:pStyle w:val="1text"/>
              <w:spacing w:before="40" w:after="40"/>
              <w:jc w:val="left"/>
              <w:rPr>
                <w:rFonts w:eastAsia="Times New Roman"/>
                <w:b/>
                <w:sz w:val="20"/>
                <w:szCs w:val="20"/>
                <w:lang w:eastAsia="cs-CZ"/>
              </w:rPr>
            </w:pPr>
            <w:r w:rsidRPr="00A566E0">
              <w:rPr>
                <w:rFonts w:eastAsia="Times New Roman"/>
                <w:b/>
                <w:color w:val="000000"/>
                <w:sz w:val="20"/>
                <w:szCs w:val="20"/>
                <w:lang w:eastAsia="cs-CZ"/>
              </w:rPr>
              <w:t>0,219</w:t>
            </w:r>
          </w:p>
        </w:tc>
        <w:tc>
          <w:tcPr>
            <w:tcW w:w="2978" w:type="dxa"/>
          </w:tcPr>
          <w:p w14:paraId="3026909D" w14:textId="77777777" w:rsidR="00CB42B3" w:rsidRPr="00A566E0" w:rsidRDefault="00CB42B3" w:rsidP="00A566E0">
            <w:pPr>
              <w:spacing w:before="40" w:after="40" w:line="240" w:lineRule="auto"/>
              <w:jc w:val="left"/>
              <w:rPr>
                <w:b/>
                <w:sz w:val="20"/>
                <w:szCs w:val="20"/>
              </w:rPr>
            </w:pPr>
            <w:r w:rsidRPr="00A566E0">
              <w:rPr>
                <w:b/>
                <w:sz w:val="20"/>
                <w:szCs w:val="20"/>
              </w:rPr>
              <w:t>převzato do ÚP</w:t>
            </w:r>
          </w:p>
        </w:tc>
        <w:tc>
          <w:tcPr>
            <w:tcW w:w="3118" w:type="dxa"/>
          </w:tcPr>
          <w:p w14:paraId="52869D18" w14:textId="77777777" w:rsidR="00CB42B3" w:rsidRPr="00A566E0" w:rsidRDefault="00CB42B3" w:rsidP="00A566E0">
            <w:pPr>
              <w:pStyle w:val="1text"/>
              <w:spacing w:before="40" w:after="40"/>
              <w:jc w:val="left"/>
              <w:rPr>
                <w:b/>
                <w:sz w:val="20"/>
                <w:szCs w:val="20"/>
              </w:rPr>
            </w:pPr>
            <w:r w:rsidRPr="00A566E0">
              <w:rPr>
                <w:b/>
                <w:sz w:val="20"/>
                <w:szCs w:val="20"/>
              </w:rPr>
              <w:t>plocha K23</w:t>
            </w:r>
          </w:p>
        </w:tc>
      </w:tr>
      <w:tr w:rsidR="00CB42B3" w:rsidRPr="00A566E0" w14:paraId="21AA2559" w14:textId="77777777" w:rsidTr="00A566E0">
        <w:tc>
          <w:tcPr>
            <w:tcW w:w="1952" w:type="dxa"/>
          </w:tcPr>
          <w:p w14:paraId="30AD999D"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Z18.8k</w:t>
            </w:r>
          </w:p>
        </w:tc>
        <w:tc>
          <w:tcPr>
            <w:tcW w:w="1133" w:type="dxa"/>
          </w:tcPr>
          <w:p w14:paraId="0EEAFA73"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0,174</w:t>
            </w:r>
          </w:p>
        </w:tc>
        <w:tc>
          <w:tcPr>
            <w:tcW w:w="2978" w:type="dxa"/>
          </w:tcPr>
          <w:p w14:paraId="6796BC28"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Pr>
          <w:p w14:paraId="1CBD3515"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CB42B3" w:rsidRPr="00A566E0" w14:paraId="784CE7B4" w14:textId="77777777" w:rsidTr="00A566E0">
        <w:tc>
          <w:tcPr>
            <w:tcW w:w="1952" w:type="dxa"/>
            <w:tcBorders>
              <w:bottom w:val="single" w:sz="12" w:space="0" w:color="auto"/>
            </w:tcBorders>
          </w:tcPr>
          <w:p w14:paraId="17677C16" w14:textId="77777777" w:rsidR="00CB42B3" w:rsidRPr="00A566E0" w:rsidRDefault="00CB42B3" w:rsidP="00A566E0">
            <w:pPr>
              <w:pStyle w:val="1text"/>
              <w:spacing w:before="40" w:after="40"/>
              <w:jc w:val="left"/>
              <w:rPr>
                <w:rFonts w:eastAsia="Times New Roman"/>
                <w:color w:val="000000"/>
                <w:sz w:val="20"/>
                <w:szCs w:val="20"/>
                <w:lang w:eastAsia="cs-CZ"/>
              </w:rPr>
            </w:pPr>
            <w:r w:rsidRPr="00A566E0">
              <w:rPr>
                <w:rFonts w:eastAsia="Times New Roman"/>
                <w:color w:val="000000"/>
                <w:sz w:val="20"/>
                <w:szCs w:val="20"/>
                <w:lang w:eastAsia="cs-CZ"/>
              </w:rPr>
              <w:t>Z18.8l</w:t>
            </w:r>
          </w:p>
        </w:tc>
        <w:tc>
          <w:tcPr>
            <w:tcW w:w="1133" w:type="dxa"/>
            <w:tcBorders>
              <w:bottom w:val="single" w:sz="12" w:space="0" w:color="auto"/>
            </w:tcBorders>
          </w:tcPr>
          <w:p w14:paraId="781006AB" w14:textId="77777777" w:rsidR="00CB42B3" w:rsidRPr="00A566E0" w:rsidRDefault="00CB42B3" w:rsidP="00A566E0">
            <w:pPr>
              <w:pStyle w:val="1text"/>
              <w:spacing w:before="40" w:after="40"/>
              <w:jc w:val="left"/>
              <w:rPr>
                <w:rFonts w:eastAsia="Times New Roman"/>
                <w:sz w:val="20"/>
                <w:szCs w:val="20"/>
                <w:lang w:eastAsia="cs-CZ"/>
              </w:rPr>
            </w:pPr>
            <w:r w:rsidRPr="00A566E0">
              <w:rPr>
                <w:rFonts w:eastAsia="Times New Roman"/>
                <w:color w:val="000000"/>
                <w:sz w:val="20"/>
                <w:szCs w:val="20"/>
                <w:lang w:eastAsia="cs-CZ"/>
              </w:rPr>
              <w:t>0,184</w:t>
            </w:r>
          </w:p>
        </w:tc>
        <w:tc>
          <w:tcPr>
            <w:tcW w:w="2978" w:type="dxa"/>
            <w:tcBorders>
              <w:bottom w:val="single" w:sz="12" w:space="0" w:color="auto"/>
            </w:tcBorders>
          </w:tcPr>
          <w:p w14:paraId="19DCD48C" w14:textId="77777777" w:rsidR="00CB42B3" w:rsidRPr="00A566E0" w:rsidRDefault="00CB42B3" w:rsidP="00A566E0">
            <w:pPr>
              <w:spacing w:before="40" w:after="40" w:line="240" w:lineRule="auto"/>
              <w:jc w:val="left"/>
              <w:rPr>
                <w:sz w:val="20"/>
                <w:szCs w:val="20"/>
              </w:rPr>
            </w:pPr>
            <w:r w:rsidRPr="00A566E0">
              <w:rPr>
                <w:sz w:val="20"/>
                <w:szCs w:val="20"/>
              </w:rPr>
              <w:t>vymezeno jako stabilizovaná plocha</w:t>
            </w:r>
          </w:p>
        </w:tc>
        <w:tc>
          <w:tcPr>
            <w:tcW w:w="3118" w:type="dxa"/>
            <w:tcBorders>
              <w:bottom w:val="single" w:sz="12" w:space="0" w:color="auto"/>
            </w:tcBorders>
          </w:tcPr>
          <w:p w14:paraId="47D2AD3D" w14:textId="77777777" w:rsidR="00CB42B3" w:rsidRPr="00A566E0" w:rsidRDefault="00CB42B3" w:rsidP="00A566E0">
            <w:pPr>
              <w:pStyle w:val="1text"/>
              <w:spacing w:before="40" w:after="40"/>
              <w:jc w:val="left"/>
              <w:rPr>
                <w:sz w:val="20"/>
                <w:szCs w:val="20"/>
              </w:rPr>
            </w:pPr>
            <w:r w:rsidRPr="00A566E0">
              <w:rPr>
                <w:sz w:val="20"/>
                <w:szCs w:val="20"/>
              </w:rPr>
              <w:t>realizováno</w:t>
            </w:r>
          </w:p>
        </w:tc>
      </w:tr>
      <w:tr w:rsidR="00E4588D" w:rsidRPr="00A566E0" w14:paraId="4C222BB0" w14:textId="77777777" w:rsidTr="00A566E0">
        <w:tc>
          <w:tcPr>
            <w:tcW w:w="1952" w:type="dxa"/>
            <w:tcBorders>
              <w:top w:val="single" w:sz="12" w:space="0" w:color="auto"/>
              <w:left w:val="single" w:sz="12" w:space="0" w:color="auto"/>
            </w:tcBorders>
            <w:shd w:val="clear" w:color="auto" w:fill="F2F2F2" w:themeFill="background1" w:themeFillShade="F2"/>
          </w:tcPr>
          <w:p w14:paraId="3961EFD5" w14:textId="77777777" w:rsidR="00E4588D" w:rsidRPr="00A566E0" w:rsidRDefault="00E4588D" w:rsidP="00A566E0">
            <w:pPr>
              <w:pStyle w:val="1text"/>
              <w:spacing w:before="40" w:after="40"/>
              <w:jc w:val="left"/>
              <w:rPr>
                <w:rFonts w:eastAsia="Times New Roman"/>
                <w:b/>
                <w:color w:val="000000"/>
                <w:sz w:val="20"/>
                <w:szCs w:val="20"/>
                <w:lang w:eastAsia="cs-CZ"/>
              </w:rPr>
            </w:pPr>
            <w:r w:rsidRPr="00A566E0">
              <w:rPr>
                <w:rFonts w:eastAsia="Times New Roman"/>
                <w:b/>
                <w:sz w:val="20"/>
                <w:szCs w:val="20"/>
                <w:lang w:eastAsia="cs-CZ"/>
              </w:rPr>
              <w:t>CELKEM K.U. VÁCLAVICE U HRÁDKU NAD NISOU</w:t>
            </w:r>
          </w:p>
        </w:tc>
        <w:tc>
          <w:tcPr>
            <w:tcW w:w="7229" w:type="dxa"/>
            <w:gridSpan w:val="3"/>
            <w:tcBorders>
              <w:top w:val="single" w:sz="12" w:space="0" w:color="auto"/>
              <w:right w:val="single" w:sz="12" w:space="0" w:color="auto"/>
            </w:tcBorders>
            <w:shd w:val="clear" w:color="auto" w:fill="F2F2F2" w:themeFill="background1" w:themeFillShade="F2"/>
          </w:tcPr>
          <w:p w14:paraId="7D3A9990" w14:textId="77777777" w:rsidR="00E4588D" w:rsidRPr="00A566E0" w:rsidRDefault="009D7C68" w:rsidP="00A566E0">
            <w:pPr>
              <w:pStyle w:val="1text"/>
              <w:spacing w:before="40" w:after="40"/>
              <w:jc w:val="left"/>
              <w:rPr>
                <w:b/>
                <w:sz w:val="20"/>
                <w:szCs w:val="20"/>
                <w:highlight w:val="green"/>
              </w:rPr>
            </w:pPr>
            <w:r w:rsidRPr="00A566E0">
              <w:rPr>
                <w:rFonts w:eastAsia="Times New Roman"/>
                <w:b/>
                <w:color w:val="000000"/>
                <w:sz w:val="20"/>
                <w:szCs w:val="20"/>
                <w:lang w:eastAsia="cs-CZ"/>
              </w:rPr>
              <w:t>64,675</w:t>
            </w:r>
          </w:p>
        </w:tc>
      </w:tr>
      <w:tr w:rsidR="009D7C68" w:rsidRPr="00A566E0" w14:paraId="19A4B52B" w14:textId="77777777" w:rsidTr="00A566E0">
        <w:tc>
          <w:tcPr>
            <w:tcW w:w="1952" w:type="dxa"/>
            <w:vMerge w:val="restart"/>
            <w:tcBorders>
              <w:left w:val="single" w:sz="12" w:space="0" w:color="auto"/>
            </w:tcBorders>
          </w:tcPr>
          <w:p w14:paraId="55F2DAE0" w14:textId="77777777" w:rsidR="009D7C68" w:rsidRPr="00A566E0" w:rsidRDefault="009D7C68"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z toho:</w:t>
            </w:r>
          </w:p>
        </w:tc>
        <w:tc>
          <w:tcPr>
            <w:tcW w:w="1133" w:type="dxa"/>
            <w:shd w:val="clear" w:color="auto" w:fill="auto"/>
          </w:tcPr>
          <w:p w14:paraId="60C39858" w14:textId="77777777" w:rsidR="009D7C68" w:rsidRPr="00A566E0" w:rsidRDefault="009D7C68"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6,733 ha</w:t>
            </w:r>
          </w:p>
        </w:tc>
        <w:tc>
          <w:tcPr>
            <w:tcW w:w="6096" w:type="dxa"/>
            <w:gridSpan w:val="2"/>
            <w:tcBorders>
              <w:right w:val="single" w:sz="12" w:space="0" w:color="auto"/>
            </w:tcBorders>
          </w:tcPr>
          <w:p w14:paraId="4AB8410F" w14:textId="77777777" w:rsidR="009D7C68" w:rsidRPr="00A566E0" w:rsidRDefault="009D7C68" w:rsidP="00A566E0">
            <w:pPr>
              <w:pStyle w:val="1text"/>
              <w:spacing w:before="40" w:after="40"/>
              <w:jc w:val="left"/>
              <w:rPr>
                <w:sz w:val="20"/>
                <w:szCs w:val="20"/>
              </w:rPr>
            </w:pPr>
            <w:r w:rsidRPr="00A566E0">
              <w:rPr>
                <w:b/>
                <w:sz w:val="20"/>
                <w:szCs w:val="20"/>
              </w:rPr>
              <w:t>záborů ZPF převzato</w:t>
            </w:r>
          </w:p>
        </w:tc>
      </w:tr>
      <w:tr w:rsidR="009D7C68" w:rsidRPr="00A566E0" w14:paraId="4FF84894" w14:textId="77777777" w:rsidTr="00A566E0">
        <w:tc>
          <w:tcPr>
            <w:tcW w:w="1952" w:type="dxa"/>
            <w:vMerge/>
            <w:tcBorders>
              <w:left w:val="single" w:sz="12" w:space="0" w:color="auto"/>
            </w:tcBorders>
          </w:tcPr>
          <w:p w14:paraId="5EC6E87E" w14:textId="77777777" w:rsidR="009D7C68" w:rsidRPr="00A566E0" w:rsidRDefault="009D7C68" w:rsidP="00A566E0">
            <w:pPr>
              <w:pStyle w:val="1text"/>
              <w:spacing w:before="40" w:after="40"/>
              <w:jc w:val="left"/>
              <w:rPr>
                <w:rFonts w:eastAsia="Times New Roman"/>
                <w:b/>
                <w:sz w:val="20"/>
                <w:szCs w:val="20"/>
                <w:lang w:eastAsia="cs-CZ"/>
              </w:rPr>
            </w:pPr>
          </w:p>
        </w:tc>
        <w:tc>
          <w:tcPr>
            <w:tcW w:w="1133" w:type="dxa"/>
            <w:shd w:val="clear" w:color="auto" w:fill="auto"/>
          </w:tcPr>
          <w:p w14:paraId="0FD21A9E" w14:textId="77777777" w:rsidR="009D7C68" w:rsidRPr="00A566E0" w:rsidRDefault="009D7C68"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14,883 ha</w:t>
            </w:r>
          </w:p>
        </w:tc>
        <w:tc>
          <w:tcPr>
            <w:tcW w:w="6096" w:type="dxa"/>
            <w:gridSpan w:val="2"/>
            <w:tcBorders>
              <w:right w:val="single" w:sz="12" w:space="0" w:color="auto"/>
            </w:tcBorders>
          </w:tcPr>
          <w:p w14:paraId="0A53E802" w14:textId="77777777" w:rsidR="009D7C68" w:rsidRPr="00A566E0" w:rsidRDefault="009D7C68" w:rsidP="00A566E0">
            <w:pPr>
              <w:pStyle w:val="1text"/>
              <w:spacing w:before="40" w:after="40"/>
              <w:jc w:val="left"/>
              <w:rPr>
                <w:sz w:val="20"/>
                <w:szCs w:val="20"/>
              </w:rPr>
            </w:pPr>
            <w:r w:rsidRPr="00A566E0">
              <w:rPr>
                <w:b/>
                <w:sz w:val="20"/>
                <w:szCs w:val="20"/>
              </w:rPr>
              <w:t>záborů ZPF vymezeno jako stabilizovaná plocha</w:t>
            </w:r>
          </w:p>
        </w:tc>
      </w:tr>
      <w:tr w:rsidR="009D7C68" w:rsidRPr="00A566E0" w14:paraId="70B878FF" w14:textId="77777777" w:rsidTr="00A566E0">
        <w:tc>
          <w:tcPr>
            <w:tcW w:w="1952" w:type="dxa"/>
            <w:vMerge/>
            <w:tcBorders>
              <w:left w:val="single" w:sz="12" w:space="0" w:color="auto"/>
              <w:bottom w:val="single" w:sz="12" w:space="0" w:color="auto"/>
            </w:tcBorders>
          </w:tcPr>
          <w:p w14:paraId="030523EB" w14:textId="77777777" w:rsidR="009D7C68" w:rsidRPr="00A566E0" w:rsidRDefault="009D7C68" w:rsidP="00A566E0">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auto"/>
          </w:tcPr>
          <w:p w14:paraId="773FB327" w14:textId="77777777" w:rsidR="009D7C68" w:rsidRPr="00A566E0" w:rsidRDefault="009D7C68"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43,060 ha</w:t>
            </w:r>
          </w:p>
        </w:tc>
        <w:tc>
          <w:tcPr>
            <w:tcW w:w="6096" w:type="dxa"/>
            <w:gridSpan w:val="2"/>
            <w:tcBorders>
              <w:bottom w:val="single" w:sz="12" w:space="0" w:color="auto"/>
              <w:right w:val="single" w:sz="12" w:space="0" w:color="auto"/>
            </w:tcBorders>
          </w:tcPr>
          <w:p w14:paraId="61C8D5A1" w14:textId="77777777" w:rsidR="009D7C68" w:rsidRPr="00A566E0" w:rsidRDefault="009D7C68" w:rsidP="00A566E0">
            <w:pPr>
              <w:pStyle w:val="1text"/>
              <w:spacing w:before="40" w:after="40"/>
              <w:jc w:val="left"/>
              <w:rPr>
                <w:sz w:val="20"/>
                <w:szCs w:val="20"/>
              </w:rPr>
            </w:pPr>
            <w:r w:rsidRPr="00A566E0">
              <w:rPr>
                <w:b/>
                <w:sz w:val="20"/>
                <w:szCs w:val="20"/>
              </w:rPr>
              <w:t>záborů ZPF vypuštěno</w:t>
            </w:r>
          </w:p>
        </w:tc>
      </w:tr>
      <w:tr w:rsidR="009D7C68" w:rsidRPr="00A566E0" w14:paraId="6572840C" w14:textId="77777777" w:rsidTr="00A566E0">
        <w:tc>
          <w:tcPr>
            <w:tcW w:w="1952" w:type="dxa"/>
            <w:vMerge w:val="restart"/>
            <w:tcBorders>
              <w:top w:val="single" w:sz="12" w:space="0" w:color="auto"/>
              <w:left w:val="single" w:sz="12" w:space="0" w:color="auto"/>
            </w:tcBorders>
            <w:shd w:val="clear" w:color="auto" w:fill="BFBFBF" w:themeFill="background1" w:themeFillShade="BF"/>
          </w:tcPr>
          <w:p w14:paraId="7006C3F9" w14:textId="77777777" w:rsidR="009D7C68" w:rsidRPr="00A566E0" w:rsidRDefault="009D7C68" w:rsidP="00A566E0">
            <w:pPr>
              <w:pStyle w:val="1text"/>
              <w:spacing w:before="40" w:after="40"/>
              <w:jc w:val="left"/>
              <w:rPr>
                <w:rFonts w:eastAsia="Times New Roman"/>
                <w:b/>
                <w:sz w:val="20"/>
                <w:szCs w:val="20"/>
                <w:lang w:eastAsia="cs-CZ"/>
              </w:rPr>
            </w:pPr>
            <w:r w:rsidRPr="00A566E0">
              <w:rPr>
                <w:rFonts w:eastAsia="Times New Roman"/>
                <w:b/>
                <w:sz w:val="20"/>
                <w:szCs w:val="20"/>
                <w:lang w:eastAsia="cs-CZ"/>
              </w:rPr>
              <w:t>CELKEM SPRÁVNÍ ÚZEMÍ HRÁDEK NAD NISOU</w:t>
            </w:r>
          </w:p>
        </w:tc>
        <w:tc>
          <w:tcPr>
            <w:tcW w:w="1133" w:type="dxa"/>
            <w:tcBorders>
              <w:top w:val="single" w:sz="12" w:space="0" w:color="auto"/>
            </w:tcBorders>
            <w:shd w:val="clear" w:color="auto" w:fill="BFBFBF" w:themeFill="background1" w:themeFillShade="BF"/>
          </w:tcPr>
          <w:p w14:paraId="4E9912AE" w14:textId="61B7BB27" w:rsidR="009D7C68" w:rsidRPr="00FA2029" w:rsidRDefault="00FA2029" w:rsidP="00417584">
            <w:pPr>
              <w:pStyle w:val="1text"/>
              <w:spacing w:before="40" w:after="40"/>
              <w:jc w:val="left"/>
              <w:rPr>
                <w:rFonts w:eastAsia="Times New Roman"/>
                <w:b/>
                <w:color w:val="000000"/>
                <w:sz w:val="20"/>
                <w:szCs w:val="20"/>
                <w:lang w:eastAsia="cs-CZ"/>
              </w:rPr>
            </w:pPr>
            <w:r w:rsidRPr="00FA2029">
              <w:rPr>
                <w:rFonts w:eastAsia="Times New Roman"/>
                <w:b/>
                <w:color w:val="000000"/>
                <w:sz w:val="20"/>
                <w:szCs w:val="20"/>
                <w:lang w:eastAsia="cs-CZ"/>
              </w:rPr>
              <w:t>53,3</w:t>
            </w:r>
            <w:r w:rsidR="00417584">
              <w:rPr>
                <w:rFonts w:eastAsia="Times New Roman"/>
                <w:b/>
                <w:color w:val="000000"/>
                <w:sz w:val="20"/>
                <w:szCs w:val="20"/>
                <w:lang w:eastAsia="cs-CZ"/>
              </w:rPr>
              <w:t>5</w:t>
            </w:r>
            <w:r w:rsidRPr="00FA2029">
              <w:rPr>
                <w:rFonts w:eastAsia="Times New Roman"/>
                <w:b/>
                <w:color w:val="000000"/>
                <w:sz w:val="20"/>
                <w:szCs w:val="20"/>
                <w:lang w:eastAsia="cs-CZ"/>
              </w:rPr>
              <w:t>5</w:t>
            </w:r>
            <w:r w:rsidR="009D7C68" w:rsidRPr="00FA2029">
              <w:rPr>
                <w:rFonts w:eastAsia="Times New Roman"/>
                <w:b/>
                <w:color w:val="000000"/>
                <w:sz w:val="20"/>
                <w:szCs w:val="20"/>
                <w:lang w:eastAsia="cs-CZ"/>
              </w:rPr>
              <w:t xml:space="preserve"> ha</w:t>
            </w:r>
          </w:p>
        </w:tc>
        <w:tc>
          <w:tcPr>
            <w:tcW w:w="6096" w:type="dxa"/>
            <w:gridSpan w:val="2"/>
            <w:tcBorders>
              <w:top w:val="single" w:sz="12" w:space="0" w:color="auto"/>
              <w:right w:val="single" w:sz="12" w:space="0" w:color="auto"/>
            </w:tcBorders>
            <w:shd w:val="clear" w:color="auto" w:fill="BFBFBF" w:themeFill="background1" w:themeFillShade="BF"/>
          </w:tcPr>
          <w:p w14:paraId="616E745A" w14:textId="77777777" w:rsidR="009D7C68" w:rsidRPr="00A566E0" w:rsidRDefault="009D7C68" w:rsidP="00A566E0">
            <w:pPr>
              <w:pStyle w:val="1text"/>
              <w:spacing w:before="40" w:after="40"/>
              <w:jc w:val="left"/>
              <w:rPr>
                <w:sz w:val="20"/>
                <w:szCs w:val="20"/>
              </w:rPr>
            </w:pPr>
            <w:r w:rsidRPr="00A566E0">
              <w:rPr>
                <w:b/>
                <w:sz w:val="20"/>
                <w:szCs w:val="20"/>
              </w:rPr>
              <w:t>záborů ZPF převzato</w:t>
            </w:r>
          </w:p>
        </w:tc>
      </w:tr>
      <w:tr w:rsidR="009D7C68" w:rsidRPr="00A566E0" w14:paraId="39824F69" w14:textId="77777777" w:rsidTr="00A566E0">
        <w:tc>
          <w:tcPr>
            <w:tcW w:w="1952" w:type="dxa"/>
            <w:vMerge/>
            <w:tcBorders>
              <w:left w:val="single" w:sz="12" w:space="0" w:color="auto"/>
            </w:tcBorders>
            <w:shd w:val="clear" w:color="auto" w:fill="BFBFBF" w:themeFill="background1" w:themeFillShade="BF"/>
          </w:tcPr>
          <w:p w14:paraId="7540BB04" w14:textId="77777777" w:rsidR="009D7C68" w:rsidRPr="00A566E0" w:rsidRDefault="009D7C68" w:rsidP="00A566E0">
            <w:pPr>
              <w:pStyle w:val="1text"/>
              <w:spacing w:before="40" w:after="40"/>
              <w:jc w:val="left"/>
              <w:rPr>
                <w:rFonts w:eastAsia="Times New Roman"/>
                <w:b/>
                <w:sz w:val="20"/>
                <w:szCs w:val="20"/>
                <w:lang w:eastAsia="cs-CZ"/>
              </w:rPr>
            </w:pPr>
          </w:p>
        </w:tc>
        <w:tc>
          <w:tcPr>
            <w:tcW w:w="1133" w:type="dxa"/>
            <w:shd w:val="clear" w:color="auto" w:fill="BFBFBF" w:themeFill="background1" w:themeFillShade="BF"/>
          </w:tcPr>
          <w:p w14:paraId="4F536F8E" w14:textId="6093B7EF" w:rsidR="009D7C68" w:rsidRPr="00FA2029" w:rsidRDefault="00FA2029" w:rsidP="005D49EF">
            <w:pPr>
              <w:pStyle w:val="1text"/>
              <w:spacing w:before="40" w:after="40"/>
              <w:jc w:val="left"/>
              <w:rPr>
                <w:rFonts w:eastAsia="Times New Roman"/>
                <w:b/>
                <w:color w:val="000000"/>
                <w:sz w:val="20"/>
                <w:szCs w:val="20"/>
                <w:lang w:eastAsia="cs-CZ"/>
              </w:rPr>
            </w:pPr>
            <w:r w:rsidRPr="00FA2029">
              <w:rPr>
                <w:rFonts w:eastAsia="Times New Roman"/>
                <w:b/>
                <w:color w:val="000000"/>
                <w:sz w:val="20"/>
                <w:szCs w:val="20"/>
                <w:lang w:eastAsia="cs-CZ"/>
              </w:rPr>
              <w:t>68,</w:t>
            </w:r>
            <w:r w:rsidR="005D49EF">
              <w:rPr>
                <w:rFonts w:eastAsia="Times New Roman"/>
                <w:b/>
                <w:color w:val="000000"/>
                <w:sz w:val="20"/>
                <w:szCs w:val="20"/>
                <w:lang w:eastAsia="cs-CZ"/>
              </w:rPr>
              <w:t>110</w:t>
            </w:r>
            <w:r w:rsidR="009D7C68" w:rsidRPr="00FA2029">
              <w:rPr>
                <w:rFonts w:eastAsia="Times New Roman"/>
                <w:b/>
                <w:color w:val="000000"/>
                <w:sz w:val="20"/>
                <w:szCs w:val="20"/>
                <w:lang w:eastAsia="cs-CZ"/>
              </w:rPr>
              <w:t xml:space="preserve"> ha</w:t>
            </w:r>
          </w:p>
        </w:tc>
        <w:tc>
          <w:tcPr>
            <w:tcW w:w="6096" w:type="dxa"/>
            <w:gridSpan w:val="2"/>
            <w:tcBorders>
              <w:right w:val="single" w:sz="12" w:space="0" w:color="auto"/>
            </w:tcBorders>
            <w:shd w:val="clear" w:color="auto" w:fill="BFBFBF" w:themeFill="background1" w:themeFillShade="BF"/>
          </w:tcPr>
          <w:p w14:paraId="4EEB7207" w14:textId="77777777" w:rsidR="009D7C68" w:rsidRPr="00A566E0" w:rsidRDefault="009D7C68" w:rsidP="00A566E0">
            <w:pPr>
              <w:pStyle w:val="1text"/>
              <w:spacing w:before="40" w:after="40"/>
              <w:jc w:val="left"/>
              <w:rPr>
                <w:sz w:val="20"/>
                <w:szCs w:val="20"/>
              </w:rPr>
            </w:pPr>
            <w:r w:rsidRPr="00A566E0">
              <w:rPr>
                <w:b/>
                <w:sz w:val="20"/>
                <w:szCs w:val="20"/>
              </w:rPr>
              <w:t>záborů ZPF vymezeno jako stabilizovaná plocha</w:t>
            </w:r>
          </w:p>
        </w:tc>
      </w:tr>
      <w:tr w:rsidR="009D7C68" w:rsidRPr="00A566E0" w14:paraId="19246CFC" w14:textId="77777777" w:rsidTr="00A566E0">
        <w:tc>
          <w:tcPr>
            <w:tcW w:w="1952" w:type="dxa"/>
            <w:vMerge/>
            <w:tcBorders>
              <w:left w:val="single" w:sz="12" w:space="0" w:color="auto"/>
              <w:bottom w:val="single" w:sz="12" w:space="0" w:color="auto"/>
            </w:tcBorders>
            <w:shd w:val="clear" w:color="auto" w:fill="BFBFBF" w:themeFill="background1" w:themeFillShade="BF"/>
          </w:tcPr>
          <w:p w14:paraId="572D32F4" w14:textId="77777777" w:rsidR="009D7C68" w:rsidRPr="00A566E0" w:rsidRDefault="009D7C68" w:rsidP="00A566E0">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BFBFBF" w:themeFill="background1" w:themeFillShade="BF"/>
          </w:tcPr>
          <w:p w14:paraId="7C08A33D" w14:textId="77777777" w:rsidR="009D7C68" w:rsidRPr="00A566E0" w:rsidRDefault="009D7C68" w:rsidP="00A566E0">
            <w:pPr>
              <w:pStyle w:val="1text"/>
              <w:spacing w:before="40" w:after="40"/>
              <w:jc w:val="left"/>
              <w:rPr>
                <w:rFonts w:eastAsia="Times New Roman"/>
                <w:b/>
                <w:color w:val="000000"/>
                <w:sz w:val="20"/>
                <w:szCs w:val="20"/>
                <w:lang w:eastAsia="cs-CZ"/>
              </w:rPr>
            </w:pPr>
            <w:r w:rsidRPr="00A566E0">
              <w:rPr>
                <w:rFonts w:eastAsia="Times New Roman"/>
                <w:b/>
                <w:color w:val="000000"/>
                <w:sz w:val="20"/>
                <w:szCs w:val="20"/>
                <w:lang w:eastAsia="cs-CZ"/>
              </w:rPr>
              <w:t>97,054 ha</w:t>
            </w:r>
          </w:p>
        </w:tc>
        <w:tc>
          <w:tcPr>
            <w:tcW w:w="6096" w:type="dxa"/>
            <w:gridSpan w:val="2"/>
            <w:tcBorders>
              <w:bottom w:val="single" w:sz="12" w:space="0" w:color="auto"/>
              <w:right w:val="single" w:sz="12" w:space="0" w:color="auto"/>
            </w:tcBorders>
            <w:shd w:val="clear" w:color="auto" w:fill="BFBFBF" w:themeFill="background1" w:themeFillShade="BF"/>
          </w:tcPr>
          <w:p w14:paraId="726B4AE0" w14:textId="77777777" w:rsidR="009D7C68" w:rsidRPr="00A566E0" w:rsidRDefault="009D7C68" w:rsidP="00A566E0">
            <w:pPr>
              <w:pStyle w:val="1text"/>
              <w:spacing w:before="40" w:after="40"/>
              <w:jc w:val="left"/>
              <w:rPr>
                <w:sz w:val="20"/>
                <w:szCs w:val="20"/>
              </w:rPr>
            </w:pPr>
            <w:r w:rsidRPr="00A566E0">
              <w:rPr>
                <w:b/>
                <w:sz w:val="20"/>
                <w:szCs w:val="20"/>
              </w:rPr>
              <w:t>záborů ZPF vypuštěno</w:t>
            </w:r>
          </w:p>
        </w:tc>
      </w:tr>
    </w:tbl>
    <w:p w14:paraId="2575D1E5" w14:textId="77777777" w:rsidR="009D7C68" w:rsidRPr="009D7C68" w:rsidRDefault="009D7C68" w:rsidP="009D7C68">
      <w:pPr>
        <w:spacing w:after="120"/>
      </w:pPr>
      <w:r w:rsidRPr="009D7C68">
        <w:t>Pozn. Plochy Z10/1, Z10/2 a Z10/3, vymezené Změnou č. 10 ÚPSÚ pro výstavbu větrných elektráren, nebyly vyhodnoceny, protože se nejedn</w:t>
      </w:r>
      <w:r>
        <w:t>alo</w:t>
      </w:r>
      <w:r w:rsidRPr="009D7C68">
        <w:t xml:space="preserve"> o zábor ZPF v celém rozsahu ploch. Plochy byly vymezeny překryvným značením pro umístění několika samostatně stojících stožárů v poloze a rozsahu po zpracování upřesňující dokumentace, zbývající části ploch byly určeny k navrácení do ZPF. Celková bilance záborů ZPF by tak byla značně zkreslená.</w:t>
      </w:r>
    </w:p>
    <w:p w14:paraId="34020992" w14:textId="77777777" w:rsidR="00896F6E" w:rsidRPr="00DB5AC9" w:rsidRDefault="00896F6E" w:rsidP="00CB42B3">
      <w:pPr>
        <w:spacing w:before="240" w:after="120"/>
        <w:rPr>
          <w:u w:val="single"/>
        </w:rPr>
      </w:pPr>
      <w:r>
        <w:rPr>
          <w:u w:val="single"/>
        </w:rPr>
        <w:t>Bilance záborů ZPF v ÚP Hrádek nad Nisou</w:t>
      </w:r>
    </w:p>
    <w:p w14:paraId="4D35F58A" w14:textId="77777777" w:rsidR="00A80189" w:rsidRPr="00461C16" w:rsidRDefault="00A80189" w:rsidP="00D64D76">
      <w:r w:rsidRPr="00461C16">
        <w:t xml:space="preserve">Vyhodnocení </w:t>
      </w:r>
      <w:r w:rsidR="00FE788D">
        <w:t xml:space="preserve">záborů ZPF </w:t>
      </w:r>
      <w:r w:rsidRPr="00461C16">
        <w:t>je provedeno pro:</w:t>
      </w:r>
    </w:p>
    <w:p w14:paraId="2A197E42" w14:textId="77777777" w:rsidR="00A80189" w:rsidRPr="00461C16" w:rsidRDefault="00A80189" w:rsidP="00DF046B">
      <w:pPr>
        <w:pStyle w:val="3pismeno"/>
        <w:numPr>
          <w:ilvl w:val="0"/>
          <w:numId w:val="31"/>
        </w:numPr>
      </w:pPr>
      <w:r w:rsidRPr="00461C16">
        <w:t>zastavitelné plochy</w:t>
      </w:r>
      <w:r w:rsidRPr="00461C16">
        <w:rPr>
          <w:lang w:eastAsia="cs-CZ"/>
        </w:rPr>
        <w:t xml:space="preserve"> a plochy přestavby uvedené v tabulce v kapitole 8.1.2. Odůvodnění ÚP,</w:t>
      </w:r>
    </w:p>
    <w:p w14:paraId="2F0D7CA0" w14:textId="77777777" w:rsidR="00A80189" w:rsidRDefault="00A80189" w:rsidP="00DF046B">
      <w:pPr>
        <w:pStyle w:val="3pismeno"/>
        <w:numPr>
          <w:ilvl w:val="0"/>
          <w:numId w:val="31"/>
        </w:numPr>
        <w:spacing w:after="240"/>
        <w:ind w:left="714" w:hanging="357"/>
      </w:pPr>
      <w:r w:rsidRPr="00461C16">
        <w:rPr>
          <w:lang w:eastAsia="cs-CZ"/>
        </w:rPr>
        <w:t>koridory změn uvedené v tabulce v kapitole 8.1.</w:t>
      </w:r>
      <w:r w:rsidR="00E4588D">
        <w:rPr>
          <w:lang w:eastAsia="cs-CZ"/>
        </w:rPr>
        <w:t>4</w:t>
      </w:r>
      <w:r w:rsidRPr="00461C16">
        <w:rPr>
          <w:lang w:eastAsia="cs-CZ"/>
        </w:rPr>
        <w:t>. Odůvodnění ÚP.</w:t>
      </w:r>
    </w:p>
    <w:p w14:paraId="3372C704" w14:textId="77777777" w:rsidR="00E63E5D" w:rsidRPr="009F287F" w:rsidRDefault="00E63E5D" w:rsidP="00E63E5D">
      <w:pPr>
        <w:spacing w:after="120"/>
        <w:rPr>
          <w:szCs w:val="20"/>
        </w:rPr>
      </w:pPr>
      <w:r w:rsidRPr="009F287F">
        <w:rPr>
          <w:szCs w:val="20"/>
        </w:rPr>
        <w:t xml:space="preserve">Z hlediska </w:t>
      </w:r>
      <w:r w:rsidR="009F287F">
        <w:rPr>
          <w:szCs w:val="20"/>
        </w:rPr>
        <w:t xml:space="preserve">vazby na zastavěné území </w:t>
      </w:r>
      <w:r w:rsidRPr="009F287F">
        <w:rPr>
          <w:szCs w:val="20"/>
        </w:rPr>
        <w:t>je bilance následující:</w:t>
      </w:r>
    </w:p>
    <w:tbl>
      <w:tblPr>
        <w:tblW w:w="9214" w:type="dxa"/>
        <w:tblInd w:w="-72" w:type="dxa"/>
        <w:tblLayout w:type="fixed"/>
        <w:tblCellMar>
          <w:left w:w="70" w:type="dxa"/>
          <w:right w:w="70" w:type="dxa"/>
        </w:tblCellMar>
        <w:tblLook w:val="04A0" w:firstRow="1" w:lastRow="0" w:firstColumn="1" w:lastColumn="0" w:noHBand="0" w:noVBand="1"/>
      </w:tblPr>
      <w:tblGrid>
        <w:gridCol w:w="4111"/>
        <w:gridCol w:w="1276"/>
        <w:gridCol w:w="1276"/>
        <w:gridCol w:w="1134"/>
        <w:gridCol w:w="1417"/>
      </w:tblGrid>
      <w:tr w:rsidR="008D5673" w:rsidRPr="009F287F" w14:paraId="1D5E63AD" w14:textId="77777777" w:rsidTr="008D5673">
        <w:trPr>
          <w:trHeight w:val="315"/>
          <w:tblHeader/>
        </w:trPr>
        <w:tc>
          <w:tcPr>
            <w:tcW w:w="4111" w:type="dxa"/>
            <w:tcBorders>
              <w:top w:val="single" w:sz="8" w:space="0" w:color="auto"/>
              <w:left w:val="single" w:sz="8" w:space="0" w:color="auto"/>
              <w:bottom w:val="single" w:sz="8" w:space="0" w:color="auto"/>
              <w:right w:val="single" w:sz="8" w:space="0" w:color="auto"/>
            </w:tcBorders>
            <w:shd w:val="clear" w:color="auto" w:fill="C2D69B" w:themeFill="accent3" w:themeFillTint="99"/>
            <w:vAlign w:val="center"/>
            <w:hideMark/>
          </w:tcPr>
          <w:p w14:paraId="5549A378" w14:textId="77777777" w:rsidR="008D5673" w:rsidRPr="009F287F" w:rsidRDefault="008D5673" w:rsidP="00A566E0">
            <w:pPr>
              <w:spacing w:before="40" w:after="40" w:line="240" w:lineRule="auto"/>
              <w:rPr>
                <w:rFonts w:eastAsia="Times New Roman"/>
                <w:color w:val="000000"/>
                <w:sz w:val="20"/>
                <w:szCs w:val="20"/>
                <w:lang w:eastAsia="cs-CZ"/>
              </w:rPr>
            </w:pPr>
          </w:p>
        </w:tc>
        <w:tc>
          <w:tcPr>
            <w:tcW w:w="1276" w:type="dxa"/>
            <w:tcBorders>
              <w:top w:val="single" w:sz="8" w:space="0" w:color="auto"/>
              <w:left w:val="nil"/>
              <w:bottom w:val="single" w:sz="8" w:space="0" w:color="auto"/>
              <w:right w:val="single" w:sz="8" w:space="0" w:color="auto"/>
            </w:tcBorders>
            <w:shd w:val="clear" w:color="auto" w:fill="C2D69B" w:themeFill="accent3" w:themeFillTint="99"/>
            <w:vAlign w:val="center"/>
            <w:hideMark/>
          </w:tcPr>
          <w:p w14:paraId="05110338" w14:textId="77777777" w:rsidR="008D5673" w:rsidRPr="009F287F" w:rsidRDefault="008D5673" w:rsidP="00A566E0">
            <w:pPr>
              <w:spacing w:before="40" w:after="40" w:line="240" w:lineRule="auto"/>
              <w:rPr>
                <w:rFonts w:eastAsia="Times New Roman"/>
                <w:b/>
                <w:bCs/>
                <w:color w:val="000000"/>
                <w:sz w:val="20"/>
                <w:szCs w:val="20"/>
                <w:lang w:eastAsia="cs-CZ"/>
              </w:rPr>
            </w:pPr>
            <w:r w:rsidRPr="009F287F">
              <w:rPr>
                <w:rFonts w:eastAsia="Times New Roman"/>
                <w:b/>
                <w:bCs/>
                <w:color w:val="000000"/>
                <w:sz w:val="20"/>
                <w:szCs w:val="20"/>
                <w:lang w:eastAsia="cs-CZ"/>
              </w:rPr>
              <w:t>počet</w:t>
            </w:r>
          </w:p>
        </w:tc>
        <w:tc>
          <w:tcPr>
            <w:tcW w:w="1276" w:type="dxa"/>
            <w:tcBorders>
              <w:top w:val="single" w:sz="8" w:space="0" w:color="auto"/>
              <w:left w:val="nil"/>
              <w:bottom w:val="single" w:sz="8" w:space="0" w:color="auto"/>
              <w:right w:val="single" w:sz="4" w:space="0" w:color="auto"/>
            </w:tcBorders>
            <w:shd w:val="clear" w:color="auto" w:fill="C2D69B" w:themeFill="accent3" w:themeFillTint="99"/>
            <w:vAlign w:val="center"/>
            <w:hideMark/>
          </w:tcPr>
          <w:p w14:paraId="78B53FE6" w14:textId="77777777" w:rsidR="008D5673" w:rsidRPr="009F287F" w:rsidRDefault="008D5673" w:rsidP="00A566E0">
            <w:pPr>
              <w:spacing w:before="40" w:after="40" w:line="240" w:lineRule="auto"/>
              <w:jc w:val="left"/>
              <w:rPr>
                <w:rFonts w:eastAsia="Times New Roman"/>
                <w:b/>
                <w:bCs/>
                <w:color w:val="000000"/>
                <w:sz w:val="20"/>
                <w:szCs w:val="20"/>
                <w:lang w:eastAsia="cs-CZ"/>
              </w:rPr>
            </w:pPr>
            <w:r w:rsidRPr="009F287F">
              <w:rPr>
                <w:rFonts w:eastAsia="Times New Roman"/>
                <w:b/>
                <w:bCs/>
                <w:color w:val="000000"/>
                <w:sz w:val="20"/>
                <w:szCs w:val="20"/>
                <w:lang w:eastAsia="cs-CZ"/>
              </w:rPr>
              <w:t>výměra ploch (ha)</w:t>
            </w:r>
          </w:p>
        </w:tc>
        <w:tc>
          <w:tcPr>
            <w:tcW w:w="1134" w:type="dxa"/>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5C616279" w14:textId="77777777" w:rsidR="008D5673" w:rsidRPr="009F287F" w:rsidRDefault="008D5673" w:rsidP="00A566E0">
            <w:pPr>
              <w:spacing w:before="40" w:after="40" w:line="240" w:lineRule="auto"/>
              <w:jc w:val="left"/>
              <w:rPr>
                <w:rFonts w:eastAsia="Times New Roman"/>
                <w:b/>
                <w:bCs/>
                <w:color w:val="000000"/>
                <w:sz w:val="20"/>
                <w:szCs w:val="20"/>
                <w:lang w:eastAsia="cs-CZ"/>
              </w:rPr>
            </w:pPr>
            <w:r w:rsidRPr="009F287F">
              <w:rPr>
                <w:rFonts w:eastAsia="Times New Roman"/>
                <w:b/>
                <w:bCs/>
                <w:color w:val="000000"/>
                <w:sz w:val="20"/>
                <w:szCs w:val="20"/>
                <w:lang w:eastAsia="cs-CZ"/>
              </w:rPr>
              <w:t>podíl</w:t>
            </w:r>
          </w:p>
        </w:tc>
        <w:tc>
          <w:tcPr>
            <w:tcW w:w="1417" w:type="dxa"/>
            <w:tcBorders>
              <w:top w:val="single" w:sz="8" w:space="0" w:color="auto"/>
              <w:left w:val="single" w:sz="4" w:space="0" w:color="auto"/>
              <w:bottom w:val="single" w:sz="8" w:space="0" w:color="auto"/>
              <w:right w:val="single" w:sz="8" w:space="0" w:color="auto"/>
            </w:tcBorders>
            <w:shd w:val="clear" w:color="auto" w:fill="C2D69B" w:themeFill="accent3" w:themeFillTint="99"/>
            <w:vAlign w:val="center"/>
            <w:hideMark/>
          </w:tcPr>
          <w:p w14:paraId="1F0BA8FB" w14:textId="77777777" w:rsidR="008D5673" w:rsidRPr="009F287F" w:rsidRDefault="008D5673" w:rsidP="00A566E0">
            <w:pPr>
              <w:spacing w:before="40" w:after="40" w:line="240" w:lineRule="auto"/>
              <w:jc w:val="left"/>
              <w:rPr>
                <w:rFonts w:eastAsia="Times New Roman"/>
                <w:b/>
                <w:bCs/>
                <w:color w:val="000000"/>
                <w:sz w:val="20"/>
                <w:szCs w:val="20"/>
                <w:lang w:eastAsia="cs-CZ"/>
              </w:rPr>
            </w:pPr>
            <w:r w:rsidRPr="009F287F">
              <w:rPr>
                <w:rFonts w:eastAsia="Times New Roman"/>
                <w:b/>
                <w:bCs/>
                <w:color w:val="000000"/>
                <w:sz w:val="20"/>
                <w:szCs w:val="20"/>
                <w:lang w:eastAsia="cs-CZ"/>
              </w:rPr>
              <w:t>reálný zábor ZPF (ha)*</w:t>
            </w:r>
          </w:p>
        </w:tc>
      </w:tr>
      <w:tr w:rsidR="008D5673" w:rsidRPr="009F287F" w14:paraId="51E2BC7E" w14:textId="77777777" w:rsidTr="008D5673">
        <w:trPr>
          <w:trHeight w:val="315"/>
        </w:trPr>
        <w:tc>
          <w:tcPr>
            <w:tcW w:w="9214" w:type="dxa"/>
            <w:gridSpan w:val="5"/>
            <w:tcBorders>
              <w:top w:val="nil"/>
              <w:left w:val="single" w:sz="8" w:space="0" w:color="auto"/>
              <w:bottom w:val="single" w:sz="8" w:space="0" w:color="auto"/>
              <w:right w:val="single" w:sz="8" w:space="0" w:color="auto"/>
            </w:tcBorders>
            <w:shd w:val="clear" w:color="auto" w:fill="auto"/>
            <w:vAlign w:val="center"/>
          </w:tcPr>
          <w:p w14:paraId="4922AA0E" w14:textId="77777777" w:rsidR="008D5673" w:rsidRPr="009F287F" w:rsidRDefault="008D5673" w:rsidP="00A566E0">
            <w:pPr>
              <w:spacing w:before="40" w:after="40" w:line="240" w:lineRule="auto"/>
              <w:rPr>
                <w:rFonts w:eastAsia="Times New Roman"/>
                <w:b/>
                <w:bCs/>
                <w:color w:val="000000"/>
                <w:sz w:val="20"/>
                <w:szCs w:val="20"/>
                <w:lang w:eastAsia="cs-CZ"/>
              </w:rPr>
            </w:pPr>
            <w:r w:rsidRPr="009F287F">
              <w:rPr>
                <w:rFonts w:eastAsia="Times New Roman"/>
                <w:b/>
                <w:bCs/>
                <w:color w:val="000000"/>
                <w:sz w:val="20"/>
                <w:szCs w:val="20"/>
                <w:lang w:eastAsia="cs-CZ"/>
              </w:rPr>
              <w:t>PLOCHY ZMĚN CELKEM (bez ploch změn v krajině)</w:t>
            </w:r>
          </w:p>
        </w:tc>
      </w:tr>
      <w:tr w:rsidR="008D5673" w:rsidRPr="009F287F" w14:paraId="06B90F6D" w14:textId="77777777" w:rsidTr="009F287F">
        <w:trPr>
          <w:trHeight w:val="315"/>
        </w:trPr>
        <w:tc>
          <w:tcPr>
            <w:tcW w:w="4111"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2660CB6" w14:textId="77777777" w:rsidR="008D5673" w:rsidRPr="009F287F" w:rsidRDefault="008D5673" w:rsidP="00A566E0">
            <w:pPr>
              <w:spacing w:before="40" w:after="40" w:line="240" w:lineRule="auto"/>
              <w:jc w:val="left"/>
              <w:rPr>
                <w:rFonts w:eastAsia="Times New Roman"/>
                <w:bCs/>
                <w:color w:val="000000"/>
                <w:sz w:val="20"/>
                <w:szCs w:val="20"/>
                <w:lang w:eastAsia="cs-CZ"/>
              </w:rPr>
            </w:pPr>
            <w:r w:rsidRPr="009F287F">
              <w:rPr>
                <w:rFonts w:eastAsia="Times New Roman"/>
                <w:bCs/>
                <w:color w:val="000000"/>
                <w:sz w:val="20"/>
                <w:szCs w:val="20"/>
                <w:lang w:eastAsia="cs-CZ"/>
              </w:rPr>
              <w:t>plochy bez záboru ZPF</w:t>
            </w:r>
          </w:p>
        </w:tc>
        <w:tc>
          <w:tcPr>
            <w:tcW w:w="1276" w:type="dxa"/>
            <w:tcBorders>
              <w:top w:val="nil"/>
              <w:left w:val="nil"/>
              <w:bottom w:val="single" w:sz="8" w:space="0" w:color="auto"/>
              <w:right w:val="single" w:sz="8" w:space="0" w:color="auto"/>
            </w:tcBorders>
            <w:shd w:val="clear" w:color="auto" w:fill="auto"/>
            <w:vAlign w:val="center"/>
            <w:hideMark/>
          </w:tcPr>
          <w:p w14:paraId="20025AEA" w14:textId="77777777" w:rsidR="008D5673" w:rsidRPr="00FE179E" w:rsidRDefault="008D5673" w:rsidP="00A566E0">
            <w:pPr>
              <w:spacing w:before="40" w:after="40" w:line="240" w:lineRule="auto"/>
              <w:rPr>
                <w:rFonts w:eastAsia="Times New Roman"/>
                <w:color w:val="000000"/>
                <w:sz w:val="20"/>
                <w:szCs w:val="20"/>
                <w:lang w:eastAsia="cs-CZ"/>
              </w:rPr>
            </w:pPr>
            <w:r w:rsidRPr="00FE179E">
              <w:rPr>
                <w:rFonts w:eastAsia="Times New Roman"/>
                <w:color w:val="000000"/>
                <w:sz w:val="20"/>
                <w:szCs w:val="20"/>
                <w:lang w:eastAsia="cs-CZ"/>
              </w:rPr>
              <w:t>18</w:t>
            </w:r>
          </w:p>
        </w:tc>
        <w:tc>
          <w:tcPr>
            <w:tcW w:w="1276" w:type="dxa"/>
            <w:tcBorders>
              <w:top w:val="nil"/>
              <w:left w:val="nil"/>
              <w:bottom w:val="single" w:sz="8" w:space="0" w:color="auto"/>
              <w:right w:val="single" w:sz="4" w:space="0" w:color="auto"/>
            </w:tcBorders>
            <w:shd w:val="clear" w:color="auto" w:fill="auto"/>
            <w:vAlign w:val="center"/>
            <w:hideMark/>
          </w:tcPr>
          <w:p w14:paraId="156690B7" w14:textId="77777777" w:rsidR="008D5673" w:rsidRPr="0084572C" w:rsidRDefault="008D5673" w:rsidP="00A566E0">
            <w:pPr>
              <w:spacing w:before="40" w:after="40" w:line="240" w:lineRule="auto"/>
              <w:rPr>
                <w:rFonts w:eastAsia="Times New Roman"/>
                <w:b/>
                <w:bCs/>
                <w:color w:val="000000"/>
                <w:sz w:val="20"/>
                <w:szCs w:val="20"/>
                <w:lang w:eastAsia="cs-CZ"/>
              </w:rPr>
            </w:pPr>
            <w:r w:rsidRPr="0084572C">
              <w:rPr>
                <w:rFonts w:eastAsia="Times New Roman"/>
                <w:b/>
                <w:bCs/>
                <w:color w:val="000000"/>
                <w:sz w:val="20"/>
                <w:szCs w:val="20"/>
                <w:lang w:eastAsia="cs-CZ"/>
              </w:rPr>
              <w:t>25,383</w:t>
            </w:r>
          </w:p>
        </w:tc>
        <w:tc>
          <w:tcPr>
            <w:tcW w:w="1134" w:type="dxa"/>
            <w:tcBorders>
              <w:top w:val="single" w:sz="4" w:space="0" w:color="auto"/>
              <w:left w:val="single" w:sz="4" w:space="0" w:color="auto"/>
              <w:bottom w:val="single" w:sz="4" w:space="0" w:color="auto"/>
              <w:right w:val="single" w:sz="4" w:space="0" w:color="auto"/>
            </w:tcBorders>
            <w:vAlign w:val="center"/>
          </w:tcPr>
          <w:p w14:paraId="1ACA6E76" w14:textId="77777777" w:rsidR="008D5673" w:rsidRPr="0084572C" w:rsidRDefault="00AC303E" w:rsidP="00A566E0">
            <w:pPr>
              <w:spacing w:before="40" w:after="40" w:line="240" w:lineRule="auto"/>
              <w:rPr>
                <w:rFonts w:eastAsia="Times New Roman"/>
                <w:b/>
                <w:bCs/>
                <w:color w:val="000000"/>
                <w:sz w:val="20"/>
                <w:szCs w:val="20"/>
                <w:lang w:eastAsia="cs-CZ"/>
              </w:rPr>
            </w:pPr>
            <w:r w:rsidRPr="0084572C">
              <w:rPr>
                <w:rFonts w:eastAsia="Times New Roman"/>
                <w:b/>
                <w:bCs/>
                <w:color w:val="000000"/>
                <w:sz w:val="20"/>
                <w:szCs w:val="20"/>
                <w:lang w:eastAsia="cs-CZ"/>
              </w:rPr>
              <w:t>19</w:t>
            </w:r>
            <w:r w:rsidR="008D5673" w:rsidRPr="0084572C">
              <w:rPr>
                <w:rFonts w:eastAsia="Times New Roman"/>
                <w:b/>
                <w:bCs/>
                <w:color w:val="000000"/>
                <w:sz w:val="20"/>
                <w:szCs w:val="20"/>
                <w:lang w:eastAsia="cs-CZ"/>
              </w:rPr>
              <w:t>%</w:t>
            </w:r>
          </w:p>
        </w:tc>
        <w:tc>
          <w:tcPr>
            <w:tcW w:w="1417" w:type="dxa"/>
            <w:tcBorders>
              <w:top w:val="nil"/>
              <w:left w:val="single" w:sz="4" w:space="0" w:color="auto"/>
              <w:bottom w:val="single" w:sz="8" w:space="0" w:color="auto"/>
              <w:right w:val="single" w:sz="8" w:space="0" w:color="auto"/>
            </w:tcBorders>
            <w:shd w:val="clear" w:color="auto" w:fill="auto"/>
            <w:vAlign w:val="center"/>
          </w:tcPr>
          <w:p w14:paraId="62FC5E43" w14:textId="77777777" w:rsidR="008D5673" w:rsidRPr="00AC303E" w:rsidRDefault="008D5673" w:rsidP="00A566E0">
            <w:pPr>
              <w:spacing w:before="40" w:after="40" w:line="240" w:lineRule="auto"/>
              <w:rPr>
                <w:rFonts w:eastAsia="Times New Roman"/>
                <w:b/>
                <w:bCs/>
                <w:color w:val="000000"/>
                <w:sz w:val="20"/>
                <w:szCs w:val="20"/>
                <w:lang w:eastAsia="cs-CZ"/>
              </w:rPr>
            </w:pPr>
          </w:p>
        </w:tc>
      </w:tr>
      <w:tr w:rsidR="008D5673" w:rsidRPr="009F287F" w14:paraId="45BFD16C" w14:textId="77777777" w:rsidTr="009F287F">
        <w:trPr>
          <w:trHeight w:val="315"/>
        </w:trPr>
        <w:tc>
          <w:tcPr>
            <w:tcW w:w="4111"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4918F55" w14:textId="77777777" w:rsidR="008D5673" w:rsidRPr="009F287F" w:rsidRDefault="008D5673" w:rsidP="00A566E0">
            <w:pPr>
              <w:spacing w:before="40" w:after="40" w:line="240" w:lineRule="auto"/>
              <w:jc w:val="left"/>
              <w:rPr>
                <w:rFonts w:eastAsia="Times New Roman"/>
                <w:bCs/>
                <w:color w:val="000000"/>
                <w:sz w:val="20"/>
                <w:szCs w:val="20"/>
                <w:lang w:eastAsia="cs-CZ"/>
              </w:rPr>
            </w:pPr>
            <w:r w:rsidRPr="009F287F">
              <w:rPr>
                <w:rFonts w:eastAsia="Times New Roman"/>
                <w:bCs/>
                <w:color w:val="000000"/>
                <w:sz w:val="20"/>
                <w:szCs w:val="20"/>
                <w:lang w:eastAsia="cs-CZ"/>
              </w:rPr>
              <w:t>plochy se záborem ZPF</w:t>
            </w:r>
          </w:p>
        </w:tc>
        <w:tc>
          <w:tcPr>
            <w:tcW w:w="1276" w:type="dxa"/>
            <w:tcBorders>
              <w:top w:val="nil"/>
              <w:left w:val="nil"/>
              <w:bottom w:val="single" w:sz="8" w:space="0" w:color="auto"/>
              <w:right w:val="single" w:sz="8" w:space="0" w:color="auto"/>
            </w:tcBorders>
            <w:shd w:val="clear" w:color="auto" w:fill="auto"/>
            <w:vAlign w:val="center"/>
            <w:hideMark/>
          </w:tcPr>
          <w:p w14:paraId="5F347556" w14:textId="1E0433D4" w:rsidR="008D5673" w:rsidRPr="00FE179E" w:rsidRDefault="00FE179E" w:rsidP="00FE179E">
            <w:pPr>
              <w:spacing w:before="40" w:after="40" w:line="240" w:lineRule="auto"/>
              <w:rPr>
                <w:rFonts w:eastAsia="Times New Roman"/>
                <w:sz w:val="20"/>
                <w:szCs w:val="20"/>
                <w:lang w:eastAsia="cs-CZ"/>
              </w:rPr>
            </w:pPr>
            <w:r w:rsidRPr="00FE179E">
              <w:rPr>
                <w:rFonts w:eastAsia="Times New Roman"/>
                <w:sz w:val="20"/>
                <w:szCs w:val="20"/>
                <w:lang w:eastAsia="cs-CZ"/>
              </w:rPr>
              <w:t>90</w:t>
            </w:r>
          </w:p>
        </w:tc>
        <w:tc>
          <w:tcPr>
            <w:tcW w:w="1276" w:type="dxa"/>
            <w:tcBorders>
              <w:top w:val="nil"/>
              <w:left w:val="nil"/>
              <w:bottom w:val="single" w:sz="8" w:space="0" w:color="auto"/>
              <w:right w:val="single" w:sz="4" w:space="0" w:color="auto"/>
            </w:tcBorders>
            <w:shd w:val="clear" w:color="auto" w:fill="auto"/>
            <w:vAlign w:val="center"/>
            <w:hideMark/>
          </w:tcPr>
          <w:p w14:paraId="7A864CB0" w14:textId="4CB6CEAF" w:rsidR="008D5673" w:rsidRPr="0084572C" w:rsidRDefault="0084572C" w:rsidP="00A566E0">
            <w:pPr>
              <w:spacing w:before="40" w:after="40" w:line="240" w:lineRule="auto"/>
              <w:rPr>
                <w:rFonts w:eastAsia="Times New Roman"/>
                <w:b/>
                <w:bCs/>
                <w:sz w:val="20"/>
                <w:szCs w:val="20"/>
                <w:lang w:eastAsia="cs-CZ"/>
              </w:rPr>
            </w:pPr>
            <w:r>
              <w:rPr>
                <w:rFonts w:eastAsia="Times New Roman"/>
                <w:b/>
                <w:bCs/>
                <w:sz w:val="20"/>
                <w:szCs w:val="20"/>
                <w:lang w:eastAsia="cs-CZ"/>
              </w:rPr>
              <w:t xml:space="preserve"> </w:t>
            </w:r>
            <w:r w:rsidRPr="0084572C">
              <w:rPr>
                <w:rFonts w:eastAsia="Times New Roman"/>
                <w:b/>
                <w:bCs/>
                <w:sz w:val="20"/>
                <w:szCs w:val="20"/>
                <w:lang w:eastAsia="cs-CZ"/>
              </w:rPr>
              <w:t>108,331</w:t>
            </w:r>
          </w:p>
        </w:tc>
        <w:tc>
          <w:tcPr>
            <w:tcW w:w="1134" w:type="dxa"/>
            <w:tcBorders>
              <w:top w:val="single" w:sz="4" w:space="0" w:color="auto"/>
              <w:left w:val="single" w:sz="4" w:space="0" w:color="auto"/>
              <w:bottom w:val="single" w:sz="4" w:space="0" w:color="auto"/>
              <w:right w:val="single" w:sz="4" w:space="0" w:color="auto"/>
            </w:tcBorders>
            <w:vAlign w:val="center"/>
          </w:tcPr>
          <w:p w14:paraId="0D390416" w14:textId="77777777" w:rsidR="008D5673" w:rsidRPr="0084572C" w:rsidRDefault="00AC303E" w:rsidP="00A566E0">
            <w:pPr>
              <w:spacing w:before="40" w:after="40" w:line="240" w:lineRule="auto"/>
              <w:rPr>
                <w:rFonts w:eastAsia="Times New Roman"/>
                <w:b/>
                <w:bCs/>
                <w:sz w:val="20"/>
                <w:szCs w:val="20"/>
                <w:lang w:eastAsia="cs-CZ"/>
              </w:rPr>
            </w:pPr>
            <w:r w:rsidRPr="0084572C">
              <w:rPr>
                <w:rFonts w:eastAsia="Times New Roman"/>
                <w:b/>
                <w:bCs/>
                <w:sz w:val="20"/>
                <w:szCs w:val="20"/>
                <w:lang w:eastAsia="cs-CZ"/>
              </w:rPr>
              <w:t>81</w:t>
            </w:r>
            <w:r w:rsidR="008D5673" w:rsidRPr="0084572C">
              <w:rPr>
                <w:rFonts w:eastAsia="Times New Roman"/>
                <w:b/>
                <w:bCs/>
                <w:sz w:val="20"/>
                <w:szCs w:val="20"/>
                <w:lang w:eastAsia="cs-CZ"/>
              </w:rPr>
              <w:t>%</w:t>
            </w:r>
          </w:p>
        </w:tc>
        <w:tc>
          <w:tcPr>
            <w:tcW w:w="1417" w:type="dxa"/>
            <w:tcBorders>
              <w:top w:val="nil"/>
              <w:left w:val="single" w:sz="4" w:space="0" w:color="auto"/>
              <w:bottom w:val="single" w:sz="8" w:space="0" w:color="auto"/>
              <w:right w:val="single" w:sz="8" w:space="0" w:color="auto"/>
            </w:tcBorders>
            <w:shd w:val="clear" w:color="auto" w:fill="auto"/>
            <w:vAlign w:val="center"/>
            <w:hideMark/>
          </w:tcPr>
          <w:p w14:paraId="5F5E751D" w14:textId="1C23FE3F" w:rsidR="008D5673" w:rsidRPr="00FA2029" w:rsidRDefault="00FE179E" w:rsidP="00A566E0">
            <w:pPr>
              <w:spacing w:before="40" w:after="40" w:line="240" w:lineRule="auto"/>
              <w:rPr>
                <w:rFonts w:eastAsia="Times New Roman"/>
                <w:b/>
                <w:bCs/>
                <w:sz w:val="20"/>
                <w:szCs w:val="20"/>
                <w:highlight w:val="green"/>
                <w:lang w:eastAsia="cs-CZ"/>
              </w:rPr>
            </w:pPr>
            <w:r w:rsidRPr="00FE179E">
              <w:rPr>
                <w:rFonts w:eastAsia="Times New Roman"/>
                <w:b/>
                <w:bCs/>
                <w:sz w:val="20"/>
                <w:szCs w:val="20"/>
                <w:lang w:eastAsia="cs-CZ"/>
              </w:rPr>
              <w:t>97,519</w:t>
            </w:r>
          </w:p>
        </w:tc>
      </w:tr>
      <w:tr w:rsidR="008D5673" w:rsidRPr="009F287F" w14:paraId="11B22168" w14:textId="77777777" w:rsidTr="008D5673">
        <w:trPr>
          <w:trHeight w:val="315"/>
        </w:trPr>
        <w:tc>
          <w:tcPr>
            <w:tcW w:w="9214" w:type="dxa"/>
            <w:gridSpan w:val="5"/>
            <w:tcBorders>
              <w:top w:val="nil"/>
              <w:left w:val="single" w:sz="8" w:space="0" w:color="auto"/>
              <w:bottom w:val="single" w:sz="8" w:space="0" w:color="auto"/>
              <w:right w:val="single" w:sz="8" w:space="0" w:color="auto"/>
            </w:tcBorders>
            <w:shd w:val="clear" w:color="auto" w:fill="auto"/>
            <w:vAlign w:val="center"/>
          </w:tcPr>
          <w:p w14:paraId="6AD1E7AF" w14:textId="77777777" w:rsidR="008D5673" w:rsidRPr="009F287F" w:rsidRDefault="008D5673" w:rsidP="00A566E0">
            <w:pPr>
              <w:spacing w:before="40" w:after="40" w:line="240" w:lineRule="auto"/>
              <w:rPr>
                <w:rFonts w:eastAsia="Times New Roman"/>
                <w:b/>
                <w:bCs/>
                <w:color w:val="000000"/>
                <w:sz w:val="20"/>
                <w:szCs w:val="20"/>
                <w:lang w:eastAsia="cs-CZ"/>
              </w:rPr>
            </w:pPr>
            <w:r w:rsidRPr="009F287F">
              <w:rPr>
                <w:rFonts w:eastAsia="Times New Roman"/>
                <w:b/>
                <w:bCs/>
                <w:color w:val="000000"/>
                <w:sz w:val="20"/>
                <w:szCs w:val="20"/>
                <w:lang w:eastAsia="cs-CZ"/>
              </w:rPr>
              <w:t>PLOCHY PŘESTAVBY</w:t>
            </w:r>
          </w:p>
        </w:tc>
      </w:tr>
      <w:tr w:rsidR="008D5673" w:rsidRPr="009F287F" w14:paraId="483CAEF2" w14:textId="77777777" w:rsidTr="009F287F">
        <w:trPr>
          <w:trHeight w:val="315"/>
        </w:trPr>
        <w:tc>
          <w:tcPr>
            <w:tcW w:w="4111"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79B85DEE" w14:textId="77777777" w:rsidR="008D5673" w:rsidRPr="009F287F" w:rsidRDefault="008D5673" w:rsidP="00A566E0">
            <w:pPr>
              <w:spacing w:before="40" w:after="40" w:line="240" w:lineRule="auto"/>
              <w:jc w:val="left"/>
              <w:rPr>
                <w:rFonts w:eastAsia="Times New Roman"/>
                <w:bCs/>
                <w:color w:val="000000"/>
                <w:sz w:val="20"/>
                <w:szCs w:val="20"/>
                <w:lang w:eastAsia="cs-CZ"/>
              </w:rPr>
            </w:pPr>
            <w:r w:rsidRPr="009F287F">
              <w:rPr>
                <w:rFonts w:eastAsia="Times New Roman"/>
                <w:bCs/>
                <w:color w:val="000000"/>
                <w:sz w:val="20"/>
                <w:szCs w:val="20"/>
                <w:lang w:eastAsia="cs-CZ"/>
              </w:rPr>
              <w:t>plochy bez záboru ZPF</w:t>
            </w:r>
          </w:p>
        </w:tc>
        <w:tc>
          <w:tcPr>
            <w:tcW w:w="1276" w:type="dxa"/>
            <w:tcBorders>
              <w:top w:val="nil"/>
              <w:left w:val="nil"/>
              <w:bottom w:val="single" w:sz="8" w:space="0" w:color="auto"/>
              <w:right w:val="single" w:sz="8" w:space="0" w:color="auto"/>
            </w:tcBorders>
            <w:shd w:val="clear" w:color="auto" w:fill="auto"/>
            <w:vAlign w:val="center"/>
            <w:hideMark/>
          </w:tcPr>
          <w:p w14:paraId="30F87AC8" w14:textId="77777777" w:rsidR="008D5673" w:rsidRPr="00FE179E" w:rsidRDefault="008D5673" w:rsidP="00A566E0">
            <w:pPr>
              <w:spacing w:before="40" w:after="40" w:line="240" w:lineRule="auto"/>
              <w:rPr>
                <w:rFonts w:eastAsia="Times New Roman"/>
                <w:color w:val="000000"/>
                <w:sz w:val="20"/>
                <w:szCs w:val="20"/>
                <w:lang w:eastAsia="cs-CZ"/>
              </w:rPr>
            </w:pPr>
            <w:r w:rsidRPr="00FE179E">
              <w:rPr>
                <w:rFonts w:eastAsia="Times New Roman"/>
                <w:color w:val="000000"/>
                <w:sz w:val="20"/>
                <w:szCs w:val="20"/>
                <w:lang w:eastAsia="cs-CZ"/>
              </w:rPr>
              <w:t>12</w:t>
            </w:r>
          </w:p>
        </w:tc>
        <w:tc>
          <w:tcPr>
            <w:tcW w:w="1276" w:type="dxa"/>
            <w:tcBorders>
              <w:top w:val="nil"/>
              <w:left w:val="nil"/>
              <w:bottom w:val="single" w:sz="8" w:space="0" w:color="auto"/>
              <w:right w:val="single" w:sz="4" w:space="0" w:color="auto"/>
            </w:tcBorders>
            <w:shd w:val="clear" w:color="auto" w:fill="auto"/>
            <w:vAlign w:val="center"/>
            <w:hideMark/>
          </w:tcPr>
          <w:p w14:paraId="478B264B" w14:textId="77777777" w:rsidR="008D5673" w:rsidRPr="0084572C" w:rsidRDefault="008D5673" w:rsidP="00A566E0">
            <w:pPr>
              <w:spacing w:before="40" w:after="40" w:line="240" w:lineRule="auto"/>
              <w:rPr>
                <w:rFonts w:eastAsia="Times New Roman"/>
                <w:b/>
                <w:bCs/>
                <w:color w:val="000000"/>
                <w:sz w:val="20"/>
                <w:szCs w:val="20"/>
                <w:lang w:eastAsia="cs-CZ"/>
              </w:rPr>
            </w:pPr>
            <w:r w:rsidRPr="0084572C">
              <w:rPr>
                <w:rFonts w:eastAsia="Times New Roman"/>
                <w:b/>
                <w:bCs/>
                <w:color w:val="000000"/>
                <w:sz w:val="20"/>
                <w:szCs w:val="20"/>
                <w:lang w:eastAsia="cs-CZ"/>
              </w:rPr>
              <w:t>10,720</w:t>
            </w:r>
          </w:p>
        </w:tc>
        <w:tc>
          <w:tcPr>
            <w:tcW w:w="1134" w:type="dxa"/>
            <w:tcBorders>
              <w:top w:val="single" w:sz="4" w:space="0" w:color="auto"/>
              <w:left w:val="single" w:sz="4" w:space="0" w:color="auto"/>
              <w:bottom w:val="single" w:sz="4" w:space="0" w:color="auto"/>
              <w:right w:val="single" w:sz="4" w:space="0" w:color="auto"/>
            </w:tcBorders>
            <w:vAlign w:val="center"/>
          </w:tcPr>
          <w:p w14:paraId="4048EAB4" w14:textId="2BDD753B" w:rsidR="008D5673" w:rsidRPr="0084572C" w:rsidRDefault="0084572C" w:rsidP="0084572C">
            <w:pPr>
              <w:spacing w:before="40" w:after="40" w:line="240" w:lineRule="auto"/>
              <w:rPr>
                <w:rFonts w:eastAsia="Times New Roman"/>
                <w:b/>
                <w:bCs/>
                <w:color w:val="000000"/>
                <w:sz w:val="20"/>
                <w:szCs w:val="20"/>
                <w:lang w:eastAsia="cs-CZ"/>
              </w:rPr>
            </w:pPr>
            <w:r w:rsidRPr="0084572C">
              <w:rPr>
                <w:rFonts w:eastAsia="Times New Roman"/>
                <w:b/>
                <w:bCs/>
                <w:color w:val="000000"/>
                <w:sz w:val="20"/>
                <w:szCs w:val="20"/>
                <w:lang w:eastAsia="cs-CZ"/>
              </w:rPr>
              <w:t>47</w:t>
            </w:r>
            <w:r w:rsidR="008D5673" w:rsidRPr="0084572C">
              <w:rPr>
                <w:rFonts w:eastAsia="Times New Roman"/>
                <w:b/>
                <w:bCs/>
                <w:color w:val="000000"/>
                <w:sz w:val="20"/>
                <w:szCs w:val="20"/>
                <w:lang w:eastAsia="cs-CZ"/>
              </w:rPr>
              <w:t>%</w:t>
            </w:r>
          </w:p>
        </w:tc>
        <w:tc>
          <w:tcPr>
            <w:tcW w:w="1417" w:type="dxa"/>
            <w:tcBorders>
              <w:top w:val="nil"/>
              <w:left w:val="single" w:sz="4" w:space="0" w:color="auto"/>
              <w:bottom w:val="single" w:sz="8" w:space="0" w:color="auto"/>
              <w:right w:val="single" w:sz="8" w:space="0" w:color="auto"/>
            </w:tcBorders>
            <w:shd w:val="clear" w:color="auto" w:fill="auto"/>
            <w:vAlign w:val="center"/>
          </w:tcPr>
          <w:p w14:paraId="4860E4F7" w14:textId="77777777" w:rsidR="008D5673" w:rsidRPr="009F287F" w:rsidRDefault="008D5673" w:rsidP="00A566E0">
            <w:pPr>
              <w:spacing w:before="40" w:after="40" w:line="240" w:lineRule="auto"/>
              <w:rPr>
                <w:rFonts w:eastAsia="Times New Roman"/>
                <w:b/>
                <w:bCs/>
                <w:color w:val="000000"/>
                <w:sz w:val="20"/>
                <w:szCs w:val="20"/>
                <w:lang w:eastAsia="cs-CZ"/>
              </w:rPr>
            </w:pPr>
          </w:p>
        </w:tc>
      </w:tr>
      <w:tr w:rsidR="008D5673" w:rsidRPr="009F287F" w14:paraId="4F0ABA19" w14:textId="77777777" w:rsidTr="009F287F">
        <w:trPr>
          <w:trHeight w:val="315"/>
        </w:trPr>
        <w:tc>
          <w:tcPr>
            <w:tcW w:w="4111"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5B10643C" w14:textId="77777777" w:rsidR="008D5673" w:rsidRPr="009F287F" w:rsidRDefault="008D5673" w:rsidP="00A566E0">
            <w:pPr>
              <w:spacing w:before="40" w:after="40" w:line="240" w:lineRule="auto"/>
              <w:jc w:val="left"/>
              <w:rPr>
                <w:rFonts w:eastAsia="Times New Roman"/>
                <w:bCs/>
                <w:color w:val="000000"/>
                <w:sz w:val="20"/>
                <w:szCs w:val="20"/>
                <w:lang w:eastAsia="cs-CZ"/>
              </w:rPr>
            </w:pPr>
            <w:r w:rsidRPr="009F287F">
              <w:rPr>
                <w:rFonts w:eastAsia="Times New Roman"/>
                <w:bCs/>
                <w:color w:val="000000"/>
                <w:sz w:val="20"/>
                <w:szCs w:val="20"/>
                <w:lang w:eastAsia="cs-CZ"/>
              </w:rPr>
              <w:t>plochy se záborem ZPF</w:t>
            </w:r>
          </w:p>
        </w:tc>
        <w:tc>
          <w:tcPr>
            <w:tcW w:w="1276" w:type="dxa"/>
            <w:tcBorders>
              <w:top w:val="nil"/>
              <w:left w:val="nil"/>
              <w:bottom w:val="single" w:sz="8" w:space="0" w:color="auto"/>
              <w:right w:val="single" w:sz="8" w:space="0" w:color="auto"/>
            </w:tcBorders>
            <w:shd w:val="clear" w:color="auto" w:fill="auto"/>
            <w:vAlign w:val="center"/>
            <w:hideMark/>
          </w:tcPr>
          <w:p w14:paraId="1EE24856" w14:textId="69E710B4" w:rsidR="008D5673" w:rsidRPr="00FE179E" w:rsidRDefault="00FE179E" w:rsidP="00FE179E">
            <w:pPr>
              <w:spacing w:before="40" w:after="40" w:line="240" w:lineRule="auto"/>
              <w:rPr>
                <w:rFonts w:eastAsia="Times New Roman"/>
                <w:sz w:val="20"/>
                <w:szCs w:val="20"/>
                <w:lang w:eastAsia="cs-CZ"/>
              </w:rPr>
            </w:pPr>
            <w:r w:rsidRPr="00FE179E">
              <w:rPr>
                <w:rFonts w:eastAsia="Times New Roman"/>
                <w:sz w:val="20"/>
                <w:szCs w:val="20"/>
                <w:lang w:eastAsia="cs-CZ"/>
              </w:rPr>
              <w:t>16</w:t>
            </w:r>
          </w:p>
        </w:tc>
        <w:tc>
          <w:tcPr>
            <w:tcW w:w="1276" w:type="dxa"/>
            <w:tcBorders>
              <w:top w:val="nil"/>
              <w:left w:val="nil"/>
              <w:bottom w:val="single" w:sz="8" w:space="0" w:color="auto"/>
              <w:right w:val="single" w:sz="4" w:space="0" w:color="auto"/>
            </w:tcBorders>
            <w:shd w:val="clear" w:color="auto" w:fill="auto"/>
            <w:vAlign w:val="center"/>
            <w:hideMark/>
          </w:tcPr>
          <w:p w14:paraId="69FDCC5A" w14:textId="6078B30A" w:rsidR="008D5673" w:rsidRPr="003F68C9" w:rsidRDefault="0084572C" w:rsidP="00A566E0">
            <w:pPr>
              <w:spacing w:before="40" w:after="40" w:line="240" w:lineRule="auto"/>
              <w:rPr>
                <w:rFonts w:eastAsia="Times New Roman"/>
                <w:b/>
                <w:bCs/>
                <w:sz w:val="20"/>
                <w:szCs w:val="20"/>
                <w:highlight w:val="green"/>
                <w:lang w:eastAsia="cs-CZ"/>
              </w:rPr>
            </w:pPr>
            <w:r w:rsidRPr="0084572C">
              <w:rPr>
                <w:rFonts w:eastAsia="Times New Roman"/>
                <w:b/>
                <w:bCs/>
                <w:sz w:val="20"/>
                <w:szCs w:val="20"/>
                <w:lang w:eastAsia="cs-CZ"/>
              </w:rPr>
              <w:t>11,986</w:t>
            </w:r>
          </w:p>
        </w:tc>
        <w:tc>
          <w:tcPr>
            <w:tcW w:w="1134" w:type="dxa"/>
            <w:tcBorders>
              <w:top w:val="single" w:sz="4" w:space="0" w:color="auto"/>
              <w:left w:val="single" w:sz="4" w:space="0" w:color="auto"/>
              <w:bottom w:val="single" w:sz="4" w:space="0" w:color="auto"/>
              <w:right w:val="single" w:sz="4" w:space="0" w:color="auto"/>
            </w:tcBorders>
            <w:vAlign w:val="center"/>
          </w:tcPr>
          <w:p w14:paraId="489592FA" w14:textId="117964D2" w:rsidR="008D5673" w:rsidRPr="0084572C" w:rsidRDefault="0084572C" w:rsidP="0084572C">
            <w:pPr>
              <w:spacing w:before="40" w:after="40" w:line="240" w:lineRule="auto"/>
              <w:rPr>
                <w:rFonts w:eastAsia="Times New Roman"/>
                <w:b/>
                <w:bCs/>
                <w:color w:val="000000"/>
                <w:sz w:val="20"/>
                <w:szCs w:val="20"/>
                <w:lang w:eastAsia="cs-CZ"/>
              </w:rPr>
            </w:pPr>
            <w:r w:rsidRPr="0084572C">
              <w:rPr>
                <w:rFonts w:eastAsia="Times New Roman"/>
                <w:b/>
                <w:bCs/>
                <w:color w:val="000000"/>
                <w:sz w:val="20"/>
                <w:szCs w:val="20"/>
                <w:lang w:eastAsia="cs-CZ"/>
              </w:rPr>
              <w:t>53</w:t>
            </w:r>
            <w:r w:rsidR="008D5673" w:rsidRPr="0084572C">
              <w:rPr>
                <w:rFonts w:eastAsia="Times New Roman"/>
                <w:b/>
                <w:bCs/>
                <w:color w:val="000000"/>
                <w:sz w:val="20"/>
                <w:szCs w:val="20"/>
                <w:lang w:eastAsia="cs-CZ"/>
              </w:rPr>
              <w:t>%</w:t>
            </w:r>
          </w:p>
        </w:tc>
        <w:tc>
          <w:tcPr>
            <w:tcW w:w="1417" w:type="dxa"/>
            <w:tcBorders>
              <w:top w:val="nil"/>
              <w:left w:val="single" w:sz="4" w:space="0" w:color="auto"/>
              <w:bottom w:val="single" w:sz="8" w:space="0" w:color="auto"/>
              <w:right w:val="single" w:sz="8" w:space="0" w:color="auto"/>
            </w:tcBorders>
            <w:shd w:val="clear" w:color="auto" w:fill="auto"/>
            <w:vAlign w:val="center"/>
            <w:hideMark/>
          </w:tcPr>
          <w:p w14:paraId="2D346B72" w14:textId="791D8C20" w:rsidR="008D5673" w:rsidRPr="003F68C9" w:rsidRDefault="0084572C" w:rsidP="00A566E0">
            <w:pPr>
              <w:spacing w:before="40" w:after="40" w:line="240" w:lineRule="auto"/>
              <w:rPr>
                <w:rFonts w:eastAsia="Times New Roman"/>
                <w:b/>
                <w:bCs/>
                <w:sz w:val="20"/>
                <w:szCs w:val="20"/>
                <w:highlight w:val="green"/>
                <w:lang w:eastAsia="cs-CZ"/>
              </w:rPr>
            </w:pPr>
            <w:r w:rsidRPr="0084572C">
              <w:rPr>
                <w:rFonts w:eastAsia="Times New Roman"/>
                <w:b/>
                <w:bCs/>
                <w:sz w:val="20"/>
                <w:szCs w:val="20"/>
                <w:lang w:eastAsia="cs-CZ"/>
              </w:rPr>
              <w:t>7,337</w:t>
            </w:r>
          </w:p>
        </w:tc>
      </w:tr>
      <w:tr w:rsidR="008D5673" w:rsidRPr="009F287F" w14:paraId="27183653" w14:textId="77777777" w:rsidTr="008D5673">
        <w:trPr>
          <w:trHeight w:val="315"/>
        </w:trPr>
        <w:tc>
          <w:tcPr>
            <w:tcW w:w="9214" w:type="dxa"/>
            <w:gridSpan w:val="5"/>
            <w:tcBorders>
              <w:top w:val="nil"/>
              <w:left w:val="single" w:sz="8" w:space="0" w:color="auto"/>
              <w:bottom w:val="single" w:sz="8" w:space="0" w:color="auto"/>
              <w:right w:val="single" w:sz="8" w:space="0" w:color="auto"/>
            </w:tcBorders>
            <w:shd w:val="clear" w:color="auto" w:fill="auto"/>
            <w:vAlign w:val="center"/>
          </w:tcPr>
          <w:p w14:paraId="69922812" w14:textId="77777777" w:rsidR="008D5673" w:rsidRPr="009F287F" w:rsidRDefault="008D5673" w:rsidP="00A566E0">
            <w:pPr>
              <w:spacing w:before="40" w:after="40" w:line="240" w:lineRule="auto"/>
              <w:rPr>
                <w:rFonts w:eastAsia="Times New Roman"/>
                <w:b/>
                <w:bCs/>
                <w:color w:val="000000"/>
                <w:sz w:val="20"/>
                <w:szCs w:val="20"/>
                <w:lang w:eastAsia="cs-CZ"/>
              </w:rPr>
            </w:pPr>
            <w:r w:rsidRPr="009F287F">
              <w:rPr>
                <w:rFonts w:eastAsia="Times New Roman"/>
                <w:b/>
                <w:bCs/>
                <w:color w:val="000000"/>
                <w:sz w:val="20"/>
                <w:szCs w:val="20"/>
                <w:lang w:eastAsia="cs-CZ"/>
              </w:rPr>
              <w:t>PLOCHY ZASTAVITELNÉ</w:t>
            </w:r>
          </w:p>
        </w:tc>
      </w:tr>
      <w:tr w:rsidR="008D5673" w:rsidRPr="009F287F" w14:paraId="3BD8DBB0" w14:textId="77777777" w:rsidTr="009F287F">
        <w:trPr>
          <w:trHeight w:val="315"/>
        </w:trPr>
        <w:tc>
          <w:tcPr>
            <w:tcW w:w="4111"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66E8C453" w14:textId="77777777" w:rsidR="008D5673" w:rsidRPr="009F287F" w:rsidRDefault="008D5673" w:rsidP="00A566E0">
            <w:pPr>
              <w:spacing w:before="40" w:after="40" w:line="240" w:lineRule="auto"/>
              <w:jc w:val="left"/>
              <w:rPr>
                <w:rFonts w:eastAsia="Times New Roman"/>
                <w:bCs/>
                <w:color w:val="000000"/>
                <w:sz w:val="20"/>
                <w:szCs w:val="20"/>
                <w:lang w:eastAsia="cs-CZ"/>
              </w:rPr>
            </w:pPr>
            <w:r w:rsidRPr="009F287F">
              <w:rPr>
                <w:rFonts w:eastAsia="Times New Roman"/>
                <w:bCs/>
                <w:color w:val="000000"/>
                <w:sz w:val="20"/>
                <w:szCs w:val="20"/>
                <w:lang w:eastAsia="cs-CZ"/>
              </w:rPr>
              <w:t>plochy bez záboru ZPF</w:t>
            </w:r>
          </w:p>
        </w:tc>
        <w:tc>
          <w:tcPr>
            <w:tcW w:w="1276" w:type="dxa"/>
            <w:tcBorders>
              <w:top w:val="nil"/>
              <w:left w:val="nil"/>
              <w:bottom w:val="single" w:sz="8" w:space="0" w:color="auto"/>
              <w:right w:val="single" w:sz="8" w:space="0" w:color="auto"/>
            </w:tcBorders>
            <w:shd w:val="clear" w:color="auto" w:fill="auto"/>
            <w:vAlign w:val="center"/>
            <w:hideMark/>
          </w:tcPr>
          <w:p w14:paraId="0AC08A82" w14:textId="77777777" w:rsidR="008D5673" w:rsidRPr="00FE179E" w:rsidRDefault="008D5673" w:rsidP="00A566E0">
            <w:pPr>
              <w:spacing w:before="40" w:after="40" w:line="240" w:lineRule="auto"/>
              <w:rPr>
                <w:rFonts w:eastAsia="Times New Roman"/>
                <w:color w:val="000000"/>
                <w:sz w:val="20"/>
                <w:szCs w:val="20"/>
                <w:lang w:eastAsia="cs-CZ"/>
              </w:rPr>
            </w:pPr>
            <w:r w:rsidRPr="00FE179E">
              <w:rPr>
                <w:rFonts w:eastAsia="Times New Roman"/>
                <w:color w:val="000000"/>
                <w:sz w:val="20"/>
                <w:szCs w:val="20"/>
                <w:lang w:eastAsia="cs-CZ"/>
              </w:rPr>
              <w:t>6</w:t>
            </w:r>
          </w:p>
        </w:tc>
        <w:tc>
          <w:tcPr>
            <w:tcW w:w="1276" w:type="dxa"/>
            <w:tcBorders>
              <w:top w:val="nil"/>
              <w:left w:val="nil"/>
              <w:bottom w:val="single" w:sz="8" w:space="0" w:color="auto"/>
              <w:right w:val="single" w:sz="4" w:space="0" w:color="auto"/>
            </w:tcBorders>
            <w:shd w:val="clear" w:color="auto" w:fill="auto"/>
            <w:vAlign w:val="center"/>
            <w:hideMark/>
          </w:tcPr>
          <w:p w14:paraId="178E555A" w14:textId="77777777" w:rsidR="008D5673" w:rsidRPr="00FE179E" w:rsidRDefault="008D5673" w:rsidP="00A566E0">
            <w:pPr>
              <w:spacing w:before="40" w:after="40" w:line="240" w:lineRule="auto"/>
              <w:rPr>
                <w:rFonts w:eastAsia="Times New Roman"/>
                <w:b/>
                <w:bCs/>
                <w:color w:val="000000"/>
                <w:sz w:val="20"/>
                <w:szCs w:val="20"/>
                <w:lang w:eastAsia="cs-CZ"/>
              </w:rPr>
            </w:pPr>
            <w:r w:rsidRPr="00FE179E">
              <w:rPr>
                <w:rFonts w:eastAsia="Times New Roman"/>
                <w:b/>
                <w:bCs/>
                <w:color w:val="000000"/>
                <w:sz w:val="20"/>
                <w:szCs w:val="20"/>
                <w:lang w:eastAsia="cs-CZ"/>
              </w:rPr>
              <w:t>14,663</w:t>
            </w:r>
          </w:p>
        </w:tc>
        <w:tc>
          <w:tcPr>
            <w:tcW w:w="1134" w:type="dxa"/>
            <w:tcBorders>
              <w:top w:val="single" w:sz="4" w:space="0" w:color="auto"/>
              <w:left w:val="single" w:sz="4" w:space="0" w:color="auto"/>
              <w:bottom w:val="single" w:sz="4" w:space="0" w:color="auto"/>
              <w:right w:val="single" w:sz="4" w:space="0" w:color="auto"/>
            </w:tcBorders>
            <w:vAlign w:val="center"/>
          </w:tcPr>
          <w:p w14:paraId="4A6D130B" w14:textId="77777777" w:rsidR="008D5673" w:rsidRPr="0084572C" w:rsidRDefault="008D5673" w:rsidP="00A566E0">
            <w:pPr>
              <w:spacing w:before="40" w:after="40" w:line="240" w:lineRule="auto"/>
              <w:rPr>
                <w:rFonts w:eastAsia="Times New Roman"/>
                <w:b/>
                <w:bCs/>
                <w:color w:val="000000"/>
                <w:sz w:val="20"/>
                <w:szCs w:val="20"/>
                <w:lang w:eastAsia="cs-CZ"/>
              </w:rPr>
            </w:pPr>
            <w:r w:rsidRPr="0084572C">
              <w:rPr>
                <w:rFonts w:eastAsia="Times New Roman"/>
                <w:b/>
                <w:bCs/>
                <w:color w:val="000000"/>
                <w:sz w:val="20"/>
                <w:szCs w:val="20"/>
                <w:lang w:eastAsia="cs-CZ"/>
              </w:rPr>
              <w:t>1</w:t>
            </w:r>
            <w:r w:rsidR="000D5933" w:rsidRPr="0084572C">
              <w:rPr>
                <w:rFonts w:eastAsia="Times New Roman"/>
                <w:b/>
                <w:bCs/>
                <w:color w:val="000000"/>
                <w:sz w:val="20"/>
                <w:szCs w:val="20"/>
                <w:lang w:eastAsia="cs-CZ"/>
              </w:rPr>
              <w:t>3</w:t>
            </w:r>
            <w:r w:rsidRPr="0084572C">
              <w:rPr>
                <w:rFonts w:eastAsia="Times New Roman"/>
                <w:b/>
                <w:bCs/>
                <w:color w:val="000000"/>
                <w:sz w:val="20"/>
                <w:szCs w:val="20"/>
                <w:lang w:eastAsia="cs-CZ"/>
              </w:rPr>
              <w:t>%</w:t>
            </w:r>
          </w:p>
        </w:tc>
        <w:tc>
          <w:tcPr>
            <w:tcW w:w="1417" w:type="dxa"/>
            <w:tcBorders>
              <w:top w:val="nil"/>
              <w:left w:val="single" w:sz="4" w:space="0" w:color="auto"/>
              <w:bottom w:val="single" w:sz="8" w:space="0" w:color="auto"/>
              <w:right w:val="single" w:sz="8" w:space="0" w:color="auto"/>
            </w:tcBorders>
            <w:shd w:val="clear" w:color="auto" w:fill="auto"/>
            <w:vAlign w:val="center"/>
          </w:tcPr>
          <w:p w14:paraId="5580736C" w14:textId="77777777" w:rsidR="008D5673" w:rsidRPr="000D5933" w:rsidRDefault="008D5673" w:rsidP="00A566E0">
            <w:pPr>
              <w:spacing w:before="40" w:after="40" w:line="240" w:lineRule="auto"/>
              <w:rPr>
                <w:rFonts w:eastAsia="Times New Roman"/>
                <w:b/>
                <w:bCs/>
                <w:color w:val="000000"/>
                <w:sz w:val="20"/>
                <w:szCs w:val="20"/>
                <w:lang w:eastAsia="cs-CZ"/>
              </w:rPr>
            </w:pPr>
          </w:p>
        </w:tc>
      </w:tr>
      <w:tr w:rsidR="008D5673" w:rsidRPr="009F287F" w14:paraId="707E220A" w14:textId="77777777" w:rsidTr="009F287F">
        <w:trPr>
          <w:trHeight w:val="315"/>
        </w:trPr>
        <w:tc>
          <w:tcPr>
            <w:tcW w:w="4111"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970C688" w14:textId="77777777" w:rsidR="008D5673" w:rsidRPr="009F287F" w:rsidRDefault="008D5673" w:rsidP="00A566E0">
            <w:pPr>
              <w:spacing w:before="40" w:after="40" w:line="240" w:lineRule="auto"/>
              <w:jc w:val="left"/>
              <w:rPr>
                <w:rFonts w:eastAsia="Times New Roman"/>
                <w:bCs/>
                <w:color w:val="000000"/>
                <w:sz w:val="20"/>
                <w:szCs w:val="20"/>
                <w:lang w:eastAsia="cs-CZ"/>
              </w:rPr>
            </w:pPr>
            <w:r w:rsidRPr="009F287F">
              <w:rPr>
                <w:rFonts w:eastAsia="Times New Roman"/>
                <w:bCs/>
                <w:color w:val="000000"/>
                <w:sz w:val="20"/>
                <w:szCs w:val="20"/>
                <w:lang w:eastAsia="cs-CZ"/>
              </w:rPr>
              <w:t>plochy se záborem ZPF</w:t>
            </w:r>
          </w:p>
        </w:tc>
        <w:tc>
          <w:tcPr>
            <w:tcW w:w="1276" w:type="dxa"/>
            <w:tcBorders>
              <w:top w:val="nil"/>
              <w:left w:val="nil"/>
              <w:bottom w:val="single" w:sz="8" w:space="0" w:color="auto"/>
              <w:right w:val="single" w:sz="8" w:space="0" w:color="auto"/>
            </w:tcBorders>
            <w:shd w:val="clear" w:color="auto" w:fill="auto"/>
            <w:vAlign w:val="center"/>
            <w:hideMark/>
          </w:tcPr>
          <w:p w14:paraId="467D0FD8" w14:textId="77777777" w:rsidR="008D5673" w:rsidRPr="00FE179E" w:rsidRDefault="008D5673" w:rsidP="00A566E0">
            <w:pPr>
              <w:spacing w:before="40" w:after="40" w:line="240" w:lineRule="auto"/>
              <w:rPr>
                <w:rFonts w:eastAsia="Times New Roman"/>
                <w:sz w:val="20"/>
                <w:szCs w:val="20"/>
                <w:lang w:eastAsia="cs-CZ"/>
              </w:rPr>
            </w:pPr>
            <w:r w:rsidRPr="00FE179E">
              <w:rPr>
                <w:rFonts w:eastAsia="Times New Roman"/>
                <w:sz w:val="20"/>
                <w:szCs w:val="20"/>
                <w:lang w:eastAsia="cs-CZ"/>
              </w:rPr>
              <w:t>74</w:t>
            </w:r>
          </w:p>
        </w:tc>
        <w:tc>
          <w:tcPr>
            <w:tcW w:w="1276" w:type="dxa"/>
            <w:tcBorders>
              <w:top w:val="nil"/>
              <w:left w:val="nil"/>
              <w:bottom w:val="single" w:sz="8" w:space="0" w:color="auto"/>
              <w:right w:val="single" w:sz="4" w:space="0" w:color="auto"/>
            </w:tcBorders>
            <w:shd w:val="clear" w:color="auto" w:fill="auto"/>
            <w:vAlign w:val="center"/>
            <w:hideMark/>
          </w:tcPr>
          <w:p w14:paraId="46D5B366" w14:textId="7D959E88" w:rsidR="008D5673" w:rsidRPr="00FE179E" w:rsidRDefault="00FE179E" w:rsidP="00A566E0">
            <w:pPr>
              <w:spacing w:before="40" w:after="40" w:line="240" w:lineRule="auto"/>
              <w:rPr>
                <w:rFonts w:eastAsia="Times New Roman"/>
                <w:b/>
                <w:bCs/>
                <w:sz w:val="20"/>
                <w:szCs w:val="20"/>
                <w:lang w:eastAsia="cs-CZ"/>
              </w:rPr>
            </w:pPr>
            <w:r w:rsidRPr="00FE179E">
              <w:rPr>
                <w:rFonts w:eastAsia="Times New Roman"/>
                <w:b/>
                <w:bCs/>
                <w:sz w:val="20"/>
                <w:szCs w:val="20"/>
                <w:lang w:eastAsia="cs-CZ"/>
              </w:rPr>
              <w:t>96,345</w:t>
            </w:r>
          </w:p>
        </w:tc>
        <w:tc>
          <w:tcPr>
            <w:tcW w:w="1134" w:type="dxa"/>
            <w:tcBorders>
              <w:top w:val="single" w:sz="4" w:space="0" w:color="auto"/>
              <w:left w:val="single" w:sz="4" w:space="0" w:color="auto"/>
              <w:bottom w:val="single" w:sz="4" w:space="0" w:color="auto"/>
              <w:right w:val="single" w:sz="4" w:space="0" w:color="auto"/>
            </w:tcBorders>
            <w:vAlign w:val="center"/>
          </w:tcPr>
          <w:p w14:paraId="0F503968" w14:textId="77777777" w:rsidR="008D5673" w:rsidRPr="0084572C" w:rsidRDefault="008D5673" w:rsidP="00A566E0">
            <w:pPr>
              <w:spacing w:before="40" w:after="40" w:line="240" w:lineRule="auto"/>
              <w:rPr>
                <w:rFonts w:eastAsia="Times New Roman"/>
                <w:b/>
                <w:bCs/>
                <w:sz w:val="20"/>
                <w:szCs w:val="20"/>
                <w:lang w:eastAsia="cs-CZ"/>
              </w:rPr>
            </w:pPr>
            <w:r w:rsidRPr="0084572C">
              <w:rPr>
                <w:rFonts w:eastAsia="Times New Roman"/>
                <w:b/>
                <w:bCs/>
                <w:sz w:val="20"/>
                <w:szCs w:val="20"/>
                <w:lang w:eastAsia="cs-CZ"/>
              </w:rPr>
              <w:t>8</w:t>
            </w:r>
            <w:r w:rsidR="000D5933" w:rsidRPr="0084572C">
              <w:rPr>
                <w:rFonts w:eastAsia="Times New Roman"/>
                <w:b/>
                <w:bCs/>
                <w:sz w:val="20"/>
                <w:szCs w:val="20"/>
                <w:lang w:eastAsia="cs-CZ"/>
              </w:rPr>
              <w:t>7</w:t>
            </w:r>
            <w:r w:rsidRPr="0084572C">
              <w:rPr>
                <w:rFonts w:eastAsia="Times New Roman"/>
                <w:b/>
                <w:bCs/>
                <w:sz w:val="20"/>
                <w:szCs w:val="20"/>
                <w:lang w:eastAsia="cs-CZ"/>
              </w:rPr>
              <w:t>%</w:t>
            </w:r>
          </w:p>
        </w:tc>
        <w:tc>
          <w:tcPr>
            <w:tcW w:w="1417" w:type="dxa"/>
            <w:tcBorders>
              <w:top w:val="nil"/>
              <w:left w:val="single" w:sz="4" w:space="0" w:color="auto"/>
              <w:bottom w:val="single" w:sz="8" w:space="0" w:color="auto"/>
              <w:right w:val="single" w:sz="8" w:space="0" w:color="auto"/>
            </w:tcBorders>
            <w:shd w:val="clear" w:color="auto" w:fill="auto"/>
            <w:vAlign w:val="center"/>
            <w:hideMark/>
          </w:tcPr>
          <w:p w14:paraId="13B70D19" w14:textId="6FEFD1CC" w:rsidR="008D5673" w:rsidRPr="003F68C9" w:rsidRDefault="0084572C" w:rsidP="00A566E0">
            <w:pPr>
              <w:spacing w:before="40" w:after="40" w:line="240" w:lineRule="auto"/>
              <w:rPr>
                <w:rFonts w:eastAsia="Times New Roman"/>
                <w:b/>
                <w:bCs/>
                <w:sz w:val="20"/>
                <w:szCs w:val="20"/>
                <w:highlight w:val="green"/>
                <w:lang w:eastAsia="cs-CZ"/>
              </w:rPr>
            </w:pPr>
            <w:r w:rsidRPr="0084572C">
              <w:rPr>
                <w:rFonts w:eastAsia="Times New Roman"/>
                <w:b/>
                <w:bCs/>
                <w:sz w:val="20"/>
                <w:szCs w:val="20"/>
                <w:lang w:eastAsia="cs-CZ"/>
              </w:rPr>
              <w:t>90,182</w:t>
            </w:r>
          </w:p>
        </w:tc>
      </w:tr>
    </w:tbl>
    <w:p w14:paraId="31ECCF0C" w14:textId="77777777" w:rsidR="008D5673" w:rsidRDefault="008D5673" w:rsidP="008D5673">
      <w:r w:rsidRPr="009F287F">
        <w:t xml:space="preserve">* </w:t>
      </w:r>
      <w:r w:rsidRPr="009F287F">
        <w:rPr>
          <w:sz w:val="20"/>
          <w:szCs w:val="20"/>
        </w:rPr>
        <w:t>viz tabulkové vyhodnocení záborů ZPF, kap. 8.1.2. Odůvodnění ÚP</w:t>
      </w:r>
    </w:p>
    <w:p w14:paraId="64CFCB1C" w14:textId="77777777" w:rsidR="00896F6E" w:rsidRDefault="00896F6E" w:rsidP="00896F6E">
      <w:pPr>
        <w:pStyle w:val="3pismeno"/>
        <w:spacing w:before="240" w:after="240"/>
      </w:pPr>
      <w:r>
        <w:t xml:space="preserve">V tabulce odůvodnění záboru ZPF jsou barevně odlišeny plochy, které jsou převzaty z platného ÚPSÚ Hrádek nad Nisou, při jehož pořízení byly řádně projednány a odsouhlaseny všemi dotčenými orgány. Převzetí již vymezených a schválených (zároveň dosud nevyužitých) ploch změn je provedeno z důvodu zajištění kontinuity </w:t>
      </w:r>
      <w:r>
        <w:lastRenderedPageBreak/>
        <w:t>v rozhodování o změnách v území a rovněž v některých případech s ohledem na již vydaná správní rozhodnutí či realizované investice směřující k využití ploch dle platného ÚPSÚ.</w:t>
      </w:r>
    </w:p>
    <w:p w14:paraId="12AFE384" w14:textId="77777777" w:rsidR="00F7583B" w:rsidRDefault="00F7583B" w:rsidP="00941FEC">
      <w:pPr>
        <w:spacing w:line="240" w:lineRule="auto"/>
        <w:jc w:val="left"/>
      </w:pPr>
      <w:r>
        <w:t xml:space="preserve">Barevné odlišení ploch </w:t>
      </w:r>
      <w:r w:rsidR="00F756D6">
        <w:t xml:space="preserve">v tabulce odůvodnění záboru ZPF </w:t>
      </w:r>
      <w:r>
        <w:t>je členěno následovně:</w:t>
      </w:r>
    </w:p>
    <w:tbl>
      <w:tblPr>
        <w:tblStyle w:val="TableGrid"/>
        <w:tblW w:w="92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253"/>
      </w:tblGrid>
      <w:tr w:rsidR="005750A9" w14:paraId="3829FCF7" w14:textId="77777777" w:rsidTr="00454EDE">
        <w:tc>
          <w:tcPr>
            <w:tcW w:w="959" w:type="dxa"/>
            <w:shd w:val="clear" w:color="auto" w:fill="D6E3BC" w:themeFill="accent3" w:themeFillTint="66"/>
          </w:tcPr>
          <w:p w14:paraId="00B7F97A" w14:textId="77777777" w:rsidR="005750A9" w:rsidRDefault="005750A9" w:rsidP="004A29A3">
            <w:pPr>
              <w:pStyle w:val="3pismeno"/>
            </w:pPr>
          </w:p>
        </w:tc>
        <w:tc>
          <w:tcPr>
            <w:tcW w:w="8253" w:type="dxa"/>
          </w:tcPr>
          <w:p w14:paraId="2CEA6B7A" w14:textId="77777777" w:rsidR="005750A9" w:rsidRPr="00F7583B" w:rsidRDefault="005750A9" w:rsidP="004A29A3">
            <w:pPr>
              <w:pStyle w:val="3pismeno"/>
              <w:rPr>
                <w:sz w:val="20"/>
                <w:szCs w:val="20"/>
              </w:rPr>
            </w:pPr>
            <w:r w:rsidRPr="00F7583B">
              <w:rPr>
                <w:sz w:val="20"/>
                <w:szCs w:val="20"/>
              </w:rPr>
              <w:t>plochy převzaté z platné ÚPSÚ Hrádek nad Nisou</w:t>
            </w:r>
          </w:p>
        </w:tc>
      </w:tr>
      <w:tr w:rsidR="005750A9" w14:paraId="0737CC55" w14:textId="77777777" w:rsidTr="00F7583B">
        <w:tc>
          <w:tcPr>
            <w:tcW w:w="959" w:type="dxa"/>
            <w:shd w:val="clear" w:color="auto" w:fill="CCC0D9" w:themeFill="accent4" w:themeFillTint="66"/>
          </w:tcPr>
          <w:p w14:paraId="3DDA6650" w14:textId="77777777" w:rsidR="005750A9" w:rsidRDefault="005750A9" w:rsidP="004A29A3">
            <w:pPr>
              <w:pStyle w:val="3pismeno"/>
            </w:pPr>
          </w:p>
        </w:tc>
        <w:tc>
          <w:tcPr>
            <w:tcW w:w="8253" w:type="dxa"/>
          </w:tcPr>
          <w:p w14:paraId="7E93CD4C" w14:textId="77777777" w:rsidR="005750A9" w:rsidRPr="00F7583B" w:rsidRDefault="005750A9" w:rsidP="00AC1FBF">
            <w:pPr>
              <w:pStyle w:val="3pismeno"/>
              <w:rPr>
                <w:sz w:val="20"/>
                <w:szCs w:val="20"/>
              </w:rPr>
            </w:pPr>
            <w:r w:rsidRPr="00F7583B">
              <w:rPr>
                <w:sz w:val="20"/>
                <w:szCs w:val="20"/>
              </w:rPr>
              <w:t>plochy, ve kterých bylo na záměr vydáno platné správní rozhodnutí</w:t>
            </w:r>
            <w:r w:rsidR="00F7583B">
              <w:rPr>
                <w:sz w:val="20"/>
                <w:szCs w:val="20"/>
              </w:rPr>
              <w:t xml:space="preserve"> nebo souhlasné stanovisko</w:t>
            </w:r>
          </w:p>
        </w:tc>
      </w:tr>
      <w:tr w:rsidR="00F7583B" w14:paraId="76E888F2" w14:textId="77777777" w:rsidTr="00F7583B">
        <w:tc>
          <w:tcPr>
            <w:tcW w:w="959" w:type="dxa"/>
            <w:shd w:val="clear" w:color="auto" w:fill="B6DDE8" w:themeFill="accent5" w:themeFillTint="66"/>
          </w:tcPr>
          <w:p w14:paraId="02A685C4" w14:textId="77777777" w:rsidR="00F7583B" w:rsidRDefault="00F7583B" w:rsidP="004A29A3">
            <w:pPr>
              <w:pStyle w:val="3pismeno"/>
            </w:pPr>
          </w:p>
        </w:tc>
        <w:tc>
          <w:tcPr>
            <w:tcW w:w="8253" w:type="dxa"/>
          </w:tcPr>
          <w:p w14:paraId="49665C1C" w14:textId="77777777" w:rsidR="00F7583B" w:rsidRPr="00F7583B" w:rsidRDefault="00F7583B" w:rsidP="004A29A3">
            <w:pPr>
              <w:pStyle w:val="3pismeno"/>
              <w:rPr>
                <w:sz w:val="20"/>
                <w:szCs w:val="20"/>
              </w:rPr>
            </w:pPr>
            <w:r w:rsidRPr="00F7583B">
              <w:rPr>
                <w:sz w:val="20"/>
                <w:szCs w:val="20"/>
              </w:rPr>
              <w:t>plochy, ke kterým byla zpracována podrobnější dokumentace</w:t>
            </w:r>
            <w:r w:rsidR="00AB1CF1">
              <w:rPr>
                <w:sz w:val="20"/>
                <w:szCs w:val="20"/>
              </w:rPr>
              <w:t xml:space="preserve"> či podklad</w:t>
            </w:r>
          </w:p>
        </w:tc>
      </w:tr>
      <w:tr w:rsidR="004D5595" w14:paraId="7CC595C9" w14:textId="77777777" w:rsidTr="004D5595">
        <w:tc>
          <w:tcPr>
            <w:tcW w:w="959" w:type="dxa"/>
            <w:shd w:val="clear" w:color="auto" w:fill="FBF8B5"/>
          </w:tcPr>
          <w:p w14:paraId="51DA9689" w14:textId="77777777" w:rsidR="004D5595" w:rsidRDefault="004D5595" w:rsidP="004A29A3">
            <w:pPr>
              <w:pStyle w:val="3pismeno"/>
            </w:pPr>
          </w:p>
        </w:tc>
        <w:tc>
          <w:tcPr>
            <w:tcW w:w="8253" w:type="dxa"/>
          </w:tcPr>
          <w:p w14:paraId="49CDF1E4" w14:textId="77777777" w:rsidR="004D5595" w:rsidRPr="00F7583B" w:rsidRDefault="004D5595" w:rsidP="004A29A3">
            <w:pPr>
              <w:pStyle w:val="3pismeno"/>
              <w:rPr>
                <w:sz w:val="20"/>
                <w:szCs w:val="20"/>
              </w:rPr>
            </w:pPr>
            <w:r>
              <w:rPr>
                <w:sz w:val="20"/>
                <w:szCs w:val="20"/>
              </w:rPr>
              <w:t>plochy, vymezené v souladu se Zadáním ÚP, řádně projednaným s dotčenými orgány a schváleným Zastupitelstvem města Hrádek nad Nisou</w:t>
            </w:r>
          </w:p>
        </w:tc>
      </w:tr>
    </w:tbl>
    <w:p w14:paraId="431037AE" w14:textId="77777777" w:rsidR="00A80189" w:rsidRPr="00461C16" w:rsidRDefault="00A80189" w:rsidP="008E0712">
      <w:pPr>
        <w:pStyle w:val="3pismeno"/>
        <w:spacing w:before="240" w:after="120"/>
        <w:rPr>
          <w:b/>
        </w:rPr>
      </w:pPr>
      <w:r w:rsidRPr="00461C16">
        <w:rPr>
          <w:b/>
          <w:lang w:eastAsia="cs-CZ"/>
        </w:rPr>
        <w:t>a) zastavitelné plochy / plochy přestavby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6"/>
        <w:gridCol w:w="1856"/>
        <w:gridCol w:w="1356"/>
        <w:gridCol w:w="5070"/>
      </w:tblGrid>
      <w:tr w:rsidR="00E7229C" w:rsidRPr="00461C16" w14:paraId="4B6651CF" w14:textId="77777777" w:rsidTr="00D95953">
        <w:trPr>
          <w:tblHeader/>
          <w:jc w:val="center"/>
        </w:trPr>
        <w:tc>
          <w:tcPr>
            <w:tcW w:w="1006" w:type="dxa"/>
            <w:shd w:val="clear" w:color="auto" w:fill="F2F2F2" w:themeFill="background1" w:themeFillShade="F2"/>
          </w:tcPr>
          <w:p w14:paraId="6034EB32" w14:textId="77777777" w:rsidR="00E7229C" w:rsidRPr="00461C16" w:rsidRDefault="00E7229C" w:rsidP="00B82079">
            <w:pPr>
              <w:spacing w:before="40" w:after="40" w:line="240" w:lineRule="auto"/>
              <w:jc w:val="left"/>
              <w:rPr>
                <w:b/>
                <w:sz w:val="20"/>
                <w:szCs w:val="20"/>
                <w:lang w:eastAsia="en-US"/>
              </w:rPr>
            </w:pPr>
            <w:r w:rsidRPr="00461C16">
              <w:rPr>
                <w:b/>
                <w:sz w:val="20"/>
                <w:szCs w:val="20"/>
                <w:lang w:eastAsia="en-US"/>
              </w:rPr>
              <w:t>Označení</w:t>
            </w:r>
          </w:p>
        </w:tc>
        <w:tc>
          <w:tcPr>
            <w:tcW w:w="1856" w:type="dxa"/>
            <w:shd w:val="clear" w:color="auto" w:fill="F2F2F2" w:themeFill="background1" w:themeFillShade="F2"/>
          </w:tcPr>
          <w:p w14:paraId="692FC6F6" w14:textId="77777777" w:rsidR="00E7229C" w:rsidRPr="00461C16" w:rsidRDefault="00E7229C" w:rsidP="00B82079">
            <w:pPr>
              <w:spacing w:before="40" w:after="40" w:line="240" w:lineRule="auto"/>
              <w:jc w:val="left"/>
              <w:rPr>
                <w:b/>
                <w:sz w:val="20"/>
                <w:szCs w:val="20"/>
                <w:lang w:eastAsia="en-US"/>
              </w:rPr>
            </w:pPr>
            <w:r w:rsidRPr="00461C16">
              <w:rPr>
                <w:b/>
                <w:sz w:val="20"/>
                <w:szCs w:val="20"/>
                <w:lang w:eastAsia="en-US"/>
              </w:rPr>
              <w:t>Využití plochy</w:t>
            </w:r>
          </w:p>
        </w:tc>
        <w:tc>
          <w:tcPr>
            <w:tcW w:w="1356" w:type="dxa"/>
            <w:shd w:val="clear" w:color="auto" w:fill="F2F2F2" w:themeFill="background1" w:themeFillShade="F2"/>
          </w:tcPr>
          <w:p w14:paraId="68F0B77D" w14:textId="77777777" w:rsidR="00E7229C" w:rsidRPr="00461C16" w:rsidRDefault="00E7229C" w:rsidP="00B82079">
            <w:pPr>
              <w:spacing w:before="40" w:after="40" w:line="240" w:lineRule="auto"/>
              <w:jc w:val="left"/>
              <w:rPr>
                <w:b/>
                <w:sz w:val="20"/>
                <w:szCs w:val="20"/>
                <w:lang w:eastAsia="en-US"/>
              </w:rPr>
            </w:pPr>
            <w:r w:rsidRPr="00461C16">
              <w:rPr>
                <w:b/>
                <w:sz w:val="20"/>
                <w:szCs w:val="20"/>
                <w:lang w:eastAsia="en-US"/>
              </w:rPr>
              <w:t>Katastrální území</w:t>
            </w:r>
          </w:p>
        </w:tc>
        <w:tc>
          <w:tcPr>
            <w:tcW w:w="5070" w:type="dxa"/>
            <w:shd w:val="clear" w:color="auto" w:fill="F2F2F2" w:themeFill="background1" w:themeFillShade="F2"/>
          </w:tcPr>
          <w:p w14:paraId="75BC145E" w14:textId="77777777" w:rsidR="00E7229C" w:rsidRPr="00461C16" w:rsidRDefault="00E7229C" w:rsidP="00B82079">
            <w:pPr>
              <w:spacing w:before="40" w:after="40" w:line="240" w:lineRule="auto"/>
              <w:jc w:val="left"/>
              <w:rPr>
                <w:b/>
                <w:sz w:val="20"/>
                <w:szCs w:val="20"/>
                <w:lang w:eastAsia="en-US"/>
              </w:rPr>
            </w:pPr>
            <w:r w:rsidRPr="00461C16">
              <w:rPr>
                <w:b/>
                <w:sz w:val="20"/>
                <w:szCs w:val="20"/>
                <w:lang w:eastAsia="en-US"/>
              </w:rPr>
              <w:t>Odůvodnění záboru ZPF</w:t>
            </w:r>
          </w:p>
        </w:tc>
      </w:tr>
      <w:tr w:rsidR="00A52FFD" w:rsidRPr="00461C16" w14:paraId="29B3A7E0" w14:textId="77777777" w:rsidTr="00FF0B06">
        <w:trPr>
          <w:jc w:val="center"/>
        </w:trPr>
        <w:tc>
          <w:tcPr>
            <w:tcW w:w="9288" w:type="dxa"/>
            <w:gridSpan w:val="4"/>
            <w:shd w:val="clear" w:color="auto" w:fill="auto"/>
          </w:tcPr>
          <w:p w14:paraId="2F5D4F30" w14:textId="77777777" w:rsidR="00A52FFD" w:rsidRPr="00461C16" w:rsidRDefault="00A52FFD" w:rsidP="00B82079">
            <w:pPr>
              <w:pStyle w:val="Intabulka"/>
              <w:rPr>
                <w:rFonts w:ascii="Arial Narrow" w:hAnsi="Arial Narrow"/>
                <w:lang w:val="cs-CZ"/>
              </w:rPr>
            </w:pPr>
            <w:r w:rsidRPr="00461C16">
              <w:rPr>
                <w:rFonts w:ascii="Arial Narrow" w:hAnsi="Arial Narrow"/>
                <w:lang w:val="cs-CZ"/>
              </w:rPr>
              <w:t>ZASTAVITELNÉ PLOCHY</w:t>
            </w:r>
          </w:p>
        </w:tc>
      </w:tr>
      <w:tr w:rsidR="00E7229C" w:rsidRPr="00461C16" w14:paraId="7D397F66" w14:textId="77777777" w:rsidTr="00D95953">
        <w:trPr>
          <w:jc w:val="center"/>
        </w:trPr>
        <w:tc>
          <w:tcPr>
            <w:tcW w:w="1006" w:type="dxa"/>
            <w:shd w:val="clear" w:color="auto" w:fill="FBF8B5"/>
          </w:tcPr>
          <w:p w14:paraId="6C3C0222"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Z19</w:t>
            </w:r>
          </w:p>
        </w:tc>
        <w:tc>
          <w:tcPr>
            <w:tcW w:w="1856" w:type="dxa"/>
            <w:shd w:val="clear" w:color="auto" w:fill="FBF8B5"/>
          </w:tcPr>
          <w:p w14:paraId="552AB050"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FBF8B5"/>
          </w:tcPr>
          <w:p w14:paraId="61BABE82"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FBF8B5"/>
          </w:tcPr>
          <w:p w14:paraId="542B6C13" w14:textId="77777777" w:rsidR="00E7229C" w:rsidRDefault="00E7229C" w:rsidP="00B82079">
            <w:pPr>
              <w:pStyle w:val="Intabulka"/>
              <w:rPr>
                <w:rFonts w:ascii="Arial Narrow" w:hAnsi="Arial Narrow"/>
                <w:lang w:val="cs-CZ"/>
              </w:rPr>
            </w:pPr>
            <w:r w:rsidRPr="00461C16">
              <w:rPr>
                <w:rFonts w:ascii="Arial Narrow" w:hAnsi="Arial Narrow"/>
                <w:lang w:val="cs-CZ"/>
              </w:rPr>
              <w:t xml:space="preserve">Plocha je vymezena </w:t>
            </w:r>
            <w:r w:rsidRPr="00461C16">
              <w:rPr>
                <w:rFonts w:ascii="Arial Narrow" w:hAnsi="Arial Narrow"/>
              </w:rPr>
              <w:t>v souladu s </w:t>
            </w:r>
            <w:r w:rsidRPr="002004BF">
              <w:rPr>
                <w:rFonts w:ascii="Arial Narrow" w:hAnsi="Arial Narrow"/>
                <w:b/>
              </w:rPr>
              <w:t>požadavkem schváleného Zadání ÚP</w:t>
            </w:r>
            <w:r w:rsidRPr="00461C16">
              <w:rPr>
                <w:rFonts w:ascii="Arial Narrow" w:hAnsi="Arial Narrow"/>
                <w:lang w:val="cs-CZ"/>
              </w:rPr>
              <w:t xml:space="preserve">, na základě požadavku vlastníka pozemku. Plocha navazuje na stabilizovanou obytnou zástavbu v severní části Václavic a umožňuje její doplnění, čímž přispívá k uspokojení poptávky po nových plochách pro bydlení a zároveň umožňuje případnou lokalizaci služeb, s cílem zvýšení kvality podmínek pro život v sídle Václavice. </w:t>
            </w:r>
          </w:p>
          <w:p w14:paraId="20DDEF7E" w14:textId="77777777" w:rsidR="00D80213" w:rsidRPr="00D80213" w:rsidRDefault="00D80213" w:rsidP="00B82079">
            <w:pPr>
              <w:spacing w:before="40" w:after="40" w:line="240" w:lineRule="auto"/>
              <w:jc w:val="left"/>
              <w:rPr>
                <w:color w:val="FF0000"/>
                <w:sz w:val="20"/>
                <w:szCs w:val="20"/>
              </w:rPr>
            </w:pPr>
            <w:r w:rsidRPr="0016348A">
              <w:rPr>
                <w:b/>
                <w:sz w:val="20"/>
                <w:szCs w:val="20"/>
              </w:rPr>
              <w:t>Veřejný zájem</w:t>
            </w:r>
            <w:r w:rsidRPr="00D80213">
              <w:rPr>
                <w:sz w:val="20"/>
                <w:szCs w:val="20"/>
              </w:rPr>
              <w:t xml:space="preserve"> spočívá ve vytváření kvalitního obytného a krajinného prostředí</w:t>
            </w:r>
            <w:r>
              <w:rPr>
                <w:sz w:val="20"/>
                <w:szCs w:val="20"/>
              </w:rPr>
              <w:t xml:space="preserve"> a</w:t>
            </w:r>
            <w:r w:rsidRPr="00D80213">
              <w:rPr>
                <w:sz w:val="20"/>
                <w:szCs w:val="20"/>
              </w:rPr>
              <w:t xml:space="preserve"> kvalitní urbanistické a krajinářské koncepce</w:t>
            </w:r>
            <w:r>
              <w:rPr>
                <w:sz w:val="20"/>
                <w:szCs w:val="20"/>
              </w:rPr>
              <w:t>, přičemž k</w:t>
            </w:r>
            <w:r w:rsidRPr="00D80213">
              <w:rPr>
                <w:sz w:val="20"/>
                <w:szCs w:val="20"/>
              </w:rPr>
              <w:t xml:space="preserve">valita prostředí je zajištěna </w:t>
            </w:r>
            <w:r w:rsidR="00392EBE">
              <w:rPr>
                <w:sz w:val="20"/>
                <w:szCs w:val="20"/>
              </w:rPr>
              <w:t xml:space="preserve">lokalizací plochy ve vazbě na zastavěné území a </w:t>
            </w:r>
            <w:r w:rsidRPr="00D80213">
              <w:rPr>
                <w:sz w:val="20"/>
                <w:szCs w:val="20"/>
              </w:rPr>
              <w:t>stanovením adekvátních podmínek využití včetně podmínek prostorového uspořádání.</w:t>
            </w:r>
          </w:p>
        </w:tc>
      </w:tr>
      <w:tr w:rsidR="00E7229C" w:rsidRPr="00461C16" w14:paraId="4B0EFD97" w14:textId="77777777" w:rsidTr="00D95953">
        <w:trPr>
          <w:jc w:val="center"/>
        </w:trPr>
        <w:tc>
          <w:tcPr>
            <w:tcW w:w="1006" w:type="dxa"/>
            <w:shd w:val="clear" w:color="auto" w:fill="D6E3BC" w:themeFill="accent3" w:themeFillTint="66"/>
          </w:tcPr>
          <w:p w14:paraId="21D968F6"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Z20</w:t>
            </w:r>
          </w:p>
        </w:tc>
        <w:tc>
          <w:tcPr>
            <w:tcW w:w="1856" w:type="dxa"/>
            <w:shd w:val="clear" w:color="auto" w:fill="D6E3BC" w:themeFill="accent3" w:themeFillTint="66"/>
          </w:tcPr>
          <w:p w14:paraId="2C9C776A"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099DF361"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0B8E89DD" w14:textId="77777777" w:rsidR="00E7229C" w:rsidRDefault="00E7229C" w:rsidP="00B82079">
            <w:pPr>
              <w:pStyle w:val="Intabulka"/>
              <w:rPr>
                <w:rFonts w:ascii="Arial Narrow" w:hAnsi="Arial Narrow"/>
                <w:lang w:val="cs-CZ"/>
              </w:rPr>
            </w:pPr>
            <w:r w:rsidRPr="00461C16">
              <w:rPr>
                <w:rFonts w:ascii="Arial Narrow" w:hAnsi="Arial Narrow"/>
                <w:lang w:val="cs-CZ"/>
              </w:rPr>
              <w:t xml:space="preserve">Plocha je vymezena v prostorové proluce ve stávající zástavbě podél silnice III/27251, která tvoří páteř a urbanistickou osu části Václavice. </w:t>
            </w:r>
            <w:r w:rsidRPr="00323925">
              <w:rPr>
                <w:rFonts w:ascii="Arial Narrow" w:hAnsi="Arial Narrow"/>
                <w:b/>
                <w:lang w:val="cs-CZ"/>
              </w:rPr>
              <w:t>Využití proluky směřuje k účelnému a hospodárnému využívání území, ke scelení zástavby a k posílení kompaktnosti území</w:t>
            </w:r>
            <w:r w:rsidRPr="00461C16">
              <w:rPr>
                <w:rFonts w:ascii="Arial Narrow" w:hAnsi="Arial Narrow"/>
                <w:lang w:val="cs-CZ"/>
              </w:rPr>
              <w:t xml:space="preserve">. Plocha doplňuje smíšenou obytnou zástavbu, přispívá k uspokojení poptávky po nových plochách pro bydlení a zároveň umožňuje případnou lokalizaci dalších služeb, s cílem zvýšení kvality podmínek pro život v sídle Václavice. Vymezení plochy sleduje </w:t>
            </w:r>
            <w:r w:rsidRPr="00454EDE">
              <w:rPr>
                <w:rFonts w:ascii="Arial Narrow" w:hAnsi="Arial Narrow"/>
                <w:b/>
                <w:lang w:val="cs-CZ"/>
              </w:rPr>
              <w:t>legalizaci skutečného využití dle současně platného ÚP města</w:t>
            </w:r>
            <w:r w:rsidR="00454EDE" w:rsidRPr="00454EDE">
              <w:rPr>
                <w:rFonts w:ascii="Arial Narrow" w:hAnsi="Arial Narrow"/>
                <w:b/>
                <w:lang w:val="cs-CZ"/>
              </w:rPr>
              <w:t>, kde je plocha součástí stabilizovaného území</w:t>
            </w:r>
            <w:r w:rsidR="00454EDE">
              <w:rPr>
                <w:rFonts w:ascii="Arial Narrow" w:hAnsi="Arial Narrow"/>
                <w:b/>
                <w:lang w:val="cs-CZ"/>
              </w:rPr>
              <w:t xml:space="preserve">, </w:t>
            </w:r>
            <w:r w:rsidR="00454EDE" w:rsidRPr="00454EDE">
              <w:rPr>
                <w:rFonts w:ascii="Arial Narrow" w:hAnsi="Arial Narrow"/>
                <w:lang w:val="cs-CZ"/>
              </w:rPr>
              <w:t>dle</w:t>
            </w:r>
            <w:r w:rsidR="00454EDE">
              <w:rPr>
                <w:rFonts w:ascii="Arial Narrow" w:hAnsi="Arial Narrow"/>
                <w:lang w:val="cs-CZ"/>
              </w:rPr>
              <w:t xml:space="preserve"> platné právní úpravy §58 stavebního zákona však tuto plochu v novém ÚP do zastavěného území zahrnout nelze</w:t>
            </w:r>
            <w:r w:rsidRPr="00461C16">
              <w:rPr>
                <w:rFonts w:ascii="Arial Narrow" w:hAnsi="Arial Narrow"/>
                <w:lang w:val="cs-CZ"/>
              </w:rPr>
              <w:t>.</w:t>
            </w:r>
          </w:p>
          <w:p w14:paraId="764B8A8B" w14:textId="77777777" w:rsidR="00392EBE" w:rsidRPr="00461C16" w:rsidRDefault="00392EBE" w:rsidP="00B82079">
            <w:pPr>
              <w:spacing w:before="40" w:after="40" w:line="240" w:lineRule="auto"/>
              <w:jc w:val="left"/>
            </w:pPr>
            <w:r w:rsidRPr="0016348A">
              <w:rPr>
                <w:b/>
                <w:sz w:val="20"/>
                <w:szCs w:val="20"/>
              </w:rPr>
              <w:t>Veřejný zájem</w:t>
            </w:r>
            <w:r w:rsidRPr="00D11D91">
              <w:rPr>
                <w:sz w:val="20"/>
                <w:szCs w:val="20"/>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sz w:val="20"/>
                <w:szCs w:val="20"/>
              </w:rPr>
              <w:t>y</w:t>
            </w:r>
            <w:r w:rsidRPr="00D11D91">
              <w:rPr>
                <w:sz w:val="20"/>
                <w:szCs w:val="20"/>
              </w:rPr>
              <w:t xml:space="preserve"> v prolu</w:t>
            </w:r>
            <w:r>
              <w:rPr>
                <w:sz w:val="20"/>
                <w:szCs w:val="20"/>
              </w:rPr>
              <w:t>ce</w:t>
            </w:r>
            <w:r w:rsidRPr="00D11D91">
              <w:rPr>
                <w:sz w:val="20"/>
                <w:szCs w:val="20"/>
              </w:rPr>
              <w:t xml:space="preserve"> / mezi fragmenty zastavěného území a stanovením adekvátních podmínek využití včetně podmínek prostorového uspořádání.</w:t>
            </w:r>
          </w:p>
        </w:tc>
      </w:tr>
      <w:tr w:rsidR="00E7229C" w:rsidRPr="00461C16" w14:paraId="7D4CAD0D" w14:textId="77777777" w:rsidTr="00D95953">
        <w:trPr>
          <w:jc w:val="center"/>
        </w:trPr>
        <w:tc>
          <w:tcPr>
            <w:tcW w:w="1006" w:type="dxa"/>
            <w:shd w:val="clear" w:color="auto" w:fill="D6E3BC" w:themeFill="accent3" w:themeFillTint="66"/>
          </w:tcPr>
          <w:p w14:paraId="192376E1"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Z21</w:t>
            </w:r>
          </w:p>
        </w:tc>
        <w:tc>
          <w:tcPr>
            <w:tcW w:w="1856" w:type="dxa"/>
            <w:shd w:val="clear" w:color="auto" w:fill="D6E3BC" w:themeFill="accent3" w:themeFillTint="66"/>
          </w:tcPr>
          <w:p w14:paraId="0094543C"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557021A4"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49C771FC" w14:textId="77777777" w:rsidR="00E7229C" w:rsidRDefault="00E7229C" w:rsidP="00B82079">
            <w:pPr>
              <w:pStyle w:val="Intabulka"/>
              <w:rPr>
                <w:rFonts w:ascii="Arial Narrow" w:hAnsi="Arial Narrow"/>
                <w:lang w:val="cs-CZ"/>
              </w:rPr>
            </w:pPr>
            <w:r w:rsidRPr="00461C16">
              <w:rPr>
                <w:rFonts w:ascii="Arial Narrow" w:hAnsi="Arial Narrow"/>
                <w:lang w:val="cs-CZ"/>
              </w:rPr>
              <w:t xml:space="preserve">Plocha je vymezena v prostorové proluce ve stávající zástavbě podél silnice III/27251, která tvoří páteř a urbanistickou osu části Václavice. </w:t>
            </w:r>
            <w:r w:rsidRPr="00323925">
              <w:rPr>
                <w:rFonts w:ascii="Arial Narrow" w:hAnsi="Arial Narrow"/>
                <w:b/>
                <w:lang w:val="cs-CZ"/>
              </w:rPr>
              <w:t xml:space="preserve">Využití proluky směřuje k účelnému a hospodárnému využívání území, ke scelení zástavby a k posílení kompaktnosti území. </w:t>
            </w:r>
            <w:r w:rsidRPr="00461C16">
              <w:rPr>
                <w:rFonts w:ascii="Arial Narrow" w:hAnsi="Arial Narrow"/>
                <w:lang w:val="cs-CZ"/>
              </w:rPr>
              <w:t xml:space="preserve">Plocha doplňuje smíšenou obytnou zástavbu, přispívá k uspokojení poptávky po nových plochách pro bydlení a zároveň umožňuje případnou lokalizaci dalších služeb, s cílem zvýšení kvality podmínek pro život v sídle Václavice. Vymezení plochy z větší části sleduje </w:t>
            </w:r>
            <w:r w:rsidRPr="00454EDE">
              <w:rPr>
                <w:rFonts w:ascii="Arial Narrow" w:hAnsi="Arial Narrow"/>
                <w:b/>
                <w:lang w:val="cs-CZ"/>
              </w:rPr>
              <w:t xml:space="preserve">legalizaci </w:t>
            </w:r>
            <w:r w:rsidRPr="00454EDE">
              <w:rPr>
                <w:rFonts w:ascii="Arial Narrow" w:hAnsi="Arial Narrow"/>
                <w:b/>
                <w:lang w:val="cs-CZ"/>
              </w:rPr>
              <w:lastRenderedPageBreak/>
              <w:t>skutečného využití dle současně platného ÚP města</w:t>
            </w:r>
            <w:r w:rsidR="00454EDE" w:rsidRPr="00454EDE">
              <w:rPr>
                <w:rFonts w:ascii="Arial Narrow" w:hAnsi="Arial Narrow"/>
                <w:b/>
                <w:lang w:val="cs-CZ"/>
              </w:rPr>
              <w:t>, kde je plocha součástí stabilizovaného území</w:t>
            </w:r>
            <w:r w:rsidR="00454EDE">
              <w:rPr>
                <w:rFonts w:ascii="Arial Narrow" w:hAnsi="Arial Narrow"/>
                <w:b/>
                <w:lang w:val="cs-CZ"/>
              </w:rPr>
              <w:t xml:space="preserve">, </w:t>
            </w:r>
            <w:r w:rsidR="00454EDE" w:rsidRPr="00454EDE">
              <w:rPr>
                <w:rFonts w:ascii="Arial Narrow" w:hAnsi="Arial Narrow"/>
                <w:lang w:val="cs-CZ"/>
              </w:rPr>
              <w:t>dle</w:t>
            </w:r>
            <w:r w:rsidR="00454EDE">
              <w:rPr>
                <w:rFonts w:ascii="Arial Narrow" w:hAnsi="Arial Narrow"/>
                <w:lang w:val="cs-CZ"/>
              </w:rPr>
              <w:t xml:space="preserve"> platné právní úpravy §58 stavebního zákona však tuto plochu v novém ÚP do zastavěného území zahrnout nelze</w:t>
            </w:r>
            <w:r w:rsidRPr="00461C16">
              <w:rPr>
                <w:rFonts w:ascii="Arial Narrow" w:hAnsi="Arial Narrow"/>
                <w:lang w:val="cs-CZ"/>
              </w:rPr>
              <w:t>.</w:t>
            </w:r>
          </w:p>
          <w:p w14:paraId="036CBAF3" w14:textId="77777777" w:rsidR="00392EBE" w:rsidRPr="00461C16" w:rsidRDefault="00392EBE"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E7229C" w:rsidRPr="00461C16" w14:paraId="78CDF48A" w14:textId="77777777" w:rsidTr="00D95953">
        <w:trPr>
          <w:jc w:val="center"/>
        </w:trPr>
        <w:tc>
          <w:tcPr>
            <w:tcW w:w="1006" w:type="dxa"/>
            <w:shd w:val="clear" w:color="auto" w:fill="FBF8B5"/>
          </w:tcPr>
          <w:p w14:paraId="0197D572" w14:textId="77777777" w:rsidR="00E7229C" w:rsidRPr="00461C16" w:rsidRDefault="00E7229C" w:rsidP="00B82079">
            <w:pPr>
              <w:spacing w:before="40" w:line="240" w:lineRule="auto"/>
              <w:jc w:val="left"/>
              <w:rPr>
                <w:color w:val="000000"/>
                <w:sz w:val="20"/>
                <w:szCs w:val="20"/>
              </w:rPr>
            </w:pPr>
            <w:r w:rsidRPr="00461C16">
              <w:rPr>
                <w:color w:val="000000"/>
                <w:sz w:val="20"/>
                <w:szCs w:val="20"/>
              </w:rPr>
              <w:lastRenderedPageBreak/>
              <w:t>Z22</w:t>
            </w:r>
          </w:p>
        </w:tc>
        <w:tc>
          <w:tcPr>
            <w:tcW w:w="1856" w:type="dxa"/>
            <w:shd w:val="clear" w:color="auto" w:fill="FBF8B5"/>
          </w:tcPr>
          <w:p w14:paraId="38E4247F"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FBF8B5"/>
          </w:tcPr>
          <w:p w14:paraId="2358EAD1"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FBF8B5"/>
          </w:tcPr>
          <w:p w14:paraId="2535083A" w14:textId="77777777" w:rsidR="00E7229C" w:rsidRDefault="00E7229C" w:rsidP="00B82079">
            <w:pPr>
              <w:pStyle w:val="Intabulka"/>
              <w:rPr>
                <w:rFonts w:ascii="Arial Narrow" w:hAnsi="Arial Narrow"/>
                <w:lang w:val="cs-CZ"/>
              </w:rPr>
            </w:pPr>
            <w:r w:rsidRPr="00461C16">
              <w:rPr>
                <w:rFonts w:ascii="Arial Narrow" w:hAnsi="Arial Narrow"/>
                <w:lang w:val="cs-CZ"/>
              </w:rPr>
              <w:t xml:space="preserve">Plocha je vymezena </w:t>
            </w:r>
            <w:r w:rsidRPr="00461C16">
              <w:rPr>
                <w:rFonts w:ascii="Arial Narrow" w:hAnsi="Arial Narrow"/>
              </w:rPr>
              <w:t>v souladu s </w:t>
            </w:r>
            <w:r w:rsidRPr="002004BF">
              <w:rPr>
                <w:rFonts w:ascii="Arial Narrow" w:hAnsi="Arial Narrow"/>
                <w:b/>
              </w:rPr>
              <w:t>požadavkem schváleného Zadání ÚP</w:t>
            </w:r>
            <w:r w:rsidRPr="00461C16">
              <w:rPr>
                <w:rFonts w:ascii="Arial Narrow" w:hAnsi="Arial Narrow"/>
                <w:lang w:val="cs-CZ"/>
              </w:rPr>
              <w:t xml:space="preserve">, na základě požadavku vlastníka pozemku. Plocha navazuje na stabilizovanou obytnou zástavbu v jižní části Václavic a umožňuje její doplnění, čímž přispívá k uspokojení poptávky po nových plochách pro bydlení a zároveň umožňuje případnou lokalizaci služeb, s cílem zvýšení kvality podmínek pro život v sídle Václavice. </w:t>
            </w:r>
          </w:p>
          <w:p w14:paraId="7E896AAA" w14:textId="77777777" w:rsidR="00392EBE" w:rsidRPr="00461C16" w:rsidRDefault="00392EBE" w:rsidP="00B82079">
            <w:pPr>
              <w:pStyle w:val="Intabulka"/>
              <w:rPr>
                <w:rFonts w:ascii="Arial Narrow" w:hAnsi="Arial Narrow"/>
                <w:color w:val="FF0000"/>
                <w:lang w:val="cs-CZ"/>
              </w:rPr>
            </w:pPr>
            <w:r w:rsidRPr="0016348A">
              <w:rPr>
                <w:rFonts w:ascii="Arial Narrow" w:hAnsi="Arial Narrow"/>
                <w:b/>
              </w:rPr>
              <w:t>Veřejný zájem</w:t>
            </w:r>
            <w:r w:rsidRPr="00D80213">
              <w:rPr>
                <w:rFonts w:ascii="Arial Narrow" w:hAnsi="Arial Narrow"/>
              </w:rPr>
              <w:t xml:space="preserve"> spočívá ve vytváření kvalitního obytného a krajinného prostředí</w:t>
            </w:r>
            <w:r>
              <w:t xml:space="preserve"> a</w:t>
            </w:r>
            <w:r w:rsidRPr="00D80213">
              <w:rPr>
                <w:rFonts w:ascii="Arial Narrow" w:hAnsi="Arial Narrow"/>
              </w:rPr>
              <w:t xml:space="preserve"> kvalitní urbanistické a krajinářské koncepce</w:t>
            </w:r>
            <w:r>
              <w:t xml:space="preserve">, </w:t>
            </w:r>
            <w:r w:rsidRPr="00392EBE">
              <w:rPr>
                <w:rFonts w:ascii="Arial Narrow" w:hAnsi="Arial Narrow"/>
              </w:rPr>
              <w:t>přičemž kvalita</w:t>
            </w:r>
            <w:r w:rsidRPr="00D80213">
              <w:rPr>
                <w:rFonts w:ascii="Arial Narrow" w:hAnsi="Arial Narrow"/>
              </w:rPr>
              <w:t xml:space="preserve"> prostředí je zajištěna</w:t>
            </w:r>
            <w:r w:rsidRPr="00392EBE">
              <w:rPr>
                <w:rFonts w:ascii="Arial Narrow" w:hAnsi="Arial Narrow"/>
              </w:rPr>
              <w:t xml:space="preserve"> lokalizací plochy ve vazbě na zastavěné území a</w:t>
            </w:r>
            <w:r>
              <w:t xml:space="preserve"> </w:t>
            </w:r>
            <w:r w:rsidRPr="00D80213">
              <w:rPr>
                <w:rFonts w:ascii="Arial Narrow" w:hAnsi="Arial Narrow"/>
              </w:rPr>
              <w:t>stanovením adekvátních podmínek využití včetně podmínek prostorového uspořádání.</w:t>
            </w:r>
          </w:p>
        </w:tc>
      </w:tr>
      <w:tr w:rsidR="00E7229C" w:rsidRPr="00461C16" w14:paraId="340B5037" w14:textId="77777777" w:rsidTr="00D95953">
        <w:trPr>
          <w:jc w:val="center"/>
        </w:trPr>
        <w:tc>
          <w:tcPr>
            <w:tcW w:w="1006" w:type="dxa"/>
            <w:shd w:val="clear" w:color="auto" w:fill="D6E3BC" w:themeFill="accent3" w:themeFillTint="66"/>
          </w:tcPr>
          <w:p w14:paraId="102B4AD8"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Z23</w:t>
            </w:r>
          </w:p>
        </w:tc>
        <w:tc>
          <w:tcPr>
            <w:tcW w:w="1856" w:type="dxa"/>
            <w:shd w:val="clear" w:color="auto" w:fill="D6E3BC" w:themeFill="accent3" w:themeFillTint="66"/>
          </w:tcPr>
          <w:p w14:paraId="67E30BEB"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0C4D3335"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08B21CE6" w14:textId="77777777" w:rsidR="000F4E25" w:rsidRPr="00461C16" w:rsidRDefault="00E7229C" w:rsidP="00B82079">
            <w:pPr>
              <w:pStyle w:val="Intabulka"/>
              <w:rPr>
                <w:rFonts w:ascii="Arial Narrow" w:hAnsi="Arial Narrow"/>
                <w:lang w:val="cs-CZ"/>
              </w:rPr>
            </w:pPr>
            <w:r w:rsidRPr="00461C16">
              <w:rPr>
                <w:rFonts w:ascii="Arial Narrow" w:hAnsi="Arial Narrow"/>
                <w:lang w:val="cs-CZ"/>
              </w:rPr>
              <w:t xml:space="preserve">Plocha je vymezena v návaznosti na plochu P02 za účelem scelení prostorové proluky v zástavbě na severním okraji části Václavice. </w:t>
            </w:r>
            <w:r w:rsidRPr="00323925">
              <w:rPr>
                <w:rFonts w:ascii="Arial Narrow" w:hAnsi="Arial Narrow"/>
                <w:b/>
                <w:lang w:val="cs-CZ"/>
              </w:rPr>
              <w:t>Využití proluky směřuje k účelnému a hospodárnému využívání území a k posílení kompaktnosti území</w:t>
            </w:r>
            <w:r w:rsidRPr="00461C16">
              <w:rPr>
                <w:rFonts w:ascii="Arial Narrow" w:hAnsi="Arial Narrow"/>
                <w:lang w:val="cs-CZ"/>
              </w:rPr>
              <w:t xml:space="preserve">. Plocha doplňuje smíšenou obytnou zástavbu, přispívá k uspokojení poptávky po nových plochách pro bydlení a zároveň umožňuje případnou lokalizaci dalších služeb, s cílem zvýšení kvality podmínek pro život v sídle Václavice. Vymezení plochy vychází ze </w:t>
            </w:r>
            <w:r w:rsidRPr="001321BA">
              <w:rPr>
                <w:rFonts w:ascii="Arial Narrow" w:hAnsi="Arial Narrow"/>
                <w:b/>
                <w:lang w:val="cs-CZ"/>
              </w:rPr>
              <w:t>současně platného ÚP města, kde již byla řádně projednána a schválena</w:t>
            </w:r>
            <w:r w:rsidRPr="00461C16">
              <w:rPr>
                <w:rFonts w:ascii="Arial Narrow" w:hAnsi="Arial Narrow"/>
                <w:lang w:val="cs-CZ"/>
              </w:rPr>
              <w:t>.</w:t>
            </w:r>
            <w:r w:rsidR="000F4E25" w:rsidRPr="00461C16">
              <w:rPr>
                <w:rFonts w:ascii="Arial Narrow" w:hAnsi="Arial Narrow"/>
                <w:lang w:val="cs-CZ"/>
              </w:rPr>
              <w:t xml:space="preserve"> </w:t>
            </w:r>
          </w:p>
        </w:tc>
      </w:tr>
      <w:tr w:rsidR="00E7229C" w:rsidRPr="00461C16" w14:paraId="52DE7ECB" w14:textId="77777777" w:rsidTr="00D95953">
        <w:trPr>
          <w:jc w:val="center"/>
        </w:trPr>
        <w:tc>
          <w:tcPr>
            <w:tcW w:w="1006" w:type="dxa"/>
            <w:shd w:val="clear" w:color="auto" w:fill="D6E3BC" w:themeFill="accent3" w:themeFillTint="66"/>
          </w:tcPr>
          <w:p w14:paraId="31110B59"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Z25</w:t>
            </w:r>
          </w:p>
        </w:tc>
        <w:tc>
          <w:tcPr>
            <w:tcW w:w="1856" w:type="dxa"/>
            <w:shd w:val="clear" w:color="auto" w:fill="D6E3BC" w:themeFill="accent3" w:themeFillTint="66"/>
          </w:tcPr>
          <w:p w14:paraId="75ED261A"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25DBAC4E"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776E05B9" w14:textId="77777777" w:rsidR="00E7229C" w:rsidRPr="00461C16" w:rsidRDefault="00E7229C" w:rsidP="00B82079">
            <w:pPr>
              <w:pStyle w:val="Intabulka"/>
              <w:rPr>
                <w:rFonts w:ascii="Arial Narrow" w:hAnsi="Arial Narrow"/>
                <w:lang w:val="cs-CZ"/>
              </w:rPr>
            </w:pPr>
            <w:r w:rsidRPr="00461C16">
              <w:rPr>
                <w:rFonts w:ascii="Arial Narrow" w:hAnsi="Arial Narrow"/>
                <w:lang w:val="cs-CZ"/>
              </w:rPr>
              <w:t xml:space="preserve">Plocha navazuje na hranici zastavěného území a doplňuje oboustranné obestavění komunikace (silnice III/2712), která tvoří páteř a urbanistickou osu části Václavice. Oboustranné obestavění komunikace je výhodné z urbanistického i ekonomického hlediska (posílení uličního charakteru veřejného prostoru, dostupnost sítí veřejné infrastruktury). Realizace záměru umožní rozvoj smíšené obytné zástavby, čímž napomůže k uspokojení poptávky po nových plochách pro bydlení a případně i k lokalizaci služeb, jako základních předpokladů pro zvýšení kvality života obyvatel sídla Václavice. Vymezení plochy </w:t>
            </w:r>
            <w:r w:rsidR="001321BA">
              <w:rPr>
                <w:rFonts w:ascii="Arial Narrow" w:hAnsi="Arial Narrow"/>
                <w:lang w:val="cs-CZ"/>
              </w:rPr>
              <w:t xml:space="preserve">z části </w:t>
            </w:r>
            <w:r w:rsidRPr="00461C16">
              <w:rPr>
                <w:rFonts w:ascii="Arial Narrow" w:hAnsi="Arial Narrow"/>
                <w:lang w:val="cs-CZ"/>
              </w:rPr>
              <w:t xml:space="preserve">vychází ze </w:t>
            </w:r>
            <w:r w:rsidRPr="001321BA">
              <w:rPr>
                <w:rFonts w:ascii="Arial Narrow" w:hAnsi="Arial Narrow"/>
                <w:b/>
                <w:lang w:val="cs-CZ"/>
              </w:rPr>
              <w:t>současně platného ÚP města, kde již byla řádně projednána a schválena</w:t>
            </w:r>
            <w:r w:rsidRPr="00461C16">
              <w:rPr>
                <w:rFonts w:ascii="Arial Narrow" w:hAnsi="Arial Narrow"/>
                <w:lang w:val="cs-CZ"/>
              </w:rPr>
              <w:t>.</w:t>
            </w:r>
            <w:r w:rsidR="000F4E25" w:rsidRPr="00461C16">
              <w:rPr>
                <w:rFonts w:ascii="Arial Narrow" w:hAnsi="Arial Narrow"/>
                <w:lang w:val="cs-CZ"/>
              </w:rPr>
              <w:t xml:space="preserve"> Plocha zabírá pouze půdu nižší</w:t>
            </w:r>
            <w:r w:rsidR="003705F8" w:rsidRPr="00461C16">
              <w:rPr>
                <w:rFonts w:ascii="Arial Narrow" w:hAnsi="Arial Narrow"/>
                <w:lang w:val="cs-CZ"/>
              </w:rPr>
              <w:t xml:space="preserve"> (V.)</w:t>
            </w:r>
            <w:r w:rsidR="000F4E25" w:rsidRPr="00461C16">
              <w:rPr>
                <w:rFonts w:ascii="Arial Narrow" w:hAnsi="Arial Narrow"/>
                <w:lang w:val="cs-CZ"/>
              </w:rPr>
              <w:t xml:space="preserve"> třídy ochrany.</w:t>
            </w:r>
          </w:p>
        </w:tc>
      </w:tr>
      <w:tr w:rsidR="00E7229C" w:rsidRPr="00461C16" w14:paraId="697AB1B6" w14:textId="77777777" w:rsidTr="00D95953">
        <w:trPr>
          <w:jc w:val="center"/>
        </w:trPr>
        <w:tc>
          <w:tcPr>
            <w:tcW w:w="1006" w:type="dxa"/>
            <w:shd w:val="clear" w:color="auto" w:fill="auto"/>
          </w:tcPr>
          <w:p w14:paraId="3CB323DD"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Z26</w:t>
            </w:r>
          </w:p>
        </w:tc>
        <w:tc>
          <w:tcPr>
            <w:tcW w:w="1856" w:type="dxa"/>
            <w:shd w:val="clear" w:color="auto" w:fill="auto"/>
          </w:tcPr>
          <w:p w14:paraId="3F73A143"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tcPr>
          <w:p w14:paraId="51FE6839"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auto"/>
          </w:tcPr>
          <w:p w14:paraId="27F1273A" w14:textId="77777777" w:rsidR="00E7229C" w:rsidRPr="00461C16" w:rsidRDefault="00E7229C" w:rsidP="00B82079">
            <w:pPr>
              <w:pStyle w:val="Intabulka"/>
              <w:rPr>
                <w:rFonts w:ascii="Arial Narrow" w:hAnsi="Arial Narrow"/>
                <w:lang w:val="cs-CZ"/>
              </w:rPr>
            </w:pPr>
            <w:r w:rsidRPr="00461C16">
              <w:rPr>
                <w:rFonts w:ascii="Arial Narrow" w:hAnsi="Arial Narrow"/>
                <w:lang w:val="cs-CZ"/>
              </w:rPr>
              <w:t xml:space="preserve">Plocha je vymezena v prostorové proluce ve stávající zástavbě podél silnice III/2713, která tvoří páteř a urbanistickou osu části Václavice. </w:t>
            </w:r>
            <w:r w:rsidRPr="00323925">
              <w:rPr>
                <w:rFonts w:ascii="Arial Narrow" w:hAnsi="Arial Narrow"/>
                <w:b/>
                <w:lang w:val="cs-CZ"/>
              </w:rPr>
              <w:t xml:space="preserve">Využití proluky směřuje k účelnému a hospodárnému využívání území, ke scelení zástavby a k posílení kompaktnosti území. </w:t>
            </w:r>
            <w:r w:rsidRPr="00461C16">
              <w:rPr>
                <w:rFonts w:ascii="Arial Narrow" w:hAnsi="Arial Narrow"/>
                <w:lang w:val="cs-CZ"/>
              </w:rPr>
              <w:t>Plocha doplňuje smíšenou obytnou zástavbu, přispívá k uspokojení poptávky po nových plochách pro bydlení a zároveň umožňuje případnou lokalizaci dalších služeb, s cílem zvýšení kvality podmínek pro život v sídle Václavice.</w:t>
            </w:r>
            <w:r w:rsidR="00B345B4" w:rsidRPr="00461C16">
              <w:rPr>
                <w:rFonts w:ascii="Arial Narrow" w:hAnsi="Arial Narrow"/>
                <w:lang w:val="cs-CZ"/>
              </w:rPr>
              <w:t xml:space="preserve"> </w:t>
            </w:r>
            <w:r w:rsidR="000F4E25" w:rsidRPr="00461C16">
              <w:rPr>
                <w:rFonts w:ascii="Arial Narrow" w:hAnsi="Arial Narrow"/>
                <w:lang w:val="cs-CZ"/>
              </w:rPr>
              <w:t>Plocha zabírá pouze půdu nižší</w:t>
            </w:r>
            <w:r w:rsidR="003705F8" w:rsidRPr="00461C16">
              <w:rPr>
                <w:rFonts w:ascii="Arial Narrow" w:hAnsi="Arial Narrow"/>
                <w:lang w:val="cs-CZ"/>
              </w:rPr>
              <w:t xml:space="preserve"> (IV.)</w:t>
            </w:r>
            <w:r w:rsidR="000F4E25" w:rsidRPr="00461C16">
              <w:rPr>
                <w:rFonts w:ascii="Arial Narrow" w:hAnsi="Arial Narrow"/>
                <w:lang w:val="cs-CZ"/>
              </w:rPr>
              <w:t xml:space="preserve"> třídy ochrany.</w:t>
            </w:r>
          </w:p>
        </w:tc>
      </w:tr>
      <w:tr w:rsidR="00E7229C" w:rsidRPr="00461C16" w14:paraId="188CD6F4" w14:textId="77777777" w:rsidTr="00D95953">
        <w:trPr>
          <w:jc w:val="center"/>
        </w:trPr>
        <w:tc>
          <w:tcPr>
            <w:tcW w:w="1006" w:type="dxa"/>
            <w:shd w:val="clear" w:color="auto" w:fill="D6E3BC" w:themeFill="accent3" w:themeFillTint="66"/>
          </w:tcPr>
          <w:p w14:paraId="23008490" w14:textId="77777777" w:rsidR="00E7229C" w:rsidRPr="00461C16" w:rsidRDefault="00E7229C" w:rsidP="00B82079">
            <w:pPr>
              <w:spacing w:before="40" w:line="240" w:lineRule="auto"/>
              <w:jc w:val="left"/>
              <w:rPr>
                <w:color w:val="000000"/>
                <w:sz w:val="20"/>
                <w:szCs w:val="20"/>
              </w:rPr>
            </w:pPr>
            <w:r w:rsidRPr="00461C16">
              <w:rPr>
                <w:color w:val="000000"/>
                <w:sz w:val="20"/>
                <w:szCs w:val="20"/>
              </w:rPr>
              <w:lastRenderedPageBreak/>
              <w:t>Z28</w:t>
            </w:r>
          </w:p>
        </w:tc>
        <w:tc>
          <w:tcPr>
            <w:tcW w:w="1856" w:type="dxa"/>
            <w:shd w:val="clear" w:color="auto" w:fill="D6E3BC" w:themeFill="accent3" w:themeFillTint="66"/>
          </w:tcPr>
          <w:p w14:paraId="65EA3BF0"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660A45CB"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33247442" w14:textId="77777777" w:rsidR="00E7229C" w:rsidRPr="00461C16" w:rsidRDefault="00E7229C" w:rsidP="00B82079">
            <w:pPr>
              <w:pStyle w:val="Intabulka"/>
              <w:rPr>
                <w:rFonts w:ascii="Arial Narrow" w:hAnsi="Arial Narrow"/>
                <w:lang w:val="cs-CZ"/>
              </w:rPr>
            </w:pPr>
            <w:r w:rsidRPr="00461C16">
              <w:rPr>
                <w:rFonts w:ascii="Arial Narrow" w:hAnsi="Arial Narrow"/>
                <w:lang w:val="cs-CZ"/>
              </w:rPr>
              <w:t xml:space="preserve">Plocha je vymezena v prostorové proluce ve stávající zástavbě podél silnice III/2713, která tvoří páteř a urbanistickou osu části Václavice. </w:t>
            </w:r>
            <w:r w:rsidRPr="00323925">
              <w:rPr>
                <w:rFonts w:ascii="Arial Narrow" w:hAnsi="Arial Narrow"/>
                <w:b/>
                <w:lang w:val="cs-CZ"/>
              </w:rPr>
              <w:t>Využití proluky směřuje k účelnému a hospodárnému využívání území, ke scelení zástavby a k posílení kompaktnosti území.</w:t>
            </w:r>
            <w:r w:rsidRPr="00461C16">
              <w:rPr>
                <w:rFonts w:ascii="Arial Narrow" w:hAnsi="Arial Narrow"/>
                <w:lang w:val="cs-CZ"/>
              </w:rPr>
              <w:t xml:space="preserve"> Plocha doplňuje smíšenou obytnou zástavbu, přispívá k uspokojení poptávky po nových plochách pro bydlení a zároveň umožňuje případnou lokalizaci dalších služeb, s cílem zvýšení kvality podmínek pro život v sídle Václavice.</w:t>
            </w:r>
            <w:r w:rsidR="00B345B4" w:rsidRPr="00461C16">
              <w:rPr>
                <w:rFonts w:ascii="Arial Narrow" w:hAnsi="Arial Narrow"/>
                <w:lang w:val="cs-CZ"/>
              </w:rPr>
              <w:t xml:space="preserve"> </w:t>
            </w:r>
            <w:r w:rsidRPr="00461C16">
              <w:rPr>
                <w:rFonts w:ascii="Arial Narrow" w:hAnsi="Arial Narrow"/>
                <w:lang w:val="cs-CZ"/>
              </w:rPr>
              <w:t xml:space="preserve">Vymezení plochy vychází ze </w:t>
            </w:r>
            <w:r w:rsidRPr="001321BA">
              <w:rPr>
                <w:rFonts w:ascii="Arial Narrow" w:hAnsi="Arial Narrow"/>
                <w:b/>
                <w:lang w:val="cs-CZ"/>
              </w:rPr>
              <w:t>současně platného ÚP města, kde již byla řádně projednána a schválena</w:t>
            </w:r>
            <w:r w:rsidRPr="00461C16">
              <w:rPr>
                <w:rFonts w:ascii="Arial Narrow" w:hAnsi="Arial Narrow"/>
                <w:lang w:val="cs-CZ"/>
              </w:rPr>
              <w:t>.</w:t>
            </w:r>
            <w:r w:rsidR="000F4E25" w:rsidRPr="00461C16">
              <w:rPr>
                <w:rFonts w:ascii="Arial Narrow" w:hAnsi="Arial Narrow"/>
                <w:lang w:val="cs-CZ"/>
              </w:rPr>
              <w:t xml:space="preserve"> Plocha zabírá pouze půdu nižší </w:t>
            </w:r>
            <w:r w:rsidR="003705F8" w:rsidRPr="00461C16">
              <w:rPr>
                <w:rFonts w:ascii="Arial Narrow" w:hAnsi="Arial Narrow"/>
                <w:lang w:val="cs-CZ"/>
              </w:rPr>
              <w:t xml:space="preserve">(IV.) </w:t>
            </w:r>
            <w:r w:rsidR="000F4E25" w:rsidRPr="00461C16">
              <w:rPr>
                <w:rFonts w:ascii="Arial Narrow" w:hAnsi="Arial Narrow"/>
                <w:lang w:val="cs-CZ"/>
              </w:rPr>
              <w:t>třídy ochrany.</w:t>
            </w:r>
          </w:p>
        </w:tc>
      </w:tr>
      <w:tr w:rsidR="00E7229C" w:rsidRPr="00461C16" w14:paraId="2FE8CF01" w14:textId="77777777" w:rsidTr="00D95953">
        <w:trPr>
          <w:jc w:val="center"/>
        </w:trPr>
        <w:tc>
          <w:tcPr>
            <w:tcW w:w="1006" w:type="dxa"/>
            <w:shd w:val="clear" w:color="auto" w:fill="D6E3BC" w:themeFill="accent3" w:themeFillTint="66"/>
          </w:tcPr>
          <w:p w14:paraId="6E1F1359"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Z29</w:t>
            </w:r>
          </w:p>
        </w:tc>
        <w:tc>
          <w:tcPr>
            <w:tcW w:w="1856" w:type="dxa"/>
            <w:shd w:val="clear" w:color="auto" w:fill="D6E3BC" w:themeFill="accent3" w:themeFillTint="66"/>
          </w:tcPr>
          <w:p w14:paraId="39362CD3" w14:textId="77777777" w:rsidR="00E7229C" w:rsidRPr="00461C16" w:rsidRDefault="00E7229C" w:rsidP="00B82079">
            <w:pPr>
              <w:spacing w:before="40" w:line="240" w:lineRule="auto"/>
              <w:jc w:val="left"/>
              <w:rPr>
                <w:color w:val="000000"/>
                <w:sz w:val="20"/>
                <w:szCs w:val="20"/>
              </w:rPr>
            </w:pPr>
            <w:r w:rsidRPr="00461C16">
              <w:rPr>
                <w:color w:val="000000"/>
                <w:sz w:val="20"/>
                <w:szCs w:val="20"/>
              </w:rPr>
              <w:t xml:space="preserve">BV – bydlení venkovské </w:t>
            </w:r>
          </w:p>
        </w:tc>
        <w:tc>
          <w:tcPr>
            <w:tcW w:w="1356" w:type="dxa"/>
            <w:shd w:val="clear" w:color="auto" w:fill="D6E3BC" w:themeFill="accent3" w:themeFillTint="66"/>
          </w:tcPr>
          <w:p w14:paraId="6E627F47"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53B9C4D2" w14:textId="77777777" w:rsidR="00E7229C" w:rsidRDefault="00E7229C" w:rsidP="00B82079">
            <w:pPr>
              <w:pStyle w:val="Intabulka"/>
              <w:rPr>
                <w:rFonts w:ascii="Arial Narrow" w:hAnsi="Arial Narrow"/>
                <w:lang w:val="cs-CZ"/>
              </w:rPr>
            </w:pPr>
            <w:r w:rsidRPr="00461C16">
              <w:rPr>
                <w:rFonts w:ascii="Arial Narrow" w:hAnsi="Arial Narrow"/>
                <w:lang w:val="cs-CZ"/>
              </w:rPr>
              <w:t xml:space="preserve">Plocha je vymezena na jižním okraji sídla Uhelná, navazuje na hranici zastavěného území. </w:t>
            </w:r>
            <w:r w:rsidRPr="00323925">
              <w:rPr>
                <w:rFonts w:ascii="Arial Narrow" w:hAnsi="Arial Narrow"/>
                <w:b/>
                <w:lang w:val="cs-CZ"/>
              </w:rPr>
              <w:t>Využívá prostorovou proluku v zástavbě, čímž směřuje k hospodárnému a účelnému využívání území, zároveň přispívá ke scelení fragmentované zástavby.</w:t>
            </w:r>
            <w:r w:rsidRPr="00461C16">
              <w:rPr>
                <w:rFonts w:ascii="Arial Narrow" w:hAnsi="Arial Narrow"/>
                <w:lang w:val="cs-CZ"/>
              </w:rPr>
              <w:t xml:space="preserve"> Je určena k rozvoji venkovské obytné zástavby, v souladu s charakterem navazujícího území. </w:t>
            </w:r>
            <w:r w:rsidR="00C572F8">
              <w:rPr>
                <w:rFonts w:ascii="Arial Narrow" w:hAnsi="Arial Narrow"/>
                <w:lang w:val="cs-CZ"/>
              </w:rPr>
              <w:t>P</w:t>
            </w:r>
            <w:r w:rsidRPr="00461C16">
              <w:rPr>
                <w:rFonts w:ascii="Arial Narrow" w:hAnsi="Arial Narrow"/>
                <w:lang w:val="cs-CZ"/>
              </w:rPr>
              <w:t xml:space="preserve">locha potvrzuje záměr ze </w:t>
            </w:r>
            <w:r w:rsidRPr="007C3FBD">
              <w:rPr>
                <w:rFonts w:ascii="Arial Narrow" w:hAnsi="Arial Narrow"/>
                <w:b/>
                <w:lang w:val="cs-CZ"/>
              </w:rPr>
              <w:t>současně platného ÚP města</w:t>
            </w:r>
            <w:r w:rsidRPr="00461C16">
              <w:rPr>
                <w:rFonts w:ascii="Arial Narrow" w:hAnsi="Arial Narrow"/>
                <w:lang w:val="cs-CZ"/>
              </w:rPr>
              <w:t xml:space="preserve">, </w:t>
            </w:r>
            <w:r w:rsidR="007C3FBD" w:rsidRPr="00B267B8">
              <w:rPr>
                <w:rFonts w:ascii="Arial Narrow" w:hAnsi="Arial Narrow"/>
                <w:b/>
                <w:lang w:val="cs-CZ"/>
              </w:rPr>
              <w:t>kde byla plocha řádně projednána a schválena</w:t>
            </w:r>
            <w:r w:rsidRPr="00461C16">
              <w:rPr>
                <w:rFonts w:ascii="Arial Narrow" w:hAnsi="Arial Narrow"/>
                <w:lang w:val="cs-CZ"/>
              </w:rPr>
              <w:t>. Jedná se o jedinou rozvojovou plochu v sídle Uhelná, je tedy jedinou příležitostí pro další stavební rozvoj sídla a uspokojení poptávky po dalších plochách bydlení.</w:t>
            </w:r>
          </w:p>
          <w:p w14:paraId="18C09A36" w14:textId="77777777" w:rsidR="00F35BB0" w:rsidRPr="00461C16" w:rsidRDefault="00F35BB0" w:rsidP="00B82079">
            <w:pPr>
              <w:pStyle w:val="Intabulka"/>
              <w:rPr>
                <w:rFonts w:ascii="Arial Narrow" w:hAnsi="Arial Narrow"/>
                <w:lang w:val="cs-CZ"/>
              </w:rPr>
            </w:pPr>
            <w:r w:rsidRPr="00F35BB0">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E7229C" w:rsidRPr="00461C16" w14:paraId="39086482" w14:textId="77777777" w:rsidTr="00D95953">
        <w:trPr>
          <w:jc w:val="center"/>
        </w:trPr>
        <w:tc>
          <w:tcPr>
            <w:tcW w:w="1006" w:type="dxa"/>
            <w:shd w:val="clear" w:color="auto" w:fill="FBF8B5"/>
          </w:tcPr>
          <w:p w14:paraId="115A147C"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Z30</w:t>
            </w:r>
          </w:p>
        </w:tc>
        <w:tc>
          <w:tcPr>
            <w:tcW w:w="1856" w:type="dxa"/>
            <w:shd w:val="clear" w:color="auto" w:fill="FBF8B5"/>
          </w:tcPr>
          <w:p w14:paraId="47D09896"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FBF8B5"/>
          </w:tcPr>
          <w:p w14:paraId="287A8D88"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Oldřichov na Hranicích</w:t>
            </w:r>
          </w:p>
        </w:tc>
        <w:tc>
          <w:tcPr>
            <w:tcW w:w="5070" w:type="dxa"/>
            <w:shd w:val="clear" w:color="auto" w:fill="FBF8B5"/>
          </w:tcPr>
          <w:p w14:paraId="0094687C" w14:textId="77777777" w:rsidR="00E7229C" w:rsidRDefault="00E7229C" w:rsidP="00B82079">
            <w:pPr>
              <w:pStyle w:val="Intabulka"/>
              <w:rPr>
                <w:rFonts w:ascii="Arial Narrow" w:hAnsi="Arial Narrow"/>
                <w:lang w:val="cs-CZ"/>
              </w:rPr>
            </w:pPr>
            <w:r w:rsidRPr="00461C16">
              <w:rPr>
                <w:rFonts w:ascii="Arial Narrow" w:hAnsi="Arial Narrow"/>
                <w:lang w:val="cs-CZ"/>
              </w:rPr>
              <w:t>Plocha je určena k doplnění smíšené obytné zástavby na jižním okraji části Oldřichov na Hranicích, v souladu s </w:t>
            </w:r>
            <w:r w:rsidRPr="002004BF">
              <w:rPr>
                <w:rFonts w:ascii="Arial Narrow" w:hAnsi="Arial Narrow"/>
                <w:b/>
                <w:lang w:val="cs-CZ"/>
              </w:rPr>
              <w:t>požadavkem schváleného Zadání ÚP</w:t>
            </w:r>
            <w:r w:rsidRPr="00461C16">
              <w:rPr>
                <w:rFonts w:ascii="Arial Narrow" w:hAnsi="Arial Narrow"/>
                <w:lang w:val="cs-CZ"/>
              </w:rPr>
              <w:t>. Záměr navazuje na stabilizovanou zástavbu a dotváří plynulou hranici zastavěného území v jižní části sídla.</w:t>
            </w:r>
            <w:r w:rsidR="00B345B4" w:rsidRPr="00461C16">
              <w:rPr>
                <w:rFonts w:ascii="Arial Narrow" w:hAnsi="Arial Narrow"/>
                <w:lang w:val="cs-CZ"/>
              </w:rPr>
              <w:t xml:space="preserve"> </w:t>
            </w:r>
          </w:p>
          <w:p w14:paraId="58791ADD" w14:textId="77777777" w:rsidR="00F35BB0" w:rsidRPr="00461C16" w:rsidRDefault="00F35BB0" w:rsidP="00B82079">
            <w:pPr>
              <w:pStyle w:val="Intabulka"/>
              <w:rPr>
                <w:rFonts w:ascii="Arial Narrow" w:hAnsi="Arial Narrow"/>
                <w:lang w:val="cs-CZ"/>
              </w:rPr>
            </w:pPr>
            <w:r w:rsidRPr="00F35BB0">
              <w:rPr>
                <w:rFonts w:ascii="Arial Narrow" w:hAnsi="Arial Narrow"/>
                <w:b/>
              </w:rPr>
              <w:t>Veřejný zájem</w:t>
            </w:r>
            <w:r w:rsidRPr="00D80213">
              <w:rPr>
                <w:rFonts w:ascii="Arial Narrow" w:hAnsi="Arial Narrow"/>
              </w:rPr>
              <w:t xml:space="preserve"> spočívá ve vytváření kvalitního obytného a krajinného </w:t>
            </w:r>
            <w:r w:rsidRPr="00F35BB0">
              <w:rPr>
                <w:rFonts w:ascii="Arial Narrow" w:hAnsi="Arial Narrow"/>
              </w:rPr>
              <w:t>prostředí a kvalitní urbanistické a krajinářské koncepce, přičemž kvalita prostředí je zajištěna lokalizací plochy ve vazbě na zastavěné území a stanovením adekvátních podmínek využití včetně podmínek prostorového uspořádání.</w:t>
            </w:r>
          </w:p>
        </w:tc>
      </w:tr>
      <w:tr w:rsidR="00E7229C" w:rsidRPr="00461C16" w14:paraId="6C8BF66A" w14:textId="77777777" w:rsidTr="00D95953">
        <w:trPr>
          <w:jc w:val="center"/>
        </w:trPr>
        <w:tc>
          <w:tcPr>
            <w:tcW w:w="1006" w:type="dxa"/>
            <w:shd w:val="clear" w:color="auto" w:fill="auto"/>
          </w:tcPr>
          <w:p w14:paraId="12049477"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Z35</w:t>
            </w:r>
          </w:p>
        </w:tc>
        <w:tc>
          <w:tcPr>
            <w:tcW w:w="1856" w:type="dxa"/>
            <w:shd w:val="clear" w:color="auto" w:fill="auto"/>
          </w:tcPr>
          <w:p w14:paraId="54C04669" w14:textId="77777777" w:rsidR="00E7229C" w:rsidRPr="00461C16" w:rsidRDefault="00E7229C" w:rsidP="00B82079">
            <w:pPr>
              <w:spacing w:before="40" w:line="240" w:lineRule="auto"/>
              <w:jc w:val="left"/>
              <w:rPr>
                <w:color w:val="000000"/>
                <w:sz w:val="20"/>
                <w:szCs w:val="20"/>
              </w:rPr>
            </w:pPr>
            <w:r w:rsidRPr="00461C16">
              <w:rPr>
                <w:color w:val="000000"/>
                <w:sz w:val="20"/>
                <w:szCs w:val="20"/>
              </w:rPr>
              <w:t>RN – rekreace na plochách přírodního charakteru</w:t>
            </w:r>
          </w:p>
        </w:tc>
        <w:tc>
          <w:tcPr>
            <w:tcW w:w="1356" w:type="dxa"/>
          </w:tcPr>
          <w:p w14:paraId="6F5A1849"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auto"/>
          </w:tcPr>
          <w:p w14:paraId="6E62A92B" w14:textId="77777777" w:rsidR="00E7229C" w:rsidRDefault="00E7229C" w:rsidP="00B82079">
            <w:pPr>
              <w:pStyle w:val="Intabulka"/>
              <w:rPr>
                <w:rFonts w:ascii="Arial Narrow" w:hAnsi="Arial Narrow"/>
                <w:lang w:val="cs-CZ"/>
              </w:rPr>
            </w:pPr>
            <w:r w:rsidRPr="00461C16">
              <w:rPr>
                <w:rFonts w:ascii="Arial Narrow" w:hAnsi="Arial Narrow"/>
                <w:lang w:val="cs-CZ"/>
              </w:rPr>
              <w:t xml:space="preserve">Plocha je vymezena s cílem umožnit rozšíření rekreačního areálu Kristýna, které se nachází na státní hranici a i vzhledem k jeho rozsahu a vysoké atraktivitě přírodního prostředí a zázemí jej lze považovat za zařízení nadmístního – mezinárodního významu. Jeho rozvoj je žádoucí a zvyšování kvality a nabídky služeb pro návštěvníky je nezbytným prostředkem pro podporu rekreace a cestovního ruchu ve městě. Záměr předpokládá umísťování rekreačních ploch a zařízení přírodního charakteru, tedy bez zástavby a s maximálním ohledem vůči hodnotám přírodního prostředí. Plocha je vymezena v souladu s </w:t>
            </w:r>
            <w:r w:rsidRPr="002004BF">
              <w:rPr>
                <w:rFonts w:ascii="Arial Narrow" w:hAnsi="Arial Narrow"/>
                <w:b/>
                <w:lang w:val="cs-CZ"/>
              </w:rPr>
              <w:t>požadavkem města</w:t>
            </w:r>
            <w:r w:rsidRPr="00461C16">
              <w:rPr>
                <w:rFonts w:ascii="Arial Narrow" w:hAnsi="Arial Narrow"/>
                <w:lang w:val="cs-CZ"/>
              </w:rPr>
              <w:t>.</w:t>
            </w:r>
          </w:p>
          <w:p w14:paraId="5A00D22D" w14:textId="77777777" w:rsidR="00FE63C5" w:rsidRPr="00FE63C5" w:rsidRDefault="00FE63C5" w:rsidP="00B82079">
            <w:pPr>
              <w:pStyle w:val="Intabulka"/>
              <w:rPr>
                <w:rFonts w:ascii="Arial Narrow" w:hAnsi="Arial Narrow"/>
                <w:lang w:val="cs-CZ"/>
              </w:rPr>
            </w:pPr>
            <w:r w:rsidRPr="00FE63C5">
              <w:rPr>
                <w:rFonts w:ascii="Arial Narrow" w:hAnsi="Arial Narrow"/>
                <w:b/>
              </w:rPr>
              <w:t>Veřejný zájem</w:t>
            </w:r>
            <w:r w:rsidRPr="00FE63C5">
              <w:rPr>
                <w:rFonts w:ascii="Arial Narrow" w:hAnsi="Arial Narrow"/>
              </w:rPr>
              <w:t xml:space="preserve"> spočívá ve vytváření kvalitních podmínek pro život a rekreaci obyvatel města, intenzifikaci přeshraničních vazeb (Německo, Polsko) s ohledem na vytvoření rekreačního území nadmístního charakteru a posílení významu města v širší struktuře osídlení. V neposlední řadě spočívá v ekonomickém rozvoji města.</w:t>
            </w:r>
          </w:p>
        </w:tc>
      </w:tr>
      <w:tr w:rsidR="00E7229C" w:rsidRPr="00461C16" w14:paraId="1A99FC1D" w14:textId="77777777" w:rsidTr="00387BE9">
        <w:trPr>
          <w:jc w:val="center"/>
        </w:trPr>
        <w:tc>
          <w:tcPr>
            <w:tcW w:w="1006" w:type="dxa"/>
            <w:shd w:val="clear" w:color="auto" w:fill="D6E3BC" w:themeFill="accent3" w:themeFillTint="66"/>
          </w:tcPr>
          <w:p w14:paraId="50793A31"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Z36</w:t>
            </w:r>
          </w:p>
        </w:tc>
        <w:tc>
          <w:tcPr>
            <w:tcW w:w="1856" w:type="dxa"/>
            <w:shd w:val="clear" w:color="auto" w:fill="D6E3BC" w:themeFill="accent3" w:themeFillTint="66"/>
          </w:tcPr>
          <w:p w14:paraId="55BA430A" w14:textId="77777777" w:rsidR="00E7229C" w:rsidRPr="00461C16" w:rsidRDefault="00E7229C" w:rsidP="00B82079">
            <w:pPr>
              <w:spacing w:before="40" w:line="240" w:lineRule="auto"/>
              <w:jc w:val="left"/>
              <w:rPr>
                <w:color w:val="000000"/>
                <w:sz w:val="20"/>
                <w:szCs w:val="20"/>
              </w:rPr>
            </w:pPr>
            <w:r w:rsidRPr="00461C16">
              <w:rPr>
                <w:color w:val="000000"/>
                <w:sz w:val="20"/>
                <w:szCs w:val="20"/>
              </w:rPr>
              <w:t>VL – lehký průmysl</w:t>
            </w:r>
          </w:p>
        </w:tc>
        <w:tc>
          <w:tcPr>
            <w:tcW w:w="1356" w:type="dxa"/>
            <w:shd w:val="clear" w:color="auto" w:fill="D6E3BC" w:themeFill="accent3" w:themeFillTint="66"/>
          </w:tcPr>
          <w:p w14:paraId="65AABD48"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 xml:space="preserve">Hrádek nad </w:t>
            </w:r>
            <w:r w:rsidRPr="00461C16">
              <w:rPr>
                <w:rFonts w:ascii="Arial Narrow" w:hAnsi="Arial Narrow"/>
                <w:lang w:val="cs-CZ"/>
              </w:rPr>
              <w:lastRenderedPageBreak/>
              <w:t>Nisou</w:t>
            </w:r>
          </w:p>
        </w:tc>
        <w:tc>
          <w:tcPr>
            <w:tcW w:w="5070" w:type="dxa"/>
            <w:shd w:val="clear" w:color="auto" w:fill="D6E3BC" w:themeFill="accent3" w:themeFillTint="66"/>
          </w:tcPr>
          <w:p w14:paraId="622C6D83" w14:textId="77777777" w:rsidR="00713973" w:rsidRDefault="00E7229C" w:rsidP="00B82079">
            <w:pPr>
              <w:pStyle w:val="Intabulka"/>
              <w:rPr>
                <w:rFonts w:ascii="Arial Narrow" w:hAnsi="Arial Narrow"/>
                <w:lang w:val="cs-CZ"/>
              </w:rPr>
            </w:pPr>
            <w:r w:rsidRPr="00461C16">
              <w:rPr>
                <w:rFonts w:ascii="Arial Narrow" w:hAnsi="Arial Narrow"/>
                <w:lang w:val="cs-CZ"/>
              </w:rPr>
              <w:lastRenderedPageBreak/>
              <w:t xml:space="preserve">Plocha účelně využívá proluku v území mezi stávající průmyslovou zónou a obchvatem města. Je určena k rozšíření ploch výroby, </w:t>
            </w:r>
            <w:r w:rsidRPr="00461C16">
              <w:rPr>
                <w:rFonts w:ascii="Arial Narrow" w:hAnsi="Arial Narrow"/>
                <w:lang w:val="cs-CZ"/>
              </w:rPr>
              <w:lastRenderedPageBreak/>
              <w:t>jako součást průmyslové zóny Hrádek nad Nisou, která má strategickou polohu na mezinárodním dopravním tahu a tudíž i nezpochybnitelný nadmístní význam. Vymezení plochy respektuje požadavky na rozvoj města s ohledem na polohu v republikově významné rozvojové oblasti a rozvojové ose. Vzhledem k charakteru okolního území a hlukové zátěži z dopravních staveb představuje navržený způsob využití pro tuto plochu vhodné řešení</w:t>
            </w:r>
            <w:r w:rsidR="00B524F8">
              <w:rPr>
                <w:rFonts w:ascii="Arial Narrow" w:hAnsi="Arial Narrow"/>
                <w:lang w:val="cs-CZ"/>
              </w:rPr>
              <w:t>, lokalizace výrobních aktivit v návaznosti na již stabilizovanou průmyslovou zónu je navíc úsporná z urbanistického i ekonomického hlediska</w:t>
            </w:r>
            <w:r w:rsidRPr="00461C16">
              <w:rPr>
                <w:rFonts w:ascii="Arial Narrow" w:hAnsi="Arial Narrow"/>
                <w:lang w:val="cs-CZ"/>
              </w:rPr>
              <w:t>. Záměr je v souladu se současně platným ÚP města, kde již byla plocha řádně projednána a schválena.</w:t>
            </w:r>
          </w:p>
          <w:p w14:paraId="5D722C2E" w14:textId="77777777" w:rsidR="00E47C1D" w:rsidRDefault="00E47C1D" w:rsidP="00B82079">
            <w:pPr>
              <w:pStyle w:val="Intabulka"/>
              <w:rPr>
                <w:rFonts w:ascii="Arial Narrow" w:hAnsi="Arial Narrow"/>
                <w:lang w:val="cs-CZ"/>
              </w:rPr>
            </w:pPr>
            <w:r>
              <w:rPr>
                <w:rFonts w:ascii="Arial Narrow" w:hAnsi="Arial Narrow"/>
                <w:lang w:val="cs-CZ"/>
              </w:rPr>
              <w:t xml:space="preserve">Na zástavbu v jižně navazující ploše VL bylo dne 15.12.2017 bylo Městským úřadem Hrádek nad Nisou, odbor stavební a životního prostředí, pod č.j. OSŽP-8729/2017-LII vydáno stavební povolení na stavbu VGP Park Hrádek nad Nisou, hala H5 ( na pozemcích p.p.č. 1594/52, 1594/1, 1594/15, 1594/62 a 1594/39, k.ú. Hrádek nad Nisou), vymezená plocha Z36 pouze umožňuje další budoucí rozvoj tohoto areálu. Vydání správního rozhodnutí předcházel souhlas s trvalým odnětím půdy ze ZPF </w:t>
            </w:r>
            <w:r w:rsidRPr="00713973">
              <w:rPr>
                <w:rFonts w:ascii="Arial Narrow" w:hAnsi="Arial Narrow"/>
                <w:lang w:val="cs-CZ"/>
              </w:rPr>
              <w:t>o celkové výměře 98.225 m2, pro záměr „VGP Park Hrádek nad Nisou, hala H4 a H5“,</w:t>
            </w:r>
            <w:r>
              <w:rPr>
                <w:rFonts w:ascii="Arial Narrow" w:hAnsi="Arial Narrow"/>
                <w:lang w:val="cs-CZ"/>
              </w:rPr>
              <w:t xml:space="preserve"> vydaný na část plochy </w:t>
            </w:r>
            <w:r w:rsidR="00713973" w:rsidRPr="00713973">
              <w:rPr>
                <w:rFonts w:ascii="Arial Narrow" w:hAnsi="Arial Narrow"/>
                <w:lang w:val="cs-CZ"/>
              </w:rPr>
              <w:t xml:space="preserve">v rozsahu pozemků p.p.č. 1594/52 a 1594/62, k.ú. Hrádek nad Nisou, </w:t>
            </w:r>
            <w:r>
              <w:rPr>
                <w:rFonts w:ascii="Arial Narrow" w:hAnsi="Arial Narrow"/>
                <w:lang w:val="cs-CZ"/>
              </w:rPr>
              <w:t xml:space="preserve">závazným stanoviskem </w:t>
            </w:r>
            <w:r w:rsidRPr="00713973">
              <w:rPr>
                <w:rFonts w:ascii="Arial Narrow" w:hAnsi="Arial Narrow"/>
                <w:lang w:val="cs-CZ"/>
              </w:rPr>
              <w:t>KÚ Libereckého kraje</w:t>
            </w:r>
            <w:r>
              <w:rPr>
                <w:rFonts w:ascii="Arial Narrow" w:hAnsi="Arial Narrow"/>
                <w:lang w:val="cs-CZ"/>
              </w:rPr>
              <w:t>,</w:t>
            </w:r>
            <w:r w:rsidR="00713973" w:rsidRPr="00713973">
              <w:rPr>
                <w:rFonts w:ascii="Arial Narrow" w:hAnsi="Arial Narrow"/>
                <w:lang w:val="cs-CZ"/>
              </w:rPr>
              <w:t xml:space="preserve"> </w:t>
            </w:r>
            <w:r w:rsidRPr="00713973">
              <w:rPr>
                <w:rFonts w:ascii="Arial Narrow" w:hAnsi="Arial Narrow"/>
                <w:lang w:val="cs-CZ"/>
              </w:rPr>
              <w:t>odbor životního prostředí a zemědělství</w:t>
            </w:r>
            <w:r>
              <w:rPr>
                <w:rFonts w:ascii="Arial Narrow" w:hAnsi="Arial Narrow"/>
                <w:lang w:val="cs-CZ"/>
              </w:rPr>
              <w:t>,</w:t>
            </w:r>
            <w:r w:rsidRPr="00713973">
              <w:rPr>
                <w:rFonts w:ascii="Arial Narrow" w:hAnsi="Arial Narrow"/>
                <w:lang w:val="cs-CZ"/>
              </w:rPr>
              <w:t xml:space="preserve"> </w:t>
            </w:r>
            <w:r w:rsidR="00713973" w:rsidRPr="00713973">
              <w:rPr>
                <w:rFonts w:ascii="Arial Narrow" w:hAnsi="Arial Narrow"/>
                <w:lang w:val="cs-CZ"/>
              </w:rPr>
              <w:t>dne 3.4.2017</w:t>
            </w:r>
            <w:r>
              <w:rPr>
                <w:rFonts w:ascii="Arial Narrow" w:hAnsi="Arial Narrow"/>
                <w:lang w:val="cs-CZ"/>
              </w:rPr>
              <w:t>.</w:t>
            </w:r>
            <w:r w:rsidR="00713973" w:rsidRPr="00713973">
              <w:rPr>
                <w:rFonts w:ascii="Arial Narrow" w:hAnsi="Arial Narrow"/>
                <w:lang w:val="cs-CZ"/>
              </w:rPr>
              <w:t xml:space="preserve"> </w:t>
            </w:r>
            <w:r>
              <w:rPr>
                <w:rFonts w:ascii="Arial Narrow" w:hAnsi="Arial Narrow"/>
                <w:lang w:val="cs-CZ"/>
              </w:rPr>
              <w:t xml:space="preserve"> </w:t>
            </w:r>
          </w:p>
          <w:p w14:paraId="0015C8A4" w14:textId="77777777" w:rsidR="00E7229C" w:rsidRDefault="00F13913" w:rsidP="00B82079">
            <w:pPr>
              <w:pStyle w:val="Intabulka"/>
              <w:rPr>
                <w:rFonts w:ascii="Arial Narrow" w:hAnsi="Arial Narrow"/>
                <w:lang w:val="cs-CZ"/>
              </w:rPr>
            </w:pPr>
            <w:r>
              <w:rPr>
                <w:rFonts w:ascii="Arial Narrow" w:hAnsi="Arial Narrow"/>
                <w:lang w:val="cs-CZ"/>
              </w:rPr>
              <w:t>Z tohoto důvodu zároveň není navržena etapizace výstavby.</w:t>
            </w:r>
          </w:p>
          <w:p w14:paraId="5EBEEC94" w14:textId="77777777" w:rsidR="000A1553" w:rsidRPr="00AD7820" w:rsidRDefault="000A1553" w:rsidP="00B82079">
            <w:pPr>
              <w:pStyle w:val="Intabulka"/>
              <w:rPr>
                <w:rFonts w:ascii="Arial Narrow" w:hAnsi="Arial Narrow"/>
                <w:lang w:val="cs-CZ"/>
              </w:rPr>
            </w:pPr>
            <w:r w:rsidRPr="00F35BB0">
              <w:rPr>
                <w:rFonts w:ascii="Arial Narrow" w:hAnsi="Arial Narrow"/>
                <w:b/>
                <w:lang w:val="cs-CZ"/>
              </w:rPr>
              <w:t>Veřejný zájem</w:t>
            </w:r>
            <w:r w:rsidRPr="00F35BB0">
              <w:rPr>
                <w:rFonts w:ascii="Arial Narrow" w:hAnsi="Arial Narrow"/>
                <w:lang w:val="cs-CZ"/>
              </w:rPr>
              <w:t xml:space="preserve"> spočívá v ekonomickém rozvoji města a potenciálně celého regionu </w:t>
            </w:r>
            <w:r w:rsidR="002B2267">
              <w:rPr>
                <w:rFonts w:ascii="Arial Narrow" w:hAnsi="Arial Narrow"/>
                <w:lang w:val="cs-CZ"/>
              </w:rPr>
              <w:t xml:space="preserve">s ohledem na polohu v republikově významné rozvojové </w:t>
            </w:r>
            <w:r w:rsidR="00A14C79">
              <w:rPr>
                <w:rFonts w:ascii="Arial Narrow" w:hAnsi="Arial Narrow"/>
                <w:lang w:val="cs-CZ"/>
              </w:rPr>
              <w:t xml:space="preserve">oblasti a </w:t>
            </w:r>
            <w:r w:rsidR="002B2267">
              <w:rPr>
                <w:rFonts w:ascii="Arial Narrow" w:hAnsi="Arial Narrow"/>
                <w:lang w:val="cs-CZ"/>
              </w:rPr>
              <w:t xml:space="preserve">ose </w:t>
            </w:r>
            <w:r w:rsidRPr="00F35BB0">
              <w:rPr>
                <w:rFonts w:ascii="Arial Narrow" w:hAnsi="Arial Narrow"/>
                <w:lang w:val="cs-CZ"/>
              </w:rPr>
              <w:t>a posílení přeshraničních vazeb (Polsko, Německo)</w:t>
            </w:r>
            <w:r w:rsidR="00A14C79">
              <w:rPr>
                <w:rFonts w:ascii="Arial Narrow" w:hAnsi="Arial Narrow"/>
                <w:lang w:val="cs-CZ"/>
              </w:rPr>
              <w:t xml:space="preserve"> . Vymezení plochy směřuje ke splnění požadavku ZÚR Libereckého kraje na vytváření územních podmínek pro vstup strategických investorů a rozvoj nových ekonomických aktivit</w:t>
            </w:r>
            <w:r w:rsidR="002E4BDE">
              <w:rPr>
                <w:rFonts w:ascii="Arial Narrow" w:hAnsi="Arial Narrow"/>
                <w:lang w:val="cs-CZ"/>
              </w:rPr>
              <w:t xml:space="preserve"> a na koncentraci aktivit republikového a nadmístního významu přednostně v rozvojové oblasti a ose</w:t>
            </w:r>
            <w:r w:rsidR="00A14C79">
              <w:rPr>
                <w:rFonts w:ascii="Arial Narrow" w:hAnsi="Arial Narrow"/>
                <w:lang w:val="cs-CZ"/>
              </w:rPr>
              <w:t xml:space="preserve">. Veřejný zájem dále spočívá </w:t>
            </w:r>
            <w:r>
              <w:rPr>
                <w:rFonts w:ascii="Arial Narrow" w:hAnsi="Arial Narrow"/>
                <w:lang w:val="cs-CZ"/>
              </w:rPr>
              <w:t>ve</w:t>
            </w:r>
            <w:r w:rsidRPr="00F35BB0">
              <w:rPr>
                <w:rFonts w:ascii="Arial Narrow" w:hAnsi="Arial Narrow"/>
                <w:lang w:val="cs-CZ"/>
              </w:rPr>
              <w:t> vytvoření pracovních příležitostí a snížení míry nezaměstnanosti obyvatel města a jeho okolí.</w:t>
            </w:r>
            <w:r>
              <w:rPr>
                <w:rFonts w:ascii="Arial Narrow" w:hAnsi="Arial Narrow"/>
                <w:lang w:val="cs-CZ"/>
              </w:rPr>
              <w:t xml:space="preserve"> </w:t>
            </w:r>
            <w:r w:rsidR="00BA6E7B" w:rsidRPr="00AD7820">
              <w:rPr>
                <w:rFonts w:ascii="Arial Narrow" w:hAnsi="Arial Narrow"/>
                <w:lang w:val="cs-CZ"/>
              </w:rPr>
              <w:t xml:space="preserve">Vytvoření pracovních příležitostí je jedním ze základních předpokladů zvýšení atraktivity Hrádku nad Nisou a důvodem pro přistěhování nových obyvatel a </w:t>
            </w:r>
            <w:r w:rsidR="003B245B" w:rsidRPr="00AD7820">
              <w:rPr>
                <w:rFonts w:ascii="Arial Narrow" w:hAnsi="Arial Narrow"/>
                <w:lang w:val="cs-CZ"/>
              </w:rPr>
              <w:t xml:space="preserve">tedy pro žádoucí </w:t>
            </w:r>
            <w:r w:rsidR="00BA6E7B" w:rsidRPr="00AD7820">
              <w:rPr>
                <w:rFonts w:ascii="Arial Narrow" w:hAnsi="Arial Narrow"/>
                <w:lang w:val="cs-CZ"/>
              </w:rPr>
              <w:t xml:space="preserve">rozvoj města. </w:t>
            </w:r>
            <w:r w:rsidRPr="00AD7820">
              <w:rPr>
                <w:rFonts w:ascii="Arial Narrow" w:hAnsi="Arial Narrow"/>
                <w:lang w:val="cs-CZ"/>
              </w:rPr>
              <w:t xml:space="preserve">V neposlední řadě spočívá v naplnění </w:t>
            </w:r>
            <w:r w:rsidRPr="00AD7820">
              <w:rPr>
                <w:rFonts w:ascii="Arial Narrow" w:hAnsi="Arial Narrow"/>
              </w:rPr>
              <w:t>dlouhodobě sledované a platné územně plánovací koncepce</w:t>
            </w:r>
            <w:r w:rsidRPr="00AD7820">
              <w:rPr>
                <w:rFonts w:ascii="Arial Narrow" w:hAnsi="Arial Narrow"/>
                <w:lang w:val="cs-CZ"/>
              </w:rPr>
              <w:t>.</w:t>
            </w:r>
          </w:p>
          <w:p w14:paraId="5D86E207" w14:textId="77777777" w:rsidR="003B245B" w:rsidRPr="00F37B25" w:rsidRDefault="003B245B" w:rsidP="00B82079">
            <w:pPr>
              <w:pStyle w:val="Intabulka"/>
              <w:rPr>
                <w:rFonts w:ascii="Arial Narrow" w:hAnsi="Arial Narrow"/>
                <w:color w:val="FF0000"/>
                <w:lang w:val="cs-CZ"/>
              </w:rPr>
            </w:pPr>
            <w:r w:rsidRPr="00AD7820">
              <w:rPr>
                <w:rFonts w:ascii="Arial Narrow" w:hAnsi="Arial Narrow"/>
                <w:lang w:val="cs-CZ"/>
              </w:rPr>
              <w:t xml:space="preserve">Pokud má být zohledněno hospodárné využití území, ochrana volné krajiny, nezbytná dopravní dostupnost </w:t>
            </w:r>
            <w:r w:rsidR="00AD7820" w:rsidRPr="00AD7820">
              <w:rPr>
                <w:rFonts w:ascii="Arial Narrow" w:hAnsi="Arial Narrow"/>
                <w:lang w:val="cs-CZ"/>
              </w:rPr>
              <w:t>(vazba na nadřazenou kapacitní dopravní síť) a zároveň i</w:t>
            </w:r>
            <w:r w:rsidRPr="00AD7820">
              <w:rPr>
                <w:rFonts w:ascii="Arial Narrow" w:hAnsi="Arial Narrow"/>
                <w:lang w:val="cs-CZ"/>
              </w:rPr>
              <w:t xml:space="preserve"> vazba na již realizovanou část průmyslové zóny, nelze plochu vymezit v jiné poloze a na nižších třídách ochrany ZPF, protože téměř celé k.ú. Hrádek nad Nisou se nachází na I. a II. třídě ochrany zemědělské půdy.</w:t>
            </w:r>
            <w:r w:rsidR="00F37B25">
              <w:rPr>
                <w:rFonts w:ascii="Arial Narrow" w:hAnsi="Arial Narrow"/>
                <w:lang w:val="cs-CZ"/>
              </w:rPr>
              <w:t xml:space="preserve"> </w:t>
            </w:r>
            <w:r w:rsidR="00F37B25" w:rsidRPr="00F37B25">
              <w:rPr>
                <w:rFonts w:ascii="Arial Narrow" w:hAnsi="Arial Narrow"/>
                <w:lang w:val="cs-CZ"/>
              </w:rPr>
              <w:t xml:space="preserve">V ÚP je stanovena zásada využití plochy, resp. </w:t>
            </w:r>
            <w:r w:rsidR="00F37B25" w:rsidRPr="00F37B25">
              <w:rPr>
                <w:rFonts w:ascii="Arial Narrow" w:hAnsi="Arial Narrow"/>
              </w:rPr>
              <w:t>postupu nezemědělského využití zemědělské půdy</w:t>
            </w:r>
            <w:r w:rsidR="00F37B25" w:rsidRPr="00F37B25">
              <w:rPr>
                <w:rFonts w:ascii="Arial Narrow" w:hAnsi="Arial Narrow"/>
                <w:lang w:val="cs-CZ"/>
              </w:rPr>
              <w:t xml:space="preserve"> </w:t>
            </w:r>
            <w:r w:rsidR="00F37B25">
              <w:rPr>
                <w:rFonts w:ascii="Arial Narrow" w:hAnsi="Arial Narrow"/>
                <w:lang w:val="cs-CZ"/>
              </w:rPr>
              <w:t xml:space="preserve">důsledně </w:t>
            </w:r>
            <w:r w:rsidR="00F37B25" w:rsidRPr="00F37B25">
              <w:rPr>
                <w:rFonts w:ascii="Arial Narrow" w:hAnsi="Arial Narrow"/>
                <w:lang w:val="cs-CZ"/>
              </w:rPr>
              <w:t>ve směru od zastavěného území ve směru do volné krajiny</w:t>
            </w:r>
            <w:r w:rsidR="00F37B25">
              <w:rPr>
                <w:rFonts w:ascii="Arial Narrow" w:hAnsi="Arial Narrow"/>
                <w:lang w:val="cs-CZ"/>
              </w:rPr>
              <w:t xml:space="preserve"> tak, aby nedocházelo ke vzniku nedostupných segmentů zemědělské půdy</w:t>
            </w:r>
            <w:r w:rsidR="00F37B25" w:rsidRPr="00F37B25">
              <w:rPr>
                <w:rFonts w:ascii="Arial Narrow" w:hAnsi="Arial Narrow"/>
                <w:lang w:val="cs-CZ"/>
              </w:rPr>
              <w:t>.</w:t>
            </w:r>
          </w:p>
        </w:tc>
      </w:tr>
      <w:tr w:rsidR="00E7229C" w:rsidRPr="00461C16" w14:paraId="3F502D6E" w14:textId="77777777" w:rsidTr="00D95953">
        <w:trPr>
          <w:jc w:val="center"/>
        </w:trPr>
        <w:tc>
          <w:tcPr>
            <w:tcW w:w="1006" w:type="dxa"/>
            <w:shd w:val="clear" w:color="auto" w:fill="D6E3BC" w:themeFill="accent3" w:themeFillTint="66"/>
          </w:tcPr>
          <w:p w14:paraId="2069A8A6" w14:textId="77777777" w:rsidR="00E7229C" w:rsidRPr="00461C16" w:rsidRDefault="00E7229C" w:rsidP="00B82079">
            <w:pPr>
              <w:spacing w:before="40" w:line="240" w:lineRule="auto"/>
              <w:jc w:val="left"/>
              <w:rPr>
                <w:color w:val="000000"/>
                <w:sz w:val="20"/>
                <w:szCs w:val="20"/>
              </w:rPr>
            </w:pPr>
            <w:r w:rsidRPr="00461C16">
              <w:rPr>
                <w:color w:val="000000"/>
                <w:sz w:val="20"/>
                <w:szCs w:val="20"/>
              </w:rPr>
              <w:lastRenderedPageBreak/>
              <w:t>Z37</w:t>
            </w:r>
          </w:p>
        </w:tc>
        <w:tc>
          <w:tcPr>
            <w:tcW w:w="1856" w:type="dxa"/>
            <w:shd w:val="clear" w:color="auto" w:fill="D6E3BC" w:themeFill="accent3" w:themeFillTint="66"/>
          </w:tcPr>
          <w:p w14:paraId="1077A00E" w14:textId="77777777" w:rsidR="00E7229C" w:rsidRPr="00461C16" w:rsidRDefault="00E7229C" w:rsidP="00B82079">
            <w:pPr>
              <w:spacing w:before="40" w:line="240" w:lineRule="auto"/>
              <w:jc w:val="left"/>
              <w:rPr>
                <w:color w:val="000000"/>
                <w:sz w:val="20"/>
                <w:szCs w:val="20"/>
              </w:rPr>
            </w:pPr>
            <w:r w:rsidRPr="00461C16">
              <w:rPr>
                <w:color w:val="000000"/>
                <w:sz w:val="20"/>
                <w:szCs w:val="20"/>
              </w:rPr>
              <w:t>VL – lehký průmysl</w:t>
            </w:r>
          </w:p>
        </w:tc>
        <w:tc>
          <w:tcPr>
            <w:tcW w:w="1356" w:type="dxa"/>
            <w:shd w:val="clear" w:color="auto" w:fill="D6E3BC" w:themeFill="accent3" w:themeFillTint="66"/>
          </w:tcPr>
          <w:p w14:paraId="5843F1F5"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Oldřichov na Hranicích</w:t>
            </w:r>
          </w:p>
        </w:tc>
        <w:tc>
          <w:tcPr>
            <w:tcW w:w="5070" w:type="dxa"/>
            <w:shd w:val="clear" w:color="auto" w:fill="D6E3BC" w:themeFill="accent3" w:themeFillTint="66"/>
          </w:tcPr>
          <w:p w14:paraId="41A618AC" w14:textId="77777777" w:rsidR="00E7229C" w:rsidRPr="00713973" w:rsidRDefault="00E7229C" w:rsidP="00B82079">
            <w:pPr>
              <w:pStyle w:val="Intabulka"/>
              <w:rPr>
                <w:rFonts w:ascii="Arial Narrow" w:hAnsi="Arial Narrow"/>
                <w:lang w:val="cs-CZ"/>
              </w:rPr>
            </w:pPr>
            <w:r w:rsidRPr="00713973">
              <w:rPr>
                <w:rFonts w:ascii="Arial Narrow" w:hAnsi="Arial Narrow"/>
                <w:lang w:val="cs-CZ"/>
              </w:rPr>
              <w:t xml:space="preserve">Plocha účelně využívá proluku v území mezi stávající průmyslovou zónou a obchvatem města. Je určena k rozšíření ploch výroby, jako součást průmyslové zóny Hrádek nad Nisou, která má strategickou polohu na mezinárodním dopravním tahu a tudíž i </w:t>
            </w:r>
            <w:r w:rsidRPr="00713973">
              <w:rPr>
                <w:rFonts w:ascii="Arial Narrow" w:hAnsi="Arial Narrow"/>
                <w:lang w:val="cs-CZ"/>
              </w:rPr>
              <w:lastRenderedPageBreak/>
              <w:t>nezpochybnitelný nadmístní význam. Vymezení plochy respektuje požadavky na rozvoj města s ohledem na polohu v republikově významné rozvojové oblasti a rozvojové ose. Vzhledem k charakteru okolního území a hlukové zátěži z dopravních staveb představuje navržený způsob využití pro tuto plochu vhodné řešení</w:t>
            </w:r>
            <w:r w:rsidR="00B524F8">
              <w:rPr>
                <w:rFonts w:ascii="Arial Narrow" w:hAnsi="Arial Narrow"/>
                <w:lang w:val="cs-CZ"/>
              </w:rPr>
              <w:t>, lokalizace výrobních aktivit v návaznosti na již stabilizovanou (a dále rozvíjenou) průmyslovou zónu je navíc úsporná z urbanistického i ekonomického hlediska</w:t>
            </w:r>
            <w:r w:rsidRPr="00713973">
              <w:rPr>
                <w:rFonts w:ascii="Arial Narrow" w:hAnsi="Arial Narrow"/>
                <w:lang w:val="cs-CZ"/>
              </w:rPr>
              <w:t xml:space="preserve">. Záměr je v souladu se </w:t>
            </w:r>
            <w:r w:rsidRPr="00B267B8">
              <w:rPr>
                <w:rFonts w:ascii="Arial Narrow" w:hAnsi="Arial Narrow"/>
                <w:b/>
                <w:lang w:val="cs-CZ"/>
              </w:rPr>
              <w:t>současně platným ÚP města, kde již byla plocha řádně projednána a schválena</w:t>
            </w:r>
            <w:r w:rsidRPr="00713973">
              <w:rPr>
                <w:rFonts w:ascii="Arial Narrow" w:hAnsi="Arial Narrow"/>
                <w:lang w:val="cs-CZ"/>
              </w:rPr>
              <w:t>.</w:t>
            </w:r>
          </w:p>
          <w:p w14:paraId="1C0D6211" w14:textId="77777777" w:rsidR="00713973" w:rsidRDefault="00713973" w:rsidP="00B82079">
            <w:pPr>
              <w:pStyle w:val="Intabulka"/>
              <w:rPr>
                <w:rFonts w:ascii="Arial Narrow" w:hAnsi="Arial Narrow"/>
                <w:b/>
                <w:lang w:val="cs-CZ"/>
              </w:rPr>
            </w:pPr>
            <w:r w:rsidRPr="00713973">
              <w:rPr>
                <w:rFonts w:ascii="Arial Narrow" w:hAnsi="Arial Narrow"/>
                <w:lang w:val="cs-CZ"/>
              </w:rPr>
              <w:t xml:space="preserve">Za účelem realizace záměru v ploše Z37 byla společností VGP CZ VI, a.s., jako budoucím investorem výstavby dne 20.8.2018 podána na Magistrátu města Liberec, oddělení ÚP, žádost o územně plánovací informaci. V současné době probíhá prodej předmětných pozemků tomuto investorovi, lze tedy usuzovat, že již byly nebo v nejbližší době budou uskutečněny další kroky směřující k upřesnění využití plochy a realizaci stavby formou podrobnější dokumentace. </w:t>
            </w:r>
            <w:r w:rsidRPr="00713973">
              <w:rPr>
                <w:rFonts w:ascii="Arial Narrow" w:hAnsi="Arial Narrow"/>
                <w:b/>
                <w:lang w:val="cs-CZ"/>
              </w:rPr>
              <w:t>Je tak velmi reálné, že k zastavění plochy dojde ještě před dokončením a vydáním ÚP Hrádek nad Nisou.</w:t>
            </w:r>
            <w:r w:rsidR="007B4495">
              <w:rPr>
                <w:rFonts w:ascii="Arial Narrow" w:hAnsi="Arial Narrow"/>
                <w:lang w:val="cs-CZ"/>
              </w:rPr>
              <w:t xml:space="preserve"> </w:t>
            </w:r>
          </w:p>
          <w:p w14:paraId="4877E903" w14:textId="77777777" w:rsidR="00AD7820" w:rsidRPr="00AD7820" w:rsidRDefault="00F35BB0" w:rsidP="00B82079">
            <w:pPr>
              <w:pStyle w:val="Intabulka"/>
              <w:rPr>
                <w:rFonts w:ascii="Arial Narrow" w:hAnsi="Arial Narrow"/>
                <w:lang w:val="cs-CZ"/>
              </w:rPr>
            </w:pPr>
            <w:r w:rsidRPr="00F35BB0">
              <w:rPr>
                <w:rFonts w:ascii="Arial Narrow" w:hAnsi="Arial Narrow"/>
                <w:b/>
                <w:lang w:val="cs-CZ"/>
              </w:rPr>
              <w:t>Veřejný zájem</w:t>
            </w:r>
            <w:r w:rsidRPr="00F35BB0">
              <w:rPr>
                <w:rFonts w:ascii="Arial Narrow" w:hAnsi="Arial Narrow"/>
                <w:lang w:val="cs-CZ"/>
              </w:rPr>
              <w:t xml:space="preserve"> spočívá v ekonomickém rozvoji města a potenciálně celého regionu </w:t>
            </w:r>
            <w:r w:rsidR="002B2267">
              <w:rPr>
                <w:rFonts w:ascii="Arial Narrow" w:hAnsi="Arial Narrow"/>
                <w:lang w:val="cs-CZ"/>
              </w:rPr>
              <w:t xml:space="preserve">s ohledem na polohu v republikově významné rozvojové </w:t>
            </w:r>
            <w:r w:rsidR="00A14C79">
              <w:rPr>
                <w:rFonts w:ascii="Arial Narrow" w:hAnsi="Arial Narrow"/>
                <w:lang w:val="cs-CZ"/>
              </w:rPr>
              <w:t xml:space="preserve">oblasti a </w:t>
            </w:r>
            <w:r w:rsidR="002B2267">
              <w:rPr>
                <w:rFonts w:ascii="Arial Narrow" w:hAnsi="Arial Narrow"/>
                <w:lang w:val="cs-CZ"/>
              </w:rPr>
              <w:t xml:space="preserve">ose </w:t>
            </w:r>
            <w:r w:rsidRPr="00F35BB0">
              <w:rPr>
                <w:rFonts w:ascii="Arial Narrow" w:hAnsi="Arial Narrow"/>
                <w:lang w:val="cs-CZ"/>
              </w:rPr>
              <w:t>a posílení přeshran</w:t>
            </w:r>
            <w:r w:rsidR="00A14C79">
              <w:rPr>
                <w:rFonts w:ascii="Arial Narrow" w:hAnsi="Arial Narrow"/>
                <w:lang w:val="cs-CZ"/>
              </w:rPr>
              <w:t>ičních vazeb (Polsko, Německo). Vymezení plochy směřuje ke splnění požadavku ZÚR Libereckého kraje na vytváření územních podmínek pro vstup strategických investorů a rozvoj nových ekonomických aktivit</w:t>
            </w:r>
            <w:r w:rsidR="002E4BDE">
              <w:rPr>
                <w:rFonts w:ascii="Arial Narrow" w:hAnsi="Arial Narrow"/>
                <w:lang w:val="cs-CZ"/>
              </w:rPr>
              <w:t xml:space="preserve"> a na koncentraci aktivit republikového a nadmístního významu přednostně v rozvojové oblasti a ose</w:t>
            </w:r>
            <w:r w:rsidR="00A14C79">
              <w:rPr>
                <w:rFonts w:ascii="Arial Narrow" w:hAnsi="Arial Narrow"/>
                <w:lang w:val="cs-CZ"/>
              </w:rPr>
              <w:t xml:space="preserve">. Veřejný zájem dále spočívá </w:t>
            </w:r>
            <w:r w:rsidR="000A1553">
              <w:rPr>
                <w:rFonts w:ascii="Arial Narrow" w:hAnsi="Arial Narrow"/>
                <w:lang w:val="cs-CZ"/>
              </w:rPr>
              <w:t>ve</w:t>
            </w:r>
            <w:r w:rsidRPr="00F35BB0">
              <w:rPr>
                <w:rFonts w:ascii="Arial Narrow" w:hAnsi="Arial Narrow"/>
                <w:lang w:val="cs-CZ"/>
              </w:rPr>
              <w:t> vytvoření pracovních příležitostí a snížení míry nezaměstnanosti obyvatel města a jeho okolí.</w:t>
            </w:r>
            <w:r w:rsidR="000A1553">
              <w:rPr>
                <w:rFonts w:ascii="Arial Narrow" w:hAnsi="Arial Narrow"/>
                <w:lang w:val="cs-CZ"/>
              </w:rPr>
              <w:t xml:space="preserve"> </w:t>
            </w:r>
            <w:r w:rsidR="00AD7820" w:rsidRPr="00AD7820">
              <w:rPr>
                <w:rFonts w:ascii="Arial Narrow" w:hAnsi="Arial Narrow"/>
                <w:lang w:val="cs-CZ"/>
              </w:rPr>
              <w:t xml:space="preserve">Vytvoření pracovních příležitostí je jedním ze základních předpokladů zvýšení atraktivity Hrádku nad Nisou a důvodem pro přistěhování nových obyvatel a tedy pro žádoucí rozvoj města. V neposlední řadě spočívá v naplnění </w:t>
            </w:r>
            <w:r w:rsidR="00AD7820" w:rsidRPr="00AD7820">
              <w:rPr>
                <w:rFonts w:ascii="Arial Narrow" w:hAnsi="Arial Narrow"/>
              </w:rPr>
              <w:t>dlouhodobě sledované a platné územně plánovací koncepce</w:t>
            </w:r>
            <w:r w:rsidR="00AD7820" w:rsidRPr="00AD7820">
              <w:rPr>
                <w:rFonts w:ascii="Arial Narrow" w:hAnsi="Arial Narrow"/>
                <w:lang w:val="cs-CZ"/>
              </w:rPr>
              <w:t>.</w:t>
            </w:r>
          </w:p>
          <w:p w14:paraId="3B32F2D4" w14:textId="77777777" w:rsidR="00F35BB0" w:rsidRDefault="00AD7820" w:rsidP="00B82079">
            <w:pPr>
              <w:pStyle w:val="Intabulka"/>
              <w:rPr>
                <w:rFonts w:ascii="Arial Narrow" w:hAnsi="Arial Narrow"/>
                <w:lang w:val="cs-CZ"/>
              </w:rPr>
            </w:pPr>
            <w:r w:rsidRPr="00AD7820">
              <w:rPr>
                <w:rFonts w:ascii="Arial Narrow" w:hAnsi="Arial Narrow"/>
                <w:lang w:val="cs-CZ"/>
              </w:rPr>
              <w:t xml:space="preserve">Pokud má být zohledněno hospodárné využití území, ochrana volné krajiny, nezbytná dopravní dostupnost </w:t>
            </w:r>
            <w:r>
              <w:rPr>
                <w:rFonts w:ascii="Arial Narrow" w:hAnsi="Arial Narrow"/>
                <w:lang w:val="cs-CZ"/>
              </w:rPr>
              <w:t>(vazba na nadřazenou kapacitní dopravní síť</w:t>
            </w:r>
            <w:r w:rsidR="00123A12">
              <w:rPr>
                <w:rFonts w:ascii="Arial Narrow" w:hAnsi="Arial Narrow"/>
                <w:lang w:val="cs-CZ"/>
              </w:rPr>
              <w:t>, aby nedocházelo k nežádoucí zátěži na obytné území města)</w:t>
            </w:r>
            <w:r>
              <w:rPr>
                <w:rFonts w:ascii="Arial Narrow" w:hAnsi="Arial Narrow"/>
                <w:lang w:val="cs-CZ"/>
              </w:rPr>
              <w:t xml:space="preserve"> </w:t>
            </w:r>
            <w:r w:rsidRPr="00AD7820">
              <w:rPr>
                <w:rFonts w:ascii="Arial Narrow" w:hAnsi="Arial Narrow"/>
                <w:lang w:val="cs-CZ"/>
              </w:rPr>
              <w:t xml:space="preserve">a </w:t>
            </w:r>
            <w:r>
              <w:rPr>
                <w:rFonts w:ascii="Arial Narrow" w:hAnsi="Arial Narrow"/>
                <w:lang w:val="cs-CZ"/>
              </w:rPr>
              <w:t>zároveň i</w:t>
            </w:r>
            <w:r w:rsidRPr="00AD7820">
              <w:rPr>
                <w:rFonts w:ascii="Arial Narrow" w:hAnsi="Arial Narrow"/>
                <w:lang w:val="cs-CZ"/>
              </w:rPr>
              <w:t xml:space="preserve"> vazba na již realizovanou část průmyslové zóny, nelze plochu vymezit v jiné poloze a na nižších třídách ochrany ZPF, protože převážná část k.ú. Oldřichov na Hranicích se nachází na I. a II. třídě ochrany zemědělské půdy.</w:t>
            </w:r>
            <w:r>
              <w:rPr>
                <w:rFonts w:ascii="Arial Narrow" w:hAnsi="Arial Narrow"/>
                <w:lang w:val="cs-CZ"/>
              </w:rPr>
              <w:t xml:space="preserve"> </w:t>
            </w:r>
            <w:r w:rsidR="00C24E5D">
              <w:rPr>
                <w:rFonts w:ascii="Arial Narrow" w:hAnsi="Arial Narrow"/>
                <w:lang w:val="cs-CZ"/>
              </w:rPr>
              <w:t>Zastavěné území nedisponuje prostorovými rezervami dostatečného rozsahu, které by pro daný záměr bylo možné využít, případně nejsou tyto rezervy adekvátně dopravně obsloužitelné. Stávající plochy brownfield, navržené v ÚP k přestavbě a novému využití, nejsou vhodné pro lokalizaci výroby z důvodu těsné blízkosti obytného území, kde je nutné chránit jak hygienickou, tak urbanistickou kvalitu prostředí.</w:t>
            </w:r>
          </w:p>
          <w:p w14:paraId="2C9A8795" w14:textId="77777777" w:rsidR="00F37B25" w:rsidRPr="000A1553" w:rsidRDefault="00F37B25" w:rsidP="00B82079">
            <w:pPr>
              <w:pStyle w:val="Intabulka"/>
              <w:rPr>
                <w:rFonts w:ascii="Arial Narrow" w:hAnsi="Arial Narrow"/>
                <w:lang w:val="cs-CZ"/>
              </w:rPr>
            </w:pPr>
            <w:r w:rsidRPr="00F37B25">
              <w:rPr>
                <w:rFonts w:ascii="Arial Narrow" w:hAnsi="Arial Narrow"/>
                <w:lang w:val="cs-CZ"/>
              </w:rPr>
              <w:t xml:space="preserve">V ÚP je stanovena zásada využití plochy, resp. </w:t>
            </w:r>
            <w:r w:rsidRPr="00F37B25">
              <w:rPr>
                <w:rFonts w:ascii="Arial Narrow" w:hAnsi="Arial Narrow"/>
              </w:rPr>
              <w:t>postupu nezemědělského využití zemědělské půdy</w:t>
            </w:r>
            <w:r w:rsidRPr="00F37B25">
              <w:rPr>
                <w:rFonts w:ascii="Arial Narrow" w:hAnsi="Arial Narrow"/>
                <w:lang w:val="cs-CZ"/>
              </w:rPr>
              <w:t xml:space="preserve"> </w:t>
            </w:r>
            <w:r>
              <w:rPr>
                <w:rFonts w:ascii="Arial Narrow" w:hAnsi="Arial Narrow"/>
                <w:lang w:val="cs-CZ"/>
              </w:rPr>
              <w:t xml:space="preserve">důsledně </w:t>
            </w:r>
            <w:r w:rsidRPr="00F37B25">
              <w:rPr>
                <w:rFonts w:ascii="Arial Narrow" w:hAnsi="Arial Narrow"/>
                <w:lang w:val="cs-CZ"/>
              </w:rPr>
              <w:t>ve směru od zastavěného území ve směru do volné krajiny</w:t>
            </w:r>
            <w:r>
              <w:rPr>
                <w:rFonts w:ascii="Arial Narrow" w:hAnsi="Arial Narrow"/>
                <w:lang w:val="cs-CZ"/>
              </w:rPr>
              <w:t xml:space="preserve"> tak, aby nedocházelo ke vzniku nedostupných segmentů zemědělské půdy</w:t>
            </w:r>
            <w:r w:rsidRPr="00F37B25">
              <w:rPr>
                <w:rFonts w:ascii="Arial Narrow" w:hAnsi="Arial Narrow"/>
                <w:lang w:val="cs-CZ"/>
              </w:rPr>
              <w:t>.</w:t>
            </w:r>
          </w:p>
        </w:tc>
      </w:tr>
      <w:tr w:rsidR="00E7229C" w:rsidRPr="00461C16" w14:paraId="75BF7D2F" w14:textId="77777777" w:rsidTr="00D95953">
        <w:trPr>
          <w:jc w:val="center"/>
        </w:trPr>
        <w:tc>
          <w:tcPr>
            <w:tcW w:w="1006" w:type="dxa"/>
            <w:shd w:val="clear" w:color="auto" w:fill="D6E3BC" w:themeFill="accent3" w:themeFillTint="66"/>
          </w:tcPr>
          <w:p w14:paraId="01EBA7B0" w14:textId="77777777" w:rsidR="00E7229C" w:rsidRPr="00461C16" w:rsidRDefault="00E7229C" w:rsidP="00B82079">
            <w:pPr>
              <w:spacing w:before="40" w:line="240" w:lineRule="auto"/>
              <w:jc w:val="left"/>
              <w:rPr>
                <w:color w:val="000000"/>
                <w:sz w:val="20"/>
                <w:szCs w:val="20"/>
              </w:rPr>
            </w:pPr>
            <w:r w:rsidRPr="00461C16">
              <w:rPr>
                <w:color w:val="000000"/>
                <w:sz w:val="20"/>
                <w:szCs w:val="20"/>
              </w:rPr>
              <w:lastRenderedPageBreak/>
              <w:t>Z38</w:t>
            </w:r>
          </w:p>
        </w:tc>
        <w:tc>
          <w:tcPr>
            <w:tcW w:w="1856" w:type="dxa"/>
            <w:shd w:val="clear" w:color="auto" w:fill="D6E3BC" w:themeFill="accent3" w:themeFillTint="66"/>
          </w:tcPr>
          <w:p w14:paraId="488CAC6E" w14:textId="77777777" w:rsidR="00E7229C" w:rsidRPr="00461C16" w:rsidRDefault="00E7229C"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57BFD938"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Oldřichov na Hranicích</w:t>
            </w:r>
          </w:p>
        </w:tc>
        <w:tc>
          <w:tcPr>
            <w:tcW w:w="5070" w:type="dxa"/>
            <w:shd w:val="clear" w:color="auto" w:fill="D6E3BC" w:themeFill="accent3" w:themeFillTint="66"/>
          </w:tcPr>
          <w:p w14:paraId="75FD2157" w14:textId="5E506BD4" w:rsidR="00E7229C" w:rsidRDefault="00E7229C" w:rsidP="00B82079">
            <w:pPr>
              <w:pStyle w:val="Intabulka"/>
              <w:rPr>
                <w:rFonts w:ascii="Arial Narrow" w:hAnsi="Arial Narrow"/>
                <w:lang w:val="cs-CZ"/>
              </w:rPr>
            </w:pPr>
            <w:r w:rsidRPr="00461C16">
              <w:rPr>
                <w:rFonts w:ascii="Arial Narrow" w:hAnsi="Arial Narrow"/>
                <w:lang w:val="cs-CZ"/>
              </w:rPr>
              <w:t xml:space="preserve">Plocha je určena k doplnění smíšené obytné zástavby na západním okraji části Oldřichov na Hranicích, v souladu se </w:t>
            </w:r>
            <w:r w:rsidRPr="00B267B8">
              <w:rPr>
                <w:rFonts w:ascii="Arial Narrow" w:hAnsi="Arial Narrow"/>
                <w:b/>
                <w:lang w:val="cs-CZ"/>
              </w:rPr>
              <w:lastRenderedPageBreak/>
              <w:t>současně platným ÚP města</w:t>
            </w:r>
            <w:r w:rsidR="00B267B8" w:rsidRPr="00B267B8">
              <w:rPr>
                <w:rFonts w:ascii="Arial Narrow" w:hAnsi="Arial Narrow"/>
                <w:b/>
                <w:lang w:val="cs-CZ"/>
              </w:rPr>
              <w:t>, kde byl</w:t>
            </w:r>
            <w:r w:rsidR="00B267B8">
              <w:rPr>
                <w:rFonts w:ascii="Arial Narrow" w:hAnsi="Arial Narrow"/>
                <w:b/>
                <w:lang w:val="cs-CZ"/>
              </w:rPr>
              <w:t>o vymezení</w:t>
            </w:r>
            <w:r w:rsidR="00B267B8" w:rsidRPr="00B267B8">
              <w:rPr>
                <w:rFonts w:ascii="Arial Narrow" w:hAnsi="Arial Narrow"/>
                <w:b/>
                <w:lang w:val="cs-CZ"/>
              </w:rPr>
              <w:t xml:space="preserve"> ploch</w:t>
            </w:r>
            <w:r w:rsidR="00B267B8">
              <w:rPr>
                <w:rFonts w:ascii="Arial Narrow" w:hAnsi="Arial Narrow"/>
                <w:b/>
                <w:lang w:val="cs-CZ"/>
              </w:rPr>
              <w:t>y</w:t>
            </w:r>
            <w:r w:rsidR="00B267B8" w:rsidRPr="00B267B8">
              <w:rPr>
                <w:rFonts w:ascii="Arial Narrow" w:hAnsi="Arial Narrow"/>
                <w:b/>
                <w:lang w:val="cs-CZ"/>
              </w:rPr>
              <w:t xml:space="preserve"> řádně projednán</w:t>
            </w:r>
            <w:r w:rsidR="00B267B8">
              <w:rPr>
                <w:rFonts w:ascii="Arial Narrow" w:hAnsi="Arial Narrow"/>
                <w:b/>
                <w:lang w:val="cs-CZ"/>
              </w:rPr>
              <w:t>o</w:t>
            </w:r>
            <w:r w:rsidR="00B267B8" w:rsidRPr="00B267B8">
              <w:rPr>
                <w:rFonts w:ascii="Arial Narrow" w:hAnsi="Arial Narrow"/>
                <w:b/>
                <w:lang w:val="cs-CZ"/>
              </w:rPr>
              <w:t xml:space="preserve"> a schválen</w:t>
            </w:r>
            <w:r w:rsidR="00B267B8">
              <w:rPr>
                <w:rFonts w:ascii="Arial Narrow" w:hAnsi="Arial Narrow"/>
                <w:b/>
                <w:lang w:val="cs-CZ"/>
              </w:rPr>
              <w:t>o</w:t>
            </w:r>
            <w:r w:rsidRPr="00461C16">
              <w:rPr>
                <w:rFonts w:ascii="Arial Narrow" w:hAnsi="Arial Narrow"/>
                <w:lang w:val="cs-CZ"/>
              </w:rPr>
              <w:t xml:space="preserve">. Plocha doplňuje oboustranné obestavění komunikace, které je </w:t>
            </w:r>
            <w:r w:rsidR="006D0A83" w:rsidRPr="00461C16">
              <w:rPr>
                <w:rFonts w:ascii="Arial Narrow" w:hAnsi="Arial Narrow"/>
                <w:lang w:val="cs-CZ"/>
              </w:rPr>
              <w:t>výhodn</w:t>
            </w:r>
            <w:r w:rsidR="006D0A83">
              <w:rPr>
                <w:rFonts w:ascii="Arial Narrow" w:hAnsi="Arial Narrow"/>
                <w:lang w:val="cs-CZ"/>
              </w:rPr>
              <w:t>é</w:t>
            </w:r>
            <w:r w:rsidR="006D0A83" w:rsidRPr="00461C16">
              <w:rPr>
                <w:rFonts w:ascii="Arial Narrow" w:hAnsi="Arial Narrow"/>
                <w:lang w:val="cs-CZ"/>
              </w:rPr>
              <w:t xml:space="preserve"> </w:t>
            </w:r>
            <w:r w:rsidRPr="00461C16">
              <w:rPr>
                <w:rFonts w:ascii="Arial Narrow" w:hAnsi="Arial Narrow"/>
                <w:lang w:val="cs-CZ"/>
              </w:rPr>
              <w:t>z hlediska urbanistického (jednoznačné vymezení uličního veřejného prostoru) i ekonomického (dostupnost sítí veřejné infrastruktury) a zároveň sceluje zástavbu sídla do kompaktního útvaru.</w:t>
            </w:r>
            <w:r w:rsidR="00B345B4" w:rsidRPr="00461C16">
              <w:rPr>
                <w:rFonts w:ascii="Arial Narrow" w:hAnsi="Arial Narrow"/>
                <w:lang w:val="cs-CZ"/>
              </w:rPr>
              <w:t xml:space="preserve"> </w:t>
            </w:r>
          </w:p>
          <w:p w14:paraId="0AF50B4F" w14:textId="77777777" w:rsidR="00F35BB0" w:rsidRPr="00461C16" w:rsidRDefault="00F35BB0"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E7229C" w:rsidRPr="00461C16" w14:paraId="171A2370" w14:textId="77777777" w:rsidTr="00D95953">
        <w:trPr>
          <w:jc w:val="center"/>
        </w:trPr>
        <w:tc>
          <w:tcPr>
            <w:tcW w:w="1006" w:type="dxa"/>
            <w:shd w:val="clear" w:color="auto" w:fill="auto"/>
          </w:tcPr>
          <w:p w14:paraId="4E3269B6" w14:textId="77777777" w:rsidR="00E7229C" w:rsidRPr="00461C16" w:rsidRDefault="00E7229C" w:rsidP="00B82079">
            <w:pPr>
              <w:spacing w:before="40" w:line="240" w:lineRule="auto"/>
              <w:jc w:val="left"/>
              <w:rPr>
                <w:color w:val="000000"/>
                <w:sz w:val="20"/>
                <w:szCs w:val="20"/>
              </w:rPr>
            </w:pPr>
            <w:r w:rsidRPr="00461C16">
              <w:rPr>
                <w:color w:val="000000"/>
                <w:sz w:val="20"/>
                <w:szCs w:val="20"/>
              </w:rPr>
              <w:lastRenderedPageBreak/>
              <w:t>Z39</w:t>
            </w:r>
          </w:p>
        </w:tc>
        <w:tc>
          <w:tcPr>
            <w:tcW w:w="1856" w:type="dxa"/>
            <w:shd w:val="clear" w:color="auto" w:fill="auto"/>
          </w:tcPr>
          <w:p w14:paraId="7F0E4BD9" w14:textId="77777777" w:rsidR="00E7229C" w:rsidRPr="00461C16" w:rsidRDefault="00E7229C" w:rsidP="00B82079">
            <w:pPr>
              <w:spacing w:before="40" w:line="240" w:lineRule="auto"/>
              <w:jc w:val="left"/>
              <w:rPr>
                <w:color w:val="000000"/>
                <w:sz w:val="20"/>
                <w:szCs w:val="20"/>
              </w:rPr>
            </w:pPr>
            <w:r w:rsidRPr="00461C16">
              <w:rPr>
                <w:color w:val="000000"/>
                <w:sz w:val="20"/>
                <w:szCs w:val="20"/>
              </w:rPr>
              <w:t>PX – veřejné prostranství - komunikace</w:t>
            </w:r>
          </w:p>
        </w:tc>
        <w:tc>
          <w:tcPr>
            <w:tcW w:w="1356" w:type="dxa"/>
          </w:tcPr>
          <w:p w14:paraId="6280B0C7" w14:textId="77777777" w:rsidR="00E7229C" w:rsidRPr="00461C16" w:rsidRDefault="008643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auto"/>
          </w:tcPr>
          <w:p w14:paraId="7E0AA053" w14:textId="77777777" w:rsidR="00E076F4" w:rsidRPr="00461C16" w:rsidRDefault="00E076F4" w:rsidP="00B82079">
            <w:pPr>
              <w:pStyle w:val="Intabulka"/>
              <w:rPr>
                <w:rFonts w:ascii="Arial Narrow" w:hAnsi="Arial Narrow"/>
                <w:lang w:val="cs-CZ"/>
              </w:rPr>
            </w:pPr>
            <w:r w:rsidRPr="00461C16">
              <w:rPr>
                <w:rFonts w:ascii="Arial Narrow" w:hAnsi="Arial Narrow"/>
                <w:lang w:val="cs-CZ"/>
              </w:rPr>
              <w:t>Plocha je vymezena pro dopravní propojení ulice Větrná se silnicí I/35L a zajištění přímého dopravního napojení výrobních areálů na silnici I/35L.</w:t>
            </w:r>
          </w:p>
          <w:p w14:paraId="78B58EC7" w14:textId="77777777" w:rsidR="00E7229C" w:rsidRDefault="00416BCA" w:rsidP="00B82079">
            <w:pPr>
              <w:pStyle w:val="Intabulka"/>
              <w:rPr>
                <w:rFonts w:ascii="Arial Narrow" w:hAnsi="Arial Narrow"/>
                <w:lang w:val="cs-CZ"/>
              </w:rPr>
            </w:pPr>
            <w:r w:rsidRPr="00461C16">
              <w:rPr>
                <w:rFonts w:ascii="Arial Narrow" w:hAnsi="Arial Narrow"/>
                <w:lang w:val="cs-CZ"/>
              </w:rPr>
              <w:t>Vymezením plochy dojde k</w:t>
            </w:r>
            <w:r w:rsidR="004D5595">
              <w:rPr>
                <w:rFonts w:ascii="Arial Narrow" w:hAnsi="Arial Narrow"/>
                <w:lang w:val="cs-CZ"/>
              </w:rPr>
              <w:t> </w:t>
            </w:r>
            <w:r w:rsidR="004D5595" w:rsidRPr="004D5595">
              <w:rPr>
                <w:rFonts w:ascii="Arial Narrow" w:hAnsi="Arial Narrow"/>
                <w:b/>
                <w:lang w:val="cs-CZ"/>
              </w:rPr>
              <w:t>vyloučení průjezdu dopravní obsluhy průmyslové zóny obytným územím města</w:t>
            </w:r>
            <w:r w:rsidR="004D5595">
              <w:rPr>
                <w:rFonts w:ascii="Arial Narrow" w:hAnsi="Arial Narrow"/>
                <w:lang w:val="cs-CZ"/>
              </w:rPr>
              <w:t>, tím zároveň k</w:t>
            </w:r>
            <w:r w:rsidRPr="00461C16">
              <w:rPr>
                <w:rFonts w:ascii="Arial Narrow" w:hAnsi="Arial Narrow"/>
                <w:lang w:val="cs-CZ"/>
              </w:rPr>
              <w:t xml:space="preserve">e </w:t>
            </w:r>
            <w:r w:rsidRPr="004D5595">
              <w:rPr>
                <w:rFonts w:ascii="Arial Narrow" w:hAnsi="Arial Narrow"/>
                <w:b/>
                <w:lang w:val="cs-CZ"/>
              </w:rPr>
              <w:t>snížení dopravních intenzit</w:t>
            </w:r>
            <w:r w:rsidRPr="00461C16">
              <w:rPr>
                <w:rFonts w:ascii="Arial Narrow" w:hAnsi="Arial Narrow"/>
                <w:lang w:val="cs-CZ"/>
              </w:rPr>
              <w:t xml:space="preserve"> v ulici Žitavská a </w:t>
            </w:r>
            <w:r w:rsidRPr="004D5595">
              <w:rPr>
                <w:rFonts w:ascii="Arial Narrow" w:hAnsi="Arial Narrow"/>
                <w:b/>
                <w:lang w:val="cs-CZ"/>
              </w:rPr>
              <w:t>zvýšení bezpečnosti provozu</w:t>
            </w:r>
            <w:r w:rsidRPr="00461C16">
              <w:rPr>
                <w:rFonts w:ascii="Arial Narrow" w:hAnsi="Arial Narrow"/>
                <w:lang w:val="cs-CZ"/>
              </w:rPr>
              <w:t xml:space="preserve"> v severovýchodní části sídla Hrádek nad Nisou. Prodloužením ulice Větrná bude zároveň zajištěna prostorová spojitost a kontinuita systému veřejných prostranství.</w:t>
            </w:r>
          </w:p>
          <w:p w14:paraId="68336798" w14:textId="77777777" w:rsidR="00CD2AD1" w:rsidRPr="00461C16" w:rsidRDefault="00CD2AD1" w:rsidP="00B82079">
            <w:pPr>
              <w:pStyle w:val="Intabulka"/>
              <w:rPr>
                <w:rFonts w:ascii="Arial Narrow" w:hAnsi="Arial Narrow"/>
                <w:color w:val="FF0000"/>
                <w:lang w:val="cs-CZ"/>
              </w:rPr>
            </w:pPr>
            <w:r w:rsidRPr="001919CA">
              <w:rPr>
                <w:rFonts w:ascii="Arial Narrow" w:hAnsi="Arial Narrow"/>
                <w:b/>
              </w:rPr>
              <w:t>Veřejný zájem</w:t>
            </w:r>
            <w:r w:rsidRPr="001919CA">
              <w:rPr>
                <w:rFonts w:ascii="Arial Narrow" w:hAnsi="Arial Narrow"/>
              </w:rPr>
              <w:t xml:space="preserve"> spočívá </w:t>
            </w:r>
            <w:r>
              <w:rPr>
                <w:rFonts w:ascii="Arial Narrow" w:hAnsi="Arial Narrow"/>
                <w:lang w:val="cs-CZ"/>
              </w:rPr>
              <w:t xml:space="preserve">v zajištění napojení průmyslové zóny přímo na nadřazený dopravní systém, bez zvyšování dopravní zátěže ve stávající obytné zástavbě, a tedy ve zkvalitnění hygienických parametrů životního prostředí. </w:t>
            </w:r>
          </w:p>
        </w:tc>
      </w:tr>
      <w:tr w:rsidR="00E7229C" w:rsidRPr="00461C16" w14:paraId="4582A2A5" w14:textId="77777777" w:rsidTr="00D95953">
        <w:trPr>
          <w:jc w:val="center"/>
        </w:trPr>
        <w:tc>
          <w:tcPr>
            <w:tcW w:w="1006" w:type="dxa"/>
            <w:shd w:val="clear" w:color="auto" w:fill="FBF8B5"/>
          </w:tcPr>
          <w:p w14:paraId="60CE44C5" w14:textId="77777777" w:rsidR="00E7229C" w:rsidRPr="00461C16" w:rsidRDefault="00E7229C" w:rsidP="00B82079">
            <w:pPr>
              <w:spacing w:before="40" w:line="240" w:lineRule="auto"/>
              <w:jc w:val="left"/>
              <w:rPr>
                <w:color w:val="000000"/>
                <w:sz w:val="20"/>
                <w:szCs w:val="20"/>
              </w:rPr>
            </w:pPr>
            <w:r w:rsidRPr="00461C16">
              <w:rPr>
                <w:color w:val="000000"/>
                <w:sz w:val="20"/>
                <w:szCs w:val="20"/>
              </w:rPr>
              <w:t>Z41</w:t>
            </w:r>
          </w:p>
        </w:tc>
        <w:tc>
          <w:tcPr>
            <w:tcW w:w="1856" w:type="dxa"/>
            <w:shd w:val="clear" w:color="auto" w:fill="FBF8B5"/>
          </w:tcPr>
          <w:p w14:paraId="64312589" w14:textId="77777777" w:rsidR="00E7229C" w:rsidRPr="00461C16" w:rsidRDefault="00E7229C" w:rsidP="00B82079">
            <w:pPr>
              <w:spacing w:before="40" w:line="240" w:lineRule="auto"/>
              <w:jc w:val="left"/>
              <w:rPr>
                <w:sz w:val="20"/>
                <w:szCs w:val="20"/>
              </w:rPr>
            </w:pPr>
            <w:r w:rsidRPr="00461C16">
              <w:rPr>
                <w:sz w:val="20"/>
                <w:szCs w:val="20"/>
              </w:rPr>
              <w:t>VX – výroba a skladování – se specifickým využitím</w:t>
            </w:r>
          </w:p>
        </w:tc>
        <w:tc>
          <w:tcPr>
            <w:tcW w:w="1356" w:type="dxa"/>
            <w:shd w:val="clear" w:color="auto" w:fill="FBF8B5"/>
          </w:tcPr>
          <w:p w14:paraId="4C79EF28" w14:textId="77777777" w:rsidR="00E7229C" w:rsidRPr="00461C16" w:rsidRDefault="00864328" w:rsidP="00B82079">
            <w:pPr>
              <w:pStyle w:val="Intabulka"/>
              <w:rPr>
                <w:rFonts w:ascii="Arial Narrow" w:hAnsi="Arial Narrow"/>
                <w:lang w:val="cs-CZ"/>
              </w:rPr>
            </w:pPr>
            <w:r w:rsidRPr="00461C16">
              <w:rPr>
                <w:rFonts w:ascii="Arial Narrow" w:hAnsi="Arial Narrow"/>
                <w:lang w:val="cs-CZ"/>
              </w:rPr>
              <w:t>Oldřichov na Hranicích</w:t>
            </w:r>
          </w:p>
        </w:tc>
        <w:tc>
          <w:tcPr>
            <w:tcW w:w="5070" w:type="dxa"/>
            <w:shd w:val="clear" w:color="auto" w:fill="FBF8B5"/>
          </w:tcPr>
          <w:p w14:paraId="7CD8AB11" w14:textId="77777777" w:rsidR="00E7229C" w:rsidRDefault="00E7229C" w:rsidP="00B82079">
            <w:pPr>
              <w:pStyle w:val="Intabulka"/>
              <w:rPr>
                <w:rFonts w:ascii="Arial Narrow" w:hAnsi="Arial Narrow"/>
                <w:lang w:val="cs-CZ"/>
              </w:rPr>
            </w:pPr>
            <w:r w:rsidRPr="00461C16">
              <w:rPr>
                <w:rFonts w:ascii="Arial Narrow" w:hAnsi="Arial Narrow"/>
                <w:lang w:val="cs-CZ"/>
              </w:rPr>
              <w:t xml:space="preserve">Plocha využívá strategickou polohu podél obchvatu města - na mezinárodním dopravním tahu. Dotváří oboustranné obestavění komunikace a umožňuje rozšíření stávající průmyslové zóny Hrádek nad Nisou, s předpokladem umisťování skladovacích či logistických hal v kombinaci s velkoprostorovými komerčními zařízeními. Vymezení plochy respektuje požadavky na rozvoj města s ohledem na polohu v republikově významné rozvojové oblasti a rozvojové ose. </w:t>
            </w:r>
            <w:r w:rsidR="00B524F8">
              <w:rPr>
                <w:rFonts w:ascii="Arial Narrow" w:hAnsi="Arial Narrow"/>
                <w:lang w:val="cs-CZ"/>
              </w:rPr>
              <w:t xml:space="preserve">Lokalizace výrobních aktivit v návaznosti na již stabilizovanou (a dále rozvíjenou) průmyslovou zónu je úsporná z urbanistického i ekonomického hlediska. </w:t>
            </w:r>
            <w:r w:rsidR="00B524F8" w:rsidRPr="00461C16">
              <w:rPr>
                <w:rFonts w:ascii="Arial Narrow" w:hAnsi="Arial Narrow"/>
                <w:lang w:val="cs-CZ"/>
              </w:rPr>
              <w:t xml:space="preserve"> </w:t>
            </w:r>
            <w:r w:rsidRPr="00461C16">
              <w:rPr>
                <w:rFonts w:ascii="Arial Narrow" w:hAnsi="Arial Narrow"/>
                <w:lang w:val="cs-CZ"/>
              </w:rPr>
              <w:t>Plocha je vymezena v souladu s </w:t>
            </w:r>
            <w:r w:rsidRPr="002004BF">
              <w:rPr>
                <w:rFonts w:ascii="Arial Narrow" w:hAnsi="Arial Narrow"/>
                <w:b/>
                <w:lang w:val="cs-CZ"/>
              </w:rPr>
              <w:t>požadavkem schváleného Zadání ÚP</w:t>
            </w:r>
            <w:r w:rsidRPr="00461C16">
              <w:rPr>
                <w:rFonts w:ascii="Arial Narrow" w:hAnsi="Arial Narrow"/>
                <w:lang w:val="cs-CZ"/>
              </w:rPr>
              <w:t>.</w:t>
            </w:r>
            <w:r w:rsidR="00215495">
              <w:rPr>
                <w:rFonts w:ascii="Arial Narrow" w:hAnsi="Arial Narrow"/>
                <w:lang w:val="cs-CZ"/>
              </w:rPr>
              <w:t xml:space="preserve"> </w:t>
            </w:r>
          </w:p>
          <w:p w14:paraId="1F27ADB4" w14:textId="4E45936F" w:rsidR="00E17319" w:rsidRDefault="00E17319" w:rsidP="00B82079">
            <w:pPr>
              <w:pStyle w:val="Intabulka"/>
              <w:rPr>
                <w:rFonts w:ascii="Arial Narrow" w:hAnsi="Arial Narrow"/>
                <w:lang w:val="cs-CZ"/>
              </w:rPr>
            </w:pPr>
            <w:r>
              <w:rPr>
                <w:rFonts w:ascii="Arial Narrow" w:hAnsi="Arial Narrow"/>
                <w:lang w:val="cs-CZ"/>
              </w:rPr>
              <w:t>Plocha představuje jedinou výraznější možnost pro rozvoj ekonomických aktivit, protože plochy vymezené pro výrobu v ÚPSÚ, jsou již téměř využity nebo lze jejich využití v nejbližší době reálně očekávat (v ploše Z37 jsou již realizovány kroky pro její využití), případně jsou plošně nedostatečné a pro rozvoj výrobních aktivit se zvýšenými nároky na dopravní obsluhu nevhodné, protože nemají přímou vazbu na nadřazenou silniční síť (plochy Z48, Z49).</w:t>
            </w:r>
          </w:p>
          <w:p w14:paraId="503F960D" w14:textId="77777777" w:rsidR="00AD7820" w:rsidRDefault="000A1553" w:rsidP="00B82079">
            <w:pPr>
              <w:pStyle w:val="Intabulka"/>
              <w:rPr>
                <w:rFonts w:ascii="Arial Narrow" w:hAnsi="Arial Narrow"/>
                <w:lang w:val="cs-CZ"/>
              </w:rPr>
            </w:pPr>
            <w:r w:rsidRPr="00F35BB0">
              <w:rPr>
                <w:rFonts w:ascii="Arial Narrow" w:hAnsi="Arial Narrow"/>
                <w:b/>
                <w:lang w:val="cs-CZ"/>
              </w:rPr>
              <w:t>Veřejný zájem</w:t>
            </w:r>
            <w:r w:rsidRPr="00F35BB0">
              <w:rPr>
                <w:rFonts w:ascii="Arial Narrow" w:hAnsi="Arial Narrow"/>
                <w:lang w:val="cs-CZ"/>
              </w:rPr>
              <w:t xml:space="preserve"> spočívá v ekonomickém rozvoji města a potenciálně celého regionu </w:t>
            </w:r>
            <w:r w:rsidR="002B2267">
              <w:rPr>
                <w:rFonts w:ascii="Arial Narrow" w:hAnsi="Arial Narrow"/>
                <w:lang w:val="cs-CZ"/>
              </w:rPr>
              <w:t xml:space="preserve">s ohledem na polohu v republikově významné rozvojové </w:t>
            </w:r>
            <w:r w:rsidR="00A14C79">
              <w:rPr>
                <w:rFonts w:ascii="Arial Narrow" w:hAnsi="Arial Narrow"/>
                <w:lang w:val="cs-CZ"/>
              </w:rPr>
              <w:t xml:space="preserve">oblasti a </w:t>
            </w:r>
            <w:r w:rsidR="002B2267">
              <w:rPr>
                <w:rFonts w:ascii="Arial Narrow" w:hAnsi="Arial Narrow"/>
                <w:lang w:val="cs-CZ"/>
              </w:rPr>
              <w:t xml:space="preserve">ose </w:t>
            </w:r>
            <w:r w:rsidRPr="00F35BB0">
              <w:rPr>
                <w:rFonts w:ascii="Arial Narrow" w:hAnsi="Arial Narrow"/>
                <w:lang w:val="cs-CZ"/>
              </w:rPr>
              <w:t>a posílení přeshra</w:t>
            </w:r>
            <w:r w:rsidR="00A14C79">
              <w:rPr>
                <w:rFonts w:ascii="Arial Narrow" w:hAnsi="Arial Narrow"/>
                <w:lang w:val="cs-CZ"/>
              </w:rPr>
              <w:t>ničních vazeb (Polsko, Německo). Vymezení plochy směřuje ke splnění požadavku ZÚR Libereckého kraje na vytváření územních podmínek pro vstup strategických investorů a rozvoj nových ekonomických aktivit</w:t>
            </w:r>
            <w:r w:rsidR="002E4BDE">
              <w:rPr>
                <w:rFonts w:ascii="Arial Narrow" w:hAnsi="Arial Narrow"/>
                <w:lang w:val="cs-CZ"/>
              </w:rPr>
              <w:t xml:space="preserve"> a na koncentraci aktivit republikového a nadmístního významu přednostně v rozvojové oblasti a ose</w:t>
            </w:r>
            <w:r w:rsidR="00A14C79">
              <w:rPr>
                <w:rFonts w:ascii="Arial Narrow" w:hAnsi="Arial Narrow"/>
                <w:lang w:val="cs-CZ"/>
              </w:rPr>
              <w:t xml:space="preserve">. Veřejný zájem dále spočívá </w:t>
            </w:r>
            <w:r>
              <w:rPr>
                <w:rFonts w:ascii="Arial Narrow" w:hAnsi="Arial Narrow"/>
                <w:lang w:val="cs-CZ"/>
              </w:rPr>
              <w:t>ve</w:t>
            </w:r>
            <w:r w:rsidRPr="00F35BB0">
              <w:rPr>
                <w:rFonts w:ascii="Arial Narrow" w:hAnsi="Arial Narrow"/>
                <w:lang w:val="cs-CZ"/>
              </w:rPr>
              <w:t> vytvoření pracovních příležitostí a snížení míry nezaměstnanosti obyvatel města a jeho okolí.</w:t>
            </w:r>
          </w:p>
          <w:p w14:paraId="326C4B63" w14:textId="77777777" w:rsidR="00AD7820" w:rsidRPr="00AD7820" w:rsidRDefault="00AD7820" w:rsidP="00B82079">
            <w:pPr>
              <w:pStyle w:val="Intabulka"/>
              <w:rPr>
                <w:rFonts w:ascii="Arial Narrow" w:hAnsi="Arial Narrow"/>
                <w:lang w:val="cs-CZ"/>
              </w:rPr>
            </w:pPr>
            <w:r w:rsidRPr="00AD7820">
              <w:rPr>
                <w:rFonts w:ascii="Arial Narrow" w:hAnsi="Arial Narrow"/>
                <w:lang w:val="cs-CZ"/>
              </w:rPr>
              <w:lastRenderedPageBreak/>
              <w:t xml:space="preserve">Vytvoření pracovních příležitostí je jedním ze základních předpokladů zvýšení atraktivity Hrádku nad Nisou a důvodem pro přistěhování nových obyvatel a tedy pro žádoucí rozvoj města. </w:t>
            </w:r>
          </w:p>
          <w:p w14:paraId="7F94E68F" w14:textId="77777777" w:rsidR="000A1553" w:rsidRDefault="00AD7820" w:rsidP="00B82079">
            <w:pPr>
              <w:pStyle w:val="Intabulka"/>
              <w:rPr>
                <w:rFonts w:ascii="Arial Narrow" w:hAnsi="Arial Narrow"/>
                <w:lang w:val="cs-CZ"/>
              </w:rPr>
            </w:pPr>
            <w:r w:rsidRPr="00AD7820">
              <w:rPr>
                <w:rFonts w:ascii="Arial Narrow" w:hAnsi="Arial Narrow"/>
                <w:lang w:val="cs-CZ"/>
              </w:rPr>
              <w:t xml:space="preserve">Pokud má být zohledněno hospodárné využití území, ochrana volné krajiny, nezbytná dopravní dostupnost </w:t>
            </w:r>
            <w:r>
              <w:rPr>
                <w:rFonts w:ascii="Arial Narrow" w:hAnsi="Arial Narrow"/>
                <w:lang w:val="cs-CZ"/>
              </w:rPr>
              <w:t>(vazba na nadřazenou kapacitní dopravní síť</w:t>
            </w:r>
            <w:r w:rsidR="00123A12">
              <w:rPr>
                <w:rFonts w:ascii="Arial Narrow" w:hAnsi="Arial Narrow"/>
                <w:lang w:val="cs-CZ"/>
              </w:rPr>
              <w:t>, aby nedocházelo k nežádoucí zátěži na obytné území města</w:t>
            </w:r>
            <w:r>
              <w:rPr>
                <w:rFonts w:ascii="Arial Narrow" w:hAnsi="Arial Narrow"/>
                <w:lang w:val="cs-CZ"/>
              </w:rPr>
              <w:t xml:space="preserve">) </w:t>
            </w:r>
            <w:r w:rsidRPr="00AD7820">
              <w:rPr>
                <w:rFonts w:ascii="Arial Narrow" w:hAnsi="Arial Narrow"/>
                <w:lang w:val="cs-CZ"/>
              </w:rPr>
              <w:t xml:space="preserve">a </w:t>
            </w:r>
            <w:r>
              <w:rPr>
                <w:rFonts w:ascii="Arial Narrow" w:hAnsi="Arial Narrow"/>
                <w:lang w:val="cs-CZ"/>
              </w:rPr>
              <w:t xml:space="preserve">zároveň i </w:t>
            </w:r>
            <w:r w:rsidRPr="00AD7820">
              <w:rPr>
                <w:rFonts w:ascii="Arial Narrow" w:hAnsi="Arial Narrow"/>
                <w:lang w:val="cs-CZ"/>
              </w:rPr>
              <w:t>vazba na již realizovanou část průmyslové zóny, nelze plochu vymezit v jiné poloze a na nižších třídách ochrany ZPF, protože převážná část k.ú. Oldřichov na Hranicích se nachází na I. a II. třídě ochrany zemědělské půdy.</w:t>
            </w:r>
            <w:r>
              <w:rPr>
                <w:rFonts w:ascii="Arial Narrow" w:hAnsi="Arial Narrow"/>
                <w:lang w:val="cs-CZ"/>
              </w:rPr>
              <w:t xml:space="preserve"> </w:t>
            </w:r>
            <w:r w:rsidR="00FA3927">
              <w:rPr>
                <w:rFonts w:ascii="Arial Narrow" w:hAnsi="Arial Narrow"/>
                <w:lang w:val="cs-CZ"/>
              </w:rPr>
              <w:t>Zastavěné území nedisponuje prostorovými rezervami dostatečného rozsahu, které by pro daný záměr bylo možné využít, případně nejsou tyto rezervy adekvátně dopravně obsloužitelné. Stávající plochy brownfield, navržené v ÚP k přestavbě a novému využití, nejsou vhodné pro lokalizaci výroby z důvodu těsné blízkosti obytného území, kde je nutné chránit jak hygienickou, tak urbanistickou kvalitu prostředí.</w:t>
            </w:r>
            <w:r w:rsidR="000A1553">
              <w:rPr>
                <w:rFonts w:ascii="Arial Narrow" w:hAnsi="Arial Narrow"/>
                <w:lang w:val="cs-CZ"/>
              </w:rPr>
              <w:t xml:space="preserve"> </w:t>
            </w:r>
          </w:p>
          <w:p w14:paraId="0E5DF4BD" w14:textId="77777777" w:rsidR="00F37B25" w:rsidRPr="00461C16" w:rsidRDefault="00F37B25" w:rsidP="00B82079">
            <w:pPr>
              <w:pStyle w:val="Intabulka"/>
              <w:rPr>
                <w:rFonts w:ascii="Arial Narrow" w:hAnsi="Arial Narrow"/>
                <w:lang w:val="cs-CZ"/>
              </w:rPr>
            </w:pPr>
            <w:r w:rsidRPr="00F37B25">
              <w:rPr>
                <w:rFonts w:ascii="Arial Narrow" w:hAnsi="Arial Narrow"/>
                <w:lang w:val="cs-CZ"/>
              </w:rPr>
              <w:t xml:space="preserve">V ÚP je stanovena zásada využití plochy, resp. </w:t>
            </w:r>
            <w:r w:rsidRPr="00F37B25">
              <w:rPr>
                <w:rFonts w:ascii="Arial Narrow" w:hAnsi="Arial Narrow"/>
              </w:rPr>
              <w:t>postupu nezemědělského využití zemědělské půdy</w:t>
            </w:r>
            <w:r w:rsidRPr="00F37B25">
              <w:rPr>
                <w:rFonts w:ascii="Arial Narrow" w:hAnsi="Arial Narrow"/>
                <w:lang w:val="cs-CZ"/>
              </w:rPr>
              <w:t xml:space="preserve"> </w:t>
            </w:r>
            <w:r>
              <w:rPr>
                <w:rFonts w:ascii="Arial Narrow" w:hAnsi="Arial Narrow"/>
                <w:lang w:val="cs-CZ"/>
              </w:rPr>
              <w:t xml:space="preserve">důsledně </w:t>
            </w:r>
            <w:r w:rsidRPr="00F37B25">
              <w:rPr>
                <w:rFonts w:ascii="Arial Narrow" w:hAnsi="Arial Narrow"/>
                <w:lang w:val="cs-CZ"/>
              </w:rPr>
              <w:t>ve směru od zastavěného území ve směru do volné krajiny</w:t>
            </w:r>
            <w:r>
              <w:rPr>
                <w:rFonts w:ascii="Arial Narrow" w:hAnsi="Arial Narrow"/>
                <w:lang w:val="cs-CZ"/>
              </w:rPr>
              <w:t xml:space="preserve"> tak, aby nedocházelo ke vzniku nedostupných segmentů zemědělské půdy</w:t>
            </w:r>
            <w:r w:rsidRPr="00F37B25">
              <w:rPr>
                <w:rFonts w:ascii="Arial Narrow" w:hAnsi="Arial Narrow"/>
                <w:lang w:val="cs-CZ"/>
              </w:rPr>
              <w:t>.</w:t>
            </w:r>
          </w:p>
        </w:tc>
      </w:tr>
      <w:tr w:rsidR="00864328" w:rsidRPr="00461C16" w14:paraId="53E6065E" w14:textId="77777777" w:rsidTr="00D95953">
        <w:trPr>
          <w:jc w:val="center"/>
        </w:trPr>
        <w:tc>
          <w:tcPr>
            <w:tcW w:w="1006" w:type="dxa"/>
            <w:shd w:val="clear" w:color="auto" w:fill="D6E3BC" w:themeFill="accent3" w:themeFillTint="66"/>
          </w:tcPr>
          <w:p w14:paraId="3FA65F52" w14:textId="77777777" w:rsidR="00864328" w:rsidRPr="00461C16" w:rsidRDefault="00864328" w:rsidP="00B82079">
            <w:pPr>
              <w:spacing w:before="40" w:line="240" w:lineRule="auto"/>
              <w:jc w:val="left"/>
              <w:rPr>
                <w:color w:val="000000"/>
                <w:sz w:val="20"/>
                <w:szCs w:val="20"/>
              </w:rPr>
            </w:pPr>
            <w:r w:rsidRPr="00461C16">
              <w:rPr>
                <w:color w:val="000000"/>
                <w:sz w:val="20"/>
                <w:szCs w:val="20"/>
              </w:rPr>
              <w:lastRenderedPageBreak/>
              <w:t>Z43</w:t>
            </w:r>
          </w:p>
        </w:tc>
        <w:tc>
          <w:tcPr>
            <w:tcW w:w="1856" w:type="dxa"/>
            <w:shd w:val="clear" w:color="auto" w:fill="D6E3BC" w:themeFill="accent3" w:themeFillTint="66"/>
          </w:tcPr>
          <w:p w14:paraId="6CA39C49" w14:textId="77777777" w:rsidR="00864328" w:rsidRPr="00461C16" w:rsidRDefault="008643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D6E3BC" w:themeFill="accent3" w:themeFillTint="66"/>
          </w:tcPr>
          <w:p w14:paraId="5BAF9201" w14:textId="77777777" w:rsidR="00864328" w:rsidRPr="00461C16" w:rsidRDefault="008643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7981295F" w14:textId="77777777" w:rsidR="00864328" w:rsidRDefault="00864328" w:rsidP="00B82079">
            <w:pPr>
              <w:pStyle w:val="Intabulka"/>
              <w:rPr>
                <w:rFonts w:ascii="Arial Narrow" w:hAnsi="Arial Narrow"/>
                <w:lang w:val="cs-CZ"/>
              </w:rPr>
            </w:pPr>
            <w:r w:rsidRPr="00461C16">
              <w:rPr>
                <w:rFonts w:ascii="Arial Narrow" w:hAnsi="Arial Narrow"/>
                <w:lang w:val="cs-CZ"/>
              </w:rPr>
              <w:t xml:space="preserve">Plocha je součástí obytného území v lokalitě Zlatá Výšina, navazuje z východu na stabilizovanou zástavbu rodinných domů a tvoří přechod do rozsáhlé rozvojové plochy pro bydlení. Plocha </w:t>
            </w:r>
            <w:r w:rsidRPr="006F038D">
              <w:rPr>
                <w:rFonts w:ascii="Arial Narrow" w:hAnsi="Arial Narrow"/>
                <w:b/>
                <w:lang w:val="cs-CZ"/>
              </w:rPr>
              <w:t>využívá proluku mezi stávající obytnou zástavbou a pásem zeleně podél obchvatu města, čímž směřuje k účelnému a hospodárnému využívání území</w:t>
            </w:r>
            <w:r w:rsidRPr="00461C16">
              <w:rPr>
                <w:rFonts w:ascii="Arial Narrow" w:hAnsi="Arial Narrow"/>
                <w:lang w:val="cs-CZ"/>
              </w:rPr>
              <w:t xml:space="preserve">. Realizace záměru přispěje k uspokojení poptávky po nových plochách pro bydlení, ke zkvalitnění obytného komfortu a k celkovému zatraktivnění prostředí. Plocha je vymezena v souladu se </w:t>
            </w:r>
            <w:r w:rsidRPr="004D5595">
              <w:rPr>
                <w:rFonts w:ascii="Arial Narrow" w:hAnsi="Arial Narrow"/>
                <w:b/>
                <w:lang w:val="cs-CZ"/>
              </w:rPr>
              <w:t>současně platným ÚP města</w:t>
            </w:r>
            <w:r w:rsidRPr="00461C16">
              <w:rPr>
                <w:rFonts w:ascii="Arial Narrow" w:hAnsi="Arial Narrow"/>
                <w:lang w:val="cs-CZ"/>
              </w:rPr>
              <w:t>.</w:t>
            </w:r>
          </w:p>
          <w:p w14:paraId="6B1D08C3" w14:textId="77777777" w:rsidR="00D23556" w:rsidRPr="009217CA" w:rsidRDefault="00D23556"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sidRPr="00D11D91">
              <w:rPr>
                <w:rFonts w:ascii="Arial Narrow" w:hAnsi="Arial Narrow"/>
              </w:rPr>
              <w:t xml:space="preserve"> </w:t>
            </w:r>
            <w:r>
              <w:rPr>
                <w:rFonts w:ascii="Arial Narrow" w:hAnsi="Arial Narrow"/>
                <w:lang w:val="cs-CZ"/>
              </w:rPr>
              <w:t>ve vazbě na</w:t>
            </w:r>
            <w:r w:rsidRPr="00D11D91">
              <w:rPr>
                <w:rFonts w:ascii="Arial Narrow" w:hAnsi="Arial Narrow"/>
              </w:rPr>
              <w:t xml:space="preserve"> zastavěné území a stanovením adekvátních podmínek využití včetně podmínek prostorového uspořádání.</w:t>
            </w:r>
            <w:r w:rsidR="009217CA">
              <w:rPr>
                <w:rFonts w:ascii="Arial Narrow" w:hAnsi="Arial Narrow"/>
                <w:lang w:val="cs-CZ"/>
              </w:rPr>
              <w:t xml:space="preserve"> Vymezení plochy reaguje mimo jiné na požadavek ZÚR Libereckého kraje na zajištění odpovídajících obytných kapacit ve vazbě na rozvoj nových ekonomických aktivit v rozvojové oblasti a ose.</w:t>
            </w:r>
          </w:p>
        </w:tc>
      </w:tr>
      <w:tr w:rsidR="00864328" w:rsidRPr="00461C16" w14:paraId="2A888B9A" w14:textId="77777777" w:rsidTr="00E57ACF">
        <w:trPr>
          <w:jc w:val="center"/>
        </w:trPr>
        <w:tc>
          <w:tcPr>
            <w:tcW w:w="1006" w:type="dxa"/>
            <w:shd w:val="clear" w:color="auto" w:fill="D6E3BC" w:themeFill="accent3" w:themeFillTint="66"/>
          </w:tcPr>
          <w:p w14:paraId="3A8F22C9" w14:textId="77777777" w:rsidR="00864328" w:rsidRPr="00461C16" w:rsidRDefault="00864328" w:rsidP="00B82079">
            <w:pPr>
              <w:spacing w:before="40" w:line="240" w:lineRule="auto"/>
              <w:jc w:val="left"/>
              <w:rPr>
                <w:color w:val="000000"/>
                <w:sz w:val="20"/>
                <w:szCs w:val="20"/>
              </w:rPr>
            </w:pPr>
            <w:r w:rsidRPr="00461C16">
              <w:rPr>
                <w:color w:val="000000"/>
                <w:sz w:val="20"/>
                <w:szCs w:val="20"/>
              </w:rPr>
              <w:t>Z44</w:t>
            </w:r>
            <w:r w:rsidR="00912A28">
              <w:rPr>
                <w:color w:val="000000"/>
                <w:sz w:val="20"/>
                <w:szCs w:val="20"/>
              </w:rPr>
              <w:t>A</w:t>
            </w:r>
          </w:p>
        </w:tc>
        <w:tc>
          <w:tcPr>
            <w:tcW w:w="1856" w:type="dxa"/>
            <w:shd w:val="clear" w:color="auto" w:fill="D6E3BC" w:themeFill="accent3" w:themeFillTint="66"/>
          </w:tcPr>
          <w:p w14:paraId="20363C4F" w14:textId="77777777" w:rsidR="00864328" w:rsidRPr="00461C16" w:rsidRDefault="008643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D6E3BC" w:themeFill="accent3" w:themeFillTint="66"/>
          </w:tcPr>
          <w:p w14:paraId="5BB45A85" w14:textId="77777777" w:rsidR="00864328" w:rsidRPr="00461C16" w:rsidRDefault="008643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31018685" w14:textId="77777777" w:rsidR="00864328" w:rsidRDefault="00864328" w:rsidP="00B82079">
            <w:pPr>
              <w:pStyle w:val="Intabulka"/>
              <w:rPr>
                <w:rFonts w:ascii="Arial Narrow" w:hAnsi="Arial Narrow"/>
                <w:lang w:val="cs-CZ"/>
              </w:rPr>
            </w:pPr>
            <w:r w:rsidRPr="00461C16">
              <w:rPr>
                <w:rFonts w:ascii="Arial Narrow" w:hAnsi="Arial Narrow"/>
                <w:lang w:val="cs-CZ"/>
              </w:rPr>
              <w:t>Plocha je vymezena v </w:t>
            </w:r>
            <w:r w:rsidR="00C2307A">
              <w:rPr>
                <w:rFonts w:ascii="Arial Narrow" w:hAnsi="Arial Narrow"/>
                <w:lang w:val="cs-CZ"/>
              </w:rPr>
              <w:t>návaznosti na zástavbu podél ul. Oldřichovská, přičemž využívá rozsáhlý prostor až k bývalé cihelně s významným biotopem</w:t>
            </w:r>
            <w:r w:rsidR="009C570A">
              <w:rPr>
                <w:rFonts w:ascii="Arial Narrow" w:hAnsi="Arial Narrow"/>
                <w:lang w:val="cs-CZ"/>
              </w:rPr>
              <w:t xml:space="preserve"> a jižně realizovanému ovocnému sadu</w:t>
            </w:r>
            <w:r w:rsidRPr="00461C16">
              <w:rPr>
                <w:rFonts w:ascii="Arial Narrow" w:hAnsi="Arial Narrow"/>
                <w:lang w:val="cs-CZ"/>
              </w:rPr>
              <w:t xml:space="preserve">. Plocha představuje </w:t>
            </w:r>
            <w:r w:rsidR="00C2307A">
              <w:rPr>
                <w:rFonts w:ascii="Arial Narrow" w:hAnsi="Arial Narrow"/>
                <w:lang w:val="cs-CZ"/>
              </w:rPr>
              <w:t xml:space="preserve">jednu z </w:t>
            </w:r>
            <w:r w:rsidRPr="00461C16">
              <w:rPr>
                <w:rFonts w:ascii="Arial Narrow" w:hAnsi="Arial Narrow"/>
                <w:lang w:val="cs-CZ"/>
              </w:rPr>
              <w:t>nejvýznamnější</w:t>
            </w:r>
            <w:r w:rsidR="00C2307A">
              <w:rPr>
                <w:rFonts w:ascii="Arial Narrow" w:hAnsi="Arial Narrow"/>
                <w:lang w:val="cs-CZ"/>
              </w:rPr>
              <w:t>ch</w:t>
            </w:r>
            <w:r w:rsidRPr="00461C16">
              <w:rPr>
                <w:rFonts w:ascii="Arial Narrow" w:hAnsi="Arial Narrow"/>
                <w:lang w:val="cs-CZ"/>
              </w:rPr>
              <w:t xml:space="preserve"> příležitost</w:t>
            </w:r>
            <w:r w:rsidR="00C2307A">
              <w:rPr>
                <w:rFonts w:ascii="Arial Narrow" w:hAnsi="Arial Narrow"/>
                <w:lang w:val="cs-CZ"/>
              </w:rPr>
              <w:t>í</w:t>
            </w:r>
            <w:r w:rsidRPr="00461C16">
              <w:rPr>
                <w:rFonts w:ascii="Arial Narrow" w:hAnsi="Arial Narrow"/>
                <w:lang w:val="cs-CZ"/>
              </w:rPr>
              <w:t xml:space="preserve"> pro rozvoj bydlení ve městě Hrádek nad Nisou, přispěje ke zkvalitnění obytného komfortu a k celkovému zatraktivnění prostředí. Plocha je vymezena </w:t>
            </w:r>
            <w:r w:rsidRPr="00AE5CC8">
              <w:rPr>
                <w:rFonts w:ascii="Arial Narrow" w:hAnsi="Arial Narrow"/>
                <w:b/>
                <w:lang w:val="cs-CZ"/>
              </w:rPr>
              <w:t>v souladu s</w:t>
            </w:r>
            <w:r w:rsidR="00AE5CC8" w:rsidRPr="00AE5CC8">
              <w:rPr>
                <w:rFonts w:ascii="Arial Narrow" w:hAnsi="Arial Narrow"/>
                <w:b/>
                <w:lang w:val="cs-CZ"/>
              </w:rPr>
              <w:t> platným ÚPSÚ, v redukovaném rozsahu</w:t>
            </w:r>
            <w:r w:rsidR="00AE5CC8">
              <w:rPr>
                <w:rFonts w:ascii="Arial Narrow" w:hAnsi="Arial Narrow"/>
                <w:lang w:val="cs-CZ"/>
              </w:rPr>
              <w:t xml:space="preserve">, </w:t>
            </w:r>
            <w:r w:rsidR="00C2307A">
              <w:rPr>
                <w:rFonts w:ascii="Arial Narrow" w:hAnsi="Arial Narrow"/>
                <w:lang w:val="cs-CZ"/>
              </w:rPr>
              <w:t>jako součást tzv. Severního města.</w:t>
            </w:r>
          </w:p>
          <w:p w14:paraId="22926CDE" w14:textId="77777777" w:rsidR="00AF5DEA" w:rsidRPr="002E4BDE" w:rsidRDefault="00AF5DEA"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sidR="00AE5CC8">
              <w:rPr>
                <w:rFonts w:ascii="Arial Narrow" w:hAnsi="Arial Narrow"/>
                <w:lang w:val="cs-CZ"/>
              </w:rPr>
              <w:t xml:space="preserve">, </w:t>
            </w:r>
            <w:r w:rsidR="00AE5CC8" w:rsidRPr="00D11D91">
              <w:rPr>
                <w:rFonts w:ascii="Arial Narrow" w:hAnsi="Arial Narrow"/>
              </w:rPr>
              <w:t>dotvoření a naplnění dlouhodobě sledované a platné územně plánovací koncepce.</w:t>
            </w:r>
            <w:r w:rsidRPr="00D11D91">
              <w:rPr>
                <w:rFonts w:ascii="Arial Narrow" w:hAnsi="Arial Narrow"/>
              </w:rPr>
              <w:t xml:space="preserve"> </w:t>
            </w:r>
            <w:r w:rsidR="00AE5CC8">
              <w:rPr>
                <w:rFonts w:ascii="Arial Narrow" w:hAnsi="Arial Narrow"/>
                <w:lang w:val="cs-CZ"/>
              </w:rPr>
              <w:t>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w:t>
            </w:r>
            <w:r>
              <w:rPr>
                <w:rFonts w:ascii="Arial Narrow" w:hAnsi="Arial Narrow"/>
                <w:lang w:val="cs-CZ"/>
              </w:rPr>
              <w:t>ve vazbě na</w:t>
            </w:r>
            <w:r w:rsidRPr="00D11D91">
              <w:rPr>
                <w:rFonts w:ascii="Arial Narrow" w:hAnsi="Arial Narrow"/>
              </w:rPr>
              <w:t xml:space="preserve"> zastavěné území a stanovením adekvátních </w:t>
            </w:r>
            <w:r w:rsidRPr="00D11D91">
              <w:rPr>
                <w:rFonts w:ascii="Arial Narrow" w:hAnsi="Arial Narrow"/>
              </w:rPr>
              <w:lastRenderedPageBreak/>
              <w:t>podmínek využití včetně podmínek prostorového uspořádání.</w:t>
            </w:r>
            <w:r w:rsidR="002E4BDE">
              <w:rPr>
                <w:rFonts w:ascii="Arial Narrow" w:hAnsi="Arial Narrow"/>
                <w:lang w:val="cs-CZ"/>
              </w:rPr>
              <w:t xml:space="preserve"> Vymezení plochy reaguje </w:t>
            </w:r>
            <w:r w:rsidR="009217CA">
              <w:rPr>
                <w:rFonts w:ascii="Arial Narrow" w:hAnsi="Arial Narrow"/>
                <w:lang w:val="cs-CZ"/>
              </w:rPr>
              <w:t xml:space="preserve">mimo jiné </w:t>
            </w:r>
            <w:r w:rsidR="002E4BDE">
              <w:rPr>
                <w:rFonts w:ascii="Arial Narrow" w:hAnsi="Arial Narrow"/>
                <w:lang w:val="cs-CZ"/>
              </w:rPr>
              <w:t>na požadavek ZÚR Libereckého kraje na zajištění odpovídají</w:t>
            </w:r>
            <w:r w:rsidR="009217CA">
              <w:rPr>
                <w:rFonts w:ascii="Arial Narrow" w:hAnsi="Arial Narrow"/>
                <w:lang w:val="cs-CZ"/>
              </w:rPr>
              <w:t>cích obytných kapacit ve vazbě na rozvoj nových ekonomických aktivit v rozvojové oblasti a ose.</w:t>
            </w:r>
          </w:p>
          <w:p w14:paraId="66673E3D" w14:textId="77777777" w:rsidR="00AE5CC8" w:rsidRPr="004725ED" w:rsidRDefault="00AE5CC8" w:rsidP="00B82079">
            <w:pPr>
              <w:pStyle w:val="Intabulka"/>
              <w:rPr>
                <w:rFonts w:ascii="Arial Narrow" w:hAnsi="Arial Narrow"/>
                <w:lang w:val="cs-CZ"/>
              </w:rPr>
            </w:pPr>
            <w:r w:rsidRPr="004725ED">
              <w:rPr>
                <w:rFonts w:ascii="Arial Narrow" w:hAnsi="Arial Narrow"/>
                <w:lang w:val="cs-CZ"/>
              </w:rPr>
              <w:t>Vytvoření podmínek pro rozvoj bydlení je jedním ze základních předpokladů zvýšení atraktivity Hrádku nad Nisou a důvodem pro přistěhování nových obyvatel a tedy pro žádoucí rozvoj města. Již v současné době poptávka po nových plochách pro bydlení výrazně převyšuje nabídku a město nedisponuje dostatečnými rezervami pro uspokojení této poptávky.</w:t>
            </w:r>
          </w:p>
          <w:p w14:paraId="21CB8FD7" w14:textId="77777777" w:rsidR="00AE5CC8" w:rsidRPr="004725ED" w:rsidRDefault="00AE5CC8" w:rsidP="00B82079">
            <w:pPr>
              <w:pStyle w:val="Intabulka"/>
              <w:rPr>
                <w:rFonts w:ascii="Arial Narrow" w:hAnsi="Arial Narrow"/>
                <w:lang w:val="cs-CZ"/>
              </w:rPr>
            </w:pPr>
            <w:r w:rsidRPr="004725ED">
              <w:rPr>
                <w:rFonts w:ascii="Arial Narrow" w:hAnsi="Arial Narrow"/>
                <w:lang w:val="cs-CZ"/>
              </w:rPr>
              <w:t xml:space="preserve">Pokud má být zohledněno hospodárné využití území a ochrana volné krajiny, nelze plochu vymezit v jiné poloze a na nižších třídách ochrany ZPF, protože převážná část k.ú. Hrádek nad Nisou se nachází na I. a II. třídě ochrany zemědělské půdy. V zastavěném území se nenachází dostatek prostorových rezerv, které by pro daný záměr bylo možné využít (evidované plochy brownfields jsou pro bydlení plně využity), případně je využití těchto rezerv znemožněno polohou v aktivní zóně záplavového území. Poloha mezi koridorem železnice, koridorem obchvatu města a dvěma významnými dopravními trasami (ul. Oldřichovská a ul. Liberecká) je z ploch vně zastavěného území pro další rozvoj nejvhodnější, protože </w:t>
            </w:r>
            <w:r w:rsidR="004725ED" w:rsidRPr="004725ED">
              <w:rPr>
                <w:rFonts w:ascii="Arial Narrow" w:hAnsi="Arial Narrow"/>
                <w:lang w:val="cs-CZ"/>
              </w:rPr>
              <w:t>se jedná o území bez vazby na volnou krajinu s dalšími rozsáhlými souvislými plochami zemědělské půdy (za koridorem silnice I/35), tedy při pokračujícím postupu výstavby obtížně obhospodařovatelné.</w:t>
            </w:r>
          </w:p>
          <w:p w14:paraId="1959F13E" w14:textId="77777777" w:rsidR="00AE5CC8" w:rsidRPr="00AE5CC8" w:rsidRDefault="00AE5CC8" w:rsidP="00B82079">
            <w:pPr>
              <w:pStyle w:val="Intabulka"/>
              <w:rPr>
                <w:rFonts w:ascii="Arial Narrow" w:hAnsi="Arial Narrow"/>
                <w:lang w:val="cs-CZ"/>
              </w:rPr>
            </w:pPr>
            <w:r w:rsidRPr="004725ED">
              <w:rPr>
                <w:rFonts w:ascii="Arial Narrow" w:hAnsi="Arial Narrow"/>
                <w:lang w:val="cs-CZ"/>
              </w:rPr>
              <w:t xml:space="preserve">V ÚP je stanovena zásada využití plochy, resp. </w:t>
            </w:r>
            <w:r w:rsidRPr="004725ED">
              <w:rPr>
                <w:rFonts w:ascii="Arial Narrow" w:hAnsi="Arial Narrow"/>
              </w:rPr>
              <w:t>postupu nezemědělského využití zemědělské půdy</w:t>
            </w:r>
            <w:r w:rsidRPr="004725ED">
              <w:rPr>
                <w:rFonts w:ascii="Arial Narrow" w:hAnsi="Arial Narrow"/>
                <w:lang w:val="cs-CZ"/>
              </w:rPr>
              <w:t xml:space="preserve"> důsledně ve směru od zastavěného území ve směru do volné krajiny tak, aby nedocházelo ke vzniku nedostupných segmentů zemědělské půdy.</w:t>
            </w:r>
          </w:p>
        </w:tc>
      </w:tr>
      <w:tr w:rsidR="00D42A52" w:rsidRPr="00461C16" w14:paraId="51B4C5BA" w14:textId="77777777" w:rsidTr="00D95953">
        <w:trPr>
          <w:jc w:val="center"/>
        </w:trPr>
        <w:tc>
          <w:tcPr>
            <w:tcW w:w="1006" w:type="dxa"/>
            <w:shd w:val="clear" w:color="auto" w:fill="FBF8B5"/>
          </w:tcPr>
          <w:p w14:paraId="53604FA3" w14:textId="77777777" w:rsidR="00D42A52" w:rsidRPr="00461C16" w:rsidRDefault="00D42A52" w:rsidP="00B82079">
            <w:pPr>
              <w:spacing w:before="40" w:line="240" w:lineRule="auto"/>
              <w:jc w:val="left"/>
              <w:rPr>
                <w:color w:val="000000"/>
                <w:sz w:val="20"/>
                <w:szCs w:val="20"/>
              </w:rPr>
            </w:pPr>
            <w:r w:rsidRPr="00461C16">
              <w:rPr>
                <w:color w:val="000000"/>
                <w:sz w:val="20"/>
                <w:szCs w:val="20"/>
              </w:rPr>
              <w:lastRenderedPageBreak/>
              <w:t>Z44</w:t>
            </w:r>
            <w:r>
              <w:rPr>
                <w:color w:val="000000"/>
                <w:sz w:val="20"/>
                <w:szCs w:val="20"/>
              </w:rPr>
              <w:t>B</w:t>
            </w:r>
          </w:p>
        </w:tc>
        <w:tc>
          <w:tcPr>
            <w:tcW w:w="1856" w:type="dxa"/>
            <w:shd w:val="clear" w:color="auto" w:fill="FBF8B5"/>
          </w:tcPr>
          <w:p w14:paraId="30DBFF00" w14:textId="77777777" w:rsidR="00D42A52" w:rsidRPr="00461C16" w:rsidRDefault="00D42A52"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FBF8B5"/>
          </w:tcPr>
          <w:p w14:paraId="02D2743A" w14:textId="77777777" w:rsidR="00D42A52" w:rsidRPr="00461C16" w:rsidRDefault="00D42A52"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FBF8B5"/>
          </w:tcPr>
          <w:p w14:paraId="5EC184A6" w14:textId="77777777" w:rsidR="00D42A52" w:rsidRDefault="00D42A52" w:rsidP="00B82079">
            <w:pPr>
              <w:pStyle w:val="Intabulka"/>
              <w:rPr>
                <w:rFonts w:ascii="Arial Narrow" w:hAnsi="Arial Narrow"/>
                <w:lang w:val="cs-CZ"/>
              </w:rPr>
            </w:pPr>
            <w:r w:rsidRPr="00461C16">
              <w:rPr>
                <w:rFonts w:ascii="Arial Narrow" w:hAnsi="Arial Narrow"/>
                <w:lang w:val="cs-CZ"/>
              </w:rPr>
              <w:t>Plocha je vymezena v</w:t>
            </w:r>
            <w:r>
              <w:rPr>
                <w:rFonts w:ascii="Arial Narrow" w:hAnsi="Arial Narrow"/>
                <w:lang w:val="cs-CZ"/>
              </w:rPr>
              <w:t xml:space="preserve"> území mezi bývalou cihelnou s významným biotopem a </w:t>
            </w:r>
            <w:r w:rsidRPr="00461C16">
              <w:rPr>
                <w:rFonts w:ascii="Arial Narrow" w:hAnsi="Arial Narrow"/>
                <w:lang w:val="cs-CZ"/>
              </w:rPr>
              <w:t xml:space="preserve">obchvatem </w:t>
            </w:r>
            <w:r>
              <w:rPr>
                <w:rFonts w:ascii="Arial Narrow" w:hAnsi="Arial Narrow"/>
                <w:lang w:val="cs-CZ"/>
              </w:rPr>
              <w:t>města (</w:t>
            </w:r>
            <w:r w:rsidRPr="00461C16">
              <w:rPr>
                <w:rFonts w:ascii="Arial Narrow" w:hAnsi="Arial Narrow"/>
                <w:lang w:val="cs-CZ"/>
              </w:rPr>
              <w:t>silnic</w:t>
            </w:r>
            <w:r>
              <w:rPr>
                <w:rFonts w:ascii="Arial Narrow" w:hAnsi="Arial Narrow"/>
                <w:lang w:val="cs-CZ"/>
              </w:rPr>
              <w:t>e</w:t>
            </w:r>
            <w:r w:rsidRPr="00461C16">
              <w:rPr>
                <w:rFonts w:ascii="Arial Narrow" w:hAnsi="Arial Narrow"/>
                <w:lang w:val="cs-CZ"/>
              </w:rPr>
              <w:t xml:space="preserve"> I/35</w:t>
            </w:r>
            <w:r>
              <w:rPr>
                <w:rFonts w:ascii="Arial Narrow" w:hAnsi="Arial Narrow"/>
                <w:lang w:val="cs-CZ"/>
              </w:rPr>
              <w:t>)</w:t>
            </w:r>
            <w:r w:rsidRPr="00461C16">
              <w:rPr>
                <w:rFonts w:ascii="Arial Narrow" w:hAnsi="Arial Narrow"/>
                <w:lang w:val="cs-CZ"/>
              </w:rPr>
              <w:t>. Využitím území</w:t>
            </w:r>
            <w:r>
              <w:rPr>
                <w:rFonts w:ascii="Arial Narrow" w:hAnsi="Arial Narrow"/>
                <w:lang w:val="cs-CZ"/>
              </w:rPr>
              <w:t xml:space="preserve"> s integrací stávajícího objektu</w:t>
            </w:r>
            <w:r w:rsidRPr="00461C16">
              <w:rPr>
                <w:rFonts w:ascii="Arial Narrow" w:hAnsi="Arial Narrow"/>
                <w:lang w:val="cs-CZ"/>
              </w:rPr>
              <w:t xml:space="preserve"> dojde ke scelení a posílení kompaktnosti města. Plocha představuje</w:t>
            </w:r>
            <w:r>
              <w:rPr>
                <w:rFonts w:ascii="Arial Narrow" w:hAnsi="Arial Narrow"/>
                <w:lang w:val="cs-CZ"/>
              </w:rPr>
              <w:t xml:space="preserve"> spolu s navazujícími Z43 a Z45 </w:t>
            </w:r>
            <w:r w:rsidRPr="00461C16">
              <w:rPr>
                <w:rFonts w:ascii="Arial Narrow" w:hAnsi="Arial Narrow"/>
                <w:lang w:val="cs-CZ"/>
              </w:rPr>
              <w:t xml:space="preserve"> nejvýznamnější příležitost pro rozvoj bydlení ve městě Hrádek nad Nisou, přispěje ke zkvalitnění obytného komfortu a k celkovému zatraktivnění prostředí. Plocha je vymezena </w:t>
            </w:r>
            <w:r w:rsidRPr="00AE5CC8">
              <w:rPr>
                <w:rFonts w:ascii="Arial Narrow" w:hAnsi="Arial Narrow"/>
                <w:b/>
                <w:lang w:val="cs-CZ"/>
              </w:rPr>
              <w:t>v souladu s požadavkem schváleného Zadání ÚP</w:t>
            </w:r>
            <w:r>
              <w:rPr>
                <w:rFonts w:ascii="Arial Narrow" w:hAnsi="Arial Narrow"/>
                <w:lang w:val="cs-CZ"/>
              </w:rPr>
              <w:t>, jako součást tzv. Severního města</w:t>
            </w:r>
            <w:r w:rsidRPr="00461C16">
              <w:rPr>
                <w:rFonts w:ascii="Arial Narrow" w:hAnsi="Arial Narrow"/>
                <w:lang w:val="cs-CZ"/>
              </w:rPr>
              <w:t>.</w:t>
            </w:r>
          </w:p>
          <w:p w14:paraId="410ABB42" w14:textId="77777777" w:rsidR="00D42A52" w:rsidRPr="009217CA" w:rsidRDefault="00D42A52"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 </w:t>
            </w:r>
            <w:r>
              <w:rPr>
                <w:rFonts w:ascii="Arial Narrow" w:hAnsi="Arial Narrow"/>
                <w:lang w:val="cs-CZ"/>
              </w:rPr>
              <w:t>přičemž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w:t>
            </w:r>
            <w:r>
              <w:rPr>
                <w:rFonts w:ascii="Arial Narrow" w:hAnsi="Arial Narrow"/>
                <w:lang w:val="cs-CZ"/>
              </w:rPr>
              <w:t>ve vazbě na</w:t>
            </w:r>
            <w:r w:rsidRPr="00D11D91">
              <w:rPr>
                <w:rFonts w:ascii="Arial Narrow" w:hAnsi="Arial Narrow"/>
              </w:rPr>
              <w:t xml:space="preserve"> zastavěné území a stanovením adekvátních podmínek využití včetně podmínek prostorového uspořádání.</w:t>
            </w:r>
            <w:r>
              <w:rPr>
                <w:rFonts w:ascii="Arial Narrow" w:hAnsi="Arial Narrow"/>
                <w:lang w:val="cs-CZ"/>
              </w:rPr>
              <w:t xml:space="preserve"> Vymezení plochy reaguje mimo jiné na požadavek ZÚR Libereckého kraje na zajištění odpovídajících obytných kapacit ve vazbě na rozvoj nových ekonomických aktivit v rozvojové oblasti a ose.</w:t>
            </w:r>
          </w:p>
          <w:p w14:paraId="53BEB37C" w14:textId="77777777" w:rsidR="00D42A52" w:rsidRPr="004725ED" w:rsidRDefault="00D42A52" w:rsidP="00B82079">
            <w:pPr>
              <w:pStyle w:val="Intabulka"/>
              <w:rPr>
                <w:rFonts w:ascii="Arial Narrow" w:hAnsi="Arial Narrow"/>
                <w:lang w:val="cs-CZ"/>
              </w:rPr>
            </w:pPr>
            <w:r w:rsidRPr="004725ED">
              <w:rPr>
                <w:rFonts w:ascii="Arial Narrow" w:hAnsi="Arial Narrow"/>
                <w:lang w:val="cs-CZ"/>
              </w:rPr>
              <w:t>Vytvoření podmínek pro rozvoj bydlení je jedním ze základních předpokladů zvýšení atraktivity Hrádku nad Nisou a důvodem pro přistěhování nových obyvatel a tedy pro žádoucí rozvoj města. Již v současné době poptávka po nových plochách pro bydlení výrazně převyšuje nabídku a město nedisponuje dostatečnými rezervami pro uspokojení této poptávky.</w:t>
            </w:r>
          </w:p>
          <w:p w14:paraId="55F87416" w14:textId="77777777" w:rsidR="00D42A52" w:rsidRPr="004725ED" w:rsidRDefault="00D42A52" w:rsidP="00B82079">
            <w:pPr>
              <w:pStyle w:val="Intabulka"/>
              <w:rPr>
                <w:rFonts w:ascii="Arial Narrow" w:hAnsi="Arial Narrow"/>
                <w:lang w:val="cs-CZ"/>
              </w:rPr>
            </w:pPr>
            <w:r w:rsidRPr="004725ED">
              <w:rPr>
                <w:rFonts w:ascii="Arial Narrow" w:hAnsi="Arial Narrow"/>
                <w:lang w:val="cs-CZ"/>
              </w:rPr>
              <w:t xml:space="preserve">Pokud má být zohledněno hospodárné využití území a ochrana </w:t>
            </w:r>
            <w:r w:rsidRPr="004725ED">
              <w:rPr>
                <w:rFonts w:ascii="Arial Narrow" w:hAnsi="Arial Narrow"/>
                <w:lang w:val="cs-CZ"/>
              </w:rPr>
              <w:lastRenderedPageBreak/>
              <w:t>volné krajiny, nelze plochu vymezit v jiné poloze a na nižších třídách ochrany ZPF, protože převážná část k.ú. Hrádek nad Nisou se nachází na I. a II. třídě ochrany zemědělské půdy. V zastavěném území se nenachází dostatek prostorových rezerv, které by pro daný záměr bylo možné využít (evidované plochy brownfields jsou pro bydlení plně využity), případně je využití těchto rezerv znemožněno polohou v aktivní zóně záplavového území. Poloha mezi koridorem železnice, koridorem obchvatu města a dvěma významnými dopravními trasami (ul. Oldřichovská a ul. Liberecká) je z ploch vně zastavěného území pro další rozvoj nejvhodnější, protože se jedná o území bez vazby na volnou krajinu s dalšími rozsáhlými souvislými plochami zemědělské půdy (za koridorem silnice I/35), tedy při pokračujícím postupu výstavby obtížně obhospodařovatelné.</w:t>
            </w:r>
          </w:p>
          <w:p w14:paraId="378A5A3E" w14:textId="77777777" w:rsidR="00D42A52" w:rsidRPr="004725ED" w:rsidRDefault="00D42A52" w:rsidP="00B82079">
            <w:pPr>
              <w:pStyle w:val="Intabulka"/>
              <w:rPr>
                <w:rFonts w:ascii="Arial Narrow" w:hAnsi="Arial Narrow"/>
                <w:lang w:val="cs-CZ"/>
              </w:rPr>
            </w:pPr>
            <w:r w:rsidRPr="004725ED">
              <w:rPr>
                <w:rFonts w:ascii="Arial Narrow" w:hAnsi="Arial Narrow"/>
                <w:lang w:val="cs-CZ"/>
              </w:rPr>
              <w:t xml:space="preserve">V ÚP je stanovena zásada využití plochy, resp. </w:t>
            </w:r>
            <w:r w:rsidRPr="004725ED">
              <w:rPr>
                <w:rFonts w:ascii="Arial Narrow" w:hAnsi="Arial Narrow"/>
              </w:rPr>
              <w:t>postupu nezemědělského využití zemědělské půdy</w:t>
            </w:r>
            <w:r w:rsidRPr="004725ED">
              <w:rPr>
                <w:rFonts w:ascii="Arial Narrow" w:hAnsi="Arial Narrow"/>
                <w:lang w:val="cs-CZ"/>
              </w:rPr>
              <w:t xml:space="preserve"> důsledně ve směru od zastavěného území ve směru do volné krajiny tak, aby nedocházelo ke vzniku nedostupných segmentů zemědělské půdy.</w:t>
            </w:r>
          </w:p>
        </w:tc>
      </w:tr>
      <w:tr w:rsidR="00912A28" w:rsidRPr="00461C16" w14:paraId="0AD5E68C" w14:textId="77777777" w:rsidTr="00D95953">
        <w:trPr>
          <w:jc w:val="center"/>
        </w:trPr>
        <w:tc>
          <w:tcPr>
            <w:tcW w:w="1006" w:type="dxa"/>
            <w:shd w:val="clear" w:color="auto" w:fill="D6E3BC" w:themeFill="accent3" w:themeFillTint="66"/>
          </w:tcPr>
          <w:p w14:paraId="1F125C2B"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Z45</w:t>
            </w:r>
          </w:p>
        </w:tc>
        <w:tc>
          <w:tcPr>
            <w:tcW w:w="1856" w:type="dxa"/>
            <w:shd w:val="clear" w:color="auto" w:fill="D6E3BC" w:themeFill="accent3" w:themeFillTint="66"/>
          </w:tcPr>
          <w:p w14:paraId="1E66B12B" w14:textId="77777777" w:rsidR="00912A28" w:rsidRPr="00461C16" w:rsidRDefault="00912A28" w:rsidP="00B82079">
            <w:pPr>
              <w:spacing w:before="40" w:line="240" w:lineRule="auto"/>
              <w:jc w:val="left"/>
              <w:rPr>
                <w:sz w:val="20"/>
                <w:szCs w:val="20"/>
              </w:rPr>
            </w:pPr>
            <w:r w:rsidRPr="00461C16">
              <w:rPr>
                <w:sz w:val="20"/>
                <w:szCs w:val="20"/>
              </w:rPr>
              <w:t>BI – bydlení městské a příměstské</w:t>
            </w:r>
          </w:p>
        </w:tc>
        <w:tc>
          <w:tcPr>
            <w:tcW w:w="1356" w:type="dxa"/>
            <w:shd w:val="clear" w:color="auto" w:fill="D6E3BC" w:themeFill="accent3" w:themeFillTint="66"/>
          </w:tcPr>
          <w:p w14:paraId="64A78667"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09DBF7B6"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v rozsáhlé proluce mezi současnou </w:t>
            </w:r>
            <w:r>
              <w:rPr>
                <w:rFonts w:ascii="Arial Narrow" w:hAnsi="Arial Narrow"/>
                <w:lang w:val="cs-CZ"/>
              </w:rPr>
              <w:t>a navrhovanou (Z44B</w:t>
            </w:r>
            <w:r w:rsidR="009C570A">
              <w:rPr>
                <w:rFonts w:ascii="Arial Narrow" w:hAnsi="Arial Narrow"/>
                <w:lang w:val="cs-CZ"/>
              </w:rPr>
              <w:t>, Z46</w:t>
            </w:r>
            <w:r>
              <w:rPr>
                <w:rFonts w:ascii="Arial Narrow" w:hAnsi="Arial Narrow"/>
                <w:lang w:val="cs-CZ"/>
              </w:rPr>
              <w:t xml:space="preserve">) </w:t>
            </w:r>
            <w:r w:rsidRPr="00461C16">
              <w:rPr>
                <w:rFonts w:ascii="Arial Narrow" w:hAnsi="Arial Narrow"/>
                <w:lang w:val="cs-CZ"/>
              </w:rPr>
              <w:t xml:space="preserve">zástavbou města a obchvatem na silnici I/35. Využitím území dojde ke scelení území a posílení kompaktnosti města. Plocha představuje nejvýznamnější příležitost pro rozvoj bydlení ve městě Hrádek nad Nisou, přispěje ke zkvalitnění obytného komfortu a k celkovému zatraktivnění prostředí. Plocha je vymezena na základě požadavku schváleného Zadání ÚP </w:t>
            </w:r>
            <w:r w:rsidR="00C2307A">
              <w:rPr>
                <w:rFonts w:ascii="Arial Narrow" w:hAnsi="Arial Narrow"/>
                <w:lang w:val="cs-CZ"/>
              </w:rPr>
              <w:t xml:space="preserve">jako součást tzv. Severního města </w:t>
            </w:r>
            <w:r w:rsidRPr="00461C16">
              <w:rPr>
                <w:rFonts w:ascii="Arial Narrow" w:hAnsi="Arial Narrow"/>
                <w:lang w:val="cs-CZ"/>
              </w:rPr>
              <w:t xml:space="preserve">a v souladu se </w:t>
            </w:r>
            <w:r w:rsidRPr="004D5595">
              <w:rPr>
                <w:rFonts w:ascii="Arial Narrow" w:hAnsi="Arial Narrow"/>
                <w:b/>
                <w:lang w:val="cs-CZ"/>
              </w:rPr>
              <w:t>současně platným ÚP města, kde již byla řádně projednána a schválena</w:t>
            </w:r>
            <w:r w:rsidRPr="00461C16">
              <w:rPr>
                <w:rFonts w:ascii="Arial Narrow" w:hAnsi="Arial Narrow"/>
                <w:lang w:val="cs-CZ"/>
              </w:rPr>
              <w:t>.</w:t>
            </w:r>
          </w:p>
          <w:p w14:paraId="56BAAFDF" w14:textId="77777777" w:rsidR="00912A28" w:rsidRPr="009217CA"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Pr>
                <w:rFonts w:ascii="Arial Narrow" w:hAnsi="Arial Narrow"/>
              </w:rPr>
              <w:t xml:space="preserve"> v</w:t>
            </w:r>
            <w:r>
              <w:rPr>
                <w:rFonts w:ascii="Arial Narrow" w:hAnsi="Arial Narrow"/>
                <w:lang w:val="cs-CZ"/>
              </w:rPr>
              <w:t>e vazbě na</w:t>
            </w:r>
            <w:r>
              <w:rPr>
                <w:rFonts w:ascii="Arial Narrow" w:hAnsi="Arial Narrow"/>
              </w:rPr>
              <w:t xml:space="preserve"> zastavěné</w:t>
            </w:r>
            <w:r w:rsidRPr="00D11D91">
              <w:rPr>
                <w:rFonts w:ascii="Arial Narrow" w:hAnsi="Arial Narrow"/>
              </w:rPr>
              <w:t xml:space="preserve"> území a stanovením adekvátních podmínek využití včetně podmínek prostorového uspořádání.</w:t>
            </w:r>
            <w:r w:rsidR="009217CA">
              <w:rPr>
                <w:rFonts w:ascii="Arial Narrow" w:hAnsi="Arial Narrow"/>
                <w:lang w:val="cs-CZ"/>
              </w:rPr>
              <w:t xml:space="preserve"> Vymezení plochy reaguje mimo jiné na požadavek ZÚR Libereckého kraje na zajištění odpovídajících obytných kapacit ve vazbě na rozvoj nových ekonomických aktivit v rozvojové oblasti a ose.</w:t>
            </w:r>
          </w:p>
          <w:p w14:paraId="52F9E50A" w14:textId="77777777" w:rsidR="004725ED" w:rsidRPr="004725ED" w:rsidRDefault="004725ED" w:rsidP="00B82079">
            <w:pPr>
              <w:pStyle w:val="Intabulka"/>
              <w:rPr>
                <w:rFonts w:ascii="Arial Narrow" w:hAnsi="Arial Narrow"/>
                <w:lang w:val="cs-CZ"/>
              </w:rPr>
            </w:pPr>
            <w:r w:rsidRPr="004725ED">
              <w:rPr>
                <w:rFonts w:ascii="Arial Narrow" w:hAnsi="Arial Narrow"/>
                <w:lang w:val="cs-CZ"/>
              </w:rPr>
              <w:t>Vytvoření podmínek pro rozvoj bydlení je jedním ze základních předpokladů zvýšení atraktivity Hrádku nad Nisou a důvodem pro přistěhování nových obyvatel a tedy pro žádoucí rozvoj města. Již v současné době poptávka po nových plochách pro bydlení výrazně převyšuje nabídku a město nedisponuje dostatečnými rezervami pro uspokojení této poptávky.</w:t>
            </w:r>
          </w:p>
          <w:p w14:paraId="57D4811B" w14:textId="77777777" w:rsidR="004725ED" w:rsidRPr="004725ED" w:rsidRDefault="004725ED" w:rsidP="00B82079">
            <w:pPr>
              <w:pStyle w:val="Intabulka"/>
              <w:rPr>
                <w:rFonts w:ascii="Arial Narrow" w:hAnsi="Arial Narrow"/>
                <w:lang w:val="cs-CZ"/>
              </w:rPr>
            </w:pPr>
            <w:r w:rsidRPr="004725ED">
              <w:rPr>
                <w:rFonts w:ascii="Arial Narrow" w:hAnsi="Arial Narrow"/>
                <w:lang w:val="cs-CZ"/>
              </w:rPr>
              <w:t xml:space="preserve">Pokud má být zohledněno hospodárné využití území a ochrana volné krajiny, nelze plochu vymezit v jiné poloze a na nižších třídách ochrany ZPF, protože převážná část k.ú. Hrádek nad Nisou se nachází na I. a II. třídě ochrany zemědělské půdy. V zastavěném území se nenachází dostatek prostorových rezerv, které by pro daný záměr bylo možné využít (evidované plochy brownfields jsou pro bydlení plně využity), případně je využití těchto rezerv znemožněno polohou v aktivní zóně záplavového území. Poloha mezi koridorem železnice, koridorem obchvatu města a dvěma významnými dopravními trasami (ul. Oldřichovská a ul. Liberecká) je z ploch vně zastavěného území pro další rozvoj </w:t>
            </w:r>
            <w:r w:rsidRPr="004725ED">
              <w:rPr>
                <w:rFonts w:ascii="Arial Narrow" w:hAnsi="Arial Narrow"/>
                <w:lang w:val="cs-CZ"/>
              </w:rPr>
              <w:lastRenderedPageBreak/>
              <w:t>nejvhodnější, protože se jedná o území bez vazby na volnou krajinu s dalšími rozsáhlými souvislými plochami zemědělské půdy (za koridorem silnice I/35), tedy při pokračujícím postupu výstavby obtížně obhospodařovatelné.</w:t>
            </w:r>
          </w:p>
          <w:p w14:paraId="0E69C5CC" w14:textId="77777777" w:rsidR="004725ED" w:rsidRPr="004725ED" w:rsidRDefault="004725ED" w:rsidP="00B82079">
            <w:pPr>
              <w:pStyle w:val="Intabulka"/>
              <w:rPr>
                <w:rFonts w:ascii="Arial Narrow" w:hAnsi="Arial Narrow"/>
                <w:lang w:val="cs-CZ"/>
              </w:rPr>
            </w:pPr>
            <w:r w:rsidRPr="004725ED">
              <w:rPr>
                <w:rFonts w:ascii="Arial Narrow" w:hAnsi="Arial Narrow"/>
                <w:lang w:val="cs-CZ"/>
              </w:rPr>
              <w:t xml:space="preserve">V ÚP je stanovena zásada využití plochy, resp. </w:t>
            </w:r>
            <w:r w:rsidRPr="004725ED">
              <w:rPr>
                <w:rFonts w:ascii="Arial Narrow" w:hAnsi="Arial Narrow"/>
              </w:rPr>
              <w:t>postupu nezemědělského využití zemědělské půdy</w:t>
            </w:r>
            <w:r w:rsidRPr="004725ED">
              <w:rPr>
                <w:rFonts w:ascii="Arial Narrow" w:hAnsi="Arial Narrow"/>
                <w:lang w:val="cs-CZ"/>
              </w:rPr>
              <w:t xml:space="preserve"> důsledně ve směru od zastavěného území ve směru do volné krajiny tak, aby nedocházelo ke vzniku nedostupných segmentů zemědělské půdy.</w:t>
            </w:r>
          </w:p>
        </w:tc>
      </w:tr>
      <w:tr w:rsidR="00912A28" w:rsidRPr="00461C16" w14:paraId="538727AF" w14:textId="77777777" w:rsidTr="00D95953">
        <w:trPr>
          <w:jc w:val="center"/>
        </w:trPr>
        <w:tc>
          <w:tcPr>
            <w:tcW w:w="1006" w:type="dxa"/>
            <w:shd w:val="clear" w:color="auto" w:fill="D6E3BC" w:themeFill="accent3" w:themeFillTint="66"/>
          </w:tcPr>
          <w:p w14:paraId="4AFA4E9E"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Z46</w:t>
            </w:r>
          </w:p>
        </w:tc>
        <w:tc>
          <w:tcPr>
            <w:tcW w:w="1856" w:type="dxa"/>
            <w:shd w:val="clear" w:color="auto" w:fill="D6E3BC" w:themeFill="accent3" w:themeFillTint="66"/>
          </w:tcPr>
          <w:p w14:paraId="7FA6E15B"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D6E3BC" w:themeFill="accent3" w:themeFillTint="66"/>
          </w:tcPr>
          <w:p w14:paraId="402057B8"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33D20AD5"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součástí obytného území v lokalitě Zlatá Výšina, navazuje na stabilizovanou zástavbu rodinných domů a tvoří přechod do rozsáhlé rozvojové plochy pro bydlení. Plocha uzavírá obytnou zástavbu v lokalitě Zlatá Výšina ze severu a umožňuje účelné využití stávající prostorové proluky a scelení zástavby. Využití plochy přispěje k uspokojení poptávky po nových plochách pro bydlení, ke zkvalitnění obytného komfortu a k celkovému zatraktivnění prostředí. Plocha je vymezena v souladu se </w:t>
            </w:r>
            <w:r w:rsidRPr="00AB1CF1">
              <w:rPr>
                <w:rFonts w:ascii="Arial Narrow" w:hAnsi="Arial Narrow"/>
                <w:b/>
                <w:lang w:val="cs-CZ"/>
              </w:rPr>
              <w:t>současně platným ÚP města, kde již byla řádně projednána a schválena</w:t>
            </w:r>
            <w:r w:rsidRPr="00461C16">
              <w:rPr>
                <w:rFonts w:ascii="Arial Narrow" w:hAnsi="Arial Narrow"/>
                <w:lang w:val="cs-CZ"/>
              </w:rPr>
              <w:t>.</w:t>
            </w:r>
          </w:p>
          <w:p w14:paraId="1BF650D1" w14:textId="77777777" w:rsidR="004725ED" w:rsidRPr="004725ED"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912A28" w:rsidRPr="00461C16" w14:paraId="5622F16D" w14:textId="77777777" w:rsidTr="00D95953">
        <w:trPr>
          <w:jc w:val="center"/>
        </w:trPr>
        <w:tc>
          <w:tcPr>
            <w:tcW w:w="1006" w:type="dxa"/>
            <w:shd w:val="clear" w:color="auto" w:fill="D6E3BC" w:themeFill="accent3" w:themeFillTint="66"/>
          </w:tcPr>
          <w:p w14:paraId="030A428A"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Z47</w:t>
            </w:r>
          </w:p>
        </w:tc>
        <w:tc>
          <w:tcPr>
            <w:tcW w:w="1856" w:type="dxa"/>
            <w:shd w:val="clear" w:color="auto" w:fill="D6E3BC" w:themeFill="accent3" w:themeFillTint="66"/>
          </w:tcPr>
          <w:p w14:paraId="3BA75311" w14:textId="77777777" w:rsidR="00912A28" w:rsidRPr="00461C16" w:rsidRDefault="00912A28" w:rsidP="00B82079">
            <w:pPr>
              <w:spacing w:before="40" w:line="240" w:lineRule="auto"/>
              <w:jc w:val="left"/>
              <w:rPr>
                <w:color w:val="000000"/>
                <w:sz w:val="20"/>
                <w:szCs w:val="20"/>
              </w:rPr>
            </w:pPr>
            <w:r w:rsidRPr="00461C16">
              <w:rPr>
                <w:color w:val="000000"/>
                <w:sz w:val="20"/>
                <w:szCs w:val="20"/>
              </w:rPr>
              <w:t>SM – plocha smíšené obytná - městská</w:t>
            </w:r>
          </w:p>
        </w:tc>
        <w:tc>
          <w:tcPr>
            <w:tcW w:w="1356" w:type="dxa"/>
            <w:shd w:val="clear" w:color="auto" w:fill="D6E3BC" w:themeFill="accent3" w:themeFillTint="66"/>
          </w:tcPr>
          <w:p w14:paraId="1D2A9017"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04E695D4"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za účelem doplnění smíšené obytné zástavby podél ul. Oldřichovská, která je jednou z hlavních urbanistických os města. Dotváří oboustranné obestavění komunikace, které je výhodné z hlediska urbanistického (jednoznačné vymezení uličního veřejného prostoru) i ekonomického (dostupnost sítí veřejné infrastruktury). Vymezení plochy je v souladu se </w:t>
            </w:r>
            <w:r w:rsidRPr="00AB1CF1">
              <w:rPr>
                <w:rFonts w:ascii="Arial Narrow" w:hAnsi="Arial Narrow"/>
                <w:b/>
                <w:lang w:val="cs-CZ"/>
              </w:rPr>
              <w:t>současně platným ÚP města</w:t>
            </w:r>
            <w:r w:rsidRPr="00461C16">
              <w:rPr>
                <w:rFonts w:ascii="Arial Narrow" w:hAnsi="Arial Narrow"/>
                <w:lang w:val="cs-CZ"/>
              </w:rPr>
              <w:t>, přičemž zohledňuje záměr města na výstavbu Domova seniorů v této poloze jako řešení chybějících zařízení sociální péče ve městě Hrádek nad Nisou.</w:t>
            </w:r>
          </w:p>
          <w:p w14:paraId="1D0EA6D5" w14:textId="77777777" w:rsidR="00912A28" w:rsidRPr="00461C16"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Pr>
                <w:rFonts w:ascii="Arial Narrow" w:hAnsi="Arial Narrow"/>
              </w:rPr>
              <w:t xml:space="preserve"> </w:t>
            </w:r>
            <w:r>
              <w:rPr>
                <w:rFonts w:ascii="Arial Narrow" w:hAnsi="Arial Narrow"/>
                <w:lang w:val="cs-CZ"/>
              </w:rPr>
              <w:t>v proluce</w:t>
            </w:r>
            <w:r w:rsidRPr="00D11D91">
              <w:rPr>
                <w:rFonts w:ascii="Arial Narrow" w:hAnsi="Arial Narrow"/>
              </w:rPr>
              <w:t xml:space="preserve"> a stanovením adekvátních podmínek využití včetně podmínek prostorového uspořádání.</w:t>
            </w:r>
          </w:p>
        </w:tc>
      </w:tr>
      <w:tr w:rsidR="00912A28" w:rsidRPr="00461C16" w14:paraId="5B66E30E" w14:textId="77777777" w:rsidTr="00D95953">
        <w:trPr>
          <w:jc w:val="center"/>
        </w:trPr>
        <w:tc>
          <w:tcPr>
            <w:tcW w:w="1006" w:type="dxa"/>
            <w:shd w:val="clear" w:color="auto" w:fill="D6E3BC" w:themeFill="accent3" w:themeFillTint="66"/>
          </w:tcPr>
          <w:p w14:paraId="1594B758"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Z48</w:t>
            </w:r>
          </w:p>
        </w:tc>
        <w:tc>
          <w:tcPr>
            <w:tcW w:w="1856" w:type="dxa"/>
            <w:shd w:val="clear" w:color="auto" w:fill="D6E3BC" w:themeFill="accent3" w:themeFillTint="66"/>
          </w:tcPr>
          <w:p w14:paraId="054A6F28" w14:textId="77777777" w:rsidR="00912A28" w:rsidRPr="00461C16" w:rsidRDefault="00912A28" w:rsidP="00B82079">
            <w:pPr>
              <w:spacing w:before="40" w:line="240" w:lineRule="auto"/>
              <w:jc w:val="left"/>
              <w:rPr>
                <w:color w:val="000000"/>
                <w:sz w:val="20"/>
                <w:szCs w:val="20"/>
              </w:rPr>
            </w:pPr>
            <w:r w:rsidRPr="00461C16">
              <w:rPr>
                <w:color w:val="000000"/>
                <w:sz w:val="20"/>
                <w:szCs w:val="20"/>
              </w:rPr>
              <w:t>VL – lehký průmysl</w:t>
            </w:r>
          </w:p>
        </w:tc>
        <w:tc>
          <w:tcPr>
            <w:tcW w:w="1356" w:type="dxa"/>
            <w:shd w:val="clear" w:color="auto" w:fill="D6E3BC" w:themeFill="accent3" w:themeFillTint="66"/>
          </w:tcPr>
          <w:p w14:paraId="13971040"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25571C00"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za účelem doplnění prostorové proluky podél koridoru dráhy mezi stávajícím výrobním areálem společnosti EFTEC a kompaktní zástavbou města. Funkčně propojuje plochy výroby v ul. Jižní, je tedy vhodným a logickým doplněním území. Rozvoj výroby v této ploše byl již </w:t>
            </w:r>
            <w:r w:rsidRPr="00AB1CF1">
              <w:rPr>
                <w:rFonts w:ascii="Arial Narrow" w:hAnsi="Arial Narrow"/>
                <w:b/>
                <w:lang w:val="cs-CZ"/>
              </w:rPr>
              <w:t>řádně projednán a schválen v platné ÚPD města</w:t>
            </w:r>
            <w:r w:rsidRPr="00461C16">
              <w:rPr>
                <w:rFonts w:ascii="Arial Narrow" w:hAnsi="Arial Narrow"/>
                <w:lang w:val="cs-CZ"/>
              </w:rPr>
              <w:t>.</w:t>
            </w:r>
          </w:p>
          <w:p w14:paraId="19DA010C" w14:textId="77777777" w:rsidR="00912A28" w:rsidRPr="00461C16" w:rsidRDefault="00912A28" w:rsidP="00B82079">
            <w:pPr>
              <w:pStyle w:val="Intabulka"/>
              <w:rPr>
                <w:rFonts w:ascii="Arial Narrow" w:hAnsi="Arial Narrow"/>
                <w:lang w:val="cs-CZ"/>
              </w:rPr>
            </w:pPr>
            <w:r w:rsidRPr="00F35BB0">
              <w:rPr>
                <w:rFonts w:ascii="Arial Narrow" w:hAnsi="Arial Narrow"/>
                <w:b/>
                <w:lang w:val="cs-CZ"/>
              </w:rPr>
              <w:t>Veřejný zájem</w:t>
            </w:r>
            <w:r w:rsidRPr="00F35BB0">
              <w:rPr>
                <w:rFonts w:ascii="Arial Narrow" w:hAnsi="Arial Narrow"/>
                <w:lang w:val="cs-CZ"/>
              </w:rPr>
              <w:t xml:space="preserve"> spočívá v ekonomickém rozvoji města a potenciálně celého regionu a posílení přeshraničních vazeb (Polsko, Německo), stejně jako </w:t>
            </w:r>
            <w:r>
              <w:rPr>
                <w:rFonts w:ascii="Arial Narrow" w:hAnsi="Arial Narrow"/>
                <w:lang w:val="cs-CZ"/>
              </w:rPr>
              <w:t>ve</w:t>
            </w:r>
            <w:r w:rsidRPr="00F35BB0">
              <w:rPr>
                <w:rFonts w:ascii="Arial Narrow" w:hAnsi="Arial Narrow"/>
                <w:lang w:val="cs-CZ"/>
              </w:rPr>
              <w:t> vytvoření pracovních příležitostí a snížení míry nezaměstnanosti obyvatel města a jeho okolí.</w:t>
            </w:r>
            <w:r>
              <w:rPr>
                <w:rFonts w:ascii="Arial Narrow" w:hAnsi="Arial Narrow"/>
                <w:lang w:val="cs-CZ"/>
              </w:rPr>
              <w:t xml:space="preserve"> V neposlední řadě spočívá v naplnění </w:t>
            </w:r>
            <w:r w:rsidRPr="00D11D91">
              <w:rPr>
                <w:rFonts w:ascii="Arial Narrow" w:hAnsi="Arial Narrow"/>
              </w:rPr>
              <w:t>dlouhodobě sledované a platné územně plánovací koncepce</w:t>
            </w:r>
            <w:r>
              <w:rPr>
                <w:rFonts w:ascii="Arial Narrow" w:hAnsi="Arial Narrow"/>
                <w:lang w:val="cs-CZ"/>
              </w:rPr>
              <w:t>.</w:t>
            </w:r>
          </w:p>
        </w:tc>
      </w:tr>
      <w:tr w:rsidR="00912A28" w:rsidRPr="00461C16" w14:paraId="5734C5F6" w14:textId="77777777" w:rsidTr="00D95953">
        <w:trPr>
          <w:jc w:val="center"/>
        </w:trPr>
        <w:tc>
          <w:tcPr>
            <w:tcW w:w="1006" w:type="dxa"/>
            <w:shd w:val="clear" w:color="auto" w:fill="D6E3BC" w:themeFill="accent3" w:themeFillTint="66"/>
          </w:tcPr>
          <w:p w14:paraId="152164AF"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Z49</w:t>
            </w:r>
          </w:p>
        </w:tc>
        <w:tc>
          <w:tcPr>
            <w:tcW w:w="1856" w:type="dxa"/>
            <w:shd w:val="clear" w:color="auto" w:fill="D6E3BC" w:themeFill="accent3" w:themeFillTint="66"/>
          </w:tcPr>
          <w:p w14:paraId="3D2043D3" w14:textId="77777777" w:rsidR="00912A28" w:rsidRPr="00461C16" w:rsidRDefault="00912A28" w:rsidP="00B82079">
            <w:pPr>
              <w:spacing w:before="40" w:line="240" w:lineRule="auto"/>
              <w:jc w:val="left"/>
              <w:rPr>
                <w:color w:val="000000"/>
                <w:sz w:val="20"/>
                <w:szCs w:val="20"/>
              </w:rPr>
            </w:pPr>
            <w:r w:rsidRPr="00461C16">
              <w:rPr>
                <w:color w:val="000000"/>
                <w:sz w:val="20"/>
                <w:szCs w:val="20"/>
              </w:rPr>
              <w:t>VL – lehký průmysl</w:t>
            </w:r>
          </w:p>
        </w:tc>
        <w:tc>
          <w:tcPr>
            <w:tcW w:w="1356" w:type="dxa"/>
            <w:shd w:val="clear" w:color="auto" w:fill="D6E3BC" w:themeFill="accent3" w:themeFillTint="66"/>
          </w:tcPr>
          <w:p w14:paraId="19D6BC9D"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 xml:space="preserve">Hrádek nad </w:t>
            </w:r>
            <w:r w:rsidRPr="00461C16">
              <w:rPr>
                <w:rFonts w:ascii="Arial Narrow" w:hAnsi="Arial Narrow"/>
                <w:lang w:val="cs-CZ"/>
              </w:rPr>
              <w:lastRenderedPageBreak/>
              <w:t>Nisou</w:t>
            </w:r>
          </w:p>
        </w:tc>
        <w:tc>
          <w:tcPr>
            <w:tcW w:w="5070" w:type="dxa"/>
            <w:shd w:val="clear" w:color="auto" w:fill="D6E3BC" w:themeFill="accent3" w:themeFillTint="66"/>
          </w:tcPr>
          <w:p w14:paraId="5E0E8709" w14:textId="77777777" w:rsidR="00912A28" w:rsidRDefault="00912A28" w:rsidP="00B82079">
            <w:pPr>
              <w:pStyle w:val="Intabulka"/>
              <w:rPr>
                <w:rFonts w:ascii="Arial Narrow" w:hAnsi="Arial Narrow"/>
                <w:lang w:val="cs-CZ"/>
              </w:rPr>
            </w:pPr>
            <w:r w:rsidRPr="00461C16">
              <w:rPr>
                <w:rFonts w:ascii="Arial Narrow" w:hAnsi="Arial Narrow"/>
                <w:lang w:val="cs-CZ"/>
              </w:rPr>
              <w:lastRenderedPageBreak/>
              <w:t xml:space="preserve">Plocha je vymezena za účelem doplnění prostorové proluky podél koridoru dráhy mezi stávajícím výrobním areálem společnosti </w:t>
            </w:r>
            <w:r w:rsidRPr="00461C16">
              <w:rPr>
                <w:rFonts w:ascii="Arial Narrow" w:hAnsi="Arial Narrow"/>
                <w:lang w:val="cs-CZ"/>
              </w:rPr>
              <w:lastRenderedPageBreak/>
              <w:t xml:space="preserve">EFTEC a kompaktní zástavbou města. Funkčně propojuje plochy výroby v ul. Jižní, je tedy vhodným a logickým doplněním území. Rozvoj výroby v této ploše byl již </w:t>
            </w:r>
            <w:r w:rsidRPr="00AB1CF1">
              <w:rPr>
                <w:rFonts w:ascii="Arial Narrow" w:hAnsi="Arial Narrow"/>
                <w:b/>
                <w:lang w:val="cs-CZ"/>
              </w:rPr>
              <w:t>řádně projednán a schválen v platné ÚPD města</w:t>
            </w:r>
            <w:r w:rsidRPr="00461C16">
              <w:rPr>
                <w:rFonts w:ascii="Arial Narrow" w:hAnsi="Arial Narrow"/>
                <w:lang w:val="cs-CZ"/>
              </w:rPr>
              <w:t>.</w:t>
            </w:r>
          </w:p>
          <w:p w14:paraId="6E5F405B" w14:textId="77777777" w:rsidR="00912A28" w:rsidRPr="00461C16" w:rsidRDefault="00912A28" w:rsidP="00B82079">
            <w:pPr>
              <w:pStyle w:val="Intabulka"/>
              <w:rPr>
                <w:rFonts w:ascii="Arial Narrow" w:hAnsi="Arial Narrow"/>
                <w:lang w:val="cs-CZ"/>
              </w:rPr>
            </w:pPr>
            <w:r w:rsidRPr="00F35BB0">
              <w:rPr>
                <w:rFonts w:ascii="Arial Narrow" w:hAnsi="Arial Narrow"/>
                <w:b/>
                <w:lang w:val="cs-CZ"/>
              </w:rPr>
              <w:t>Veřejný zájem</w:t>
            </w:r>
            <w:r w:rsidRPr="00F35BB0">
              <w:rPr>
                <w:rFonts w:ascii="Arial Narrow" w:hAnsi="Arial Narrow"/>
                <w:lang w:val="cs-CZ"/>
              </w:rPr>
              <w:t xml:space="preserve"> spočívá v ekonomickém rozvoji města a potenciálně celého regionu a posílení přeshraničních vazeb (Polsko, Německo), stejně jako </w:t>
            </w:r>
            <w:r>
              <w:rPr>
                <w:rFonts w:ascii="Arial Narrow" w:hAnsi="Arial Narrow"/>
                <w:lang w:val="cs-CZ"/>
              </w:rPr>
              <w:t>ve</w:t>
            </w:r>
            <w:r w:rsidRPr="00F35BB0">
              <w:rPr>
                <w:rFonts w:ascii="Arial Narrow" w:hAnsi="Arial Narrow"/>
                <w:lang w:val="cs-CZ"/>
              </w:rPr>
              <w:t> vytvoření pracovních příležitostí a snížení míry nezaměstnanosti obyvatel města a jeho okolí.</w:t>
            </w:r>
            <w:r>
              <w:rPr>
                <w:rFonts w:ascii="Arial Narrow" w:hAnsi="Arial Narrow"/>
                <w:lang w:val="cs-CZ"/>
              </w:rPr>
              <w:t xml:space="preserve"> V neposlední řadě spočívá v naplnění </w:t>
            </w:r>
            <w:r w:rsidRPr="00D11D91">
              <w:rPr>
                <w:rFonts w:ascii="Arial Narrow" w:hAnsi="Arial Narrow"/>
              </w:rPr>
              <w:t>dlouhodobě sledované a platné územně plánovací koncepce</w:t>
            </w:r>
            <w:r>
              <w:rPr>
                <w:rFonts w:ascii="Arial Narrow" w:hAnsi="Arial Narrow"/>
                <w:lang w:val="cs-CZ"/>
              </w:rPr>
              <w:t>.</w:t>
            </w:r>
          </w:p>
        </w:tc>
      </w:tr>
      <w:tr w:rsidR="00912A28" w:rsidRPr="00461C16" w14:paraId="21C12D66" w14:textId="77777777" w:rsidTr="00D95953">
        <w:trPr>
          <w:jc w:val="center"/>
        </w:trPr>
        <w:tc>
          <w:tcPr>
            <w:tcW w:w="1006" w:type="dxa"/>
            <w:shd w:val="clear" w:color="auto" w:fill="D6E3BC" w:themeFill="accent3" w:themeFillTint="66"/>
          </w:tcPr>
          <w:p w14:paraId="1E9B6595"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Z50</w:t>
            </w:r>
          </w:p>
        </w:tc>
        <w:tc>
          <w:tcPr>
            <w:tcW w:w="1856" w:type="dxa"/>
            <w:shd w:val="clear" w:color="auto" w:fill="D6E3BC" w:themeFill="accent3" w:themeFillTint="66"/>
          </w:tcPr>
          <w:p w14:paraId="4A94B83B" w14:textId="77777777" w:rsidR="00912A28" w:rsidRPr="00461C16" w:rsidRDefault="00912A28" w:rsidP="00B82079">
            <w:pPr>
              <w:spacing w:before="40" w:line="240" w:lineRule="auto"/>
              <w:jc w:val="left"/>
              <w:rPr>
                <w:color w:val="000000"/>
                <w:sz w:val="20"/>
                <w:szCs w:val="20"/>
              </w:rPr>
            </w:pPr>
            <w:r w:rsidRPr="00461C16">
              <w:rPr>
                <w:color w:val="000000"/>
                <w:sz w:val="20"/>
                <w:szCs w:val="20"/>
              </w:rPr>
              <w:t>VD – drobná a řemeslná výroba</w:t>
            </w:r>
          </w:p>
        </w:tc>
        <w:tc>
          <w:tcPr>
            <w:tcW w:w="1356" w:type="dxa"/>
            <w:shd w:val="clear" w:color="auto" w:fill="D6E3BC" w:themeFill="accent3" w:themeFillTint="66"/>
          </w:tcPr>
          <w:p w14:paraId="466C84A1"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4C28DC1F"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využívá prostorovou proluku mezi souvislou obytnou zástavbou v ul. Žitavská a průmyslovou zástavbou areálů v ul. Jižní a ul. Za Poštou. Účelně sceluje území a přispívá tak k jeho hospodárnému využívání. Navržený způsob využití reaguje na charakter navazujícího území a blízkost dráhy, stejně jako na možnost optimálního dopravního napojení na komunikační síť. Rozvoj výroby v této ploše byl již </w:t>
            </w:r>
            <w:r w:rsidRPr="00AB1CF1">
              <w:rPr>
                <w:rFonts w:ascii="Arial Narrow" w:hAnsi="Arial Narrow"/>
                <w:b/>
                <w:lang w:val="cs-CZ"/>
              </w:rPr>
              <w:t>řádně projednán a schválen v platné ÚPD města</w:t>
            </w:r>
            <w:r w:rsidRPr="00461C16">
              <w:rPr>
                <w:rFonts w:ascii="Arial Narrow" w:hAnsi="Arial Narrow"/>
                <w:lang w:val="cs-CZ"/>
              </w:rPr>
              <w:t>.</w:t>
            </w:r>
          </w:p>
          <w:p w14:paraId="56915D9D" w14:textId="77777777" w:rsidR="00912A28" w:rsidRPr="00461C16" w:rsidRDefault="00912A28" w:rsidP="00B82079">
            <w:pPr>
              <w:pStyle w:val="Intabulka"/>
              <w:rPr>
                <w:rFonts w:ascii="Arial Narrow" w:hAnsi="Arial Narrow"/>
                <w:lang w:val="cs-CZ"/>
              </w:rPr>
            </w:pPr>
            <w:r w:rsidRPr="00F35BB0">
              <w:rPr>
                <w:rFonts w:ascii="Arial Narrow" w:hAnsi="Arial Narrow"/>
                <w:b/>
                <w:lang w:val="cs-CZ"/>
              </w:rPr>
              <w:t>Veřejný zájem</w:t>
            </w:r>
            <w:r w:rsidRPr="00F35BB0">
              <w:rPr>
                <w:rFonts w:ascii="Arial Narrow" w:hAnsi="Arial Narrow"/>
                <w:lang w:val="cs-CZ"/>
              </w:rPr>
              <w:t xml:space="preserve"> spočívá v ekonomickém rozvoji města a potenciálně celého regionu a </w:t>
            </w:r>
            <w:r>
              <w:rPr>
                <w:rFonts w:ascii="Arial Narrow" w:hAnsi="Arial Narrow"/>
                <w:lang w:val="cs-CZ"/>
              </w:rPr>
              <w:t>ve</w:t>
            </w:r>
            <w:r w:rsidRPr="00F35BB0">
              <w:rPr>
                <w:rFonts w:ascii="Arial Narrow" w:hAnsi="Arial Narrow"/>
                <w:lang w:val="cs-CZ"/>
              </w:rPr>
              <w:t> vytvoření pracovních příležitostí a snížení míry nezaměstnanosti obyvatel města a jeho okolí.</w:t>
            </w:r>
            <w:r>
              <w:rPr>
                <w:rFonts w:ascii="Arial Narrow" w:hAnsi="Arial Narrow"/>
                <w:lang w:val="cs-CZ"/>
              </w:rPr>
              <w:t xml:space="preserve"> V neposlední řadě spočívá v naplnění </w:t>
            </w:r>
            <w:r w:rsidRPr="00D11D91">
              <w:rPr>
                <w:rFonts w:ascii="Arial Narrow" w:hAnsi="Arial Narrow"/>
              </w:rPr>
              <w:t>dlouhodobě sledované a platné územně plánovací koncepce</w:t>
            </w:r>
            <w:r>
              <w:rPr>
                <w:rFonts w:ascii="Arial Narrow" w:hAnsi="Arial Narrow"/>
                <w:lang w:val="cs-CZ"/>
              </w:rPr>
              <w:t>.</w:t>
            </w:r>
          </w:p>
        </w:tc>
      </w:tr>
      <w:tr w:rsidR="00912A28" w:rsidRPr="00461C16" w14:paraId="43E56661" w14:textId="77777777" w:rsidTr="00D95953">
        <w:trPr>
          <w:jc w:val="center"/>
        </w:trPr>
        <w:tc>
          <w:tcPr>
            <w:tcW w:w="1006" w:type="dxa"/>
            <w:shd w:val="clear" w:color="auto" w:fill="D6E3BC" w:themeFill="accent3" w:themeFillTint="66"/>
          </w:tcPr>
          <w:p w14:paraId="0AF761F9"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Z51</w:t>
            </w:r>
          </w:p>
        </w:tc>
        <w:tc>
          <w:tcPr>
            <w:tcW w:w="1856" w:type="dxa"/>
            <w:shd w:val="clear" w:color="auto" w:fill="D6E3BC" w:themeFill="accent3" w:themeFillTint="66"/>
          </w:tcPr>
          <w:p w14:paraId="4F763E9C" w14:textId="77777777" w:rsidR="00912A28" w:rsidRPr="00461C16" w:rsidRDefault="00912A28" w:rsidP="00B82079">
            <w:pPr>
              <w:spacing w:before="40" w:line="240" w:lineRule="auto"/>
              <w:jc w:val="left"/>
              <w:rPr>
                <w:color w:val="000000"/>
                <w:sz w:val="20"/>
                <w:szCs w:val="20"/>
              </w:rPr>
            </w:pPr>
            <w:r w:rsidRPr="00461C16">
              <w:rPr>
                <w:color w:val="000000"/>
                <w:sz w:val="20"/>
                <w:szCs w:val="20"/>
              </w:rPr>
              <w:t>SM – plocha smíšené obytná - městská</w:t>
            </w:r>
          </w:p>
        </w:tc>
        <w:tc>
          <w:tcPr>
            <w:tcW w:w="1356" w:type="dxa"/>
            <w:shd w:val="clear" w:color="auto" w:fill="D6E3BC" w:themeFill="accent3" w:themeFillTint="66"/>
          </w:tcPr>
          <w:p w14:paraId="064CC682"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4A6828EA"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navazuje na smíšenou obytnou zástavbu v ul. Žitavská a doplňuje ji až ke stávající veřejné komunikaci, která spojuje ul. Žitavská a ul. Větrná. Přirozeně dotváří uliční hranu podél jedné z nejvýznamnějších urbanistických os města a posiluje tak její kompoziční význam. Při zastavění navazujícího území východně by zde vznikla neopodstatněná proluka. Využití toto plochy pro bydlení bylo již </w:t>
            </w:r>
            <w:r w:rsidRPr="00AB1CF1">
              <w:rPr>
                <w:rFonts w:ascii="Arial Narrow" w:hAnsi="Arial Narrow"/>
                <w:b/>
                <w:lang w:val="cs-CZ"/>
              </w:rPr>
              <w:t>řádně projednáno a schváleno v platné ÚPD města</w:t>
            </w:r>
            <w:r w:rsidRPr="00461C16">
              <w:rPr>
                <w:rFonts w:ascii="Arial Narrow" w:hAnsi="Arial Narrow"/>
                <w:lang w:val="cs-CZ"/>
              </w:rPr>
              <w:t>.</w:t>
            </w:r>
          </w:p>
          <w:p w14:paraId="18F681FC" w14:textId="77777777" w:rsidR="00912A28" w:rsidRPr="00461C16"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Pr>
                <w:rFonts w:ascii="Arial Narrow" w:hAnsi="Arial Narrow"/>
              </w:rPr>
              <w:t xml:space="preserve"> v</w:t>
            </w:r>
            <w:r>
              <w:rPr>
                <w:rFonts w:ascii="Arial Narrow" w:hAnsi="Arial Narrow"/>
                <w:lang w:val="cs-CZ"/>
              </w:rPr>
              <w:t>e vazbě na</w:t>
            </w:r>
            <w:r>
              <w:rPr>
                <w:rFonts w:ascii="Arial Narrow" w:hAnsi="Arial Narrow"/>
              </w:rPr>
              <w:t xml:space="preserve"> zastavěné</w:t>
            </w:r>
            <w:r w:rsidRPr="00D11D91">
              <w:rPr>
                <w:rFonts w:ascii="Arial Narrow" w:hAnsi="Arial Narrow"/>
              </w:rPr>
              <w:t xml:space="preserve"> území a stanovením adekvátních podmínek využití včetně podmínek prostorového uspořádání.</w:t>
            </w:r>
          </w:p>
        </w:tc>
      </w:tr>
      <w:tr w:rsidR="00912A28" w:rsidRPr="00461C16" w14:paraId="5B7702AC" w14:textId="77777777" w:rsidTr="00D95953">
        <w:trPr>
          <w:jc w:val="center"/>
        </w:trPr>
        <w:tc>
          <w:tcPr>
            <w:tcW w:w="1006" w:type="dxa"/>
            <w:shd w:val="clear" w:color="auto" w:fill="FBF8B5"/>
          </w:tcPr>
          <w:p w14:paraId="52957C2A"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Z52</w:t>
            </w:r>
          </w:p>
        </w:tc>
        <w:tc>
          <w:tcPr>
            <w:tcW w:w="1856" w:type="dxa"/>
            <w:shd w:val="clear" w:color="auto" w:fill="FBF8B5"/>
          </w:tcPr>
          <w:p w14:paraId="4BC94ACC"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FBF8B5"/>
          </w:tcPr>
          <w:p w14:paraId="04475166"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FBF8B5"/>
          </w:tcPr>
          <w:p w14:paraId="3F0A6F00" w14:textId="77777777" w:rsidR="00912A28" w:rsidRDefault="00912A28" w:rsidP="00B82079">
            <w:pPr>
              <w:pStyle w:val="Intabulka"/>
              <w:rPr>
                <w:rFonts w:ascii="Arial Narrow" w:hAnsi="Arial Narrow"/>
                <w:lang w:val="cs-CZ"/>
              </w:rPr>
            </w:pPr>
            <w:r w:rsidRPr="00461C16">
              <w:rPr>
                <w:rFonts w:ascii="Arial Narrow" w:hAnsi="Arial Narrow"/>
                <w:lang w:val="cs-CZ"/>
              </w:rPr>
              <w:t>Plocha je vymezena za účelem umožnění rozvoje bydlení v západní části sídla Hrádek nad Nisou. V návaznosti na plochu P08 využívá prostorovou proluku mezi stabilizovanou zástavbou a veřejnou komunikací v prodloužení ul. Lidická. Z urbanistického hlediska je tato poloha velmi atraktivní, nachází se na okraji zástavby a otvírá se do volné krajiny s rekreačním areálem Kristýna. Využití plochy přispěje k uspokojení poptávky po nových plochách pro bydlení na území města a k celkovému zvýšení kvality a komfortu bydlení. Plocha je vymezena v souladu s </w:t>
            </w:r>
            <w:r w:rsidRPr="00AB1CF1">
              <w:rPr>
                <w:rFonts w:ascii="Arial Narrow" w:hAnsi="Arial Narrow"/>
                <w:b/>
                <w:shd w:val="clear" w:color="auto" w:fill="FBF8B5"/>
                <w:lang w:val="cs-CZ"/>
              </w:rPr>
              <w:t>požadavkem schváleného Zadání ÚP</w:t>
            </w:r>
            <w:r w:rsidRPr="00461C16">
              <w:rPr>
                <w:rFonts w:ascii="Arial Narrow" w:hAnsi="Arial Narrow"/>
                <w:lang w:val="cs-CZ"/>
              </w:rPr>
              <w:t>.</w:t>
            </w:r>
          </w:p>
          <w:p w14:paraId="0E512EA4" w14:textId="77777777" w:rsidR="00912A28" w:rsidRPr="00461C16"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 </w:t>
            </w:r>
            <w:r>
              <w:rPr>
                <w:rFonts w:ascii="Arial Narrow" w:hAnsi="Arial Narrow"/>
                <w:lang w:val="cs-CZ"/>
              </w:rPr>
              <w:t>přičemž kvalita</w:t>
            </w:r>
            <w:r w:rsidRPr="00D11D91">
              <w:rPr>
                <w:rFonts w:ascii="Arial Narrow" w:hAnsi="Arial Narrow"/>
              </w:rPr>
              <w:t xml:space="preserve"> prostředí je zajištěna lokalizací ploch</w:t>
            </w:r>
            <w:r>
              <w:rPr>
                <w:rFonts w:ascii="Arial Narrow" w:hAnsi="Arial Narrow"/>
                <w:lang w:val="cs-CZ"/>
              </w:rPr>
              <w:t>y</w:t>
            </w:r>
            <w:r w:rsidRPr="00D11D91">
              <w:rPr>
                <w:rFonts w:ascii="Arial Narrow" w:hAnsi="Arial Narrow"/>
              </w:rPr>
              <w:t xml:space="preserve"> </w:t>
            </w:r>
            <w:r>
              <w:rPr>
                <w:rFonts w:ascii="Arial Narrow" w:hAnsi="Arial Narrow"/>
                <w:lang w:val="cs-CZ"/>
              </w:rPr>
              <w:t>ve vazbě na</w:t>
            </w:r>
            <w:r w:rsidRPr="00D11D91">
              <w:rPr>
                <w:rFonts w:ascii="Arial Narrow" w:hAnsi="Arial Narrow"/>
              </w:rPr>
              <w:t xml:space="preserve"> zastavěné území a stanovením adekvátních podmínek využití včetně podmínek prostorového uspořádání.</w:t>
            </w:r>
          </w:p>
        </w:tc>
      </w:tr>
      <w:tr w:rsidR="00912A28" w:rsidRPr="00461C16" w14:paraId="77676A32" w14:textId="77777777" w:rsidTr="00D95953">
        <w:trPr>
          <w:jc w:val="center"/>
        </w:trPr>
        <w:tc>
          <w:tcPr>
            <w:tcW w:w="1006" w:type="dxa"/>
            <w:shd w:val="clear" w:color="auto" w:fill="D6E3BC" w:themeFill="accent3" w:themeFillTint="66"/>
          </w:tcPr>
          <w:p w14:paraId="7FAE6A0E"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Z54</w:t>
            </w:r>
          </w:p>
        </w:tc>
        <w:tc>
          <w:tcPr>
            <w:tcW w:w="1856" w:type="dxa"/>
            <w:shd w:val="clear" w:color="auto" w:fill="D6E3BC" w:themeFill="accent3" w:themeFillTint="66"/>
          </w:tcPr>
          <w:p w14:paraId="612798AA"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D6E3BC" w:themeFill="accent3" w:themeFillTint="66"/>
          </w:tcPr>
          <w:p w14:paraId="47189C15"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1628A1CE"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v prostorové proluce mezi zahrádkovou osadou, stávající obytnou zástavbou v ul. Polní a koridorem dráhy. </w:t>
            </w:r>
            <w:r w:rsidRPr="006F038D">
              <w:rPr>
                <w:rFonts w:ascii="Arial Narrow" w:hAnsi="Arial Narrow"/>
                <w:b/>
                <w:lang w:val="cs-CZ"/>
              </w:rPr>
              <w:t xml:space="preserve">Využití proluky směřuje k účelnému a hospodárnému </w:t>
            </w:r>
            <w:r w:rsidRPr="006F038D">
              <w:rPr>
                <w:rFonts w:ascii="Arial Narrow" w:hAnsi="Arial Narrow"/>
                <w:b/>
                <w:lang w:val="cs-CZ"/>
              </w:rPr>
              <w:lastRenderedPageBreak/>
              <w:t>využívání území, k posílení kompaktnosti území a ke scelení zástavby.</w:t>
            </w:r>
            <w:r w:rsidRPr="00461C16">
              <w:rPr>
                <w:rFonts w:ascii="Arial Narrow" w:hAnsi="Arial Narrow"/>
                <w:lang w:val="cs-CZ"/>
              </w:rPr>
              <w:t xml:space="preserve"> Plocha umožňuje rozšíření stabilizované zástavby rodinných domů podél ul. Polní a dotvoření jižní hrany zástavby, přispívá k uspokojení poptávky po nových plochách pro bydlení a zároveň ke zvýšení kvality a komfortu bydlení ve městě. Plocha je vymezena v souladu se </w:t>
            </w:r>
            <w:r w:rsidRPr="00AB1CF1">
              <w:rPr>
                <w:rFonts w:ascii="Arial Narrow" w:hAnsi="Arial Narrow"/>
                <w:b/>
                <w:lang w:val="cs-CZ"/>
              </w:rPr>
              <w:t>současně platným ÚP města, kde již byla řádně projednána a schválena</w:t>
            </w:r>
            <w:r w:rsidRPr="00461C16">
              <w:rPr>
                <w:rFonts w:ascii="Arial Narrow" w:hAnsi="Arial Narrow"/>
                <w:lang w:val="cs-CZ"/>
              </w:rPr>
              <w:t xml:space="preserve">. </w:t>
            </w:r>
            <w:r>
              <w:rPr>
                <w:rFonts w:ascii="Arial Narrow" w:hAnsi="Arial Narrow"/>
                <w:lang w:val="cs-CZ"/>
              </w:rPr>
              <w:t xml:space="preserve">V části plochy, v rozsahu pozemku p.p.č. 1288/9, k.ú. Hrádek nad Nisou, </w:t>
            </w:r>
            <w:r w:rsidRPr="00684081">
              <w:rPr>
                <w:rFonts w:ascii="Arial Narrow" w:hAnsi="Arial Narrow"/>
                <w:b/>
                <w:lang w:val="cs-CZ"/>
              </w:rPr>
              <w:t>došlo k realizaci záměru</w:t>
            </w:r>
            <w:r>
              <w:rPr>
                <w:rFonts w:ascii="Arial Narrow" w:hAnsi="Arial Narrow"/>
                <w:lang w:val="cs-CZ"/>
              </w:rPr>
              <w:t xml:space="preserve"> (výstavbě RD), potvrzené kolaudačním souhlasem (vydán Městským úřadem Hrádek nad Nisou, odbor stavební a životního prostředí dne 7.3.2018). Dotčená část plochy bude v navazující etapě pořizování ÚP (úprava návrhu ÚP pro veřejné projednání) </w:t>
            </w:r>
            <w:r w:rsidRPr="009F667E">
              <w:rPr>
                <w:rFonts w:ascii="Arial Narrow" w:hAnsi="Arial Narrow"/>
                <w:b/>
                <w:lang w:val="cs-CZ"/>
              </w:rPr>
              <w:t>vymezena jako stabilizovaná.</w:t>
            </w:r>
          </w:p>
          <w:p w14:paraId="2FD41CF3" w14:textId="77777777" w:rsidR="00912A28" w:rsidRPr="00461C16"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912A28" w:rsidRPr="00461C16" w14:paraId="5C96735F" w14:textId="77777777" w:rsidTr="00D95953">
        <w:trPr>
          <w:jc w:val="center"/>
        </w:trPr>
        <w:tc>
          <w:tcPr>
            <w:tcW w:w="1006" w:type="dxa"/>
            <w:shd w:val="clear" w:color="auto" w:fill="D6E3BC" w:themeFill="accent3" w:themeFillTint="66"/>
          </w:tcPr>
          <w:p w14:paraId="5561EAC9"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Z55</w:t>
            </w:r>
          </w:p>
        </w:tc>
        <w:tc>
          <w:tcPr>
            <w:tcW w:w="1856" w:type="dxa"/>
            <w:shd w:val="clear" w:color="auto" w:fill="D6E3BC" w:themeFill="accent3" w:themeFillTint="66"/>
          </w:tcPr>
          <w:p w14:paraId="28790D25"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D6E3BC" w:themeFill="accent3" w:themeFillTint="66"/>
          </w:tcPr>
          <w:p w14:paraId="46F9FC0A"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7F46DCED"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 xml:space="preserve">Plocha je vymezena v prostorové proluce mezi zahrádkovou osadou, stávající obytnou zástavbou v ul. Polní a koridorem dráhy. </w:t>
            </w:r>
            <w:r w:rsidRPr="006F038D">
              <w:rPr>
                <w:rFonts w:ascii="Arial Narrow" w:hAnsi="Arial Narrow"/>
                <w:b/>
                <w:lang w:val="cs-CZ"/>
              </w:rPr>
              <w:t>Využití proluky směřuje k účelnému a hospodárnému využívání území, k posílení kompaktnosti území a ke scelení zástavby.</w:t>
            </w:r>
            <w:r w:rsidRPr="00461C16">
              <w:rPr>
                <w:rFonts w:ascii="Arial Narrow" w:hAnsi="Arial Narrow"/>
                <w:lang w:val="cs-CZ"/>
              </w:rPr>
              <w:t xml:space="preserve"> Plocha umožňuje rozšíření stabilizované zástavby rodinných domů podél ul. Polní a dotvoření jižní hrany zástavby, přispívá k uspokojení poptávky po nových plochách pro bydlení a zároveň ke zvýšení kvality a komfortu bydlení ve městě. Plocha je vymezena v souladu se </w:t>
            </w:r>
            <w:r w:rsidRPr="00AB1CF1">
              <w:rPr>
                <w:rFonts w:ascii="Arial Narrow" w:hAnsi="Arial Narrow"/>
                <w:b/>
                <w:lang w:val="cs-CZ"/>
              </w:rPr>
              <w:t>současně platným ÚP města, kde již byla řádně projednána a schválena</w:t>
            </w:r>
            <w:r w:rsidRPr="00461C16">
              <w:rPr>
                <w:rFonts w:ascii="Arial Narrow" w:hAnsi="Arial Narrow"/>
                <w:lang w:val="cs-CZ"/>
              </w:rPr>
              <w:t>. Plocha zabírá pouze půdu nižší (V.) třídy ochrany.</w:t>
            </w:r>
          </w:p>
        </w:tc>
      </w:tr>
      <w:tr w:rsidR="00912A28" w:rsidRPr="00461C16" w14:paraId="5C165619" w14:textId="77777777" w:rsidTr="00D95953">
        <w:trPr>
          <w:jc w:val="center"/>
        </w:trPr>
        <w:tc>
          <w:tcPr>
            <w:tcW w:w="1006" w:type="dxa"/>
            <w:shd w:val="clear" w:color="auto" w:fill="D6E3BC" w:themeFill="accent3" w:themeFillTint="66"/>
          </w:tcPr>
          <w:p w14:paraId="12D4E658"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Z56</w:t>
            </w:r>
          </w:p>
        </w:tc>
        <w:tc>
          <w:tcPr>
            <w:tcW w:w="1856" w:type="dxa"/>
            <w:shd w:val="clear" w:color="auto" w:fill="D6E3BC" w:themeFill="accent3" w:themeFillTint="66"/>
          </w:tcPr>
          <w:p w14:paraId="0C9587DA" w14:textId="77777777" w:rsidR="00912A28" w:rsidRPr="00461C16" w:rsidRDefault="00912A28" w:rsidP="00B82079">
            <w:pPr>
              <w:spacing w:before="40" w:line="240" w:lineRule="auto"/>
              <w:jc w:val="left"/>
              <w:rPr>
                <w:color w:val="000000"/>
                <w:sz w:val="20"/>
                <w:szCs w:val="20"/>
              </w:rPr>
            </w:pPr>
            <w:r w:rsidRPr="00461C16">
              <w:rPr>
                <w:color w:val="000000"/>
                <w:sz w:val="20"/>
                <w:szCs w:val="20"/>
              </w:rPr>
              <w:t>RZ – rekreace v zahrádkových osadách</w:t>
            </w:r>
          </w:p>
        </w:tc>
        <w:tc>
          <w:tcPr>
            <w:tcW w:w="1356" w:type="dxa"/>
            <w:shd w:val="clear" w:color="auto" w:fill="D6E3BC" w:themeFill="accent3" w:themeFillTint="66"/>
          </w:tcPr>
          <w:p w14:paraId="5F896D6A"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D6E3BC" w:themeFill="accent3" w:themeFillTint="66"/>
          </w:tcPr>
          <w:p w14:paraId="363776B1"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ve vazbě na stávající zahrádkovou osadu v ul. Lidická nad výrobním areálem (bývalá Praga). Umožňuje rozvoj zahrádkářských aktivit jako částečnou kompenzaci rušených zahrádkových osad v jiné části města blíže centru, kde je navržena přestavba na jiné využití. Vymezení plochy z části respektuje stávající způsob využití a legalizuje ho. Zároveň vychází ze </w:t>
            </w:r>
            <w:r w:rsidRPr="00AB1CF1">
              <w:rPr>
                <w:rFonts w:ascii="Arial Narrow" w:hAnsi="Arial Narrow"/>
                <w:b/>
                <w:lang w:val="cs-CZ"/>
              </w:rPr>
              <w:t xml:space="preserve">současně platného ÚP města, kde je vymezena jako plocha stabilizovaná, </w:t>
            </w:r>
            <w:r>
              <w:rPr>
                <w:rFonts w:ascii="Arial Narrow" w:hAnsi="Arial Narrow"/>
                <w:b/>
                <w:lang w:val="cs-CZ"/>
              </w:rPr>
              <w:t xml:space="preserve">v </w:t>
            </w:r>
            <w:r w:rsidRPr="00AB1CF1">
              <w:rPr>
                <w:rFonts w:ascii="Arial Narrow" w:hAnsi="Arial Narrow"/>
                <w:b/>
                <w:lang w:val="cs-CZ"/>
              </w:rPr>
              <w:t xml:space="preserve">souladu s §58 stavebního zákona </w:t>
            </w:r>
            <w:r>
              <w:rPr>
                <w:rFonts w:ascii="Arial Narrow" w:hAnsi="Arial Narrow"/>
                <w:b/>
                <w:lang w:val="cs-CZ"/>
              </w:rPr>
              <w:t xml:space="preserve">ji však v novém ÚP Hrádek nad Nisou </w:t>
            </w:r>
            <w:r w:rsidRPr="00AB1CF1">
              <w:rPr>
                <w:rFonts w:ascii="Arial Narrow" w:hAnsi="Arial Narrow"/>
                <w:b/>
                <w:lang w:val="cs-CZ"/>
              </w:rPr>
              <w:t>nelze zahrnout do zastavěného území</w:t>
            </w:r>
            <w:r w:rsidRPr="00461C16">
              <w:rPr>
                <w:rFonts w:ascii="Arial Narrow" w:hAnsi="Arial Narrow"/>
                <w:lang w:val="cs-CZ"/>
              </w:rPr>
              <w:t>.</w:t>
            </w:r>
          </w:p>
          <w:p w14:paraId="08D12F75" w14:textId="77777777" w:rsidR="00912A28" w:rsidRPr="00461C16"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w:t>
            </w:r>
            <w:r>
              <w:rPr>
                <w:rFonts w:ascii="Arial Narrow" w:hAnsi="Arial Narrow"/>
                <w:lang w:val="cs-CZ"/>
              </w:rPr>
              <w:t xml:space="preserve">v </w:t>
            </w:r>
            <w:r w:rsidRPr="00D11D91">
              <w:rPr>
                <w:rFonts w:ascii="Arial Narrow" w:hAnsi="Arial Narrow"/>
              </w:rPr>
              <w:t>dotvoření a naplnění dlouhodobě sledované a platné územně plánovací koncepce</w:t>
            </w:r>
            <w:r>
              <w:rPr>
                <w:rFonts w:ascii="Arial Narrow" w:hAnsi="Arial Narrow"/>
                <w:lang w:val="cs-CZ"/>
              </w:rPr>
              <w:t xml:space="preserve">, která tuto plochu i navazující území předurčuje pro zahrádkovou rekreaci. </w:t>
            </w:r>
          </w:p>
        </w:tc>
      </w:tr>
      <w:tr w:rsidR="00912A28" w:rsidRPr="00461C16" w14:paraId="0346FD6F" w14:textId="77777777" w:rsidTr="00D95953">
        <w:trPr>
          <w:jc w:val="center"/>
        </w:trPr>
        <w:tc>
          <w:tcPr>
            <w:tcW w:w="1006" w:type="dxa"/>
            <w:shd w:val="clear" w:color="auto" w:fill="auto"/>
          </w:tcPr>
          <w:p w14:paraId="5FF1D891"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Z57</w:t>
            </w:r>
          </w:p>
        </w:tc>
        <w:tc>
          <w:tcPr>
            <w:tcW w:w="1856" w:type="dxa"/>
            <w:shd w:val="clear" w:color="auto" w:fill="auto"/>
          </w:tcPr>
          <w:p w14:paraId="5C0E2A8F"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tcPr>
          <w:p w14:paraId="2683A1C4"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Loučná</w:t>
            </w:r>
          </w:p>
        </w:tc>
        <w:tc>
          <w:tcPr>
            <w:tcW w:w="5070" w:type="dxa"/>
            <w:shd w:val="clear" w:color="auto" w:fill="auto"/>
          </w:tcPr>
          <w:p w14:paraId="22E1B2AC"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na jižním okraji zástavby Loučné, v prostorové proluce podél ul. Hartavská, která je hlavní dopravní a urbanistickou osou sídla.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a k posílení významu této osy. Vymezení plochy umožňuje rozvoj přilehlé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w:t>
            </w:r>
            <w:r w:rsidRPr="00461C16">
              <w:rPr>
                <w:rFonts w:ascii="Arial Narrow" w:hAnsi="Arial Narrow"/>
                <w:lang w:val="cs-CZ"/>
              </w:rPr>
              <w:lastRenderedPageBreak/>
              <w:t xml:space="preserve">komfortu bydlení v sídle Loučná. </w:t>
            </w:r>
          </w:p>
          <w:p w14:paraId="47903B7D" w14:textId="77777777" w:rsidR="00912A28" w:rsidRPr="00461C16"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Pr>
                <w:rFonts w:ascii="Arial Narrow" w:hAnsi="Arial Narrow"/>
                <w:lang w:val="cs-CZ"/>
              </w:rPr>
              <w:t>. Sledovaná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912A28" w:rsidRPr="00461C16" w14:paraId="1A9A52B1" w14:textId="77777777" w:rsidTr="00D95953">
        <w:trPr>
          <w:jc w:val="center"/>
        </w:trPr>
        <w:tc>
          <w:tcPr>
            <w:tcW w:w="1006" w:type="dxa"/>
            <w:shd w:val="clear" w:color="auto" w:fill="B6DDE8" w:themeFill="accent5" w:themeFillTint="66"/>
          </w:tcPr>
          <w:p w14:paraId="557548B1"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Z58</w:t>
            </w:r>
          </w:p>
        </w:tc>
        <w:tc>
          <w:tcPr>
            <w:tcW w:w="1856" w:type="dxa"/>
            <w:shd w:val="clear" w:color="auto" w:fill="B6DDE8" w:themeFill="accent5" w:themeFillTint="66"/>
          </w:tcPr>
          <w:p w14:paraId="0F727F14" w14:textId="77777777" w:rsidR="007B0B07" w:rsidRDefault="007B0B07" w:rsidP="00B82079">
            <w:pPr>
              <w:spacing w:before="40" w:line="240" w:lineRule="auto"/>
              <w:jc w:val="left"/>
              <w:rPr>
                <w:color w:val="000000"/>
                <w:sz w:val="20"/>
                <w:szCs w:val="20"/>
                <w:highlight w:val="yellow"/>
              </w:rPr>
            </w:pPr>
            <w:r>
              <w:rPr>
                <w:color w:val="000000"/>
                <w:sz w:val="20"/>
                <w:szCs w:val="20"/>
              </w:rPr>
              <w:t>ZV – veřejné prostranství – veřejná zeleň</w:t>
            </w:r>
          </w:p>
          <w:p w14:paraId="3681E567" w14:textId="77777777" w:rsidR="00912A28" w:rsidRPr="00461C16" w:rsidRDefault="00912A28" w:rsidP="00B82079">
            <w:pPr>
              <w:spacing w:before="40" w:line="240" w:lineRule="auto"/>
              <w:jc w:val="left"/>
              <w:rPr>
                <w:sz w:val="20"/>
                <w:szCs w:val="20"/>
              </w:rPr>
            </w:pPr>
          </w:p>
        </w:tc>
        <w:tc>
          <w:tcPr>
            <w:tcW w:w="1356" w:type="dxa"/>
            <w:shd w:val="clear" w:color="auto" w:fill="B6DDE8" w:themeFill="accent5" w:themeFillTint="66"/>
          </w:tcPr>
          <w:p w14:paraId="304A70AB"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Loučná</w:t>
            </w:r>
          </w:p>
        </w:tc>
        <w:tc>
          <w:tcPr>
            <w:tcW w:w="5070" w:type="dxa"/>
            <w:shd w:val="clear" w:color="auto" w:fill="B6DDE8" w:themeFill="accent5" w:themeFillTint="66"/>
          </w:tcPr>
          <w:p w14:paraId="32D11834"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Plocha je vymezena za účelem založení rekreačního lesoparku, v </w:t>
            </w:r>
            <w:r w:rsidRPr="00BE1F65">
              <w:rPr>
                <w:rFonts w:ascii="Arial Narrow" w:hAnsi="Arial Narrow"/>
                <w:b/>
                <w:lang w:val="cs-CZ"/>
              </w:rPr>
              <w:t>souladu se zpracovanou studií</w:t>
            </w:r>
            <w:r w:rsidRPr="00461C16">
              <w:rPr>
                <w:rFonts w:ascii="Arial Narrow" w:hAnsi="Arial Narrow"/>
                <w:lang w:val="cs-CZ"/>
              </w:rPr>
              <w:t xml:space="preserve"> (Atelier zahradní a krajinářské architektury, 08/2014). Plocha využívá proluku v zástavbě, která je z důvodu nepříznivých hydrogeologických poměrů nevhodná k </w:t>
            </w:r>
            <w:r w:rsidRPr="00BE1F65">
              <w:rPr>
                <w:rFonts w:ascii="Arial Narrow" w:hAnsi="Arial Narrow"/>
                <w:b/>
                <w:lang w:val="cs-CZ"/>
              </w:rPr>
              <w:t>zastavění, jak předpokládá současně platný ÚP města</w:t>
            </w:r>
            <w:r w:rsidRPr="00461C16">
              <w:rPr>
                <w:rFonts w:ascii="Arial Narrow" w:hAnsi="Arial Narrow"/>
                <w:lang w:val="cs-CZ"/>
              </w:rPr>
              <w:t>. Realizace lesoparku zvýší atraktivitu okolního území, zvýší pestrost krajiny a poskytne možnosti pro každodenní rekreaci obyvatel.</w:t>
            </w:r>
          </w:p>
        </w:tc>
      </w:tr>
      <w:tr w:rsidR="00912A28" w:rsidRPr="00461C16" w14:paraId="748B51C1" w14:textId="77777777" w:rsidTr="00D95953">
        <w:trPr>
          <w:jc w:val="center"/>
        </w:trPr>
        <w:tc>
          <w:tcPr>
            <w:tcW w:w="1006" w:type="dxa"/>
            <w:shd w:val="clear" w:color="auto" w:fill="auto"/>
          </w:tcPr>
          <w:p w14:paraId="2D6314F0"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Z59</w:t>
            </w:r>
          </w:p>
        </w:tc>
        <w:tc>
          <w:tcPr>
            <w:tcW w:w="1856" w:type="dxa"/>
            <w:shd w:val="clear" w:color="auto" w:fill="auto"/>
          </w:tcPr>
          <w:p w14:paraId="4D26FD59"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BV – bydlení venkovské</w:t>
            </w:r>
          </w:p>
        </w:tc>
        <w:tc>
          <w:tcPr>
            <w:tcW w:w="1356" w:type="dxa"/>
          </w:tcPr>
          <w:p w14:paraId="6BD22814"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Loučná</w:t>
            </w:r>
          </w:p>
        </w:tc>
        <w:tc>
          <w:tcPr>
            <w:tcW w:w="5070" w:type="dxa"/>
            <w:shd w:val="clear" w:color="auto" w:fill="auto"/>
          </w:tcPr>
          <w:p w14:paraId="785884EB"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na jižním okraji zástavby Loučné, v prostorové proluce podél ul. Lipová, která je jednou z hlavních dopravních os sídla.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 </w:t>
            </w:r>
          </w:p>
          <w:p w14:paraId="76F01CBC" w14:textId="77777777" w:rsidR="00912A28" w:rsidRPr="00461C16" w:rsidRDefault="00912A28"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Pr>
                <w:rFonts w:ascii="Arial Narrow" w:hAnsi="Arial Narrow"/>
                <w:lang w:val="cs-CZ"/>
              </w:rPr>
              <w:t>. Sledovaná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912A28" w:rsidRPr="00461C16" w14:paraId="4992391F" w14:textId="77777777" w:rsidTr="00D95953">
        <w:trPr>
          <w:jc w:val="center"/>
        </w:trPr>
        <w:tc>
          <w:tcPr>
            <w:tcW w:w="1006" w:type="dxa"/>
            <w:shd w:val="clear" w:color="auto" w:fill="FBF8B5"/>
          </w:tcPr>
          <w:p w14:paraId="1FCC43E3"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Z60</w:t>
            </w:r>
          </w:p>
        </w:tc>
        <w:tc>
          <w:tcPr>
            <w:tcW w:w="1856" w:type="dxa"/>
            <w:shd w:val="clear" w:color="auto" w:fill="FBF8B5"/>
          </w:tcPr>
          <w:p w14:paraId="7A552F28"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FBF8B5"/>
          </w:tcPr>
          <w:p w14:paraId="30FF0D9D"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Loučná</w:t>
            </w:r>
          </w:p>
        </w:tc>
        <w:tc>
          <w:tcPr>
            <w:tcW w:w="5070" w:type="dxa"/>
            <w:shd w:val="clear" w:color="auto" w:fill="FBF8B5"/>
          </w:tcPr>
          <w:p w14:paraId="43BA1215"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na jižním okraji Loučné, v prostorové proluce v zástavbě podél ul. Pytlácká.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Vymezení plochy umožňuje rozvoj přilehlé venkovské obytné zástavby, spolu s přilehlou zastavitelnou plochou Z61 zajišťuje oboustranné obestavění komunikace, které je výhodné z urbanistického i ekonomického hlediska (jednoznačné vymezení uličního prostoru, napojení na sítě veřejné infrastruktury) a zároveň přispívá ke scelení fragmentované zástavby do kompaktního útvaru. Realizace záměru přispěje k uspokojení poptávky po nových plochách pro bydlení a ke zvýšení kvality a komfortu bydlení v sídle Loučná. Plocha je vymezena v souladu s </w:t>
            </w:r>
            <w:r w:rsidRPr="00BE1F65">
              <w:rPr>
                <w:rFonts w:ascii="Arial Narrow" w:hAnsi="Arial Narrow"/>
                <w:b/>
                <w:shd w:val="clear" w:color="auto" w:fill="FBF8B5"/>
                <w:lang w:val="cs-CZ"/>
              </w:rPr>
              <w:t>požadavkem schváleného Zadání ÚP</w:t>
            </w:r>
            <w:r w:rsidRPr="00461C16">
              <w:rPr>
                <w:rFonts w:ascii="Arial Narrow" w:hAnsi="Arial Narrow"/>
                <w:lang w:val="cs-CZ"/>
              </w:rPr>
              <w:t>.</w:t>
            </w:r>
          </w:p>
          <w:p w14:paraId="5454857F" w14:textId="77777777" w:rsidR="00912A28" w:rsidRPr="00461C16" w:rsidRDefault="00912A28" w:rsidP="00B82079">
            <w:pPr>
              <w:pStyle w:val="Intabulka"/>
              <w:rPr>
                <w:rFonts w:ascii="Arial Narrow" w:hAnsi="Arial Narrow"/>
                <w:color w:val="FF0000"/>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Pr>
                <w:rFonts w:ascii="Arial Narrow" w:hAnsi="Arial Narrow"/>
                <w:lang w:val="cs-CZ"/>
              </w:rPr>
              <w:t>. Sledovaná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912A28" w:rsidRPr="00461C16" w14:paraId="450CAF53" w14:textId="77777777" w:rsidTr="00D95953">
        <w:trPr>
          <w:jc w:val="center"/>
        </w:trPr>
        <w:tc>
          <w:tcPr>
            <w:tcW w:w="1006" w:type="dxa"/>
            <w:shd w:val="clear" w:color="auto" w:fill="FBF8B5"/>
          </w:tcPr>
          <w:p w14:paraId="09A627E4"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Z61</w:t>
            </w:r>
          </w:p>
        </w:tc>
        <w:tc>
          <w:tcPr>
            <w:tcW w:w="1856" w:type="dxa"/>
            <w:shd w:val="clear" w:color="auto" w:fill="FBF8B5"/>
          </w:tcPr>
          <w:p w14:paraId="46551032"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FBF8B5"/>
          </w:tcPr>
          <w:p w14:paraId="485B3B1C"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Loučná</w:t>
            </w:r>
          </w:p>
        </w:tc>
        <w:tc>
          <w:tcPr>
            <w:tcW w:w="5070" w:type="dxa"/>
            <w:shd w:val="clear" w:color="auto" w:fill="FBF8B5"/>
          </w:tcPr>
          <w:p w14:paraId="6EF77F0E"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na jižním okraji Loučné, v prostorové proluce v zástavbě podél ul. Pytlácká.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venkovské obytné zástavby, spolu s přilehlou zastavitelnou plochou Z60 zajišťuje oboustranné obestavění komunikace, které je výhodné z urbanistického i ekonomického hlediska (jednoznačné vymezení uličního prostoru, </w:t>
            </w:r>
            <w:r w:rsidRPr="00461C16">
              <w:rPr>
                <w:rFonts w:ascii="Arial Narrow" w:hAnsi="Arial Narrow"/>
                <w:lang w:val="cs-CZ"/>
              </w:rPr>
              <w:lastRenderedPageBreak/>
              <w:t>napojení na sítě veřejné infrastruktury) a zároveň přispívá ke scelení fragmentované zástavby do kompaktního útvaru. Realizace záměru přispěje k uspokojení poptávky po nových plochách pro bydlení a ke zvýšení kvality a komfortu bydlení v sídle Loučná. Plocha je vymezena v souladu s </w:t>
            </w:r>
            <w:r w:rsidRPr="00BE1F65">
              <w:rPr>
                <w:rFonts w:ascii="Arial Narrow" w:hAnsi="Arial Narrow"/>
                <w:b/>
                <w:lang w:val="cs-CZ"/>
              </w:rPr>
              <w:t>požadavkem schváleného Zadání ÚP</w:t>
            </w:r>
            <w:r w:rsidRPr="00461C16">
              <w:rPr>
                <w:rFonts w:ascii="Arial Narrow" w:hAnsi="Arial Narrow"/>
                <w:lang w:val="cs-CZ"/>
              </w:rPr>
              <w:t>.</w:t>
            </w:r>
          </w:p>
          <w:p w14:paraId="27D22CC8" w14:textId="77777777" w:rsidR="00912A28" w:rsidRPr="00461C16" w:rsidRDefault="00912A28" w:rsidP="00B82079">
            <w:pPr>
              <w:pStyle w:val="Intabulka"/>
              <w:rPr>
                <w:rFonts w:ascii="Arial Narrow" w:hAnsi="Arial Narrow"/>
                <w:color w:val="FF0000"/>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Pr>
                <w:rFonts w:ascii="Arial Narrow" w:hAnsi="Arial Narrow"/>
                <w:lang w:val="cs-CZ"/>
              </w:rPr>
              <w:t>. Sledovaná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912A28" w:rsidRPr="00461C16" w14:paraId="2501AB94" w14:textId="77777777" w:rsidTr="00D95953">
        <w:trPr>
          <w:jc w:val="center"/>
        </w:trPr>
        <w:tc>
          <w:tcPr>
            <w:tcW w:w="1006" w:type="dxa"/>
            <w:shd w:val="clear" w:color="auto" w:fill="D6E3BC" w:themeFill="accent3" w:themeFillTint="66"/>
          </w:tcPr>
          <w:p w14:paraId="12AEE59C"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Z62</w:t>
            </w:r>
          </w:p>
        </w:tc>
        <w:tc>
          <w:tcPr>
            <w:tcW w:w="1856" w:type="dxa"/>
            <w:shd w:val="clear" w:color="auto" w:fill="D6E3BC" w:themeFill="accent3" w:themeFillTint="66"/>
          </w:tcPr>
          <w:p w14:paraId="5AAB5F12"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7B6B27BA"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Loučná</w:t>
            </w:r>
          </w:p>
        </w:tc>
        <w:tc>
          <w:tcPr>
            <w:tcW w:w="5070" w:type="dxa"/>
            <w:shd w:val="clear" w:color="auto" w:fill="D6E3BC" w:themeFill="accent3" w:themeFillTint="66"/>
          </w:tcPr>
          <w:p w14:paraId="58E003E1"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 xml:space="preserve">Plocha je vymezena na jižním okraji zástavby Loučné, v prostorové proluce podél ul. Lipová, která je jednou z hlavních dopravních os sídla.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 Vymezení plochy je v souladu se </w:t>
            </w:r>
            <w:r w:rsidRPr="00BE1F65">
              <w:rPr>
                <w:rFonts w:ascii="Arial Narrow" w:hAnsi="Arial Narrow"/>
                <w:b/>
                <w:lang w:val="cs-CZ"/>
              </w:rPr>
              <w:t>současně platným ÚP města, kde již byla řádně projednána a schválena</w:t>
            </w:r>
            <w:r w:rsidRPr="00461C16">
              <w:rPr>
                <w:rFonts w:ascii="Arial Narrow" w:hAnsi="Arial Narrow"/>
                <w:lang w:val="cs-CZ"/>
              </w:rPr>
              <w:t xml:space="preserve">. </w:t>
            </w:r>
          </w:p>
        </w:tc>
      </w:tr>
      <w:tr w:rsidR="00912A28" w:rsidRPr="00461C16" w14:paraId="50444148" w14:textId="77777777" w:rsidTr="00D95953">
        <w:trPr>
          <w:jc w:val="center"/>
        </w:trPr>
        <w:tc>
          <w:tcPr>
            <w:tcW w:w="1006" w:type="dxa"/>
            <w:shd w:val="clear" w:color="auto" w:fill="D6E3BC" w:themeFill="accent3" w:themeFillTint="66"/>
          </w:tcPr>
          <w:p w14:paraId="4C200244"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Z64</w:t>
            </w:r>
          </w:p>
        </w:tc>
        <w:tc>
          <w:tcPr>
            <w:tcW w:w="1856" w:type="dxa"/>
            <w:shd w:val="clear" w:color="auto" w:fill="D6E3BC" w:themeFill="accent3" w:themeFillTint="66"/>
          </w:tcPr>
          <w:p w14:paraId="0303B8B5"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40D1AE9A"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Loučná</w:t>
            </w:r>
          </w:p>
        </w:tc>
        <w:tc>
          <w:tcPr>
            <w:tcW w:w="5070" w:type="dxa"/>
            <w:shd w:val="clear" w:color="auto" w:fill="D6E3BC" w:themeFill="accent3" w:themeFillTint="66"/>
          </w:tcPr>
          <w:p w14:paraId="4724224A"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 xml:space="preserve">Plocha je vymezena na jižním okraji zástavby Loučné, v prostorové proluce podél ul. Lipová, která je jednou z hlavních dopravních os sídla.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 Plocha je vymezena na základě požadavku schváleného Zadání ÚP a </w:t>
            </w:r>
            <w:r w:rsidRPr="00BE1F65">
              <w:rPr>
                <w:rFonts w:ascii="Arial Narrow" w:hAnsi="Arial Narrow"/>
                <w:b/>
                <w:lang w:val="cs-CZ"/>
              </w:rPr>
              <w:t>z části</w:t>
            </w:r>
            <w:r w:rsidRPr="00461C16">
              <w:rPr>
                <w:rFonts w:ascii="Arial Narrow" w:hAnsi="Arial Narrow"/>
                <w:lang w:val="cs-CZ"/>
              </w:rPr>
              <w:t xml:space="preserve"> i v souladu se </w:t>
            </w:r>
            <w:r w:rsidRPr="00BE1F65">
              <w:rPr>
                <w:rFonts w:ascii="Arial Narrow" w:hAnsi="Arial Narrow"/>
                <w:b/>
                <w:lang w:val="cs-CZ"/>
              </w:rPr>
              <w:t>současně platným ÚP města, kde již byla řádně projednána a schválena</w:t>
            </w:r>
            <w:r w:rsidRPr="00461C16">
              <w:rPr>
                <w:rFonts w:ascii="Arial Narrow" w:hAnsi="Arial Narrow"/>
                <w:lang w:val="cs-CZ"/>
              </w:rPr>
              <w:t xml:space="preserve">. </w:t>
            </w:r>
            <w:r w:rsidR="00495475">
              <w:rPr>
                <w:rFonts w:ascii="Arial Narrow" w:hAnsi="Arial Narrow"/>
                <w:lang w:val="cs-CZ"/>
              </w:rPr>
              <w:t xml:space="preserve">Oproti Zadání ÚP je v severní části redukována z důvodu ochrany památného stromu. </w:t>
            </w:r>
            <w:r w:rsidRPr="00461C16">
              <w:rPr>
                <w:rFonts w:ascii="Arial Narrow" w:hAnsi="Arial Narrow"/>
                <w:lang w:val="cs-CZ"/>
              </w:rPr>
              <w:t>Plocha zabírá pouze půdu nižší třídy ochrany.</w:t>
            </w:r>
          </w:p>
        </w:tc>
      </w:tr>
      <w:tr w:rsidR="00912A28" w:rsidRPr="00461C16" w14:paraId="291B10DA" w14:textId="77777777" w:rsidTr="00D95953">
        <w:trPr>
          <w:jc w:val="center"/>
        </w:trPr>
        <w:tc>
          <w:tcPr>
            <w:tcW w:w="1006" w:type="dxa"/>
            <w:shd w:val="clear" w:color="auto" w:fill="FBF8B5"/>
          </w:tcPr>
          <w:p w14:paraId="65893D2C"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Z65</w:t>
            </w:r>
          </w:p>
        </w:tc>
        <w:tc>
          <w:tcPr>
            <w:tcW w:w="1856" w:type="dxa"/>
            <w:shd w:val="clear" w:color="auto" w:fill="FBF8B5"/>
          </w:tcPr>
          <w:p w14:paraId="5CFCAEE7"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FBF8B5"/>
          </w:tcPr>
          <w:p w14:paraId="64CEBFAA"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Loučná</w:t>
            </w:r>
          </w:p>
        </w:tc>
        <w:tc>
          <w:tcPr>
            <w:tcW w:w="5070" w:type="dxa"/>
            <w:shd w:val="clear" w:color="auto" w:fill="FBF8B5"/>
          </w:tcPr>
          <w:p w14:paraId="6A9BBE3D" w14:textId="77777777" w:rsidR="00912A28" w:rsidRDefault="00912A28" w:rsidP="00B82079">
            <w:pPr>
              <w:pStyle w:val="Intabulka"/>
              <w:rPr>
                <w:rFonts w:ascii="Arial Narrow" w:hAnsi="Arial Narrow"/>
                <w:lang w:val="cs-CZ"/>
              </w:rPr>
            </w:pPr>
            <w:r w:rsidRPr="00461C16">
              <w:rPr>
                <w:rFonts w:ascii="Arial Narrow" w:hAnsi="Arial Narrow"/>
                <w:lang w:val="cs-CZ"/>
              </w:rPr>
              <w:t>Plocha je vymezena na jižním okraji zástavby Loučné, podél ul. Lipová, která je jednou z hlavních dopravních os sídla.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přispívá ke scelení fragmentované zástavby do kompaktního útvaru. Realizace záměru přispěje k uspokojení poptávky po nových plochách pro bydlení a ke zvýšení kvality a komfortu bydlení v sídle Loučná. Plocha je vymezena v souladu s </w:t>
            </w:r>
            <w:r w:rsidRPr="00BE1F65">
              <w:rPr>
                <w:rFonts w:ascii="Arial Narrow" w:hAnsi="Arial Narrow"/>
                <w:b/>
                <w:lang w:val="cs-CZ"/>
              </w:rPr>
              <w:t>požadavkem schváleného Zadání ÚP</w:t>
            </w:r>
            <w:r w:rsidRPr="00461C16">
              <w:rPr>
                <w:rFonts w:ascii="Arial Narrow" w:hAnsi="Arial Narrow"/>
                <w:lang w:val="cs-CZ"/>
              </w:rPr>
              <w:t>.</w:t>
            </w:r>
          </w:p>
          <w:p w14:paraId="73DE100F" w14:textId="77777777" w:rsidR="00912A28" w:rsidRPr="00461C16" w:rsidRDefault="00912A28" w:rsidP="00B82079">
            <w:pPr>
              <w:pStyle w:val="Intabulka"/>
              <w:rPr>
                <w:rFonts w:ascii="Arial Narrow" w:hAnsi="Arial Narrow"/>
                <w:color w:val="FF0000"/>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Pr>
                <w:rFonts w:ascii="Arial Narrow" w:hAnsi="Arial Narrow"/>
                <w:lang w:val="cs-CZ"/>
              </w:rPr>
              <w:t>. Sledovaná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w:t>
            </w:r>
            <w:r>
              <w:rPr>
                <w:rFonts w:ascii="Arial Narrow" w:hAnsi="Arial Narrow"/>
                <w:lang w:val="cs-CZ"/>
              </w:rPr>
              <w:t>ve vazbě na</w:t>
            </w:r>
            <w:r w:rsidRPr="00D11D91">
              <w:rPr>
                <w:rFonts w:ascii="Arial Narrow" w:hAnsi="Arial Narrow"/>
              </w:rPr>
              <w:t xml:space="preserve"> zastavěné území a stanovením adekvátních podmínek využití </w:t>
            </w:r>
            <w:r w:rsidRPr="00D11D91">
              <w:rPr>
                <w:rFonts w:ascii="Arial Narrow" w:hAnsi="Arial Narrow"/>
              </w:rPr>
              <w:lastRenderedPageBreak/>
              <w:t>včetně podmínek prostorového uspořádání.</w:t>
            </w:r>
          </w:p>
        </w:tc>
      </w:tr>
      <w:tr w:rsidR="00912A28" w:rsidRPr="00461C16" w14:paraId="49EAEED3" w14:textId="77777777" w:rsidTr="00D95953">
        <w:trPr>
          <w:jc w:val="center"/>
        </w:trPr>
        <w:tc>
          <w:tcPr>
            <w:tcW w:w="1006" w:type="dxa"/>
            <w:shd w:val="clear" w:color="auto" w:fill="FBF8B5"/>
          </w:tcPr>
          <w:p w14:paraId="0E624959"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Z66</w:t>
            </w:r>
          </w:p>
        </w:tc>
        <w:tc>
          <w:tcPr>
            <w:tcW w:w="1856" w:type="dxa"/>
            <w:shd w:val="clear" w:color="auto" w:fill="FBF8B5"/>
          </w:tcPr>
          <w:p w14:paraId="6BA4A01D"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FBF8B5"/>
          </w:tcPr>
          <w:p w14:paraId="259F6F00"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Donín u Hrádku nad Nisou</w:t>
            </w:r>
          </w:p>
        </w:tc>
        <w:tc>
          <w:tcPr>
            <w:tcW w:w="5070" w:type="dxa"/>
            <w:shd w:val="clear" w:color="auto" w:fill="FBF8B5"/>
          </w:tcPr>
          <w:p w14:paraId="70720D37"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v proluce mezi bývalým výrobním areálem Kortan a stabilizovanou nízkopodlažní obytnou zástavbou v jižní části Loučné a Donína. Spolu s navazující plochou přestavby P30 tvoří jeden funkční celek. </w:t>
            </w:r>
            <w:r w:rsidRPr="006F038D">
              <w:rPr>
                <w:rFonts w:ascii="Arial Narrow" w:hAnsi="Arial Narrow"/>
                <w:b/>
                <w:lang w:val="cs-CZ"/>
              </w:rPr>
              <w:t>Využití proluky směřuje k účelnému a hospodárnému využívání území, k posílení kompaktnosti území a ke scelení zástavby</w:t>
            </w:r>
            <w:r w:rsidRPr="00461C16">
              <w:rPr>
                <w:rFonts w:ascii="Arial Narrow" w:hAnsi="Arial Narrow"/>
                <w:lang w:val="cs-CZ"/>
              </w:rPr>
              <w:t xml:space="preserve">. Plocha je navržena k rozvoji bydlení, v souladu s charakterem navazujících ploch. Realizace záměru umožní uspokojit poptávku po nových plochách pro bydlení a přispěje ke zvýšení kvality a komfortu bydlení ve městě. Plocha je vymezena dle </w:t>
            </w:r>
            <w:r w:rsidRPr="00BE1F65">
              <w:rPr>
                <w:rFonts w:ascii="Arial Narrow" w:hAnsi="Arial Narrow"/>
                <w:b/>
                <w:lang w:val="cs-CZ"/>
              </w:rPr>
              <w:t>požadavku schváleného Zadání ÚP</w:t>
            </w:r>
            <w:r w:rsidRPr="00461C16">
              <w:rPr>
                <w:rFonts w:ascii="Arial Narrow" w:hAnsi="Arial Narrow"/>
                <w:lang w:val="cs-CZ"/>
              </w:rPr>
              <w:t xml:space="preserve">. </w:t>
            </w:r>
            <w:r w:rsidR="00EF30A0">
              <w:rPr>
                <w:rFonts w:ascii="Arial Narrow" w:hAnsi="Arial Narrow"/>
                <w:lang w:val="cs-CZ"/>
              </w:rPr>
              <w:t>Plocha zabírá pouze půdu nižší (III. třídy) ochrany</w:t>
            </w:r>
          </w:p>
          <w:p w14:paraId="6271FC5A" w14:textId="77777777" w:rsidR="00912A28" w:rsidRPr="00461C16" w:rsidRDefault="00912A28" w:rsidP="00B82079">
            <w:pPr>
              <w:pStyle w:val="Intabulka"/>
              <w:rPr>
                <w:rFonts w:ascii="Arial Narrow" w:hAnsi="Arial Narrow"/>
                <w:color w:val="FF0000"/>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a kvalitní urbanistické a krajinářské koncepce, přičemž kvalita prostředí je zajištěna lokalizací plochy ve vazbě na zastavěné území a stanovením adekvátních podmínek využití včetně podmínek prostorového uspořádání.</w:t>
            </w:r>
            <w:r w:rsidRPr="00461C16">
              <w:rPr>
                <w:rFonts w:ascii="Arial Narrow" w:hAnsi="Arial Narrow"/>
                <w:lang w:val="cs-CZ"/>
              </w:rPr>
              <w:t xml:space="preserve">  </w:t>
            </w:r>
          </w:p>
        </w:tc>
      </w:tr>
      <w:tr w:rsidR="00912A28" w:rsidRPr="00461C16" w14:paraId="6DCD267E" w14:textId="77777777" w:rsidTr="00D95953">
        <w:trPr>
          <w:jc w:val="center"/>
        </w:trPr>
        <w:tc>
          <w:tcPr>
            <w:tcW w:w="1006" w:type="dxa"/>
            <w:shd w:val="clear" w:color="auto" w:fill="FBF8B5"/>
          </w:tcPr>
          <w:p w14:paraId="54D8DE3B"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Z67</w:t>
            </w:r>
          </w:p>
        </w:tc>
        <w:tc>
          <w:tcPr>
            <w:tcW w:w="1856" w:type="dxa"/>
            <w:shd w:val="clear" w:color="auto" w:fill="FBF8B5"/>
          </w:tcPr>
          <w:p w14:paraId="1ED26583"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FBF8B5"/>
          </w:tcPr>
          <w:p w14:paraId="088D1189"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Donín u Hrádku nad Nisou</w:t>
            </w:r>
          </w:p>
        </w:tc>
        <w:tc>
          <w:tcPr>
            <w:tcW w:w="5070" w:type="dxa"/>
            <w:shd w:val="clear" w:color="auto" w:fill="FBF8B5"/>
          </w:tcPr>
          <w:p w14:paraId="26E65810"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Plocha je vymezena na jižním okraji zástavby Donína, navazuje na hranici zastavěného území. Plocha je navržena k rozvoji bydlení, v souladu s charakterem navazujících ploch. Realizace záměru umožní uspokojit poptávku po nových plochách pro bydlení a přispěje ke zvýšení kvality a komfortu bydlení ve městě. Plocha je vymezena v souladu s </w:t>
            </w:r>
            <w:r w:rsidRPr="00BE1F65">
              <w:rPr>
                <w:rFonts w:ascii="Arial Narrow" w:hAnsi="Arial Narrow"/>
                <w:b/>
                <w:lang w:val="cs-CZ"/>
              </w:rPr>
              <w:t>požadavkem schváleného Zadání ÚP</w:t>
            </w:r>
            <w:r w:rsidRPr="00461C16">
              <w:rPr>
                <w:rFonts w:ascii="Arial Narrow" w:hAnsi="Arial Narrow"/>
                <w:lang w:val="cs-CZ"/>
              </w:rPr>
              <w:t>. Plocha zabírá pouze půdu nižší (V.) třídy ochrany.</w:t>
            </w:r>
          </w:p>
        </w:tc>
      </w:tr>
      <w:tr w:rsidR="00912A28" w:rsidRPr="00461C16" w14:paraId="21D1FF21" w14:textId="77777777" w:rsidTr="00D95953">
        <w:trPr>
          <w:jc w:val="center"/>
        </w:trPr>
        <w:tc>
          <w:tcPr>
            <w:tcW w:w="1006" w:type="dxa"/>
            <w:shd w:val="clear" w:color="auto" w:fill="D6E3BC" w:themeFill="accent3" w:themeFillTint="66"/>
          </w:tcPr>
          <w:p w14:paraId="724A90F4"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Z68</w:t>
            </w:r>
          </w:p>
        </w:tc>
        <w:tc>
          <w:tcPr>
            <w:tcW w:w="1856" w:type="dxa"/>
            <w:shd w:val="clear" w:color="auto" w:fill="D6E3BC" w:themeFill="accent3" w:themeFillTint="66"/>
          </w:tcPr>
          <w:p w14:paraId="31A7D11C"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D6E3BC" w:themeFill="accent3" w:themeFillTint="66"/>
          </w:tcPr>
          <w:p w14:paraId="0E0DEB61"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Donín u Hrádku nad Nisou</w:t>
            </w:r>
          </w:p>
        </w:tc>
        <w:tc>
          <w:tcPr>
            <w:tcW w:w="5070" w:type="dxa"/>
            <w:shd w:val="clear" w:color="auto" w:fill="D6E3BC" w:themeFill="accent3" w:themeFillTint="66"/>
          </w:tcPr>
          <w:p w14:paraId="470B914D" w14:textId="77777777" w:rsidR="00912A28" w:rsidRPr="00461C16" w:rsidRDefault="00912A28" w:rsidP="00B82079">
            <w:pPr>
              <w:pStyle w:val="Intabulka"/>
              <w:rPr>
                <w:rFonts w:ascii="Arial Narrow" w:hAnsi="Arial Narrow"/>
                <w:color w:val="FF0000"/>
                <w:lang w:val="cs-CZ"/>
              </w:rPr>
            </w:pPr>
            <w:r w:rsidRPr="00461C16">
              <w:rPr>
                <w:rFonts w:ascii="Arial Narrow" w:hAnsi="Arial Narrow"/>
                <w:lang w:val="cs-CZ"/>
              </w:rPr>
              <w:t>Plocha je vymezena v proluce v zástavbě v ul. Za Školou, na jižním okraji Donína</w:t>
            </w:r>
            <w:r w:rsidRPr="006F038D">
              <w:rPr>
                <w:rFonts w:ascii="Arial Narrow" w:hAnsi="Arial Narrow"/>
                <w:b/>
                <w:lang w:val="cs-CZ"/>
              </w:rPr>
              <w:t>. Využití proluky směřuje k účelnému a hospodárnému využívání území, k posílení kompaktnosti území a ke scelení zástavby.</w:t>
            </w:r>
            <w:r w:rsidRPr="00461C16">
              <w:rPr>
                <w:rFonts w:ascii="Arial Narrow" w:hAnsi="Arial Narrow"/>
                <w:lang w:val="cs-CZ"/>
              </w:rPr>
              <w:t xml:space="preserve"> Plocha je navržena k rozvoji bydlení, v souladu s charakterem navazujících ploch. Realizace záměru umožní uspokojit poptávku po nových plochách pro bydlení a přispěje ke zvýšení kvality a komfortu bydlení ve městě. Vymezení plochy vychází ze </w:t>
            </w:r>
            <w:r w:rsidRPr="00BE1F65">
              <w:rPr>
                <w:rFonts w:ascii="Arial Narrow" w:hAnsi="Arial Narrow"/>
                <w:b/>
                <w:lang w:val="cs-CZ"/>
              </w:rPr>
              <w:t>současně platného ÚP města, kde již byla řádně projednána a schválena</w:t>
            </w:r>
            <w:r w:rsidRPr="00461C16">
              <w:rPr>
                <w:rFonts w:ascii="Arial Narrow" w:hAnsi="Arial Narrow"/>
                <w:lang w:val="cs-CZ"/>
              </w:rPr>
              <w:t>. Plocha zabírá pouze půdu nižší třídy ochrany.</w:t>
            </w:r>
          </w:p>
        </w:tc>
      </w:tr>
      <w:tr w:rsidR="00912A28" w:rsidRPr="00461C16" w14:paraId="2BEE881C" w14:textId="77777777" w:rsidTr="00D95953">
        <w:trPr>
          <w:jc w:val="center"/>
        </w:trPr>
        <w:tc>
          <w:tcPr>
            <w:tcW w:w="1006" w:type="dxa"/>
            <w:shd w:val="clear" w:color="auto" w:fill="D6E3BC" w:themeFill="accent3" w:themeFillTint="66"/>
          </w:tcPr>
          <w:p w14:paraId="10356BC2"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Z70</w:t>
            </w:r>
          </w:p>
        </w:tc>
        <w:tc>
          <w:tcPr>
            <w:tcW w:w="1856" w:type="dxa"/>
            <w:shd w:val="clear" w:color="auto" w:fill="D6E3BC" w:themeFill="accent3" w:themeFillTint="66"/>
          </w:tcPr>
          <w:p w14:paraId="6C73B1FD"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D6E3BC" w:themeFill="accent3" w:themeFillTint="66"/>
          </w:tcPr>
          <w:p w14:paraId="2D801FD0"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Donín u Hrádku nad Nisou</w:t>
            </w:r>
          </w:p>
        </w:tc>
        <w:tc>
          <w:tcPr>
            <w:tcW w:w="5070" w:type="dxa"/>
            <w:shd w:val="clear" w:color="auto" w:fill="D6E3BC" w:themeFill="accent3" w:themeFillTint="66"/>
          </w:tcPr>
          <w:p w14:paraId="27512D6E"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v rozsáhlé prostorové proluce v zástavbě pod ul. Donínská, která je hlavní dopravní a urbanistickou osou sídla. </w:t>
            </w:r>
            <w:r w:rsidRPr="006F038D">
              <w:rPr>
                <w:rFonts w:ascii="Arial Narrow" w:hAnsi="Arial Narrow"/>
                <w:b/>
                <w:lang w:val="cs-CZ"/>
              </w:rPr>
              <w:t>Využití proluky směřuje k účelnému a hospodárnému využívání území, k posílení kompaktnosti území a ke scelení zástavby</w:t>
            </w:r>
            <w:r w:rsidRPr="00461C16">
              <w:rPr>
                <w:rFonts w:ascii="Arial Narrow" w:hAnsi="Arial Narrow"/>
                <w:lang w:val="cs-CZ"/>
              </w:rPr>
              <w:t>. Plocha je navržena k rozvoji obytné zástavby, v souladu s charakterem navazujících ploch podél ul. Sousedská, ul. Slunečná a ul. Strmá. Realizace záměru umožní uspokojit poptávku po nových plochách pro bydlení a přispěje ke zvýšení kvality a komfortu bydlení ve městě.</w:t>
            </w:r>
            <w:r w:rsidRPr="00461C16">
              <w:rPr>
                <w:rFonts w:ascii="Arial Narrow" w:hAnsi="Arial Narrow"/>
                <w:color w:val="FF0000"/>
                <w:lang w:val="cs-CZ"/>
              </w:rPr>
              <w:t xml:space="preserve"> </w:t>
            </w:r>
            <w:r w:rsidRPr="00461C16">
              <w:rPr>
                <w:rFonts w:ascii="Arial Narrow" w:hAnsi="Arial Narrow"/>
                <w:lang w:val="cs-CZ"/>
              </w:rPr>
              <w:t>Plocha je vymezena na základě </w:t>
            </w:r>
            <w:r w:rsidRPr="00BE1F65">
              <w:rPr>
                <w:rFonts w:ascii="Arial Narrow" w:hAnsi="Arial Narrow"/>
                <w:b/>
                <w:lang w:val="cs-CZ"/>
              </w:rPr>
              <w:t>požadavku schváleného Zadání ÚP a z větší části v souladu se současně platným ÚP města, kde již byla řádně projednána a schválena</w:t>
            </w:r>
            <w:r w:rsidRPr="00461C16">
              <w:rPr>
                <w:rFonts w:ascii="Arial Narrow" w:hAnsi="Arial Narrow"/>
                <w:lang w:val="cs-CZ"/>
              </w:rPr>
              <w:t>.</w:t>
            </w:r>
          </w:p>
          <w:p w14:paraId="704897A5" w14:textId="77777777" w:rsidR="00912A28" w:rsidRPr="00461C16" w:rsidRDefault="00912A28" w:rsidP="00B82079">
            <w:pPr>
              <w:pStyle w:val="Intabulka"/>
              <w:rPr>
                <w:rFonts w:ascii="Arial Narrow" w:hAnsi="Arial Narrow"/>
                <w:color w:val="FF0000"/>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p>
        </w:tc>
      </w:tr>
      <w:tr w:rsidR="00912A28" w:rsidRPr="00461C16" w14:paraId="67D810A1" w14:textId="77777777" w:rsidTr="00D95953">
        <w:trPr>
          <w:jc w:val="center"/>
        </w:trPr>
        <w:tc>
          <w:tcPr>
            <w:tcW w:w="1006" w:type="dxa"/>
            <w:shd w:val="clear" w:color="auto" w:fill="auto"/>
          </w:tcPr>
          <w:p w14:paraId="78E854B0"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Z71</w:t>
            </w:r>
          </w:p>
        </w:tc>
        <w:tc>
          <w:tcPr>
            <w:tcW w:w="1856" w:type="dxa"/>
            <w:shd w:val="clear" w:color="auto" w:fill="auto"/>
          </w:tcPr>
          <w:p w14:paraId="0405DED3" w14:textId="77777777" w:rsidR="00912A28" w:rsidRPr="00461C16" w:rsidRDefault="00912A28" w:rsidP="00B82079">
            <w:pPr>
              <w:spacing w:before="40" w:line="240" w:lineRule="auto"/>
              <w:jc w:val="left"/>
              <w:rPr>
                <w:color w:val="000000"/>
                <w:sz w:val="20"/>
                <w:szCs w:val="20"/>
              </w:rPr>
            </w:pPr>
            <w:r w:rsidRPr="00461C16">
              <w:rPr>
                <w:color w:val="000000"/>
                <w:sz w:val="20"/>
                <w:szCs w:val="20"/>
              </w:rPr>
              <w:t xml:space="preserve">BI – bydlení městské </w:t>
            </w:r>
            <w:r w:rsidRPr="00461C16">
              <w:rPr>
                <w:color w:val="000000"/>
                <w:sz w:val="20"/>
                <w:szCs w:val="20"/>
              </w:rPr>
              <w:lastRenderedPageBreak/>
              <w:t>a příměstské</w:t>
            </w:r>
          </w:p>
        </w:tc>
        <w:tc>
          <w:tcPr>
            <w:tcW w:w="1356" w:type="dxa"/>
          </w:tcPr>
          <w:p w14:paraId="7041F3EE"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lastRenderedPageBreak/>
              <w:t xml:space="preserve">Donín u </w:t>
            </w:r>
            <w:r w:rsidRPr="00461C16">
              <w:rPr>
                <w:rFonts w:ascii="Arial Narrow" w:hAnsi="Arial Narrow"/>
                <w:lang w:val="cs-CZ"/>
              </w:rPr>
              <w:lastRenderedPageBreak/>
              <w:t>Hrádku nad Nisou</w:t>
            </w:r>
          </w:p>
        </w:tc>
        <w:tc>
          <w:tcPr>
            <w:tcW w:w="5070" w:type="dxa"/>
            <w:shd w:val="clear" w:color="auto" w:fill="auto"/>
          </w:tcPr>
          <w:p w14:paraId="2D37E2E7" w14:textId="77777777" w:rsidR="00912A28" w:rsidRDefault="00912A28" w:rsidP="00B82079">
            <w:pPr>
              <w:pStyle w:val="Intabulka"/>
              <w:rPr>
                <w:rFonts w:ascii="Arial Narrow" w:hAnsi="Arial Narrow"/>
                <w:lang w:val="cs-CZ"/>
              </w:rPr>
            </w:pPr>
            <w:r w:rsidRPr="00461C16">
              <w:rPr>
                <w:rFonts w:ascii="Arial Narrow" w:hAnsi="Arial Narrow"/>
                <w:lang w:val="cs-CZ"/>
              </w:rPr>
              <w:lastRenderedPageBreak/>
              <w:t xml:space="preserve">Plocha je vymezena v proluce v zástavbě v ul. Strmá, na </w:t>
            </w:r>
            <w:r w:rsidRPr="00461C16">
              <w:rPr>
                <w:rFonts w:ascii="Arial Narrow" w:hAnsi="Arial Narrow"/>
                <w:lang w:val="cs-CZ"/>
              </w:rPr>
              <w:lastRenderedPageBreak/>
              <w:t xml:space="preserve">jihovýchodním okraji Donína. </w:t>
            </w:r>
            <w:r w:rsidRPr="006F038D">
              <w:rPr>
                <w:rFonts w:ascii="Arial Narrow" w:hAnsi="Arial Narrow"/>
                <w:b/>
                <w:lang w:val="cs-CZ"/>
              </w:rPr>
              <w:t>Využití proluky směřuje k účelnému a hospodárnému využívání území, k posílení kompaktnosti území, ke scelení zástavby</w:t>
            </w:r>
            <w:r w:rsidRPr="00461C16">
              <w:rPr>
                <w:rFonts w:ascii="Arial Narrow" w:hAnsi="Arial Narrow"/>
                <w:lang w:val="cs-CZ"/>
              </w:rPr>
              <w:t xml:space="preserve"> a k dotvoření oboustranného obestavění komunikace, které je výhodné z urbanistického i ekonomického hlediska (jednoznačné vymezení uličního prostoru, napojení na sítě veřejné infrastruktury). Plocha je navržena k rozvoji bydlení, v souladu s charakterem navazujících ploch. Realizace záměru umožní uspokojit poptávku po nových plochách pro bydlení a přispěje ke zvýšení kvality a komfortu bydlení ve městě.  </w:t>
            </w:r>
          </w:p>
          <w:p w14:paraId="5408920E" w14:textId="77777777" w:rsidR="00912A28" w:rsidRPr="00461C16" w:rsidRDefault="00912A28" w:rsidP="00B82079">
            <w:pPr>
              <w:pStyle w:val="Intabulka"/>
              <w:rPr>
                <w:rFonts w:ascii="Arial Narrow" w:hAnsi="Arial Narrow"/>
                <w:color w:val="FF0000"/>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w:t>
            </w:r>
            <w:r>
              <w:rPr>
                <w:rFonts w:ascii="Arial Narrow" w:hAnsi="Arial Narrow"/>
                <w:lang w:val="cs-CZ"/>
              </w:rPr>
              <w:t xml:space="preserve"> a</w:t>
            </w:r>
            <w:r w:rsidRPr="00E87086">
              <w:rPr>
                <w:rFonts w:ascii="Arial Narrow" w:hAnsi="Arial Narrow"/>
              </w:rPr>
              <w:t xml:space="preserve"> kvalitní urbanistické a krajinářské koncepce, </w:t>
            </w:r>
            <w:r>
              <w:rPr>
                <w:rFonts w:ascii="Arial Narrow" w:hAnsi="Arial Narrow"/>
                <w:lang w:val="cs-CZ"/>
              </w:rPr>
              <w:t>přičemž</w:t>
            </w:r>
            <w:r w:rsidRPr="00E87086">
              <w:rPr>
                <w:rFonts w:ascii="Arial Narrow" w:hAnsi="Arial Narrow"/>
              </w:rPr>
              <w:t xml:space="preserve"> </w:t>
            </w:r>
            <w:r>
              <w:rPr>
                <w:rFonts w:ascii="Arial Narrow" w:hAnsi="Arial Narrow"/>
                <w:lang w:val="cs-CZ"/>
              </w:rPr>
              <w:t>k</w:t>
            </w:r>
            <w:r w:rsidRPr="00E87086">
              <w:rPr>
                <w:rFonts w:ascii="Arial Narrow" w:hAnsi="Arial Narrow"/>
              </w:rPr>
              <w:t>valita prostředí je zajištěna lokalizací plochy v proluce / mezi fragmenty zastavěného území a stanovením adekvátních podmínek využití včetně podmínek prostorového uspořádání.</w:t>
            </w:r>
          </w:p>
        </w:tc>
      </w:tr>
      <w:tr w:rsidR="00912A28" w:rsidRPr="00461C16" w14:paraId="71241DE6" w14:textId="77777777" w:rsidTr="00D95953">
        <w:trPr>
          <w:jc w:val="center"/>
        </w:trPr>
        <w:tc>
          <w:tcPr>
            <w:tcW w:w="1006" w:type="dxa"/>
            <w:shd w:val="clear" w:color="auto" w:fill="D6E3BC" w:themeFill="accent3" w:themeFillTint="66"/>
          </w:tcPr>
          <w:p w14:paraId="6702DFC1"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Z73</w:t>
            </w:r>
          </w:p>
        </w:tc>
        <w:tc>
          <w:tcPr>
            <w:tcW w:w="1856" w:type="dxa"/>
            <w:shd w:val="clear" w:color="auto" w:fill="D6E3BC" w:themeFill="accent3" w:themeFillTint="66"/>
          </w:tcPr>
          <w:p w14:paraId="744EE533" w14:textId="77777777" w:rsidR="00912A28" w:rsidRPr="00461C16" w:rsidRDefault="00912A28"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11BBB98F"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Donín u Hrádku nad Nisou</w:t>
            </w:r>
          </w:p>
        </w:tc>
        <w:tc>
          <w:tcPr>
            <w:tcW w:w="5070" w:type="dxa"/>
            <w:shd w:val="clear" w:color="auto" w:fill="D6E3BC" w:themeFill="accent3" w:themeFillTint="66"/>
          </w:tcPr>
          <w:p w14:paraId="69CA694E"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na východním okraji zástavby Dolního Sedla, v prostorové proluce podél veřejné komunikace.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Sedlo. Vymezení plochy je </w:t>
            </w:r>
            <w:r w:rsidRPr="00BE1F65">
              <w:rPr>
                <w:rFonts w:ascii="Arial Narrow" w:hAnsi="Arial Narrow"/>
                <w:b/>
                <w:lang w:val="cs-CZ"/>
              </w:rPr>
              <w:t>v souladu se</w:t>
            </w:r>
            <w:r w:rsidRPr="00461C16">
              <w:rPr>
                <w:rFonts w:ascii="Arial Narrow" w:hAnsi="Arial Narrow"/>
                <w:lang w:val="cs-CZ"/>
              </w:rPr>
              <w:t xml:space="preserve"> </w:t>
            </w:r>
            <w:r w:rsidRPr="00BE1F65">
              <w:rPr>
                <w:rFonts w:ascii="Arial Narrow" w:hAnsi="Arial Narrow"/>
                <w:b/>
                <w:lang w:val="cs-CZ"/>
              </w:rPr>
              <w:t>současně platným ÚP města, kde již byla řádně projednána a schválena</w:t>
            </w:r>
            <w:r w:rsidRPr="00461C16">
              <w:rPr>
                <w:rFonts w:ascii="Arial Narrow" w:hAnsi="Arial Narrow"/>
                <w:lang w:val="cs-CZ"/>
              </w:rPr>
              <w:t xml:space="preserve">. </w:t>
            </w:r>
          </w:p>
          <w:p w14:paraId="1536C4AF" w14:textId="77777777" w:rsidR="00912A28" w:rsidRPr="00461C16" w:rsidRDefault="00912A28"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p>
        </w:tc>
      </w:tr>
      <w:tr w:rsidR="00912A28" w:rsidRPr="00461C16" w14:paraId="698E4C07" w14:textId="77777777" w:rsidTr="00D95953">
        <w:trPr>
          <w:jc w:val="center"/>
        </w:trPr>
        <w:tc>
          <w:tcPr>
            <w:tcW w:w="1006" w:type="dxa"/>
            <w:shd w:val="clear" w:color="auto" w:fill="D6E3BC" w:themeFill="accent3" w:themeFillTint="66"/>
          </w:tcPr>
          <w:p w14:paraId="119C06D4"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Z74</w:t>
            </w:r>
          </w:p>
        </w:tc>
        <w:tc>
          <w:tcPr>
            <w:tcW w:w="1856" w:type="dxa"/>
            <w:shd w:val="clear" w:color="auto" w:fill="D6E3BC" w:themeFill="accent3" w:themeFillTint="66"/>
          </w:tcPr>
          <w:p w14:paraId="29BEB9AD" w14:textId="77777777" w:rsidR="00912A28" w:rsidRPr="00461C16" w:rsidRDefault="00912A28"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14E5E057"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Donín u Hrádku nad Nisou</w:t>
            </w:r>
          </w:p>
        </w:tc>
        <w:tc>
          <w:tcPr>
            <w:tcW w:w="5070" w:type="dxa"/>
            <w:shd w:val="clear" w:color="auto" w:fill="D6E3BC" w:themeFill="accent3" w:themeFillTint="66"/>
          </w:tcPr>
          <w:p w14:paraId="51DC2FD0"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na západním okraji zástavby Dolního Sedla, v prostorové proluce podél veřejné komunikace.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smíšené venkovské zástavby, doplňuje oboustranné obestavění komunikace, které je výhodné z urbanistického i ekonomického hlediska a zároveň zajišťuje scelení fragmentované zástavby do kompaktního útvaru. Realizace záměru přispěje k uspokojení poptávky po nových plochách pro bydlení a ke zvýšení kvality a komfortu bydlení v sídle Dolní Sedlo. Vymezení plochy je </w:t>
            </w:r>
            <w:r w:rsidRPr="00BE1F65">
              <w:rPr>
                <w:rFonts w:ascii="Arial Narrow" w:hAnsi="Arial Narrow"/>
                <w:b/>
                <w:lang w:val="cs-CZ"/>
              </w:rPr>
              <w:t>v souladu se současně platným ÚP města, kde již byla řádně projednána a schválena</w:t>
            </w:r>
            <w:r w:rsidRPr="00461C16">
              <w:rPr>
                <w:rFonts w:ascii="Arial Narrow" w:hAnsi="Arial Narrow"/>
                <w:lang w:val="cs-CZ"/>
              </w:rPr>
              <w:t xml:space="preserve">. </w:t>
            </w:r>
          </w:p>
          <w:p w14:paraId="07231FF9" w14:textId="77777777" w:rsidR="00912A28" w:rsidRPr="00E87086" w:rsidRDefault="00912A28"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p>
        </w:tc>
      </w:tr>
      <w:tr w:rsidR="00912A28" w:rsidRPr="00461C16" w14:paraId="14083017" w14:textId="77777777" w:rsidTr="00D95953">
        <w:trPr>
          <w:jc w:val="center"/>
        </w:trPr>
        <w:tc>
          <w:tcPr>
            <w:tcW w:w="1006" w:type="dxa"/>
            <w:shd w:val="clear" w:color="auto" w:fill="D6E3BC" w:themeFill="accent3" w:themeFillTint="66"/>
          </w:tcPr>
          <w:p w14:paraId="130787B4"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Z75</w:t>
            </w:r>
          </w:p>
        </w:tc>
        <w:tc>
          <w:tcPr>
            <w:tcW w:w="1856" w:type="dxa"/>
            <w:shd w:val="clear" w:color="auto" w:fill="D6E3BC" w:themeFill="accent3" w:themeFillTint="66"/>
          </w:tcPr>
          <w:p w14:paraId="22EDD218" w14:textId="77777777" w:rsidR="00912A28" w:rsidRPr="00461C16" w:rsidRDefault="00912A28"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18A1A40F"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Donín u Hrádku nad Nisou</w:t>
            </w:r>
          </w:p>
        </w:tc>
        <w:tc>
          <w:tcPr>
            <w:tcW w:w="5070" w:type="dxa"/>
            <w:shd w:val="clear" w:color="auto" w:fill="D6E3BC" w:themeFill="accent3" w:themeFillTint="66"/>
          </w:tcPr>
          <w:p w14:paraId="0C1F95EA"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na západním okraji zástavby Dolního Sedla, v prostorové proluce podél veřejné komunikace.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smíšené venkovské zástavby, doplňuje oboustranné obestavění komunikace, které je </w:t>
            </w:r>
            <w:r w:rsidRPr="00461C16">
              <w:rPr>
                <w:rFonts w:ascii="Arial Narrow" w:hAnsi="Arial Narrow"/>
                <w:lang w:val="cs-CZ"/>
              </w:rPr>
              <w:lastRenderedPageBreak/>
              <w:t xml:space="preserve">výhodné z urbanistického i ekonomického hlediska a zároveň zajišťuje scelení fragmentované zástavby do kompaktního útvaru. Realizace záměru přispěje k uspokojení poptávky po nových plochách pro bydlení a ke zvýšení kvality a komfortu bydlení v sídle Dolní Sedlo. Vymezení plochy je </w:t>
            </w:r>
            <w:r w:rsidRPr="00BE1F65">
              <w:rPr>
                <w:rFonts w:ascii="Arial Narrow" w:hAnsi="Arial Narrow"/>
                <w:b/>
                <w:lang w:val="cs-CZ"/>
              </w:rPr>
              <w:t>v souladu se současně platným ÚP města, kde již byla řádně projednána a schválena</w:t>
            </w:r>
            <w:r w:rsidRPr="00461C16">
              <w:rPr>
                <w:rFonts w:ascii="Arial Narrow" w:hAnsi="Arial Narrow"/>
                <w:lang w:val="cs-CZ"/>
              </w:rPr>
              <w:t>.</w:t>
            </w:r>
          </w:p>
          <w:p w14:paraId="32C6E9E8" w14:textId="77777777" w:rsidR="00912A28" w:rsidRPr="00461C16" w:rsidRDefault="00912A28"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r w:rsidRPr="00461C16">
              <w:rPr>
                <w:rFonts w:ascii="Arial Narrow" w:hAnsi="Arial Narrow"/>
                <w:lang w:val="cs-CZ"/>
              </w:rPr>
              <w:t xml:space="preserve"> </w:t>
            </w:r>
          </w:p>
        </w:tc>
      </w:tr>
      <w:tr w:rsidR="00912A28" w:rsidRPr="00461C16" w14:paraId="22EE3A36" w14:textId="77777777" w:rsidTr="00D95953">
        <w:trPr>
          <w:jc w:val="center"/>
        </w:trPr>
        <w:tc>
          <w:tcPr>
            <w:tcW w:w="1006" w:type="dxa"/>
            <w:shd w:val="clear" w:color="auto" w:fill="D6E3BC" w:themeFill="accent3" w:themeFillTint="66"/>
          </w:tcPr>
          <w:p w14:paraId="1929AEC9" w14:textId="77777777" w:rsidR="00912A28" w:rsidRPr="00461C16" w:rsidRDefault="00912A28" w:rsidP="00B82079">
            <w:pPr>
              <w:spacing w:before="40" w:line="240" w:lineRule="auto"/>
              <w:jc w:val="left"/>
              <w:rPr>
                <w:color w:val="000000"/>
                <w:sz w:val="20"/>
                <w:szCs w:val="20"/>
              </w:rPr>
            </w:pPr>
            <w:r w:rsidRPr="00461C16">
              <w:rPr>
                <w:color w:val="000000"/>
                <w:sz w:val="20"/>
                <w:szCs w:val="20"/>
              </w:rPr>
              <w:lastRenderedPageBreak/>
              <w:t>Z76</w:t>
            </w:r>
          </w:p>
        </w:tc>
        <w:tc>
          <w:tcPr>
            <w:tcW w:w="1856" w:type="dxa"/>
            <w:shd w:val="clear" w:color="auto" w:fill="D6E3BC" w:themeFill="accent3" w:themeFillTint="66"/>
          </w:tcPr>
          <w:p w14:paraId="6F2312FC" w14:textId="77777777" w:rsidR="00912A28" w:rsidRPr="00461C16" w:rsidRDefault="00912A28"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2F9C2FB4"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Dolní Sedlo</w:t>
            </w:r>
          </w:p>
        </w:tc>
        <w:tc>
          <w:tcPr>
            <w:tcW w:w="5070" w:type="dxa"/>
            <w:shd w:val="clear" w:color="auto" w:fill="D6E3BC" w:themeFill="accent3" w:themeFillTint="66"/>
          </w:tcPr>
          <w:p w14:paraId="15DEE46F"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 xml:space="preserve">Plocha je vymezena na východním okraji zástavby Dolního Sedla, v prostorové proluce podél silnice III/2716, která je páteří a urbanistickou osou sídla.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smíšené venkovské zástavby, doplňuje oboustranné obestavění komunikace, které je výhodné z urbanistického i ekonomického hlediska a zároveň zajišťuje scelení fragmentované zástavby do kompaktního útvaru. Realizace záměru přispěje k uspokojení poptávky po nových plochách pro bydlení a ke zvýšení kvality a komfortu bydlení v sídle Dolní Sedlo. Vymezení plochy je </w:t>
            </w:r>
            <w:r w:rsidRPr="00BE1F65">
              <w:rPr>
                <w:rFonts w:ascii="Arial Narrow" w:hAnsi="Arial Narrow"/>
                <w:b/>
                <w:lang w:val="cs-CZ"/>
              </w:rPr>
              <w:t>v souladu se současně platným ÚP města, kde již byla řádně projednána a schválena</w:t>
            </w:r>
            <w:r w:rsidRPr="00461C16">
              <w:rPr>
                <w:rFonts w:ascii="Arial Narrow" w:hAnsi="Arial Narrow"/>
                <w:lang w:val="cs-CZ"/>
              </w:rPr>
              <w:t xml:space="preserve">. </w:t>
            </w:r>
          </w:p>
        </w:tc>
      </w:tr>
      <w:tr w:rsidR="00912A28" w:rsidRPr="00461C16" w14:paraId="7552CEE8" w14:textId="77777777" w:rsidTr="00D95953">
        <w:trPr>
          <w:jc w:val="center"/>
        </w:trPr>
        <w:tc>
          <w:tcPr>
            <w:tcW w:w="1006" w:type="dxa"/>
            <w:shd w:val="clear" w:color="auto" w:fill="D6E3BC" w:themeFill="accent3" w:themeFillTint="66"/>
          </w:tcPr>
          <w:p w14:paraId="283BF2D3"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Z77</w:t>
            </w:r>
          </w:p>
        </w:tc>
        <w:tc>
          <w:tcPr>
            <w:tcW w:w="1856" w:type="dxa"/>
            <w:shd w:val="clear" w:color="auto" w:fill="D6E3BC" w:themeFill="accent3" w:themeFillTint="66"/>
          </w:tcPr>
          <w:p w14:paraId="1EDF4DE3" w14:textId="77777777" w:rsidR="00912A28" w:rsidRPr="00461C16" w:rsidRDefault="00912A28"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77BBD102"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Dolní Sedlo</w:t>
            </w:r>
          </w:p>
        </w:tc>
        <w:tc>
          <w:tcPr>
            <w:tcW w:w="5070" w:type="dxa"/>
            <w:shd w:val="clear" w:color="auto" w:fill="D6E3BC" w:themeFill="accent3" w:themeFillTint="66"/>
          </w:tcPr>
          <w:p w14:paraId="7B4E27DE"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v centru Dolního Sedla, v prostorové proluce mezi stabilizovanou zástavbou.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smíšené venkovské zástavby a zároveň zajišťuje scelení fragmentované zástavby. Realizace záměru přispěje k uspokojení poptávky po nových plochách pro bydlení a ke zvýšení kvality a komfortu bydlení v sídle Dolní Sedlo. Vymezení plochy je </w:t>
            </w:r>
            <w:r w:rsidRPr="00BE1F65">
              <w:rPr>
                <w:rFonts w:ascii="Arial Narrow" w:hAnsi="Arial Narrow"/>
                <w:b/>
                <w:lang w:val="cs-CZ"/>
              </w:rPr>
              <w:t>v souladu se současně platným ÚP města, kde již byla řádně projednána a schválena</w:t>
            </w:r>
            <w:r w:rsidRPr="00461C16">
              <w:rPr>
                <w:rFonts w:ascii="Arial Narrow" w:hAnsi="Arial Narrow"/>
                <w:lang w:val="cs-CZ"/>
              </w:rPr>
              <w:t xml:space="preserve">. </w:t>
            </w:r>
          </w:p>
          <w:p w14:paraId="005C7074" w14:textId="77777777" w:rsidR="00912A28" w:rsidRPr="00461C16" w:rsidRDefault="00912A28"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p>
        </w:tc>
      </w:tr>
      <w:tr w:rsidR="00912A28" w:rsidRPr="00461C16" w14:paraId="0CF68ADD" w14:textId="77777777" w:rsidTr="00D95953">
        <w:trPr>
          <w:jc w:val="center"/>
        </w:trPr>
        <w:tc>
          <w:tcPr>
            <w:tcW w:w="1006" w:type="dxa"/>
            <w:shd w:val="clear" w:color="auto" w:fill="D6E3BC" w:themeFill="accent3" w:themeFillTint="66"/>
          </w:tcPr>
          <w:p w14:paraId="04D8800A" w14:textId="77777777" w:rsidR="00912A28" w:rsidRPr="00461C16" w:rsidRDefault="00912A28" w:rsidP="00B82079">
            <w:pPr>
              <w:spacing w:before="40" w:line="240" w:lineRule="auto"/>
              <w:jc w:val="left"/>
              <w:rPr>
                <w:color w:val="000000"/>
                <w:sz w:val="20"/>
                <w:szCs w:val="20"/>
              </w:rPr>
            </w:pPr>
            <w:r w:rsidRPr="00461C16">
              <w:rPr>
                <w:color w:val="000000"/>
                <w:sz w:val="20"/>
                <w:szCs w:val="20"/>
              </w:rPr>
              <w:t>Z78</w:t>
            </w:r>
            <w:r w:rsidR="001A75E7">
              <w:rPr>
                <w:color w:val="000000"/>
                <w:sz w:val="20"/>
                <w:szCs w:val="20"/>
              </w:rPr>
              <w:t>A</w:t>
            </w:r>
          </w:p>
        </w:tc>
        <w:tc>
          <w:tcPr>
            <w:tcW w:w="1856" w:type="dxa"/>
            <w:shd w:val="clear" w:color="auto" w:fill="D6E3BC" w:themeFill="accent3" w:themeFillTint="66"/>
          </w:tcPr>
          <w:p w14:paraId="00B4B4C3" w14:textId="77777777" w:rsidR="00912A28" w:rsidRPr="00461C16" w:rsidRDefault="00912A28"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2F874800" w14:textId="77777777" w:rsidR="00912A28" w:rsidRPr="00461C16" w:rsidRDefault="00912A28" w:rsidP="00B82079">
            <w:pPr>
              <w:pStyle w:val="Intabulka"/>
              <w:rPr>
                <w:rFonts w:ascii="Arial Narrow" w:hAnsi="Arial Narrow"/>
                <w:lang w:val="cs-CZ"/>
              </w:rPr>
            </w:pPr>
            <w:r w:rsidRPr="00461C16">
              <w:rPr>
                <w:rFonts w:ascii="Arial Narrow" w:hAnsi="Arial Narrow"/>
                <w:lang w:val="cs-CZ"/>
              </w:rPr>
              <w:t>Dolní Sedlo</w:t>
            </w:r>
          </w:p>
        </w:tc>
        <w:tc>
          <w:tcPr>
            <w:tcW w:w="5070" w:type="dxa"/>
            <w:shd w:val="clear" w:color="auto" w:fill="D6E3BC" w:themeFill="accent3" w:themeFillTint="66"/>
          </w:tcPr>
          <w:p w14:paraId="73E1F373" w14:textId="77777777" w:rsidR="00912A28" w:rsidRDefault="00912A28" w:rsidP="00B82079">
            <w:pPr>
              <w:pStyle w:val="Intabulka"/>
              <w:rPr>
                <w:rFonts w:ascii="Arial Narrow" w:hAnsi="Arial Narrow"/>
                <w:lang w:val="cs-CZ"/>
              </w:rPr>
            </w:pPr>
            <w:r w:rsidRPr="00461C16">
              <w:rPr>
                <w:rFonts w:ascii="Arial Narrow" w:hAnsi="Arial Narrow"/>
                <w:lang w:val="cs-CZ"/>
              </w:rPr>
              <w:t xml:space="preserve">Plocha je vymezena v centru Dolního Sedla, v prostorové proluce mezi stabilizovanou zástavbou, na </w:t>
            </w:r>
            <w:r w:rsidR="001A75E7">
              <w:rPr>
                <w:rFonts w:ascii="Arial Narrow" w:hAnsi="Arial Narrow"/>
                <w:lang w:val="cs-CZ"/>
              </w:rPr>
              <w:t xml:space="preserve">severní </w:t>
            </w:r>
            <w:r w:rsidRPr="00461C16">
              <w:rPr>
                <w:rFonts w:ascii="Arial Narrow" w:hAnsi="Arial Narrow"/>
                <w:lang w:val="cs-CZ"/>
              </w:rPr>
              <w:t>straně přiléhá k </w:t>
            </w:r>
            <w:r w:rsidR="001A75E7">
              <w:rPr>
                <w:rFonts w:ascii="Arial Narrow" w:hAnsi="Arial Narrow"/>
                <w:lang w:val="cs-CZ"/>
              </w:rPr>
              <w:t>místní komunikaci</w:t>
            </w:r>
            <w:r w:rsidRPr="00461C16">
              <w:rPr>
                <w:rFonts w:ascii="Arial Narrow" w:hAnsi="Arial Narrow"/>
                <w:lang w:val="cs-CZ"/>
              </w:rPr>
              <w:t xml:space="preserve">, která </w:t>
            </w:r>
            <w:r w:rsidR="001A75E7">
              <w:rPr>
                <w:rFonts w:ascii="Arial Narrow" w:hAnsi="Arial Narrow"/>
                <w:lang w:val="cs-CZ"/>
              </w:rPr>
              <w:t>zajišťuje dopravní přístup do</w:t>
            </w:r>
            <w:r w:rsidRPr="00461C16">
              <w:rPr>
                <w:rFonts w:ascii="Arial Narrow" w:hAnsi="Arial Narrow"/>
                <w:lang w:val="cs-CZ"/>
              </w:rPr>
              <w:t xml:space="preserve"> sídla.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smíšené venkovské zástavby, doplňuje oboustranné obestavění komunikace, které je výhodné z urbanistického i ekonomického hlediska, a zároveň zajišťuje scelení fragmentované zástavby. Realizace záměru přispěje k uspokojení poptávky po nových plochách pro bydlení a ke zvýšení kvality a komfortu bydlení v sídle Dolní Sedlo. Vymezení plochy je </w:t>
            </w:r>
            <w:r w:rsidRPr="00BE1F65">
              <w:rPr>
                <w:rFonts w:ascii="Arial Narrow" w:hAnsi="Arial Narrow"/>
                <w:b/>
                <w:lang w:val="cs-CZ"/>
              </w:rPr>
              <w:t>v souladu se současně platným ÚP města, kde již byla řádně projednána a schválena</w:t>
            </w:r>
            <w:r w:rsidRPr="00461C16">
              <w:rPr>
                <w:rFonts w:ascii="Arial Narrow" w:hAnsi="Arial Narrow"/>
                <w:lang w:val="cs-CZ"/>
              </w:rPr>
              <w:t>.</w:t>
            </w:r>
          </w:p>
          <w:p w14:paraId="3E458B1C" w14:textId="77777777" w:rsidR="00912A28" w:rsidRPr="00461C16" w:rsidRDefault="00912A28"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w:t>
            </w:r>
            <w:r w:rsidRPr="00E87086">
              <w:rPr>
                <w:rFonts w:ascii="Arial Narrow" w:hAnsi="Arial Narrow"/>
              </w:rPr>
              <w:lastRenderedPageBreak/>
              <w:t>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43CB5F03" w14:textId="77777777" w:rsidTr="00D95953">
        <w:trPr>
          <w:jc w:val="center"/>
        </w:trPr>
        <w:tc>
          <w:tcPr>
            <w:tcW w:w="1006" w:type="dxa"/>
            <w:shd w:val="clear" w:color="auto" w:fill="D6E3BC" w:themeFill="accent3" w:themeFillTint="66"/>
          </w:tcPr>
          <w:p w14:paraId="693A0405" w14:textId="77777777" w:rsidR="001A75E7" w:rsidRPr="00461C16" w:rsidRDefault="001A75E7" w:rsidP="00B82079">
            <w:pPr>
              <w:spacing w:before="40" w:line="240" w:lineRule="auto"/>
              <w:jc w:val="left"/>
              <w:rPr>
                <w:color w:val="000000"/>
                <w:sz w:val="20"/>
                <w:szCs w:val="20"/>
              </w:rPr>
            </w:pPr>
            <w:r w:rsidRPr="00461C16">
              <w:rPr>
                <w:color w:val="000000"/>
                <w:sz w:val="20"/>
                <w:szCs w:val="20"/>
              </w:rPr>
              <w:lastRenderedPageBreak/>
              <w:t>Z78</w:t>
            </w:r>
            <w:r>
              <w:rPr>
                <w:color w:val="000000"/>
                <w:sz w:val="20"/>
                <w:szCs w:val="20"/>
              </w:rPr>
              <w:t>B</w:t>
            </w:r>
          </w:p>
        </w:tc>
        <w:tc>
          <w:tcPr>
            <w:tcW w:w="1856" w:type="dxa"/>
            <w:shd w:val="clear" w:color="auto" w:fill="D6E3BC" w:themeFill="accent3" w:themeFillTint="66"/>
          </w:tcPr>
          <w:p w14:paraId="71B91572" w14:textId="77777777" w:rsidR="001A75E7" w:rsidRPr="00461C16" w:rsidRDefault="001A75E7"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6478AA40"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Sedlo</w:t>
            </w:r>
          </w:p>
        </w:tc>
        <w:tc>
          <w:tcPr>
            <w:tcW w:w="5070" w:type="dxa"/>
            <w:shd w:val="clear" w:color="auto" w:fill="D6E3BC" w:themeFill="accent3" w:themeFillTint="66"/>
          </w:tcPr>
          <w:p w14:paraId="04285290" w14:textId="77777777" w:rsidR="001A75E7" w:rsidRDefault="001A75E7" w:rsidP="00B82079">
            <w:pPr>
              <w:pStyle w:val="Intabulka"/>
              <w:rPr>
                <w:rFonts w:ascii="Arial Narrow" w:hAnsi="Arial Narrow"/>
                <w:lang w:val="cs-CZ"/>
              </w:rPr>
            </w:pPr>
            <w:r w:rsidRPr="00461C16">
              <w:rPr>
                <w:rFonts w:ascii="Arial Narrow" w:hAnsi="Arial Narrow"/>
                <w:lang w:val="cs-CZ"/>
              </w:rPr>
              <w:t xml:space="preserve">Plocha je vymezena v centru Dolního Sedla, v prostorové proluce mezi stabilizovanou zástavbou, na východní straně přiléhá k silnici III/2716, která je páteří a urbanistickou osou sídla. </w:t>
            </w:r>
            <w:r w:rsidRPr="006F038D">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smíšené venkovské zástavby, doplňuje oboustranné obestavění komunikace, které je výhodné z urbanistického i ekonomického hlediska, a zároveň zajišťuje scelení fragmentované zástavby. Realizace záměru přispěje k uspokojení poptávky po nových plochách pro bydlení a ke zvýšení kvality a komfortu bydlení v sídle Dolní Sedlo. Vymezení plochy je </w:t>
            </w:r>
            <w:r w:rsidRPr="00BE1F65">
              <w:rPr>
                <w:rFonts w:ascii="Arial Narrow" w:hAnsi="Arial Narrow"/>
                <w:b/>
                <w:lang w:val="cs-CZ"/>
              </w:rPr>
              <w:t>v souladu se současně platným ÚP města, kde již byla řádně projednána a schválena</w:t>
            </w:r>
            <w:r w:rsidRPr="00461C16">
              <w:rPr>
                <w:rFonts w:ascii="Arial Narrow" w:hAnsi="Arial Narrow"/>
                <w:lang w:val="cs-CZ"/>
              </w:rPr>
              <w:t>.</w:t>
            </w:r>
          </w:p>
          <w:p w14:paraId="19F414B7"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7E22A12D" w14:textId="77777777" w:rsidTr="00D95953">
        <w:trPr>
          <w:jc w:val="center"/>
        </w:trPr>
        <w:tc>
          <w:tcPr>
            <w:tcW w:w="1006" w:type="dxa"/>
            <w:shd w:val="clear" w:color="auto" w:fill="FBF8B5"/>
          </w:tcPr>
          <w:p w14:paraId="6C08C835"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Z79</w:t>
            </w:r>
          </w:p>
        </w:tc>
        <w:tc>
          <w:tcPr>
            <w:tcW w:w="1856" w:type="dxa"/>
            <w:shd w:val="clear" w:color="auto" w:fill="FBF8B5"/>
          </w:tcPr>
          <w:p w14:paraId="27F59C75" w14:textId="77777777" w:rsidR="001A75E7" w:rsidRPr="00461C16" w:rsidRDefault="001A75E7"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FBF8B5"/>
          </w:tcPr>
          <w:p w14:paraId="147FEA15"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Sedlo</w:t>
            </w:r>
          </w:p>
        </w:tc>
        <w:tc>
          <w:tcPr>
            <w:tcW w:w="5070" w:type="dxa"/>
            <w:shd w:val="clear" w:color="auto" w:fill="FBF8B5"/>
          </w:tcPr>
          <w:p w14:paraId="0A43D63D" w14:textId="77777777" w:rsidR="001A75E7" w:rsidRDefault="001A75E7" w:rsidP="00B82079">
            <w:pPr>
              <w:pStyle w:val="Intabulka"/>
              <w:rPr>
                <w:rFonts w:ascii="Arial Narrow" w:hAnsi="Arial Narrow"/>
                <w:color w:val="FF0000"/>
                <w:lang w:val="cs-CZ"/>
              </w:rPr>
            </w:pPr>
            <w:r w:rsidRPr="00461C16">
              <w:rPr>
                <w:rFonts w:ascii="Arial Narrow" w:hAnsi="Arial Narrow"/>
                <w:lang w:val="cs-CZ"/>
              </w:rPr>
              <w:t xml:space="preserve">Plocha je vymezena na jižním okraji zástavby Dolního Sedla, v návaznosti na hranici zastavěného území. Vymezení plochy umožňuje rozvoj přilehlé smíšené venkovské zástavby, </w:t>
            </w:r>
            <w:r w:rsidRPr="00BE1F65">
              <w:rPr>
                <w:rFonts w:ascii="Arial Narrow" w:hAnsi="Arial Narrow"/>
                <w:b/>
                <w:lang w:val="cs-CZ"/>
              </w:rPr>
              <w:t>v souladu s</w:t>
            </w:r>
            <w:r>
              <w:rPr>
                <w:rFonts w:ascii="Arial Narrow" w:hAnsi="Arial Narrow"/>
                <w:b/>
                <w:lang w:val="cs-CZ"/>
              </w:rPr>
              <w:t>e současně platným ÚP města, kde již byl záměr řádně projednán a schválen, zčásti je potvrzen i</w:t>
            </w:r>
            <w:r w:rsidRPr="00BE1F65">
              <w:rPr>
                <w:rFonts w:ascii="Arial Narrow" w:hAnsi="Arial Narrow"/>
                <w:b/>
                <w:lang w:val="cs-CZ"/>
              </w:rPr>
              <w:t> požadavkem schváleného Zadání ÚP</w:t>
            </w:r>
            <w:r w:rsidRPr="00461C16">
              <w:rPr>
                <w:rFonts w:ascii="Arial Narrow" w:hAnsi="Arial Narrow"/>
                <w:lang w:val="cs-CZ"/>
              </w:rPr>
              <w:t xml:space="preserve"> – dle požadavku vlastníka pozemku. Realizace záměru přispěje k uspokojení poptávky po nových plochách pro bydlení a ke zvýšení kvality a komfortu bydlení v sídle Dolní Sedlo. </w:t>
            </w:r>
          </w:p>
          <w:p w14:paraId="677E94E2" w14:textId="77777777" w:rsidR="001A75E7" w:rsidRPr="00E87086" w:rsidRDefault="001A75E7" w:rsidP="00B82079">
            <w:pPr>
              <w:pStyle w:val="Intabulka"/>
              <w:rPr>
                <w:rFonts w:ascii="Arial Narrow" w:hAnsi="Arial Narrow"/>
                <w:color w:val="FF0000"/>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a kvalitní urbanistické a krajinářské koncepce, přičemž kvalita prostředí je zajištěna lokalizací plochy ve vazbě na zastavěné území a stanovením adekvátních podmínek využití včetně podmínek prostorového uspořádání.</w:t>
            </w:r>
          </w:p>
        </w:tc>
      </w:tr>
      <w:tr w:rsidR="001A75E7" w:rsidRPr="00461C16" w14:paraId="76EFE3D2" w14:textId="77777777" w:rsidTr="00D95953">
        <w:trPr>
          <w:trHeight w:val="3189"/>
          <w:jc w:val="center"/>
        </w:trPr>
        <w:tc>
          <w:tcPr>
            <w:tcW w:w="1006" w:type="dxa"/>
            <w:shd w:val="clear" w:color="auto" w:fill="D6E3BC" w:themeFill="accent3" w:themeFillTint="66"/>
          </w:tcPr>
          <w:p w14:paraId="118E3DF3"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Z84</w:t>
            </w:r>
          </w:p>
        </w:tc>
        <w:tc>
          <w:tcPr>
            <w:tcW w:w="1856" w:type="dxa"/>
            <w:shd w:val="clear" w:color="auto" w:fill="D6E3BC" w:themeFill="accent3" w:themeFillTint="66"/>
          </w:tcPr>
          <w:p w14:paraId="18EB5DD5"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187B83F5"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Sedlo</w:t>
            </w:r>
          </w:p>
        </w:tc>
        <w:tc>
          <w:tcPr>
            <w:tcW w:w="5070" w:type="dxa"/>
            <w:shd w:val="clear" w:color="auto" w:fill="D6E3BC" w:themeFill="accent3" w:themeFillTint="66"/>
          </w:tcPr>
          <w:p w14:paraId="5581FDBB"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 xml:space="preserve">Plocha je vymezena na východním okraji zástavby Horního Sedla, v prostorové proluce podél silnice III/2716, která je páteří a urbanistickou osou sídla. </w:t>
            </w:r>
            <w:r w:rsidRPr="00323925">
              <w:rPr>
                <w:rFonts w:ascii="Arial Narrow" w:hAnsi="Arial Narrow"/>
                <w:b/>
                <w:lang w:val="cs-CZ"/>
              </w:rPr>
              <w:t>Využití proluky směřuje k hospodárnému a účelnému využívání území</w:t>
            </w:r>
            <w:r w:rsidRPr="00461C16">
              <w:rPr>
                <w:rFonts w:ascii="Arial Narrow" w:hAnsi="Arial Narrow"/>
                <w:lang w:val="cs-CZ"/>
              </w:rPr>
              <w:t xml:space="preserve">. Vymezení plochy umožňuje rozvoj přilehlé venkovské obytné zástavby, doplňuje oboustranné obestavění komunikace, které je výhodné z urbanistického i ekonomického hlediska a zároveň zajišťuje </w:t>
            </w:r>
            <w:r w:rsidRPr="00323925">
              <w:rPr>
                <w:rFonts w:ascii="Arial Narrow" w:hAnsi="Arial Narrow"/>
                <w:b/>
                <w:lang w:val="cs-CZ"/>
              </w:rPr>
              <w:t>scelení fragmentované zástavby</w:t>
            </w:r>
            <w:r w:rsidRPr="00461C16">
              <w:rPr>
                <w:rFonts w:ascii="Arial Narrow" w:hAnsi="Arial Narrow"/>
                <w:lang w:val="cs-CZ"/>
              </w:rPr>
              <w:t xml:space="preserve">. Realizace záměru přispěje k uspokojení poptávky po nových plochách pro bydlení a ke zvýšení kvality a komfortu bydlení v sídle Horní Sedlo. Vymezení plochy </w:t>
            </w:r>
            <w:r w:rsidRPr="00323925">
              <w:rPr>
                <w:rFonts w:ascii="Arial Narrow" w:hAnsi="Arial Narrow"/>
                <w:b/>
                <w:lang w:val="cs-CZ"/>
              </w:rPr>
              <w:t>je v souladu se současně platným ÚP města, kde již byla řádně projednána a schválena</w:t>
            </w:r>
            <w:r>
              <w:rPr>
                <w:rFonts w:ascii="Arial Narrow" w:hAnsi="Arial Narrow"/>
                <w:b/>
                <w:lang w:val="cs-CZ"/>
              </w:rPr>
              <w:t xml:space="preserve">, </w:t>
            </w:r>
            <w:r>
              <w:rPr>
                <w:rFonts w:ascii="Arial Narrow" w:hAnsi="Arial Narrow"/>
                <w:lang w:val="cs-CZ"/>
              </w:rPr>
              <w:t xml:space="preserve">oproti schválenému rozsahu </w:t>
            </w:r>
            <w:r w:rsidRPr="00123910">
              <w:rPr>
                <w:rFonts w:ascii="Arial Narrow" w:hAnsi="Arial Narrow"/>
                <w:b/>
                <w:lang w:val="cs-CZ"/>
              </w:rPr>
              <w:t>je plocha redukována</w:t>
            </w:r>
            <w:r>
              <w:rPr>
                <w:rFonts w:ascii="Arial Narrow" w:hAnsi="Arial Narrow"/>
                <w:lang w:val="cs-CZ"/>
              </w:rPr>
              <w:t xml:space="preserve"> pouze na část přímo přiléhající ke komunikaci, v severní části</w:t>
            </w:r>
            <w:r w:rsidRPr="00461C16">
              <w:rPr>
                <w:rFonts w:ascii="Arial Narrow" w:hAnsi="Arial Narrow"/>
                <w:lang w:val="cs-CZ"/>
              </w:rPr>
              <w:t>. Plocha zabírá pouze půdu nižší třídy ochrany.</w:t>
            </w:r>
          </w:p>
        </w:tc>
      </w:tr>
      <w:tr w:rsidR="001A75E7" w:rsidRPr="00461C16" w14:paraId="4D6CA2E9" w14:textId="77777777" w:rsidTr="00D95953">
        <w:trPr>
          <w:jc w:val="center"/>
        </w:trPr>
        <w:tc>
          <w:tcPr>
            <w:tcW w:w="1006" w:type="dxa"/>
            <w:shd w:val="clear" w:color="auto" w:fill="FBF8B5"/>
          </w:tcPr>
          <w:p w14:paraId="6C03D6EA"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Z85</w:t>
            </w:r>
          </w:p>
        </w:tc>
        <w:tc>
          <w:tcPr>
            <w:tcW w:w="1856" w:type="dxa"/>
            <w:shd w:val="clear" w:color="auto" w:fill="FBF8B5"/>
          </w:tcPr>
          <w:p w14:paraId="6A58B0F0" w14:textId="77777777" w:rsidR="001A75E7" w:rsidRPr="00461C16" w:rsidRDefault="001A75E7"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FBF8B5"/>
          </w:tcPr>
          <w:p w14:paraId="6788D09C"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FBF8B5"/>
          </w:tcPr>
          <w:p w14:paraId="06B7E052" w14:textId="77777777" w:rsidR="001A75E7" w:rsidRDefault="001A75E7" w:rsidP="00B82079">
            <w:pPr>
              <w:pStyle w:val="Intabulka"/>
              <w:rPr>
                <w:rFonts w:ascii="Arial Narrow" w:hAnsi="Arial Narrow"/>
                <w:lang w:val="cs-CZ"/>
              </w:rPr>
            </w:pPr>
            <w:r w:rsidRPr="00461C16">
              <w:rPr>
                <w:rFonts w:ascii="Arial Narrow" w:hAnsi="Arial Narrow"/>
                <w:lang w:val="cs-CZ"/>
              </w:rPr>
              <w:t xml:space="preserve">Plocha je vymezena na jižním okraji zástavby centra Dolní Suché, na hranici zastavěného území, </w:t>
            </w:r>
            <w:r w:rsidRPr="00323925">
              <w:rPr>
                <w:rFonts w:ascii="Arial Narrow" w:hAnsi="Arial Narrow"/>
                <w:b/>
              </w:rPr>
              <w:t xml:space="preserve">v souladu s požadavkem </w:t>
            </w:r>
            <w:r w:rsidRPr="00323925">
              <w:rPr>
                <w:rFonts w:ascii="Arial Narrow" w:hAnsi="Arial Narrow"/>
                <w:b/>
              </w:rPr>
              <w:lastRenderedPageBreak/>
              <w:t>schváleného Zadání ÚP</w:t>
            </w:r>
            <w:r w:rsidRPr="00461C16">
              <w:rPr>
                <w:rFonts w:ascii="Arial Narrow" w:hAnsi="Arial Narrow"/>
                <w:lang w:val="cs-CZ"/>
              </w:rPr>
              <w:t xml:space="preserve"> – dle požadavku vlastníka. Umožňuje rozvoj přilehlé smíšené venkovské zástavby, přispívá k uspokojení poptávky po nových plochách pro bydlení a zároveň ke zvýšení kvality a komfortu bydlení v sídle Dolní Suchá.</w:t>
            </w:r>
          </w:p>
          <w:p w14:paraId="57254FA0"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a kvalitní urbanistické a krajinářské koncepce, přičemž kvalita prostředí je zajištěna lokalizací plochy ve vazbě na zastavěné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2DD6A7A6" w14:textId="77777777" w:rsidTr="00D95953">
        <w:trPr>
          <w:jc w:val="center"/>
        </w:trPr>
        <w:tc>
          <w:tcPr>
            <w:tcW w:w="1006" w:type="dxa"/>
            <w:shd w:val="clear" w:color="auto" w:fill="D6E3BC" w:themeFill="accent3" w:themeFillTint="66"/>
          </w:tcPr>
          <w:p w14:paraId="5BB2B32A" w14:textId="77777777" w:rsidR="001A75E7" w:rsidRPr="00461C16" w:rsidRDefault="001A75E7" w:rsidP="00B82079">
            <w:pPr>
              <w:spacing w:before="40" w:line="240" w:lineRule="auto"/>
              <w:jc w:val="left"/>
              <w:rPr>
                <w:color w:val="000000"/>
                <w:sz w:val="20"/>
                <w:szCs w:val="20"/>
              </w:rPr>
            </w:pPr>
            <w:r w:rsidRPr="00461C16">
              <w:rPr>
                <w:color w:val="000000"/>
                <w:sz w:val="20"/>
                <w:szCs w:val="20"/>
              </w:rPr>
              <w:lastRenderedPageBreak/>
              <w:t>Z86</w:t>
            </w:r>
          </w:p>
        </w:tc>
        <w:tc>
          <w:tcPr>
            <w:tcW w:w="1856" w:type="dxa"/>
            <w:shd w:val="clear" w:color="auto" w:fill="D6E3BC" w:themeFill="accent3" w:themeFillTint="66"/>
          </w:tcPr>
          <w:p w14:paraId="71902906" w14:textId="77777777" w:rsidR="001A75E7" w:rsidRPr="00461C16" w:rsidRDefault="001A75E7"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4282B20E"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D6E3BC" w:themeFill="accent3" w:themeFillTint="66"/>
          </w:tcPr>
          <w:p w14:paraId="2AF5AC10"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 xml:space="preserve">Plocha je vymezena na jižním okraji zástavby centra Dolní Suché, podél silnice III/2711, která tvoří páteř a urbanistickou osu sídla. Umožňuje rozvoj přilehlé smíšené venkovské zástavby, doplňuje oboustranné obestavění komunikace, které je výhodné z urbanistického i ekonomického hlediska a zajišťuje scelení fragmentované zástavby. Realizace záměru přispěje k uspokojení poptávky po nových plochách pro bydlení a ke zvýšení kvality a komfortu bydlení v sídle Dolní Suchá. Vymezení plochy je </w:t>
            </w:r>
            <w:r w:rsidRPr="00323925">
              <w:rPr>
                <w:rFonts w:ascii="Arial Narrow" w:hAnsi="Arial Narrow"/>
                <w:b/>
                <w:lang w:val="cs-CZ"/>
              </w:rPr>
              <w:t>v souladu se současně platným ÚP města, kde již byla řádně projednána a schválena</w:t>
            </w:r>
            <w:r w:rsidRPr="00461C16">
              <w:rPr>
                <w:rFonts w:ascii="Arial Narrow" w:hAnsi="Arial Narrow"/>
                <w:lang w:val="cs-CZ"/>
              </w:rPr>
              <w:t>. Plocha zabírá pouze půdu nižší (IV. a V.) třídy ochrany.</w:t>
            </w:r>
          </w:p>
        </w:tc>
      </w:tr>
      <w:tr w:rsidR="001A75E7" w:rsidRPr="00461C16" w14:paraId="5161A263" w14:textId="77777777" w:rsidTr="00D95953">
        <w:trPr>
          <w:jc w:val="center"/>
        </w:trPr>
        <w:tc>
          <w:tcPr>
            <w:tcW w:w="1006" w:type="dxa"/>
            <w:shd w:val="clear" w:color="auto" w:fill="auto"/>
          </w:tcPr>
          <w:p w14:paraId="1EEA49DF"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Z87</w:t>
            </w:r>
          </w:p>
        </w:tc>
        <w:tc>
          <w:tcPr>
            <w:tcW w:w="1856" w:type="dxa"/>
            <w:shd w:val="clear" w:color="auto" w:fill="auto"/>
          </w:tcPr>
          <w:p w14:paraId="1D20BD31" w14:textId="77777777" w:rsidR="001A75E7" w:rsidRPr="00461C16" w:rsidRDefault="001A75E7" w:rsidP="00B82079">
            <w:pPr>
              <w:spacing w:before="40" w:line="240" w:lineRule="auto"/>
              <w:jc w:val="left"/>
              <w:rPr>
                <w:sz w:val="20"/>
                <w:szCs w:val="20"/>
              </w:rPr>
            </w:pPr>
            <w:r w:rsidRPr="00461C16">
              <w:rPr>
                <w:sz w:val="20"/>
                <w:szCs w:val="20"/>
              </w:rPr>
              <w:t>BV – bydlení venkovské</w:t>
            </w:r>
          </w:p>
        </w:tc>
        <w:tc>
          <w:tcPr>
            <w:tcW w:w="1356" w:type="dxa"/>
          </w:tcPr>
          <w:p w14:paraId="0C06B7BA"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auto"/>
          </w:tcPr>
          <w:p w14:paraId="78C31383" w14:textId="5E35E6FC" w:rsidR="001A75E7" w:rsidRDefault="001A75E7" w:rsidP="00B82079">
            <w:pPr>
              <w:pStyle w:val="Intabulka"/>
              <w:rPr>
                <w:rFonts w:ascii="Arial Narrow" w:hAnsi="Arial Narrow"/>
                <w:lang w:val="cs-CZ"/>
              </w:rPr>
            </w:pPr>
            <w:r w:rsidRPr="00461C16">
              <w:rPr>
                <w:rFonts w:ascii="Arial Narrow" w:hAnsi="Arial Narrow"/>
                <w:lang w:val="cs-CZ"/>
              </w:rPr>
              <w:t>Plocha je vymezena na západním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a zároveň zajišťuje </w:t>
            </w:r>
            <w:r w:rsidRPr="00323925">
              <w:rPr>
                <w:rFonts w:ascii="Arial Narrow" w:hAnsi="Arial Narrow"/>
                <w:b/>
                <w:lang w:val="cs-CZ"/>
              </w:rPr>
              <w:t xml:space="preserve">scelení fragmentované zástavby </w:t>
            </w:r>
            <w:r w:rsidRPr="00461C16">
              <w:rPr>
                <w:rFonts w:ascii="Arial Narrow" w:hAnsi="Arial Narrow"/>
                <w:lang w:val="cs-CZ"/>
              </w:rPr>
              <w:t>do kompaktního útvaru. Realizace záměru přispěje k uspokojení poptávky po nových plochách pro bydlení a ke zvýšení kvality a komfortu bydlení v sídle Dolní Suchá.</w:t>
            </w:r>
          </w:p>
          <w:p w14:paraId="6ED08A97"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a kvalitní urbanistické a krajinářské koncepce, přičemž kvalita prostředí je zajištěna lokalizací plochy ve vazbě na zastavěné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6EFBAE29" w14:textId="77777777" w:rsidTr="00D95953">
        <w:trPr>
          <w:jc w:val="center"/>
        </w:trPr>
        <w:tc>
          <w:tcPr>
            <w:tcW w:w="1006" w:type="dxa"/>
            <w:shd w:val="clear" w:color="auto" w:fill="auto"/>
          </w:tcPr>
          <w:p w14:paraId="299FA095"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Z88</w:t>
            </w:r>
          </w:p>
        </w:tc>
        <w:tc>
          <w:tcPr>
            <w:tcW w:w="1856" w:type="dxa"/>
            <w:shd w:val="clear" w:color="auto" w:fill="auto"/>
          </w:tcPr>
          <w:p w14:paraId="6BE04E31"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tcPr>
          <w:p w14:paraId="17249461"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auto"/>
          </w:tcPr>
          <w:p w14:paraId="715D1A56" w14:textId="54EB2D55" w:rsidR="001A75E7" w:rsidRDefault="001A75E7" w:rsidP="00B82079">
            <w:pPr>
              <w:pStyle w:val="Intabulka"/>
              <w:rPr>
                <w:rFonts w:ascii="Arial Narrow" w:hAnsi="Arial Narrow"/>
                <w:lang w:val="cs-CZ"/>
              </w:rPr>
            </w:pPr>
            <w:r w:rsidRPr="00461C16">
              <w:rPr>
                <w:rFonts w:ascii="Arial Narrow" w:hAnsi="Arial Narrow"/>
                <w:lang w:val="cs-CZ"/>
              </w:rPr>
              <w:t>Plocha je vymezena na západním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a zároveň zajišťuje </w:t>
            </w:r>
            <w:r w:rsidRPr="00323925">
              <w:rPr>
                <w:rFonts w:ascii="Arial Narrow" w:hAnsi="Arial Narrow"/>
                <w:b/>
                <w:lang w:val="cs-CZ"/>
              </w:rPr>
              <w:t xml:space="preserve">scelení fragmentované zástavby </w:t>
            </w:r>
            <w:r w:rsidRPr="00461C16">
              <w:rPr>
                <w:rFonts w:ascii="Arial Narrow" w:hAnsi="Arial Narrow"/>
                <w:lang w:val="cs-CZ"/>
              </w:rPr>
              <w:t>do kompaktního útvaru. Realizace záměru přispěje k uspokojení poptávky po nových plochách pro bydlení a ke zvýšení kvality a komfortu bydlení v sídle Dolní Suchá.</w:t>
            </w:r>
          </w:p>
          <w:p w14:paraId="1BC851ED"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a kvalitní urbanistické a krajinářské koncepce, přičemž kvalita prostředí je zajištěna lokalizací plochy ve vazbě na zastavěné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341E4D1C" w14:textId="77777777" w:rsidTr="00D95953">
        <w:trPr>
          <w:jc w:val="center"/>
        </w:trPr>
        <w:tc>
          <w:tcPr>
            <w:tcW w:w="1006" w:type="dxa"/>
            <w:shd w:val="clear" w:color="auto" w:fill="FBF8B5"/>
          </w:tcPr>
          <w:p w14:paraId="48555C85"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Z89</w:t>
            </w:r>
          </w:p>
        </w:tc>
        <w:tc>
          <w:tcPr>
            <w:tcW w:w="1856" w:type="dxa"/>
            <w:shd w:val="clear" w:color="auto" w:fill="FBF8B5"/>
          </w:tcPr>
          <w:p w14:paraId="0DCB3D73"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FBF8B5"/>
          </w:tcPr>
          <w:p w14:paraId="4901242B"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FBF8B5"/>
          </w:tcPr>
          <w:p w14:paraId="4BD552B9" w14:textId="5D370346" w:rsidR="001A75E7" w:rsidRDefault="001A75E7" w:rsidP="00B82079">
            <w:pPr>
              <w:pStyle w:val="Intabulka"/>
              <w:rPr>
                <w:rFonts w:ascii="Arial Narrow" w:hAnsi="Arial Narrow"/>
                <w:lang w:val="cs-CZ"/>
              </w:rPr>
            </w:pPr>
            <w:r w:rsidRPr="00461C16">
              <w:rPr>
                <w:rFonts w:ascii="Arial Narrow" w:hAnsi="Arial Narrow"/>
                <w:lang w:val="cs-CZ"/>
              </w:rPr>
              <w:t>Plocha je vymezena na západním okraji zástavby Dolní Suché,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v jižním směru až k veřejné komunikaci. Realizace záměru přispěje k uspokojení poptávky po nových plochách pro bydlení a ke zvýšení kvality a komfortu bydlení v sídle Dolní Suchá. Vymezení plochy vychází </w:t>
            </w:r>
            <w:r w:rsidRPr="00323925">
              <w:rPr>
                <w:rFonts w:ascii="Arial Narrow" w:hAnsi="Arial Narrow"/>
                <w:b/>
                <w:lang w:val="cs-CZ"/>
              </w:rPr>
              <w:t>ze současně platného ÚP města, kde je plocha vymezena jako stabilizovaná, přestože reálně není zastavěná</w:t>
            </w:r>
            <w:r>
              <w:rPr>
                <w:rFonts w:ascii="Arial Narrow" w:hAnsi="Arial Narrow"/>
                <w:b/>
                <w:lang w:val="cs-CZ"/>
              </w:rPr>
              <w:t xml:space="preserve"> </w:t>
            </w:r>
            <w:r w:rsidRPr="00323925">
              <w:rPr>
                <w:rFonts w:ascii="Arial Narrow" w:hAnsi="Arial Narrow"/>
                <w:lang w:val="cs-CZ"/>
              </w:rPr>
              <w:t xml:space="preserve">– v souladu s §58 stavebního zákona tak v novém ÚP Hrádek nad </w:t>
            </w:r>
            <w:r w:rsidRPr="00323925">
              <w:rPr>
                <w:rFonts w:ascii="Arial Narrow" w:hAnsi="Arial Narrow"/>
                <w:lang w:val="cs-CZ"/>
              </w:rPr>
              <w:lastRenderedPageBreak/>
              <w:t>Nisou nelze tuto plochu zahrnout do zastavěného území</w:t>
            </w:r>
            <w:r w:rsidRPr="00461C16">
              <w:rPr>
                <w:rFonts w:ascii="Arial Narrow" w:hAnsi="Arial Narrow"/>
                <w:lang w:val="cs-CZ"/>
              </w:rPr>
              <w:t xml:space="preserve">. </w:t>
            </w:r>
          </w:p>
          <w:p w14:paraId="51D35986"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ve vazbě na zastavěné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741CC400" w14:textId="77777777" w:rsidTr="00D95953">
        <w:trPr>
          <w:jc w:val="center"/>
        </w:trPr>
        <w:tc>
          <w:tcPr>
            <w:tcW w:w="1006" w:type="dxa"/>
            <w:shd w:val="clear" w:color="auto" w:fill="D6E3BC" w:themeFill="accent3" w:themeFillTint="66"/>
          </w:tcPr>
          <w:p w14:paraId="09810670" w14:textId="77777777" w:rsidR="001A75E7" w:rsidRPr="00461C16" w:rsidRDefault="001A75E7" w:rsidP="00B82079">
            <w:pPr>
              <w:spacing w:before="40" w:line="240" w:lineRule="auto"/>
              <w:jc w:val="left"/>
              <w:rPr>
                <w:color w:val="000000"/>
                <w:sz w:val="20"/>
                <w:szCs w:val="20"/>
              </w:rPr>
            </w:pPr>
            <w:r w:rsidRPr="00461C16">
              <w:rPr>
                <w:color w:val="000000"/>
                <w:sz w:val="20"/>
                <w:szCs w:val="20"/>
              </w:rPr>
              <w:lastRenderedPageBreak/>
              <w:t>Z90</w:t>
            </w:r>
          </w:p>
        </w:tc>
        <w:tc>
          <w:tcPr>
            <w:tcW w:w="1856" w:type="dxa"/>
            <w:shd w:val="clear" w:color="auto" w:fill="D6E3BC" w:themeFill="accent3" w:themeFillTint="66"/>
          </w:tcPr>
          <w:p w14:paraId="35E0B34E"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084B8F28"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D6E3BC" w:themeFill="accent3" w:themeFillTint="66"/>
          </w:tcPr>
          <w:p w14:paraId="55BFA083" w14:textId="228575C3" w:rsidR="001A75E7" w:rsidRDefault="001A75E7" w:rsidP="00B82079">
            <w:pPr>
              <w:pStyle w:val="Intabulka"/>
              <w:rPr>
                <w:rFonts w:ascii="Arial Narrow" w:hAnsi="Arial Narrow"/>
                <w:lang w:val="cs-CZ"/>
              </w:rPr>
            </w:pPr>
            <w:r w:rsidRPr="00461C16">
              <w:rPr>
                <w:rFonts w:ascii="Arial Narrow" w:hAnsi="Arial Narrow"/>
                <w:lang w:val="cs-CZ"/>
              </w:rPr>
              <w:t>Plocha je vymezena na západním okraji zástavby Dolní Suché,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venkovské obytné zástavby </w:t>
            </w:r>
            <w:r w:rsidRPr="00323925">
              <w:rPr>
                <w:rFonts w:ascii="Arial Narrow" w:hAnsi="Arial Narrow"/>
                <w:b/>
                <w:lang w:val="cs-CZ"/>
              </w:rPr>
              <w:t>v souladu se současně platným ÚP města, kde je plocha vymezena jako stabilizovaná, přestože reálně není zastavěná</w:t>
            </w:r>
            <w:r>
              <w:rPr>
                <w:rFonts w:ascii="Arial Narrow" w:hAnsi="Arial Narrow"/>
                <w:b/>
                <w:lang w:val="cs-CZ"/>
              </w:rPr>
              <w:t xml:space="preserve"> </w:t>
            </w:r>
            <w:r w:rsidRPr="00323925">
              <w:rPr>
                <w:rFonts w:ascii="Arial Narrow" w:hAnsi="Arial Narrow"/>
                <w:lang w:val="cs-CZ"/>
              </w:rPr>
              <w:t>– v souladu s §58 stavebního zákona tak v novém ÚP Hrádek nad Nisou nelze tuto plochu zahrnout do zastavěného území</w:t>
            </w:r>
            <w:r w:rsidRPr="00461C16">
              <w:rPr>
                <w:rFonts w:ascii="Arial Narrow" w:hAnsi="Arial Narrow"/>
                <w:lang w:val="cs-CZ"/>
              </w:rPr>
              <w:t xml:space="preserve">. Realizace záměru přispěje k uspokojení poptávky po nových plochách pro bydlení a ke zvýšení kvality a komfortu bydlení v sídle Dolní Suchá. </w:t>
            </w:r>
          </w:p>
          <w:p w14:paraId="337D9729"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stanovením adekvátních podmínek využití včetně podmínek prostorového uspořádání.</w:t>
            </w:r>
            <w:r w:rsidRPr="00461C16">
              <w:rPr>
                <w:rFonts w:ascii="Arial Narrow" w:hAnsi="Arial Narrow"/>
                <w:lang w:val="cs-CZ"/>
              </w:rPr>
              <w:t xml:space="preserve">  </w:t>
            </w:r>
          </w:p>
        </w:tc>
      </w:tr>
      <w:tr w:rsidR="001A75E7" w:rsidRPr="00461C16" w14:paraId="76709AEC" w14:textId="77777777" w:rsidTr="00D95953">
        <w:trPr>
          <w:jc w:val="center"/>
        </w:trPr>
        <w:tc>
          <w:tcPr>
            <w:tcW w:w="1006" w:type="dxa"/>
            <w:shd w:val="clear" w:color="auto" w:fill="auto"/>
          </w:tcPr>
          <w:p w14:paraId="0E98387A"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Z91</w:t>
            </w:r>
          </w:p>
        </w:tc>
        <w:tc>
          <w:tcPr>
            <w:tcW w:w="1856" w:type="dxa"/>
            <w:shd w:val="clear" w:color="auto" w:fill="auto"/>
          </w:tcPr>
          <w:p w14:paraId="00BB5932"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tcPr>
          <w:p w14:paraId="2E598179"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auto"/>
          </w:tcPr>
          <w:p w14:paraId="3AC8BC2D" w14:textId="750391CE" w:rsidR="001A75E7" w:rsidRDefault="001A75E7" w:rsidP="00B82079">
            <w:pPr>
              <w:pStyle w:val="Intabulka"/>
              <w:rPr>
                <w:rFonts w:ascii="Arial Narrow" w:hAnsi="Arial Narrow"/>
                <w:lang w:val="cs-CZ"/>
              </w:rPr>
            </w:pPr>
            <w:r w:rsidRPr="00461C16">
              <w:rPr>
                <w:rFonts w:ascii="Arial Narrow" w:hAnsi="Arial Narrow"/>
                <w:lang w:val="cs-CZ"/>
              </w:rPr>
              <w:t>Plocha je vymezena na jihozápadním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a zároveň zajišťuje </w:t>
            </w:r>
            <w:r w:rsidRPr="00323925">
              <w:rPr>
                <w:rFonts w:ascii="Arial Narrow" w:hAnsi="Arial Narrow"/>
                <w:b/>
                <w:lang w:val="cs-CZ"/>
              </w:rPr>
              <w:t>scelení fragmentované zástavby</w:t>
            </w:r>
            <w:r w:rsidRPr="00461C16">
              <w:rPr>
                <w:rFonts w:ascii="Arial Narrow" w:hAnsi="Arial Narrow"/>
                <w:lang w:val="cs-CZ"/>
              </w:rPr>
              <w:t xml:space="preserve"> do kompaktního útvaru. Realizace záměru přispěje k uspokojení poptávky po nových plochách pro bydlení a ke zvýšení kvality a komfortu bydlení v sídle Dolní Suchá.</w:t>
            </w:r>
          </w:p>
          <w:p w14:paraId="41E7D8AF"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a kvalitní urbanistické a krajinářské koncepce, přičemž kvalita prostředí je zajištěna lokalizací plochy ve vazbě na zastavěné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2090FD17" w14:textId="77777777" w:rsidTr="00D95953">
        <w:trPr>
          <w:jc w:val="center"/>
        </w:trPr>
        <w:tc>
          <w:tcPr>
            <w:tcW w:w="1006" w:type="dxa"/>
            <w:shd w:val="clear" w:color="auto" w:fill="D6E3BC" w:themeFill="accent3" w:themeFillTint="66"/>
          </w:tcPr>
          <w:p w14:paraId="58F43868"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Z92</w:t>
            </w:r>
          </w:p>
        </w:tc>
        <w:tc>
          <w:tcPr>
            <w:tcW w:w="1856" w:type="dxa"/>
            <w:shd w:val="clear" w:color="auto" w:fill="D6E3BC" w:themeFill="accent3" w:themeFillTint="66"/>
          </w:tcPr>
          <w:p w14:paraId="2C24E48B"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1E607E84"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D6E3BC" w:themeFill="accent3" w:themeFillTint="66"/>
          </w:tcPr>
          <w:p w14:paraId="76E25582" w14:textId="24FD6F1E" w:rsidR="001A75E7" w:rsidRDefault="001A75E7" w:rsidP="00B82079">
            <w:pPr>
              <w:pStyle w:val="Intabulka"/>
              <w:rPr>
                <w:rFonts w:ascii="Arial Narrow" w:hAnsi="Arial Narrow"/>
                <w:lang w:val="cs-CZ"/>
              </w:rPr>
            </w:pPr>
            <w:r w:rsidRPr="00461C16">
              <w:rPr>
                <w:rFonts w:ascii="Arial Narrow" w:hAnsi="Arial Narrow"/>
                <w:lang w:val="cs-CZ"/>
              </w:rPr>
              <w:t>Plocha je vymezena na jihozápadním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a zároveň zajišťuje </w:t>
            </w:r>
            <w:r w:rsidRPr="00323925">
              <w:rPr>
                <w:rFonts w:ascii="Arial Narrow" w:hAnsi="Arial Narrow"/>
                <w:b/>
                <w:lang w:val="cs-CZ"/>
              </w:rPr>
              <w:t>scelení fragmentované zástavby</w:t>
            </w:r>
            <w:r w:rsidRPr="00461C16">
              <w:rPr>
                <w:rFonts w:ascii="Arial Narrow" w:hAnsi="Arial Narrow"/>
                <w:lang w:val="cs-CZ"/>
              </w:rPr>
              <w:t xml:space="preserve"> do kompaktního útvaru. Realizace záměru přispěje k uspokojení poptávky po nových plochách pro bydlení a ke zvýšení kvality a komfortu bydlení v sídle Dolní Suchá. Plocha je vymezena </w:t>
            </w:r>
            <w:r w:rsidRPr="00323925">
              <w:rPr>
                <w:rFonts w:ascii="Arial Narrow" w:hAnsi="Arial Narrow"/>
                <w:b/>
                <w:lang w:val="cs-CZ"/>
              </w:rPr>
              <w:t xml:space="preserve">v souladu se současně platným ÚP města a </w:t>
            </w:r>
            <w:r w:rsidRPr="00323925">
              <w:rPr>
                <w:rFonts w:ascii="Arial Narrow" w:hAnsi="Arial Narrow"/>
                <w:b/>
              </w:rPr>
              <w:t>z </w:t>
            </w:r>
            <w:r w:rsidRPr="00323925">
              <w:rPr>
                <w:rFonts w:ascii="Arial Narrow" w:hAnsi="Arial Narrow"/>
                <w:b/>
                <w:lang w:val="cs-CZ"/>
              </w:rPr>
              <w:t xml:space="preserve">větší </w:t>
            </w:r>
            <w:r w:rsidRPr="00323925">
              <w:rPr>
                <w:rFonts w:ascii="Arial Narrow" w:hAnsi="Arial Narrow"/>
                <w:b/>
              </w:rPr>
              <w:t xml:space="preserve">části </w:t>
            </w:r>
            <w:r w:rsidRPr="00323925">
              <w:rPr>
                <w:rFonts w:ascii="Arial Narrow" w:hAnsi="Arial Narrow"/>
                <w:b/>
                <w:lang w:val="cs-CZ"/>
              </w:rPr>
              <w:t>dle</w:t>
            </w:r>
            <w:r w:rsidRPr="00323925">
              <w:rPr>
                <w:rFonts w:ascii="Arial Narrow" w:hAnsi="Arial Narrow"/>
                <w:b/>
              </w:rPr>
              <w:t xml:space="preserve"> požadavk</w:t>
            </w:r>
            <w:r w:rsidRPr="00323925">
              <w:rPr>
                <w:rFonts w:ascii="Arial Narrow" w:hAnsi="Arial Narrow"/>
                <w:b/>
                <w:lang w:val="cs-CZ"/>
              </w:rPr>
              <w:t>u</w:t>
            </w:r>
            <w:r w:rsidRPr="00323925">
              <w:rPr>
                <w:rFonts w:ascii="Arial Narrow" w:hAnsi="Arial Narrow"/>
                <w:b/>
              </w:rPr>
              <w:t xml:space="preserve"> schváleného Zadání ÚP</w:t>
            </w:r>
            <w:r w:rsidRPr="00461C16">
              <w:rPr>
                <w:rFonts w:ascii="Arial Narrow" w:hAnsi="Arial Narrow"/>
                <w:lang w:val="cs-CZ"/>
              </w:rPr>
              <w:t>, resp. požadavku vlastníka pozemku.</w:t>
            </w:r>
          </w:p>
          <w:p w14:paraId="63F747F9" w14:textId="77777777" w:rsidR="001A75E7" w:rsidRPr="00461C16" w:rsidRDefault="001A75E7" w:rsidP="00B82079">
            <w:pPr>
              <w:pStyle w:val="Intabulka"/>
              <w:rPr>
                <w:rFonts w:ascii="Arial Narrow" w:hAnsi="Arial Narrow"/>
                <w:color w:val="FF0000"/>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552C7486" w14:textId="77777777" w:rsidTr="00D95953">
        <w:trPr>
          <w:jc w:val="center"/>
        </w:trPr>
        <w:tc>
          <w:tcPr>
            <w:tcW w:w="1006" w:type="dxa"/>
            <w:shd w:val="clear" w:color="auto" w:fill="FBF8B5"/>
          </w:tcPr>
          <w:p w14:paraId="754A28D4"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Z94</w:t>
            </w:r>
          </w:p>
        </w:tc>
        <w:tc>
          <w:tcPr>
            <w:tcW w:w="1856" w:type="dxa"/>
            <w:shd w:val="clear" w:color="auto" w:fill="FBF8B5"/>
          </w:tcPr>
          <w:p w14:paraId="390D462D"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FBF8B5"/>
          </w:tcPr>
          <w:p w14:paraId="4D49FB3F"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FBF8B5"/>
          </w:tcPr>
          <w:p w14:paraId="2A3883FE" w14:textId="77777777" w:rsidR="001A75E7" w:rsidRPr="00461C16" w:rsidRDefault="001A75E7" w:rsidP="00B82079">
            <w:pPr>
              <w:pStyle w:val="Intabulka"/>
              <w:rPr>
                <w:rFonts w:ascii="Arial Narrow" w:hAnsi="Arial Narrow"/>
                <w:color w:val="FF0000"/>
                <w:lang w:val="cs-CZ"/>
              </w:rPr>
            </w:pPr>
            <w:r w:rsidRPr="00461C16">
              <w:rPr>
                <w:rFonts w:ascii="Arial Narrow" w:hAnsi="Arial Narrow"/>
                <w:lang w:val="cs-CZ"/>
              </w:rPr>
              <w:t xml:space="preserve">Plocha je vymezena ve vnitřní části Dolní Suché, v prostorové proluce podél veřejné komunikace. Umožňuje rozvoj přilehlé venkovské obytné zástavby a zároveň zajišťuje </w:t>
            </w:r>
            <w:r w:rsidRPr="00323925">
              <w:rPr>
                <w:rFonts w:ascii="Arial Narrow" w:hAnsi="Arial Narrow"/>
                <w:b/>
                <w:lang w:val="cs-CZ"/>
              </w:rPr>
              <w:t xml:space="preserve">scelení </w:t>
            </w:r>
            <w:r w:rsidRPr="00323925">
              <w:rPr>
                <w:rFonts w:ascii="Arial Narrow" w:hAnsi="Arial Narrow"/>
                <w:b/>
                <w:lang w:val="cs-CZ"/>
              </w:rPr>
              <w:lastRenderedPageBreak/>
              <w:t>fragmentované zástavby</w:t>
            </w:r>
            <w:r w:rsidRPr="00461C16">
              <w:rPr>
                <w:rFonts w:ascii="Arial Narrow" w:hAnsi="Arial Narrow"/>
                <w:lang w:val="cs-CZ"/>
              </w:rPr>
              <w:t xml:space="preserve"> do kompaktního útvaru. Realizace záměru přispěje k uspokojení poptávky po nových plochách pro bydlení a ke zvýšení kvality a komfortu bydlení v sídle Dolní Suchá. Vymezení plochy vychází z</w:t>
            </w:r>
            <w:r w:rsidRPr="00461C16">
              <w:rPr>
                <w:rFonts w:ascii="Arial Narrow" w:hAnsi="Arial Narrow"/>
              </w:rPr>
              <w:t> </w:t>
            </w:r>
            <w:r w:rsidRPr="00323925">
              <w:rPr>
                <w:rFonts w:ascii="Arial Narrow" w:hAnsi="Arial Narrow"/>
                <w:b/>
              </w:rPr>
              <w:t>požadavk</w:t>
            </w:r>
            <w:r w:rsidRPr="00323925">
              <w:rPr>
                <w:rFonts w:ascii="Arial Narrow" w:hAnsi="Arial Narrow"/>
                <w:b/>
                <w:lang w:val="cs-CZ"/>
              </w:rPr>
              <w:t>u</w:t>
            </w:r>
            <w:r w:rsidRPr="00323925">
              <w:rPr>
                <w:rFonts w:ascii="Arial Narrow" w:hAnsi="Arial Narrow"/>
                <w:b/>
              </w:rPr>
              <w:t xml:space="preserve"> schváleného Zadání ÚP</w:t>
            </w:r>
            <w:r w:rsidRPr="00461C16">
              <w:rPr>
                <w:rFonts w:ascii="Arial Narrow" w:hAnsi="Arial Narrow"/>
                <w:lang w:val="cs-CZ"/>
              </w:rPr>
              <w:t>, resp. požadavku vlastníka pozemku. Plocha zabírá pouze půdu nižší (IV. a V.) třídy ochrany.</w:t>
            </w:r>
          </w:p>
        </w:tc>
      </w:tr>
      <w:tr w:rsidR="001A75E7" w:rsidRPr="00461C16" w14:paraId="10861A22" w14:textId="77777777" w:rsidTr="00D95953">
        <w:trPr>
          <w:jc w:val="center"/>
        </w:trPr>
        <w:tc>
          <w:tcPr>
            <w:tcW w:w="1006" w:type="dxa"/>
            <w:shd w:val="clear" w:color="auto" w:fill="D6E3BC" w:themeFill="accent3" w:themeFillTint="66"/>
          </w:tcPr>
          <w:p w14:paraId="257F1CF0" w14:textId="77777777" w:rsidR="001A75E7" w:rsidRPr="00461C16" w:rsidRDefault="001A75E7" w:rsidP="00B82079">
            <w:pPr>
              <w:spacing w:before="40" w:line="240" w:lineRule="auto"/>
              <w:jc w:val="left"/>
              <w:rPr>
                <w:color w:val="000000"/>
                <w:sz w:val="20"/>
                <w:szCs w:val="20"/>
              </w:rPr>
            </w:pPr>
            <w:r w:rsidRPr="00461C16">
              <w:rPr>
                <w:color w:val="000000"/>
                <w:sz w:val="20"/>
                <w:szCs w:val="20"/>
              </w:rPr>
              <w:lastRenderedPageBreak/>
              <w:t>Z95</w:t>
            </w:r>
          </w:p>
        </w:tc>
        <w:tc>
          <w:tcPr>
            <w:tcW w:w="1856" w:type="dxa"/>
            <w:shd w:val="clear" w:color="auto" w:fill="D6E3BC" w:themeFill="accent3" w:themeFillTint="66"/>
          </w:tcPr>
          <w:p w14:paraId="1885D804"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61BCC71A"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D6E3BC" w:themeFill="accent3" w:themeFillTint="66"/>
          </w:tcPr>
          <w:p w14:paraId="222F0C62" w14:textId="299C9F4D" w:rsidR="001A75E7" w:rsidRDefault="001A75E7" w:rsidP="00B82079">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w:t>
            </w:r>
            <w:r w:rsidRPr="00323925">
              <w:rPr>
                <w:rFonts w:ascii="Arial Narrow" w:hAnsi="Arial Narrow"/>
                <w:b/>
                <w:lang w:val="cs-CZ"/>
              </w:rPr>
              <w:t>scelení fragmentované zástavby</w:t>
            </w:r>
            <w:r w:rsidRPr="00461C16">
              <w:rPr>
                <w:rFonts w:ascii="Arial Narrow" w:hAnsi="Arial Narrow"/>
                <w:lang w:val="cs-CZ"/>
              </w:rPr>
              <w:t xml:space="preserve"> do kompaktního útvaru. Realizace záměru přispěje k uspokojení poptávky po nových plochách pro bydlení a ke zvýšení kvality a komfortu bydlení v sídle Dolní Suchá. Vymezení plochy je </w:t>
            </w:r>
            <w:r w:rsidRPr="00323925">
              <w:rPr>
                <w:rFonts w:ascii="Arial Narrow" w:hAnsi="Arial Narrow"/>
                <w:b/>
                <w:lang w:val="cs-CZ"/>
              </w:rPr>
              <w:t>v souladu se současně platným ÚP města, kde již byla řádně projednána a schválena.</w:t>
            </w:r>
            <w:r w:rsidRPr="00461C16">
              <w:rPr>
                <w:rFonts w:ascii="Arial Narrow" w:hAnsi="Arial Narrow"/>
                <w:lang w:val="cs-CZ"/>
              </w:rPr>
              <w:t xml:space="preserve"> </w:t>
            </w:r>
          </w:p>
          <w:p w14:paraId="01FAE093"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r w:rsidRPr="00461C16">
              <w:rPr>
                <w:rFonts w:ascii="Arial Narrow" w:hAnsi="Arial Narrow"/>
                <w:lang w:val="cs-CZ"/>
              </w:rPr>
              <w:t xml:space="preserve">  </w:t>
            </w:r>
          </w:p>
        </w:tc>
      </w:tr>
      <w:tr w:rsidR="001A75E7" w:rsidRPr="00461C16" w14:paraId="2BB6845D" w14:textId="77777777" w:rsidTr="00D95953">
        <w:trPr>
          <w:jc w:val="center"/>
        </w:trPr>
        <w:tc>
          <w:tcPr>
            <w:tcW w:w="1006" w:type="dxa"/>
            <w:shd w:val="clear" w:color="auto" w:fill="D6E3BC" w:themeFill="accent3" w:themeFillTint="66"/>
          </w:tcPr>
          <w:p w14:paraId="03A53CB6"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Z96</w:t>
            </w:r>
          </w:p>
        </w:tc>
        <w:tc>
          <w:tcPr>
            <w:tcW w:w="1856" w:type="dxa"/>
            <w:shd w:val="clear" w:color="auto" w:fill="D6E3BC" w:themeFill="accent3" w:themeFillTint="66"/>
          </w:tcPr>
          <w:p w14:paraId="7516B8A1"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03B5E045"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D6E3BC" w:themeFill="accent3" w:themeFillTint="66"/>
          </w:tcPr>
          <w:p w14:paraId="73695A34" w14:textId="789818CC" w:rsidR="001A75E7" w:rsidRPr="00461C16" w:rsidRDefault="001A75E7" w:rsidP="009D47B0">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w:t>
            </w:r>
            <w:r w:rsidRPr="00323925">
              <w:rPr>
                <w:rFonts w:ascii="Arial Narrow" w:hAnsi="Arial Narrow"/>
                <w:b/>
                <w:lang w:val="cs-CZ"/>
              </w:rPr>
              <w:t>scelení fragmentované zástavby</w:t>
            </w:r>
            <w:r w:rsidRPr="00461C16">
              <w:rPr>
                <w:rFonts w:ascii="Arial Narrow" w:hAnsi="Arial Narrow"/>
                <w:lang w:val="cs-CZ"/>
              </w:rPr>
              <w:t xml:space="preserve"> do kompaktního útvaru. Realizace záměru přispěje k uspokojení poptávky po nových plochách pro bydlení a ke zvýšení kvality a komfortu bydlení v sídle Dolní Suchá. Vymezení plochy je </w:t>
            </w:r>
            <w:r w:rsidRPr="00323925">
              <w:rPr>
                <w:rFonts w:ascii="Arial Narrow" w:hAnsi="Arial Narrow"/>
                <w:b/>
                <w:lang w:val="cs-CZ"/>
              </w:rPr>
              <w:t>v souladu se současně platným ÚP města, kde již byla řádně projednána a schválena</w:t>
            </w:r>
            <w:r w:rsidRPr="00461C16">
              <w:rPr>
                <w:rFonts w:ascii="Arial Narrow" w:hAnsi="Arial Narrow"/>
                <w:lang w:val="cs-CZ"/>
              </w:rPr>
              <w:t xml:space="preserve">. </w:t>
            </w:r>
          </w:p>
        </w:tc>
      </w:tr>
      <w:tr w:rsidR="001A75E7" w:rsidRPr="00461C16" w14:paraId="64E3F876" w14:textId="77777777" w:rsidTr="00D95953">
        <w:trPr>
          <w:jc w:val="center"/>
        </w:trPr>
        <w:tc>
          <w:tcPr>
            <w:tcW w:w="1006" w:type="dxa"/>
            <w:shd w:val="clear" w:color="auto" w:fill="D6E3BC" w:themeFill="accent3" w:themeFillTint="66"/>
          </w:tcPr>
          <w:p w14:paraId="1400A6D9" w14:textId="77777777" w:rsidR="001A75E7" w:rsidRPr="00461C16" w:rsidRDefault="001A75E7" w:rsidP="00B82079">
            <w:pPr>
              <w:spacing w:before="40" w:line="240" w:lineRule="auto"/>
              <w:jc w:val="left"/>
              <w:rPr>
                <w:color w:val="000000"/>
                <w:sz w:val="20"/>
                <w:szCs w:val="20"/>
              </w:rPr>
            </w:pPr>
            <w:r w:rsidRPr="00461C16">
              <w:rPr>
                <w:color w:val="000000"/>
                <w:sz w:val="20"/>
                <w:szCs w:val="20"/>
              </w:rPr>
              <w:t>Z97</w:t>
            </w:r>
          </w:p>
        </w:tc>
        <w:tc>
          <w:tcPr>
            <w:tcW w:w="1856" w:type="dxa"/>
            <w:shd w:val="clear" w:color="auto" w:fill="D6E3BC" w:themeFill="accent3" w:themeFillTint="66"/>
          </w:tcPr>
          <w:p w14:paraId="780D9C1C" w14:textId="77777777" w:rsidR="001A75E7" w:rsidRPr="00461C16" w:rsidRDefault="001A75E7" w:rsidP="00B82079">
            <w:pPr>
              <w:spacing w:before="40" w:line="240" w:lineRule="auto"/>
              <w:jc w:val="left"/>
              <w:rPr>
                <w:color w:val="000000"/>
                <w:sz w:val="20"/>
                <w:szCs w:val="20"/>
              </w:rPr>
            </w:pPr>
            <w:r w:rsidRPr="00461C16">
              <w:rPr>
                <w:color w:val="000000"/>
                <w:sz w:val="20"/>
                <w:szCs w:val="20"/>
              </w:rPr>
              <w:t>BV – bydlení venkovské</w:t>
            </w:r>
          </w:p>
        </w:tc>
        <w:tc>
          <w:tcPr>
            <w:tcW w:w="1356" w:type="dxa"/>
            <w:shd w:val="clear" w:color="auto" w:fill="D6E3BC" w:themeFill="accent3" w:themeFillTint="66"/>
          </w:tcPr>
          <w:p w14:paraId="3D2AD0BD" w14:textId="77777777" w:rsidR="001A75E7" w:rsidRPr="00461C16" w:rsidRDefault="001A75E7"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D6E3BC" w:themeFill="accent3" w:themeFillTint="66"/>
          </w:tcPr>
          <w:p w14:paraId="2E96B229" w14:textId="7DFC436A" w:rsidR="001A75E7" w:rsidRDefault="001A75E7" w:rsidP="00B82079">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w:t>
            </w:r>
            <w:r w:rsidRPr="00323925">
              <w:rPr>
                <w:rFonts w:ascii="Arial Narrow" w:hAnsi="Arial Narrow"/>
                <w:b/>
                <w:lang w:val="cs-CZ"/>
              </w:rPr>
              <w:t>scelení fragmentované zástavby</w:t>
            </w:r>
            <w:r w:rsidRPr="00461C16">
              <w:rPr>
                <w:rFonts w:ascii="Arial Narrow" w:hAnsi="Arial Narrow"/>
                <w:lang w:val="cs-CZ"/>
              </w:rPr>
              <w:t xml:space="preserve"> do kompaktního útvaru. Realizace záměru přispěje k uspokojení poptávky po nových plochách pro bydlení a ke zvýšení kvality a komfortu bydlení v sídle Dolní Suchá. Vymezení plochy je </w:t>
            </w:r>
            <w:r w:rsidRPr="00323925">
              <w:rPr>
                <w:rFonts w:ascii="Arial Narrow" w:hAnsi="Arial Narrow"/>
                <w:b/>
                <w:lang w:val="cs-CZ"/>
              </w:rPr>
              <w:t>v souladu se současně platným ÚP města, kde již byla řádně projednána a schválena</w:t>
            </w:r>
            <w:r w:rsidRPr="00461C16">
              <w:rPr>
                <w:rFonts w:ascii="Arial Narrow" w:hAnsi="Arial Narrow"/>
                <w:lang w:val="cs-CZ"/>
              </w:rPr>
              <w:t xml:space="preserve">. </w:t>
            </w:r>
            <w:r>
              <w:rPr>
                <w:rFonts w:ascii="Arial Narrow" w:hAnsi="Arial Narrow"/>
                <w:lang w:val="cs-CZ"/>
              </w:rPr>
              <w:t>Zábor nejcennější zemědělské půdy (II. třída ochrany) je jen velmi malý (0,068ha).</w:t>
            </w:r>
          </w:p>
          <w:p w14:paraId="663D9E04" w14:textId="77777777" w:rsidR="001A75E7" w:rsidRPr="00461C16" w:rsidRDefault="001A75E7"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v proluce / mezi fragmenty zastavěného území a stanovením adekvátních podmínek využití včetně podmínek prostorového uspořádání.</w:t>
            </w:r>
            <w:r w:rsidRPr="00461C16">
              <w:rPr>
                <w:rFonts w:ascii="Arial Narrow" w:hAnsi="Arial Narrow"/>
                <w:lang w:val="cs-CZ"/>
              </w:rPr>
              <w:t xml:space="preserve">  </w:t>
            </w:r>
          </w:p>
        </w:tc>
      </w:tr>
      <w:tr w:rsidR="00D95953" w:rsidRPr="00461C16" w14:paraId="504F70D3" w14:textId="77777777" w:rsidTr="00D95953">
        <w:trPr>
          <w:jc w:val="center"/>
        </w:trPr>
        <w:tc>
          <w:tcPr>
            <w:tcW w:w="1006" w:type="dxa"/>
            <w:shd w:val="clear" w:color="auto" w:fill="D6E3BC" w:themeFill="accent3" w:themeFillTint="66"/>
          </w:tcPr>
          <w:p w14:paraId="18BFAE1F" w14:textId="77777777" w:rsidR="00D95953" w:rsidRPr="00461C16" w:rsidRDefault="00D95953" w:rsidP="00B82079">
            <w:pPr>
              <w:spacing w:before="40" w:line="240" w:lineRule="auto"/>
              <w:jc w:val="left"/>
              <w:rPr>
                <w:color w:val="000000"/>
                <w:sz w:val="20"/>
                <w:szCs w:val="20"/>
              </w:rPr>
            </w:pPr>
            <w:r w:rsidRPr="009D002C">
              <w:rPr>
                <w:color w:val="000000"/>
                <w:sz w:val="20"/>
                <w:szCs w:val="20"/>
              </w:rPr>
              <w:t>Z99</w:t>
            </w:r>
          </w:p>
        </w:tc>
        <w:tc>
          <w:tcPr>
            <w:tcW w:w="1856" w:type="dxa"/>
            <w:shd w:val="clear" w:color="auto" w:fill="D6E3BC" w:themeFill="accent3" w:themeFillTint="66"/>
          </w:tcPr>
          <w:p w14:paraId="0C879A48" w14:textId="77777777" w:rsidR="00D95953" w:rsidRPr="00461C16" w:rsidRDefault="00D95953" w:rsidP="00B82079">
            <w:pPr>
              <w:spacing w:before="40" w:line="240" w:lineRule="auto"/>
              <w:jc w:val="left"/>
              <w:rPr>
                <w:color w:val="000000"/>
                <w:sz w:val="20"/>
                <w:szCs w:val="20"/>
              </w:rPr>
            </w:pPr>
            <w:r>
              <w:rPr>
                <w:color w:val="000000"/>
                <w:sz w:val="20"/>
                <w:szCs w:val="20"/>
              </w:rPr>
              <w:t xml:space="preserve">BI – bydlení městské </w:t>
            </w:r>
            <w:r>
              <w:rPr>
                <w:color w:val="000000"/>
                <w:sz w:val="20"/>
                <w:szCs w:val="20"/>
              </w:rPr>
              <w:lastRenderedPageBreak/>
              <w:t>a příměstské</w:t>
            </w:r>
          </w:p>
        </w:tc>
        <w:tc>
          <w:tcPr>
            <w:tcW w:w="1356" w:type="dxa"/>
            <w:shd w:val="clear" w:color="auto" w:fill="D6E3BC" w:themeFill="accent3" w:themeFillTint="66"/>
          </w:tcPr>
          <w:p w14:paraId="4936666A" w14:textId="77777777" w:rsidR="00D95953" w:rsidRPr="00461C16" w:rsidRDefault="00D95953" w:rsidP="00B82079">
            <w:pPr>
              <w:pStyle w:val="Intabulka"/>
              <w:rPr>
                <w:rFonts w:ascii="Arial Narrow" w:hAnsi="Arial Narrow"/>
                <w:lang w:val="cs-CZ"/>
              </w:rPr>
            </w:pPr>
            <w:r>
              <w:rPr>
                <w:rFonts w:ascii="Arial Narrow" w:hAnsi="Arial Narrow"/>
                <w:color w:val="000000"/>
              </w:rPr>
              <w:lastRenderedPageBreak/>
              <w:t xml:space="preserve">Hrádek nad </w:t>
            </w:r>
            <w:r>
              <w:rPr>
                <w:rFonts w:ascii="Arial Narrow" w:hAnsi="Arial Narrow"/>
                <w:color w:val="000000"/>
              </w:rPr>
              <w:lastRenderedPageBreak/>
              <w:t>Nisou</w:t>
            </w:r>
          </w:p>
        </w:tc>
        <w:tc>
          <w:tcPr>
            <w:tcW w:w="5070" w:type="dxa"/>
            <w:shd w:val="clear" w:color="auto" w:fill="D6E3BC" w:themeFill="accent3" w:themeFillTint="66"/>
          </w:tcPr>
          <w:p w14:paraId="4703DB6E" w14:textId="77777777" w:rsidR="00D95953" w:rsidRDefault="00D95953" w:rsidP="00B82079">
            <w:pPr>
              <w:pStyle w:val="Intabulka"/>
              <w:rPr>
                <w:rFonts w:ascii="Arial Narrow" w:hAnsi="Arial Narrow"/>
                <w:lang w:val="cs-CZ"/>
              </w:rPr>
            </w:pPr>
            <w:r>
              <w:rPr>
                <w:rFonts w:ascii="Arial Narrow" w:hAnsi="Arial Narrow"/>
                <w:lang w:val="cs-CZ"/>
              </w:rPr>
              <w:lastRenderedPageBreak/>
              <w:t xml:space="preserve">Plocha je doplněna v souladu se současně platným ÚPSÚ, </w:t>
            </w:r>
            <w:r>
              <w:rPr>
                <w:rFonts w:ascii="Arial Narrow" w:hAnsi="Arial Narrow"/>
                <w:lang w:val="cs-CZ"/>
              </w:rPr>
              <w:lastRenderedPageBreak/>
              <w:t>v zájmu zajištění kontinuity při rozhodování o změnách v území. Směřuje k doplnění oboustranného obestavění ul. Lidická, které je urbanisticky vhodnější a zároveň hospodárnější z hlediska ochrany volné krajiny. Záměr umožňuje rozvoj bydlení v reakci na poptávku po nové výstavbě, zvýšení kvality obytného prostředí a tím i atraktivity města.</w:t>
            </w:r>
          </w:p>
          <w:p w14:paraId="7A05EC84" w14:textId="77777777" w:rsidR="00EF30A0" w:rsidRPr="00461C16" w:rsidRDefault="00EF30A0"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w:t>
            </w:r>
            <w:r>
              <w:rPr>
                <w:rFonts w:ascii="Arial Narrow" w:hAnsi="Arial Narrow"/>
                <w:lang w:val="cs-CZ"/>
              </w:rPr>
              <w:t>na hranici</w:t>
            </w:r>
            <w:r w:rsidRPr="00E87086">
              <w:rPr>
                <w:rFonts w:ascii="Arial Narrow" w:hAnsi="Arial Narrow"/>
              </w:rPr>
              <w:t xml:space="preserve"> zastavěného území</w:t>
            </w:r>
            <w:r>
              <w:rPr>
                <w:rFonts w:ascii="Arial Narrow" w:hAnsi="Arial Narrow"/>
                <w:lang w:val="cs-CZ"/>
              </w:rPr>
              <w:t xml:space="preserve"> podél komunikace</w:t>
            </w:r>
            <w:r w:rsidRPr="00E87086">
              <w:rPr>
                <w:rFonts w:ascii="Arial Narrow" w:hAnsi="Arial Narrow"/>
              </w:rPr>
              <w:t xml:space="preserve"> a stanovením adekvátních podmínek využití včetně podmínek prostorového uspořádání.</w:t>
            </w:r>
            <w:r w:rsidRPr="00461C16">
              <w:rPr>
                <w:rFonts w:ascii="Arial Narrow" w:hAnsi="Arial Narrow"/>
                <w:lang w:val="cs-CZ"/>
              </w:rPr>
              <w:t xml:space="preserve"> </w:t>
            </w:r>
            <w:r>
              <w:rPr>
                <w:rFonts w:ascii="Arial Narrow" w:hAnsi="Arial Narrow"/>
                <w:lang w:val="cs-CZ"/>
              </w:rPr>
              <w:t>Plocha představuje zábor půdy I. třídy ochrany, při zajištění dopravní dostupnosti a zohlednění ochrany volné krajiny však nelze plochu v jiné poloze na půdě nižší třídy ochrany vymezit.</w:t>
            </w:r>
            <w:r w:rsidRPr="00461C16">
              <w:rPr>
                <w:rFonts w:ascii="Arial Narrow" w:hAnsi="Arial Narrow"/>
                <w:lang w:val="cs-CZ"/>
              </w:rPr>
              <w:t xml:space="preserve"> </w:t>
            </w:r>
          </w:p>
        </w:tc>
      </w:tr>
      <w:tr w:rsidR="00D95953" w:rsidRPr="00461C16" w14:paraId="6541CAF3" w14:textId="77777777" w:rsidTr="00D95953">
        <w:trPr>
          <w:jc w:val="center"/>
        </w:trPr>
        <w:tc>
          <w:tcPr>
            <w:tcW w:w="1006" w:type="dxa"/>
            <w:shd w:val="clear" w:color="auto" w:fill="D6E3BC" w:themeFill="accent3" w:themeFillTint="66"/>
          </w:tcPr>
          <w:p w14:paraId="12A825A6" w14:textId="77777777" w:rsidR="00D95953" w:rsidRPr="00461C16" w:rsidRDefault="00D95953" w:rsidP="00B82079">
            <w:pPr>
              <w:spacing w:before="40" w:line="240" w:lineRule="auto"/>
              <w:jc w:val="left"/>
              <w:rPr>
                <w:color w:val="000000"/>
                <w:sz w:val="20"/>
                <w:szCs w:val="20"/>
              </w:rPr>
            </w:pPr>
            <w:r>
              <w:rPr>
                <w:color w:val="000000"/>
                <w:sz w:val="20"/>
                <w:szCs w:val="20"/>
              </w:rPr>
              <w:lastRenderedPageBreak/>
              <w:t>Z101</w:t>
            </w:r>
          </w:p>
        </w:tc>
        <w:tc>
          <w:tcPr>
            <w:tcW w:w="1856" w:type="dxa"/>
            <w:shd w:val="clear" w:color="auto" w:fill="D6E3BC" w:themeFill="accent3" w:themeFillTint="66"/>
          </w:tcPr>
          <w:p w14:paraId="57B9005C" w14:textId="77777777" w:rsidR="00D95953" w:rsidRPr="00461C16" w:rsidRDefault="00D95953" w:rsidP="00B82079">
            <w:pPr>
              <w:spacing w:before="40" w:line="240" w:lineRule="auto"/>
              <w:jc w:val="left"/>
              <w:rPr>
                <w:color w:val="000000"/>
                <w:sz w:val="20"/>
                <w:szCs w:val="20"/>
              </w:rPr>
            </w:pPr>
            <w:r>
              <w:rPr>
                <w:color w:val="000000"/>
                <w:sz w:val="20"/>
                <w:szCs w:val="20"/>
              </w:rPr>
              <w:t>VZ – zemědělská výroba</w:t>
            </w:r>
          </w:p>
        </w:tc>
        <w:tc>
          <w:tcPr>
            <w:tcW w:w="1356" w:type="dxa"/>
            <w:shd w:val="clear" w:color="auto" w:fill="D6E3BC" w:themeFill="accent3" w:themeFillTint="66"/>
          </w:tcPr>
          <w:p w14:paraId="6F4FA5F5" w14:textId="77777777" w:rsidR="00D95953" w:rsidRPr="00461C16" w:rsidRDefault="00D95953" w:rsidP="00B82079">
            <w:pPr>
              <w:pStyle w:val="Intabulka"/>
              <w:rPr>
                <w:rFonts w:ascii="Arial Narrow" w:hAnsi="Arial Narrow"/>
                <w:lang w:val="cs-CZ"/>
              </w:rPr>
            </w:pPr>
            <w:r>
              <w:rPr>
                <w:rFonts w:ascii="Arial Narrow" w:hAnsi="Arial Narrow"/>
                <w:color w:val="000000"/>
              </w:rPr>
              <w:t>Václavice u Hrádku nad Nisou</w:t>
            </w:r>
          </w:p>
        </w:tc>
        <w:tc>
          <w:tcPr>
            <w:tcW w:w="5070" w:type="dxa"/>
            <w:shd w:val="clear" w:color="auto" w:fill="D6E3BC" w:themeFill="accent3" w:themeFillTint="66"/>
          </w:tcPr>
          <w:p w14:paraId="5D9E8E5B" w14:textId="77777777" w:rsidR="00D95953" w:rsidRDefault="00D95953" w:rsidP="00B82079">
            <w:pPr>
              <w:pStyle w:val="Intabulka"/>
              <w:rPr>
                <w:rFonts w:ascii="Arial Narrow" w:hAnsi="Arial Narrow"/>
                <w:lang w:val="cs-CZ"/>
              </w:rPr>
            </w:pPr>
            <w:r>
              <w:rPr>
                <w:rFonts w:ascii="Arial Narrow" w:hAnsi="Arial Narrow"/>
                <w:lang w:val="cs-CZ"/>
              </w:rPr>
              <w:t>Vymezení plochy zohledňuje záměr vlastníka na rozvoj stávajícího výrobního areálu, který je již v celém rozsahu využit (zastavěn). Rozvojem existující plochy zemědělské výroby v okrajové poloze sídla směřuje k hospodárnému využívání území a ke snížení případných negativních dopadů výrobní činnosti na okolní prostředí. Realizace záměru umožní vznik nových pracovních příležitostí v sídle Václavice, kde je pracovních možností pro místní obyvatele jen velmi málo, a zároveň přispěje k ekonomické stabilitě a rozvoji Václavic i celého města.</w:t>
            </w:r>
          </w:p>
          <w:p w14:paraId="26C817B2" w14:textId="77777777" w:rsidR="00551820" w:rsidRPr="00461C16" w:rsidRDefault="00551820" w:rsidP="00B82079">
            <w:pPr>
              <w:pStyle w:val="Intabulka"/>
              <w:rPr>
                <w:rFonts w:ascii="Arial Narrow" w:hAnsi="Arial Narrow"/>
                <w:lang w:val="cs-CZ"/>
              </w:rPr>
            </w:pPr>
            <w:r w:rsidRPr="00F35BB0">
              <w:rPr>
                <w:rFonts w:ascii="Arial Narrow" w:hAnsi="Arial Narrow"/>
                <w:b/>
                <w:lang w:val="cs-CZ"/>
              </w:rPr>
              <w:t>Veřejný zájem</w:t>
            </w:r>
            <w:r w:rsidRPr="00F35BB0">
              <w:rPr>
                <w:rFonts w:ascii="Arial Narrow" w:hAnsi="Arial Narrow"/>
                <w:lang w:val="cs-CZ"/>
              </w:rPr>
              <w:t xml:space="preserve"> spočívá v</w:t>
            </w:r>
            <w:r>
              <w:rPr>
                <w:rFonts w:ascii="Arial Narrow" w:hAnsi="Arial Narrow"/>
                <w:lang w:val="cs-CZ"/>
              </w:rPr>
              <w:t> podpoře ekonomického rozvoje stávajícího výrobního subjektu, který je nejvýznamnějším výrobním subjektem a zaměstnavatelem v celém sídle Václavice, tím i v ekonomickém rozvoji sídla a ve</w:t>
            </w:r>
            <w:r w:rsidRPr="00F35BB0">
              <w:rPr>
                <w:rFonts w:ascii="Arial Narrow" w:hAnsi="Arial Narrow"/>
                <w:lang w:val="cs-CZ"/>
              </w:rPr>
              <w:t xml:space="preserve"> vytvoření pracovních příležitostí </w:t>
            </w:r>
            <w:r>
              <w:rPr>
                <w:rFonts w:ascii="Arial Narrow" w:hAnsi="Arial Narrow"/>
                <w:lang w:val="cs-CZ"/>
              </w:rPr>
              <w:t xml:space="preserve">přímo ve Václavicích, bez nutnosti dojížďky za prací do dalších částí města či jiných obcí. V neposlední řadě spočívá v naplnění </w:t>
            </w:r>
            <w:r w:rsidRPr="00D11D91">
              <w:rPr>
                <w:rFonts w:ascii="Arial Narrow" w:hAnsi="Arial Narrow"/>
              </w:rPr>
              <w:t>dlouhodobě sledované a platné územně plánovací koncepce</w:t>
            </w:r>
            <w:r>
              <w:rPr>
                <w:rFonts w:ascii="Arial Narrow" w:hAnsi="Arial Narrow"/>
                <w:lang w:val="cs-CZ"/>
              </w:rPr>
              <w:t>. Záměr je situován na půdě nejvyšší třídy ochrany jen ve velmi malé míře (0,019ha), převážná část představuje III a IV. třídu.</w:t>
            </w:r>
          </w:p>
        </w:tc>
      </w:tr>
      <w:tr w:rsidR="00D95953" w:rsidRPr="00461C16" w14:paraId="5319EF5A" w14:textId="77777777" w:rsidTr="00D95953">
        <w:trPr>
          <w:jc w:val="center"/>
        </w:trPr>
        <w:tc>
          <w:tcPr>
            <w:tcW w:w="1006" w:type="dxa"/>
            <w:shd w:val="clear" w:color="auto" w:fill="D6E3BC" w:themeFill="accent3" w:themeFillTint="66"/>
          </w:tcPr>
          <w:p w14:paraId="2813AA77" w14:textId="77777777" w:rsidR="00D95953" w:rsidRPr="00461C16" w:rsidRDefault="00D95953" w:rsidP="00B82079">
            <w:pPr>
              <w:spacing w:before="40" w:line="240" w:lineRule="auto"/>
              <w:jc w:val="left"/>
              <w:rPr>
                <w:color w:val="000000"/>
                <w:sz w:val="20"/>
                <w:szCs w:val="20"/>
              </w:rPr>
            </w:pPr>
            <w:r>
              <w:rPr>
                <w:color w:val="000000"/>
                <w:sz w:val="20"/>
                <w:szCs w:val="20"/>
              </w:rPr>
              <w:t>Z102</w:t>
            </w:r>
          </w:p>
        </w:tc>
        <w:tc>
          <w:tcPr>
            <w:tcW w:w="1856" w:type="dxa"/>
            <w:shd w:val="clear" w:color="auto" w:fill="D6E3BC" w:themeFill="accent3" w:themeFillTint="66"/>
          </w:tcPr>
          <w:p w14:paraId="157F5713" w14:textId="77777777" w:rsidR="00D95953" w:rsidRPr="00461C16" w:rsidRDefault="00D95953" w:rsidP="00B82079">
            <w:pPr>
              <w:spacing w:before="40" w:line="240" w:lineRule="auto"/>
              <w:jc w:val="left"/>
              <w:rPr>
                <w:color w:val="000000"/>
                <w:sz w:val="20"/>
                <w:szCs w:val="20"/>
              </w:rPr>
            </w:pPr>
            <w:r>
              <w:rPr>
                <w:color w:val="000000"/>
                <w:sz w:val="20"/>
                <w:szCs w:val="20"/>
              </w:rPr>
              <w:t>BV – bydlení venkovské</w:t>
            </w:r>
          </w:p>
        </w:tc>
        <w:tc>
          <w:tcPr>
            <w:tcW w:w="1356" w:type="dxa"/>
            <w:shd w:val="clear" w:color="auto" w:fill="D6E3BC" w:themeFill="accent3" w:themeFillTint="66"/>
          </w:tcPr>
          <w:p w14:paraId="513C1E16" w14:textId="77777777" w:rsidR="00D95953" w:rsidRPr="00461C16" w:rsidRDefault="00D95953" w:rsidP="00B82079">
            <w:pPr>
              <w:pStyle w:val="Intabulka"/>
              <w:rPr>
                <w:rFonts w:ascii="Arial Narrow" w:hAnsi="Arial Narrow"/>
                <w:lang w:val="cs-CZ"/>
              </w:rPr>
            </w:pPr>
            <w:r w:rsidRPr="00073AB8">
              <w:rPr>
                <w:rFonts w:ascii="Arial Narrow" w:hAnsi="Arial Narrow"/>
                <w:color w:val="000000"/>
              </w:rPr>
              <w:t>Dolní Suchá u Chotyně</w:t>
            </w:r>
          </w:p>
        </w:tc>
        <w:tc>
          <w:tcPr>
            <w:tcW w:w="5070" w:type="dxa"/>
            <w:shd w:val="clear" w:color="auto" w:fill="D6E3BC" w:themeFill="accent3" w:themeFillTint="66"/>
          </w:tcPr>
          <w:p w14:paraId="0A5B15F3" w14:textId="77777777" w:rsidR="00D95953" w:rsidRDefault="00D95953" w:rsidP="00B82079">
            <w:pPr>
              <w:pStyle w:val="Intabulka"/>
              <w:rPr>
                <w:rFonts w:ascii="Arial Narrow" w:hAnsi="Arial Narrow"/>
                <w:lang w:val="cs-CZ"/>
              </w:rPr>
            </w:pPr>
            <w:r>
              <w:rPr>
                <w:rFonts w:ascii="Arial Narrow" w:hAnsi="Arial Narrow"/>
                <w:lang w:val="cs-CZ"/>
              </w:rPr>
              <w:t>Vymezení plochy zohledňuje záměr vlastníka na výstavbu rodinného domu. Směřuje k využití proluky mezi fragmenty stávající zástavby, v zájmu hospodárného využití území a ochrany volné krajiny.</w:t>
            </w:r>
          </w:p>
          <w:p w14:paraId="6365CA97" w14:textId="77777777" w:rsidR="00C8329C" w:rsidRPr="00461C16" w:rsidRDefault="00C8329C" w:rsidP="00B82079">
            <w:pPr>
              <w:pStyle w:val="Intabulka"/>
              <w:rPr>
                <w:rFonts w:ascii="Arial Narrow" w:hAnsi="Arial Narrow"/>
                <w:lang w:val="cs-CZ"/>
              </w:rPr>
            </w:pPr>
            <w:r>
              <w:rPr>
                <w:rFonts w:ascii="Arial Narrow" w:hAnsi="Arial Narrow"/>
                <w:lang w:val="cs-CZ"/>
              </w:rPr>
              <w:t>Plocha představuje zábor výhradně třídy nižší (III.) třídy ochrany.</w:t>
            </w:r>
          </w:p>
        </w:tc>
      </w:tr>
      <w:tr w:rsidR="00D95953" w:rsidRPr="00461C16" w14:paraId="04531C2B" w14:textId="77777777" w:rsidTr="00D95953">
        <w:trPr>
          <w:jc w:val="center"/>
        </w:trPr>
        <w:tc>
          <w:tcPr>
            <w:tcW w:w="1006" w:type="dxa"/>
            <w:shd w:val="clear" w:color="auto" w:fill="D6E3BC" w:themeFill="accent3" w:themeFillTint="66"/>
          </w:tcPr>
          <w:p w14:paraId="25002A23" w14:textId="77777777" w:rsidR="00D95953" w:rsidRPr="00461C16" w:rsidRDefault="00D95953" w:rsidP="00B82079">
            <w:pPr>
              <w:spacing w:before="40" w:line="240" w:lineRule="auto"/>
              <w:jc w:val="left"/>
              <w:rPr>
                <w:color w:val="000000"/>
                <w:sz w:val="20"/>
                <w:szCs w:val="20"/>
              </w:rPr>
            </w:pPr>
            <w:r w:rsidRPr="009D002C">
              <w:rPr>
                <w:color w:val="000000"/>
                <w:sz w:val="20"/>
                <w:szCs w:val="20"/>
              </w:rPr>
              <w:t>Z103</w:t>
            </w:r>
          </w:p>
        </w:tc>
        <w:tc>
          <w:tcPr>
            <w:tcW w:w="1856" w:type="dxa"/>
            <w:shd w:val="clear" w:color="auto" w:fill="D6E3BC" w:themeFill="accent3" w:themeFillTint="66"/>
          </w:tcPr>
          <w:p w14:paraId="125D3D69" w14:textId="77777777" w:rsidR="00D95953" w:rsidRPr="00461C16" w:rsidRDefault="00D95953" w:rsidP="00B82079">
            <w:pPr>
              <w:spacing w:before="40" w:line="240" w:lineRule="auto"/>
              <w:jc w:val="left"/>
              <w:rPr>
                <w:color w:val="000000"/>
                <w:sz w:val="20"/>
                <w:szCs w:val="20"/>
              </w:rPr>
            </w:pPr>
            <w:r>
              <w:rPr>
                <w:color w:val="000000"/>
                <w:sz w:val="20"/>
                <w:szCs w:val="20"/>
              </w:rPr>
              <w:t>BV – bydlení venkovské</w:t>
            </w:r>
          </w:p>
        </w:tc>
        <w:tc>
          <w:tcPr>
            <w:tcW w:w="1356" w:type="dxa"/>
            <w:shd w:val="clear" w:color="auto" w:fill="D6E3BC" w:themeFill="accent3" w:themeFillTint="66"/>
          </w:tcPr>
          <w:p w14:paraId="1E099D91" w14:textId="77777777" w:rsidR="00D95953" w:rsidRPr="00461C16" w:rsidRDefault="00D95953" w:rsidP="00B82079">
            <w:pPr>
              <w:pStyle w:val="Intabulka"/>
              <w:rPr>
                <w:rFonts w:ascii="Arial Narrow" w:hAnsi="Arial Narrow"/>
                <w:lang w:val="cs-CZ"/>
              </w:rPr>
            </w:pPr>
            <w:r w:rsidRPr="00073AB8">
              <w:rPr>
                <w:rFonts w:ascii="Arial Narrow" w:hAnsi="Arial Narrow"/>
                <w:color w:val="000000"/>
              </w:rPr>
              <w:t>Dolní Suchá u Chotyně</w:t>
            </w:r>
          </w:p>
        </w:tc>
        <w:tc>
          <w:tcPr>
            <w:tcW w:w="5070" w:type="dxa"/>
            <w:shd w:val="clear" w:color="auto" w:fill="D6E3BC" w:themeFill="accent3" w:themeFillTint="66"/>
          </w:tcPr>
          <w:p w14:paraId="71EE94E5" w14:textId="51B33CB5" w:rsidR="00D95953" w:rsidRDefault="00D95953" w:rsidP="00B82079">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doplnění oboustranného obestavění silnice III/</w:t>
            </w:r>
            <w:r w:rsidR="009D47B0">
              <w:rPr>
                <w:rFonts w:ascii="Arial Narrow" w:hAnsi="Arial Narrow"/>
                <w:lang w:val="cs-CZ"/>
              </w:rPr>
              <w:t>2713</w:t>
            </w:r>
            <w:r>
              <w:rPr>
                <w:rFonts w:ascii="Arial Narrow" w:hAnsi="Arial Narrow"/>
                <w:lang w:val="cs-CZ"/>
              </w:rPr>
              <w:t>, které je hospodárnější z hlediska ochrany volné krajiny a nákladů na vedení sítí veřejné infrastruktury.</w:t>
            </w:r>
          </w:p>
          <w:p w14:paraId="68D3117F" w14:textId="77777777" w:rsidR="00C8329C" w:rsidRPr="00461C16" w:rsidRDefault="00C8329C"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w:t>
            </w:r>
            <w:r>
              <w:rPr>
                <w:rFonts w:ascii="Arial Narrow" w:hAnsi="Arial Narrow"/>
                <w:lang w:val="cs-CZ"/>
              </w:rPr>
              <w:t>na hranici</w:t>
            </w:r>
            <w:r w:rsidRPr="00E87086">
              <w:rPr>
                <w:rFonts w:ascii="Arial Narrow" w:hAnsi="Arial Narrow"/>
              </w:rPr>
              <w:t xml:space="preserve"> zastavěného území</w:t>
            </w:r>
            <w:r>
              <w:rPr>
                <w:rFonts w:ascii="Arial Narrow" w:hAnsi="Arial Narrow"/>
                <w:lang w:val="cs-CZ"/>
              </w:rPr>
              <w:t xml:space="preserve"> podél komunikace</w:t>
            </w:r>
            <w:r w:rsidRPr="00E87086">
              <w:rPr>
                <w:rFonts w:ascii="Arial Narrow" w:hAnsi="Arial Narrow"/>
              </w:rPr>
              <w:t xml:space="preserve"> a stanovením adekvátních podmínek využití včetně podmínek prostorového uspořádání.</w:t>
            </w:r>
            <w:r w:rsidRPr="00461C16">
              <w:rPr>
                <w:rFonts w:ascii="Arial Narrow" w:hAnsi="Arial Narrow"/>
                <w:lang w:val="cs-CZ"/>
              </w:rPr>
              <w:t xml:space="preserve"> </w:t>
            </w:r>
            <w:r>
              <w:rPr>
                <w:rFonts w:ascii="Arial Narrow" w:hAnsi="Arial Narrow"/>
                <w:lang w:val="cs-CZ"/>
              </w:rPr>
              <w:t xml:space="preserve">Plocha představuje zábor II. třídy ochrany, při snaze o hospodárné využití území a zohlednění ochrany volné krajiny a charakteru zástavby sídla (roztroušená struktura) jako významné urbanistické hodnoty však nelze plochu v jiné poloze na půdě nižší </w:t>
            </w:r>
            <w:r>
              <w:rPr>
                <w:rFonts w:ascii="Arial Narrow" w:hAnsi="Arial Narrow"/>
                <w:lang w:val="cs-CZ"/>
              </w:rPr>
              <w:lastRenderedPageBreak/>
              <w:t>třídy ochrany vymezit.</w:t>
            </w:r>
          </w:p>
        </w:tc>
      </w:tr>
      <w:tr w:rsidR="00D95953" w:rsidRPr="00461C16" w14:paraId="3240B9FF" w14:textId="77777777" w:rsidTr="00D95953">
        <w:trPr>
          <w:jc w:val="center"/>
        </w:trPr>
        <w:tc>
          <w:tcPr>
            <w:tcW w:w="1006" w:type="dxa"/>
            <w:shd w:val="clear" w:color="auto" w:fill="D6E3BC" w:themeFill="accent3" w:themeFillTint="66"/>
          </w:tcPr>
          <w:p w14:paraId="036C47BC" w14:textId="77777777" w:rsidR="00D95953" w:rsidRPr="00461C16" w:rsidRDefault="00D95953" w:rsidP="00B82079">
            <w:pPr>
              <w:spacing w:before="40" w:line="240" w:lineRule="auto"/>
              <w:jc w:val="left"/>
              <w:rPr>
                <w:color w:val="000000"/>
                <w:sz w:val="20"/>
                <w:szCs w:val="20"/>
              </w:rPr>
            </w:pPr>
            <w:r w:rsidRPr="009D002C">
              <w:rPr>
                <w:color w:val="000000"/>
                <w:sz w:val="20"/>
                <w:szCs w:val="20"/>
              </w:rPr>
              <w:lastRenderedPageBreak/>
              <w:t>Z104</w:t>
            </w:r>
          </w:p>
        </w:tc>
        <w:tc>
          <w:tcPr>
            <w:tcW w:w="1856" w:type="dxa"/>
            <w:shd w:val="clear" w:color="auto" w:fill="D6E3BC" w:themeFill="accent3" w:themeFillTint="66"/>
          </w:tcPr>
          <w:p w14:paraId="6C08ADEB" w14:textId="77777777" w:rsidR="00D95953" w:rsidRPr="00461C16" w:rsidRDefault="00D95953" w:rsidP="00B82079">
            <w:pPr>
              <w:spacing w:before="40" w:line="240" w:lineRule="auto"/>
              <w:jc w:val="left"/>
              <w:rPr>
                <w:color w:val="000000"/>
                <w:sz w:val="20"/>
                <w:szCs w:val="20"/>
              </w:rPr>
            </w:pPr>
            <w:r>
              <w:rPr>
                <w:color w:val="000000"/>
                <w:sz w:val="20"/>
                <w:szCs w:val="20"/>
              </w:rPr>
              <w:t>BV – bydlení venkovské</w:t>
            </w:r>
          </w:p>
        </w:tc>
        <w:tc>
          <w:tcPr>
            <w:tcW w:w="1356" w:type="dxa"/>
            <w:shd w:val="clear" w:color="auto" w:fill="D6E3BC" w:themeFill="accent3" w:themeFillTint="66"/>
          </w:tcPr>
          <w:p w14:paraId="2404FA2C" w14:textId="77777777" w:rsidR="00D95953" w:rsidRPr="00461C16" w:rsidRDefault="00D95953" w:rsidP="00B82079">
            <w:pPr>
              <w:pStyle w:val="Intabulka"/>
              <w:rPr>
                <w:rFonts w:ascii="Arial Narrow" w:hAnsi="Arial Narrow"/>
                <w:lang w:val="cs-CZ"/>
              </w:rPr>
            </w:pPr>
            <w:r w:rsidRPr="00073AB8">
              <w:rPr>
                <w:rFonts w:ascii="Arial Narrow" w:hAnsi="Arial Narrow"/>
                <w:color w:val="000000"/>
              </w:rPr>
              <w:t>Dolní Suchá u Chotyně</w:t>
            </w:r>
          </w:p>
        </w:tc>
        <w:tc>
          <w:tcPr>
            <w:tcW w:w="5070" w:type="dxa"/>
            <w:shd w:val="clear" w:color="auto" w:fill="D6E3BC" w:themeFill="accent3" w:themeFillTint="66"/>
          </w:tcPr>
          <w:p w14:paraId="6DFE2FBD" w14:textId="77777777" w:rsidR="00D95953" w:rsidRDefault="00D95953" w:rsidP="00B82079">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Umožňuje rozvoj bydlení v izolovaném sídle Dolní Suchá k uspokojení poptávky po nové výstavby, přičemž však rozsah plochy zohledňuje rozptýlený charakter zástavby a umožňuje výstavbu pouze jediného RD.</w:t>
            </w:r>
          </w:p>
          <w:p w14:paraId="4B7A69FC" w14:textId="77777777" w:rsidR="00D716F6" w:rsidRPr="00461C16" w:rsidRDefault="00D716F6" w:rsidP="00B82079">
            <w:pPr>
              <w:pStyle w:val="Intabulka"/>
              <w:rPr>
                <w:rFonts w:ascii="Arial Narrow" w:hAnsi="Arial Narrow"/>
                <w:lang w:val="cs-CZ"/>
              </w:rPr>
            </w:pPr>
            <w:r>
              <w:rPr>
                <w:rFonts w:ascii="Arial Narrow" w:hAnsi="Arial Narrow"/>
                <w:lang w:val="cs-CZ"/>
              </w:rPr>
              <w:t>Plocha představuje zábor v</w:t>
            </w:r>
            <w:r w:rsidR="00397A88">
              <w:rPr>
                <w:rFonts w:ascii="Arial Narrow" w:hAnsi="Arial Narrow"/>
                <w:lang w:val="cs-CZ"/>
              </w:rPr>
              <w:t xml:space="preserve">ýhradně nižší (V.) </w:t>
            </w:r>
            <w:r>
              <w:rPr>
                <w:rFonts w:ascii="Arial Narrow" w:hAnsi="Arial Narrow"/>
                <w:lang w:val="cs-CZ"/>
              </w:rPr>
              <w:t>třídy ochrany.</w:t>
            </w:r>
          </w:p>
        </w:tc>
      </w:tr>
      <w:tr w:rsidR="00D95953" w:rsidRPr="00461C16" w14:paraId="3DBDB2D1" w14:textId="77777777" w:rsidTr="00D95953">
        <w:trPr>
          <w:jc w:val="center"/>
        </w:trPr>
        <w:tc>
          <w:tcPr>
            <w:tcW w:w="1006" w:type="dxa"/>
            <w:shd w:val="clear" w:color="auto" w:fill="D6E3BC" w:themeFill="accent3" w:themeFillTint="66"/>
          </w:tcPr>
          <w:p w14:paraId="782C301E" w14:textId="77777777" w:rsidR="00D95953" w:rsidRPr="00461C16" w:rsidRDefault="00D95953" w:rsidP="00B82079">
            <w:pPr>
              <w:spacing w:before="40" w:line="240" w:lineRule="auto"/>
              <w:jc w:val="left"/>
              <w:rPr>
                <w:color w:val="000000"/>
                <w:sz w:val="20"/>
                <w:szCs w:val="20"/>
              </w:rPr>
            </w:pPr>
            <w:r w:rsidRPr="009D002C">
              <w:rPr>
                <w:color w:val="000000"/>
                <w:sz w:val="20"/>
                <w:szCs w:val="20"/>
              </w:rPr>
              <w:t>Z105</w:t>
            </w:r>
          </w:p>
        </w:tc>
        <w:tc>
          <w:tcPr>
            <w:tcW w:w="1856" w:type="dxa"/>
            <w:shd w:val="clear" w:color="auto" w:fill="D6E3BC" w:themeFill="accent3" w:themeFillTint="66"/>
          </w:tcPr>
          <w:p w14:paraId="523EEFD9" w14:textId="77777777" w:rsidR="00D95953" w:rsidRPr="00461C16" w:rsidRDefault="00D95953" w:rsidP="00B82079">
            <w:pPr>
              <w:spacing w:before="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538448E6" w14:textId="77777777" w:rsidR="00D95953" w:rsidRPr="00461C16" w:rsidRDefault="00D95953" w:rsidP="00B82079">
            <w:pPr>
              <w:pStyle w:val="Intabulka"/>
              <w:rPr>
                <w:rFonts w:ascii="Arial Narrow" w:hAnsi="Arial Narrow"/>
                <w:lang w:val="cs-CZ"/>
              </w:rPr>
            </w:pPr>
            <w:r>
              <w:rPr>
                <w:rFonts w:ascii="Arial Narrow" w:hAnsi="Arial Narrow"/>
                <w:color w:val="000000"/>
              </w:rPr>
              <w:t>Dolní Sedlo</w:t>
            </w:r>
          </w:p>
        </w:tc>
        <w:tc>
          <w:tcPr>
            <w:tcW w:w="5070" w:type="dxa"/>
            <w:shd w:val="clear" w:color="auto" w:fill="D6E3BC" w:themeFill="accent3" w:themeFillTint="66"/>
          </w:tcPr>
          <w:p w14:paraId="14ED7D11" w14:textId="77777777" w:rsidR="00D95953" w:rsidRDefault="00D95953" w:rsidP="00B82079">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dotvoření oboustranného obestavění ul. Lužická, v zájmu hospodárného využití území a ochrany volné krajiny.</w:t>
            </w:r>
          </w:p>
          <w:p w14:paraId="75E3C306" w14:textId="77777777" w:rsidR="00397A88" w:rsidRPr="00461C16" w:rsidRDefault="00397A88"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w:t>
            </w:r>
            <w:r>
              <w:rPr>
                <w:rFonts w:ascii="Arial Narrow" w:hAnsi="Arial Narrow"/>
                <w:lang w:val="cs-CZ"/>
              </w:rPr>
              <w:t>na hranici</w:t>
            </w:r>
            <w:r w:rsidRPr="00E87086">
              <w:rPr>
                <w:rFonts w:ascii="Arial Narrow" w:hAnsi="Arial Narrow"/>
              </w:rPr>
              <w:t xml:space="preserve"> zastavěného území</w:t>
            </w:r>
            <w:r>
              <w:rPr>
                <w:rFonts w:ascii="Arial Narrow" w:hAnsi="Arial Narrow"/>
                <w:lang w:val="cs-CZ"/>
              </w:rPr>
              <w:t xml:space="preserve"> podél komunikace</w:t>
            </w:r>
            <w:r w:rsidRPr="00E87086">
              <w:rPr>
                <w:rFonts w:ascii="Arial Narrow" w:hAnsi="Arial Narrow"/>
              </w:rPr>
              <w:t xml:space="preserve"> a stanovením adekvátních podmínek využití včetně podmínek prostorového uspořádání.</w:t>
            </w:r>
            <w:r w:rsidRPr="00461C16">
              <w:rPr>
                <w:rFonts w:ascii="Arial Narrow" w:hAnsi="Arial Narrow"/>
                <w:lang w:val="cs-CZ"/>
              </w:rPr>
              <w:t xml:space="preserve"> </w:t>
            </w:r>
            <w:r>
              <w:rPr>
                <w:rFonts w:ascii="Arial Narrow" w:hAnsi="Arial Narrow"/>
                <w:lang w:val="cs-CZ"/>
              </w:rPr>
              <w:t>Plocha představuje zábor II. třídy ochrany, při snaze o hospodárné využití území a zohlednění ochrany volné krajiny však nelze plochu v jiné poloze na půdě nižší třídy ochrany vymezit.</w:t>
            </w:r>
          </w:p>
        </w:tc>
      </w:tr>
      <w:tr w:rsidR="00D95953" w:rsidRPr="00461C16" w14:paraId="1F82EDDB" w14:textId="77777777" w:rsidTr="00D95953">
        <w:trPr>
          <w:jc w:val="center"/>
        </w:trPr>
        <w:tc>
          <w:tcPr>
            <w:tcW w:w="1006" w:type="dxa"/>
            <w:shd w:val="clear" w:color="auto" w:fill="D6E3BC" w:themeFill="accent3" w:themeFillTint="66"/>
          </w:tcPr>
          <w:p w14:paraId="3181DCA9" w14:textId="77777777" w:rsidR="00D95953" w:rsidRPr="00461C16" w:rsidRDefault="00D95953" w:rsidP="00B82079">
            <w:pPr>
              <w:spacing w:before="40" w:line="240" w:lineRule="auto"/>
              <w:jc w:val="left"/>
              <w:rPr>
                <w:color w:val="000000"/>
                <w:sz w:val="20"/>
                <w:szCs w:val="20"/>
              </w:rPr>
            </w:pPr>
            <w:r w:rsidRPr="009D002C">
              <w:rPr>
                <w:color w:val="000000"/>
                <w:sz w:val="20"/>
                <w:szCs w:val="20"/>
              </w:rPr>
              <w:t>Z106</w:t>
            </w:r>
          </w:p>
        </w:tc>
        <w:tc>
          <w:tcPr>
            <w:tcW w:w="1856" w:type="dxa"/>
            <w:shd w:val="clear" w:color="auto" w:fill="D6E3BC" w:themeFill="accent3" w:themeFillTint="66"/>
          </w:tcPr>
          <w:p w14:paraId="5DFB05FA" w14:textId="77777777" w:rsidR="00D95953" w:rsidRPr="00461C16" w:rsidRDefault="00D95953" w:rsidP="00B82079">
            <w:pPr>
              <w:spacing w:before="40" w:line="240" w:lineRule="auto"/>
              <w:jc w:val="left"/>
              <w:rPr>
                <w:color w:val="000000"/>
                <w:sz w:val="20"/>
                <w:szCs w:val="20"/>
              </w:rPr>
            </w:pPr>
            <w:r>
              <w:rPr>
                <w:color w:val="000000"/>
                <w:sz w:val="20"/>
                <w:szCs w:val="20"/>
              </w:rPr>
              <w:t>BV – bydlení venkovské</w:t>
            </w:r>
          </w:p>
        </w:tc>
        <w:tc>
          <w:tcPr>
            <w:tcW w:w="1356" w:type="dxa"/>
            <w:shd w:val="clear" w:color="auto" w:fill="D6E3BC" w:themeFill="accent3" w:themeFillTint="66"/>
          </w:tcPr>
          <w:p w14:paraId="022125B6" w14:textId="77777777" w:rsidR="00D95953" w:rsidRPr="00461C16" w:rsidRDefault="00D95953" w:rsidP="00B82079">
            <w:pPr>
              <w:pStyle w:val="Intabulka"/>
              <w:rPr>
                <w:rFonts w:ascii="Arial Narrow" w:hAnsi="Arial Narrow"/>
                <w:lang w:val="cs-CZ"/>
              </w:rPr>
            </w:pPr>
            <w:r w:rsidRPr="00073AB8">
              <w:rPr>
                <w:rFonts w:ascii="Arial Narrow" w:hAnsi="Arial Narrow"/>
                <w:color w:val="000000"/>
              </w:rPr>
              <w:t>Dolní Sedlo</w:t>
            </w:r>
          </w:p>
        </w:tc>
        <w:tc>
          <w:tcPr>
            <w:tcW w:w="5070" w:type="dxa"/>
            <w:shd w:val="clear" w:color="auto" w:fill="D6E3BC" w:themeFill="accent3" w:themeFillTint="66"/>
          </w:tcPr>
          <w:p w14:paraId="4CB05B15" w14:textId="77777777" w:rsidR="00D95953" w:rsidRDefault="00D95953" w:rsidP="00B82079">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využití proluky mezi fragmenty stávající zástavby, v zájmu hospodárného využití území a ochrany volné krajiny.</w:t>
            </w:r>
          </w:p>
          <w:p w14:paraId="24A315AA" w14:textId="77777777" w:rsidR="00397A88" w:rsidRPr="00461C16" w:rsidRDefault="00397A88" w:rsidP="00B82079">
            <w:pPr>
              <w:pStyle w:val="Intabulka"/>
              <w:rPr>
                <w:rFonts w:ascii="Arial Narrow" w:hAnsi="Arial Narrow"/>
                <w:lang w:val="cs-CZ"/>
              </w:rPr>
            </w:pPr>
            <w:r>
              <w:rPr>
                <w:rFonts w:ascii="Arial Narrow" w:hAnsi="Arial Narrow"/>
                <w:lang w:val="cs-CZ"/>
              </w:rPr>
              <w:t>Plocha představuje zábor výhradně třídy nižší (III.) třídy ochrany.</w:t>
            </w:r>
          </w:p>
        </w:tc>
      </w:tr>
      <w:tr w:rsidR="00D95953" w:rsidRPr="00461C16" w14:paraId="521D6787" w14:textId="77777777" w:rsidTr="00D95953">
        <w:trPr>
          <w:jc w:val="center"/>
        </w:trPr>
        <w:tc>
          <w:tcPr>
            <w:tcW w:w="1006" w:type="dxa"/>
            <w:shd w:val="clear" w:color="auto" w:fill="D6E3BC" w:themeFill="accent3" w:themeFillTint="66"/>
          </w:tcPr>
          <w:p w14:paraId="7CEBAEE4" w14:textId="77777777" w:rsidR="00D95953" w:rsidRPr="00461C16" w:rsidRDefault="00D95953" w:rsidP="00B82079">
            <w:pPr>
              <w:spacing w:before="40" w:line="240" w:lineRule="auto"/>
              <w:jc w:val="left"/>
              <w:rPr>
                <w:color w:val="000000"/>
                <w:sz w:val="20"/>
                <w:szCs w:val="20"/>
              </w:rPr>
            </w:pPr>
            <w:r w:rsidRPr="009D002C">
              <w:rPr>
                <w:color w:val="000000"/>
                <w:sz w:val="20"/>
                <w:szCs w:val="20"/>
              </w:rPr>
              <w:t>Z107</w:t>
            </w:r>
          </w:p>
        </w:tc>
        <w:tc>
          <w:tcPr>
            <w:tcW w:w="1856" w:type="dxa"/>
            <w:shd w:val="clear" w:color="auto" w:fill="D6E3BC" w:themeFill="accent3" w:themeFillTint="66"/>
          </w:tcPr>
          <w:p w14:paraId="78A153D7" w14:textId="77777777" w:rsidR="00D95953" w:rsidRPr="00461C16" w:rsidRDefault="00D95953" w:rsidP="00B82079">
            <w:pPr>
              <w:spacing w:before="40" w:line="240" w:lineRule="auto"/>
              <w:jc w:val="left"/>
              <w:rPr>
                <w:color w:val="000000"/>
                <w:sz w:val="20"/>
                <w:szCs w:val="20"/>
              </w:rPr>
            </w:pPr>
            <w:r>
              <w:rPr>
                <w:color w:val="000000"/>
                <w:sz w:val="20"/>
                <w:szCs w:val="20"/>
              </w:rPr>
              <w:t>BV – bydlení venkovské</w:t>
            </w:r>
          </w:p>
        </w:tc>
        <w:tc>
          <w:tcPr>
            <w:tcW w:w="1356" w:type="dxa"/>
            <w:shd w:val="clear" w:color="auto" w:fill="D6E3BC" w:themeFill="accent3" w:themeFillTint="66"/>
          </w:tcPr>
          <w:p w14:paraId="601A586A" w14:textId="77777777" w:rsidR="00D95953" w:rsidRPr="00461C16" w:rsidRDefault="00D95953" w:rsidP="00B82079">
            <w:pPr>
              <w:pStyle w:val="Intabulka"/>
              <w:rPr>
                <w:rFonts w:ascii="Arial Narrow" w:hAnsi="Arial Narrow"/>
                <w:lang w:val="cs-CZ"/>
              </w:rPr>
            </w:pPr>
            <w:r>
              <w:rPr>
                <w:rFonts w:ascii="Arial Narrow" w:hAnsi="Arial Narrow"/>
                <w:color w:val="000000"/>
              </w:rPr>
              <w:t>Donín u Hrádku nad Nisou</w:t>
            </w:r>
          </w:p>
        </w:tc>
        <w:tc>
          <w:tcPr>
            <w:tcW w:w="5070" w:type="dxa"/>
            <w:shd w:val="clear" w:color="auto" w:fill="D6E3BC" w:themeFill="accent3" w:themeFillTint="66"/>
          </w:tcPr>
          <w:p w14:paraId="6DBEB757" w14:textId="77777777" w:rsidR="00D95953" w:rsidRDefault="00D95953" w:rsidP="00B82079">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využití proluky mezi fragmenty stávající zástavby, v zájmu hospodárného využití území a ochrany volné krajiny.</w:t>
            </w:r>
          </w:p>
          <w:p w14:paraId="488C86D5" w14:textId="77777777" w:rsidR="00397A88" w:rsidRPr="00461C16" w:rsidRDefault="00397A88" w:rsidP="00B82079">
            <w:pPr>
              <w:pStyle w:val="Intabulka"/>
              <w:rPr>
                <w:rFonts w:ascii="Arial Narrow" w:hAnsi="Arial Narrow"/>
                <w:lang w:val="cs-CZ"/>
              </w:rPr>
            </w:pPr>
            <w:r w:rsidRPr="00E87086">
              <w:rPr>
                <w:rFonts w:ascii="Arial Narrow" w:hAnsi="Arial Narrow"/>
                <w:b/>
              </w:rPr>
              <w:t>Veřejný zájem</w:t>
            </w:r>
            <w:r w:rsidRPr="00E87086">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plochy </w:t>
            </w:r>
            <w:r>
              <w:rPr>
                <w:rFonts w:ascii="Arial Narrow" w:hAnsi="Arial Narrow"/>
                <w:lang w:val="cs-CZ"/>
              </w:rPr>
              <w:t>na hranici</w:t>
            </w:r>
            <w:r w:rsidRPr="00E87086">
              <w:rPr>
                <w:rFonts w:ascii="Arial Narrow" w:hAnsi="Arial Narrow"/>
              </w:rPr>
              <w:t xml:space="preserve"> zastavěného území</w:t>
            </w:r>
            <w:r>
              <w:rPr>
                <w:rFonts w:ascii="Arial Narrow" w:hAnsi="Arial Narrow"/>
                <w:lang w:val="cs-CZ"/>
              </w:rPr>
              <w:t xml:space="preserve"> podél komunikace</w:t>
            </w:r>
            <w:r w:rsidRPr="00E87086">
              <w:rPr>
                <w:rFonts w:ascii="Arial Narrow" w:hAnsi="Arial Narrow"/>
              </w:rPr>
              <w:t xml:space="preserve"> a stanovením adekvátních podmínek využití včetně podmínek prostorového uspořádání.</w:t>
            </w:r>
            <w:r w:rsidRPr="00461C16">
              <w:rPr>
                <w:rFonts w:ascii="Arial Narrow" w:hAnsi="Arial Narrow"/>
                <w:lang w:val="cs-CZ"/>
              </w:rPr>
              <w:t xml:space="preserve"> </w:t>
            </w:r>
            <w:r>
              <w:rPr>
                <w:rFonts w:ascii="Arial Narrow" w:hAnsi="Arial Narrow"/>
                <w:lang w:val="cs-CZ"/>
              </w:rPr>
              <w:t>Plocha představuje zábor převážně II. třídy ochrany, při snaze o hospodárné využití území a zohlednění ochrany volné krajiny však nelze plochu v jiné poloze na půdě nižší třídy ochrany vymezit.</w:t>
            </w:r>
          </w:p>
        </w:tc>
      </w:tr>
      <w:tr w:rsidR="00D95953" w:rsidRPr="00461C16" w14:paraId="19C3B09F" w14:textId="77777777" w:rsidTr="00D95953">
        <w:trPr>
          <w:jc w:val="center"/>
        </w:trPr>
        <w:tc>
          <w:tcPr>
            <w:tcW w:w="1006" w:type="dxa"/>
            <w:shd w:val="clear" w:color="auto" w:fill="D6E3BC" w:themeFill="accent3" w:themeFillTint="66"/>
          </w:tcPr>
          <w:p w14:paraId="4D199131" w14:textId="77777777" w:rsidR="00D95953" w:rsidRPr="00461C16" w:rsidRDefault="00D95953" w:rsidP="00B82079">
            <w:pPr>
              <w:spacing w:before="40" w:line="240" w:lineRule="auto"/>
              <w:jc w:val="left"/>
              <w:rPr>
                <w:color w:val="000000"/>
                <w:sz w:val="20"/>
                <w:szCs w:val="20"/>
              </w:rPr>
            </w:pPr>
            <w:r w:rsidRPr="009D002C">
              <w:rPr>
                <w:color w:val="000000"/>
                <w:sz w:val="20"/>
                <w:szCs w:val="20"/>
              </w:rPr>
              <w:t>Z109</w:t>
            </w:r>
          </w:p>
        </w:tc>
        <w:tc>
          <w:tcPr>
            <w:tcW w:w="1856" w:type="dxa"/>
            <w:shd w:val="clear" w:color="auto" w:fill="D6E3BC" w:themeFill="accent3" w:themeFillTint="66"/>
          </w:tcPr>
          <w:p w14:paraId="68E3D4E6" w14:textId="77777777" w:rsidR="00D95953" w:rsidRPr="00461C16" w:rsidRDefault="00D95953" w:rsidP="00B82079">
            <w:pPr>
              <w:spacing w:before="40" w:line="240" w:lineRule="auto"/>
              <w:jc w:val="left"/>
              <w:rPr>
                <w:color w:val="000000"/>
                <w:sz w:val="20"/>
                <w:szCs w:val="20"/>
              </w:rPr>
            </w:pPr>
            <w:r>
              <w:rPr>
                <w:color w:val="000000"/>
                <w:sz w:val="20"/>
                <w:szCs w:val="20"/>
              </w:rPr>
              <w:t>BV – bydlení venkovské</w:t>
            </w:r>
          </w:p>
        </w:tc>
        <w:tc>
          <w:tcPr>
            <w:tcW w:w="1356" w:type="dxa"/>
            <w:shd w:val="clear" w:color="auto" w:fill="D6E3BC" w:themeFill="accent3" w:themeFillTint="66"/>
          </w:tcPr>
          <w:p w14:paraId="076B5C11" w14:textId="77777777" w:rsidR="00D95953" w:rsidRPr="00461C16" w:rsidRDefault="00D95953" w:rsidP="00B82079">
            <w:pPr>
              <w:pStyle w:val="Intabulka"/>
              <w:rPr>
                <w:rFonts w:ascii="Arial Narrow" w:hAnsi="Arial Narrow"/>
                <w:lang w:val="cs-CZ"/>
              </w:rPr>
            </w:pPr>
            <w:r>
              <w:rPr>
                <w:rFonts w:ascii="Arial Narrow" w:hAnsi="Arial Narrow"/>
                <w:color w:val="000000"/>
              </w:rPr>
              <w:t>Donín u Hrádku nad Nisou</w:t>
            </w:r>
          </w:p>
        </w:tc>
        <w:tc>
          <w:tcPr>
            <w:tcW w:w="5070" w:type="dxa"/>
            <w:shd w:val="clear" w:color="auto" w:fill="D6E3BC" w:themeFill="accent3" w:themeFillTint="66"/>
          </w:tcPr>
          <w:p w14:paraId="3CB7A9DB" w14:textId="77777777" w:rsidR="00D95953" w:rsidRDefault="00D95953" w:rsidP="00B82079">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Směřuje k využití proluky mezi fragmenty stávající zástavby, v zájmu hospodárného využití území a ochrany volné krajiny.</w:t>
            </w:r>
          </w:p>
          <w:p w14:paraId="6CFBFA71" w14:textId="77777777" w:rsidR="00397A88" w:rsidRPr="00461C16" w:rsidRDefault="00397A88" w:rsidP="00B82079">
            <w:pPr>
              <w:pStyle w:val="Intabulka"/>
              <w:rPr>
                <w:rFonts w:ascii="Arial Narrow" w:hAnsi="Arial Narrow"/>
                <w:lang w:val="cs-CZ"/>
              </w:rPr>
            </w:pPr>
            <w:r>
              <w:rPr>
                <w:rFonts w:ascii="Arial Narrow" w:hAnsi="Arial Narrow"/>
                <w:lang w:val="cs-CZ"/>
              </w:rPr>
              <w:t>Plocha představuje zábor výhradně třídy nižší (III.) třídy ochrany.</w:t>
            </w:r>
          </w:p>
        </w:tc>
      </w:tr>
      <w:tr w:rsidR="00D95953" w:rsidRPr="00461C16" w14:paraId="7C225835" w14:textId="77777777" w:rsidTr="00D95953">
        <w:trPr>
          <w:jc w:val="center"/>
        </w:trPr>
        <w:tc>
          <w:tcPr>
            <w:tcW w:w="1006" w:type="dxa"/>
            <w:shd w:val="clear" w:color="auto" w:fill="D6E3BC" w:themeFill="accent3" w:themeFillTint="66"/>
          </w:tcPr>
          <w:p w14:paraId="035B8913" w14:textId="77777777" w:rsidR="00D95953" w:rsidRPr="00461C16" w:rsidRDefault="00D95953" w:rsidP="00B82079">
            <w:pPr>
              <w:spacing w:before="40" w:line="240" w:lineRule="auto"/>
              <w:jc w:val="left"/>
              <w:rPr>
                <w:color w:val="000000"/>
                <w:sz w:val="20"/>
                <w:szCs w:val="20"/>
              </w:rPr>
            </w:pPr>
            <w:r>
              <w:rPr>
                <w:color w:val="000000"/>
                <w:sz w:val="20"/>
                <w:szCs w:val="20"/>
              </w:rPr>
              <w:t>Z111</w:t>
            </w:r>
          </w:p>
        </w:tc>
        <w:tc>
          <w:tcPr>
            <w:tcW w:w="1856" w:type="dxa"/>
            <w:shd w:val="clear" w:color="auto" w:fill="D6E3BC" w:themeFill="accent3" w:themeFillTint="66"/>
          </w:tcPr>
          <w:p w14:paraId="69A6520D" w14:textId="77777777" w:rsidR="00D95953" w:rsidRPr="00461C16" w:rsidRDefault="00D95953" w:rsidP="00B82079">
            <w:pPr>
              <w:spacing w:before="40" w:line="240" w:lineRule="auto"/>
              <w:jc w:val="left"/>
              <w:rPr>
                <w:color w:val="000000"/>
                <w:sz w:val="20"/>
                <w:szCs w:val="20"/>
              </w:rPr>
            </w:pPr>
            <w:r>
              <w:rPr>
                <w:color w:val="000000"/>
                <w:sz w:val="20"/>
                <w:szCs w:val="20"/>
              </w:rPr>
              <w:t>BV – bydlení venkovské</w:t>
            </w:r>
          </w:p>
        </w:tc>
        <w:tc>
          <w:tcPr>
            <w:tcW w:w="1356" w:type="dxa"/>
            <w:shd w:val="clear" w:color="auto" w:fill="D6E3BC" w:themeFill="accent3" w:themeFillTint="66"/>
          </w:tcPr>
          <w:p w14:paraId="2CA6A6BF" w14:textId="77777777" w:rsidR="00D95953" w:rsidRPr="00461C16" w:rsidRDefault="00D95953" w:rsidP="00B82079">
            <w:pPr>
              <w:pStyle w:val="Intabulka"/>
              <w:rPr>
                <w:rFonts w:ascii="Arial Narrow" w:hAnsi="Arial Narrow"/>
                <w:lang w:val="cs-CZ"/>
              </w:rPr>
            </w:pPr>
            <w:r w:rsidRPr="00073AB8">
              <w:rPr>
                <w:rFonts w:ascii="Arial Narrow" w:hAnsi="Arial Narrow"/>
                <w:color w:val="000000"/>
              </w:rPr>
              <w:t>Dolní Suchá u Chotyně</w:t>
            </w:r>
          </w:p>
        </w:tc>
        <w:tc>
          <w:tcPr>
            <w:tcW w:w="5070" w:type="dxa"/>
            <w:shd w:val="clear" w:color="auto" w:fill="D6E3BC" w:themeFill="accent3" w:themeFillTint="66"/>
          </w:tcPr>
          <w:p w14:paraId="1057C80E" w14:textId="77777777" w:rsidR="00D95953" w:rsidRDefault="00D95953" w:rsidP="00B82079">
            <w:pPr>
              <w:pStyle w:val="Intabulka"/>
              <w:rPr>
                <w:rFonts w:ascii="Arial Narrow" w:hAnsi="Arial Narrow"/>
                <w:lang w:val="cs-CZ"/>
              </w:rPr>
            </w:pPr>
            <w:r>
              <w:rPr>
                <w:rFonts w:ascii="Arial Narrow" w:hAnsi="Arial Narrow"/>
                <w:lang w:val="cs-CZ"/>
              </w:rPr>
              <w:t>Plocha je doplněna v souladu se současně platným ÚPSÚ, v zájmu zajištění kontinuity při rozhodování o změnách v území. V platném ÚPSÚ je součástí zastavěného území, v souladu s §58 SZ ji však již nelze v novém ÚP do zastavěného území zahrnout. V ploše je v současné době plánována stavba RD, který doplní oboustranné obestavění stávající místní komunikace.</w:t>
            </w:r>
          </w:p>
          <w:p w14:paraId="12A26C53" w14:textId="77777777" w:rsidR="004B4566" w:rsidRPr="00461C16" w:rsidRDefault="004B4566" w:rsidP="00B82079">
            <w:pPr>
              <w:pStyle w:val="Intabulka"/>
              <w:rPr>
                <w:rFonts w:ascii="Arial Narrow" w:hAnsi="Arial Narrow"/>
                <w:lang w:val="cs-CZ"/>
              </w:rPr>
            </w:pPr>
            <w:r>
              <w:rPr>
                <w:rFonts w:ascii="Arial Narrow" w:hAnsi="Arial Narrow"/>
                <w:lang w:val="cs-CZ"/>
              </w:rPr>
              <w:t xml:space="preserve">Plocha představuje zábor výhradně třídy nižší (III.) třídy ochrany. </w:t>
            </w:r>
          </w:p>
        </w:tc>
      </w:tr>
      <w:tr w:rsidR="00D95953" w:rsidRPr="00461C16" w14:paraId="064F8C30" w14:textId="77777777" w:rsidTr="00FF0B06">
        <w:trPr>
          <w:jc w:val="center"/>
        </w:trPr>
        <w:tc>
          <w:tcPr>
            <w:tcW w:w="9288" w:type="dxa"/>
            <w:gridSpan w:val="4"/>
            <w:shd w:val="clear" w:color="auto" w:fill="auto"/>
          </w:tcPr>
          <w:p w14:paraId="4C9EE1F7"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PLOCHY PŘESTAVBY</w:t>
            </w:r>
          </w:p>
        </w:tc>
      </w:tr>
      <w:tr w:rsidR="00D95953" w:rsidRPr="00461C16" w14:paraId="4D7C82B8" w14:textId="77777777" w:rsidTr="00D95953">
        <w:tblPrEx>
          <w:jc w:val="left"/>
        </w:tblPrEx>
        <w:tc>
          <w:tcPr>
            <w:tcW w:w="1006" w:type="dxa"/>
            <w:shd w:val="clear" w:color="auto" w:fill="FBF8B5"/>
          </w:tcPr>
          <w:p w14:paraId="34C1BD8B" w14:textId="77777777" w:rsidR="00D95953" w:rsidRPr="00461C16" w:rsidRDefault="00D95953" w:rsidP="00B82079">
            <w:pPr>
              <w:spacing w:before="40" w:after="40" w:line="240" w:lineRule="auto"/>
              <w:rPr>
                <w:sz w:val="20"/>
                <w:szCs w:val="20"/>
              </w:rPr>
            </w:pPr>
            <w:r w:rsidRPr="00461C16">
              <w:rPr>
                <w:sz w:val="20"/>
                <w:szCs w:val="20"/>
              </w:rPr>
              <w:lastRenderedPageBreak/>
              <w:t>P01</w:t>
            </w:r>
          </w:p>
        </w:tc>
        <w:tc>
          <w:tcPr>
            <w:tcW w:w="1856" w:type="dxa"/>
            <w:shd w:val="clear" w:color="auto" w:fill="FBF8B5"/>
          </w:tcPr>
          <w:p w14:paraId="07914881"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FBF8B5"/>
          </w:tcPr>
          <w:p w14:paraId="6B972985"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FBF8B5"/>
          </w:tcPr>
          <w:p w14:paraId="2120B70C" w14:textId="77777777" w:rsidR="00D95953" w:rsidRDefault="00D95953" w:rsidP="00B82079">
            <w:pPr>
              <w:pStyle w:val="Intabulka"/>
              <w:rPr>
                <w:rFonts w:ascii="Arial Narrow" w:hAnsi="Arial Narrow"/>
                <w:lang w:val="cs-CZ"/>
              </w:rPr>
            </w:pPr>
            <w:r w:rsidRPr="00461C16">
              <w:rPr>
                <w:rFonts w:ascii="Arial Narrow" w:hAnsi="Arial Narrow"/>
                <w:lang w:val="cs-CZ"/>
              </w:rPr>
              <w:t xml:space="preserve">Plocha je vymezena za účelem </w:t>
            </w:r>
            <w:r w:rsidRPr="006F038D">
              <w:rPr>
                <w:rFonts w:ascii="Arial Narrow" w:hAnsi="Arial Narrow"/>
                <w:b/>
                <w:lang w:val="cs-CZ"/>
              </w:rPr>
              <w:t xml:space="preserve">realizace obytného objektu na místě současného zbořeniště, </w:t>
            </w:r>
            <w:r w:rsidRPr="006F038D">
              <w:rPr>
                <w:rFonts w:ascii="Arial Narrow" w:hAnsi="Arial Narrow"/>
                <w:b/>
              </w:rPr>
              <w:t>v souladu s požadavkem schváleného Zadání ÚP</w:t>
            </w:r>
            <w:r w:rsidRPr="00461C16">
              <w:rPr>
                <w:rFonts w:ascii="Arial Narrow" w:hAnsi="Arial Narrow"/>
                <w:lang w:val="cs-CZ"/>
              </w:rPr>
              <w:t xml:space="preserve"> – na základě požadavku vlastníka pozemku. Přednostní využití rezervy uvnitř zastavěného území směřuje k hospodárnému využívání území. Plocha doplňuje smíšenou obytnou zástavbu, přispívá k uspokojení poptávky po nových plochách pro bydlení a zároveň umožňuje případnou lokalizaci dalších služeb, s cílem zvýšení kvality podmínek pro život v sídle Václavice.</w:t>
            </w:r>
          </w:p>
          <w:p w14:paraId="7F1B1834" w14:textId="77777777" w:rsidR="00D95953" w:rsidRPr="00461C16" w:rsidRDefault="00D95953"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Pr>
                <w:rFonts w:ascii="Arial Narrow" w:hAnsi="Arial Narrow"/>
                <w:lang w:val="cs-CZ"/>
              </w:rPr>
              <w:t>. Sledovaná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w:t>
            </w:r>
            <w:r>
              <w:rPr>
                <w:rFonts w:ascii="Arial Narrow" w:hAnsi="Arial Narrow"/>
                <w:lang w:val="cs-CZ"/>
              </w:rPr>
              <w:t>uvnitř</w:t>
            </w:r>
            <w:r w:rsidRPr="00D11D91">
              <w:rPr>
                <w:rFonts w:ascii="Arial Narrow" w:hAnsi="Arial Narrow"/>
              </w:rPr>
              <w:t xml:space="preserve"> zastavěného území a stanovením adekvátních podmínek využití včetně podmínek prostorového uspořádání.</w:t>
            </w:r>
          </w:p>
        </w:tc>
      </w:tr>
      <w:tr w:rsidR="00D95953" w:rsidRPr="00461C16" w14:paraId="5F79526D" w14:textId="77777777" w:rsidTr="00D95953">
        <w:tblPrEx>
          <w:jc w:val="left"/>
        </w:tblPrEx>
        <w:tc>
          <w:tcPr>
            <w:tcW w:w="1006" w:type="dxa"/>
            <w:shd w:val="clear" w:color="auto" w:fill="D6E3BC" w:themeFill="accent3" w:themeFillTint="66"/>
          </w:tcPr>
          <w:p w14:paraId="3CAFA230" w14:textId="77777777" w:rsidR="00D95953" w:rsidRPr="00461C16" w:rsidRDefault="00D95953" w:rsidP="00B82079">
            <w:pPr>
              <w:spacing w:before="40" w:after="40" w:line="240" w:lineRule="auto"/>
              <w:rPr>
                <w:sz w:val="20"/>
                <w:szCs w:val="20"/>
              </w:rPr>
            </w:pPr>
            <w:r w:rsidRPr="00461C16">
              <w:rPr>
                <w:sz w:val="20"/>
                <w:szCs w:val="20"/>
              </w:rPr>
              <w:t>P02</w:t>
            </w:r>
          </w:p>
        </w:tc>
        <w:tc>
          <w:tcPr>
            <w:tcW w:w="1856" w:type="dxa"/>
            <w:shd w:val="clear" w:color="auto" w:fill="D6E3BC" w:themeFill="accent3" w:themeFillTint="66"/>
          </w:tcPr>
          <w:p w14:paraId="38EDE102"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18DDCDD7"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102E68DB"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 xml:space="preserve">Plocha je vymezena za účelem </w:t>
            </w:r>
            <w:r w:rsidRPr="006F038D">
              <w:rPr>
                <w:rFonts w:ascii="Arial Narrow" w:hAnsi="Arial Narrow"/>
                <w:b/>
                <w:lang w:val="cs-CZ"/>
              </w:rPr>
              <w:t>scelení proluky v zástavbě</w:t>
            </w:r>
            <w:r w:rsidRPr="00461C16">
              <w:rPr>
                <w:rFonts w:ascii="Arial Narrow" w:hAnsi="Arial Narrow"/>
                <w:lang w:val="cs-CZ"/>
              </w:rPr>
              <w:t xml:space="preserve"> na severním okraji části Václavice. </w:t>
            </w:r>
            <w:r w:rsidRPr="006F038D">
              <w:rPr>
                <w:rFonts w:ascii="Arial Narrow" w:hAnsi="Arial Narrow"/>
                <w:b/>
                <w:lang w:val="cs-CZ"/>
              </w:rPr>
              <w:t xml:space="preserve">Využití proluky směřuje k účelnému a hospodárnému využívání území a k posílení kompaktnosti území. </w:t>
            </w:r>
            <w:r w:rsidRPr="00461C16">
              <w:rPr>
                <w:rFonts w:ascii="Arial Narrow" w:hAnsi="Arial Narrow"/>
                <w:lang w:val="cs-CZ"/>
              </w:rPr>
              <w:t xml:space="preserve">Plocha doplňuje smíšenou obytnou zástavbu, přispívá k uspokojení poptávky po nových plochách pro bydlení a zároveň umožňuje případnou lokalizaci dalších služeb, s cílem zvýšení kvality podmínek pro život v sídle Václavice. Vymezení plochy vychází </w:t>
            </w:r>
            <w:r w:rsidRPr="006F038D">
              <w:rPr>
                <w:rFonts w:ascii="Arial Narrow" w:hAnsi="Arial Narrow"/>
                <w:b/>
                <w:lang w:val="cs-CZ"/>
              </w:rPr>
              <w:t>ze současně platného ÚP města, kde již byla řádně projednána a schválena</w:t>
            </w:r>
            <w:r w:rsidRPr="00461C16">
              <w:rPr>
                <w:rFonts w:ascii="Arial Narrow" w:hAnsi="Arial Narrow"/>
                <w:lang w:val="cs-CZ"/>
              </w:rPr>
              <w:t xml:space="preserve">. </w:t>
            </w:r>
          </w:p>
        </w:tc>
      </w:tr>
      <w:tr w:rsidR="00D95953" w:rsidRPr="00461C16" w14:paraId="571BB399" w14:textId="77777777" w:rsidTr="00D95953">
        <w:tblPrEx>
          <w:jc w:val="left"/>
        </w:tblPrEx>
        <w:tc>
          <w:tcPr>
            <w:tcW w:w="1006" w:type="dxa"/>
            <w:shd w:val="clear" w:color="auto" w:fill="D6E3BC" w:themeFill="accent3" w:themeFillTint="66"/>
          </w:tcPr>
          <w:p w14:paraId="4C5C1AA1" w14:textId="77777777" w:rsidR="00D95953" w:rsidRPr="00461C16" w:rsidRDefault="00D95953" w:rsidP="00B82079">
            <w:pPr>
              <w:spacing w:before="40" w:after="40" w:line="240" w:lineRule="auto"/>
              <w:rPr>
                <w:sz w:val="20"/>
                <w:szCs w:val="20"/>
              </w:rPr>
            </w:pPr>
            <w:r w:rsidRPr="00461C16">
              <w:rPr>
                <w:sz w:val="20"/>
                <w:szCs w:val="20"/>
              </w:rPr>
              <w:t>P03</w:t>
            </w:r>
          </w:p>
        </w:tc>
        <w:tc>
          <w:tcPr>
            <w:tcW w:w="1856" w:type="dxa"/>
            <w:shd w:val="clear" w:color="auto" w:fill="D6E3BC" w:themeFill="accent3" w:themeFillTint="66"/>
          </w:tcPr>
          <w:p w14:paraId="04767612"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4F9C5360"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3B37649D"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 xml:space="preserve">Plocha je vymezena za účelem </w:t>
            </w:r>
            <w:r w:rsidRPr="006F038D">
              <w:rPr>
                <w:rFonts w:ascii="Arial Narrow" w:hAnsi="Arial Narrow"/>
                <w:b/>
                <w:lang w:val="cs-CZ"/>
              </w:rPr>
              <w:t>scelení proluky v zástavbě</w:t>
            </w:r>
            <w:r w:rsidRPr="00461C16">
              <w:rPr>
                <w:rFonts w:ascii="Arial Narrow" w:hAnsi="Arial Narrow"/>
                <w:lang w:val="cs-CZ"/>
              </w:rPr>
              <w:t xml:space="preserve"> na jižním okraji části Václavice. </w:t>
            </w:r>
            <w:r w:rsidRPr="006F038D">
              <w:rPr>
                <w:rFonts w:ascii="Arial Narrow" w:hAnsi="Arial Narrow"/>
                <w:b/>
                <w:lang w:val="cs-CZ"/>
              </w:rPr>
              <w:t>Využití proluky směřuje k účelnému a hospodárnému využívání území a k posílení kompaktnosti území</w:t>
            </w:r>
            <w:r w:rsidRPr="00461C16">
              <w:rPr>
                <w:rFonts w:ascii="Arial Narrow" w:hAnsi="Arial Narrow"/>
                <w:lang w:val="cs-CZ"/>
              </w:rPr>
              <w:t xml:space="preserve">. Plocha doplňuje smíšenou obytnou zástavbu, přispívá k uspokojení poptávky po nových plochách pro bydlení a zároveň umožňuje případnou lokalizaci dalších služeb, s cílem zvýšení kvality podmínek pro život v sídle Václavice. Vymezení plochy vychází </w:t>
            </w:r>
            <w:r w:rsidRPr="006F038D">
              <w:rPr>
                <w:rFonts w:ascii="Arial Narrow" w:hAnsi="Arial Narrow"/>
                <w:b/>
                <w:lang w:val="cs-CZ"/>
              </w:rPr>
              <w:t>ze současně platného ÚP města, kde již byla řádně projednána a schválena</w:t>
            </w:r>
            <w:r w:rsidRPr="00461C16">
              <w:rPr>
                <w:rFonts w:ascii="Arial Narrow" w:hAnsi="Arial Narrow"/>
                <w:lang w:val="cs-CZ"/>
              </w:rPr>
              <w:t xml:space="preserve">. </w:t>
            </w:r>
          </w:p>
        </w:tc>
      </w:tr>
      <w:tr w:rsidR="00D95953" w:rsidRPr="00461C16" w14:paraId="5C4C76F8" w14:textId="77777777" w:rsidTr="00D95953">
        <w:tblPrEx>
          <w:jc w:val="left"/>
        </w:tblPrEx>
        <w:tc>
          <w:tcPr>
            <w:tcW w:w="1006" w:type="dxa"/>
            <w:shd w:val="clear" w:color="auto" w:fill="D6E3BC" w:themeFill="accent3" w:themeFillTint="66"/>
          </w:tcPr>
          <w:p w14:paraId="5CC5E93E" w14:textId="77777777" w:rsidR="00D95953" w:rsidRPr="00461C16" w:rsidRDefault="00D95953" w:rsidP="00B82079">
            <w:pPr>
              <w:spacing w:before="40" w:after="40" w:line="240" w:lineRule="auto"/>
              <w:rPr>
                <w:sz w:val="20"/>
                <w:szCs w:val="20"/>
              </w:rPr>
            </w:pPr>
            <w:r w:rsidRPr="00461C16">
              <w:rPr>
                <w:sz w:val="20"/>
                <w:szCs w:val="20"/>
              </w:rPr>
              <w:t>P04</w:t>
            </w:r>
          </w:p>
        </w:tc>
        <w:tc>
          <w:tcPr>
            <w:tcW w:w="1856" w:type="dxa"/>
            <w:shd w:val="clear" w:color="auto" w:fill="D6E3BC" w:themeFill="accent3" w:themeFillTint="66"/>
          </w:tcPr>
          <w:p w14:paraId="2F91E89C"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0B957088"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Václavice u Hrádku nad Nisou</w:t>
            </w:r>
          </w:p>
        </w:tc>
        <w:tc>
          <w:tcPr>
            <w:tcW w:w="5070" w:type="dxa"/>
            <w:shd w:val="clear" w:color="auto" w:fill="D6E3BC" w:themeFill="accent3" w:themeFillTint="66"/>
          </w:tcPr>
          <w:p w14:paraId="7F0ACC4C"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 xml:space="preserve">Plocha je vymezena za účelem </w:t>
            </w:r>
            <w:r w:rsidRPr="006F038D">
              <w:rPr>
                <w:rFonts w:ascii="Arial Narrow" w:hAnsi="Arial Narrow"/>
                <w:b/>
                <w:lang w:val="cs-CZ"/>
              </w:rPr>
              <w:t>scelení proluky v zástavbě</w:t>
            </w:r>
            <w:r w:rsidRPr="00461C16">
              <w:rPr>
                <w:rFonts w:ascii="Arial Narrow" w:hAnsi="Arial Narrow"/>
                <w:lang w:val="cs-CZ"/>
              </w:rPr>
              <w:t xml:space="preserve"> na jižním okraji části Václavice. Využití proluky směřuje k účelnému a hospodárnému využívání území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 Vymezení plochy vychází </w:t>
            </w:r>
            <w:r w:rsidRPr="006F038D">
              <w:rPr>
                <w:rFonts w:ascii="Arial Narrow" w:hAnsi="Arial Narrow"/>
                <w:b/>
                <w:lang w:val="cs-CZ"/>
              </w:rPr>
              <w:t xml:space="preserve">ze současně platného ÚP města, kde již byla řádně projednána a schválena. </w:t>
            </w:r>
          </w:p>
        </w:tc>
      </w:tr>
      <w:tr w:rsidR="00D95953" w:rsidRPr="00461C16" w14:paraId="0B0A343E" w14:textId="77777777" w:rsidTr="00D95953">
        <w:tblPrEx>
          <w:jc w:val="left"/>
        </w:tblPrEx>
        <w:tc>
          <w:tcPr>
            <w:tcW w:w="1006" w:type="dxa"/>
            <w:shd w:val="clear" w:color="auto" w:fill="FBF8B5"/>
          </w:tcPr>
          <w:p w14:paraId="7C7CEF91" w14:textId="77777777" w:rsidR="00D95953" w:rsidRPr="00461C16" w:rsidRDefault="00D95953" w:rsidP="00B82079">
            <w:pPr>
              <w:spacing w:before="40" w:after="40" w:line="240" w:lineRule="auto"/>
              <w:rPr>
                <w:sz w:val="20"/>
                <w:szCs w:val="20"/>
              </w:rPr>
            </w:pPr>
            <w:r w:rsidRPr="00461C16">
              <w:rPr>
                <w:sz w:val="20"/>
                <w:szCs w:val="20"/>
              </w:rPr>
              <w:t>P08</w:t>
            </w:r>
          </w:p>
        </w:tc>
        <w:tc>
          <w:tcPr>
            <w:tcW w:w="1856" w:type="dxa"/>
            <w:shd w:val="clear" w:color="auto" w:fill="FBF8B5"/>
          </w:tcPr>
          <w:p w14:paraId="5FFF87F5"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FBF8B5"/>
          </w:tcPr>
          <w:p w14:paraId="690FACA0"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FBF8B5"/>
          </w:tcPr>
          <w:p w14:paraId="195E622D" w14:textId="77777777" w:rsidR="00D95953" w:rsidRDefault="00D95953" w:rsidP="00B82079">
            <w:pPr>
              <w:pStyle w:val="Intabulka"/>
              <w:rPr>
                <w:rFonts w:ascii="Arial Narrow" w:hAnsi="Arial Narrow"/>
                <w:lang w:val="cs-CZ"/>
              </w:rPr>
            </w:pPr>
            <w:r w:rsidRPr="00461C16">
              <w:rPr>
                <w:rFonts w:ascii="Arial Narrow" w:hAnsi="Arial Narrow"/>
                <w:lang w:val="cs-CZ"/>
              </w:rPr>
              <w:t xml:space="preserve">Plocha je vymezena za účelem umožnění rozvoje bydlení v západní části sídla Hrádek nad Nisou. Využívá proluku v zastavěném území mezi ul. U Koupaliště a ul. Lidická a vzhledem k minimálnímu omezení limity využití území představuje optimální polohu pro další zástavbu. Z urbanistického hlediska je tato poloha velmi atraktivní, nachází se na okraji zástavby a otvírá se do volné krajiny s rekreačním areálem Kristýna. </w:t>
            </w:r>
            <w:r w:rsidRPr="006F038D">
              <w:rPr>
                <w:rFonts w:ascii="Arial Narrow" w:hAnsi="Arial Narrow"/>
                <w:b/>
                <w:lang w:val="cs-CZ"/>
              </w:rPr>
              <w:t>Přednostní využití proluky v zastavěném území zohledňuje požadavky na hospodárné využívání území a ochranu volné krajiny</w:t>
            </w:r>
            <w:r w:rsidRPr="00461C16">
              <w:rPr>
                <w:rFonts w:ascii="Arial Narrow" w:hAnsi="Arial Narrow"/>
                <w:lang w:val="cs-CZ"/>
              </w:rPr>
              <w:t xml:space="preserve">. Využití plochy přispěje k uspokojení poptávky po nových plochách pro bydlení na území města a k celkovému zvýšení kvality a komfortu bydlení. Plocha je vymezena </w:t>
            </w:r>
            <w:r w:rsidRPr="006F038D">
              <w:rPr>
                <w:rFonts w:ascii="Arial Narrow" w:hAnsi="Arial Narrow"/>
                <w:b/>
                <w:lang w:val="cs-CZ"/>
              </w:rPr>
              <w:t>v souladu s požadavkem schváleného Zadání ÚP.</w:t>
            </w:r>
            <w:r>
              <w:rPr>
                <w:rFonts w:ascii="Arial Narrow" w:hAnsi="Arial Narrow"/>
                <w:b/>
                <w:lang w:val="cs-CZ"/>
              </w:rPr>
              <w:t xml:space="preserve"> </w:t>
            </w:r>
            <w:r w:rsidRPr="006F038D">
              <w:rPr>
                <w:rFonts w:ascii="Arial Narrow" w:hAnsi="Arial Narrow"/>
                <w:b/>
                <w:lang w:val="cs-CZ"/>
              </w:rPr>
              <w:t>Pro zastavění je určena již v platném ÚPSÚ Hrádek nad Nisou</w:t>
            </w:r>
            <w:r w:rsidRPr="006F038D">
              <w:rPr>
                <w:rFonts w:ascii="Arial Narrow" w:hAnsi="Arial Narrow"/>
                <w:lang w:val="cs-CZ"/>
              </w:rPr>
              <w:t xml:space="preserve">, byť pro jiný způsob využití (tělovýchova </w:t>
            </w:r>
            <w:r w:rsidRPr="006F038D">
              <w:rPr>
                <w:rFonts w:ascii="Arial Narrow" w:hAnsi="Arial Narrow"/>
                <w:lang w:val="cs-CZ"/>
              </w:rPr>
              <w:lastRenderedPageBreak/>
              <w:t>a sport).</w:t>
            </w:r>
          </w:p>
          <w:p w14:paraId="54E908FA" w14:textId="77777777" w:rsidR="00D95953" w:rsidRPr="00461C16" w:rsidRDefault="00D95953" w:rsidP="00B82079">
            <w:pPr>
              <w:pStyle w:val="Intabulka"/>
              <w:rPr>
                <w:rFonts w:ascii="Arial Narrow" w:hAnsi="Arial Narrow"/>
                <w:color w:val="FF0000"/>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w:t>
            </w:r>
            <w:r>
              <w:rPr>
                <w:rFonts w:ascii="Arial Narrow" w:hAnsi="Arial Narrow"/>
              </w:rPr>
              <w:t xml:space="preserve"> krajinářské koncepce</w:t>
            </w:r>
            <w:r>
              <w:rPr>
                <w:rFonts w:ascii="Arial Narrow" w:hAnsi="Arial Narrow"/>
                <w:lang w:val="cs-CZ"/>
              </w:rPr>
              <w:t>, přičemž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w:t>
            </w:r>
            <w:r>
              <w:rPr>
                <w:rFonts w:ascii="Arial Narrow" w:hAnsi="Arial Narrow"/>
                <w:lang w:val="cs-CZ"/>
              </w:rPr>
              <w:t xml:space="preserve">(v ploše určené k zastavění již v ÚPSÚ) </w:t>
            </w:r>
            <w:r w:rsidRPr="00D11D91">
              <w:rPr>
                <w:rFonts w:ascii="Arial Narrow" w:hAnsi="Arial Narrow"/>
              </w:rPr>
              <w:t>a stanovením adekvátních podmínek využití včetně podmínek prostorového uspořádání.</w:t>
            </w:r>
          </w:p>
        </w:tc>
      </w:tr>
      <w:tr w:rsidR="00D95953" w:rsidRPr="00461C16" w14:paraId="3B02F31F" w14:textId="77777777" w:rsidTr="00D95953">
        <w:tblPrEx>
          <w:jc w:val="left"/>
        </w:tblPrEx>
        <w:tc>
          <w:tcPr>
            <w:tcW w:w="1006" w:type="dxa"/>
            <w:shd w:val="clear" w:color="auto" w:fill="D6E3BC" w:themeFill="accent3" w:themeFillTint="66"/>
          </w:tcPr>
          <w:p w14:paraId="0228FFAE" w14:textId="77777777" w:rsidR="00D95953" w:rsidRPr="00461C16" w:rsidRDefault="00D95953" w:rsidP="00B82079">
            <w:pPr>
              <w:spacing w:before="40" w:after="40" w:line="240" w:lineRule="auto"/>
              <w:rPr>
                <w:sz w:val="20"/>
                <w:szCs w:val="20"/>
              </w:rPr>
            </w:pPr>
            <w:r w:rsidRPr="00461C16">
              <w:rPr>
                <w:sz w:val="20"/>
                <w:szCs w:val="20"/>
              </w:rPr>
              <w:lastRenderedPageBreak/>
              <w:t>P10</w:t>
            </w:r>
          </w:p>
        </w:tc>
        <w:tc>
          <w:tcPr>
            <w:tcW w:w="1856" w:type="dxa"/>
            <w:shd w:val="clear" w:color="auto" w:fill="D6E3BC" w:themeFill="accent3" w:themeFillTint="66"/>
          </w:tcPr>
          <w:p w14:paraId="79E57286"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ZV – veřejné prostranství – veřejná zeleň</w:t>
            </w:r>
          </w:p>
        </w:tc>
        <w:tc>
          <w:tcPr>
            <w:tcW w:w="1356" w:type="dxa"/>
            <w:shd w:val="clear" w:color="auto" w:fill="D6E3BC" w:themeFill="accent3" w:themeFillTint="66"/>
          </w:tcPr>
          <w:p w14:paraId="72678759"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D6E3BC" w:themeFill="accent3" w:themeFillTint="66"/>
          </w:tcPr>
          <w:p w14:paraId="08C05E3E" w14:textId="77777777" w:rsidR="00D95953" w:rsidRDefault="00D95953" w:rsidP="00B82079">
            <w:pPr>
              <w:pStyle w:val="Intabulka"/>
              <w:rPr>
                <w:rFonts w:ascii="Arial Narrow" w:hAnsi="Arial Narrow"/>
                <w:b/>
                <w:lang w:val="cs-CZ"/>
              </w:rPr>
            </w:pPr>
            <w:r w:rsidRPr="00461C16">
              <w:rPr>
                <w:rFonts w:ascii="Arial Narrow" w:hAnsi="Arial Narrow"/>
                <w:lang w:val="cs-CZ"/>
              </w:rPr>
              <w:t xml:space="preserve">Plocha je určena k realizaci izolačního pásu zeleně mezi plochami výroby v průmyslové zóně a smíšenou obytnou zástavbou podél ul. Oldřichovská, s cílem nezbytné ochrany a zajištění odpovídající kvality bydlení v navazujícím území. Záměr je </w:t>
            </w:r>
            <w:r w:rsidRPr="006F038D">
              <w:rPr>
                <w:rFonts w:ascii="Arial Narrow" w:hAnsi="Arial Narrow"/>
                <w:b/>
                <w:lang w:val="cs-CZ"/>
              </w:rPr>
              <w:t>v souladu se současně platným ÚP města, kde již byla plocha řádně projednána a schválena.</w:t>
            </w:r>
          </w:p>
          <w:p w14:paraId="56EC1C35" w14:textId="642CC7B0" w:rsidR="00D95953" w:rsidRPr="00461C16" w:rsidRDefault="00D95953"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w:t>
            </w:r>
            <w:r>
              <w:rPr>
                <w:rFonts w:ascii="Arial Narrow" w:hAnsi="Arial Narrow"/>
              </w:rPr>
              <w:t>anistické a krajinářské koncepc</w:t>
            </w:r>
            <w:r>
              <w:rPr>
                <w:rFonts w:ascii="Arial Narrow" w:hAnsi="Arial Narrow"/>
                <w:lang w:val="cs-CZ"/>
              </w:rPr>
              <w:t xml:space="preserve">e a a </w:t>
            </w:r>
            <w:r w:rsidRPr="001919CA">
              <w:rPr>
                <w:rFonts w:ascii="Arial Narrow" w:hAnsi="Arial Narrow"/>
              </w:rPr>
              <w:t xml:space="preserve">dotvoření a naplnění dlouhodobě sledované a platné územně plánovací </w:t>
            </w:r>
            <w:r>
              <w:rPr>
                <w:rFonts w:ascii="Arial Narrow" w:hAnsi="Arial Narrow"/>
              </w:rPr>
              <w:t>koncepce</w:t>
            </w:r>
            <w:r>
              <w:rPr>
                <w:rFonts w:ascii="Arial Narrow" w:hAnsi="Arial Narrow"/>
                <w:lang w:val="cs-CZ"/>
              </w:rPr>
              <w:t>. Sledovaná k</w:t>
            </w:r>
            <w:r w:rsidRPr="00D11D91">
              <w:rPr>
                <w:rFonts w:ascii="Arial Narrow" w:hAnsi="Arial Narrow"/>
              </w:rPr>
              <w:t xml:space="preserve">valita prostředí je zajištěna </w:t>
            </w:r>
            <w:r>
              <w:rPr>
                <w:rFonts w:ascii="Arial Narrow" w:hAnsi="Arial Narrow"/>
                <w:lang w:val="cs-CZ"/>
              </w:rPr>
              <w:t>integrací plochy zeleně v zástavbě, tedy k ozdravění prostředí, zlepšení mikroklimatických podmínek a zvýšení absorbčních schopností území, zároveň i k ochraně obytného území před negativními vlivy přilehlé výroby.</w:t>
            </w:r>
          </w:p>
        </w:tc>
      </w:tr>
      <w:tr w:rsidR="00D95953" w:rsidRPr="00461C16" w14:paraId="5C0CE167" w14:textId="77777777" w:rsidTr="00D95953">
        <w:tblPrEx>
          <w:jc w:val="left"/>
        </w:tblPrEx>
        <w:tc>
          <w:tcPr>
            <w:tcW w:w="1006" w:type="dxa"/>
            <w:shd w:val="clear" w:color="auto" w:fill="D6E3BC" w:themeFill="accent3" w:themeFillTint="66"/>
          </w:tcPr>
          <w:p w14:paraId="7B35CC3E" w14:textId="77777777" w:rsidR="00D95953" w:rsidRPr="00461C16" w:rsidRDefault="00D95953" w:rsidP="00B82079">
            <w:pPr>
              <w:spacing w:before="40" w:after="40" w:line="240" w:lineRule="auto"/>
              <w:rPr>
                <w:sz w:val="20"/>
                <w:szCs w:val="20"/>
              </w:rPr>
            </w:pPr>
            <w:r w:rsidRPr="00461C16">
              <w:rPr>
                <w:sz w:val="20"/>
                <w:szCs w:val="20"/>
              </w:rPr>
              <w:t>P11</w:t>
            </w:r>
          </w:p>
        </w:tc>
        <w:tc>
          <w:tcPr>
            <w:tcW w:w="1856" w:type="dxa"/>
            <w:shd w:val="clear" w:color="auto" w:fill="D6E3BC" w:themeFill="accent3" w:themeFillTint="66"/>
          </w:tcPr>
          <w:p w14:paraId="59E95A83" w14:textId="77777777" w:rsidR="00D95953" w:rsidRPr="00461C16" w:rsidRDefault="00D95953" w:rsidP="00B82079">
            <w:pPr>
              <w:spacing w:before="40" w:after="40" w:line="240" w:lineRule="auto"/>
              <w:jc w:val="left"/>
              <w:rPr>
                <w:sz w:val="20"/>
                <w:szCs w:val="20"/>
              </w:rPr>
            </w:pPr>
            <w:r w:rsidRPr="00461C16">
              <w:rPr>
                <w:sz w:val="20"/>
                <w:szCs w:val="20"/>
              </w:rPr>
              <w:t>SM – plocha smíšená obytná - městská</w:t>
            </w:r>
          </w:p>
        </w:tc>
        <w:tc>
          <w:tcPr>
            <w:tcW w:w="1356" w:type="dxa"/>
            <w:shd w:val="clear" w:color="auto" w:fill="D6E3BC" w:themeFill="accent3" w:themeFillTint="66"/>
          </w:tcPr>
          <w:p w14:paraId="68423452"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D6E3BC" w:themeFill="accent3" w:themeFillTint="66"/>
          </w:tcPr>
          <w:p w14:paraId="4EDE1ABC" w14:textId="77777777" w:rsidR="00D95953" w:rsidRDefault="00D95953" w:rsidP="00B82079">
            <w:pPr>
              <w:pStyle w:val="Intabulka"/>
              <w:rPr>
                <w:rFonts w:ascii="Arial Narrow" w:hAnsi="Arial Narrow"/>
                <w:lang w:val="cs-CZ"/>
              </w:rPr>
            </w:pPr>
            <w:r w:rsidRPr="00461C16">
              <w:rPr>
                <w:rFonts w:ascii="Arial Narrow" w:hAnsi="Arial Narrow"/>
                <w:lang w:val="cs-CZ"/>
              </w:rPr>
              <w:t xml:space="preserve">Plocha účelně využívá proluku v zástavbě podél ul. Oldřichovská a přispívá k jejímu scelení a posílení kompaktnosti zastavění území. Zároveň doplňuje oboustranné obestavění komunikace, které je výhodně z hlediska urbanistického (jednoznačné vymezení uličního veřejného prostoru) i ekonomického (dostupnost sítí veřejné infrastruktury). Záměr je </w:t>
            </w:r>
            <w:r w:rsidRPr="006F038D">
              <w:rPr>
                <w:rFonts w:ascii="Arial Narrow" w:hAnsi="Arial Narrow"/>
                <w:b/>
                <w:lang w:val="cs-CZ"/>
              </w:rPr>
              <w:t>v souladu se současně platným ÚP města, kde již byla plocha řádně projednána a schválena</w:t>
            </w:r>
            <w:r w:rsidRPr="00461C16">
              <w:rPr>
                <w:rFonts w:ascii="Arial Narrow" w:hAnsi="Arial Narrow"/>
                <w:lang w:val="cs-CZ"/>
              </w:rPr>
              <w:t>.</w:t>
            </w:r>
          </w:p>
          <w:p w14:paraId="39B47C2F" w14:textId="77777777" w:rsidR="00D95953" w:rsidRPr="00461C16" w:rsidRDefault="00D95953"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w:t>
            </w:r>
            <w:r w:rsidRPr="00D11D91">
              <w:rPr>
                <w:rFonts w:ascii="Arial Narrow" w:hAnsi="Arial Narrow"/>
              </w:rPr>
              <w:t xml:space="preserve"> kvalitní urbanistické a krajinářské koncepce</w:t>
            </w:r>
            <w:r>
              <w:rPr>
                <w:rFonts w:ascii="Arial Narrow" w:hAnsi="Arial Narrow"/>
                <w:lang w:val="cs-CZ"/>
              </w:rPr>
              <w:t xml:space="preserve"> a </w:t>
            </w:r>
            <w:r w:rsidRPr="001919CA">
              <w:rPr>
                <w:rFonts w:ascii="Arial Narrow" w:hAnsi="Arial Narrow"/>
              </w:rPr>
              <w:t xml:space="preserve">dotvoření a naplnění dlouhodobě sledované a platné územně plánovací </w:t>
            </w:r>
            <w:r>
              <w:rPr>
                <w:rFonts w:ascii="Arial Narrow" w:hAnsi="Arial Narrow"/>
              </w:rPr>
              <w:t>koncepce</w:t>
            </w:r>
            <w:r>
              <w:rPr>
                <w:rFonts w:ascii="Arial Narrow" w:hAnsi="Arial Narrow"/>
                <w:lang w:val="cs-CZ"/>
              </w:rPr>
              <w:t>.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w:t>
            </w:r>
            <w:r>
              <w:rPr>
                <w:rFonts w:ascii="Arial Narrow" w:hAnsi="Arial Narrow"/>
              </w:rPr>
              <w:t> </w:t>
            </w:r>
            <w:r w:rsidRPr="00D11D91">
              <w:rPr>
                <w:rFonts w:ascii="Arial Narrow" w:hAnsi="Arial Narrow"/>
              </w:rPr>
              <w:t>prolu</w:t>
            </w:r>
            <w:r>
              <w:rPr>
                <w:rFonts w:ascii="Arial Narrow" w:hAnsi="Arial Narrow"/>
                <w:lang w:val="cs-CZ"/>
              </w:rPr>
              <w:t>ce a</w:t>
            </w:r>
            <w:r w:rsidRPr="00D11D91">
              <w:rPr>
                <w:rFonts w:ascii="Arial Narrow" w:hAnsi="Arial Narrow"/>
              </w:rPr>
              <w:t xml:space="preserve"> stanovením adekvátních podmínek využití včetně podmínek prostorového uspořádání</w:t>
            </w:r>
            <w:r>
              <w:rPr>
                <w:rFonts w:ascii="Arial Narrow" w:hAnsi="Arial Narrow"/>
                <w:lang w:val="cs-CZ"/>
              </w:rPr>
              <w:t>.</w:t>
            </w:r>
          </w:p>
        </w:tc>
      </w:tr>
      <w:tr w:rsidR="00D95953" w:rsidRPr="00461C16" w14:paraId="2B418C70" w14:textId="77777777" w:rsidTr="00D95953">
        <w:tblPrEx>
          <w:jc w:val="left"/>
        </w:tblPrEx>
        <w:tc>
          <w:tcPr>
            <w:tcW w:w="1006" w:type="dxa"/>
            <w:shd w:val="clear" w:color="auto" w:fill="FBF8B5"/>
          </w:tcPr>
          <w:p w14:paraId="234F83B0" w14:textId="77777777" w:rsidR="00D95953" w:rsidRPr="00461C16" w:rsidRDefault="00D95953" w:rsidP="00B82079">
            <w:pPr>
              <w:spacing w:before="40" w:after="40" w:line="240" w:lineRule="auto"/>
              <w:rPr>
                <w:sz w:val="20"/>
                <w:szCs w:val="20"/>
              </w:rPr>
            </w:pPr>
            <w:r w:rsidRPr="00461C16">
              <w:rPr>
                <w:sz w:val="20"/>
                <w:szCs w:val="20"/>
              </w:rPr>
              <w:t>P14</w:t>
            </w:r>
          </w:p>
        </w:tc>
        <w:tc>
          <w:tcPr>
            <w:tcW w:w="1856" w:type="dxa"/>
            <w:shd w:val="clear" w:color="auto" w:fill="FBF8B5"/>
          </w:tcPr>
          <w:p w14:paraId="3C7BB5E1"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SM – plocha smíšená obytná - městská</w:t>
            </w:r>
          </w:p>
        </w:tc>
        <w:tc>
          <w:tcPr>
            <w:tcW w:w="1356" w:type="dxa"/>
            <w:shd w:val="clear" w:color="auto" w:fill="FBF8B5"/>
          </w:tcPr>
          <w:p w14:paraId="70FD4264"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FBF8B5"/>
          </w:tcPr>
          <w:p w14:paraId="3EE8E55F" w14:textId="77777777" w:rsidR="00D95953" w:rsidRDefault="00D95953" w:rsidP="00B82079">
            <w:pPr>
              <w:pStyle w:val="Intabulka"/>
              <w:rPr>
                <w:rFonts w:ascii="Arial Narrow" w:hAnsi="Arial Narrow"/>
                <w:lang w:val="cs-CZ"/>
              </w:rPr>
            </w:pPr>
            <w:r w:rsidRPr="00461C16">
              <w:rPr>
                <w:rFonts w:ascii="Arial Narrow" w:hAnsi="Arial Narrow"/>
                <w:lang w:val="cs-CZ"/>
              </w:rPr>
              <w:t xml:space="preserve">Plocha je vymezena za účelem </w:t>
            </w:r>
            <w:r w:rsidRPr="006F038D">
              <w:rPr>
                <w:rFonts w:ascii="Arial Narrow" w:hAnsi="Arial Narrow"/>
                <w:b/>
                <w:lang w:val="cs-CZ"/>
              </w:rPr>
              <w:t>přestavby a funkčního scelení</w:t>
            </w:r>
            <w:r w:rsidRPr="00461C16">
              <w:rPr>
                <w:rFonts w:ascii="Arial Narrow" w:hAnsi="Arial Narrow"/>
                <w:lang w:val="cs-CZ"/>
              </w:rPr>
              <w:t xml:space="preserve"> smíšené obytné zástavby podél ul. Oldřichovská. Návrh přestavby na smíšené obytné území reaguje na polohu na jedné z hlavních urbanistických os města a na charakter okolního území. Vymezení plochy zároveň vyplývá </w:t>
            </w:r>
            <w:r w:rsidRPr="006F038D">
              <w:rPr>
                <w:rFonts w:ascii="Arial Narrow" w:hAnsi="Arial Narrow"/>
                <w:b/>
                <w:lang w:val="cs-CZ"/>
              </w:rPr>
              <w:t>z požadavků schváleného Zadání ÚP</w:t>
            </w:r>
            <w:r w:rsidRPr="00461C16">
              <w:rPr>
                <w:rFonts w:ascii="Arial Narrow" w:hAnsi="Arial Narrow"/>
                <w:lang w:val="cs-CZ"/>
              </w:rPr>
              <w:t>.</w:t>
            </w:r>
          </w:p>
          <w:p w14:paraId="07B44ED9" w14:textId="77777777" w:rsidR="00D95953" w:rsidRPr="00461C16" w:rsidRDefault="00D95953"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Pr>
                <w:rFonts w:ascii="Arial Narrow" w:hAnsi="Arial Narrow"/>
                <w:lang w:val="cs-CZ"/>
              </w:rPr>
              <w:t>. Sledovaná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w:t>
            </w:r>
            <w:r>
              <w:rPr>
                <w:rFonts w:ascii="Arial Narrow" w:hAnsi="Arial Narrow"/>
              </w:rPr>
              <w:t> </w:t>
            </w:r>
            <w:r w:rsidRPr="00D11D91">
              <w:rPr>
                <w:rFonts w:ascii="Arial Narrow" w:hAnsi="Arial Narrow"/>
              </w:rPr>
              <w:t>prolu</w:t>
            </w:r>
            <w:r>
              <w:rPr>
                <w:rFonts w:ascii="Arial Narrow" w:hAnsi="Arial Narrow"/>
                <w:lang w:val="cs-CZ"/>
              </w:rPr>
              <w:t>ce,</w:t>
            </w:r>
            <w:r w:rsidRPr="00D11D91">
              <w:rPr>
                <w:rFonts w:ascii="Arial Narrow" w:hAnsi="Arial Narrow"/>
              </w:rPr>
              <w:t xml:space="preserve"> stanovením adekvátních podmínek využití včetně podmínek prostorového uspořádání</w:t>
            </w:r>
            <w:r>
              <w:rPr>
                <w:rFonts w:ascii="Arial Narrow" w:hAnsi="Arial Narrow"/>
                <w:lang w:val="cs-CZ"/>
              </w:rPr>
              <w:t xml:space="preserve"> a ozdravěním prostředí (nový způsob využití lépe zohledňuje charakter navazujícího území a snižuje hygienickou zátěž obytného území z výrobních aktivit)</w:t>
            </w:r>
            <w:r w:rsidRPr="00D11D91">
              <w:rPr>
                <w:rFonts w:ascii="Arial Narrow" w:hAnsi="Arial Narrow"/>
              </w:rPr>
              <w:t>.</w:t>
            </w:r>
          </w:p>
        </w:tc>
      </w:tr>
      <w:tr w:rsidR="00D95953" w:rsidRPr="00461C16" w14:paraId="44442F7B" w14:textId="77777777" w:rsidTr="00D95953">
        <w:tblPrEx>
          <w:jc w:val="left"/>
        </w:tblPrEx>
        <w:tc>
          <w:tcPr>
            <w:tcW w:w="1006" w:type="dxa"/>
            <w:shd w:val="clear" w:color="auto" w:fill="D6E3BC" w:themeFill="accent3" w:themeFillTint="66"/>
          </w:tcPr>
          <w:p w14:paraId="0CB5619C" w14:textId="77777777" w:rsidR="00D95953" w:rsidRPr="00461C16" w:rsidRDefault="00D95953" w:rsidP="00B82079">
            <w:pPr>
              <w:spacing w:before="40" w:after="40" w:line="240" w:lineRule="auto"/>
              <w:rPr>
                <w:sz w:val="20"/>
                <w:szCs w:val="20"/>
              </w:rPr>
            </w:pPr>
            <w:r w:rsidRPr="00461C16">
              <w:rPr>
                <w:sz w:val="20"/>
                <w:szCs w:val="20"/>
              </w:rPr>
              <w:t>P15</w:t>
            </w:r>
          </w:p>
        </w:tc>
        <w:tc>
          <w:tcPr>
            <w:tcW w:w="1856" w:type="dxa"/>
            <w:shd w:val="clear" w:color="auto" w:fill="D6E3BC" w:themeFill="accent3" w:themeFillTint="66"/>
          </w:tcPr>
          <w:p w14:paraId="256E44A3"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SV – plocha smíšená obytná - venkovská</w:t>
            </w:r>
          </w:p>
        </w:tc>
        <w:tc>
          <w:tcPr>
            <w:tcW w:w="1356" w:type="dxa"/>
            <w:shd w:val="clear" w:color="auto" w:fill="D6E3BC" w:themeFill="accent3" w:themeFillTint="66"/>
          </w:tcPr>
          <w:p w14:paraId="124BE614"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Dolní Suchá u Chotyně</w:t>
            </w:r>
          </w:p>
        </w:tc>
        <w:tc>
          <w:tcPr>
            <w:tcW w:w="5070" w:type="dxa"/>
            <w:shd w:val="clear" w:color="auto" w:fill="D6E3BC" w:themeFill="accent3" w:themeFillTint="66"/>
          </w:tcPr>
          <w:p w14:paraId="04C63DF9"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 xml:space="preserve">Plocha je vymezena za účelem </w:t>
            </w:r>
            <w:r w:rsidRPr="006F038D">
              <w:rPr>
                <w:rFonts w:ascii="Arial Narrow" w:hAnsi="Arial Narrow"/>
                <w:b/>
                <w:lang w:val="cs-CZ"/>
              </w:rPr>
              <w:t>scelení proluky v zástavbě</w:t>
            </w:r>
            <w:r w:rsidRPr="00461C16">
              <w:rPr>
                <w:rFonts w:ascii="Arial Narrow" w:hAnsi="Arial Narrow"/>
                <w:lang w:val="cs-CZ"/>
              </w:rPr>
              <w:t xml:space="preserve"> na severním okraji části Dolní Suchá. Využití proluky směřuje k účelnému a hospodárnému využívání území a k posílení kompaktnosti území. Plocha doplňuje smíšenou obytnou zástavbu, přispívá k uspokojení poptávky po nových plochách pro bydlení a zároveň umožňuje případnou lokalizaci dalších služeb, s cílem zvýšení kvality podmínek pro život v sídle Dolní Suchá. Vymezení plochy vychází </w:t>
            </w:r>
            <w:r w:rsidRPr="006F038D">
              <w:rPr>
                <w:rFonts w:ascii="Arial Narrow" w:hAnsi="Arial Narrow"/>
                <w:b/>
                <w:lang w:val="cs-CZ"/>
              </w:rPr>
              <w:t>ze současně platného ÚP města, kde již byla řádně projednána a schválena</w:t>
            </w:r>
            <w:r w:rsidRPr="00461C16">
              <w:rPr>
                <w:rFonts w:ascii="Arial Narrow" w:hAnsi="Arial Narrow"/>
                <w:lang w:val="cs-CZ"/>
              </w:rPr>
              <w:t xml:space="preserve">. Plocha zabírá pouze půdu nižší </w:t>
            </w:r>
            <w:r w:rsidRPr="00461C16">
              <w:rPr>
                <w:rFonts w:ascii="Arial Narrow" w:hAnsi="Arial Narrow"/>
                <w:lang w:val="cs-CZ"/>
              </w:rPr>
              <w:lastRenderedPageBreak/>
              <w:t>(IV. a V.) třídy ochrany.</w:t>
            </w:r>
          </w:p>
        </w:tc>
      </w:tr>
      <w:tr w:rsidR="00D95953" w:rsidRPr="00461C16" w14:paraId="5FEA20D6" w14:textId="77777777" w:rsidTr="00D95953">
        <w:tblPrEx>
          <w:jc w:val="left"/>
        </w:tblPrEx>
        <w:tc>
          <w:tcPr>
            <w:tcW w:w="1006" w:type="dxa"/>
            <w:shd w:val="clear" w:color="auto" w:fill="D6E3BC" w:themeFill="accent3" w:themeFillTint="66"/>
          </w:tcPr>
          <w:p w14:paraId="06DE5A1A" w14:textId="77777777" w:rsidR="00D95953" w:rsidRPr="00461C16" w:rsidRDefault="00D95953" w:rsidP="00B82079">
            <w:pPr>
              <w:spacing w:before="40" w:after="40" w:line="240" w:lineRule="auto"/>
              <w:rPr>
                <w:sz w:val="20"/>
                <w:szCs w:val="20"/>
              </w:rPr>
            </w:pPr>
            <w:r w:rsidRPr="00461C16">
              <w:rPr>
                <w:sz w:val="20"/>
                <w:szCs w:val="20"/>
              </w:rPr>
              <w:lastRenderedPageBreak/>
              <w:t>P19</w:t>
            </w:r>
          </w:p>
        </w:tc>
        <w:tc>
          <w:tcPr>
            <w:tcW w:w="1856" w:type="dxa"/>
            <w:shd w:val="clear" w:color="auto" w:fill="D6E3BC" w:themeFill="accent3" w:themeFillTint="66"/>
          </w:tcPr>
          <w:p w14:paraId="1B3357D0" w14:textId="77777777" w:rsidR="00D95953" w:rsidRPr="00461C16" w:rsidRDefault="00D95953" w:rsidP="00B82079">
            <w:pPr>
              <w:spacing w:before="40" w:after="40" w:line="240" w:lineRule="auto"/>
              <w:jc w:val="left"/>
              <w:rPr>
                <w:sz w:val="20"/>
                <w:szCs w:val="20"/>
              </w:rPr>
            </w:pPr>
            <w:r w:rsidRPr="00461C16">
              <w:rPr>
                <w:sz w:val="20"/>
                <w:szCs w:val="20"/>
              </w:rPr>
              <w:t>OS – plocha občanského vybavení - sport</w:t>
            </w:r>
          </w:p>
        </w:tc>
        <w:tc>
          <w:tcPr>
            <w:tcW w:w="1356" w:type="dxa"/>
            <w:shd w:val="clear" w:color="auto" w:fill="D6E3BC" w:themeFill="accent3" w:themeFillTint="66"/>
          </w:tcPr>
          <w:p w14:paraId="1BBC7B2A"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D6E3BC" w:themeFill="accent3" w:themeFillTint="66"/>
          </w:tcPr>
          <w:p w14:paraId="28CDC15E" w14:textId="77777777" w:rsidR="00D95953" w:rsidRDefault="00D95953" w:rsidP="00B82079">
            <w:pPr>
              <w:pStyle w:val="Intabulka"/>
              <w:rPr>
                <w:rFonts w:ascii="Arial Narrow" w:hAnsi="Arial Narrow"/>
                <w:b/>
                <w:lang w:val="cs-CZ"/>
              </w:rPr>
            </w:pPr>
            <w:r w:rsidRPr="00461C16">
              <w:rPr>
                <w:rFonts w:ascii="Arial Narrow" w:hAnsi="Arial Narrow"/>
                <w:lang w:val="cs-CZ"/>
              </w:rPr>
              <w:t xml:space="preserve">Plocha je vymezena za účelem přestavby současných zahrádek pro potřeby sportu a volnočasových aktivit, v návaznosti na stávající plochu sportu. Záměr potvrzuje intenzivní zájem o sportovní vyžití, jeho realizace nabídne obyvatelům města další možnosti trávení volného času a tím přispěje ke zkvalitnění podmínek pro život ve městě. Vymezení plochy je </w:t>
            </w:r>
            <w:r w:rsidRPr="0095705D">
              <w:rPr>
                <w:rFonts w:ascii="Arial Narrow" w:hAnsi="Arial Narrow"/>
                <w:b/>
                <w:lang w:val="cs-CZ"/>
              </w:rPr>
              <w:t>v souladu se současně platným ÚP města, kde již byla řádně projednána a schválena.</w:t>
            </w:r>
          </w:p>
          <w:p w14:paraId="787FF515" w14:textId="77777777" w:rsidR="00D95953" w:rsidRPr="00461C16" w:rsidRDefault="00D95953" w:rsidP="00B82079">
            <w:pPr>
              <w:pStyle w:val="Intabulka"/>
              <w:rPr>
                <w:rFonts w:ascii="Arial Narrow" w:hAnsi="Arial Narrow"/>
                <w:lang w:val="cs-CZ"/>
              </w:rPr>
            </w:pPr>
            <w:r w:rsidRPr="001919CA">
              <w:rPr>
                <w:rFonts w:ascii="Arial Narrow" w:hAnsi="Arial Narrow"/>
                <w:b/>
              </w:rPr>
              <w:t>Veřejný zájem</w:t>
            </w:r>
            <w:r w:rsidRPr="001919CA">
              <w:rPr>
                <w:rFonts w:ascii="Arial Narrow" w:hAnsi="Arial Narrow"/>
              </w:rPr>
              <w:t xml:space="preserve"> spočívá ve vytváření kvalitní</w:t>
            </w:r>
            <w:r w:rsidRPr="001919CA">
              <w:rPr>
                <w:rFonts w:ascii="Arial Narrow" w:hAnsi="Arial Narrow"/>
                <w:lang w:val="cs-CZ"/>
              </w:rPr>
              <w:t xml:space="preserve">ch podmínek pro život a sportovní vyžití obyvatel, zkvalitnění nabídky služeb, </w:t>
            </w:r>
            <w:r w:rsidRPr="001919CA">
              <w:rPr>
                <w:rFonts w:ascii="Arial Narrow" w:hAnsi="Arial Narrow"/>
              </w:rPr>
              <w:t xml:space="preserve">dotvoření a naplnění dlouhodobě sledované a platné územně plánovací </w:t>
            </w:r>
            <w:r>
              <w:rPr>
                <w:rFonts w:ascii="Arial Narrow" w:hAnsi="Arial Narrow"/>
              </w:rPr>
              <w:t xml:space="preserve">koncepce. </w:t>
            </w:r>
            <w:r>
              <w:rPr>
                <w:rFonts w:ascii="Arial Narrow" w:hAnsi="Arial Narrow"/>
                <w:lang w:val="cs-CZ"/>
              </w:rPr>
              <w:t>Sledovaná k</w:t>
            </w:r>
            <w:r w:rsidRPr="001919CA">
              <w:rPr>
                <w:rFonts w:ascii="Arial Narrow" w:hAnsi="Arial Narrow"/>
              </w:rPr>
              <w:t xml:space="preserve">valita prostředí je zajištěna </w:t>
            </w:r>
            <w:r w:rsidRPr="001919CA">
              <w:rPr>
                <w:rFonts w:ascii="Arial Narrow" w:hAnsi="Arial Narrow"/>
                <w:lang w:val="cs-CZ"/>
              </w:rPr>
              <w:t xml:space="preserve">změnou původního způsobu využití plochy </w:t>
            </w:r>
            <w:r w:rsidRPr="001919CA">
              <w:rPr>
                <w:rFonts w:ascii="Arial Narrow" w:hAnsi="Arial Narrow"/>
              </w:rPr>
              <w:t>a stanovením adekvátních podmínek využití včetně podmínek prostorového uspořádání.</w:t>
            </w:r>
            <w:r w:rsidRPr="00461C16">
              <w:rPr>
                <w:rFonts w:ascii="Arial Narrow" w:hAnsi="Arial Narrow"/>
                <w:lang w:val="cs-CZ"/>
              </w:rPr>
              <w:t xml:space="preserve">  </w:t>
            </w:r>
          </w:p>
        </w:tc>
      </w:tr>
      <w:tr w:rsidR="00D95953" w:rsidRPr="00461C16" w14:paraId="03D1199A" w14:textId="77777777" w:rsidTr="00D95953">
        <w:tblPrEx>
          <w:jc w:val="left"/>
        </w:tblPrEx>
        <w:tc>
          <w:tcPr>
            <w:tcW w:w="1006" w:type="dxa"/>
            <w:shd w:val="clear" w:color="auto" w:fill="auto"/>
          </w:tcPr>
          <w:p w14:paraId="33FA9579" w14:textId="77777777" w:rsidR="00D95953" w:rsidRPr="00461C16" w:rsidRDefault="00D95953" w:rsidP="00B82079">
            <w:pPr>
              <w:spacing w:before="40" w:after="40" w:line="240" w:lineRule="auto"/>
              <w:rPr>
                <w:sz w:val="20"/>
                <w:szCs w:val="20"/>
              </w:rPr>
            </w:pPr>
            <w:r w:rsidRPr="00461C16">
              <w:rPr>
                <w:sz w:val="20"/>
                <w:szCs w:val="20"/>
              </w:rPr>
              <w:t>P21</w:t>
            </w:r>
          </w:p>
        </w:tc>
        <w:tc>
          <w:tcPr>
            <w:tcW w:w="1856" w:type="dxa"/>
            <w:shd w:val="clear" w:color="auto" w:fill="auto"/>
          </w:tcPr>
          <w:p w14:paraId="2F4513BB"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PX – veřejné prostranství - komunikace</w:t>
            </w:r>
          </w:p>
        </w:tc>
        <w:tc>
          <w:tcPr>
            <w:tcW w:w="1356" w:type="dxa"/>
          </w:tcPr>
          <w:p w14:paraId="0812BF6F" w14:textId="77777777" w:rsidR="00D95953" w:rsidRPr="00461C16" w:rsidRDefault="00D95953" w:rsidP="00B82079">
            <w:pPr>
              <w:pStyle w:val="Intabulka"/>
              <w:rPr>
                <w:rFonts w:ascii="Arial Narrow" w:hAnsi="Arial Narrow"/>
                <w:color w:val="FF0000"/>
                <w:lang w:val="cs-CZ"/>
              </w:rPr>
            </w:pPr>
            <w:r w:rsidRPr="00461C16">
              <w:rPr>
                <w:rFonts w:ascii="Arial Narrow" w:hAnsi="Arial Narrow"/>
                <w:lang w:val="cs-CZ"/>
              </w:rPr>
              <w:t>Hrádek nad Nisou</w:t>
            </w:r>
          </w:p>
        </w:tc>
        <w:tc>
          <w:tcPr>
            <w:tcW w:w="5070" w:type="dxa"/>
            <w:shd w:val="clear" w:color="auto" w:fill="auto"/>
          </w:tcPr>
          <w:p w14:paraId="5246B846" w14:textId="77777777" w:rsidR="00D95953" w:rsidRDefault="00D95953" w:rsidP="00B82079">
            <w:pPr>
              <w:pStyle w:val="Intabulka"/>
              <w:rPr>
                <w:rFonts w:ascii="Arial Narrow" w:hAnsi="Arial Narrow"/>
                <w:lang w:val="cs-CZ"/>
              </w:rPr>
            </w:pPr>
            <w:r w:rsidRPr="00461C16">
              <w:rPr>
                <w:rFonts w:ascii="Arial Narrow" w:hAnsi="Arial Narrow"/>
                <w:lang w:val="cs-CZ"/>
              </w:rPr>
              <w:t xml:space="preserve">Plocha je vymezena </w:t>
            </w:r>
            <w:r w:rsidRPr="00461C16">
              <w:rPr>
                <w:rFonts w:ascii="Arial Narrow" w:hAnsi="Arial Narrow"/>
              </w:rPr>
              <w:t xml:space="preserve">pro veřejné parkoviště </w:t>
            </w:r>
            <w:r w:rsidRPr="00461C16">
              <w:rPr>
                <w:rFonts w:ascii="Arial Narrow" w:hAnsi="Arial Narrow"/>
                <w:lang w:val="cs-CZ"/>
              </w:rPr>
              <w:t>pro zajištění dostatečného počtu parkovacích míst v centrální části sídliště v Liberecké ulici.</w:t>
            </w:r>
          </w:p>
          <w:p w14:paraId="7E18430C" w14:textId="77777777" w:rsidR="00D95953" w:rsidRPr="00461C16" w:rsidRDefault="00D95953" w:rsidP="00B82079">
            <w:pPr>
              <w:pStyle w:val="Intabulka"/>
              <w:rPr>
                <w:rFonts w:ascii="Arial Narrow" w:hAnsi="Arial Narrow"/>
                <w:color w:val="FF0000"/>
                <w:lang w:val="cs-CZ"/>
              </w:rPr>
            </w:pPr>
            <w:r w:rsidRPr="001919CA">
              <w:rPr>
                <w:rFonts w:ascii="Arial Narrow" w:hAnsi="Arial Narrow"/>
                <w:b/>
              </w:rPr>
              <w:t>Veřejný zájem</w:t>
            </w:r>
            <w:r w:rsidRPr="001919CA">
              <w:rPr>
                <w:rFonts w:ascii="Arial Narrow" w:hAnsi="Arial Narrow"/>
              </w:rPr>
              <w:t xml:space="preserve"> spočívá </w:t>
            </w:r>
            <w:r>
              <w:rPr>
                <w:rFonts w:ascii="Arial Narrow" w:hAnsi="Arial Narrow"/>
                <w:lang w:val="cs-CZ"/>
              </w:rPr>
              <w:t xml:space="preserve">v zajištění nezbytných kapacit pro centrální odstavování vozidel namísto živelného parkování podél komunikací, tedy v zajištění bezpečnosti dopravní obsluhy přilehlého území a ochrany celistvosti ploch veřejné zeleně v zástavbě. </w:t>
            </w:r>
          </w:p>
        </w:tc>
      </w:tr>
      <w:tr w:rsidR="00D95953" w:rsidRPr="00461C16" w14:paraId="50F94995" w14:textId="77777777" w:rsidTr="00D95953">
        <w:tblPrEx>
          <w:jc w:val="left"/>
        </w:tblPrEx>
        <w:tc>
          <w:tcPr>
            <w:tcW w:w="1006" w:type="dxa"/>
            <w:shd w:val="clear" w:color="auto" w:fill="D6E3BC" w:themeFill="accent3" w:themeFillTint="66"/>
          </w:tcPr>
          <w:p w14:paraId="07CFCE57" w14:textId="77777777" w:rsidR="00D95953" w:rsidRPr="00461C16" w:rsidRDefault="00D95953" w:rsidP="00B82079">
            <w:pPr>
              <w:spacing w:before="40" w:after="40" w:line="240" w:lineRule="auto"/>
              <w:rPr>
                <w:sz w:val="20"/>
                <w:szCs w:val="20"/>
              </w:rPr>
            </w:pPr>
            <w:r w:rsidRPr="00461C16">
              <w:rPr>
                <w:sz w:val="20"/>
                <w:szCs w:val="20"/>
              </w:rPr>
              <w:t>P22</w:t>
            </w:r>
          </w:p>
        </w:tc>
        <w:tc>
          <w:tcPr>
            <w:tcW w:w="1856" w:type="dxa"/>
            <w:shd w:val="clear" w:color="auto" w:fill="D6E3BC" w:themeFill="accent3" w:themeFillTint="66"/>
          </w:tcPr>
          <w:p w14:paraId="4A2B8538"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SM – plocha smíšená obytná - městská</w:t>
            </w:r>
          </w:p>
        </w:tc>
        <w:tc>
          <w:tcPr>
            <w:tcW w:w="1356" w:type="dxa"/>
            <w:shd w:val="clear" w:color="auto" w:fill="D6E3BC" w:themeFill="accent3" w:themeFillTint="66"/>
          </w:tcPr>
          <w:p w14:paraId="02A2963B"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D6E3BC" w:themeFill="accent3" w:themeFillTint="66"/>
          </w:tcPr>
          <w:p w14:paraId="326A0397" w14:textId="77777777" w:rsidR="00D95953" w:rsidRDefault="00D95953" w:rsidP="00B82079">
            <w:pPr>
              <w:pStyle w:val="Intabulka"/>
              <w:rPr>
                <w:rFonts w:ascii="Arial Narrow" w:hAnsi="Arial Narrow"/>
                <w:lang w:val="cs-CZ"/>
              </w:rPr>
            </w:pPr>
            <w:r w:rsidRPr="00461C16">
              <w:rPr>
                <w:rFonts w:ascii="Arial Narrow" w:hAnsi="Arial Narrow"/>
                <w:lang w:val="cs-CZ"/>
              </w:rPr>
              <w:t>Plocha je vymezena v proluce mezi smíšenou zástavbou podél ul. Liberecká</w:t>
            </w:r>
            <w:r>
              <w:rPr>
                <w:rFonts w:ascii="Arial Narrow" w:hAnsi="Arial Narrow"/>
                <w:lang w:val="cs-CZ"/>
              </w:rPr>
              <w:t>, hřbitovem</w:t>
            </w:r>
            <w:r w:rsidRPr="00461C16">
              <w:rPr>
                <w:rFonts w:ascii="Arial Narrow" w:hAnsi="Arial Narrow"/>
                <w:lang w:val="cs-CZ"/>
              </w:rPr>
              <w:t xml:space="preserve"> a obytnou zástavbou v lokalitě Zlatá Výšina. Využití proluky směřuje </w:t>
            </w:r>
            <w:r w:rsidRPr="008B7394">
              <w:rPr>
                <w:rFonts w:ascii="Arial Narrow" w:hAnsi="Arial Narrow"/>
                <w:b/>
                <w:lang w:val="cs-CZ"/>
              </w:rPr>
              <w:t>k účelnému a hospodárnému využívání území a k posílení kompaktnosti území</w:t>
            </w:r>
            <w:r w:rsidRPr="00461C16">
              <w:rPr>
                <w:rFonts w:ascii="Arial Narrow" w:hAnsi="Arial Narrow"/>
                <w:lang w:val="cs-CZ"/>
              </w:rPr>
              <w:t xml:space="preserve">. Plocha doplňuje smíšenou obytnou zástavbu v navazujícím území podél ul. Liberecká, přispívá k uspokojení poptávky po nových plochách pro bydlení a zároveň umožňuje lokalizaci dalších služeb, s cílem zvýšení kvality podmínek pro život ve městě. </w:t>
            </w:r>
          </w:p>
          <w:p w14:paraId="28188D81" w14:textId="77777777" w:rsidR="00D95953" w:rsidRPr="00461C16" w:rsidRDefault="00D95953"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w:t>
            </w:r>
            <w:r w:rsidRPr="00D11D91">
              <w:rPr>
                <w:rFonts w:ascii="Arial Narrow" w:hAnsi="Arial Narrow"/>
              </w:rPr>
              <w:t xml:space="preserve"> kvalitní urbanistické a krajinářské koncepce</w:t>
            </w:r>
            <w:r>
              <w:rPr>
                <w:rFonts w:ascii="Arial Narrow" w:hAnsi="Arial Narrow"/>
                <w:lang w:val="cs-CZ"/>
              </w:rPr>
              <w:t xml:space="preserve"> a </w:t>
            </w:r>
            <w:r w:rsidRPr="001919CA">
              <w:rPr>
                <w:rFonts w:ascii="Arial Narrow" w:hAnsi="Arial Narrow"/>
              </w:rPr>
              <w:t xml:space="preserve">dotvoření a naplnění dlouhodobě sledované a platné územně plánovací </w:t>
            </w:r>
            <w:r>
              <w:rPr>
                <w:rFonts w:ascii="Arial Narrow" w:hAnsi="Arial Narrow"/>
              </w:rPr>
              <w:t>koncepce</w:t>
            </w:r>
            <w:r>
              <w:rPr>
                <w:rFonts w:ascii="Arial Narrow" w:hAnsi="Arial Narrow"/>
                <w:lang w:val="cs-CZ"/>
              </w:rPr>
              <w:t>.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w:t>
            </w:r>
            <w:r>
              <w:rPr>
                <w:rFonts w:ascii="Arial Narrow" w:hAnsi="Arial Narrow"/>
              </w:rPr>
              <w:t> </w:t>
            </w:r>
            <w:r w:rsidRPr="00D11D91">
              <w:rPr>
                <w:rFonts w:ascii="Arial Narrow" w:hAnsi="Arial Narrow"/>
              </w:rPr>
              <w:t>prolu</w:t>
            </w:r>
            <w:r>
              <w:rPr>
                <w:rFonts w:ascii="Arial Narrow" w:hAnsi="Arial Narrow"/>
                <w:lang w:val="cs-CZ"/>
              </w:rPr>
              <w:t>ce a</w:t>
            </w:r>
            <w:r w:rsidRPr="00D11D91">
              <w:rPr>
                <w:rFonts w:ascii="Arial Narrow" w:hAnsi="Arial Narrow"/>
              </w:rPr>
              <w:t xml:space="preserve"> stanovením adekvátních podmínek využití včetně podmínek prostorového uspořádání</w:t>
            </w:r>
            <w:r>
              <w:rPr>
                <w:rFonts w:ascii="Arial Narrow" w:hAnsi="Arial Narrow"/>
                <w:lang w:val="cs-CZ"/>
              </w:rPr>
              <w:t>.</w:t>
            </w:r>
          </w:p>
        </w:tc>
      </w:tr>
      <w:tr w:rsidR="00D95953" w:rsidRPr="00461C16" w14:paraId="42618A9A" w14:textId="77777777" w:rsidTr="00D95953">
        <w:tblPrEx>
          <w:jc w:val="left"/>
        </w:tblPrEx>
        <w:tc>
          <w:tcPr>
            <w:tcW w:w="1006" w:type="dxa"/>
            <w:shd w:val="clear" w:color="auto" w:fill="B6DDE8" w:themeFill="accent5" w:themeFillTint="66"/>
          </w:tcPr>
          <w:p w14:paraId="0688AA0E" w14:textId="77777777" w:rsidR="00D95953" w:rsidRPr="00461C16" w:rsidRDefault="00D95953" w:rsidP="00B82079">
            <w:pPr>
              <w:spacing w:before="40" w:after="40" w:line="240" w:lineRule="auto"/>
              <w:rPr>
                <w:sz w:val="20"/>
                <w:szCs w:val="20"/>
              </w:rPr>
            </w:pPr>
            <w:r w:rsidRPr="00461C16">
              <w:rPr>
                <w:sz w:val="20"/>
                <w:szCs w:val="20"/>
              </w:rPr>
              <w:t>P25</w:t>
            </w:r>
          </w:p>
        </w:tc>
        <w:tc>
          <w:tcPr>
            <w:tcW w:w="1856" w:type="dxa"/>
            <w:shd w:val="clear" w:color="auto" w:fill="B6DDE8" w:themeFill="accent5" w:themeFillTint="66"/>
          </w:tcPr>
          <w:p w14:paraId="43F09528" w14:textId="77777777" w:rsidR="00D95953" w:rsidRPr="00461C16" w:rsidRDefault="00D95953" w:rsidP="00B82079">
            <w:pPr>
              <w:spacing w:before="40" w:after="40" w:line="240" w:lineRule="auto"/>
              <w:jc w:val="left"/>
              <w:rPr>
                <w:sz w:val="20"/>
                <w:szCs w:val="20"/>
              </w:rPr>
            </w:pPr>
            <w:r w:rsidRPr="00461C16">
              <w:rPr>
                <w:sz w:val="20"/>
                <w:szCs w:val="20"/>
              </w:rPr>
              <w:t>SM – plocha smíšená obytná - městská</w:t>
            </w:r>
          </w:p>
        </w:tc>
        <w:tc>
          <w:tcPr>
            <w:tcW w:w="1356" w:type="dxa"/>
            <w:shd w:val="clear" w:color="auto" w:fill="B6DDE8" w:themeFill="accent5" w:themeFillTint="66"/>
          </w:tcPr>
          <w:p w14:paraId="7F96F09A"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B6DDE8" w:themeFill="accent5" w:themeFillTint="66"/>
          </w:tcPr>
          <w:p w14:paraId="5C993250" w14:textId="77777777" w:rsidR="00D95953" w:rsidRDefault="00D95953" w:rsidP="00B82079">
            <w:pPr>
              <w:pStyle w:val="Intabulka"/>
              <w:rPr>
                <w:rFonts w:ascii="Arial Narrow" w:hAnsi="Arial Narrow"/>
                <w:lang w:val="cs-CZ"/>
              </w:rPr>
            </w:pPr>
            <w:r w:rsidRPr="00461C16">
              <w:rPr>
                <w:rFonts w:ascii="Arial Narrow" w:hAnsi="Arial Narrow"/>
                <w:lang w:val="cs-CZ"/>
              </w:rPr>
              <w:t xml:space="preserve">Plocha využívá proluku v zástavbě ve východní části města, mezi ul. Liberecká a hřbitovem. V souladu se způsobem využití navazujícího území podél ul. Liberecká navrhuje doplnění smíšené obytné zástavby, čímž účelně využívá prostorovou rezervu a přispívá ke </w:t>
            </w:r>
            <w:r w:rsidRPr="008B7394">
              <w:rPr>
                <w:rFonts w:ascii="Arial Narrow" w:hAnsi="Arial Narrow"/>
                <w:b/>
                <w:lang w:val="cs-CZ"/>
              </w:rPr>
              <w:t>scelení a posílení kompaktnosti zástavby</w:t>
            </w:r>
            <w:r w:rsidRPr="00461C16">
              <w:rPr>
                <w:rFonts w:ascii="Arial Narrow" w:hAnsi="Arial Narrow"/>
                <w:lang w:val="cs-CZ"/>
              </w:rPr>
              <w:t>. Z</w:t>
            </w:r>
            <w:r>
              <w:rPr>
                <w:rFonts w:ascii="Arial Narrow" w:hAnsi="Arial Narrow"/>
                <w:lang w:val="cs-CZ"/>
              </w:rPr>
              <w:t xml:space="preserve"> </w:t>
            </w:r>
            <w:r w:rsidRPr="00461C16">
              <w:rPr>
                <w:rFonts w:ascii="Arial Narrow" w:hAnsi="Arial Narrow"/>
                <w:lang w:val="cs-CZ"/>
              </w:rPr>
              <w:t xml:space="preserve">větší části je plocha vymezena </w:t>
            </w:r>
            <w:r w:rsidRPr="008B7394">
              <w:rPr>
                <w:rFonts w:ascii="Arial Narrow" w:hAnsi="Arial Narrow"/>
                <w:b/>
                <w:lang w:val="cs-CZ"/>
              </w:rPr>
              <w:t xml:space="preserve">v souladu se zastavovací studií „Hrádek nad Nisou - Lokalita mezi ul. Libereckou a hřbitovem“ </w:t>
            </w:r>
            <w:r w:rsidRPr="00461C16">
              <w:rPr>
                <w:rFonts w:ascii="Arial Narrow" w:hAnsi="Arial Narrow"/>
                <w:lang w:val="cs-CZ"/>
              </w:rPr>
              <w:t>(Atelier 4 s.r.o., 09/2016).</w:t>
            </w:r>
          </w:p>
          <w:p w14:paraId="7C2C1654" w14:textId="77777777" w:rsidR="00D95953" w:rsidRPr="00461C16" w:rsidRDefault="00D95953"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 xml:space="preserve"> a</w:t>
            </w:r>
            <w:r w:rsidRPr="00D11D91">
              <w:rPr>
                <w:rFonts w:ascii="Arial Narrow" w:hAnsi="Arial Narrow"/>
              </w:rPr>
              <w:t xml:space="preserve"> kvalitní urbanistické a krajinářské koncepce</w:t>
            </w:r>
            <w:r>
              <w:rPr>
                <w:rFonts w:ascii="Arial Narrow" w:hAnsi="Arial Narrow"/>
                <w:lang w:val="cs-CZ"/>
              </w:rPr>
              <w:t>. Sledovaná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w:t>
            </w:r>
            <w:r>
              <w:rPr>
                <w:rFonts w:ascii="Arial Narrow" w:hAnsi="Arial Narrow"/>
              </w:rPr>
              <w:t> </w:t>
            </w:r>
            <w:r w:rsidRPr="00D11D91">
              <w:rPr>
                <w:rFonts w:ascii="Arial Narrow" w:hAnsi="Arial Narrow"/>
              </w:rPr>
              <w:t>prolu</w:t>
            </w:r>
            <w:r>
              <w:rPr>
                <w:rFonts w:ascii="Arial Narrow" w:hAnsi="Arial Narrow"/>
                <w:lang w:val="cs-CZ"/>
              </w:rPr>
              <w:t>ce a</w:t>
            </w:r>
            <w:r w:rsidRPr="00D11D91">
              <w:rPr>
                <w:rFonts w:ascii="Arial Narrow" w:hAnsi="Arial Narrow"/>
              </w:rPr>
              <w:t xml:space="preserve"> stanovením adekvátních podmínek využití včetně podmínek prostorového uspořádání</w:t>
            </w:r>
            <w:r>
              <w:rPr>
                <w:rFonts w:ascii="Arial Narrow" w:hAnsi="Arial Narrow"/>
                <w:lang w:val="cs-CZ"/>
              </w:rPr>
              <w:t xml:space="preserve">. </w:t>
            </w:r>
          </w:p>
        </w:tc>
      </w:tr>
      <w:tr w:rsidR="00D95953" w:rsidRPr="00461C16" w14:paraId="6BD6B95C" w14:textId="77777777" w:rsidTr="00D95953">
        <w:tblPrEx>
          <w:jc w:val="left"/>
        </w:tblPrEx>
        <w:tc>
          <w:tcPr>
            <w:tcW w:w="1006" w:type="dxa"/>
            <w:shd w:val="clear" w:color="auto" w:fill="D6E3BC" w:themeFill="accent3" w:themeFillTint="66"/>
          </w:tcPr>
          <w:p w14:paraId="330F19FA" w14:textId="77777777" w:rsidR="00D95953" w:rsidRPr="00461C16" w:rsidRDefault="00D95953" w:rsidP="00B82079">
            <w:pPr>
              <w:spacing w:before="40" w:after="40" w:line="240" w:lineRule="auto"/>
              <w:rPr>
                <w:sz w:val="20"/>
                <w:szCs w:val="20"/>
              </w:rPr>
            </w:pPr>
            <w:r w:rsidRPr="00461C16">
              <w:rPr>
                <w:sz w:val="20"/>
                <w:szCs w:val="20"/>
              </w:rPr>
              <w:t>P26</w:t>
            </w:r>
          </w:p>
        </w:tc>
        <w:tc>
          <w:tcPr>
            <w:tcW w:w="1856" w:type="dxa"/>
            <w:shd w:val="clear" w:color="auto" w:fill="D6E3BC" w:themeFill="accent3" w:themeFillTint="66"/>
          </w:tcPr>
          <w:p w14:paraId="6564521A"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SM – plocha smíšená obytná - městská</w:t>
            </w:r>
          </w:p>
        </w:tc>
        <w:tc>
          <w:tcPr>
            <w:tcW w:w="1356" w:type="dxa"/>
            <w:shd w:val="clear" w:color="auto" w:fill="D6E3BC" w:themeFill="accent3" w:themeFillTint="66"/>
          </w:tcPr>
          <w:p w14:paraId="54AE97D2"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D6E3BC" w:themeFill="accent3" w:themeFillTint="66"/>
          </w:tcPr>
          <w:p w14:paraId="49032E1A" w14:textId="77777777" w:rsidR="00D95953" w:rsidRDefault="00D95953" w:rsidP="00B82079">
            <w:pPr>
              <w:pStyle w:val="Intabulka"/>
              <w:rPr>
                <w:rFonts w:ascii="Arial Narrow" w:hAnsi="Arial Narrow"/>
                <w:lang w:val="cs-CZ"/>
              </w:rPr>
            </w:pPr>
            <w:r w:rsidRPr="00461C16">
              <w:rPr>
                <w:rFonts w:ascii="Arial Narrow" w:hAnsi="Arial Narrow"/>
                <w:lang w:val="cs-CZ"/>
              </w:rPr>
              <w:t xml:space="preserve">Plocha je vymezena v proluce mezi smíšenou zástavbou podél ul. Liberecká a stabilizovanou zahrádkovou osadou na jižním okraji části Hrádek nad Nisou. </w:t>
            </w:r>
            <w:r w:rsidRPr="008B7394">
              <w:rPr>
                <w:rFonts w:ascii="Arial Narrow" w:hAnsi="Arial Narrow"/>
                <w:b/>
                <w:lang w:val="cs-CZ"/>
              </w:rPr>
              <w:t xml:space="preserve">Využití proluky směřuje k účelnému a hospodárnému využívání území a k posílení kompaktnosti </w:t>
            </w:r>
            <w:r w:rsidRPr="008B7394">
              <w:rPr>
                <w:rFonts w:ascii="Arial Narrow" w:hAnsi="Arial Narrow"/>
                <w:b/>
                <w:lang w:val="cs-CZ"/>
              </w:rPr>
              <w:lastRenderedPageBreak/>
              <w:t>území</w:t>
            </w:r>
            <w:r w:rsidRPr="00461C16">
              <w:rPr>
                <w:rFonts w:ascii="Arial Narrow" w:hAnsi="Arial Narrow"/>
                <w:lang w:val="cs-CZ"/>
              </w:rPr>
              <w:t xml:space="preserve">. Návrh přestavby současné rekreační zástavby na smíšené městské území reaguje na polohu plochy na jedné z hlavních urbanistických os města a v blízkosti jeho centra. Plocha zároveň doplňuje již existující smíšenou obytnou zástavbu v navazujícím území podél ul. Liberecká. Realizace záměru přispěje k uspokojení poptávky po nových plochách pro bydlení a zároveň umožní lokalizaci dalších služeb, s cílem zvýšení kvality podmínek pro život ve městě. Plocha je vymezena </w:t>
            </w:r>
            <w:r w:rsidRPr="008B7394">
              <w:rPr>
                <w:rFonts w:ascii="Arial Narrow" w:hAnsi="Arial Narrow"/>
                <w:b/>
                <w:lang w:val="cs-CZ"/>
              </w:rPr>
              <w:t>v souladu se současně platným ÚP města, kde již byla řádně projednána a schválena</w:t>
            </w:r>
            <w:r w:rsidRPr="00461C16">
              <w:rPr>
                <w:rFonts w:ascii="Arial Narrow" w:hAnsi="Arial Narrow"/>
                <w:lang w:val="cs-CZ"/>
              </w:rPr>
              <w:t xml:space="preserve">. </w:t>
            </w:r>
          </w:p>
          <w:p w14:paraId="1A0C7AFB" w14:textId="77777777" w:rsidR="00D95953" w:rsidRPr="00461C16" w:rsidRDefault="00D95953"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w:t>
            </w:r>
            <w:r>
              <w:rPr>
                <w:rFonts w:ascii="Arial Narrow" w:hAnsi="Arial Narrow"/>
                <w:lang w:val="cs-CZ"/>
              </w:rPr>
              <w:t>,</w:t>
            </w:r>
            <w:r w:rsidRPr="00D11D91">
              <w:rPr>
                <w:rFonts w:ascii="Arial Narrow" w:hAnsi="Arial Narrow"/>
              </w:rPr>
              <w:t xml:space="preserve"> kvalitní urbanistické a krajinářské koncepce</w:t>
            </w:r>
            <w:r>
              <w:rPr>
                <w:rFonts w:ascii="Arial Narrow" w:hAnsi="Arial Narrow"/>
                <w:lang w:val="cs-CZ"/>
              </w:rPr>
              <w:t xml:space="preserve"> a </w:t>
            </w:r>
            <w:r w:rsidRPr="001919CA">
              <w:rPr>
                <w:rFonts w:ascii="Arial Narrow" w:hAnsi="Arial Narrow"/>
              </w:rPr>
              <w:t xml:space="preserve">dotvoření a naplnění dlouhodobě sledované a platné územně plánovací </w:t>
            </w:r>
            <w:r>
              <w:rPr>
                <w:rFonts w:ascii="Arial Narrow" w:hAnsi="Arial Narrow"/>
              </w:rPr>
              <w:t>koncepce</w:t>
            </w:r>
            <w:r>
              <w:rPr>
                <w:rFonts w:ascii="Arial Narrow" w:hAnsi="Arial Narrow"/>
                <w:lang w:val="cs-CZ"/>
              </w:rPr>
              <w:t>. K</w:t>
            </w:r>
            <w:r w:rsidRPr="00D11D91">
              <w:rPr>
                <w:rFonts w:ascii="Arial Narrow" w:hAnsi="Arial Narrow"/>
              </w:rPr>
              <w:t>valita prostředí je zajištěna lokalizací ploch</w:t>
            </w:r>
            <w:r>
              <w:rPr>
                <w:rFonts w:ascii="Arial Narrow" w:hAnsi="Arial Narrow"/>
                <w:lang w:val="cs-CZ"/>
              </w:rPr>
              <w:t>y</w:t>
            </w:r>
            <w:r w:rsidRPr="00D11D91">
              <w:rPr>
                <w:rFonts w:ascii="Arial Narrow" w:hAnsi="Arial Narrow"/>
              </w:rPr>
              <w:t xml:space="preserve"> v</w:t>
            </w:r>
            <w:r>
              <w:rPr>
                <w:rFonts w:ascii="Arial Narrow" w:hAnsi="Arial Narrow"/>
              </w:rPr>
              <w:t> </w:t>
            </w:r>
            <w:r w:rsidRPr="00D11D91">
              <w:rPr>
                <w:rFonts w:ascii="Arial Narrow" w:hAnsi="Arial Narrow"/>
              </w:rPr>
              <w:t>prolu</w:t>
            </w:r>
            <w:r>
              <w:rPr>
                <w:rFonts w:ascii="Arial Narrow" w:hAnsi="Arial Narrow"/>
                <w:lang w:val="cs-CZ"/>
              </w:rPr>
              <w:t>ce a</w:t>
            </w:r>
            <w:r w:rsidRPr="00D11D91">
              <w:rPr>
                <w:rFonts w:ascii="Arial Narrow" w:hAnsi="Arial Narrow"/>
              </w:rPr>
              <w:t xml:space="preserve"> stanovením adekvátních podmínek využití včetně podmínek prostorového uspořádání</w:t>
            </w:r>
            <w:r>
              <w:rPr>
                <w:rFonts w:ascii="Arial Narrow" w:hAnsi="Arial Narrow"/>
                <w:lang w:val="cs-CZ"/>
              </w:rPr>
              <w:t>.</w:t>
            </w:r>
          </w:p>
        </w:tc>
      </w:tr>
      <w:tr w:rsidR="00D95953" w:rsidRPr="00461C16" w14:paraId="79EF80EA" w14:textId="77777777" w:rsidTr="00D95953">
        <w:tblPrEx>
          <w:jc w:val="left"/>
        </w:tblPrEx>
        <w:tc>
          <w:tcPr>
            <w:tcW w:w="1006" w:type="dxa"/>
            <w:shd w:val="clear" w:color="auto" w:fill="D6E3BC" w:themeFill="accent3" w:themeFillTint="66"/>
          </w:tcPr>
          <w:p w14:paraId="2791F7E2" w14:textId="77777777" w:rsidR="00D95953" w:rsidRPr="00461C16" w:rsidRDefault="00D95953" w:rsidP="00B82079">
            <w:pPr>
              <w:spacing w:before="40" w:after="40" w:line="240" w:lineRule="auto"/>
              <w:rPr>
                <w:sz w:val="20"/>
                <w:szCs w:val="20"/>
              </w:rPr>
            </w:pPr>
            <w:r w:rsidRPr="00461C16">
              <w:rPr>
                <w:sz w:val="20"/>
                <w:szCs w:val="20"/>
              </w:rPr>
              <w:lastRenderedPageBreak/>
              <w:t>P27</w:t>
            </w:r>
          </w:p>
        </w:tc>
        <w:tc>
          <w:tcPr>
            <w:tcW w:w="1856" w:type="dxa"/>
            <w:shd w:val="clear" w:color="auto" w:fill="D6E3BC" w:themeFill="accent3" w:themeFillTint="66"/>
          </w:tcPr>
          <w:p w14:paraId="25DF5D83"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BI – bydlení městské a příměstské</w:t>
            </w:r>
          </w:p>
        </w:tc>
        <w:tc>
          <w:tcPr>
            <w:tcW w:w="1356" w:type="dxa"/>
            <w:shd w:val="clear" w:color="auto" w:fill="D6E3BC" w:themeFill="accent3" w:themeFillTint="66"/>
          </w:tcPr>
          <w:p w14:paraId="05133E37"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Hrádek nad Nisou</w:t>
            </w:r>
          </w:p>
        </w:tc>
        <w:tc>
          <w:tcPr>
            <w:tcW w:w="5070" w:type="dxa"/>
            <w:shd w:val="clear" w:color="auto" w:fill="D6E3BC" w:themeFill="accent3" w:themeFillTint="66"/>
          </w:tcPr>
          <w:p w14:paraId="4E466C5E" w14:textId="77777777" w:rsidR="00D95953" w:rsidRDefault="00D95953" w:rsidP="00B82079">
            <w:pPr>
              <w:pStyle w:val="Intabulka"/>
              <w:rPr>
                <w:rFonts w:ascii="Arial Narrow" w:hAnsi="Arial Narrow"/>
                <w:lang w:val="cs-CZ"/>
              </w:rPr>
            </w:pPr>
            <w:r w:rsidRPr="00461C16">
              <w:rPr>
                <w:rFonts w:ascii="Arial Narrow" w:hAnsi="Arial Narrow"/>
                <w:lang w:val="cs-CZ"/>
              </w:rPr>
              <w:t xml:space="preserve">Plocha je vymezena v proluce mezi zahrádkovou osadou, stávající obytnou zástavbou v ul. Polní a koridorem dráhy. </w:t>
            </w:r>
            <w:r w:rsidRPr="008B7394">
              <w:rPr>
                <w:rFonts w:ascii="Arial Narrow" w:hAnsi="Arial Narrow"/>
                <w:b/>
                <w:lang w:val="cs-CZ"/>
              </w:rPr>
              <w:t>Využití proluky směřuje k účelnému a hospodárnému využívání území, k posílení kompaktnosti území a ke scelení zástavby.</w:t>
            </w:r>
            <w:r w:rsidRPr="00461C16">
              <w:rPr>
                <w:rFonts w:ascii="Arial Narrow" w:hAnsi="Arial Narrow"/>
                <w:lang w:val="cs-CZ"/>
              </w:rPr>
              <w:t xml:space="preserve"> Plocha umožňuje rozšíření stabilizované zástavby rodinných domů podél ul. Polní a přispívá k uspokojení poptávky po nových plochách pro bydlení a zároveň ke zvýšení kvality a komfortu bydlení ve městě. Plocha je vymezena </w:t>
            </w:r>
            <w:r w:rsidRPr="008B7394">
              <w:rPr>
                <w:rFonts w:ascii="Arial Narrow" w:hAnsi="Arial Narrow"/>
                <w:b/>
                <w:lang w:val="cs-CZ"/>
              </w:rPr>
              <w:t>v souladu se současně platným ÚP města, kde již byla řádně projednána a schválena</w:t>
            </w:r>
            <w:r w:rsidRPr="00461C16">
              <w:rPr>
                <w:rFonts w:ascii="Arial Narrow" w:hAnsi="Arial Narrow"/>
                <w:lang w:val="cs-CZ"/>
              </w:rPr>
              <w:t>. Plocha zabírá pouze půdu nižší (IV. a V.) třídy ochrany.</w:t>
            </w:r>
          </w:p>
          <w:p w14:paraId="7EB82850" w14:textId="77777777" w:rsidR="00D95953" w:rsidRPr="00461C16" w:rsidRDefault="00D95953" w:rsidP="00B82079">
            <w:pPr>
              <w:pStyle w:val="Intabulka"/>
              <w:rPr>
                <w:rFonts w:ascii="Arial Narrow" w:hAnsi="Arial Narrow"/>
                <w:lang w:val="cs-CZ"/>
              </w:rPr>
            </w:pPr>
            <w:r w:rsidRPr="0016348A">
              <w:rPr>
                <w:rFonts w:ascii="Arial Narrow" w:hAnsi="Arial Narrow"/>
                <w:b/>
              </w:rPr>
              <w:t>Veřejný zájem</w:t>
            </w:r>
            <w:r w:rsidRPr="00D11D91">
              <w:rPr>
                <w:rFonts w:ascii="Arial Narrow" w:hAnsi="Arial Narrow"/>
              </w:rPr>
              <w:t xml:space="preserve"> spočívá ve vytváření kvalitního obytného a krajinného prostředí, kvalitní urbanistické a krajinářské koncepce, dotvoření a naplnění dlouhodobě sledované a platné územně plánovací koncepce. Kvalita prostředí je zajištěna lokalizací ploch</w:t>
            </w:r>
            <w:r>
              <w:rPr>
                <w:rFonts w:ascii="Arial Narrow" w:hAnsi="Arial Narrow"/>
                <w:lang w:val="cs-CZ"/>
              </w:rPr>
              <w:t>y</w:t>
            </w:r>
            <w:r w:rsidRPr="00D11D91">
              <w:rPr>
                <w:rFonts w:ascii="Arial Narrow" w:hAnsi="Arial Narrow"/>
              </w:rPr>
              <w:t xml:space="preserve"> v prolu</w:t>
            </w:r>
            <w:r>
              <w:rPr>
                <w:rFonts w:ascii="Arial Narrow" w:hAnsi="Arial Narrow"/>
                <w:lang w:val="cs-CZ"/>
              </w:rPr>
              <w:t>ce</w:t>
            </w:r>
            <w:r w:rsidRPr="00D11D91">
              <w:rPr>
                <w:rFonts w:ascii="Arial Narrow" w:hAnsi="Arial Narrow"/>
              </w:rPr>
              <w:t xml:space="preserve"> / mezi fragmenty zastavěného území a stanovením adekvátních podmínek využití včetně podmínek prostorového uspořádání.</w:t>
            </w:r>
          </w:p>
        </w:tc>
      </w:tr>
      <w:tr w:rsidR="00D95953" w:rsidRPr="00461C16" w14:paraId="0F38ADDA" w14:textId="77777777" w:rsidTr="00D95953">
        <w:tblPrEx>
          <w:jc w:val="left"/>
        </w:tblPrEx>
        <w:tc>
          <w:tcPr>
            <w:tcW w:w="1006" w:type="dxa"/>
            <w:shd w:val="clear" w:color="auto" w:fill="D6E3BC" w:themeFill="accent3" w:themeFillTint="66"/>
          </w:tcPr>
          <w:p w14:paraId="74319AF3" w14:textId="77777777" w:rsidR="00D95953" w:rsidRPr="00461C16" w:rsidRDefault="00D95953" w:rsidP="00B82079">
            <w:pPr>
              <w:spacing w:before="40" w:after="40" w:line="240" w:lineRule="auto"/>
              <w:rPr>
                <w:sz w:val="20"/>
                <w:szCs w:val="20"/>
              </w:rPr>
            </w:pPr>
            <w:r w:rsidRPr="00461C16">
              <w:rPr>
                <w:sz w:val="20"/>
                <w:szCs w:val="20"/>
              </w:rPr>
              <w:t>P29</w:t>
            </w:r>
          </w:p>
        </w:tc>
        <w:tc>
          <w:tcPr>
            <w:tcW w:w="1856" w:type="dxa"/>
            <w:shd w:val="clear" w:color="auto" w:fill="D6E3BC" w:themeFill="accent3" w:themeFillTint="66"/>
          </w:tcPr>
          <w:p w14:paraId="2E12458E" w14:textId="77777777" w:rsidR="00D95953" w:rsidRPr="00461C16" w:rsidRDefault="00D95953" w:rsidP="00B82079">
            <w:pPr>
              <w:spacing w:before="40" w:after="40" w:line="240" w:lineRule="auto"/>
              <w:jc w:val="left"/>
              <w:rPr>
                <w:color w:val="000000"/>
                <w:sz w:val="20"/>
                <w:szCs w:val="20"/>
              </w:rPr>
            </w:pPr>
            <w:r w:rsidRPr="00461C16">
              <w:rPr>
                <w:color w:val="000000"/>
                <w:sz w:val="20"/>
                <w:szCs w:val="20"/>
              </w:rPr>
              <w:t>SM – plocha smíšená obytná - městská</w:t>
            </w:r>
          </w:p>
        </w:tc>
        <w:tc>
          <w:tcPr>
            <w:tcW w:w="1356" w:type="dxa"/>
            <w:shd w:val="clear" w:color="auto" w:fill="D6E3BC" w:themeFill="accent3" w:themeFillTint="66"/>
          </w:tcPr>
          <w:p w14:paraId="0E031402"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Donín u Hrádku nad Nisou</w:t>
            </w:r>
          </w:p>
        </w:tc>
        <w:tc>
          <w:tcPr>
            <w:tcW w:w="5070" w:type="dxa"/>
            <w:shd w:val="clear" w:color="auto" w:fill="D6E3BC" w:themeFill="accent3" w:themeFillTint="66"/>
          </w:tcPr>
          <w:p w14:paraId="272345C7" w14:textId="77777777" w:rsidR="00D95953" w:rsidRPr="00461C16" w:rsidRDefault="00D95953" w:rsidP="00B82079">
            <w:pPr>
              <w:pStyle w:val="Intabulka"/>
              <w:rPr>
                <w:rFonts w:ascii="Arial Narrow" w:hAnsi="Arial Narrow"/>
                <w:lang w:val="cs-CZ"/>
              </w:rPr>
            </w:pPr>
            <w:r w:rsidRPr="00461C16">
              <w:rPr>
                <w:rFonts w:ascii="Arial Narrow" w:hAnsi="Arial Narrow"/>
                <w:lang w:val="cs-CZ"/>
              </w:rPr>
              <w:t>Plocha je vymezena v rozsahu zahrádkové osady mezi ulicemi Hladká – Železná – Souběžná – Příčná, v části Donín. Návrh přestavby rekreační zástavby na smíšené městské území reaguje na charakter navazujícího území a směřuje k </w:t>
            </w:r>
            <w:r w:rsidRPr="008B7394">
              <w:rPr>
                <w:rFonts w:ascii="Arial Narrow" w:hAnsi="Arial Narrow"/>
                <w:b/>
                <w:lang w:val="cs-CZ"/>
              </w:rPr>
              <w:t>racionalizaci využití a posílení kompaktnosti území</w:t>
            </w:r>
            <w:r w:rsidRPr="00461C16">
              <w:rPr>
                <w:rFonts w:ascii="Arial Narrow" w:hAnsi="Arial Narrow"/>
                <w:lang w:val="cs-CZ"/>
              </w:rPr>
              <w:t xml:space="preserve">. Realizace záměru přispěje k uspokojení poptávky po nových plochách pro bydlení a zároveň umožní lokalizaci dalších služeb, s cílem zvýšení kvality podmínek pro život ve městě. Plocha je vymezena </w:t>
            </w:r>
            <w:r w:rsidRPr="008B7394">
              <w:rPr>
                <w:rFonts w:ascii="Arial Narrow" w:hAnsi="Arial Narrow"/>
                <w:b/>
                <w:lang w:val="cs-CZ"/>
              </w:rPr>
              <w:t>v souladu se současně platným ÚP města, kde již byla řádně projednána a schválena</w:t>
            </w:r>
            <w:r w:rsidRPr="00461C16">
              <w:rPr>
                <w:rFonts w:ascii="Arial Narrow" w:hAnsi="Arial Narrow"/>
                <w:lang w:val="cs-CZ"/>
              </w:rPr>
              <w:t xml:space="preserve">. </w:t>
            </w:r>
          </w:p>
        </w:tc>
      </w:tr>
    </w:tbl>
    <w:p w14:paraId="0C722D69" w14:textId="77777777" w:rsidR="00A80189" w:rsidRPr="00461C16" w:rsidRDefault="00A80189" w:rsidP="00A52FFD">
      <w:pPr>
        <w:pStyle w:val="3pismeno"/>
        <w:spacing w:before="240" w:after="240"/>
        <w:rPr>
          <w:b/>
        </w:rPr>
      </w:pPr>
      <w:r w:rsidRPr="00461C16">
        <w:rPr>
          <w:b/>
          <w:lang w:eastAsia="cs-CZ"/>
        </w:rPr>
        <w:t>b) koridory dopravní infrastruktury</w:t>
      </w:r>
    </w:p>
    <w:p w14:paraId="1344C4E0" w14:textId="77777777" w:rsidR="00A80189" w:rsidRPr="00461C16" w:rsidRDefault="00722E04" w:rsidP="00A80189">
      <w:r w:rsidRPr="00461C16">
        <w:t>Zábor ZPF představuje 1 koridor vymezený</w:t>
      </w:r>
      <w:r w:rsidR="00A80189" w:rsidRPr="00461C16">
        <w:t xml:space="preserve"> pro umístění staveb dopravní infrastruktury:</w:t>
      </w:r>
    </w:p>
    <w:p w14:paraId="504193E6" w14:textId="77777777" w:rsidR="00172D35" w:rsidRDefault="00A80189" w:rsidP="00722E04">
      <w:pPr>
        <w:pStyle w:val="1text"/>
      </w:pPr>
      <w:r w:rsidRPr="00461C16">
        <w:rPr>
          <w:b/>
        </w:rPr>
        <w:t xml:space="preserve">X01 </w:t>
      </w:r>
      <w:r w:rsidRPr="00461C16">
        <w:t xml:space="preserve">– koridor je vymezen </w:t>
      </w:r>
      <w:r w:rsidR="00722E04" w:rsidRPr="00461C16">
        <w:t>pro optimalizaci a elektrizaci železniční trati č. 089, jehož vymezení a zpřesnění je provedeno v souladu s požadavky ZÚR Libereckého kraje (dle ZÚR</w:t>
      </w:r>
      <w:r w:rsidR="003B07D8">
        <w:t xml:space="preserve"> LK</w:t>
      </w:r>
      <w:r w:rsidR="00722E04" w:rsidRPr="00461C16">
        <w:t xml:space="preserve"> se jedná o veřejně prospěšnou stavbu DS28).</w:t>
      </w:r>
    </w:p>
    <w:p w14:paraId="7ED3C62D" w14:textId="77777777" w:rsidR="00172D35" w:rsidRPr="00172D35" w:rsidRDefault="00172D35" w:rsidP="006547A1">
      <w:pPr>
        <w:pStyle w:val="1text"/>
        <w:spacing w:before="240"/>
        <w:rPr>
          <w:b/>
          <w:u w:val="single"/>
        </w:rPr>
      </w:pPr>
      <w:r w:rsidRPr="00172D35">
        <w:rPr>
          <w:b/>
          <w:u w:val="single"/>
        </w:rPr>
        <w:t>ZÁVĚR:</w:t>
      </w:r>
    </w:p>
    <w:p w14:paraId="1D66B492" w14:textId="77777777" w:rsidR="00E15D4C" w:rsidRDefault="00172D35" w:rsidP="00ED463D">
      <w:pPr>
        <w:pStyle w:val="1text"/>
        <w:spacing w:after="120"/>
      </w:pPr>
      <w:r w:rsidRPr="006547A1">
        <w:t xml:space="preserve">Z výše uvedeného tabulkového hodnocení </w:t>
      </w:r>
      <w:r w:rsidR="00E15D4C">
        <w:t xml:space="preserve">(kap. 8.1.2 - 8.1.5) </w:t>
      </w:r>
      <w:r w:rsidRPr="006547A1">
        <w:t>vyplývá</w:t>
      </w:r>
      <w:r w:rsidR="00ED463D">
        <w:t xml:space="preserve"> následující bilance</w:t>
      </w:r>
      <w:r w:rsidR="00E15D4C">
        <w:t xml:space="preserve">: </w:t>
      </w:r>
    </w:p>
    <w:tbl>
      <w:tblPr>
        <w:tblStyle w:val="TableGrid"/>
        <w:tblW w:w="4959" w:type="pct"/>
        <w:tblLook w:val="04A0" w:firstRow="1" w:lastRow="0" w:firstColumn="1" w:lastColumn="0" w:noHBand="0" w:noVBand="1"/>
      </w:tblPr>
      <w:tblGrid>
        <w:gridCol w:w="7338"/>
        <w:gridCol w:w="1874"/>
      </w:tblGrid>
      <w:tr w:rsidR="00E15D4C" w14:paraId="31A61BD5" w14:textId="77777777" w:rsidTr="003D1B8E">
        <w:tc>
          <w:tcPr>
            <w:tcW w:w="7338" w:type="dxa"/>
            <w:shd w:val="clear" w:color="auto" w:fill="D6E3BC" w:themeFill="accent3" w:themeFillTint="66"/>
          </w:tcPr>
          <w:p w14:paraId="082A0136" w14:textId="77777777" w:rsidR="00E15D4C" w:rsidRDefault="00E15D4C" w:rsidP="003D1B8E">
            <w:pPr>
              <w:spacing w:before="60" w:after="60"/>
            </w:pPr>
            <w:r>
              <w:t>Pro zábor ZPF v platném ÚPSÚ vymezeno</w:t>
            </w:r>
            <w:r w:rsidR="00030167">
              <w:t xml:space="preserve"> a schváleno</w:t>
            </w:r>
          </w:p>
        </w:tc>
        <w:tc>
          <w:tcPr>
            <w:tcW w:w="1874" w:type="dxa"/>
            <w:shd w:val="clear" w:color="auto" w:fill="auto"/>
          </w:tcPr>
          <w:p w14:paraId="4E7D229F" w14:textId="77777777" w:rsidR="00E15D4C" w:rsidRPr="00FD0F83" w:rsidRDefault="00E15D4C" w:rsidP="003D1B8E">
            <w:pPr>
              <w:spacing w:before="60" w:after="60"/>
              <w:rPr>
                <w:b/>
              </w:rPr>
            </w:pPr>
            <w:r w:rsidRPr="00FD0F83">
              <w:rPr>
                <w:b/>
              </w:rPr>
              <w:t>218,518</w:t>
            </w:r>
            <w:r w:rsidR="003D1B8E" w:rsidRPr="00FD0F83">
              <w:rPr>
                <w:b/>
              </w:rPr>
              <w:t xml:space="preserve"> </w:t>
            </w:r>
            <w:r w:rsidRPr="00FD0F83">
              <w:rPr>
                <w:b/>
              </w:rPr>
              <w:t>ha</w:t>
            </w:r>
          </w:p>
        </w:tc>
      </w:tr>
      <w:tr w:rsidR="00E15D4C" w14:paraId="7AC6485A" w14:textId="77777777" w:rsidTr="003D1B8E">
        <w:tc>
          <w:tcPr>
            <w:tcW w:w="7338" w:type="dxa"/>
            <w:shd w:val="clear" w:color="auto" w:fill="D6E3BC" w:themeFill="accent3" w:themeFillTint="66"/>
          </w:tcPr>
          <w:p w14:paraId="4C868DB3" w14:textId="77777777" w:rsidR="00E15D4C" w:rsidRDefault="00E15D4C" w:rsidP="003D1B8E">
            <w:pPr>
              <w:spacing w:before="60" w:after="60"/>
            </w:pPr>
            <w:r>
              <w:lastRenderedPageBreak/>
              <w:t>Pro zábor ZPF v novém ÚP vymezeno</w:t>
            </w:r>
          </w:p>
        </w:tc>
        <w:tc>
          <w:tcPr>
            <w:tcW w:w="1874" w:type="dxa"/>
            <w:shd w:val="clear" w:color="auto" w:fill="auto"/>
          </w:tcPr>
          <w:p w14:paraId="60F6E544" w14:textId="64F9561F" w:rsidR="00E15D4C" w:rsidRPr="00FD0F83" w:rsidRDefault="00FD0F83" w:rsidP="000D5933">
            <w:pPr>
              <w:spacing w:before="60" w:after="60"/>
              <w:rPr>
                <w:b/>
              </w:rPr>
            </w:pPr>
            <w:r w:rsidRPr="00FD0F83">
              <w:rPr>
                <w:b/>
              </w:rPr>
              <w:t>97,519</w:t>
            </w:r>
            <w:r w:rsidR="003D1B8E" w:rsidRPr="00FD0F83">
              <w:rPr>
                <w:b/>
              </w:rPr>
              <w:t xml:space="preserve"> </w:t>
            </w:r>
            <w:r w:rsidR="00E15D4C" w:rsidRPr="00FD0F83">
              <w:rPr>
                <w:b/>
              </w:rPr>
              <w:t>ha</w:t>
            </w:r>
          </w:p>
        </w:tc>
      </w:tr>
      <w:tr w:rsidR="000D5933" w14:paraId="661E6FDB" w14:textId="77777777" w:rsidTr="003D1B8E">
        <w:tc>
          <w:tcPr>
            <w:tcW w:w="7338" w:type="dxa"/>
            <w:shd w:val="clear" w:color="auto" w:fill="D6E3BC" w:themeFill="accent3" w:themeFillTint="66"/>
          </w:tcPr>
          <w:p w14:paraId="23D29F0E" w14:textId="77777777" w:rsidR="000D5933" w:rsidRDefault="000D5933" w:rsidP="003D1B8E">
            <w:pPr>
              <w:spacing w:before="60" w:after="60"/>
            </w:pPr>
            <w:r>
              <w:t>Rozdíl záboru ZPF v platném ÚPSÚ a novém ÚP</w:t>
            </w:r>
          </w:p>
        </w:tc>
        <w:tc>
          <w:tcPr>
            <w:tcW w:w="1874" w:type="dxa"/>
            <w:shd w:val="clear" w:color="auto" w:fill="auto"/>
          </w:tcPr>
          <w:p w14:paraId="622CA763" w14:textId="4C69D41A" w:rsidR="000D5933" w:rsidRPr="00FD0F83" w:rsidRDefault="000D5933" w:rsidP="00FD0F83">
            <w:pPr>
              <w:spacing w:before="60" w:after="60"/>
              <w:rPr>
                <w:b/>
              </w:rPr>
            </w:pPr>
            <w:r w:rsidRPr="00FD0F83">
              <w:rPr>
                <w:b/>
              </w:rPr>
              <w:t>-</w:t>
            </w:r>
            <w:r w:rsidR="00FD0F83" w:rsidRPr="00FD0F83">
              <w:rPr>
                <w:b/>
              </w:rPr>
              <w:t>120,999</w:t>
            </w:r>
            <w:r w:rsidRPr="00FD0F83">
              <w:rPr>
                <w:b/>
              </w:rPr>
              <w:t xml:space="preserve"> ha</w:t>
            </w:r>
          </w:p>
        </w:tc>
      </w:tr>
      <w:tr w:rsidR="000D5933" w14:paraId="2A43FA9A" w14:textId="77777777" w:rsidTr="003D1B8E">
        <w:tc>
          <w:tcPr>
            <w:tcW w:w="7338" w:type="dxa"/>
            <w:shd w:val="clear" w:color="auto" w:fill="D6E3BC" w:themeFill="accent3" w:themeFillTint="66"/>
          </w:tcPr>
          <w:p w14:paraId="38B61E2B" w14:textId="77777777" w:rsidR="000D5933" w:rsidRDefault="000D5933" w:rsidP="003D1B8E">
            <w:pPr>
              <w:spacing w:before="60" w:after="60"/>
            </w:pPr>
            <w:r>
              <w:t>Rozsah záboru ZPF z ÚPSÚ, který byl v novém ÚP vypuštěn</w:t>
            </w:r>
          </w:p>
        </w:tc>
        <w:tc>
          <w:tcPr>
            <w:tcW w:w="1874" w:type="dxa"/>
            <w:shd w:val="clear" w:color="auto" w:fill="auto"/>
          </w:tcPr>
          <w:p w14:paraId="3DB029E5" w14:textId="77777777" w:rsidR="000D5933" w:rsidRPr="00FD0F83" w:rsidRDefault="000D5933" w:rsidP="003D1B8E">
            <w:pPr>
              <w:spacing w:before="60" w:after="60"/>
              <w:rPr>
                <w:b/>
              </w:rPr>
            </w:pPr>
            <w:r w:rsidRPr="00FD0F83">
              <w:rPr>
                <w:b/>
              </w:rPr>
              <w:t xml:space="preserve">97,054 ha </w:t>
            </w:r>
          </w:p>
        </w:tc>
      </w:tr>
      <w:tr w:rsidR="000D5933" w14:paraId="3D5E31C4" w14:textId="77777777" w:rsidTr="003D1B8E">
        <w:tc>
          <w:tcPr>
            <w:tcW w:w="7338" w:type="dxa"/>
            <w:shd w:val="clear" w:color="auto" w:fill="D6E3BC" w:themeFill="accent3" w:themeFillTint="66"/>
          </w:tcPr>
          <w:p w14:paraId="0CF1B992" w14:textId="77777777" w:rsidR="000D5933" w:rsidRDefault="000D5933" w:rsidP="003D1B8E">
            <w:pPr>
              <w:spacing w:before="60" w:after="60"/>
            </w:pPr>
            <w:r>
              <w:t>Rozsah záboru ZPF z ÚPSÚ, který byl v novém ÚP vymezen jako stabilizované plochy</w:t>
            </w:r>
          </w:p>
        </w:tc>
        <w:tc>
          <w:tcPr>
            <w:tcW w:w="1874" w:type="dxa"/>
            <w:shd w:val="clear" w:color="auto" w:fill="auto"/>
          </w:tcPr>
          <w:p w14:paraId="3068BE6D" w14:textId="12FAD86B" w:rsidR="000D5933" w:rsidRPr="00FD0F83" w:rsidRDefault="00FD0F83" w:rsidP="003D1B8E">
            <w:pPr>
              <w:spacing w:before="60" w:after="60"/>
              <w:rPr>
                <w:b/>
              </w:rPr>
            </w:pPr>
            <w:r w:rsidRPr="00FD0F83">
              <w:rPr>
                <w:b/>
              </w:rPr>
              <w:t>68,110</w:t>
            </w:r>
            <w:r w:rsidR="000D5933" w:rsidRPr="00FD0F83">
              <w:rPr>
                <w:b/>
              </w:rPr>
              <w:t xml:space="preserve"> ha</w:t>
            </w:r>
          </w:p>
        </w:tc>
      </w:tr>
      <w:tr w:rsidR="00FC0A42" w14:paraId="4C786CDA" w14:textId="77777777" w:rsidTr="003D1B8E">
        <w:tc>
          <w:tcPr>
            <w:tcW w:w="7338" w:type="dxa"/>
            <w:shd w:val="clear" w:color="auto" w:fill="D6E3BC" w:themeFill="accent3" w:themeFillTint="66"/>
          </w:tcPr>
          <w:p w14:paraId="61A801B2" w14:textId="77777777" w:rsidR="00FC0A42" w:rsidRDefault="00FC0A42" w:rsidP="003D1B8E">
            <w:pPr>
              <w:spacing w:before="60" w:after="60"/>
            </w:pPr>
            <w:r>
              <w:t>Rozsah záboru ZPF převzatého z platného ÚPSÚ do nového ÚP</w:t>
            </w:r>
          </w:p>
        </w:tc>
        <w:tc>
          <w:tcPr>
            <w:tcW w:w="1874" w:type="dxa"/>
            <w:shd w:val="clear" w:color="auto" w:fill="auto"/>
          </w:tcPr>
          <w:p w14:paraId="0555ED2C" w14:textId="3C4D34B9" w:rsidR="00FC0A42" w:rsidRPr="00FD0F83" w:rsidRDefault="00FD0F83" w:rsidP="00FD0F83">
            <w:pPr>
              <w:spacing w:before="60" w:after="60"/>
              <w:jc w:val="left"/>
              <w:rPr>
                <w:b/>
              </w:rPr>
            </w:pPr>
            <w:r w:rsidRPr="00FD0F83">
              <w:rPr>
                <w:b/>
              </w:rPr>
              <w:t>53,355</w:t>
            </w:r>
            <w:r w:rsidR="00FC0A42" w:rsidRPr="00FD0F83">
              <w:rPr>
                <w:b/>
              </w:rPr>
              <w:t xml:space="preserve"> ha </w:t>
            </w:r>
            <w:r w:rsidR="00FC0A42" w:rsidRPr="00FD0F83">
              <w:t>(55%)</w:t>
            </w:r>
          </w:p>
        </w:tc>
      </w:tr>
      <w:tr w:rsidR="00FC0A42" w14:paraId="29A8789E" w14:textId="77777777" w:rsidTr="003D1B8E">
        <w:tc>
          <w:tcPr>
            <w:tcW w:w="7338" w:type="dxa"/>
            <w:shd w:val="clear" w:color="auto" w:fill="D6E3BC" w:themeFill="accent3" w:themeFillTint="66"/>
          </w:tcPr>
          <w:p w14:paraId="42F4C60E" w14:textId="77777777" w:rsidR="00FC0A42" w:rsidRDefault="00FC0A42" w:rsidP="003D1B8E">
            <w:pPr>
              <w:spacing w:before="60" w:after="60"/>
            </w:pPr>
            <w:r>
              <w:t>Rozsah záboru ZPF vymezeného v  ÚP nově</w:t>
            </w:r>
          </w:p>
        </w:tc>
        <w:tc>
          <w:tcPr>
            <w:tcW w:w="1874" w:type="dxa"/>
            <w:shd w:val="clear" w:color="auto" w:fill="auto"/>
          </w:tcPr>
          <w:p w14:paraId="435EDF47" w14:textId="78EC6B5B" w:rsidR="00FC0A42" w:rsidRPr="00FD0F83" w:rsidRDefault="00FD0F83" w:rsidP="00FD0F83">
            <w:pPr>
              <w:spacing w:before="60" w:after="60"/>
              <w:jc w:val="left"/>
              <w:rPr>
                <w:b/>
              </w:rPr>
            </w:pPr>
            <w:r w:rsidRPr="00FD0F83">
              <w:rPr>
                <w:b/>
              </w:rPr>
              <w:t>44,164</w:t>
            </w:r>
            <w:r w:rsidR="00FC0A42" w:rsidRPr="00FD0F83">
              <w:rPr>
                <w:b/>
              </w:rPr>
              <w:t xml:space="preserve"> ha </w:t>
            </w:r>
            <w:r w:rsidR="00FC0A42" w:rsidRPr="00FD0F83">
              <w:t>(45%)</w:t>
            </w:r>
          </w:p>
        </w:tc>
      </w:tr>
    </w:tbl>
    <w:p w14:paraId="3F28065D" w14:textId="77777777" w:rsidR="00A80189" w:rsidRPr="00461C16" w:rsidRDefault="00A80189" w:rsidP="00A80189">
      <w:pPr>
        <w:pStyle w:val="Heading2"/>
        <w:ind w:left="0" w:firstLine="0"/>
      </w:pPr>
      <w:bookmarkStart w:id="209" w:name="_Toc36116338"/>
      <w:r w:rsidRPr="00461C16">
        <w:t>8.2</w:t>
      </w:r>
      <w:r w:rsidRPr="00461C16">
        <w:tab/>
        <w:t>Vyhodnocení důsledků na pozemky určené k plnění funkcí lesa</w:t>
      </w:r>
      <w:bookmarkEnd w:id="205"/>
      <w:bookmarkEnd w:id="209"/>
    </w:p>
    <w:p w14:paraId="7D88E3C4" w14:textId="77777777" w:rsidR="00423CF8" w:rsidRPr="00461C16" w:rsidRDefault="00423CF8" w:rsidP="00A80189">
      <w:pPr>
        <w:spacing w:before="240" w:after="120" w:line="240" w:lineRule="auto"/>
      </w:pPr>
      <w:r w:rsidRPr="00461C16">
        <w:t xml:space="preserve">Zásah do pozemků určených k plnění funkcí lesa </w:t>
      </w:r>
      <w:r w:rsidR="0058581F" w:rsidRPr="00461C16">
        <w:t>představuj</w:t>
      </w:r>
      <w:r w:rsidR="0058581F">
        <w:t>e pouze</w:t>
      </w:r>
      <w:r w:rsidR="0058581F" w:rsidRPr="00461C16">
        <w:t xml:space="preserve"> ploch</w:t>
      </w:r>
      <w:r w:rsidR="0058581F">
        <w:t>a</w:t>
      </w:r>
      <w:r w:rsidR="0058581F" w:rsidRPr="00461C16">
        <w:t xml:space="preserve"> </w:t>
      </w:r>
      <w:r w:rsidRPr="00461C16">
        <w:t>Z98.</w:t>
      </w:r>
    </w:p>
    <w:tbl>
      <w:tblPr>
        <w:tblW w:w="9213" w:type="dxa"/>
        <w:tblInd w:w="70" w:type="dxa"/>
        <w:tblLayout w:type="fixed"/>
        <w:tblCellMar>
          <w:left w:w="70" w:type="dxa"/>
          <w:right w:w="70" w:type="dxa"/>
        </w:tblCellMar>
        <w:tblLook w:val="04A0" w:firstRow="1" w:lastRow="0" w:firstColumn="1" w:lastColumn="0" w:noHBand="0" w:noVBand="1"/>
      </w:tblPr>
      <w:tblGrid>
        <w:gridCol w:w="992"/>
        <w:gridCol w:w="850"/>
        <w:gridCol w:w="2410"/>
        <w:gridCol w:w="1559"/>
        <w:gridCol w:w="1559"/>
        <w:gridCol w:w="1843"/>
      </w:tblGrid>
      <w:tr w:rsidR="00ED0CEE" w:rsidRPr="00461C16" w14:paraId="5E0989B4" w14:textId="77777777" w:rsidTr="00A646A1">
        <w:trPr>
          <w:trHeight w:val="520"/>
          <w:tblHeader/>
        </w:trPr>
        <w:tc>
          <w:tcPr>
            <w:tcW w:w="992" w:type="dxa"/>
            <w:tcBorders>
              <w:top w:val="single" w:sz="4" w:space="0" w:color="auto"/>
              <w:left w:val="single" w:sz="4" w:space="0" w:color="auto"/>
              <w:right w:val="single" w:sz="4" w:space="0" w:color="auto"/>
            </w:tcBorders>
            <w:shd w:val="clear" w:color="auto" w:fill="F2F2F2" w:themeFill="background1" w:themeFillShade="F2"/>
            <w:noWrap/>
          </w:tcPr>
          <w:p w14:paraId="0796C912" w14:textId="77777777" w:rsidR="00ED0CEE" w:rsidRPr="00461C16" w:rsidRDefault="00ED0CEE" w:rsidP="00423CF8">
            <w:pPr>
              <w:spacing w:before="40" w:after="40"/>
              <w:jc w:val="left"/>
              <w:rPr>
                <w:rFonts w:eastAsia="Times New Roman"/>
                <w:b/>
                <w:sz w:val="20"/>
                <w:szCs w:val="20"/>
                <w:lang w:eastAsia="cs-CZ"/>
              </w:rPr>
            </w:pPr>
            <w:r w:rsidRPr="00461C16">
              <w:rPr>
                <w:rFonts w:eastAsia="Times New Roman"/>
                <w:b/>
                <w:sz w:val="20"/>
                <w:szCs w:val="20"/>
                <w:lang w:eastAsia="cs-CZ"/>
              </w:rPr>
              <w:t>Označení plochy</w:t>
            </w:r>
          </w:p>
        </w:tc>
        <w:tc>
          <w:tcPr>
            <w:tcW w:w="850" w:type="dxa"/>
            <w:tcBorders>
              <w:top w:val="single" w:sz="4" w:space="0" w:color="auto"/>
              <w:left w:val="nil"/>
              <w:right w:val="single" w:sz="4" w:space="0" w:color="auto"/>
            </w:tcBorders>
            <w:shd w:val="clear" w:color="auto" w:fill="F2F2F2" w:themeFill="background1" w:themeFillShade="F2"/>
            <w:noWrap/>
          </w:tcPr>
          <w:p w14:paraId="3EAC7C8C" w14:textId="77777777" w:rsidR="00ED0CEE" w:rsidRPr="00461C16" w:rsidRDefault="00ED0CEE" w:rsidP="00423CF8">
            <w:pPr>
              <w:spacing w:before="40" w:after="40"/>
              <w:jc w:val="left"/>
              <w:rPr>
                <w:rFonts w:eastAsia="Times New Roman"/>
                <w:b/>
                <w:sz w:val="20"/>
                <w:szCs w:val="20"/>
                <w:lang w:eastAsia="cs-CZ"/>
              </w:rPr>
            </w:pPr>
            <w:r w:rsidRPr="00461C16">
              <w:rPr>
                <w:rFonts w:eastAsia="Times New Roman"/>
                <w:b/>
                <w:sz w:val="20"/>
                <w:szCs w:val="20"/>
                <w:lang w:eastAsia="cs-CZ"/>
              </w:rPr>
              <w:t>Využití plochy</w:t>
            </w:r>
          </w:p>
        </w:tc>
        <w:tc>
          <w:tcPr>
            <w:tcW w:w="2410" w:type="dxa"/>
            <w:tcBorders>
              <w:top w:val="single" w:sz="4" w:space="0" w:color="auto"/>
              <w:left w:val="nil"/>
              <w:bottom w:val="single" w:sz="4" w:space="0" w:color="auto"/>
              <w:right w:val="single" w:sz="4" w:space="0" w:color="auto"/>
            </w:tcBorders>
            <w:shd w:val="clear" w:color="auto" w:fill="F2F2F2" w:themeFill="background1" w:themeFillShade="F2"/>
          </w:tcPr>
          <w:p w14:paraId="7A32EBDC" w14:textId="77777777" w:rsidR="00ED0CEE" w:rsidRPr="00461C16" w:rsidRDefault="00ED0CEE" w:rsidP="00423CF8">
            <w:pPr>
              <w:spacing w:before="40" w:after="40"/>
              <w:jc w:val="left"/>
              <w:rPr>
                <w:rFonts w:eastAsia="Times New Roman"/>
                <w:b/>
                <w:sz w:val="20"/>
                <w:szCs w:val="20"/>
                <w:lang w:eastAsia="cs-CZ"/>
              </w:rPr>
            </w:pPr>
            <w:r w:rsidRPr="00461C16">
              <w:rPr>
                <w:rFonts w:eastAsia="Times New Roman"/>
                <w:b/>
                <w:sz w:val="20"/>
                <w:szCs w:val="20"/>
                <w:lang w:eastAsia="cs-CZ"/>
              </w:rPr>
              <w:t>Katastrální území</w:t>
            </w:r>
          </w:p>
        </w:tc>
        <w:tc>
          <w:tcPr>
            <w:tcW w:w="1559" w:type="dxa"/>
            <w:tcBorders>
              <w:top w:val="single" w:sz="4" w:space="0" w:color="auto"/>
              <w:left w:val="single" w:sz="4" w:space="0" w:color="auto"/>
              <w:right w:val="single" w:sz="4" w:space="0" w:color="auto"/>
            </w:tcBorders>
            <w:shd w:val="clear" w:color="auto" w:fill="F2F2F2" w:themeFill="background1" w:themeFillShade="F2"/>
            <w:noWrap/>
          </w:tcPr>
          <w:p w14:paraId="0E8F516F" w14:textId="77777777" w:rsidR="00ED0CEE" w:rsidRPr="00461C16" w:rsidRDefault="00ED0CEE" w:rsidP="00423CF8">
            <w:pPr>
              <w:spacing w:before="40" w:after="40"/>
              <w:jc w:val="left"/>
              <w:rPr>
                <w:rFonts w:eastAsia="Times New Roman"/>
                <w:b/>
                <w:sz w:val="20"/>
                <w:szCs w:val="20"/>
                <w:lang w:eastAsia="cs-CZ"/>
              </w:rPr>
            </w:pPr>
            <w:r w:rsidRPr="00461C16">
              <w:rPr>
                <w:rFonts w:eastAsia="Times New Roman"/>
                <w:b/>
                <w:sz w:val="20"/>
                <w:szCs w:val="20"/>
                <w:lang w:eastAsia="cs-CZ"/>
              </w:rPr>
              <w:t>Výměra plochy (ha)</w:t>
            </w:r>
          </w:p>
        </w:tc>
        <w:tc>
          <w:tcPr>
            <w:tcW w:w="1559" w:type="dxa"/>
            <w:tcBorders>
              <w:top w:val="single" w:sz="4" w:space="0" w:color="auto"/>
              <w:left w:val="nil"/>
              <w:bottom w:val="single" w:sz="4" w:space="0" w:color="auto"/>
              <w:right w:val="single" w:sz="4" w:space="0" w:color="auto"/>
            </w:tcBorders>
            <w:shd w:val="clear" w:color="auto" w:fill="F2F2F2" w:themeFill="background1" w:themeFillShade="F2"/>
          </w:tcPr>
          <w:p w14:paraId="2B33C234" w14:textId="77777777" w:rsidR="00ED0CEE" w:rsidRPr="00461C16" w:rsidRDefault="00ED0CEE" w:rsidP="00423CF8">
            <w:pPr>
              <w:spacing w:before="40" w:after="40"/>
              <w:jc w:val="left"/>
              <w:rPr>
                <w:rFonts w:eastAsia="Times New Roman"/>
                <w:b/>
                <w:sz w:val="20"/>
                <w:szCs w:val="20"/>
                <w:lang w:eastAsia="cs-CZ"/>
              </w:rPr>
            </w:pPr>
            <w:r w:rsidRPr="00461C16">
              <w:rPr>
                <w:rFonts w:eastAsia="Times New Roman"/>
                <w:b/>
                <w:sz w:val="20"/>
                <w:szCs w:val="20"/>
                <w:lang w:eastAsia="cs-CZ"/>
              </w:rPr>
              <w:t>Z toho zábor PUPFL (ha)</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AE052D" w14:textId="77777777" w:rsidR="00ED0CEE" w:rsidRPr="00461C16" w:rsidRDefault="00ED0CEE" w:rsidP="00423CF8">
            <w:pPr>
              <w:spacing w:before="40" w:after="40"/>
              <w:jc w:val="left"/>
              <w:rPr>
                <w:rFonts w:eastAsia="Times New Roman"/>
                <w:b/>
                <w:sz w:val="20"/>
                <w:szCs w:val="20"/>
                <w:lang w:eastAsia="cs-CZ"/>
              </w:rPr>
            </w:pPr>
            <w:r w:rsidRPr="00461C16">
              <w:rPr>
                <w:rFonts w:eastAsia="Times New Roman"/>
                <w:b/>
                <w:sz w:val="20"/>
                <w:szCs w:val="20"/>
                <w:lang w:eastAsia="cs-CZ"/>
              </w:rPr>
              <w:t xml:space="preserve">Kategorie lesa </w:t>
            </w:r>
          </w:p>
        </w:tc>
      </w:tr>
      <w:tr w:rsidR="00A646A1" w:rsidRPr="00461C16" w14:paraId="6D664137" w14:textId="77777777" w:rsidTr="00A646A1">
        <w:trPr>
          <w:trHeight w:val="255"/>
        </w:trPr>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2EF4B00F" w14:textId="77777777" w:rsidR="00A646A1" w:rsidRPr="00461C16" w:rsidRDefault="00A646A1" w:rsidP="00423CF8">
            <w:pPr>
              <w:spacing w:before="40" w:after="40"/>
              <w:rPr>
                <w:color w:val="000000"/>
                <w:sz w:val="20"/>
                <w:szCs w:val="20"/>
              </w:rPr>
            </w:pPr>
            <w:r w:rsidRPr="00461C16">
              <w:rPr>
                <w:color w:val="000000"/>
                <w:sz w:val="20"/>
                <w:szCs w:val="20"/>
              </w:rPr>
              <w:t>Z98</w:t>
            </w:r>
          </w:p>
        </w:tc>
        <w:tc>
          <w:tcPr>
            <w:tcW w:w="850" w:type="dxa"/>
            <w:tcBorders>
              <w:top w:val="single" w:sz="4" w:space="0" w:color="auto"/>
              <w:left w:val="nil"/>
              <w:bottom w:val="single" w:sz="4" w:space="0" w:color="auto"/>
              <w:right w:val="single" w:sz="4" w:space="0" w:color="auto"/>
            </w:tcBorders>
            <w:shd w:val="clear" w:color="auto" w:fill="auto"/>
            <w:noWrap/>
          </w:tcPr>
          <w:p w14:paraId="7C12F7FA" w14:textId="77777777" w:rsidR="00A646A1" w:rsidRPr="00461C16" w:rsidRDefault="00A646A1" w:rsidP="00423CF8">
            <w:pPr>
              <w:spacing w:before="40" w:after="40"/>
              <w:rPr>
                <w:color w:val="000000"/>
                <w:sz w:val="20"/>
                <w:szCs w:val="20"/>
              </w:rPr>
            </w:pPr>
            <w:r w:rsidRPr="00461C16">
              <w:rPr>
                <w:color w:val="000000"/>
                <w:sz w:val="20"/>
                <w:szCs w:val="20"/>
              </w:rPr>
              <w:t>PX</w:t>
            </w:r>
          </w:p>
        </w:tc>
        <w:tc>
          <w:tcPr>
            <w:tcW w:w="2410" w:type="dxa"/>
            <w:tcBorders>
              <w:top w:val="single" w:sz="4" w:space="0" w:color="auto"/>
              <w:left w:val="nil"/>
              <w:bottom w:val="single" w:sz="4" w:space="0" w:color="auto"/>
              <w:right w:val="single" w:sz="4" w:space="0" w:color="auto"/>
            </w:tcBorders>
          </w:tcPr>
          <w:p w14:paraId="7EC02B6D" w14:textId="77777777" w:rsidR="00A646A1" w:rsidRPr="00461C16" w:rsidRDefault="00A646A1" w:rsidP="00124236">
            <w:pPr>
              <w:jc w:val="left"/>
              <w:rPr>
                <w:color w:val="000000"/>
                <w:sz w:val="20"/>
                <w:szCs w:val="20"/>
              </w:rPr>
            </w:pPr>
            <w:r w:rsidRPr="00461C16">
              <w:rPr>
                <w:color w:val="000000"/>
                <w:sz w:val="20"/>
                <w:szCs w:val="20"/>
              </w:rPr>
              <w:t>Dolní Sedlo</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2D4EED4F" w14:textId="77777777" w:rsidR="00A646A1" w:rsidRPr="00461C16" w:rsidRDefault="00A646A1" w:rsidP="00827235">
            <w:pPr>
              <w:jc w:val="right"/>
              <w:rPr>
                <w:color w:val="000000"/>
                <w:sz w:val="20"/>
                <w:szCs w:val="20"/>
              </w:rPr>
            </w:pPr>
            <w:r w:rsidRPr="00461C16">
              <w:rPr>
                <w:color w:val="000000"/>
                <w:sz w:val="20"/>
                <w:szCs w:val="20"/>
              </w:rPr>
              <w:t>0,027</w:t>
            </w:r>
          </w:p>
        </w:tc>
        <w:tc>
          <w:tcPr>
            <w:tcW w:w="1559" w:type="dxa"/>
            <w:tcBorders>
              <w:top w:val="single" w:sz="4" w:space="0" w:color="auto"/>
              <w:left w:val="nil"/>
              <w:bottom w:val="single" w:sz="4" w:space="0" w:color="auto"/>
              <w:right w:val="single" w:sz="4" w:space="0" w:color="auto"/>
            </w:tcBorders>
          </w:tcPr>
          <w:p w14:paraId="47F2BB27" w14:textId="77777777" w:rsidR="00A646A1" w:rsidRPr="00461C16" w:rsidRDefault="00A646A1" w:rsidP="00423CF8">
            <w:pPr>
              <w:spacing w:before="40" w:after="40"/>
              <w:jc w:val="right"/>
              <w:rPr>
                <w:color w:val="000000"/>
                <w:sz w:val="20"/>
                <w:szCs w:val="20"/>
              </w:rPr>
            </w:pPr>
            <w:r w:rsidRPr="00461C16">
              <w:rPr>
                <w:color w:val="000000"/>
                <w:sz w:val="20"/>
                <w:szCs w:val="20"/>
              </w:rPr>
              <w:t>0,027</w:t>
            </w:r>
          </w:p>
        </w:tc>
        <w:tc>
          <w:tcPr>
            <w:tcW w:w="1843" w:type="dxa"/>
            <w:tcBorders>
              <w:top w:val="single" w:sz="4" w:space="0" w:color="auto"/>
              <w:left w:val="single" w:sz="4" w:space="0" w:color="auto"/>
              <w:bottom w:val="single" w:sz="4" w:space="0" w:color="auto"/>
              <w:right w:val="single" w:sz="4" w:space="0" w:color="auto"/>
            </w:tcBorders>
          </w:tcPr>
          <w:p w14:paraId="46029DA3" w14:textId="77777777" w:rsidR="00A646A1" w:rsidRPr="00461C16" w:rsidRDefault="00A646A1" w:rsidP="00423CF8">
            <w:pPr>
              <w:spacing w:before="40" w:after="40"/>
              <w:rPr>
                <w:sz w:val="20"/>
                <w:szCs w:val="20"/>
              </w:rPr>
            </w:pPr>
            <w:r w:rsidRPr="00461C16">
              <w:rPr>
                <w:sz w:val="20"/>
                <w:szCs w:val="20"/>
              </w:rPr>
              <w:t>les hospodářský</w:t>
            </w:r>
          </w:p>
        </w:tc>
      </w:tr>
    </w:tbl>
    <w:p w14:paraId="06E0D45E" w14:textId="77777777" w:rsidR="00A80189" w:rsidRPr="00461C16" w:rsidRDefault="00A80189" w:rsidP="00A80189">
      <w:pPr>
        <w:spacing w:before="240" w:after="120" w:line="240" w:lineRule="auto"/>
      </w:pPr>
      <w:r w:rsidRPr="00461C16">
        <w:t xml:space="preserve">Potenciální zásah do pozemků určených k plnění funkcí lesa byl zjištěn </w:t>
      </w:r>
      <w:r w:rsidR="00827235" w:rsidRPr="00461C16">
        <w:t xml:space="preserve">u </w:t>
      </w:r>
      <w:r w:rsidR="006D5245">
        <w:t>obou</w:t>
      </w:r>
      <w:r w:rsidR="00827235" w:rsidRPr="00461C16">
        <w:t xml:space="preserve"> vymezených koridorů, tj.</w:t>
      </w:r>
      <w:r w:rsidRPr="00461C16">
        <w:t xml:space="preserve"> X01</w:t>
      </w:r>
      <w:r w:rsidR="006D5245">
        <w:t xml:space="preserve"> a</w:t>
      </w:r>
      <w:r w:rsidR="00827235" w:rsidRPr="00461C16">
        <w:t xml:space="preserve"> X02</w:t>
      </w:r>
      <w:r w:rsidRPr="00461C16">
        <w:t xml:space="preserve">. </w:t>
      </w:r>
      <w:r w:rsidR="00827235" w:rsidRPr="00461C16">
        <w:t>Skutečný zábor PUPFL lze stanovit až po zpracování podrobnější dokumentace, která upřesní konkrétní rozsah stavby v rámci vymezeného koridoru.</w:t>
      </w:r>
    </w:p>
    <w:tbl>
      <w:tblPr>
        <w:tblW w:w="9213" w:type="dxa"/>
        <w:tblInd w:w="70" w:type="dxa"/>
        <w:tblLayout w:type="fixed"/>
        <w:tblCellMar>
          <w:left w:w="70" w:type="dxa"/>
          <w:right w:w="70" w:type="dxa"/>
        </w:tblCellMar>
        <w:tblLook w:val="04A0" w:firstRow="1" w:lastRow="0" w:firstColumn="1" w:lastColumn="0" w:noHBand="0" w:noVBand="1"/>
      </w:tblPr>
      <w:tblGrid>
        <w:gridCol w:w="992"/>
        <w:gridCol w:w="850"/>
        <w:gridCol w:w="2410"/>
        <w:gridCol w:w="1559"/>
        <w:gridCol w:w="1559"/>
        <w:gridCol w:w="1843"/>
      </w:tblGrid>
      <w:tr w:rsidR="00ED0CEE" w:rsidRPr="00461C16" w14:paraId="4E813033" w14:textId="77777777" w:rsidTr="00A646A1">
        <w:trPr>
          <w:trHeight w:val="520"/>
          <w:tblHeader/>
        </w:trPr>
        <w:tc>
          <w:tcPr>
            <w:tcW w:w="992" w:type="dxa"/>
            <w:tcBorders>
              <w:top w:val="single" w:sz="4" w:space="0" w:color="auto"/>
              <w:left w:val="single" w:sz="4" w:space="0" w:color="auto"/>
              <w:right w:val="single" w:sz="4" w:space="0" w:color="auto"/>
            </w:tcBorders>
            <w:shd w:val="clear" w:color="auto" w:fill="F2F2F2" w:themeFill="background1" w:themeFillShade="F2"/>
            <w:noWrap/>
          </w:tcPr>
          <w:p w14:paraId="7A3FD783" w14:textId="77777777" w:rsidR="00ED0CEE" w:rsidRPr="00461C16" w:rsidRDefault="00ED0CEE" w:rsidP="00124236">
            <w:pPr>
              <w:spacing w:before="40" w:after="40"/>
              <w:jc w:val="left"/>
              <w:rPr>
                <w:rFonts w:eastAsia="Times New Roman"/>
                <w:b/>
                <w:sz w:val="20"/>
                <w:szCs w:val="20"/>
                <w:lang w:eastAsia="cs-CZ"/>
              </w:rPr>
            </w:pPr>
            <w:r w:rsidRPr="00461C16">
              <w:rPr>
                <w:rFonts w:eastAsia="Times New Roman"/>
                <w:b/>
                <w:sz w:val="20"/>
                <w:szCs w:val="20"/>
                <w:lang w:eastAsia="cs-CZ"/>
              </w:rPr>
              <w:t>Označení koridoru</w:t>
            </w:r>
          </w:p>
        </w:tc>
        <w:tc>
          <w:tcPr>
            <w:tcW w:w="850" w:type="dxa"/>
            <w:tcBorders>
              <w:top w:val="single" w:sz="4" w:space="0" w:color="auto"/>
              <w:left w:val="nil"/>
              <w:right w:val="single" w:sz="4" w:space="0" w:color="auto"/>
            </w:tcBorders>
            <w:shd w:val="clear" w:color="auto" w:fill="F2F2F2" w:themeFill="background1" w:themeFillShade="F2"/>
            <w:noWrap/>
          </w:tcPr>
          <w:p w14:paraId="7E3BB3B9" w14:textId="77777777" w:rsidR="00ED0CEE" w:rsidRPr="00461C16" w:rsidRDefault="00ED0CEE" w:rsidP="00124236">
            <w:pPr>
              <w:spacing w:before="40" w:after="40"/>
              <w:jc w:val="left"/>
              <w:rPr>
                <w:rFonts w:eastAsia="Times New Roman"/>
                <w:b/>
                <w:sz w:val="20"/>
                <w:szCs w:val="20"/>
                <w:lang w:eastAsia="cs-CZ"/>
              </w:rPr>
            </w:pPr>
            <w:r w:rsidRPr="00461C16">
              <w:rPr>
                <w:rFonts w:eastAsia="Times New Roman"/>
                <w:b/>
                <w:sz w:val="20"/>
                <w:szCs w:val="20"/>
                <w:lang w:eastAsia="cs-CZ"/>
              </w:rPr>
              <w:t>Využití koridoru</w:t>
            </w:r>
          </w:p>
        </w:tc>
        <w:tc>
          <w:tcPr>
            <w:tcW w:w="2410" w:type="dxa"/>
            <w:tcBorders>
              <w:top w:val="single" w:sz="4" w:space="0" w:color="auto"/>
              <w:left w:val="nil"/>
              <w:bottom w:val="single" w:sz="4" w:space="0" w:color="auto"/>
              <w:right w:val="single" w:sz="4" w:space="0" w:color="auto"/>
            </w:tcBorders>
            <w:shd w:val="clear" w:color="auto" w:fill="F2F2F2" w:themeFill="background1" w:themeFillShade="F2"/>
          </w:tcPr>
          <w:p w14:paraId="536AB937" w14:textId="77777777" w:rsidR="00ED0CEE" w:rsidRPr="00461C16" w:rsidRDefault="00ED0CEE" w:rsidP="00124236">
            <w:pPr>
              <w:spacing w:before="40" w:after="40"/>
              <w:jc w:val="left"/>
              <w:rPr>
                <w:rFonts w:eastAsia="Times New Roman"/>
                <w:b/>
                <w:sz w:val="20"/>
                <w:szCs w:val="20"/>
                <w:lang w:eastAsia="cs-CZ"/>
              </w:rPr>
            </w:pPr>
            <w:r w:rsidRPr="00461C16">
              <w:rPr>
                <w:rFonts w:eastAsia="Times New Roman"/>
                <w:b/>
                <w:sz w:val="20"/>
                <w:szCs w:val="20"/>
                <w:lang w:eastAsia="cs-CZ"/>
              </w:rPr>
              <w:t>Katastrální území</w:t>
            </w:r>
          </w:p>
        </w:tc>
        <w:tc>
          <w:tcPr>
            <w:tcW w:w="1559" w:type="dxa"/>
            <w:tcBorders>
              <w:top w:val="single" w:sz="4" w:space="0" w:color="auto"/>
              <w:left w:val="single" w:sz="4" w:space="0" w:color="auto"/>
              <w:right w:val="single" w:sz="4" w:space="0" w:color="auto"/>
            </w:tcBorders>
            <w:shd w:val="clear" w:color="auto" w:fill="F2F2F2" w:themeFill="background1" w:themeFillShade="F2"/>
            <w:noWrap/>
          </w:tcPr>
          <w:p w14:paraId="40505A4F" w14:textId="77777777" w:rsidR="00ED0CEE" w:rsidRPr="00461C16" w:rsidRDefault="00ED0CEE" w:rsidP="00124236">
            <w:pPr>
              <w:spacing w:before="40" w:after="40"/>
              <w:jc w:val="left"/>
              <w:rPr>
                <w:rFonts w:eastAsia="Times New Roman"/>
                <w:b/>
                <w:sz w:val="20"/>
                <w:szCs w:val="20"/>
                <w:lang w:eastAsia="cs-CZ"/>
              </w:rPr>
            </w:pPr>
            <w:r w:rsidRPr="00461C16">
              <w:rPr>
                <w:rFonts w:eastAsia="Times New Roman"/>
                <w:b/>
                <w:sz w:val="20"/>
                <w:szCs w:val="20"/>
                <w:lang w:eastAsia="cs-CZ"/>
              </w:rPr>
              <w:t>Výměra koridoru (ha)</w:t>
            </w:r>
          </w:p>
        </w:tc>
        <w:tc>
          <w:tcPr>
            <w:tcW w:w="1559" w:type="dxa"/>
            <w:tcBorders>
              <w:top w:val="single" w:sz="4" w:space="0" w:color="auto"/>
              <w:left w:val="nil"/>
              <w:bottom w:val="single" w:sz="4" w:space="0" w:color="auto"/>
              <w:right w:val="single" w:sz="4" w:space="0" w:color="auto"/>
            </w:tcBorders>
            <w:shd w:val="clear" w:color="auto" w:fill="F2F2F2" w:themeFill="background1" w:themeFillShade="F2"/>
          </w:tcPr>
          <w:p w14:paraId="65A54EAE" w14:textId="77777777" w:rsidR="00ED0CEE" w:rsidRPr="00461C16" w:rsidRDefault="00ED0CEE" w:rsidP="00124236">
            <w:pPr>
              <w:spacing w:before="40" w:after="40"/>
              <w:jc w:val="left"/>
              <w:rPr>
                <w:rFonts w:eastAsia="Times New Roman"/>
                <w:b/>
                <w:sz w:val="20"/>
                <w:szCs w:val="20"/>
                <w:lang w:eastAsia="cs-CZ"/>
              </w:rPr>
            </w:pPr>
            <w:r w:rsidRPr="00461C16">
              <w:rPr>
                <w:rFonts w:eastAsia="Times New Roman"/>
                <w:b/>
                <w:sz w:val="20"/>
                <w:szCs w:val="20"/>
                <w:lang w:eastAsia="cs-CZ"/>
              </w:rPr>
              <w:t>Z toho zábor PUPFL (ha)</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C85C14" w14:textId="77777777" w:rsidR="00ED0CEE" w:rsidRPr="00461C16" w:rsidRDefault="00ED0CEE" w:rsidP="00124236">
            <w:pPr>
              <w:spacing w:before="40" w:after="40"/>
              <w:jc w:val="left"/>
              <w:rPr>
                <w:rFonts w:eastAsia="Times New Roman"/>
                <w:b/>
                <w:sz w:val="20"/>
                <w:szCs w:val="20"/>
                <w:lang w:eastAsia="cs-CZ"/>
              </w:rPr>
            </w:pPr>
            <w:r w:rsidRPr="00461C16">
              <w:rPr>
                <w:rFonts w:eastAsia="Times New Roman"/>
                <w:b/>
                <w:sz w:val="20"/>
                <w:szCs w:val="20"/>
                <w:lang w:eastAsia="cs-CZ"/>
              </w:rPr>
              <w:t xml:space="preserve">Kategorie lesa </w:t>
            </w:r>
          </w:p>
        </w:tc>
      </w:tr>
      <w:tr w:rsidR="00ED0CEE" w:rsidRPr="00461C16" w14:paraId="4148B813" w14:textId="77777777" w:rsidTr="00A646A1">
        <w:trPr>
          <w:trHeight w:val="255"/>
        </w:trPr>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14:paraId="4D22F290" w14:textId="77777777" w:rsidR="00ED0CEE" w:rsidRPr="00461C16" w:rsidRDefault="00ED0CEE" w:rsidP="00124236">
            <w:pPr>
              <w:spacing w:before="40" w:after="40"/>
              <w:rPr>
                <w:color w:val="000000"/>
                <w:sz w:val="20"/>
                <w:szCs w:val="20"/>
              </w:rPr>
            </w:pPr>
            <w:r w:rsidRPr="00461C16">
              <w:rPr>
                <w:color w:val="000000"/>
                <w:sz w:val="20"/>
                <w:szCs w:val="20"/>
              </w:rPr>
              <w:t>X01</w:t>
            </w:r>
          </w:p>
        </w:tc>
        <w:tc>
          <w:tcPr>
            <w:tcW w:w="850" w:type="dxa"/>
            <w:tcBorders>
              <w:top w:val="single" w:sz="4" w:space="0" w:color="auto"/>
              <w:left w:val="nil"/>
              <w:bottom w:val="single" w:sz="4" w:space="0" w:color="auto"/>
              <w:right w:val="single" w:sz="4" w:space="0" w:color="auto"/>
            </w:tcBorders>
            <w:shd w:val="clear" w:color="auto" w:fill="auto"/>
            <w:noWrap/>
            <w:hideMark/>
          </w:tcPr>
          <w:p w14:paraId="50C05694" w14:textId="77777777" w:rsidR="00ED0CEE" w:rsidRPr="00461C16" w:rsidRDefault="00ED0CEE" w:rsidP="00124236">
            <w:pPr>
              <w:spacing w:before="40" w:after="40"/>
              <w:rPr>
                <w:color w:val="000000"/>
                <w:sz w:val="20"/>
                <w:szCs w:val="20"/>
              </w:rPr>
            </w:pPr>
            <w:r w:rsidRPr="00461C16">
              <w:rPr>
                <w:color w:val="000000"/>
                <w:sz w:val="20"/>
                <w:szCs w:val="20"/>
              </w:rPr>
              <w:t>DZ.k</w:t>
            </w:r>
          </w:p>
        </w:tc>
        <w:tc>
          <w:tcPr>
            <w:tcW w:w="2410" w:type="dxa"/>
            <w:tcBorders>
              <w:top w:val="single" w:sz="4" w:space="0" w:color="auto"/>
              <w:left w:val="nil"/>
              <w:bottom w:val="single" w:sz="4" w:space="0" w:color="auto"/>
              <w:right w:val="single" w:sz="4" w:space="0" w:color="auto"/>
            </w:tcBorders>
          </w:tcPr>
          <w:p w14:paraId="7DC6448D" w14:textId="77777777" w:rsidR="00ED0CEE" w:rsidRPr="00461C16" w:rsidRDefault="00ED0CEE" w:rsidP="00124236">
            <w:pPr>
              <w:jc w:val="left"/>
              <w:rPr>
                <w:sz w:val="20"/>
                <w:szCs w:val="20"/>
              </w:rPr>
            </w:pPr>
            <w:r w:rsidRPr="00461C16">
              <w:rPr>
                <w:sz w:val="20"/>
                <w:szCs w:val="20"/>
              </w:rPr>
              <w:t>Donín u Hrádku nad Nisou, Hrádek nad Nisou</w:t>
            </w:r>
          </w:p>
        </w:tc>
        <w:tc>
          <w:tcPr>
            <w:tcW w:w="1559" w:type="dxa"/>
            <w:tcBorders>
              <w:top w:val="single" w:sz="4" w:space="0" w:color="auto"/>
              <w:left w:val="single" w:sz="4" w:space="0" w:color="auto"/>
              <w:bottom w:val="single" w:sz="4" w:space="0" w:color="auto"/>
              <w:right w:val="single" w:sz="4" w:space="0" w:color="auto"/>
            </w:tcBorders>
            <w:shd w:val="clear" w:color="auto" w:fill="auto"/>
            <w:noWrap/>
          </w:tcPr>
          <w:p w14:paraId="3A40DECB" w14:textId="77777777" w:rsidR="00ED0CEE" w:rsidRPr="00461C16" w:rsidRDefault="00ED0CEE" w:rsidP="00124236">
            <w:pPr>
              <w:spacing w:before="40" w:after="40"/>
              <w:jc w:val="right"/>
              <w:rPr>
                <w:rFonts w:cs="Arial"/>
                <w:sz w:val="20"/>
                <w:szCs w:val="20"/>
              </w:rPr>
            </w:pPr>
            <w:r w:rsidRPr="00461C16">
              <w:rPr>
                <w:rFonts w:cs="Arial"/>
                <w:sz w:val="20"/>
                <w:szCs w:val="20"/>
              </w:rPr>
              <w:t>22,082</w:t>
            </w:r>
          </w:p>
        </w:tc>
        <w:tc>
          <w:tcPr>
            <w:tcW w:w="1559" w:type="dxa"/>
            <w:tcBorders>
              <w:top w:val="single" w:sz="4" w:space="0" w:color="auto"/>
              <w:left w:val="nil"/>
              <w:bottom w:val="single" w:sz="4" w:space="0" w:color="auto"/>
              <w:right w:val="single" w:sz="4" w:space="0" w:color="auto"/>
            </w:tcBorders>
          </w:tcPr>
          <w:p w14:paraId="65AFD81A" w14:textId="77777777" w:rsidR="00ED0CEE" w:rsidRPr="00461C16" w:rsidRDefault="00ED0CEE" w:rsidP="00124236">
            <w:pPr>
              <w:spacing w:before="40" w:after="40"/>
              <w:jc w:val="right"/>
              <w:rPr>
                <w:color w:val="000000"/>
                <w:sz w:val="20"/>
                <w:szCs w:val="20"/>
              </w:rPr>
            </w:pPr>
            <w:r w:rsidRPr="00461C16">
              <w:rPr>
                <w:color w:val="000000"/>
                <w:sz w:val="20"/>
                <w:szCs w:val="20"/>
              </w:rPr>
              <w:t>0,033</w:t>
            </w:r>
          </w:p>
        </w:tc>
        <w:tc>
          <w:tcPr>
            <w:tcW w:w="1843" w:type="dxa"/>
            <w:tcBorders>
              <w:top w:val="single" w:sz="4" w:space="0" w:color="auto"/>
              <w:left w:val="single" w:sz="4" w:space="0" w:color="auto"/>
              <w:bottom w:val="single" w:sz="4" w:space="0" w:color="auto"/>
              <w:right w:val="single" w:sz="4" w:space="0" w:color="auto"/>
            </w:tcBorders>
          </w:tcPr>
          <w:p w14:paraId="26024CCA" w14:textId="77777777" w:rsidR="00ED0CEE" w:rsidRPr="00461C16" w:rsidRDefault="00ED0CEE" w:rsidP="00124236">
            <w:pPr>
              <w:spacing w:before="40" w:after="40"/>
              <w:jc w:val="left"/>
              <w:rPr>
                <w:sz w:val="20"/>
                <w:szCs w:val="20"/>
              </w:rPr>
            </w:pPr>
            <w:r w:rsidRPr="00461C16">
              <w:rPr>
                <w:sz w:val="20"/>
                <w:szCs w:val="20"/>
              </w:rPr>
              <w:t>les hospodářský</w:t>
            </w:r>
          </w:p>
        </w:tc>
      </w:tr>
      <w:tr w:rsidR="00ED0CEE" w:rsidRPr="00461C16" w14:paraId="1A3A2176" w14:textId="77777777" w:rsidTr="00A646A1">
        <w:trPr>
          <w:trHeight w:val="255"/>
        </w:trPr>
        <w:tc>
          <w:tcPr>
            <w:tcW w:w="992" w:type="dxa"/>
            <w:tcBorders>
              <w:top w:val="nil"/>
              <w:left w:val="single" w:sz="4" w:space="0" w:color="auto"/>
              <w:bottom w:val="single" w:sz="4" w:space="0" w:color="auto"/>
              <w:right w:val="single" w:sz="4" w:space="0" w:color="auto"/>
            </w:tcBorders>
            <w:shd w:val="clear" w:color="auto" w:fill="auto"/>
            <w:noWrap/>
            <w:hideMark/>
          </w:tcPr>
          <w:p w14:paraId="1DCA90D0" w14:textId="77777777" w:rsidR="00ED0CEE" w:rsidRPr="00461C16" w:rsidRDefault="00ED0CEE" w:rsidP="00124236">
            <w:pPr>
              <w:spacing w:before="40" w:after="40"/>
              <w:rPr>
                <w:color w:val="000000"/>
                <w:sz w:val="20"/>
                <w:szCs w:val="20"/>
              </w:rPr>
            </w:pPr>
            <w:r w:rsidRPr="00461C16">
              <w:rPr>
                <w:color w:val="000000"/>
                <w:sz w:val="20"/>
                <w:szCs w:val="20"/>
              </w:rPr>
              <w:t>X02</w:t>
            </w:r>
          </w:p>
        </w:tc>
        <w:tc>
          <w:tcPr>
            <w:tcW w:w="850" w:type="dxa"/>
            <w:tcBorders>
              <w:top w:val="nil"/>
              <w:left w:val="nil"/>
              <w:bottom w:val="single" w:sz="4" w:space="0" w:color="auto"/>
              <w:right w:val="single" w:sz="4" w:space="0" w:color="auto"/>
            </w:tcBorders>
            <w:shd w:val="clear" w:color="auto" w:fill="auto"/>
            <w:noWrap/>
          </w:tcPr>
          <w:p w14:paraId="7F224237" w14:textId="77777777" w:rsidR="00ED0CEE" w:rsidRPr="00461C16" w:rsidRDefault="00ED0CEE" w:rsidP="00124236">
            <w:pPr>
              <w:spacing w:before="40" w:after="40"/>
              <w:rPr>
                <w:color w:val="000000"/>
                <w:sz w:val="20"/>
                <w:szCs w:val="20"/>
              </w:rPr>
            </w:pPr>
            <w:r w:rsidRPr="00461C16">
              <w:rPr>
                <w:color w:val="000000"/>
                <w:sz w:val="20"/>
                <w:szCs w:val="20"/>
              </w:rPr>
              <w:t>TI.k</w:t>
            </w:r>
          </w:p>
        </w:tc>
        <w:tc>
          <w:tcPr>
            <w:tcW w:w="2410" w:type="dxa"/>
            <w:tcBorders>
              <w:top w:val="single" w:sz="4" w:space="0" w:color="auto"/>
              <w:left w:val="nil"/>
              <w:bottom w:val="single" w:sz="4" w:space="0" w:color="auto"/>
              <w:right w:val="single" w:sz="4" w:space="0" w:color="auto"/>
            </w:tcBorders>
          </w:tcPr>
          <w:p w14:paraId="60534332" w14:textId="77777777" w:rsidR="00ED0CEE" w:rsidRPr="00461C16" w:rsidRDefault="00ED0CEE" w:rsidP="00124236">
            <w:pPr>
              <w:jc w:val="left"/>
              <w:rPr>
                <w:sz w:val="20"/>
                <w:szCs w:val="20"/>
              </w:rPr>
            </w:pPr>
            <w:r w:rsidRPr="00461C16">
              <w:rPr>
                <w:sz w:val="20"/>
                <w:szCs w:val="20"/>
              </w:rPr>
              <w:t>Donín u Hrádku nad Nisou, Hrádek nad Nisou, Loučná</w:t>
            </w:r>
          </w:p>
        </w:tc>
        <w:tc>
          <w:tcPr>
            <w:tcW w:w="1559" w:type="dxa"/>
            <w:tcBorders>
              <w:top w:val="nil"/>
              <w:left w:val="single" w:sz="4" w:space="0" w:color="auto"/>
              <w:bottom w:val="single" w:sz="4" w:space="0" w:color="auto"/>
              <w:right w:val="single" w:sz="4" w:space="0" w:color="auto"/>
            </w:tcBorders>
            <w:shd w:val="clear" w:color="auto" w:fill="auto"/>
            <w:noWrap/>
          </w:tcPr>
          <w:p w14:paraId="7545C1E2" w14:textId="77777777" w:rsidR="00ED0CEE" w:rsidRPr="00461C16" w:rsidRDefault="00ED0CEE" w:rsidP="00124236">
            <w:pPr>
              <w:spacing w:before="40" w:after="40"/>
              <w:jc w:val="right"/>
              <w:rPr>
                <w:rFonts w:cs="Arial"/>
                <w:sz w:val="20"/>
                <w:szCs w:val="20"/>
              </w:rPr>
            </w:pPr>
            <w:r w:rsidRPr="00461C16">
              <w:rPr>
                <w:rFonts w:cs="Arial"/>
                <w:sz w:val="20"/>
                <w:szCs w:val="20"/>
              </w:rPr>
              <w:t>24,129</w:t>
            </w:r>
          </w:p>
        </w:tc>
        <w:tc>
          <w:tcPr>
            <w:tcW w:w="1559" w:type="dxa"/>
            <w:tcBorders>
              <w:top w:val="single" w:sz="4" w:space="0" w:color="auto"/>
              <w:left w:val="nil"/>
              <w:bottom w:val="single" w:sz="4" w:space="0" w:color="auto"/>
              <w:right w:val="single" w:sz="4" w:space="0" w:color="auto"/>
            </w:tcBorders>
          </w:tcPr>
          <w:p w14:paraId="102BEA73" w14:textId="77777777" w:rsidR="00ED0CEE" w:rsidRPr="00461C16" w:rsidRDefault="00ED0CEE" w:rsidP="00124236">
            <w:pPr>
              <w:spacing w:before="40" w:after="40"/>
              <w:jc w:val="right"/>
              <w:rPr>
                <w:color w:val="000000"/>
                <w:sz w:val="20"/>
                <w:szCs w:val="20"/>
              </w:rPr>
            </w:pPr>
            <w:r w:rsidRPr="00461C16">
              <w:rPr>
                <w:color w:val="000000"/>
                <w:sz w:val="20"/>
                <w:szCs w:val="20"/>
              </w:rPr>
              <w:t>0,204</w:t>
            </w:r>
          </w:p>
        </w:tc>
        <w:tc>
          <w:tcPr>
            <w:tcW w:w="1843" w:type="dxa"/>
            <w:tcBorders>
              <w:top w:val="single" w:sz="4" w:space="0" w:color="auto"/>
              <w:left w:val="single" w:sz="4" w:space="0" w:color="auto"/>
              <w:bottom w:val="single" w:sz="4" w:space="0" w:color="auto"/>
              <w:right w:val="single" w:sz="4" w:space="0" w:color="auto"/>
            </w:tcBorders>
          </w:tcPr>
          <w:p w14:paraId="7FCDEE41" w14:textId="77777777" w:rsidR="00ED0CEE" w:rsidRPr="00461C16" w:rsidRDefault="00ED0CEE" w:rsidP="00124236">
            <w:pPr>
              <w:spacing w:before="40" w:after="40"/>
              <w:rPr>
                <w:sz w:val="20"/>
                <w:szCs w:val="20"/>
              </w:rPr>
            </w:pPr>
            <w:r w:rsidRPr="00461C16">
              <w:rPr>
                <w:sz w:val="20"/>
                <w:szCs w:val="20"/>
              </w:rPr>
              <w:t>les hospodářský</w:t>
            </w:r>
          </w:p>
        </w:tc>
      </w:tr>
    </w:tbl>
    <w:p w14:paraId="43226A6F" w14:textId="77777777" w:rsidR="00A80189" w:rsidRPr="00461C16" w:rsidRDefault="00A80189" w:rsidP="00A80189">
      <w:pPr>
        <w:pStyle w:val="Heading3"/>
      </w:pPr>
      <w:bookmarkStart w:id="210" w:name="_Toc36116339"/>
      <w:r w:rsidRPr="00461C16">
        <w:t>8.2.1</w:t>
      </w:r>
      <w:r w:rsidRPr="00461C16">
        <w:tab/>
        <w:t>Odůvodnění záboru PUPFL</w:t>
      </w:r>
      <w:bookmarkEnd w:id="210"/>
    </w:p>
    <w:p w14:paraId="1A59F181" w14:textId="77777777" w:rsidR="00827235" w:rsidRPr="00461C16" w:rsidRDefault="00827235" w:rsidP="00827235">
      <w:pPr>
        <w:spacing w:before="120" w:line="240" w:lineRule="auto"/>
        <w:rPr>
          <w:b/>
        </w:rPr>
      </w:pPr>
      <w:r w:rsidRPr="00461C16">
        <w:rPr>
          <w:b/>
        </w:rPr>
        <w:t xml:space="preserve">Z98 </w:t>
      </w:r>
      <w:r w:rsidR="00722E04" w:rsidRPr="00461C16">
        <w:t>–</w:t>
      </w:r>
      <w:r w:rsidRPr="00461C16">
        <w:t xml:space="preserve"> </w:t>
      </w:r>
      <w:r w:rsidR="00722E04" w:rsidRPr="00461C16">
        <w:t>plocha je vymezena pro zlepšení prostupnosti krajiny pro pěší a cyklisty a zajištění koordinace s územím sousední obce Jablonné v Podještědí,</w:t>
      </w:r>
    </w:p>
    <w:p w14:paraId="079298CA" w14:textId="77777777" w:rsidR="00A80189" w:rsidRPr="00461C16" w:rsidRDefault="00A80189" w:rsidP="00827235">
      <w:pPr>
        <w:spacing w:before="120" w:line="240" w:lineRule="auto"/>
      </w:pPr>
      <w:r w:rsidRPr="00461C16">
        <w:rPr>
          <w:b/>
        </w:rPr>
        <w:t>X01</w:t>
      </w:r>
      <w:r w:rsidR="00827235" w:rsidRPr="00461C16">
        <w:t xml:space="preserve"> - </w:t>
      </w:r>
      <w:r w:rsidR="00722E04" w:rsidRPr="00461C16">
        <w:t xml:space="preserve">koridor je vymezen pro optimalizaci a elektrizaci železniční trati č. 089, jehož vymezení a zpřesnění je provedeno v souladu s požadavky ZÚR Libereckého kraje (dle ZÚR </w:t>
      </w:r>
      <w:r w:rsidR="003B07D8">
        <w:t xml:space="preserve">LK </w:t>
      </w:r>
      <w:r w:rsidR="00722E04" w:rsidRPr="00461C16">
        <w:t>se jedná o veřejně prospěšnou stavbu DS28),</w:t>
      </w:r>
    </w:p>
    <w:p w14:paraId="1DFC3655" w14:textId="77777777" w:rsidR="00827235" w:rsidRPr="00461C16" w:rsidRDefault="00827235" w:rsidP="00827235">
      <w:pPr>
        <w:spacing w:before="120" w:line="240" w:lineRule="auto"/>
      </w:pPr>
      <w:r w:rsidRPr="00461C16">
        <w:rPr>
          <w:b/>
        </w:rPr>
        <w:t>X02</w:t>
      </w:r>
      <w:r w:rsidRPr="00461C16">
        <w:t xml:space="preserve"> - </w:t>
      </w:r>
      <w:r w:rsidR="00722E04" w:rsidRPr="00461C16">
        <w:t xml:space="preserve">koridor je vymezen pro umístění protipovodňových opatření na Lužické Nise, jehož vymezení a zpřesnění je provedeno v souladu s požadavky ZÚR Libereckého kraje (dle ZÚR </w:t>
      </w:r>
      <w:r w:rsidR="003B07D8">
        <w:t xml:space="preserve">LK </w:t>
      </w:r>
      <w:r w:rsidR="00722E04" w:rsidRPr="00461C16">
        <w:t>se jedná o veřejně prospěšnou stavbu P09)</w:t>
      </w:r>
    </w:p>
    <w:p w14:paraId="6FBD1026" w14:textId="77777777" w:rsidR="00A80189" w:rsidRPr="00461C16" w:rsidRDefault="00A80189" w:rsidP="00A80189">
      <w:pPr>
        <w:pStyle w:val="Heading3"/>
      </w:pPr>
      <w:bookmarkStart w:id="211" w:name="_Toc36116340"/>
      <w:r w:rsidRPr="00461C16">
        <w:t>8.2.2</w:t>
      </w:r>
      <w:r w:rsidRPr="00461C16">
        <w:tab/>
        <w:t>Plochy změn zasahující do vzdálenosti 50 m od hranice lesa</w:t>
      </w:r>
      <w:bookmarkEnd w:id="211"/>
      <w:r w:rsidRPr="00461C16">
        <w:t xml:space="preserve"> </w:t>
      </w:r>
    </w:p>
    <w:p w14:paraId="432187A0" w14:textId="77777777" w:rsidR="00A80189" w:rsidRPr="00461C16" w:rsidRDefault="00A80189" w:rsidP="00A80189">
      <w:pPr>
        <w:pStyle w:val="1text"/>
        <w:spacing w:after="120"/>
      </w:pPr>
      <w:r w:rsidRPr="00461C16">
        <w:t xml:space="preserve">Zábor pozemků ve vzdálenosti do 50 m od hranice lesa bude upraven v rámci podrobnějšího řešení zástavby jednotlivých ploch. </w:t>
      </w:r>
    </w:p>
    <w:p w14:paraId="785CEED9" w14:textId="77777777" w:rsidR="00A80189" w:rsidRDefault="00A80189" w:rsidP="00A80189">
      <w:pPr>
        <w:pStyle w:val="1text"/>
        <w:spacing w:after="120"/>
      </w:pPr>
      <w:r w:rsidRPr="00461C16">
        <w:t>Plochy změn v krajině nemohou mít žádný negativní vliv na blízké pozemky PUPFL, proto nejsou předmětem vyhodnocení.</w:t>
      </w:r>
    </w:p>
    <w:p w14:paraId="2043DFFD" w14:textId="77777777" w:rsidR="00D53301" w:rsidRPr="00461C16" w:rsidRDefault="00D53301" w:rsidP="00A80189">
      <w:pPr>
        <w:pStyle w:val="1text"/>
        <w:spacing w:after="120"/>
      </w:pPr>
      <w:r>
        <w:t>Stavby do vzdálenosti 50m od hranice lesa lze umisťovat pouze se souhlasem orgánu státní správy lesů. Umisťování hlavních staveb resp. staveb, u kterých je reálné riziko ohrožení osob nebo významných škod při pádu stromů, není z pohledu zájmů státní správy lesů ve vzdálenosti do 25-30m od okraje lesa zpravidla žádoucí.</w:t>
      </w:r>
    </w:p>
    <w:p w14:paraId="66F4A8C7" w14:textId="7AC415EE" w:rsidR="00A80189" w:rsidRPr="00461C16" w:rsidRDefault="00423CF8" w:rsidP="00A80189">
      <w:pPr>
        <w:spacing w:line="240" w:lineRule="auto"/>
      </w:pPr>
      <w:r w:rsidRPr="00461C16">
        <w:lastRenderedPageBreak/>
        <w:t>Do vzdálenosti 50m od hranice lesa zasahují plochy</w:t>
      </w:r>
      <w:r w:rsidR="00ED0CEE" w:rsidRPr="00461C16">
        <w:rPr>
          <w:rFonts w:eastAsia="Times New Roman"/>
          <w:color w:val="000000"/>
          <w:lang w:eastAsia="cs-CZ"/>
        </w:rPr>
        <w:t xml:space="preserve"> Z21, Z25, Z26, Z31, Z32, Z45, Z54, Z57, Z61, Z65, Z67, Z68, Z79, Z82, Z86, Z89, Z95, Z96, Z97, Z98, </w:t>
      </w:r>
      <w:r w:rsidR="007D1466">
        <w:rPr>
          <w:rFonts w:eastAsia="Times New Roman"/>
          <w:color w:val="000000"/>
          <w:lang w:eastAsia="cs-CZ"/>
        </w:rPr>
        <w:t xml:space="preserve">Z101, </w:t>
      </w:r>
      <w:r w:rsidR="00ED0CEE" w:rsidRPr="00461C16">
        <w:rPr>
          <w:rFonts w:eastAsia="Times New Roman"/>
          <w:color w:val="000000"/>
          <w:lang w:eastAsia="cs-CZ"/>
        </w:rPr>
        <w:t>P06, P07,  P14</w:t>
      </w:r>
      <w:r w:rsidR="00AE3A9B">
        <w:rPr>
          <w:rFonts w:eastAsia="Times New Roman"/>
          <w:color w:val="000000"/>
          <w:lang w:eastAsia="cs-CZ"/>
        </w:rPr>
        <w:t xml:space="preserve"> a P31</w:t>
      </w:r>
      <w:r w:rsidRPr="00461C16">
        <w:t>. Z</w:t>
      </w:r>
      <w:r w:rsidR="00A80189" w:rsidRPr="00461C16">
        <w:t>důvodnění jejich vymezení je uveden v následující tabulce:</w:t>
      </w:r>
    </w:p>
    <w:p w14:paraId="52FBB927" w14:textId="77777777" w:rsidR="00A80189" w:rsidRPr="00461C16" w:rsidRDefault="00A80189" w:rsidP="00A80189">
      <w:pPr>
        <w:spacing w:line="240" w:lineRule="auto"/>
      </w:pPr>
    </w:p>
    <w:tbl>
      <w:tblPr>
        <w:tblW w:w="9214" w:type="dxa"/>
        <w:tblInd w:w="70" w:type="dxa"/>
        <w:tblLayout w:type="fixed"/>
        <w:tblCellMar>
          <w:left w:w="70" w:type="dxa"/>
          <w:right w:w="70" w:type="dxa"/>
        </w:tblCellMar>
        <w:tblLook w:val="04A0" w:firstRow="1" w:lastRow="0" w:firstColumn="1" w:lastColumn="0" w:noHBand="0" w:noVBand="1"/>
      </w:tblPr>
      <w:tblGrid>
        <w:gridCol w:w="815"/>
        <w:gridCol w:w="901"/>
        <w:gridCol w:w="1260"/>
        <w:gridCol w:w="6238"/>
      </w:tblGrid>
      <w:tr w:rsidR="00A80189" w:rsidRPr="00461C16" w14:paraId="0C8A3337" w14:textId="77777777" w:rsidTr="00A52FFD">
        <w:trPr>
          <w:trHeight w:val="520"/>
          <w:tblHeader/>
        </w:trPr>
        <w:tc>
          <w:tcPr>
            <w:tcW w:w="815" w:type="dxa"/>
            <w:tcBorders>
              <w:top w:val="single" w:sz="4" w:space="0" w:color="auto"/>
              <w:left w:val="single" w:sz="4" w:space="0" w:color="auto"/>
              <w:right w:val="single" w:sz="4" w:space="0" w:color="auto"/>
            </w:tcBorders>
            <w:shd w:val="clear" w:color="auto" w:fill="F2F2F2" w:themeFill="background1" w:themeFillShade="F2"/>
            <w:noWrap/>
          </w:tcPr>
          <w:p w14:paraId="1DFAE55C" w14:textId="77777777" w:rsidR="00A80189" w:rsidRPr="00461C16" w:rsidRDefault="00A80189" w:rsidP="00A646A1">
            <w:pPr>
              <w:spacing w:before="40"/>
              <w:jc w:val="left"/>
              <w:rPr>
                <w:rFonts w:eastAsia="Times New Roman"/>
                <w:b/>
                <w:sz w:val="20"/>
                <w:szCs w:val="20"/>
                <w:lang w:eastAsia="cs-CZ"/>
              </w:rPr>
            </w:pPr>
            <w:r w:rsidRPr="00461C16">
              <w:rPr>
                <w:rFonts w:eastAsia="Times New Roman"/>
                <w:b/>
                <w:sz w:val="20"/>
                <w:szCs w:val="20"/>
                <w:lang w:eastAsia="cs-CZ"/>
              </w:rPr>
              <w:t>Využití plochy</w:t>
            </w:r>
          </w:p>
        </w:tc>
        <w:tc>
          <w:tcPr>
            <w:tcW w:w="901" w:type="dxa"/>
            <w:tcBorders>
              <w:top w:val="single" w:sz="4" w:space="0" w:color="auto"/>
              <w:left w:val="nil"/>
              <w:right w:val="single" w:sz="4" w:space="0" w:color="auto"/>
            </w:tcBorders>
            <w:shd w:val="clear" w:color="auto" w:fill="F2F2F2" w:themeFill="background1" w:themeFillShade="F2"/>
            <w:noWrap/>
          </w:tcPr>
          <w:p w14:paraId="3D3DCC3E" w14:textId="77777777" w:rsidR="00A80189" w:rsidRPr="00461C16" w:rsidRDefault="00A80189" w:rsidP="00A646A1">
            <w:pPr>
              <w:spacing w:before="40"/>
              <w:jc w:val="left"/>
              <w:rPr>
                <w:rFonts w:eastAsia="Times New Roman"/>
                <w:b/>
                <w:sz w:val="20"/>
                <w:szCs w:val="20"/>
                <w:lang w:eastAsia="cs-CZ"/>
              </w:rPr>
            </w:pPr>
            <w:r w:rsidRPr="00461C16">
              <w:rPr>
                <w:rFonts w:eastAsia="Times New Roman"/>
                <w:b/>
                <w:sz w:val="20"/>
                <w:szCs w:val="20"/>
                <w:lang w:eastAsia="cs-CZ"/>
              </w:rPr>
              <w:t>Označení plochy</w:t>
            </w:r>
          </w:p>
        </w:tc>
        <w:tc>
          <w:tcPr>
            <w:tcW w:w="1260" w:type="dxa"/>
            <w:tcBorders>
              <w:top w:val="single" w:sz="4" w:space="0" w:color="auto"/>
              <w:left w:val="nil"/>
              <w:right w:val="single" w:sz="4" w:space="0" w:color="auto"/>
            </w:tcBorders>
            <w:shd w:val="clear" w:color="auto" w:fill="F2F2F2" w:themeFill="background1" w:themeFillShade="F2"/>
            <w:noWrap/>
          </w:tcPr>
          <w:p w14:paraId="06D14DDA" w14:textId="77777777" w:rsidR="00A80189" w:rsidRPr="00461C16" w:rsidRDefault="00A80189" w:rsidP="00A646A1">
            <w:pPr>
              <w:spacing w:before="40"/>
              <w:jc w:val="left"/>
              <w:rPr>
                <w:rFonts w:eastAsia="Times New Roman"/>
                <w:b/>
                <w:sz w:val="20"/>
                <w:szCs w:val="20"/>
                <w:lang w:eastAsia="cs-CZ"/>
              </w:rPr>
            </w:pPr>
            <w:r w:rsidRPr="00461C16">
              <w:rPr>
                <w:rFonts w:eastAsia="Times New Roman"/>
                <w:b/>
                <w:sz w:val="20"/>
                <w:szCs w:val="20"/>
                <w:lang w:eastAsia="cs-CZ"/>
              </w:rPr>
              <w:t>Katastrální území</w:t>
            </w:r>
          </w:p>
        </w:tc>
        <w:tc>
          <w:tcPr>
            <w:tcW w:w="6238" w:type="dxa"/>
            <w:tcBorders>
              <w:top w:val="single" w:sz="4" w:space="0" w:color="auto"/>
              <w:left w:val="nil"/>
              <w:right w:val="single" w:sz="4" w:space="0" w:color="auto"/>
            </w:tcBorders>
            <w:shd w:val="clear" w:color="auto" w:fill="F2F2F2" w:themeFill="background1" w:themeFillShade="F2"/>
          </w:tcPr>
          <w:p w14:paraId="26A46A2E" w14:textId="77777777" w:rsidR="00A80189" w:rsidRPr="00461C16" w:rsidRDefault="00A80189" w:rsidP="007D1466">
            <w:pPr>
              <w:spacing w:before="40"/>
              <w:jc w:val="left"/>
              <w:rPr>
                <w:rFonts w:eastAsia="Times New Roman"/>
                <w:b/>
                <w:sz w:val="20"/>
                <w:szCs w:val="20"/>
                <w:lang w:eastAsia="cs-CZ"/>
              </w:rPr>
            </w:pPr>
            <w:r w:rsidRPr="00461C16">
              <w:rPr>
                <w:rFonts w:eastAsia="Times New Roman"/>
                <w:b/>
                <w:sz w:val="20"/>
                <w:szCs w:val="20"/>
                <w:lang w:eastAsia="cs-CZ"/>
              </w:rPr>
              <w:t xml:space="preserve">Odůvodnění </w:t>
            </w:r>
            <w:r w:rsidR="007D1466">
              <w:rPr>
                <w:rFonts w:eastAsia="Times New Roman"/>
                <w:b/>
                <w:sz w:val="20"/>
                <w:szCs w:val="20"/>
                <w:lang w:eastAsia="cs-CZ"/>
              </w:rPr>
              <w:t>zásahu do pásma 50m od hranice lesa</w:t>
            </w:r>
          </w:p>
        </w:tc>
      </w:tr>
      <w:tr w:rsidR="00A646A1" w:rsidRPr="00461C16" w14:paraId="56827DEF" w14:textId="77777777" w:rsidTr="00A52FFD">
        <w:trPr>
          <w:trHeight w:val="255"/>
        </w:trPr>
        <w:tc>
          <w:tcPr>
            <w:tcW w:w="815" w:type="dxa"/>
            <w:tcBorders>
              <w:top w:val="nil"/>
              <w:left w:val="single" w:sz="4" w:space="0" w:color="auto"/>
              <w:bottom w:val="single" w:sz="4" w:space="0" w:color="auto"/>
              <w:right w:val="single" w:sz="4" w:space="0" w:color="auto"/>
            </w:tcBorders>
            <w:shd w:val="clear" w:color="auto" w:fill="auto"/>
            <w:noWrap/>
            <w:hideMark/>
          </w:tcPr>
          <w:p w14:paraId="2CDB89EA" w14:textId="77777777" w:rsidR="00A646A1" w:rsidRPr="00461C16" w:rsidRDefault="00A646A1"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Z21</w:t>
            </w:r>
          </w:p>
        </w:tc>
        <w:tc>
          <w:tcPr>
            <w:tcW w:w="901" w:type="dxa"/>
            <w:tcBorders>
              <w:top w:val="nil"/>
              <w:left w:val="nil"/>
              <w:bottom w:val="single" w:sz="4" w:space="0" w:color="auto"/>
              <w:right w:val="single" w:sz="4" w:space="0" w:color="auto"/>
            </w:tcBorders>
            <w:shd w:val="clear" w:color="auto" w:fill="auto"/>
            <w:noWrap/>
          </w:tcPr>
          <w:p w14:paraId="7D46B40A" w14:textId="77777777" w:rsidR="00A646A1" w:rsidRPr="00461C16" w:rsidRDefault="00A646A1" w:rsidP="00A646A1">
            <w:pPr>
              <w:pStyle w:val="7tabulka"/>
              <w:spacing w:after="20" w:line="276" w:lineRule="auto"/>
              <w:jc w:val="left"/>
              <w:rPr>
                <w:sz w:val="20"/>
                <w:szCs w:val="20"/>
                <w:lang w:eastAsia="cs-CZ"/>
              </w:rPr>
            </w:pPr>
            <w:r w:rsidRPr="00461C16">
              <w:rPr>
                <w:sz w:val="20"/>
                <w:szCs w:val="20"/>
                <w:lang w:eastAsia="cs-CZ"/>
              </w:rPr>
              <w:t>SV</w:t>
            </w:r>
          </w:p>
        </w:tc>
        <w:tc>
          <w:tcPr>
            <w:tcW w:w="1260" w:type="dxa"/>
            <w:tcBorders>
              <w:top w:val="nil"/>
              <w:left w:val="nil"/>
              <w:bottom w:val="single" w:sz="4" w:space="0" w:color="auto"/>
              <w:right w:val="single" w:sz="4" w:space="0" w:color="auto"/>
            </w:tcBorders>
            <w:shd w:val="clear" w:color="auto" w:fill="auto"/>
            <w:noWrap/>
          </w:tcPr>
          <w:p w14:paraId="1C75E244" w14:textId="77777777" w:rsidR="00A646A1" w:rsidRPr="00461C16" w:rsidRDefault="00A646A1" w:rsidP="00124236">
            <w:pPr>
              <w:jc w:val="left"/>
              <w:rPr>
                <w:color w:val="000000"/>
                <w:sz w:val="20"/>
                <w:szCs w:val="20"/>
              </w:rPr>
            </w:pPr>
            <w:r w:rsidRPr="00461C16">
              <w:rPr>
                <w:color w:val="000000"/>
                <w:sz w:val="20"/>
                <w:szCs w:val="20"/>
              </w:rPr>
              <w:t>Václavice u Hrádku nad Nisou</w:t>
            </w:r>
          </w:p>
        </w:tc>
        <w:tc>
          <w:tcPr>
            <w:tcW w:w="6238" w:type="dxa"/>
            <w:tcBorders>
              <w:top w:val="nil"/>
              <w:left w:val="nil"/>
              <w:bottom w:val="single" w:sz="4" w:space="0" w:color="auto"/>
              <w:right w:val="single" w:sz="4" w:space="0" w:color="auto"/>
            </w:tcBorders>
          </w:tcPr>
          <w:p w14:paraId="7175FD47" w14:textId="77777777" w:rsidR="00A646A1" w:rsidRPr="00461C16" w:rsidRDefault="009C5F01" w:rsidP="00A646A1">
            <w:pPr>
              <w:spacing w:before="40" w:after="40"/>
              <w:jc w:val="left"/>
              <w:rPr>
                <w:sz w:val="20"/>
                <w:szCs w:val="20"/>
              </w:rPr>
            </w:pPr>
            <w:r w:rsidRPr="00461C16">
              <w:rPr>
                <w:sz w:val="20"/>
                <w:szCs w:val="20"/>
              </w:rPr>
              <w:t>Plocha je vymezena v prostorové proluce ve stávající zástavbě podél silnice III/27251, která tvoří páteř a urbanistickou osu části Václavice. Využití proluky směřuje k účelnému a hospodárnému využívání území, ke scelení zástavby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 Vymezení plochy z větší části sleduje legalizaci skutečného využití dle současně platného ÚP města.</w:t>
            </w:r>
          </w:p>
        </w:tc>
      </w:tr>
      <w:tr w:rsidR="009C5F01" w:rsidRPr="00461C16" w14:paraId="1D0CE7A0" w14:textId="77777777" w:rsidTr="00A52FFD">
        <w:trPr>
          <w:trHeight w:val="255"/>
        </w:trPr>
        <w:tc>
          <w:tcPr>
            <w:tcW w:w="815" w:type="dxa"/>
            <w:tcBorders>
              <w:top w:val="nil"/>
              <w:left w:val="single" w:sz="4" w:space="0" w:color="auto"/>
              <w:bottom w:val="single" w:sz="4" w:space="0" w:color="auto"/>
              <w:right w:val="single" w:sz="4" w:space="0" w:color="auto"/>
            </w:tcBorders>
            <w:shd w:val="clear" w:color="auto" w:fill="auto"/>
            <w:noWrap/>
            <w:hideMark/>
          </w:tcPr>
          <w:p w14:paraId="67261E73" w14:textId="77777777" w:rsidR="009C5F01" w:rsidRPr="00461C16" w:rsidRDefault="009C5F01"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Z25</w:t>
            </w:r>
          </w:p>
        </w:tc>
        <w:tc>
          <w:tcPr>
            <w:tcW w:w="901" w:type="dxa"/>
            <w:tcBorders>
              <w:top w:val="nil"/>
              <w:left w:val="nil"/>
              <w:bottom w:val="single" w:sz="4" w:space="0" w:color="auto"/>
              <w:right w:val="single" w:sz="4" w:space="0" w:color="auto"/>
            </w:tcBorders>
            <w:shd w:val="clear" w:color="auto" w:fill="auto"/>
            <w:noWrap/>
          </w:tcPr>
          <w:p w14:paraId="3C6B1FCF" w14:textId="77777777" w:rsidR="009C5F01" w:rsidRPr="00461C16" w:rsidRDefault="009C5F01" w:rsidP="00124236">
            <w:pPr>
              <w:pStyle w:val="7tabulka"/>
              <w:spacing w:after="20" w:line="276" w:lineRule="auto"/>
              <w:jc w:val="left"/>
              <w:rPr>
                <w:sz w:val="20"/>
                <w:szCs w:val="20"/>
                <w:lang w:eastAsia="cs-CZ"/>
              </w:rPr>
            </w:pPr>
            <w:r w:rsidRPr="00461C16">
              <w:rPr>
                <w:sz w:val="20"/>
                <w:szCs w:val="20"/>
                <w:lang w:eastAsia="cs-CZ"/>
              </w:rPr>
              <w:t>SV</w:t>
            </w:r>
          </w:p>
        </w:tc>
        <w:tc>
          <w:tcPr>
            <w:tcW w:w="1260" w:type="dxa"/>
            <w:tcBorders>
              <w:top w:val="nil"/>
              <w:left w:val="nil"/>
              <w:bottom w:val="single" w:sz="4" w:space="0" w:color="auto"/>
              <w:right w:val="single" w:sz="4" w:space="0" w:color="auto"/>
            </w:tcBorders>
            <w:shd w:val="clear" w:color="auto" w:fill="auto"/>
            <w:noWrap/>
          </w:tcPr>
          <w:p w14:paraId="74B00F9A" w14:textId="77777777" w:rsidR="009C5F01" w:rsidRPr="00461C16" w:rsidRDefault="009C5F01" w:rsidP="00124236">
            <w:pPr>
              <w:jc w:val="left"/>
              <w:rPr>
                <w:color w:val="000000"/>
                <w:sz w:val="20"/>
                <w:szCs w:val="20"/>
              </w:rPr>
            </w:pPr>
            <w:r w:rsidRPr="00461C16">
              <w:rPr>
                <w:color w:val="000000"/>
                <w:sz w:val="20"/>
                <w:szCs w:val="20"/>
              </w:rPr>
              <w:t>Václavice u Hrádku nad Nisou</w:t>
            </w:r>
          </w:p>
        </w:tc>
        <w:tc>
          <w:tcPr>
            <w:tcW w:w="6238" w:type="dxa"/>
            <w:tcBorders>
              <w:top w:val="nil"/>
              <w:left w:val="nil"/>
              <w:bottom w:val="single" w:sz="4" w:space="0" w:color="auto"/>
              <w:right w:val="single" w:sz="4" w:space="0" w:color="auto"/>
            </w:tcBorders>
          </w:tcPr>
          <w:p w14:paraId="21538B1F" w14:textId="77777777" w:rsidR="009C5F01" w:rsidRPr="00461C16" w:rsidRDefault="009C5F01" w:rsidP="00124236">
            <w:pPr>
              <w:pStyle w:val="Intabulka"/>
              <w:rPr>
                <w:rFonts w:ascii="Arial Narrow" w:hAnsi="Arial Narrow"/>
                <w:lang w:val="cs-CZ"/>
              </w:rPr>
            </w:pPr>
            <w:r w:rsidRPr="00461C16">
              <w:rPr>
                <w:rFonts w:ascii="Arial Narrow" w:hAnsi="Arial Narrow"/>
                <w:lang w:val="cs-CZ"/>
              </w:rPr>
              <w:t>Plocha navazuje na hranici zastavěného území a doplňuje oboustranné obestavění komunikace (silnice III/2712), která tvoří páteř a urbanistickou osu části Václavice. Oboustranné obestavění komunikace je výhodné z urbanistického i ekonomického hlediska (posílení uličního charakteru veřejného prostoru, dostupnost sítí veřejné infrastruktury). Realizace záměru umožní rozvoj smíšené obytné zástavby, čímž napomůže k uspokojení poptávky po nových plochách pro bydlení a případně i k lokalizaci služeb, jako základních předpokladů pro zvýšení kvality života obyvatel sídla Václavice. Vymezení plochy vychází ze současně platného ÚP města, kde již byla řádně projednána a schválena.</w:t>
            </w:r>
          </w:p>
        </w:tc>
      </w:tr>
      <w:tr w:rsidR="009C5F01" w:rsidRPr="00461C16" w14:paraId="44D3E325" w14:textId="77777777" w:rsidTr="00A52FFD">
        <w:trPr>
          <w:trHeight w:val="255"/>
        </w:trPr>
        <w:tc>
          <w:tcPr>
            <w:tcW w:w="815" w:type="dxa"/>
            <w:tcBorders>
              <w:top w:val="nil"/>
              <w:left w:val="single" w:sz="4" w:space="0" w:color="auto"/>
              <w:bottom w:val="single" w:sz="4" w:space="0" w:color="auto"/>
              <w:right w:val="single" w:sz="4" w:space="0" w:color="auto"/>
            </w:tcBorders>
            <w:shd w:val="clear" w:color="auto" w:fill="auto"/>
            <w:noWrap/>
            <w:hideMark/>
          </w:tcPr>
          <w:p w14:paraId="131EA3EB" w14:textId="77777777" w:rsidR="009C5F01" w:rsidRPr="00461C16" w:rsidRDefault="009C5F01"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Z26</w:t>
            </w:r>
          </w:p>
        </w:tc>
        <w:tc>
          <w:tcPr>
            <w:tcW w:w="901" w:type="dxa"/>
            <w:tcBorders>
              <w:top w:val="nil"/>
              <w:left w:val="nil"/>
              <w:bottom w:val="single" w:sz="4" w:space="0" w:color="auto"/>
              <w:right w:val="single" w:sz="4" w:space="0" w:color="auto"/>
            </w:tcBorders>
            <w:shd w:val="clear" w:color="auto" w:fill="auto"/>
            <w:noWrap/>
          </w:tcPr>
          <w:p w14:paraId="19832A17" w14:textId="77777777" w:rsidR="009C5F01" w:rsidRPr="00461C16" w:rsidRDefault="009C5F01" w:rsidP="00124236">
            <w:pPr>
              <w:pStyle w:val="7tabulka"/>
              <w:spacing w:after="20" w:line="276" w:lineRule="auto"/>
              <w:jc w:val="left"/>
              <w:rPr>
                <w:sz w:val="20"/>
                <w:szCs w:val="20"/>
                <w:lang w:eastAsia="cs-CZ"/>
              </w:rPr>
            </w:pPr>
            <w:r w:rsidRPr="00461C16">
              <w:rPr>
                <w:sz w:val="20"/>
                <w:szCs w:val="20"/>
                <w:lang w:eastAsia="cs-CZ"/>
              </w:rPr>
              <w:t>SV</w:t>
            </w:r>
          </w:p>
        </w:tc>
        <w:tc>
          <w:tcPr>
            <w:tcW w:w="1260" w:type="dxa"/>
            <w:tcBorders>
              <w:top w:val="nil"/>
              <w:left w:val="nil"/>
              <w:bottom w:val="single" w:sz="4" w:space="0" w:color="auto"/>
              <w:right w:val="single" w:sz="4" w:space="0" w:color="auto"/>
            </w:tcBorders>
            <w:shd w:val="clear" w:color="auto" w:fill="auto"/>
            <w:noWrap/>
          </w:tcPr>
          <w:p w14:paraId="57F28547" w14:textId="77777777" w:rsidR="009C5F01" w:rsidRPr="00461C16" w:rsidRDefault="009C5F01" w:rsidP="00124236">
            <w:pPr>
              <w:jc w:val="left"/>
              <w:rPr>
                <w:color w:val="000000"/>
                <w:sz w:val="20"/>
                <w:szCs w:val="20"/>
              </w:rPr>
            </w:pPr>
            <w:r w:rsidRPr="00461C16">
              <w:rPr>
                <w:color w:val="000000"/>
                <w:sz w:val="20"/>
                <w:szCs w:val="20"/>
              </w:rPr>
              <w:t>Václavice u Hrádku nad Nisou</w:t>
            </w:r>
          </w:p>
        </w:tc>
        <w:tc>
          <w:tcPr>
            <w:tcW w:w="6238" w:type="dxa"/>
            <w:tcBorders>
              <w:top w:val="nil"/>
              <w:left w:val="nil"/>
              <w:bottom w:val="single" w:sz="4" w:space="0" w:color="auto"/>
              <w:right w:val="single" w:sz="4" w:space="0" w:color="auto"/>
            </w:tcBorders>
          </w:tcPr>
          <w:p w14:paraId="0DEFD53B" w14:textId="77777777" w:rsidR="009C5F01" w:rsidRPr="00461C16" w:rsidRDefault="009C5F01" w:rsidP="00124236">
            <w:pPr>
              <w:pStyle w:val="Intabulka"/>
              <w:rPr>
                <w:rFonts w:ascii="Arial Narrow" w:hAnsi="Arial Narrow"/>
                <w:lang w:val="cs-CZ"/>
              </w:rPr>
            </w:pPr>
            <w:r w:rsidRPr="00461C16">
              <w:rPr>
                <w:rFonts w:ascii="Arial Narrow" w:hAnsi="Arial Narrow"/>
                <w:lang w:val="cs-CZ"/>
              </w:rPr>
              <w:t>Plocha je vymezena v prostorové proluce ve stávající zástavbě podél silnice III/2713, která tvoří páteř a urbanistickou osu části Václavice. Využití proluky směřuje k účelnému a hospodárnému využívání území, ke scelení zástavby a k posílení kompaktnosti území. Plocha doplňuje smíšenou obytnou zástavbu, přispívá k uspokojení poptávky po nových plochách pro bydlení a zároveň umožňuje případnou lokalizaci dalších služeb, s cílem zvýšení kvality podmínek pro život v sídle Václavice.</w:t>
            </w:r>
            <w:r w:rsidR="00B345B4" w:rsidRPr="00461C16">
              <w:rPr>
                <w:rFonts w:ascii="Arial Narrow" w:hAnsi="Arial Narrow"/>
                <w:lang w:val="cs-CZ"/>
              </w:rPr>
              <w:t xml:space="preserve"> </w:t>
            </w:r>
          </w:p>
        </w:tc>
      </w:tr>
      <w:tr w:rsidR="009C5F01" w:rsidRPr="00461C16" w14:paraId="2170C388"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0FBDCA73" w14:textId="77777777" w:rsidR="009C5F01" w:rsidRPr="00461C16" w:rsidRDefault="009C5F01"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Z29</w:t>
            </w:r>
          </w:p>
        </w:tc>
        <w:tc>
          <w:tcPr>
            <w:tcW w:w="901" w:type="dxa"/>
            <w:tcBorders>
              <w:top w:val="single" w:sz="4" w:space="0" w:color="auto"/>
              <w:left w:val="nil"/>
              <w:bottom w:val="single" w:sz="4" w:space="0" w:color="auto"/>
              <w:right w:val="single" w:sz="4" w:space="0" w:color="auto"/>
            </w:tcBorders>
            <w:shd w:val="clear" w:color="auto" w:fill="auto"/>
            <w:noWrap/>
          </w:tcPr>
          <w:p w14:paraId="7F0C669B" w14:textId="77777777" w:rsidR="009C5F01" w:rsidRPr="00461C16" w:rsidRDefault="009C5F01" w:rsidP="00124236">
            <w:pPr>
              <w:pStyle w:val="7tabulka"/>
              <w:spacing w:after="20" w:line="276" w:lineRule="auto"/>
              <w:jc w:val="left"/>
              <w:rPr>
                <w:sz w:val="20"/>
                <w:szCs w:val="20"/>
                <w:lang w:eastAsia="cs-CZ"/>
              </w:rPr>
            </w:pPr>
            <w:r w:rsidRPr="00461C16">
              <w:rPr>
                <w:sz w:val="20"/>
                <w:szCs w:val="20"/>
                <w:lang w:eastAsia="cs-CZ"/>
              </w:rPr>
              <w:t>BV</w:t>
            </w:r>
          </w:p>
        </w:tc>
        <w:tc>
          <w:tcPr>
            <w:tcW w:w="1260" w:type="dxa"/>
            <w:tcBorders>
              <w:top w:val="single" w:sz="4" w:space="0" w:color="auto"/>
              <w:left w:val="nil"/>
              <w:bottom w:val="single" w:sz="4" w:space="0" w:color="auto"/>
              <w:right w:val="single" w:sz="4" w:space="0" w:color="auto"/>
            </w:tcBorders>
            <w:shd w:val="clear" w:color="auto" w:fill="auto"/>
            <w:noWrap/>
          </w:tcPr>
          <w:p w14:paraId="19C9376E" w14:textId="77777777" w:rsidR="009C5F01" w:rsidRPr="00461C16" w:rsidRDefault="009C5F01" w:rsidP="00124236">
            <w:pPr>
              <w:jc w:val="left"/>
              <w:rPr>
                <w:color w:val="000000"/>
                <w:sz w:val="20"/>
                <w:szCs w:val="20"/>
              </w:rPr>
            </w:pPr>
            <w:r w:rsidRPr="00461C16">
              <w:rPr>
                <w:color w:val="000000"/>
                <w:sz w:val="20"/>
                <w:szCs w:val="20"/>
              </w:rPr>
              <w:t>Václavice u Hrádku nad Nisou</w:t>
            </w:r>
          </w:p>
        </w:tc>
        <w:tc>
          <w:tcPr>
            <w:tcW w:w="6238" w:type="dxa"/>
            <w:tcBorders>
              <w:top w:val="single" w:sz="4" w:space="0" w:color="auto"/>
              <w:left w:val="nil"/>
              <w:bottom w:val="single" w:sz="4" w:space="0" w:color="auto"/>
              <w:right w:val="single" w:sz="4" w:space="0" w:color="auto"/>
            </w:tcBorders>
          </w:tcPr>
          <w:p w14:paraId="576038D2" w14:textId="77777777" w:rsidR="009C5F01" w:rsidRPr="00461C16" w:rsidRDefault="009C5F01" w:rsidP="00C572F8">
            <w:pPr>
              <w:pStyle w:val="Intabulka"/>
              <w:rPr>
                <w:rFonts w:ascii="Arial Narrow" w:hAnsi="Arial Narrow"/>
                <w:lang w:val="cs-CZ"/>
              </w:rPr>
            </w:pPr>
            <w:r w:rsidRPr="00461C16">
              <w:rPr>
                <w:rFonts w:ascii="Arial Narrow" w:hAnsi="Arial Narrow"/>
                <w:lang w:val="cs-CZ"/>
              </w:rPr>
              <w:t xml:space="preserve">Plocha je vymezena na jižním okraji sídla Uhelná, navazuje na hranici zastavěného území. Využívá prostorovou proluku v zástavbě, čímž směřuje k hospodárnému a účelnému využívání území, zároveň přispívá ke scelení fragmentované zástavby. Je určena k rozvoji venkovské obytné zástavby, v souladu s charakterem navazujícího území. </w:t>
            </w:r>
            <w:r w:rsidR="00C572F8">
              <w:rPr>
                <w:rFonts w:ascii="Arial Narrow" w:hAnsi="Arial Narrow"/>
                <w:lang w:val="cs-CZ"/>
              </w:rPr>
              <w:t>P</w:t>
            </w:r>
            <w:r w:rsidRPr="00461C16">
              <w:rPr>
                <w:rFonts w:ascii="Arial Narrow" w:hAnsi="Arial Narrow"/>
                <w:lang w:val="cs-CZ"/>
              </w:rPr>
              <w:t>locha potvrzuje záměr ze současně platného ÚP města</w:t>
            </w:r>
            <w:r w:rsidR="00C572F8">
              <w:rPr>
                <w:rFonts w:ascii="Arial Narrow" w:hAnsi="Arial Narrow"/>
                <w:lang w:val="cs-CZ"/>
              </w:rPr>
              <w:t xml:space="preserve">. </w:t>
            </w:r>
            <w:r w:rsidRPr="00461C16">
              <w:rPr>
                <w:rFonts w:ascii="Arial Narrow" w:hAnsi="Arial Narrow"/>
                <w:lang w:val="cs-CZ"/>
              </w:rPr>
              <w:t>Jedná se o jedinou rozvojovou plochu v sídle Uhelná, je tedy jedinou příležitostí pro další stavební rozvoj sídla a uspokojení poptávky po dalších plochách bydlení.</w:t>
            </w:r>
          </w:p>
        </w:tc>
      </w:tr>
      <w:tr w:rsidR="00780590" w:rsidRPr="00461C16" w14:paraId="72724AD6"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7E09F9D1"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Z31</w:t>
            </w:r>
          </w:p>
        </w:tc>
        <w:tc>
          <w:tcPr>
            <w:tcW w:w="901" w:type="dxa"/>
            <w:tcBorders>
              <w:top w:val="single" w:sz="4" w:space="0" w:color="auto"/>
              <w:left w:val="nil"/>
              <w:bottom w:val="single" w:sz="4" w:space="0" w:color="auto"/>
              <w:right w:val="single" w:sz="4" w:space="0" w:color="auto"/>
            </w:tcBorders>
            <w:shd w:val="clear" w:color="auto" w:fill="auto"/>
            <w:noWrap/>
          </w:tcPr>
          <w:p w14:paraId="5FC1B6B8"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ZV</w:t>
            </w:r>
          </w:p>
        </w:tc>
        <w:tc>
          <w:tcPr>
            <w:tcW w:w="1260" w:type="dxa"/>
            <w:tcBorders>
              <w:top w:val="single" w:sz="4" w:space="0" w:color="auto"/>
              <w:left w:val="nil"/>
              <w:bottom w:val="single" w:sz="4" w:space="0" w:color="auto"/>
              <w:right w:val="single" w:sz="4" w:space="0" w:color="auto"/>
            </w:tcBorders>
            <w:shd w:val="clear" w:color="auto" w:fill="auto"/>
            <w:noWrap/>
          </w:tcPr>
          <w:p w14:paraId="258B8AFC"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Hrádek nad Nisou</w:t>
            </w:r>
          </w:p>
        </w:tc>
        <w:tc>
          <w:tcPr>
            <w:tcW w:w="6238" w:type="dxa"/>
            <w:tcBorders>
              <w:top w:val="single" w:sz="4" w:space="0" w:color="auto"/>
              <w:left w:val="nil"/>
              <w:bottom w:val="single" w:sz="4" w:space="0" w:color="auto"/>
              <w:right w:val="single" w:sz="4" w:space="0" w:color="auto"/>
            </w:tcBorders>
          </w:tcPr>
          <w:p w14:paraId="755FACBA"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Plocha je vymezena za účelem zkvalitnění veřejného prostranství v lokalitě Trojzemí, která má strategický význam – nachází se na styku správního území 3 států. Tato poloha je předpokladem pro vysokou atraktivitu lokality a je tedy nezbytné zajištění nezbytného zázemí pro její návštěvníky, které v současné době chybí. Plocha je vymezena v souladu s požadavkem schváleného Zadání ÚP.</w:t>
            </w:r>
          </w:p>
        </w:tc>
      </w:tr>
      <w:tr w:rsidR="00780590" w:rsidRPr="00461C16" w14:paraId="12DA6A07"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25ADE9E8"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Z32</w:t>
            </w:r>
          </w:p>
        </w:tc>
        <w:tc>
          <w:tcPr>
            <w:tcW w:w="901" w:type="dxa"/>
            <w:tcBorders>
              <w:top w:val="single" w:sz="4" w:space="0" w:color="auto"/>
              <w:left w:val="nil"/>
              <w:bottom w:val="single" w:sz="4" w:space="0" w:color="auto"/>
              <w:right w:val="single" w:sz="4" w:space="0" w:color="auto"/>
            </w:tcBorders>
            <w:shd w:val="clear" w:color="auto" w:fill="auto"/>
            <w:noWrap/>
          </w:tcPr>
          <w:p w14:paraId="1BF32DFE"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RN</w:t>
            </w:r>
          </w:p>
        </w:tc>
        <w:tc>
          <w:tcPr>
            <w:tcW w:w="1260" w:type="dxa"/>
            <w:tcBorders>
              <w:top w:val="single" w:sz="4" w:space="0" w:color="auto"/>
              <w:left w:val="nil"/>
              <w:bottom w:val="single" w:sz="4" w:space="0" w:color="auto"/>
              <w:right w:val="single" w:sz="4" w:space="0" w:color="auto"/>
            </w:tcBorders>
            <w:shd w:val="clear" w:color="auto" w:fill="auto"/>
            <w:noWrap/>
          </w:tcPr>
          <w:p w14:paraId="5B383267"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Hrádek nad Nisou</w:t>
            </w:r>
          </w:p>
        </w:tc>
        <w:tc>
          <w:tcPr>
            <w:tcW w:w="6238" w:type="dxa"/>
            <w:tcBorders>
              <w:top w:val="single" w:sz="4" w:space="0" w:color="auto"/>
              <w:left w:val="nil"/>
              <w:bottom w:val="single" w:sz="4" w:space="0" w:color="auto"/>
              <w:right w:val="single" w:sz="4" w:space="0" w:color="auto"/>
            </w:tcBorders>
          </w:tcPr>
          <w:p w14:paraId="15F27E0D"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Plocha je vymezena s cílem umožnit rozšíření rekreačního areálu Kristýna, které se nachází na státní hranici a i vzhledem k jeho rozsahu a vysoké atraktivitě přírodního prostředí a zázemí jej lze považovat za zařízení nadmístního – mezinárodního významu. Jeho rozvoj je žádoucí a zvyšování kvality a nabídky služeb pro návštěvníky je nezbytným prostředkem pro podporu rekreace a cestovního ruchu ve městě. Záměr předpokládá umísťování rekreačních ploch a zařízení přírodního charakteru, tedy bez zástavby a s maximálním ohledem vůči hodnotám přírodního prostředí. Plocha je vymezena dle schváleného Zadání ÚP a v souladu se současně platným ÚP města, kde již byla řádně projednána a schválena.</w:t>
            </w:r>
          </w:p>
        </w:tc>
      </w:tr>
      <w:tr w:rsidR="00780590" w:rsidRPr="00461C16" w14:paraId="031BFFF0"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602255F3"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Z45</w:t>
            </w:r>
          </w:p>
        </w:tc>
        <w:tc>
          <w:tcPr>
            <w:tcW w:w="901" w:type="dxa"/>
            <w:tcBorders>
              <w:top w:val="single" w:sz="4" w:space="0" w:color="auto"/>
              <w:left w:val="nil"/>
              <w:bottom w:val="single" w:sz="4" w:space="0" w:color="auto"/>
              <w:right w:val="single" w:sz="4" w:space="0" w:color="auto"/>
            </w:tcBorders>
            <w:shd w:val="clear" w:color="auto" w:fill="auto"/>
            <w:noWrap/>
          </w:tcPr>
          <w:p w14:paraId="20482917"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BI</w:t>
            </w:r>
          </w:p>
        </w:tc>
        <w:tc>
          <w:tcPr>
            <w:tcW w:w="1260" w:type="dxa"/>
            <w:tcBorders>
              <w:top w:val="single" w:sz="4" w:space="0" w:color="auto"/>
              <w:left w:val="nil"/>
              <w:bottom w:val="single" w:sz="4" w:space="0" w:color="auto"/>
              <w:right w:val="single" w:sz="4" w:space="0" w:color="auto"/>
            </w:tcBorders>
            <w:shd w:val="clear" w:color="auto" w:fill="auto"/>
            <w:noWrap/>
          </w:tcPr>
          <w:p w14:paraId="0B5D1AB8"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Hrádek nad Nisou</w:t>
            </w:r>
          </w:p>
        </w:tc>
        <w:tc>
          <w:tcPr>
            <w:tcW w:w="6238" w:type="dxa"/>
            <w:tcBorders>
              <w:top w:val="single" w:sz="4" w:space="0" w:color="auto"/>
              <w:left w:val="nil"/>
              <w:bottom w:val="single" w:sz="4" w:space="0" w:color="auto"/>
              <w:right w:val="single" w:sz="4" w:space="0" w:color="auto"/>
            </w:tcBorders>
          </w:tcPr>
          <w:p w14:paraId="0DD6C3A3"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 xml:space="preserve">Plocha je vymezena v rozsáhlé proluce mezi současnou zástavbou města a obchvatem na silnici I/35. Využitím území dojde ke scelení území a posílení kompaktnosti města. Plocha představuje nejvýznamnější příležitost pro rozvoj bydlení ve městě Hrádek nad Nisou, přispěje ke zkvalitnění obytného komfortu a </w:t>
            </w:r>
            <w:r w:rsidRPr="00461C16">
              <w:rPr>
                <w:rFonts w:ascii="Arial Narrow" w:hAnsi="Arial Narrow"/>
                <w:lang w:val="cs-CZ"/>
              </w:rPr>
              <w:lastRenderedPageBreak/>
              <w:t>k celkovému zatraktivnění prostředí. Vzhledem k limitům využití území (zejména záplavové území s aktivní zónou záplavového území a souvislé celky ZPF) představuje tato poloha nejšetrnější směr rozvoje pro obytnou funkci. Plocha je vymezena na základě požadavku schváleného Zadání ÚP a v souladu se současně platným ÚP města, kde již byla řádně projednána a schválena.</w:t>
            </w:r>
          </w:p>
        </w:tc>
      </w:tr>
      <w:tr w:rsidR="00780590" w:rsidRPr="00461C16" w14:paraId="6DD5FC02"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643644BF"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lastRenderedPageBreak/>
              <w:t>Z54</w:t>
            </w:r>
          </w:p>
        </w:tc>
        <w:tc>
          <w:tcPr>
            <w:tcW w:w="901" w:type="dxa"/>
            <w:tcBorders>
              <w:top w:val="single" w:sz="4" w:space="0" w:color="auto"/>
              <w:left w:val="nil"/>
              <w:bottom w:val="single" w:sz="4" w:space="0" w:color="auto"/>
              <w:right w:val="single" w:sz="4" w:space="0" w:color="auto"/>
            </w:tcBorders>
            <w:shd w:val="clear" w:color="auto" w:fill="auto"/>
            <w:noWrap/>
          </w:tcPr>
          <w:p w14:paraId="10F833D3"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BI</w:t>
            </w:r>
          </w:p>
        </w:tc>
        <w:tc>
          <w:tcPr>
            <w:tcW w:w="1260" w:type="dxa"/>
            <w:tcBorders>
              <w:top w:val="single" w:sz="4" w:space="0" w:color="auto"/>
              <w:left w:val="nil"/>
              <w:bottom w:val="single" w:sz="4" w:space="0" w:color="auto"/>
              <w:right w:val="single" w:sz="4" w:space="0" w:color="auto"/>
            </w:tcBorders>
            <w:shd w:val="clear" w:color="auto" w:fill="auto"/>
            <w:noWrap/>
          </w:tcPr>
          <w:p w14:paraId="1CE8E75E"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Hrádek nad Nisou</w:t>
            </w:r>
          </w:p>
        </w:tc>
        <w:tc>
          <w:tcPr>
            <w:tcW w:w="6238" w:type="dxa"/>
            <w:tcBorders>
              <w:top w:val="single" w:sz="4" w:space="0" w:color="auto"/>
              <w:left w:val="nil"/>
              <w:bottom w:val="single" w:sz="4" w:space="0" w:color="auto"/>
              <w:right w:val="single" w:sz="4" w:space="0" w:color="auto"/>
            </w:tcBorders>
          </w:tcPr>
          <w:p w14:paraId="2E00C017"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 xml:space="preserve">Plocha je vymezena v prostorové proluce mezi zahrádkovou osadou, stávající obytnou zástavbou v ul. Polní a koridorem dráhy. Využití proluky směřuje k účelnému a hospodárnému využívání území, k posílení kompaktnosti území a ke scelení zástavby. Plocha umožňuje rozšíření stabilizované zástavby rodinných domů podél ul. Polní a dotvoření jižní hrany zástavby, přispívá k uspokojení poptávky po nových plochách pro bydlení a zároveň ke zvýšení kvality a komfortu bydlení ve městě. Plocha je vymezena v souladu se současně platným ÚP města, kde již byla řádně projednána a schválena. </w:t>
            </w:r>
          </w:p>
        </w:tc>
      </w:tr>
      <w:tr w:rsidR="00780590" w:rsidRPr="00461C16" w14:paraId="29C623E9"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4531C7C5"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Z57</w:t>
            </w:r>
          </w:p>
        </w:tc>
        <w:tc>
          <w:tcPr>
            <w:tcW w:w="901" w:type="dxa"/>
            <w:tcBorders>
              <w:top w:val="single" w:sz="4" w:space="0" w:color="auto"/>
              <w:left w:val="nil"/>
              <w:bottom w:val="single" w:sz="4" w:space="0" w:color="auto"/>
              <w:right w:val="single" w:sz="4" w:space="0" w:color="auto"/>
            </w:tcBorders>
            <w:shd w:val="clear" w:color="auto" w:fill="auto"/>
            <w:noWrap/>
          </w:tcPr>
          <w:p w14:paraId="21C9B1E7"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BI</w:t>
            </w:r>
          </w:p>
        </w:tc>
        <w:tc>
          <w:tcPr>
            <w:tcW w:w="1260" w:type="dxa"/>
            <w:tcBorders>
              <w:top w:val="single" w:sz="4" w:space="0" w:color="auto"/>
              <w:left w:val="nil"/>
              <w:bottom w:val="single" w:sz="4" w:space="0" w:color="auto"/>
              <w:right w:val="single" w:sz="4" w:space="0" w:color="auto"/>
            </w:tcBorders>
            <w:shd w:val="clear" w:color="auto" w:fill="auto"/>
            <w:noWrap/>
          </w:tcPr>
          <w:p w14:paraId="51BA9C85"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Loučná</w:t>
            </w:r>
          </w:p>
        </w:tc>
        <w:tc>
          <w:tcPr>
            <w:tcW w:w="6238" w:type="dxa"/>
            <w:tcBorders>
              <w:top w:val="single" w:sz="4" w:space="0" w:color="auto"/>
              <w:left w:val="nil"/>
              <w:bottom w:val="single" w:sz="4" w:space="0" w:color="auto"/>
              <w:right w:val="single" w:sz="4" w:space="0" w:color="auto"/>
            </w:tcBorders>
          </w:tcPr>
          <w:p w14:paraId="7F137D98"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Plocha je vymezena na jižním okraji zástavby Loučné, v prostorové proluce podél ul. Hartavská, která je hlavní dopravní a urbanistickou osou sídla. Využití proluky směřuje k hospodárnému a účelnému využívání území a k posílení významu této osy. Vymezení plochy umožňuje rozvoj přilehlé obytné zástavby, doplňuje oboustranné obestavění komunikace, které je výhodné z urbanistického i ekonomického hlediska (jednoznačné vymezení uličního prostoru, napojení na sítě veřejné infrastruktury) a zároveň zajišťuje scelení fragmentované zástavby do kompaktního útvaru. Realizace záměru přispěje k uspokojení poptávky po nových plochách pro bydlení a ke zvýšení kvality a komfortu bydlení v sídle Loučná.</w:t>
            </w:r>
            <w:r w:rsidR="00B345B4" w:rsidRPr="00461C16">
              <w:rPr>
                <w:rFonts w:ascii="Arial Narrow" w:hAnsi="Arial Narrow"/>
                <w:lang w:val="cs-CZ"/>
              </w:rPr>
              <w:t xml:space="preserve"> </w:t>
            </w:r>
          </w:p>
        </w:tc>
      </w:tr>
      <w:tr w:rsidR="00780590" w:rsidRPr="00461C16" w14:paraId="3018739D"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315C6681"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Z61</w:t>
            </w:r>
          </w:p>
        </w:tc>
        <w:tc>
          <w:tcPr>
            <w:tcW w:w="901" w:type="dxa"/>
            <w:tcBorders>
              <w:top w:val="single" w:sz="4" w:space="0" w:color="auto"/>
              <w:left w:val="nil"/>
              <w:bottom w:val="single" w:sz="4" w:space="0" w:color="auto"/>
              <w:right w:val="single" w:sz="4" w:space="0" w:color="auto"/>
            </w:tcBorders>
            <w:shd w:val="clear" w:color="auto" w:fill="auto"/>
            <w:noWrap/>
          </w:tcPr>
          <w:p w14:paraId="40D539EE"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BV</w:t>
            </w:r>
          </w:p>
        </w:tc>
        <w:tc>
          <w:tcPr>
            <w:tcW w:w="1260" w:type="dxa"/>
            <w:tcBorders>
              <w:top w:val="single" w:sz="4" w:space="0" w:color="auto"/>
              <w:left w:val="nil"/>
              <w:bottom w:val="single" w:sz="4" w:space="0" w:color="auto"/>
              <w:right w:val="single" w:sz="4" w:space="0" w:color="auto"/>
            </w:tcBorders>
            <w:shd w:val="clear" w:color="auto" w:fill="auto"/>
            <w:noWrap/>
          </w:tcPr>
          <w:p w14:paraId="4F1C3BD9"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Loučná</w:t>
            </w:r>
          </w:p>
        </w:tc>
        <w:tc>
          <w:tcPr>
            <w:tcW w:w="6238" w:type="dxa"/>
            <w:tcBorders>
              <w:top w:val="single" w:sz="4" w:space="0" w:color="auto"/>
              <w:left w:val="nil"/>
              <w:bottom w:val="single" w:sz="4" w:space="0" w:color="auto"/>
              <w:right w:val="single" w:sz="4" w:space="0" w:color="auto"/>
            </w:tcBorders>
          </w:tcPr>
          <w:p w14:paraId="0930CC40" w14:textId="77777777" w:rsidR="00780590" w:rsidRPr="00461C16" w:rsidRDefault="00780590" w:rsidP="00124236">
            <w:pPr>
              <w:pStyle w:val="Intabulka"/>
              <w:rPr>
                <w:rFonts w:ascii="Arial Narrow" w:hAnsi="Arial Narrow"/>
                <w:color w:val="FF0000"/>
                <w:lang w:val="cs-CZ"/>
              </w:rPr>
            </w:pPr>
            <w:r w:rsidRPr="00461C16">
              <w:rPr>
                <w:rFonts w:ascii="Arial Narrow" w:hAnsi="Arial Narrow"/>
                <w:lang w:val="cs-CZ"/>
              </w:rPr>
              <w:t>Plocha je vymezena na jižním okraji Loučné, v prostorové proluce v zástavbě podél ul. Pytlácká. Využití proluky směřuje k hospodárnému a účelnému využívání území. Vymezení plochy umožňuje rozvoj přilehlé venkovské obytné zástavby, spolu s přilehlou zastavitelnou plochou Z60 zajišťuje oboustranné obestavění komunikace, které je výhodné z urbanistického i ekonomického hlediska (jednoznačné vymezení uličního prostoru, napojení na sítě veřejné infrastruktury) a zároveň přispívá ke scelení fragmentované zástavby do kompaktního útvaru. Realizace záměru přispěje k uspokojení poptávky po nových plochách pro bydlení a ke zvýšení kvality a komfortu bydlení v sídle Loučná.</w:t>
            </w:r>
            <w:r w:rsidR="00B345B4" w:rsidRPr="00461C16">
              <w:rPr>
                <w:rFonts w:ascii="Arial Narrow" w:hAnsi="Arial Narrow"/>
                <w:lang w:val="cs-CZ"/>
              </w:rPr>
              <w:t xml:space="preserve"> </w:t>
            </w:r>
            <w:r w:rsidRPr="00461C16">
              <w:rPr>
                <w:rFonts w:ascii="Arial Narrow" w:hAnsi="Arial Narrow"/>
                <w:lang w:val="cs-CZ"/>
              </w:rPr>
              <w:t>Plocha je vymezena v souladu s požadavkem schváleného Zadání ÚP.</w:t>
            </w:r>
          </w:p>
        </w:tc>
      </w:tr>
      <w:tr w:rsidR="00780590" w:rsidRPr="00461C16" w14:paraId="00849B30"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35182900"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Z65</w:t>
            </w:r>
          </w:p>
        </w:tc>
        <w:tc>
          <w:tcPr>
            <w:tcW w:w="901" w:type="dxa"/>
            <w:tcBorders>
              <w:top w:val="single" w:sz="4" w:space="0" w:color="auto"/>
              <w:left w:val="nil"/>
              <w:bottom w:val="single" w:sz="4" w:space="0" w:color="auto"/>
              <w:right w:val="single" w:sz="4" w:space="0" w:color="auto"/>
            </w:tcBorders>
            <w:shd w:val="clear" w:color="auto" w:fill="auto"/>
            <w:noWrap/>
          </w:tcPr>
          <w:p w14:paraId="7AE9AC1B"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BV</w:t>
            </w:r>
          </w:p>
        </w:tc>
        <w:tc>
          <w:tcPr>
            <w:tcW w:w="1260" w:type="dxa"/>
            <w:tcBorders>
              <w:top w:val="single" w:sz="4" w:space="0" w:color="auto"/>
              <w:left w:val="nil"/>
              <w:bottom w:val="single" w:sz="4" w:space="0" w:color="auto"/>
              <w:right w:val="single" w:sz="4" w:space="0" w:color="auto"/>
            </w:tcBorders>
            <w:shd w:val="clear" w:color="auto" w:fill="auto"/>
            <w:noWrap/>
          </w:tcPr>
          <w:p w14:paraId="717C701B"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Loučná</w:t>
            </w:r>
          </w:p>
        </w:tc>
        <w:tc>
          <w:tcPr>
            <w:tcW w:w="6238" w:type="dxa"/>
            <w:tcBorders>
              <w:top w:val="single" w:sz="4" w:space="0" w:color="auto"/>
              <w:left w:val="nil"/>
              <w:bottom w:val="single" w:sz="4" w:space="0" w:color="auto"/>
              <w:right w:val="single" w:sz="4" w:space="0" w:color="auto"/>
            </w:tcBorders>
          </w:tcPr>
          <w:p w14:paraId="4DE5B604" w14:textId="77777777" w:rsidR="00780590" w:rsidRPr="00461C16" w:rsidRDefault="00780590" w:rsidP="00124236">
            <w:pPr>
              <w:pStyle w:val="Intabulka"/>
              <w:rPr>
                <w:rFonts w:ascii="Arial Narrow" w:hAnsi="Arial Narrow"/>
                <w:color w:val="FF0000"/>
                <w:lang w:val="cs-CZ"/>
              </w:rPr>
            </w:pPr>
            <w:r w:rsidRPr="00461C16">
              <w:rPr>
                <w:rFonts w:ascii="Arial Narrow" w:hAnsi="Arial Narrow"/>
                <w:lang w:val="cs-CZ"/>
              </w:rPr>
              <w:t>Plocha je vymezena na jižním okraji zástavby Loučné, podél ul. Lipová, která je jednou z hlavních dopravních os sídla. Vymezení plochy umožňuje rozvoj přilehlé venkovské obytné zástavby, doplňuje oboustranné obestavění komunikace, které je výhodné z urbanistického i ekonomického hlediska (jednoznačné vymezení uličního prostoru, napojení na sítě veřejné infrastruktury) a zároveň přispívá ke scelení fragmentované zástavby do kompaktního útvaru. Realizace záměru přispěje k uspokojení poptávky po nových plochách pro bydlení a ke zvýšení kvality a komfortu bydlení v sídle Loučná. Plocha je vymezena v souladu s požadavkem schváleného Zadání ÚP.</w:t>
            </w:r>
          </w:p>
        </w:tc>
      </w:tr>
      <w:tr w:rsidR="00780590" w:rsidRPr="00461C16" w14:paraId="18202825"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7A422AD8"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Z67</w:t>
            </w:r>
          </w:p>
        </w:tc>
        <w:tc>
          <w:tcPr>
            <w:tcW w:w="901" w:type="dxa"/>
            <w:tcBorders>
              <w:top w:val="single" w:sz="4" w:space="0" w:color="auto"/>
              <w:left w:val="nil"/>
              <w:bottom w:val="single" w:sz="4" w:space="0" w:color="auto"/>
              <w:right w:val="single" w:sz="4" w:space="0" w:color="auto"/>
            </w:tcBorders>
            <w:shd w:val="clear" w:color="auto" w:fill="auto"/>
            <w:noWrap/>
          </w:tcPr>
          <w:p w14:paraId="57729954"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BI</w:t>
            </w:r>
          </w:p>
        </w:tc>
        <w:tc>
          <w:tcPr>
            <w:tcW w:w="1260" w:type="dxa"/>
            <w:tcBorders>
              <w:top w:val="single" w:sz="4" w:space="0" w:color="auto"/>
              <w:left w:val="nil"/>
              <w:bottom w:val="single" w:sz="4" w:space="0" w:color="auto"/>
              <w:right w:val="single" w:sz="4" w:space="0" w:color="auto"/>
            </w:tcBorders>
            <w:shd w:val="clear" w:color="auto" w:fill="auto"/>
            <w:noWrap/>
          </w:tcPr>
          <w:p w14:paraId="62711071"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Donín u Hrádku nad Nisou</w:t>
            </w:r>
          </w:p>
        </w:tc>
        <w:tc>
          <w:tcPr>
            <w:tcW w:w="6238" w:type="dxa"/>
            <w:tcBorders>
              <w:top w:val="single" w:sz="4" w:space="0" w:color="auto"/>
              <w:left w:val="nil"/>
              <w:bottom w:val="single" w:sz="4" w:space="0" w:color="auto"/>
              <w:right w:val="single" w:sz="4" w:space="0" w:color="auto"/>
            </w:tcBorders>
          </w:tcPr>
          <w:p w14:paraId="2690B298" w14:textId="77777777" w:rsidR="00780590" w:rsidRPr="00461C16" w:rsidRDefault="00780590" w:rsidP="00124236">
            <w:pPr>
              <w:pStyle w:val="Intabulka"/>
              <w:rPr>
                <w:rFonts w:ascii="Arial Narrow" w:hAnsi="Arial Narrow"/>
                <w:color w:val="FF0000"/>
                <w:lang w:val="cs-CZ"/>
              </w:rPr>
            </w:pPr>
            <w:r w:rsidRPr="00461C16">
              <w:rPr>
                <w:rFonts w:ascii="Arial Narrow" w:hAnsi="Arial Narrow"/>
                <w:lang w:val="cs-CZ"/>
              </w:rPr>
              <w:t>Plocha je vymezena na jižním okraji zástavby Donína, navazuje na hranici zastavěného území. Plocha je navržena k rozvoji bydlení, v souladu s charakterem navazujících ploch. Realizace záměru umožní uspokojit poptávku po nových plochách pro bydlení a přispěje ke zvýšení kvality a komfortu bydlení ve městě. Plocha je vymezena v souladu s požadavkem schváleného Zadání ÚP.</w:t>
            </w:r>
          </w:p>
        </w:tc>
      </w:tr>
      <w:tr w:rsidR="00780590" w:rsidRPr="00461C16" w14:paraId="736CAB7D"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24B0CC64"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Z68</w:t>
            </w:r>
          </w:p>
        </w:tc>
        <w:tc>
          <w:tcPr>
            <w:tcW w:w="901" w:type="dxa"/>
            <w:tcBorders>
              <w:top w:val="single" w:sz="4" w:space="0" w:color="auto"/>
              <w:left w:val="nil"/>
              <w:bottom w:val="single" w:sz="4" w:space="0" w:color="auto"/>
              <w:right w:val="single" w:sz="4" w:space="0" w:color="auto"/>
            </w:tcBorders>
            <w:shd w:val="clear" w:color="auto" w:fill="auto"/>
            <w:noWrap/>
          </w:tcPr>
          <w:p w14:paraId="2D9DCD9B"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BI</w:t>
            </w:r>
          </w:p>
        </w:tc>
        <w:tc>
          <w:tcPr>
            <w:tcW w:w="1260" w:type="dxa"/>
            <w:tcBorders>
              <w:top w:val="single" w:sz="4" w:space="0" w:color="auto"/>
              <w:left w:val="nil"/>
              <w:bottom w:val="single" w:sz="4" w:space="0" w:color="auto"/>
              <w:right w:val="single" w:sz="4" w:space="0" w:color="auto"/>
            </w:tcBorders>
            <w:shd w:val="clear" w:color="auto" w:fill="auto"/>
            <w:noWrap/>
          </w:tcPr>
          <w:p w14:paraId="19E56C68"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Donín u Hrádku nad Nisou</w:t>
            </w:r>
          </w:p>
        </w:tc>
        <w:tc>
          <w:tcPr>
            <w:tcW w:w="6238" w:type="dxa"/>
            <w:tcBorders>
              <w:top w:val="single" w:sz="4" w:space="0" w:color="auto"/>
              <w:left w:val="nil"/>
              <w:bottom w:val="single" w:sz="4" w:space="0" w:color="auto"/>
              <w:right w:val="single" w:sz="4" w:space="0" w:color="auto"/>
            </w:tcBorders>
          </w:tcPr>
          <w:p w14:paraId="117C94FF" w14:textId="77777777" w:rsidR="00780590" w:rsidRPr="00461C16" w:rsidRDefault="00780590" w:rsidP="00124236">
            <w:pPr>
              <w:pStyle w:val="Intabulka"/>
              <w:rPr>
                <w:rFonts w:ascii="Arial Narrow" w:hAnsi="Arial Narrow"/>
                <w:color w:val="FF0000"/>
                <w:lang w:val="cs-CZ"/>
              </w:rPr>
            </w:pPr>
            <w:r w:rsidRPr="00461C16">
              <w:rPr>
                <w:rFonts w:ascii="Arial Narrow" w:hAnsi="Arial Narrow"/>
                <w:lang w:val="cs-CZ"/>
              </w:rPr>
              <w:t>Plocha je vymezena v proluce v zástavbě v ul. Za Školou, na jižním okraji Donína. Využití proluky směřuje k účelnému a hospodárnému využívání území, k posílení kompaktnosti území a ke scelení zástavby. Plocha je navržena k rozvoji bydlení, v souladu s charakterem navazujících ploch. Realizace záměru umožní uspokojit poptávku po nových plochách pro bydlení a přispěje ke zvýšení kvality a komfortu bydlení ve městě.</w:t>
            </w:r>
            <w:r w:rsidR="00B345B4" w:rsidRPr="00461C16">
              <w:rPr>
                <w:rFonts w:ascii="Arial Narrow" w:hAnsi="Arial Narrow"/>
                <w:lang w:val="cs-CZ"/>
              </w:rPr>
              <w:t xml:space="preserve"> </w:t>
            </w:r>
            <w:r w:rsidRPr="00461C16">
              <w:rPr>
                <w:rFonts w:ascii="Arial Narrow" w:hAnsi="Arial Narrow"/>
                <w:lang w:val="cs-CZ"/>
              </w:rPr>
              <w:t>Vymezení plochy vychází ze současně platného ÚP města, kde již byla řádně projednána a schválena.</w:t>
            </w:r>
          </w:p>
        </w:tc>
      </w:tr>
      <w:tr w:rsidR="00780590" w:rsidRPr="00461C16" w14:paraId="5ADD9C54"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2AFBC4BC"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Z79</w:t>
            </w:r>
          </w:p>
        </w:tc>
        <w:tc>
          <w:tcPr>
            <w:tcW w:w="901" w:type="dxa"/>
            <w:tcBorders>
              <w:top w:val="single" w:sz="4" w:space="0" w:color="auto"/>
              <w:left w:val="nil"/>
              <w:bottom w:val="single" w:sz="4" w:space="0" w:color="auto"/>
              <w:right w:val="single" w:sz="4" w:space="0" w:color="auto"/>
            </w:tcBorders>
            <w:shd w:val="clear" w:color="auto" w:fill="auto"/>
            <w:noWrap/>
          </w:tcPr>
          <w:p w14:paraId="17B7308C"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SV</w:t>
            </w:r>
          </w:p>
        </w:tc>
        <w:tc>
          <w:tcPr>
            <w:tcW w:w="1260" w:type="dxa"/>
            <w:tcBorders>
              <w:top w:val="single" w:sz="4" w:space="0" w:color="auto"/>
              <w:left w:val="nil"/>
              <w:bottom w:val="single" w:sz="4" w:space="0" w:color="auto"/>
              <w:right w:val="single" w:sz="4" w:space="0" w:color="auto"/>
            </w:tcBorders>
            <w:shd w:val="clear" w:color="auto" w:fill="auto"/>
            <w:noWrap/>
          </w:tcPr>
          <w:p w14:paraId="69CE32F0"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Dolní Sedlo</w:t>
            </w:r>
          </w:p>
        </w:tc>
        <w:tc>
          <w:tcPr>
            <w:tcW w:w="6238" w:type="dxa"/>
            <w:tcBorders>
              <w:top w:val="single" w:sz="4" w:space="0" w:color="auto"/>
              <w:left w:val="nil"/>
              <w:bottom w:val="single" w:sz="4" w:space="0" w:color="auto"/>
              <w:right w:val="single" w:sz="4" w:space="0" w:color="auto"/>
            </w:tcBorders>
          </w:tcPr>
          <w:p w14:paraId="2685175A" w14:textId="77777777" w:rsidR="00780590" w:rsidRPr="00461C16" w:rsidRDefault="00780590" w:rsidP="00961CD5">
            <w:pPr>
              <w:pStyle w:val="Intabulka"/>
              <w:rPr>
                <w:rFonts w:ascii="Arial Narrow" w:hAnsi="Arial Narrow"/>
                <w:color w:val="FF0000"/>
                <w:lang w:val="cs-CZ"/>
              </w:rPr>
            </w:pPr>
            <w:r w:rsidRPr="00461C16">
              <w:rPr>
                <w:rFonts w:ascii="Arial Narrow" w:hAnsi="Arial Narrow"/>
                <w:lang w:val="cs-CZ"/>
              </w:rPr>
              <w:t xml:space="preserve">Plocha je vymezena na jižním okraji zástavby Dolního Sedla, v návaznosti na </w:t>
            </w:r>
            <w:r w:rsidRPr="00461C16">
              <w:rPr>
                <w:rFonts w:ascii="Arial Narrow" w:hAnsi="Arial Narrow"/>
                <w:lang w:val="cs-CZ"/>
              </w:rPr>
              <w:lastRenderedPageBreak/>
              <w:t>hranici zastavěného území. Vymezení plochy umožňuje rozvoj přilehlé smíšené venkovské zástavby, v souladu s</w:t>
            </w:r>
            <w:r w:rsidR="00902FB4">
              <w:rPr>
                <w:rFonts w:ascii="Arial Narrow" w:hAnsi="Arial Narrow"/>
                <w:lang w:val="cs-CZ"/>
              </w:rPr>
              <w:t>e současně platným ÚP města</w:t>
            </w:r>
            <w:r w:rsidR="00961CD5">
              <w:rPr>
                <w:rFonts w:ascii="Arial Narrow" w:hAnsi="Arial Narrow"/>
                <w:lang w:val="cs-CZ"/>
              </w:rPr>
              <w:t>, kde již byl záměr řádně projednán a schválen, zčásti je potvrzen i</w:t>
            </w:r>
            <w:r w:rsidRPr="00461C16">
              <w:rPr>
                <w:rFonts w:ascii="Arial Narrow" w:hAnsi="Arial Narrow"/>
                <w:lang w:val="cs-CZ"/>
              </w:rPr>
              <w:t xml:space="preserve"> požadavkem schváleného Zadání ÚP – dle požadavku vlastníka pozemku. Realizace záměru přispěje k uspokojení poptávky po nových plochách pro bydlení a ke zvýšení kvality a komfortu bydlení v sídle Dolní Sedlo. </w:t>
            </w:r>
          </w:p>
        </w:tc>
      </w:tr>
      <w:tr w:rsidR="00780590" w:rsidRPr="00461C16" w14:paraId="397E6E9D"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02C32B0B"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lastRenderedPageBreak/>
              <w:t>Z82</w:t>
            </w:r>
          </w:p>
        </w:tc>
        <w:tc>
          <w:tcPr>
            <w:tcW w:w="901" w:type="dxa"/>
            <w:tcBorders>
              <w:top w:val="single" w:sz="4" w:space="0" w:color="auto"/>
              <w:left w:val="nil"/>
              <w:bottom w:val="single" w:sz="4" w:space="0" w:color="auto"/>
              <w:right w:val="single" w:sz="4" w:space="0" w:color="auto"/>
            </w:tcBorders>
            <w:shd w:val="clear" w:color="auto" w:fill="auto"/>
            <w:noWrap/>
          </w:tcPr>
          <w:p w14:paraId="14570763"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BV</w:t>
            </w:r>
          </w:p>
        </w:tc>
        <w:tc>
          <w:tcPr>
            <w:tcW w:w="1260" w:type="dxa"/>
            <w:tcBorders>
              <w:top w:val="single" w:sz="4" w:space="0" w:color="auto"/>
              <w:left w:val="nil"/>
              <w:bottom w:val="single" w:sz="4" w:space="0" w:color="auto"/>
              <w:right w:val="single" w:sz="4" w:space="0" w:color="auto"/>
            </w:tcBorders>
            <w:shd w:val="clear" w:color="auto" w:fill="auto"/>
            <w:noWrap/>
          </w:tcPr>
          <w:p w14:paraId="69C311E5"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Dolní Sedlo</w:t>
            </w:r>
          </w:p>
        </w:tc>
        <w:tc>
          <w:tcPr>
            <w:tcW w:w="6238" w:type="dxa"/>
            <w:tcBorders>
              <w:top w:val="single" w:sz="4" w:space="0" w:color="auto"/>
              <w:left w:val="nil"/>
              <w:bottom w:val="single" w:sz="4" w:space="0" w:color="auto"/>
              <w:right w:val="single" w:sz="4" w:space="0" w:color="auto"/>
            </w:tcBorders>
          </w:tcPr>
          <w:p w14:paraId="7B92601F"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 xml:space="preserve">Plocha je vymezena na východním okraji zástavby Horního Sedla podél silnice III/2716, která je páteří a urbanistickou osou sídla. Umožňuje rozvoj přilehlé venkovské obytné zástavby, doplňuje oboustranné obestavění komunikace, které je výhodné z urbanistického i ekonomického hlediska a zároveň zajišťuje scelení fragmentované zástavby do kompaktního útvaru. Realizace záměru přispěje k uspokojení poptávky po nových plochách pro bydlení a ke zvýšení kvality a komfortu bydlení v sídle Horní Sedlo. </w:t>
            </w:r>
          </w:p>
        </w:tc>
      </w:tr>
      <w:tr w:rsidR="00780590" w:rsidRPr="00461C16" w14:paraId="3ACEE072"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42663F7F"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Z86</w:t>
            </w:r>
          </w:p>
        </w:tc>
        <w:tc>
          <w:tcPr>
            <w:tcW w:w="901" w:type="dxa"/>
            <w:tcBorders>
              <w:top w:val="single" w:sz="4" w:space="0" w:color="auto"/>
              <w:left w:val="nil"/>
              <w:bottom w:val="single" w:sz="4" w:space="0" w:color="auto"/>
              <w:right w:val="single" w:sz="4" w:space="0" w:color="auto"/>
            </w:tcBorders>
            <w:shd w:val="clear" w:color="auto" w:fill="auto"/>
            <w:noWrap/>
          </w:tcPr>
          <w:p w14:paraId="679EC965"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SV</w:t>
            </w:r>
          </w:p>
        </w:tc>
        <w:tc>
          <w:tcPr>
            <w:tcW w:w="1260" w:type="dxa"/>
            <w:tcBorders>
              <w:top w:val="single" w:sz="4" w:space="0" w:color="auto"/>
              <w:left w:val="nil"/>
              <w:bottom w:val="single" w:sz="4" w:space="0" w:color="auto"/>
              <w:right w:val="single" w:sz="4" w:space="0" w:color="auto"/>
            </w:tcBorders>
            <w:shd w:val="clear" w:color="auto" w:fill="auto"/>
            <w:noWrap/>
          </w:tcPr>
          <w:p w14:paraId="51A114DC"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Dolní Suchá u Chotyně</w:t>
            </w:r>
          </w:p>
        </w:tc>
        <w:tc>
          <w:tcPr>
            <w:tcW w:w="6238" w:type="dxa"/>
            <w:tcBorders>
              <w:top w:val="single" w:sz="4" w:space="0" w:color="auto"/>
              <w:left w:val="nil"/>
              <w:bottom w:val="single" w:sz="4" w:space="0" w:color="auto"/>
              <w:right w:val="single" w:sz="4" w:space="0" w:color="auto"/>
            </w:tcBorders>
          </w:tcPr>
          <w:p w14:paraId="2BAA2EB7"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Plocha je vymezena na jižním okraji zástavby centra Dolní Suché, podél silnice III/2711, která tvoří páteř a urbanistickou osu sídla. Umožňuje rozvoj přilehlé smíšené venkovské zástavby, doplňuje oboustranné obestavění komunikace, které je výhodné z urbanistického i ekonomického hlediska a zajišťuje scelení fragmentované zástavby. Realizace záměru přispěje k uspokojení poptávky po nových plochách pro bydlení a ke zvýšení kvality a komfortu bydlení v sídle Dolní Suchá. Vymezení plochy je v souladu se současně platným ÚP města, kde již byla řádně projednána a schválena.</w:t>
            </w:r>
          </w:p>
        </w:tc>
      </w:tr>
      <w:tr w:rsidR="00780590" w:rsidRPr="00461C16" w14:paraId="6D6A8BB8"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2D855792"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Z89</w:t>
            </w:r>
          </w:p>
        </w:tc>
        <w:tc>
          <w:tcPr>
            <w:tcW w:w="901" w:type="dxa"/>
            <w:tcBorders>
              <w:top w:val="single" w:sz="4" w:space="0" w:color="auto"/>
              <w:left w:val="nil"/>
              <w:bottom w:val="single" w:sz="4" w:space="0" w:color="auto"/>
              <w:right w:val="single" w:sz="4" w:space="0" w:color="auto"/>
            </w:tcBorders>
            <w:shd w:val="clear" w:color="auto" w:fill="auto"/>
            <w:noWrap/>
          </w:tcPr>
          <w:p w14:paraId="6F7D53ED"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BV</w:t>
            </w:r>
          </w:p>
        </w:tc>
        <w:tc>
          <w:tcPr>
            <w:tcW w:w="1260" w:type="dxa"/>
            <w:tcBorders>
              <w:top w:val="single" w:sz="4" w:space="0" w:color="auto"/>
              <w:left w:val="nil"/>
              <w:bottom w:val="single" w:sz="4" w:space="0" w:color="auto"/>
              <w:right w:val="single" w:sz="4" w:space="0" w:color="auto"/>
            </w:tcBorders>
            <w:shd w:val="clear" w:color="auto" w:fill="auto"/>
            <w:noWrap/>
          </w:tcPr>
          <w:p w14:paraId="3609ADC6"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Dolní Suchá u Chotyně</w:t>
            </w:r>
          </w:p>
        </w:tc>
        <w:tc>
          <w:tcPr>
            <w:tcW w:w="6238" w:type="dxa"/>
            <w:tcBorders>
              <w:top w:val="single" w:sz="4" w:space="0" w:color="auto"/>
              <w:left w:val="nil"/>
              <w:bottom w:val="single" w:sz="4" w:space="0" w:color="auto"/>
              <w:right w:val="single" w:sz="4" w:space="0" w:color="auto"/>
            </w:tcBorders>
          </w:tcPr>
          <w:p w14:paraId="2C5C5661" w14:textId="4F8A35B5" w:rsidR="00780590" w:rsidRPr="00461C16" w:rsidRDefault="00780590" w:rsidP="009D47B0">
            <w:pPr>
              <w:pStyle w:val="Intabulka"/>
              <w:rPr>
                <w:rFonts w:ascii="Arial Narrow" w:hAnsi="Arial Narrow"/>
                <w:lang w:val="cs-CZ"/>
              </w:rPr>
            </w:pPr>
            <w:r w:rsidRPr="00461C16">
              <w:rPr>
                <w:rFonts w:ascii="Arial Narrow" w:hAnsi="Arial Narrow"/>
                <w:lang w:val="cs-CZ"/>
              </w:rPr>
              <w:t>Plocha je vymezena na západním okraji zástavby Dolní Suché,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Umožňuje rozvoj přilehlé venkovské obytné zástavby v jižním směru až k veřejné komunikaci. Realizace záměru přispěje k uspokojení poptávky po nových plochách pro bydlení a ke zvýšení kvality a komfortu bydlení v sídle Dolní Suchá. Vymezení plochy vychází ze současně platného ÚP města, kde je plocha vymezena jako stabilizovaná, přestože reálně není zastavěná. </w:t>
            </w:r>
          </w:p>
        </w:tc>
      </w:tr>
      <w:tr w:rsidR="00780590" w:rsidRPr="00461C16" w14:paraId="70699863"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2B7F12CC"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Z95</w:t>
            </w:r>
          </w:p>
        </w:tc>
        <w:tc>
          <w:tcPr>
            <w:tcW w:w="901" w:type="dxa"/>
            <w:tcBorders>
              <w:top w:val="single" w:sz="4" w:space="0" w:color="auto"/>
              <w:left w:val="nil"/>
              <w:bottom w:val="single" w:sz="4" w:space="0" w:color="auto"/>
              <w:right w:val="single" w:sz="4" w:space="0" w:color="auto"/>
            </w:tcBorders>
            <w:shd w:val="clear" w:color="auto" w:fill="auto"/>
            <w:noWrap/>
          </w:tcPr>
          <w:p w14:paraId="4500E6D0"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BV</w:t>
            </w:r>
          </w:p>
        </w:tc>
        <w:tc>
          <w:tcPr>
            <w:tcW w:w="1260" w:type="dxa"/>
            <w:tcBorders>
              <w:top w:val="single" w:sz="4" w:space="0" w:color="auto"/>
              <w:left w:val="nil"/>
              <w:bottom w:val="single" w:sz="4" w:space="0" w:color="auto"/>
              <w:right w:val="single" w:sz="4" w:space="0" w:color="auto"/>
            </w:tcBorders>
            <w:shd w:val="clear" w:color="auto" w:fill="auto"/>
            <w:noWrap/>
          </w:tcPr>
          <w:p w14:paraId="4EA39713"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Dolní Suchá u Chotyně</w:t>
            </w:r>
          </w:p>
        </w:tc>
        <w:tc>
          <w:tcPr>
            <w:tcW w:w="6238" w:type="dxa"/>
            <w:tcBorders>
              <w:top w:val="single" w:sz="4" w:space="0" w:color="auto"/>
              <w:left w:val="nil"/>
              <w:bottom w:val="single" w:sz="4" w:space="0" w:color="auto"/>
              <w:right w:val="single" w:sz="4" w:space="0" w:color="auto"/>
            </w:tcBorders>
          </w:tcPr>
          <w:p w14:paraId="74E781C0" w14:textId="043B5053" w:rsidR="00780590" w:rsidRPr="00461C16" w:rsidRDefault="00780590" w:rsidP="009D47B0">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Vymezení plochy je v souladu se současně platným ÚP města, kde již byla řádně projednána a schválena. </w:t>
            </w:r>
          </w:p>
        </w:tc>
      </w:tr>
      <w:tr w:rsidR="00780590" w:rsidRPr="00461C16" w14:paraId="68E62607"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1E07EEB3"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Z96</w:t>
            </w:r>
          </w:p>
        </w:tc>
        <w:tc>
          <w:tcPr>
            <w:tcW w:w="901" w:type="dxa"/>
            <w:tcBorders>
              <w:top w:val="single" w:sz="4" w:space="0" w:color="auto"/>
              <w:left w:val="nil"/>
              <w:bottom w:val="single" w:sz="4" w:space="0" w:color="auto"/>
              <w:right w:val="single" w:sz="4" w:space="0" w:color="auto"/>
            </w:tcBorders>
            <w:shd w:val="clear" w:color="auto" w:fill="auto"/>
            <w:noWrap/>
          </w:tcPr>
          <w:p w14:paraId="315D0FB0"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BV</w:t>
            </w:r>
          </w:p>
        </w:tc>
        <w:tc>
          <w:tcPr>
            <w:tcW w:w="1260" w:type="dxa"/>
            <w:tcBorders>
              <w:top w:val="single" w:sz="4" w:space="0" w:color="auto"/>
              <w:left w:val="nil"/>
              <w:bottom w:val="single" w:sz="4" w:space="0" w:color="auto"/>
              <w:right w:val="single" w:sz="4" w:space="0" w:color="auto"/>
            </w:tcBorders>
            <w:shd w:val="clear" w:color="auto" w:fill="auto"/>
            <w:noWrap/>
          </w:tcPr>
          <w:p w14:paraId="5A2F916D"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Dolní Suchá u Chotyně</w:t>
            </w:r>
          </w:p>
        </w:tc>
        <w:tc>
          <w:tcPr>
            <w:tcW w:w="6238" w:type="dxa"/>
            <w:tcBorders>
              <w:top w:val="single" w:sz="4" w:space="0" w:color="auto"/>
              <w:left w:val="nil"/>
              <w:bottom w:val="single" w:sz="4" w:space="0" w:color="auto"/>
              <w:right w:val="single" w:sz="4" w:space="0" w:color="auto"/>
            </w:tcBorders>
          </w:tcPr>
          <w:p w14:paraId="6DEAEF2B" w14:textId="72854562" w:rsidR="00780590" w:rsidRPr="00461C16" w:rsidRDefault="00780590" w:rsidP="009D47B0">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Vymezení plochy je v souladu se současně platným ÚP města, kde již byla řádně projednána a schválena. </w:t>
            </w:r>
          </w:p>
        </w:tc>
      </w:tr>
      <w:tr w:rsidR="00780590" w:rsidRPr="00461C16" w14:paraId="335135CC"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604DB97A"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Z97</w:t>
            </w:r>
          </w:p>
        </w:tc>
        <w:tc>
          <w:tcPr>
            <w:tcW w:w="901" w:type="dxa"/>
            <w:tcBorders>
              <w:top w:val="single" w:sz="4" w:space="0" w:color="auto"/>
              <w:left w:val="nil"/>
              <w:bottom w:val="single" w:sz="4" w:space="0" w:color="auto"/>
              <w:right w:val="single" w:sz="4" w:space="0" w:color="auto"/>
            </w:tcBorders>
            <w:shd w:val="clear" w:color="auto" w:fill="auto"/>
            <w:noWrap/>
          </w:tcPr>
          <w:p w14:paraId="20D15C7B"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BV</w:t>
            </w:r>
          </w:p>
        </w:tc>
        <w:tc>
          <w:tcPr>
            <w:tcW w:w="1260" w:type="dxa"/>
            <w:tcBorders>
              <w:top w:val="single" w:sz="4" w:space="0" w:color="auto"/>
              <w:left w:val="nil"/>
              <w:bottom w:val="single" w:sz="4" w:space="0" w:color="auto"/>
              <w:right w:val="single" w:sz="4" w:space="0" w:color="auto"/>
            </w:tcBorders>
            <w:shd w:val="clear" w:color="auto" w:fill="auto"/>
            <w:noWrap/>
          </w:tcPr>
          <w:p w14:paraId="1AD5A863"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Dolní Suchá u Chotyně</w:t>
            </w:r>
          </w:p>
        </w:tc>
        <w:tc>
          <w:tcPr>
            <w:tcW w:w="6238" w:type="dxa"/>
            <w:tcBorders>
              <w:top w:val="single" w:sz="4" w:space="0" w:color="auto"/>
              <w:left w:val="nil"/>
              <w:bottom w:val="single" w:sz="4" w:space="0" w:color="auto"/>
              <w:right w:val="single" w:sz="4" w:space="0" w:color="auto"/>
            </w:tcBorders>
          </w:tcPr>
          <w:p w14:paraId="11A99F4E" w14:textId="7DC3BA82" w:rsidR="00780590" w:rsidRPr="00461C16" w:rsidRDefault="00780590" w:rsidP="009D47B0">
            <w:pPr>
              <w:pStyle w:val="Intabulka"/>
              <w:rPr>
                <w:rFonts w:ascii="Arial Narrow" w:hAnsi="Arial Narrow"/>
                <w:lang w:val="cs-CZ"/>
              </w:rPr>
            </w:pPr>
            <w:r w:rsidRPr="00461C16">
              <w:rPr>
                <w:rFonts w:ascii="Arial Narrow" w:hAnsi="Arial Narrow"/>
                <w:lang w:val="cs-CZ"/>
              </w:rPr>
              <w:t>Plocha je vymezena na jižním okraji zástavby Dolní Suché, v prostorové proluce podél silnice III/</w:t>
            </w:r>
            <w:r w:rsidR="009D47B0" w:rsidRPr="00461C16">
              <w:rPr>
                <w:rFonts w:ascii="Arial Narrow" w:hAnsi="Arial Narrow"/>
                <w:lang w:val="cs-CZ"/>
              </w:rPr>
              <w:t>271</w:t>
            </w:r>
            <w:r w:rsidR="009D47B0">
              <w:rPr>
                <w:rFonts w:ascii="Arial Narrow" w:hAnsi="Arial Narrow"/>
                <w:lang w:val="cs-CZ"/>
              </w:rPr>
              <w:t>3</w:t>
            </w:r>
            <w:r w:rsidRPr="00461C16">
              <w:rPr>
                <w:rFonts w:ascii="Arial Narrow" w:hAnsi="Arial Narrow"/>
                <w:lang w:val="cs-CZ"/>
              </w:rPr>
              <w:t xml:space="preserve">, která je jednou z hlavních dopravních os sídla. Využití proluky směřuje k hospodárnému a účelnému využívání území. Vymezení plochy umožňuje rozvoj přilehlé venkovské obytné zástavby a zároveň zajišťuje scelení fragmentované zástavby do kompaktního útvaru. Realizace záměru přispěje k uspokojení poptávky po nových plochách pro bydlení a ke zvýšení kvality a komfortu bydlení v sídle Dolní Suchá. Vymezení plochy je v souladu se současně platným ÚP města, kde již byla řádně projednána a schválena. </w:t>
            </w:r>
          </w:p>
        </w:tc>
      </w:tr>
      <w:tr w:rsidR="00780590" w:rsidRPr="00461C16" w14:paraId="3941E8DB"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4D89B15E"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Z98</w:t>
            </w:r>
          </w:p>
        </w:tc>
        <w:tc>
          <w:tcPr>
            <w:tcW w:w="901" w:type="dxa"/>
            <w:tcBorders>
              <w:top w:val="single" w:sz="4" w:space="0" w:color="auto"/>
              <w:left w:val="nil"/>
              <w:bottom w:val="single" w:sz="4" w:space="0" w:color="auto"/>
              <w:right w:val="single" w:sz="4" w:space="0" w:color="auto"/>
            </w:tcBorders>
            <w:shd w:val="clear" w:color="auto" w:fill="auto"/>
            <w:noWrap/>
          </w:tcPr>
          <w:p w14:paraId="36665052"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PX</w:t>
            </w:r>
          </w:p>
        </w:tc>
        <w:tc>
          <w:tcPr>
            <w:tcW w:w="1260" w:type="dxa"/>
            <w:tcBorders>
              <w:top w:val="single" w:sz="4" w:space="0" w:color="auto"/>
              <w:left w:val="nil"/>
              <w:bottom w:val="single" w:sz="4" w:space="0" w:color="auto"/>
              <w:right w:val="single" w:sz="4" w:space="0" w:color="auto"/>
            </w:tcBorders>
            <w:shd w:val="clear" w:color="auto" w:fill="auto"/>
            <w:noWrap/>
          </w:tcPr>
          <w:p w14:paraId="0E242638"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Dolní Sedlo</w:t>
            </w:r>
          </w:p>
        </w:tc>
        <w:tc>
          <w:tcPr>
            <w:tcW w:w="6238" w:type="dxa"/>
            <w:tcBorders>
              <w:top w:val="single" w:sz="4" w:space="0" w:color="auto"/>
              <w:left w:val="nil"/>
              <w:bottom w:val="single" w:sz="4" w:space="0" w:color="auto"/>
              <w:right w:val="single" w:sz="4" w:space="0" w:color="auto"/>
            </w:tcBorders>
          </w:tcPr>
          <w:p w14:paraId="1BDAF050" w14:textId="77777777" w:rsidR="00780590" w:rsidRPr="00461C16" w:rsidRDefault="00722E04" w:rsidP="00A646A1">
            <w:pPr>
              <w:spacing w:before="40" w:after="40"/>
              <w:jc w:val="left"/>
              <w:rPr>
                <w:rFonts w:eastAsia="Times New Roman"/>
                <w:sz w:val="20"/>
                <w:szCs w:val="20"/>
                <w:lang w:eastAsia="es-ES_tradnl"/>
              </w:rPr>
            </w:pPr>
            <w:r w:rsidRPr="00461C16">
              <w:rPr>
                <w:iCs/>
                <w:sz w:val="20"/>
                <w:szCs w:val="20"/>
                <w:lang w:eastAsia="x-none"/>
              </w:rPr>
              <w:t>Plocha je vymezena pro zlepšení prostupnosti krajiny pro pěší a cyklisty a zajištění koordinace s územím sousední obce Jablonné v Podještědí.</w:t>
            </w:r>
          </w:p>
        </w:tc>
      </w:tr>
      <w:tr w:rsidR="003E0160" w:rsidRPr="00461C16" w14:paraId="4C640F3F"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308EF173" w14:textId="77777777" w:rsidR="003E0160" w:rsidRPr="00461C16" w:rsidRDefault="003E0160" w:rsidP="00A646A1">
            <w:pPr>
              <w:spacing w:before="40" w:line="240" w:lineRule="auto"/>
              <w:jc w:val="left"/>
              <w:rPr>
                <w:rFonts w:eastAsia="Times New Roman"/>
                <w:color w:val="000000"/>
                <w:sz w:val="20"/>
                <w:szCs w:val="20"/>
                <w:lang w:eastAsia="cs-CZ"/>
              </w:rPr>
            </w:pPr>
            <w:r>
              <w:rPr>
                <w:rFonts w:eastAsia="Times New Roman"/>
                <w:color w:val="000000"/>
                <w:sz w:val="20"/>
                <w:szCs w:val="20"/>
                <w:lang w:eastAsia="cs-CZ"/>
              </w:rPr>
              <w:lastRenderedPageBreak/>
              <w:t>Z101</w:t>
            </w:r>
          </w:p>
        </w:tc>
        <w:tc>
          <w:tcPr>
            <w:tcW w:w="901" w:type="dxa"/>
            <w:tcBorders>
              <w:top w:val="single" w:sz="4" w:space="0" w:color="auto"/>
              <w:left w:val="nil"/>
              <w:bottom w:val="single" w:sz="4" w:space="0" w:color="auto"/>
              <w:right w:val="single" w:sz="4" w:space="0" w:color="auto"/>
            </w:tcBorders>
            <w:shd w:val="clear" w:color="auto" w:fill="auto"/>
            <w:noWrap/>
          </w:tcPr>
          <w:p w14:paraId="76D1A516" w14:textId="77777777" w:rsidR="003E0160" w:rsidRPr="00461C16" w:rsidRDefault="003E0160" w:rsidP="00A646A1">
            <w:pPr>
              <w:pStyle w:val="7tabulka"/>
              <w:spacing w:after="20" w:line="276" w:lineRule="auto"/>
              <w:jc w:val="left"/>
              <w:rPr>
                <w:sz w:val="20"/>
                <w:szCs w:val="20"/>
                <w:lang w:eastAsia="cs-CZ"/>
              </w:rPr>
            </w:pPr>
            <w:r>
              <w:rPr>
                <w:sz w:val="20"/>
                <w:szCs w:val="20"/>
                <w:lang w:eastAsia="cs-CZ"/>
              </w:rPr>
              <w:t>VZ</w:t>
            </w:r>
          </w:p>
        </w:tc>
        <w:tc>
          <w:tcPr>
            <w:tcW w:w="1260" w:type="dxa"/>
            <w:tcBorders>
              <w:top w:val="single" w:sz="4" w:space="0" w:color="auto"/>
              <w:left w:val="nil"/>
              <w:bottom w:val="single" w:sz="4" w:space="0" w:color="auto"/>
              <w:right w:val="single" w:sz="4" w:space="0" w:color="auto"/>
            </w:tcBorders>
            <w:shd w:val="clear" w:color="auto" w:fill="auto"/>
            <w:noWrap/>
          </w:tcPr>
          <w:p w14:paraId="63B734CD" w14:textId="77777777" w:rsidR="003E0160" w:rsidRPr="00461C16" w:rsidRDefault="003E0160" w:rsidP="00A646A1">
            <w:pPr>
              <w:pStyle w:val="7tabulka"/>
              <w:spacing w:after="20" w:line="276" w:lineRule="auto"/>
              <w:jc w:val="left"/>
              <w:rPr>
                <w:sz w:val="20"/>
                <w:szCs w:val="20"/>
                <w:lang w:eastAsia="cs-CZ"/>
              </w:rPr>
            </w:pPr>
            <w:r>
              <w:rPr>
                <w:sz w:val="20"/>
                <w:szCs w:val="20"/>
                <w:lang w:eastAsia="cs-CZ"/>
              </w:rPr>
              <w:t>Václavice u Hrádku nad Nisou</w:t>
            </w:r>
          </w:p>
        </w:tc>
        <w:tc>
          <w:tcPr>
            <w:tcW w:w="6238" w:type="dxa"/>
            <w:tcBorders>
              <w:top w:val="single" w:sz="4" w:space="0" w:color="auto"/>
              <w:left w:val="nil"/>
              <w:bottom w:val="single" w:sz="4" w:space="0" w:color="auto"/>
              <w:right w:val="single" w:sz="4" w:space="0" w:color="auto"/>
            </w:tcBorders>
          </w:tcPr>
          <w:p w14:paraId="06718766" w14:textId="77777777" w:rsidR="003E0160" w:rsidRPr="003E0160" w:rsidRDefault="003E0160" w:rsidP="00A646A1">
            <w:pPr>
              <w:spacing w:before="40" w:after="40"/>
              <w:jc w:val="left"/>
              <w:rPr>
                <w:iCs/>
                <w:sz w:val="20"/>
                <w:szCs w:val="20"/>
                <w:lang w:eastAsia="x-none"/>
              </w:rPr>
            </w:pPr>
            <w:r>
              <w:rPr>
                <w:sz w:val="20"/>
                <w:szCs w:val="20"/>
              </w:rPr>
              <w:t xml:space="preserve">Plocha je vymezena z větší části v souladu s platným ÚPSÚ, v jižní části je rozšířena. </w:t>
            </w:r>
            <w:r w:rsidRPr="003E0160">
              <w:rPr>
                <w:sz w:val="20"/>
                <w:szCs w:val="20"/>
              </w:rPr>
              <w:t>Vymezení plochy zohledňuje záměr vlastníka na rozvoj stávajícího výrobního areálu, který je již v celém rozsahu využit (zastavěn). Rozvojem existující plochy zemědělské výroby v okrajové poloze sídla směřuje k hospodárnému využívání území a ke snížení případných negativních dopadů výrobní činnosti na okolní prostředí. Realizace záměru umožní vznik nových pracovních příležitostí v sídle Václavice, kde je pracovních možností pro místní obyvatele jen velmi málo, a zároveň přispěje k ekonomické stabilitě a rozvoji Václavic i celého města.</w:t>
            </w:r>
          </w:p>
        </w:tc>
      </w:tr>
      <w:tr w:rsidR="00780590" w:rsidRPr="00461C16" w14:paraId="5313B946"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35A9D0C2"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P06</w:t>
            </w:r>
          </w:p>
        </w:tc>
        <w:tc>
          <w:tcPr>
            <w:tcW w:w="901" w:type="dxa"/>
            <w:tcBorders>
              <w:top w:val="single" w:sz="4" w:space="0" w:color="auto"/>
              <w:left w:val="nil"/>
              <w:bottom w:val="single" w:sz="4" w:space="0" w:color="auto"/>
              <w:right w:val="single" w:sz="4" w:space="0" w:color="auto"/>
            </w:tcBorders>
            <w:shd w:val="clear" w:color="auto" w:fill="auto"/>
            <w:noWrap/>
          </w:tcPr>
          <w:p w14:paraId="4EBA7965"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OS</w:t>
            </w:r>
          </w:p>
        </w:tc>
        <w:tc>
          <w:tcPr>
            <w:tcW w:w="1260" w:type="dxa"/>
            <w:tcBorders>
              <w:top w:val="single" w:sz="4" w:space="0" w:color="auto"/>
              <w:left w:val="nil"/>
              <w:bottom w:val="single" w:sz="4" w:space="0" w:color="auto"/>
              <w:right w:val="single" w:sz="4" w:space="0" w:color="auto"/>
            </w:tcBorders>
            <w:shd w:val="clear" w:color="auto" w:fill="auto"/>
            <w:noWrap/>
          </w:tcPr>
          <w:p w14:paraId="62CFE624"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Hrádek nad Nisou</w:t>
            </w:r>
          </w:p>
        </w:tc>
        <w:tc>
          <w:tcPr>
            <w:tcW w:w="6238" w:type="dxa"/>
            <w:tcBorders>
              <w:top w:val="single" w:sz="4" w:space="0" w:color="auto"/>
              <w:left w:val="nil"/>
              <w:bottom w:val="single" w:sz="4" w:space="0" w:color="auto"/>
              <w:right w:val="single" w:sz="4" w:space="0" w:color="auto"/>
            </w:tcBorders>
          </w:tcPr>
          <w:p w14:paraId="5CBCD3BC"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Plocha je vymezena v severní části výrobního areálu v ul. Lidická na břehu Lužické Nisy. Tento areál již není zcela využíván pro svoji původní funkci a je funkčně i vlastnicky roztříštěn. Vymezení sleduje záměr vlastníka pozemku, který v této ploše zamýšlí realizaci sportovního zařízení. Přednostní využití proluky v zastavěném území zohledňuje požadavky na hospodárné využívání území a ochranu volné krajiny. Realizace záměru zároveň umožní rozšíření nabídky sportovních a volnočasových aktivit pro obyvatele města, čímž přispěje ke zvýšení kvality života.</w:t>
            </w:r>
          </w:p>
        </w:tc>
      </w:tr>
      <w:tr w:rsidR="00780590" w:rsidRPr="00461C16" w14:paraId="1B394941"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36B79470"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P07</w:t>
            </w:r>
          </w:p>
        </w:tc>
        <w:tc>
          <w:tcPr>
            <w:tcW w:w="901" w:type="dxa"/>
            <w:tcBorders>
              <w:top w:val="single" w:sz="4" w:space="0" w:color="auto"/>
              <w:left w:val="nil"/>
              <w:bottom w:val="single" w:sz="4" w:space="0" w:color="auto"/>
              <w:right w:val="single" w:sz="4" w:space="0" w:color="auto"/>
            </w:tcBorders>
            <w:shd w:val="clear" w:color="auto" w:fill="auto"/>
            <w:noWrap/>
          </w:tcPr>
          <w:p w14:paraId="3BC656A4"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OM</w:t>
            </w:r>
          </w:p>
        </w:tc>
        <w:tc>
          <w:tcPr>
            <w:tcW w:w="1260" w:type="dxa"/>
            <w:tcBorders>
              <w:top w:val="single" w:sz="4" w:space="0" w:color="auto"/>
              <w:left w:val="nil"/>
              <w:bottom w:val="single" w:sz="4" w:space="0" w:color="auto"/>
              <w:right w:val="single" w:sz="4" w:space="0" w:color="auto"/>
            </w:tcBorders>
            <w:shd w:val="clear" w:color="auto" w:fill="auto"/>
            <w:noWrap/>
          </w:tcPr>
          <w:p w14:paraId="42F6B622"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Hrádek nad Nisou</w:t>
            </w:r>
          </w:p>
        </w:tc>
        <w:tc>
          <w:tcPr>
            <w:tcW w:w="6238" w:type="dxa"/>
            <w:tcBorders>
              <w:top w:val="single" w:sz="4" w:space="0" w:color="auto"/>
              <w:left w:val="nil"/>
              <w:bottom w:val="single" w:sz="4" w:space="0" w:color="auto"/>
              <w:right w:val="single" w:sz="4" w:space="0" w:color="auto"/>
            </w:tcBorders>
          </w:tcPr>
          <w:p w14:paraId="0DB6070D"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Plocha je vymezena v jižní části výrobního areálu v ul. Lidická na břehu Lužické Nisy. Tento areál již není zcela využíván pro svoji původní funkci a je funkčně i vlastnicky roztříštěn. Vymezení sleduje záměr vlastníka pozemku, který v této ploše zamýšlí realizaci komerčního zařízení. Přednostní využití proluky v zastavěném území zohledňuje požadavky na hospodárné využívání území a ochranu volné krajiny. Realizace záměru zároveň umožní rozšíření nabídky služeb pro obyvatele města, čímž přispěje ke zvýšení kvality života. Vymezení plochy je v souladu se současně platným ÚP města, kde již byla řádně projednána a schválena.</w:t>
            </w:r>
          </w:p>
        </w:tc>
      </w:tr>
      <w:tr w:rsidR="00780590" w:rsidRPr="00461C16" w14:paraId="43ABCB6D"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44558B29" w14:textId="77777777" w:rsidR="00780590" w:rsidRPr="00461C16" w:rsidRDefault="00780590" w:rsidP="00A646A1">
            <w:pPr>
              <w:spacing w:before="40" w:line="240" w:lineRule="auto"/>
              <w:jc w:val="left"/>
              <w:rPr>
                <w:rFonts w:eastAsia="Times New Roman"/>
                <w:color w:val="000000"/>
                <w:sz w:val="20"/>
                <w:szCs w:val="20"/>
                <w:lang w:eastAsia="cs-CZ"/>
              </w:rPr>
            </w:pPr>
            <w:r w:rsidRPr="00461C16">
              <w:rPr>
                <w:rFonts w:eastAsia="Times New Roman"/>
                <w:color w:val="000000"/>
                <w:sz w:val="20"/>
                <w:szCs w:val="20"/>
                <w:lang w:eastAsia="cs-CZ"/>
              </w:rPr>
              <w:t>P14</w:t>
            </w:r>
          </w:p>
        </w:tc>
        <w:tc>
          <w:tcPr>
            <w:tcW w:w="901" w:type="dxa"/>
            <w:tcBorders>
              <w:top w:val="single" w:sz="4" w:space="0" w:color="auto"/>
              <w:left w:val="nil"/>
              <w:bottom w:val="single" w:sz="4" w:space="0" w:color="auto"/>
              <w:right w:val="single" w:sz="4" w:space="0" w:color="auto"/>
            </w:tcBorders>
            <w:shd w:val="clear" w:color="auto" w:fill="auto"/>
            <w:noWrap/>
          </w:tcPr>
          <w:p w14:paraId="20C881DB" w14:textId="77777777" w:rsidR="00780590" w:rsidRPr="00461C16" w:rsidRDefault="00780590" w:rsidP="00A646A1">
            <w:pPr>
              <w:pStyle w:val="7tabulka"/>
              <w:spacing w:after="20" w:line="276" w:lineRule="auto"/>
              <w:jc w:val="left"/>
              <w:rPr>
                <w:sz w:val="20"/>
                <w:szCs w:val="20"/>
                <w:lang w:eastAsia="cs-CZ"/>
              </w:rPr>
            </w:pPr>
            <w:r w:rsidRPr="00461C16">
              <w:rPr>
                <w:sz w:val="20"/>
                <w:szCs w:val="20"/>
                <w:lang w:eastAsia="cs-CZ"/>
              </w:rPr>
              <w:t>SM</w:t>
            </w:r>
          </w:p>
        </w:tc>
        <w:tc>
          <w:tcPr>
            <w:tcW w:w="1260" w:type="dxa"/>
            <w:tcBorders>
              <w:top w:val="single" w:sz="4" w:space="0" w:color="auto"/>
              <w:left w:val="nil"/>
              <w:bottom w:val="single" w:sz="4" w:space="0" w:color="auto"/>
              <w:right w:val="single" w:sz="4" w:space="0" w:color="auto"/>
            </w:tcBorders>
            <w:shd w:val="clear" w:color="auto" w:fill="auto"/>
            <w:noWrap/>
          </w:tcPr>
          <w:p w14:paraId="472A7FDB" w14:textId="77777777" w:rsidR="00780590" w:rsidRPr="00461C16" w:rsidRDefault="00780590" w:rsidP="00124236">
            <w:pPr>
              <w:pStyle w:val="7tabulka"/>
              <w:spacing w:after="20" w:line="276" w:lineRule="auto"/>
              <w:jc w:val="left"/>
              <w:rPr>
                <w:sz w:val="20"/>
                <w:szCs w:val="20"/>
                <w:lang w:eastAsia="cs-CZ"/>
              </w:rPr>
            </w:pPr>
            <w:r w:rsidRPr="00461C16">
              <w:rPr>
                <w:sz w:val="20"/>
                <w:szCs w:val="20"/>
                <w:lang w:eastAsia="cs-CZ"/>
              </w:rPr>
              <w:t>Hrádek nad Nisou</w:t>
            </w:r>
          </w:p>
        </w:tc>
        <w:tc>
          <w:tcPr>
            <w:tcW w:w="6238" w:type="dxa"/>
            <w:tcBorders>
              <w:top w:val="single" w:sz="4" w:space="0" w:color="auto"/>
              <w:left w:val="nil"/>
              <w:bottom w:val="single" w:sz="4" w:space="0" w:color="auto"/>
              <w:right w:val="single" w:sz="4" w:space="0" w:color="auto"/>
            </w:tcBorders>
          </w:tcPr>
          <w:p w14:paraId="4477D178" w14:textId="77777777" w:rsidR="00780590" w:rsidRPr="00461C16" w:rsidRDefault="00780590" w:rsidP="00124236">
            <w:pPr>
              <w:pStyle w:val="Intabulka"/>
              <w:rPr>
                <w:rFonts w:ascii="Arial Narrow" w:hAnsi="Arial Narrow"/>
                <w:lang w:val="cs-CZ"/>
              </w:rPr>
            </w:pPr>
            <w:r w:rsidRPr="00461C16">
              <w:rPr>
                <w:rFonts w:ascii="Arial Narrow" w:hAnsi="Arial Narrow"/>
                <w:lang w:val="cs-CZ"/>
              </w:rPr>
              <w:t>Plocha je vymezena za účelem přestavby a funkčního scelení smíšené obytné zástavby podél ul. Oldřichovská. Návrh přestavby na smíšené obytné území reaguje na polohu na jedné z hlavních urbanistických os města a na charakter okolního území. Vymezení plochy zároveň vyplývá z požadavků schváleného Zadání ÚP.</w:t>
            </w:r>
          </w:p>
        </w:tc>
      </w:tr>
      <w:tr w:rsidR="00AE3A9B" w:rsidRPr="00461C16" w14:paraId="6C89D689" w14:textId="77777777" w:rsidTr="00A52FFD">
        <w:trPr>
          <w:trHeight w:val="255"/>
        </w:trPr>
        <w:tc>
          <w:tcPr>
            <w:tcW w:w="815" w:type="dxa"/>
            <w:tcBorders>
              <w:top w:val="single" w:sz="4" w:space="0" w:color="auto"/>
              <w:left w:val="single" w:sz="4" w:space="0" w:color="auto"/>
              <w:bottom w:val="single" w:sz="4" w:space="0" w:color="auto"/>
              <w:right w:val="single" w:sz="4" w:space="0" w:color="auto"/>
            </w:tcBorders>
            <w:shd w:val="clear" w:color="auto" w:fill="auto"/>
            <w:noWrap/>
          </w:tcPr>
          <w:p w14:paraId="30A7DE7A" w14:textId="77777777" w:rsidR="00AE3A9B" w:rsidRPr="00461C16" w:rsidRDefault="00AE3A9B" w:rsidP="00A646A1">
            <w:pPr>
              <w:spacing w:before="40" w:line="240" w:lineRule="auto"/>
              <w:jc w:val="left"/>
              <w:rPr>
                <w:rFonts w:eastAsia="Times New Roman"/>
                <w:color w:val="000000"/>
                <w:sz w:val="20"/>
                <w:szCs w:val="20"/>
                <w:lang w:eastAsia="cs-CZ"/>
              </w:rPr>
            </w:pPr>
            <w:r>
              <w:rPr>
                <w:rFonts w:eastAsia="Times New Roman"/>
                <w:color w:val="000000"/>
                <w:sz w:val="20"/>
                <w:szCs w:val="20"/>
                <w:lang w:eastAsia="cs-CZ"/>
              </w:rPr>
              <w:t>P31</w:t>
            </w:r>
          </w:p>
        </w:tc>
        <w:tc>
          <w:tcPr>
            <w:tcW w:w="901" w:type="dxa"/>
            <w:tcBorders>
              <w:top w:val="single" w:sz="4" w:space="0" w:color="auto"/>
              <w:left w:val="nil"/>
              <w:bottom w:val="single" w:sz="4" w:space="0" w:color="auto"/>
              <w:right w:val="single" w:sz="4" w:space="0" w:color="auto"/>
            </w:tcBorders>
            <w:shd w:val="clear" w:color="auto" w:fill="auto"/>
            <w:noWrap/>
          </w:tcPr>
          <w:p w14:paraId="330ECBE8" w14:textId="77777777" w:rsidR="00AE3A9B" w:rsidRPr="00461C16" w:rsidRDefault="00AE3A9B" w:rsidP="00A646A1">
            <w:pPr>
              <w:pStyle w:val="7tabulka"/>
              <w:spacing w:after="20" w:line="276" w:lineRule="auto"/>
              <w:jc w:val="left"/>
              <w:rPr>
                <w:sz w:val="20"/>
                <w:szCs w:val="20"/>
                <w:lang w:eastAsia="cs-CZ"/>
              </w:rPr>
            </w:pPr>
            <w:r>
              <w:rPr>
                <w:sz w:val="20"/>
                <w:szCs w:val="20"/>
                <w:lang w:eastAsia="cs-CZ"/>
              </w:rPr>
              <w:t>SV</w:t>
            </w:r>
          </w:p>
        </w:tc>
        <w:tc>
          <w:tcPr>
            <w:tcW w:w="1260" w:type="dxa"/>
            <w:tcBorders>
              <w:top w:val="single" w:sz="4" w:space="0" w:color="auto"/>
              <w:left w:val="nil"/>
              <w:bottom w:val="single" w:sz="4" w:space="0" w:color="auto"/>
              <w:right w:val="single" w:sz="4" w:space="0" w:color="auto"/>
            </w:tcBorders>
            <w:shd w:val="clear" w:color="auto" w:fill="auto"/>
            <w:noWrap/>
          </w:tcPr>
          <w:p w14:paraId="59B15819" w14:textId="77777777" w:rsidR="00AE3A9B" w:rsidRPr="00461C16" w:rsidRDefault="00AE3A9B" w:rsidP="00124236">
            <w:pPr>
              <w:pStyle w:val="7tabulka"/>
              <w:spacing w:after="20" w:line="276" w:lineRule="auto"/>
              <w:jc w:val="left"/>
              <w:rPr>
                <w:sz w:val="20"/>
                <w:szCs w:val="20"/>
                <w:lang w:eastAsia="cs-CZ"/>
              </w:rPr>
            </w:pPr>
            <w:r>
              <w:rPr>
                <w:sz w:val="20"/>
                <w:szCs w:val="20"/>
                <w:lang w:eastAsia="cs-CZ"/>
              </w:rPr>
              <w:t>Václavice u Hrádku nad Nisou</w:t>
            </w:r>
          </w:p>
        </w:tc>
        <w:tc>
          <w:tcPr>
            <w:tcW w:w="6238" w:type="dxa"/>
            <w:tcBorders>
              <w:top w:val="single" w:sz="4" w:space="0" w:color="auto"/>
              <w:left w:val="nil"/>
              <w:bottom w:val="single" w:sz="4" w:space="0" w:color="auto"/>
              <w:right w:val="single" w:sz="4" w:space="0" w:color="auto"/>
            </w:tcBorders>
          </w:tcPr>
          <w:p w14:paraId="038DA89A" w14:textId="77777777" w:rsidR="00AE3A9B" w:rsidRPr="00461C16" w:rsidRDefault="004A38C6" w:rsidP="004A38C6">
            <w:pPr>
              <w:pStyle w:val="Intabulka"/>
              <w:rPr>
                <w:rFonts w:ascii="Arial Narrow" w:hAnsi="Arial Narrow"/>
                <w:lang w:val="cs-CZ"/>
              </w:rPr>
            </w:pPr>
            <w:r>
              <w:rPr>
                <w:rFonts w:ascii="Arial Narrow" w:hAnsi="Arial Narrow"/>
                <w:lang w:val="cs-CZ"/>
              </w:rPr>
              <w:t>Plocha je vymezena na podnět vlastníka, který zde uvažuje o výstavbě rodinného domu. Záměr je situován na pozemek, vedený v katastru nemovitostí jako zbořeniště, tedy do zastavěného území.</w:t>
            </w:r>
          </w:p>
        </w:tc>
      </w:tr>
    </w:tbl>
    <w:p w14:paraId="7EF8479E" w14:textId="77777777" w:rsidR="00352126" w:rsidRPr="00461C16" w:rsidRDefault="00A80189" w:rsidP="00345E05">
      <w:pPr>
        <w:pStyle w:val="Heading1"/>
      </w:pPr>
      <w:r w:rsidRPr="00461C16">
        <w:br w:type="page"/>
      </w:r>
      <w:bookmarkStart w:id="212" w:name="_Toc444069462"/>
      <w:bookmarkStart w:id="213" w:name="OLE_LINK7"/>
      <w:bookmarkStart w:id="214" w:name="OLE_LINK8"/>
      <w:bookmarkStart w:id="215" w:name="_Toc36116341"/>
      <w:bookmarkEnd w:id="200"/>
      <w:bookmarkEnd w:id="201"/>
      <w:r w:rsidR="00352126" w:rsidRPr="00461C16">
        <w:lastRenderedPageBreak/>
        <w:t>9. SEZNAM ZKRATEK</w:t>
      </w:r>
      <w:bookmarkEnd w:id="212"/>
      <w:bookmarkEnd w:id="215"/>
    </w:p>
    <w:p w14:paraId="15E0705D" w14:textId="77777777" w:rsidR="008C4A51" w:rsidRDefault="008C4A51" w:rsidP="00352126">
      <w:pPr>
        <w:spacing w:before="60" w:after="60" w:line="240" w:lineRule="auto"/>
        <w:rPr>
          <w:rFonts w:cs="Arial"/>
        </w:rPr>
      </w:pPr>
      <w:r>
        <w:rPr>
          <w:rFonts w:cs="Arial"/>
        </w:rPr>
        <w:t>AOPK</w:t>
      </w:r>
      <w:r>
        <w:rPr>
          <w:rFonts w:cs="Arial"/>
        </w:rPr>
        <w:tab/>
      </w:r>
      <w:r>
        <w:rPr>
          <w:rFonts w:cs="Arial"/>
        </w:rPr>
        <w:tab/>
      </w:r>
      <w:r>
        <w:rPr>
          <w:rFonts w:cs="Arial"/>
        </w:rPr>
        <w:tab/>
        <w:t xml:space="preserve">Agentura ochrany přírody a krajiny </w:t>
      </w:r>
    </w:p>
    <w:p w14:paraId="5E434BEB" w14:textId="77777777" w:rsidR="00352126" w:rsidRPr="00461C16" w:rsidRDefault="00352126" w:rsidP="00352126">
      <w:pPr>
        <w:spacing w:before="60" w:after="60" w:line="240" w:lineRule="auto"/>
        <w:rPr>
          <w:rFonts w:cs="Arial"/>
        </w:rPr>
      </w:pPr>
      <w:r w:rsidRPr="00461C16">
        <w:rPr>
          <w:rFonts w:cs="Arial"/>
        </w:rPr>
        <w:t>BPEJ</w:t>
      </w:r>
      <w:r w:rsidRPr="00461C16">
        <w:rPr>
          <w:rFonts w:cs="Arial"/>
        </w:rPr>
        <w:tab/>
      </w:r>
      <w:r w:rsidRPr="00461C16">
        <w:rPr>
          <w:rFonts w:cs="Arial"/>
        </w:rPr>
        <w:tab/>
      </w:r>
      <w:r w:rsidRPr="00461C16">
        <w:rPr>
          <w:rFonts w:cs="Arial"/>
        </w:rPr>
        <w:tab/>
        <w:t>bonitované půdně ekologické jednotky</w:t>
      </w:r>
    </w:p>
    <w:p w14:paraId="56C44FAF" w14:textId="77777777" w:rsidR="00352126" w:rsidRPr="00461C16" w:rsidRDefault="00352126" w:rsidP="00352126">
      <w:pPr>
        <w:spacing w:before="60" w:after="60" w:line="240" w:lineRule="auto"/>
        <w:rPr>
          <w:rFonts w:cs="Arial"/>
        </w:rPr>
      </w:pPr>
      <w:r w:rsidRPr="00461C16">
        <w:rPr>
          <w:rFonts w:cs="Arial"/>
        </w:rPr>
        <w:t>ČD</w:t>
      </w:r>
      <w:r w:rsidRPr="00461C16">
        <w:rPr>
          <w:rFonts w:cs="Arial"/>
        </w:rPr>
        <w:tab/>
      </w:r>
      <w:r w:rsidRPr="00461C16">
        <w:rPr>
          <w:rFonts w:cs="Arial"/>
        </w:rPr>
        <w:tab/>
      </w:r>
      <w:r w:rsidRPr="00461C16">
        <w:rPr>
          <w:rFonts w:cs="Arial"/>
        </w:rPr>
        <w:tab/>
        <w:t>České dráhy</w:t>
      </w:r>
    </w:p>
    <w:p w14:paraId="4431DA32" w14:textId="77777777" w:rsidR="00352126" w:rsidRPr="00461C16" w:rsidRDefault="00352126" w:rsidP="00352126">
      <w:pPr>
        <w:spacing w:before="60" w:after="60" w:line="240" w:lineRule="auto"/>
        <w:rPr>
          <w:rFonts w:cs="Arial"/>
        </w:rPr>
      </w:pPr>
      <w:r w:rsidRPr="00461C16">
        <w:rPr>
          <w:rFonts w:cs="Arial"/>
        </w:rPr>
        <w:t>ČKA</w:t>
      </w:r>
      <w:r w:rsidRPr="00461C16">
        <w:rPr>
          <w:rFonts w:cs="Arial"/>
        </w:rPr>
        <w:tab/>
      </w:r>
      <w:r w:rsidRPr="00461C16">
        <w:rPr>
          <w:rFonts w:cs="Arial"/>
        </w:rPr>
        <w:tab/>
      </w:r>
      <w:r w:rsidRPr="00461C16">
        <w:rPr>
          <w:rFonts w:cs="Arial"/>
        </w:rPr>
        <w:tab/>
        <w:t>Česká komora architektů</w:t>
      </w:r>
    </w:p>
    <w:p w14:paraId="478C800A" w14:textId="77777777" w:rsidR="00352126" w:rsidRPr="00461C16" w:rsidRDefault="00352126" w:rsidP="00352126">
      <w:pPr>
        <w:spacing w:before="60" w:after="60" w:line="240" w:lineRule="auto"/>
        <w:rPr>
          <w:rFonts w:cs="Arial"/>
        </w:rPr>
      </w:pPr>
      <w:r w:rsidRPr="00461C16">
        <w:rPr>
          <w:rFonts w:cs="Arial"/>
        </w:rPr>
        <w:t>ČOV</w:t>
      </w:r>
      <w:r w:rsidRPr="00461C16">
        <w:rPr>
          <w:rFonts w:cs="Arial"/>
        </w:rPr>
        <w:tab/>
      </w:r>
      <w:r w:rsidRPr="00461C16">
        <w:rPr>
          <w:rFonts w:cs="Arial"/>
        </w:rPr>
        <w:tab/>
      </w:r>
      <w:r w:rsidRPr="00461C16">
        <w:rPr>
          <w:rFonts w:cs="Arial"/>
        </w:rPr>
        <w:tab/>
        <w:t>čistírna odpadních vod</w:t>
      </w:r>
    </w:p>
    <w:p w14:paraId="7418CB3C" w14:textId="77777777" w:rsidR="00352126" w:rsidRPr="00461C16" w:rsidRDefault="00352126" w:rsidP="00352126">
      <w:pPr>
        <w:spacing w:before="60" w:after="60" w:line="240" w:lineRule="auto"/>
        <w:rPr>
          <w:rFonts w:cs="Arial"/>
        </w:rPr>
      </w:pPr>
      <w:r w:rsidRPr="00461C16">
        <w:rPr>
          <w:rFonts w:cs="Arial"/>
        </w:rPr>
        <w:t>ČR</w:t>
      </w:r>
      <w:r w:rsidRPr="00461C16">
        <w:rPr>
          <w:rFonts w:cs="Arial"/>
        </w:rPr>
        <w:tab/>
      </w:r>
      <w:r w:rsidRPr="00461C16">
        <w:rPr>
          <w:rFonts w:cs="Arial"/>
        </w:rPr>
        <w:tab/>
      </w:r>
      <w:r w:rsidRPr="00461C16">
        <w:rPr>
          <w:rFonts w:cs="Arial"/>
        </w:rPr>
        <w:tab/>
        <w:t>Česká republika</w:t>
      </w:r>
    </w:p>
    <w:p w14:paraId="7639A133" w14:textId="77777777" w:rsidR="00352126" w:rsidRPr="00461C16" w:rsidRDefault="00352126" w:rsidP="00352126">
      <w:pPr>
        <w:spacing w:before="60" w:after="60" w:line="240" w:lineRule="auto"/>
        <w:rPr>
          <w:rFonts w:cs="Arial"/>
        </w:rPr>
      </w:pPr>
      <w:r w:rsidRPr="00461C16">
        <w:rPr>
          <w:rFonts w:cs="Arial"/>
        </w:rPr>
        <w:t>ČSN</w:t>
      </w:r>
      <w:r w:rsidRPr="00461C16">
        <w:rPr>
          <w:rFonts w:cs="Arial"/>
        </w:rPr>
        <w:tab/>
      </w:r>
      <w:r w:rsidRPr="00461C16">
        <w:rPr>
          <w:rFonts w:cs="Arial"/>
        </w:rPr>
        <w:tab/>
      </w:r>
      <w:r w:rsidRPr="00461C16">
        <w:rPr>
          <w:rFonts w:cs="Arial"/>
        </w:rPr>
        <w:tab/>
        <w:t>česká státní norma</w:t>
      </w:r>
    </w:p>
    <w:p w14:paraId="1BEA0AA7" w14:textId="77777777" w:rsidR="00352126" w:rsidRPr="00461C16" w:rsidRDefault="00352126" w:rsidP="00352126">
      <w:pPr>
        <w:spacing w:before="60" w:after="60" w:line="240" w:lineRule="auto"/>
        <w:rPr>
          <w:rFonts w:cs="Arial"/>
        </w:rPr>
      </w:pPr>
      <w:r w:rsidRPr="00461C16">
        <w:rPr>
          <w:rFonts w:cs="Arial"/>
        </w:rPr>
        <w:t>ČSÚ</w:t>
      </w:r>
      <w:r w:rsidRPr="00461C16">
        <w:rPr>
          <w:rFonts w:cs="Arial"/>
        </w:rPr>
        <w:tab/>
      </w:r>
      <w:r w:rsidRPr="00461C16">
        <w:rPr>
          <w:rFonts w:cs="Arial"/>
        </w:rPr>
        <w:tab/>
      </w:r>
      <w:r w:rsidRPr="00461C16">
        <w:rPr>
          <w:rFonts w:cs="Arial"/>
        </w:rPr>
        <w:tab/>
        <w:t>Český statistický úřad</w:t>
      </w:r>
    </w:p>
    <w:p w14:paraId="7CA77C82" w14:textId="77777777" w:rsidR="00352126" w:rsidRPr="00461C16" w:rsidRDefault="00352126" w:rsidP="00352126">
      <w:pPr>
        <w:spacing w:before="60" w:after="60" w:line="240" w:lineRule="auto"/>
        <w:rPr>
          <w:rFonts w:cs="Arial"/>
        </w:rPr>
      </w:pPr>
      <w:r w:rsidRPr="00461C16">
        <w:rPr>
          <w:rFonts w:cs="Arial"/>
        </w:rPr>
        <w:t>ČÚZK</w:t>
      </w:r>
      <w:r w:rsidRPr="00461C16">
        <w:rPr>
          <w:rFonts w:cs="Arial"/>
        </w:rPr>
        <w:tab/>
      </w:r>
      <w:r w:rsidRPr="00461C16">
        <w:rPr>
          <w:rFonts w:cs="Arial"/>
        </w:rPr>
        <w:tab/>
      </w:r>
      <w:r w:rsidRPr="00461C16">
        <w:rPr>
          <w:rFonts w:cs="Arial"/>
        </w:rPr>
        <w:tab/>
        <w:t>Český úřad zeměměřičský a katastrální</w:t>
      </w:r>
    </w:p>
    <w:p w14:paraId="4060913F" w14:textId="77777777" w:rsidR="005E1CEB" w:rsidRPr="00461C16" w:rsidRDefault="005E1CEB" w:rsidP="00352126">
      <w:pPr>
        <w:spacing w:before="60" w:after="60" w:line="240" w:lineRule="auto"/>
        <w:rPr>
          <w:rFonts w:cs="Arial"/>
        </w:rPr>
      </w:pPr>
      <w:r w:rsidRPr="00461C16">
        <w:rPr>
          <w:rFonts w:cs="Arial"/>
        </w:rPr>
        <w:t>DÚR</w:t>
      </w:r>
      <w:r w:rsidRPr="00461C16">
        <w:rPr>
          <w:rFonts w:cs="Arial"/>
        </w:rPr>
        <w:tab/>
      </w:r>
      <w:r w:rsidRPr="00461C16">
        <w:rPr>
          <w:rFonts w:cs="Arial"/>
        </w:rPr>
        <w:tab/>
      </w:r>
      <w:r w:rsidRPr="00461C16">
        <w:rPr>
          <w:rFonts w:cs="Arial"/>
        </w:rPr>
        <w:tab/>
        <w:t>dokumentace pro územní rozhodnutí</w:t>
      </w:r>
    </w:p>
    <w:p w14:paraId="53B0E7D7" w14:textId="77777777" w:rsidR="00352126" w:rsidRPr="00461C16" w:rsidRDefault="00352126" w:rsidP="00352126">
      <w:pPr>
        <w:spacing w:before="60" w:after="60" w:line="240" w:lineRule="auto"/>
        <w:rPr>
          <w:rFonts w:cs="Arial"/>
        </w:rPr>
      </w:pPr>
      <w:r w:rsidRPr="00461C16">
        <w:rPr>
          <w:rFonts w:cs="Arial"/>
        </w:rPr>
        <w:t>EU</w:t>
      </w:r>
      <w:r w:rsidRPr="00461C16">
        <w:rPr>
          <w:rFonts w:cs="Arial"/>
        </w:rPr>
        <w:tab/>
      </w:r>
      <w:r w:rsidRPr="00461C16">
        <w:rPr>
          <w:rFonts w:cs="Arial"/>
        </w:rPr>
        <w:tab/>
      </w:r>
      <w:r w:rsidRPr="00461C16">
        <w:rPr>
          <w:rFonts w:cs="Arial"/>
        </w:rPr>
        <w:tab/>
        <w:t>Evropská unie</w:t>
      </w:r>
    </w:p>
    <w:p w14:paraId="44BB07A9" w14:textId="77777777" w:rsidR="00352126" w:rsidRPr="00461C16" w:rsidRDefault="00352126" w:rsidP="00352126">
      <w:pPr>
        <w:spacing w:before="60" w:after="60" w:line="240" w:lineRule="auto"/>
        <w:rPr>
          <w:rFonts w:cs="Arial"/>
        </w:rPr>
      </w:pPr>
      <w:r w:rsidRPr="00461C16">
        <w:rPr>
          <w:rFonts w:cs="Arial"/>
        </w:rPr>
        <w:t>EVL</w:t>
      </w:r>
      <w:r w:rsidRPr="00461C16">
        <w:rPr>
          <w:rFonts w:cs="Arial"/>
        </w:rPr>
        <w:tab/>
      </w:r>
      <w:r w:rsidRPr="00461C16">
        <w:rPr>
          <w:rFonts w:cs="Arial"/>
        </w:rPr>
        <w:tab/>
      </w:r>
      <w:r w:rsidRPr="00461C16">
        <w:rPr>
          <w:rFonts w:cs="Arial"/>
        </w:rPr>
        <w:tab/>
        <w:t>evropsky významná lokalita</w:t>
      </w:r>
    </w:p>
    <w:p w14:paraId="5621AF17" w14:textId="77777777" w:rsidR="00C70B70" w:rsidRPr="00461C16" w:rsidRDefault="00C70B70" w:rsidP="00352126">
      <w:pPr>
        <w:spacing w:before="60" w:after="60" w:line="240" w:lineRule="auto"/>
        <w:rPr>
          <w:rFonts w:cs="Arial"/>
        </w:rPr>
      </w:pPr>
      <w:r w:rsidRPr="00461C16">
        <w:rPr>
          <w:rFonts w:cs="Arial"/>
        </w:rPr>
        <w:t>CHKO LH</w:t>
      </w:r>
      <w:r w:rsidRPr="00461C16">
        <w:rPr>
          <w:rFonts w:cs="Arial"/>
        </w:rPr>
        <w:tab/>
      </w:r>
      <w:r w:rsidRPr="00461C16">
        <w:rPr>
          <w:rFonts w:cs="Arial"/>
        </w:rPr>
        <w:tab/>
        <w:t>Chráněná krajinná oblast Lužické hory</w:t>
      </w:r>
    </w:p>
    <w:p w14:paraId="6546F73F" w14:textId="77777777" w:rsidR="00352126" w:rsidRPr="00461C16" w:rsidRDefault="00352126" w:rsidP="00352126">
      <w:pPr>
        <w:spacing w:before="60" w:after="60" w:line="240" w:lineRule="auto"/>
        <w:rPr>
          <w:rFonts w:cs="Arial"/>
        </w:rPr>
      </w:pPr>
      <w:r w:rsidRPr="00461C16">
        <w:rPr>
          <w:rFonts w:cs="Arial"/>
        </w:rPr>
        <w:t>KN</w:t>
      </w:r>
      <w:r w:rsidRPr="00461C16">
        <w:rPr>
          <w:rFonts w:cs="Arial"/>
        </w:rPr>
        <w:tab/>
      </w:r>
      <w:r w:rsidRPr="00461C16">
        <w:rPr>
          <w:rFonts w:cs="Arial"/>
        </w:rPr>
        <w:tab/>
      </w:r>
      <w:r w:rsidRPr="00461C16">
        <w:rPr>
          <w:rFonts w:cs="Arial"/>
        </w:rPr>
        <w:tab/>
        <w:t>katastr nemovitostí</w:t>
      </w:r>
    </w:p>
    <w:p w14:paraId="6E880952" w14:textId="77777777" w:rsidR="00352126" w:rsidRPr="00461C16" w:rsidRDefault="00352126" w:rsidP="00352126">
      <w:pPr>
        <w:spacing w:before="60" w:after="60" w:line="240" w:lineRule="auto"/>
        <w:rPr>
          <w:rFonts w:cs="Arial"/>
        </w:rPr>
      </w:pPr>
      <w:r w:rsidRPr="00461C16">
        <w:rPr>
          <w:rFonts w:cs="Arial"/>
        </w:rPr>
        <w:t>k.ú.</w:t>
      </w:r>
      <w:r w:rsidRPr="00461C16">
        <w:rPr>
          <w:rFonts w:cs="Arial"/>
        </w:rPr>
        <w:tab/>
      </w:r>
      <w:r w:rsidRPr="00461C16">
        <w:rPr>
          <w:rFonts w:cs="Arial"/>
        </w:rPr>
        <w:tab/>
      </w:r>
      <w:r w:rsidRPr="00461C16">
        <w:rPr>
          <w:rFonts w:cs="Arial"/>
        </w:rPr>
        <w:tab/>
        <w:t>katastrální území</w:t>
      </w:r>
    </w:p>
    <w:p w14:paraId="73DA7C08" w14:textId="77777777" w:rsidR="00352126" w:rsidRPr="00461C16" w:rsidRDefault="00352126" w:rsidP="00352126">
      <w:pPr>
        <w:spacing w:before="60" w:after="60" w:line="240" w:lineRule="auto"/>
        <w:rPr>
          <w:rFonts w:cs="Arial"/>
        </w:rPr>
      </w:pPr>
      <w:r w:rsidRPr="00461C16">
        <w:rPr>
          <w:rFonts w:cs="Arial"/>
        </w:rPr>
        <w:t xml:space="preserve">LBC </w:t>
      </w:r>
      <w:r w:rsidRPr="00461C16">
        <w:rPr>
          <w:rFonts w:cs="Arial"/>
        </w:rPr>
        <w:tab/>
      </w:r>
      <w:r w:rsidRPr="00461C16">
        <w:rPr>
          <w:rFonts w:cs="Arial"/>
        </w:rPr>
        <w:tab/>
      </w:r>
      <w:r w:rsidRPr="00461C16">
        <w:rPr>
          <w:rFonts w:cs="Arial"/>
        </w:rPr>
        <w:tab/>
        <w:t>lokální biocentrum</w:t>
      </w:r>
    </w:p>
    <w:p w14:paraId="1FD538D1" w14:textId="77777777" w:rsidR="00352126" w:rsidRPr="00461C16" w:rsidRDefault="00352126" w:rsidP="00352126">
      <w:pPr>
        <w:spacing w:before="60" w:after="60" w:line="240" w:lineRule="auto"/>
        <w:rPr>
          <w:rFonts w:cs="Arial"/>
        </w:rPr>
      </w:pPr>
      <w:r w:rsidRPr="00461C16">
        <w:rPr>
          <w:rFonts w:cs="Arial"/>
        </w:rPr>
        <w:t xml:space="preserve">LBK </w:t>
      </w:r>
      <w:r w:rsidRPr="00461C16">
        <w:rPr>
          <w:rFonts w:cs="Arial"/>
        </w:rPr>
        <w:tab/>
      </w:r>
      <w:r w:rsidRPr="00461C16">
        <w:rPr>
          <w:rFonts w:cs="Arial"/>
        </w:rPr>
        <w:tab/>
      </w:r>
      <w:r w:rsidRPr="00461C16">
        <w:rPr>
          <w:rFonts w:cs="Arial"/>
        </w:rPr>
        <w:tab/>
        <w:t>lokální biokoridor</w:t>
      </w:r>
    </w:p>
    <w:p w14:paraId="51F171C8" w14:textId="77777777" w:rsidR="00352126" w:rsidRPr="00461C16" w:rsidRDefault="00352126" w:rsidP="00352126">
      <w:pPr>
        <w:spacing w:before="60" w:after="60" w:line="240" w:lineRule="auto"/>
        <w:rPr>
          <w:rFonts w:cs="Arial"/>
        </w:rPr>
      </w:pPr>
      <w:r w:rsidRPr="00461C16">
        <w:rPr>
          <w:rFonts w:cs="Arial"/>
        </w:rPr>
        <w:t>MD</w:t>
      </w:r>
      <w:r w:rsidRPr="00461C16">
        <w:rPr>
          <w:rFonts w:cs="Arial"/>
        </w:rPr>
        <w:tab/>
      </w:r>
      <w:r w:rsidRPr="00461C16">
        <w:rPr>
          <w:rFonts w:cs="Arial"/>
        </w:rPr>
        <w:tab/>
      </w:r>
      <w:r w:rsidRPr="00461C16">
        <w:rPr>
          <w:rFonts w:cs="Arial"/>
        </w:rPr>
        <w:tab/>
        <w:t>Ministerstvo dopravy</w:t>
      </w:r>
    </w:p>
    <w:p w14:paraId="36A6E6EA" w14:textId="77777777" w:rsidR="00352126" w:rsidRPr="00461C16" w:rsidRDefault="00352126" w:rsidP="00352126">
      <w:pPr>
        <w:spacing w:before="60" w:after="60" w:line="240" w:lineRule="auto"/>
        <w:rPr>
          <w:rFonts w:cs="Arial"/>
        </w:rPr>
      </w:pPr>
      <w:r w:rsidRPr="00461C16">
        <w:rPr>
          <w:rFonts w:cs="Arial"/>
        </w:rPr>
        <w:t xml:space="preserve">MěÚ </w:t>
      </w:r>
      <w:r w:rsidRPr="00461C16">
        <w:rPr>
          <w:rFonts w:cs="Arial"/>
        </w:rPr>
        <w:tab/>
      </w:r>
      <w:r w:rsidRPr="00461C16">
        <w:rPr>
          <w:rFonts w:cs="Arial"/>
        </w:rPr>
        <w:tab/>
      </w:r>
      <w:r w:rsidRPr="00461C16">
        <w:rPr>
          <w:rFonts w:cs="Arial"/>
        </w:rPr>
        <w:tab/>
        <w:t xml:space="preserve">městský úřad </w:t>
      </w:r>
    </w:p>
    <w:p w14:paraId="3BF57002" w14:textId="77777777" w:rsidR="00352126" w:rsidRPr="00461C16" w:rsidRDefault="00352126" w:rsidP="00352126">
      <w:pPr>
        <w:spacing w:before="60" w:after="60" w:line="240" w:lineRule="auto"/>
        <w:rPr>
          <w:rFonts w:cs="Arial"/>
        </w:rPr>
      </w:pPr>
      <w:r w:rsidRPr="00461C16">
        <w:rPr>
          <w:rFonts w:cs="Arial"/>
        </w:rPr>
        <w:t>MMR</w:t>
      </w:r>
      <w:r w:rsidRPr="00461C16">
        <w:rPr>
          <w:rFonts w:cs="Arial"/>
        </w:rPr>
        <w:tab/>
      </w:r>
      <w:r w:rsidRPr="00461C16">
        <w:rPr>
          <w:rFonts w:cs="Arial"/>
        </w:rPr>
        <w:tab/>
      </w:r>
      <w:r w:rsidRPr="00461C16">
        <w:rPr>
          <w:rFonts w:cs="Arial"/>
        </w:rPr>
        <w:tab/>
        <w:t xml:space="preserve">Ministerstvo pro místní rozvoj </w:t>
      </w:r>
    </w:p>
    <w:p w14:paraId="51D6BDC3" w14:textId="77777777" w:rsidR="00352126" w:rsidRPr="00461C16" w:rsidRDefault="00352126" w:rsidP="00352126">
      <w:pPr>
        <w:spacing w:before="60" w:after="60" w:line="240" w:lineRule="auto"/>
        <w:rPr>
          <w:rFonts w:cs="Arial"/>
        </w:rPr>
      </w:pPr>
      <w:r w:rsidRPr="00461C16">
        <w:rPr>
          <w:rFonts w:cs="Arial"/>
        </w:rPr>
        <w:t>MPO</w:t>
      </w:r>
      <w:r w:rsidRPr="00461C16">
        <w:rPr>
          <w:rFonts w:cs="Arial"/>
        </w:rPr>
        <w:tab/>
      </w:r>
      <w:r w:rsidRPr="00461C16">
        <w:rPr>
          <w:rFonts w:cs="Arial"/>
        </w:rPr>
        <w:tab/>
      </w:r>
      <w:r w:rsidRPr="00461C16">
        <w:rPr>
          <w:rFonts w:cs="Arial"/>
        </w:rPr>
        <w:tab/>
        <w:t xml:space="preserve">Ministerstvo průmyslu a obchodu </w:t>
      </w:r>
    </w:p>
    <w:p w14:paraId="363AD528" w14:textId="77777777" w:rsidR="00DE5263" w:rsidRPr="00461C16" w:rsidRDefault="00DE5263" w:rsidP="00352126">
      <w:pPr>
        <w:spacing w:before="60" w:after="60" w:line="240" w:lineRule="auto"/>
        <w:rPr>
          <w:rFonts w:cs="Arial"/>
        </w:rPr>
      </w:pPr>
      <w:r w:rsidRPr="00461C16">
        <w:rPr>
          <w:rFonts w:cs="Arial"/>
        </w:rPr>
        <w:t>MPZ</w:t>
      </w:r>
      <w:r w:rsidRPr="00461C16">
        <w:rPr>
          <w:rFonts w:cs="Arial"/>
        </w:rPr>
        <w:tab/>
      </w:r>
      <w:r w:rsidRPr="00461C16">
        <w:rPr>
          <w:rFonts w:cs="Arial"/>
        </w:rPr>
        <w:tab/>
      </w:r>
      <w:r w:rsidRPr="00461C16">
        <w:rPr>
          <w:rFonts w:cs="Arial"/>
        </w:rPr>
        <w:tab/>
        <w:t>městská památková zóna</w:t>
      </w:r>
    </w:p>
    <w:p w14:paraId="0A1027EA" w14:textId="77777777" w:rsidR="00352126" w:rsidRPr="00461C16" w:rsidRDefault="00352126" w:rsidP="00352126">
      <w:pPr>
        <w:spacing w:before="60" w:after="60" w:line="240" w:lineRule="auto"/>
        <w:rPr>
          <w:rFonts w:cs="Arial"/>
        </w:rPr>
      </w:pPr>
      <w:r w:rsidRPr="00461C16">
        <w:rPr>
          <w:rFonts w:cs="Arial"/>
        </w:rPr>
        <w:t>MŠ</w:t>
      </w:r>
      <w:r w:rsidRPr="00461C16">
        <w:rPr>
          <w:rFonts w:cs="Arial"/>
        </w:rPr>
        <w:tab/>
      </w:r>
      <w:r w:rsidRPr="00461C16">
        <w:rPr>
          <w:rFonts w:cs="Arial"/>
        </w:rPr>
        <w:tab/>
      </w:r>
      <w:r w:rsidRPr="00461C16">
        <w:rPr>
          <w:rFonts w:cs="Arial"/>
        </w:rPr>
        <w:tab/>
        <w:t>mateřská škola</w:t>
      </w:r>
    </w:p>
    <w:p w14:paraId="28D80151" w14:textId="77777777" w:rsidR="00352126" w:rsidRPr="00461C16" w:rsidRDefault="00352126" w:rsidP="00352126">
      <w:pPr>
        <w:spacing w:before="60" w:after="60" w:line="240" w:lineRule="auto"/>
        <w:rPr>
          <w:rFonts w:cs="Arial"/>
        </w:rPr>
      </w:pPr>
      <w:r w:rsidRPr="00461C16">
        <w:rPr>
          <w:rFonts w:cs="Arial"/>
        </w:rPr>
        <w:t>MŽP</w:t>
      </w:r>
      <w:r w:rsidRPr="00461C16">
        <w:rPr>
          <w:rFonts w:cs="Arial"/>
        </w:rPr>
        <w:tab/>
      </w:r>
      <w:r w:rsidRPr="00461C16">
        <w:rPr>
          <w:rFonts w:cs="Arial"/>
        </w:rPr>
        <w:tab/>
      </w:r>
      <w:r w:rsidRPr="00461C16">
        <w:rPr>
          <w:rFonts w:cs="Arial"/>
        </w:rPr>
        <w:tab/>
        <w:t>Ministerstvo životního prostředí</w:t>
      </w:r>
    </w:p>
    <w:p w14:paraId="01B75AF1" w14:textId="77777777" w:rsidR="00352126" w:rsidRPr="00461C16" w:rsidRDefault="00352126" w:rsidP="00352126">
      <w:pPr>
        <w:spacing w:before="60" w:after="60" w:line="240" w:lineRule="auto"/>
        <w:rPr>
          <w:rFonts w:cs="Arial"/>
        </w:rPr>
      </w:pPr>
      <w:r w:rsidRPr="00461C16">
        <w:rPr>
          <w:rFonts w:cs="Arial"/>
        </w:rPr>
        <w:t xml:space="preserve">NKP </w:t>
      </w:r>
      <w:r w:rsidRPr="00461C16">
        <w:rPr>
          <w:rFonts w:cs="Arial"/>
        </w:rPr>
        <w:tab/>
      </w:r>
      <w:r w:rsidRPr="00461C16">
        <w:rPr>
          <w:rFonts w:cs="Arial"/>
        </w:rPr>
        <w:tab/>
      </w:r>
      <w:r w:rsidRPr="00461C16">
        <w:rPr>
          <w:rFonts w:cs="Arial"/>
        </w:rPr>
        <w:tab/>
        <w:t>nemovitá kulturní památka</w:t>
      </w:r>
    </w:p>
    <w:p w14:paraId="72289335" w14:textId="77777777" w:rsidR="00352126" w:rsidRPr="00461C16" w:rsidRDefault="00352126" w:rsidP="00352126">
      <w:pPr>
        <w:spacing w:before="60" w:after="60" w:line="240" w:lineRule="auto"/>
        <w:rPr>
          <w:rFonts w:cs="Arial"/>
        </w:rPr>
      </w:pPr>
      <w:r w:rsidRPr="00461C16">
        <w:rPr>
          <w:rFonts w:cs="Arial"/>
        </w:rPr>
        <w:t xml:space="preserve">NN </w:t>
      </w:r>
      <w:r w:rsidRPr="00461C16">
        <w:rPr>
          <w:rFonts w:cs="Arial"/>
        </w:rPr>
        <w:tab/>
      </w:r>
      <w:r w:rsidRPr="00461C16">
        <w:rPr>
          <w:rFonts w:cs="Arial"/>
        </w:rPr>
        <w:tab/>
      </w:r>
      <w:r w:rsidRPr="00461C16">
        <w:rPr>
          <w:rFonts w:cs="Arial"/>
        </w:rPr>
        <w:tab/>
        <w:t>nízké napětí</w:t>
      </w:r>
    </w:p>
    <w:p w14:paraId="19A45949" w14:textId="77777777" w:rsidR="00352126" w:rsidRPr="00461C16" w:rsidRDefault="00352126" w:rsidP="00352126">
      <w:pPr>
        <w:spacing w:before="60" w:after="60" w:line="240" w:lineRule="auto"/>
        <w:rPr>
          <w:rFonts w:cs="Arial"/>
        </w:rPr>
      </w:pPr>
      <w:r w:rsidRPr="00461C16">
        <w:rPr>
          <w:rFonts w:cs="Arial"/>
        </w:rPr>
        <w:t>NP</w:t>
      </w:r>
      <w:r w:rsidRPr="00461C16">
        <w:rPr>
          <w:rFonts w:cs="Arial"/>
        </w:rPr>
        <w:tab/>
      </w:r>
      <w:r w:rsidRPr="00461C16">
        <w:rPr>
          <w:rFonts w:cs="Arial"/>
        </w:rPr>
        <w:tab/>
      </w:r>
      <w:r w:rsidRPr="00461C16">
        <w:rPr>
          <w:rFonts w:cs="Arial"/>
        </w:rPr>
        <w:tab/>
        <w:t>nadzemní podlaží</w:t>
      </w:r>
    </w:p>
    <w:p w14:paraId="510207D5" w14:textId="77777777" w:rsidR="00352126" w:rsidRPr="00461C16" w:rsidRDefault="00352126" w:rsidP="00352126">
      <w:pPr>
        <w:spacing w:before="60" w:after="60" w:line="240" w:lineRule="auto"/>
        <w:rPr>
          <w:rFonts w:cs="Arial"/>
        </w:rPr>
      </w:pPr>
      <w:r w:rsidRPr="00461C16">
        <w:rPr>
          <w:rFonts w:cs="Arial"/>
        </w:rPr>
        <w:t>NPÚ</w:t>
      </w:r>
      <w:r w:rsidRPr="00461C16">
        <w:rPr>
          <w:rFonts w:cs="Arial"/>
        </w:rPr>
        <w:tab/>
      </w:r>
      <w:r w:rsidRPr="00461C16">
        <w:rPr>
          <w:rFonts w:cs="Arial"/>
        </w:rPr>
        <w:tab/>
      </w:r>
      <w:r w:rsidRPr="00461C16">
        <w:rPr>
          <w:rFonts w:cs="Arial"/>
        </w:rPr>
        <w:tab/>
        <w:t>Národní památkový ústav</w:t>
      </w:r>
    </w:p>
    <w:p w14:paraId="55F346B3" w14:textId="77777777" w:rsidR="00352126" w:rsidRPr="00461C16" w:rsidRDefault="00352126" w:rsidP="00352126">
      <w:pPr>
        <w:spacing w:before="60" w:after="60" w:line="240" w:lineRule="auto"/>
        <w:rPr>
          <w:rFonts w:cs="Arial"/>
        </w:rPr>
      </w:pPr>
      <w:r w:rsidRPr="00461C16">
        <w:rPr>
          <w:rFonts w:cs="Arial"/>
        </w:rPr>
        <w:t>NRBK</w:t>
      </w:r>
      <w:r w:rsidRPr="00461C16">
        <w:rPr>
          <w:rFonts w:cs="Arial"/>
        </w:rPr>
        <w:tab/>
      </w:r>
      <w:r w:rsidRPr="00461C16">
        <w:rPr>
          <w:rFonts w:cs="Arial"/>
        </w:rPr>
        <w:tab/>
      </w:r>
      <w:r w:rsidRPr="00461C16">
        <w:rPr>
          <w:rFonts w:cs="Arial"/>
        </w:rPr>
        <w:tab/>
        <w:t>nadregionální biokoridor</w:t>
      </w:r>
    </w:p>
    <w:p w14:paraId="70EC3670" w14:textId="77777777" w:rsidR="00352126" w:rsidRPr="00461C16" w:rsidRDefault="00352126" w:rsidP="00352126">
      <w:pPr>
        <w:spacing w:before="60" w:after="60" w:line="240" w:lineRule="auto"/>
        <w:rPr>
          <w:rFonts w:cs="Arial"/>
        </w:rPr>
      </w:pPr>
      <w:r w:rsidRPr="00461C16">
        <w:rPr>
          <w:rFonts w:cs="Arial"/>
        </w:rPr>
        <w:t xml:space="preserve">NTL </w:t>
      </w:r>
      <w:r w:rsidRPr="00461C16">
        <w:rPr>
          <w:rFonts w:cs="Arial"/>
        </w:rPr>
        <w:tab/>
      </w:r>
      <w:r w:rsidRPr="00461C16">
        <w:rPr>
          <w:rFonts w:cs="Arial"/>
        </w:rPr>
        <w:tab/>
      </w:r>
      <w:r w:rsidRPr="00461C16">
        <w:rPr>
          <w:rFonts w:cs="Arial"/>
        </w:rPr>
        <w:tab/>
        <w:t>nízkotlaký</w:t>
      </w:r>
    </w:p>
    <w:p w14:paraId="30F158BB" w14:textId="77777777" w:rsidR="00352126" w:rsidRPr="00461C16" w:rsidRDefault="00352126" w:rsidP="00352126">
      <w:pPr>
        <w:spacing w:before="60" w:after="60" w:line="240" w:lineRule="auto"/>
        <w:rPr>
          <w:rFonts w:cs="Arial"/>
        </w:rPr>
      </w:pPr>
      <w:r w:rsidRPr="00461C16">
        <w:rPr>
          <w:rFonts w:cs="Arial"/>
        </w:rPr>
        <w:t>OP</w:t>
      </w:r>
      <w:r w:rsidRPr="00461C16">
        <w:rPr>
          <w:rFonts w:cs="Arial"/>
        </w:rPr>
        <w:tab/>
      </w:r>
      <w:r w:rsidRPr="00461C16">
        <w:rPr>
          <w:rFonts w:cs="Arial"/>
        </w:rPr>
        <w:tab/>
      </w:r>
      <w:r w:rsidRPr="00461C16">
        <w:rPr>
          <w:rFonts w:cs="Arial"/>
        </w:rPr>
        <w:tab/>
        <w:t>ochranné pásmo</w:t>
      </w:r>
    </w:p>
    <w:p w14:paraId="35E5C318" w14:textId="77777777" w:rsidR="00352126" w:rsidRPr="00461C16" w:rsidRDefault="00352126" w:rsidP="00352126">
      <w:pPr>
        <w:spacing w:before="60" w:after="60" w:line="240" w:lineRule="auto"/>
        <w:rPr>
          <w:rFonts w:cs="Arial"/>
        </w:rPr>
      </w:pPr>
      <w:r w:rsidRPr="00461C16">
        <w:rPr>
          <w:rFonts w:cs="Arial"/>
        </w:rPr>
        <w:t>ORP</w:t>
      </w:r>
      <w:r w:rsidRPr="00461C16">
        <w:rPr>
          <w:rFonts w:cs="Arial"/>
        </w:rPr>
        <w:tab/>
      </w:r>
      <w:r w:rsidRPr="00461C16">
        <w:rPr>
          <w:rFonts w:cs="Arial"/>
        </w:rPr>
        <w:tab/>
      </w:r>
      <w:r w:rsidRPr="00461C16">
        <w:rPr>
          <w:rFonts w:cs="Arial"/>
        </w:rPr>
        <w:tab/>
        <w:t>obec s rozšířenou působností</w:t>
      </w:r>
    </w:p>
    <w:p w14:paraId="4A7A3C4C" w14:textId="77777777" w:rsidR="00352126" w:rsidRPr="00461C16" w:rsidRDefault="00352126" w:rsidP="00352126">
      <w:pPr>
        <w:spacing w:before="60" w:after="60" w:line="240" w:lineRule="auto"/>
        <w:rPr>
          <w:rFonts w:cs="Arial"/>
        </w:rPr>
      </w:pPr>
      <w:r w:rsidRPr="00461C16">
        <w:rPr>
          <w:rFonts w:cs="Arial"/>
        </w:rPr>
        <w:t>OV</w:t>
      </w:r>
      <w:r w:rsidRPr="00461C16">
        <w:rPr>
          <w:rFonts w:cs="Arial"/>
        </w:rPr>
        <w:tab/>
      </w:r>
      <w:r w:rsidRPr="00461C16">
        <w:rPr>
          <w:rFonts w:cs="Arial"/>
        </w:rPr>
        <w:tab/>
      </w:r>
      <w:r w:rsidRPr="00461C16">
        <w:rPr>
          <w:rFonts w:cs="Arial"/>
        </w:rPr>
        <w:tab/>
        <w:t>občanské vybavení / občanská vybavenost</w:t>
      </w:r>
    </w:p>
    <w:p w14:paraId="4E67FB83" w14:textId="77777777" w:rsidR="00352126" w:rsidRPr="00461C16" w:rsidRDefault="00352126" w:rsidP="00352126">
      <w:pPr>
        <w:spacing w:before="60" w:after="60" w:line="240" w:lineRule="auto"/>
        <w:rPr>
          <w:rFonts w:cs="Arial"/>
        </w:rPr>
      </w:pPr>
      <w:r w:rsidRPr="00461C16">
        <w:rPr>
          <w:rFonts w:cs="Arial"/>
        </w:rPr>
        <w:t>OŽP</w:t>
      </w:r>
      <w:r w:rsidRPr="00461C16">
        <w:rPr>
          <w:rFonts w:cs="Arial"/>
        </w:rPr>
        <w:tab/>
      </w:r>
      <w:r w:rsidRPr="00461C16">
        <w:rPr>
          <w:rFonts w:cs="Arial"/>
        </w:rPr>
        <w:tab/>
      </w:r>
      <w:r w:rsidRPr="00461C16">
        <w:rPr>
          <w:rFonts w:cs="Arial"/>
        </w:rPr>
        <w:tab/>
        <w:t>odbor životního prostředí</w:t>
      </w:r>
    </w:p>
    <w:p w14:paraId="0628AA82" w14:textId="77777777" w:rsidR="00352126" w:rsidRPr="00461C16" w:rsidRDefault="00352126" w:rsidP="00352126">
      <w:pPr>
        <w:spacing w:before="60" w:after="60" w:line="240" w:lineRule="auto"/>
        <w:rPr>
          <w:rFonts w:cs="Arial"/>
        </w:rPr>
      </w:pPr>
      <w:r w:rsidRPr="00461C16">
        <w:rPr>
          <w:rFonts w:cs="Arial"/>
        </w:rPr>
        <w:t>PRV</w:t>
      </w:r>
      <w:r w:rsidR="0048487F" w:rsidRPr="00461C16">
        <w:rPr>
          <w:rFonts w:cs="Arial"/>
        </w:rPr>
        <w:t>K LK</w:t>
      </w:r>
      <w:r w:rsidRPr="00461C16">
        <w:rPr>
          <w:rFonts w:cs="Arial"/>
        </w:rPr>
        <w:tab/>
      </w:r>
      <w:r w:rsidRPr="00461C16">
        <w:rPr>
          <w:rFonts w:cs="Arial"/>
        </w:rPr>
        <w:tab/>
        <w:t xml:space="preserve">Plán rozvoje vodovodů a kanalizace </w:t>
      </w:r>
      <w:r w:rsidR="0048487F" w:rsidRPr="00461C16">
        <w:rPr>
          <w:rFonts w:cs="Arial"/>
        </w:rPr>
        <w:t>Liberec</w:t>
      </w:r>
      <w:r w:rsidRPr="00461C16">
        <w:rPr>
          <w:rFonts w:cs="Arial"/>
        </w:rPr>
        <w:t>kého kraje</w:t>
      </w:r>
    </w:p>
    <w:p w14:paraId="6121EF80" w14:textId="77777777" w:rsidR="00352126" w:rsidRPr="00461C16" w:rsidRDefault="00352126" w:rsidP="00352126">
      <w:pPr>
        <w:spacing w:before="60" w:after="60" w:line="240" w:lineRule="auto"/>
        <w:rPr>
          <w:rFonts w:cs="Arial"/>
        </w:rPr>
      </w:pPr>
      <w:r w:rsidRPr="00461C16">
        <w:rPr>
          <w:rFonts w:cs="Arial"/>
        </w:rPr>
        <w:t>PÚR ČR</w:t>
      </w:r>
      <w:r w:rsidRPr="00461C16">
        <w:rPr>
          <w:rFonts w:cs="Arial"/>
        </w:rPr>
        <w:tab/>
      </w:r>
      <w:r w:rsidRPr="00461C16">
        <w:rPr>
          <w:rFonts w:cs="Arial"/>
        </w:rPr>
        <w:tab/>
      </w:r>
      <w:r w:rsidRPr="00461C16">
        <w:rPr>
          <w:rFonts w:cs="Arial"/>
        </w:rPr>
        <w:tab/>
        <w:t>Politika územního rozvoje České republiky</w:t>
      </w:r>
    </w:p>
    <w:p w14:paraId="6DEDFD21" w14:textId="77777777" w:rsidR="00352126" w:rsidRPr="00461C16" w:rsidRDefault="00352126" w:rsidP="00352126">
      <w:pPr>
        <w:spacing w:before="60" w:after="60" w:line="240" w:lineRule="auto"/>
        <w:rPr>
          <w:rFonts w:cs="Arial"/>
        </w:rPr>
      </w:pPr>
      <w:r w:rsidRPr="00461C16">
        <w:rPr>
          <w:rFonts w:cs="Arial"/>
        </w:rPr>
        <w:t>PUPFL</w:t>
      </w:r>
      <w:r w:rsidRPr="00461C16">
        <w:rPr>
          <w:rFonts w:cs="Arial"/>
        </w:rPr>
        <w:tab/>
      </w:r>
      <w:r w:rsidRPr="00461C16">
        <w:rPr>
          <w:rFonts w:cs="Arial"/>
        </w:rPr>
        <w:tab/>
      </w:r>
      <w:r w:rsidRPr="00461C16">
        <w:rPr>
          <w:rFonts w:cs="Arial"/>
        </w:rPr>
        <w:tab/>
        <w:t>pozemky určené k plnění funkcí lesa</w:t>
      </w:r>
    </w:p>
    <w:p w14:paraId="5E14CFF3" w14:textId="77777777" w:rsidR="00352126" w:rsidRPr="00461C16" w:rsidRDefault="00352126" w:rsidP="00352126">
      <w:pPr>
        <w:spacing w:before="60" w:after="60" w:line="240" w:lineRule="auto"/>
        <w:rPr>
          <w:rFonts w:cs="Arial"/>
        </w:rPr>
      </w:pPr>
      <w:r w:rsidRPr="00461C16">
        <w:rPr>
          <w:rFonts w:cs="Arial"/>
        </w:rPr>
        <w:t xml:space="preserve">Q100 </w:t>
      </w:r>
      <w:r w:rsidRPr="00461C16">
        <w:rPr>
          <w:rFonts w:cs="Arial"/>
        </w:rPr>
        <w:tab/>
      </w:r>
      <w:r w:rsidRPr="00461C16">
        <w:rPr>
          <w:rFonts w:cs="Arial"/>
        </w:rPr>
        <w:tab/>
      </w:r>
      <w:r w:rsidRPr="00461C16">
        <w:rPr>
          <w:rFonts w:cs="Arial"/>
        </w:rPr>
        <w:tab/>
        <w:t>záplavové území vymezené pro rozliv tzv. stoleté vody</w:t>
      </w:r>
    </w:p>
    <w:p w14:paraId="5F7A8BF2" w14:textId="77777777" w:rsidR="00352126" w:rsidRPr="00461C16" w:rsidRDefault="00352126" w:rsidP="00352126">
      <w:pPr>
        <w:spacing w:before="60" w:after="60" w:line="240" w:lineRule="auto"/>
        <w:rPr>
          <w:rFonts w:cs="Arial"/>
        </w:rPr>
      </w:pPr>
      <w:r w:rsidRPr="00461C16">
        <w:rPr>
          <w:rFonts w:cs="Arial"/>
        </w:rPr>
        <w:t xml:space="preserve">RBC </w:t>
      </w:r>
      <w:r w:rsidRPr="00461C16">
        <w:rPr>
          <w:rFonts w:cs="Arial"/>
        </w:rPr>
        <w:tab/>
      </w:r>
      <w:r w:rsidRPr="00461C16">
        <w:rPr>
          <w:rFonts w:cs="Arial"/>
        </w:rPr>
        <w:tab/>
      </w:r>
      <w:r w:rsidRPr="00461C16">
        <w:rPr>
          <w:rFonts w:cs="Arial"/>
        </w:rPr>
        <w:tab/>
        <w:t>regionální biocentrum</w:t>
      </w:r>
    </w:p>
    <w:p w14:paraId="7B57A79D" w14:textId="77777777" w:rsidR="00352126" w:rsidRPr="00461C16" w:rsidRDefault="00352126" w:rsidP="00352126">
      <w:pPr>
        <w:spacing w:before="60" w:after="60" w:line="240" w:lineRule="auto"/>
        <w:rPr>
          <w:rFonts w:cs="Arial"/>
        </w:rPr>
      </w:pPr>
      <w:r w:rsidRPr="00461C16">
        <w:rPr>
          <w:rFonts w:cs="Arial"/>
        </w:rPr>
        <w:t xml:space="preserve">RBK </w:t>
      </w:r>
      <w:r w:rsidRPr="00461C16">
        <w:rPr>
          <w:rFonts w:cs="Arial"/>
        </w:rPr>
        <w:tab/>
      </w:r>
      <w:r w:rsidRPr="00461C16">
        <w:rPr>
          <w:rFonts w:cs="Arial"/>
        </w:rPr>
        <w:tab/>
      </w:r>
      <w:r w:rsidRPr="00461C16">
        <w:rPr>
          <w:rFonts w:cs="Arial"/>
        </w:rPr>
        <w:tab/>
        <w:t>regionální biokoridor</w:t>
      </w:r>
    </w:p>
    <w:p w14:paraId="6CC63708" w14:textId="77777777" w:rsidR="00352126" w:rsidRPr="00A06EB9" w:rsidRDefault="00352126" w:rsidP="00352126">
      <w:pPr>
        <w:spacing w:before="60" w:after="60" w:line="240" w:lineRule="auto"/>
        <w:rPr>
          <w:rFonts w:cs="Arial"/>
        </w:rPr>
      </w:pPr>
      <w:r w:rsidRPr="00A06EB9">
        <w:rPr>
          <w:rFonts w:cs="Arial"/>
        </w:rPr>
        <w:t xml:space="preserve">RD </w:t>
      </w:r>
      <w:r w:rsidRPr="00A06EB9">
        <w:rPr>
          <w:rFonts w:cs="Arial"/>
        </w:rPr>
        <w:tab/>
      </w:r>
      <w:r w:rsidRPr="00A06EB9">
        <w:rPr>
          <w:rFonts w:cs="Arial"/>
        </w:rPr>
        <w:tab/>
      </w:r>
      <w:r w:rsidRPr="00A06EB9">
        <w:rPr>
          <w:rFonts w:cs="Arial"/>
        </w:rPr>
        <w:tab/>
        <w:t>rodinný dům</w:t>
      </w:r>
    </w:p>
    <w:p w14:paraId="0B3A17A2" w14:textId="77777777" w:rsidR="00D35ECC" w:rsidRPr="00461C16" w:rsidRDefault="00D35ECC" w:rsidP="00352126">
      <w:pPr>
        <w:spacing w:before="60" w:after="60" w:line="240" w:lineRule="auto"/>
        <w:rPr>
          <w:rFonts w:cs="Arial"/>
        </w:rPr>
      </w:pPr>
      <w:r w:rsidRPr="00461C16">
        <w:rPr>
          <w:rFonts w:cs="Arial"/>
        </w:rPr>
        <w:lastRenderedPageBreak/>
        <w:t>RP</w:t>
      </w:r>
      <w:r w:rsidRPr="00461C16">
        <w:rPr>
          <w:rFonts w:cs="Arial"/>
        </w:rPr>
        <w:tab/>
      </w:r>
      <w:r w:rsidRPr="00461C16">
        <w:rPr>
          <w:rFonts w:cs="Arial"/>
        </w:rPr>
        <w:tab/>
      </w:r>
      <w:r w:rsidRPr="00461C16">
        <w:rPr>
          <w:rFonts w:cs="Arial"/>
        </w:rPr>
        <w:tab/>
        <w:t>regulační plán</w:t>
      </w:r>
    </w:p>
    <w:p w14:paraId="4EA960B7" w14:textId="77777777" w:rsidR="00352126" w:rsidRPr="00461C16" w:rsidRDefault="00352126" w:rsidP="00352126">
      <w:pPr>
        <w:spacing w:before="60" w:after="60" w:line="240" w:lineRule="auto"/>
        <w:rPr>
          <w:rFonts w:cs="Arial"/>
        </w:rPr>
      </w:pPr>
      <w:r w:rsidRPr="00461C16">
        <w:rPr>
          <w:rFonts w:cs="Arial"/>
        </w:rPr>
        <w:t xml:space="preserve">RS </w:t>
      </w:r>
      <w:r w:rsidRPr="00461C16">
        <w:rPr>
          <w:rFonts w:cs="Arial"/>
        </w:rPr>
        <w:tab/>
      </w:r>
      <w:r w:rsidRPr="00461C16">
        <w:rPr>
          <w:rFonts w:cs="Arial"/>
        </w:rPr>
        <w:tab/>
      </w:r>
      <w:r w:rsidRPr="00461C16">
        <w:rPr>
          <w:rFonts w:cs="Arial"/>
        </w:rPr>
        <w:tab/>
        <w:t>regulační stanice</w:t>
      </w:r>
    </w:p>
    <w:p w14:paraId="52F03587" w14:textId="77777777" w:rsidR="00352126" w:rsidRPr="00461C16" w:rsidRDefault="00352126" w:rsidP="00352126">
      <w:pPr>
        <w:spacing w:before="60" w:after="60" w:line="240" w:lineRule="auto"/>
        <w:rPr>
          <w:rFonts w:cs="Arial"/>
        </w:rPr>
      </w:pPr>
      <w:r w:rsidRPr="00461C16">
        <w:rPr>
          <w:rFonts w:cs="Arial"/>
        </w:rPr>
        <w:t xml:space="preserve">RURÚ </w:t>
      </w:r>
      <w:r w:rsidRPr="00461C16">
        <w:rPr>
          <w:rFonts w:cs="Arial"/>
        </w:rPr>
        <w:tab/>
      </w:r>
      <w:r w:rsidRPr="00461C16">
        <w:rPr>
          <w:rFonts w:cs="Arial"/>
        </w:rPr>
        <w:tab/>
      </w:r>
      <w:r w:rsidRPr="00461C16">
        <w:rPr>
          <w:rFonts w:cs="Arial"/>
        </w:rPr>
        <w:tab/>
        <w:t>rozbor udržitelného rozvoje území</w:t>
      </w:r>
    </w:p>
    <w:p w14:paraId="64426F35" w14:textId="77777777" w:rsidR="00352126" w:rsidRPr="00461C16" w:rsidRDefault="00352126" w:rsidP="00352126">
      <w:pPr>
        <w:spacing w:before="60" w:after="60" w:line="240" w:lineRule="auto"/>
        <w:rPr>
          <w:rFonts w:cs="Arial"/>
        </w:rPr>
      </w:pPr>
      <w:r w:rsidRPr="00461C16">
        <w:rPr>
          <w:rFonts w:cs="Arial"/>
        </w:rPr>
        <w:t>ŘSD ČR</w:t>
      </w:r>
      <w:r w:rsidRPr="00461C16">
        <w:rPr>
          <w:rFonts w:cs="Arial"/>
        </w:rPr>
        <w:tab/>
      </w:r>
      <w:r w:rsidRPr="00461C16">
        <w:rPr>
          <w:rFonts w:cs="Arial"/>
        </w:rPr>
        <w:tab/>
      </w:r>
      <w:r w:rsidRPr="00461C16">
        <w:rPr>
          <w:rFonts w:cs="Arial"/>
        </w:rPr>
        <w:tab/>
        <w:t>Ředitelství silnic a dálnic České republiky</w:t>
      </w:r>
    </w:p>
    <w:p w14:paraId="63B1250F" w14:textId="77777777" w:rsidR="00352126" w:rsidRPr="00461C16" w:rsidRDefault="00352126" w:rsidP="00352126">
      <w:pPr>
        <w:spacing w:before="60" w:after="60" w:line="240" w:lineRule="auto"/>
        <w:rPr>
          <w:rFonts w:cs="Arial"/>
        </w:rPr>
      </w:pPr>
      <w:r w:rsidRPr="00461C16">
        <w:rPr>
          <w:rFonts w:cs="Arial"/>
        </w:rPr>
        <w:t>SAS</w:t>
      </w:r>
      <w:r w:rsidRPr="00461C16">
        <w:rPr>
          <w:rFonts w:cs="Arial"/>
        </w:rPr>
        <w:tab/>
      </w:r>
      <w:r w:rsidRPr="00461C16">
        <w:rPr>
          <w:rFonts w:cs="Arial"/>
        </w:rPr>
        <w:tab/>
      </w:r>
      <w:r w:rsidRPr="00461C16">
        <w:rPr>
          <w:rFonts w:cs="Arial"/>
        </w:rPr>
        <w:tab/>
        <w:t>státní archeologický seznam</w:t>
      </w:r>
    </w:p>
    <w:p w14:paraId="1DE7A45E" w14:textId="77777777" w:rsidR="00352126" w:rsidRPr="00461C16" w:rsidRDefault="00352126" w:rsidP="00352126">
      <w:pPr>
        <w:spacing w:before="60" w:after="60" w:line="240" w:lineRule="auto"/>
        <w:rPr>
          <w:rFonts w:cs="Arial"/>
        </w:rPr>
      </w:pPr>
      <w:r w:rsidRPr="00461C16">
        <w:rPr>
          <w:rFonts w:cs="Arial"/>
        </w:rPr>
        <w:t>SEA</w:t>
      </w:r>
      <w:r w:rsidRPr="00461C16">
        <w:rPr>
          <w:rFonts w:cs="Arial"/>
        </w:rPr>
        <w:tab/>
      </w:r>
      <w:r w:rsidRPr="00461C16">
        <w:rPr>
          <w:rFonts w:cs="Arial"/>
        </w:rPr>
        <w:tab/>
      </w:r>
      <w:r w:rsidRPr="00461C16">
        <w:rPr>
          <w:rFonts w:cs="Arial"/>
        </w:rPr>
        <w:tab/>
        <w:t>strategic environmental assessment (posouzení vlivů na životní prostředí)</w:t>
      </w:r>
    </w:p>
    <w:p w14:paraId="5A995D8C" w14:textId="77777777" w:rsidR="00352126" w:rsidRPr="00461C16" w:rsidRDefault="00352126" w:rsidP="00352126">
      <w:pPr>
        <w:spacing w:before="60" w:after="60" w:line="240" w:lineRule="auto"/>
        <w:rPr>
          <w:rFonts w:cs="Arial"/>
        </w:rPr>
      </w:pPr>
      <w:r w:rsidRPr="00461C16">
        <w:rPr>
          <w:rFonts w:cs="Arial"/>
        </w:rPr>
        <w:t>STL</w:t>
      </w:r>
      <w:r w:rsidRPr="00461C16">
        <w:rPr>
          <w:rFonts w:cs="Arial"/>
        </w:rPr>
        <w:tab/>
      </w:r>
      <w:r w:rsidRPr="00461C16">
        <w:rPr>
          <w:rFonts w:cs="Arial"/>
        </w:rPr>
        <w:tab/>
      </w:r>
      <w:r w:rsidRPr="00461C16">
        <w:rPr>
          <w:rFonts w:cs="Arial"/>
        </w:rPr>
        <w:tab/>
        <w:t>středotlaký</w:t>
      </w:r>
    </w:p>
    <w:p w14:paraId="48A6B4ED" w14:textId="77777777" w:rsidR="00352126" w:rsidRPr="00461C16" w:rsidRDefault="00352126" w:rsidP="00352126">
      <w:pPr>
        <w:spacing w:before="60" w:after="60" w:line="240" w:lineRule="auto"/>
        <w:rPr>
          <w:rFonts w:cs="Arial"/>
        </w:rPr>
      </w:pPr>
      <w:r w:rsidRPr="00461C16">
        <w:rPr>
          <w:rFonts w:cs="Arial"/>
        </w:rPr>
        <w:t>TI</w:t>
      </w:r>
      <w:r w:rsidRPr="00461C16">
        <w:rPr>
          <w:rFonts w:cs="Arial"/>
        </w:rPr>
        <w:tab/>
      </w:r>
      <w:r w:rsidRPr="00461C16">
        <w:rPr>
          <w:rFonts w:cs="Arial"/>
        </w:rPr>
        <w:tab/>
      </w:r>
      <w:r w:rsidRPr="00461C16">
        <w:rPr>
          <w:rFonts w:cs="Arial"/>
        </w:rPr>
        <w:tab/>
        <w:t>technická infrastruktura</w:t>
      </w:r>
    </w:p>
    <w:p w14:paraId="3E77C59C" w14:textId="77777777" w:rsidR="00833551" w:rsidRPr="00461C16" w:rsidRDefault="00833551" w:rsidP="00352126">
      <w:pPr>
        <w:spacing w:before="60" w:after="60" w:line="240" w:lineRule="auto"/>
        <w:rPr>
          <w:rFonts w:cs="Arial"/>
        </w:rPr>
      </w:pPr>
      <w:r w:rsidRPr="00461C16">
        <w:rPr>
          <w:rFonts w:cs="Arial"/>
        </w:rPr>
        <w:t>TJ</w:t>
      </w:r>
      <w:r w:rsidRPr="00461C16">
        <w:rPr>
          <w:rFonts w:cs="Arial"/>
        </w:rPr>
        <w:tab/>
      </w:r>
      <w:r w:rsidRPr="00461C16">
        <w:rPr>
          <w:rFonts w:cs="Arial"/>
        </w:rPr>
        <w:tab/>
      </w:r>
      <w:r w:rsidRPr="00461C16">
        <w:rPr>
          <w:rFonts w:cs="Arial"/>
        </w:rPr>
        <w:tab/>
        <w:t>Tělovýchovná jednota</w:t>
      </w:r>
    </w:p>
    <w:p w14:paraId="13E4BF86" w14:textId="77777777" w:rsidR="00352126" w:rsidRPr="00461C16" w:rsidRDefault="00352126" w:rsidP="00352126">
      <w:pPr>
        <w:spacing w:before="60" w:after="60" w:line="240" w:lineRule="auto"/>
        <w:rPr>
          <w:rFonts w:cs="Arial"/>
        </w:rPr>
      </w:pPr>
      <w:r w:rsidRPr="00461C16">
        <w:rPr>
          <w:rFonts w:cs="Arial"/>
        </w:rPr>
        <w:t xml:space="preserve">TS </w:t>
      </w:r>
      <w:r w:rsidRPr="00461C16">
        <w:rPr>
          <w:rFonts w:cs="Arial"/>
        </w:rPr>
        <w:tab/>
      </w:r>
      <w:r w:rsidRPr="00461C16">
        <w:rPr>
          <w:rFonts w:cs="Arial"/>
        </w:rPr>
        <w:tab/>
      </w:r>
      <w:r w:rsidRPr="00461C16">
        <w:rPr>
          <w:rFonts w:cs="Arial"/>
        </w:rPr>
        <w:tab/>
        <w:t>trafostanice</w:t>
      </w:r>
    </w:p>
    <w:p w14:paraId="499446F4" w14:textId="77777777" w:rsidR="00352126" w:rsidRPr="00461C16" w:rsidRDefault="00352126" w:rsidP="00352126">
      <w:pPr>
        <w:spacing w:before="60" w:after="60" w:line="240" w:lineRule="auto"/>
        <w:rPr>
          <w:rFonts w:cs="Arial"/>
        </w:rPr>
      </w:pPr>
      <w:r w:rsidRPr="00461C16">
        <w:rPr>
          <w:rFonts w:cs="Arial"/>
        </w:rPr>
        <w:t>ÚAN</w:t>
      </w:r>
      <w:r w:rsidRPr="00461C16">
        <w:rPr>
          <w:rFonts w:cs="Arial"/>
        </w:rPr>
        <w:tab/>
      </w:r>
      <w:r w:rsidRPr="00461C16">
        <w:rPr>
          <w:rFonts w:cs="Arial"/>
        </w:rPr>
        <w:tab/>
      </w:r>
      <w:r w:rsidRPr="00461C16">
        <w:rPr>
          <w:rFonts w:cs="Arial"/>
        </w:rPr>
        <w:tab/>
        <w:t>území s archeologickými nálezy</w:t>
      </w:r>
    </w:p>
    <w:p w14:paraId="5872DF39" w14:textId="77777777" w:rsidR="00352126" w:rsidRPr="00461C16" w:rsidRDefault="00352126" w:rsidP="00352126">
      <w:pPr>
        <w:spacing w:before="60" w:after="60" w:line="240" w:lineRule="auto"/>
        <w:rPr>
          <w:rFonts w:cs="Arial"/>
        </w:rPr>
      </w:pPr>
      <w:r w:rsidRPr="00461C16">
        <w:rPr>
          <w:rFonts w:cs="Arial"/>
        </w:rPr>
        <w:t xml:space="preserve">ÚAP </w:t>
      </w:r>
      <w:r w:rsidRPr="00461C16">
        <w:rPr>
          <w:rFonts w:cs="Arial"/>
        </w:rPr>
        <w:tab/>
      </w:r>
      <w:r w:rsidRPr="00461C16">
        <w:rPr>
          <w:rFonts w:cs="Arial"/>
        </w:rPr>
        <w:tab/>
      </w:r>
      <w:r w:rsidRPr="00461C16">
        <w:rPr>
          <w:rFonts w:cs="Arial"/>
        </w:rPr>
        <w:tab/>
        <w:t>územně plánovací podklady</w:t>
      </w:r>
    </w:p>
    <w:p w14:paraId="49EA6CB7" w14:textId="77777777" w:rsidR="00352126" w:rsidRPr="00461C16" w:rsidRDefault="00352126" w:rsidP="00352126">
      <w:pPr>
        <w:spacing w:before="60" w:after="60" w:line="240" w:lineRule="auto"/>
        <w:rPr>
          <w:rFonts w:cs="Arial"/>
        </w:rPr>
      </w:pPr>
      <w:r w:rsidRPr="00461C16">
        <w:rPr>
          <w:rFonts w:cs="Arial"/>
        </w:rPr>
        <w:t>ÚP</w:t>
      </w:r>
      <w:r w:rsidRPr="00461C16">
        <w:rPr>
          <w:rFonts w:cs="Arial"/>
        </w:rPr>
        <w:tab/>
      </w:r>
      <w:r w:rsidRPr="00461C16">
        <w:rPr>
          <w:rFonts w:cs="Arial"/>
        </w:rPr>
        <w:tab/>
      </w:r>
      <w:r w:rsidRPr="00461C16">
        <w:rPr>
          <w:rFonts w:cs="Arial"/>
        </w:rPr>
        <w:tab/>
        <w:t xml:space="preserve">územní plán </w:t>
      </w:r>
    </w:p>
    <w:p w14:paraId="41598E9C" w14:textId="77777777" w:rsidR="00352126" w:rsidRPr="00461C16" w:rsidRDefault="00352126" w:rsidP="00352126">
      <w:pPr>
        <w:spacing w:before="60" w:after="60" w:line="240" w:lineRule="auto"/>
        <w:rPr>
          <w:rFonts w:cs="Arial"/>
        </w:rPr>
      </w:pPr>
      <w:r w:rsidRPr="00461C16">
        <w:rPr>
          <w:rFonts w:cs="Arial"/>
        </w:rPr>
        <w:t>ÚPD</w:t>
      </w:r>
      <w:r w:rsidRPr="00461C16">
        <w:rPr>
          <w:rFonts w:cs="Arial"/>
        </w:rPr>
        <w:tab/>
      </w:r>
      <w:r w:rsidRPr="00461C16">
        <w:rPr>
          <w:rFonts w:cs="Arial"/>
        </w:rPr>
        <w:tab/>
      </w:r>
      <w:r w:rsidRPr="00461C16">
        <w:rPr>
          <w:rFonts w:cs="Arial"/>
        </w:rPr>
        <w:tab/>
        <w:t>územně plánovací dokumentace</w:t>
      </w:r>
    </w:p>
    <w:p w14:paraId="23C0C041" w14:textId="77777777" w:rsidR="00352126" w:rsidRPr="00461C16" w:rsidRDefault="00352126" w:rsidP="00352126">
      <w:pPr>
        <w:spacing w:before="60" w:after="60" w:line="240" w:lineRule="auto"/>
        <w:rPr>
          <w:rFonts w:cs="Arial"/>
        </w:rPr>
      </w:pPr>
      <w:r w:rsidRPr="00461C16">
        <w:rPr>
          <w:rFonts w:cs="Arial"/>
        </w:rPr>
        <w:t>ÚPN SÚ</w:t>
      </w:r>
      <w:r w:rsidRPr="00461C16">
        <w:rPr>
          <w:rFonts w:cs="Arial"/>
        </w:rPr>
        <w:tab/>
      </w:r>
      <w:r w:rsidRPr="00461C16">
        <w:rPr>
          <w:rFonts w:cs="Arial"/>
        </w:rPr>
        <w:tab/>
      </w:r>
      <w:r w:rsidRPr="00461C16">
        <w:rPr>
          <w:rFonts w:cs="Arial"/>
        </w:rPr>
        <w:tab/>
        <w:t>územní plán sídelního útvaru</w:t>
      </w:r>
    </w:p>
    <w:p w14:paraId="349C3F54" w14:textId="77777777" w:rsidR="00352126" w:rsidRPr="00461C16" w:rsidRDefault="00352126" w:rsidP="00352126">
      <w:pPr>
        <w:spacing w:before="60" w:after="60" w:line="240" w:lineRule="auto"/>
        <w:rPr>
          <w:rFonts w:cs="Arial"/>
        </w:rPr>
      </w:pPr>
      <w:r w:rsidRPr="00461C16">
        <w:rPr>
          <w:rFonts w:cs="Arial"/>
        </w:rPr>
        <w:t>ÚPO</w:t>
      </w:r>
      <w:r w:rsidRPr="00461C16">
        <w:rPr>
          <w:rFonts w:cs="Arial"/>
        </w:rPr>
        <w:tab/>
      </w:r>
      <w:r w:rsidRPr="00461C16">
        <w:rPr>
          <w:rFonts w:cs="Arial"/>
        </w:rPr>
        <w:tab/>
      </w:r>
      <w:r w:rsidRPr="00461C16">
        <w:rPr>
          <w:rFonts w:cs="Arial"/>
        </w:rPr>
        <w:tab/>
        <w:t>územní plán obce</w:t>
      </w:r>
    </w:p>
    <w:p w14:paraId="69363874" w14:textId="77777777" w:rsidR="00352126" w:rsidRPr="00461C16" w:rsidRDefault="00352126" w:rsidP="00352126">
      <w:pPr>
        <w:spacing w:before="60" w:after="60" w:line="240" w:lineRule="auto"/>
        <w:rPr>
          <w:rFonts w:cs="Arial"/>
        </w:rPr>
      </w:pPr>
      <w:r w:rsidRPr="00461C16">
        <w:rPr>
          <w:rFonts w:cs="Arial"/>
        </w:rPr>
        <w:t>ÚS</w:t>
      </w:r>
      <w:r w:rsidRPr="00461C16">
        <w:rPr>
          <w:rFonts w:cs="Arial"/>
        </w:rPr>
        <w:tab/>
      </w:r>
      <w:r w:rsidRPr="00461C16">
        <w:rPr>
          <w:rFonts w:cs="Arial"/>
        </w:rPr>
        <w:tab/>
      </w:r>
      <w:r w:rsidRPr="00461C16">
        <w:rPr>
          <w:rFonts w:cs="Arial"/>
        </w:rPr>
        <w:tab/>
        <w:t>územní studie</w:t>
      </w:r>
    </w:p>
    <w:p w14:paraId="6020AA28" w14:textId="77777777" w:rsidR="00352126" w:rsidRPr="00461C16" w:rsidRDefault="00352126" w:rsidP="00352126">
      <w:pPr>
        <w:spacing w:before="60" w:after="60" w:line="240" w:lineRule="auto"/>
        <w:rPr>
          <w:rFonts w:cs="Arial"/>
        </w:rPr>
      </w:pPr>
      <w:r w:rsidRPr="00461C16">
        <w:rPr>
          <w:rFonts w:cs="Arial"/>
        </w:rPr>
        <w:t>ÚSES</w:t>
      </w:r>
      <w:r w:rsidRPr="00461C16">
        <w:rPr>
          <w:rFonts w:cs="Arial"/>
        </w:rPr>
        <w:tab/>
      </w:r>
      <w:r w:rsidRPr="00461C16">
        <w:rPr>
          <w:rFonts w:cs="Arial"/>
        </w:rPr>
        <w:tab/>
      </w:r>
      <w:r w:rsidRPr="00461C16">
        <w:rPr>
          <w:rFonts w:cs="Arial"/>
        </w:rPr>
        <w:tab/>
        <w:t>územní systém ekologické stability</w:t>
      </w:r>
    </w:p>
    <w:p w14:paraId="602CAF93" w14:textId="77777777" w:rsidR="00352126" w:rsidRPr="00461C16" w:rsidRDefault="00352126" w:rsidP="00352126">
      <w:pPr>
        <w:spacing w:before="60" w:after="60" w:line="240" w:lineRule="auto"/>
        <w:rPr>
          <w:rFonts w:cs="Arial"/>
        </w:rPr>
      </w:pPr>
      <w:r w:rsidRPr="00461C16">
        <w:rPr>
          <w:rFonts w:cs="Arial"/>
        </w:rPr>
        <w:t>ÚÚR</w:t>
      </w:r>
      <w:r w:rsidRPr="00461C16">
        <w:rPr>
          <w:rFonts w:cs="Arial"/>
        </w:rPr>
        <w:tab/>
      </w:r>
      <w:r w:rsidRPr="00461C16">
        <w:rPr>
          <w:rFonts w:cs="Arial"/>
        </w:rPr>
        <w:tab/>
      </w:r>
      <w:r w:rsidRPr="00461C16">
        <w:rPr>
          <w:rFonts w:cs="Arial"/>
        </w:rPr>
        <w:tab/>
        <w:t>Ústav územního rozvoje</w:t>
      </w:r>
    </w:p>
    <w:p w14:paraId="2D587B96" w14:textId="77777777" w:rsidR="00352126" w:rsidRPr="00461C16" w:rsidRDefault="00352126" w:rsidP="00352126">
      <w:pPr>
        <w:spacing w:before="60" w:after="60" w:line="240" w:lineRule="auto"/>
        <w:rPr>
          <w:rFonts w:cs="Arial"/>
        </w:rPr>
      </w:pPr>
      <w:r w:rsidRPr="00461C16">
        <w:rPr>
          <w:rFonts w:cs="Arial"/>
        </w:rPr>
        <w:t>VKP</w:t>
      </w:r>
      <w:r w:rsidRPr="00461C16">
        <w:rPr>
          <w:rFonts w:cs="Arial"/>
        </w:rPr>
        <w:tab/>
      </w:r>
      <w:r w:rsidRPr="00461C16">
        <w:rPr>
          <w:rFonts w:cs="Arial"/>
        </w:rPr>
        <w:tab/>
      </w:r>
      <w:r w:rsidRPr="00461C16">
        <w:rPr>
          <w:rFonts w:cs="Arial"/>
        </w:rPr>
        <w:tab/>
        <w:t>významný krajinný prvek</w:t>
      </w:r>
    </w:p>
    <w:p w14:paraId="3689F386" w14:textId="77777777" w:rsidR="00352126" w:rsidRPr="00461C16" w:rsidRDefault="00352126" w:rsidP="00352126">
      <w:pPr>
        <w:spacing w:before="60" w:after="60" w:line="240" w:lineRule="auto"/>
        <w:rPr>
          <w:rFonts w:cs="Arial"/>
        </w:rPr>
      </w:pPr>
      <w:r w:rsidRPr="00461C16">
        <w:rPr>
          <w:rFonts w:cs="Arial"/>
        </w:rPr>
        <w:t>VN</w:t>
      </w:r>
      <w:r w:rsidRPr="00461C16">
        <w:rPr>
          <w:rFonts w:cs="Arial"/>
        </w:rPr>
        <w:tab/>
      </w:r>
      <w:r w:rsidRPr="00461C16">
        <w:rPr>
          <w:rFonts w:cs="Arial"/>
        </w:rPr>
        <w:tab/>
      </w:r>
      <w:r w:rsidRPr="00461C16">
        <w:rPr>
          <w:rFonts w:cs="Arial"/>
        </w:rPr>
        <w:tab/>
        <w:t>vysoké napětí</w:t>
      </w:r>
    </w:p>
    <w:p w14:paraId="655020D6" w14:textId="77777777" w:rsidR="00352126" w:rsidRPr="00461C16" w:rsidRDefault="00352126" w:rsidP="00352126">
      <w:pPr>
        <w:spacing w:before="60" w:after="60" w:line="240" w:lineRule="auto"/>
        <w:rPr>
          <w:rFonts w:cs="Arial"/>
        </w:rPr>
      </w:pPr>
      <w:r w:rsidRPr="00461C16">
        <w:rPr>
          <w:rFonts w:cs="Arial"/>
        </w:rPr>
        <w:t>VPS</w:t>
      </w:r>
      <w:r w:rsidRPr="00461C16">
        <w:rPr>
          <w:rFonts w:cs="Arial"/>
        </w:rPr>
        <w:tab/>
      </w:r>
      <w:r w:rsidRPr="00461C16">
        <w:rPr>
          <w:rFonts w:cs="Arial"/>
        </w:rPr>
        <w:tab/>
      </w:r>
      <w:r w:rsidRPr="00461C16">
        <w:rPr>
          <w:rFonts w:cs="Arial"/>
        </w:rPr>
        <w:tab/>
        <w:t>veřejně prospěšná stavba</w:t>
      </w:r>
    </w:p>
    <w:p w14:paraId="4E08A4AF" w14:textId="77777777" w:rsidR="00352126" w:rsidRPr="00461C16" w:rsidRDefault="00352126" w:rsidP="00352126">
      <w:pPr>
        <w:spacing w:before="60" w:after="60" w:line="240" w:lineRule="auto"/>
        <w:rPr>
          <w:rFonts w:cs="Arial"/>
        </w:rPr>
      </w:pPr>
      <w:r w:rsidRPr="00461C16">
        <w:rPr>
          <w:rFonts w:cs="Arial"/>
        </w:rPr>
        <w:t xml:space="preserve">VTL </w:t>
      </w:r>
      <w:r w:rsidRPr="00461C16">
        <w:rPr>
          <w:rFonts w:cs="Arial"/>
        </w:rPr>
        <w:tab/>
      </w:r>
      <w:r w:rsidRPr="00461C16">
        <w:rPr>
          <w:rFonts w:cs="Arial"/>
        </w:rPr>
        <w:tab/>
      </w:r>
      <w:r w:rsidRPr="00461C16">
        <w:rPr>
          <w:rFonts w:cs="Arial"/>
        </w:rPr>
        <w:tab/>
        <w:t>vysokotlaký</w:t>
      </w:r>
    </w:p>
    <w:p w14:paraId="3CA2997A" w14:textId="77777777" w:rsidR="00D56E8E" w:rsidRDefault="00D56E8E" w:rsidP="00352126">
      <w:pPr>
        <w:spacing w:before="60" w:after="60" w:line="240" w:lineRule="auto"/>
        <w:rPr>
          <w:rFonts w:cs="Arial"/>
        </w:rPr>
      </w:pPr>
      <w:r>
        <w:rPr>
          <w:rFonts w:cs="Arial"/>
        </w:rPr>
        <w:t>VÚMOP</w:t>
      </w:r>
      <w:r>
        <w:rPr>
          <w:rFonts w:cs="Arial"/>
        </w:rPr>
        <w:tab/>
      </w:r>
      <w:r>
        <w:rPr>
          <w:rFonts w:cs="Arial"/>
        </w:rPr>
        <w:tab/>
      </w:r>
      <w:r>
        <w:rPr>
          <w:rFonts w:cs="Arial"/>
        </w:rPr>
        <w:tab/>
        <w:t>Výzkumný ústav meliorací a ochrany půdy</w:t>
      </w:r>
    </w:p>
    <w:p w14:paraId="44E6B73C" w14:textId="77777777" w:rsidR="00352126" w:rsidRPr="00461C16" w:rsidRDefault="00352126" w:rsidP="00352126">
      <w:pPr>
        <w:spacing w:before="60" w:after="60" w:line="240" w:lineRule="auto"/>
        <w:rPr>
          <w:rFonts w:cs="Arial"/>
        </w:rPr>
      </w:pPr>
      <w:r w:rsidRPr="00461C16">
        <w:rPr>
          <w:rFonts w:cs="Arial"/>
        </w:rPr>
        <w:t>VVN</w:t>
      </w:r>
      <w:r w:rsidRPr="00461C16">
        <w:rPr>
          <w:rFonts w:cs="Arial"/>
        </w:rPr>
        <w:tab/>
      </w:r>
      <w:r w:rsidRPr="00461C16">
        <w:rPr>
          <w:rFonts w:cs="Arial"/>
        </w:rPr>
        <w:tab/>
      </w:r>
      <w:r w:rsidRPr="00461C16">
        <w:rPr>
          <w:rFonts w:cs="Arial"/>
        </w:rPr>
        <w:tab/>
        <w:t>velmi vysoké napětí</w:t>
      </w:r>
    </w:p>
    <w:p w14:paraId="6210516F" w14:textId="77777777" w:rsidR="00C70B70" w:rsidRPr="00461C16" w:rsidRDefault="00C70B70" w:rsidP="00352126">
      <w:pPr>
        <w:spacing w:before="60" w:after="60" w:line="240" w:lineRule="auto"/>
        <w:rPr>
          <w:rFonts w:cs="Arial"/>
        </w:rPr>
      </w:pPr>
      <w:r w:rsidRPr="00461C16">
        <w:rPr>
          <w:rFonts w:cs="Arial"/>
        </w:rPr>
        <w:t>ZCHÚ</w:t>
      </w:r>
      <w:r w:rsidRPr="00461C16">
        <w:rPr>
          <w:rFonts w:cs="Arial"/>
        </w:rPr>
        <w:tab/>
      </w:r>
      <w:r w:rsidRPr="00461C16">
        <w:rPr>
          <w:rFonts w:cs="Arial"/>
        </w:rPr>
        <w:tab/>
      </w:r>
      <w:r w:rsidRPr="00461C16">
        <w:rPr>
          <w:rFonts w:cs="Arial"/>
        </w:rPr>
        <w:tab/>
        <w:t>zvláště chráněné území</w:t>
      </w:r>
    </w:p>
    <w:p w14:paraId="27110AF5" w14:textId="77777777" w:rsidR="00352126" w:rsidRPr="00461C16" w:rsidRDefault="00352126" w:rsidP="00352126">
      <w:pPr>
        <w:spacing w:before="60" w:after="60" w:line="240" w:lineRule="auto"/>
        <w:rPr>
          <w:rFonts w:cs="Arial"/>
        </w:rPr>
      </w:pPr>
      <w:r w:rsidRPr="00461C16">
        <w:rPr>
          <w:rFonts w:cs="Arial"/>
        </w:rPr>
        <w:t>ZPF</w:t>
      </w:r>
      <w:r w:rsidRPr="00461C16">
        <w:rPr>
          <w:rFonts w:cs="Arial"/>
        </w:rPr>
        <w:tab/>
      </w:r>
      <w:r w:rsidRPr="00461C16">
        <w:rPr>
          <w:rFonts w:cs="Arial"/>
        </w:rPr>
        <w:tab/>
      </w:r>
      <w:r w:rsidRPr="00461C16">
        <w:rPr>
          <w:rFonts w:cs="Arial"/>
        </w:rPr>
        <w:tab/>
        <w:t>zemědělský půdní fond</w:t>
      </w:r>
    </w:p>
    <w:p w14:paraId="53DE279A" w14:textId="77777777" w:rsidR="0087645F" w:rsidRDefault="0087645F" w:rsidP="00352126">
      <w:pPr>
        <w:spacing w:before="60" w:after="60" w:line="240" w:lineRule="auto"/>
        <w:rPr>
          <w:rFonts w:cs="Arial"/>
        </w:rPr>
      </w:pPr>
      <w:r>
        <w:rPr>
          <w:rFonts w:cs="Arial"/>
        </w:rPr>
        <w:t>ZS</w:t>
      </w:r>
      <w:r>
        <w:rPr>
          <w:rFonts w:cs="Arial"/>
        </w:rPr>
        <w:tab/>
      </w:r>
      <w:r>
        <w:rPr>
          <w:rFonts w:cs="Arial"/>
        </w:rPr>
        <w:tab/>
      </w:r>
      <w:r>
        <w:rPr>
          <w:rFonts w:cs="Arial"/>
        </w:rPr>
        <w:tab/>
        <w:t>základnová stanice</w:t>
      </w:r>
    </w:p>
    <w:p w14:paraId="0CA22D8B" w14:textId="77777777" w:rsidR="00352126" w:rsidRPr="00461C16" w:rsidRDefault="00352126" w:rsidP="00352126">
      <w:pPr>
        <w:spacing w:before="60" w:after="60" w:line="240" w:lineRule="auto"/>
        <w:rPr>
          <w:rFonts w:cs="Arial"/>
        </w:rPr>
      </w:pPr>
      <w:r w:rsidRPr="00461C16">
        <w:rPr>
          <w:rFonts w:cs="Arial"/>
        </w:rPr>
        <w:t xml:space="preserve">ZŠ </w:t>
      </w:r>
      <w:r w:rsidRPr="00461C16">
        <w:rPr>
          <w:rFonts w:cs="Arial"/>
        </w:rPr>
        <w:tab/>
      </w:r>
      <w:r w:rsidRPr="00461C16">
        <w:rPr>
          <w:rFonts w:cs="Arial"/>
        </w:rPr>
        <w:tab/>
      </w:r>
      <w:r w:rsidRPr="00461C16">
        <w:rPr>
          <w:rFonts w:cs="Arial"/>
        </w:rPr>
        <w:tab/>
        <w:t>základní škola</w:t>
      </w:r>
    </w:p>
    <w:p w14:paraId="44B9E4DE" w14:textId="77777777" w:rsidR="00352126" w:rsidRPr="00461C16" w:rsidRDefault="00352126" w:rsidP="00352126">
      <w:pPr>
        <w:spacing w:before="60" w:after="60" w:line="240" w:lineRule="auto"/>
        <w:rPr>
          <w:rFonts w:cs="Arial"/>
        </w:rPr>
      </w:pPr>
      <w:r w:rsidRPr="00461C16">
        <w:rPr>
          <w:rFonts w:cs="Arial"/>
        </w:rPr>
        <w:t>ZÚ</w:t>
      </w:r>
      <w:r w:rsidRPr="00461C16">
        <w:rPr>
          <w:rFonts w:cs="Arial"/>
        </w:rPr>
        <w:tab/>
      </w:r>
      <w:r w:rsidRPr="00461C16">
        <w:rPr>
          <w:rFonts w:cs="Arial"/>
        </w:rPr>
        <w:tab/>
      </w:r>
      <w:r w:rsidRPr="00461C16">
        <w:rPr>
          <w:rFonts w:cs="Arial"/>
        </w:rPr>
        <w:tab/>
        <w:t>zastavěné území</w:t>
      </w:r>
    </w:p>
    <w:p w14:paraId="2A8DFB68" w14:textId="77777777" w:rsidR="00352126" w:rsidRPr="00461C16" w:rsidRDefault="00352126" w:rsidP="00352126">
      <w:pPr>
        <w:spacing w:before="60" w:after="60" w:line="240" w:lineRule="auto"/>
        <w:rPr>
          <w:rFonts w:cs="Arial"/>
        </w:rPr>
      </w:pPr>
      <w:r w:rsidRPr="00461C16">
        <w:rPr>
          <w:rFonts w:cs="Arial"/>
        </w:rPr>
        <w:t xml:space="preserve">ZÚR </w:t>
      </w:r>
      <w:r w:rsidRPr="00461C16">
        <w:rPr>
          <w:rFonts w:cs="Arial"/>
        </w:rPr>
        <w:tab/>
      </w:r>
      <w:r w:rsidRPr="00461C16">
        <w:rPr>
          <w:rFonts w:cs="Arial"/>
        </w:rPr>
        <w:tab/>
      </w:r>
      <w:r w:rsidRPr="00461C16">
        <w:rPr>
          <w:rFonts w:cs="Arial"/>
        </w:rPr>
        <w:tab/>
        <w:t>zásady územního rozvoje</w:t>
      </w:r>
    </w:p>
    <w:p w14:paraId="23F287B2" w14:textId="77777777" w:rsidR="00352126" w:rsidRPr="00461C16" w:rsidRDefault="00352126" w:rsidP="00352126">
      <w:pPr>
        <w:spacing w:before="60" w:after="60" w:line="240" w:lineRule="auto"/>
        <w:rPr>
          <w:rFonts w:cs="Arial"/>
        </w:rPr>
      </w:pPr>
      <w:r w:rsidRPr="00461C16">
        <w:rPr>
          <w:rFonts w:cs="Arial"/>
        </w:rPr>
        <w:t xml:space="preserve">ZÚR </w:t>
      </w:r>
      <w:r w:rsidR="00F3664D" w:rsidRPr="00461C16">
        <w:rPr>
          <w:rFonts w:cs="Arial"/>
        </w:rPr>
        <w:t>L</w:t>
      </w:r>
      <w:r w:rsidRPr="00461C16">
        <w:rPr>
          <w:rFonts w:cs="Arial"/>
        </w:rPr>
        <w:t>K</w:t>
      </w:r>
      <w:r w:rsidRPr="00461C16">
        <w:rPr>
          <w:rFonts w:cs="Arial"/>
        </w:rPr>
        <w:tab/>
      </w:r>
      <w:r w:rsidRPr="00461C16">
        <w:rPr>
          <w:rFonts w:cs="Arial"/>
        </w:rPr>
        <w:tab/>
      </w:r>
      <w:r w:rsidRPr="00461C16">
        <w:rPr>
          <w:rFonts w:cs="Arial"/>
        </w:rPr>
        <w:tab/>
        <w:t xml:space="preserve">Zásady územního rozvoje </w:t>
      </w:r>
      <w:r w:rsidR="00F3664D" w:rsidRPr="00461C16">
        <w:rPr>
          <w:rFonts w:cs="Arial"/>
        </w:rPr>
        <w:t>Liberecké</w:t>
      </w:r>
      <w:r w:rsidRPr="00461C16">
        <w:rPr>
          <w:rFonts w:cs="Arial"/>
        </w:rPr>
        <w:t>ho kraje</w:t>
      </w:r>
    </w:p>
    <w:p w14:paraId="2A4C7302" w14:textId="77777777" w:rsidR="003B7D7D" w:rsidRPr="00461C16" w:rsidRDefault="003B7D7D" w:rsidP="00352126">
      <w:pPr>
        <w:spacing w:before="60" w:after="60" w:line="240" w:lineRule="auto"/>
        <w:rPr>
          <w:rFonts w:cs="Arial"/>
        </w:rPr>
      </w:pPr>
      <w:r w:rsidRPr="00461C16">
        <w:rPr>
          <w:rFonts w:cs="Arial"/>
        </w:rPr>
        <w:t>ZVN</w:t>
      </w:r>
      <w:r w:rsidRPr="00461C16">
        <w:rPr>
          <w:rFonts w:cs="Arial"/>
        </w:rPr>
        <w:tab/>
      </w:r>
      <w:r w:rsidRPr="00461C16">
        <w:rPr>
          <w:rFonts w:cs="Arial"/>
        </w:rPr>
        <w:tab/>
      </w:r>
      <w:r w:rsidRPr="00461C16">
        <w:rPr>
          <w:rFonts w:cs="Arial"/>
        </w:rPr>
        <w:tab/>
        <w:t>zvláště vysoké napětí</w:t>
      </w:r>
    </w:p>
    <w:p w14:paraId="51E4E82C" w14:textId="77777777" w:rsidR="00352126" w:rsidRDefault="00352126" w:rsidP="00352126">
      <w:pPr>
        <w:spacing w:before="60" w:after="60" w:line="240" w:lineRule="auto"/>
        <w:rPr>
          <w:rFonts w:cs="Arial"/>
        </w:rPr>
      </w:pPr>
      <w:r w:rsidRPr="00461C16">
        <w:rPr>
          <w:rFonts w:cs="Arial"/>
        </w:rPr>
        <w:t>ŽP</w:t>
      </w:r>
      <w:r w:rsidRPr="00461C16">
        <w:rPr>
          <w:rFonts w:cs="Arial"/>
        </w:rPr>
        <w:tab/>
      </w:r>
      <w:r w:rsidRPr="00461C16">
        <w:rPr>
          <w:rFonts w:cs="Arial"/>
        </w:rPr>
        <w:tab/>
      </w:r>
      <w:r w:rsidRPr="00461C16">
        <w:rPr>
          <w:rFonts w:cs="Arial"/>
        </w:rPr>
        <w:tab/>
        <w:t>životní prostředí</w:t>
      </w:r>
      <w:bookmarkEnd w:id="213"/>
      <w:bookmarkEnd w:id="214"/>
    </w:p>
    <w:p w14:paraId="55ABAEA8" w14:textId="77777777" w:rsidR="00A857E6" w:rsidRDefault="00A857E6">
      <w:pPr>
        <w:spacing w:line="240" w:lineRule="auto"/>
        <w:jc w:val="left"/>
        <w:rPr>
          <w:rFonts w:cs="Arial"/>
        </w:rPr>
      </w:pPr>
      <w:r>
        <w:rPr>
          <w:rFonts w:cs="Arial"/>
        </w:rPr>
        <w:br w:type="page"/>
      </w:r>
    </w:p>
    <w:p w14:paraId="36585898" w14:textId="31565061" w:rsidR="00A857E6" w:rsidRPr="00C41445" w:rsidRDefault="00A857E6" w:rsidP="00A857E6">
      <w:pPr>
        <w:pStyle w:val="Heading1"/>
      </w:pPr>
      <w:bookmarkStart w:id="216" w:name="_Toc36116342"/>
      <w:r w:rsidRPr="00C41445">
        <w:lastRenderedPageBreak/>
        <w:t>PŘÍLOHA – ČÁST ZPRACOVANÁ POŘIZOVATELEM</w:t>
      </w:r>
      <w:bookmarkEnd w:id="216"/>
      <w:r w:rsidRPr="00C41445">
        <w:t xml:space="preserve"> </w:t>
      </w:r>
    </w:p>
    <w:p w14:paraId="764B98D4" w14:textId="77777777" w:rsidR="00C4394D" w:rsidRPr="00C41445" w:rsidRDefault="00C4394D" w:rsidP="00C41445">
      <w:pPr>
        <w:pStyle w:val="Heading2"/>
        <w:spacing w:before="360"/>
      </w:pPr>
      <w:bookmarkStart w:id="217" w:name="_Toc36116343"/>
      <w:r w:rsidRPr="00C41445">
        <w:t>A.</w:t>
      </w:r>
      <w:r w:rsidRPr="00C41445">
        <w:tab/>
        <w:t>Výsledek přezkoumání návrhu územního plánu podle § 53 odst. 4 zákona č. 183/2006 Sb.</w:t>
      </w:r>
      <w:bookmarkEnd w:id="217"/>
      <w:r w:rsidRPr="00C41445">
        <w:t xml:space="preserve"> </w:t>
      </w:r>
    </w:p>
    <w:p w14:paraId="01909129" w14:textId="350FC709" w:rsidR="00C41445" w:rsidRPr="00C41445" w:rsidRDefault="00C41445" w:rsidP="00C41445">
      <w:pPr>
        <w:spacing w:before="240" w:line="240" w:lineRule="auto"/>
        <w:ind w:left="567" w:hanging="567"/>
      </w:pPr>
      <w:r w:rsidRPr="00C41445">
        <w:rPr>
          <w:b/>
          <w:sz w:val="26"/>
          <w:szCs w:val="26"/>
        </w:rPr>
        <w:t xml:space="preserve">A.1. </w:t>
      </w:r>
      <w:r w:rsidRPr="00C41445">
        <w:rPr>
          <w:b/>
          <w:sz w:val="26"/>
          <w:szCs w:val="26"/>
        </w:rPr>
        <w:tab/>
        <w:t>VYHODNOCENÍ SOULADU</w:t>
      </w:r>
      <w:r>
        <w:rPr>
          <w:b/>
          <w:sz w:val="26"/>
          <w:szCs w:val="26"/>
        </w:rPr>
        <w:t xml:space="preserve"> S POLITIKOU ÚZEMNÍHO ROZVOJE A ÚZEMNĚ PLÁNOVACÍ DOKUMENTACÍ VYDANOU KRAJEM </w:t>
      </w:r>
    </w:p>
    <w:p w14:paraId="4E347DA6" w14:textId="3C607014" w:rsidR="00C510C2" w:rsidRPr="00C41445" w:rsidRDefault="00C510C2" w:rsidP="00C41445">
      <w:pPr>
        <w:spacing w:before="120" w:after="120" w:line="240" w:lineRule="auto"/>
        <w:rPr>
          <w:rFonts w:eastAsiaTheme="minorHAnsi" w:cstheme="majorBidi"/>
          <w:b/>
          <w:bCs/>
          <w:lang w:eastAsia="en-US"/>
        </w:rPr>
      </w:pPr>
      <w:r w:rsidRPr="00C41445">
        <w:rPr>
          <w:rFonts w:cstheme="majorBidi"/>
        </w:rPr>
        <w:t>Vyhodnocení souladu s politikou územního rozvoje je podrobně zpracováno v textové části odůvodnění návrhu Územního plánu Hrádek nad Nisou a to v kapitole 1.1) a 1.2.</w:t>
      </w:r>
    </w:p>
    <w:p w14:paraId="7BD0D4E3" w14:textId="77777777" w:rsidR="00C510C2" w:rsidRPr="00C41445" w:rsidRDefault="00C510C2" w:rsidP="00C41445">
      <w:pPr>
        <w:spacing w:before="120" w:after="120" w:line="240" w:lineRule="auto"/>
        <w:rPr>
          <w:rFonts w:cstheme="majorBidi"/>
          <w:lang w:eastAsia="en-US"/>
        </w:rPr>
      </w:pPr>
      <w:r w:rsidRPr="00C41445">
        <w:rPr>
          <w:rFonts w:cstheme="majorBidi"/>
          <w:lang w:eastAsia="en-US"/>
        </w:rPr>
        <w:t xml:space="preserve">K danému bylo vydáno stanovisko Krajského úřadu jako nadřízeného orgánu v územním plánování: </w:t>
      </w:r>
    </w:p>
    <w:p w14:paraId="1583FA95" w14:textId="77777777" w:rsidR="00C510C2" w:rsidRPr="00C41445" w:rsidRDefault="00C510C2" w:rsidP="00C41445">
      <w:pPr>
        <w:spacing w:before="120" w:after="120" w:line="240" w:lineRule="auto"/>
        <w:rPr>
          <w:rFonts w:cstheme="majorBidi"/>
          <w:lang w:eastAsia="en-US"/>
        </w:rPr>
      </w:pPr>
      <w:r w:rsidRPr="00C41445">
        <w:rPr>
          <w:rFonts w:cstheme="majorBidi"/>
          <w:lang w:eastAsia="en-US"/>
        </w:rPr>
        <w:t>Stanovisko značky KULK 56383/2019 ze dne 30. 7. 2019 doručené dne 31. 7. 2017 vedené pod č. j. OSŽP/5371/19.</w:t>
      </w:r>
    </w:p>
    <w:p w14:paraId="07C7B691" w14:textId="77777777" w:rsidR="00C510C2" w:rsidRPr="00C41445" w:rsidRDefault="00C510C2" w:rsidP="00C41445">
      <w:pPr>
        <w:keepNext/>
        <w:autoSpaceDE w:val="0"/>
        <w:autoSpaceDN w:val="0"/>
        <w:adjustRightInd w:val="0"/>
        <w:spacing w:before="120" w:after="120" w:line="240" w:lineRule="auto"/>
        <w:ind w:hanging="11"/>
        <w:jc w:val="left"/>
        <w:rPr>
          <w:rFonts w:eastAsiaTheme="minorHAnsi" w:cstheme="majorBidi"/>
          <w:b/>
          <w:bCs/>
          <w:lang w:eastAsia="en-US"/>
        </w:rPr>
      </w:pPr>
      <w:r w:rsidRPr="00C41445">
        <w:rPr>
          <w:rFonts w:eastAsiaTheme="minorHAnsi" w:cstheme="majorBidi"/>
          <w:b/>
          <w:bCs/>
          <w:lang w:eastAsia="en-US"/>
        </w:rPr>
        <w:t xml:space="preserve">Přepis stanoviska: </w:t>
      </w:r>
    </w:p>
    <w:p w14:paraId="68AA6D20"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 xml:space="preserve">Krajský úřad Libereckého kraje (dále jen KÚ LK), odbor územního plánování a stavebního řádu (dále jen OÚPSŘ), jako správní orgán příslušný podle § 50 odst. 7 zákona č. 183/2006 Sb., o územním plánování a stavebním řádu (dále jen stavební zákon), ve znění pozdějších předpisů, obdržel dne 17. 7. 2019 od Městského úřadu Hrádek nad Nisou, odboru stavebního a životního prostředí, jako příslušného úřadu územního plánování, pořizovatele dle ustanovení § 6 stavebního zákona, žádost o stanovisko k Návrhu Územního plánu (dále jen ÚP) Hrádek nad Nisou podle ustanovení § 50 odst. 7 stavebního zákona. </w:t>
      </w:r>
    </w:p>
    <w:p w14:paraId="6D296097" w14:textId="77777777" w:rsidR="00C510C2" w:rsidRPr="00C41445" w:rsidRDefault="00C510C2" w:rsidP="00C41445">
      <w:pPr>
        <w:autoSpaceDE w:val="0"/>
        <w:autoSpaceDN w:val="0"/>
        <w:adjustRightInd w:val="0"/>
        <w:spacing w:before="120" w:after="120" w:line="240" w:lineRule="auto"/>
        <w:jc w:val="left"/>
        <w:rPr>
          <w:rFonts w:eastAsiaTheme="minorHAnsi" w:cstheme="majorBidi"/>
          <w:lang w:eastAsia="en-US"/>
        </w:rPr>
      </w:pPr>
      <w:r w:rsidRPr="00C41445">
        <w:rPr>
          <w:rFonts w:eastAsiaTheme="minorHAnsi" w:cstheme="majorBidi"/>
          <w:lang w:eastAsia="en-US"/>
        </w:rPr>
        <w:t xml:space="preserve">Obsahem ÚP Hrádek nad Nisou je řešení celkové koncepce rozvoje území města Hrádek nad Nisou. </w:t>
      </w:r>
    </w:p>
    <w:p w14:paraId="22684C71" w14:textId="77777777" w:rsidR="00C510C2" w:rsidRPr="00C41445" w:rsidRDefault="00C510C2" w:rsidP="00C41445">
      <w:pPr>
        <w:autoSpaceDE w:val="0"/>
        <w:autoSpaceDN w:val="0"/>
        <w:adjustRightInd w:val="0"/>
        <w:spacing w:before="120" w:after="120" w:line="240" w:lineRule="auto"/>
        <w:rPr>
          <w:rFonts w:eastAsiaTheme="minorHAnsi" w:cstheme="majorBidi"/>
          <w:b/>
          <w:bCs/>
          <w:lang w:eastAsia="en-US"/>
        </w:rPr>
      </w:pPr>
      <w:r w:rsidRPr="00C41445">
        <w:rPr>
          <w:rFonts w:eastAsiaTheme="minorHAnsi" w:cstheme="majorBidi"/>
          <w:b/>
          <w:bCs/>
          <w:lang w:eastAsia="en-US"/>
        </w:rPr>
        <w:t xml:space="preserve">KÚ LK, OÚPSŘ posoudil předmětnou žádost a na základě tohoto posouzení vydává, v rámci své kompetence dané ustanovením § 50 odst. 7 stavebního zákona, souhlasné stanovisko s předloženým Návrhem ÚP Hrádek nad Nisou a potvrzuje, že lze zahájit řízení o jeho vydání. </w:t>
      </w:r>
    </w:p>
    <w:p w14:paraId="16578B88" w14:textId="77777777" w:rsidR="00C510C2" w:rsidRPr="00C41445" w:rsidRDefault="00C510C2" w:rsidP="00C41445">
      <w:pPr>
        <w:autoSpaceDE w:val="0"/>
        <w:autoSpaceDN w:val="0"/>
        <w:adjustRightInd w:val="0"/>
        <w:spacing w:before="120" w:after="120" w:line="240" w:lineRule="auto"/>
        <w:jc w:val="left"/>
        <w:rPr>
          <w:rFonts w:eastAsiaTheme="minorHAnsi" w:cstheme="majorBidi"/>
          <w:lang w:eastAsia="en-US"/>
        </w:rPr>
      </w:pPr>
      <w:r w:rsidRPr="00C41445">
        <w:rPr>
          <w:rFonts w:eastAsiaTheme="minorHAnsi" w:cstheme="majorBidi"/>
          <w:lang w:eastAsia="en-US"/>
        </w:rPr>
        <w:t xml:space="preserve">Odůvodnění: </w:t>
      </w:r>
    </w:p>
    <w:p w14:paraId="3790A4BE"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 xml:space="preserve">KÚ LK byla doručena dne 17. 7. 2019 v souladu s ustanoveními § 50 odst. 7 stavebního zákona žádost o posouzení Návrhu ÚP Hrádek nad Nisou. </w:t>
      </w:r>
    </w:p>
    <w:p w14:paraId="430CD9AD"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 xml:space="preserve">KÚ LK, OÚPSŘ posoudil předloženou dokumentaci z následujících hledisek: </w:t>
      </w:r>
    </w:p>
    <w:p w14:paraId="5F0794B7"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b/>
          <w:bCs/>
          <w:lang w:eastAsia="en-US"/>
        </w:rPr>
        <w:t xml:space="preserve">1. Soulad s politikou územního rozvoje a s územně plánovací dokumentací kraje. </w:t>
      </w:r>
    </w:p>
    <w:p w14:paraId="40E12CA3"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Krajský úřad Libereckého kraje (dále jen KÚ LK), odbor územního plánování a stavebního řádu (dále jen OÚPSŘ), jako správní orgán příslušný podle § 50 odst. 7 zákona č. 183/2006 Sb., o územním plánování a stavebním řádu (dále jen stavební zákon), ve znění pozdějších předpisů, obdržel dne 17. 7. 2019 od Městského úřadu Hrádek nad Nisou, odboru stavebního a životního prostředí, jako příslušného úřadu územního plánování, pořizovatele dle ustanovení § 6 stavebního zákona, žádost o stanovisko k Návrhu Územního plánu (dále jen ÚP) Hrádek nad Nisou podle ustanovení § 50 odst. 7 stavebního zákona.</w:t>
      </w:r>
    </w:p>
    <w:p w14:paraId="197A423B"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Obsahem ÚP Hrádek nad Nisou je řešení celkové koncepce rozvoje území města Hrádek nad Nisou.</w:t>
      </w:r>
    </w:p>
    <w:p w14:paraId="024BA32F"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KÚ LK, OÚPSŘ posoudil předmětnou žádost a na základě tohoto posouzení vydává, v rámci své kompetence dané ustanovením § 50 odst. 7 stavebního zákona, souhlasné stanovisko s předloženým Návrhem ÚP Hrádek nad Nisou a potvrzuje, že lze zahájit řízení o jeho vydání.</w:t>
      </w:r>
    </w:p>
    <w:p w14:paraId="2ABFFC12"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Odůvodnění:</w:t>
      </w:r>
    </w:p>
    <w:p w14:paraId="223608A6"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KÚ LK byla doručena dne 17. 7. 2019 v souladu s ustanoveními § 50 odst. 7 stavebního zákona žádost o posouzení Návrhu ÚP Hrádek nad Nisou.</w:t>
      </w:r>
    </w:p>
    <w:p w14:paraId="0DF68513"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KÚ LK, OÚPSŘ posoudil předloženou dokumentaci z následujících hledisek:</w:t>
      </w:r>
    </w:p>
    <w:p w14:paraId="455BE94B" w14:textId="77777777" w:rsidR="00C510C2" w:rsidRPr="008515D2" w:rsidRDefault="00C510C2" w:rsidP="00C41445">
      <w:pPr>
        <w:autoSpaceDE w:val="0"/>
        <w:autoSpaceDN w:val="0"/>
        <w:adjustRightInd w:val="0"/>
        <w:spacing w:before="120" w:after="120" w:line="240" w:lineRule="auto"/>
        <w:rPr>
          <w:rFonts w:eastAsiaTheme="minorHAnsi" w:cstheme="majorBidi"/>
          <w:lang w:eastAsia="en-US"/>
        </w:rPr>
      </w:pPr>
      <w:r w:rsidRPr="008515D2">
        <w:rPr>
          <w:rFonts w:eastAsiaTheme="minorHAnsi" w:cstheme="majorBidi"/>
          <w:lang w:eastAsia="en-US"/>
        </w:rPr>
        <w:t>1. Soulad s politikou územního rozvoje a s územně plánovací dokumentací kraje.</w:t>
      </w:r>
    </w:p>
    <w:p w14:paraId="7211AF58"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lastRenderedPageBreak/>
        <w:t>Politika územního rozvoje České republiky (dále jen PÚR ČR) byla schválena vládou ČR usnesením č. 929 dne 20. 7. 2009.</w:t>
      </w:r>
    </w:p>
    <w:p w14:paraId="2B80BFA7"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První aktualizace Politiky územního rozvoje ČR (dále jen A PÚR ČR), byla schválena na jednání vlády dne 15. 4. 2015 jako „bod čj. 329/15 Návrh Aktualizace č. 1 Politiky územního rozvoje České republiky“.</w:t>
      </w:r>
    </w:p>
    <w:p w14:paraId="054526BD"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Zásady územního rozvoje Libereckého kraje (dále jen ZÚR LK) byly vydány zastupitelstvem Libereckého kraje dne 21. 12. 2011 usnesením č. 466/11/ZK a nabyly účinnost 22. 1. 2012.</w:t>
      </w:r>
    </w:p>
    <w:p w14:paraId="48EBD58F"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2</w:t>
      </w:r>
    </w:p>
    <w:p w14:paraId="1A6CB1EF"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KÚ LK, OÚPSŘ v současné době pořizuje na základě Zprávy o uplatňování ZÚR LK, kterou usnesením č. 46/14/ZK ze dne 25. 2. 2014 schválilo Zastupitelstvo Libereckého kraje, Aktualizaci č. 1 ZÚR LK (dále jen A ZÚR LK).</w:t>
      </w:r>
    </w:p>
    <w:p w14:paraId="3C06AC23" w14:textId="77777777" w:rsidR="00C510C2" w:rsidRPr="00C41445" w:rsidRDefault="00C510C2" w:rsidP="00C41445">
      <w:pPr>
        <w:autoSpaceDE w:val="0"/>
        <w:autoSpaceDN w:val="0"/>
        <w:adjustRightInd w:val="0"/>
        <w:spacing w:before="120" w:after="120" w:line="240" w:lineRule="auto"/>
        <w:rPr>
          <w:rFonts w:eastAsiaTheme="minorHAnsi" w:cstheme="majorBidi"/>
          <w:b/>
          <w:bCs/>
          <w:lang w:eastAsia="en-US"/>
        </w:rPr>
      </w:pPr>
      <w:r w:rsidRPr="00C41445">
        <w:rPr>
          <w:rFonts w:eastAsiaTheme="minorHAnsi" w:cstheme="majorBidi"/>
          <w:b/>
          <w:bCs/>
          <w:lang w:eastAsia="en-US"/>
        </w:rPr>
        <w:t>Z hlediska PÚR ČR</w:t>
      </w:r>
    </w:p>
    <w:p w14:paraId="67069048"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Město Hrádek nad Nisou je dle A PÚR ČR zařazen do rozvojové oblasti „OB7 Rozvojová oblast Liberec“ a leží na rozvojové ose „OS3 Rozvojová osa Praha – Liberec – hranice ČR/Německo, Polsko (Görlitz/Zgorzelec). Posuzovaný Návrh ÚP Hrádek nad Nisou svým řešením naplňuje úkoly pro územní plánování stanovené v A PÚR ČR a je v souladu s celorepublikovými prioritami stanovených tímto nástrojem územního plánování, který určuje požadavky a rámce pro konkretizaci ve stavebním zákoně obecně uváděných úkolů územního plánování v republikových, přeshraničních a mezinárodních souvislostech zejména s ohledem na udržitelný rozvoj území.</w:t>
      </w:r>
    </w:p>
    <w:p w14:paraId="23F0729A" w14:textId="77777777" w:rsidR="00C510C2" w:rsidRPr="00C41445" w:rsidRDefault="00C510C2" w:rsidP="00C41445">
      <w:pPr>
        <w:autoSpaceDE w:val="0"/>
        <w:autoSpaceDN w:val="0"/>
        <w:adjustRightInd w:val="0"/>
        <w:spacing w:before="120" w:after="120" w:line="240" w:lineRule="auto"/>
        <w:rPr>
          <w:rFonts w:eastAsiaTheme="minorHAnsi" w:cstheme="majorBidi"/>
          <w:b/>
          <w:bCs/>
          <w:lang w:eastAsia="en-US"/>
        </w:rPr>
      </w:pPr>
      <w:r w:rsidRPr="00C41445">
        <w:rPr>
          <w:rFonts w:eastAsiaTheme="minorHAnsi" w:cstheme="majorBidi"/>
          <w:b/>
          <w:bCs/>
          <w:lang w:eastAsia="en-US"/>
        </w:rPr>
        <w:t>Z hlediska ZÚR LK</w:t>
      </w:r>
    </w:p>
    <w:p w14:paraId="5A6936D1"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Dle ZÚR LK město Hrádek nad Nisou leží v rozvojové oblasti „ROB1 Rozvojová oblast Liberec“ a nachází se na rozvojové ose „ROS1 Praha – hranice kraje – Turnov – Liberec – Bílý Kostel nad Nisou – Hrádek nad Nisou – hranice ČR/Německo, Polsko“. Návrh ÚP Hrádek nad Nisou svým řešením naplňuje úkoly pro územní plánování stanovené pro ROB1 a ROS1 v ZÚR LK.</w:t>
      </w:r>
    </w:p>
    <w:p w14:paraId="1168DB9A"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Ze ZÚR LK se města Hrádek nad Nisou týkají následující koridory:</w:t>
      </w:r>
    </w:p>
    <w:p w14:paraId="40C31DBE" w14:textId="77777777" w:rsidR="00C510C2" w:rsidRPr="00C41445" w:rsidRDefault="00C510C2" w:rsidP="00C41445">
      <w:pPr>
        <w:pStyle w:val="ListParagraph"/>
        <w:numPr>
          <w:ilvl w:val="0"/>
          <w:numId w:val="120"/>
        </w:numPr>
        <w:autoSpaceDE w:val="0"/>
        <w:autoSpaceDN w:val="0"/>
        <w:adjustRightInd w:val="0"/>
        <w:spacing w:before="120" w:after="120" w:line="240" w:lineRule="auto"/>
        <w:ind w:left="851" w:hanging="284"/>
        <w:contextualSpacing/>
        <w:rPr>
          <w:rFonts w:eastAsiaTheme="minorHAnsi" w:cstheme="majorBidi"/>
          <w:lang w:eastAsia="en-US"/>
        </w:rPr>
      </w:pPr>
      <w:r w:rsidRPr="00C41445">
        <w:rPr>
          <w:rFonts w:eastAsiaTheme="minorHAnsi" w:cstheme="majorBidi"/>
          <w:lang w:eastAsia="en-US"/>
        </w:rPr>
        <w:t>koridor silniční dopravy mezinárodního významu D02 - silnice I/35, úsek Bílý Kostel nad Nisou – Hrádek nad Nisou – hranice ČR, který je v řešeném území prozatím realizován pouze v polovičním profilu, přičemž do budoucna se předpokládá vymezení územní rezervy na vybudování plného profilu;</w:t>
      </w:r>
    </w:p>
    <w:p w14:paraId="1858DCC4" w14:textId="77777777" w:rsidR="00C510C2" w:rsidRPr="00C41445" w:rsidRDefault="00C510C2" w:rsidP="00C41445">
      <w:pPr>
        <w:pStyle w:val="ListParagraph"/>
        <w:numPr>
          <w:ilvl w:val="0"/>
          <w:numId w:val="120"/>
        </w:numPr>
        <w:autoSpaceDE w:val="0"/>
        <w:autoSpaceDN w:val="0"/>
        <w:adjustRightInd w:val="0"/>
        <w:spacing w:before="120" w:after="120" w:line="240" w:lineRule="auto"/>
        <w:ind w:left="851" w:hanging="284"/>
        <w:contextualSpacing/>
        <w:rPr>
          <w:rFonts w:eastAsiaTheme="minorHAnsi" w:cstheme="majorBidi"/>
          <w:lang w:eastAsia="en-US"/>
        </w:rPr>
      </w:pPr>
      <w:r w:rsidRPr="00C41445">
        <w:rPr>
          <w:rFonts w:eastAsiaTheme="minorHAnsi" w:cstheme="majorBidi"/>
          <w:lang w:eastAsia="en-US"/>
        </w:rPr>
        <w:t>D28 úsek Liberec – Chrastava – Bílý Kostel nad Nisou – Hrádek nad Nisou – hranice ČR jako součást železničního spojení Liberec – Chrastava – Hrádek nad Nisou – hranice ČR – Zittau (Německo);</w:t>
      </w:r>
    </w:p>
    <w:p w14:paraId="2419FD68" w14:textId="77777777" w:rsidR="00C510C2" w:rsidRPr="00C41445" w:rsidRDefault="00C510C2" w:rsidP="00C41445">
      <w:pPr>
        <w:pStyle w:val="ListParagraph"/>
        <w:numPr>
          <w:ilvl w:val="0"/>
          <w:numId w:val="120"/>
        </w:numPr>
        <w:autoSpaceDE w:val="0"/>
        <w:autoSpaceDN w:val="0"/>
        <w:adjustRightInd w:val="0"/>
        <w:spacing w:before="120" w:after="120" w:line="240" w:lineRule="auto"/>
        <w:ind w:left="851" w:hanging="284"/>
        <w:contextualSpacing/>
        <w:jc w:val="left"/>
        <w:rPr>
          <w:rFonts w:eastAsiaTheme="minorHAnsi" w:cstheme="majorBidi"/>
          <w:lang w:eastAsia="en-US"/>
        </w:rPr>
      </w:pPr>
      <w:r w:rsidRPr="00C41445">
        <w:rPr>
          <w:rFonts w:eastAsiaTheme="minorHAnsi" w:cstheme="majorBidi"/>
          <w:lang w:eastAsia="en-US"/>
        </w:rPr>
        <w:t>silniční přeshraniční spojení D43 Hrádek nad Nisou, silnice I/35;</w:t>
      </w:r>
    </w:p>
    <w:p w14:paraId="141B4D16" w14:textId="77777777" w:rsidR="00C510C2" w:rsidRPr="00C41445" w:rsidRDefault="00C510C2" w:rsidP="00C41445">
      <w:pPr>
        <w:pStyle w:val="ListParagraph"/>
        <w:numPr>
          <w:ilvl w:val="0"/>
          <w:numId w:val="120"/>
        </w:numPr>
        <w:autoSpaceDE w:val="0"/>
        <w:autoSpaceDN w:val="0"/>
        <w:adjustRightInd w:val="0"/>
        <w:spacing w:before="120" w:after="120" w:line="240" w:lineRule="auto"/>
        <w:ind w:left="851" w:hanging="284"/>
        <w:contextualSpacing/>
        <w:jc w:val="left"/>
        <w:rPr>
          <w:rFonts w:eastAsiaTheme="minorHAnsi" w:cstheme="majorBidi"/>
          <w:lang w:eastAsia="en-US"/>
        </w:rPr>
      </w:pPr>
      <w:r w:rsidRPr="00C41445">
        <w:rPr>
          <w:rFonts w:eastAsiaTheme="minorHAnsi" w:cstheme="majorBidi"/>
          <w:lang w:eastAsia="en-US"/>
        </w:rPr>
        <w:t>multifunkční turistické koridory, a to:</w:t>
      </w:r>
    </w:p>
    <w:p w14:paraId="7668F159"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D40 Koridor Lužická Nisa, Hrádek nad Nisou – Chrastava – Liberec – Jablonec nad Nisou – Nová Ves nad Nisou,</w:t>
      </w:r>
    </w:p>
    <w:p w14:paraId="32FFD18D"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D42 multifunkční turistický koridor – Nová Hřebenovka (jižní a severní větev);</w:t>
      </w:r>
    </w:p>
    <w:p w14:paraId="1B16EF8F" w14:textId="77777777" w:rsidR="00C510C2" w:rsidRPr="00C41445" w:rsidRDefault="00C510C2" w:rsidP="00C41445">
      <w:pPr>
        <w:pStyle w:val="ListParagraph"/>
        <w:numPr>
          <w:ilvl w:val="0"/>
          <w:numId w:val="120"/>
        </w:numPr>
        <w:autoSpaceDE w:val="0"/>
        <w:autoSpaceDN w:val="0"/>
        <w:adjustRightInd w:val="0"/>
        <w:spacing w:before="120" w:after="120" w:line="240" w:lineRule="auto"/>
        <w:ind w:left="851" w:hanging="284"/>
        <w:contextualSpacing/>
        <w:rPr>
          <w:rFonts w:eastAsiaTheme="minorHAnsi" w:cstheme="majorBidi"/>
          <w:lang w:eastAsia="en-US"/>
        </w:rPr>
      </w:pPr>
      <w:r w:rsidRPr="00C41445">
        <w:rPr>
          <w:rFonts w:eastAsiaTheme="minorHAnsi" w:cstheme="majorBidi"/>
          <w:lang w:eastAsia="en-US"/>
        </w:rPr>
        <w:t>koridory pro umístění staveb a opatření pro snižování ohrožení území povodněmi, a to:</w:t>
      </w:r>
    </w:p>
    <w:p w14:paraId="59F0F28D"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P09 Lužická Nisa, úsek Jablonec nad Nisou – Hrádek nad Nisou,</w:t>
      </w:r>
    </w:p>
    <w:p w14:paraId="0B95EE82"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P53 Oldřichovský potok, Oldřichov na Hranicích;</w:t>
      </w:r>
    </w:p>
    <w:p w14:paraId="11EB9831" w14:textId="77777777" w:rsidR="00C510C2" w:rsidRPr="00C41445" w:rsidRDefault="00C510C2" w:rsidP="00C41445">
      <w:pPr>
        <w:pStyle w:val="ListParagraph"/>
        <w:numPr>
          <w:ilvl w:val="0"/>
          <w:numId w:val="120"/>
        </w:numPr>
        <w:autoSpaceDE w:val="0"/>
        <w:autoSpaceDN w:val="0"/>
        <w:adjustRightInd w:val="0"/>
        <w:spacing w:before="120" w:after="120" w:line="240" w:lineRule="auto"/>
        <w:ind w:left="851" w:hanging="284"/>
        <w:contextualSpacing/>
        <w:rPr>
          <w:rFonts w:eastAsiaTheme="minorHAnsi" w:cstheme="majorBidi"/>
          <w:lang w:eastAsia="en-US"/>
        </w:rPr>
      </w:pPr>
      <w:r w:rsidRPr="00C41445">
        <w:rPr>
          <w:rFonts w:eastAsiaTheme="minorHAnsi" w:cstheme="majorBidi"/>
          <w:lang w:eastAsia="en-US"/>
        </w:rPr>
        <w:t>veřejně prospěšná opatření pro územní systém ekologické stability, a to:</w:t>
      </w:r>
    </w:p>
    <w:p w14:paraId="163A54AA"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K19MB,</w:t>
      </w:r>
    </w:p>
    <w:p w14:paraId="56CEAE76"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K34B,</w:t>
      </w:r>
    </w:p>
    <w:p w14:paraId="5207C141"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RC143,</w:t>
      </w:r>
    </w:p>
    <w:p w14:paraId="0E8DB308"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RC1273,</w:t>
      </w:r>
    </w:p>
    <w:p w14:paraId="6D19FA44" w14:textId="77777777" w:rsidR="00C510C2" w:rsidRPr="00C41445" w:rsidRDefault="00C510C2" w:rsidP="00C41445">
      <w:pPr>
        <w:autoSpaceDE w:val="0"/>
        <w:autoSpaceDN w:val="0"/>
        <w:adjustRightInd w:val="0"/>
        <w:spacing w:before="120" w:after="120" w:line="240" w:lineRule="auto"/>
        <w:ind w:left="1416"/>
        <w:jc w:val="left"/>
        <w:rPr>
          <w:rFonts w:eastAsiaTheme="minorHAnsi" w:cstheme="majorBidi"/>
          <w:lang w:eastAsia="en-US"/>
        </w:rPr>
      </w:pPr>
      <w:r w:rsidRPr="00C41445">
        <w:rPr>
          <w:rFonts w:eastAsiaTheme="minorHAnsi" w:cstheme="majorBidi"/>
          <w:lang w:eastAsia="en-US"/>
        </w:rPr>
        <w:t>- RC1790,</w:t>
      </w:r>
    </w:p>
    <w:p w14:paraId="18A30408" w14:textId="77777777" w:rsidR="00C510C2" w:rsidRPr="00C41445" w:rsidRDefault="00C510C2" w:rsidP="00C41445">
      <w:pPr>
        <w:autoSpaceDE w:val="0"/>
        <w:autoSpaceDN w:val="0"/>
        <w:adjustRightInd w:val="0"/>
        <w:spacing w:before="120" w:after="120" w:line="240" w:lineRule="auto"/>
        <w:ind w:left="1418"/>
        <w:jc w:val="left"/>
        <w:rPr>
          <w:rFonts w:eastAsiaTheme="minorHAnsi" w:cstheme="majorBidi"/>
          <w:lang w:eastAsia="en-US"/>
        </w:rPr>
      </w:pPr>
      <w:r w:rsidRPr="00C41445">
        <w:rPr>
          <w:rFonts w:eastAsiaTheme="minorHAnsi" w:cstheme="majorBidi"/>
          <w:lang w:eastAsia="en-US"/>
        </w:rPr>
        <w:t>- RK638.</w:t>
      </w:r>
    </w:p>
    <w:p w14:paraId="40DE6E2A"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lastRenderedPageBreak/>
        <w:t>Předložený Návrh ÚP Hrádek nad Nisou výše uvedené koridory i opatření zpřesňuje. Návrh ÚP Hrádek nad Nisou je v souladu s A PÚR ČR i se ZÚR LK.</w:t>
      </w:r>
    </w:p>
    <w:p w14:paraId="30351122" w14:textId="77777777" w:rsidR="00C510C2" w:rsidRPr="00C41445" w:rsidRDefault="00C510C2" w:rsidP="00C41445">
      <w:pPr>
        <w:autoSpaceDE w:val="0"/>
        <w:autoSpaceDN w:val="0"/>
        <w:adjustRightInd w:val="0"/>
        <w:spacing w:before="120" w:after="120" w:line="240" w:lineRule="auto"/>
        <w:jc w:val="left"/>
        <w:rPr>
          <w:rFonts w:eastAsiaTheme="minorHAnsi" w:cstheme="majorBidi"/>
          <w:b/>
          <w:bCs/>
          <w:lang w:eastAsia="en-US"/>
        </w:rPr>
      </w:pPr>
      <w:r w:rsidRPr="00C41445">
        <w:rPr>
          <w:rFonts w:eastAsiaTheme="minorHAnsi" w:cstheme="majorBidi"/>
          <w:b/>
          <w:bCs/>
          <w:lang w:eastAsia="en-US"/>
        </w:rPr>
        <w:t>2. Zajištění koordinace využívání území</w:t>
      </w:r>
    </w:p>
    <w:p w14:paraId="7EDF10F3" w14:textId="77777777" w:rsidR="00C510C2" w:rsidRPr="00C41445"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K Návrhu ÚP Hrádek nad Nisou nebyly ze strany sousedních obcí uplatněny žádné připomínky. Na základě toho lze konstatovat, že je zajištěna koordinace s využitím území sousedních obcí.</w:t>
      </w:r>
    </w:p>
    <w:p w14:paraId="4E9A450B" w14:textId="77777777" w:rsidR="00C510C2" w:rsidRPr="00C41445" w:rsidRDefault="00C510C2" w:rsidP="00C41445">
      <w:pPr>
        <w:autoSpaceDE w:val="0"/>
        <w:autoSpaceDN w:val="0"/>
        <w:adjustRightInd w:val="0"/>
        <w:spacing w:before="120" w:after="120" w:line="240" w:lineRule="auto"/>
        <w:jc w:val="left"/>
        <w:rPr>
          <w:rFonts w:eastAsiaTheme="minorHAnsi" w:cstheme="majorBidi"/>
          <w:b/>
          <w:bCs/>
          <w:lang w:eastAsia="en-US"/>
        </w:rPr>
      </w:pPr>
      <w:r w:rsidRPr="00C41445">
        <w:rPr>
          <w:rFonts w:eastAsiaTheme="minorHAnsi" w:cstheme="majorBidi"/>
          <w:b/>
          <w:bCs/>
          <w:lang w:eastAsia="en-US"/>
        </w:rPr>
        <w:t>3. Záležitosti týkající se rozvoje území kraje, které nejsou obsaženy v ZÚR LK</w:t>
      </w:r>
    </w:p>
    <w:p w14:paraId="0F57A020" w14:textId="77777777" w:rsidR="00C510C2" w:rsidRDefault="00C510C2" w:rsidP="00C41445">
      <w:pPr>
        <w:autoSpaceDE w:val="0"/>
        <w:autoSpaceDN w:val="0"/>
        <w:adjustRightInd w:val="0"/>
        <w:spacing w:before="120" w:after="120" w:line="240" w:lineRule="auto"/>
        <w:rPr>
          <w:rFonts w:eastAsiaTheme="minorHAnsi" w:cstheme="majorBidi"/>
          <w:lang w:eastAsia="en-US"/>
        </w:rPr>
      </w:pPr>
      <w:r w:rsidRPr="00C41445">
        <w:rPr>
          <w:rFonts w:eastAsiaTheme="minorHAnsi" w:cstheme="majorBidi"/>
          <w:lang w:eastAsia="en-US"/>
        </w:rPr>
        <w:t>Návrh ÚP Hrádek nad Nisou nenavrhuje žádné záležitosti nadmístního významu týkající se rozvoje území kraje, které nejsou řešeny v ZÚR LK dle ustanovení § 43 odst. 1 stavebního zákona.</w:t>
      </w:r>
    </w:p>
    <w:p w14:paraId="6FDE00EC" w14:textId="41BB89D9" w:rsidR="005B6354" w:rsidRPr="00C41445" w:rsidRDefault="005B6354" w:rsidP="005B6354">
      <w:pPr>
        <w:spacing w:before="240" w:line="240" w:lineRule="auto"/>
        <w:ind w:left="567" w:hanging="567"/>
      </w:pPr>
      <w:r w:rsidRPr="00C41445">
        <w:rPr>
          <w:b/>
          <w:sz w:val="26"/>
          <w:szCs w:val="26"/>
        </w:rPr>
        <w:t>A.</w:t>
      </w:r>
      <w:r>
        <w:rPr>
          <w:b/>
          <w:sz w:val="26"/>
          <w:szCs w:val="26"/>
        </w:rPr>
        <w:t>2</w:t>
      </w:r>
      <w:r w:rsidRPr="00C41445">
        <w:rPr>
          <w:b/>
          <w:sz w:val="26"/>
          <w:szCs w:val="26"/>
        </w:rPr>
        <w:t xml:space="preserve">. </w:t>
      </w:r>
      <w:r w:rsidRPr="00C41445">
        <w:rPr>
          <w:b/>
          <w:sz w:val="26"/>
          <w:szCs w:val="26"/>
        </w:rPr>
        <w:tab/>
        <w:t>VYHODNOCENÍ SOULADU</w:t>
      </w:r>
      <w:r>
        <w:rPr>
          <w:b/>
          <w:sz w:val="26"/>
          <w:szCs w:val="26"/>
        </w:rPr>
        <w:t xml:space="preserve"> S CÍLI A ÚKOLY ÚZEMNÍHO PLÁNOVÁNÍ, ZEJMÉNA S POŽADAVKY NA OCHRANU ARCHITEKTONICKÝCH A URBANISTICKÝCH HODNOT V ÚZEMÍ A POŽADAVKY NA OCHRANU NEZASTAVĚNÉHO ÚZEMÍ </w:t>
      </w:r>
    </w:p>
    <w:p w14:paraId="58BB8409" w14:textId="77777777" w:rsidR="00C510C2" w:rsidRDefault="00C510C2" w:rsidP="00C41445">
      <w:pPr>
        <w:autoSpaceDE w:val="0"/>
        <w:autoSpaceDN w:val="0"/>
        <w:adjustRightInd w:val="0"/>
        <w:spacing w:before="120" w:after="120" w:line="240" w:lineRule="auto"/>
        <w:ind w:left="567"/>
        <w:rPr>
          <w:rFonts w:cstheme="majorBidi"/>
        </w:rPr>
      </w:pPr>
      <w:r w:rsidRPr="00C41445">
        <w:rPr>
          <w:rFonts w:cstheme="majorBidi"/>
        </w:rPr>
        <w:t>Vyhodnocení souladu s politikou územního rozvoje je podrobně zpracováno v textové části odůvodnění návrhu Územního plánu Hrádek nad Nisou a to v kapitole 1.3), která je nedílnou součástí tohoto opatření obecné povahy a tvoří jeho přílohu.</w:t>
      </w:r>
    </w:p>
    <w:p w14:paraId="7643407A" w14:textId="25FE5414" w:rsidR="005B6354" w:rsidRPr="00C41445" w:rsidRDefault="005B6354" w:rsidP="005B6354">
      <w:pPr>
        <w:spacing w:before="240" w:line="240" w:lineRule="auto"/>
        <w:ind w:left="567" w:hanging="567"/>
      </w:pPr>
      <w:r w:rsidRPr="00C41445">
        <w:rPr>
          <w:b/>
          <w:sz w:val="26"/>
          <w:szCs w:val="26"/>
        </w:rPr>
        <w:t>A.</w:t>
      </w:r>
      <w:r>
        <w:rPr>
          <w:b/>
          <w:sz w:val="26"/>
          <w:szCs w:val="26"/>
        </w:rPr>
        <w:t>3</w:t>
      </w:r>
      <w:r w:rsidRPr="00C41445">
        <w:rPr>
          <w:b/>
          <w:sz w:val="26"/>
          <w:szCs w:val="26"/>
        </w:rPr>
        <w:t xml:space="preserve">. </w:t>
      </w:r>
      <w:r w:rsidRPr="00C41445">
        <w:rPr>
          <w:b/>
          <w:sz w:val="26"/>
          <w:szCs w:val="26"/>
        </w:rPr>
        <w:tab/>
        <w:t>VYHODNOCENÍ SOULADU</w:t>
      </w:r>
      <w:r>
        <w:rPr>
          <w:b/>
          <w:sz w:val="26"/>
          <w:szCs w:val="26"/>
        </w:rPr>
        <w:t xml:space="preserve"> S POŽADAVKY STAVEBNÍHO ZÁKONA A JEHO PROVÁDĚCÍCH PRÁVNÍCH PŘEDPISŮ </w:t>
      </w:r>
    </w:p>
    <w:p w14:paraId="7C03C1DC" w14:textId="77777777" w:rsidR="00C510C2" w:rsidRPr="00C41445" w:rsidRDefault="00C510C2" w:rsidP="00C41445">
      <w:pPr>
        <w:autoSpaceDE w:val="0"/>
        <w:autoSpaceDN w:val="0"/>
        <w:adjustRightInd w:val="0"/>
        <w:spacing w:before="120" w:after="120" w:line="240" w:lineRule="auto"/>
        <w:ind w:left="567"/>
        <w:rPr>
          <w:rFonts w:eastAsiaTheme="minorHAnsi" w:cstheme="majorBidi"/>
          <w:lang w:eastAsia="en-US"/>
        </w:rPr>
      </w:pPr>
      <w:r w:rsidRPr="00C41445">
        <w:rPr>
          <w:rFonts w:cstheme="majorBidi"/>
        </w:rPr>
        <w:t>Vyhodnocení souladu s politikou územního rozvoje je podrobně zpracováno v textové části odůvodnění návrhu Územního plánu Hrádek nad Nisou a to v kapitole 1.4), která je nedílnou součástí tohoto opatření obecné povahy a tvoří jeho přílohu.</w:t>
      </w:r>
    </w:p>
    <w:p w14:paraId="0AF3F211" w14:textId="23269676" w:rsidR="005B6354" w:rsidRPr="00C41445" w:rsidRDefault="005B6354" w:rsidP="005B6354">
      <w:pPr>
        <w:spacing w:before="240" w:line="240" w:lineRule="auto"/>
        <w:ind w:left="567" w:hanging="567"/>
      </w:pPr>
      <w:r w:rsidRPr="00C41445">
        <w:rPr>
          <w:b/>
          <w:sz w:val="26"/>
          <w:szCs w:val="26"/>
        </w:rPr>
        <w:t>A.</w:t>
      </w:r>
      <w:r>
        <w:rPr>
          <w:b/>
          <w:sz w:val="26"/>
          <w:szCs w:val="26"/>
        </w:rPr>
        <w:t>4</w:t>
      </w:r>
      <w:r w:rsidRPr="00C41445">
        <w:rPr>
          <w:b/>
          <w:sz w:val="26"/>
          <w:szCs w:val="26"/>
        </w:rPr>
        <w:t xml:space="preserve">. </w:t>
      </w:r>
      <w:r w:rsidRPr="00C41445">
        <w:rPr>
          <w:b/>
          <w:sz w:val="26"/>
          <w:szCs w:val="26"/>
        </w:rPr>
        <w:tab/>
        <w:t>VYHODNOCENÍ SOULADU</w:t>
      </w:r>
      <w:r>
        <w:rPr>
          <w:b/>
          <w:sz w:val="26"/>
          <w:szCs w:val="26"/>
        </w:rPr>
        <w:t xml:space="preserve"> S POŽADAVKY ZVLÁŠTNÍCH PRÁVNÍCH PŘEDPISŮ A SE STANOVISKY DOTČENÝCH ORGÁNŮ PODLE ZVLÁŠTNÍCH PRÁVNÍCH PŘEDPISŮ, PŘÍPADNĚ VÝSLEDKEM ŘEŠENÍ ROZPORŮ </w:t>
      </w:r>
    </w:p>
    <w:p w14:paraId="37311101" w14:textId="77777777" w:rsidR="00C510C2" w:rsidRPr="00E36DAE" w:rsidRDefault="00C510C2" w:rsidP="00C510C2">
      <w:pPr>
        <w:autoSpaceDE w:val="0"/>
        <w:autoSpaceDN w:val="0"/>
        <w:adjustRightInd w:val="0"/>
        <w:spacing w:line="240" w:lineRule="auto"/>
        <w:jc w:val="left"/>
        <w:rPr>
          <w:rFonts w:asciiTheme="majorBidi" w:eastAsiaTheme="minorHAnsi" w:hAnsiTheme="majorBidi" w:cstheme="majorBidi"/>
          <w:lang w:eastAsia="en-US"/>
        </w:rPr>
      </w:pPr>
    </w:p>
    <w:p w14:paraId="769E6A38" w14:textId="77777777" w:rsidR="00C510C2" w:rsidRPr="00C50D79" w:rsidRDefault="00C510C2" w:rsidP="005B6354">
      <w:pPr>
        <w:pStyle w:val="ListParagraph"/>
        <w:numPr>
          <w:ilvl w:val="0"/>
          <w:numId w:val="125"/>
        </w:numPr>
        <w:autoSpaceDE w:val="0"/>
        <w:autoSpaceDN w:val="0"/>
        <w:adjustRightInd w:val="0"/>
        <w:spacing w:line="240" w:lineRule="auto"/>
        <w:ind w:left="567" w:hanging="567"/>
        <w:contextualSpacing/>
        <w:rPr>
          <w:rFonts w:eastAsiaTheme="minorHAnsi" w:cstheme="majorBidi"/>
          <w:b/>
          <w:lang w:eastAsia="en-US"/>
        </w:rPr>
      </w:pPr>
      <w:r w:rsidRPr="00C50D79">
        <w:rPr>
          <w:rFonts w:eastAsiaTheme="minorHAnsi" w:cstheme="majorBidi"/>
          <w:b/>
          <w:lang w:eastAsia="en-US"/>
        </w:rPr>
        <w:t xml:space="preserve">Ke </w:t>
      </w:r>
      <w:r w:rsidRPr="00C50D79">
        <w:rPr>
          <w:rFonts w:cstheme="majorBidi"/>
          <w:b/>
        </w:rPr>
        <w:t>společnému</w:t>
      </w:r>
      <w:r w:rsidRPr="00C50D79">
        <w:rPr>
          <w:rFonts w:eastAsiaTheme="minorHAnsi" w:cstheme="majorBidi"/>
          <w:b/>
          <w:lang w:eastAsia="en-US"/>
        </w:rPr>
        <w:t xml:space="preserve"> jednání byla uplatněna níže uvedená stanoviska dotčených orgánů: </w:t>
      </w:r>
    </w:p>
    <w:p w14:paraId="365DE845" w14:textId="77777777" w:rsidR="00C510C2" w:rsidRPr="005B6354" w:rsidRDefault="00C510C2" w:rsidP="00C510C2">
      <w:pPr>
        <w:autoSpaceDE w:val="0"/>
        <w:autoSpaceDN w:val="0"/>
        <w:adjustRightInd w:val="0"/>
        <w:spacing w:line="240" w:lineRule="auto"/>
        <w:jc w:val="left"/>
        <w:rPr>
          <w:rFonts w:eastAsiaTheme="minorHAnsi" w:cstheme="majorBidi"/>
          <w:lang w:eastAsia="en-US"/>
        </w:rPr>
      </w:pPr>
    </w:p>
    <w:p w14:paraId="4BA477B5" w14:textId="77777777" w:rsidR="00C510C2" w:rsidRPr="009605D3" w:rsidRDefault="00C510C2" w:rsidP="009605D3">
      <w:pPr>
        <w:autoSpaceDE w:val="0"/>
        <w:autoSpaceDN w:val="0"/>
        <w:adjustRightInd w:val="0"/>
        <w:spacing w:line="240" w:lineRule="auto"/>
        <w:jc w:val="left"/>
        <w:rPr>
          <w:rFonts w:eastAsiaTheme="minorHAnsi" w:cstheme="majorBidi"/>
          <w:color w:val="92D050"/>
          <w:sz w:val="24"/>
          <w:szCs w:val="24"/>
          <w:lang w:eastAsia="en-US"/>
        </w:rPr>
      </w:pPr>
      <w:r w:rsidRPr="009605D3">
        <w:rPr>
          <w:rFonts w:eastAsiaTheme="minorHAnsi" w:cstheme="majorBidi"/>
          <w:b/>
          <w:bCs/>
          <w:color w:val="92D050"/>
          <w:sz w:val="24"/>
          <w:szCs w:val="24"/>
          <w:lang w:eastAsia="en-US"/>
        </w:rPr>
        <w:t xml:space="preserve">stanovisko A) Krajská hygienická stanice Libereckého kraje se sídlem v Liberci </w:t>
      </w:r>
    </w:p>
    <w:p w14:paraId="7F913005" w14:textId="77777777" w:rsidR="00C510C2" w:rsidRPr="005B6354" w:rsidRDefault="00C510C2" w:rsidP="009605D3">
      <w:pPr>
        <w:autoSpaceDE w:val="0"/>
        <w:autoSpaceDN w:val="0"/>
        <w:adjustRightInd w:val="0"/>
        <w:spacing w:line="240" w:lineRule="auto"/>
        <w:jc w:val="left"/>
        <w:rPr>
          <w:rFonts w:eastAsiaTheme="minorHAnsi" w:cstheme="majorBidi"/>
          <w:lang w:eastAsia="en-US"/>
        </w:rPr>
      </w:pPr>
      <w:r w:rsidRPr="005B6354">
        <w:rPr>
          <w:rFonts w:eastAsiaTheme="minorHAnsi" w:cstheme="majorBidi"/>
          <w:lang w:eastAsia="en-US"/>
        </w:rPr>
        <w:t>Stanovisko č. j.  KHSLB 04816/2018 doručené dne 15. 5. 2018 vedené pod č. j. OSŽP/3543/18.</w:t>
      </w:r>
    </w:p>
    <w:p w14:paraId="214BD4F7" w14:textId="77777777" w:rsidR="00C510C2" w:rsidRPr="005B6354" w:rsidRDefault="00C510C2" w:rsidP="009605D3">
      <w:pPr>
        <w:autoSpaceDE w:val="0"/>
        <w:autoSpaceDN w:val="0"/>
        <w:adjustRightInd w:val="0"/>
        <w:spacing w:before="120" w:after="120" w:line="240" w:lineRule="auto"/>
        <w:jc w:val="left"/>
        <w:rPr>
          <w:rFonts w:eastAsiaTheme="minorHAnsi" w:cstheme="majorBidi"/>
          <w:b/>
          <w:bCs/>
          <w:lang w:eastAsia="en-US"/>
        </w:rPr>
      </w:pPr>
      <w:r w:rsidRPr="005B6354">
        <w:rPr>
          <w:rFonts w:eastAsiaTheme="minorHAnsi" w:cstheme="majorBidi"/>
          <w:b/>
          <w:bCs/>
          <w:lang w:eastAsia="en-US"/>
        </w:rPr>
        <w:t>Přepis stanoviska:</w:t>
      </w:r>
    </w:p>
    <w:p w14:paraId="7535C625"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Na základě výzvy Městského úřadu Hrádek nad Nisou, odboru stavebního a životního prostředí, doručené dne 07. 3. 2018, pod č. j. KHSLB 04816/2018, posoudila Krajská hygienická stanice Libereckého kraje se sídlem v Liberci (dále jen Krajská hygienická stanice) jako dotčený správní úřad dle § 82 odst. 2 písm. j) zákona č. 258/2000 Sb., o ochraně veřejného zdraví a o změně některých souvisejících zákonů, ve znění pozdějších předpisů (dále jen zákon č. 258/2000 Sb., ve znění pozdějších předpisů), a § 50 odst. 2 zákona č. 183/2006 Sb., o územním plánování a stavebním řádu (stavební zákon), ve znění pozdějších předpisů, předložený návrh Územního plánu obce Hrádek nad Nisou. </w:t>
      </w:r>
    </w:p>
    <w:p w14:paraId="2AFF5F0C"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Po zhodnocení zdravotních rizik vyplývajících z předloženého návrhu s přihlédnutím k požadavkům předpisů v oblasti ochrany veřejného zdraví vydává Krajská hygienická stanice toto stanovisko: </w:t>
      </w:r>
    </w:p>
    <w:p w14:paraId="21EE0E87" w14:textId="77777777" w:rsidR="00C510C2" w:rsidRPr="005B6354" w:rsidRDefault="00C510C2" w:rsidP="009605D3">
      <w:pPr>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lang w:eastAsia="en-US"/>
        </w:rPr>
        <w:t xml:space="preserve">S návrhem územního plánu obce Hrádek nad Nisou </w:t>
      </w:r>
      <w:r w:rsidRPr="005B6354">
        <w:rPr>
          <w:rFonts w:eastAsiaTheme="minorHAnsi" w:cstheme="majorBidi"/>
          <w:b/>
          <w:bCs/>
          <w:lang w:eastAsia="en-US"/>
        </w:rPr>
        <w:t xml:space="preserve">se souhlasí </w:t>
      </w:r>
      <w:r w:rsidRPr="005B6354">
        <w:rPr>
          <w:rFonts w:eastAsiaTheme="minorHAnsi" w:cstheme="majorBidi"/>
          <w:lang w:eastAsia="en-US"/>
        </w:rPr>
        <w:t xml:space="preserve">při splnění následujících podmínek: </w:t>
      </w:r>
    </w:p>
    <w:p w14:paraId="44B0093D" w14:textId="77777777" w:rsidR="00C510C2" w:rsidRPr="005B6354" w:rsidRDefault="00C510C2" w:rsidP="005B6354">
      <w:pPr>
        <w:pStyle w:val="ListParagraph"/>
        <w:numPr>
          <w:ilvl w:val="1"/>
          <w:numId w:val="118"/>
        </w:numPr>
        <w:autoSpaceDE w:val="0"/>
        <w:autoSpaceDN w:val="0"/>
        <w:adjustRightInd w:val="0"/>
        <w:spacing w:before="120" w:after="27" w:line="240" w:lineRule="auto"/>
        <w:ind w:left="1276" w:hanging="425"/>
        <w:contextualSpacing/>
        <w:rPr>
          <w:rFonts w:eastAsiaTheme="minorHAnsi" w:cstheme="majorBidi"/>
          <w:lang w:eastAsia="en-US"/>
        </w:rPr>
      </w:pPr>
      <w:r w:rsidRPr="005B6354">
        <w:rPr>
          <w:rFonts w:eastAsiaTheme="minorHAnsi" w:cstheme="majorBidi"/>
          <w:lang w:eastAsia="en-US"/>
        </w:rPr>
        <w:t xml:space="preserve">Pro plochy Z02 - Z06, Z08 - Z11, Z13 – Z15, Z17, Z18, Z36, Z37, Z38, Z40, Z41, Z66, P09, P11, P12, P14, P30 uvést „U ploch s rozdílným využitím, s ohledem na negativní ovlivnění zdravotního stavu obyvatelstva a po zhodnocení zdravotních rizik, nelze souhlasit s umístěním stavby nebo zařízení přípustné pro tuto funkční plochu bez doložení dodržení hygienických limitů hluku v chráněných prostorech“. </w:t>
      </w:r>
    </w:p>
    <w:p w14:paraId="305F4BD8" w14:textId="77777777" w:rsidR="00C510C2" w:rsidRPr="005B6354" w:rsidRDefault="00C510C2" w:rsidP="005B6354">
      <w:pPr>
        <w:pStyle w:val="ListParagraph"/>
        <w:numPr>
          <w:ilvl w:val="1"/>
          <w:numId w:val="118"/>
        </w:numPr>
        <w:autoSpaceDE w:val="0"/>
        <w:autoSpaceDN w:val="0"/>
        <w:adjustRightInd w:val="0"/>
        <w:spacing w:before="120" w:after="27" w:line="240" w:lineRule="auto"/>
        <w:ind w:left="1276" w:hanging="425"/>
        <w:contextualSpacing/>
        <w:rPr>
          <w:rFonts w:eastAsiaTheme="minorHAnsi" w:cstheme="majorBidi"/>
          <w:lang w:eastAsia="en-US"/>
        </w:rPr>
      </w:pPr>
      <w:r w:rsidRPr="005B6354">
        <w:rPr>
          <w:rFonts w:eastAsiaTheme="minorHAnsi" w:cstheme="majorBidi"/>
          <w:lang w:eastAsia="en-US"/>
        </w:rPr>
        <w:lastRenderedPageBreak/>
        <w:t xml:space="preserve">Pro plochy Z43, Z44, Z45, Z47, P11, P12, P14, P25, P26 uvést „Při umístění staveb bude prokázáno dodržení hygienických limitů hluku z provozu na pozemních komunikacích v budoucích chráněných prostorech“. </w:t>
      </w:r>
    </w:p>
    <w:p w14:paraId="52ED5969" w14:textId="77777777" w:rsidR="00C510C2" w:rsidRPr="005B6354" w:rsidRDefault="00C510C2" w:rsidP="005B6354">
      <w:pPr>
        <w:pStyle w:val="ListParagraph"/>
        <w:numPr>
          <w:ilvl w:val="1"/>
          <w:numId w:val="118"/>
        </w:numPr>
        <w:autoSpaceDE w:val="0"/>
        <w:autoSpaceDN w:val="0"/>
        <w:adjustRightInd w:val="0"/>
        <w:spacing w:before="120" w:after="27" w:line="240" w:lineRule="auto"/>
        <w:ind w:left="1276" w:hanging="425"/>
        <w:contextualSpacing/>
        <w:rPr>
          <w:rFonts w:eastAsiaTheme="minorHAnsi" w:cstheme="majorBidi"/>
          <w:lang w:eastAsia="en-US"/>
        </w:rPr>
      </w:pPr>
      <w:r w:rsidRPr="005B6354">
        <w:rPr>
          <w:rFonts w:eastAsiaTheme="minorHAnsi" w:cstheme="majorBidi"/>
          <w:lang w:eastAsia="en-US"/>
        </w:rPr>
        <w:t xml:space="preserve">Pro plochy Z54, Z55, P17, P20, P28 uvést „Při umístění staveb bude prokázáno dodržení hygienických limitů hluku z provozu na železnici v budoucích chráněných prostorech“. </w:t>
      </w:r>
    </w:p>
    <w:p w14:paraId="768BF6F8" w14:textId="77777777" w:rsidR="00C510C2" w:rsidRPr="005B6354" w:rsidRDefault="00C510C2" w:rsidP="005B6354">
      <w:pPr>
        <w:pStyle w:val="ListParagraph"/>
        <w:numPr>
          <w:ilvl w:val="1"/>
          <w:numId w:val="118"/>
        </w:numPr>
        <w:autoSpaceDE w:val="0"/>
        <w:autoSpaceDN w:val="0"/>
        <w:adjustRightInd w:val="0"/>
        <w:spacing w:before="120" w:line="240" w:lineRule="auto"/>
        <w:ind w:left="1276" w:hanging="425"/>
        <w:contextualSpacing/>
        <w:rPr>
          <w:rFonts w:eastAsiaTheme="minorHAnsi" w:cstheme="majorBidi"/>
          <w:lang w:eastAsia="en-US"/>
        </w:rPr>
      </w:pPr>
      <w:r w:rsidRPr="005B6354">
        <w:rPr>
          <w:rFonts w:eastAsiaTheme="minorHAnsi" w:cstheme="majorBidi"/>
          <w:lang w:eastAsia="en-US"/>
        </w:rPr>
        <w:t>Územní plán zpracovat v souladu se Zdravotní politikou Libereckého kraje a Akčním plánem zdraví a životního prostředí.</w:t>
      </w:r>
    </w:p>
    <w:p w14:paraId="60324763"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b/>
          <w:bCs/>
          <w:lang w:eastAsia="en-US"/>
        </w:rPr>
        <w:t xml:space="preserve">Odůvodnění: </w:t>
      </w:r>
    </w:p>
    <w:p w14:paraId="03E992C9"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Dne 07. 3. 2018 byla na Krajskou hygienickou stanici doručena výzva Městského úřadu Hrádek nad Nisou, odboru stavebního a životního prostředí, k uplatnění stanoviska k návrhu územního plánu obce Hrádek nad Nisou. Společné jednání se uskutečnilo 16. 4. 2018. </w:t>
      </w:r>
    </w:p>
    <w:p w14:paraId="32B0D920"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Pro podmínku a) týkající se ploch s rozdílným využitím označených Z02 – Z06, Z08 – Z11, Z13 – Z15, Z17, Z18, Z36, Z37, Z38, Z40, Z41, Z66, P09, P11, P12, P14, P30 (plochy výroby a skladování – větrná elektrárna, plochy výroby – lehký průmysl, plochy výroby a skladování – se specifickým využitím, plochy smíšené obytné – městské, plochy smíšené obytné – venkovské a bydlení – městské a příměstské), je nutné zohlednit negativní ovlivnění zdravotního stavu obyvatelstva vlivem provozu z průmyslových areálů a větrných elektráren, a proto po zhodnocení zdravotních rizik z výše popsaného plynoucí, nelze souhlasit s umístěním stavby nebo zařízení přípustného pro tyto funkční plochy bez doložení dodržení hygienických limitů hluku v chráněných prostorech. Územní plán by neměl zakládat možnost umisťování ploch výroby do bezprostředního sousedství ploch chráněných prostorů. Těsné sousedství ploch pro výrobu a ploch pro bydlení vede ke zhoršování pohody bydlení a zdravotního stavu obyvatelstva žijícího v takových lokalitách. </w:t>
      </w:r>
    </w:p>
    <w:p w14:paraId="45866BA1"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Podmínka b) a c) se opírá o zkušenosti Krajské hygienické stanice s hlučností v okolí železničních drah, pozemních komunikací a s podněty obyvatelstva na obtěžování dopravním hlukem. Územní plán může vhodným návrhem využití ploch obce preventivně omezovat zátěž obyvatelstva hlukem. Jde zejména o neumísťování chráněných prostorů ve smyslu § 30 zákona č. 258/2000 Sb., ve znění pozdějších předpisů, do blízkosti zdrojů dopravního hluku. Krajská hygienická stanice požaduje prokázání dodržení hygienických limitů hluku v rámci územních řízení staveb pro bydlení na plochách označených Z43, Z44, Z45, Z47, Z54, Z55, P11, P12, P14, P17, P20, P25, P26, P28 v obci Hrádek nad Nisou. </w:t>
      </w:r>
    </w:p>
    <w:p w14:paraId="50DBD282"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Upozorňujeme, že Krajská hygienická stanice nedoporučuje lokalitu na plochách Z43, Z44, Z45 k zástavbě pro bydlení, neboť se jedná o lokalitu zatíženou nadměrným hlukem z provozu na pozemní komunikaci I/35. V případě nevyhnutelnosti zástavby by bylo vhodné navrhnout komplexní řešení protihlukových opatření pro celou lokalitu za účelem zajištění dodržení hygienických limitů hluku v budoucích chráněných prostorech objektů k bydlení. </w:t>
      </w:r>
    </w:p>
    <w:p w14:paraId="1C27A8F5"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Podmínka d) odkazuje na Zdravotní politiku Libereckého kraje jako na koncepční materiál pro řešení otázek týkajících se dlouhodobého zlepšování zdravotního stavu obyvatel v Libereckém kraji a na Akční plán zdraví a životního prostředí. (Snižování expozice obyvatelstva zdravotním rizikům – Snižování vlivu dopravy na životní prostředí a zdraví obyvatel, hodnocení expozice – hodnocení vlivu). </w:t>
      </w:r>
    </w:p>
    <w:p w14:paraId="38898FC7"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Krajská hygienická stanice vzala při posuzování v potaz systém hodnocení zdravotních rizik a jeho uplatňování při vytváření strategických a rozvojových materiálů a při vytváření a zajišťování ochrany příznivých životních podmínek. </w:t>
      </w:r>
    </w:p>
    <w:p w14:paraId="105D97CB"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 xml:space="preserve">Krajská hygienická stanice přezkoumala návrh Územního plánu obce Hrádek nad Nisou v návaznosti na písemný materiál s ním předložený a dospěla k závěru, že při splnění výše uvedených podmínek a při komplexním řešení ploch Z43, Z44 a Z45 z hlediska hluku bude zdravotní riziko přijatelné. </w:t>
      </w:r>
    </w:p>
    <w:p w14:paraId="7194F9B2" w14:textId="77777777" w:rsidR="00C510C2" w:rsidRPr="005B6354" w:rsidRDefault="00C510C2" w:rsidP="009605D3">
      <w:pPr>
        <w:autoSpaceDE w:val="0"/>
        <w:autoSpaceDN w:val="0"/>
        <w:adjustRightInd w:val="0"/>
        <w:spacing w:before="120" w:line="240" w:lineRule="auto"/>
        <w:ind w:left="567"/>
        <w:rPr>
          <w:rFonts w:eastAsiaTheme="minorHAnsi" w:cstheme="majorBidi"/>
          <w:lang w:eastAsia="en-US"/>
        </w:rPr>
      </w:pPr>
      <w:r w:rsidRPr="005B6354">
        <w:rPr>
          <w:rFonts w:eastAsiaTheme="minorHAnsi" w:cstheme="majorBidi"/>
          <w:lang w:eastAsia="en-US"/>
        </w:rPr>
        <w:t>Za tohoto stavu věci bylo vydáno souhlasné stanovisko s výše uvedenými podmínkami.</w:t>
      </w:r>
    </w:p>
    <w:p w14:paraId="4A233378" w14:textId="77777777" w:rsidR="00C510C2" w:rsidRPr="005B6354" w:rsidRDefault="00C510C2" w:rsidP="009605D3">
      <w:pPr>
        <w:spacing w:before="240" w:line="247" w:lineRule="auto"/>
        <w:rPr>
          <w:rFonts w:cstheme="majorBidi"/>
          <w:i/>
          <w:iCs/>
          <w:lang w:eastAsia="en-US"/>
        </w:rPr>
      </w:pPr>
      <w:r w:rsidRPr="005B6354">
        <w:rPr>
          <w:rFonts w:cstheme="majorBidi"/>
          <w:b/>
          <w:bCs/>
          <w:i/>
          <w:iCs/>
          <w:lang w:eastAsia="en-US"/>
        </w:rPr>
        <w:t>Vyhodnocení stanoviska:</w:t>
      </w:r>
    </w:p>
    <w:p w14:paraId="437A553D" w14:textId="77777777" w:rsidR="00C510C2" w:rsidRPr="005B6354" w:rsidRDefault="00C510C2" w:rsidP="009605D3">
      <w:pPr>
        <w:spacing w:before="120" w:line="247" w:lineRule="auto"/>
        <w:rPr>
          <w:rFonts w:cstheme="majorBidi"/>
          <w:i/>
          <w:iCs/>
          <w:lang w:eastAsia="en-US"/>
        </w:rPr>
      </w:pPr>
      <w:r w:rsidRPr="005B6354">
        <w:rPr>
          <w:rFonts w:cstheme="majorBidi"/>
          <w:i/>
          <w:iCs/>
          <w:lang w:eastAsia="en-US"/>
        </w:rPr>
        <w:t xml:space="preserve">Pořizovatel ve spolupráci s určeným zastupitelem vyhodnotil obsah stanoviska a konstatuje, že uvedeným podmínkám bylo plně vyhověno. </w:t>
      </w:r>
    </w:p>
    <w:p w14:paraId="4724EC69" w14:textId="77777777" w:rsidR="00C510C2" w:rsidRPr="00E36DAE" w:rsidRDefault="00C510C2" w:rsidP="00C510C2">
      <w:pPr>
        <w:autoSpaceDE w:val="0"/>
        <w:autoSpaceDN w:val="0"/>
        <w:adjustRightInd w:val="0"/>
        <w:spacing w:line="240" w:lineRule="auto"/>
        <w:rPr>
          <w:rFonts w:asciiTheme="majorBidi" w:hAnsiTheme="majorBidi" w:cstheme="majorBidi"/>
          <w:color w:val="FF0000"/>
          <w:lang w:eastAsia="en-US"/>
        </w:rPr>
      </w:pPr>
    </w:p>
    <w:p w14:paraId="66A6AE4D" w14:textId="77777777" w:rsidR="00C510C2" w:rsidRPr="009605D3" w:rsidRDefault="00C510C2" w:rsidP="009605D3">
      <w:pPr>
        <w:autoSpaceDE w:val="0"/>
        <w:autoSpaceDN w:val="0"/>
        <w:adjustRightInd w:val="0"/>
        <w:spacing w:before="120" w:line="240" w:lineRule="auto"/>
        <w:rPr>
          <w:rFonts w:eastAsiaTheme="minorHAnsi" w:cstheme="majorBidi"/>
          <w:color w:val="92D050"/>
          <w:sz w:val="24"/>
          <w:szCs w:val="24"/>
          <w:lang w:eastAsia="en-US"/>
        </w:rPr>
      </w:pPr>
      <w:r w:rsidRPr="009605D3">
        <w:rPr>
          <w:rFonts w:eastAsiaTheme="minorHAnsi" w:cstheme="majorBidi"/>
          <w:b/>
          <w:bCs/>
          <w:color w:val="92D050"/>
          <w:sz w:val="24"/>
          <w:szCs w:val="24"/>
          <w:lang w:eastAsia="en-US"/>
        </w:rPr>
        <w:t xml:space="preserve">stanovisko B) Obvodní báňský úřad pro území krajů Libereckého a Vysočina </w:t>
      </w:r>
    </w:p>
    <w:p w14:paraId="2379AAE6" w14:textId="77777777" w:rsidR="00C510C2" w:rsidRPr="005B6354" w:rsidRDefault="00C510C2" w:rsidP="009605D3">
      <w:pPr>
        <w:autoSpaceDE w:val="0"/>
        <w:autoSpaceDN w:val="0"/>
        <w:adjustRightInd w:val="0"/>
        <w:spacing w:after="120" w:line="240" w:lineRule="auto"/>
        <w:rPr>
          <w:rFonts w:eastAsiaTheme="minorHAnsi" w:cstheme="majorBidi"/>
          <w:lang w:eastAsia="en-US"/>
        </w:rPr>
      </w:pPr>
      <w:r w:rsidRPr="005B6354">
        <w:rPr>
          <w:rFonts w:eastAsiaTheme="minorHAnsi" w:cstheme="majorBidi"/>
          <w:lang w:eastAsia="en-US"/>
        </w:rPr>
        <w:t>Stanovisko značky SBS 07508/2018 doručené dne 16. 4. 2018 a vedené pod č. j. OSŽP/2921/2018.</w:t>
      </w:r>
    </w:p>
    <w:p w14:paraId="7FC33041" w14:textId="77777777" w:rsidR="00C510C2" w:rsidRPr="005B6354" w:rsidRDefault="00C510C2" w:rsidP="009605D3">
      <w:pPr>
        <w:autoSpaceDE w:val="0"/>
        <w:autoSpaceDN w:val="0"/>
        <w:adjustRightInd w:val="0"/>
        <w:spacing w:before="120" w:after="120" w:line="240" w:lineRule="auto"/>
        <w:rPr>
          <w:rFonts w:eastAsiaTheme="minorHAnsi" w:cstheme="majorBidi"/>
          <w:b/>
          <w:bCs/>
          <w:lang w:eastAsia="en-US"/>
        </w:rPr>
      </w:pPr>
      <w:r w:rsidRPr="005B6354">
        <w:rPr>
          <w:rFonts w:eastAsiaTheme="minorHAnsi" w:cstheme="majorBidi"/>
          <w:b/>
          <w:bCs/>
          <w:lang w:eastAsia="en-US"/>
        </w:rPr>
        <w:t>Přepis stanoviska:</w:t>
      </w:r>
    </w:p>
    <w:p w14:paraId="7E1F2AE4" w14:textId="77777777" w:rsidR="00C510C2" w:rsidRPr="005B6354" w:rsidRDefault="00C510C2" w:rsidP="009605D3">
      <w:pPr>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lang w:eastAsia="en-US"/>
        </w:rPr>
        <w:t xml:space="preserve">K Vašemu oznámení ze dne 7. 3 2018 výše uvedené značky, které bylo na zdejší úřad doručeno dne 7. 3. 2018 a je zaevidováno pod čj. SBS 07508/2018, Vám Obvodní báňský úřad pro území krajů Libereckého a Vysočina (dále jen „OBÚ se sídlem v Liberci“), jako dotčený orgán státní báňské správy dle ustanovení § 15 odst. 2 zákona č. 44/1988 Sb., o ochraně a využití nerostného bohatství (horní zákon), ve znění pozdějších předpisů, tímto vydává v souladu s ustanovením § 4 odst. 2 písm. b) zákona č. 183/2006 Sb., o územním plánování a stavebním řádu (stavební zákon), ve znění pozdějších předpisů, (dále jen „stavební zákon“) </w:t>
      </w:r>
      <w:r w:rsidRPr="005B6354">
        <w:rPr>
          <w:rFonts w:eastAsiaTheme="minorHAnsi" w:cstheme="majorBidi"/>
          <w:b/>
          <w:bCs/>
          <w:lang w:eastAsia="en-US"/>
        </w:rPr>
        <w:t xml:space="preserve">souhlasné stanovisko </w:t>
      </w:r>
      <w:r w:rsidRPr="005B6354">
        <w:rPr>
          <w:rFonts w:eastAsiaTheme="minorHAnsi" w:cstheme="majorBidi"/>
          <w:lang w:eastAsia="en-US"/>
        </w:rPr>
        <w:t>k návrhu Územního plánu obce Hrádek nad Nisou</w:t>
      </w:r>
      <w:r w:rsidRPr="005B6354">
        <w:rPr>
          <w:rFonts w:eastAsiaTheme="minorHAnsi" w:cstheme="majorBidi"/>
          <w:b/>
          <w:bCs/>
          <w:lang w:eastAsia="en-US"/>
        </w:rPr>
        <w:t xml:space="preserve"> </w:t>
      </w:r>
      <w:r w:rsidRPr="005B6354">
        <w:rPr>
          <w:rFonts w:eastAsiaTheme="minorHAnsi" w:cstheme="majorBidi"/>
          <w:lang w:eastAsia="en-US"/>
        </w:rPr>
        <w:t>dle § 50 stavebního zákona.</w:t>
      </w:r>
    </w:p>
    <w:p w14:paraId="5857B14F" w14:textId="77777777" w:rsidR="00C510C2" w:rsidRPr="005B6354" w:rsidRDefault="00C510C2" w:rsidP="009605D3">
      <w:pPr>
        <w:autoSpaceDE w:val="0"/>
        <w:autoSpaceDN w:val="0"/>
        <w:adjustRightInd w:val="0"/>
        <w:spacing w:before="120" w:after="120" w:line="240" w:lineRule="auto"/>
        <w:ind w:left="567"/>
        <w:rPr>
          <w:rFonts w:eastAsiaTheme="minorHAnsi" w:cstheme="majorBidi"/>
          <w:b/>
          <w:bCs/>
          <w:lang w:eastAsia="en-US"/>
        </w:rPr>
      </w:pPr>
      <w:r w:rsidRPr="005B6354">
        <w:rPr>
          <w:rFonts w:eastAsiaTheme="minorHAnsi" w:cstheme="majorBidi"/>
          <w:b/>
          <w:bCs/>
          <w:lang w:eastAsia="en-US"/>
        </w:rPr>
        <w:t xml:space="preserve">Odůvodnění: </w:t>
      </w:r>
    </w:p>
    <w:p w14:paraId="373A10A5" w14:textId="77777777" w:rsidR="00C510C2" w:rsidRPr="005B6354" w:rsidRDefault="00C510C2" w:rsidP="009605D3">
      <w:pPr>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lang w:eastAsia="en-US"/>
        </w:rPr>
        <w:t xml:space="preserve">Obvodní báňský úřad jako dotčený orgán při pořízení územního plánu vyhodnotil předložený návrh Územního plánu obce Hrádek nad Nisou ve smyslu ustanovení § 15 odst. 2 horního zákona z hlediska ochrany a využití nerostného bohatství. Na základě tohoto vyhodnocení s předloženým návrhem souhlasí. </w:t>
      </w:r>
    </w:p>
    <w:p w14:paraId="499D67D4" w14:textId="77777777" w:rsidR="00C510C2" w:rsidRPr="005B6354" w:rsidRDefault="00C510C2" w:rsidP="009605D3">
      <w:pPr>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lang w:eastAsia="en-US"/>
        </w:rPr>
        <w:t xml:space="preserve">Dále konstatuje, že se k dnešnímu dni v řešeném území Územního plánu obce Hrádek nad Nisou nachází části dobývacích prostorů: </w:t>
      </w:r>
    </w:p>
    <w:p w14:paraId="36A4FA58" w14:textId="77777777" w:rsidR="00C510C2" w:rsidRPr="005B6354" w:rsidRDefault="00C510C2" w:rsidP="005B6354">
      <w:pPr>
        <w:pStyle w:val="ListParagraph"/>
        <w:numPr>
          <w:ilvl w:val="0"/>
          <w:numId w:val="121"/>
        </w:numPr>
        <w:autoSpaceDE w:val="0"/>
        <w:autoSpaceDN w:val="0"/>
        <w:adjustRightInd w:val="0"/>
        <w:spacing w:before="120" w:after="120" w:line="240" w:lineRule="auto"/>
        <w:ind w:left="1134" w:hanging="283"/>
        <w:contextualSpacing/>
        <w:rPr>
          <w:rFonts w:eastAsiaTheme="minorHAnsi" w:cstheme="majorBidi"/>
          <w:lang w:eastAsia="en-US"/>
        </w:rPr>
      </w:pPr>
      <w:r w:rsidRPr="005B6354">
        <w:rPr>
          <w:rFonts w:eastAsiaTheme="minorHAnsi" w:cstheme="majorBidi"/>
          <w:lang w:eastAsia="en-US"/>
        </w:rPr>
        <w:t xml:space="preserve">Grabštejn ev. č. 70057 (rozhodnutí o stanovení dobývacího prostoru vydané dne 5. listopadu 1960 Ministerstvem výstavby Praha pod zn. 01259/60-OVTZ/II). </w:t>
      </w:r>
    </w:p>
    <w:p w14:paraId="7224E300" w14:textId="77777777" w:rsidR="00C510C2" w:rsidRPr="005B6354" w:rsidRDefault="00C510C2" w:rsidP="005B6354">
      <w:pPr>
        <w:pStyle w:val="ListParagraph"/>
        <w:numPr>
          <w:ilvl w:val="0"/>
          <w:numId w:val="121"/>
        </w:numPr>
        <w:autoSpaceDE w:val="0"/>
        <w:autoSpaceDN w:val="0"/>
        <w:adjustRightInd w:val="0"/>
        <w:spacing w:before="120" w:after="120" w:line="240" w:lineRule="auto"/>
        <w:ind w:left="1134" w:hanging="283"/>
        <w:contextualSpacing/>
        <w:rPr>
          <w:rFonts w:eastAsiaTheme="minorHAnsi" w:cstheme="majorBidi"/>
          <w:lang w:eastAsia="en-US"/>
        </w:rPr>
      </w:pPr>
      <w:r w:rsidRPr="005B6354">
        <w:rPr>
          <w:rFonts w:eastAsiaTheme="minorHAnsi" w:cstheme="majorBidi"/>
          <w:lang w:eastAsia="en-US"/>
        </w:rPr>
        <w:t xml:space="preserve">Václavice II ev. č. 71015 (rozhodnutí o stanovení dobývacího prostoru vydané dne 24. dubna 1985 Ministerstvem stavebnictví ČSR Praha pod čj. DP 7313/85 a rozšířený rozhodnutím vydaným dne 27. ledna 2012 Obvodním báňským úřadem pro území krajů Libereckého a Vysočina pod čj. SBS 37990/2011). </w:t>
      </w:r>
    </w:p>
    <w:p w14:paraId="0C255976" w14:textId="77777777" w:rsidR="00C510C2" w:rsidRPr="005B6354" w:rsidRDefault="00C510C2" w:rsidP="005B6354">
      <w:pPr>
        <w:pStyle w:val="ListParagraph"/>
        <w:numPr>
          <w:ilvl w:val="0"/>
          <w:numId w:val="121"/>
        </w:numPr>
        <w:autoSpaceDE w:val="0"/>
        <w:autoSpaceDN w:val="0"/>
        <w:adjustRightInd w:val="0"/>
        <w:spacing w:before="120" w:after="120" w:line="240" w:lineRule="auto"/>
        <w:ind w:left="1134" w:hanging="283"/>
        <w:contextualSpacing/>
        <w:rPr>
          <w:rFonts w:eastAsiaTheme="minorHAnsi" w:cstheme="majorBidi"/>
          <w:lang w:eastAsia="en-US"/>
        </w:rPr>
      </w:pPr>
      <w:r w:rsidRPr="005B6354">
        <w:rPr>
          <w:rFonts w:eastAsiaTheme="minorHAnsi" w:cstheme="majorBidi"/>
          <w:lang w:eastAsia="en-US"/>
        </w:rPr>
        <w:t xml:space="preserve">Václavice I ev. č. 70895 (rozhodnutí o stanovení dobývacího prostoru vydané dne 30. května 1978 Ministerstvem stavebnictví ČSR Praha pod čj. DP-204/77). V řešeném území byla povolena hornická činnost, a to: </w:t>
      </w:r>
    </w:p>
    <w:p w14:paraId="0FE5AB0F" w14:textId="77777777" w:rsidR="00C510C2" w:rsidRPr="005B6354" w:rsidRDefault="00C510C2" w:rsidP="005B6354">
      <w:pPr>
        <w:pStyle w:val="ListParagraph"/>
        <w:numPr>
          <w:ilvl w:val="0"/>
          <w:numId w:val="121"/>
        </w:numPr>
        <w:autoSpaceDE w:val="0"/>
        <w:autoSpaceDN w:val="0"/>
        <w:adjustRightInd w:val="0"/>
        <w:spacing w:before="120" w:after="120" w:line="240" w:lineRule="auto"/>
        <w:ind w:left="1134" w:hanging="283"/>
        <w:contextualSpacing/>
        <w:rPr>
          <w:rFonts w:eastAsiaTheme="minorHAnsi" w:cstheme="majorBidi"/>
          <w:lang w:eastAsia="en-US"/>
        </w:rPr>
      </w:pPr>
      <w:r w:rsidRPr="005B6354">
        <w:rPr>
          <w:rFonts w:eastAsiaTheme="minorHAnsi" w:cstheme="majorBidi"/>
          <w:lang w:eastAsia="en-US"/>
        </w:rPr>
        <w:t xml:space="preserve">v dobývacím prostoru Grabštejn ev. č. 70057 a v dobývacím prostoru Václavice II ev. č. 71015 je povolena hornická činnost Obvodním báňským úřadem v Liberci dne 16. prosince 1991 pod čj. 3162-To/91 ve znění změn vydaných Obvodním báňským úřadem v Liberci dne 27. 12. 1993 pod čj. 1750-02-Če/93, dne 20. 6. 1994 pod čj. 918-02-Če/94, dne 5. 6. 1997 pod čj. 570-02/97, dne 12. 9. 1997 pod čj. 1323-02/97, dne 20. 12. 1999 pod čj. 1177-02/99, dne 28. 9. 2004 pod čj. 2770-02/97 a dne 1. 11. 2010 pod čj. SBS 31241/2010. </w:t>
      </w:r>
    </w:p>
    <w:p w14:paraId="78E011D9" w14:textId="77777777" w:rsidR="00C510C2" w:rsidRPr="005B6354" w:rsidRDefault="00C510C2" w:rsidP="005B6354">
      <w:pPr>
        <w:pStyle w:val="ListParagraph"/>
        <w:numPr>
          <w:ilvl w:val="0"/>
          <w:numId w:val="121"/>
        </w:numPr>
        <w:autoSpaceDE w:val="0"/>
        <w:autoSpaceDN w:val="0"/>
        <w:adjustRightInd w:val="0"/>
        <w:spacing w:before="120" w:after="120" w:line="240" w:lineRule="auto"/>
        <w:ind w:left="1134" w:hanging="283"/>
        <w:contextualSpacing/>
        <w:rPr>
          <w:rFonts w:eastAsiaTheme="minorHAnsi" w:cstheme="majorBidi"/>
          <w:lang w:eastAsia="en-US"/>
        </w:rPr>
      </w:pPr>
      <w:r w:rsidRPr="005B6354">
        <w:rPr>
          <w:rFonts w:eastAsiaTheme="minorHAnsi" w:cstheme="majorBidi"/>
          <w:lang w:eastAsia="en-US"/>
        </w:rPr>
        <w:t xml:space="preserve">v dobývacím prostoru Václavice I ev. č. 70859 je povolena hornická činnost Obvodním báňským úřadem v Liberci dne 24. června 1996 pod čj. 900-02/96 ve znění změn vydaných Obvodním báňským úřadem v Liberci dne 19. 2. 1998 pod čj. 130-02/98, dne 22. 11. 1999 pod čj. 1779-02/99, dne 11. 4. 2007 pod čj. 762/2007/03 a dne 3. 6. 2011 pod čj. 3461/2011. </w:t>
      </w:r>
    </w:p>
    <w:p w14:paraId="4719A2E6" w14:textId="77777777" w:rsidR="00C510C2" w:rsidRPr="005B6354" w:rsidRDefault="00C510C2" w:rsidP="009605D3">
      <w:pPr>
        <w:keepNext/>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lang w:eastAsia="en-US"/>
        </w:rPr>
        <w:t xml:space="preserve">V řešeném území byla povolena činnost prováděná hornickým způsobem, a to: </w:t>
      </w:r>
    </w:p>
    <w:p w14:paraId="3D8B2F24" w14:textId="77777777" w:rsidR="00C510C2" w:rsidRPr="005B6354" w:rsidRDefault="00C510C2" w:rsidP="005B6354">
      <w:pPr>
        <w:pStyle w:val="ListParagraph"/>
        <w:numPr>
          <w:ilvl w:val="0"/>
          <w:numId w:val="121"/>
        </w:numPr>
        <w:autoSpaceDE w:val="0"/>
        <w:autoSpaceDN w:val="0"/>
        <w:adjustRightInd w:val="0"/>
        <w:spacing w:before="120" w:after="120" w:line="240" w:lineRule="auto"/>
        <w:ind w:left="1134" w:hanging="283"/>
        <w:contextualSpacing/>
        <w:rPr>
          <w:rFonts w:eastAsiaTheme="minorHAnsi" w:cstheme="majorBidi"/>
          <w:lang w:eastAsia="en-US"/>
        </w:rPr>
      </w:pPr>
      <w:r w:rsidRPr="005B6354">
        <w:rPr>
          <w:rFonts w:eastAsiaTheme="minorHAnsi" w:cstheme="majorBidi"/>
          <w:lang w:eastAsia="en-US"/>
        </w:rPr>
        <w:t xml:space="preserve">na ložisku Oldřichov-Hrádek nad Nisou ID 5232000 je povolena činnost prováděná hornickým způsobem Obvodním báňským úřadem v Liberci dne 10. 4. 1997 pod čj. 388-02/97 a dne 25. 10. 1999 pod čj. 1516-02/99 </w:t>
      </w:r>
    </w:p>
    <w:p w14:paraId="1F9C4CE6" w14:textId="77777777" w:rsidR="00C510C2" w:rsidRPr="005B6354" w:rsidRDefault="00C510C2" w:rsidP="009605D3">
      <w:pPr>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lang w:eastAsia="en-US"/>
        </w:rPr>
        <w:t>Současně se OBÚ se sídlem v Liberci omlouvá za neúčast na společném jednání o předmětné věci dne 16. dubna 2018.</w:t>
      </w:r>
    </w:p>
    <w:p w14:paraId="68F2A6B5" w14:textId="77777777" w:rsidR="00C510C2" w:rsidRPr="005B6354" w:rsidRDefault="00C510C2" w:rsidP="009605D3">
      <w:pPr>
        <w:spacing w:before="240" w:after="120" w:line="247" w:lineRule="auto"/>
        <w:rPr>
          <w:rFonts w:cstheme="majorBidi"/>
          <w:i/>
          <w:iCs/>
          <w:lang w:eastAsia="en-US"/>
        </w:rPr>
      </w:pPr>
      <w:r w:rsidRPr="005B6354">
        <w:rPr>
          <w:rFonts w:cstheme="majorBidi"/>
          <w:b/>
          <w:bCs/>
          <w:i/>
          <w:iCs/>
          <w:lang w:eastAsia="en-US"/>
        </w:rPr>
        <w:t>Vyhodnocení stanoviska:</w:t>
      </w:r>
    </w:p>
    <w:p w14:paraId="3FF26F9B" w14:textId="77777777" w:rsidR="00C510C2" w:rsidRPr="005B6354" w:rsidRDefault="00C510C2" w:rsidP="009605D3">
      <w:pPr>
        <w:spacing w:before="120" w:after="120" w:line="247" w:lineRule="auto"/>
        <w:rPr>
          <w:rFonts w:cstheme="majorBidi"/>
          <w:i/>
          <w:iCs/>
          <w:lang w:eastAsia="en-US"/>
        </w:rPr>
      </w:pPr>
      <w:r w:rsidRPr="005B6354">
        <w:rPr>
          <w:rFonts w:cstheme="majorBidi"/>
          <w:i/>
          <w:iCs/>
          <w:lang w:eastAsia="en-US"/>
        </w:rPr>
        <w:t xml:space="preserve">Pořizovatel ve spolupráci s určeným zastupitelem vyhodnotil obsah stanoviska a konstatuje, že uvedeným podmínkám bylo plně vyhověno. </w:t>
      </w:r>
    </w:p>
    <w:p w14:paraId="614EADD8" w14:textId="77777777" w:rsidR="00C510C2" w:rsidRPr="009605D3" w:rsidRDefault="00C510C2" w:rsidP="009605D3">
      <w:pPr>
        <w:autoSpaceDE w:val="0"/>
        <w:autoSpaceDN w:val="0"/>
        <w:adjustRightInd w:val="0"/>
        <w:spacing w:before="240" w:line="240" w:lineRule="auto"/>
        <w:jc w:val="left"/>
        <w:rPr>
          <w:rFonts w:eastAsiaTheme="minorHAnsi" w:cstheme="majorBidi"/>
          <w:color w:val="92D050"/>
          <w:sz w:val="24"/>
          <w:szCs w:val="24"/>
          <w:lang w:eastAsia="en-US"/>
        </w:rPr>
      </w:pPr>
      <w:r w:rsidRPr="009605D3">
        <w:rPr>
          <w:rFonts w:eastAsiaTheme="minorHAnsi" w:cstheme="majorBidi"/>
          <w:b/>
          <w:bCs/>
          <w:color w:val="92D050"/>
          <w:sz w:val="24"/>
          <w:szCs w:val="24"/>
          <w:lang w:eastAsia="en-US"/>
        </w:rPr>
        <w:lastRenderedPageBreak/>
        <w:t xml:space="preserve">stanovisko C) Ministerstvo průmyslu a obchodu </w:t>
      </w:r>
    </w:p>
    <w:p w14:paraId="227028D6" w14:textId="77777777" w:rsidR="00C510C2" w:rsidRPr="009605D3" w:rsidRDefault="00C510C2" w:rsidP="009605D3">
      <w:pPr>
        <w:autoSpaceDE w:val="0"/>
        <w:autoSpaceDN w:val="0"/>
        <w:adjustRightInd w:val="0"/>
        <w:spacing w:line="240" w:lineRule="auto"/>
        <w:rPr>
          <w:rFonts w:eastAsiaTheme="minorHAnsi" w:cstheme="majorBidi"/>
          <w:lang w:eastAsia="en-US"/>
        </w:rPr>
      </w:pPr>
      <w:r w:rsidRPr="009605D3">
        <w:rPr>
          <w:rFonts w:eastAsiaTheme="minorHAnsi" w:cstheme="majorBidi"/>
          <w:lang w:eastAsia="en-US"/>
        </w:rPr>
        <w:t>Stanovisko značky MPO 18624/2018 doručené dne 23. 5. 2018 a vedené pod č. j. OSŽP/3814/18.</w:t>
      </w:r>
    </w:p>
    <w:p w14:paraId="53E85892" w14:textId="77777777" w:rsidR="00C510C2" w:rsidRPr="005B6354" w:rsidRDefault="00C510C2" w:rsidP="009605D3">
      <w:pPr>
        <w:autoSpaceDE w:val="0"/>
        <w:autoSpaceDN w:val="0"/>
        <w:adjustRightInd w:val="0"/>
        <w:spacing w:before="120" w:line="240" w:lineRule="auto"/>
        <w:rPr>
          <w:rFonts w:eastAsiaTheme="minorHAnsi" w:cstheme="majorBidi"/>
          <w:b/>
          <w:bCs/>
          <w:lang w:eastAsia="en-US"/>
        </w:rPr>
      </w:pPr>
      <w:r w:rsidRPr="005B6354">
        <w:rPr>
          <w:rFonts w:eastAsiaTheme="minorHAnsi" w:cstheme="majorBidi"/>
          <w:b/>
          <w:bCs/>
          <w:lang w:eastAsia="en-US"/>
        </w:rPr>
        <w:t>Přepis stanoviska:</w:t>
      </w:r>
    </w:p>
    <w:p w14:paraId="139AA9D1" w14:textId="77777777" w:rsidR="00C510C2" w:rsidRPr="005B6354" w:rsidRDefault="00C510C2" w:rsidP="009605D3">
      <w:pPr>
        <w:spacing w:before="120" w:line="240" w:lineRule="auto"/>
        <w:ind w:left="567" w:right="141"/>
        <w:rPr>
          <w:rFonts w:cstheme="majorBidi"/>
        </w:rPr>
      </w:pPr>
      <w:r w:rsidRPr="005B6354">
        <w:rPr>
          <w:rFonts w:cstheme="majorBidi"/>
        </w:rPr>
        <w:t>Z hlediska působnosti Ministerstva průmyslu a obchodu ve věci využívání nerostného bohatství a ve smyslu ustanovení 15 odst. 2 horního zákona uplatňujeme k výše uvedené územně plánovací dokumentaci podle ustanovení 9 50 odst. 2 stavebního zákona připomínky.</w:t>
      </w:r>
    </w:p>
    <w:p w14:paraId="2F71630F" w14:textId="77777777" w:rsidR="00C510C2" w:rsidRPr="005B6354" w:rsidRDefault="00C510C2" w:rsidP="009605D3">
      <w:pPr>
        <w:spacing w:before="120" w:line="240" w:lineRule="auto"/>
        <w:ind w:left="567" w:right="94"/>
        <w:rPr>
          <w:rFonts w:cstheme="majorBidi"/>
        </w:rPr>
      </w:pPr>
      <w:r w:rsidRPr="005B6354">
        <w:rPr>
          <w:rFonts w:cstheme="majorBidi"/>
        </w:rPr>
        <w:t>Lokalita změny označené Z29 zasahuje do plochy chráněného ložiskového území Václavice III, stanoveného na výhradním ložisku štěrkopísků Grabštejn. Návrh územního plánu tak nerespektuje stanovisko MPO vydané k zadání územního plánu (č. j. MPO 39410/12/31100 ze dne 19. 10. 2012). S návrhem územního plánu nesouhlasíme.</w:t>
      </w:r>
    </w:p>
    <w:p w14:paraId="00539977" w14:textId="77777777" w:rsidR="00C510C2" w:rsidRPr="005B6354" w:rsidRDefault="00C510C2" w:rsidP="009605D3">
      <w:pPr>
        <w:spacing w:before="240" w:line="240" w:lineRule="auto"/>
        <w:rPr>
          <w:rFonts w:cstheme="majorBidi"/>
          <w:i/>
          <w:iCs/>
          <w:lang w:eastAsia="en-US"/>
        </w:rPr>
      </w:pPr>
      <w:r w:rsidRPr="005B6354">
        <w:rPr>
          <w:rFonts w:cstheme="majorBidi"/>
          <w:b/>
          <w:bCs/>
          <w:i/>
          <w:iCs/>
          <w:lang w:eastAsia="en-US"/>
        </w:rPr>
        <w:t>Vyhodnocení stanoviska:</w:t>
      </w:r>
    </w:p>
    <w:p w14:paraId="223313BE" w14:textId="77777777" w:rsidR="00C510C2" w:rsidRPr="005B6354" w:rsidRDefault="00C510C2" w:rsidP="009605D3">
      <w:pPr>
        <w:spacing w:before="120" w:line="240" w:lineRule="auto"/>
        <w:rPr>
          <w:rFonts w:cstheme="majorBidi"/>
          <w:i/>
          <w:iCs/>
          <w:lang w:eastAsia="en-US"/>
        </w:rPr>
      </w:pPr>
      <w:r w:rsidRPr="005B6354">
        <w:rPr>
          <w:rFonts w:cstheme="majorBidi"/>
          <w:i/>
          <w:iCs/>
          <w:lang w:eastAsia="en-US"/>
        </w:rPr>
        <w:t xml:space="preserve">Pořizovatel ve spolupráci s určeným zastupitelem vyhodnotil obsah stanoviska a konstatuje, že uvedeným podmínkám bylo plně vyhověno. </w:t>
      </w:r>
    </w:p>
    <w:p w14:paraId="1C892BA1" w14:textId="77777777" w:rsidR="00C510C2" w:rsidRPr="005B6354" w:rsidRDefault="00C510C2" w:rsidP="00C510C2">
      <w:pPr>
        <w:autoSpaceDE w:val="0"/>
        <w:autoSpaceDN w:val="0"/>
        <w:adjustRightInd w:val="0"/>
        <w:spacing w:line="240" w:lineRule="auto"/>
        <w:rPr>
          <w:rFonts w:cstheme="majorBidi"/>
          <w:b/>
          <w:bCs/>
          <w:color w:val="FF0000"/>
          <w:lang w:eastAsia="en-US"/>
        </w:rPr>
      </w:pPr>
    </w:p>
    <w:p w14:paraId="34137456" w14:textId="77777777" w:rsidR="00C510C2" w:rsidRPr="009605D3" w:rsidRDefault="00C510C2" w:rsidP="009605D3">
      <w:pPr>
        <w:autoSpaceDE w:val="0"/>
        <w:autoSpaceDN w:val="0"/>
        <w:adjustRightInd w:val="0"/>
        <w:spacing w:line="240" w:lineRule="auto"/>
        <w:jc w:val="left"/>
        <w:rPr>
          <w:rFonts w:eastAsiaTheme="minorHAnsi" w:cstheme="majorBidi"/>
          <w:b/>
          <w:bCs/>
          <w:color w:val="92D050"/>
          <w:sz w:val="24"/>
          <w:szCs w:val="24"/>
          <w:lang w:eastAsia="en-US"/>
        </w:rPr>
      </w:pPr>
      <w:r w:rsidRPr="009605D3">
        <w:rPr>
          <w:rFonts w:eastAsiaTheme="minorHAnsi" w:cstheme="majorBidi"/>
          <w:b/>
          <w:bCs/>
          <w:color w:val="92D050"/>
          <w:sz w:val="24"/>
          <w:szCs w:val="24"/>
          <w:lang w:eastAsia="en-US"/>
        </w:rPr>
        <w:t>stanovisko D) Ministerstvo dopravy</w:t>
      </w:r>
    </w:p>
    <w:p w14:paraId="6962E965" w14:textId="77777777" w:rsidR="00C510C2" w:rsidRPr="005B6354" w:rsidRDefault="00C510C2" w:rsidP="009605D3">
      <w:pPr>
        <w:autoSpaceDE w:val="0"/>
        <w:autoSpaceDN w:val="0"/>
        <w:adjustRightInd w:val="0"/>
        <w:spacing w:line="240" w:lineRule="auto"/>
        <w:rPr>
          <w:rFonts w:eastAsiaTheme="minorHAnsi" w:cstheme="majorBidi"/>
          <w:lang w:eastAsia="en-US"/>
        </w:rPr>
      </w:pPr>
      <w:r w:rsidRPr="005B6354">
        <w:rPr>
          <w:rFonts w:eastAsiaTheme="minorHAnsi" w:cstheme="majorBidi"/>
          <w:lang w:eastAsia="en-US"/>
        </w:rPr>
        <w:t>Stanovisko značky 260/2018-910-UPR/2 doručené dne 17. 5. 2018 a vedené pod č. j. OSŽP/3679/18.</w:t>
      </w:r>
    </w:p>
    <w:p w14:paraId="3CD6B13A" w14:textId="77777777" w:rsidR="00C510C2" w:rsidRPr="005B6354" w:rsidRDefault="00C510C2" w:rsidP="009605D3">
      <w:pPr>
        <w:autoSpaceDE w:val="0"/>
        <w:autoSpaceDN w:val="0"/>
        <w:adjustRightInd w:val="0"/>
        <w:spacing w:before="120" w:after="120" w:line="240" w:lineRule="auto"/>
        <w:rPr>
          <w:rFonts w:cstheme="majorBidi"/>
          <w:b/>
          <w:bCs/>
          <w:lang w:eastAsia="en-US"/>
        </w:rPr>
      </w:pPr>
      <w:r w:rsidRPr="005B6354">
        <w:rPr>
          <w:rFonts w:cstheme="majorBidi"/>
          <w:b/>
          <w:bCs/>
          <w:lang w:eastAsia="en-US"/>
        </w:rPr>
        <w:t>Přepis stanoviska:</w:t>
      </w:r>
    </w:p>
    <w:p w14:paraId="1359CF85" w14:textId="77777777" w:rsidR="00C510C2" w:rsidRPr="005B6354" w:rsidRDefault="00C510C2" w:rsidP="009605D3">
      <w:pPr>
        <w:spacing w:before="120" w:after="120" w:line="247" w:lineRule="auto"/>
        <w:ind w:left="567"/>
        <w:rPr>
          <w:rFonts w:cstheme="majorBidi"/>
        </w:rPr>
      </w:pPr>
      <w:r w:rsidRPr="005B6354">
        <w:rPr>
          <w:rFonts w:cstheme="majorBidi"/>
        </w:rPr>
        <w:t>Ministerstvo dopravy je podle 17 zákona č. 2/1969 Sb., o zřízení ministerstev a jiných ústředních orgánů státní správy České republiky, ve znění pozdějších předpisů, ústředním orgánem a odpovídá za tvorbu státní politiky v oblasti dopravy a v rozsahu své působnosti za její uskutečňování. S 22 citovaného zákona dále stanovuje, že ministerstva zapracovávají koncepce rozvoje svěřených odvětví.</w:t>
      </w:r>
    </w:p>
    <w:p w14:paraId="777AE5CC" w14:textId="728189F4" w:rsidR="00C510C2" w:rsidRPr="005B6354" w:rsidRDefault="00C510C2" w:rsidP="009605D3">
      <w:pPr>
        <w:spacing w:before="120" w:after="120" w:line="247" w:lineRule="auto"/>
        <w:ind w:left="567"/>
        <w:rPr>
          <w:rFonts w:cstheme="majorBidi"/>
        </w:rPr>
      </w:pPr>
      <w:r w:rsidRPr="005B6354">
        <w:rPr>
          <w:rFonts w:cstheme="majorBidi"/>
        </w:rPr>
        <w:t xml:space="preserve">Ministerstvo dopravy jako dotčený orgán podle S 40 odst. 2 písm. g) zákona č. 13/1997 Sb., o pozemních komunikací, ve znění pozdějších předpisů, podle 56 písm. d) zákona č. 266/1994 Sb., o drahách, ve znění pozdějších předpisů, podle 88 odst. I písm. k) a l) zákona č. 49/1997 Sb., o civilním letectví, ve znění pozdějších předpisů a podle 4 zákona č. 114/1995 Sb., o vnitrozemské plavbě, ve znění pozdějších předpisů, k návrhu územního plánu Hrádku nad Nisou vydává stanovisko podle S 4 odst. 2 písm. b) zákona č. 183/2006 Sb., o územním plánování a stavebním řádu (stavební zákon), v platném znění, (dále jen „stavební zákon“), obdobně podle </w:t>
      </w:r>
      <w:r w:rsidR="005B6354">
        <w:rPr>
          <w:rFonts w:cstheme="majorBidi"/>
        </w:rPr>
        <w:t>§</w:t>
      </w:r>
      <w:r w:rsidRPr="005B6354">
        <w:rPr>
          <w:rFonts w:cstheme="majorBidi"/>
        </w:rPr>
        <w:t>149 odst. 2 zákona č. 500/2004 Sb., ve znění pozdějších předpisů:</w:t>
      </w:r>
    </w:p>
    <w:p w14:paraId="40CEC410" w14:textId="77777777" w:rsidR="00C510C2" w:rsidRPr="005B6354" w:rsidRDefault="00C510C2" w:rsidP="009605D3">
      <w:pPr>
        <w:spacing w:before="120" w:after="120" w:line="247" w:lineRule="auto"/>
        <w:ind w:left="567"/>
        <w:rPr>
          <w:rFonts w:cstheme="majorBidi"/>
        </w:rPr>
      </w:pPr>
      <w:r w:rsidRPr="005B6354">
        <w:rPr>
          <w:rFonts w:cstheme="majorBidi"/>
        </w:rPr>
        <w:t>Z hlediska letecké a vodní dopravy souhlasíme s projednávaným návrhem územního plánu Hrádku nad Nisou a připomínky neuplatňujeme, jelikož nejsou dotčeny námi sledované zájmy.</w:t>
      </w:r>
    </w:p>
    <w:p w14:paraId="57446484" w14:textId="77777777" w:rsidR="00C510C2" w:rsidRPr="005B6354" w:rsidRDefault="00C510C2" w:rsidP="009605D3">
      <w:pPr>
        <w:spacing w:before="120" w:after="120" w:line="247" w:lineRule="auto"/>
        <w:ind w:left="567"/>
        <w:rPr>
          <w:rFonts w:cstheme="majorBidi"/>
        </w:rPr>
      </w:pPr>
      <w:r w:rsidRPr="005B6354">
        <w:rPr>
          <w:rFonts w:cstheme="majorBidi"/>
        </w:rPr>
        <w:t>Z hlediska drážní dopravy souhlasíme s projednávaným návrhem územního plánu Hrádku nad Nisou a požadavky neuplatňujeme.</w:t>
      </w:r>
    </w:p>
    <w:p w14:paraId="75D0F976" w14:textId="77777777" w:rsidR="00C510C2" w:rsidRPr="005B6354" w:rsidRDefault="00C510C2" w:rsidP="009605D3">
      <w:pPr>
        <w:spacing w:before="120" w:after="120"/>
        <w:ind w:left="567"/>
        <w:rPr>
          <w:rFonts w:cstheme="majorBidi"/>
        </w:rPr>
      </w:pPr>
      <w:r w:rsidRPr="005B6354">
        <w:rPr>
          <w:rFonts w:cstheme="majorBidi"/>
        </w:rPr>
        <w:t>Z hlediska dopravy na pozemních komunikacích, námi sledovaných dálnic a silnic I. třídy souhlasíme s projednávaným návrhem územního plánu Hrádku nad Nisou za následujících podmínek:</w:t>
      </w:r>
    </w:p>
    <w:p w14:paraId="6CFF1814" w14:textId="3DB9DFC8" w:rsidR="00C510C2" w:rsidRPr="005B6354" w:rsidRDefault="00C510C2" w:rsidP="00F41174">
      <w:pPr>
        <w:spacing w:before="120" w:after="120"/>
        <w:ind w:left="1418" w:hanging="425"/>
        <w:rPr>
          <w:rFonts w:cstheme="majorBidi"/>
        </w:rPr>
      </w:pPr>
      <w:r w:rsidRPr="005B6354">
        <w:rPr>
          <w:rFonts w:cstheme="majorBidi"/>
        </w:rPr>
        <w:t xml:space="preserve">l) </w:t>
      </w:r>
      <w:r w:rsidR="005B6354">
        <w:rPr>
          <w:rFonts w:cstheme="majorBidi"/>
        </w:rPr>
        <w:tab/>
      </w:r>
      <w:r w:rsidRPr="005B6354">
        <w:rPr>
          <w:rFonts w:cstheme="majorBidi"/>
        </w:rPr>
        <w:t>Požadujeme vymezit koridor územní rezervy pro rozšíření silnice I/35 na čtyřpruhové uspořádání a pro úpravy stávající okružní křižovatky minimálně v šíři 20 m vpravo od hrany silničního tělesa ve směru Liberec – státní hranice.</w:t>
      </w:r>
    </w:p>
    <w:p w14:paraId="114BACFB" w14:textId="1ECAC1DE" w:rsidR="00C510C2" w:rsidRPr="005B6354" w:rsidRDefault="00C510C2" w:rsidP="00F41174">
      <w:pPr>
        <w:spacing w:before="120" w:after="120"/>
        <w:ind w:left="1418" w:hanging="425"/>
        <w:rPr>
          <w:rFonts w:cstheme="majorBidi"/>
        </w:rPr>
      </w:pPr>
      <w:r w:rsidRPr="005B6354">
        <w:rPr>
          <w:rFonts w:cstheme="majorBidi"/>
        </w:rPr>
        <w:t xml:space="preserve">2) </w:t>
      </w:r>
      <w:r w:rsidR="005B6354">
        <w:rPr>
          <w:rFonts w:cstheme="majorBidi"/>
        </w:rPr>
        <w:tab/>
      </w:r>
      <w:r w:rsidRPr="005B6354">
        <w:rPr>
          <w:rFonts w:cstheme="majorBidi"/>
        </w:rPr>
        <w:t>V návrhu územního plánu jsou u silnice I/35 vymezeny nové plochy Z37 („lehký průmysl“) a Z41 („výroba a skladování - se specifickým využitím“), které zasahují do silničního ochranného pásma. Upozorňujeme, že v ochranném pásmu lze v souladu s 32 zákona č. 1 3/1997 Sb., o pozemních komunikacích, provádět stavby a terénní úpravy jen na základě povolení vydaného silničním správním úřadem za podmínek v povolení uvedených. Plochy Z37 a Z41 požadujeme vymezit mimo koridor územní rezervy pro rozšíření silnice I/35. Dopravní napojení ploch Z37 a Z41 požadujeme řešit prostřednictvím silnice 111/271 IO, nikoliv přímým napojením na silnici I/35.</w:t>
      </w:r>
    </w:p>
    <w:p w14:paraId="1F37DA73" w14:textId="0BA69B21" w:rsidR="00C510C2" w:rsidRPr="005B6354" w:rsidRDefault="00C510C2" w:rsidP="00F41174">
      <w:pPr>
        <w:spacing w:before="120" w:after="120" w:line="247" w:lineRule="auto"/>
        <w:ind w:left="1418" w:hanging="425"/>
        <w:rPr>
          <w:rFonts w:cstheme="majorBidi"/>
        </w:rPr>
      </w:pPr>
      <w:r w:rsidRPr="005B6354">
        <w:rPr>
          <w:rFonts w:cstheme="majorBidi"/>
        </w:rPr>
        <w:lastRenderedPageBreak/>
        <w:t xml:space="preserve">3) </w:t>
      </w:r>
      <w:r w:rsidR="005B6354">
        <w:rPr>
          <w:rFonts w:cstheme="majorBidi"/>
        </w:rPr>
        <w:tab/>
      </w:r>
      <w:r w:rsidRPr="005B6354">
        <w:rPr>
          <w:rFonts w:cstheme="majorBidi"/>
        </w:rPr>
        <w:t>Dopravní napojení plochy Z36 („lehký průmysl“) požadujeme řešit prostřednictvím okružní křižovatky u stávající areálu firmy Drylock Technologies s.r.o.</w:t>
      </w:r>
    </w:p>
    <w:p w14:paraId="3CC42945" w14:textId="119A03DD" w:rsidR="00C510C2" w:rsidRPr="005B6354" w:rsidRDefault="00C510C2" w:rsidP="00F41174">
      <w:pPr>
        <w:spacing w:before="120" w:after="120" w:line="247" w:lineRule="auto"/>
        <w:ind w:left="1418" w:hanging="425"/>
        <w:rPr>
          <w:rFonts w:cstheme="majorBidi"/>
        </w:rPr>
      </w:pPr>
      <w:r w:rsidRPr="005B6354">
        <w:rPr>
          <w:rFonts w:cstheme="majorBidi"/>
        </w:rPr>
        <w:t xml:space="preserve">4) </w:t>
      </w:r>
      <w:r w:rsidR="005B6354">
        <w:rPr>
          <w:rFonts w:cstheme="majorBidi"/>
        </w:rPr>
        <w:tab/>
      </w:r>
      <w:r w:rsidRPr="005B6354">
        <w:rPr>
          <w:rFonts w:cstheme="majorBidi"/>
        </w:rPr>
        <w:t>Dopravní napojení plochy Z40 („lehký průmysl“) musí být řešeno prostřednictvím stávajících napojení na silniční síť. S ohledem na vzdálenost křižovatek požadovanou dle čl. I l ČSN 73 6101 nelze souhlasit s realizací nového napojení na stávající silnici I/35 (budoucí silnici II. nebo III. třídy).</w:t>
      </w:r>
    </w:p>
    <w:p w14:paraId="4C701E72" w14:textId="77777777" w:rsidR="00C510C2" w:rsidRPr="005B6354" w:rsidRDefault="00C510C2" w:rsidP="009605D3">
      <w:pPr>
        <w:spacing w:before="120" w:after="120" w:line="226" w:lineRule="auto"/>
        <w:ind w:left="567"/>
        <w:rPr>
          <w:rFonts w:cstheme="majorBidi"/>
        </w:rPr>
      </w:pPr>
      <w:r w:rsidRPr="005B6354">
        <w:rPr>
          <w:rFonts w:cstheme="majorBidi"/>
        </w:rPr>
        <w:t>Vzhledem k plánovanému přeřazení předmětného úseku silnice I/35 do silnic nižších tříd souhlasíme s napojením plochy Z39 „ul. Větrná“ na stávající silnici I/35.</w:t>
      </w:r>
    </w:p>
    <w:p w14:paraId="044CE837" w14:textId="77777777" w:rsidR="00C510C2" w:rsidRPr="005B6354" w:rsidRDefault="00C510C2" w:rsidP="009605D3">
      <w:pPr>
        <w:spacing w:before="120" w:after="120" w:line="256" w:lineRule="auto"/>
        <w:ind w:left="567"/>
        <w:rPr>
          <w:rFonts w:cstheme="majorBidi"/>
        </w:rPr>
      </w:pPr>
      <w:r w:rsidRPr="005B6354">
        <w:rPr>
          <w:rFonts w:cstheme="majorBidi"/>
        </w:rPr>
        <w:t>Odůvodnění:</w:t>
      </w:r>
    </w:p>
    <w:p w14:paraId="15752F92" w14:textId="77777777" w:rsidR="00C510C2" w:rsidRPr="005B6354" w:rsidRDefault="00C510C2" w:rsidP="009605D3">
      <w:pPr>
        <w:spacing w:before="120" w:after="120" w:line="225" w:lineRule="auto"/>
        <w:ind w:left="567"/>
        <w:rPr>
          <w:rFonts w:cstheme="majorBidi"/>
        </w:rPr>
      </w:pPr>
      <w:r w:rsidRPr="005B6354">
        <w:rPr>
          <w:rFonts w:cstheme="majorBidi"/>
        </w:rPr>
        <w:t>Požadavek na vytvoření územní rezervy pro rozšíření silnice I/35 vychází z úvahy, že tato silnice a regiony, které spojuje, mají potenciál k výhledově vyšším zátěžím. Čtyřpruhové uspořádání by pak poskytlo potřebnou kapacitu, bezpečnost, rychlost a komfort. Stejný požadavek byl uplatněn a akceptován v případě Zásad územního rozvoje Libereckého kraje.</w:t>
      </w:r>
    </w:p>
    <w:p w14:paraId="4BAEA03F" w14:textId="77777777" w:rsidR="00C510C2" w:rsidRPr="005B6354" w:rsidRDefault="00C510C2" w:rsidP="009605D3">
      <w:pPr>
        <w:spacing w:before="120" w:after="120" w:line="225" w:lineRule="auto"/>
        <w:ind w:left="567"/>
        <w:rPr>
          <w:rFonts w:cstheme="majorBidi"/>
        </w:rPr>
      </w:pPr>
      <w:r w:rsidRPr="005B6354">
        <w:rPr>
          <w:rFonts w:cstheme="majorBidi"/>
        </w:rPr>
        <w:t>Požadavky na připojování rozvojových ploch vycházejí z příslušné státní normy a požadavků na bezpečnost a plynulost silničního provozu.</w:t>
      </w:r>
    </w:p>
    <w:p w14:paraId="7A70681E" w14:textId="77777777" w:rsidR="00C510C2" w:rsidRPr="005B6354" w:rsidRDefault="00C510C2" w:rsidP="009605D3">
      <w:pPr>
        <w:spacing w:before="240" w:after="120"/>
        <w:rPr>
          <w:rFonts w:cstheme="majorBidi"/>
          <w:i/>
          <w:iCs/>
          <w:lang w:eastAsia="en-US"/>
        </w:rPr>
      </w:pPr>
      <w:r w:rsidRPr="005B6354">
        <w:rPr>
          <w:rFonts w:cstheme="majorBidi"/>
          <w:b/>
          <w:bCs/>
          <w:i/>
          <w:iCs/>
          <w:lang w:eastAsia="en-US"/>
        </w:rPr>
        <w:t xml:space="preserve">Vyhodnocení stanoviska  </w:t>
      </w:r>
    </w:p>
    <w:p w14:paraId="45573D83" w14:textId="77777777" w:rsidR="00C510C2" w:rsidRPr="005B6354" w:rsidRDefault="00C510C2" w:rsidP="009605D3">
      <w:pPr>
        <w:spacing w:before="120" w:after="120"/>
        <w:rPr>
          <w:rFonts w:cstheme="majorBidi"/>
          <w:i/>
          <w:iCs/>
          <w:lang w:eastAsia="en-US"/>
        </w:rPr>
      </w:pPr>
      <w:r w:rsidRPr="005B6354">
        <w:rPr>
          <w:rFonts w:cstheme="majorBidi"/>
          <w:i/>
          <w:iCs/>
          <w:lang w:eastAsia="en-US"/>
        </w:rPr>
        <w:t xml:space="preserve">Pořizovatel ve spolupráci s určeným zastupitelem vyhodnotil obsah stanoviska a konstatuje, že uvedeným podmínkám bylo plně vyhověno. </w:t>
      </w:r>
    </w:p>
    <w:p w14:paraId="7AFA3F0B" w14:textId="77777777" w:rsidR="00C510C2" w:rsidRPr="009605D3" w:rsidRDefault="00C510C2" w:rsidP="009605D3">
      <w:pPr>
        <w:autoSpaceDE w:val="0"/>
        <w:autoSpaceDN w:val="0"/>
        <w:adjustRightInd w:val="0"/>
        <w:spacing w:before="240" w:line="240" w:lineRule="auto"/>
        <w:jc w:val="left"/>
        <w:rPr>
          <w:rFonts w:eastAsiaTheme="minorHAnsi" w:cstheme="majorBidi"/>
          <w:b/>
          <w:bCs/>
          <w:color w:val="92D050"/>
          <w:sz w:val="24"/>
          <w:szCs w:val="24"/>
          <w:lang w:eastAsia="en-US"/>
        </w:rPr>
      </w:pPr>
      <w:r w:rsidRPr="009605D3">
        <w:rPr>
          <w:rFonts w:eastAsiaTheme="minorHAnsi" w:cstheme="majorBidi"/>
          <w:b/>
          <w:bCs/>
          <w:color w:val="92D050"/>
          <w:sz w:val="24"/>
          <w:szCs w:val="24"/>
          <w:lang w:eastAsia="en-US"/>
        </w:rPr>
        <w:t>stanovisko E) Hasičský záchranný sbor Libereckého kraje, krajské ředitelství</w:t>
      </w:r>
    </w:p>
    <w:p w14:paraId="6D5171E5" w14:textId="77777777" w:rsidR="00C510C2" w:rsidRPr="005B6354" w:rsidRDefault="00C510C2" w:rsidP="009605D3">
      <w:pPr>
        <w:autoSpaceDE w:val="0"/>
        <w:autoSpaceDN w:val="0"/>
        <w:adjustRightInd w:val="0"/>
        <w:spacing w:after="120" w:line="240" w:lineRule="auto"/>
        <w:rPr>
          <w:rFonts w:eastAsiaTheme="minorHAnsi" w:cstheme="majorBidi"/>
          <w:lang w:eastAsia="en-US"/>
        </w:rPr>
      </w:pPr>
      <w:r w:rsidRPr="005B6354">
        <w:rPr>
          <w:rFonts w:eastAsiaTheme="minorHAnsi" w:cstheme="majorBidi"/>
          <w:lang w:eastAsia="en-US"/>
        </w:rPr>
        <w:t>Stanovisko značky HSLI-696-2/KŘ-P-OOB-2018 doručené dne 22. 3. 2018 a vedené pod č. j. OSŽP/2297/18.</w:t>
      </w:r>
    </w:p>
    <w:p w14:paraId="41A648FF" w14:textId="77777777" w:rsidR="00C510C2" w:rsidRPr="005B6354" w:rsidRDefault="00C510C2" w:rsidP="009605D3">
      <w:pPr>
        <w:autoSpaceDE w:val="0"/>
        <w:autoSpaceDN w:val="0"/>
        <w:adjustRightInd w:val="0"/>
        <w:spacing w:before="120" w:after="120" w:line="240" w:lineRule="auto"/>
        <w:jc w:val="left"/>
        <w:rPr>
          <w:rFonts w:eastAsiaTheme="minorHAnsi" w:cstheme="majorBidi"/>
          <w:b/>
          <w:bCs/>
          <w:lang w:eastAsia="en-US"/>
        </w:rPr>
      </w:pPr>
      <w:r w:rsidRPr="005B6354">
        <w:rPr>
          <w:rFonts w:eastAsiaTheme="minorHAnsi" w:cstheme="majorBidi"/>
          <w:b/>
          <w:bCs/>
          <w:lang w:eastAsia="en-US"/>
        </w:rPr>
        <w:t>Přepis stanoviska:</w:t>
      </w:r>
    </w:p>
    <w:p w14:paraId="234B3269" w14:textId="77777777" w:rsidR="00C510C2" w:rsidRPr="005B6354" w:rsidRDefault="00C510C2" w:rsidP="009605D3">
      <w:pPr>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lang w:eastAsia="en-US"/>
        </w:rPr>
        <w:t xml:space="preserve">Hasičský záchranný sbor Libereckého kraje jako dotčený orgán dle ustanovení § 12 odst. 2 písm. i) zákona č. 239/2000 Sb., o integrovaném záchranném systému a o změně některých zákonů, ve znění pozdějších předpisů a ve smyslu § 50 odst. 2 zákona č. 183/2006 Sb., o územním plánování a stavebním řádu, ve znění pozdějších předpisů, posoudil výše uvedenou dokumentaci předloženou dne 9. 3. 2018 a k této vydává v souladu s ustanovením § 149 odst. 2 zákona č. 500/2004 Sb., správního řádu, ve znění pozdějších předpisů </w:t>
      </w:r>
      <w:r w:rsidRPr="005B6354">
        <w:rPr>
          <w:rFonts w:eastAsiaTheme="minorHAnsi" w:cstheme="majorBidi"/>
          <w:b/>
          <w:bCs/>
          <w:lang w:eastAsia="en-US"/>
        </w:rPr>
        <w:t>SOUHLASNÉ STANOVISKO S PODMÍNKOU</w:t>
      </w:r>
      <w:r w:rsidRPr="005B6354">
        <w:rPr>
          <w:rFonts w:eastAsiaTheme="minorHAnsi" w:cstheme="majorBidi"/>
          <w:lang w:eastAsia="en-US"/>
        </w:rPr>
        <w:t xml:space="preserve">, že do zadání územního plánu budou zapracovány </w:t>
      </w:r>
      <w:r w:rsidRPr="005B6354">
        <w:rPr>
          <w:rFonts w:eastAsiaTheme="minorHAnsi" w:cstheme="majorBidi"/>
          <w:b/>
          <w:bCs/>
          <w:lang w:eastAsia="en-US"/>
        </w:rPr>
        <w:t>Požadavky civilní ochrany k územnímu plánu obce</w:t>
      </w:r>
      <w:r w:rsidRPr="005B6354">
        <w:rPr>
          <w:rFonts w:eastAsiaTheme="minorHAnsi" w:cstheme="majorBidi"/>
          <w:lang w:eastAsia="en-US"/>
        </w:rPr>
        <w:t xml:space="preserve"> dle § 20 vyhlášky MV č. 380/2002 Sb., k přípravě a provádění úkolů ochrany obyvatelstva. Tyto požadavky je nutné zapracovat do textové i grafické části územního plánu obce.</w:t>
      </w:r>
    </w:p>
    <w:p w14:paraId="16D99C78" w14:textId="77777777" w:rsidR="00C510C2" w:rsidRPr="005B6354" w:rsidRDefault="00C510C2" w:rsidP="009605D3">
      <w:pPr>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lang w:eastAsia="en-US"/>
        </w:rPr>
        <w:t>Podle § 20 vyhlášky č. 380/2002 Sb. je nutné zapracovat do textové i grafické části územního plánu obce návrh ploch pro požadované potřeby</w:t>
      </w:r>
    </w:p>
    <w:p w14:paraId="35547585"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t>ochrany území před průchodem povodňové vlny vzniklé zvláštní povodní,</w:t>
      </w:r>
    </w:p>
    <w:p w14:paraId="042D4590"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t>zón havarijního plánování,</w:t>
      </w:r>
    </w:p>
    <w:p w14:paraId="57D25B69"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t>ukrytí obyvatelstva v důsledku mimořádné události,</w:t>
      </w:r>
    </w:p>
    <w:p w14:paraId="3C09AA87" w14:textId="77777777" w:rsidR="00C510C2" w:rsidRPr="005B6354" w:rsidRDefault="00C510C2" w:rsidP="005B6354">
      <w:pPr>
        <w:autoSpaceDE w:val="0"/>
        <w:autoSpaceDN w:val="0"/>
        <w:adjustRightInd w:val="0"/>
        <w:spacing w:before="120" w:after="120" w:line="240" w:lineRule="auto"/>
        <w:ind w:left="1276"/>
        <w:rPr>
          <w:rFonts w:eastAsiaTheme="minorHAnsi" w:cstheme="majorBidi"/>
          <w:lang w:eastAsia="en-US"/>
        </w:rPr>
      </w:pPr>
      <w:r w:rsidRPr="005B6354">
        <w:rPr>
          <w:rFonts w:eastAsiaTheme="minorHAnsi" w:cstheme="majorBidi"/>
          <w:lang w:eastAsia="en-US"/>
        </w:rPr>
        <w:t>(Ukrytí obyvatelstva není vhodné v jakékoliv ploše s rozdílným způsobem využití. V případě vzniku mimořádné události vyžadující ukrytí, budou v mírové době využity přirozené ochranné vlastnosti staveb a provádění úprav proti pronikání nebezpečných látek, v období válečného stavu se pro ukrytí obyvatelstva budou budovat improvizované úkryty.)</w:t>
      </w:r>
    </w:p>
    <w:p w14:paraId="59DFDFA6"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t>evakuace obyvatelstva a jeho ubytování,</w:t>
      </w:r>
    </w:p>
    <w:p w14:paraId="7C93BEA4" w14:textId="77777777" w:rsidR="00C510C2" w:rsidRPr="005B6354" w:rsidRDefault="00C510C2" w:rsidP="005B6354">
      <w:pPr>
        <w:autoSpaceDE w:val="0"/>
        <w:autoSpaceDN w:val="0"/>
        <w:adjustRightInd w:val="0"/>
        <w:spacing w:before="120" w:after="120" w:line="240" w:lineRule="auto"/>
        <w:ind w:left="1276"/>
        <w:rPr>
          <w:rFonts w:eastAsiaTheme="minorHAnsi" w:cstheme="majorBidi"/>
          <w:lang w:eastAsia="en-US"/>
        </w:rPr>
      </w:pPr>
      <w:r w:rsidRPr="005B6354">
        <w:rPr>
          <w:rFonts w:eastAsiaTheme="minorHAnsi" w:cstheme="majorBidi"/>
          <w:lang w:eastAsia="en-US"/>
        </w:rPr>
        <w:t>(Dle Havarijního plánu Libereckého kraje se dlouhodobá evakuace obyvatelstva plánuje provádět pouze ze záplavových území ohrožených přirozenými nebo zvláštními povodněmi. Evakuační plány pro případ povodní jsou součástí příslušných povodňových plánů. Pro obec Hrádek nad Nisou jsou plánována jako přijímací střediska – Stadion TJ Slovan, Klub. OV. Dolní Sedlo, II. ZŠ TG Masaryka, sokolovna.)</w:t>
      </w:r>
    </w:p>
    <w:p w14:paraId="4B058387"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lastRenderedPageBreak/>
        <w:t>skladování materiálu civilní ochrany a humanitární pomoci,</w:t>
      </w:r>
    </w:p>
    <w:p w14:paraId="2D93A5E4"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t xml:space="preserve">vyvezení a uskladnění nebezpečných látek mimo současně zastavěná území a zastavitelná území obce, </w:t>
      </w:r>
    </w:p>
    <w:p w14:paraId="144FD91F"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t>záchranných, likvidačních a obnovovacích prací pro odstranění nebo snížení škodlivých účinků kontaminace vzniklých při mimořádné události,</w:t>
      </w:r>
    </w:p>
    <w:p w14:paraId="56494411"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t>ochrany před vlivem nebezpečných látek skladovaných v území,</w:t>
      </w:r>
    </w:p>
    <w:p w14:paraId="53C516CB" w14:textId="77777777" w:rsidR="00C510C2" w:rsidRPr="005B6354" w:rsidRDefault="00C510C2" w:rsidP="005B6354">
      <w:pPr>
        <w:pStyle w:val="ListParagraph"/>
        <w:numPr>
          <w:ilvl w:val="0"/>
          <w:numId w:val="122"/>
        </w:numPr>
        <w:autoSpaceDE w:val="0"/>
        <w:autoSpaceDN w:val="0"/>
        <w:adjustRightInd w:val="0"/>
        <w:spacing w:before="120" w:after="120" w:line="240" w:lineRule="auto"/>
        <w:ind w:left="1276" w:hanging="425"/>
        <w:contextualSpacing/>
        <w:rPr>
          <w:rFonts w:eastAsiaTheme="minorHAnsi" w:cstheme="majorBidi"/>
          <w:lang w:eastAsia="en-US"/>
        </w:rPr>
      </w:pPr>
      <w:r w:rsidRPr="005B6354">
        <w:rPr>
          <w:rFonts w:eastAsiaTheme="minorHAnsi" w:cstheme="majorBidi"/>
          <w:lang w:eastAsia="en-US"/>
        </w:rPr>
        <w:t>nouzového zásobování obyvatelstva vodou a elektrickou energií.</w:t>
      </w:r>
    </w:p>
    <w:p w14:paraId="4B0842B0" w14:textId="77777777" w:rsidR="00C510C2" w:rsidRPr="005B6354" w:rsidRDefault="00C510C2" w:rsidP="005B6354">
      <w:pPr>
        <w:autoSpaceDE w:val="0"/>
        <w:autoSpaceDN w:val="0"/>
        <w:adjustRightInd w:val="0"/>
        <w:spacing w:before="120" w:after="120" w:line="240" w:lineRule="auto"/>
        <w:ind w:left="1276"/>
        <w:rPr>
          <w:rFonts w:eastAsiaTheme="minorHAnsi" w:cstheme="majorBidi"/>
          <w:lang w:eastAsia="en-US"/>
        </w:rPr>
      </w:pPr>
      <w:r w:rsidRPr="005B6354">
        <w:rPr>
          <w:rFonts w:eastAsiaTheme="minorHAnsi" w:cstheme="majorBidi"/>
          <w:lang w:eastAsia="en-US"/>
        </w:rPr>
        <w:t>(Nouzové zásobování obyvatelstva vodou – viz Metodický pokyn Ministerstva zemědělství čj. 740200016-MZE-15000 ze dne 22. prosince 2016 k zajištění jednotného postupu orgánů krajů, hlavního města Prahy, orgánů obcí a městských částí v hlavním městě Praze k zajištění nouzového zásobování obyvatelstva pitnou vodou po mimořádných událostech a za krizových stavů Službou nouzového zásobování vodou).</w:t>
      </w:r>
    </w:p>
    <w:p w14:paraId="08D464F7" w14:textId="77777777" w:rsidR="00C510C2" w:rsidRPr="005B6354" w:rsidRDefault="00C510C2" w:rsidP="005B6354">
      <w:pPr>
        <w:autoSpaceDE w:val="0"/>
        <w:autoSpaceDN w:val="0"/>
        <w:adjustRightInd w:val="0"/>
        <w:spacing w:before="120" w:after="120" w:line="240" w:lineRule="auto"/>
        <w:ind w:left="567"/>
        <w:rPr>
          <w:rFonts w:eastAsiaTheme="minorHAnsi" w:cstheme="majorBidi"/>
          <w:lang w:eastAsia="en-US"/>
        </w:rPr>
      </w:pPr>
      <w:r w:rsidRPr="005B6354">
        <w:rPr>
          <w:rFonts w:eastAsiaTheme="minorHAnsi" w:cstheme="majorBidi"/>
          <w:u w:val="single"/>
          <w:lang w:eastAsia="en-US"/>
        </w:rPr>
        <w:t>Odůvodnění:</w:t>
      </w:r>
      <w:r w:rsidRPr="005B6354">
        <w:rPr>
          <w:rFonts w:eastAsiaTheme="minorHAnsi" w:cstheme="majorBidi"/>
          <w:lang w:eastAsia="en-US"/>
        </w:rPr>
        <w:t xml:space="preserve"> Hasičský záchranný sbor Libereckého kraje stanovuje konkrétní požadavky.</w:t>
      </w:r>
    </w:p>
    <w:p w14:paraId="337ABDBB" w14:textId="77777777" w:rsidR="00C510C2" w:rsidRPr="005B6354" w:rsidRDefault="00C510C2" w:rsidP="009605D3">
      <w:pPr>
        <w:spacing w:before="120" w:after="120"/>
        <w:rPr>
          <w:rFonts w:cstheme="majorBidi"/>
          <w:i/>
          <w:iCs/>
          <w:lang w:eastAsia="en-US"/>
        </w:rPr>
      </w:pPr>
      <w:r w:rsidRPr="005B6354">
        <w:rPr>
          <w:rFonts w:cstheme="majorBidi"/>
          <w:b/>
          <w:bCs/>
          <w:i/>
          <w:iCs/>
          <w:lang w:eastAsia="en-US"/>
        </w:rPr>
        <w:t xml:space="preserve">Vyhodnocení stanoviska  </w:t>
      </w:r>
    </w:p>
    <w:p w14:paraId="06CD8C00" w14:textId="37B2BF84"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Pořizovatel ve spolupráci s určeným zastupitelem vyhodnotil obsah stanoviska a konstatuje, že uvedeným podmínkám bylo plně vyhověno</w:t>
      </w:r>
      <w:r w:rsidR="005B6354">
        <w:rPr>
          <w:rFonts w:cstheme="majorBidi"/>
          <w:i/>
          <w:iCs/>
          <w:lang w:eastAsia="en-US"/>
        </w:rPr>
        <w:t>.</w:t>
      </w:r>
    </w:p>
    <w:p w14:paraId="1C0F1030" w14:textId="77777777" w:rsidR="00C510C2" w:rsidRPr="009605D3" w:rsidRDefault="00C510C2" w:rsidP="009605D3">
      <w:pPr>
        <w:autoSpaceDE w:val="0"/>
        <w:autoSpaceDN w:val="0"/>
        <w:adjustRightInd w:val="0"/>
        <w:spacing w:before="240" w:line="240" w:lineRule="auto"/>
        <w:jc w:val="left"/>
        <w:rPr>
          <w:rFonts w:eastAsiaTheme="minorHAnsi" w:cstheme="majorBidi"/>
          <w:b/>
          <w:bCs/>
          <w:color w:val="92D050"/>
          <w:sz w:val="24"/>
          <w:szCs w:val="24"/>
          <w:lang w:eastAsia="en-US"/>
        </w:rPr>
      </w:pPr>
      <w:r w:rsidRPr="009605D3">
        <w:rPr>
          <w:rFonts w:eastAsiaTheme="minorHAnsi" w:cstheme="majorBidi"/>
          <w:b/>
          <w:bCs/>
          <w:color w:val="92D050"/>
          <w:sz w:val="24"/>
          <w:szCs w:val="24"/>
          <w:lang w:eastAsia="en-US"/>
        </w:rPr>
        <w:t xml:space="preserve">stanovisko F) SPRÁVA CHKO LUŽICKÉ HORY </w:t>
      </w:r>
    </w:p>
    <w:p w14:paraId="08ECCF37" w14:textId="77777777" w:rsidR="00C510C2" w:rsidRPr="005B6354" w:rsidRDefault="00C510C2" w:rsidP="009605D3">
      <w:pPr>
        <w:autoSpaceDE w:val="0"/>
        <w:autoSpaceDN w:val="0"/>
        <w:adjustRightInd w:val="0"/>
        <w:spacing w:after="120" w:line="240" w:lineRule="auto"/>
        <w:jc w:val="left"/>
        <w:rPr>
          <w:rFonts w:eastAsiaTheme="minorHAnsi" w:cstheme="majorBidi"/>
          <w:lang w:eastAsia="en-US"/>
        </w:rPr>
      </w:pPr>
      <w:r w:rsidRPr="005B6354">
        <w:rPr>
          <w:rFonts w:eastAsiaTheme="minorHAnsi" w:cstheme="majorBidi"/>
          <w:lang w:eastAsia="en-US"/>
        </w:rPr>
        <w:t>Stanovisko značky SR/0417/LI/2018-2 doručené dne 18. 8. 2018 a vedené pod č. j. OSŽP/3724/18.</w:t>
      </w:r>
    </w:p>
    <w:p w14:paraId="58608A39" w14:textId="77777777" w:rsidR="00C510C2" w:rsidRPr="005B6354" w:rsidRDefault="00C510C2" w:rsidP="009605D3">
      <w:pPr>
        <w:autoSpaceDE w:val="0"/>
        <w:autoSpaceDN w:val="0"/>
        <w:adjustRightInd w:val="0"/>
        <w:spacing w:before="120" w:after="120" w:line="240" w:lineRule="auto"/>
        <w:jc w:val="left"/>
        <w:rPr>
          <w:rFonts w:eastAsiaTheme="minorHAnsi" w:cstheme="majorBidi"/>
          <w:b/>
          <w:bCs/>
          <w:lang w:eastAsia="en-US"/>
        </w:rPr>
      </w:pPr>
      <w:r w:rsidRPr="005B6354">
        <w:rPr>
          <w:rFonts w:eastAsiaTheme="minorHAnsi" w:cstheme="majorBidi"/>
          <w:b/>
          <w:bCs/>
          <w:lang w:eastAsia="en-US"/>
        </w:rPr>
        <w:t>Přepis stanoviska:</w:t>
      </w:r>
    </w:p>
    <w:p w14:paraId="0AA38B58" w14:textId="77777777" w:rsidR="00C510C2" w:rsidRPr="005B6354" w:rsidRDefault="00C510C2" w:rsidP="009605D3">
      <w:pPr>
        <w:autoSpaceDE w:val="0"/>
        <w:autoSpaceDN w:val="0"/>
        <w:adjustRightInd w:val="0"/>
        <w:spacing w:before="120" w:after="120" w:line="240" w:lineRule="auto"/>
        <w:ind w:left="567"/>
        <w:rPr>
          <w:rFonts w:cstheme="majorBidi"/>
          <w:b/>
          <w:bCs/>
        </w:rPr>
      </w:pPr>
      <w:r w:rsidRPr="005B6354">
        <w:rPr>
          <w:rFonts w:cstheme="majorBidi"/>
        </w:rPr>
        <w:t xml:space="preserve">Agentura ochrany přírody a krajiny ČR, Regionální pracoviště Liberecko, oddělení Správa CHKO Lužické hory (dále jen „Agentura“), jako orgán ochrany přírody příslušný podle ust. § 75 odst. 1 písm. e) ve spojení s § 78 odst. 1 zákona č. 114/1992 Sb., o ochraně přírody a krajiny, v platném znění (dále jen „zákon“) a § 50 odst. 2 zák. č. 183/2006 Sb. stavební zákon, ve znění pozdějších předpisů, na podkladě Oznámení společného jednání o návrhu územního plánu Hrádek nad Nisou, vlastního návrhu ÚP Hrádek nad Nisou a společného jednání dne 16. 4. 2018 </w:t>
      </w:r>
      <w:r w:rsidRPr="005B6354">
        <w:rPr>
          <w:rFonts w:cstheme="majorBidi"/>
          <w:b/>
          <w:bCs/>
        </w:rPr>
        <w:t>vydává stanovisko k návrhu územního plánu Hrádek nad Nisou:</w:t>
      </w:r>
    </w:p>
    <w:p w14:paraId="3F257241"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Agentura, regionální pracoviště Liberecko, oddělení Správa CHKO Lužické hory, vydává stanovisko k částem návrhu, které jsou v její územní působnosti, tj. na území CHKO Lužické hory.</w:t>
      </w:r>
    </w:p>
    <w:p w14:paraId="1A9D05CD" w14:textId="77777777" w:rsidR="00C510C2" w:rsidRPr="005B6354" w:rsidRDefault="00C510C2" w:rsidP="009605D3">
      <w:pPr>
        <w:pStyle w:val="ListParagraph"/>
        <w:numPr>
          <w:ilvl w:val="0"/>
          <w:numId w:val="123"/>
        </w:numPr>
        <w:autoSpaceDE w:val="0"/>
        <w:autoSpaceDN w:val="0"/>
        <w:adjustRightInd w:val="0"/>
        <w:spacing w:before="120" w:after="120" w:line="240" w:lineRule="auto"/>
        <w:ind w:left="567" w:firstLine="0"/>
        <w:contextualSpacing/>
        <w:rPr>
          <w:rFonts w:cstheme="majorBidi"/>
          <w:b/>
          <w:bCs/>
        </w:rPr>
      </w:pPr>
      <w:r w:rsidRPr="005B6354">
        <w:rPr>
          <w:rFonts w:cstheme="majorBidi"/>
          <w:b/>
          <w:bCs/>
        </w:rPr>
        <w:t>Právní a odborná východiska stanoviska k návrhu ÚP Hrádek nad Nisou</w:t>
      </w:r>
    </w:p>
    <w:p w14:paraId="14F44951"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Požadavky Agentury vycházejí ze zákona, Výnosu ministerstva kultury ČSR o zřízení Chráněné krajinné oblasti Lužické hory (dále jen CHKO LH) ze dne 19. 3. 1976, Plánu péče o CHKO LH 2015-2024, studie Preventivního hodnocení území CHKO LH z hlediska krajinného rázu (které stanovuje zásady ochrany krajinného rázu ve smyslu § 12 zákona diferencovaně podle oblastí a míst krajinného rázu) a dalších odborných podkladů (aktualizace mapování biotopů AOPK ČR, nálezová databáze ochrany přírody, apod.) Plán péče o CHKO LH je ve smyslu § 38 odst. 1/ zákona odborným a koncepčním dokumentem ochrany přírody a slouží jako podklad pro jiné druhy plánovacích dokumentů, např. pro územně plánovací dokumentaci. Obecně své požadavky Správa uplatňuje především v souladu s § 2 odst. 2/, písm. g) zákona.</w:t>
      </w:r>
    </w:p>
    <w:p w14:paraId="7AAD529B"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V CHKO LH leží pouze část řešeného území a to v I., II. a III. zóně odstupňované ochrany přírody.</w:t>
      </w:r>
    </w:p>
    <w:p w14:paraId="66470EA0"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A. Podle § 25 odst. 1 zákona jsou chráněné krajinné oblasti rozsáhlá území s harmonicky utvářenou krajinou, charakteristicky vyvinutým reliéfem, významným podílem přirozených ekosystémů lesních a trvalých travních porostů, s hojným zastoupením dřevin, popřípadě s dochovanými památkami historického osídlení. Podle § 25 odst. 2 zákona se hospodářské využívání těchto území provádí podle zón odstupňované ochrany tak, aby se udržoval a zlepšoval jejich přírodní stav a byly zachovány a vytvářeny optimální ekologické funkce těchto území. Rekreační využití je přípustné, pokud nepoškozuje přírodní hodnoty chráněných krajinných oblastí (přírodní hodnoty jsou definovány v Plánu péče o CHKO LH 2015 - 2024 a v aktuálních odborných podkladech).</w:t>
      </w:r>
    </w:p>
    <w:p w14:paraId="4F08F5F4"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 xml:space="preserve">B. Z hlediska zonace CHKO LH ve smyslu § 25 zákona jsou pro I. a II. zónu stanoveny základní ochranné podmínky v § 26 odst. 2 a 3 zákona, pro třetí zónu odstupňované ochrany přírody nejsou stanoveny </w:t>
      </w:r>
      <w:r w:rsidRPr="005B6354">
        <w:rPr>
          <w:rFonts w:cstheme="majorBidi"/>
        </w:rPr>
        <w:lastRenderedPageBreak/>
        <w:t>základní ochranné podmínky v § 26 zákona, zásady ochrany a využívání území CHKO LH jsou uvedeny v Plánu péče o CHKO LH 2015 - 2023.</w:t>
      </w:r>
    </w:p>
    <w:p w14:paraId="25D065B6"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C. Bližší ochranné podmínky CHKO LH jsou uvedeny ve Výnosu ministerstva kultury ČSR o zřízení Chráněné krajinné oblasti Lužické hory ze dne 19. 3. 1976, posláním oblasti je dle výnosu ochrana všech hodnot krajiny, jejího vzhledu a jejích znaků i přírodních zdrojů a vytváření vyváženého životního prostředí; k typickým znakům krajiny náleží zejména její povrchové utváření včetně vodních toků a ploch, klima krajiny, vegetační kryt, a volně žijící živočišstvo, rozvržení a využití lesního a zemědělského půdního fondu, a ve vztahu k ní také rozmístění a urbanistická skladba sídlišť, architektonické stavby a místní zástavba lidového rázu.</w:t>
      </w:r>
    </w:p>
    <w:p w14:paraId="46DAC950"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D. Na území města Hrádek nad Nisou nejsou na území CHKO LH vyhlášena maloplošná zvláště chráněná území ve smyslu § 28 - § 37 zákona.</w:t>
      </w:r>
    </w:p>
    <w:p w14:paraId="5269E5DE"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E. Územní systém ekologické stability krajiny je podle § 3 pís. a) zákona vzájemně propojený soubor přirozených i pozměněných, avšak přírodě blízkých ekosystémů, které udržují přírodní rovnováhu. Podle § 4 odst. 1 zákona systém ekologické stability zajišťuje uchování a reprodukci přírodního bohatství, příznivé působení na okolní méně stabilní části krajiny a vytvoření základů pro mnohostranné využívání krajiny. Ochrana systému ekologické stability je povinností všech vlastníků a uživatelů pozemků tvořících jeho základ; jeho vytváření je veřejným zájmem, na kterém se podílejí vlastníci pozemků, obce i stát.</w:t>
      </w:r>
    </w:p>
    <w:p w14:paraId="43A44D64"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F. Významný krajinný prvek je podle § 3 pís. b) zákona ekologicky, geomorfologicky nebo esteticky hodnotná část krajiny, která utváří její typický vzhled nebo přispívá k udržení její stability. Významnými krajinnými prvky jsou lesy, rašeliniště, vodní toky, rybníky, jezera, údolní nivy. Podle § 4 odst. 2 zákona jsou významné krajinné prvky chráněny před poškozováním a ničením. Využívají se pouze tak, aby nebyla narušena jejich obnova a nedošlo k ohrožení nebo oslabení jejich stabilizační funkce.</w:t>
      </w:r>
    </w:p>
    <w:p w14:paraId="1139C3B5"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G. Významným předmětem ochrany CHKO LH je ochrana krajinného rázu podle § 12 zákona. Podle § 12 odst. 1 zákona je krajinný ráz, kterým je zejména přírodní, kulturní a historická charakteristika určitého místa či oblasti, chráněn před činností snižující jeho estetickou a přírodní hodnotu. Zásahy do krajinného rázu, zejména umisťování a povolování staveb, mohou být prováděny pouze s ohledem na zachování významných krajinných prvků, zvláště chráněných území, kulturních dominant krajiny, harmonické měřítko a vztahy v krajině.</w:t>
      </w:r>
    </w:p>
    <w:p w14:paraId="7015AA14"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Odborným dokumentem, který ve smyslu § 12 zákona vymezuje oblasti a místa krajinného rázu, podrobněji hodnotí charakteristiky a hodnoty krajinného rázu a diferencovaně stanovuje zásady jeho ochrany včetně priorit, je Preventivní hodnocení území CHKO LH z hlediska krajinného rázu (Svobodová, 2011).</w:t>
      </w:r>
    </w:p>
    <w:p w14:paraId="0A2AAB5E"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Podle Preventivního hodnocení krajinného rázu CHKO LH je území města Hrádek nad Nisou na území CHKO LH zařazeno do oblasti krajinného rázu 2. Mařenicko-Petrovicko, místa krajinného rázu (MKR) 2a. Horní a Dolní Sedlo a 2b. Lesní celky I.</w:t>
      </w:r>
    </w:p>
    <w:p w14:paraId="21FCF06B" w14:textId="77777777" w:rsidR="00C510C2" w:rsidRPr="005B6354" w:rsidRDefault="00C510C2" w:rsidP="009605D3">
      <w:pPr>
        <w:pStyle w:val="ListParagraph"/>
        <w:autoSpaceDE w:val="0"/>
        <w:autoSpaceDN w:val="0"/>
        <w:adjustRightInd w:val="0"/>
        <w:spacing w:before="120" w:after="120" w:line="240" w:lineRule="auto"/>
        <w:ind w:left="567"/>
        <w:rPr>
          <w:rFonts w:cstheme="majorBidi"/>
        </w:rPr>
      </w:pPr>
      <w:r w:rsidRPr="005B6354">
        <w:rPr>
          <w:rFonts w:cstheme="majorBidi"/>
        </w:rPr>
        <w:t>Dokument stanoví následující regulativy ochrany krajinného rázu ve smyslu § 12 zákona (pro podrobnost územního plánu), týkající se území města Hrádek nad Nisou (zejména s ohledem na zachování významných krajinných prvků, zvláště chráněných území, kulturních dominant krajiny, harmonické měřítko a vztahy v krajině)</w:t>
      </w:r>
    </w:p>
    <w:p w14:paraId="7FA00658" w14:textId="77777777" w:rsidR="00C510C2" w:rsidRPr="005B6354" w:rsidRDefault="00C510C2" w:rsidP="009605D3">
      <w:pPr>
        <w:pStyle w:val="ListParagraph"/>
        <w:autoSpaceDE w:val="0"/>
        <w:autoSpaceDN w:val="0"/>
        <w:adjustRightInd w:val="0"/>
        <w:spacing w:before="120" w:after="120" w:line="240" w:lineRule="auto"/>
        <w:ind w:left="567"/>
        <w:rPr>
          <w:rFonts w:cstheme="majorBidi"/>
          <w:i/>
          <w:iCs/>
        </w:rPr>
      </w:pPr>
      <w:r w:rsidRPr="005B6354">
        <w:rPr>
          <w:rFonts w:cstheme="majorBidi"/>
          <w:i/>
          <w:iCs/>
        </w:rPr>
        <w:t>2a. Horní a Dolní Sedlo</w:t>
      </w:r>
    </w:p>
    <w:p w14:paraId="39205721"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zachovat převažující extenzivní hospodaření na pozemcích, podporovat tento druh hospodaření</w:t>
      </w:r>
    </w:p>
    <w:p w14:paraId="28BB5BE4"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nesnižovat podíl mimolesní rozptýlené zeleně</w:t>
      </w:r>
    </w:p>
    <w:p w14:paraId="36C0F792"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doplnit rozptýlenou stromovou zeleň na plochy severozápadně od Horního Sedla</w:t>
      </w:r>
    </w:p>
    <w:p w14:paraId="23E6694B"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 xml:space="preserve">zachovat pohledovou otevřenost, místa významných výhledů a významné pohledové osy </w:t>
      </w:r>
    </w:p>
    <w:p w14:paraId="59622023"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zachovat různorodost sídelních struktur</w:t>
      </w:r>
    </w:p>
    <w:p w14:paraId="2477B9E8"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nesnižovat stávající zachovalost sídelní struktury, podporovat výstavbu respektující zachovalou strukturu sídla (zejm. roztroušený charakter Dolního Sedla)</w:t>
      </w:r>
    </w:p>
    <w:p w14:paraId="2023AEEF"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objekty lidové architektury, drobné sakrální památky, podporovat jejich obnovu</w:t>
      </w:r>
    </w:p>
    <w:p w14:paraId="13FABC67"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lastRenderedPageBreak/>
        <w:t>podporovat vytvoření vyšších krajinářsko-estetických hodnot zástavby v sídlech</w:t>
      </w:r>
    </w:p>
    <w:p w14:paraId="151A6A07"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zachovat harmonické měřítko a vztahy, neumisťovat prvky a objekty, které by stávající měřítko narušily</w:t>
      </w:r>
    </w:p>
    <w:p w14:paraId="31624145" w14:textId="77777777" w:rsidR="00C510C2" w:rsidRPr="005B6354" w:rsidRDefault="00C510C2" w:rsidP="009605D3">
      <w:pPr>
        <w:autoSpaceDE w:val="0"/>
        <w:autoSpaceDN w:val="0"/>
        <w:adjustRightInd w:val="0"/>
        <w:spacing w:before="120" w:after="120" w:line="240" w:lineRule="auto"/>
        <w:ind w:left="567"/>
        <w:rPr>
          <w:rFonts w:cstheme="majorBidi"/>
          <w:i/>
          <w:iCs/>
        </w:rPr>
      </w:pPr>
      <w:r w:rsidRPr="005B6354">
        <w:rPr>
          <w:rFonts w:cstheme="majorBidi"/>
          <w:i/>
          <w:iCs/>
        </w:rPr>
        <w:t>2b. Lesní celky I.</w:t>
      </w:r>
    </w:p>
    <w:p w14:paraId="216ECCC9"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terénní dominanty, jejich vizuální projev</w:t>
      </w:r>
    </w:p>
    <w:p w14:paraId="32B2F0E5"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podporovat pestrost lesních okrajů</w:t>
      </w:r>
    </w:p>
    <w:p w14:paraId="15D04BAC"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zachovat daleké výhledy a pohledové osy</w:t>
      </w:r>
    </w:p>
    <w:p w14:paraId="72F3CE16"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a podporovat strukturu osídlení - osady a samoty harmonického měřítka</w:t>
      </w:r>
    </w:p>
    <w:p w14:paraId="0E362293"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objekty lidové architektury a drobné sakrální památky, podporovat jejich obnovu</w:t>
      </w:r>
    </w:p>
    <w:p w14:paraId="4DD90930"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zachovat harmonické měřítko a vztahy, neumisťovat prvky a objekty, které by stávající měřítko narušily</w:t>
      </w:r>
    </w:p>
    <w:p w14:paraId="1A426196"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H. Zvláště chráněné druhy rostlin a živočichů. Jejich výskyt včetně biotopů je chráněný podle § 48 - 50 zákona</w:t>
      </w:r>
    </w:p>
    <w:p w14:paraId="7FA68796"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I. Základním dokumentem péče o chráněné území je Plán péče o CHKO LH 2015 - 2024, který je ve smyslu § 38 odst. 1 zákona odborným a koncepčním dokumentem ochrany přírody a slouží jako podklad pro jiné druhy plánovacích dokumentů, např. územně plánovací dokumentaci.</w:t>
      </w:r>
    </w:p>
    <w:p w14:paraId="32AC8C5D" w14:textId="77777777" w:rsidR="00C510C2" w:rsidRPr="005B6354" w:rsidRDefault="00C510C2" w:rsidP="009605D3">
      <w:pPr>
        <w:autoSpaceDE w:val="0"/>
        <w:autoSpaceDN w:val="0"/>
        <w:adjustRightInd w:val="0"/>
        <w:spacing w:before="120" w:after="120" w:line="240" w:lineRule="auto"/>
        <w:ind w:left="567"/>
        <w:rPr>
          <w:rFonts w:cstheme="majorBidi"/>
          <w:u w:val="single"/>
        </w:rPr>
      </w:pPr>
      <w:r w:rsidRPr="005B6354">
        <w:rPr>
          <w:rFonts w:cstheme="majorBidi"/>
        </w:rPr>
        <w:t xml:space="preserve">Plán péče byl Ministerstvem životního prostředí projednán s městem Hrádek nad Nisou a jemu předán. Plán péče o CHKO LH stanoví ve vztahu (územně, věcně a mírou podrobnosti) k územnímu plánu Hrádek nad Nisou následující cíle, opatření a zásady ochrany krajiny: </w:t>
      </w:r>
      <w:r w:rsidRPr="005B6354">
        <w:rPr>
          <w:rFonts w:cstheme="majorBidi"/>
          <w:u w:val="single"/>
        </w:rPr>
        <w:t>Dlouhodobý cíl</w:t>
      </w:r>
    </w:p>
    <w:p w14:paraId="2091A3D4" w14:textId="77777777" w:rsidR="00C510C2" w:rsidRPr="005B6354" w:rsidRDefault="00C510C2" w:rsidP="009605D3">
      <w:pPr>
        <w:pStyle w:val="ListParagraph"/>
        <w:numPr>
          <w:ilvl w:val="0"/>
          <w:numId w:val="124"/>
        </w:numPr>
        <w:autoSpaceDE w:val="0"/>
        <w:autoSpaceDN w:val="0"/>
        <w:adjustRightInd w:val="0"/>
        <w:spacing w:before="120" w:after="120" w:line="240" w:lineRule="auto"/>
        <w:ind w:left="567" w:firstLine="0"/>
        <w:contextualSpacing/>
        <w:rPr>
          <w:rFonts w:cstheme="majorBidi"/>
        </w:rPr>
      </w:pPr>
      <w:r w:rsidRPr="005B6354">
        <w:rPr>
          <w:rFonts w:cstheme="majorBidi"/>
        </w:rPr>
        <w:t>zachovaný typický ráz podhorské a horské krajiny tvořený unikátní geomorfologií znělcových a čedičových kup a charakteristickou strukturou krajiny s fragmenty přírodě blízkých lesních společenstev, pestrou mozaikou rozptýlené zeleně a luk doplněnou vodními toky a vesnickými sídly tradičního uspořádání s vysokým zastoupením lidové architektury</w:t>
      </w:r>
    </w:p>
    <w:p w14:paraId="0E46BFE7" w14:textId="77777777" w:rsidR="00C510C2" w:rsidRPr="005B6354" w:rsidRDefault="00C510C2" w:rsidP="009605D3">
      <w:pPr>
        <w:autoSpaceDE w:val="0"/>
        <w:autoSpaceDN w:val="0"/>
        <w:adjustRightInd w:val="0"/>
        <w:spacing w:before="120" w:after="120" w:line="240" w:lineRule="auto"/>
        <w:ind w:left="567"/>
        <w:rPr>
          <w:rFonts w:cstheme="majorBidi"/>
          <w:u w:val="single"/>
        </w:rPr>
      </w:pPr>
      <w:r w:rsidRPr="005B6354">
        <w:rPr>
          <w:rFonts w:cstheme="majorBidi"/>
          <w:u w:val="single"/>
        </w:rPr>
        <w:t>Navrhovaná opatření a zásady</w:t>
      </w:r>
    </w:p>
    <w:p w14:paraId="4B3CCA1F"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přirozenou modelaci terénu a pohledově výrazných vrcholů (), horizontů a svahů před nevhodnými zásahy</w:t>
      </w:r>
    </w:p>
    <w:p w14:paraId="7622F2DB"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charakter volné krajiny mezi souvislými lesními porosty a rozptýlenou i souvislou zástavbou před urbanizací (zástavba, technická zařízení, doprava) a plošným zalesňováním</w:t>
      </w:r>
    </w:p>
    <w:p w14:paraId="35CBB578"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mozaikovitost luk, pastvin, lesní a nelesní zeleně, původní cestní síť, vodní toky a vodní plochy přírodního charakteru</w:t>
      </w:r>
    </w:p>
    <w:p w14:paraId="62FD8473"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charakter tradiční zástavby v její typické struktuře a měřítku</w:t>
      </w:r>
    </w:p>
    <w:p w14:paraId="32CF1109"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tradiční sídelní struktury a historický urbanismus sídel minimalizovat umisťování dominantních technických prvků a jiných objektů, které vybočují z místně obvyklého měřítka; v nezbytných případech prosazovat umístění mimo pohledově významné vrcholy a hřebeny a zajistit maximální zachování stávajícího charakteru lokalit</w:t>
      </w:r>
    </w:p>
    <w:p w14:paraId="4CCD5744"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nové zastavitelné plochy vymezovat v souladu se stávajícím urbanistickým uspořádáním sídel</w:t>
      </w:r>
    </w:p>
    <w:p w14:paraId="7C99B31A"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podklad Preventivní hodnocení CHKO z hlediska krajinného rázu (Svobodová, 2011) poskytovat jako ÚAP při tvorbě ÚP tak, aby navrhované plošné a prostorové uspořádání nových zastavitelných ploch a podmínky ochrany krajinného rázu byly v souladu s dochovanými charakteristikami krajinného rázu pro konkrétní místa krajinného rázu</w:t>
      </w:r>
    </w:p>
    <w:p w14:paraId="2F78DFC3"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novou zástavbu směřovat mimo pohledově exponované lokality</w:t>
      </w:r>
    </w:p>
    <w:p w14:paraId="4B2D044C"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terénní úpravy podřídit přirozené modelaci terénu, nepodporovat otvírání nové těžby nerostných surovin, usilovat o minimalizaci terénních úprav velkého rozsahu (pro dopravní, sportovní stavby, apod.)</w:t>
      </w:r>
    </w:p>
    <w:p w14:paraId="190AA3E4"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usilovat o ochranu přirozeného charakteru pramenišť, mokřadů a vodních toků</w:t>
      </w:r>
    </w:p>
    <w:p w14:paraId="483E11DB"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podporovat revitalizaci upravených částí toků, obnovu narušeného vodního režimu v krajině a ochranu proti vodní erozi podporovat ochranu zachovaných zbytků přirozených a přírodě blízkých lesních ekosystémů a obnovu druhové skladby lesních porostů odpovídající přírodnímu stanovišti</w:t>
      </w:r>
    </w:p>
    <w:p w14:paraId="103FE8F6"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podporovat zachování druhově pestrých a členitých lesních okrajů</w:t>
      </w:r>
    </w:p>
    <w:p w14:paraId="7ED8D624"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lastRenderedPageBreak/>
        <w:t>chránit a podporovat obnovu přírodě blízkých a druhově bohatých podhorských a horských luk a pastvin před poškozením</w:t>
      </w:r>
    </w:p>
    <w:p w14:paraId="5F9C2CCB"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zachovat a podporovat členění krajiny přírodními prostorovými předěly, lesy, remízy, alejemi, mezemi a doprovodnými dřevinami toků (včetně jejich fragmentů) a jejich vazbu k sídlům, podporovat doplňování těchto prvků</w:t>
      </w:r>
    </w:p>
    <w:p w14:paraId="056F628F"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solitérní stromy, skupiny stromů a aleje v krajině i v sídlech</w:t>
      </w:r>
    </w:p>
    <w:p w14:paraId="1D24B043"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údolní nivy před urbanizací</w:t>
      </w:r>
    </w:p>
    <w:p w14:paraId="238AC98B"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udržovat prostupnost krajiny, chránit krajinu před vznikem migračních bariér zvláště propojováním zástavby v místech citlivých z hlediska migrace živočichů, resp. v místech propojení územních (biogeografických, orografických) celků a minimalizovat oplocování pozemků ve volné krajině a rozptýlené zástavbě</w:t>
      </w:r>
    </w:p>
    <w:p w14:paraId="1E628CC0"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respektovat měřítko krajiny včetně měřítka zástavby (zejména u sídel s charakteristickým prolínáním zástavby se stromovou zelení a plochami luk či pastvin v širším krajinném rámci)</w:t>
      </w:r>
    </w:p>
    <w:p w14:paraId="45BE5E84"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minimalizovat umisťování billboardů a jiné velkoplošné reklamy ve volné krajině</w:t>
      </w:r>
    </w:p>
    <w:p w14:paraId="333CD3B5"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volnou krajinu před rozšiřováním zástavby; novou výstavbu, zejména plošně a objemově kapacitnější soustředit do kompaktněji zastavěných částí sídel nebo vhodných navazujících ploch a nové výrobní areály přednostně umísťovat do IV. zón</w:t>
      </w:r>
    </w:p>
    <w:p w14:paraId="3F9293DB"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luční enklávy s drobnými osadami před novou zástavbou a před zalesňováním a zarůstáním náletem</w:t>
      </w:r>
    </w:p>
    <w:p w14:paraId="753F0EE0"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ve vybraných stabilizovaných částech sídel s významným zastoupením hodnotných venkovských staveb (zejména lidové architektury) včetně zachované urbanistické struktury podporovat vhodnou údržbu a obnovu tradiční architektury (lidové stavby), zachovat ráz lokalit jako celku</w:t>
      </w:r>
    </w:p>
    <w:p w14:paraId="0F2A8ACF"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chránit typickou výškovou hladinu sídel a jejich siluetu</w:t>
      </w:r>
    </w:p>
    <w:p w14:paraId="6E1BDC2C"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zachovat dominanci významných staveb v rámci interiéru i vně sídel (kostely, kaple, apod.), nenarušovat působení kulturních dominant</w:t>
      </w:r>
    </w:p>
    <w:p w14:paraId="3DDA6DEF"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podporovat kultivaci sídel a jejich okrajů na přechodu do krajiny</w:t>
      </w:r>
    </w:p>
    <w:p w14:paraId="7FB83DAA" w14:textId="77777777" w:rsidR="00C510C2" w:rsidRPr="005B6354" w:rsidRDefault="00C510C2" w:rsidP="009605D3">
      <w:pPr>
        <w:pStyle w:val="ListParagraph"/>
        <w:numPr>
          <w:ilvl w:val="0"/>
          <w:numId w:val="124"/>
        </w:numPr>
        <w:autoSpaceDE w:val="0"/>
        <w:autoSpaceDN w:val="0"/>
        <w:adjustRightInd w:val="0"/>
        <w:spacing w:before="60" w:after="60" w:line="240" w:lineRule="auto"/>
        <w:ind w:left="567" w:firstLine="0"/>
        <w:rPr>
          <w:rFonts w:cstheme="majorBidi"/>
        </w:rPr>
      </w:pPr>
      <w:r w:rsidRPr="005B6354">
        <w:rPr>
          <w:rFonts w:cstheme="majorBidi"/>
        </w:rPr>
        <w:t>při posuzování konkrétních záměrů a plánování managementových opatření využívat odborný materiál Preventivní hodnocení území CHKO z hlediska krajinného rázu</w:t>
      </w:r>
    </w:p>
    <w:p w14:paraId="5A22ACC6" w14:textId="48DCD410" w:rsidR="00C510C2" w:rsidRPr="005B6354" w:rsidRDefault="00F41174" w:rsidP="009605D3">
      <w:pPr>
        <w:autoSpaceDE w:val="0"/>
        <w:autoSpaceDN w:val="0"/>
        <w:adjustRightInd w:val="0"/>
        <w:spacing w:before="120" w:after="120" w:line="240" w:lineRule="auto"/>
        <w:ind w:left="567"/>
        <w:rPr>
          <w:rFonts w:cstheme="majorBidi"/>
          <w:b/>
          <w:bCs/>
        </w:rPr>
      </w:pPr>
      <w:r>
        <w:rPr>
          <w:rFonts w:cstheme="majorBidi"/>
          <w:b/>
          <w:bCs/>
        </w:rPr>
        <w:t>2</w:t>
      </w:r>
      <w:r w:rsidR="00C510C2" w:rsidRPr="005B6354">
        <w:rPr>
          <w:rFonts w:cstheme="majorBidi"/>
          <w:b/>
          <w:bCs/>
        </w:rPr>
        <w:t>. Stanovisko k návrhu ÚP Hrádek nad Nisou</w:t>
      </w:r>
    </w:p>
    <w:p w14:paraId="7F4B183E" w14:textId="77777777" w:rsidR="00C510C2" w:rsidRPr="005B6354" w:rsidRDefault="00C510C2" w:rsidP="009605D3">
      <w:pPr>
        <w:autoSpaceDE w:val="0"/>
        <w:autoSpaceDN w:val="0"/>
        <w:adjustRightInd w:val="0"/>
        <w:spacing w:before="120" w:after="120" w:line="240" w:lineRule="auto"/>
        <w:ind w:left="567"/>
        <w:rPr>
          <w:rFonts w:cstheme="majorBidi"/>
          <w:b/>
          <w:bCs/>
          <w:u w:val="single"/>
        </w:rPr>
      </w:pPr>
      <w:r w:rsidRPr="005B6354">
        <w:rPr>
          <w:rFonts w:cstheme="majorBidi"/>
          <w:b/>
          <w:bCs/>
          <w:u w:val="single"/>
        </w:rPr>
        <w:t>Grafická část</w:t>
      </w:r>
    </w:p>
    <w:p w14:paraId="7EEE0D70" w14:textId="77777777" w:rsidR="00C510C2" w:rsidRPr="005B6354" w:rsidRDefault="00C510C2" w:rsidP="009605D3">
      <w:pPr>
        <w:autoSpaceDE w:val="0"/>
        <w:autoSpaceDN w:val="0"/>
        <w:adjustRightInd w:val="0"/>
        <w:spacing w:before="120" w:after="120" w:line="240" w:lineRule="auto"/>
        <w:ind w:left="567"/>
        <w:rPr>
          <w:rFonts w:cstheme="majorBidi"/>
          <w:b/>
          <w:bCs/>
          <w:i/>
          <w:iCs/>
        </w:rPr>
      </w:pPr>
      <w:r w:rsidRPr="005B6354">
        <w:rPr>
          <w:rFonts w:cstheme="majorBidi"/>
          <w:b/>
          <w:bCs/>
          <w:i/>
          <w:iCs/>
        </w:rPr>
        <w:t>Výkresy Hlavní výkres, Koordinační výkres</w:t>
      </w:r>
    </w:p>
    <w:p w14:paraId="0D8678E7"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Zastavěné území</w:t>
      </w:r>
    </w:p>
    <w:p w14:paraId="7AD8E917"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Agentura </w:t>
      </w:r>
      <w:r w:rsidRPr="005B6354">
        <w:rPr>
          <w:rFonts w:cstheme="majorBidi"/>
          <w:b/>
          <w:bCs/>
        </w:rPr>
        <w:t xml:space="preserve">souhlasí </w:t>
      </w:r>
      <w:r w:rsidRPr="005B6354">
        <w:rPr>
          <w:rFonts w:cstheme="majorBidi"/>
        </w:rPr>
        <w:t>s vymezením zastavěného území na území CHKO LH.</w:t>
      </w:r>
    </w:p>
    <w:p w14:paraId="6E7319E1"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Plochy stabilizované</w:t>
      </w:r>
    </w:p>
    <w:p w14:paraId="50B4B6C3" w14:textId="77777777" w:rsidR="00C510C2" w:rsidRPr="005B6354" w:rsidRDefault="00C510C2" w:rsidP="009605D3">
      <w:pPr>
        <w:autoSpaceDE w:val="0"/>
        <w:autoSpaceDN w:val="0"/>
        <w:adjustRightInd w:val="0"/>
        <w:spacing w:before="120" w:after="120" w:line="240" w:lineRule="auto"/>
        <w:ind w:left="567"/>
        <w:rPr>
          <w:rFonts w:cstheme="majorBidi"/>
          <w:b/>
          <w:bCs/>
        </w:rPr>
      </w:pPr>
      <w:r w:rsidRPr="005B6354">
        <w:rPr>
          <w:rFonts w:cstheme="majorBidi"/>
        </w:rPr>
        <w:t xml:space="preserve">Agentura </w:t>
      </w:r>
      <w:r w:rsidRPr="005B6354">
        <w:rPr>
          <w:rFonts w:cstheme="majorBidi"/>
          <w:b/>
          <w:bCs/>
        </w:rPr>
        <w:t xml:space="preserve">souhlasí </w:t>
      </w:r>
      <w:r w:rsidRPr="005B6354">
        <w:rPr>
          <w:rFonts w:cstheme="majorBidi"/>
        </w:rPr>
        <w:t xml:space="preserve">s vymezením stabilizovaných ploch na území CHKO LH </w:t>
      </w:r>
      <w:r w:rsidRPr="005B6354">
        <w:rPr>
          <w:rFonts w:cstheme="majorBidi"/>
          <w:b/>
          <w:bCs/>
        </w:rPr>
        <w:t>za podmínky</w:t>
      </w:r>
    </w:p>
    <w:p w14:paraId="3FD43194" w14:textId="77777777" w:rsidR="00C510C2" w:rsidRPr="005B6354" w:rsidRDefault="00C510C2" w:rsidP="009605D3">
      <w:pPr>
        <w:pStyle w:val="ListParagraph"/>
        <w:numPr>
          <w:ilvl w:val="0"/>
          <w:numId w:val="124"/>
        </w:numPr>
        <w:autoSpaceDE w:val="0"/>
        <w:autoSpaceDN w:val="0"/>
        <w:adjustRightInd w:val="0"/>
        <w:spacing w:before="120" w:after="120" w:line="240" w:lineRule="auto"/>
        <w:ind w:left="567" w:firstLine="0"/>
        <w:contextualSpacing/>
        <w:rPr>
          <w:rFonts w:cstheme="majorBidi"/>
        </w:rPr>
      </w:pPr>
      <w:r w:rsidRPr="005B6354">
        <w:rPr>
          <w:rFonts w:cstheme="majorBidi"/>
        </w:rPr>
        <w:t>severovýchodní část (cca 1/2) pozemku p.č. 134/1 v k.ú. Dolní Sedlo přiléhající k ploše lesa bude zařazena do ploch ZS - zeleň soukromá, tak jak to odpovídá skutečnému využití plochy. Jedná se o trvalou travní plochu využívanou pro pastvu ovcí a zeleň na okraji rozptýlené zástavby, přiléhající k lesu a plochám krajinným. Celý pozemek má plochu 4 118 m</w:t>
      </w:r>
      <w:r w:rsidRPr="005B6354">
        <w:rPr>
          <w:rFonts w:cstheme="majorBidi"/>
          <w:vertAlign w:val="superscript"/>
        </w:rPr>
        <w:t>2</w:t>
      </w:r>
      <w:r w:rsidRPr="005B6354">
        <w:rPr>
          <w:rFonts w:cstheme="majorBidi"/>
        </w:rPr>
        <w:t xml:space="preserve">, tedy i po vymezení plochy ZS, zůstane zastavěná plocha dostatečně velká. Pozemek leží ve třetí zóně odstupňované ochrany přírody, na pozemku se nenachází stavba. </w:t>
      </w:r>
      <w:r w:rsidRPr="005B6354">
        <w:rPr>
          <w:rFonts w:cstheme="majorBidi"/>
          <w:i/>
          <w:iCs/>
        </w:rPr>
        <w:t xml:space="preserve">(Případně navrhujeme vyjmutí této části pozemku ze zastavěného území a jeho zařazení do plochy NS stabilizované smíšeného nezastavěného území - zemědělské, pokud to § 58 odst. 2 zákona 182/2006 ve znění pozdějších předpisů umožňuje). </w:t>
      </w:r>
      <w:r w:rsidRPr="005B6354">
        <w:rPr>
          <w:rFonts w:cstheme="majorBidi"/>
        </w:rPr>
        <w:t>Zájmem Agentury je nerozšiřovat zástavbu v této okrajové části Dolního Sedla.</w:t>
      </w:r>
    </w:p>
    <w:p w14:paraId="4A7ED355"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Plochy zastavitelné</w:t>
      </w:r>
    </w:p>
    <w:p w14:paraId="7E7E322D"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Agentura </w:t>
      </w:r>
      <w:r w:rsidRPr="005B6354">
        <w:rPr>
          <w:rFonts w:cstheme="majorBidi"/>
          <w:b/>
          <w:bCs/>
        </w:rPr>
        <w:t xml:space="preserve">souhlasí </w:t>
      </w:r>
      <w:r w:rsidRPr="005B6354">
        <w:rPr>
          <w:rFonts w:cstheme="majorBidi"/>
        </w:rPr>
        <w:t>s vymezením těchto zastavitelných ploch na území CHKO LH:</w:t>
      </w:r>
    </w:p>
    <w:p w14:paraId="4A57E16E"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lastRenderedPageBreak/>
        <w:t xml:space="preserve">Horní Sedlo Z82 (BV) </w:t>
      </w:r>
      <w:r w:rsidRPr="005B6354">
        <w:rPr>
          <w:rFonts w:cstheme="majorBidi"/>
          <w:i/>
          <w:iCs/>
        </w:rPr>
        <w:t xml:space="preserve">- bydlení venkovské </w:t>
      </w:r>
      <w:r w:rsidRPr="005B6354">
        <w:rPr>
          <w:rFonts w:cstheme="majorBidi"/>
        </w:rPr>
        <w:t>- ppč. 629/2 k.ú. Dolní Suchá u Chotyně, plocha o výměře 889 m2, III. zóna CHKO LH, proluka mezi stávajícím domem a komunikací; návrhem nejsou dotčeny zájmy ochrany přírody a krajiny dle zákona (zejména zonace CHKO LH, VKP, ÚSES, zvláště chráněné druhy, krajinný ráz, atd.) - je přijatelným doplněním urbanistické struktury zástavby v souladu s Plánem péče a charakterem území</w:t>
      </w:r>
    </w:p>
    <w:p w14:paraId="2870272F" w14:textId="77777777" w:rsidR="00C510C2" w:rsidRPr="005B6354" w:rsidRDefault="00C510C2" w:rsidP="009605D3">
      <w:pPr>
        <w:autoSpaceDE w:val="0"/>
        <w:autoSpaceDN w:val="0"/>
        <w:adjustRightInd w:val="0"/>
        <w:spacing w:before="120" w:after="120" w:line="240" w:lineRule="auto"/>
        <w:ind w:left="567"/>
        <w:rPr>
          <w:rFonts w:cstheme="majorBidi"/>
          <w:b/>
          <w:bCs/>
        </w:rPr>
      </w:pPr>
      <w:r w:rsidRPr="005B6354">
        <w:rPr>
          <w:rFonts w:cstheme="majorBidi"/>
        </w:rPr>
        <w:t xml:space="preserve">Agentura </w:t>
      </w:r>
      <w:r w:rsidRPr="005B6354">
        <w:rPr>
          <w:rFonts w:cstheme="majorBidi"/>
          <w:b/>
          <w:bCs/>
        </w:rPr>
        <w:t xml:space="preserve">souhlasí </w:t>
      </w:r>
      <w:r w:rsidRPr="005B6354">
        <w:rPr>
          <w:rFonts w:cstheme="majorBidi"/>
        </w:rPr>
        <w:t xml:space="preserve">s vymezením zastavitelných ploch </w:t>
      </w:r>
      <w:r w:rsidRPr="005B6354">
        <w:rPr>
          <w:rFonts w:cstheme="majorBidi"/>
          <w:b/>
          <w:bCs/>
        </w:rPr>
        <w:t>s podmínkami</w:t>
      </w:r>
    </w:p>
    <w:p w14:paraId="719BF0F7"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Dolní Sedlo Z77 (SV) </w:t>
      </w:r>
      <w:r w:rsidRPr="005B6354">
        <w:rPr>
          <w:rFonts w:cstheme="majorBidi"/>
          <w:i/>
          <w:iCs/>
        </w:rPr>
        <w:t xml:space="preserve">- plochy smíšené obytné - venkovské </w:t>
      </w:r>
      <w:r w:rsidRPr="005B6354">
        <w:rPr>
          <w:rFonts w:cstheme="majorBidi"/>
        </w:rPr>
        <w:t xml:space="preserve">- ppč. 82/1, 73/2, 73/1 k.ú. Dolní Sedlo, plocha je převzata z platného ÚP Hrádek nad Nisou a rozšířena téměř o dvojnásobek rozlohy, celkem 10 200 m2, 3. zóna CHKO LH, TTP, stávající stav - louka místy s rozptýlenou zelení; </w:t>
      </w:r>
      <w:r w:rsidRPr="005B6354">
        <w:rPr>
          <w:rFonts w:cstheme="majorBidi"/>
          <w:b/>
          <w:bCs/>
        </w:rPr>
        <w:t xml:space="preserve">podmínkou </w:t>
      </w:r>
      <w:r w:rsidRPr="005B6354">
        <w:rPr>
          <w:rFonts w:cstheme="majorBidi"/>
        </w:rPr>
        <w:t>je redukce plochy na rozsah odsouhlasený Správou CHKO LH. V zájmu ochrany stávajícího rozptýleného charakteru zástavby ve třetí zóně CHKO LH je nezbytné zachovat alespoň část stávajících proluk mezi zástavbou; návrhem jsou dotčeny zájmy ochrany přírody a krajiny - krajinný ráz - souvislou zástavbou by došlo k narušení stávajícího rozvolněného charakteru této okrajové části sídla. Požadavek Agentury je v souladu s Preventivním hodnocením CHKO z hlediska krajinného rázu (Svobodová, 2011), zejména s regulativem „- nesnižovat stávající zachovalost sídelní struktury, podporovat výstavbu respektující zachovalou strukturu sídla (zejm. roztroušený charakter Dolního Sedla)“. Zároveň tento požadavek vychází z požadavků uplatněných Agenturou ve vyjádření k návrhu zadání ÚP č. j. 1438/LH/2012 ze dne 24. 10. 2012, konkrétně z požadavku nenavrhovat na území CHKO LH žádné rozsáhlé rozvojové plochy, zachovat ráz jedinečné urbanistické struktury území, respektovat studii Preventivní hodnocení CHKO z hlediska krajinného rázu.</w:t>
      </w:r>
    </w:p>
    <w:p w14:paraId="06782B18"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Z78 (SV) </w:t>
      </w:r>
      <w:r w:rsidRPr="005B6354">
        <w:rPr>
          <w:rFonts w:cstheme="majorBidi"/>
          <w:i/>
          <w:iCs/>
        </w:rPr>
        <w:t xml:space="preserve">- plochy smíšené obytné - venkovské </w:t>
      </w:r>
      <w:r w:rsidRPr="005B6354">
        <w:rPr>
          <w:rFonts w:cstheme="majorBidi"/>
        </w:rPr>
        <w:t xml:space="preserve">- ppč. 70/3, 267, 70/1, 107/3, 105 (část) k.ú. Dolní Sedlo, plocha je převzata z platného ÚP Hrádek nad Nisou a rozšířena o cca dvojnásobek rozlohy, celkem 15 440 m2, 3. zóna CHKO LH, TTP, stávající stav - louka místy s rozptýlenou zelení; </w:t>
      </w:r>
      <w:r w:rsidRPr="005B6354">
        <w:rPr>
          <w:rFonts w:cstheme="majorBidi"/>
          <w:b/>
          <w:bCs/>
        </w:rPr>
        <w:t xml:space="preserve">podmínkou </w:t>
      </w:r>
      <w:r w:rsidRPr="005B6354">
        <w:rPr>
          <w:rFonts w:cstheme="majorBidi"/>
        </w:rPr>
        <w:t>je podstatná redukce plochy, jako zastavitelné plochy vymezit pouze proluky u silnice na ppč. 267, 70/3. V zájmu ochrany stávajícího rozptýleného charakteru zástavby ve třetí zóně CHKO LH je nezbytné zachovat alespoň část volných ploch mezi zástavbou; návrhem jsou dotčeny zájmy ochrany přírody a krajiny - krajinný ráz - souvislou zástavbou by došlo k narušení stávajícího rozvolněného charakteru této okrajové části sídla. Požadavek Agentury je v souladu s Preventivním hodnocením CHKO z hlediska krajinného rázu (Svobodová, 2011), zejména s regulativem „- nesnižovat stávající zachovalost sídelní struktury, podporovat výstavbu respektující zachovalou strukturu sídla (zejm. roztroušený charakter Dolního Sedla)“. Zároveň tento požadavek vychází z požadavků uplatněných Agenturou ve vyjádření k návrhu zadání ÚP č.j. 1438/LH/2012 ze dne 24.10.2012, konkrétně z požadavku nenavrhovat na území CHKO LH žádné rozsáhlé rozvojové plochy, zachovat ráz jedinečné urbanistické struktury území, respektovat studii Preventivní hodnocení CHKO z hlediska krajinného rázu.</w:t>
      </w:r>
    </w:p>
    <w:p w14:paraId="4B19F8D5"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Z 79 (SV) - </w:t>
      </w:r>
      <w:r w:rsidRPr="005B6354">
        <w:rPr>
          <w:rFonts w:cstheme="majorBidi"/>
        </w:rPr>
        <w:t xml:space="preserve">k.ú. Dolní Sedlo, plocha je převzata z platného ÚP Hrádek nad Nisou a rozšířena o cca dvojnásobek rozlohy, celkem 11 380 m2, 3. zóna CHKO LH, převážně TTP, stávající stav - převážně louka místy s rozptýlenou zelení; </w:t>
      </w:r>
      <w:r w:rsidRPr="005B6354">
        <w:rPr>
          <w:rFonts w:cstheme="majorBidi"/>
          <w:b/>
          <w:bCs/>
        </w:rPr>
        <w:t xml:space="preserve">podmínkou </w:t>
      </w:r>
      <w:r w:rsidRPr="005B6354">
        <w:rPr>
          <w:rFonts w:cstheme="majorBidi"/>
        </w:rPr>
        <w:t>je redukce plochy na plochu odsouhlasenou Správou CHKO LH (ppč. 96). V zájmu ochrany stávajícího rozptýleného charakteru zástavby ve třetí zóně CHKO LH je nezbytné zachovat alespoň část volných ploch mezi zástavbou; návrhem jsou dotčeny zájmy ochrany přírody a krajiny - krajinný ráz a přírodní ráz prostředí - souvislou zástavbou by došlo k narušení stávajícího rozvolněného charakteru této okrajové části sídla. Požadavek Agentury je v souladu s Preventivním hodnocením CHKO z hlediska krajinného rázu (Svobodová, 2011), zejména s regulativem „- nesnižovat stávající zachovalost sídelní struktury, podporovat výstavbu respektující zachovalou strukturu sídla (zejm. roztroušený charakter Dolního Sedla)“. Zároveň tento požadavek vychází z požadavků uplatněných Agenturou ve vyjádření k návrhu zadání ÚP č.j. 1438/LH/2012 ze dne 24.10.2012, konkrétně z požadavku nenavrhovat na území CHKO LH žádné rozsáhlé rozvojové plochy, zachovat ráz jedinečné urbanistické struktury území, respektovat studii Preventivní hodnocení CHKO z hlediska krajinného rázu. Dále by došlo k znehodnocení části přírodního biotopu, mezofilní ovsíkové louky v dolní části plochy (aktualizace mapování biotopů AOPK ČR 2016) a poškození zeleně na ppč. 102.</w:t>
      </w:r>
    </w:p>
    <w:p w14:paraId="3E6BD74D"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Z80 (SV) </w:t>
      </w:r>
      <w:r w:rsidRPr="005B6354">
        <w:rPr>
          <w:rFonts w:cstheme="majorBidi"/>
          <w:i/>
          <w:iCs/>
        </w:rPr>
        <w:t xml:space="preserve">- plochy smíšené obytné - venkovské </w:t>
      </w:r>
      <w:r w:rsidRPr="005B6354">
        <w:rPr>
          <w:rFonts w:cstheme="majorBidi"/>
        </w:rPr>
        <w:t xml:space="preserve">- ppč. 105 (část), 107/1, 260/3 (část), 260/1 (část) k.ú. Dolní Sedlo, nově vymezená plocha, 7 350 m2, 3. zóna CHKO LH, stávající stav převážně louky; </w:t>
      </w:r>
      <w:r w:rsidRPr="005B6354">
        <w:rPr>
          <w:rFonts w:cstheme="majorBidi"/>
          <w:b/>
          <w:bCs/>
        </w:rPr>
        <w:lastRenderedPageBreak/>
        <w:t xml:space="preserve">podmínkou </w:t>
      </w:r>
      <w:r w:rsidRPr="005B6354">
        <w:rPr>
          <w:rFonts w:cstheme="majorBidi"/>
        </w:rPr>
        <w:t>je redukce plochy na p.p.č. 107/1 (zahrada). V zájmu ochrany stávajícího rozptýleného charakteru zástavby ve třetí zóně CHKO LH je nezbytné zachovat stávající volné plochy mezi zástavbou; návrhem jsou dotčeny zájmy ochrany přírody a krajiny - krajinný ráz a přírodní ráz prostředí - zástavbou by došlo k narušení stávajícího rozvolněného charakteru této okrajové části sídla. Požadavek Agentury je v souladu s Preventivním hodnocením CHKO z hlediska krajinného rázu (Svobodová, 2011), zejména s regulativem „- nesnižovat stávající zachovalost sídelní struktury, podporovat výstavbu respektující zachovalou strukturu sídla (zejm. roztroušený charakter Dolního Sedla)“. Zároveň tento požadavek vychází z požadavků uplatněných Agenturou ve vyjádření k návrhu zadání ÚP č.j. 1438/LH/2012 ze dne 24.10.2012, konkrétně z požadavku nenavrhovat na území CHKO LH žádné rozsáhlé rozvojové plochy, zachovat ráz jedinečné urbanistické struktury území, respektovat studii Preventivní hodnocení CHKO z hlediska krajinného rázu. Dále by došlo k znehodnocení části přírodního biotopu, mezofilní ovsíkové louky v severovýchodní části plochy (aktualizace mapování biotopů AOPK ČR 2016). Argumentem je i chybějící přístup k dolní části nové zastavitelné plochy a nutnost vybudování nové přístupové cesty (VP-02) s nevhodným napojením přes terénní vlnu na silnici v nepřehledné zatáčce.</w:t>
      </w:r>
    </w:p>
    <w:p w14:paraId="4A2F693B"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Horní Sedlo Z84 (BV) </w:t>
      </w:r>
      <w:r w:rsidRPr="005B6354">
        <w:rPr>
          <w:rFonts w:cstheme="majorBidi"/>
          <w:i/>
          <w:iCs/>
        </w:rPr>
        <w:t xml:space="preserve">- bydlení venkovské </w:t>
      </w:r>
      <w:r w:rsidRPr="005B6354">
        <w:rPr>
          <w:rFonts w:cstheme="majorBidi"/>
        </w:rPr>
        <w:t xml:space="preserve">- p.p.č. 475, 476, 479/2, 479/1, 482/1, 481/1, 481/2, 478/1 v k.ú. Dolní Sedlo, plocha je převzata z ÚP Hrádek nad Nisou 2009, 10 790 m2, leží ve třetí zóně CHKO LH, TTP, stávající stav - louka s roztroušenými dřevinami, součástí plochy je kaple. </w:t>
      </w:r>
      <w:r w:rsidRPr="005B6354">
        <w:rPr>
          <w:rFonts w:cstheme="majorBidi"/>
          <w:b/>
          <w:bCs/>
        </w:rPr>
        <w:t xml:space="preserve">Podmínkou </w:t>
      </w:r>
      <w:r w:rsidRPr="005B6354">
        <w:rPr>
          <w:rFonts w:cstheme="majorBidi"/>
        </w:rPr>
        <w:t>je podstatná redukce plochy na vymezení zastavitelné plochy ve stávající proluce na ppč. 476, plocha bude vymezena pouze v části pozemku u komunikace; návrhem jsou dotčeny zájmy ochrany přírody a krajiny - krajinný ráz a přírodní ráz prostředí - zástavbou na tomto pozemku by došlo k nežádoucímu rozšíření stávající zástavby v místě kvalitním z hlediska krajinného rázu (roztroušená zástavba přecházející do volné krajiny, pohledově exponovaný pozemek). Tento požadavek Agentury je v souladu s Preventivním hodnocením CHKO z hlediska krajinného rázu (Svobodová, 2011), zejména s regulativy „- nesnižovat stávající zachovalost sídelní struktury, zachovat převažující extenzivní hospodaření na pozemcích, podporovat tento druh hospodaření, zachovat pohledovou otevřenost, místa významných výhledů a významné pohledové osy, chránit objekty lidové architektury, drobné sakrální památky, podporovat jejich obnovu; dále je v souladu s Plánem péče o CHKO LH (novou zástavbu směřovat mimo pohledově exponované lokality, chránit a podporovat obnovu přírodě blízkých a druhově bohatých podhorských a horských luk a pastvin před poškozením, zachovat dominanci významných staveb v rámci interiéru i vně sídel - kostely, kaple, apod., nenarušovat působení kulturních dominant). Zároveň tento požadavek vychází z požadavků uplatněných Agenturou ve vyjádření k návrhu zadání ÚP č.j. 1438/LH/2012 ze dne 24.10.2012. Dále by došlo k znehodnocení přírodního biotopu, mezofilní ovsíkové louky nacházející se v celé ploše (aktualizace mapování biotopů AOPK ČR 2016).</w:t>
      </w:r>
    </w:p>
    <w:p w14:paraId="17E4E87C"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AOPK ČR </w:t>
      </w:r>
      <w:r w:rsidRPr="005B6354">
        <w:rPr>
          <w:rFonts w:cstheme="majorBidi"/>
          <w:b/>
          <w:bCs/>
        </w:rPr>
        <w:t xml:space="preserve">nesouhlasí </w:t>
      </w:r>
      <w:r w:rsidRPr="005B6354">
        <w:rPr>
          <w:rFonts w:cstheme="majorBidi"/>
        </w:rPr>
        <w:t>s vymezením zastavitelných ploch</w:t>
      </w:r>
    </w:p>
    <w:p w14:paraId="43B78DAD"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Dolní Sedlo Z 81 (BV) - </w:t>
      </w:r>
      <w:r w:rsidRPr="005B6354">
        <w:rPr>
          <w:rFonts w:cstheme="majorBidi"/>
          <w:i/>
          <w:iCs/>
        </w:rPr>
        <w:t xml:space="preserve">bydlení venkovské </w:t>
      </w:r>
      <w:r w:rsidRPr="005B6354">
        <w:rPr>
          <w:rFonts w:cstheme="majorBidi"/>
        </w:rPr>
        <w:t>- ppč. 444/1, 464/1, 445 (část), 465/2; nová plocha o výměře 2420 m2, leží ve třetí zóně CHKO LH, TTP, stávající stav - svažitá louka; návrhem jsou dotčeny zájmy ochrany přírody a krajiny - krajinný ráz a přírodní ráz prostředí - zástavbou na tomto pozemku by došlo k nežádoucímu rozšíření stávající zástavby v místě kvalitním z hlediska krajinného rázu (roztroušená zástavba přecházející do volné krajiny, pohledově exponovaný svažitý pozemek, umístění před tradičním esteticky hodnotným venkovským stavením). Tento požadavek Agentury je v souladu s Preventivním hodnocením CHKO z hlediska krajinného rázu (Svobodová, 2011), zejména s regulativem „- nesnižovat stávající zachovalost sídelní struktury, podporovat výstavbu respektující zachovalou strukturu sídla (zejm. roztroušený charakter Dolního Sedla), chránit objekty lidové architektury“; dále s Plánem péče o CHKO LH (- novou zástavbu směřovat mimo pohledově exponované lokality, podporovat kultivaci sídel a jejich okrajů na přechodu do krajiny). Zároveň tento požadavek vychází z požadavků uplatněných Agenturou ve vyjádření k návrhu zadání ÚP č.j. 1438/LH/2012 ze dne 24.10.2012, konkrétně z požadavku zachovat ráz jedinečné urbanistické struktury území, respektovat studii Preventivní hodnocení CHKO z hlediska krajinného rázu. Dále by došlo k znehodnocení přírodního biotopu, mezofilní ovsíkové louky nacházející se v celé ploše.</w:t>
      </w:r>
    </w:p>
    <w:p w14:paraId="73C2FB43"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Horní Sedlo Z83 (BV) </w:t>
      </w:r>
      <w:r w:rsidRPr="005B6354">
        <w:rPr>
          <w:rFonts w:cstheme="majorBidi"/>
          <w:i/>
          <w:iCs/>
        </w:rPr>
        <w:t xml:space="preserve">- bydlení venkovské </w:t>
      </w:r>
      <w:r w:rsidRPr="005B6354">
        <w:rPr>
          <w:rFonts w:cstheme="majorBidi"/>
        </w:rPr>
        <w:t xml:space="preserve">- ppč. 128/9 (část); plocha je převzata z ÚP Hrádek nad Nisou 2009, 3480 m2, leží ve třetí zóně CHKO LH, TTP, stávající stav - louka, roztroušené dřeviny, část plochy sousedí s lesem, nesnadný přístup přes terénní vlnu; návrhem jsou dotčeny zájmy ochrany přírody a </w:t>
      </w:r>
      <w:r w:rsidRPr="005B6354">
        <w:rPr>
          <w:rFonts w:cstheme="majorBidi"/>
        </w:rPr>
        <w:lastRenderedPageBreak/>
        <w:t>krajiny - krajinný ráz a přírodní ráz prostředí - zástavbou na tomto pozemku by došlo k nežádoucímu rozšíření stávající zástavby v místě kvalitním z hlediska krajinného rázu (roztroušená zástavba přecházející do volné krajiny, pohledově exponovaný pozemek). Tento požadavek Agentury je v souladu s Preventivním hodnocením CHKO z hlediska krajinného rázu (Svobodová, 2011), zejména s regulativy „- nesnižovat stávající zachovalost sídelní struktury“; dále s Plánem péče o CHKO LH (- novou zástavbu směřovat mimo pohledově exponované lokality, podporovat zachování druhově pestrých a členitých lesních okrajů, chránit a podporovat obnovu přírodě blízkých a druhově bohatých podhorských a horských luk a pastvin před poškozením“. Zároveň tento požadavek vychází z požadavků uplatněných Agenturou ve vyjádření k návrhu zadání ÚP č.j. 1438/LH/2012 ze dne 24. 10. 2012. Dále by došlo k znehodnocení přírodního biotopu, mezofilní ovsíkové louky nacházející se v celé ploše (aktualizace mapování biotopů AOPK ČR 2016).</w:t>
      </w:r>
    </w:p>
    <w:p w14:paraId="1A2E3C3E"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Dolní Suchá Z93 (BV) </w:t>
      </w:r>
      <w:r w:rsidRPr="005B6354">
        <w:rPr>
          <w:rFonts w:cstheme="majorBidi"/>
          <w:i/>
          <w:iCs/>
        </w:rPr>
        <w:t xml:space="preserve">- bydlení venkovské - </w:t>
      </w:r>
      <w:r w:rsidRPr="005B6354">
        <w:rPr>
          <w:rFonts w:cstheme="majorBidi"/>
        </w:rPr>
        <w:t>ppč. 616/1 (část); nová zastavitelná plocha o výměře 4870 m2; leží ve 2. zóně CHKO LH, TTP; jedná se svažitou mokřadní louku s drobnou vodotečí, špatně dostupnou od silnice, bez přístupové komunikace, s rozptýlenou zelení, na ploše se nachází svahové prameniště. Zástavba na tomto pozemku je z hlediska zájmů ochrany přírody a krajiny zcela nevhodná, návrhem jsou dotčeny zájmy ochrany přírody a krajiny- zonace CHKO, krajinný ráz, přírodní ráz prostředí, zachování vodního režimu a půdního povrchu ve II. zóně. Ve II. zóně CHKO je dle § 26 odst. 3 a) zakázáno nevratně poškozovat půdní povrch, měnit vodní režim a provádět terénní úpravy značného rozsahu, k čemuž by v souvislosti se stavbou na tomto pozemku došlo. Výstavbou by dále mohlo dojít k poškození významného krajinného prvku dle § 3 odst. 1 b) zákona, vodního toku a snížení jeho ekostabilizační funkce. Zástavbou na tomto pozemku by zároveň došlo k nežádoucímu rozšíření stávající zástavby v místě kvalitním z hlediska krajinného rázu (roztroušená zástavba přecházející do volné krajiny, pohledově exponovaný pozemek). Tento požadavek Agentury je v souladu s Preventivním hodnocením CHKO z hlediska krajinného rázu (Svobodová, 2011) a s Plánem péče o CHKO LH. Dále by došlo k znehodnocení přírodních biotopů, vlhkých tužebníkových lad a vlhké pcháčové louky (aktualizace mapováni biotopů AOPK ČR 2016) v části plochy.</w:t>
      </w:r>
    </w:p>
    <w:p w14:paraId="7AC9D695"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Komunikace pro zlepšení prostupnosti krajiny pro pěší a cyklisty- plocha Z98 v k.ú. Dolní Sedlo (VPS VD 10) </w:t>
      </w:r>
      <w:r w:rsidRPr="005B6354">
        <w:rPr>
          <w:rFonts w:cstheme="majorBidi"/>
        </w:rPr>
        <w:t xml:space="preserve">- Agentuře se nepodařilo v mapách najít, </w:t>
      </w:r>
      <w:r w:rsidRPr="005B6354">
        <w:rPr>
          <w:rFonts w:cstheme="majorBidi"/>
          <w:b/>
          <w:bCs/>
        </w:rPr>
        <w:t xml:space="preserve">požaduje </w:t>
      </w:r>
      <w:r w:rsidRPr="005B6354">
        <w:rPr>
          <w:rFonts w:cstheme="majorBidi"/>
        </w:rPr>
        <w:t>si ponechat možnost vyjádřit se dodatečně k tomuto koridoru a jeho zařazení do VPS, pokud se nachází na území CHKO LH.</w:t>
      </w:r>
    </w:p>
    <w:p w14:paraId="2C3A1DF2"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Územní systém ekologické stability</w:t>
      </w:r>
    </w:p>
    <w:p w14:paraId="4C9BA4A8" w14:textId="77777777" w:rsidR="00C510C2" w:rsidRPr="005B6354" w:rsidRDefault="00C510C2" w:rsidP="009605D3">
      <w:pPr>
        <w:autoSpaceDE w:val="0"/>
        <w:autoSpaceDN w:val="0"/>
        <w:adjustRightInd w:val="0"/>
        <w:spacing w:before="120" w:after="120" w:line="240" w:lineRule="auto"/>
        <w:ind w:left="567"/>
        <w:rPr>
          <w:rFonts w:cstheme="majorBidi"/>
          <w:b/>
          <w:bCs/>
        </w:rPr>
      </w:pPr>
      <w:r w:rsidRPr="005B6354">
        <w:rPr>
          <w:rFonts w:cstheme="majorBidi"/>
        </w:rPr>
        <w:t xml:space="preserve">AOPK ČR </w:t>
      </w:r>
      <w:r w:rsidRPr="005B6354">
        <w:rPr>
          <w:rFonts w:cstheme="majorBidi"/>
          <w:b/>
          <w:bCs/>
        </w:rPr>
        <w:t xml:space="preserve">souhlasí </w:t>
      </w:r>
      <w:r w:rsidRPr="005B6354">
        <w:rPr>
          <w:rFonts w:cstheme="majorBidi"/>
        </w:rPr>
        <w:t xml:space="preserve">s vymezením ÚSES </w:t>
      </w:r>
      <w:r w:rsidRPr="005B6354">
        <w:rPr>
          <w:rFonts w:cstheme="majorBidi"/>
          <w:b/>
          <w:bCs/>
        </w:rPr>
        <w:t>za podmínek</w:t>
      </w:r>
    </w:p>
    <w:p w14:paraId="0A088F69" w14:textId="77777777" w:rsidR="00C510C2" w:rsidRPr="005B6354" w:rsidRDefault="00C510C2" w:rsidP="009605D3">
      <w:pPr>
        <w:pStyle w:val="ListParagraph"/>
        <w:numPr>
          <w:ilvl w:val="0"/>
          <w:numId w:val="124"/>
        </w:numPr>
        <w:autoSpaceDE w:val="0"/>
        <w:autoSpaceDN w:val="0"/>
        <w:adjustRightInd w:val="0"/>
        <w:spacing w:before="120" w:after="120" w:line="240" w:lineRule="auto"/>
        <w:ind w:left="567" w:firstLine="0"/>
        <w:contextualSpacing/>
        <w:rPr>
          <w:rFonts w:cstheme="majorBidi"/>
        </w:rPr>
      </w:pPr>
      <w:r w:rsidRPr="005B6354">
        <w:rPr>
          <w:rFonts w:cstheme="majorBidi"/>
        </w:rPr>
        <w:t>upravení vymezení prvků ÚSES včetně interakčních prvků dle podkladů AOPK ČR; vymezení prvků ÚSES neodpovídá podkladům AOPK ČR (ÚAP) - nepřesnosti ve vymezení biocenter, chybějící lokální biokoridory apod.</w:t>
      </w:r>
    </w:p>
    <w:p w14:paraId="05726279" w14:textId="77777777" w:rsidR="00C510C2" w:rsidRPr="005B6354" w:rsidRDefault="00C510C2" w:rsidP="009605D3">
      <w:pPr>
        <w:pStyle w:val="ListParagraph"/>
        <w:numPr>
          <w:ilvl w:val="0"/>
          <w:numId w:val="124"/>
        </w:numPr>
        <w:autoSpaceDE w:val="0"/>
        <w:autoSpaceDN w:val="0"/>
        <w:adjustRightInd w:val="0"/>
        <w:spacing w:before="120" w:after="120" w:line="240" w:lineRule="auto"/>
        <w:ind w:left="567" w:firstLine="0"/>
        <w:contextualSpacing/>
        <w:rPr>
          <w:rFonts w:cstheme="majorBidi"/>
        </w:rPr>
      </w:pPr>
      <w:r w:rsidRPr="005B6354">
        <w:rPr>
          <w:rFonts w:cstheme="majorBidi"/>
        </w:rPr>
        <w:t>vyznačení prvků ÚSES v mapách tak, aby byly zřetelně viditelné - současné zakreslení je málo zřetelné na pozadí lesní půdy či v intravilánu</w:t>
      </w:r>
    </w:p>
    <w:p w14:paraId="10387FB2" w14:textId="77777777" w:rsidR="00C510C2" w:rsidRPr="005B6354" w:rsidRDefault="00C510C2" w:rsidP="009605D3">
      <w:pPr>
        <w:autoSpaceDE w:val="0"/>
        <w:autoSpaceDN w:val="0"/>
        <w:adjustRightInd w:val="0"/>
        <w:spacing w:before="120" w:after="120" w:line="240" w:lineRule="auto"/>
        <w:ind w:left="567"/>
        <w:rPr>
          <w:rFonts w:cstheme="majorBidi"/>
          <w:u w:val="single"/>
        </w:rPr>
      </w:pPr>
      <w:r w:rsidRPr="005B6354">
        <w:rPr>
          <w:rFonts w:cstheme="majorBidi"/>
          <w:u w:val="single"/>
        </w:rPr>
        <w:t>Zonace</w:t>
      </w:r>
    </w:p>
    <w:p w14:paraId="62878AEE"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Do hlavního a koordinačního výkresu </w:t>
      </w:r>
      <w:r w:rsidRPr="005B6354">
        <w:rPr>
          <w:rFonts w:cstheme="majorBidi"/>
          <w:b/>
          <w:bCs/>
        </w:rPr>
        <w:t>bude doplněna zonace CHKO</w:t>
      </w:r>
      <w:r w:rsidRPr="005B6354">
        <w:rPr>
          <w:rFonts w:cstheme="majorBidi"/>
        </w:rPr>
        <w:t>, jako důležitý údaj pro rozhodování v území. Tento požadavek byl uplatněn Agenturou ve vyjádření k návrhu zadání ÚP č.j. 1438/LH/2012 ze dne 24.10.2012.</w:t>
      </w:r>
    </w:p>
    <w:p w14:paraId="16831CC5" w14:textId="77777777" w:rsidR="00C510C2" w:rsidRPr="005B6354" w:rsidRDefault="00C510C2" w:rsidP="009605D3">
      <w:pPr>
        <w:autoSpaceDE w:val="0"/>
        <w:autoSpaceDN w:val="0"/>
        <w:adjustRightInd w:val="0"/>
        <w:spacing w:before="120" w:after="120" w:line="240" w:lineRule="auto"/>
        <w:ind w:left="567"/>
        <w:rPr>
          <w:rFonts w:cstheme="majorBidi"/>
          <w:b/>
          <w:bCs/>
          <w:i/>
          <w:iCs/>
        </w:rPr>
      </w:pPr>
      <w:r w:rsidRPr="005B6354">
        <w:rPr>
          <w:rFonts w:cstheme="majorBidi"/>
          <w:b/>
          <w:bCs/>
          <w:i/>
          <w:iCs/>
        </w:rPr>
        <w:t>Výkres Základní členění území</w:t>
      </w:r>
    </w:p>
    <w:p w14:paraId="3EF38064"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AOPK ČR </w:t>
      </w:r>
      <w:r w:rsidRPr="005B6354">
        <w:rPr>
          <w:rFonts w:cstheme="majorBidi"/>
          <w:b/>
          <w:bCs/>
        </w:rPr>
        <w:t xml:space="preserve">souhlasí </w:t>
      </w:r>
      <w:r w:rsidRPr="005B6354">
        <w:rPr>
          <w:rFonts w:cstheme="majorBidi"/>
        </w:rPr>
        <w:t>s vymezením plochy US11, ve které je rozhodování o změnách v území podmíněno zpracováním územní studie.</w:t>
      </w:r>
    </w:p>
    <w:p w14:paraId="1E915977"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AOPK ČR ne</w:t>
      </w:r>
      <w:r w:rsidRPr="005B6354">
        <w:rPr>
          <w:rFonts w:cstheme="majorBidi"/>
          <w:b/>
          <w:bCs/>
        </w:rPr>
        <w:t xml:space="preserve">souhlasí </w:t>
      </w:r>
      <w:r w:rsidRPr="005B6354">
        <w:rPr>
          <w:rFonts w:cstheme="majorBidi"/>
        </w:rPr>
        <w:t xml:space="preserve">s vymezením koridoru </w:t>
      </w:r>
      <w:r w:rsidRPr="005B6354">
        <w:rPr>
          <w:rFonts w:cstheme="majorBidi"/>
          <w:b/>
          <w:bCs/>
        </w:rPr>
        <w:t xml:space="preserve">územní rezervy R13 (DZ) </w:t>
      </w:r>
      <w:r w:rsidRPr="005B6354">
        <w:rPr>
          <w:rFonts w:cstheme="majorBidi"/>
        </w:rPr>
        <w:t xml:space="preserve">- </w:t>
      </w:r>
      <w:r w:rsidRPr="005B6354">
        <w:rPr>
          <w:rFonts w:cstheme="majorBidi"/>
          <w:i/>
          <w:iCs/>
        </w:rPr>
        <w:t xml:space="preserve">drážní doprava </w:t>
      </w:r>
      <w:r w:rsidRPr="005B6354">
        <w:rPr>
          <w:rFonts w:cstheme="majorBidi"/>
        </w:rPr>
        <w:t xml:space="preserve">- pro rozvoj železniční sítě. Navržený koridor prochází 1. a 2. zónou odstupňované ochrany přírody, dále prochází regionálním biocentrem ÚSES Vysoká a kříží nadregionální biokoridor ÚSES. Vedení trati lesnatým úbočím vrchu Vysoká členitým terénem a v těsné blízkosti PP Bílé kameny (již mimo řešené území) by představovalo velký negativní zásah do přírody a krajiny této části CHKO LH. Dle § 26 odst. 2 a 3 zákona je na území první zóny zakázáno umisťovat a povolovat nové stavby a na území první a druhé zóny </w:t>
      </w:r>
      <w:r w:rsidRPr="005B6354">
        <w:rPr>
          <w:rFonts w:cstheme="majorBidi"/>
        </w:rPr>
        <w:lastRenderedPageBreak/>
        <w:t>nevratně poškozovat půdní povrch, měnit vodní režim či provádět terénní úpravy značného rozsahu. Tyto zakázané činnosti Agentura v souvislosti se stavbou dráhy předpokládá. Trasa koridoru R13 dále kříží dálkový migrační koridor velkých savců a nachází se v migračně významném území. Tento návrh dále nerespektuje požadavek Agentury ve vyjádření k návrhu zadání ÚP č.j. 1438/LH/2012 ze dne 24.10.2012, konkrétně preferovat variantu vedení koridoru mimo území CHKO LH. Záměr je v rozporu s Plánem péče o CHKO LH 2015-2024 a s Preventivním hodnocením CHKO z hlediska krajinného rázu (Svobodová, 2011), s regulativy „chránit terénní dominanty, jejich vizuální projev a zachovat harmonické měřítko a vztahy, neumisťovat prvky a objekty, které by stávající měřítko narušily.</w:t>
      </w:r>
    </w:p>
    <w:p w14:paraId="4921FB9A" w14:textId="77777777" w:rsidR="00C510C2" w:rsidRPr="005B6354" w:rsidRDefault="00C510C2" w:rsidP="009605D3">
      <w:pPr>
        <w:autoSpaceDE w:val="0"/>
        <w:autoSpaceDN w:val="0"/>
        <w:adjustRightInd w:val="0"/>
        <w:spacing w:before="120" w:after="120" w:line="240" w:lineRule="auto"/>
        <w:ind w:left="567"/>
        <w:rPr>
          <w:rFonts w:cstheme="majorBidi"/>
          <w:b/>
          <w:bCs/>
          <w:i/>
          <w:iCs/>
        </w:rPr>
      </w:pPr>
      <w:r w:rsidRPr="005B6354">
        <w:rPr>
          <w:rFonts w:cstheme="majorBidi"/>
          <w:b/>
          <w:bCs/>
          <w:i/>
          <w:iCs/>
        </w:rPr>
        <w:t>Výkres veřejně prospěšných staveb, opatření a asanací</w:t>
      </w:r>
    </w:p>
    <w:p w14:paraId="37BE26D3"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b/>
          <w:bCs/>
        </w:rPr>
        <w:t xml:space="preserve">Komunikace pro zlepšení prostupnosti krajiny pro pěší a cyklisty - plocha Z98 v k.ú. Dolní Sedlo (VPS VD 10) </w:t>
      </w:r>
      <w:r w:rsidRPr="005B6354">
        <w:rPr>
          <w:rFonts w:cstheme="majorBidi"/>
        </w:rPr>
        <w:t xml:space="preserve">- Agentuře se nepodařilo v mapách najít, </w:t>
      </w:r>
      <w:r w:rsidRPr="005B6354">
        <w:rPr>
          <w:rFonts w:cstheme="majorBidi"/>
          <w:b/>
          <w:bCs/>
        </w:rPr>
        <w:t xml:space="preserve">požaduje </w:t>
      </w:r>
      <w:r w:rsidRPr="005B6354">
        <w:rPr>
          <w:rFonts w:cstheme="majorBidi"/>
        </w:rPr>
        <w:t>si ponechat možnost vyjádřit se dodatečně k tomuto koridoru a jeho zařazení do VPS, pokud se nachází na území CHKO LH.</w:t>
      </w:r>
    </w:p>
    <w:p w14:paraId="14E44B5D"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Nebylo vyhověno požadavku Agentury z vyjádření k návrhu zadání ÚP č.j. 1438/LH/2012 ze dne 24.10.2012, konkrétně zařadit založení prvků ÚSES mezi veřejně prospěšná opatření. </w:t>
      </w:r>
      <w:r w:rsidRPr="005B6354">
        <w:rPr>
          <w:rFonts w:cstheme="majorBidi"/>
          <w:b/>
          <w:bCs/>
        </w:rPr>
        <w:t xml:space="preserve">Požadujeme </w:t>
      </w:r>
      <w:r w:rsidRPr="005B6354">
        <w:rPr>
          <w:rFonts w:cstheme="majorBidi"/>
        </w:rPr>
        <w:t>doplnit.</w:t>
      </w:r>
    </w:p>
    <w:p w14:paraId="152BF90B" w14:textId="77777777" w:rsidR="00C510C2" w:rsidRPr="005B6354" w:rsidRDefault="00C510C2" w:rsidP="009605D3">
      <w:pPr>
        <w:autoSpaceDE w:val="0"/>
        <w:autoSpaceDN w:val="0"/>
        <w:adjustRightInd w:val="0"/>
        <w:spacing w:before="120" w:after="120" w:line="240" w:lineRule="auto"/>
        <w:ind w:left="567"/>
        <w:rPr>
          <w:rFonts w:cstheme="majorBidi"/>
          <w:b/>
          <w:bCs/>
          <w:i/>
          <w:iCs/>
        </w:rPr>
      </w:pPr>
      <w:r w:rsidRPr="005B6354">
        <w:rPr>
          <w:rFonts w:cstheme="majorBidi"/>
          <w:b/>
          <w:bCs/>
          <w:i/>
          <w:iCs/>
        </w:rPr>
        <w:t>Výkres koncepce veřejné infrastruktury</w:t>
      </w:r>
    </w:p>
    <w:p w14:paraId="52FDCEB2" w14:textId="77777777" w:rsidR="00C510C2" w:rsidRPr="005B6354" w:rsidRDefault="00C510C2" w:rsidP="009605D3">
      <w:pPr>
        <w:autoSpaceDE w:val="0"/>
        <w:autoSpaceDN w:val="0"/>
        <w:adjustRightInd w:val="0"/>
        <w:spacing w:before="120" w:after="120" w:line="240" w:lineRule="auto"/>
        <w:ind w:left="567"/>
        <w:rPr>
          <w:rFonts w:cstheme="majorBidi"/>
          <w:i/>
          <w:iCs/>
        </w:rPr>
      </w:pPr>
      <w:r w:rsidRPr="005B6354">
        <w:rPr>
          <w:rFonts w:cstheme="majorBidi"/>
          <w:i/>
          <w:iCs/>
        </w:rPr>
        <w:t xml:space="preserve">Agentura </w:t>
      </w:r>
      <w:r w:rsidRPr="005B6354">
        <w:rPr>
          <w:rFonts w:cstheme="majorBidi"/>
          <w:b/>
          <w:bCs/>
          <w:i/>
          <w:iCs/>
        </w:rPr>
        <w:t xml:space="preserve">souhlasí </w:t>
      </w:r>
      <w:r w:rsidRPr="005B6354">
        <w:rPr>
          <w:rFonts w:cstheme="majorBidi"/>
          <w:i/>
          <w:iCs/>
        </w:rPr>
        <w:t xml:space="preserve">s vymezením cyklostezky Odra - Nisa za </w:t>
      </w:r>
      <w:r w:rsidRPr="005B6354">
        <w:rPr>
          <w:rFonts w:cstheme="majorBidi"/>
          <w:b/>
          <w:bCs/>
          <w:i/>
          <w:iCs/>
        </w:rPr>
        <w:t>podmínky</w:t>
      </w:r>
      <w:r w:rsidRPr="005B6354">
        <w:rPr>
          <w:rFonts w:cstheme="majorBidi"/>
          <w:i/>
          <w:iCs/>
        </w:rPr>
        <w:t>, že její trasa bude vymezena tak, že bude respektovat limity ochrany přírody a krajiny a nebude vedena I. zónou CHKO LH, kde je umístění nových staveb dle § 26 zákona zakázáno.</w:t>
      </w:r>
    </w:p>
    <w:p w14:paraId="6DEF693D" w14:textId="77777777" w:rsidR="00C510C2" w:rsidRPr="005B6354" w:rsidRDefault="00C510C2" w:rsidP="009605D3">
      <w:pPr>
        <w:autoSpaceDE w:val="0"/>
        <w:autoSpaceDN w:val="0"/>
        <w:adjustRightInd w:val="0"/>
        <w:spacing w:before="120" w:after="120" w:line="240" w:lineRule="auto"/>
        <w:ind w:left="567"/>
        <w:rPr>
          <w:rFonts w:cstheme="majorBidi"/>
          <w:b/>
          <w:bCs/>
          <w:u w:val="single"/>
        </w:rPr>
      </w:pPr>
      <w:r w:rsidRPr="005B6354">
        <w:rPr>
          <w:rFonts w:cstheme="majorBidi"/>
          <w:b/>
          <w:bCs/>
          <w:u w:val="single"/>
        </w:rPr>
        <w:t>Textová část – Návrh</w:t>
      </w:r>
    </w:p>
    <w:p w14:paraId="14A53C8D"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S návrhem v kapitolách níže neuvedených Agentura souhlasí bez podmínek.</w:t>
      </w:r>
    </w:p>
    <w:p w14:paraId="2210BC93" w14:textId="77777777" w:rsidR="00C510C2" w:rsidRPr="005B6354" w:rsidRDefault="00C510C2" w:rsidP="009605D3">
      <w:pPr>
        <w:autoSpaceDE w:val="0"/>
        <w:autoSpaceDN w:val="0"/>
        <w:adjustRightInd w:val="0"/>
        <w:spacing w:before="120" w:after="120" w:line="240" w:lineRule="auto"/>
        <w:ind w:left="567"/>
        <w:rPr>
          <w:rFonts w:cstheme="majorBidi"/>
          <w:u w:val="single"/>
        </w:rPr>
      </w:pPr>
      <w:r w:rsidRPr="005B6354">
        <w:rPr>
          <w:rFonts w:cstheme="majorBidi"/>
          <w:u w:val="single"/>
        </w:rPr>
        <w:t>E.2 Zásady ochrany krajinného rázu</w:t>
      </w:r>
    </w:p>
    <w:p w14:paraId="771F1496"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(E03)Agentura </w:t>
      </w:r>
      <w:r w:rsidRPr="005B6354">
        <w:rPr>
          <w:rFonts w:cstheme="majorBidi"/>
          <w:b/>
          <w:bCs/>
        </w:rPr>
        <w:t xml:space="preserve">požaduje </w:t>
      </w:r>
      <w:r w:rsidRPr="005B6354">
        <w:rPr>
          <w:rFonts w:cstheme="majorBidi"/>
        </w:rPr>
        <w:t>doplnit podmínky ochrany krajinného rázu ze studie Preventivní hodnocení území CHKO z hlediska krajinného rázu (Svobodová, 2011). Tento požadavek byl uplatněn Agenturou ve vyjádření k návrhu zadání ÚP č.j. 1438/LH/2012 ze dne 24.10.2012.</w:t>
      </w:r>
    </w:p>
    <w:p w14:paraId="7E65BFBD"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D.1.1 Pozemní komunikace</w:t>
      </w:r>
    </w:p>
    <w:p w14:paraId="2079C29A"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(D13) Agentura nesouhlasí s návrhem prostupnosti pro motorová vozidla VP -02 (Dolní Sedlo) - viz také výše.</w:t>
      </w:r>
    </w:p>
    <w:p w14:paraId="7A2B5B0B"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D.1.4 Pěší a cyklistická doprava</w:t>
      </w:r>
    </w:p>
    <w:p w14:paraId="6C50B1AD" w14:textId="77777777" w:rsidR="00C510C2" w:rsidRPr="005B6354" w:rsidRDefault="00C510C2" w:rsidP="009605D3">
      <w:pPr>
        <w:autoSpaceDE w:val="0"/>
        <w:autoSpaceDN w:val="0"/>
        <w:adjustRightInd w:val="0"/>
        <w:spacing w:before="120" w:after="120" w:line="240" w:lineRule="auto"/>
        <w:ind w:left="567"/>
        <w:rPr>
          <w:rFonts w:cstheme="majorBidi"/>
          <w:i/>
          <w:iCs/>
        </w:rPr>
      </w:pPr>
      <w:r w:rsidRPr="005B6354">
        <w:rPr>
          <w:rFonts w:cstheme="majorBidi"/>
        </w:rPr>
        <w:t xml:space="preserve">(D24) Agentura </w:t>
      </w:r>
      <w:r w:rsidRPr="005B6354">
        <w:rPr>
          <w:rFonts w:cstheme="majorBidi"/>
          <w:b/>
          <w:bCs/>
        </w:rPr>
        <w:t xml:space="preserve">požaduje </w:t>
      </w:r>
      <w:r w:rsidRPr="005B6354">
        <w:rPr>
          <w:rFonts w:cstheme="majorBidi"/>
        </w:rPr>
        <w:t xml:space="preserve">doplnit: Cyklotrasa Odra - Nisa bude vedena tak, aby respektovala </w:t>
      </w:r>
      <w:r w:rsidRPr="005B6354">
        <w:rPr>
          <w:rFonts w:cstheme="majorBidi"/>
          <w:i/>
          <w:iCs/>
        </w:rPr>
        <w:t>limity ochrany přírody a krajiny včetně I. zóny CHKO LH, kde je umístění nových staveb dle § 26 zákona zakázáno.</w:t>
      </w:r>
    </w:p>
    <w:p w14:paraId="6EBD1D46"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D.1.5 Drážní doprava</w:t>
      </w:r>
    </w:p>
    <w:p w14:paraId="68190821"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Agentura </w:t>
      </w:r>
      <w:r w:rsidRPr="005B6354">
        <w:rPr>
          <w:rFonts w:cstheme="majorBidi"/>
          <w:b/>
          <w:bCs/>
        </w:rPr>
        <w:t xml:space="preserve">nesouhlasí </w:t>
      </w:r>
      <w:r w:rsidRPr="005B6354">
        <w:rPr>
          <w:rFonts w:cstheme="majorBidi"/>
        </w:rPr>
        <w:t>s vymezením územní rezervy R 13, odůvodnění viz výše.</w:t>
      </w:r>
    </w:p>
    <w:p w14:paraId="2359C404"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E.4 ÚSES</w:t>
      </w:r>
    </w:p>
    <w:p w14:paraId="45C181C1"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(E08) Agentura požaduje doplnit do tabulky také názvy biocenter pro lepší přehlednost tabulky.</w:t>
      </w:r>
    </w:p>
    <w:p w14:paraId="2B9B9AB6"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E.5 Prostupnost krajiny</w:t>
      </w:r>
    </w:p>
    <w:p w14:paraId="0B8B0A8B"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Agentura </w:t>
      </w:r>
      <w:r w:rsidRPr="005B6354">
        <w:rPr>
          <w:rFonts w:cstheme="majorBidi"/>
          <w:b/>
          <w:bCs/>
        </w:rPr>
        <w:t xml:space="preserve">požaduje </w:t>
      </w:r>
      <w:r w:rsidRPr="005B6354">
        <w:rPr>
          <w:rFonts w:cstheme="majorBidi"/>
        </w:rPr>
        <w:t xml:space="preserve">doplnit zásadu </w:t>
      </w:r>
      <w:r w:rsidRPr="005B6354">
        <w:rPr>
          <w:rFonts w:cstheme="majorBidi"/>
          <w:i/>
          <w:iCs/>
        </w:rPr>
        <w:t>„neoplocovat pozemky v nezastavěném území vyjma dočasného oplocení z prokázaných hospodářských důvodů</w:t>
      </w:r>
      <w:r w:rsidRPr="005B6354">
        <w:rPr>
          <w:rFonts w:cstheme="majorBidi"/>
        </w:rPr>
        <w:t xml:space="preserve">“ a zásadu </w:t>
      </w:r>
      <w:r w:rsidRPr="005B6354">
        <w:rPr>
          <w:rFonts w:cstheme="majorBidi"/>
          <w:i/>
          <w:iCs/>
        </w:rPr>
        <w:t>„respektovat dálkové migrační koridory velkých savců a migračně významné území</w:t>
      </w:r>
      <w:r w:rsidRPr="005B6354">
        <w:rPr>
          <w:rFonts w:cstheme="majorBidi"/>
        </w:rPr>
        <w:t>, které se na řešeném území nacházejí (podklady poskytneme na požádání)</w:t>
      </w:r>
    </w:p>
    <w:p w14:paraId="7020227A"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E.7 Vodní režim a ochrana před povodněmi</w:t>
      </w:r>
    </w:p>
    <w:p w14:paraId="1BD79410" w14:textId="77777777" w:rsidR="00C510C2" w:rsidRPr="005B6354" w:rsidRDefault="00C510C2" w:rsidP="009605D3">
      <w:pPr>
        <w:autoSpaceDE w:val="0"/>
        <w:autoSpaceDN w:val="0"/>
        <w:adjustRightInd w:val="0"/>
        <w:spacing w:before="120" w:after="120" w:line="240" w:lineRule="auto"/>
        <w:ind w:left="567"/>
        <w:rPr>
          <w:rFonts w:cstheme="majorBidi"/>
          <w:i/>
          <w:iCs/>
        </w:rPr>
      </w:pPr>
      <w:r w:rsidRPr="005B6354">
        <w:rPr>
          <w:rFonts w:cstheme="majorBidi"/>
        </w:rPr>
        <w:lastRenderedPageBreak/>
        <w:t xml:space="preserve">Agentura požaduje doplnit: ochranu před povodněmi realizovat přírodě blízkými způsoby a tak, aby byla zajištěna migrační prostupnost toků pro živočichy. </w:t>
      </w:r>
      <w:r w:rsidRPr="005B6354">
        <w:rPr>
          <w:rFonts w:cstheme="majorBidi"/>
          <w:i/>
          <w:iCs/>
        </w:rPr>
        <w:t>F. Stanovení podmínek pro využití ploch s rozdílným způsobem využití</w:t>
      </w:r>
    </w:p>
    <w:p w14:paraId="3857F976"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F.1.3 Plochy smíšené obytné – venkovské</w:t>
      </w:r>
    </w:p>
    <w:p w14:paraId="220A00EE"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i/>
          <w:iCs/>
        </w:rPr>
        <w:t xml:space="preserve">(F09) b.8) </w:t>
      </w:r>
      <w:r w:rsidRPr="005B6354">
        <w:rPr>
          <w:rFonts w:cstheme="majorBidi"/>
        </w:rPr>
        <w:t>vypustit altány a zahradní domky pro území CHKO, nahradit drobnými zahradními stavbami (kolny na nářadí apod.)</w:t>
      </w:r>
    </w:p>
    <w:p w14:paraId="74D274DD"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F.1.7 Bydlení venkovské</w:t>
      </w:r>
    </w:p>
    <w:p w14:paraId="48DA2A49" w14:textId="77777777" w:rsidR="00C510C2" w:rsidRPr="005B6354" w:rsidRDefault="00C510C2" w:rsidP="009605D3">
      <w:pPr>
        <w:autoSpaceDE w:val="0"/>
        <w:autoSpaceDN w:val="0"/>
        <w:adjustRightInd w:val="0"/>
        <w:spacing w:before="120" w:after="120" w:line="240" w:lineRule="auto"/>
        <w:ind w:left="567"/>
        <w:rPr>
          <w:rFonts w:cstheme="majorBidi"/>
          <w:i/>
          <w:iCs/>
        </w:rPr>
      </w:pPr>
      <w:r w:rsidRPr="005B6354">
        <w:rPr>
          <w:rFonts w:cstheme="majorBidi"/>
          <w:i/>
          <w:iCs/>
        </w:rPr>
        <w:t>(F21) a</w:t>
      </w:r>
      <w:r w:rsidRPr="005B6354">
        <w:rPr>
          <w:rFonts w:cstheme="majorBidi"/>
        </w:rPr>
        <w:t xml:space="preserve">) z hlavního využití vypustit </w:t>
      </w:r>
      <w:r w:rsidRPr="005B6354">
        <w:rPr>
          <w:rFonts w:cstheme="majorBidi"/>
          <w:i/>
          <w:iCs/>
        </w:rPr>
        <w:t>dvojdomy</w:t>
      </w:r>
      <w:r w:rsidRPr="005B6354">
        <w:rPr>
          <w:rFonts w:cstheme="majorBidi"/>
        </w:rPr>
        <w:t xml:space="preserve">, u RD doplnit </w:t>
      </w:r>
      <w:r w:rsidRPr="005B6354">
        <w:rPr>
          <w:rFonts w:cstheme="majorBidi"/>
          <w:i/>
          <w:iCs/>
        </w:rPr>
        <w:t>venkovského charakteru</w:t>
      </w:r>
    </w:p>
    <w:p w14:paraId="749510DA"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 xml:space="preserve">b.8) - vypustit </w:t>
      </w:r>
      <w:r w:rsidRPr="005B6354">
        <w:rPr>
          <w:rFonts w:cstheme="majorBidi"/>
          <w:i/>
          <w:iCs/>
        </w:rPr>
        <w:t xml:space="preserve">řadové garáže </w:t>
      </w:r>
      <w:r w:rsidRPr="005B6354">
        <w:rPr>
          <w:rFonts w:cstheme="majorBidi"/>
        </w:rPr>
        <w:t xml:space="preserve">na území d) - vypustit </w:t>
      </w:r>
      <w:r w:rsidRPr="005B6354">
        <w:rPr>
          <w:rFonts w:cstheme="majorBidi"/>
          <w:i/>
          <w:iCs/>
        </w:rPr>
        <w:t xml:space="preserve">bytové domy a řadové domy </w:t>
      </w:r>
      <w:r w:rsidRPr="005B6354">
        <w:rPr>
          <w:rFonts w:cstheme="majorBidi"/>
        </w:rPr>
        <w:t>na území CHKO</w:t>
      </w:r>
    </w:p>
    <w:p w14:paraId="15B46F56" w14:textId="77777777" w:rsidR="00C510C2" w:rsidRPr="005B6354" w:rsidRDefault="00C510C2" w:rsidP="009605D3">
      <w:pPr>
        <w:autoSpaceDE w:val="0"/>
        <w:autoSpaceDN w:val="0"/>
        <w:adjustRightInd w:val="0"/>
        <w:spacing w:before="120" w:after="120" w:line="240" w:lineRule="auto"/>
        <w:ind w:left="567"/>
        <w:rPr>
          <w:rFonts w:cstheme="majorBidi"/>
          <w:u w:val="single"/>
        </w:rPr>
      </w:pPr>
      <w:r w:rsidRPr="005B6354">
        <w:rPr>
          <w:rFonts w:cstheme="majorBidi"/>
          <w:u w:val="single"/>
        </w:rPr>
        <w:t>F.1.27 Zeleň soukromá</w:t>
      </w:r>
    </w:p>
    <w:p w14:paraId="461FFEB3"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i/>
          <w:iCs/>
        </w:rPr>
        <w:t xml:space="preserve">(F65) </w:t>
      </w:r>
      <w:r w:rsidRPr="005B6354">
        <w:rPr>
          <w:rFonts w:cstheme="majorBidi"/>
        </w:rPr>
        <w:t xml:space="preserve">vypustit </w:t>
      </w:r>
      <w:r w:rsidRPr="005B6354">
        <w:rPr>
          <w:rFonts w:cstheme="majorBidi"/>
          <w:i/>
          <w:iCs/>
        </w:rPr>
        <w:t>altány a zahradní domky</w:t>
      </w:r>
      <w:r w:rsidRPr="005B6354">
        <w:rPr>
          <w:rFonts w:cstheme="majorBidi"/>
        </w:rPr>
        <w:t>, nahradit drobnými zahradními stavbami (kolny na nářadí apod.)</w:t>
      </w:r>
    </w:p>
    <w:p w14:paraId="547AE54E"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F.1.28 Vodní plochy a toky</w:t>
      </w:r>
    </w:p>
    <w:p w14:paraId="09BBB7BB" w14:textId="77777777" w:rsidR="00C510C2" w:rsidRPr="005B6354" w:rsidRDefault="00C510C2" w:rsidP="009605D3">
      <w:pPr>
        <w:autoSpaceDE w:val="0"/>
        <w:autoSpaceDN w:val="0"/>
        <w:adjustRightInd w:val="0"/>
        <w:spacing w:before="120" w:after="120" w:line="240" w:lineRule="auto"/>
        <w:ind w:left="567"/>
        <w:rPr>
          <w:rFonts w:cstheme="majorBidi"/>
          <w:i/>
          <w:iCs/>
        </w:rPr>
      </w:pPr>
      <w:r w:rsidRPr="005B6354">
        <w:rPr>
          <w:rFonts w:cstheme="majorBidi"/>
          <w:i/>
          <w:iCs/>
        </w:rPr>
        <w:t>(F67) a</w:t>
      </w:r>
      <w:r w:rsidRPr="005B6354">
        <w:rPr>
          <w:rFonts w:cstheme="majorBidi"/>
        </w:rPr>
        <w:t>) umělého charakteru nahradit „</w:t>
      </w:r>
      <w:r w:rsidRPr="005B6354">
        <w:rPr>
          <w:rFonts w:cstheme="majorBidi"/>
          <w:i/>
          <w:iCs/>
        </w:rPr>
        <w:t>přírodě blízkého charakteru</w:t>
      </w:r>
      <w:r w:rsidRPr="005B6354">
        <w:rPr>
          <w:rFonts w:cstheme="majorBidi"/>
        </w:rPr>
        <w:t xml:space="preserve">“ c) doplnit: </w:t>
      </w:r>
      <w:r w:rsidRPr="005B6354">
        <w:rPr>
          <w:rFonts w:cstheme="majorBidi"/>
          <w:i/>
          <w:iCs/>
        </w:rPr>
        <w:t>za předpokladu, že nebudou tvořit migrační bariéru na toku a negativně neovlivní ekologické funkce toku</w:t>
      </w:r>
    </w:p>
    <w:p w14:paraId="018444F9" w14:textId="77777777" w:rsidR="00C510C2" w:rsidRPr="005B6354" w:rsidRDefault="00C510C2" w:rsidP="009605D3">
      <w:pPr>
        <w:autoSpaceDE w:val="0"/>
        <w:autoSpaceDN w:val="0"/>
        <w:adjustRightInd w:val="0"/>
        <w:spacing w:before="120" w:after="120" w:line="240" w:lineRule="auto"/>
        <w:ind w:left="567"/>
        <w:rPr>
          <w:rFonts w:cstheme="majorBidi"/>
          <w:i/>
          <w:iCs/>
        </w:rPr>
      </w:pPr>
      <w:r w:rsidRPr="005B6354">
        <w:rPr>
          <w:rFonts w:cstheme="majorBidi"/>
          <w:i/>
          <w:iCs/>
        </w:rPr>
        <w:t>F.1.31 Plochy smíšené nezastavěného území –zemědělské</w:t>
      </w:r>
    </w:p>
    <w:p w14:paraId="4A56B53C" w14:textId="77777777" w:rsidR="00C510C2" w:rsidRPr="005B6354" w:rsidRDefault="00C510C2" w:rsidP="009605D3">
      <w:pPr>
        <w:autoSpaceDE w:val="0"/>
        <w:autoSpaceDN w:val="0"/>
        <w:adjustRightInd w:val="0"/>
        <w:spacing w:before="120" w:after="120" w:line="240" w:lineRule="auto"/>
        <w:ind w:left="567"/>
        <w:rPr>
          <w:rFonts w:cstheme="majorBidi"/>
          <w:b/>
          <w:bCs/>
        </w:rPr>
      </w:pPr>
      <w:r w:rsidRPr="005B6354">
        <w:rPr>
          <w:rFonts w:cstheme="majorBidi"/>
        </w:rPr>
        <w:t xml:space="preserve">Agentura </w:t>
      </w:r>
      <w:r w:rsidRPr="005B6354">
        <w:rPr>
          <w:rFonts w:cstheme="majorBidi"/>
          <w:b/>
          <w:bCs/>
        </w:rPr>
        <w:t xml:space="preserve">souhlasí </w:t>
      </w:r>
      <w:r w:rsidRPr="005B6354">
        <w:rPr>
          <w:rFonts w:cstheme="majorBidi"/>
        </w:rPr>
        <w:t xml:space="preserve">s návrhem </w:t>
      </w:r>
      <w:r w:rsidRPr="005B6354">
        <w:rPr>
          <w:rFonts w:cstheme="majorBidi"/>
          <w:b/>
          <w:bCs/>
        </w:rPr>
        <w:t>za podmínek:</w:t>
      </w:r>
    </w:p>
    <w:p w14:paraId="7B73A226"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(F79) b) bude vypuštěno „</w:t>
      </w:r>
      <w:r w:rsidRPr="005B6354">
        <w:rPr>
          <w:rFonts w:cstheme="majorBidi"/>
          <w:i/>
          <w:iCs/>
        </w:rPr>
        <w:t>s produkční funkcí</w:t>
      </w:r>
      <w:r w:rsidRPr="005B6354">
        <w:rPr>
          <w:rFonts w:cstheme="majorBidi"/>
        </w:rPr>
        <w:t>“ (obnova rybníků s produkční funkcí není na území CHKO LH vhodná, cílem obnovy vodních nádrží je funkce krajinotvorná a přírodní - biotop pro vodní biotu) d) bude přesunuto do podmíněně přípustného využití, a upraven text, týkající se staveb pro zemědělství ve smyslu „dočasné zemědělské stavby (např. přístřešky pro ustájení zvířat a uskladnění zemědělských surovin a produktů, apod.) za podmínek, že charakterem a kapacitou odpovídají charakteru a výměře příslušné plochy a nenaruší krajinný ráz“ b) bude doplněna podmínka „nebudou narušeny ekologické funkce krajiny, zejména ekologicko-stabilizační funkce významných krajinných prvků, vodní režim a krajinný ráz“ c, e) za podmínky, že bude prokázána nemožnost jejich umístění v zastavěném území nebo zastavitelných plochách, bude doplněna podmínka „nebudou narušeny ekologické funkce krajiny a krajinný ráz“ - do podmíněně přípustných staveb budou doplněny revitalizace vodních toků.</w:t>
      </w:r>
    </w:p>
    <w:p w14:paraId="1E2091EE"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Podmínky směřují k zajištění ekologických funkcí v krajině a ochraně krajinného rázu.</w:t>
      </w:r>
    </w:p>
    <w:p w14:paraId="628B1054" w14:textId="77777777" w:rsidR="00C510C2" w:rsidRPr="005B6354" w:rsidRDefault="00C510C2" w:rsidP="009605D3">
      <w:pPr>
        <w:autoSpaceDE w:val="0"/>
        <w:autoSpaceDN w:val="0"/>
        <w:adjustRightInd w:val="0"/>
        <w:spacing w:before="120" w:after="120" w:line="240" w:lineRule="auto"/>
        <w:ind w:left="567"/>
        <w:rPr>
          <w:rFonts w:cstheme="majorBidi"/>
          <w:u w:val="single"/>
        </w:rPr>
      </w:pPr>
      <w:r w:rsidRPr="005B6354">
        <w:rPr>
          <w:rFonts w:cstheme="majorBidi"/>
          <w:u w:val="single"/>
        </w:rPr>
        <w:t>F.2 Podmínky prostorového uspořádání území</w:t>
      </w:r>
    </w:p>
    <w:p w14:paraId="0BFE618D" w14:textId="77777777" w:rsidR="00C510C2" w:rsidRPr="005B6354" w:rsidRDefault="00C510C2" w:rsidP="009605D3">
      <w:pPr>
        <w:autoSpaceDE w:val="0"/>
        <w:autoSpaceDN w:val="0"/>
        <w:adjustRightInd w:val="0"/>
        <w:spacing w:before="120" w:after="120" w:line="240" w:lineRule="auto"/>
        <w:ind w:left="567"/>
        <w:rPr>
          <w:rFonts w:cstheme="majorBidi"/>
          <w:u w:val="single"/>
        </w:rPr>
      </w:pPr>
      <w:r w:rsidRPr="005B6354">
        <w:rPr>
          <w:rFonts w:cstheme="majorBidi"/>
        </w:rPr>
        <w:t xml:space="preserve">Navržené podmínky prostorového uspořádání pro území CHKO LH (Dolní, Horní Sedlo, Dolní Suchá) nejsou dostatečné pro ochranu krajinného rázu daného území. - viz též Odůvodnění § 12 odst. 4 zákona. </w:t>
      </w:r>
      <w:r w:rsidRPr="005B6354">
        <w:rPr>
          <w:rFonts w:cstheme="majorBidi"/>
          <w:u w:val="single"/>
        </w:rPr>
        <w:t>F.2.2 Maximální výška zástavby</w:t>
      </w:r>
    </w:p>
    <w:p w14:paraId="38F11B71"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Agentura nesouhlasí se stanovenou výškou zástavby v sídlech Dolní a Horní Sedlo a Dolní Suchá na území CHKO LH, tj. 2 NP+P nebo 2 NP (hlavní výkres - prostorové uspořádání území) a dále konstatuje, že výška zástavby v m je na tomto výkrese nečitelná, tudíž se k ní vyjádříme po objasnění. Požadujeme stanovit výšku zástavby 1 NP +P.</w:t>
      </w:r>
    </w:p>
    <w:p w14:paraId="14B680E4"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G.1 Vymezení veřejně prospěšných staveb</w:t>
      </w:r>
    </w:p>
    <w:p w14:paraId="387B5F34"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Agentura požaduje doplnit prvky ÚSES do VPS. K VPS VD 10 se vyjádříme po objasnění trasy (viz výše).</w:t>
      </w:r>
    </w:p>
    <w:p w14:paraId="70002674" w14:textId="77777777" w:rsidR="00C510C2" w:rsidRPr="005B6354" w:rsidRDefault="00C510C2" w:rsidP="009605D3">
      <w:pPr>
        <w:autoSpaceDE w:val="0"/>
        <w:autoSpaceDN w:val="0"/>
        <w:adjustRightInd w:val="0"/>
        <w:spacing w:before="120" w:after="120" w:line="240" w:lineRule="auto"/>
        <w:ind w:left="567"/>
        <w:rPr>
          <w:rFonts w:cstheme="majorBidi"/>
          <w:i/>
          <w:iCs/>
          <w:u w:val="single"/>
        </w:rPr>
      </w:pPr>
      <w:r w:rsidRPr="005B6354">
        <w:rPr>
          <w:rFonts w:cstheme="majorBidi"/>
          <w:i/>
          <w:iCs/>
          <w:u w:val="single"/>
        </w:rPr>
        <w:t>J. Vymezení ploch a koridorů územních rezerv</w:t>
      </w:r>
    </w:p>
    <w:p w14:paraId="50D024CE" w14:textId="77777777" w:rsidR="00C510C2" w:rsidRPr="005B6354" w:rsidRDefault="00C510C2" w:rsidP="009605D3">
      <w:pPr>
        <w:autoSpaceDE w:val="0"/>
        <w:autoSpaceDN w:val="0"/>
        <w:adjustRightInd w:val="0"/>
        <w:spacing w:before="120" w:after="120" w:line="240" w:lineRule="auto"/>
        <w:ind w:left="567"/>
        <w:rPr>
          <w:rFonts w:cstheme="majorBidi"/>
          <w:b/>
          <w:bCs/>
        </w:rPr>
      </w:pPr>
      <w:r w:rsidRPr="005B6354">
        <w:rPr>
          <w:rFonts w:cstheme="majorBidi"/>
        </w:rPr>
        <w:t xml:space="preserve">Agentura </w:t>
      </w:r>
      <w:r w:rsidRPr="005B6354">
        <w:rPr>
          <w:rFonts w:cstheme="majorBidi"/>
          <w:b/>
          <w:bCs/>
        </w:rPr>
        <w:t xml:space="preserve">nesouhlasí </w:t>
      </w:r>
      <w:r w:rsidRPr="005B6354">
        <w:rPr>
          <w:rFonts w:cstheme="majorBidi"/>
        </w:rPr>
        <w:t xml:space="preserve">s návrhem koridoru R13 (odůvodnění viz výše). </w:t>
      </w:r>
    </w:p>
    <w:p w14:paraId="5C20C5A1" w14:textId="77777777" w:rsidR="00C510C2" w:rsidRPr="005B6354" w:rsidRDefault="00C510C2" w:rsidP="009605D3">
      <w:pPr>
        <w:autoSpaceDE w:val="0"/>
        <w:autoSpaceDN w:val="0"/>
        <w:adjustRightInd w:val="0"/>
        <w:spacing w:before="120" w:after="120" w:line="240" w:lineRule="auto"/>
        <w:ind w:left="567"/>
        <w:rPr>
          <w:rFonts w:cstheme="majorBidi"/>
          <w:b/>
          <w:bCs/>
        </w:rPr>
      </w:pPr>
      <w:r w:rsidRPr="005B6354">
        <w:rPr>
          <w:rFonts w:cstheme="majorBidi"/>
          <w:b/>
          <w:bCs/>
        </w:rPr>
        <w:t>Textová část – Odůvodnění</w:t>
      </w:r>
    </w:p>
    <w:p w14:paraId="704AA6AC" w14:textId="77777777" w:rsidR="00C510C2" w:rsidRPr="005B6354" w:rsidRDefault="00C510C2" w:rsidP="009605D3">
      <w:pPr>
        <w:autoSpaceDE w:val="0"/>
        <w:autoSpaceDN w:val="0"/>
        <w:adjustRightInd w:val="0"/>
        <w:spacing w:before="120" w:after="120" w:line="240" w:lineRule="auto"/>
        <w:ind w:left="567"/>
        <w:rPr>
          <w:rFonts w:cstheme="majorBidi"/>
          <w:b/>
          <w:bCs/>
        </w:rPr>
      </w:pPr>
      <w:r w:rsidRPr="005B6354">
        <w:rPr>
          <w:rFonts w:cstheme="majorBidi"/>
        </w:rPr>
        <w:t xml:space="preserve">Agentura </w:t>
      </w:r>
      <w:r w:rsidRPr="005B6354">
        <w:rPr>
          <w:rFonts w:cstheme="majorBidi"/>
          <w:b/>
          <w:bCs/>
        </w:rPr>
        <w:t xml:space="preserve">požaduje </w:t>
      </w:r>
      <w:r w:rsidRPr="005B6354">
        <w:rPr>
          <w:rFonts w:cstheme="majorBidi"/>
        </w:rPr>
        <w:t>do Odůvodnění uvést, že: „nejsou stanoveny dostatečně podrobné podmínky prostorového uspořádání pro ochranu krajinného rázu na území CHKO LH; není tedy splněna podmínka § 12 odst. 4 zákona „</w:t>
      </w:r>
      <w:r w:rsidRPr="005B6354">
        <w:rPr>
          <w:rFonts w:cstheme="majorBidi"/>
          <w:i/>
          <w:iCs/>
        </w:rPr>
        <w:t xml:space="preserve">Krajinný ráz se neposuzuje v zastavěném území a v zastavitelných plochách, pro které </w:t>
      </w:r>
      <w:r w:rsidRPr="005B6354">
        <w:rPr>
          <w:rFonts w:cstheme="majorBidi"/>
          <w:i/>
          <w:iCs/>
        </w:rPr>
        <w:lastRenderedPageBreak/>
        <w:t>je územním nebo regulačním plánem stanoveno plošné a prostorové uspořádání a podmínky ochrany krajinného rázu dohodnuté s orgánem ochrany přírody.“</w:t>
      </w:r>
      <w:r w:rsidRPr="005B6354">
        <w:rPr>
          <w:rFonts w:cstheme="majorBidi"/>
        </w:rPr>
        <w:t xml:space="preserve">; ve smyslu tohoto ustanovení </w:t>
      </w:r>
      <w:r w:rsidRPr="005B6354">
        <w:rPr>
          <w:rFonts w:cstheme="majorBidi"/>
          <w:b/>
          <w:bCs/>
        </w:rPr>
        <w:t xml:space="preserve">není v návrhu ÚP Hrádek nad Nisou dohodnuto prostorové uspořádání a podmínky ochrany krajinného rázu </w:t>
      </w:r>
      <w:r w:rsidRPr="005B6354">
        <w:rPr>
          <w:rFonts w:cstheme="majorBidi"/>
        </w:rPr>
        <w:t xml:space="preserve">a Agentura </w:t>
      </w:r>
      <w:r w:rsidRPr="005B6354">
        <w:rPr>
          <w:rFonts w:cstheme="majorBidi"/>
          <w:b/>
          <w:bCs/>
        </w:rPr>
        <w:t xml:space="preserve">bude </w:t>
      </w:r>
      <w:r w:rsidRPr="005B6354">
        <w:rPr>
          <w:rFonts w:cstheme="majorBidi"/>
        </w:rPr>
        <w:t>posuzovat krajinný ráz podle § 12 odst. 2 zákona“.</w:t>
      </w:r>
    </w:p>
    <w:p w14:paraId="7AE917FB" w14:textId="77777777" w:rsidR="00C510C2" w:rsidRPr="005B6354" w:rsidRDefault="00C510C2" w:rsidP="009605D3">
      <w:pPr>
        <w:autoSpaceDE w:val="0"/>
        <w:autoSpaceDN w:val="0"/>
        <w:adjustRightInd w:val="0"/>
        <w:spacing w:before="120" w:after="120" w:line="240" w:lineRule="auto"/>
        <w:ind w:left="567"/>
        <w:rPr>
          <w:rFonts w:cstheme="majorBidi"/>
        </w:rPr>
      </w:pPr>
      <w:r w:rsidRPr="005B6354">
        <w:rPr>
          <w:rFonts w:cstheme="majorBidi"/>
        </w:rPr>
        <w:t>Požadavek vyplývá z Metodických listů AOPK ČR č. 3.6 a návrhem odboru 610 MŽP k výkladu § 12 odst. 4 ZOPK v souvislosti s ochranou krajinného rázu v procesu tvorby a schvalování územních, případně regulačních plánů, a v procesu schvalování záměrů podle stavebního zákona.</w:t>
      </w:r>
    </w:p>
    <w:p w14:paraId="215B35B9" w14:textId="77777777" w:rsidR="00C510C2" w:rsidRPr="005B6354" w:rsidRDefault="00C510C2" w:rsidP="009605D3">
      <w:pPr>
        <w:spacing w:before="240" w:after="120"/>
        <w:rPr>
          <w:rFonts w:cstheme="majorBidi"/>
          <w:i/>
          <w:iCs/>
          <w:lang w:eastAsia="en-US"/>
        </w:rPr>
      </w:pPr>
      <w:r w:rsidRPr="005B6354">
        <w:rPr>
          <w:rFonts w:cstheme="majorBidi"/>
          <w:b/>
          <w:bCs/>
          <w:i/>
          <w:iCs/>
          <w:lang w:eastAsia="en-US"/>
        </w:rPr>
        <w:t xml:space="preserve">Vyhodnocení stanoviska  </w:t>
      </w:r>
    </w:p>
    <w:p w14:paraId="4328C0B7"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 xml:space="preserve">Pořizovatel ve spolupráci s určeným zastupitelem se zabýval požadavkem dotčeného orgánu a s ohledem na jednání, která s dotčeným orgánem proběhla, </w:t>
      </w:r>
      <w:r w:rsidRPr="005B6354">
        <w:rPr>
          <w:rFonts w:cstheme="majorBidi"/>
          <w:bCs/>
          <w:i/>
          <w:iCs/>
          <w:lang w:eastAsia="en-US"/>
        </w:rPr>
        <w:t xml:space="preserve">uzavřel s dotčeným orgánem dohodu č.j. </w:t>
      </w:r>
      <w:r w:rsidRPr="005B6354">
        <w:rPr>
          <w:rFonts w:eastAsiaTheme="minorHAnsi" w:cstheme="majorBidi"/>
          <w:i/>
          <w:iCs/>
          <w:lang w:eastAsia="en-US"/>
        </w:rPr>
        <w:t>OSŽP-6417/2018-PES ze dne 19. 11. 2018</w:t>
      </w:r>
      <w:r w:rsidRPr="005B6354">
        <w:rPr>
          <w:rFonts w:cstheme="majorBidi"/>
          <w:bCs/>
          <w:i/>
          <w:iCs/>
          <w:lang w:eastAsia="en-US"/>
        </w:rPr>
        <w:t>, ze které vyplývá,</w:t>
      </w:r>
      <w:r w:rsidRPr="005B6354">
        <w:rPr>
          <w:rFonts w:cstheme="majorBidi"/>
          <w:i/>
          <w:iCs/>
          <w:lang w:eastAsia="en-US"/>
        </w:rPr>
        <w:t xml:space="preserve"> že návrh Územního plánu Hrádek nad Nisou bude upraven následujícím způsobem:</w:t>
      </w:r>
    </w:p>
    <w:p w14:paraId="0D760367"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Část pozemku p. č 134/1 v k. ú Dolní Suchá, dle níže uvedeného zákresu, bude vyjmuta ze zastavěného území, a tato část pozemku bude zařazena dle skutečného využití do stabilizovaných ploch NS – smíšeného nezastavěného území – zemědělské.</w:t>
      </w:r>
    </w:p>
    <w:p w14:paraId="036D2E82" w14:textId="77777777" w:rsidR="00C510C2" w:rsidRPr="005B6354" w:rsidRDefault="00C510C2" w:rsidP="005B6354">
      <w:pPr>
        <w:autoSpaceDE w:val="0"/>
        <w:autoSpaceDN w:val="0"/>
        <w:adjustRightInd w:val="0"/>
        <w:spacing w:before="120" w:after="120" w:line="240" w:lineRule="auto"/>
        <w:jc w:val="center"/>
        <w:rPr>
          <w:rFonts w:eastAsiaTheme="minorHAnsi" w:cstheme="majorBidi"/>
          <w:i/>
          <w:iCs/>
          <w:lang w:eastAsia="en-US"/>
        </w:rPr>
      </w:pPr>
      <w:r w:rsidRPr="005B6354">
        <w:rPr>
          <w:noProof/>
          <w:lang w:eastAsia="cs-CZ"/>
        </w:rPr>
        <w:drawing>
          <wp:inline distT="0" distB="0" distL="0" distR="0" wp14:anchorId="563553B6" wp14:editId="56D94CCD">
            <wp:extent cx="3411109" cy="2443780"/>
            <wp:effectExtent l="0" t="0" r="0" b="0"/>
            <wp:docPr id="32" name="Obrázek 32"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1674" cy="2451349"/>
                    </a:xfrm>
                    <a:prstGeom prst="rect">
                      <a:avLst/>
                    </a:prstGeom>
                    <a:noFill/>
                    <a:ln>
                      <a:noFill/>
                    </a:ln>
                  </pic:spPr>
                </pic:pic>
              </a:graphicData>
            </a:graphic>
          </wp:inline>
        </w:drawing>
      </w:r>
    </w:p>
    <w:p w14:paraId="5B61334B"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Zastavitelné plochy Z77, Z78, Z79 a Z80 budou redukovány na rozsah, který je v platném Územním plánu Hrádek nad Nisou, dle následujícího zákresu:</w:t>
      </w:r>
    </w:p>
    <w:p w14:paraId="3AF9A641" w14:textId="77777777" w:rsidR="00C510C2" w:rsidRPr="005B6354" w:rsidRDefault="00C510C2" w:rsidP="005B6354">
      <w:pPr>
        <w:autoSpaceDE w:val="0"/>
        <w:autoSpaceDN w:val="0"/>
        <w:adjustRightInd w:val="0"/>
        <w:spacing w:before="120" w:after="120" w:line="240" w:lineRule="auto"/>
        <w:jc w:val="center"/>
        <w:rPr>
          <w:rFonts w:eastAsiaTheme="minorHAnsi" w:cstheme="majorBidi"/>
          <w:i/>
          <w:iCs/>
          <w:lang w:eastAsia="en-US"/>
        </w:rPr>
      </w:pPr>
      <w:r w:rsidRPr="005B6354">
        <w:rPr>
          <w:noProof/>
          <w:lang w:eastAsia="cs-CZ"/>
        </w:rPr>
        <w:drawing>
          <wp:inline distT="0" distB="0" distL="0" distR="0" wp14:anchorId="69642C96" wp14:editId="796F0F91">
            <wp:extent cx="3641835" cy="2727011"/>
            <wp:effectExtent l="0" t="0" r="0" b="0"/>
            <wp:docPr id="29" name="Obrázek 29" descr="Plochy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lochy 7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47924" cy="2731570"/>
                    </a:xfrm>
                    <a:prstGeom prst="rect">
                      <a:avLst/>
                    </a:prstGeom>
                    <a:noFill/>
                    <a:ln>
                      <a:noFill/>
                    </a:ln>
                  </pic:spPr>
                </pic:pic>
              </a:graphicData>
            </a:graphic>
          </wp:inline>
        </w:drawing>
      </w:r>
    </w:p>
    <w:p w14:paraId="41ED003B"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lastRenderedPageBreak/>
        <w:t>Zastavitelné plochy Z81, Z83 a Z93 budou vypuštěny z návrhu územního plánu.</w:t>
      </w:r>
    </w:p>
    <w:p w14:paraId="3C2EA822"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Zastavitelná plocha Z84 bude výrazně redukována, a bude v ní ponechána pouze část pozemku p. č. 478 v k.ú Horní Sedlo, dle následujícího zákresu:</w:t>
      </w:r>
    </w:p>
    <w:p w14:paraId="64F4EBE1" w14:textId="77777777" w:rsidR="00C510C2" w:rsidRPr="005B6354" w:rsidRDefault="00C510C2" w:rsidP="005B6354">
      <w:pPr>
        <w:autoSpaceDE w:val="0"/>
        <w:autoSpaceDN w:val="0"/>
        <w:adjustRightInd w:val="0"/>
        <w:spacing w:before="120" w:after="120" w:line="240" w:lineRule="auto"/>
        <w:jc w:val="center"/>
        <w:rPr>
          <w:rFonts w:eastAsiaTheme="minorHAnsi" w:cstheme="majorBidi"/>
          <w:i/>
          <w:iCs/>
          <w:lang w:eastAsia="en-US"/>
        </w:rPr>
      </w:pPr>
      <w:r w:rsidRPr="005B6354">
        <w:rPr>
          <w:noProof/>
          <w:lang w:eastAsia="cs-CZ"/>
        </w:rPr>
        <w:drawing>
          <wp:inline distT="0" distB="0" distL="0" distR="0" wp14:anchorId="410A7634" wp14:editId="49656E80">
            <wp:extent cx="2663687" cy="2466703"/>
            <wp:effectExtent l="0" t="0" r="3810" b="0"/>
            <wp:docPr id="30" name="Obrázek 30" descr="z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8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71368" cy="2473816"/>
                    </a:xfrm>
                    <a:prstGeom prst="rect">
                      <a:avLst/>
                    </a:prstGeom>
                    <a:noFill/>
                    <a:ln>
                      <a:noFill/>
                    </a:ln>
                  </pic:spPr>
                </pic:pic>
              </a:graphicData>
            </a:graphic>
          </wp:inline>
        </w:drawing>
      </w:r>
    </w:p>
    <w:p w14:paraId="4FE9293B"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Vymezení prvků ÚSES včetně interakčních prvků bude dle podkladů AOPK ČR.</w:t>
      </w:r>
    </w:p>
    <w:p w14:paraId="3EDF8FD4"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Bude uplatněn požadavek na projektanta územního plánu, aby grafické znázornění prvků ÚSES bylo zřetelnější.</w:t>
      </w:r>
    </w:p>
    <w:p w14:paraId="219D983A"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Zonace CHKO je z pohledu stavebního zákona ve vztahu k územnímu plánu limitem v území, a jakožto limit území nemůže být obsahem Hlavního výkresu územního plánu. Zonace CHKO bude doplněna jako limit území do koordinačního výkresu návrhu územního plánu.</w:t>
      </w:r>
    </w:p>
    <w:p w14:paraId="35E5A53D"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Územní rezerva koridoru R13 (DZ) - drážní doprava - pro rozvoj železniční sítě vychází ze schválených Zásad územního rozvoje Libereckého kraje, které územní plán musí jako nadřazenou dokumentaci dle ustanovení stavebního zákona respektovat. Územní plán tento koridor pouze zpřesnil a výrazně zúžil oproti zásadám územního rozvoje, čímž zasahuje výrazně menší část CHKO.</w:t>
      </w:r>
    </w:p>
    <w:p w14:paraId="4600E988"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Na základě výše uvedeného bude Územní rezerva koridoru R13 (DZ) - drážní doprava - pro rozvoj železniční sítě v územním plánu ponechána v navrženém rozsahu.</w:t>
      </w:r>
    </w:p>
    <w:p w14:paraId="2C0BCE1D"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Cyklostezka Odra - Nisa bude vedena mimo I. zónou CHKO LH. Stavba bude zařazena mezi veřejně prospěšné stavby.</w:t>
      </w:r>
    </w:p>
    <w:p w14:paraId="5BEF01DB"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Požadavek na úpravu textové části návrhu bude do územního plánu zapracován v plném rozsahu.</w:t>
      </w:r>
    </w:p>
    <w:p w14:paraId="7B2707CB" w14:textId="77777777" w:rsidR="00C510C2" w:rsidRPr="005B6354" w:rsidRDefault="00C510C2" w:rsidP="009605D3">
      <w:pPr>
        <w:autoSpaceDE w:val="0"/>
        <w:autoSpaceDN w:val="0"/>
        <w:adjustRightInd w:val="0"/>
        <w:spacing w:before="120" w:after="120" w:line="240" w:lineRule="auto"/>
        <w:rPr>
          <w:rFonts w:cstheme="majorBidi"/>
          <w:i/>
          <w:iCs/>
          <w:lang w:eastAsia="en-US"/>
        </w:rPr>
      </w:pPr>
      <w:r w:rsidRPr="005B6354">
        <w:rPr>
          <w:rFonts w:cstheme="majorBidi"/>
          <w:i/>
          <w:iCs/>
          <w:lang w:eastAsia="en-US"/>
        </w:rPr>
        <w:t>Do Textové části Odůvodnění návrhu územního plánu bude doplněno: „nejsou stanoveny dostatečně podrobné podmínky prostorového uspořádání pro ochranu krajinného rázu na území CHKO LH; není tedy splněna podmínka § 12 odst. 4 zákona „Krajinný ráz se neposuzuje v zastavěném území a v zastavitelných plochách, pro které je územním nebo regulačním plánem stanoveno plošné a prostorové uspořádání a podmínky ochrany krajinného rázu dohodnuté s orgánem ochrany přírody.“; ve smyslu tohoto ustanovení není v návrhu ÚP Hrádek nad Nisou dohodnuto prostorové uspořádání a podmínky ochrany krajinného rázu a Agentura bude posuzovat krajinný ráz podle § 12 odst. 2 zákona“. Požadavek vyplývá z Metodických listů AOPK ČR č. 3.6 a návrhem odboru 610 MŽP k výkladu § 12 odst. 4 ZOPK v souvislosti s ochranou krajinného rázu v procesu tvorby a schvalování územních, případně regulačních plánů, a v procesu schvalování záměrů podle stavebního zákona.</w:t>
      </w:r>
    </w:p>
    <w:p w14:paraId="44514541" w14:textId="77777777" w:rsidR="00C510C2" w:rsidRPr="009605D3" w:rsidRDefault="00C510C2" w:rsidP="009605D3">
      <w:pPr>
        <w:keepNext/>
        <w:autoSpaceDE w:val="0"/>
        <w:autoSpaceDN w:val="0"/>
        <w:adjustRightInd w:val="0"/>
        <w:spacing w:before="240" w:line="240" w:lineRule="auto"/>
        <w:jc w:val="left"/>
        <w:rPr>
          <w:rFonts w:eastAsiaTheme="minorHAnsi" w:cstheme="majorBidi"/>
          <w:b/>
          <w:bCs/>
          <w:color w:val="92D050"/>
          <w:sz w:val="24"/>
          <w:szCs w:val="24"/>
          <w:lang w:eastAsia="en-US"/>
        </w:rPr>
      </w:pPr>
      <w:r w:rsidRPr="009605D3">
        <w:rPr>
          <w:rFonts w:eastAsiaTheme="minorHAnsi" w:cstheme="majorBidi"/>
          <w:b/>
          <w:bCs/>
          <w:color w:val="92D050"/>
          <w:sz w:val="24"/>
          <w:szCs w:val="24"/>
          <w:lang w:eastAsia="en-US"/>
        </w:rPr>
        <w:lastRenderedPageBreak/>
        <w:t xml:space="preserve">stanovisko G) Magistrát města Liberec, Odbor životního prostředí </w:t>
      </w:r>
    </w:p>
    <w:p w14:paraId="7CDAB38A" w14:textId="77777777" w:rsidR="00C510C2" w:rsidRPr="00F41174" w:rsidRDefault="00C510C2" w:rsidP="009605D3">
      <w:pPr>
        <w:keepNext/>
        <w:autoSpaceDE w:val="0"/>
        <w:autoSpaceDN w:val="0"/>
        <w:adjustRightInd w:val="0"/>
        <w:spacing w:after="120" w:line="240" w:lineRule="auto"/>
        <w:jc w:val="left"/>
        <w:rPr>
          <w:rFonts w:eastAsiaTheme="minorHAnsi" w:cstheme="majorBidi"/>
          <w:lang w:eastAsia="en-US"/>
        </w:rPr>
      </w:pPr>
      <w:r w:rsidRPr="00F41174">
        <w:rPr>
          <w:rFonts w:eastAsiaTheme="minorHAnsi" w:cstheme="majorBidi"/>
          <w:lang w:eastAsia="en-US"/>
        </w:rPr>
        <w:t xml:space="preserve">Stanovisko značky MML/ZP/Piv/057383/18/01 doručené dne 15. 5. 2018. </w:t>
      </w:r>
    </w:p>
    <w:p w14:paraId="6D26A8AB" w14:textId="77777777" w:rsidR="00C510C2" w:rsidRPr="00F41174" w:rsidRDefault="00C510C2" w:rsidP="009605D3">
      <w:pPr>
        <w:keepNext/>
        <w:autoSpaceDE w:val="0"/>
        <w:autoSpaceDN w:val="0"/>
        <w:adjustRightInd w:val="0"/>
        <w:spacing w:before="120" w:after="120" w:line="240" w:lineRule="auto"/>
        <w:jc w:val="left"/>
        <w:rPr>
          <w:rFonts w:eastAsiaTheme="minorHAnsi" w:cstheme="majorBidi"/>
          <w:b/>
          <w:bCs/>
          <w:lang w:eastAsia="en-US"/>
        </w:rPr>
      </w:pPr>
      <w:r w:rsidRPr="00F41174">
        <w:rPr>
          <w:rFonts w:eastAsiaTheme="minorHAnsi" w:cstheme="majorBidi"/>
          <w:b/>
          <w:bCs/>
          <w:lang w:eastAsia="en-US"/>
        </w:rPr>
        <w:t>Přepis stanoviska:</w:t>
      </w:r>
    </w:p>
    <w:p w14:paraId="7F21ABEB" w14:textId="77777777" w:rsidR="00C510C2" w:rsidRPr="00F41174" w:rsidRDefault="00C510C2" w:rsidP="002B5D5D">
      <w:pPr>
        <w:pStyle w:val="ListParagraph"/>
        <w:keepNext/>
        <w:numPr>
          <w:ilvl w:val="0"/>
          <w:numId w:val="129"/>
        </w:numPr>
        <w:autoSpaceDE w:val="0"/>
        <w:autoSpaceDN w:val="0"/>
        <w:adjustRightInd w:val="0"/>
        <w:spacing w:before="120" w:after="120" w:line="240" w:lineRule="auto"/>
        <w:ind w:left="567" w:hanging="567"/>
        <w:contextualSpacing/>
        <w:rPr>
          <w:rFonts w:eastAsiaTheme="minorHAnsi" w:cstheme="majorBidi"/>
          <w:lang w:eastAsia="en-US"/>
        </w:rPr>
      </w:pPr>
      <w:r w:rsidRPr="00F41174">
        <w:rPr>
          <w:rFonts w:eastAsiaTheme="minorHAnsi" w:cstheme="majorBidi"/>
          <w:u w:val="single"/>
          <w:lang w:eastAsia="en-US"/>
        </w:rPr>
        <w:t>Z HLEDISKA OCHRANY PŘÍRODY A KRAJINY (Ing. Koutecká):</w:t>
      </w:r>
    </w:p>
    <w:p w14:paraId="49CD43B1"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Magistrát města Liberec - odbor životního prostředí, příslušný jako orgán ochrany přírody a krajiny příslušný dle ust. 77 odst. I písm. q) zákona č. 114/1992 Sb., o ochraně přírody a krajiny, v platném znění (dále jen zákon) a dle ust. 2 odst. 2 písm. g) zákona, jako dotčený orgán státní správy, zajišťuje ochranu přírody a krajiny zejména spoluúčastí v procesu územního plánování a stavebního řízení s cílem prosazovat vytváření ekologicky vyvážené a esteticky hodnotné krajiny, uvádí k předloženému návrhu ÚP Hrádek nad Nisou OOP následující:</w:t>
      </w:r>
    </w:p>
    <w:p w14:paraId="62AAB7BD"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Předložený návrh představuje další rozšiřování zastavitelných ploch nad rámec původního zadání do volné krajiny, proto lze předpokládat nezbytnost posouzení dle zákona č. 100/2001 Sb., o posuzování vlivů na životní prostředí a vyhodnocení vlivu na krajinný ráz dle 12 zákona. Ke zjišťovacímu řízení dle zákona č. 100/2001 Sb., je příslušný Krajský úřad Libereckého kraje.</w:t>
      </w:r>
    </w:p>
    <w:p w14:paraId="4A57B0B7"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Požadavky OOP ze dne 29. 10. 2012 nebyly splněny - </w:t>
      </w:r>
      <w:r w:rsidRPr="00F41174">
        <w:rPr>
          <w:rFonts w:eastAsiaTheme="minorHAnsi" w:cstheme="majorBidi"/>
          <w:u w:val="single"/>
          <w:lang w:eastAsia="en-US"/>
        </w:rPr>
        <w:t>nesouhlasíme</w:t>
      </w:r>
      <w:r w:rsidRPr="00F41174">
        <w:rPr>
          <w:rFonts w:eastAsiaTheme="minorHAnsi" w:cstheme="majorBidi"/>
          <w:lang w:eastAsia="en-US"/>
        </w:rPr>
        <w:t xml:space="preserve"> s textovou části územního plánu </w:t>
      </w:r>
      <w:r w:rsidRPr="00F41174">
        <w:rPr>
          <w:rFonts w:eastAsiaTheme="minorHAnsi" w:cstheme="majorBidi"/>
          <w:u w:val="single"/>
          <w:lang w:eastAsia="en-US"/>
        </w:rPr>
        <w:t>a opakovaně požadujeme</w:t>
      </w:r>
      <w:r w:rsidRPr="00F41174">
        <w:rPr>
          <w:rFonts w:eastAsiaTheme="minorHAnsi" w:cstheme="majorBidi"/>
          <w:lang w:eastAsia="en-US"/>
        </w:rPr>
        <w:t xml:space="preserve"> specifikovat základní regulační podmínky pro jednotlivé funkční plochy - výšková regulace staveb, stanovení minimální velikosti parcel, stanovení minimálního podílu (%) plochy zeleně na jednotlivých pozemcích v plochách atd.</w:t>
      </w:r>
    </w:p>
    <w:p w14:paraId="21233B44"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K předložené dokumentaci v současné době z důvodu ochrany a uchování ekologicky a esteticky hodnotné krajiny uvádíme ke konkrétním záměrům tyto připomínky:</w:t>
      </w:r>
    </w:p>
    <w:p w14:paraId="5FA570EC"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Lokalita Z27 – (pozemek p.č. 1674/1 v k.ú. Václavice u Hrádku nad Nisou) – nesouhlasíme s lokalitou z důvodu ochrany krajinného rázu ve smyslu S 12 zákona, realizace by znamenala nevhodné rozrůstání zástavby do volné krajiny.</w:t>
      </w:r>
    </w:p>
    <w:p w14:paraId="68EA0A0A"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Lokalita Z33 a Z34 – (pozemky p.č. 1558, 1551/2, 1532/1 a 1544/1 v k.ú. Hrádek nad Nisou) nesouhlasíme s lokalitami z důvodu ochrany krajinného rázu ve smyslu 12 zákona, realizace by znamenala nevhodné rozrůstání zástavby do volné krajiny.</w:t>
      </w:r>
    </w:p>
    <w:p w14:paraId="75900895"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Lokalita Z41 – (pozemek p.č. 350/1 v k.ú. Oldřichov na Hranicích) – nesouhlasíme a požadujeme plochu vyřadit z důvodu ochrany krajinného rázu ve smyslu 12 zákona, realizace by znamenala nevhodné rozšiřování zástavby do okolní volné krajiny.</w:t>
      </w:r>
    </w:p>
    <w:p w14:paraId="31A62C00"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Lokalita Z43, Z44, Z45, Z46 – lokalita Zlatá Výšina – požadujeme zpracování územní studie na celou lokalitu, která bude řešit podrobněji využití daného území, např. plochy zeleně, zastavěnost dané lokality atd.</w:t>
      </w:r>
    </w:p>
    <w:p w14:paraId="4EF2B6D1"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Lokalita Z58 – (pozemky p.č. 698, 699, 700, 535/1, 534, 533, 532 v k.ú. Loučná) – požadujeme plochy zařadit do ploch veřejných prostranství – veřejná zeleň, jedná se o plochy významné z hlediska mokřadních společenství a biodiverzity daného území.</w:t>
      </w:r>
    </w:p>
    <w:p w14:paraId="505C6051"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Lokalita Z64 – p.p.č. 506/4 v k.ú. Loučná – bydlení venkovské – </w:t>
      </w:r>
      <w:r w:rsidRPr="00F41174">
        <w:rPr>
          <w:rFonts w:eastAsiaTheme="minorHAnsi" w:cstheme="majorBidi"/>
          <w:u w:val="single"/>
          <w:lang w:eastAsia="en-US"/>
        </w:rPr>
        <w:t xml:space="preserve">nesouhlasíme </w:t>
      </w:r>
      <w:r w:rsidRPr="00F41174">
        <w:rPr>
          <w:rFonts w:eastAsiaTheme="minorHAnsi" w:cstheme="majorBidi"/>
          <w:lang w:eastAsia="en-US"/>
        </w:rPr>
        <w:t>s rozsahem lokality. V severozápadní části lokality se nachází velmi hodnotná vzrostlá dřevina (jasan), která tvoří hodnotnou ekologickou a estetickou dominantu daného místa. Veškeré vzrostlé dřeviny jsou dle 7 odst. I zákona chráněny před poškozováním a ničením. Požadavek orgánu ochrany přírody: redukce navrhované plochy pouze na jižní část pozemku.</w:t>
      </w:r>
    </w:p>
    <w:p w14:paraId="02E7EEF4"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V případě posuzování návrhu dle zákona č. 100/2001 Sb., naše vyjádření upřesníme po obdržení vyhodnocení vlivu na životní prostředí.</w:t>
      </w:r>
    </w:p>
    <w:p w14:paraId="16C6ACDB" w14:textId="77777777" w:rsidR="00C510C2" w:rsidRPr="00F41174" w:rsidRDefault="00C510C2" w:rsidP="002B5D5D">
      <w:pPr>
        <w:keepNext/>
        <w:numPr>
          <w:ilvl w:val="0"/>
          <w:numId w:val="128"/>
        </w:numPr>
        <w:autoSpaceDE w:val="0"/>
        <w:autoSpaceDN w:val="0"/>
        <w:adjustRightInd w:val="0"/>
        <w:spacing w:before="120" w:after="120" w:line="240" w:lineRule="auto"/>
        <w:ind w:left="567" w:hanging="567"/>
        <w:rPr>
          <w:rFonts w:eastAsiaTheme="minorHAnsi" w:cstheme="majorBidi"/>
          <w:u w:val="single"/>
          <w:lang w:eastAsia="en-US"/>
        </w:rPr>
      </w:pPr>
      <w:r w:rsidRPr="00F41174">
        <w:rPr>
          <w:rFonts w:eastAsiaTheme="minorHAnsi" w:cstheme="majorBidi"/>
          <w:u w:val="single"/>
          <w:lang w:eastAsia="en-US"/>
        </w:rPr>
        <w:t>Z HLEDISKA OCHRANY ZEMĚDĚLSKÉHO PŮDNÍHO FONDU (Ing. Pánková):</w:t>
      </w:r>
    </w:p>
    <w:p w14:paraId="5EE21976"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Návrhy územně plánovací dokumentace a územně plánovacích podkladů musí být již v období zpracování konceptů projednány s orgány ochrany zemědělského půdního fondu a před schválením opatřeny jejich souhlasem.</w:t>
      </w:r>
    </w:p>
    <w:p w14:paraId="22F7B4C9"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lastRenderedPageBreak/>
        <w:t>K udělení souhlasu k návrhu změny územního plánu obce podle S 5 odst. 2 zákona č. 334/1992 Sb., o ochraně ZPF v platném znění, je příslušný Krajský úřad v Liberci.</w:t>
      </w:r>
    </w:p>
    <w:p w14:paraId="13DF5299" w14:textId="77777777" w:rsidR="00C510C2" w:rsidRPr="00F41174" w:rsidRDefault="00C510C2" w:rsidP="002B5D5D">
      <w:pPr>
        <w:numPr>
          <w:ilvl w:val="0"/>
          <w:numId w:val="128"/>
        </w:numPr>
        <w:autoSpaceDE w:val="0"/>
        <w:autoSpaceDN w:val="0"/>
        <w:adjustRightInd w:val="0"/>
        <w:spacing w:before="120" w:after="120" w:line="240" w:lineRule="auto"/>
        <w:ind w:left="567" w:hanging="567"/>
        <w:rPr>
          <w:rFonts w:eastAsiaTheme="minorHAnsi" w:cstheme="majorBidi"/>
          <w:lang w:eastAsia="en-US"/>
        </w:rPr>
      </w:pPr>
      <w:r w:rsidRPr="00F41174">
        <w:rPr>
          <w:rFonts w:eastAsiaTheme="minorHAnsi" w:cstheme="majorBidi"/>
          <w:u w:val="single"/>
          <w:lang w:eastAsia="en-US"/>
        </w:rPr>
        <w:t>Z HLEDISKA ZÁJMŮ CHRÁNĚNÝCH VODNÍM ZÁKONEM (Ing. Doláková):</w:t>
      </w:r>
    </w:p>
    <w:p w14:paraId="7970674F"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S návrhem Územního plánu obce Hrádek nad Nisou souhlasíme bez připomínek</w:t>
      </w:r>
    </w:p>
    <w:p w14:paraId="68383696" w14:textId="77777777" w:rsidR="00C510C2" w:rsidRPr="00F41174" w:rsidRDefault="00C510C2" w:rsidP="002B5D5D">
      <w:pPr>
        <w:numPr>
          <w:ilvl w:val="0"/>
          <w:numId w:val="128"/>
        </w:numPr>
        <w:autoSpaceDE w:val="0"/>
        <w:autoSpaceDN w:val="0"/>
        <w:adjustRightInd w:val="0"/>
        <w:spacing w:before="120" w:after="120" w:line="240" w:lineRule="auto"/>
        <w:ind w:left="567" w:hanging="567"/>
        <w:rPr>
          <w:rFonts w:eastAsiaTheme="minorHAnsi" w:cstheme="majorBidi"/>
          <w:lang w:eastAsia="en-US"/>
        </w:rPr>
      </w:pPr>
      <w:r w:rsidRPr="00F41174">
        <w:rPr>
          <w:rFonts w:eastAsiaTheme="minorHAnsi" w:cstheme="majorBidi"/>
          <w:u w:val="single"/>
          <w:lang w:eastAsia="en-US"/>
        </w:rPr>
        <w:t>Z HLEDISKA OCHRANY OVZDUŠÍ (Mgr. Ondráčková):</w:t>
      </w:r>
    </w:p>
    <w:p w14:paraId="4F93001E"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Dle ust. S I l odst. 2 písm. a) zákona č. 201/2012 Sb., o ochraně ovzduší vydává stanovisko k územnímu plánu a k regulačnímu plánu obce v průběhu jeho pořizování krajský úřad.</w:t>
      </w:r>
    </w:p>
    <w:p w14:paraId="557860C1" w14:textId="77777777" w:rsidR="00C510C2" w:rsidRPr="00F41174" w:rsidRDefault="00C510C2" w:rsidP="002B5D5D">
      <w:pPr>
        <w:numPr>
          <w:ilvl w:val="0"/>
          <w:numId w:val="128"/>
        </w:numPr>
        <w:autoSpaceDE w:val="0"/>
        <w:autoSpaceDN w:val="0"/>
        <w:adjustRightInd w:val="0"/>
        <w:spacing w:before="120" w:after="120" w:line="240" w:lineRule="auto"/>
        <w:ind w:left="567" w:hanging="567"/>
        <w:rPr>
          <w:rFonts w:eastAsiaTheme="minorHAnsi" w:cstheme="majorBidi"/>
          <w:lang w:eastAsia="en-US"/>
        </w:rPr>
      </w:pPr>
      <w:r w:rsidRPr="00F41174">
        <w:rPr>
          <w:rFonts w:eastAsiaTheme="minorHAnsi" w:cstheme="majorBidi"/>
          <w:u w:val="single"/>
          <w:lang w:eastAsia="en-US"/>
        </w:rPr>
        <w:t>Z HLEDISKA NAKLÁDÁNÍ S ODPADY (Mgr. Ondráčková):</w:t>
      </w:r>
    </w:p>
    <w:p w14:paraId="0624AE7F"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Z hlediska zákona č. 185/2001 Sb., o odpadech, v platném znění k jednání o návrhu územního plánu OBCE HRÁDEK NAD NISOU nemáme připomínek. K jednotlivým stavebním záměrům budou na základě konkrétních žádostí vydána vyjádření z hlediska nakládání s odpady.</w:t>
      </w:r>
    </w:p>
    <w:p w14:paraId="48470492" w14:textId="77777777" w:rsidR="00C510C2" w:rsidRPr="00F41174" w:rsidRDefault="00C510C2" w:rsidP="002B5D5D">
      <w:pPr>
        <w:numPr>
          <w:ilvl w:val="0"/>
          <w:numId w:val="128"/>
        </w:numPr>
        <w:autoSpaceDE w:val="0"/>
        <w:autoSpaceDN w:val="0"/>
        <w:adjustRightInd w:val="0"/>
        <w:spacing w:before="120" w:after="120" w:line="240" w:lineRule="auto"/>
        <w:ind w:left="567" w:hanging="567"/>
        <w:rPr>
          <w:rFonts w:eastAsiaTheme="minorHAnsi" w:cstheme="majorBidi"/>
          <w:lang w:eastAsia="en-US"/>
        </w:rPr>
      </w:pPr>
      <w:r w:rsidRPr="00F41174">
        <w:rPr>
          <w:rFonts w:eastAsiaTheme="minorHAnsi" w:cstheme="majorBidi"/>
          <w:u w:val="single"/>
          <w:lang w:eastAsia="en-US"/>
        </w:rPr>
        <w:t>Z HLEDISKA OCHRANY LESNÍCH POZEMKŮ (Ing. Kopecký):</w:t>
      </w:r>
    </w:p>
    <w:p w14:paraId="678724FC"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Magistrát města Liberec - odbor životního prostředí, příslušný jako orgán státní správy lesů dle 47 odst. 1 písm. a) zákona č. 289/1995 Sb. o lesích a o změně a doplnění některých zákonů sděluje k jednání o návrhu Územního plánu obce Hrádek nad Nisou, že podle S 48a odst. 2 písm. a) téhož zákona je k vyjádření příslušný Krajský úřad Libereckého kraje.</w:t>
      </w:r>
    </w:p>
    <w:p w14:paraId="46A2D07B" w14:textId="77777777" w:rsidR="00C510C2" w:rsidRPr="00F41174" w:rsidRDefault="00C510C2" w:rsidP="002B5D5D">
      <w:pPr>
        <w:numPr>
          <w:ilvl w:val="0"/>
          <w:numId w:val="128"/>
        </w:numPr>
        <w:autoSpaceDE w:val="0"/>
        <w:autoSpaceDN w:val="0"/>
        <w:adjustRightInd w:val="0"/>
        <w:spacing w:before="120" w:after="120" w:line="240" w:lineRule="auto"/>
        <w:ind w:left="567" w:hanging="567"/>
        <w:rPr>
          <w:rFonts w:eastAsiaTheme="minorHAnsi" w:cstheme="majorBidi"/>
          <w:lang w:eastAsia="en-US"/>
        </w:rPr>
      </w:pPr>
      <w:r w:rsidRPr="00F41174">
        <w:rPr>
          <w:rFonts w:eastAsiaTheme="minorHAnsi" w:cstheme="majorBidi"/>
          <w:u w:val="single"/>
          <w:lang w:eastAsia="en-US"/>
        </w:rPr>
        <w:t>Z HLEDISKA STÁTNÍ PAMÁTKOVÉ PÉČE (Mgr. Bittnerová):</w:t>
      </w:r>
    </w:p>
    <w:p w14:paraId="6F24DEF7"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Z hlediska zákona č. 20/1987 Sb., o státní památkové péči v platném mění k jednání o návrhu Územního plánu obce Hrádek nad Nisou je dotčeným orgánem k vyjádření Krajský úřad Libereckého kraje.</w:t>
      </w:r>
    </w:p>
    <w:p w14:paraId="748A933A" w14:textId="77777777" w:rsidR="00C510C2" w:rsidRPr="00F41174" w:rsidRDefault="00C510C2" w:rsidP="002B5D5D">
      <w:pPr>
        <w:numPr>
          <w:ilvl w:val="0"/>
          <w:numId w:val="128"/>
        </w:numPr>
        <w:autoSpaceDE w:val="0"/>
        <w:autoSpaceDN w:val="0"/>
        <w:adjustRightInd w:val="0"/>
        <w:spacing w:before="120" w:after="120" w:line="240" w:lineRule="auto"/>
        <w:ind w:left="567" w:hanging="567"/>
        <w:rPr>
          <w:rFonts w:eastAsiaTheme="minorHAnsi" w:cstheme="majorBidi"/>
          <w:lang w:eastAsia="en-US"/>
        </w:rPr>
      </w:pPr>
      <w:r w:rsidRPr="00F41174">
        <w:rPr>
          <w:rFonts w:eastAsiaTheme="minorHAnsi" w:cstheme="majorBidi"/>
          <w:u w:val="single"/>
          <w:lang w:eastAsia="en-US"/>
        </w:rPr>
        <w:t>Z HLEDISKA ZÁJMŮ CHRÁNĚNÝCH ZÁKONEM O MYSLIVOSTI (Ing. Jokl):</w:t>
      </w:r>
    </w:p>
    <w:p w14:paraId="033F0EB0"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Magistrát města Liberec - odbor životního prostředí, příslušný jako orgán státní správy myslivosti podle 57 odst. 4 a 60 zákona č. 449/2001 Sb., o myslivosti v platném znění příslušný podle 57 téhož zákona, </w:t>
      </w:r>
      <w:r w:rsidRPr="00F41174">
        <w:rPr>
          <w:rFonts w:eastAsiaTheme="minorHAnsi" w:cstheme="majorBidi"/>
          <w:u w:val="single"/>
          <w:lang w:eastAsia="en-US"/>
        </w:rPr>
        <w:t>souhlasí</w:t>
      </w:r>
      <w:r w:rsidRPr="00F41174">
        <w:rPr>
          <w:rFonts w:eastAsiaTheme="minorHAnsi" w:cstheme="majorBidi"/>
          <w:lang w:eastAsia="en-US"/>
        </w:rPr>
        <w:t xml:space="preserve"> s návrhem územního plánu města Hrádek nad Nisou.</w:t>
      </w:r>
    </w:p>
    <w:p w14:paraId="252317BB" w14:textId="77777777" w:rsidR="00C510C2" w:rsidRPr="00F41174" w:rsidRDefault="00C510C2" w:rsidP="002B5D5D">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Navržené zastavitelné plochy navazují na stávající zástavbu obce. Negativní vliv na životní podmínky zvěře by mohla mít pouze změna využití území na lokalitě Z72. Vzhledem k dostatku pastevních ploch a lesních porostů v okolí by ale neměl být negativní dopad na životní podmínky zvěře závažný. Na této lokalitě jsou stávající stavby dětského tábora, ale navrhovaná plocha je výrazně větší než plocha, na které tyto stavby jsou. Navrhované odnětí z PUPFL na této lokalitě není pro provoz dětského tábora nutné. Doporučujeme proto lokalitu Z72 zmenšit pouze na plochu na které jsou umístěny stávající stavby dětského tábora bez vynětí z PUPFL.</w:t>
      </w:r>
    </w:p>
    <w:p w14:paraId="432FCBE8" w14:textId="77777777" w:rsidR="00C510C2" w:rsidRPr="00F41174" w:rsidRDefault="00C510C2" w:rsidP="009605D3">
      <w:pPr>
        <w:spacing w:before="120" w:after="120"/>
        <w:rPr>
          <w:rFonts w:cstheme="majorBidi"/>
          <w:i/>
          <w:iCs/>
          <w:lang w:eastAsia="en-US"/>
        </w:rPr>
      </w:pPr>
      <w:r w:rsidRPr="00F41174">
        <w:rPr>
          <w:rFonts w:cstheme="majorBidi"/>
          <w:b/>
          <w:bCs/>
          <w:i/>
          <w:iCs/>
          <w:lang w:eastAsia="en-US"/>
        </w:rPr>
        <w:t xml:space="preserve">Vyhodnocení stanoviska  </w:t>
      </w:r>
    </w:p>
    <w:p w14:paraId="1BAE631E"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 xml:space="preserve">Pořizovatel ve spolupráci s určeným zastupitelem se zabýval požadavkem dotčeného orgánu a s ohledem na jednání, která s dotčeným orgánem proběhla, </w:t>
      </w:r>
      <w:r w:rsidRPr="00F41174">
        <w:rPr>
          <w:rFonts w:cstheme="majorBidi"/>
          <w:bCs/>
          <w:i/>
          <w:iCs/>
          <w:lang w:eastAsia="en-US"/>
        </w:rPr>
        <w:t xml:space="preserve">uzavřel s dotčeným orgánem dohodu č.j. </w:t>
      </w:r>
      <w:r w:rsidRPr="00F41174">
        <w:rPr>
          <w:rFonts w:eastAsiaTheme="minorHAnsi" w:cstheme="majorBidi"/>
          <w:i/>
          <w:iCs/>
          <w:lang w:eastAsia="en-US"/>
        </w:rPr>
        <w:t>OSŽP-650/2019-PES ze dne 25. 1. 2019</w:t>
      </w:r>
      <w:r w:rsidRPr="00F41174">
        <w:rPr>
          <w:rFonts w:cstheme="majorBidi"/>
          <w:bCs/>
          <w:i/>
          <w:iCs/>
          <w:lang w:eastAsia="en-US"/>
        </w:rPr>
        <w:t>, ze které vyplývá,</w:t>
      </w:r>
      <w:r w:rsidRPr="00F41174">
        <w:rPr>
          <w:rFonts w:cstheme="majorBidi"/>
          <w:i/>
          <w:iCs/>
          <w:lang w:eastAsia="en-US"/>
        </w:rPr>
        <w:t xml:space="preserve"> že návrh Územního plánu Hrádek nad Nisou bude upraven následujícím způsobem:</w:t>
      </w:r>
    </w:p>
    <w:p w14:paraId="0C1D3597"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Základní regulační podmínky jak zastavěného území tak i zastavitelných ploch jsou obsaženy v Textové části návrhu Územního plánu Hrádek nad Nisou v bodě „F.2. podmínky prostorového uspořádání území“ a dále v grafické části územního plánu ve výkrese I.2b – Hlavní výkres – Prostorové uspořádání území.</w:t>
      </w:r>
    </w:p>
    <w:p w14:paraId="579DA477"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Stanovování minimální velikosti parcel není účelné, jelikož větší lokality budou řešeny podrobně v rámci zpracování územních studií, které budou podmínkou využití větších zastavitelných ploch.</w:t>
      </w:r>
    </w:p>
    <w:p w14:paraId="55BB556D"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Podmínky prostorového uspořádání území budou doplněny o stanovení minimálního podílu (%) plochy zeleně pro všechny zastavitelné plochy a plochy v zastavěném území určené k zástavbě.</w:t>
      </w:r>
    </w:p>
    <w:p w14:paraId="0EC91B88"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Zastavitelná plocha Z27 bude vypuštěna z návrhu územního plánu.</w:t>
      </w:r>
    </w:p>
    <w:p w14:paraId="5431D738"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Zastavitelné plochy Z33 a Z34 budou vypuštěny z návrhu územního plánu.</w:t>
      </w:r>
    </w:p>
    <w:p w14:paraId="171A5CA2"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lastRenderedPageBreak/>
        <w:t>Namísto části zastavitelné plochy Z33, kde je stávající parkoviště k rekreačnímu areálu Kristýna, bude vymezena stavová plocha veřejného prostranství – komunikace (PX) v následujícím rozsahu:</w:t>
      </w:r>
    </w:p>
    <w:p w14:paraId="69606BCB" w14:textId="77777777" w:rsidR="00C510C2" w:rsidRPr="00F41174" w:rsidRDefault="00C510C2" w:rsidP="00F41174">
      <w:pPr>
        <w:autoSpaceDE w:val="0"/>
        <w:autoSpaceDN w:val="0"/>
        <w:adjustRightInd w:val="0"/>
        <w:spacing w:before="120" w:after="120" w:line="240" w:lineRule="auto"/>
        <w:ind w:left="851"/>
        <w:jc w:val="center"/>
        <w:rPr>
          <w:rFonts w:eastAsiaTheme="minorHAnsi" w:cstheme="majorBidi"/>
          <w:i/>
          <w:iCs/>
          <w:lang w:eastAsia="en-US"/>
        </w:rPr>
      </w:pPr>
      <w:r w:rsidRPr="00F41174">
        <w:rPr>
          <w:noProof/>
          <w:lang w:eastAsia="cs-CZ"/>
        </w:rPr>
        <w:drawing>
          <wp:inline distT="0" distB="0" distL="0" distR="0" wp14:anchorId="5A94B8CC" wp14:editId="16824B5F">
            <wp:extent cx="2973705" cy="3387090"/>
            <wp:effectExtent l="0" t="0" r="0" b="3810"/>
            <wp:docPr id="33" name="Obrázek 33" descr="Lokalita Z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kalita Z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3705" cy="3387090"/>
                    </a:xfrm>
                    <a:prstGeom prst="rect">
                      <a:avLst/>
                    </a:prstGeom>
                    <a:noFill/>
                    <a:ln>
                      <a:noFill/>
                    </a:ln>
                  </pic:spPr>
                </pic:pic>
              </a:graphicData>
            </a:graphic>
          </wp:inline>
        </w:drawing>
      </w:r>
    </w:p>
    <w:p w14:paraId="2CD11AD9"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Zastavitelnou plochu Z41 – Plocha výroby – lehký průmysl (VL) výrazně zmenšit do délky pro maximální ochranu krajinného rázu směrem ke Grabštějnu a částečnému rozšíření v návaznosti na stávající a plánovanou průmyslovou zónu, přičemž tento návrh bude ještě limitován vymezením koridoru územní rezervy pro rozšíření silnice I/35 dle požadavku Ředitelství silnic a dálnic ČR, na základě uvedeného se navrhuje zastavitelnou plochu Z41 upravit v následujícím rozsahu:</w:t>
      </w:r>
    </w:p>
    <w:p w14:paraId="6CFFBA0A" w14:textId="77777777" w:rsidR="00C510C2" w:rsidRPr="00F41174" w:rsidRDefault="00C510C2" w:rsidP="00F41174">
      <w:pPr>
        <w:autoSpaceDE w:val="0"/>
        <w:autoSpaceDN w:val="0"/>
        <w:adjustRightInd w:val="0"/>
        <w:spacing w:before="120" w:after="120" w:line="240" w:lineRule="auto"/>
        <w:ind w:left="851"/>
        <w:jc w:val="center"/>
        <w:rPr>
          <w:rFonts w:eastAsiaTheme="minorHAnsi" w:cstheme="majorBidi"/>
          <w:i/>
          <w:iCs/>
          <w:lang w:eastAsia="en-US"/>
        </w:rPr>
      </w:pPr>
      <w:r w:rsidRPr="00F41174">
        <w:rPr>
          <w:noProof/>
          <w:lang w:eastAsia="cs-CZ"/>
        </w:rPr>
        <w:drawing>
          <wp:inline distT="0" distB="0" distL="0" distR="0" wp14:anchorId="1F922626" wp14:editId="44CE40D8">
            <wp:extent cx="3101009" cy="2960518"/>
            <wp:effectExtent l="0" t="0" r="4445" b="0"/>
            <wp:docPr id="25" name="Obrázek 25" descr="Lokalita Z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kalita Z4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18413" cy="2977133"/>
                    </a:xfrm>
                    <a:prstGeom prst="rect">
                      <a:avLst/>
                    </a:prstGeom>
                    <a:noFill/>
                    <a:ln>
                      <a:noFill/>
                    </a:ln>
                  </pic:spPr>
                </pic:pic>
              </a:graphicData>
            </a:graphic>
          </wp:inline>
        </w:drawing>
      </w:r>
    </w:p>
    <w:p w14:paraId="3D0174F1"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Do územního plánu bude zapracován požadavek na zpracování územních studií se stanovením požadavku na jejich obsah pro zastavitelné plochy Z43, Z44, Z45, Z46 jako podmínka využití těchto zastavitelných ploch, přičemž dále uvádíme, že zastavitelná plocha Z44 bude s ohledem na uplatněná stanoviska dalších dotčených orgánů ve společném jednání redukována v následujícím rozsahu:</w:t>
      </w:r>
    </w:p>
    <w:p w14:paraId="7BF011B9" w14:textId="77777777" w:rsidR="00C510C2" w:rsidRPr="00F41174" w:rsidRDefault="00C510C2" w:rsidP="00F41174">
      <w:pPr>
        <w:autoSpaceDE w:val="0"/>
        <w:autoSpaceDN w:val="0"/>
        <w:adjustRightInd w:val="0"/>
        <w:spacing w:before="120" w:after="120" w:line="240" w:lineRule="auto"/>
        <w:jc w:val="center"/>
        <w:rPr>
          <w:rFonts w:eastAsiaTheme="minorHAnsi" w:cstheme="majorBidi"/>
          <w:i/>
          <w:iCs/>
          <w:lang w:eastAsia="en-US"/>
        </w:rPr>
      </w:pPr>
      <w:r w:rsidRPr="00F41174">
        <w:rPr>
          <w:b/>
          <w:i/>
          <w:noProof/>
          <w:lang w:eastAsia="cs-CZ"/>
        </w:rPr>
        <w:lastRenderedPageBreak/>
        <w:drawing>
          <wp:inline distT="0" distB="0" distL="0" distR="0" wp14:anchorId="379A6B6C" wp14:editId="3A17D69E">
            <wp:extent cx="3991555" cy="3097878"/>
            <wp:effectExtent l="0" t="0" r="9525" b="7620"/>
            <wp:docPr id="35" name="Obrázek 35" descr="Plocha Z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locha Z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98341" cy="3103145"/>
                    </a:xfrm>
                    <a:prstGeom prst="rect">
                      <a:avLst/>
                    </a:prstGeom>
                    <a:noFill/>
                    <a:ln>
                      <a:noFill/>
                    </a:ln>
                  </pic:spPr>
                </pic:pic>
              </a:graphicData>
            </a:graphic>
          </wp:inline>
        </w:drawing>
      </w:r>
    </w:p>
    <w:p w14:paraId="3BB38692"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Zastavitelná plocha Z58 bude přeřazena do ploch veřejných prostranství – veřejná zeleň (ZV).</w:t>
      </w:r>
    </w:p>
    <w:p w14:paraId="713E5A44"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Zastavitelná plocha bydlení Z64 bude redukována v následujícím rozsahu, a vypuštěná část zastavitelné plochy Z64 bude přisloučena do územní rezervy bydlení R04:</w:t>
      </w:r>
    </w:p>
    <w:p w14:paraId="0019CAA2" w14:textId="77777777" w:rsidR="00C510C2" w:rsidRPr="00F41174" w:rsidRDefault="00C510C2" w:rsidP="00F41174">
      <w:pPr>
        <w:autoSpaceDE w:val="0"/>
        <w:autoSpaceDN w:val="0"/>
        <w:adjustRightInd w:val="0"/>
        <w:spacing w:before="120" w:after="120" w:line="240" w:lineRule="auto"/>
        <w:jc w:val="center"/>
        <w:rPr>
          <w:rFonts w:eastAsiaTheme="minorHAnsi" w:cstheme="majorBidi"/>
          <w:i/>
          <w:iCs/>
          <w:lang w:eastAsia="en-US"/>
        </w:rPr>
      </w:pPr>
      <w:r w:rsidRPr="00F41174">
        <w:rPr>
          <w:b/>
          <w:bCs/>
          <w:noProof/>
          <w:lang w:eastAsia="cs-CZ"/>
        </w:rPr>
        <w:drawing>
          <wp:inline distT="0" distB="0" distL="0" distR="0" wp14:anchorId="3F9130B5" wp14:editId="40066A45">
            <wp:extent cx="3236181" cy="2911711"/>
            <wp:effectExtent l="0" t="0" r="2540" b="3175"/>
            <wp:docPr id="36" name="Obrázek 36" descr="Z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3943" cy="2918695"/>
                    </a:xfrm>
                    <a:prstGeom prst="rect">
                      <a:avLst/>
                    </a:prstGeom>
                    <a:noFill/>
                    <a:ln>
                      <a:noFill/>
                    </a:ln>
                  </pic:spPr>
                </pic:pic>
              </a:graphicData>
            </a:graphic>
          </wp:inline>
        </w:drawing>
      </w:r>
    </w:p>
    <w:p w14:paraId="48A9D854" w14:textId="77777777" w:rsidR="00C510C2" w:rsidRPr="00F41174" w:rsidRDefault="00C510C2" w:rsidP="009605D3">
      <w:pPr>
        <w:autoSpaceDE w:val="0"/>
        <w:autoSpaceDN w:val="0"/>
        <w:adjustRightInd w:val="0"/>
        <w:spacing w:before="120" w:after="120" w:line="240" w:lineRule="auto"/>
        <w:rPr>
          <w:rFonts w:cstheme="majorBidi"/>
          <w:i/>
          <w:iCs/>
          <w:lang w:eastAsia="en-US"/>
        </w:rPr>
      </w:pPr>
      <w:r w:rsidRPr="00F41174">
        <w:rPr>
          <w:rFonts w:cstheme="majorBidi"/>
          <w:i/>
          <w:iCs/>
          <w:lang w:eastAsia="en-US"/>
        </w:rPr>
        <w:t>S ohledem na dohodnutí jednotlivých požadavků dotčeného orgánu, již Magistrát města Liberec, OŽP nepožaduje posouzení návrhu územního plánu dle zákona č. 100/2001 sb., o posuzování vlivů na životní prostředí a vyhodnocení vlivu na krajinný ráz dle § 12 zákona.</w:t>
      </w:r>
    </w:p>
    <w:p w14:paraId="5A3B6712" w14:textId="77777777" w:rsidR="00C510C2" w:rsidRPr="009605D3" w:rsidRDefault="00C510C2" w:rsidP="009605D3">
      <w:pPr>
        <w:autoSpaceDE w:val="0"/>
        <w:autoSpaceDN w:val="0"/>
        <w:adjustRightInd w:val="0"/>
        <w:spacing w:before="240" w:line="240" w:lineRule="auto"/>
        <w:ind w:left="567" w:hanging="567"/>
        <w:jc w:val="left"/>
        <w:rPr>
          <w:rFonts w:eastAsiaTheme="minorHAnsi" w:cstheme="majorBidi"/>
          <w:b/>
          <w:bCs/>
          <w:color w:val="92D050"/>
          <w:sz w:val="24"/>
          <w:szCs w:val="24"/>
          <w:lang w:eastAsia="en-US"/>
        </w:rPr>
      </w:pPr>
      <w:r w:rsidRPr="009605D3">
        <w:rPr>
          <w:rFonts w:eastAsiaTheme="minorHAnsi" w:cstheme="majorBidi"/>
          <w:b/>
          <w:bCs/>
          <w:color w:val="92D050"/>
          <w:sz w:val="24"/>
          <w:szCs w:val="24"/>
          <w:lang w:eastAsia="en-US"/>
        </w:rPr>
        <w:t>stanovisko H) Krajský úřad Libereckého kraje</w:t>
      </w:r>
    </w:p>
    <w:p w14:paraId="33EE1367" w14:textId="77777777" w:rsidR="00C510C2" w:rsidRPr="00F41174" w:rsidRDefault="00C510C2" w:rsidP="00B45646">
      <w:pPr>
        <w:autoSpaceDE w:val="0"/>
        <w:autoSpaceDN w:val="0"/>
        <w:adjustRightInd w:val="0"/>
        <w:spacing w:line="240" w:lineRule="auto"/>
        <w:rPr>
          <w:rFonts w:eastAsiaTheme="minorHAnsi" w:cstheme="majorBidi"/>
          <w:lang w:eastAsia="en-US"/>
        </w:rPr>
      </w:pPr>
      <w:r w:rsidRPr="00F41174">
        <w:rPr>
          <w:rFonts w:eastAsiaTheme="minorHAnsi" w:cstheme="majorBidi"/>
          <w:lang w:eastAsia="en-US"/>
        </w:rPr>
        <w:t>Stanovisko značky OÚPSŘ 273/2012/OÚPSŘ 273/2012/OÚP doručené dne 16. 5. 2018 a vedeno pod č. j. OSŽP/3637/2018.</w:t>
      </w:r>
    </w:p>
    <w:p w14:paraId="242D240C" w14:textId="77777777" w:rsidR="00446993" w:rsidRDefault="00446993">
      <w:pPr>
        <w:spacing w:line="240" w:lineRule="auto"/>
        <w:jc w:val="left"/>
        <w:rPr>
          <w:rFonts w:cstheme="majorBidi"/>
          <w:b/>
          <w:bCs/>
          <w:lang w:eastAsia="en-US"/>
        </w:rPr>
      </w:pPr>
      <w:r>
        <w:rPr>
          <w:rFonts w:cstheme="majorBidi"/>
          <w:b/>
          <w:bCs/>
          <w:lang w:eastAsia="en-US"/>
        </w:rPr>
        <w:br w:type="page"/>
      </w:r>
    </w:p>
    <w:p w14:paraId="5C8C1824" w14:textId="448B0434" w:rsidR="00C510C2" w:rsidRPr="00F41174" w:rsidRDefault="00C510C2" w:rsidP="009605D3">
      <w:pPr>
        <w:autoSpaceDE w:val="0"/>
        <w:autoSpaceDN w:val="0"/>
        <w:adjustRightInd w:val="0"/>
        <w:spacing w:before="120" w:after="120" w:line="240" w:lineRule="auto"/>
        <w:rPr>
          <w:rFonts w:cstheme="majorBidi"/>
          <w:b/>
          <w:bCs/>
          <w:lang w:eastAsia="en-US"/>
        </w:rPr>
      </w:pPr>
      <w:r w:rsidRPr="00F41174">
        <w:rPr>
          <w:rFonts w:cstheme="majorBidi"/>
          <w:b/>
          <w:bCs/>
          <w:lang w:eastAsia="en-US"/>
        </w:rPr>
        <w:lastRenderedPageBreak/>
        <w:t>Přepis stanoviska:</w:t>
      </w:r>
    </w:p>
    <w:p w14:paraId="05870455" w14:textId="77777777" w:rsidR="00C510C2" w:rsidRPr="00F41174" w:rsidRDefault="00C510C2" w:rsidP="00F41174">
      <w:pPr>
        <w:autoSpaceDE w:val="0"/>
        <w:autoSpaceDN w:val="0"/>
        <w:adjustRightInd w:val="0"/>
        <w:spacing w:before="120" w:line="240" w:lineRule="auto"/>
        <w:ind w:left="567"/>
        <w:rPr>
          <w:rFonts w:cstheme="majorBidi"/>
          <w:b/>
          <w:bCs/>
          <w:lang w:eastAsia="en-US"/>
        </w:rPr>
      </w:pPr>
      <w:r w:rsidRPr="00F41174">
        <w:rPr>
          <w:rFonts w:cstheme="majorBidi"/>
          <w:b/>
          <w:bCs/>
          <w:lang w:eastAsia="en-US"/>
        </w:rPr>
        <w:t>Koordinované stanovisko odborných složek dotčeného orgánu Krajského úřadu Libereckého kraje dle § 50 odst. 2 zákona č. 183/2006 Sb., o územním plánování a stavebním řádu, v platném znění k Návrhu Územního plánu Hrádek nad Nisou</w:t>
      </w:r>
    </w:p>
    <w:p w14:paraId="3CA8F4D1" w14:textId="77777777" w:rsidR="00C510C2" w:rsidRPr="00F41174" w:rsidRDefault="00C510C2" w:rsidP="00F41174">
      <w:pPr>
        <w:autoSpaceDE w:val="0"/>
        <w:autoSpaceDN w:val="0"/>
        <w:adjustRightInd w:val="0"/>
        <w:spacing w:before="120" w:line="240" w:lineRule="auto"/>
        <w:ind w:left="567"/>
        <w:rPr>
          <w:rFonts w:cstheme="majorBidi"/>
          <w:lang w:eastAsia="en-US"/>
        </w:rPr>
      </w:pPr>
      <w:r w:rsidRPr="00F41174">
        <w:rPr>
          <w:rFonts w:cstheme="majorBidi"/>
          <w:lang w:eastAsia="en-US"/>
        </w:rPr>
        <w:t xml:space="preserve">Krajský úřad Libereckého kraje, odbor územního plánování a stavebního řádu obdržel dne 7. 3. 2018 od Městského úřadu Hrádek nad Nisou (dále jen pořizovatel) dle ustanovení § 6 odst. 2 a § 24 odst. 1 zákona č. 183/2006 Sb., o územním plánování a stavebním řádu, ve znění pozdějších předpisů (dále jen stavební zákon), oznámení o konání společného jednání Návrhu územního plánu (dále jen ÚP) Hrádek nad Nisou, v souladu s ustanovením § 50 odst. 2 stavebního zákona. </w:t>
      </w:r>
    </w:p>
    <w:p w14:paraId="38C4BA7C" w14:textId="77777777" w:rsidR="00C510C2" w:rsidRPr="00F41174" w:rsidRDefault="00C510C2" w:rsidP="00F41174">
      <w:pPr>
        <w:autoSpaceDE w:val="0"/>
        <w:autoSpaceDN w:val="0"/>
        <w:adjustRightInd w:val="0"/>
        <w:spacing w:before="120" w:line="240" w:lineRule="auto"/>
        <w:ind w:left="567"/>
        <w:rPr>
          <w:rFonts w:cstheme="majorBidi"/>
          <w:lang w:eastAsia="en-US"/>
        </w:rPr>
      </w:pPr>
      <w:r w:rsidRPr="00F41174">
        <w:rPr>
          <w:rFonts w:cstheme="majorBidi"/>
          <w:lang w:eastAsia="en-US"/>
        </w:rPr>
        <w:t xml:space="preserve">Obsahem ÚP Hrádek nad Nisou je řešení celkové koncepce rozvoje území města Hrádek nad Nisou. </w:t>
      </w:r>
    </w:p>
    <w:p w14:paraId="6E33089A" w14:textId="77777777" w:rsidR="00C510C2" w:rsidRPr="00F41174" w:rsidRDefault="00C510C2" w:rsidP="00F41174">
      <w:pPr>
        <w:autoSpaceDE w:val="0"/>
        <w:autoSpaceDN w:val="0"/>
        <w:adjustRightInd w:val="0"/>
        <w:spacing w:before="120" w:after="120" w:line="240" w:lineRule="auto"/>
        <w:ind w:left="567"/>
        <w:rPr>
          <w:rFonts w:cstheme="majorBidi"/>
          <w:lang w:eastAsia="en-US"/>
        </w:rPr>
      </w:pPr>
      <w:r w:rsidRPr="00F41174">
        <w:rPr>
          <w:rFonts w:cstheme="majorBidi"/>
          <w:lang w:eastAsia="en-US"/>
        </w:rPr>
        <w:t xml:space="preserve">Po seznámení se s doručenými podklady a v souladu s ustanovením § 50 odst. 2 zákona č. 183/2006 Sb., o územním plánování a stavebním řádu (dále jen stavební zákon) Krajský úřad Libereckého kraje (dále jen KÚ LK) jako dotčený orgán vydává ve smyslu ust. § 4 odst. 7 stavebního zákona: </w:t>
      </w:r>
      <w:r w:rsidRPr="00F41174">
        <w:rPr>
          <w:rFonts w:cstheme="majorBidi"/>
          <w:b/>
          <w:bCs/>
          <w:lang w:eastAsia="en-US"/>
        </w:rPr>
        <w:t xml:space="preserve">koordinované stanovisko k Návrhu ÚP Hrádek nad Nisou </w:t>
      </w:r>
      <w:r w:rsidRPr="00F41174">
        <w:rPr>
          <w:rFonts w:cstheme="majorBidi"/>
          <w:lang w:eastAsia="en-US"/>
        </w:rPr>
        <w:t>zahrnující dílčí stanoviska na ochranu dotčených veřejných zájmů, které hájí na základě:</w:t>
      </w:r>
    </w:p>
    <w:p w14:paraId="36DDE8D1" w14:textId="0E3E8C50" w:rsidR="00C510C2" w:rsidRPr="00F41174" w:rsidRDefault="00C510C2" w:rsidP="00F41174">
      <w:pPr>
        <w:autoSpaceDE w:val="0"/>
        <w:autoSpaceDN w:val="0"/>
        <w:adjustRightInd w:val="0"/>
        <w:spacing w:before="120" w:line="240" w:lineRule="auto"/>
        <w:ind w:left="567"/>
        <w:rPr>
          <w:rFonts w:cstheme="majorBidi"/>
          <w:lang w:eastAsia="en-US"/>
        </w:rPr>
      </w:pPr>
      <w:r w:rsidRPr="00F41174">
        <w:rPr>
          <w:rFonts w:cstheme="majorBidi"/>
          <w:b/>
          <w:bCs/>
          <w:lang w:eastAsia="en-US"/>
        </w:rPr>
        <w:t xml:space="preserve">1) zákona č. 20/1987 Sb., o státní památkové péči ve znění pozdějších změn a doplnění: </w:t>
      </w:r>
    </w:p>
    <w:p w14:paraId="7A3970EA" w14:textId="77777777" w:rsidR="00C510C2" w:rsidRPr="00F41174" w:rsidRDefault="00C510C2" w:rsidP="00F41174">
      <w:pPr>
        <w:autoSpaceDE w:val="0"/>
        <w:autoSpaceDN w:val="0"/>
        <w:adjustRightInd w:val="0"/>
        <w:spacing w:before="120" w:line="240" w:lineRule="auto"/>
        <w:ind w:left="567"/>
        <w:rPr>
          <w:rFonts w:cstheme="majorBidi"/>
          <w:lang w:eastAsia="en-US"/>
        </w:rPr>
      </w:pPr>
      <w:r w:rsidRPr="00F41174">
        <w:rPr>
          <w:rFonts w:cstheme="majorBidi"/>
          <w:lang w:eastAsia="en-US"/>
        </w:rPr>
        <w:t xml:space="preserve">KÚ LK podle § 28 odst. 2 písm. c) zákona č. 20/1987 Sb., o státní památkové péči, ve znění pozdějších změn a doplnění (dále jen památkový zákon), uplatňuje stanovisko k územně plánovací dokumentaci pro území, ve kterém je památková zóna nebo nemovitá národní kulturní památka. </w:t>
      </w:r>
    </w:p>
    <w:p w14:paraId="08ADBCCB" w14:textId="77777777" w:rsidR="00C510C2" w:rsidRPr="00F41174" w:rsidRDefault="00C510C2" w:rsidP="00F41174">
      <w:pPr>
        <w:autoSpaceDE w:val="0"/>
        <w:autoSpaceDN w:val="0"/>
        <w:adjustRightInd w:val="0"/>
        <w:spacing w:before="120" w:line="240" w:lineRule="auto"/>
        <w:ind w:left="567"/>
        <w:rPr>
          <w:rFonts w:cstheme="majorBidi"/>
          <w:lang w:eastAsia="en-US"/>
        </w:rPr>
      </w:pPr>
      <w:r w:rsidRPr="00F41174">
        <w:rPr>
          <w:rFonts w:cstheme="majorBidi"/>
          <w:lang w:eastAsia="en-US"/>
        </w:rPr>
        <w:t xml:space="preserve">Na území města Hrádek nad Nisou se nachází městská památková zóna Hrádek nad Nisou prohlášená Vyhláškou MK ČR č. 108/2003 Sb. o prohlášení území s historickým prostředím ve vybraných městech a obcích za památkové zóny a určování podmínek pro jejich ochranu ze dne 10. září 1992, a proto jsme dotčeným orgánem chránící veřejný zájem. </w:t>
      </w:r>
    </w:p>
    <w:p w14:paraId="0C306DEC" w14:textId="77777777" w:rsidR="00C510C2" w:rsidRPr="00F41174" w:rsidRDefault="00C510C2" w:rsidP="00F41174">
      <w:pPr>
        <w:autoSpaceDE w:val="0"/>
        <w:autoSpaceDN w:val="0"/>
        <w:adjustRightInd w:val="0"/>
        <w:spacing w:before="120" w:line="240" w:lineRule="auto"/>
        <w:ind w:left="567"/>
        <w:rPr>
          <w:rFonts w:cstheme="majorBidi"/>
          <w:b/>
          <w:bCs/>
          <w:lang w:eastAsia="en-US"/>
        </w:rPr>
      </w:pPr>
      <w:r w:rsidRPr="00F41174">
        <w:rPr>
          <w:rFonts w:cstheme="majorBidi"/>
          <w:b/>
          <w:bCs/>
          <w:lang w:eastAsia="en-US"/>
        </w:rPr>
        <w:t xml:space="preserve">K Návrhu ÚP Hrádek nad Nisou nemáme žádné připomínky. </w:t>
      </w:r>
    </w:p>
    <w:p w14:paraId="456FB5B1" w14:textId="77777777" w:rsidR="00C510C2" w:rsidRPr="00F41174" w:rsidRDefault="00C510C2" w:rsidP="00F41174">
      <w:pPr>
        <w:keepNext/>
        <w:autoSpaceDE w:val="0"/>
        <w:autoSpaceDN w:val="0"/>
        <w:adjustRightInd w:val="0"/>
        <w:spacing w:before="120" w:line="240" w:lineRule="auto"/>
        <w:ind w:left="567"/>
        <w:rPr>
          <w:rFonts w:cstheme="majorBidi"/>
          <w:lang w:eastAsia="en-US"/>
        </w:rPr>
      </w:pPr>
      <w:r w:rsidRPr="00F41174">
        <w:rPr>
          <w:rFonts w:cstheme="majorBidi"/>
          <w:lang w:eastAsia="en-US"/>
        </w:rPr>
        <w:t xml:space="preserve">Odůvodnění: </w:t>
      </w:r>
    </w:p>
    <w:p w14:paraId="699A2303" w14:textId="77777777" w:rsidR="00C510C2" w:rsidRPr="00F41174" w:rsidRDefault="00C510C2" w:rsidP="00F41174">
      <w:pPr>
        <w:keepLines/>
        <w:autoSpaceDE w:val="0"/>
        <w:autoSpaceDN w:val="0"/>
        <w:adjustRightInd w:val="0"/>
        <w:spacing w:before="120" w:line="240" w:lineRule="auto"/>
        <w:ind w:left="567"/>
        <w:rPr>
          <w:rFonts w:cstheme="majorBidi"/>
          <w:lang w:eastAsia="en-US"/>
        </w:rPr>
      </w:pPr>
      <w:r w:rsidRPr="00F41174">
        <w:rPr>
          <w:rFonts w:cstheme="majorBidi"/>
          <w:lang w:eastAsia="en-US"/>
        </w:rPr>
        <w:t>Řešené návrhové rozvojové plochy změny nebudou mít negativní vliv na kulturní hodnoty na území obce - památkově chráněné území městské památkové zóny Hrádek nad Nisou, kulturní památky a jejich prostředí, architektonicky hodnotné stavby a na území s archeologickými nálezy.</w:t>
      </w:r>
    </w:p>
    <w:p w14:paraId="3D0C7D68"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2) zákona č. 289/1995 Sb., o lesích a o změně a doplnění některých zákonů, ve znění pozdějších předpisů: </w:t>
      </w:r>
    </w:p>
    <w:p w14:paraId="2333D660"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KÚ LK, odbor životního prostředí a zemědělství, jako orgán státní správy lesů (orgán SSL) v přenesené působnosti, příslušný dle § 48a odst. 2 písm. a) zákona č. 289/1995 Sb. o lesích a o změně a doplnění některých zákonů, ve znění pozdějších předpisů (dále jen lesní zákon), </w:t>
      </w:r>
      <w:r w:rsidRPr="00F41174">
        <w:rPr>
          <w:rFonts w:eastAsiaTheme="minorHAnsi" w:cstheme="majorBidi"/>
          <w:b/>
          <w:bCs/>
          <w:lang w:eastAsia="en-US"/>
        </w:rPr>
        <w:t xml:space="preserve">nesouhlasí </w:t>
      </w:r>
      <w:r w:rsidRPr="00F41174">
        <w:rPr>
          <w:rFonts w:eastAsiaTheme="minorHAnsi" w:cstheme="majorBidi"/>
          <w:lang w:eastAsia="en-US"/>
        </w:rPr>
        <w:t xml:space="preserve">s Návrhem ÚP Hrádek nad Nisou. </w:t>
      </w:r>
    </w:p>
    <w:p w14:paraId="16B3E151"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Návrh předpokládá následující zábory pozemků určených k plnění funkcí lesů:</w:t>
      </w:r>
    </w:p>
    <w:tbl>
      <w:tblPr>
        <w:tblW w:w="0" w:type="auto"/>
        <w:jc w:val="center"/>
        <w:tblBorders>
          <w:top w:val="nil"/>
          <w:left w:val="nil"/>
          <w:bottom w:val="nil"/>
          <w:right w:val="nil"/>
        </w:tblBorders>
        <w:tblLayout w:type="fixed"/>
        <w:tblLook w:val="0000" w:firstRow="0" w:lastRow="0" w:firstColumn="0" w:lastColumn="0" w:noHBand="0" w:noVBand="0"/>
      </w:tblPr>
      <w:tblGrid>
        <w:gridCol w:w="959"/>
        <w:gridCol w:w="1134"/>
        <w:gridCol w:w="2126"/>
        <w:gridCol w:w="1559"/>
      </w:tblGrid>
      <w:tr w:rsidR="00C510C2" w:rsidRPr="00F41174" w14:paraId="0E10DB24" w14:textId="77777777" w:rsidTr="00C510C2">
        <w:trPr>
          <w:trHeight w:val="300"/>
          <w:jc w:val="center"/>
        </w:trPr>
        <w:tc>
          <w:tcPr>
            <w:tcW w:w="959" w:type="dxa"/>
          </w:tcPr>
          <w:p w14:paraId="0DD79BFF"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b/>
                <w:bCs/>
                <w:lang w:eastAsia="en-US"/>
              </w:rPr>
              <w:t>číslo</w:t>
            </w:r>
          </w:p>
        </w:tc>
        <w:tc>
          <w:tcPr>
            <w:tcW w:w="1134" w:type="dxa"/>
          </w:tcPr>
          <w:p w14:paraId="238848A0"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b/>
                <w:bCs/>
                <w:lang w:eastAsia="en-US"/>
              </w:rPr>
              <w:t>lokalita</w:t>
            </w:r>
          </w:p>
        </w:tc>
        <w:tc>
          <w:tcPr>
            <w:tcW w:w="2126" w:type="dxa"/>
          </w:tcPr>
          <w:p w14:paraId="3E56E470"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b/>
                <w:bCs/>
                <w:lang w:eastAsia="en-US"/>
              </w:rPr>
              <w:t>zábor PUPFL (ha)</w:t>
            </w:r>
          </w:p>
        </w:tc>
        <w:tc>
          <w:tcPr>
            <w:tcW w:w="1559" w:type="dxa"/>
          </w:tcPr>
          <w:p w14:paraId="26866D03"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b/>
                <w:bCs/>
                <w:lang w:eastAsia="en-US"/>
              </w:rPr>
              <w:t>postoj OSSL</w:t>
            </w:r>
          </w:p>
        </w:tc>
      </w:tr>
      <w:tr w:rsidR="00C510C2" w:rsidRPr="00F41174" w14:paraId="4819F7D0" w14:textId="77777777" w:rsidTr="00C510C2">
        <w:trPr>
          <w:trHeight w:val="109"/>
          <w:jc w:val="center"/>
        </w:trPr>
        <w:tc>
          <w:tcPr>
            <w:tcW w:w="959" w:type="dxa"/>
          </w:tcPr>
          <w:p w14:paraId="37B3BFC2"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1</w:t>
            </w:r>
          </w:p>
        </w:tc>
        <w:tc>
          <w:tcPr>
            <w:tcW w:w="1134" w:type="dxa"/>
          </w:tcPr>
          <w:p w14:paraId="05D03A7D"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Z27</w:t>
            </w:r>
          </w:p>
        </w:tc>
        <w:tc>
          <w:tcPr>
            <w:tcW w:w="2126" w:type="dxa"/>
          </w:tcPr>
          <w:p w14:paraId="20608C0D"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0,035</w:t>
            </w:r>
          </w:p>
        </w:tc>
        <w:tc>
          <w:tcPr>
            <w:tcW w:w="1559" w:type="dxa"/>
          </w:tcPr>
          <w:p w14:paraId="32E9A2DE"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souhlas</w:t>
            </w:r>
          </w:p>
        </w:tc>
      </w:tr>
      <w:tr w:rsidR="00C510C2" w:rsidRPr="00F41174" w14:paraId="46407292" w14:textId="77777777" w:rsidTr="00C510C2">
        <w:trPr>
          <w:trHeight w:val="109"/>
          <w:jc w:val="center"/>
        </w:trPr>
        <w:tc>
          <w:tcPr>
            <w:tcW w:w="959" w:type="dxa"/>
          </w:tcPr>
          <w:p w14:paraId="2744C63F"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2</w:t>
            </w:r>
          </w:p>
        </w:tc>
        <w:tc>
          <w:tcPr>
            <w:tcW w:w="1134" w:type="dxa"/>
          </w:tcPr>
          <w:p w14:paraId="14763701"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Z72</w:t>
            </w:r>
          </w:p>
        </w:tc>
        <w:tc>
          <w:tcPr>
            <w:tcW w:w="2126" w:type="dxa"/>
          </w:tcPr>
          <w:p w14:paraId="1628EC38"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1,024</w:t>
            </w:r>
          </w:p>
        </w:tc>
        <w:tc>
          <w:tcPr>
            <w:tcW w:w="1559" w:type="dxa"/>
          </w:tcPr>
          <w:p w14:paraId="3AFAE56E"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b/>
                <w:bCs/>
                <w:lang w:eastAsia="en-US"/>
              </w:rPr>
              <w:t>nesouhlas</w:t>
            </w:r>
          </w:p>
        </w:tc>
      </w:tr>
      <w:tr w:rsidR="00C510C2" w:rsidRPr="00F41174" w14:paraId="1A92BC0E" w14:textId="77777777" w:rsidTr="00C510C2">
        <w:trPr>
          <w:trHeight w:val="109"/>
          <w:jc w:val="center"/>
        </w:trPr>
        <w:tc>
          <w:tcPr>
            <w:tcW w:w="959" w:type="dxa"/>
          </w:tcPr>
          <w:p w14:paraId="31781B10"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3</w:t>
            </w:r>
          </w:p>
        </w:tc>
        <w:tc>
          <w:tcPr>
            <w:tcW w:w="1134" w:type="dxa"/>
          </w:tcPr>
          <w:p w14:paraId="67B30E5A"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Z80</w:t>
            </w:r>
          </w:p>
        </w:tc>
        <w:tc>
          <w:tcPr>
            <w:tcW w:w="2126" w:type="dxa"/>
          </w:tcPr>
          <w:p w14:paraId="5B3A6EDB"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0,040</w:t>
            </w:r>
          </w:p>
        </w:tc>
        <w:tc>
          <w:tcPr>
            <w:tcW w:w="1559" w:type="dxa"/>
          </w:tcPr>
          <w:p w14:paraId="6BBBB16E"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souhlas</w:t>
            </w:r>
          </w:p>
        </w:tc>
      </w:tr>
      <w:tr w:rsidR="00C510C2" w:rsidRPr="00F41174" w14:paraId="299F4C43" w14:textId="77777777" w:rsidTr="00C510C2">
        <w:trPr>
          <w:trHeight w:val="109"/>
          <w:jc w:val="center"/>
        </w:trPr>
        <w:tc>
          <w:tcPr>
            <w:tcW w:w="959" w:type="dxa"/>
          </w:tcPr>
          <w:p w14:paraId="0A451891"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4</w:t>
            </w:r>
          </w:p>
        </w:tc>
        <w:tc>
          <w:tcPr>
            <w:tcW w:w="1134" w:type="dxa"/>
          </w:tcPr>
          <w:p w14:paraId="17CC1DFD"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Z98</w:t>
            </w:r>
          </w:p>
        </w:tc>
        <w:tc>
          <w:tcPr>
            <w:tcW w:w="2126" w:type="dxa"/>
          </w:tcPr>
          <w:p w14:paraId="0CA725F1"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0,027</w:t>
            </w:r>
          </w:p>
        </w:tc>
        <w:tc>
          <w:tcPr>
            <w:tcW w:w="1559" w:type="dxa"/>
          </w:tcPr>
          <w:p w14:paraId="0367366B"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souhlas</w:t>
            </w:r>
          </w:p>
        </w:tc>
      </w:tr>
      <w:tr w:rsidR="00C510C2" w:rsidRPr="00F41174" w14:paraId="42A0D2FD" w14:textId="77777777" w:rsidTr="00C510C2">
        <w:trPr>
          <w:trHeight w:val="109"/>
          <w:jc w:val="center"/>
        </w:trPr>
        <w:tc>
          <w:tcPr>
            <w:tcW w:w="959" w:type="dxa"/>
          </w:tcPr>
          <w:p w14:paraId="5F3D7251"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5</w:t>
            </w:r>
          </w:p>
        </w:tc>
        <w:tc>
          <w:tcPr>
            <w:tcW w:w="1134" w:type="dxa"/>
          </w:tcPr>
          <w:p w14:paraId="53576E4F"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X01</w:t>
            </w:r>
          </w:p>
        </w:tc>
        <w:tc>
          <w:tcPr>
            <w:tcW w:w="2126" w:type="dxa"/>
          </w:tcPr>
          <w:p w14:paraId="5C2FA138"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0,033</w:t>
            </w:r>
          </w:p>
        </w:tc>
        <w:tc>
          <w:tcPr>
            <w:tcW w:w="1559" w:type="dxa"/>
          </w:tcPr>
          <w:p w14:paraId="2A48B6FD"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souhlas</w:t>
            </w:r>
          </w:p>
        </w:tc>
      </w:tr>
      <w:tr w:rsidR="00C510C2" w:rsidRPr="00F41174" w14:paraId="2BE47730" w14:textId="77777777" w:rsidTr="00C510C2">
        <w:trPr>
          <w:trHeight w:val="109"/>
          <w:jc w:val="center"/>
        </w:trPr>
        <w:tc>
          <w:tcPr>
            <w:tcW w:w="959" w:type="dxa"/>
          </w:tcPr>
          <w:p w14:paraId="2ECB0DE7"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6</w:t>
            </w:r>
          </w:p>
        </w:tc>
        <w:tc>
          <w:tcPr>
            <w:tcW w:w="1134" w:type="dxa"/>
          </w:tcPr>
          <w:p w14:paraId="3EE1102A"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X02</w:t>
            </w:r>
          </w:p>
        </w:tc>
        <w:tc>
          <w:tcPr>
            <w:tcW w:w="2126" w:type="dxa"/>
          </w:tcPr>
          <w:p w14:paraId="5B35EC67"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0,204</w:t>
            </w:r>
          </w:p>
        </w:tc>
        <w:tc>
          <w:tcPr>
            <w:tcW w:w="1559" w:type="dxa"/>
          </w:tcPr>
          <w:p w14:paraId="3EBB20C2"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souhlas</w:t>
            </w:r>
          </w:p>
        </w:tc>
      </w:tr>
      <w:tr w:rsidR="00C510C2" w:rsidRPr="00F41174" w14:paraId="74AC0E44" w14:textId="77777777" w:rsidTr="00C510C2">
        <w:trPr>
          <w:trHeight w:val="109"/>
          <w:jc w:val="center"/>
        </w:trPr>
        <w:tc>
          <w:tcPr>
            <w:tcW w:w="959" w:type="dxa"/>
          </w:tcPr>
          <w:p w14:paraId="76BD3591"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7</w:t>
            </w:r>
          </w:p>
        </w:tc>
        <w:tc>
          <w:tcPr>
            <w:tcW w:w="1134" w:type="dxa"/>
          </w:tcPr>
          <w:p w14:paraId="53BCE04E"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X03</w:t>
            </w:r>
          </w:p>
        </w:tc>
        <w:tc>
          <w:tcPr>
            <w:tcW w:w="2126" w:type="dxa"/>
          </w:tcPr>
          <w:p w14:paraId="0FF5E815"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1,990</w:t>
            </w:r>
          </w:p>
        </w:tc>
        <w:tc>
          <w:tcPr>
            <w:tcW w:w="1559" w:type="dxa"/>
          </w:tcPr>
          <w:p w14:paraId="67D515A3"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lang w:eastAsia="en-US"/>
              </w:rPr>
              <w:t>souhlas</w:t>
            </w:r>
          </w:p>
        </w:tc>
      </w:tr>
      <w:tr w:rsidR="00C510C2" w:rsidRPr="00F41174" w14:paraId="68657B48" w14:textId="77777777" w:rsidTr="00C510C2">
        <w:trPr>
          <w:trHeight w:val="107"/>
          <w:jc w:val="center"/>
        </w:trPr>
        <w:tc>
          <w:tcPr>
            <w:tcW w:w="2093" w:type="dxa"/>
            <w:gridSpan w:val="2"/>
          </w:tcPr>
          <w:p w14:paraId="07AC30CE"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b/>
                <w:bCs/>
                <w:lang w:eastAsia="en-US"/>
              </w:rPr>
              <w:t>Celkem</w:t>
            </w:r>
          </w:p>
        </w:tc>
        <w:tc>
          <w:tcPr>
            <w:tcW w:w="3685" w:type="dxa"/>
            <w:gridSpan w:val="2"/>
          </w:tcPr>
          <w:p w14:paraId="73D90A1A" w14:textId="77777777" w:rsidR="00C510C2" w:rsidRPr="00F41174" w:rsidRDefault="00C510C2" w:rsidP="00F41174">
            <w:pPr>
              <w:autoSpaceDE w:val="0"/>
              <w:autoSpaceDN w:val="0"/>
              <w:adjustRightInd w:val="0"/>
              <w:spacing w:before="40" w:line="240" w:lineRule="auto"/>
              <w:jc w:val="center"/>
              <w:rPr>
                <w:rFonts w:eastAsiaTheme="minorHAnsi" w:cstheme="majorBidi"/>
                <w:lang w:eastAsia="en-US"/>
              </w:rPr>
            </w:pPr>
            <w:r w:rsidRPr="00F41174">
              <w:rPr>
                <w:rFonts w:eastAsiaTheme="minorHAnsi" w:cstheme="majorBidi"/>
                <w:b/>
                <w:bCs/>
                <w:lang w:eastAsia="en-US"/>
              </w:rPr>
              <w:t>3,353</w:t>
            </w:r>
          </w:p>
        </w:tc>
      </w:tr>
    </w:tbl>
    <w:p w14:paraId="18377278"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lastRenderedPageBreak/>
        <w:t xml:space="preserve">Krajský úřad </w:t>
      </w:r>
      <w:r w:rsidRPr="00F41174">
        <w:rPr>
          <w:rFonts w:eastAsiaTheme="minorHAnsi" w:cstheme="majorBidi"/>
          <w:b/>
          <w:bCs/>
          <w:lang w:eastAsia="en-US"/>
        </w:rPr>
        <w:t xml:space="preserve">požaduje </w:t>
      </w:r>
      <w:r w:rsidRPr="00F41174">
        <w:rPr>
          <w:rFonts w:eastAsiaTheme="minorHAnsi" w:cstheme="majorBidi"/>
          <w:lang w:eastAsia="en-US"/>
        </w:rPr>
        <w:t>na str. 236 do kap. „</w:t>
      </w:r>
      <w:r w:rsidRPr="00F41174">
        <w:rPr>
          <w:rFonts w:eastAsiaTheme="minorHAnsi" w:cstheme="majorBidi"/>
          <w:i/>
          <w:iCs/>
          <w:lang w:eastAsia="en-US"/>
        </w:rPr>
        <w:t>8.2.2 Plochy změn zasahující do vzdálenosti 50 m od hranice lesa</w:t>
      </w:r>
      <w:r w:rsidRPr="00F41174">
        <w:rPr>
          <w:rFonts w:eastAsiaTheme="minorHAnsi" w:cstheme="majorBidi"/>
          <w:lang w:eastAsia="en-US"/>
        </w:rPr>
        <w:t>“ doplnit toto ustanovení: „Umisťovat stavby do 50 m od okraje lesa lze pouze se souhlasem orgánu státní správy lesů. Umisťování hlavních staveb resp. staveb, u kterých je reálné riziko ohrožení osob nebo významných škod při pádu stromů, není z pohledu zájmů státní správy lesů ve vzdálenosti do 25–30 m od okraje lesa zpravidla žádoucí.“</w:t>
      </w:r>
    </w:p>
    <w:p w14:paraId="222F1BFE"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Toto omezení nebo odkaz na toto omezení uvést u každé zastavitelné plochy do 50 m od lesa.</w:t>
      </w:r>
    </w:p>
    <w:p w14:paraId="4D79A7BE"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Odůvodnění: </w:t>
      </w:r>
    </w:p>
    <w:p w14:paraId="4F2500DC"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Krajský úřad nesouhlasí s návrhem záboru PUPFL na ploše Z72 ve výši 1,024 ha pro letní (lesní) dětský tábor. V odůvodnění záboru se uvádí: „Nepředpokládá se, že by využití plochy mělo negativní vliv na pozemky lesa, naopak zařízení je založeno na blízkosti lesa a koncepce rekreačních aktivit směřuje k ochraně lesa a přírody.“ Toto odůvodnění je v rozporu s požadavkem na zábor PUPFL, neboť tím dochází k uvolnění lesních pozemků pro jiné využití. Je třeba také upozornit, že odnětí PUPFL je zpoplatněno a na dané lokalitě by poplatek za trvalé odnětí 1 ha přesáhl částku 500 000 Kč. S ohledem na výše uvedené by měl být záměr na dané ploše překvalifikován a upřesněn tak, aby využití PUPFL bylo v souladu s lesním zákonem. </w:t>
      </w:r>
    </w:p>
    <w:p w14:paraId="599ED3C8"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r w:rsidRPr="00F41174">
        <w:rPr>
          <w:rFonts w:eastAsiaTheme="minorHAnsi" w:cstheme="majorBidi"/>
          <w:lang w:eastAsia="en-US"/>
        </w:rPr>
        <w:t xml:space="preserve">Zábor Z27 – plocha smíšená obytná – venkovská, jedná se o drobný zábor úzkého pruhu lesa podél cesty. </w:t>
      </w:r>
    </w:p>
    <w:p w14:paraId="3D2F9405"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r w:rsidRPr="00F41174">
        <w:rPr>
          <w:rFonts w:eastAsiaTheme="minorHAnsi" w:cstheme="majorBidi"/>
          <w:lang w:eastAsia="en-US"/>
        </w:rPr>
        <w:t xml:space="preserve">Zábor Z80 – plocha smíšená obytná – venkovská, jedná se o drobný zábor koncové části úzkého pruhu lesního pozemku podél páteřní silnice III/2716 Dolního Sedla. </w:t>
      </w:r>
    </w:p>
    <w:p w14:paraId="654E6106"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r w:rsidRPr="00F41174">
        <w:rPr>
          <w:rFonts w:eastAsiaTheme="minorHAnsi" w:cstheme="majorBidi"/>
          <w:lang w:eastAsia="en-US"/>
        </w:rPr>
        <w:t xml:space="preserve">Zábor Z 98 – plocha veřejného prostranství – komunikace. Drobný zábor z důvodů prostupnosti krajiny pro pěší a cyklisty a zajištění koordinace s územím sousední obce Jablonné v Podještědí. </w:t>
      </w:r>
    </w:p>
    <w:p w14:paraId="0AED21E3"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r w:rsidRPr="00F41174">
        <w:rPr>
          <w:rFonts w:eastAsiaTheme="minorHAnsi" w:cstheme="majorBidi"/>
          <w:lang w:eastAsia="en-US"/>
        </w:rPr>
        <w:t xml:space="preserve">Zábor X01 – jedná se o koridor pro optimalizaci a elektrizaci železniční trati č. 089, jehož vymezení a zpřesnění je provedeno v souladu s požadavky Zásad územního rozvoje Libereckého kraje (dále jen ZÚR LK), (dle ZÚR LK se jedná o veřejně prospěšnou stavbu DS28). </w:t>
      </w:r>
    </w:p>
    <w:p w14:paraId="4639BADC"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r w:rsidRPr="00F41174">
        <w:rPr>
          <w:rFonts w:eastAsiaTheme="minorHAnsi" w:cstheme="majorBidi"/>
          <w:lang w:eastAsia="en-US"/>
        </w:rPr>
        <w:t xml:space="preserve">Zábor X02 – jedná se o koridor pro umístění protipovodňových opatření na Lužické Nise, jehož vymezení a zpřesnění je provedeno v souladu s požadavky ZÚR LK (dle ZÚR LK se jedná o veřejně prospěšnou stavbu P09). Zábor X03 – jedná se o koridor pro umístění protipovodňových opatření na Oldřichovském potoce, jehož vymezení a zpřesnění je provedeno v souladu s požadavky ZÚR LK (dle ZÚR LK se jedná o veřejně prospěšnou stavbu P53). </w:t>
      </w:r>
    </w:p>
    <w:p w14:paraId="2FC26902"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Stavby ve vzdálenosti do 50 m od okraje lesa mohou mít negativní vliv na les nebo mohou být existencí lesa negativně ovlivněny či ohroženy. To dále vyvolává požadavky na předčasné kácení lesa nebo na omezení hospodaření. Proto lesní zákon (č. 289/1995 Sb.) v § 14 odst. 2 zmocňuje orgány státní správy lesů posuzovat dotčení pozemků ve vzdálenosti do 50 m od okraje lesa, aby se těmto negativním kontraindikacím předcházelo.</w:t>
      </w:r>
    </w:p>
    <w:p w14:paraId="6780749A" w14:textId="77777777" w:rsidR="00C510C2" w:rsidRPr="00F41174" w:rsidRDefault="00C510C2" w:rsidP="002B5D5D">
      <w:pPr>
        <w:spacing w:before="120"/>
        <w:rPr>
          <w:rFonts w:cstheme="majorBidi"/>
          <w:i/>
          <w:iCs/>
          <w:lang w:eastAsia="en-US"/>
        </w:rPr>
      </w:pPr>
      <w:r w:rsidRPr="00F41174">
        <w:rPr>
          <w:rFonts w:cstheme="majorBidi"/>
          <w:b/>
          <w:bCs/>
          <w:i/>
          <w:iCs/>
          <w:lang w:eastAsia="en-US"/>
        </w:rPr>
        <w:t xml:space="preserve">Vyhodnocení stanoviska  </w:t>
      </w:r>
    </w:p>
    <w:p w14:paraId="460619BA" w14:textId="77777777" w:rsidR="00C510C2" w:rsidRPr="00F41174" w:rsidRDefault="00C510C2" w:rsidP="002B5D5D">
      <w:pPr>
        <w:spacing w:before="120"/>
        <w:rPr>
          <w:rFonts w:cstheme="majorBidi"/>
          <w:bCs/>
          <w:i/>
          <w:iCs/>
          <w:lang w:eastAsia="en-US"/>
        </w:rPr>
      </w:pPr>
      <w:r w:rsidRPr="00F41174">
        <w:rPr>
          <w:rFonts w:cstheme="majorBidi"/>
          <w:bCs/>
          <w:i/>
          <w:iCs/>
          <w:lang w:eastAsia="en-US"/>
        </w:rPr>
        <w:t>Pořizovatel ve spolupráci s určeným zastupitelem se zabýval požadavkem dotčeného orgánu a s ohledem na lesní zákon, podmínky v území, ochrany krajinného rázu a záměr rozvoje území města, a na základě provedených zjištění uzavřel s dotčeným orgánem dohodu č.j. OSŽP-2564/2019 –PES ze dne 01.04.2019:</w:t>
      </w:r>
    </w:p>
    <w:p w14:paraId="7315CFFB" w14:textId="77777777" w:rsidR="00C510C2" w:rsidRPr="00F41174" w:rsidRDefault="00C510C2" w:rsidP="002B5D5D">
      <w:pPr>
        <w:spacing w:before="120"/>
        <w:rPr>
          <w:rFonts w:cstheme="majorBidi"/>
          <w:bCs/>
          <w:i/>
          <w:iCs/>
          <w:lang w:eastAsia="en-US"/>
        </w:rPr>
      </w:pPr>
      <w:r w:rsidRPr="00F41174">
        <w:rPr>
          <w:rFonts w:cstheme="majorBidi"/>
          <w:bCs/>
          <w:i/>
          <w:iCs/>
          <w:lang w:eastAsia="en-US"/>
        </w:rPr>
        <w:t>Zastavitelná plocha Z72 bude z návrhu územního plánu vypuštěna.</w:t>
      </w:r>
    </w:p>
    <w:p w14:paraId="26D8C11A" w14:textId="77777777" w:rsidR="00C510C2" w:rsidRPr="00F41174" w:rsidRDefault="00C510C2" w:rsidP="002B5D5D">
      <w:pPr>
        <w:spacing w:before="120"/>
        <w:rPr>
          <w:rFonts w:cstheme="majorBidi"/>
          <w:bCs/>
          <w:i/>
          <w:iCs/>
          <w:lang w:eastAsia="en-US"/>
        </w:rPr>
      </w:pPr>
      <w:r w:rsidRPr="00F41174">
        <w:rPr>
          <w:rFonts w:cstheme="majorBidi"/>
          <w:bCs/>
          <w:i/>
          <w:iCs/>
          <w:lang w:eastAsia="en-US"/>
        </w:rPr>
        <w:t>Do odůvodnění návrhu územního plánu bude do kapitoly 8.2.2 Plochy změn zasahující do vzdálenosti 50 m od hranice lesa“ doplněno následující: „Umisťovat stavby do 50 m od okraje lesa lze pouze se souhlasem orgánu státní správy lesů. Umisťování hlavních staveb resp. staveb, u kterých je reálné riziko ohrožení osob nebo významných škod při pádu stromů, není z pohledu zájmů státní správy lesů ve vzdálenosti do 25 – 30 m od okraje lesa zpravidla žádoucí.“</w:t>
      </w:r>
    </w:p>
    <w:p w14:paraId="70ACBFC7" w14:textId="77777777" w:rsidR="00C510C2" w:rsidRPr="00F41174" w:rsidRDefault="00C510C2" w:rsidP="002B5D5D">
      <w:pPr>
        <w:autoSpaceDE w:val="0"/>
        <w:autoSpaceDN w:val="0"/>
        <w:adjustRightInd w:val="0"/>
        <w:spacing w:before="240" w:line="240" w:lineRule="auto"/>
        <w:ind w:left="567"/>
        <w:rPr>
          <w:rFonts w:eastAsiaTheme="minorHAnsi" w:cstheme="majorBidi"/>
          <w:lang w:eastAsia="en-US"/>
        </w:rPr>
      </w:pPr>
      <w:r w:rsidRPr="00F41174">
        <w:rPr>
          <w:rFonts w:eastAsiaTheme="minorHAnsi" w:cstheme="majorBidi"/>
          <w:b/>
          <w:bCs/>
          <w:lang w:eastAsia="en-US"/>
        </w:rPr>
        <w:t xml:space="preserve">3) zákona č. 100/2001 Sb., o posuzování vlivů na životní prostředí a o změně některých souvisejících zákonů (zákon o posuzování vlivů na životní prostředí), ve znění pozdějších předpisů: </w:t>
      </w:r>
    </w:p>
    <w:p w14:paraId="2E462610"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KÚ LK v souladu s § 51 odst. 3 stavebního zákona uplatňuje toto stanovisko: </w:t>
      </w:r>
    </w:p>
    <w:p w14:paraId="542EF586"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lastRenderedPageBreak/>
        <w:t>K návrhu ÚP Hrádek nad Nisou uplatňuje požadavek na zpracování vyhodnocení vlivů na životní prostředí</w:t>
      </w:r>
      <w:r w:rsidRPr="00F41174">
        <w:rPr>
          <w:rFonts w:eastAsiaTheme="minorHAnsi" w:cstheme="majorBidi"/>
          <w:lang w:eastAsia="en-US"/>
        </w:rPr>
        <w:t xml:space="preserve">. </w:t>
      </w:r>
    </w:p>
    <w:p w14:paraId="288DFAFC"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Odůvodnění: </w:t>
      </w:r>
    </w:p>
    <w:p w14:paraId="69E25F33"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KÚ LK posoudil předložený Návrh ÚP Hrádek nad Nisou, vzhledem k tomu, že nebyl respektován Návrh Zadání ÚP Hrádek nad Nisou, kde bylo uvedeno, že udržitelný rozvoj území spočívá ve vyváženém vztahu územních podmínek pro příznivé životní prostředí, pro hospodářský rozvoj a pro soudržnost společenství obyvatel v území, požaduje posouzení vlivů na životní prostředí, které vyhodnotil na základě kritérií uvedených v příloze č. 8 zákona: </w:t>
      </w:r>
    </w:p>
    <w:p w14:paraId="2C6B1693"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1. Obsah koncepce, zejména s ohledem na: </w:t>
      </w:r>
    </w:p>
    <w:p w14:paraId="234DC039"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a. účelnost stanovených variant řešení k dosažení sledovaných cílů koncepce </w:t>
      </w:r>
      <w:r w:rsidRPr="00F41174">
        <w:rPr>
          <w:rFonts w:eastAsiaTheme="minorHAnsi" w:cstheme="majorBidi"/>
          <w:lang w:eastAsia="en-US"/>
        </w:rPr>
        <w:t xml:space="preserve">– Návrh ÚP Hrádek nad Nisou obsahuje invariantní řešení předložené koncepce. Jedná se o Návrh územního plánu, kde jsou navrženy plochy lehkého průmyslu o výměře 24,311 ha; plochy výroby a skladování se specifickým využitím o výměře 16,196 ha; plochy bydlení městské a příměstské o výměře 49, 498 ha; bydlení venkovské o výměře 14,430 ha. Návrhem územního plánu je dotčena půda v I. a II. třídě ochrany, která je vymezena na cca 100 ha, což představuje cca 70 % návrhových lokalit. Celková plocha záboru ZPF činí 140,141 ha. </w:t>
      </w:r>
    </w:p>
    <w:p w14:paraId="78D414BC"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b. míru, v jaké koncepce stanoví rámec pro záměry a jiné činnosti, a to buď vzhledem k jejich umístění, povaze, velikosti a provozním podmínkám nebo z hlediska požadavků na přírodní zdroje </w:t>
      </w:r>
      <w:r w:rsidRPr="00F41174">
        <w:rPr>
          <w:rFonts w:eastAsiaTheme="minorHAnsi" w:cstheme="majorBidi"/>
          <w:lang w:eastAsia="en-US"/>
        </w:rPr>
        <w:t>– Předmětem koncepce jsou tedy takové změny, které svým charakterem zakládají rámec pro budoucí povolení záměrů uvedených v příloze č. 1 k zákonu, a to např. bod 106 Výstavba skladových komplexů s celkovou zastavěnou plochou od 10 tisíc m</w:t>
      </w:r>
      <w:r w:rsidRPr="00F41174">
        <w:rPr>
          <w:rFonts w:eastAsiaTheme="minorHAnsi" w:cstheme="majorBidi"/>
          <w:vertAlign w:val="superscript"/>
          <w:lang w:eastAsia="en-US"/>
        </w:rPr>
        <w:t>2</w:t>
      </w:r>
      <w:r w:rsidRPr="00F41174">
        <w:rPr>
          <w:rFonts w:eastAsiaTheme="minorHAnsi" w:cstheme="majorBidi"/>
          <w:lang w:eastAsia="en-US"/>
        </w:rPr>
        <w:t xml:space="preserve">. A další průmyslové činnosti uvedené v příloze č. 1 zákona. Plochy výroby a skladování se specifickým využitím jsou navrhovány na výměře 16,196 ha. </w:t>
      </w:r>
    </w:p>
    <w:p w14:paraId="7B2C5BD1"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c. míru, v jaké ovlivňuje jiné koncepce </w:t>
      </w:r>
      <w:r w:rsidRPr="00F41174">
        <w:rPr>
          <w:rFonts w:eastAsiaTheme="minorHAnsi" w:cstheme="majorBidi"/>
          <w:lang w:eastAsia="en-US"/>
        </w:rPr>
        <w:t xml:space="preserve">– Předkládaný návrh nebude mít vztah k územním plánům sousedních obcí. </w:t>
      </w:r>
      <w:r w:rsidRPr="00F41174">
        <w:rPr>
          <w:rFonts w:eastAsiaTheme="minorHAnsi" w:cstheme="majorBidi"/>
          <w:b/>
          <w:bCs/>
          <w:lang w:eastAsia="en-US"/>
        </w:rPr>
        <w:t xml:space="preserve">Program zlepšování kvality ovzduší zóna severovýchod – CZ 05 </w:t>
      </w:r>
      <w:r w:rsidRPr="00F41174">
        <w:rPr>
          <w:rFonts w:eastAsiaTheme="minorHAnsi" w:cstheme="majorBidi"/>
          <w:lang w:eastAsia="en-US"/>
        </w:rPr>
        <w:t xml:space="preserve">(dále jen PZKO) bude předkládanou koncepcí ovlivněn. Součástí PZKO je i </w:t>
      </w:r>
      <w:r w:rsidRPr="00F41174">
        <w:rPr>
          <w:rFonts w:eastAsiaTheme="minorHAnsi" w:cstheme="majorBidi"/>
          <w:b/>
          <w:bCs/>
          <w:lang w:eastAsia="en-US"/>
        </w:rPr>
        <w:t xml:space="preserve">Opatření ED1 </w:t>
      </w:r>
      <w:r w:rsidRPr="00F41174">
        <w:rPr>
          <w:rFonts w:eastAsiaTheme="minorHAnsi" w:cstheme="majorBidi"/>
          <w:lang w:eastAsia="en-US"/>
        </w:rPr>
        <w:t xml:space="preserve">vztahující se k územnímu plánování. Při tvorbě, aktualizaci a změnách územně plánovací dokumentace (dále jen ÚPD) je nutné, aby pořizovatel ÚPD v maximální možné míře zohledňoval zásady uvedené v Opatření ED1. </w:t>
      </w:r>
    </w:p>
    <w:p w14:paraId="6FCB53F0"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d. význam koncepce pro začlenění požadavků na ochranu životního prostředí a veřejné zdraví, zejména s ohledem na podporu udržitelného rozvoje </w:t>
      </w:r>
      <w:r w:rsidRPr="00F41174">
        <w:rPr>
          <w:rFonts w:eastAsiaTheme="minorHAnsi" w:cstheme="majorBidi"/>
          <w:lang w:eastAsia="en-US"/>
        </w:rPr>
        <w:t>– ÚP Hrádku nad Nisou je strategickým dokumentem s výrazným potenciálem pro začlenění požadavků na ochranu životního prostředí a veřejného zdraví.</w:t>
      </w:r>
    </w:p>
    <w:p w14:paraId="6660177F"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e. vliv koncepce na udržitelný rozvoj dotčeného území (včetně sociálněekonomických aspektů) – </w:t>
      </w:r>
      <w:r w:rsidRPr="00F41174">
        <w:rPr>
          <w:rFonts w:eastAsiaTheme="minorHAnsi" w:cstheme="majorBidi"/>
          <w:lang w:eastAsia="en-US"/>
        </w:rPr>
        <w:t xml:space="preserve">Cílem územního plánování je vytvářet předpoklady pro výstavbu a pro udržitelný rozvoj území, který spočívá ve vyváženém vztahu podmínek pro příznivé životní prostředí, pro hospodářský rozvoj a pro soudržnost společenství obyvatel území. Návrhem předkládaných změn dochází k podpoře zejména sociálního a ekonomického pilíře udržitelného rozvoje území. Navrhovaná změna zásadně ovlivní udržitelný rozvoj dané oblasti. </w:t>
      </w:r>
    </w:p>
    <w:p w14:paraId="0F723FFA"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f. problémy životního prostředí a veřejného zdraví, které jsou závažné pro koncepci </w:t>
      </w:r>
      <w:r w:rsidRPr="00F41174">
        <w:rPr>
          <w:rFonts w:eastAsiaTheme="minorHAnsi" w:cstheme="majorBidi"/>
          <w:lang w:eastAsia="en-US"/>
        </w:rPr>
        <w:t xml:space="preserve">- Zájmová oblast spadá do povodí Lužické Nisy, která má přítoky (Oldřichovský potok, Václavický potok, a toky Slad a Nowa Biedrzychówka). Do území zasahuje i povodí Panenského potoka, který svádí vodu do Ploučnice. Nejvýznamnější vodní plochou je zatopený lom Kristýna, další menší vodní nádrže jsou ve Václavicích: Václavická přehrada, Mastníkův rybník a Malý rybník. Část území leží v chráněné oblasti přirozené akumulace vod Severočeská křída. Katastry Hrádek nad Nisou, Oldřichov na Hranicích, Václavice u Hrádku nad Nisou jsou zařazeny mezi zranitelné oblasti. Část území je zahrnuta do oblastí se zhoršenou kvalitou ovzduší – překročení imisních limitů pro ochranu zdraví (přízemní ozón). V obci je několik lokalit označených jako stará ekologická zátěž. Oblast je zařazena do přechodného až středního rizika pronikání radonu. Část území spadá do CHKO Lužické hory. Na území obce je registrováno 7 významných krajinných prvků – parky, aleje stromů. Na území obce je vymezen rozsáhlý územní systém ekologické stability. </w:t>
      </w:r>
    </w:p>
    <w:p w14:paraId="2D0D0F52"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b/>
          <w:bCs/>
          <w:lang w:eastAsia="en-US"/>
        </w:rPr>
        <w:lastRenderedPageBreak/>
        <w:t xml:space="preserve">g. význam koncepce pro implementaci požadavků vyplývajících z právních předpisů Evropského společenství týkajících se životního prostředí a veřejného zdraví </w:t>
      </w:r>
      <w:r w:rsidRPr="00F41174">
        <w:rPr>
          <w:rFonts w:eastAsiaTheme="minorHAnsi" w:cstheme="majorBidi"/>
          <w:lang w:eastAsia="en-US"/>
        </w:rPr>
        <w:t xml:space="preserve">– Předkládaná koncepce neobsahuje takové změny, které by představovaly významné dopady do oblastí uplatňování práva životního prostředí EU. </w:t>
      </w:r>
    </w:p>
    <w:p w14:paraId="69118ACA"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2. Charakteristika vlivů koncepce na životní prostředí a veřejné zdraví a charakteristika dotčeného území, zejména s ohledem na: </w:t>
      </w:r>
    </w:p>
    <w:p w14:paraId="61064498"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a. pravděpodobnost, dobu trvání, četnost a vratnost vlivu </w:t>
      </w:r>
      <w:r w:rsidRPr="00F41174">
        <w:rPr>
          <w:rFonts w:eastAsiaTheme="minorHAnsi" w:cstheme="majorBidi"/>
          <w:lang w:eastAsia="en-US"/>
        </w:rPr>
        <w:t xml:space="preserve">– U Návrhu ÚP Hrádek nad Nisou lze předpokládat vlivy trvalé a nevratné – např. zábor ZPF, LPF. </w:t>
      </w:r>
    </w:p>
    <w:p w14:paraId="4882538F"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b. kumulativní a synergickou povahu vlivu – </w:t>
      </w:r>
      <w:r w:rsidRPr="00F41174">
        <w:rPr>
          <w:rFonts w:eastAsiaTheme="minorHAnsi" w:cstheme="majorBidi"/>
          <w:lang w:eastAsia="en-US"/>
        </w:rPr>
        <w:t xml:space="preserve">Na základě charakteru dotčeného území a charakteru Návrhu ÚP Hrádek nad Nisou lze potenciální kumulativní a synergické vlivy s jinými záměry očekávat. </w:t>
      </w:r>
    </w:p>
    <w:p w14:paraId="4ACC74B5"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c. přeshraniční povahu vlivu </w:t>
      </w:r>
      <w:r w:rsidRPr="00F41174">
        <w:rPr>
          <w:rFonts w:eastAsiaTheme="minorHAnsi" w:cstheme="majorBidi"/>
          <w:lang w:eastAsia="en-US"/>
        </w:rPr>
        <w:t xml:space="preserve">– Návrh ÚP Hrádek nad Nisou řeší návrhové plochy v blízkosti státní hranice. Vlivy přesahující hranice České republiky jsou tudíž zvažovány, obec se nachází na hranici státní hranice s Polskem a Německem. </w:t>
      </w:r>
    </w:p>
    <w:p w14:paraId="20A622D7"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d. rizika pro životní prostředí a veřejné zdraví vyplývající z provedení koncepce (např. při přírodních katastrofách, při haváriích) </w:t>
      </w:r>
      <w:r w:rsidRPr="00F41174">
        <w:rPr>
          <w:rFonts w:eastAsiaTheme="minorHAnsi" w:cstheme="majorBidi"/>
          <w:lang w:eastAsia="en-US"/>
        </w:rPr>
        <w:t xml:space="preserve">– Vzhledem k charakteru Návrhu lze očekávat vážná rizika pro životní prostředí a veřejné zdraví vyplývající z provedení koncepce. </w:t>
      </w:r>
    </w:p>
    <w:p w14:paraId="209358D7"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e. závažnost a rozsah vlivu (počet obyvatel, který by mohl být pravděpodobně zasažen) </w:t>
      </w:r>
      <w:r w:rsidRPr="00F41174">
        <w:rPr>
          <w:rFonts w:eastAsiaTheme="minorHAnsi" w:cstheme="majorBidi"/>
          <w:lang w:eastAsia="en-US"/>
        </w:rPr>
        <w:t xml:space="preserve">– Na základě předloženého Návrhu ÚP Hrádek nad Nisou a vzhledem k počtu obyvatel žijících v dotčeném území lze předpokládat významné a rozsáhlé vlivy, které by mohly zasáhnout obyvatele. </w:t>
      </w:r>
    </w:p>
    <w:p w14:paraId="4FC3F590" w14:textId="77777777" w:rsidR="00C510C2" w:rsidRPr="00F41174" w:rsidRDefault="00C510C2" w:rsidP="00F41174">
      <w:pPr>
        <w:autoSpaceDE w:val="0"/>
        <w:autoSpaceDN w:val="0"/>
        <w:adjustRightInd w:val="0"/>
        <w:spacing w:before="120" w:after="60" w:line="240" w:lineRule="auto"/>
        <w:ind w:left="567"/>
        <w:rPr>
          <w:rFonts w:eastAsiaTheme="minorHAnsi" w:cstheme="majorBidi"/>
          <w:lang w:eastAsia="en-US"/>
        </w:rPr>
      </w:pPr>
      <w:r w:rsidRPr="00F41174">
        <w:rPr>
          <w:rFonts w:eastAsiaTheme="minorHAnsi" w:cstheme="majorBidi"/>
          <w:b/>
          <w:bCs/>
          <w:lang w:eastAsia="en-US"/>
        </w:rPr>
        <w:t xml:space="preserve">f. důležitost a zranitelnost oblasti, která by mohla být zasažena, s ohledem na: </w:t>
      </w:r>
    </w:p>
    <w:p w14:paraId="2BB07DC4"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i. zvláštní přírodní charakteristiku nebo kulturní dědictví </w:t>
      </w:r>
      <w:r w:rsidRPr="00F41174">
        <w:rPr>
          <w:rFonts w:eastAsiaTheme="minorHAnsi" w:cstheme="majorBidi"/>
          <w:lang w:eastAsia="en-US"/>
        </w:rPr>
        <w:t xml:space="preserve">– Na území obce by zvláště chráněná území, lokality soustavy NATURA 2000 neměly být dotčeny. Vzhledem k charakteru požadavků na změnu územního plánu lze vyloučit vlivy na další přírodní a kulturní hodnoty v dotčeném území 5. </w:t>
      </w:r>
    </w:p>
    <w:p w14:paraId="2CD5839F"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ii. hustotu obyvatel, osídlení a míru urbanizace </w:t>
      </w:r>
      <w:r w:rsidRPr="00F41174">
        <w:rPr>
          <w:rFonts w:eastAsiaTheme="minorHAnsi" w:cstheme="majorBidi"/>
          <w:lang w:eastAsia="en-US"/>
        </w:rPr>
        <w:t xml:space="preserve">– Vzhledem k Návrhu ÚP Hrádek nad Nisou a dále vzhledem ke skutečnosti, že dotčené území má urbanizovaný charakter s větší hustotou obyvatel (k 1. 1. 2017 mělo město Hrádek nad Nisou 7645 obyvatel), negativní vlivy se dají předpokládat. </w:t>
      </w:r>
    </w:p>
    <w:p w14:paraId="1627462D"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iii. překročení norem kvality životního prostředí nebo mezních hodnot </w:t>
      </w:r>
      <w:r w:rsidRPr="00F41174">
        <w:rPr>
          <w:rFonts w:eastAsiaTheme="minorHAnsi" w:cstheme="majorBidi"/>
          <w:lang w:eastAsia="en-US"/>
        </w:rPr>
        <w:t xml:space="preserve">– Vzhledem k předloženému Návrhu lze předpokládat ovlivnění kvality životního prostředí. </w:t>
      </w:r>
    </w:p>
    <w:p w14:paraId="7BBBF6E6"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iv. kvalitu půdy a intenzitu jejího využívání </w:t>
      </w:r>
      <w:r w:rsidRPr="00F41174">
        <w:rPr>
          <w:rFonts w:eastAsiaTheme="minorHAnsi" w:cstheme="majorBidi"/>
          <w:lang w:eastAsia="en-US"/>
        </w:rPr>
        <w:t xml:space="preserve">– Navrženým řešením lze předpokládat negativní vliv v podobě záborů půdy a lesních pozemků a současného odnětí jejich původních funkcí (dojde k novým významným záborům v rámci jednoho města). V Návrhu ÚP Hrádek nad Nisou jsou navrhovány změny funkčního využití zemědělských pozemků na nové zastavitelné plochy – v rozsahu cca 140,141 ha. Zábor je navrhován na půdách I. třídy ochrany o záboru 16,155 ha a II. třídy ochrany o záboru 84,077 ha. Celková výměra takto cenných půd zaujímá zábor 100,232 ha. </w:t>
      </w:r>
    </w:p>
    <w:p w14:paraId="74FBCB7D"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v. dopady změny klimatu – </w:t>
      </w:r>
      <w:r w:rsidRPr="00F41174">
        <w:rPr>
          <w:rFonts w:eastAsiaTheme="minorHAnsi" w:cstheme="majorBidi"/>
          <w:lang w:eastAsia="en-US"/>
        </w:rPr>
        <w:t>Ve fázi Návrhu není předpokládáno negativní ovlivnění (mikro)klimatu v dotčeném území.</w:t>
      </w:r>
    </w:p>
    <w:p w14:paraId="7ABA7703"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b/>
          <w:bCs/>
          <w:lang w:eastAsia="en-US"/>
        </w:rPr>
        <w:t xml:space="preserve">g. dopad na oblasti nebo krajiny s uznávaným statusem ochrany na národní, komunitární nebo mezinárodní úrovni </w:t>
      </w:r>
      <w:r w:rsidRPr="00F41174">
        <w:rPr>
          <w:rFonts w:eastAsiaTheme="minorHAnsi" w:cstheme="majorBidi"/>
          <w:lang w:eastAsia="en-US"/>
        </w:rPr>
        <w:t xml:space="preserve">– Na území obce se nenachází žádná evropsky významná lokalita ani ptačí oblast. Část území města je v CHKO Lužické hory. Na území obce je registrováno 7 významných krajinných prvků. </w:t>
      </w:r>
    </w:p>
    <w:p w14:paraId="5E74B0FD"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b/>
          <w:bCs/>
          <w:lang w:eastAsia="en-US"/>
        </w:rPr>
        <w:t xml:space="preserve">3. Předpokládaný přínos posouzení koncepce ve vztahu k posouzení jiných koncepcí zpracovávaných na odlišných úrovních v téže oblasti </w:t>
      </w:r>
      <w:r w:rsidRPr="00F41174">
        <w:rPr>
          <w:rFonts w:eastAsiaTheme="minorHAnsi" w:cstheme="majorBidi"/>
          <w:lang w:eastAsia="en-US"/>
        </w:rPr>
        <w:t xml:space="preserve">– Přínos posouzení koncepce ve vztahu k posouzení jiných koncepcí na odlišné úrovni (např. aktualizace ZÚR LK) v téže oblasti je předpokládán jako minimální. Posouzení územního plánu má především zajistit její integritu a prevenci závažných či nevratných poškození životního prostředí a veřejného zdraví a zároveň podporovat udržitelný rozvoj území. </w:t>
      </w:r>
    </w:p>
    <w:p w14:paraId="3DB6C056"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lastRenderedPageBreak/>
        <w:t>Lze uzavřít, že na základě porovnání koncepce s výše uvedenými kritérii přílohy č. 8 k zákonu a předloženého Návrhu ÚP Hrádek nad Nisou, krajský úřad dospěl k závěru, že k Návrhu ÚP Hrádek nad Nisou uplatňuje požadavek na zpracování vyhodnocení vlivů koncepce na životní prostředí. Předmětem koncepce jsou takové změny, které svým charakterem zakládají rámec pro budoucí povolení záměrů uvedených v příloze č. 1 k zákonu, a to např. bod 106 Výstavba skladových komplexů s celkovou zastavěnou plochou od 10 tisíc m</w:t>
      </w:r>
      <w:r w:rsidRPr="00F41174">
        <w:rPr>
          <w:rFonts w:eastAsiaTheme="minorHAnsi" w:cstheme="majorBidi"/>
          <w:vertAlign w:val="superscript"/>
          <w:lang w:eastAsia="en-US"/>
        </w:rPr>
        <w:t>2</w:t>
      </w:r>
      <w:r w:rsidRPr="00F41174">
        <w:rPr>
          <w:rFonts w:eastAsiaTheme="minorHAnsi" w:cstheme="majorBidi"/>
          <w:lang w:eastAsia="en-US"/>
        </w:rPr>
        <w:t xml:space="preserve">. </w:t>
      </w:r>
    </w:p>
    <w:p w14:paraId="26FD88B2"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A další průmyslové činnosti uvedené v příloze č. 1 zákona. </w:t>
      </w:r>
    </w:p>
    <w:p w14:paraId="6771EC41"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V souladu s § 10i odst. 2 zákona stanoví krajský úřad níže uvedené podrobnější požadavky na obsah a rozsah vyhodnocení vlivů návrhu územního plánu Hrádek nad Nisou na životní prostředí. Obecně však platí ta zásada, že krajský úřad požaduje zpracovat vyhodnocení vlivů návrhu územního plánu Hrádek nad Nisou na životní prostředí dle přílohy stavebního zákona „Rámcový obsah vyhodnocení vlivu politiky územního rozvoje, zásad územního rozvoje a územního plánu na životní prostředí pro účely posuzování vlivů koncepcí na životní prostředí“ v takové podrobnosti, jaká odpovídá měřítku zpracování předložené změny. </w:t>
      </w:r>
    </w:p>
    <w:p w14:paraId="1881606B"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1. Návrh ÚP Hrádek nad Nisou požaduje jednotlivě vyhodnotit jeho vlivy na všechny složky životního prostředí a veřejné zdraví (např. vlivy na rostliny a živočichy, hluk, ochranu ovzduší, krajinný ráz, hmotný majetek atd.). </w:t>
      </w:r>
    </w:p>
    <w:p w14:paraId="365CA471"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2. V rámci vyhodnocení vlivů na životní prostředí provést vyhodnocení kumulativních a synergických vlivů. Tam, kde budou zjištěny potencionální negativní kumulativní nebo synergické vlivy, je nutné navrhnout kompenzační opatření. </w:t>
      </w:r>
    </w:p>
    <w:p w14:paraId="1B1D460A"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3. Orgán ochrany ovzduší uplatnil k předloženému Návrhu ÚP Hrádek nad Nisou požadavek na vyhodnocení vlivů navrhovaného funkčního využití ploch s potenciálem ovlivnění imisní situace, a to v rámci vyhodnocení vlivů na životní prostředí. Jedná se zejména o návrhové plochy pro lehký průmysl a pro výrobu a skladování se specifickým využitím. Posoudit je třeba únosnost dalšího zatížení území ve vztahu k imisním limitům stanoveným zákonem č. 201/2012 Sb., o ochraně ovzduší, ve znění pozdějších předpisů (dále jen „zákon o ochraně ovzduší“). Při posouzení budou zohledněny stávající reálné emise (průmysl, doprava, lokální topeniště), odhad emisí z návrhových ploch s potenciálem vnosu dalších emisí do ovzduší (při plném vytížení návrhových ploch) a na základě těchto údajů bude učiněn závěr ve vztahu k plnění imisních limitů. V rámci vyhodnocení vlivů na životní prostředí je třeba z hlediska ochrany ovzduší dále věnovat pečlivou pozornost vyhodnocení vhodnosti prostorového uspořádání návrhových ploch s potenciální produkcí emisí a návrhových nebo stabilizovaných ploch s funkcí bydlení (zejm. návrhové plochy Z41 vůči plochám Z43, Z44, Z45 (při zohlednění emisí z provozu na I/35), plochy Z 37 vůči Z38 a stabilizovaným plochám s funkcí bydlení). Vyhodnocení dodržení zásad uvedených v opatření ED1 požaduje orgán ochrany ovzduší rovněž začlenit jako součást vyhodnocení vlivů na životní prostředí. </w:t>
      </w:r>
    </w:p>
    <w:p w14:paraId="4D14AFF2"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4. Orgán ochrany zemědělského půdního fondu uplatňuje požadavek na vyhodnocení vlivů na životní prostředí zejména v plochách funkčních změn pozemků zemědělského půdního fondu na nezemědělské využití.</w:t>
      </w:r>
    </w:p>
    <w:p w14:paraId="1C8C494C" w14:textId="77777777" w:rsidR="00C510C2" w:rsidRPr="00F41174" w:rsidRDefault="00C510C2" w:rsidP="002B5D5D">
      <w:pPr>
        <w:spacing w:before="120"/>
        <w:rPr>
          <w:rFonts w:cstheme="majorBidi"/>
          <w:i/>
          <w:iCs/>
          <w:lang w:eastAsia="en-US"/>
        </w:rPr>
      </w:pPr>
      <w:r w:rsidRPr="00F41174">
        <w:rPr>
          <w:rFonts w:cstheme="majorBidi"/>
          <w:b/>
          <w:bCs/>
          <w:i/>
          <w:iCs/>
          <w:lang w:eastAsia="en-US"/>
        </w:rPr>
        <w:t xml:space="preserve">Vyhodnocení stanoviska  </w:t>
      </w:r>
    </w:p>
    <w:p w14:paraId="4CE4AD9E" w14:textId="77777777" w:rsidR="00C510C2" w:rsidRPr="00F41174" w:rsidRDefault="00C510C2" w:rsidP="002B5D5D">
      <w:pPr>
        <w:autoSpaceDE w:val="0"/>
        <w:autoSpaceDN w:val="0"/>
        <w:adjustRightInd w:val="0"/>
        <w:spacing w:before="120" w:line="240" w:lineRule="auto"/>
        <w:rPr>
          <w:rFonts w:eastAsiaTheme="minorHAnsi" w:cstheme="majorBidi"/>
          <w:i/>
          <w:iCs/>
          <w:lang w:eastAsia="en-US"/>
        </w:rPr>
      </w:pPr>
      <w:r w:rsidRPr="00F41174">
        <w:rPr>
          <w:rFonts w:cstheme="majorBidi"/>
          <w:i/>
          <w:iCs/>
          <w:lang w:eastAsia="en-US"/>
        </w:rPr>
        <w:t>Pořizovatel ve spolupráci s určeným zastupitelem vyhodnotil obsah tohoto stanoviska a na základě tohoto vyhodnocení uzavřel s tímto orgánem dohodu č. j.</w:t>
      </w:r>
      <w:r w:rsidRPr="00F41174">
        <w:rPr>
          <w:rFonts w:eastAsiaTheme="minorHAnsi" w:cstheme="majorBidi"/>
          <w:lang w:eastAsia="en-US"/>
        </w:rPr>
        <w:t xml:space="preserve"> </w:t>
      </w:r>
      <w:r w:rsidRPr="00F41174">
        <w:rPr>
          <w:rFonts w:eastAsiaTheme="minorHAnsi" w:cstheme="majorBidi"/>
          <w:i/>
          <w:iCs/>
          <w:lang w:eastAsia="en-US"/>
        </w:rPr>
        <w:t xml:space="preserve">OSŽP-2564/2019-PES ze dne 1. 4. 2019 ve které jsou všechny body stanoviska náležitě dohodnuty. </w:t>
      </w:r>
    </w:p>
    <w:p w14:paraId="2B562290" w14:textId="77777777" w:rsidR="00C510C2" w:rsidRPr="00F41174" w:rsidRDefault="00C510C2" w:rsidP="00C510C2">
      <w:pPr>
        <w:autoSpaceDE w:val="0"/>
        <w:autoSpaceDN w:val="0"/>
        <w:adjustRightInd w:val="0"/>
        <w:spacing w:line="240" w:lineRule="auto"/>
        <w:rPr>
          <w:rFonts w:eastAsiaTheme="minorHAnsi" w:cstheme="majorBidi"/>
          <w:lang w:eastAsia="en-US"/>
        </w:rPr>
      </w:pPr>
    </w:p>
    <w:p w14:paraId="2278C78E"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r w:rsidRPr="00F41174">
        <w:rPr>
          <w:rFonts w:eastAsiaTheme="minorHAnsi" w:cstheme="majorBidi"/>
          <w:b/>
          <w:bCs/>
          <w:lang w:eastAsia="en-US"/>
        </w:rPr>
        <w:t xml:space="preserve">4) zákona č. 334/1992 Sb., o ochraně zemědělského půdního fondu, ve znění pozdějších předpisů: </w:t>
      </w:r>
    </w:p>
    <w:p w14:paraId="0E8C52E1"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t>KÚ LK, odbor životního prostředí a zemědělství, jako orgán ochrany zemědělského půdního fondu (ochrany ZPF) podle § 13 odst. 1 písm. b) zákona č. 334/1992 Sb., o ochraně zemědělského půdního fondu, ve znění pozdějších předpisů (dále jen „zákon o ochraně ZPF“), příslušný podle § 17a písmene a) zákona o ochraně ZPF, podle § 5 odst. 2 zákona o ochraně ZPF uplatňuje k Návrhu ÚP Hrádek nad Nisou následující stanovisko:</w:t>
      </w:r>
    </w:p>
    <w:p w14:paraId="38542F5F"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lastRenderedPageBreak/>
        <w:t xml:space="preserve">1. Orgán ochrany zemědělského půdního fondu </w:t>
      </w:r>
      <w:r w:rsidRPr="00F41174">
        <w:rPr>
          <w:rFonts w:eastAsiaTheme="minorHAnsi" w:cstheme="majorBidi"/>
          <w:b/>
          <w:bCs/>
          <w:lang w:eastAsia="en-US"/>
        </w:rPr>
        <w:t xml:space="preserve">nesouhlasí </w:t>
      </w:r>
      <w:r w:rsidRPr="00F41174">
        <w:rPr>
          <w:rFonts w:eastAsiaTheme="minorHAnsi" w:cstheme="majorBidi"/>
          <w:lang w:eastAsia="en-US"/>
        </w:rPr>
        <w:t xml:space="preserve">s Návrhem ÚP Hrádek nad Nisou. Současně uplatňuje požadavek na vyhodnocení vlivů na životní prostředí zejména v plochách funkčních změn pozemků zemědělského půdního fondu na nezemědělské využití. </w:t>
      </w:r>
    </w:p>
    <w:p w14:paraId="10AA1ABE"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r w:rsidRPr="00F41174">
        <w:rPr>
          <w:rFonts w:eastAsiaTheme="minorHAnsi" w:cstheme="majorBidi"/>
          <w:lang w:eastAsia="en-US"/>
        </w:rPr>
        <w:t xml:space="preserve">Odůvodnění: Dle § 5 zákona o ochraně ZPF jsou pořizovatelé a projektanti územně plánovací dokumentace povinni řídit se zásadami ochrany zemědělského půdního fondu podle § 4 zákona o ochraně ZPF, jsou povinni navrhnout a zdůvodnit takové řešení, které je z hlediska ochrany ZPF a ostatních chráněných obecných zájmů nejvýhodnější, přitom musí vyhodnotit předpokládané důsledky navrhovaného řešení na zemědělský půdní fond, a to z pravidla ve srovnání s jiným možným řešením. </w:t>
      </w:r>
    </w:p>
    <w:p w14:paraId="68D0AC95"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t>Podle § 4 zákona o ochraně ZPF je pro nezemědělské účely nutno použít především nezemědělskou půdu, nezastavěné a nedostatečně využité pozemky v zastavěném území nebo nezastavěné plochy stavebních pozemků staveb mimo tato území, stavební proluky a plochy získané zbořením přežilých budov a zařízení. Je nutné odnímat zemědělskou půdu méně kvalitní a odnímat jen nejnutnější plochu zemědělského půdního fondu. Dále dle § 4 odst. 3 zákona o ochraně ZPF lze zemědělskou půdu I. a II. třídy ochrany lze odejmout pouze v případech, kdy jiný veřejný zájem výrazně převažuje nad veřejným zájmem ochrany zemědělského půdního fondu. Uvedené se nepoužije při posuzování těch ploch, které jsou obsaženy v platné územně plánovací dokumentaci, pokud při nové územně plánovací činnosti nemá dojít ke změně jejich využití.</w:t>
      </w:r>
    </w:p>
    <w:p w14:paraId="2879CDDC"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t xml:space="preserve">V předložené dokumentaci Návrhu ÚP Hrádek nad Nisou jsou navrhovány změny funkčního využití zemědělských pozemků na nové zastavitelné plochy – v rozsahu cca 140,141 ha. Zábor je navrhován na půdách I. třídy ochrany o záboru 16,155 ha a II. třídy ochrany o záboru 84,077 ha. Celková výměra takto cenných půd zaujímá zábor 100,232 ha. Orgán ochrany ZPF postrádá v posuzované dokumentaci vyhodnocení využití ploch, které byly pro potřeby rozvoje sídla orgánem ochrany ZPF již odsouhlaseny v dosavadních schválených dokumentacích, tj. nejsou uvedena relevantní data, která by vypovídala o využití ploch již schválených. Požadavek byl vznesen při zadání ÚP. Tato podmínka vychází z Metodického pokynu Ministerstva životního prostředí České republiky č. j.: OOLP/1067/96 ze dne 1.10.1996. Podle metodického pokynu má orgán ochrany ZPF při posuzování územně plánovací dokumentace hodnotit zejména: a) dosavadní využití ploch nezemědělské půdy v řešeném území, především nezastavěné a nedostatečně využité pozemky v současně zastavěném území obce; b) využití zemědělské půdy na nezastavěných částech stavebních pozemků a enkláv zemědělské půdy v zastavěném území obce; c) využití ploch získaných odstraněním budov a zařízení a využití stavebních proluk; d) využití ploch, které byly pro potřeby rozvoje sídla orgánem ochrany ZPF již odsouhlaseny v dosavadní schválené dokumentaci; e) důsledky navrhovaného řešení na uspořádání ploch ZPF, kterým by měla být co nejméně narušena původní krajina a její funkce; f) ovlivnění hydrologických a odtokových poměrů a stávajících melioračních zařízení v území; g) síť zemědělských účelových komunikací, které by měly být v maximální míře zachovány; v případě jejich dotčení musí dokumentace obsahovat návrh náhradní sítě, která dotčené území zpřístupní; h) další údaje o řešeném území prokazující nezbytnost požadavku na odnětí zemědělské půdy (počet obyvatel, účelové využití ploch, navržené řešení lokalit). Uvedené však textová část odůvodnění návrhu neobsahuje. Potřeba zastavitelných ploch není jednoznačně demograficky podložena. Dle tabulek v kapitole 6.3.1.1 - Analýza současného stavu (část Odůvodnění) - počet obyvatelstva v posledních třech letech kolísá a výstavba dokončených bytů v roce 2016 dosahovala 4 jednotek. </w:t>
      </w:r>
    </w:p>
    <w:p w14:paraId="63DB42D1"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t xml:space="preserve">Dle posouzení dokumentace neobsahuje řádné zdůvodnění veřejného zájmu, kterým je dotčeno ustanovení § 4 odst. 3 zákona o ochraně ZPF. Návrhem ÚP je dotčena půda v I. a II. třídě ochrany, která je vymezena na cca 100 ha, což představuje cca 70 % návrhových lokalit. </w:t>
      </w:r>
    </w:p>
    <w:p w14:paraId="6D9F3A38"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t xml:space="preserve">Orgán ochrany ZPF zjistil, že v předložené dokumentaci nejsou zapracovány některé změny (č. 17 a 18a), které byly v nedávné době posuzovány a orgánem ochrany ZPF schváleny. Při společném jednání k Návrhu ÚP Hrádek nad Nisou zaznělo ze strany pořizovatele i zpracovatele, že dojde k jejich zapracování. To však představuje další nárůst dotčení ZPF. Předkládaným návrhem ÚP je dotčena zemědělská půda v nejvyšších třídách ochrany (cca 100 ha) a rozsah návrhových lokalit je nad rámec Zadání ÚP. Do návrhu ÚP jsou dále zapracovány lokality z platného územního plánu sídelního útvaru a jeho změn. Tímto návrhem ÚP došlo zcela evidentně k nárůstu zastavitelných ploch oproti zadání ÚP, proto orgán ochrany ZPF požaduje posouzení návrhu ÚP na vyhodnocení vlivů na životní prostředí (SEA) z důvodu </w:t>
      </w:r>
      <w:r w:rsidRPr="00F41174">
        <w:rPr>
          <w:rFonts w:eastAsiaTheme="minorHAnsi" w:cstheme="majorBidi"/>
          <w:lang w:eastAsia="en-US"/>
        </w:rPr>
        <w:lastRenderedPageBreak/>
        <w:t xml:space="preserve">vyhodnocení vlivu na navrhované funkční využití zemědělských ploch k nezemědělským účelům. Negativní vliv ÚP je zejména spatřován ve ztrátě nejkvalitnějších ucelených zemědělských pozemků, v ovlivnění hydrologických a odtokových poměrů a stávajících melioračních zařízení v území a to zejména v rozsáhlých rozvojových plochách Z36 (11,409 ha), Z41 (16,196 ha), Z44 (23,939 ha). </w:t>
      </w:r>
    </w:p>
    <w:p w14:paraId="10895E92"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t xml:space="preserve">Podle § 1 zákona o ochraně ZPF je zemědělský půdní fond základním přírodním bohatstvím naší země, nenahraditelným výrobním prostředkem umožňujícím zemědělskou výrobu a je jednou z hlavních složek životního prostředí. Ochrana zemědělského půdního fondu, jeho zvelebování a racionální využívání jsou činnosti, kterými je také zajišťována ochrana a zlepšování životního prostředí. </w:t>
      </w:r>
    </w:p>
    <w:p w14:paraId="00FDD3FF"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t xml:space="preserve">Půda představuje jednu z klíčových složek vytvářející základní podmínky pro život na Zemi. Typ, složení a další vlastnosti půdy významně ovlivňují strukturu, složení a fungování všech suchozemských ekosystémů a jimi poskytované služby. Kromě produkčních funkcí půda vykazuje i celou řadu funkcí mimoprodukčních – je genovou bankou, je prostředím pro četné organismy (edafon), má schopnost filtrovat a zadržovat dešťové srážky, regulovat pohyb vody v půdním prostředí, odstraňovat cizorodé látky znečišťující prostředí, v případě příznivé struktury a chemismu významně zvyšovat odolnost a pružnost ekosystémů a v neposlední řadě zadržovat více než dvojnásobek uhlíku, než je obsaženo v ovzduší. </w:t>
      </w:r>
    </w:p>
    <w:p w14:paraId="24BA7FA8" w14:textId="77777777" w:rsidR="00C510C2" w:rsidRPr="00F41174" w:rsidRDefault="00C510C2" w:rsidP="00F41174">
      <w:pPr>
        <w:autoSpaceDE w:val="0"/>
        <w:autoSpaceDN w:val="0"/>
        <w:adjustRightInd w:val="0"/>
        <w:spacing w:after="120" w:line="240" w:lineRule="auto"/>
        <w:ind w:left="567"/>
        <w:rPr>
          <w:rFonts w:eastAsiaTheme="minorHAnsi" w:cstheme="majorBidi"/>
          <w:lang w:eastAsia="en-US"/>
        </w:rPr>
      </w:pPr>
      <w:r w:rsidRPr="00F41174">
        <w:rPr>
          <w:rFonts w:eastAsiaTheme="minorHAnsi" w:cstheme="majorBidi"/>
          <w:lang w:eastAsia="en-US"/>
        </w:rPr>
        <w:t xml:space="preserve">Proto je třeba zemědělskou půdu chránit. Zákon o ochraně ZPF neslouží pouze k ochraně půdy, na níž jsou intenzivně pěstovány plodiny, ale i k ochraně jiné půdy, která je či může být zemědělsky obhospodařována. </w:t>
      </w:r>
    </w:p>
    <w:p w14:paraId="21C01558"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r w:rsidRPr="00F41174">
        <w:rPr>
          <w:rFonts w:eastAsiaTheme="minorHAnsi" w:cstheme="majorBidi"/>
          <w:lang w:eastAsia="en-US"/>
        </w:rPr>
        <w:t xml:space="preserve">2. Orgán ochrany ZPF požaduje dle § 5 odst. 2 zákona o ochraně ZPF aktualizaci zastavěného území a odstranění rozporů v dokumentaci Návrhu ÚP Hrádek nad Nisou. </w:t>
      </w:r>
    </w:p>
    <w:p w14:paraId="60FF909E" w14:textId="77777777" w:rsidR="00C510C2" w:rsidRPr="00F41174" w:rsidRDefault="00C510C2" w:rsidP="00F41174">
      <w:pPr>
        <w:autoSpaceDE w:val="0"/>
        <w:autoSpaceDN w:val="0"/>
        <w:adjustRightInd w:val="0"/>
        <w:spacing w:line="240" w:lineRule="auto"/>
        <w:ind w:left="567"/>
        <w:rPr>
          <w:rFonts w:eastAsiaTheme="minorHAnsi" w:cstheme="majorBidi"/>
          <w:lang w:eastAsia="en-US"/>
        </w:rPr>
      </w:pPr>
    </w:p>
    <w:p w14:paraId="475BF612"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Odůvodnění: Dle textové části dokumentace bylo zastavěné území vymezeno ke dni 31. 10. 2016. V grafické části návrhu je uvedeno datum vymezení zastavěného území ke dni 31. 1. 2017. Zjištěné rozpory je třeba odstranit. </w:t>
      </w:r>
    </w:p>
    <w:p w14:paraId="2DFBEBA7"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Poučení: </w:t>
      </w:r>
    </w:p>
    <w:p w14:paraId="348C3AB6"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Podle § 21 zákona o ochraně ZPF se na řízení podle § 5 odst. 2 zákona o ochraně ZPF nevztahují obecné předpisy o správním řízení. Stanovisko uplatněné k územně plánovací dokumentaci není rozhodnutím, proto se proti němu nelze odvolat.</w:t>
      </w:r>
    </w:p>
    <w:p w14:paraId="7D38EAF0" w14:textId="77777777" w:rsidR="00C510C2" w:rsidRPr="00F41174" w:rsidRDefault="00C510C2" w:rsidP="002B5D5D">
      <w:pPr>
        <w:spacing w:before="240"/>
        <w:rPr>
          <w:rFonts w:cstheme="majorBidi"/>
          <w:i/>
          <w:iCs/>
          <w:lang w:eastAsia="en-US"/>
        </w:rPr>
      </w:pPr>
      <w:r w:rsidRPr="00F41174">
        <w:rPr>
          <w:rFonts w:cstheme="majorBidi"/>
          <w:b/>
          <w:bCs/>
          <w:i/>
          <w:iCs/>
          <w:lang w:eastAsia="en-US"/>
        </w:rPr>
        <w:t xml:space="preserve">Vyhodnocení stanoviska  </w:t>
      </w:r>
    </w:p>
    <w:p w14:paraId="0B99FC2B" w14:textId="77777777" w:rsidR="00C510C2" w:rsidRPr="00F41174" w:rsidRDefault="00C510C2" w:rsidP="002B5D5D">
      <w:pPr>
        <w:autoSpaceDE w:val="0"/>
        <w:autoSpaceDN w:val="0"/>
        <w:adjustRightInd w:val="0"/>
        <w:spacing w:before="120" w:line="240" w:lineRule="auto"/>
        <w:rPr>
          <w:rFonts w:cstheme="majorBidi"/>
          <w:i/>
          <w:iCs/>
          <w:lang w:eastAsia="en-US"/>
        </w:rPr>
      </w:pPr>
      <w:r w:rsidRPr="00F41174">
        <w:rPr>
          <w:rFonts w:cstheme="majorBidi"/>
          <w:i/>
          <w:iCs/>
          <w:lang w:eastAsia="en-US"/>
        </w:rPr>
        <w:t xml:space="preserve">Pořizovatel ve spolupráci s určeným zastupitelem se zabýval požadavkem dotčeného orgánu a s ohledem na jednání, která s dotčeným orgánem proběhla, </w:t>
      </w:r>
      <w:r w:rsidRPr="00F41174">
        <w:rPr>
          <w:rFonts w:cstheme="majorBidi"/>
          <w:bCs/>
          <w:i/>
          <w:iCs/>
          <w:lang w:eastAsia="en-US"/>
        </w:rPr>
        <w:t>uzavřel s dotčeným orgánem dohodu č.j. OSŽP-2564/2019 –PES ze dne 01.04.2019, ze které vyplývá,</w:t>
      </w:r>
      <w:r w:rsidRPr="00F41174">
        <w:rPr>
          <w:rFonts w:cstheme="majorBidi"/>
          <w:i/>
          <w:iCs/>
          <w:lang w:eastAsia="en-US"/>
        </w:rPr>
        <w:t xml:space="preserve"> že návrh Územního plánu Hrádek nad Nisou bude upraven následujícím způsobem:</w:t>
      </w:r>
    </w:p>
    <w:p w14:paraId="1816D684" w14:textId="77777777" w:rsidR="00C510C2" w:rsidRPr="00F41174" w:rsidRDefault="00C510C2" w:rsidP="002B5D5D">
      <w:pPr>
        <w:spacing w:before="120" w:line="100" w:lineRule="atLeast"/>
        <w:rPr>
          <w:b/>
          <w:i/>
        </w:rPr>
      </w:pPr>
      <w:r w:rsidRPr="00F41174">
        <w:rPr>
          <w:b/>
          <w:i/>
        </w:rPr>
        <w:t>Na základě jednání, která s dotčeným orgánem proběhla, byl upraven rozsah zastavitelných ploch a návrhů záborů zemědělského půdního fondu dle následující tabulky.</w:t>
      </w:r>
    </w:p>
    <w:p w14:paraId="3F303861" w14:textId="77777777" w:rsidR="00C510C2" w:rsidRPr="00F41174" w:rsidRDefault="00C510C2" w:rsidP="002B5D5D">
      <w:pPr>
        <w:spacing w:before="120" w:line="100" w:lineRule="atLeast"/>
        <w:rPr>
          <w:b/>
          <w:bCs/>
          <w:i/>
          <w:iCs/>
        </w:rPr>
      </w:pPr>
      <w:r w:rsidRPr="00F41174">
        <w:rPr>
          <w:b/>
          <w:i/>
        </w:rPr>
        <w:t xml:space="preserve">Dále bylo doplněno a upraveno odůvodnění návrhu územního plánu, a to zejména v kapitole </w:t>
      </w:r>
      <w:r w:rsidRPr="00F41174">
        <w:rPr>
          <w:b/>
          <w:bCs/>
          <w:i/>
          <w:iCs/>
        </w:rPr>
        <w:t>8.1 Vyhodnocení důsledků na zemědělský půdní fond, ve které byly podrobně zdůvodněny jednotlivé návrhy ploch, které byly navrženy na ZPF, kapitola byla rozšířena o vyhodnocení jednotlivých ploch z platného Územního plánu sídelního útvaru Hrádek nad Nisou, s ohledem na jejich využití, převzetí popř. nepřevzetí do nového územního plánu. Upravené znění odůvodnění návrhu Územního plánu Hrádek nad Nisou bylo předáno dotčenému orgánu.</w:t>
      </w:r>
    </w:p>
    <w:p w14:paraId="37EFC472" w14:textId="77777777" w:rsidR="00C510C2" w:rsidRPr="00F41174" w:rsidRDefault="00C510C2" w:rsidP="002B5D5D">
      <w:pPr>
        <w:spacing w:before="120" w:after="120"/>
        <w:rPr>
          <w:b/>
          <w:bCs/>
          <w:i/>
          <w:iCs/>
          <w:u w:val="single"/>
        </w:rPr>
      </w:pPr>
      <w:r w:rsidRPr="00F41174">
        <w:rPr>
          <w:b/>
          <w:bCs/>
          <w:i/>
          <w:iCs/>
          <w:u w:val="single"/>
        </w:rPr>
        <w:t>Bilance záborů ZPF v ÚPSÚ Hrádek nad Nisou:</w:t>
      </w:r>
    </w:p>
    <w:p w14:paraId="04500FC7" w14:textId="77777777" w:rsidR="00C510C2" w:rsidRPr="00F41174" w:rsidRDefault="00C510C2" w:rsidP="002B5D5D">
      <w:pPr>
        <w:spacing w:before="120" w:after="120"/>
        <w:rPr>
          <w:i/>
          <w:iCs/>
        </w:rPr>
      </w:pPr>
      <w:r w:rsidRPr="00F41174">
        <w:rPr>
          <w:i/>
          <w:iCs/>
        </w:rPr>
        <w:t xml:space="preserve">V následující tabulce jsou uvedeny jednotlivé plochy se záborem ZPF, projednané a schválené v rámci ÚPSÚ Hrádek nad Nisou, s informací, jakým způsobem byly tyto plochy vymezeny v ÚP Hrádek nad Nisou:  </w:t>
      </w:r>
    </w:p>
    <w:p w14:paraId="2E8C7C31" w14:textId="77777777" w:rsidR="00446993" w:rsidRDefault="00446993">
      <w:r>
        <w:br w:type="page"/>
      </w:r>
    </w:p>
    <w:tbl>
      <w:tblPr>
        <w:tblW w:w="0" w:type="auto"/>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133"/>
        <w:gridCol w:w="2978"/>
        <w:gridCol w:w="3118"/>
      </w:tblGrid>
      <w:tr w:rsidR="00C510C2" w:rsidRPr="00F41174" w14:paraId="24C26082" w14:textId="77777777" w:rsidTr="002B5D5D">
        <w:trPr>
          <w:tblHeader/>
        </w:trPr>
        <w:tc>
          <w:tcPr>
            <w:tcW w:w="1821" w:type="dxa"/>
            <w:shd w:val="clear" w:color="auto" w:fill="C9C9C9"/>
          </w:tcPr>
          <w:p w14:paraId="0E79E7EA" w14:textId="72CC9C13" w:rsidR="00C510C2" w:rsidRPr="00F41174" w:rsidRDefault="00C510C2" w:rsidP="00C510C2">
            <w:pPr>
              <w:pStyle w:val="1text"/>
              <w:spacing w:before="40" w:after="40"/>
              <w:jc w:val="left"/>
              <w:rPr>
                <w:b/>
                <w:sz w:val="20"/>
                <w:szCs w:val="20"/>
              </w:rPr>
            </w:pPr>
            <w:r w:rsidRPr="00F41174">
              <w:rPr>
                <w:b/>
                <w:sz w:val="20"/>
                <w:szCs w:val="20"/>
              </w:rPr>
              <w:lastRenderedPageBreak/>
              <w:t>číslo plochy z ÚPSÚ Hrádek nad Nisou</w:t>
            </w:r>
          </w:p>
        </w:tc>
        <w:tc>
          <w:tcPr>
            <w:tcW w:w="1133" w:type="dxa"/>
            <w:shd w:val="clear" w:color="auto" w:fill="C9C9C9"/>
          </w:tcPr>
          <w:p w14:paraId="75C2AC55" w14:textId="77777777" w:rsidR="00C510C2" w:rsidRPr="00F41174" w:rsidRDefault="00C510C2" w:rsidP="00C510C2">
            <w:pPr>
              <w:pStyle w:val="1text"/>
              <w:spacing w:before="40" w:after="40"/>
              <w:jc w:val="left"/>
              <w:rPr>
                <w:b/>
                <w:sz w:val="20"/>
                <w:szCs w:val="20"/>
              </w:rPr>
            </w:pPr>
            <w:r w:rsidRPr="00F41174">
              <w:rPr>
                <w:b/>
                <w:sz w:val="20"/>
                <w:szCs w:val="20"/>
              </w:rPr>
              <w:t>zábor ZPF (ha)</w:t>
            </w:r>
          </w:p>
        </w:tc>
        <w:tc>
          <w:tcPr>
            <w:tcW w:w="2978" w:type="dxa"/>
            <w:shd w:val="clear" w:color="auto" w:fill="C9C9C9"/>
          </w:tcPr>
          <w:p w14:paraId="485A3F26" w14:textId="77777777" w:rsidR="00C510C2" w:rsidRPr="00F41174" w:rsidRDefault="00C510C2" w:rsidP="00C510C2">
            <w:pPr>
              <w:pStyle w:val="1text"/>
              <w:spacing w:before="40" w:after="40"/>
              <w:jc w:val="left"/>
              <w:rPr>
                <w:b/>
                <w:sz w:val="20"/>
                <w:szCs w:val="20"/>
              </w:rPr>
            </w:pPr>
            <w:r w:rsidRPr="00F41174">
              <w:rPr>
                <w:b/>
                <w:sz w:val="20"/>
                <w:szCs w:val="20"/>
              </w:rPr>
              <w:t>způsob vymezení plochy v ÚP Hrádek nad Nisou</w:t>
            </w:r>
          </w:p>
        </w:tc>
        <w:tc>
          <w:tcPr>
            <w:tcW w:w="3118" w:type="dxa"/>
            <w:shd w:val="clear" w:color="auto" w:fill="C9C9C9"/>
          </w:tcPr>
          <w:p w14:paraId="493581D3" w14:textId="77777777" w:rsidR="00C510C2" w:rsidRPr="00F41174" w:rsidRDefault="00C510C2" w:rsidP="00C510C2">
            <w:pPr>
              <w:pStyle w:val="1text"/>
              <w:spacing w:before="40" w:after="40"/>
              <w:jc w:val="left"/>
              <w:rPr>
                <w:b/>
                <w:sz w:val="20"/>
                <w:szCs w:val="20"/>
              </w:rPr>
            </w:pPr>
            <w:r w:rsidRPr="00F41174">
              <w:rPr>
                <w:b/>
                <w:sz w:val="20"/>
                <w:szCs w:val="20"/>
              </w:rPr>
              <w:t xml:space="preserve">poznámka  </w:t>
            </w:r>
          </w:p>
        </w:tc>
      </w:tr>
      <w:tr w:rsidR="00C510C2" w:rsidRPr="00F41174" w14:paraId="3CF880BB" w14:textId="77777777" w:rsidTr="002B5D5D">
        <w:tc>
          <w:tcPr>
            <w:tcW w:w="9050" w:type="dxa"/>
            <w:gridSpan w:val="4"/>
            <w:shd w:val="clear" w:color="auto" w:fill="D9D9D9"/>
          </w:tcPr>
          <w:p w14:paraId="4FFD216F" w14:textId="77777777" w:rsidR="00C510C2" w:rsidRPr="00F41174" w:rsidRDefault="00C510C2" w:rsidP="00C510C2">
            <w:pPr>
              <w:pStyle w:val="1text"/>
              <w:spacing w:before="40" w:after="40"/>
              <w:jc w:val="left"/>
              <w:rPr>
                <w:b/>
                <w:sz w:val="20"/>
                <w:szCs w:val="20"/>
              </w:rPr>
            </w:pPr>
            <w:r w:rsidRPr="00F41174">
              <w:rPr>
                <w:b/>
                <w:sz w:val="20"/>
                <w:szCs w:val="20"/>
              </w:rPr>
              <w:t>K.Ú. DOLNÍ SEDLO</w:t>
            </w:r>
          </w:p>
        </w:tc>
      </w:tr>
      <w:tr w:rsidR="00C510C2" w:rsidRPr="00F41174" w14:paraId="607D77CE" w14:textId="77777777" w:rsidTr="002B5D5D">
        <w:tc>
          <w:tcPr>
            <w:tcW w:w="9050" w:type="dxa"/>
            <w:gridSpan w:val="4"/>
            <w:shd w:val="clear" w:color="auto" w:fill="auto"/>
          </w:tcPr>
          <w:p w14:paraId="246F64DF" w14:textId="77777777" w:rsidR="00C510C2" w:rsidRPr="00F41174" w:rsidRDefault="00C510C2" w:rsidP="00C510C2">
            <w:pPr>
              <w:pStyle w:val="1text"/>
              <w:spacing w:before="40" w:after="40"/>
              <w:jc w:val="left"/>
              <w:rPr>
                <w:sz w:val="20"/>
                <w:szCs w:val="20"/>
              </w:rPr>
            </w:pPr>
            <w:r w:rsidRPr="00F41174">
              <w:rPr>
                <w:sz w:val="20"/>
                <w:szCs w:val="20"/>
              </w:rPr>
              <w:t>Plochy smíšené obytné</w:t>
            </w:r>
          </w:p>
        </w:tc>
      </w:tr>
      <w:tr w:rsidR="00C510C2" w:rsidRPr="00F41174" w14:paraId="73E54D15" w14:textId="77777777" w:rsidTr="002B5D5D">
        <w:tc>
          <w:tcPr>
            <w:tcW w:w="1821" w:type="dxa"/>
            <w:shd w:val="clear" w:color="auto" w:fill="auto"/>
          </w:tcPr>
          <w:p w14:paraId="486A0DE6"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153</w:t>
            </w:r>
          </w:p>
        </w:tc>
        <w:tc>
          <w:tcPr>
            <w:tcW w:w="1133" w:type="dxa"/>
            <w:shd w:val="clear" w:color="auto" w:fill="auto"/>
          </w:tcPr>
          <w:p w14:paraId="27A41842"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1,406</w:t>
            </w:r>
          </w:p>
        </w:tc>
        <w:tc>
          <w:tcPr>
            <w:tcW w:w="2978" w:type="dxa"/>
            <w:shd w:val="clear" w:color="auto" w:fill="auto"/>
          </w:tcPr>
          <w:p w14:paraId="5D435E70" w14:textId="77777777" w:rsidR="00C510C2" w:rsidRPr="00F41174" w:rsidRDefault="00C510C2" w:rsidP="00C510C2">
            <w:pPr>
              <w:spacing w:before="40" w:after="40"/>
              <w:rPr>
                <w:b/>
                <w:sz w:val="20"/>
                <w:szCs w:val="20"/>
              </w:rPr>
            </w:pPr>
            <w:r w:rsidRPr="00F41174">
              <w:rPr>
                <w:b/>
                <w:sz w:val="20"/>
                <w:szCs w:val="20"/>
              </w:rPr>
              <w:t>převzato do ÚP</w:t>
            </w:r>
          </w:p>
        </w:tc>
        <w:tc>
          <w:tcPr>
            <w:tcW w:w="3118" w:type="dxa"/>
            <w:shd w:val="clear" w:color="auto" w:fill="auto"/>
          </w:tcPr>
          <w:p w14:paraId="7C8ACCF2" w14:textId="77777777" w:rsidR="00C510C2" w:rsidRPr="00F41174" w:rsidRDefault="00C510C2" w:rsidP="00C510C2">
            <w:pPr>
              <w:pStyle w:val="1text"/>
              <w:spacing w:before="40" w:after="40"/>
              <w:jc w:val="left"/>
              <w:rPr>
                <w:b/>
                <w:sz w:val="20"/>
                <w:szCs w:val="20"/>
              </w:rPr>
            </w:pPr>
            <w:r w:rsidRPr="00F41174">
              <w:rPr>
                <w:b/>
                <w:sz w:val="20"/>
                <w:szCs w:val="20"/>
              </w:rPr>
              <w:t xml:space="preserve">plocha Z76 </w:t>
            </w:r>
          </w:p>
        </w:tc>
      </w:tr>
      <w:tr w:rsidR="00C510C2" w:rsidRPr="00F41174" w14:paraId="4226BE1D" w14:textId="77777777" w:rsidTr="002B5D5D">
        <w:tc>
          <w:tcPr>
            <w:tcW w:w="1821" w:type="dxa"/>
            <w:shd w:val="clear" w:color="auto" w:fill="auto"/>
          </w:tcPr>
          <w:p w14:paraId="3ECB117F"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154</w:t>
            </w:r>
          </w:p>
        </w:tc>
        <w:tc>
          <w:tcPr>
            <w:tcW w:w="1133" w:type="dxa"/>
            <w:shd w:val="clear" w:color="auto" w:fill="auto"/>
          </w:tcPr>
          <w:p w14:paraId="0F6AFA26"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0,434</w:t>
            </w:r>
          </w:p>
        </w:tc>
        <w:tc>
          <w:tcPr>
            <w:tcW w:w="2978" w:type="dxa"/>
            <w:shd w:val="clear" w:color="auto" w:fill="auto"/>
          </w:tcPr>
          <w:p w14:paraId="160B4273"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v rozsahu </w:t>
            </w:r>
            <w:r w:rsidRPr="00F41174">
              <w:rPr>
                <w:rFonts w:eastAsia="Calibri"/>
                <w:b/>
                <w:bCs/>
                <w:sz w:val="20"/>
                <w:szCs w:val="20"/>
              </w:rPr>
              <w:t>0,107 ha</w:t>
            </w:r>
            <w:r w:rsidRPr="00F41174">
              <w:rPr>
                <w:rFonts w:eastAsia="Calibri"/>
                <w:b/>
                <w:sz w:val="20"/>
                <w:szCs w:val="20"/>
              </w:rPr>
              <w:t xml:space="preserve"> převzato do ÚP</w:t>
            </w:r>
            <w:r w:rsidRPr="00F41174">
              <w:rPr>
                <w:rFonts w:eastAsia="Calibri"/>
                <w:sz w:val="20"/>
                <w:szCs w:val="20"/>
              </w:rPr>
              <w:t>, zbývající část vypuštěna</w:t>
            </w:r>
          </w:p>
        </w:tc>
        <w:tc>
          <w:tcPr>
            <w:tcW w:w="3118" w:type="dxa"/>
            <w:shd w:val="clear" w:color="auto" w:fill="auto"/>
          </w:tcPr>
          <w:p w14:paraId="4900E38F" w14:textId="77777777" w:rsidR="00C510C2" w:rsidRPr="00F41174" w:rsidRDefault="00C510C2" w:rsidP="00C510C2">
            <w:pPr>
              <w:pStyle w:val="1text"/>
              <w:spacing w:before="40" w:after="40"/>
              <w:jc w:val="left"/>
              <w:rPr>
                <w:b/>
                <w:sz w:val="20"/>
                <w:szCs w:val="20"/>
              </w:rPr>
            </w:pPr>
            <w:r w:rsidRPr="00F41174">
              <w:rPr>
                <w:b/>
                <w:sz w:val="20"/>
                <w:szCs w:val="20"/>
              </w:rPr>
              <w:t>plocha Z106</w:t>
            </w:r>
          </w:p>
        </w:tc>
      </w:tr>
      <w:tr w:rsidR="00C510C2" w:rsidRPr="00F41174" w14:paraId="7B0A93DA" w14:textId="77777777" w:rsidTr="002B5D5D">
        <w:tc>
          <w:tcPr>
            <w:tcW w:w="1821" w:type="dxa"/>
            <w:shd w:val="clear" w:color="auto" w:fill="auto"/>
          </w:tcPr>
          <w:p w14:paraId="63583E37"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155</w:t>
            </w:r>
          </w:p>
        </w:tc>
        <w:tc>
          <w:tcPr>
            <w:tcW w:w="1133" w:type="dxa"/>
            <w:shd w:val="clear" w:color="auto" w:fill="auto"/>
          </w:tcPr>
          <w:p w14:paraId="4B57C276"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1,513</w:t>
            </w:r>
          </w:p>
        </w:tc>
        <w:tc>
          <w:tcPr>
            <w:tcW w:w="2978" w:type="dxa"/>
            <w:shd w:val="clear" w:color="auto" w:fill="auto"/>
          </w:tcPr>
          <w:p w14:paraId="00CBF3BA"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 xml:space="preserve">v rozsahu </w:t>
            </w:r>
            <w:r w:rsidRPr="00F41174">
              <w:rPr>
                <w:b/>
                <w:sz w:val="20"/>
                <w:szCs w:val="20"/>
              </w:rPr>
              <w:t xml:space="preserve">0,917 </w:t>
            </w:r>
            <w:r w:rsidRPr="00F41174">
              <w:rPr>
                <w:rFonts w:eastAsia="Calibri"/>
                <w:b/>
                <w:bCs/>
                <w:sz w:val="20"/>
                <w:szCs w:val="20"/>
              </w:rPr>
              <w:t>ha</w:t>
            </w:r>
            <w:r w:rsidRPr="00F41174">
              <w:rPr>
                <w:rFonts w:eastAsia="Calibri"/>
                <w:b/>
                <w:sz w:val="20"/>
                <w:szCs w:val="20"/>
              </w:rPr>
              <w:t xml:space="preserve"> převzato do ÚP</w:t>
            </w:r>
            <w:r w:rsidRPr="00F41174">
              <w:rPr>
                <w:rFonts w:eastAsia="Calibri"/>
                <w:sz w:val="20"/>
                <w:szCs w:val="20"/>
              </w:rPr>
              <w:t>, zbývající část vypuštěna</w:t>
            </w:r>
          </w:p>
        </w:tc>
        <w:tc>
          <w:tcPr>
            <w:tcW w:w="3118" w:type="dxa"/>
            <w:shd w:val="clear" w:color="auto" w:fill="auto"/>
          </w:tcPr>
          <w:p w14:paraId="2B51C54B"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Z105</w:t>
            </w:r>
          </w:p>
        </w:tc>
      </w:tr>
      <w:tr w:rsidR="00C510C2" w:rsidRPr="00F41174" w14:paraId="4DDA73E0" w14:textId="77777777" w:rsidTr="002B5D5D">
        <w:tc>
          <w:tcPr>
            <w:tcW w:w="1821" w:type="dxa"/>
            <w:shd w:val="clear" w:color="auto" w:fill="auto"/>
          </w:tcPr>
          <w:p w14:paraId="5FD71415"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sz w:val="20"/>
                <w:szCs w:val="20"/>
                <w:lang w:eastAsia="cs-CZ"/>
              </w:rPr>
              <w:t>156</w:t>
            </w:r>
          </w:p>
        </w:tc>
        <w:tc>
          <w:tcPr>
            <w:tcW w:w="1133" w:type="dxa"/>
            <w:shd w:val="clear" w:color="auto" w:fill="auto"/>
          </w:tcPr>
          <w:p w14:paraId="592A51D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0,983</w:t>
            </w:r>
          </w:p>
        </w:tc>
        <w:tc>
          <w:tcPr>
            <w:tcW w:w="2978" w:type="dxa"/>
            <w:shd w:val="clear" w:color="auto" w:fill="auto"/>
          </w:tcPr>
          <w:p w14:paraId="47930B6F"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6F2A8919" w14:textId="77777777" w:rsidR="00C510C2" w:rsidRPr="00F41174" w:rsidRDefault="00C510C2" w:rsidP="00C510C2">
            <w:pPr>
              <w:pStyle w:val="1text"/>
              <w:spacing w:before="40" w:after="40"/>
              <w:jc w:val="left"/>
              <w:rPr>
                <w:sz w:val="20"/>
                <w:szCs w:val="20"/>
              </w:rPr>
            </w:pPr>
            <w:r w:rsidRPr="00F41174">
              <w:rPr>
                <w:sz w:val="20"/>
                <w:szCs w:val="20"/>
              </w:rPr>
              <w:t>dle §58 stavebního zákona (proluka)</w:t>
            </w:r>
          </w:p>
        </w:tc>
      </w:tr>
      <w:tr w:rsidR="00C510C2" w:rsidRPr="00F41174" w14:paraId="6CF0CC13" w14:textId="77777777" w:rsidTr="002B5D5D">
        <w:tc>
          <w:tcPr>
            <w:tcW w:w="1821" w:type="dxa"/>
            <w:shd w:val="clear" w:color="auto" w:fill="auto"/>
          </w:tcPr>
          <w:p w14:paraId="509C328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sz w:val="20"/>
                <w:szCs w:val="20"/>
                <w:lang w:eastAsia="cs-CZ"/>
              </w:rPr>
              <w:t>157</w:t>
            </w:r>
          </w:p>
        </w:tc>
        <w:tc>
          <w:tcPr>
            <w:tcW w:w="1133" w:type="dxa"/>
            <w:shd w:val="clear" w:color="auto" w:fill="auto"/>
          </w:tcPr>
          <w:p w14:paraId="134AB92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0,216</w:t>
            </w:r>
          </w:p>
        </w:tc>
        <w:tc>
          <w:tcPr>
            <w:tcW w:w="2978" w:type="dxa"/>
            <w:shd w:val="clear" w:color="auto" w:fill="auto"/>
          </w:tcPr>
          <w:p w14:paraId="34AD3C9F"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4FB6F7C" w14:textId="77777777" w:rsidR="00C510C2" w:rsidRPr="00F41174" w:rsidRDefault="00C510C2" w:rsidP="00C510C2">
            <w:pPr>
              <w:pStyle w:val="1text"/>
              <w:spacing w:before="40" w:after="40"/>
              <w:jc w:val="left"/>
              <w:rPr>
                <w:sz w:val="20"/>
                <w:szCs w:val="20"/>
                <w:highlight w:val="green"/>
              </w:rPr>
            </w:pPr>
            <w:r w:rsidRPr="00F41174">
              <w:rPr>
                <w:sz w:val="20"/>
                <w:szCs w:val="20"/>
              </w:rPr>
              <w:t>dle §58 stavebního zákona (proluka)</w:t>
            </w:r>
          </w:p>
        </w:tc>
      </w:tr>
      <w:tr w:rsidR="00C510C2" w:rsidRPr="00F41174" w14:paraId="607344E5" w14:textId="77777777" w:rsidTr="002B5D5D">
        <w:tc>
          <w:tcPr>
            <w:tcW w:w="1821" w:type="dxa"/>
            <w:shd w:val="clear" w:color="auto" w:fill="auto"/>
          </w:tcPr>
          <w:p w14:paraId="6CD1E19F"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158</w:t>
            </w:r>
          </w:p>
        </w:tc>
        <w:tc>
          <w:tcPr>
            <w:tcW w:w="1133" w:type="dxa"/>
            <w:shd w:val="clear" w:color="auto" w:fill="auto"/>
          </w:tcPr>
          <w:p w14:paraId="4AC9802E"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1,211</w:t>
            </w:r>
          </w:p>
        </w:tc>
        <w:tc>
          <w:tcPr>
            <w:tcW w:w="2978" w:type="dxa"/>
            <w:shd w:val="clear" w:color="auto" w:fill="auto"/>
          </w:tcPr>
          <w:p w14:paraId="2F474273"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v rozsahu </w:t>
            </w:r>
            <w:r w:rsidRPr="00F41174">
              <w:rPr>
                <w:rFonts w:eastAsia="Calibri"/>
                <w:b/>
                <w:bCs/>
                <w:sz w:val="20"/>
                <w:szCs w:val="20"/>
              </w:rPr>
              <w:t>0,865 ha</w:t>
            </w:r>
            <w:r w:rsidRPr="00F41174">
              <w:rPr>
                <w:rFonts w:eastAsia="Calibri"/>
                <w:b/>
                <w:sz w:val="20"/>
                <w:szCs w:val="20"/>
              </w:rPr>
              <w:t xml:space="preserve"> převzato do ÚP</w:t>
            </w:r>
            <w:r w:rsidRPr="00F41174">
              <w:rPr>
                <w:rFonts w:eastAsia="Calibri"/>
                <w:sz w:val="20"/>
                <w:szCs w:val="20"/>
              </w:rPr>
              <w:t>, zbývající část vymezena jako stabilizovaná plocha</w:t>
            </w:r>
          </w:p>
        </w:tc>
        <w:tc>
          <w:tcPr>
            <w:tcW w:w="3118" w:type="dxa"/>
            <w:shd w:val="clear" w:color="auto" w:fill="auto"/>
          </w:tcPr>
          <w:p w14:paraId="5BCCF22B" w14:textId="77777777" w:rsidR="00C510C2" w:rsidRPr="00F41174" w:rsidRDefault="00C510C2" w:rsidP="00C510C2">
            <w:pPr>
              <w:pStyle w:val="1text"/>
              <w:spacing w:before="40" w:after="40"/>
              <w:jc w:val="left"/>
              <w:rPr>
                <w:b/>
                <w:sz w:val="20"/>
                <w:szCs w:val="20"/>
                <w:highlight w:val="green"/>
              </w:rPr>
            </w:pPr>
            <w:r w:rsidRPr="00F41174">
              <w:rPr>
                <w:b/>
                <w:sz w:val="20"/>
                <w:szCs w:val="20"/>
              </w:rPr>
              <w:t>plochy Z77, Z78A a Z78B</w:t>
            </w:r>
            <w:r w:rsidRPr="00F41174">
              <w:rPr>
                <w:sz w:val="20"/>
                <w:szCs w:val="20"/>
              </w:rPr>
              <w:t xml:space="preserve">, část realizována </w:t>
            </w:r>
          </w:p>
        </w:tc>
      </w:tr>
      <w:tr w:rsidR="00C510C2" w:rsidRPr="00F41174" w14:paraId="51C4F20C" w14:textId="77777777" w:rsidTr="002B5D5D">
        <w:tc>
          <w:tcPr>
            <w:tcW w:w="1821" w:type="dxa"/>
            <w:shd w:val="clear" w:color="auto" w:fill="auto"/>
          </w:tcPr>
          <w:p w14:paraId="4126E6E6"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sz w:val="20"/>
                <w:szCs w:val="20"/>
                <w:lang w:eastAsia="cs-CZ"/>
              </w:rPr>
              <w:t>160</w:t>
            </w:r>
          </w:p>
        </w:tc>
        <w:tc>
          <w:tcPr>
            <w:tcW w:w="1133" w:type="dxa"/>
            <w:shd w:val="clear" w:color="auto" w:fill="auto"/>
          </w:tcPr>
          <w:p w14:paraId="0C74DA0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0,590</w:t>
            </w:r>
          </w:p>
        </w:tc>
        <w:tc>
          <w:tcPr>
            <w:tcW w:w="2978" w:type="dxa"/>
            <w:shd w:val="clear" w:color="auto" w:fill="auto"/>
          </w:tcPr>
          <w:p w14:paraId="79DC00AC"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0812BC0D" w14:textId="77777777" w:rsidR="00C510C2" w:rsidRPr="00F41174" w:rsidRDefault="00C510C2" w:rsidP="00C510C2">
            <w:pPr>
              <w:pStyle w:val="1text"/>
              <w:spacing w:before="40" w:after="40"/>
              <w:jc w:val="left"/>
              <w:rPr>
                <w:sz w:val="20"/>
                <w:szCs w:val="20"/>
                <w:highlight w:val="green"/>
              </w:rPr>
            </w:pPr>
          </w:p>
        </w:tc>
      </w:tr>
      <w:tr w:rsidR="00C510C2" w:rsidRPr="00F41174" w14:paraId="336B1C68" w14:textId="77777777" w:rsidTr="002B5D5D">
        <w:tc>
          <w:tcPr>
            <w:tcW w:w="1821" w:type="dxa"/>
            <w:shd w:val="clear" w:color="auto" w:fill="auto"/>
          </w:tcPr>
          <w:p w14:paraId="0B86A076"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sz w:val="20"/>
                <w:szCs w:val="20"/>
                <w:lang w:eastAsia="cs-CZ"/>
              </w:rPr>
              <w:t>161</w:t>
            </w:r>
          </w:p>
        </w:tc>
        <w:tc>
          <w:tcPr>
            <w:tcW w:w="1133" w:type="dxa"/>
            <w:shd w:val="clear" w:color="auto" w:fill="auto"/>
          </w:tcPr>
          <w:p w14:paraId="46C68A2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0,632</w:t>
            </w:r>
          </w:p>
        </w:tc>
        <w:tc>
          <w:tcPr>
            <w:tcW w:w="2978" w:type="dxa"/>
            <w:shd w:val="clear" w:color="auto" w:fill="auto"/>
          </w:tcPr>
          <w:p w14:paraId="49AE2E31"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A2EE099" w14:textId="77777777" w:rsidR="00C510C2" w:rsidRPr="00F41174" w:rsidRDefault="00C510C2" w:rsidP="00C510C2">
            <w:pPr>
              <w:pStyle w:val="1text"/>
              <w:spacing w:before="40" w:after="40"/>
              <w:jc w:val="left"/>
              <w:rPr>
                <w:sz w:val="20"/>
                <w:szCs w:val="20"/>
              </w:rPr>
            </w:pPr>
            <w:r w:rsidRPr="00F41174">
              <w:rPr>
                <w:sz w:val="20"/>
                <w:szCs w:val="20"/>
              </w:rPr>
              <w:t>dle §58 a §2, odst. 1c stavebního zákona (oplocený pozemek přilehlého RD)</w:t>
            </w:r>
          </w:p>
        </w:tc>
      </w:tr>
      <w:tr w:rsidR="00C510C2" w:rsidRPr="00F41174" w14:paraId="4D3258BE" w14:textId="77777777" w:rsidTr="002B5D5D">
        <w:tc>
          <w:tcPr>
            <w:tcW w:w="1821" w:type="dxa"/>
            <w:shd w:val="clear" w:color="auto" w:fill="auto"/>
          </w:tcPr>
          <w:p w14:paraId="2F2D9EEB"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162</w:t>
            </w:r>
          </w:p>
        </w:tc>
        <w:tc>
          <w:tcPr>
            <w:tcW w:w="1133" w:type="dxa"/>
            <w:shd w:val="clear" w:color="auto" w:fill="auto"/>
          </w:tcPr>
          <w:p w14:paraId="04366EBF"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0,976</w:t>
            </w:r>
          </w:p>
        </w:tc>
        <w:tc>
          <w:tcPr>
            <w:tcW w:w="2978" w:type="dxa"/>
            <w:shd w:val="clear" w:color="auto" w:fill="auto"/>
          </w:tcPr>
          <w:p w14:paraId="374352E7" w14:textId="77777777" w:rsidR="00C510C2" w:rsidRPr="00F41174" w:rsidRDefault="00C510C2" w:rsidP="00C510C2">
            <w:pPr>
              <w:spacing w:before="40" w:after="40"/>
              <w:rPr>
                <w:rFonts w:eastAsia="Calibri"/>
                <w:b/>
                <w:sz w:val="20"/>
                <w:szCs w:val="20"/>
              </w:rPr>
            </w:pPr>
            <w:r w:rsidRPr="00F41174">
              <w:rPr>
                <w:rFonts w:eastAsia="Calibri"/>
                <w:b/>
                <w:sz w:val="20"/>
                <w:szCs w:val="20"/>
              </w:rPr>
              <w:t>v rozsahu 0,123 ha převzato do ÚP</w:t>
            </w:r>
            <w:r w:rsidRPr="00F41174">
              <w:rPr>
                <w:rFonts w:eastAsia="Calibri"/>
                <w:sz w:val="20"/>
                <w:szCs w:val="20"/>
              </w:rPr>
              <w:t>, zbývající část vymezena jako stabilizovaná plocha</w:t>
            </w:r>
          </w:p>
        </w:tc>
        <w:tc>
          <w:tcPr>
            <w:tcW w:w="3118" w:type="dxa"/>
            <w:shd w:val="clear" w:color="auto" w:fill="auto"/>
          </w:tcPr>
          <w:p w14:paraId="2CD046A1" w14:textId="77777777" w:rsidR="00C510C2" w:rsidRPr="00F41174" w:rsidRDefault="00C510C2" w:rsidP="00C510C2">
            <w:pPr>
              <w:pStyle w:val="1text"/>
              <w:spacing w:before="40" w:after="40"/>
              <w:jc w:val="left"/>
              <w:rPr>
                <w:b/>
                <w:sz w:val="20"/>
                <w:szCs w:val="20"/>
              </w:rPr>
            </w:pPr>
            <w:r w:rsidRPr="00F41174">
              <w:rPr>
                <w:b/>
                <w:sz w:val="20"/>
                <w:szCs w:val="20"/>
              </w:rPr>
              <w:t>plocha Z84</w:t>
            </w:r>
            <w:r w:rsidRPr="00F41174">
              <w:rPr>
                <w:sz w:val="20"/>
                <w:szCs w:val="20"/>
              </w:rPr>
              <w:t>, část realizována</w:t>
            </w:r>
            <w:r w:rsidRPr="00F41174">
              <w:rPr>
                <w:b/>
                <w:sz w:val="20"/>
                <w:szCs w:val="20"/>
              </w:rPr>
              <w:t xml:space="preserve"> </w:t>
            </w:r>
          </w:p>
        </w:tc>
      </w:tr>
      <w:tr w:rsidR="00C510C2" w:rsidRPr="00F41174" w14:paraId="43A5DE4E" w14:textId="77777777" w:rsidTr="002B5D5D">
        <w:tc>
          <w:tcPr>
            <w:tcW w:w="1821" w:type="dxa"/>
            <w:shd w:val="clear" w:color="auto" w:fill="auto"/>
          </w:tcPr>
          <w:p w14:paraId="1F834B1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Z12.01</w:t>
            </w:r>
          </w:p>
        </w:tc>
        <w:tc>
          <w:tcPr>
            <w:tcW w:w="1133" w:type="dxa"/>
            <w:shd w:val="clear" w:color="auto" w:fill="auto"/>
          </w:tcPr>
          <w:p w14:paraId="0AE4719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0,018</w:t>
            </w:r>
          </w:p>
        </w:tc>
        <w:tc>
          <w:tcPr>
            <w:tcW w:w="2978" w:type="dxa"/>
            <w:shd w:val="clear" w:color="auto" w:fill="auto"/>
          </w:tcPr>
          <w:p w14:paraId="78E5BB10"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20464A87" w14:textId="77777777" w:rsidR="00C510C2" w:rsidRPr="00F41174" w:rsidRDefault="00C510C2" w:rsidP="00C510C2">
            <w:pPr>
              <w:pStyle w:val="1text"/>
              <w:spacing w:before="40" w:after="40"/>
              <w:jc w:val="left"/>
              <w:rPr>
                <w:sz w:val="20"/>
                <w:szCs w:val="20"/>
              </w:rPr>
            </w:pPr>
            <w:r w:rsidRPr="00F41174">
              <w:rPr>
                <w:sz w:val="20"/>
                <w:szCs w:val="20"/>
              </w:rPr>
              <w:t>dle §58 a §2, odst. 1c stavebního zákona (oplocený pozemek přilehlého RD)</w:t>
            </w:r>
          </w:p>
        </w:tc>
      </w:tr>
      <w:tr w:rsidR="00C510C2" w:rsidRPr="00F41174" w14:paraId="4BE5C2EB" w14:textId="77777777" w:rsidTr="002B5D5D">
        <w:tc>
          <w:tcPr>
            <w:tcW w:w="1821" w:type="dxa"/>
            <w:shd w:val="clear" w:color="auto" w:fill="auto"/>
          </w:tcPr>
          <w:p w14:paraId="4D4E383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Z12.02</w:t>
            </w:r>
          </w:p>
        </w:tc>
        <w:tc>
          <w:tcPr>
            <w:tcW w:w="1133" w:type="dxa"/>
            <w:shd w:val="clear" w:color="auto" w:fill="auto"/>
          </w:tcPr>
          <w:p w14:paraId="4CCE922E"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0,740</w:t>
            </w:r>
          </w:p>
        </w:tc>
        <w:tc>
          <w:tcPr>
            <w:tcW w:w="2978" w:type="dxa"/>
            <w:shd w:val="clear" w:color="auto" w:fill="auto"/>
          </w:tcPr>
          <w:p w14:paraId="2BCADB8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2053DA2D" w14:textId="77777777" w:rsidR="00C510C2" w:rsidRPr="00F41174" w:rsidRDefault="00C510C2" w:rsidP="00C510C2">
            <w:pPr>
              <w:pStyle w:val="1text"/>
              <w:spacing w:before="40" w:after="40"/>
              <w:jc w:val="left"/>
              <w:rPr>
                <w:sz w:val="20"/>
                <w:szCs w:val="20"/>
              </w:rPr>
            </w:pPr>
            <w:r w:rsidRPr="00F41174">
              <w:rPr>
                <w:sz w:val="20"/>
                <w:szCs w:val="20"/>
              </w:rPr>
              <w:t>dle §58 a §2, odst. 1c stavebního zákona (oplocený pozemek přilehlého RD)</w:t>
            </w:r>
          </w:p>
        </w:tc>
      </w:tr>
      <w:tr w:rsidR="00C510C2" w:rsidRPr="00F41174" w14:paraId="0F7409AC" w14:textId="77777777" w:rsidTr="002B5D5D">
        <w:tc>
          <w:tcPr>
            <w:tcW w:w="1821" w:type="dxa"/>
            <w:shd w:val="clear" w:color="auto" w:fill="auto"/>
          </w:tcPr>
          <w:p w14:paraId="487391A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Z12.07</w:t>
            </w:r>
          </w:p>
        </w:tc>
        <w:tc>
          <w:tcPr>
            <w:tcW w:w="1133" w:type="dxa"/>
            <w:shd w:val="clear" w:color="auto" w:fill="auto"/>
          </w:tcPr>
          <w:p w14:paraId="14A79D2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0,021</w:t>
            </w:r>
          </w:p>
        </w:tc>
        <w:tc>
          <w:tcPr>
            <w:tcW w:w="2978" w:type="dxa"/>
            <w:shd w:val="clear" w:color="auto" w:fill="auto"/>
          </w:tcPr>
          <w:p w14:paraId="7D454ADE"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66561517" w14:textId="77777777" w:rsidR="00C510C2" w:rsidRPr="00F41174" w:rsidRDefault="00C510C2" w:rsidP="00C510C2">
            <w:pPr>
              <w:pStyle w:val="1text"/>
              <w:spacing w:before="40" w:after="40"/>
              <w:jc w:val="left"/>
              <w:rPr>
                <w:sz w:val="20"/>
                <w:szCs w:val="20"/>
              </w:rPr>
            </w:pPr>
          </w:p>
        </w:tc>
      </w:tr>
      <w:tr w:rsidR="00C510C2" w:rsidRPr="00F41174" w14:paraId="1DECFEA2" w14:textId="77777777" w:rsidTr="002B5D5D">
        <w:tc>
          <w:tcPr>
            <w:tcW w:w="1821" w:type="dxa"/>
            <w:shd w:val="clear" w:color="auto" w:fill="auto"/>
          </w:tcPr>
          <w:p w14:paraId="71A3B7B0"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Z12.12</w:t>
            </w:r>
          </w:p>
        </w:tc>
        <w:tc>
          <w:tcPr>
            <w:tcW w:w="1133" w:type="dxa"/>
            <w:shd w:val="clear" w:color="auto" w:fill="auto"/>
          </w:tcPr>
          <w:p w14:paraId="30CAE196"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0,528</w:t>
            </w:r>
          </w:p>
        </w:tc>
        <w:tc>
          <w:tcPr>
            <w:tcW w:w="2978" w:type="dxa"/>
            <w:shd w:val="clear" w:color="auto" w:fill="auto"/>
          </w:tcPr>
          <w:p w14:paraId="723CFAB3" w14:textId="77777777" w:rsidR="00C510C2" w:rsidRPr="00F41174" w:rsidRDefault="00C510C2" w:rsidP="00C510C2">
            <w:pPr>
              <w:spacing w:before="40" w:after="40"/>
              <w:rPr>
                <w:b/>
                <w:sz w:val="20"/>
                <w:szCs w:val="20"/>
              </w:rPr>
            </w:pPr>
            <w:r w:rsidRPr="00F41174">
              <w:rPr>
                <w:b/>
                <w:sz w:val="20"/>
                <w:szCs w:val="20"/>
              </w:rPr>
              <w:t>převzato do ÚP</w:t>
            </w:r>
          </w:p>
        </w:tc>
        <w:tc>
          <w:tcPr>
            <w:tcW w:w="3118" w:type="dxa"/>
            <w:shd w:val="clear" w:color="auto" w:fill="auto"/>
          </w:tcPr>
          <w:p w14:paraId="286AA29C" w14:textId="77777777" w:rsidR="00C510C2" w:rsidRPr="00F41174" w:rsidRDefault="00C510C2" w:rsidP="00C510C2">
            <w:pPr>
              <w:pStyle w:val="1text"/>
              <w:spacing w:before="40" w:after="40"/>
              <w:jc w:val="left"/>
              <w:rPr>
                <w:b/>
                <w:sz w:val="20"/>
                <w:szCs w:val="20"/>
              </w:rPr>
            </w:pPr>
            <w:r w:rsidRPr="00F41174">
              <w:rPr>
                <w:b/>
                <w:sz w:val="20"/>
                <w:szCs w:val="20"/>
              </w:rPr>
              <w:t>plocha Z79</w:t>
            </w:r>
          </w:p>
        </w:tc>
      </w:tr>
      <w:tr w:rsidR="00C510C2" w:rsidRPr="00F41174" w14:paraId="4C4DD5AD" w14:textId="77777777" w:rsidTr="002B5D5D">
        <w:tc>
          <w:tcPr>
            <w:tcW w:w="1821" w:type="dxa"/>
            <w:shd w:val="clear" w:color="auto" w:fill="auto"/>
          </w:tcPr>
          <w:p w14:paraId="27F15D0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Z15.5</w:t>
            </w:r>
          </w:p>
        </w:tc>
        <w:tc>
          <w:tcPr>
            <w:tcW w:w="1133" w:type="dxa"/>
            <w:shd w:val="clear" w:color="auto" w:fill="auto"/>
          </w:tcPr>
          <w:p w14:paraId="718A96A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0,179</w:t>
            </w:r>
          </w:p>
        </w:tc>
        <w:tc>
          <w:tcPr>
            <w:tcW w:w="2978" w:type="dxa"/>
            <w:shd w:val="clear" w:color="auto" w:fill="auto"/>
          </w:tcPr>
          <w:p w14:paraId="6CC27EF3"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C8D1AE6" w14:textId="77777777" w:rsidR="00C510C2" w:rsidRPr="00F41174" w:rsidRDefault="00C510C2" w:rsidP="00C510C2">
            <w:pPr>
              <w:pStyle w:val="1text"/>
              <w:spacing w:before="40" w:after="40"/>
              <w:jc w:val="left"/>
              <w:rPr>
                <w:sz w:val="20"/>
                <w:szCs w:val="20"/>
              </w:rPr>
            </w:pPr>
            <w:r w:rsidRPr="00F41174">
              <w:rPr>
                <w:sz w:val="20"/>
                <w:szCs w:val="20"/>
              </w:rPr>
              <w:t>dle §58 stavebního zákona (proluka)</w:t>
            </w:r>
          </w:p>
        </w:tc>
      </w:tr>
      <w:tr w:rsidR="00C510C2" w:rsidRPr="00F41174" w14:paraId="1896A20D" w14:textId="77777777" w:rsidTr="002B5D5D">
        <w:tc>
          <w:tcPr>
            <w:tcW w:w="1821" w:type="dxa"/>
            <w:shd w:val="clear" w:color="auto" w:fill="auto"/>
          </w:tcPr>
          <w:p w14:paraId="610B2BE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Z15.6</w:t>
            </w:r>
          </w:p>
        </w:tc>
        <w:tc>
          <w:tcPr>
            <w:tcW w:w="1133" w:type="dxa"/>
            <w:shd w:val="clear" w:color="auto" w:fill="auto"/>
          </w:tcPr>
          <w:p w14:paraId="049F555F"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0,005</w:t>
            </w:r>
          </w:p>
        </w:tc>
        <w:tc>
          <w:tcPr>
            <w:tcW w:w="2978" w:type="dxa"/>
            <w:shd w:val="clear" w:color="auto" w:fill="auto"/>
          </w:tcPr>
          <w:p w14:paraId="6F9ACFF0"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21280D65" w14:textId="77777777" w:rsidR="00C510C2" w:rsidRPr="00F41174" w:rsidRDefault="00C510C2" w:rsidP="00C510C2">
            <w:pPr>
              <w:pStyle w:val="1text"/>
              <w:spacing w:before="40" w:after="40"/>
              <w:jc w:val="left"/>
              <w:rPr>
                <w:sz w:val="20"/>
                <w:szCs w:val="20"/>
              </w:rPr>
            </w:pPr>
            <w:r w:rsidRPr="00F41174">
              <w:rPr>
                <w:sz w:val="20"/>
                <w:szCs w:val="20"/>
              </w:rPr>
              <w:t>dle §58 stavebního zákona (proluka)</w:t>
            </w:r>
          </w:p>
        </w:tc>
      </w:tr>
      <w:tr w:rsidR="00C510C2" w:rsidRPr="00F41174" w14:paraId="0122F116" w14:textId="77777777" w:rsidTr="002B5D5D">
        <w:tc>
          <w:tcPr>
            <w:tcW w:w="9050" w:type="dxa"/>
            <w:gridSpan w:val="4"/>
            <w:shd w:val="clear" w:color="auto" w:fill="auto"/>
          </w:tcPr>
          <w:p w14:paraId="65D395B3" w14:textId="77777777" w:rsidR="00C510C2" w:rsidRPr="00F41174" w:rsidRDefault="00C510C2" w:rsidP="00C510C2">
            <w:pPr>
              <w:pStyle w:val="1text"/>
              <w:spacing w:before="40" w:after="40"/>
              <w:jc w:val="left"/>
              <w:rPr>
                <w:sz w:val="20"/>
                <w:szCs w:val="20"/>
              </w:rPr>
            </w:pPr>
            <w:r w:rsidRPr="00F41174">
              <w:rPr>
                <w:sz w:val="20"/>
                <w:szCs w:val="20"/>
              </w:rPr>
              <w:t>Plochy občanského vybavení</w:t>
            </w:r>
          </w:p>
        </w:tc>
      </w:tr>
      <w:tr w:rsidR="00C510C2" w:rsidRPr="00F41174" w14:paraId="4F9D77D6" w14:textId="77777777" w:rsidTr="002B5D5D">
        <w:tc>
          <w:tcPr>
            <w:tcW w:w="1821" w:type="dxa"/>
            <w:shd w:val="clear" w:color="auto" w:fill="auto"/>
          </w:tcPr>
          <w:p w14:paraId="3487928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157</w:t>
            </w:r>
          </w:p>
        </w:tc>
        <w:tc>
          <w:tcPr>
            <w:tcW w:w="1133" w:type="dxa"/>
            <w:shd w:val="clear" w:color="auto" w:fill="auto"/>
          </w:tcPr>
          <w:p w14:paraId="500D7EC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0,605</w:t>
            </w:r>
          </w:p>
        </w:tc>
        <w:tc>
          <w:tcPr>
            <w:tcW w:w="2978" w:type="dxa"/>
            <w:shd w:val="clear" w:color="auto" w:fill="auto"/>
          </w:tcPr>
          <w:p w14:paraId="30C5FBBD"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3657567B" w14:textId="77777777" w:rsidR="00C510C2" w:rsidRPr="00F41174" w:rsidRDefault="00C510C2" w:rsidP="00C510C2">
            <w:pPr>
              <w:pStyle w:val="1text"/>
              <w:spacing w:before="40" w:after="40"/>
              <w:jc w:val="left"/>
              <w:rPr>
                <w:sz w:val="20"/>
                <w:szCs w:val="20"/>
              </w:rPr>
            </w:pPr>
            <w:r w:rsidRPr="00F41174">
              <w:rPr>
                <w:sz w:val="20"/>
                <w:szCs w:val="20"/>
              </w:rPr>
              <w:t>dle §58 stavebního zákona (proluka), část realizována</w:t>
            </w:r>
          </w:p>
        </w:tc>
      </w:tr>
      <w:tr w:rsidR="00C510C2" w:rsidRPr="00F41174" w14:paraId="47C4AD66" w14:textId="77777777" w:rsidTr="002B5D5D">
        <w:tc>
          <w:tcPr>
            <w:tcW w:w="1821" w:type="dxa"/>
            <w:shd w:val="clear" w:color="auto" w:fill="auto"/>
          </w:tcPr>
          <w:p w14:paraId="670B2DB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Z12.30</w:t>
            </w:r>
          </w:p>
        </w:tc>
        <w:tc>
          <w:tcPr>
            <w:tcW w:w="1133" w:type="dxa"/>
            <w:shd w:val="clear" w:color="auto" w:fill="auto"/>
          </w:tcPr>
          <w:p w14:paraId="32E50784"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0,193</w:t>
            </w:r>
          </w:p>
        </w:tc>
        <w:tc>
          <w:tcPr>
            <w:tcW w:w="2978" w:type="dxa"/>
            <w:shd w:val="clear" w:color="auto" w:fill="auto"/>
          </w:tcPr>
          <w:p w14:paraId="175E247A"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11AA27C7"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3F5F2B78" w14:textId="77777777" w:rsidTr="002B5D5D">
        <w:tc>
          <w:tcPr>
            <w:tcW w:w="9050" w:type="dxa"/>
            <w:gridSpan w:val="4"/>
            <w:shd w:val="clear" w:color="auto" w:fill="auto"/>
          </w:tcPr>
          <w:p w14:paraId="5F3CED0E" w14:textId="77777777" w:rsidR="00C510C2" w:rsidRPr="00F41174" w:rsidRDefault="00C510C2" w:rsidP="00C510C2">
            <w:pPr>
              <w:pStyle w:val="1text"/>
              <w:spacing w:before="40" w:after="40"/>
              <w:jc w:val="left"/>
              <w:rPr>
                <w:sz w:val="20"/>
                <w:szCs w:val="20"/>
              </w:rPr>
            </w:pPr>
            <w:r w:rsidRPr="00F41174">
              <w:rPr>
                <w:sz w:val="20"/>
                <w:szCs w:val="20"/>
              </w:rPr>
              <w:t>Plochy dopravní infrastruktury</w:t>
            </w:r>
          </w:p>
        </w:tc>
      </w:tr>
      <w:tr w:rsidR="00C510C2" w:rsidRPr="00F41174" w14:paraId="2D5E1307" w14:textId="77777777" w:rsidTr="002B5D5D">
        <w:tc>
          <w:tcPr>
            <w:tcW w:w="1821" w:type="dxa"/>
            <w:tcBorders>
              <w:bottom w:val="single" w:sz="12" w:space="0" w:color="auto"/>
            </w:tcBorders>
            <w:shd w:val="clear" w:color="auto" w:fill="auto"/>
          </w:tcPr>
          <w:p w14:paraId="41137E5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sz w:val="20"/>
                <w:szCs w:val="20"/>
                <w:lang w:eastAsia="cs-CZ"/>
              </w:rPr>
              <w:t>150</w:t>
            </w:r>
          </w:p>
        </w:tc>
        <w:tc>
          <w:tcPr>
            <w:tcW w:w="1133" w:type="dxa"/>
            <w:tcBorders>
              <w:bottom w:val="single" w:sz="12" w:space="0" w:color="auto"/>
            </w:tcBorders>
            <w:shd w:val="clear" w:color="auto" w:fill="auto"/>
          </w:tcPr>
          <w:p w14:paraId="23E206ED"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3,944</w:t>
            </w:r>
          </w:p>
        </w:tc>
        <w:tc>
          <w:tcPr>
            <w:tcW w:w="2978" w:type="dxa"/>
            <w:tcBorders>
              <w:bottom w:val="single" w:sz="12" w:space="0" w:color="auto"/>
            </w:tcBorders>
            <w:shd w:val="clear" w:color="auto" w:fill="auto"/>
          </w:tcPr>
          <w:p w14:paraId="31308498"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tcBorders>
              <w:bottom w:val="single" w:sz="12" w:space="0" w:color="auto"/>
            </w:tcBorders>
            <w:shd w:val="clear" w:color="auto" w:fill="auto"/>
          </w:tcPr>
          <w:p w14:paraId="2D5B9489" w14:textId="77777777" w:rsidR="00C510C2" w:rsidRPr="00F41174" w:rsidRDefault="00C510C2" w:rsidP="00C510C2">
            <w:pPr>
              <w:pStyle w:val="1text"/>
              <w:spacing w:before="40" w:after="40"/>
              <w:jc w:val="left"/>
              <w:rPr>
                <w:sz w:val="20"/>
                <w:szCs w:val="20"/>
                <w:highlight w:val="green"/>
              </w:rPr>
            </w:pPr>
          </w:p>
        </w:tc>
      </w:tr>
      <w:tr w:rsidR="00C510C2" w:rsidRPr="00F41174" w14:paraId="640C255C" w14:textId="77777777" w:rsidTr="002B5D5D">
        <w:tc>
          <w:tcPr>
            <w:tcW w:w="1821" w:type="dxa"/>
            <w:tcBorders>
              <w:top w:val="single" w:sz="12" w:space="0" w:color="auto"/>
              <w:left w:val="single" w:sz="12" w:space="0" w:color="auto"/>
            </w:tcBorders>
            <w:shd w:val="clear" w:color="auto" w:fill="F2F2F2"/>
          </w:tcPr>
          <w:p w14:paraId="0D0CC36C"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CELKEM K.U. DOLNÍ SEDLO</w:t>
            </w:r>
          </w:p>
        </w:tc>
        <w:tc>
          <w:tcPr>
            <w:tcW w:w="7229" w:type="dxa"/>
            <w:gridSpan w:val="3"/>
            <w:tcBorders>
              <w:top w:val="single" w:sz="12" w:space="0" w:color="auto"/>
              <w:right w:val="single" w:sz="12" w:space="0" w:color="auto"/>
            </w:tcBorders>
            <w:shd w:val="clear" w:color="auto" w:fill="F2F2F2"/>
          </w:tcPr>
          <w:p w14:paraId="3DB1AB79" w14:textId="77777777" w:rsidR="00C510C2" w:rsidRPr="00F41174" w:rsidRDefault="00C510C2" w:rsidP="00C510C2">
            <w:pPr>
              <w:pStyle w:val="1text"/>
              <w:spacing w:before="40" w:after="40"/>
              <w:jc w:val="left"/>
              <w:rPr>
                <w:b/>
                <w:sz w:val="20"/>
                <w:szCs w:val="20"/>
                <w:highlight w:val="green"/>
              </w:rPr>
            </w:pPr>
            <w:r w:rsidRPr="00F41174">
              <w:rPr>
                <w:rFonts w:eastAsia="Times New Roman"/>
                <w:b/>
                <w:color w:val="000000"/>
                <w:sz w:val="20"/>
                <w:szCs w:val="20"/>
                <w:lang w:eastAsia="cs-CZ"/>
              </w:rPr>
              <w:t>14,194 ha</w:t>
            </w:r>
          </w:p>
        </w:tc>
      </w:tr>
      <w:tr w:rsidR="00C510C2" w:rsidRPr="00F41174" w14:paraId="3314E246" w14:textId="77777777" w:rsidTr="002B5D5D">
        <w:tc>
          <w:tcPr>
            <w:tcW w:w="1821" w:type="dxa"/>
            <w:vMerge w:val="restart"/>
            <w:tcBorders>
              <w:left w:val="single" w:sz="12" w:space="0" w:color="auto"/>
            </w:tcBorders>
            <w:shd w:val="clear" w:color="auto" w:fill="auto"/>
          </w:tcPr>
          <w:p w14:paraId="4102238C"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z toho:</w:t>
            </w:r>
          </w:p>
        </w:tc>
        <w:tc>
          <w:tcPr>
            <w:tcW w:w="1133" w:type="dxa"/>
            <w:shd w:val="clear" w:color="auto" w:fill="auto"/>
          </w:tcPr>
          <w:p w14:paraId="0A1A85A2"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3,625 ha</w:t>
            </w:r>
          </w:p>
        </w:tc>
        <w:tc>
          <w:tcPr>
            <w:tcW w:w="6096" w:type="dxa"/>
            <w:gridSpan w:val="2"/>
            <w:tcBorders>
              <w:right w:val="single" w:sz="12" w:space="0" w:color="auto"/>
            </w:tcBorders>
            <w:shd w:val="clear" w:color="auto" w:fill="auto"/>
          </w:tcPr>
          <w:p w14:paraId="36854E2D" w14:textId="77777777" w:rsidR="00C510C2" w:rsidRPr="00F41174" w:rsidRDefault="00C510C2" w:rsidP="00C510C2">
            <w:pPr>
              <w:pStyle w:val="1text"/>
              <w:spacing w:before="40" w:after="40"/>
              <w:jc w:val="left"/>
              <w:rPr>
                <w:sz w:val="20"/>
                <w:szCs w:val="20"/>
              </w:rPr>
            </w:pPr>
            <w:r w:rsidRPr="00F41174">
              <w:rPr>
                <w:b/>
                <w:sz w:val="20"/>
                <w:szCs w:val="20"/>
              </w:rPr>
              <w:t>záborů ZPF převzato</w:t>
            </w:r>
          </w:p>
        </w:tc>
      </w:tr>
      <w:tr w:rsidR="00C510C2" w:rsidRPr="00F41174" w14:paraId="005A5038" w14:textId="77777777" w:rsidTr="002B5D5D">
        <w:tc>
          <w:tcPr>
            <w:tcW w:w="1821" w:type="dxa"/>
            <w:vMerge/>
            <w:tcBorders>
              <w:left w:val="single" w:sz="12" w:space="0" w:color="auto"/>
            </w:tcBorders>
            <w:shd w:val="clear" w:color="auto" w:fill="auto"/>
          </w:tcPr>
          <w:p w14:paraId="43396DAC"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shd w:val="clear" w:color="auto" w:fill="auto"/>
          </w:tcPr>
          <w:p w14:paraId="0D313BF3"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4,770 ha</w:t>
            </w:r>
          </w:p>
        </w:tc>
        <w:tc>
          <w:tcPr>
            <w:tcW w:w="6096" w:type="dxa"/>
            <w:gridSpan w:val="2"/>
            <w:tcBorders>
              <w:right w:val="single" w:sz="12" w:space="0" w:color="auto"/>
            </w:tcBorders>
            <w:shd w:val="clear" w:color="auto" w:fill="auto"/>
          </w:tcPr>
          <w:p w14:paraId="34D5924C" w14:textId="77777777" w:rsidR="00C510C2" w:rsidRPr="00F41174" w:rsidRDefault="00C510C2" w:rsidP="00C510C2">
            <w:pPr>
              <w:pStyle w:val="1text"/>
              <w:spacing w:before="40" w:after="40"/>
              <w:jc w:val="left"/>
              <w:rPr>
                <w:sz w:val="20"/>
                <w:szCs w:val="20"/>
              </w:rPr>
            </w:pPr>
            <w:r w:rsidRPr="00F41174">
              <w:rPr>
                <w:b/>
                <w:sz w:val="20"/>
                <w:szCs w:val="20"/>
              </w:rPr>
              <w:t>záborů ZPF vymezeno jako stabilizovaná plocha</w:t>
            </w:r>
          </w:p>
        </w:tc>
      </w:tr>
      <w:tr w:rsidR="00C510C2" w:rsidRPr="00F41174" w14:paraId="36523DED" w14:textId="77777777" w:rsidTr="002B5D5D">
        <w:tc>
          <w:tcPr>
            <w:tcW w:w="1821" w:type="dxa"/>
            <w:vMerge/>
            <w:tcBorders>
              <w:left w:val="single" w:sz="12" w:space="0" w:color="auto"/>
              <w:bottom w:val="single" w:sz="12" w:space="0" w:color="auto"/>
            </w:tcBorders>
            <w:shd w:val="clear" w:color="auto" w:fill="auto"/>
          </w:tcPr>
          <w:p w14:paraId="23C42952"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auto"/>
          </w:tcPr>
          <w:p w14:paraId="3771F260"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5,799 ha</w:t>
            </w:r>
          </w:p>
        </w:tc>
        <w:tc>
          <w:tcPr>
            <w:tcW w:w="6096" w:type="dxa"/>
            <w:gridSpan w:val="2"/>
            <w:tcBorders>
              <w:bottom w:val="single" w:sz="12" w:space="0" w:color="auto"/>
              <w:right w:val="single" w:sz="12" w:space="0" w:color="auto"/>
            </w:tcBorders>
            <w:shd w:val="clear" w:color="auto" w:fill="auto"/>
          </w:tcPr>
          <w:p w14:paraId="296C2EF5" w14:textId="77777777" w:rsidR="00C510C2" w:rsidRPr="00F41174" w:rsidRDefault="00C510C2" w:rsidP="00C510C2">
            <w:pPr>
              <w:pStyle w:val="1text"/>
              <w:spacing w:before="40" w:after="40"/>
              <w:jc w:val="left"/>
              <w:rPr>
                <w:sz w:val="20"/>
                <w:szCs w:val="20"/>
              </w:rPr>
            </w:pPr>
            <w:r w:rsidRPr="00F41174">
              <w:rPr>
                <w:b/>
                <w:sz w:val="20"/>
                <w:szCs w:val="20"/>
              </w:rPr>
              <w:t>záborů ZPF vypuštěno</w:t>
            </w:r>
          </w:p>
        </w:tc>
      </w:tr>
      <w:tr w:rsidR="00C510C2" w:rsidRPr="00F41174" w14:paraId="0B286B7B" w14:textId="77777777" w:rsidTr="002B5D5D">
        <w:tc>
          <w:tcPr>
            <w:tcW w:w="9050" w:type="dxa"/>
            <w:gridSpan w:val="4"/>
            <w:tcBorders>
              <w:top w:val="single" w:sz="12" w:space="0" w:color="auto"/>
            </w:tcBorders>
            <w:shd w:val="clear" w:color="auto" w:fill="D9D9D9"/>
            <w:vAlign w:val="bottom"/>
          </w:tcPr>
          <w:p w14:paraId="0C1E8D89" w14:textId="77777777" w:rsidR="00C510C2" w:rsidRPr="00F41174" w:rsidRDefault="00C510C2" w:rsidP="00C510C2">
            <w:pPr>
              <w:pStyle w:val="1text"/>
              <w:spacing w:before="40" w:after="40"/>
              <w:jc w:val="left"/>
              <w:rPr>
                <w:b/>
                <w:sz w:val="20"/>
                <w:szCs w:val="20"/>
              </w:rPr>
            </w:pPr>
            <w:r w:rsidRPr="00F41174">
              <w:rPr>
                <w:b/>
                <w:sz w:val="20"/>
                <w:szCs w:val="20"/>
              </w:rPr>
              <w:t>K.Ú. DOLNÍ SUCHÁ U CHOTYNĚ</w:t>
            </w:r>
          </w:p>
        </w:tc>
      </w:tr>
      <w:tr w:rsidR="00C510C2" w:rsidRPr="00F41174" w14:paraId="063CF023" w14:textId="77777777" w:rsidTr="002B5D5D">
        <w:tc>
          <w:tcPr>
            <w:tcW w:w="9050" w:type="dxa"/>
            <w:gridSpan w:val="4"/>
            <w:shd w:val="clear" w:color="auto" w:fill="auto"/>
            <w:vAlign w:val="bottom"/>
          </w:tcPr>
          <w:p w14:paraId="28B015B1" w14:textId="77777777" w:rsidR="00C510C2" w:rsidRPr="00F41174" w:rsidRDefault="00C510C2" w:rsidP="00C510C2">
            <w:pPr>
              <w:pStyle w:val="1text"/>
              <w:spacing w:before="40" w:after="40"/>
              <w:jc w:val="left"/>
              <w:rPr>
                <w:sz w:val="20"/>
                <w:szCs w:val="20"/>
              </w:rPr>
            </w:pPr>
            <w:r w:rsidRPr="00F41174">
              <w:rPr>
                <w:sz w:val="20"/>
                <w:szCs w:val="20"/>
              </w:rPr>
              <w:t>Plochy smíšené obytné</w:t>
            </w:r>
          </w:p>
        </w:tc>
      </w:tr>
      <w:tr w:rsidR="00C510C2" w:rsidRPr="00F41174" w14:paraId="0503F35B" w14:textId="77777777" w:rsidTr="002B5D5D">
        <w:tc>
          <w:tcPr>
            <w:tcW w:w="1821" w:type="dxa"/>
            <w:shd w:val="clear" w:color="auto" w:fill="auto"/>
          </w:tcPr>
          <w:p w14:paraId="6AD5111B"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lastRenderedPageBreak/>
              <w:t>230</w:t>
            </w:r>
          </w:p>
        </w:tc>
        <w:tc>
          <w:tcPr>
            <w:tcW w:w="1133" w:type="dxa"/>
            <w:shd w:val="clear" w:color="auto" w:fill="auto"/>
          </w:tcPr>
          <w:p w14:paraId="0AFE20F6"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1,053</w:t>
            </w:r>
          </w:p>
        </w:tc>
        <w:tc>
          <w:tcPr>
            <w:tcW w:w="2978" w:type="dxa"/>
            <w:shd w:val="clear" w:color="auto" w:fill="auto"/>
          </w:tcPr>
          <w:p w14:paraId="5243436D"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shd w:val="clear" w:color="auto" w:fill="auto"/>
          </w:tcPr>
          <w:p w14:paraId="797E8011"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Z86</w:t>
            </w:r>
          </w:p>
        </w:tc>
      </w:tr>
      <w:tr w:rsidR="00C510C2" w:rsidRPr="00F41174" w14:paraId="17563393" w14:textId="77777777" w:rsidTr="002B5D5D">
        <w:tc>
          <w:tcPr>
            <w:tcW w:w="1821" w:type="dxa"/>
            <w:shd w:val="clear" w:color="auto" w:fill="auto"/>
          </w:tcPr>
          <w:p w14:paraId="039BA22F"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231</w:t>
            </w:r>
          </w:p>
        </w:tc>
        <w:tc>
          <w:tcPr>
            <w:tcW w:w="1133" w:type="dxa"/>
            <w:shd w:val="clear" w:color="auto" w:fill="auto"/>
          </w:tcPr>
          <w:p w14:paraId="04A99A6D"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0,488</w:t>
            </w:r>
          </w:p>
        </w:tc>
        <w:tc>
          <w:tcPr>
            <w:tcW w:w="2978" w:type="dxa"/>
            <w:shd w:val="clear" w:color="auto" w:fill="auto"/>
          </w:tcPr>
          <w:p w14:paraId="799607A8"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shd w:val="clear" w:color="auto" w:fill="auto"/>
          </w:tcPr>
          <w:p w14:paraId="0BB0C3DA"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P15</w:t>
            </w:r>
          </w:p>
        </w:tc>
      </w:tr>
      <w:tr w:rsidR="00C510C2" w:rsidRPr="00F41174" w14:paraId="034EA3DD" w14:textId="77777777" w:rsidTr="002B5D5D">
        <w:tc>
          <w:tcPr>
            <w:tcW w:w="1821" w:type="dxa"/>
            <w:shd w:val="clear" w:color="auto" w:fill="auto"/>
          </w:tcPr>
          <w:p w14:paraId="61055CC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232</w:t>
            </w:r>
          </w:p>
        </w:tc>
        <w:tc>
          <w:tcPr>
            <w:tcW w:w="1133" w:type="dxa"/>
            <w:shd w:val="clear" w:color="auto" w:fill="auto"/>
          </w:tcPr>
          <w:p w14:paraId="25C517F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0,221</w:t>
            </w:r>
          </w:p>
        </w:tc>
        <w:tc>
          <w:tcPr>
            <w:tcW w:w="2978" w:type="dxa"/>
            <w:shd w:val="clear" w:color="auto" w:fill="auto"/>
          </w:tcPr>
          <w:p w14:paraId="1535E249"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4F36C5CA" w14:textId="77777777" w:rsidR="00C510C2" w:rsidRPr="00F41174" w:rsidRDefault="00C510C2" w:rsidP="00C510C2">
            <w:pPr>
              <w:pStyle w:val="1text"/>
              <w:spacing w:before="40" w:after="40"/>
              <w:jc w:val="left"/>
              <w:rPr>
                <w:sz w:val="20"/>
                <w:szCs w:val="20"/>
                <w:highlight w:val="green"/>
              </w:rPr>
            </w:pPr>
          </w:p>
        </w:tc>
      </w:tr>
      <w:tr w:rsidR="00C510C2" w:rsidRPr="00F41174" w14:paraId="792B3C88" w14:textId="77777777" w:rsidTr="002B5D5D">
        <w:tc>
          <w:tcPr>
            <w:tcW w:w="1821" w:type="dxa"/>
            <w:shd w:val="clear" w:color="auto" w:fill="auto"/>
          </w:tcPr>
          <w:p w14:paraId="7AF101B7"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240</w:t>
            </w:r>
          </w:p>
        </w:tc>
        <w:tc>
          <w:tcPr>
            <w:tcW w:w="1133" w:type="dxa"/>
            <w:shd w:val="clear" w:color="auto" w:fill="auto"/>
          </w:tcPr>
          <w:p w14:paraId="0ADBBEAD"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0,617</w:t>
            </w:r>
          </w:p>
        </w:tc>
        <w:tc>
          <w:tcPr>
            <w:tcW w:w="2978" w:type="dxa"/>
            <w:shd w:val="clear" w:color="auto" w:fill="auto"/>
          </w:tcPr>
          <w:p w14:paraId="2B2E9A56" w14:textId="77777777" w:rsidR="00C510C2" w:rsidRPr="00F41174" w:rsidRDefault="00C510C2" w:rsidP="00C510C2">
            <w:pPr>
              <w:spacing w:before="40" w:after="40"/>
              <w:rPr>
                <w:rFonts w:eastAsia="Calibri"/>
                <w:b/>
                <w:sz w:val="20"/>
                <w:szCs w:val="20"/>
              </w:rPr>
            </w:pPr>
            <w:r w:rsidRPr="00F41174">
              <w:rPr>
                <w:rFonts w:eastAsia="Calibri"/>
                <w:b/>
                <w:sz w:val="20"/>
                <w:szCs w:val="20"/>
              </w:rPr>
              <w:t>v rozsahu 0,384 ha převzato do ÚP</w:t>
            </w:r>
            <w:r w:rsidRPr="00F41174">
              <w:rPr>
                <w:rFonts w:eastAsia="Calibri"/>
                <w:sz w:val="20"/>
                <w:szCs w:val="20"/>
              </w:rPr>
              <w:t>, zbývající část vymezena jako stabilizovaná plocha</w:t>
            </w:r>
          </w:p>
        </w:tc>
        <w:tc>
          <w:tcPr>
            <w:tcW w:w="3118" w:type="dxa"/>
            <w:shd w:val="clear" w:color="auto" w:fill="auto"/>
          </w:tcPr>
          <w:p w14:paraId="35E3A484" w14:textId="77777777" w:rsidR="00C510C2" w:rsidRPr="00F41174" w:rsidRDefault="00C510C2" w:rsidP="00C510C2">
            <w:pPr>
              <w:pStyle w:val="1text"/>
              <w:spacing w:before="40" w:after="40"/>
              <w:jc w:val="left"/>
              <w:rPr>
                <w:b/>
                <w:sz w:val="20"/>
                <w:szCs w:val="20"/>
              </w:rPr>
            </w:pPr>
            <w:r w:rsidRPr="00F41174">
              <w:rPr>
                <w:b/>
                <w:sz w:val="20"/>
                <w:szCs w:val="20"/>
              </w:rPr>
              <w:t>plocha Z95</w:t>
            </w:r>
            <w:r w:rsidRPr="00F41174">
              <w:rPr>
                <w:sz w:val="20"/>
                <w:szCs w:val="20"/>
              </w:rPr>
              <w:t>, část přičleněna pod společné oplocení (§58 a §2, odst. 1c stavebního zákona)</w:t>
            </w:r>
          </w:p>
        </w:tc>
      </w:tr>
      <w:tr w:rsidR="00C510C2" w:rsidRPr="00F41174" w14:paraId="54CB5B98" w14:textId="77777777" w:rsidTr="002B5D5D">
        <w:tc>
          <w:tcPr>
            <w:tcW w:w="1821" w:type="dxa"/>
            <w:shd w:val="clear" w:color="auto" w:fill="auto"/>
          </w:tcPr>
          <w:p w14:paraId="0ABE32C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241</w:t>
            </w:r>
          </w:p>
        </w:tc>
        <w:tc>
          <w:tcPr>
            <w:tcW w:w="1133" w:type="dxa"/>
            <w:shd w:val="clear" w:color="auto" w:fill="auto"/>
          </w:tcPr>
          <w:p w14:paraId="3DAEE26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0,235</w:t>
            </w:r>
          </w:p>
        </w:tc>
        <w:tc>
          <w:tcPr>
            <w:tcW w:w="2978" w:type="dxa"/>
            <w:shd w:val="clear" w:color="auto" w:fill="auto"/>
          </w:tcPr>
          <w:p w14:paraId="793112D0"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částečně vymezena jako stabilizovaná plocha, část vypuštěna</w:t>
            </w:r>
          </w:p>
        </w:tc>
        <w:tc>
          <w:tcPr>
            <w:tcW w:w="3118" w:type="dxa"/>
            <w:shd w:val="clear" w:color="auto" w:fill="auto"/>
          </w:tcPr>
          <w:p w14:paraId="6AAB9DA3" w14:textId="77777777" w:rsidR="00C510C2" w:rsidRPr="00F41174" w:rsidRDefault="00C510C2" w:rsidP="00C510C2">
            <w:pPr>
              <w:pStyle w:val="1text"/>
              <w:spacing w:before="40" w:after="40"/>
              <w:jc w:val="left"/>
              <w:rPr>
                <w:sz w:val="20"/>
                <w:szCs w:val="20"/>
                <w:highlight w:val="green"/>
              </w:rPr>
            </w:pPr>
            <w:r w:rsidRPr="00F41174">
              <w:rPr>
                <w:sz w:val="20"/>
                <w:szCs w:val="20"/>
              </w:rPr>
              <w:t>část realizována</w:t>
            </w:r>
          </w:p>
        </w:tc>
      </w:tr>
      <w:tr w:rsidR="00C510C2" w:rsidRPr="00F41174" w14:paraId="316799A2" w14:textId="77777777" w:rsidTr="002B5D5D">
        <w:tc>
          <w:tcPr>
            <w:tcW w:w="1821" w:type="dxa"/>
            <w:shd w:val="clear" w:color="auto" w:fill="auto"/>
          </w:tcPr>
          <w:p w14:paraId="1885A6D8"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242</w:t>
            </w:r>
          </w:p>
        </w:tc>
        <w:tc>
          <w:tcPr>
            <w:tcW w:w="1133" w:type="dxa"/>
            <w:shd w:val="clear" w:color="auto" w:fill="auto"/>
          </w:tcPr>
          <w:p w14:paraId="5A5E7107"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0,595</w:t>
            </w:r>
          </w:p>
        </w:tc>
        <w:tc>
          <w:tcPr>
            <w:tcW w:w="2978" w:type="dxa"/>
            <w:shd w:val="clear" w:color="auto" w:fill="auto"/>
          </w:tcPr>
          <w:p w14:paraId="7422FB19"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shd w:val="clear" w:color="auto" w:fill="auto"/>
          </w:tcPr>
          <w:p w14:paraId="7D07DAF3"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Z96</w:t>
            </w:r>
          </w:p>
        </w:tc>
      </w:tr>
      <w:tr w:rsidR="00C510C2" w:rsidRPr="00F41174" w14:paraId="0F3F0FF4" w14:textId="77777777" w:rsidTr="002B5D5D">
        <w:tc>
          <w:tcPr>
            <w:tcW w:w="1821" w:type="dxa"/>
            <w:shd w:val="clear" w:color="auto" w:fill="auto"/>
          </w:tcPr>
          <w:p w14:paraId="6E7DB158"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243</w:t>
            </w:r>
          </w:p>
        </w:tc>
        <w:tc>
          <w:tcPr>
            <w:tcW w:w="1133" w:type="dxa"/>
            <w:shd w:val="clear" w:color="auto" w:fill="auto"/>
          </w:tcPr>
          <w:p w14:paraId="67096079"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0,619</w:t>
            </w:r>
          </w:p>
        </w:tc>
        <w:tc>
          <w:tcPr>
            <w:tcW w:w="2978" w:type="dxa"/>
            <w:shd w:val="clear" w:color="auto" w:fill="auto"/>
          </w:tcPr>
          <w:p w14:paraId="6DC6E430"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shd w:val="clear" w:color="auto" w:fill="auto"/>
          </w:tcPr>
          <w:p w14:paraId="022CE44D"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Z97</w:t>
            </w:r>
          </w:p>
        </w:tc>
      </w:tr>
      <w:tr w:rsidR="00C510C2" w:rsidRPr="00F41174" w14:paraId="28F992C6" w14:textId="77777777" w:rsidTr="002B5D5D">
        <w:tc>
          <w:tcPr>
            <w:tcW w:w="1821" w:type="dxa"/>
            <w:shd w:val="clear" w:color="auto" w:fill="auto"/>
          </w:tcPr>
          <w:p w14:paraId="0153BD0B"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Z12.09</w:t>
            </w:r>
          </w:p>
        </w:tc>
        <w:tc>
          <w:tcPr>
            <w:tcW w:w="1133" w:type="dxa"/>
            <w:shd w:val="clear" w:color="auto" w:fill="auto"/>
          </w:tcPr>
          <w:p w14:paraId="0487F85C"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0,472</w:t>
            </w:r>
          </w:p>
        </w:tc>
        <w:tc>
          <w:tcPr>
            <w:tcW w:w="2978" w:type="dxa"/>
            <w:shd w:val="clear" w:color="auto" w:fill="auto"/>
          </w:tcPr>
          <w:p w14:paraId="6F4F9F16"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shd w:val="clear" w:color="auto" w:fill="auto"/>
          </w:tcPr>
          <w:p w14:paraId="5C970722"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Z103</w:t>
            </w:r>
          </w:p>
        </w:tc>
      </w:tr>
      <w:tr w:rsidR="00C510C2" w:rsidRPr="00F41174" w14:paraId="7F9E1C6B" w14:textId="77777777" w:rsidTr="002B5D5D">
        <w:tc>
          <w:tcPr>
            <w:tcW w:w="1821" w:type="dxa"/>
            <w:shd w:val="clear" w:color="auto" w:fill="auto"/>
          </w:tcPr>
          <w:p w14:paraId="09806D3B"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Z12.10</w:t>
            </w:r>
          </w:p>
        </w:tc>
        <w:tc>
          <w:tcPr>
            <w:tcW w:w="1133" w:type="dxa"/>
            <w:shd w:val="clear" w:color="auto" w:fill="auto"/>
          </w:tcPr>
          <w:p w14:paraId="1EEB25DC"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0,588</w:t>
            </w:r>
          </w:p>
        </w:tc>
        <w:tc>
          <w:tcPr>
            <w:tcW w:w="2978" w:type="dxa"/>
            <w:shd w:val="clear" w:color="auto" w:fill="auto"/>
          </w:tcPr>
          <w:p w14:paraId="3E182FF4"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shd w:val="clear" w:color="auto" w:fill="auto"/>
          </w:tcPr>
          <w:p w14:paraId="40F484F9"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Z92</w:t>
            </w:r>
          </w:p>
        </w:tc>
      </w:tr>
      <w:tr w:rsidR="00C510C2" w:rsidRPr="00F41174" w14:paraId="643C02CB" w14:textId="77777777" w:rsidTr="002B5D5D">
        <w:tc>
          <w:tcPr>
            <w:tcW w:w="1821" w:type="dxa"/>
            <w:tcBorders>
              <w:bottom w:val="single" w:sz="12" w:space="0" w:color="auto"/>
            </w:tcBorders>
            <w:shd w:val="clear" w:color="auto" w:fill="auto"/>
            <w:vAlign w:val="bottom"/>
          </w:tcPr>
          <w:p w14:paraId="6FB53E83"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Z12.11</w:t>
            </w:r>
          </w:p>
        </w:tc>
        <w:tc>
          <w:tcPr>
            <w:tcW w:w="1133" w:type="dxa"/>
            <w:tcBorders>
              <w:bottom w:val="single" w:sz="12" w:space="0" w:color="auto"/>
            </w:tcBorders>
            <w:shd w:val="clear" w:color="auto" w:fill="auto"/>
          </w:tcPr>
          <w:p w14:paraId="172C1B5B"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0,176</w:t>
            </w:r>
          </w:p>
        </w:tc>
        <w:tc>
          <w:tcPr>
            <w:tcW w:w="2978" w:type="dxa"/>
            <w:tcBorders>
              <w:bottom w:val="single" w:sz="12" w:space="0" w:color="auto"/>
            </w:tcBorders>
            <w:shd w:val="clear" w:color="auto" w:fill="auto"/>
          </w:tcPr>
          <w:p w14:paraId="12223DF7"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tcBorders>
              <w:bottom w:val="single" w:sz="12" w:space="0" w:color="auto"/>
            </w:tcBorders>
            <w:shd w:val="clear" w:color="auto" w:fill="auto"/>
          </w:tcPr>
          <w:p w14:paraId="46AFE048"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Z104</w:t>
            </w:r>
          </w:p>
        </w:tc>
      </w:tr>
      <w:tr w:rsidR="00C510C2" w:rsidRPr="00F41174" w14:paraId="38E08469" w14:textId="77777777" w:rsidTr="002B5D5D">
        <w:tc>
          <w:tcPr>
            <w:tcW w:w="1821" w:type="dxa"/>
            <w:tcBorders>
              <w:top w:val="single" w:sz="12" w:space="0" w:color="auto"/>
              <w:left w:val="single" w:sz="12" w:space="0" w:color="auto"/>
            </w:tcBorders>
            <w:shd w:val="clear" w:color="auto" w:fill="F2F2F2"/>
          </w:tcPr>
          <w:p w14:paraId="6D442160"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sz w:val="20"/>
                <w:szCs w:val="20"/>
                <w:lang w:eastAsia="cs-CZ"/>
              </w:rPr>
              <w:t>CELKEM K.U. DOLNÍ SUCHÁ U CHOTYNĚ</w:t>
            </w:r>
          </w:p>
        </w:tc>
        <w:tc>
          <w:tcPr>
            <w:tcW w:w="7229" w:type="dxa"/>
            <w:gridSpan w:val="3"/>
            <w:tcBorders>
              <w:top w:val="single" w:sz="12" w:space="0" w:color="auto"/>
              <w:right w:val="single" w:sz="12" w:space="0" w:color="auto"/>
            </w:tcBorders>
            <w:shd w:val="clear" w:color="auto" w:fill="F2F2F2"/>
          </w:tcPr>
          <w:p w14:paraId="69C154D6" w14:textId="77777777" w:rsidR="00C510C2" w:rsidRPr="00F41174" w:rsidRDefault="00C510C2" w:rsidP="00C510C2">
            <w:pPr>
              <w:pStyle w:val="1text"/>
              <w:spacing w:before="40" w:after="40"/>
              <w:jc w:val="left"/>
              <w:rPr>
                <w:b/>
                <w:sz w:val="20"/>
                <w:szCs w:val="20"/>
                <w:highlight w:val="green"/>
              </w:rPr>
            </w:pPr>
            <w:r w:rsidRPr="00F41174">
              <w:rPr>
                <w:rFonts w:eastAsia="Times New Roman"/>
                <w:b/>
                <w:color w:val="000000"/>
                <w:sz w:val="20"/>
                <w:szCs w:val="20"/>
                <w:lang w:eastAsia="cs-CZ"/>
              </w:rPr>
              <w:t>5,064</w:t>
            </w:r>
          </w:p>
        </w:tc>
      </w:tr>
      <w:tr w:rsidR="00C510C2" w:rsidRPr="00F41174" w14:paraId="443E3AEC" w14:textId="77777777" w:rsidTr="002B5D5D">
        <w:tc>
          <w:tcPr>
            <w:tcW w:w="1821" w:type="dxa"/>
            <w:vMerge w:val="restart"/>
            <w:tcBorders>
              <w:left w:val="single" w:sz="12" w:space="0" w:color="auto"/>
            </w:tcBorders>
            <w:shd w:val="clear" w:color="auto" w:fill="auto"/>
          </w:tcPr>
          <w:p w14:paraId="184494DA"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 toho:</w:t>
            </w:r>
          </w:p>
        </w:tc>
        <w:tc>
          <w:tcPr>
            <w:tcW w:w="1133" w:type="dxa"/>
            <w:shd w:val="clear" w:color="auto" w:fill="auto"/>
          </w:tcPr>
          <w:p w14:paraId="1A0F2778"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4,375 ha</w:t>
            </w:r>
          </w:p>
        </w:tc>
        <w:tc>
          <w:tcPr>
            <w:tcW w:w="6096" w:type="dxa"/>
            <w:gridSpan w:val="2"/>
            <w:tcBorders>
              <w:right w:val="single" w:sz="12" w:space="0" w:color="auto"/>
            </w:tcBorders>
            <w:shd w:val="clear" w:color="auto" w:fill="auto"/>
          </w:tcPr>
          <w:p w14:paraId="5269E9E1" w14:textId="77777777" w:rsidR="00C510C2" w:rsidRPr="00F41174" w:rsidRDefault="00C510C2" w:rsidP="00C510C2">
            <w:pPr>
              <w:pStyle w:val="1text"/>
              <w:spacing w:before="40" w:after="40"/>
              <w:jc w:val="left"/>
              <w:rPr>
                <w:sz w:val="20"/>
                <w:szCs w:val="20"/>
              </w:rPr>
            </w:pPr>
            <w:r w:rsidRPr="00F41174">
              <w:rPr>
                <w:b/>
                <w:sz w:val="20"/>
                <w:szCs w:val="20"/>
              </w:rPr>
              <w:t>záborů ZPF převzato</w:t>
            </w:r>
          </w:p>
        </w:tc>
      </w:tr>
      <w:tr w:rsidR="00C510C2" w:rsidRPr="00F41174" w14:paraId="5C053513" w14:textId="77777777" w:rsidTr="002B5D5D">
        <w:tc>
          <w:tcPr>
            <w:tcW w:w="1821" w:type="dxa"/>
            <w:vMerge/>
            <w:tcBorders>
              <w:left w:val="single" w:sz="12" w:space="0" w:color="auto"/>
            </w:tcBorders>
            <w:shd w:val="clear" w:color="auto" w:fill="auto"/>
            <w:vAlign w:val="bottom"/>
          </w:tcPr>
          <w:p w14:paraId="226755F0" w14:textId="77777777" w:rsidR="00C510C2" w:rsidRPr="00F41174" w:rsidRDefault="00C510C2" w:rsidP="00C510C2">
            <w:pPr>
              <w:pStyle w:val="1text"/>
              <w:spacing w:before="40" w:after="40"/>
              <w:jc w:val="left"/>
              <w:rPr>
                <w:rFonts w:eastAsia="Times New Roman"/>
                <w:b/>
                <w:color w:val="000000"/>
                <w:sz w:val="20"/>
                <w:szCs w:val="20"/>
                <w:lang w:eastAsia="cs-CZ"/>
              </w:rPr>
            </w:pPr>
          </w:p>
        </w:tc>
        <w:tc>
          <w:tcPr>
            <w:tcW w:w="1133" w:type="dxa"/>
            <w:shd w:val="clear" w:color="auto" w:fill="auto"/>
          </w:tcPr>
          <w:p w14:paraId="7158A8BC"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0,384 ha</w:t>
            </w:r>
          </w:p>
        </w:tc>
        <w:tc>
          <w:tcPr>
            <w:tcW w:w="6096" w:type="dxa"/>
            <w:gridSpan w:val="2"/>
            <w:tcBorders>
              <w:right w:val="single" w:sz="12" w:space="0" w:color="auto"/>
            </w:tcBorders>
            <w:shd w:val="clear" w:color="auto" w:fill="auto"/>
          </w:tcPr>
          <w:p w14:paraId="714E1840" w14:textId="77777777" w:rsidR="00C510C2" w:rsidRPr="00F41174" w:rsidRDefault="00C510C2" w:rsidP="00C510C2">
            <w:pPr>
              <w:pStyle w:val="1text"/>
              <w:spacing w:before="40" w:after="40"/>
              <w:jc w:val="left"/>
              <w:rPr>
                <w:sz w:val="20"/>
                <w:szCs w:val="20"/>
              </w:rPr>
            </w:pPr>
            <w:r w:rsidRPr="00F41174">
              <w:rPr>
                <w:b/>
                <w:sz w:val="20"/>
                <w:szCs w:val="20"/>
              </w:rPr>
              <w:t>záborů ZPF vymezeno jako stabilizovaná plocha</w:t>
            </w:r>
          </w:p>
        </w:tc>
      </w:tr>
      <w:tr w:rsidR="00C510C2" w:rsidRPr="00F41174" w14:paraId="524606CB" w14:textId="77777777" w:rsidTr="002B5D5D">
        <w:tc>
          <w:tcPr>
            <w:tcW w:w="1821" w:type="dxa"/>
            <w:vMerge/>
            <w:tcBorders>
              <w:left w:val="single" w:sz="12" w:space="0" w:color="auto"/>
              <w:bottom w:val="single" w:sz="12" w:space="0" w:color="auto"/>
            </w:tcBorders>
            <w:shd w:val="clear" w:color="auto" w:fill="auto"/>
            <w:vAlign w:val="bottom"/>
          </w:tcPr>
          <w:p w14:paraId="4ED21469" w14:textId="77777777" w:rsidR="00C510C2" w:rsidRPr="00F41174" w:rsidRDefault="00C510C2" w:rsidP="00C510C2">
            <w:pPr>
              <w:pStyle w:val="1text"/>
              <w:spacing w:before="40" w:after="40"/>
              <w:jc w:val="left"/>
              <w:rPr>
                <w:rFonts w:eastAsia="Times New Roman"/>
                <w:b/>
                <w:color w:val="000000"/>
                <w:sz w:val="20"/>
                <w:szCs w:val="20"/>
                <w:lang w:eastAsia="cs-CZ"/>
              </w:rPr>
            </w:pPr>
          </w:p>
        </w:tc>
        <w:tc>
          <w:tcPr>
            <w:tcW w:w="1133" w:type="dxa"/>
            <w:tcBorders>
              <w:bottom w:val="single" w:sz="12" w:space="0" w:color="auto"/>
            </w:tcBorders>
            <w:shd w:val="clear" w:color="auto" w:fill="auto"/>
          </w:tcPr>
          <w:p w14:paraId="6C65D94F"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0,305 ha</w:t>
            </w:r>
          </w:p>
        </w:tc>
        <w:tc>
          <w:tcPr>
            <w:tcW w:w="6096" w:type="dxa"/>
            <w:gridSpan w:val="2"/>
            <w:tcBorders>
              <w:bottom w:val="single" w:sz="12" w:space="0" w:color="auto"/>
              <w:right w:val="single" w:sz="12" w:space="0" w:color="auto"/>
            </w:tcBorders>
            <w:shd w:val="clear" w:color="auto" w:fill="auto"/>
          </w:tcPr>
          <w:p w14:paraId="1A4E8B63" w14:textId="77777777" w:rsidR="00C510C2" w:rsidRPr="00F41174" w:rsidRDefault="00C510C2" w:rsidP="00C510C2">
            <w:pPr>
              <w:pStyle w:val="1text"/>
              <w:spacing w:before="40" w:after="40"/>
              <w:jc w:val="left"/>
              <w:rPr>
                <w:sz w:val="20"/>
                <w:szCs w:val="20"/>
              </w:rPr>
            </w:pPr>
            <w:r w:rsidRPr="00F41174">
              <w:rPr>
                <w:b/>
                <w:sz w:val="20"/>
                <w:szCs w:val="20"/>
              </w:rPr>
              <w:t>záborů ZPF vypuštěno</w:t>
            </w:r>
          </w:p>
        </w:tc>
      </w:tr>
      <w:tr w:rsidR="00C510C2" w:rsidRPr="00F41174" w14:paraId="2A4E8101" w14:textId="77777777" w:rsidTr="002B5D5D">
        <w:tc>
          <w:tcPr>
            <w:tcW w:w="9050" w:type="dxa"/>
            <w:gridSpan w:val="4"/>
            <w:tcBorders>
              <w:top w:val="single" w:sz="12" w:space="0" w:color="auto"/>
            </w:tcBorders>
            <w:shd w:val="clear" w:color="auto" w:fill="D9D9D9"/>
            <w:vAlign w:val="bottom"/>
          </w:tcPr>
          <w:p w14:paraId="637F6B91" w14:textId="77777777" w:rsidR="00C510C2" w:rsidRPr="00F41174" w:rsidRDefault="00C510C2" w:rsidP="00C510C2">
            <w:pPr>
              <w:pStyle w:val="1text"/>
              <w:spacing w:before="40" w:after="40"/>
              <w:jc w:val="left"/>
              <w:rPr>
                <w:b/>
                <w:sz w:val="20"/>
                <w:szCs w:val="20"/>
              </w:rPr>
            </w:pPr>
            <w:r w:rsidRPr="00F41174">
              <w:rPr>
                <w:b/>
                <w:sz w:val="20"/>
                <w:szCs w:val="20"/>
              </w:rPr>
              <w:t>K.Ú. DONÍN U HRÁDKU NAD NISOU</w:t>
            </w:r>
          </w:p>
        </w:tc>
      </w:tr>
      <w:tr w:rsidR="00C510C2" w:rsidRPr="00F41174" w14:paraId="45B427D5" w14:textId="77777777" w:rsidTr="002B5D5D">
        <w:tc>
          <w:tcPr>
            <w:tcW w:w="9050" w:type="dxa"/>
            <w:gridSpan w:val="4"/>
            <w:shd w:val="clear" w:color="auto" w:fill="auto"/>
            <w:vAlign w:val="bottom"/>
          </w:tcPr>
          <w:p w14:paraId="20B7C959" w14:textId="77777777" w:rsidR="00C510C2" w:rsidRPr="00F41174" w:rsidRDefault="00C510C2" w:rsidP="00C510C2">
            <w:pPr>
              <w:pStyle w:val="1text"/>
              <w:spacing w:before="40" w:after="40"/>
              <w:jc w:val="left"/>
              <w:rPr>
                <w:sz w:val="20"/>
                <w:szCs w:val="20"/>
                <w:highlight w:val="green"/>
              </w:rPr>
            </w:pPr>
            <w:r w:rsidRPr="00F41174">
              <w:rPr>
                <w:sz w:val="20"/>
                <w:szCs w:val="20"/>
              </w:rPr>
              <w:t>Plochy smíšené obytné</w:t>
            </w:r>
          </w:p>
        </w:tc>
      </w:tr>
      <w:tr w:rsidR="00C510C2" w:rsidRPr="00F41174" w14:paraId="3510B923" w14:textId="77777777" w:rsidTr="002B5D5D">
        <w:tc>
          <w:tcPr>
            <w:tcW w:w="1821" w:type="dxa"/>
            <w:shd w:val="clear" w:color="auto" w:fill="auto"/>
          </w:tcPr>
          <w:p w14:paraId="2B6901A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52</w:t>
            </w:r>
          </w:p>
        </w:tc>
        <w:tc>
          <w:tcPr>
            <w:tcW w:w="1133" w:type="dxa"/>
            <w:shd w:val="clear" w:color="auto" w:fill="auto"/>
          </w:tcPr>
          <w:p w14:paraId="767227E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0,389</w:t>
            </w:r>
          </w:p>
        </w:tc>
        <w:tc>
          <w:tcPr>
            <w:tcW w:w="2978" w:type="dxa"/>
            <w:shd w:val="clear" w:color="auto" w:fill="auto"/>
          </w:tcPr>
          <w:p w14:paraId="1470E15F"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4982AC17" w14:textId="77777777" w:rsidR="00C510C2" w:rsidRPr="00F41174" w:rsidRDefault="00C510C2" w:rsidP="00C510C2">
            <w:pPr>
              <w:pStyle w:val="1text"/>
              <w:spacing w:before="40" w:after="40"/>
              <w:jc w:val="left"/>
              <w:rPr>
                <w:sz w:val="20"/>
                <w:szCs w:val="20"/>
                <w:highlight w:val="green"/>
              </w:rPr>
            </w:pPr>
          </w:p>
        </w:tc>
      </w:tr>
      <w:tr w:rsidR="00C510C2" w:rsidRPr="00F41174" w14:paraId="3C9B7B1A" w14:textId="77777777" w:rsidTr="002B5D5D">
        <w:tc>
          <w:tcPr>
            <w:tcW w:w="1821" w:type="dxa"/>
            <w:shd w:val="clear" w:color="auto" w:fill="auto"/>
          </w:tcPr>
          <w:p w14:paraId="5D9B31D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53</w:t>
            </w:r>
          </w:p>
        </w:tc>
        <w:tc>
          <w:tcPr>
            <w:tcW w:w="1133" w:type="dxa"/>
            <w:shd w:val="clear" w:color="auto" w:fill="auto"/>
          </w:tcPr>
          <w:p w14:paraId="25D3821C"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0,240</w:t>
            </w:r>
          </w:p>
        </w:tc>
        <w:tc>
          <w:tcPr>
            <w:tcW w:w="2978" w:type="dxa"/>
            <w:shd w:val="clear" w:color="auto" w:fill="auto"/>
          </w:tcPr>
          <w:p w14:paraId="3E333BD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4E8AC459" w14:textId="77777777" w:rsidR="00C510C2" w:rsidRPr="00F41174" w:rsidRDefault="00C510C2" w:rsidP="00C510C2">
            <w:pPr>
              <w:pStyle w:val="1text"/>
              <w:spacing w:before="40" w:after="40"/>
              <w:jc w:val="left"/>
              <w:rPr>
                <w:sz w:val="20"/>
                <w:szCs w:val="20"/>
                <w:highlight w:val="green"/>
              </w:rPr>
            </w:pPr>
          </w:p>
        </w:tc>
      </w:tr>
      <w:tr w:rsidR="00C510C2" w:rsidRPr="00F41174" w14:paraId="62EBFB2F" w14:textId="77777777" w:rsidTr="002B5D5D">
        <w:tc>
          <w:tcPr>
            <w:tcW w:w="1821" w:type="dxa"/>
            <w:shd w:val="clear" w:color="auto" w:fill="auto"/>
          </w:tcPr>
          <w:p w14:paraId="33CE5615"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68</w:t>
            </w:r>
          </w:p>
        </w:tc>
        <w:tc>
          <w:tcPr>
            <w:tcW w:w="1133" w:type="dxa"/>
            <w:shd w:val="clear" w:color="auto" w:fill="auto"/>
          </w:tcPr>
          <w:p w14:paraId="0DC941F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0,598</w:t>
            </w:r>
          </w:p>
        </w:tc>
        <w:tc>
          <w:tcPr>
            <w:tcW w:w="2978" w:type="dxa"/>
            <w:shd w:val="clear" w:color="auto" w:fill="auto"/>
          </w:tcPr>
          <w:p w14:paraId="7CF46E81"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48403988"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4A5BCBBE" w14:textId="77777777" w:rsidTr="002B5D5D">
        <w:tc>
          <w:tcPr>
            <w:tcW w:w="1821" w:type="dxa"/>
            <w:shd w:val="clear" w:color="auto" w:fill="auto"/>
          </w:tcPr>
          <w:p w14:paraId="12101FAE"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151</w:t>
            </w:r>
          </w:p>
        </w:tc>
        <w:tc>
          <w:tcPr>
            <w:tcW w:w="1133" w:type="dxa"/>
            <w:shd w:val="clear" w:color="auto" w:fill="auto"/>
          </w:tcPr>
          <w:p w14:paraId="0F9C1561"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2,000</w:t>
            </w:r>
          </w:p>
        </w:tc>
        <w:tc>
          <w:tcPr>
            <w:tcW w:w="2978" w:type="dxa"/>
            <w:shd w:val="clear" w:color="auto" w:fill="auto"/>
          </w:tcPr>
          <w:p w14:paraId="71ECE26F" w14:textId="77777777" w:rsidR="00C510C2" w:rsidRPr="00F41174" w:rsidRDefault="00C510C2" w:rsidP="00C510C2">
            <w:pPr>
              <w:spacing w:before="40" w:after="40"/>
              <w:rPr>
                <w:rFonts w:eastAsia="Calibri"/>
                <w:sz w:val="20"/>
                <w:szCs w:val="20"/>
                <w:highlight w:val="green"/>
              </w:rPr>
            </w:pPr>
            <w:r w:rsidRPr="00F41174">
              <w:rPr>
                <w:rFonts w:eastAsia="Calibri"/>
                <w:b/>
                <w:sz w:val="20"/>
                <w:szCs w:val="20"/>
              </w:rPr>
              <w:t>v rozsahu 1,461 ha převzato do ÚP</w:t>
            </w:r>
            <w:r w:rsidRPr="00F41174">
              <w:rPr>
                <w:rFonts w:eastAsia="Calibri"/>
                <w:sz w:val="20"/>
                <w:szCs w:val="20"/>
              </w:rPr>
              <w:t>, část vymezena jako stabilizovaná plocha, v části záměr vypuštěn</w:t>
            </w:r>
          </w:p>
        </w:tc>
        <w:tc>
          <w:tcPr>
            <w:tcW w:w="3118" w:type="dxa"/>
            <w:shd w:val="clear" w:color="auto" w:fill="auto"/>
          </w:tcPr>
          <w:p w14:paraId="27B79F02" w14:textId="77777777" w:rsidR="00C510C2" w:rsidRPr="00F41174" w:rsidRDefault="00C510C2" w:rsidP="00C510C2">
            <w:pPr>
              <w:pStyle w:val="1text"/>
              <w:spacing w:before="40" w:after="40"/>
              <w:jc w:val="left"/>
              <w:rPr>
                <w:sz w:val="20"/>
                <w:szCs w:val="20"/>
                <w:highlight w:val="green"/>
              </w:rPr>
            </w:pPr>
            <w:r w:rsidRPr="00F41174">
              <w:rPr>
                <w:b/>
                <w:sz w:val="20"/>
                <w:szCs w:val="20"/>
              </w:rPr>
              <w:t>plochy Z73 a Z107</w:t>
            </w:r>
            <w:r w:rsidRPr="00F41174">
              <w:rPr>
                <w:sz w:val="20"/>
                <w:szCs w:val="20"/>
              </w:rPr>
              <w:t>, část realizována, část přičleněna pod společné oplocení (§58 a §2, odst. 1c stavebního zákona)</w:t>
            </w:r>
          </w:p>
        </w:tc>
      </w:tr>
      <w:tr w:rsidR="00C510C2" w:rsidRPr="00F41174" w14:paraId="368BA77B" w14:textId="77777777" w:rsidTr="002B5D5D">
        <w:tc>
          <w:tcPr>
            <w:tcW w:w="1821" w:type="dxa"/>
            <w:shd w:val="clear" w:color="auto" w:fill="auto"/>
          </w:tcPr>
          <w:p w14:paraId="3EA424D2"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152</w:t>
            </w:r>
          </w:p>
        </w:tc>
        <w:tc>
          <w:tcPr>
            <w:tcW w:w="1133" w:type="dxa"/>
            <w:shd w:val="clear" w:color="auto" w:fill="auto"/>
          </w:tcPr>
          <w:p w14:paraId="3A255C3D"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0,154</w:t>
            </w:r>
          </w:p>
        </w:tc>
        <w:tc>
          <w:tcPr>
            <w:tcW w:w="2978" w:type="dxa"/>
            <w:shd w:val="clear" w:color="auto" w:fill="auto"/>
          </w:tcPr>
          <w:p w14:paraId="465062BB"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14E88038" w14:textId="77777777" w:rsidR="00C510C2" w:rsidRPr="00F41174" w:rsidRDefault="00C510C2" w:rsidP="00C510C2">
            <w:pPr>
              <w:pStyle w:val="1text"/>
              <w:spacing w:before="40" w:after="40"/>
              <w:jc w:val="left"/>
              <w:rPr>
                <w:sz w:val="20"/>
                <w:szCs w:val="20"/>
                <w:highlight w:val="green"/>
              </w:rPr>
            </w:pPr>
            <w:r w:rsidRPr="00F41174">
              <w:rPr>
                <w:sz w:val="20"/>
                <w:szCs w:val="20"/>
              </w:rPr>
              <w:t>dle §58 stavebního zákona (proluka)</w:t>
            </w:r>
          </w:p>
        </w:tc>
      </w:tr>
      <w:tr w:rsidR="00C510C2" w:rsidRPr="00F41174" w14:paraId="7E4E59DD" w14:textId="77777777" w:rsidTr="002B5D5D">
        <w:tc>
          <w:tcPr>
            <w:tcW w:w="1821" w:type="dxa"/>
            <w:shd w:val="clear" w:color="auto" w:fill="auto"/>
          </w:tcPr>
          <w:p w14:paraId="26A4E9EF"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153</w:t>
            </w:r>
          </w:p>
        </w:tc>
        <w:tc>
          <w:tcPr>
            <w:tcW w:w="1133" w:type="dxa"/>
            <w:shd w:val="clear" w:color="auto" w:fill="auto"/>
          </w:tcPr>
          <w:p w14:paraId="1FAF3DE8"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0,756</w:t>
            </w:r>
          </w:p>
        </w:tc>
        <w:tc>
          <w:tcPr>
            <w:tcW w:w="2978" w:type="dxa"/>
            <w:shd w:val="clear" w:color="auto" w:fill="auto"/>
          </w:tcPr>
          <w:p w14:paraId="20E6BD15"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shd w:val="clear" w:color="auto" w:fill="auto"/>
          </w:tcPr>
          <w:p w14:paraId="4EF09343"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Z109</w:t>
            </w:r>
          </w:p>
        </w:tc>
      </w:tr>
      <w:tr w:rsidR="00C510C2" w:rsidRPr="00F41174" w14:paraId="073530AA" w14:textId="77777777" w:rsidTr="002B5D5D">
        <w:tc>
          <w:tcPr>
            <w:tcW w:w="1821" w:type="dxa"/>
            <w:shd w:val="clear" w:color="auto" w:fill="auto"/>
          </w:tcPr>
          <w:p w14:paraId="1EDA5C0A"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159</w:t>
            </w:r>
          </w:p>
        </w:tc>
        <w:tc>
          <w:tcPr>
            <w:tcW w:w="1133" w:type="dxa"/>
            <w:shd w:val="clear" w:color="auto" w:fill="auto"/>
          </w:tcPr>
          <w:p w14:paraId="3A099CB6"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0,980</w:t>
            </w:r>
          </w:p>
        </w:tc>
        <w:tc>
          <w:tcPr>
            <w:tcW w:w="2978" w:type="dxa"/>
            <w:shd w:val="clear" w:color="auto" w:fill="auto"/>
          </w:tcPr>
          <w:p w14:paraId="1DCDCAFC" w14:textId="77777777" w:rsidR="00C510C2" w:rsidRPr="00F41174" w:rsidRDefault="00C510C2" w:rsidP="00C510C2">
            <w:pPr>
              <w:spacing w:before="40" w:after="40"/>
              <w:rPr>
                <w:rFonts w:eastAsia="Calibri"/>
                <w:b/>
                <w:sz w:val="20"/>
                <w:szCs w:val="20"/>
                <w:highlight w:val="green"/>
              </w:rPr>
            </w:pPr>
            <w:r w:rsidRPr="00F41174">
              <w:rPr>
                <w:b/>
                <w:sz w:val="20"/>
                <w:szCs w:val="20"/>
              </w:rPr>
              <w:t>převzato do ÚP</w:t>
            </w:r>
          </w:p>
        </w:tc>
        <w:tc>
          <w:tcPr>
            <w:tcW w:w="3118" w:type="dxa"/>
            <w:shd w:val="clear" w:color="auto" w:fill="auto"/>
          </w:tcPr>
          <w:p w14:paraId="7AF0E95B" w14:textId="77777777" w:rsidR="00C510C2" w:rsidRPr="00F41174" w:rsidRDefault="00C510C2" w:rsidP="00C510C2">
            <w:pPr>
              <w:pStyle w:val="1text"/>
              <w:spacing w:before="40" w:after="40"/>
              <w:jc w:val="left"/>
              <w:rPr>
                <w:b/>
                <w:sz w:val="20"/>
                <w:szCs w:val="20"/>
                <w:highlight w:val="green"/>
              </w:rPr>
            </w:pPr>
            <w:r w:rsidRPr="00F41174">
              <w:rPr>
                <w:b/>
                <w:sz w:val="20"/>
                <w:szCs w:val="20"/>
              </w:rPr>
              <w:t>plochy Z74 a Z75</w:t>
            </w:r>
          </w:p>
        </w:tc>
      </w:tr>
      <w:tr w:rsidR="00C510C2" w:rsidRPr="00F41174" w14:paraId="3576BB81" w14:textId="77777777" w:rsidTr="002B5D5D">
        <w:tc>
          <w:tcPr>
            <w:tcW w:w="1821" w:type="dxa"/>
            <w:shd w:val="clear" w:color="auto" w:fill="auto"/>
          </w:tcPr>
          <w:p w14:paraId="1E988CC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Z12.04</w:t>
            </w:r>
          </w:p>
        </w:tc>
        <w:tc>
          <w:tcPr>
            <w:tcW w:w="1133" w:type="dxa"/>
            <w:shd w:val="clear" w:color="auto" w:fill="auto"/>
          </w:tcPr>
          <w:p w14:paraId="5D5C74EB"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0,007</w:t>
            </w:r>
          </w:p>
        </w:tc>
        <w:tc>
          <w:tcPr>
            <w:tcW w:w="2978" w:type="dxa"/>
            <w:shd w:val="clear" w:color="auto" w:fill="auto"/>
          </w:tcPr>
          <w:p w14:paraId="3EFE4D0A"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3CDE412A" w14:textId="77777777" w:rsidR="00C510C2" w:rsidRPr="00F41174" w:rsidRDefault="00C510C2" w:rsidP="00C510C2">
            <w:pPr>
              <w:pStyle w:val="1text"/>
              <w:spacing w:before="40" w:after="40"/>
              <w:jc w:val="left"/>
              <w:rPr>
                <w:sz w:val="20"/>
                <w:szCs w:val="20"/>
                <w:highlight w:val="green"/>
              </w:rPr>
            </w:pPr>
          </w:p>
        </w:tc>
      </w:tr>
      <w:tr w:rsidR="00C510C2" w:rsidRPr="00F41174" w14:paraId="62D2011F" w14:textId="77777777" w:rsidTr="002B5D5D">
        <w:tc>
          <w:tcPr>
            <w:tcW w:w="9050" w:type="dxa"/>
            <w:gridSpan w:val="4"/>
            <w:shd w:val="clear" w:color="auto" w:fill="auto"/>
            <w:vAlign w:val="bottom"/>
          </w:tcPr>
          <w:p w14:paraId="27041623" w14:textId="77777777" w:rsidR="00C510C2" w:rsidRPr="00F41174" w:rsidRDefault="00C510C2" w:rsidP="00C510C2">
            <w:pPr>
              <w:pStyle w:val="1text"/>
              <w:spacing w:before="40" w:after="40"/>
              <w:jc w:val="left"/>
              <w:rPr>
                <w:sz w:val="20"/>
                <w:szCs w:val="20"/>
              </w:rPr>
            </w:pPr>
            <w:r w:rsidRPr="00F41174">
              <w:rPr>
                <w:sz w:val="20"/>
                <w:szCs w:val="20"/>
              </w:rPr>
              <w:t>Plochy bydlení</w:t>
            </w:r>
          </w:p>
        </w:tc>
      </w:tr>
      <w:tr w:rsidR="00C510C2" w:rsidRPr="00F41174" w14:paraId="22B61F0B" w14:textId="77777777" w:rsidTr="002B5D5D">
        <w:tc>
          <w:tcPr>
            <w:tcW w:w="1821" w:type="dxa"/>
            <w:shd w:val="clear" w:color="auto" w:fill="auto"/>
          </w:tcPr>
          <w:p w14:paraId="2D81FC3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61</w:t>
            </w:r>
          </w:p>
        </w:tc>
        <w:tc>
          <w:tcPr>
            <w:tcW w:w="1133" w:type="dxa"/>
            <w:shd w:val="clear" w:color="auto" w:fill="auto"/>
          </w:tcPr>
          <w:p w14:paraId="6EB6CBA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1,700</w:t>
            </w:r>
          </w:p>
        </w:tc>
        <w:tc>
          <w:tcPr>
            <w:tcW w:w="2978" w:type="dxa"/>
            <w:shd w:val="clear" w:color="auto" w:fill="auto"/>
          </w:tcPr>
          <w:p w14:paraId="75AF0261"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5FB3F3E"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29B9A88A" w14:textId="77777777" w:rsidTr="002B5D5D">
        <w:tc>
          <w:tcPr>
            <w:tcW w:w="1821" w:type="dxa"/>
            <w:shd w:val="clear" w:color="auto" w:fill="auto"/>
          </w:tcPr>
          <w:p w14:paraId="3FD1A39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62</w:t>
            </w:r>
          </w:p>
        </w:tc>
        <w:tc>
          <w:tcPr>
            <w:tcW w:w="1133" w:type="dxa"/>
            <w:shd w:val="clear" w:color="auto" w:fill="auto"/>
          </w:tcPr>
          <w:p w14:paraId="687DB35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0,450</w:t>
            </w:r>
          </w:p>
        </w:tc>
        <w:tc>
          <w:tcPr>
            <w:tcW w:w="2978" w:type="dxa"/>
            <w:shd w:val="clear" w:color="auto" w:fill="auto"/>
          </w:tcPr>
          <w:p w14:paraId="3956087E"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490953A" w14:textId="77777777" w:rsidR="00C510C2" w:rsidRPr="00F41174" w:rsidRDefault="00C510C2" w:rsidP="00C510C2">
            <w:pPr>
              <w:pStyle w:val="1text"/>
              <w:spacing w:before="40" w:after="40"/>
              <w:jc w:val="left"/>
              <w:rPr>
                <w:sz w:val="20"/>
                <w:szCs w:val="20"/>
                <w:highlight w:val="green"/>
              </w:rPr>
            </w:pPr>
            <w:r w:rsidRPr="00F41174">
              <w:rPr>
                <w:sz w:val="20"/>
                <w:szCs w:val="20"/>
              </w:rPr>
              <w:t>dle §58 stavebního zákona (proluka)</w:t>
            </w:r>
          </w:p>
        </w:tc>
      </w:tr>
      <w:tr w:rsidR="00C510C2" w:rsidRPr="00F41174" w14:paraId="1FE374ED" w14:textId="77777777" w:rsidTr="002B5D5D">
        <w:tc>
          <w:tcPr>
            <w:tcW w:w="1821" w:type="dxa"/>
            <w:shd w:val="clear" w:color="auto" w:fill="auto"/>
          </w:tcPr>
          <w:p w14:paraId="52838123"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63</w:t>
            </w:r>
          </w:p>
        </w:tc>
        <w:tc>
          <w:tcPr>
            <w:tcW w:w="1133" w:type="dxa"/>
            <w:shd w:val="clear" w:color="auto" w:fill="auto"/>
          </w:tcPr>
          <w:p w14:paraId="19FDEEBD"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2,219</w:t>
            </w:r>
          </w:p>
        </w:tc>
        <w:tc>
          <w:tcPr>
            <w:tcW w:w="2978" w:type="dxa"/>
            <w:shd w:val="clear" w:color="auto" w:fill="auto"/>
          </w:tcPr>
          <w:p w14:paraId="3DBC8607"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046E8B52" w14:textId="77777777" w:rsidR="00C510C2" w:rsidRPr="00F41174" w:rsidRDefault="00C510C2" w:rsidP="00C510C2">
            <w:pPr>
              <w:pStyle w:val="1text"/>
              <w:spacing w:before="40" w:after="40"/>
              <w:jc w:val="left"/>
              <w:rPr>
                <w:sz w:val="20"/>
                <w:szCs w:val="20"/>
                <w:highlight w:val="green"/>
              </w:rPr>
            </w:pPr>
            <w:r w:rsidRPr="00F41174">
              <w:rPr>
                <w:sz w:val="20"/>
                <w:szCs w:val="20"/>
              </w:rPr>
              <w:t>dle §58 stavebního zákona (proluka)</w:t>
            </w:r>
          </w:p>
        </w:tc>
      </w:tr>
      <w:tr w:rsidR="00C510C2" w:rsidRPr="00F41174" w14:paraId="6390BD04" w14:textId="77777777" w:rsidTr="002B5D5D">
        <w:tc>
          <w:tcPr>
            <w:tcW w:w="1821" w:type="dxa"/>
            <w:shd w:val="clear" w:color="auto" w:fill="auto"/>
          </w:tcPr>
          <w:p w14:paraId="74095B0C"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64</w:t>
            </w:r>
          </w:p>
        </w:tc>
        <w:tc>
          <w:tcPr>
            <w:tcW w:w="1133" w:type="dxa"/>
            <w:shd w:val="clear" w:color="auto" w:fill="auto"/>
          </w:tcPr>
          <w:p w14:paraId="25F6C8FB"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1,402</w:t>
            </w:r>
          </w:p>
        </w:tc>
        <w:tc>
          <w:tcPr>
            <w:tcW w:w="2978" w:type="dxa"/>
            <w:shd w:val="clear" w:color="auto" w:fill="auto"/>
          </w:tcPr>
          <w:p w14:paraId="07891523"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30FC8BEC" w14:textId="77777777" w:rsidR="00C510C2" w:rsidRPr="00F41174" w:rsidRDefault="00C510C2" w:rsidP="00C510C2">
            <w:pPr>
              <w:pStyle w:val="1text"/>
              <w:spacing w:before="40" w:after="40"/>
              <w:jc w:val="left"/>
              <w:rPr>
                <w:sz w:val="20"/>
                <w:szCs w:val="20"/>
              </w:rPr>
            </w:pPr>
            <w:r w:rsidRPr="00F41174">
              <w:rPr>
                <w:sz w:val="20"/>
                <w:szCs w:val="20"/>
              </w:rPr>
              <w:t>dle §58 stavebního zákona (proluka), část realizována</w:t>
            </w:r>
          </w:p>
        </w:tc>
      </w:tr>
      <w:tr w:rsidR="00C510C2" w:rsidRPr="00F41174" w14:paraId="0DB328CB" w14:textId="77777777" w:rsidTr="002B5D5D">
        <w:tc>
          <w:tcPr>
            <w:tcW w:w="1821" w:type="dxa"/>
            <w:shd w:val="clear" w:color="auto" w:fill="auto"/>
          </w:tcPr>
          <w:p w14:paraId="42B02BF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65</w:t>
            </w:r>
          </w:p>
        </w:tc>
        <w:tc>
          <w:tcPr>
            <w:tcW w:w="1133" w:type="dxa"/>
            <w:shd w:val="clear" w:color="auto" w:fill="auto"/>
          </w:tcPr>
          <w:p w14:paraId="7B92FFE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0,447</w:t>
            </w:r>
          </w:p>
        </w:tc>
        <w:tc>
          <w:tcPr>
            <w:tcW w:w="2978" w:type="dxa"/>
            <w:shd w:val="clear" w:color="auto" w:fill="auto"/>
          </w:tcPr>
          <w:p w14:paraId="516F95E9"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40D6DB98" w14:textId="77777777" w:rsidR="00C510C2" w:rsidRPr="00F41174" w:rsidRDefault="00C510C2" w:rsidP="00C510C2">
            <w:pPr>
              <w:pStyle w:val="1text"/>
              <w:spacing w:before="40" w:after="40"/>
              <w:jc w:val="left"/>
              <w:rPr>
                <w:sz w:val="20"/>
                <w:szCs w:val="20"/>
              </w:rPr>
            </w:pPr>
            <w:r w:rsidRPr="00F41174">
              <w:rPr>
                <w:sz w:val="20"/>
                <w:szCs w:val="20"/>
              </w:rPr>
              <w:t>dle §58 stavebního zákona (proluka), část realizována</w:t>
            </w:r>
          </w:p>
        </w:tc>
      </w:tr>
      <w:tr w:rsidR="00C510C2" w:rsidRPr="00F41174" w14:paraId="2DFD1CF8" w14:textId="77777777" w:rsidTr="002B5D5D">
        <w:tc>
          <w:tcPr>
            <w:tcW w:w="1821" w:type="dxa"/>
            <w:shd w:val="clear" w:color="auto" w:fill="auto"/>
          </w:tcPr>
          <w:p w14:paraId="2D30ADAB"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67</w:t>
            </w:r>
          </w:p>
        </w:tc>
        <w:tc>
          <w:tcPr>
            <w:tcW w:w="1133" w:type="dxa"/>
            <w:shd w:val="clear" w:color="auto" w:fill="auto"/>
          </w:tcPr>
          <w:p w14:paraId="3F833C4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0,472</w:t>
            </w:r>
          </w:p>
        </w:tc>
        <w:tc>
          <w:tcPr>
            <w:tcW w:w="2978" w:type="dxa"/>
            <w:shd w:val="clear" w:color="auto" w:fill="auto"/>
          </w:tcPr>
          <w:p w14:paraId="28AB803A" w14:textId="77777777" w:rsidR="00C510C2" w:rsidRPr="00F41174" w:rsidRDefault="00C510C2" w:rsidP="00C510C2">
            <w:pPr>
              <w:spacing w:before="40" w:after="40"/>
              <w:rPr>
                <w:rFonts w:eastAsia="Calibri"/>
                <w:sz w:val="20"/>
                <w:szCs w:val="20"/>
                <w:highlight w:val="green"/>
              </w:rPr>
            </w:pPr>
            <w:r w:rsidRPr="00F41174">
              <w:rPr>
                <w:rFonts w:eastAsia="Calibri"/>
                <w:b/>
                <w:sz w:val="20"/>
                <w:szCs w:val="20"/>
              </w:rPr>
              <w:t xml:space="preserve">v rozsahu </w:t>
            </w:r>
            <w:r w:rsidRPr="00F41174">
              <w:rPr>
                <w:b/>
                <w:sz w:val="20"/>
                <w:szCs w:val="20"/>
              </w:rPr>
              <w:t xml:space="preserve">0,220 </w:t>
            </w:r>
            <w:r w:rsidRPr="00F41174">
              <w:rPr>
                <w:rFonts w:eastAsia="Calibri"/>
                <w:b/>
                <w:sz w:val="20"/>
                <w:szCs w:val="20"/>
              </w:rPr>
              <w:t>ha převzato do ÚP</w:t>
            </w:r>
            <w:r w:rsidRPr="00F41174">
              <w:rPr>
                <w:rFonts w:eastAsia="Calibri"/>
                <w:sz w:val="20"/>
                <w:szCs w:val="20"/>
              </w:rPr>
              <w:t xml:space="preserve">, část vymezena jako stabilizovaná </w:t>
            </w:r>
            <w:r w:rsidRPr="00F41174">
              <w:rPr>
                <w:rFonts w:eastAsia="Calibri"/>
                <w:sz w:val="20"/>
                <w:szCs w:val="20"/>
              </w:rPr>
              <w:lastRenderedPageBreak/>
              <w:t>plocha, v části záměr vypuštěn</w:t>
            </w:r>
          </w:p>
        </w:tc>
        <w:tc>
          <w:tcPr>
            <w:tcW w:w="3118" w:type="dxa"/>
            <w:shd w:val="clear" w:color="auto" w:fill="auto"/>
          </w:tcPr>
          <w:p w14:paraId="5662F926" w14:textId="77777777" w:rsidR="00C510C2" w:rsidRPr="00F41174" w:rsidRDefault="00C510C2" w:rsidP="00C510C2">
            <w:pPr>
              <w:pStyle w:val="1text"/>
              <w:spacing w:before="40" w:after="40"/>
              <w:jc w:val="left"/>
              <w:rPr>
                <w:sz w:val="20"/>
                <w:szCs w:val="20"/>
                <w:highlight w:val="green"/>
              </w:rPr>
            </w:pPr>
            <w:r w:rsidRPr="00F41174">
              <w:rPr>
                <w:b/>
                <w:sz w:val="20"/>
                <w:szCs w:val="20"/>
              </w:rPr>
              <w:lastRenderedPageBreak/>
              <w:t>plocha Z68</w:t>
            </w:r>
            <w:r w:rsidRPr="00F41174">
              <w:rPr>
                <w:sz w:val="20"/>
                <w:szCs w:val="20"/>
              </w:rPr>
              <w:t>, část dle §58 stavebního zákona (proluka)</w:t>
            </w:r>
          </w:p>
        </w:tc>
      </w:tr>
      <w:tr w:rsidR="00C510C2" w:rsidRPr="00F41174" w14:paraId="79338464" w14:textId="77777777" w:rsidTr="002B5D5D">
        <w:tc>
          <w:tcPr>
            <w:tcW w:w="1821" w:type="dxa"/>
            <w:shd w:val="clear" w:color="auto" w:fill="auto"/>
          </w:tcPr>
          <w:p w14:paraId="624D1ABA"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lastRenderedPageBreak/>
              <w:t>Z3/2</w:t>
            </w:r>
          </w:p>
        </w:tc>
        <w:tc>
          <w:tcPr>
            <w:tcW w:w="1133" w:type="dxa"/>
            <w:shd w:val="clear" w:color="auto" w:fill="auto"/>
          </w:tcPr>
          <w:p w14:paraId="43073A1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4,220</w:t>
            </w:r>
          </w:p>
        </w:tc>
        <w:tc>
          <w:tcPr>
            <w:tcW w:w="2978" w:type="dxa"/>
            <w:shd w:val="clear" w:color="auto" w:fill="auto"/>
          </w:tcPr>
          <w:p w14:paraId="074C9379"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1FC239E3" w14:textId="77777777" w:rsidR="00C510C2" w:rsidRPr="00F41174" w:rsidRDefault="00C510C2" w:rsidP="00C510C2">
            <w:pPr>
              <w:pStyle w:val="1text"/>
              <w:spacing w:before="40" w:after="40"/>
              <w:jc w:val="left"/>
              <w:rPr>
                <w:sz w:val="20"/>
                <w:szCs w:val="20"/>
                <w:highlight w:val="green"/>
              </w:rPr>
            </w:pPr>
          </w:p>
        </w:tc>
      </w:tr>
      <w:tr w:rsidR="00C510C2" w:rsidRPr="00F41174" w14:paraId="1B1AEA0A" w14:textId="77777777" w:rsidTr="002B5D5D">
        <w:tc>
          <w:tcPr>
            <w:tcW w:w="1821" w:type="dxa"/>
            <w:shd w:val="clear" w:color="auto" w:fill="auto"/>
          </w:tcPr>
          <w:p w14:paraId="486AE2B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Z3/3</w:t>
            </w:r>
          </w:p>
        </w:tc>
        <w:tc>
          <w:tcPr>
            <w:tcW w:w="1133" w:type="dxa"/>
            <w:shd w:val="clear" w:color="auto" w:fill="auto"/>
          </w:tcPr>
          <w:p w14:paraId="47897AF3"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1,717</w:t>
            </w:r>
          </w:p>
        </w:tc>
        <w:tc>
          <w:tcPr>
            <w:tcW w:w="2978" w:type="dxa"/>
            <w:shd w:val="clear" w:color="auto" w:fill="auto"/>
          </w:tcPr>
          <w:p w14:paraId="003E93A6"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7BB2F2D6" w14:textId="77777777" w:rsidR="00C510C2" w:rsidRPr="00F41174" w:rsidRDefault="00C510C2" w:rsidP="00C510C2">
            <w:pPr>
              <w:pStyle w:val="1text"/>
              <w:spacing w:before="40" w:after="40"/>
              <w:jc w:val="left"/>
              <w:rPr>
                <w:sz w:val="20"/>
                <w:szCs w:val="20"/>
              </w:rPr>
            </w:pPr>
            <w:r w:rsidRPr="00F41174">
              <w:rPr>
                <w:sz w:val="20"/>
                <w:szCs w:val="20"/>
              </w:rPr>
              <w:t>dle §58 stavebního zákona (proluka), část realizována</w:t>
            </w:r>
          </w:p>
        </w:tc>
      </w:tr>
      <w:tr w:rsidR="00C510C2" w:rsidRPr="00F41174" w14:paraId="348ED009" w14:textId="77777777" w:rsidTr="002B5D5D">
        <w:tc>
          <w:tcPr>
            <w:tcW w:w="1821" w:type="dxa"/>
            <w:shd w:val="clear" w:color="auto" w:fill="auto"/>
          </w:tcPr>
          <w:p w14:paraId="729151E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Z12.15</w:t>
            </w:r>
          </w:p>
        </w:tc>
        <w:tc>
          <w:tcPr>
            <w:tcW w:w="1133" w:type="dxa"/>
            <w:shd w:val="clear" w:color="auto" w:fill="auto"/>
          </w:tcPr>
          <w:p w14:paraId="4BFF132F"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0,141</w:t>
            </w:r>
          </w:p>
        </w:tc>
        <w:tc>
          <w:tcPr>
            <w:tcW w:w="2978" w:type="dxa"/>
            <w:shd w:val="clear" w:color="auto" w:fill="auto"/>
          </w:tcPr>
          <w:p w14:paraId="138FC207"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0D1332C1" w14:textId="77777777" w:rsidR="00C510C2" w:rsidRPr="00F41174" w:rsidRDefault="00C510C2" w:rsidP="00C510C2">
            <w:pPr>
              <w:pStyle w:val="1text"/>
              <w:spacing w:before="40" w:after="40"/>
              <w:jc w:val="left"/>
              <w:rPr>
                <w:sz w:val="20"/>
                <w:szCs w:val="20"/>
                <w:highlight w:val="green"/>
              </w:rPr>
            </w:pPr>
          </w:p>
        </w:tc>
      </w:tr>
      <w:tr w:rsidR="00C510C2" w:rsidRPr="00F41174" w14:paraId="0F99B37F" w14:textId="77777777" w:rsidTr="002B5D5D">
        <w:tc>
          <w:tcPr>
            <w:tcW w:w="1821" w:type="dxa"/>
            <w:shd w:val="clear" w:color="auto" w:fill="auto"/>
          </w:tcPr>
          <w:p w14:paraId="65CFAC6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Z12.19</w:t>
            </w:r>
          </w:p>
        </w:tc>
        <w:tc>
          <w:tcPr>
            <w:tcW w:w="1133" w:type="dxa"/>
            <w:shd w:val="clear" w:color="auto" w:fill="auto"/>
          </w:tcPr>
          <w:p w14:paraId="6B15E20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0,090</w:t>
            </w:r>
          </w:p>
        </w:tc>
        <w:tc>
          <w:tcPr>
            <w:tcW w:w="2978" w:type="dxa"/>
            <w:shd w:val="clear" w:color="auto" w:fill="auto"/>
          </w:tcPr>
          <w:p w14:paraId="418D14FD" w14:textId="77777777" w:rsidR="00C510C2" w:rsidRPr="00F41174" w:rsidRDefault="00C510C2" w:rsidP="00C510C2">
            <w:pPr>
              <w:spacing w:before="40" w:after="40"/>
              <w:rPr>
                <w:rFonts w:eastAsia="Calibri"/>
                <w:sz w:val="20"/>
                <w:szCs w:val="20"/>
                <w:highlight w:val="green"/>
              </w:rPr>
            </w:pPr>
            <w:r w:rsidRPr="00F41174">
              <w:rPr>
                <w:sz w:val="20"/>
                <w:szCs w:val="20"/>
              </w:rPr>
              <w:t>částečně převzato do ÚP, část vymezena jako stabilizovaná plocha</w:t>
            </w:r>
          </w:p>
        </w:tc>
        <w:tc>
          <w:tcPr>
            <w:tcW w:w="3118" w:type="dxa"/>
            <w:shd w:val="clear" w:color="auto" w:fill="auto"/>
          </w:tcPr>
          <w:p w14:paraId="5C6AFDDB" w14:textId="77777777" w:rsidR="00C510C2" w:rsidRPr="00F41174" w:rsidRDefault="00C510C2" w:rsidP="00C510C2">
            <w:pPr>
              <w:pStyle w:val="1text"/>
              <w:spacing w:before="40" w:after="40"/>
              <w:jc w:val="left"/>
              <w:rPr>
                <w:sz w:val="20"/>
                <w:szCs w:val="20"/>
                <w:highlight w:val="green"/>
              </w:rPr>
            </w:pPr>
            <w:r w:rsidRPr="00F41174">
              <w:rPr>
                <w:b/>
                <w:sz w:val="20"/>
                <w:szCs w:val="20"/>
              </w:rPr>
              <w:t>plocha Z66</w:t>
            </w:r>
            <w:r w:rsidRPr="00F41174">
              <w:rPr>
                <w:sz w:val="20"/>
                <w:szCs w:val="20"/>
              </w:rPr>
              <w:t>, částečně zastavěno</w:t>
            </w:r>
          </w:p>
        </w:tc>
      </w:tr>
      <w:tr w:rsidR="00C510C2" w:rsidRPr="00F41174" w14:paraId="38A2957B" w14:textId="77777777" w:rsidTr="002B5D5D">
        <w:tc>
          <w:tcPr>
            <w:tcW w:w="1821" w:type="dxa"/>
            <w:shd w:val="clear" w:color="auto" w:fill="auto"/>
          </w:tcPr>
          <w:p w14:paraId="1687C90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Z12.21</w:t>
            </w:r>
          </w:p>
        </w:tc>
        <w:tc>
          <w:tcPr>
            <w:tcW w:w="1133" w:type="dxa"/>
            <w:shd w:val="clear" w:color="auto" w:fill="auto"/>
          </w:tcPr>
          <w:p w14:paraId="72390795"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0,099</w:t>
            </w:r>
          </w:p>
        </w:tc>
        <w:tc>
          <w:tcPr>
            <w:tcW w:w="2978" w:type="dxa"/>
            <w:shd w:val="clear" w:color="auto" w:fill="auto"/>
          </w:tcPr>
          <w:p w14:paraId="10E4D5BE"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5E8A22E" w14:textId="77777777" w:rsidR="00C510C2" w:rsidRPr="00F41174" w:rsidRDefault="00C510C2" w:rsidP="00C510C2">
            <w:pPr>
              <w:pStyle w:val="1text"/>
              <w:spacing w:before="40" w:after="40"/>
              <w:jc w:val="left"/>
              <w:rPr>
                <w:sz w:val="20"/>
                <w:szCs w:val="20"/>
                <w:highlight w:val="green"/>
              </w:rPr>
            </w:pPr>
            <w:r w:rsidRPr="00F41174">
              <w:rPr>
                <w:sz w:val="20"/>
                <w:szCs w:val="20"/>
              </w:rPr>
              <w:t xml:space="preserve">dle §58 stavebního zákona (proluka), část zastavěna </w:t>
            </w:r>
          </w:p>
        </w:tc>
      </w:tr>
      <w:tr w:rsidR="00C510C2" w:rsidRPr="00F41174" w14:paraId="18600461" w14:textId="77777777" w:rsidTr="002B5D5D">
        <w:tc>
          <w:tcPr>
            <w:tcW w:w="1821" w:type="dxa"/>
            <w:shd w:val="clear" w:color="auto" w:fill="auto"/>
          </w:tcPr>
          <w:p w14:paraId="504D5032"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Z17.2</w:t>
            </w:r>
          </w:p>
        </w:tc>
        <w:tc>
          <w:tcPr>
            <w:tcW w:w="1133" w:type="dxa"/>
            <w:shd w:val="clear" w:color="auto" w:fill="auto"/>
          </w:tcPr>
          <w:p w14:paraId="410A7710"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0,313</w:t>
            </w:r>
          </w:p>
        </w:tc>
        <w:tc>
          <w:tcPr>
            <w:tcW w:w="2978" w:type="dxa"/>
            <w:shd w:val="clear" w:color="auto" w:fill="auto"/>
          </w:tcPr>
          <w:p w14:paraId="4986860A"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48D116AF" w14:textId="77777777" w:rsidR="00C510C2" w:rsidRPr="00F41174" w:rsidRDefault="00C510C2" w:rsidP="00C510C2">
            <w:pPr>
              <w:pStyle w:val="1text"/>
              <w:spacing w:before="40" w:after="40"/>
              <w:jc w:val="left"/>
              <w:rPr>
                <w:sz w:val="20"/>
                <w:szCs w:val="20"/>
                <w:highlight w:val="green"/>
              </w:rPr>
            </w:pPr>
            <w:r w:rsidRPr="00F41174">
              <w:rPr>
                <w:sz w:val="20"/>
                <w:szCs w:val="20"/>
              </w:rPr>
              <w:t>dle §58 stavebního zákona (proluka), část realizována</w:t>
            </w:r>
          </w:p>
        </w:tc>
      </w:tr>
      <w:tr w:rsidR="00C510C2" w:rsidRPr="00F41174" w14:paraId="05A0896C" w14:textId="77777777" w:rsidTr="002B5D5D">
        <w:tc>
          <w:tcPr>
            <w:tcW w:w="1821" w:type="dxa"/>
            <w:shd w:val="clear" w:color="auto" w:fill="auto"/>
          </w:tcPr>
          <w:p w14:paraId="3694B7A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Z18.11</w:t>
            </w:r>
          </w:p>
        </w:tc>
        <w:tc>
          <w:tcPr>
            <w:tcW w:w="1133" w:type="dxa"/>
            <w:shd w:val="clear" w:color="auto" w:fill="auto"/>
          </w:tcPr>
          <w:p w14:paraId="0257822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0,059</w:t>
            </w:r>
          </w:p>
        </w:tc>
        <w:tc>
          <w:tcPr>
            <w:tcW w:w="2978" w:type="dxa"/>
            <w:shd w:val="clear" w:color="auto" w:fill="auto"/>
          </w:tcPr>
          <w:p w14:paraId="7227DF63"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EB1CA08" w14:textId="77777777" w:rsidR="00C510C2" w:rsidRPr="00F41174" w:rsidRDefault="00C510C2" w:rsidP="00C510C2">
            <w:pPr>
              <w:pStyle w:val="1text"/>
              <w:spacing w:before="40" w:after="40"/>
              <w:jc w:val="left"/>
              <w:rPr>
                <w:sz w:val="20"/>
                <w:szCs w:val="20"/>
                <w:highlight w:val="green"/>
              </w:rPr>
            </w:pPr>
            <w:r w:rsidRPr="00F41174">
              <w:rPr>
                <w:sz w:val="20"/>
                <w:szCs w:val="20"/>
              </w:rPr>
              <w:t xml:space="preserve">zastavěno </w:t>
            </w:r>
          </w:p>
        </w:tc>
      </w:tr>
      <w:tr w:rsidR="00C510C2" w:rsidRPr="00F41174" w14:paraId="67FDA4C9" w14:textId="77777777" w:rsidTr="002B5D5D">
        <w:tc>
          <w:tcPr>
            <w:tcW w:w="9050" w:type="dxa"/>
            <w:gridSpan w:val="4"/>
            <w:shd w:val="clear" w:color="auto" w:fill="auto"/>
          </w:tcPr>
          <w:p w14:paraId="7AC4B917" w14:textId="77777777" w:rsidR="00C510C2" w:rsidRPr="00F41174" w:rsidRDefault="00C510C2" w:rsidP="00C510C2">
            <w:pPr>
              <w:pStyle w:val="1text"/>
              <w:spacing w:before="40" w:after="40"/>
              <w:jc w:val="left"/>
              <w:rPr>
                <w:sz w:val="20"/>
                <w:szCs w:val="20"/>
              </w:rPr>
            </w:pPr>
            <w:r w:rsidRPr="00F41174">
              <w:rPr>
                <w:sz w:val="20"/>
                <w:szCs w:val="20"/>
              </w:rPr>
              <w:t>Plochy rekreace</w:t>
            </w:r>
          </w:p>
        </w:tc>
      </w:tr>
      <w:tr w:rsidR="00C510C2" w:rsidRPr="00F41174" w14:paraId="32E91B98" w14:textId="77777777" w:rsidTr="002B5D5D">
        <w:tc>
          <w:tcPr>
            <w:tcW w:w="1821" w:type="dxa"/>
            <w:shd w:val="clear" w:color="auto" w:fill="auto"/>
          </w:tcPr>
          <w:p w14:paraId="08A78F8F"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66</w:t>
            </w:r>
          </w:p>
        </w:tc>
        <w:tc>
          <w:tcPr>
            <w:tcW w:w="1133" w:type="dxa"/>
            <w:shd w:val="clear" w:color="auto" w:fill="auto"/>
          </w:tcPr>
          <w:p w14:paraId="1F3B20F1"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1,423</w:t>
            </w:r>
          </w:p>
        </w:tc>
        <w:tc>
          <w:tcPr>
            <w:tcW w:w="2978" w:type="dxa"/>
            <w:shd w:val="clear" w:color="auto" w:fill="auto"/>
          </w:tcPr>
          <w:p w14:paraId="3A6B75AC" w14:textId="77777777" w:rsidR="00C510C2" w:rsidRPr="00F41174" w:rsidRDefault="00C510C2" w:rsidP="00C510C2">
            <w:pPr>
              <w:spacing w:before="40" w:after="40"/>
              <w:rPr>
                <w:rFonts w:eastAsia="Calibri"/>
                <w:sz w:val="20"/>
                <w:szCs w:val="20"/>
                <w:highlight w:val="green"/>
              </w:rPr>
            </w:pPr>
            <w:r w:rsidRPr="00F41174">
              <w:rPr>
                <w:rFonts w:eastAsia="Calibri"/>
                <w:b/>
                <w:sz w:val="20"/>
                <w:szCs w:val="20"/>
              </w:rPr>
              <w:t>v rozsahu 0,245 ha převzato do ÚP</w:t>
            </w:r>
            <w:r w:rsidRPr="00F41174">
              <w:rPr>
                <w:rFonts w:eastAsia="Calibri"/>
                <w:sz w:val="20"/>
                <w:szCs w:val="20"/>
              </w:rPr>
              <w:t>, zbývající část vypuštěna</w:t>
            </w:r>
          </w:p>
        </w:tc>
        <w:tc>
          <w:tcPr>
            <w:tcW w:w="3118" w:type="dxa"/>
            <w:shd w:val="clear" w:color="auto" w:fill="auto"/>
          </w:tcPr>
          <w:p w14:paraId="478E2332"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Z67</w:t>
            </w:r>
          </w:p>
        </w:tc>
      </w:tr>
      <w:tr w:rsidR="00C510C2" w:rsidRPr="00F41174" w14:paraId="73D98F4A" w14:textId="77777777" w:rsidTr="002B5D5D">
        <w:tc>
          <w:tcPr>
            <w:tcW w:w="9050" w:type="dxa"/>
            <w:gridSpan w:val="4"/>
            <w:shd w:val="clear" w:color="auto" w:fill="auto"/>
          </w:tcPr>
          <w:p w14:paraId="33D4554F" w14:textId="77777777" w:rsidR="00C510C2" w:rsidRPr="00F41174" w:rsidRDefault="00C510C2" w:rsidP="00C510C2">
            <w:pPr>
              <w:pStyle w:val="1text"/>
              <w:spacing w:before="40" w:after="40"/>
              <w:jc w:val="left"/>
              <w:rPr>
                <w:sz w:val="20"/>
                <w:szCs w:val="20"/>
              </w:rPr>
            </w:pPr>
            <w:r w:rsidRPr="00F41174">
              <w:rPr>
                <w:sz w:val="20"/>
                <w:szCs w:val="20"/>
              </w:rPr>
              <w:t>Plochy občanského vybavení</w:t>
            </w:r>
          </w:p>
        </w:tc>
      </w:tr>
      <w:tr w:rsidR="00C510C2" w:rsidRPr="00F41174" w14:paraId="4CBF9C76" w14:textId="77777777" w:rsidTr="002B5D5D">
        <w:tc>
          <w:tcPr>
            <w:tcW w:w="1821" w:type="dxa"/>
            <w:shd w:val="clear" w:color="auto" w:fill="auto"/>
          </w:tcPr>
          <w:p w14:paraId="7C5AF0A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Z3/1</w:t>
            </w:r>
          </w:p>
        </w:tc>
        <w:tc>
          <w:tcPr>
            <w:tcW w:w="1133" w:type="dxa"/>
            <w:shd w:val="clear" w:color="auto" w:fill="auto"/>
          </w:tcPr>
          <w:p w14:paraId="47D04B8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1,697</w:t>
            </w:r>
          </w:p>
        </w:tc>
        <w:tc>
          <w:tcPr>
            <w:tcW w:w="2978" w:type="dxa"/>
            <w:shd w:val="clear" w:color="auto" w:fill="auto"/>
          </w:tcPr>
          <w:p w14:paraId="1CED7D4A"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5DEC4929" w14:textId="77777777" w:rsidR="00C510C2" w:rsidRPr="00F41174" w:rsidRDefault="00C510C2" w:rsidP="00C510C2">
            <w:pPr>
              <w:pStyle w:val="1text"/>
              <w:spacing w:before="40" w:after="40"/>
              <w:jc w:val="left"/>
              <w:rPr>
                <w:sz w:val="20"/>
                <w:szCs w:val="20"/>
                <w:highlight w:val="green"/>
              </w:rPr>
            </w:pPr>
          </w:p>
        </w:tc>
      </w:tr>
      <w:tr w:rsidR="00C510C2" w:rsidRPr="00F41174" w14:paraId="187D4768" w14:textId="77777777" w:rsidTr="002B5D5D">
        <w:tc>
          <w:tcPr>
            <w:tcW w:w="9050" w:type="dxa"/>
            <w:gridSpan w:val="4"/>
            <w:shd w:val="clear" w:color="auto" w:fill="auto"/>
          </w:tcPr>
          <w:p w14:paraId="6DE22A4A" w14:textId="77777777" w:rsidR="00C510C2" w:rsidRPr="00F41174" w:rsidRDefault="00C510C2" w:rsidP="00C510C2">
            <w:pPr>
              <w:pStyle w:val="1text"/>
              <w:spacing w:before="40" w:after="40"/>
              <w:jc w:val="left"/>
              <w:rPr>
                <w:sz w:val="20"/>
                <w:szCs w:val="20"/>
              </w:rPr>
            </w:pPr>
            <w:r w:rsidRPr="00F41174">
              <w:rPr>
                <w:sz w:val="20"/>
                <w:szCs w:val="20"/>
              </w:rPr>
              <w:t>Plochy výroby</w:t>
            </w:r>
          </w:p>
        </w:tc>
      </w:tr>
      <w:tr w:rsidR="00C510C2" w:rsidRPr="00F41174" w14:paraId="0222BFD3" w14:textId="77777777" w:rsidTr="002B5D5D">
        <w:tc>
          <w:tcPr>
            <w:tcW w:w="1821" w:type="dxa"/>
            <w:tcBorders>
              <w:bottom w:val="single" w:sz="12" w:space="0" w:color="auto"/>
            </w:tcBorders>
            <w:shd w:val="clear" w:color="auto" w:fill="auto"/>
          </w:tcPr>
          <w:p w14:paraId="19291143"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69</w:t>
            </w:r>
          </w:p>
        </w:tc>
        <w:tc>
          <w:tcPr>
            <w:tcW w:w="1133" w:type="dxa"/>
            <w:tcBorders>
              <w:bottom w:val="single" w:sz="12" w:space="0" w:color="auto"/>
            </w:tcBorders>
            <w:shd w:val="clear" w:color="auto" w:fill="auto"/>
          </w:tcPr>
          <w:p w14:paraId="5787FED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0,117</w:t>
            </w:r>
          </w:p>
        </w:tc>
        <w:tc>
          <w:tcPr>
            <w:tcW w:w="2978" w:type="dxa"/>
            <w:tcBorders>
              <w:bottom w:val="single" w:sz="12" w:space="0" w:color="auto"/>
            </w:tcBorders>
            <w:shd w:val="clear" w:color="auto" w:fill="auto"/>
          </w:tcPr>
          <w:p w14:paraId="1747A31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tcBorders>
              <w:bottom w:val="single" w:sz="12" w:space="0" w:color="auto"/>
            </w:tcBorders>
            <w:shd w:val="clear" w:color="auto" w:fill="auto"/>
          </w:tcPr>
          <w:p w14:paraId="3247A8C8" w14:textId="77777777" w:rsidR="00C510C2" w:rsidRPr="00F41174" w:rsidRDefault="00C510C2" w:rsidP="00C510C2">
            <w:pPr>
              <w:pStyle w:val="1text"/>
              <w:spacing w:before="40" w:after="40"/>
              <w:jc w:val="left"/>
              <w:rPr>
                <w:sz w:val="20"/>
                <w:szCs w:val="20"/>
                <w:highlight w:val="green"/>
              </w:rPr>
            </w:pPr>
            <w:r w:rsidRPr="00F41174">
              <w:rPr>
                <w:sz w:val="20"/>
                <w:szCs w:val="20"/>
              </w:rPr>
              <w:t xml:space="preserve">zastavěno </w:t>
            </w:r>
          </w:p>
        </w:tc>
      </w:tr>
      <w:tr w:rsidR="00C510C2" w:rsidRPr="00F41174" w14:paraId="101C46E5" w14:textId="77777777" w:rsidTr="002B5D5D">
        <w:tc>
          <w:tcPr>
            <w:tcW w:w="1821" w:type="dxa"/>
            <w:tcBorders>
              <w:top w:val="single" w:sz="12" w:space="0" w:color="auto"/>
              <w:left w:val="single" w:sz="12" w:space="0" w:color="auto"/>
            </w:tcBorders>
            <w:shd w:val="clear" w:color="auto" w:fill="F2F2F2"/>
          </w:tcPr>
          <w:p w14:paraId="0A25B9DA"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sz w:val="20"/>
                <w:szCs w:val="20"/>
                <w:lang w:eastAsia="cs-CZ"/>
              </w:rPr>
              <w:t>CELKEM K.U. DONÍN U HRÁDKU NAD NISOU</w:t>
            </w:r>
          </w:p>
        </w:tc>
        <w:tc>
          <w:tcPr>
            <w:tcW w:w="7229" w:type="dxa"/>
            <w:gridSpan w:val="3"/>
            <w:tcBorders>
              <w:top w:val="single" w:sz="12" w:space="0" w:color="auto"/>
              <w:right w:val="single" w:sz="12" w:space="0" w:color="auto"/>
            </w:tcBorders>
            <w:shd w:val="clear" w:color="auto" w:fill="F2F2F2"/>
          </w:tcPr>
          <w:p w14:paraId="64579C83" w14:textId="77777777" w:rsidR="00C510C2" w:rsidRPr="00F41174" w:rsidRDefault="00C510C2" w:rsidP="00C510C2">
            <w:pPr>
              <w:pStyle w:val="1text"/>
              <w:spacing w:before="40" w:after="40"/>
              <w:jc w:val="left"/>
              <w:rPr>
                <w:b/>
                <w:sz w:val="20"/>
                <w:szCs w:val="20"/>
                <w:highlight w:val="green"/>
              </w:rPr>
            </w:pPr>
            <w:r w:rsidRPr="00F41174">
              <w:rPr>
                <w:rFonts w:eastAsia="Times New Roman"/>
                <w:b/>
                <w:color w:val="000000"/>
                <w:sz w:val="20"/>
                <w:szCs w:val="20"/>
                <w:lang w:eastAsia="cs-CZ"/>
              </w:rPr>
              <w:t>21,690</w:t>
            </w:r>
          </w:p>
        </w:tc>
      </w:tr>
      <w:tr w:rsidR="00C510C2" w:rsidRPr="00F41174" w14:paraId="1DBE5F7C" w14:textId="77777777" w:rsidTr="002B5D5D">
        <w:tc>
          <w:tcPr>
            <w:tcW w:w="1821" w:type="dxa"/>
            <w:vMerge w:val="restart"/>
            <w:tcBorders>
              <w:left w:val="single" w:sz="12" w:space="0" w:color="auto"/>
            </w:tcBorders>
            <w:shd w:val="clear" w:color="auto" w:fill="auto"/>
          </w:tcPr>
          <w:p w14:paraId="27D8664E"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 toho:</w:t>
            </w:r>
          </w:p>
        </w:tc>
        <w:tc>
          <w:tcPr>
            <w:tcW w:w="1133" w:type="dxa"/>
            <w:shd w:val="clear" w:color="auto" w:fill="auto"/>
          </w:tcPr>
          <w:p w14:paraId="33D99122"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3,752 ha</w:t>
            </w:r>
          </w:p>
        </w:tc>
        <w:tc>
          <w:tcPr>
            <w:tcW w:w="6096" w:type="dxa"/>
            <w:gridSpan w:val="2"/>
            <w:tcBorders>
              <w:right w:val="single" w:sz="12" w:space="0" w:color="auto"/>
            </w:tcBorders>
            <w:shd w:val="clear" w:color="auto" w:fill="auto"/>
          </w:tcPr>
          <w:p w14:paraId="3CA1942D" w14:textId="77777777" w:rsidR="00C510C2" w:rsidRPr="00F41174" w:rsidRDefault="00C510C2" w:rsidP="00C510C2">
            <w:pPr>
              <w:pStyle w:val="1text"/>
              <w:spacing w:before="40" w:after="40"/>
              <w:jc w:val="left"/>
              <w:rPr>
                <w:sz w:val="20"/>
                <w:szCs w:val="20"/>
              </w:rPr>
            </w:pPr>
            <w:r w:rsidRPr="00F41174">
              <w:rPr>
                <w:b/>
                <w:sz w:val="20"/>
                <w:szCs w:val="20"/>
              </w:rPr>
              <w:t>záborů ZPF převzato</w:t>
            </w:r>
          </w:p>
        </w:tc>
      </w:tr>
      <w:tr w:rsidR="00C510C2" w:rsidRPr="00F41174" w14:paraId="4179E61F" w14:textId="77777777" w:rsidTr="002B5D5D">
        <w:tc>
          <w:tcPr>
            <w:tcW w:w="1821" w:type="dxa"/>
            <w:vMerge/>
            <w:tcBorders>
              <w:left w:val="single" w:sz="12" w:space="0" w:color="auto"/>
            </w:tcBorders>
            <w:shd w:val="clear" w:color="auto" w:fill="auto"/>
            <w:vAlign w:val="bottom"/>
          </w:tcPr>
          <w:p w14:paraId="2B61E96C" w14:textId="77777777" w:rsidR="00C510C2" w:rsidRPr="00F41174" w:rsidRDefault="00C510C2" w:rsidP="00C510C2">
            <w:pPr>
              <w:pStyle w:val="1text"/>
              <w:spacing w:before="40" w:after="40"/>
              <w:jc w:val="left"/>
              <w:rPr>
                <w:rFonts w:eastAsia="Times New Roman"/>
                <w:color w:val="000000"/>
                <w:sz w:val="20"/>
                <w:szCs w:val="20"/>
                <w:lang w:eastAsia="cs-CZ"/>
              </w:rPr>
            </w:pPr>
          </w:p>
        </w:tc>
        <w:tc>
          <w:tcPr>
            <w:tcW w:w="1133" w:type="dxa"/>
            <w:shd w:val="clear" w:color="auto" w:fill="auto"/>
          </w:tcPr>
          <w:p w14:paraId="664491C0"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9,715 ha</w:t>
            </w:r>
          </w:p>
        </w:tc>
        <w:tc>
          <w:tcPr>
            <w:tcW w:w="6096" w:type="dxa"/>
            <w:gridSpan w:val="2"/>
            <w:tcBorders>
              <w:right w:val="single" w:sz="12" w:space="0" w:color="auto"/>
            </w:tcBorders>
            <w:shd w:val="clear" w:color="auto" w:fill="auto"/>
          </w:tcPr>
          <w:p w14:paraId="6F985175" w14:textId="77777777" w:rsidR="00C510C2" w:rsidRPr="00F41174" w:rsidRDefault="00C510C2" w:rsidP="00C510C2">
            <w:pPr>
              <w:pStyle w:val="1text"/>
              <w:spacing w:before="40" w:after="40"/>
              <w:jc w:val="left"/>
              <w:rPr>
                <w:sz w:val="20"/>
                <w:szCs w:val="20"/>
              </w:rPr>
            </w:pPr>
            <w:r w:rsidRPr="00F41174">
              <w:rPr>
                <w:b/>
                <w:sz w:val="20"/>
                <w:szCs w:val="20"/>
              </w:rPr>
              <w:t>záborů ZPF vymezeno jako stabilizovaná plocha</w:t>
            </w:r>
          </w:p>
        </w:tc>
      </w:tr>
      <w:tr w:rsidR="00C510C2" w:rsidRPr="00F41174" w14:paraId="5084CDA9" w14:textId="77777777" w:rsidTr="002B5D5D">
        <w:tc>
          <w:tcPr>
            <w:tcW w:w="1821" w:type="dxa"/>
            <w:vMerge/>
            <w:tcBorders>
              <w:left w:val="single" w:sz="12" w:space="0" w:color="auto"/>
              <w:bottom w:val="single" w:sz="12" w:space="0" w:color="auto"/>
            </w:tcBorders>
            <w:shd w:val="clear" w:color="auto" w:fill="auto"/>
            <w:vAlign w:val="bottom"/>
          </w:tcPr>
          <w:p w14:paraId="7C7E0D66" w14:textId="77777777" w:rsidR="00C510C2" w:rsidRPr="00F41174" w:rsidRDefault="00C510C2" w:rsidP="00C510C2">
            <w:pPr>
              <w:pStyle w:val="1text"/>
              <w:spacing w:before="40" w:after="40"/>
              <w:jc w:val="left"/>
              <w:rPr>
                <w:rFonts w:eastAsia="Times New Roman"/>
                <w:color w:val="000000"/>
                <w:sz w:val="20"/>
                <w:szCs w:val="20"/>
                <w:lang w:eastAsia="cs-CZ"/>
              </w:rPr>
            </w:pPr>
          </w:p>
        </w:tc>
        <w:tc>
          <w:tcPr>
            <w:tcW w:w="1133" w:type="dxa"/>
            <w:tcBorders>
              <w:bottom w:val="single" w:sz="12" w:space="0" w:color="auto"/>
            </w:tcBorders>
            <w:shd w:val="clear" w:color="auto" w:fill="auto"/>
          </w:tcPr>
          <w:p w14:paraId="0AD4EF9A"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8,223 ha</w:t>
            </w:r>
          </w:p>
        </w:tc>
        <w:tc>
          <w:tcPr>
            <w:tcW w:w="6096" w:type="dxa"/>
            <w:gridSpan w:val="2"/>
            <w:tcBorders>
              <w:bottom w:val="single" w:sz="12" w:space="0" w:color="auto"/>
              <w:right w:val="single" w:sz="12" w:space="0" w:color="auto"/>
            </w:tcBorders>
            <w:shd w:val="clear" w:color="auto" w:fill="auto"/>
          </w:tcPr>
          <w:p w14:paraId="25F8B001" w14:textId="77777777" w:rsidR="00C510C2" w:rsidRPr="00F41174" w:rsidRDefault="00C510C2" w:rsidP="00C510C2">
            <w:pPr>
              <w:pStyle w:val="1text"/>
              <w:spacing w:before="40" w:after="40"/>
              <w:jc w:val="left"/>
              <w:rPr>
                <w:sz w:val="20"/>
                <w:szCs w:val="20"/>
              </w:rPr>
            </w:pPr>
            <w:r w:rsidRPr="00F41174">
              <w:rPr>
                <w:b/>
                <w:sz w:val="20"/>
                <w:szCs w:val="20"/>
              </w:rPr>
              <w:t>záborů ZPF vypuštěno</w:t>
            </w:r>
          </w:p>
        </w:tc>
      </w:tr>
      <w:tr w:rsidR="00C510C2" w:rsidRPr="00F41174" w14:paraId="598ADA1B" w14:textId="77777777" w:rsidTr="002B5D5D">
        <w:tc>
          <w:tcPr>
            <w:tcW w:w="9050" w:type="dxa"/>
            <w:gridSpan w:val="4"/>
            <w:tcBorders>
              <w:top w:val="single" w:sz="12" w:space="0" w:color="auto"/>
            </w:tcBorders>
            <w:shd w:val="clear" w:color="auto" w:fill="D9D9D9"/>
            <w:vAlign w:val="bottom"/>
          </w:tcPr>
          <w:p w14:paraId="11D2A82F" w14:textId="77777777" w:rsidR="00C510C2" w:rsidRPr="00F41174" w:rsidRDefault="00C510C2" w:rsidP="00C510C2">
            <w:pPr>
              <w:pStyle w:val="1text"/>
              <w:spacing w:before="40" w:after="40"/>
              <w:jc w:val="left"/>
              <w:rPr>
                <w:b/>
                <w:sz w:val="20"/>
                <w:szCs w:val="20"/>
              </w:rPr>
            </w:pPr>
            <w:r w:rsidRPr="00F41174">
              <w:rPr>
                <w:b/>
                <w:sz w:val="20"/>
                <w:szCs w:val="20"/>
              </w:rPr>
              <w:t>K.Ú. HRÁDEK NAD NISOU</w:t>
            </w:r>
          </w:p>
        </w:tc>
      </w:tr>
      <w:tr w:rsidR="00C510C2" w:rsidRPr="00F41174" w14:paraId="6A5D800B" w14:textId="77777777" w:rsidTr="002B5D5D">
        <w:tc>
          <w:tcPr>
            <w:tcW w:w="9050" w:type="dxa"/>
            <w:gridSpan w:val="4"/>
            <w:shd w:val="clear" w:color="auto" w:fill="auto"/>
            <w:vAlign w:val="bottom"/>
          </w:tcPr>
          <w:p w14:paraId="3EDE1F24" w14:textId="77777777" w:rsidR="00C510C2" w:rsidRPr="00F41174" w:rsidRDefault="00C510C2" w:rsidP="00C510C2">
            <w:pPr>
              <w:pStyle w:val="1text"/>
              <w:spacing w:before="40" w:after="40"/>
              <w:jc w:val="left"/>
              <w:rPr>
                <w:sz w:val="20"/>
                <w:szCs w:val="20"/>
              </w:rPr>
            </w:pPr>
            <w:r w:rsidRPr="00F41174">
              <w:rPr>
                <w:sz w:val="20"/>
                <w:szCs w:val="20"/>
              </w:rPr>
              <w:t>Plochy smíšené obytné</w:t>
            </w:r>
          </w:p>
        </w:tc>
      </w:tr>
      <w:tr w:rsidR="00C510C2" w:rsidRPr="00F41174" w14:paraId="681346E6" w14:textId="77777777" w:rsidTr="002B5D5D">
        <w:tc>
          <w:tcPr>
            <w:tcW w:w="1821" w:type="dxa"/>
            <w:shd w:val="clear" w:color="auto" w:fill="auto"/>
          </w:tcPr>
          <w:p w14:paraId="2006094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w:t>
            </w:r>
          </w:p>
        </w:tc>
        <w:tc>
          <w:tcPr>
            <w:tcW w:w="1133" w:type="dxa"/>
            <w:shd w:val="clear" w:color="auto" w:fill="auto"/>
          </w:tcPr>
          <w:p w14:paraId="229EB61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0,200</w:t>
            </w:r>
          </w:p>
        </w:tc>
        <w:tc>
          <w:tcPr>
            <w:tcW w:w="2978" w:type="dxa"/>
            <w:shd w:val="clear" w:color="auto" w:fill="auto"/>
          </w:tcPr>
          <w:p w14:paraId="3DBD881F"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2B1BE454" w14:textId="77777777" w:rsidR="00C510C2" w:rsidRPr="00F41174" w:rsidRDefault="00C510C2" w:rsidP="00C510C2">
            <w:pPr>
              <w:pStyle w:val="1text"/>
              <w:spacing w:before="40" w:after="40"/>
              <w:jc w:val="left"/>
              <w:rPr>
                <w:sz w:val="20"/>
                <w:szCs w:val="20"/>
              </w:rPr>
            </w:pPr>
          </w:p>
        </w:tc>
      </w:tr>
      <w:tr w:rsidR="00C510C2" w:rsidRPr="00F41174" w14:paraId="0BD3F426" w14:textId="77777777" w:rsidTr="002B5D5D">
        <w:tc>
          <w:tcPr>
            <w:tcW w:w="1821" w:type="dxa"/>
            <w:shd w:val="clear" w:color="auto" w:fill="auto"/>
          </w:tcPr>
          <w:p w14:paraId="4693E45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20</w:t>
            </w:r>
          </w:p>
        </w:tc>
        <w:tc>
          <w:tcPr>
            <w:tcW w:w="1133" w:type="dxa"/>
            <w:shd w:val="clear" w:color="auto" w:fill="auto"/>
          </w:tcPr>
          <w:p w14:paraId="32AB779B"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0,560</w:t>
            </w:r>
          </w:p>
        </w:tc>
        <w:tc>
          <w:tcPr>
            <w:tcW w:w="2978" w:type="dxa"/>
            <w:shd w:val="clear" w:color="auto" w:fill="auto"/>
          </w:tcPr>
          <w:p w14:paraId="77185045" w14:textId="77777777" w:rsidR="00C510C2" w:rsidRPr="00F41174" w:rsidRDefault="00C510C2" w:rsidP="00C510C2">
            <w:pPr>
              <w:spacing w:before="40" w:after="40"/>
              <w:rPr>
                <w:rFonts w:eastAsia="Calibri"/>
                <w:b/>
                <w:sz w:val="20"/>
                <w:szCs w:val="20"/>
              </w:rPr>
            </w:pPr>
            <w:r w:rsidRPr="00F41174">
              <w:rPr>
                <w:rFonts w:eastAsia="Calibri"/>
                <w:b/>
                <w:sz w:val="20"/>
                <w:szCs w:val="20"/>
              </w:rPr>
              <w:t>převzato do ÚP</w:t>
            </w:r>
          </w:p>
        </w:tc>
        <w:tc>
          <w:tcPr>
            <w:tcW w:w="3118" w:type="dxa"/>
            <w:shd w:val="clear" w:color="auto" w:fill="auto"/>
          </w:tcPr>
          <w:p w14:paraId="7ACC5489" w14:textId="77777777" w:rsidR="00C510C2" w:rsidRPr="00F41174" w:rsidRDefault="00C510C2" w:rsidP="00C510C2">
            <w:pPr>
              <w:pStyle w:val="1text"/>
              <w:spacing w:before="40" w:after="40"/>
              <w:jc w:val="left"/>
              <w:rPr>
                <w:b/>
                <w:sz w:val="20"/>
                <w:szCs w:val="20"/>
              </w:rPr>
            </w:pPr>
            <w:r w:rsidRPr="00F41174">
              <w:rPr>
                <w:b/>
                <w:sz w:val="20"/>
                <w:szCs w:val="20"/>
              </w:rPr>
              <w:t>plochy Z50 a Z51</w:t>
            </w:r>
          </w:p>
        </w:tc>
      </w:tr>
      <w:tr w:rsidR="00C510C2" w:rsidRPr="00F41174" w14:paraId="7D508183" w14:textId="77777777" w:rsidTr="002B5D5D">
        <w:tc>
          <w:tcPr>
            <w:tcW w:w="1821" w:type="dxa"/>
            <w:shd w:val="clear" w:color="auto" w:fill="auto"/>
          </w:tcPr>
          <w:p w14:paraId="5D4A0A5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28</w:t>
            </w:r>
          </w:p>
        </w:tc>
        <w:tc>
          <w:tcPr>
            <w:tcW w:w="1133" w:type="dxa"/>
            <w:shd w:val="clear" w:color="auto" w:fill="auto"/>
          </w:tcPr>
          <w:p w14:paraId="7C7B1F04"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0,299</w:t>
            </w:r>
          </w:p>
        </w:tc>
        <w:tc>
          <w:tcPr>
            <w:tcW w:w="2978" w:type="dxa"/>
            <w:shd w:val="clear" w:color="auto" w:fill="auto"/>
          </w:tcPr>
          <w:p w14:paraId="1A61C8E1"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4640CEC"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0945DBD9" w14:textId="77777777" w:rsidTr="002B5D5D">
        <w:tc>
          <w:tcPr>
            <w:tcW w:w="1821" w:type="dxa"/>
            <w:shd w:val="clear" w:color="auto" w:fill="auto"/>
          </w:tcPr>
          <w:p w14:paraId="14857F3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29</w:t>
            </w:r>
          </w:p>
        </w:tc>
        <w:tc>
          <w:tcPr>
            <w:tcW w:w="1133" w:type="dxa"/>
            <w:shd w:val="clear" w:color="auto" w:fill="auto"/>
          </w:tcPr>
          <w:p w14:paraId="606F42B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0,034</w:t>
            </w:r>
          </w:p>
        </w:tc>
        <w:tc>
          <w:tcPr>
            <w:tcW w:w="2978" w:type="dxa"/>
            <w:shd w:val="clear" w:color="auto" w:fill="auto"/>
          </w:tcPr>
          <w:p w14:paraId="275F547A"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0F3898AD"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24155652" w14:textId="77777777" w:rsidTr="002B5D5D">
        <w:tc>
          <w:tcPr>
            <w:tcW w:w="1821" w:type="dxa"/>
            <w:shd w:val="clear" w:color="auto" w:fill="auto"/>
          </w:tcPr>
          <w:p w14:paraId="580FD3B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40</w:t>
            </w:r>
          </w:p>
        </w:tc>
        <w:tc>
          <w:tcPr>
            <w:tcW w:w="1133" w:type="dxa"/>
            <w:shd w:val="clear" w:color="auto" w:fill="auto"/>
          </w:tcPr>
          <w:p w14:paraId="723B1DE6"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0,131</w:t>
            </w:r>
          </w:p>
        </w:tc>
        <w:tc>
          <w:tcPr>
            <w:tcW w:w="2978" w:type="dxa"/>
            <w:shd w:val="clear" w:color="auto" w:fill="auto"/>
          </w:tcPr>
          <w:p w14:paraId="60F706C0"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FCAD9E0" w14:textId="77777777" w:rsidR="00C510C2" w:rsidRPr="00F41174" w:rsidRDefault="00C510C2" w:rsidP="00C510C2">
            <w:pPr>
              <w:pStyle w:val="1text"/>
              <w:spacing w:before="40" w:after="40"/>
              <w:jc w:val="left"/>
              <w:rPr>
                <w:sz w:val="20"/>
                <w:szCs w:val="20"/>
                <w:highlight w:val="green"/>
              </w:rPr>
            </w:pPr>
            <w:r w:rsidRPr="00F41174">
              <w:rPr>
                <w:sz w:val="20"/>
                <w:szCs w:val="20"/>
              </w:rPr>
              <w:t>dle §58 stavebního zákona (proluka)</w:t>
            </w:r>
          </w:p>
        </w:tc>
      </w:tr>
      <w:tr w:rsidR="00C510C2" w:rsidRPr="00F41174" w14:paraId="77AB940F" w14:textId="77777777" w:rsidTr="002B5D5D">
        <w:tc>
          <w:tcPr>
            <w:tcW w:w="1821" w:type="dxa"/>
            <w:shd w:val="clear" w:color="auto" w:fill="auto"/>
          </w:tcPr>
          <w:p w14:paraId="619D49A6"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Z11/1</w:t>
            </w:r>
          </w:p>
        </w:tc>
        <w:tc>
          <w:tcPr>
            <w:tcW w:w="1133" w:type="dxa"/>
            <w:shd w:val="clear" w:color="auto" w:fill="auto"/>
          </w:tcPr>
          <w:p w14:paraId="6A1F588B"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0,027</w:t>
            </w:r>
          </w:p>
        </w:tc>
        <w:tc>
          <w:tcPr>
            <w:tcW w:w="2978" w:type="dxa"/>
            <w:shd w:val="clear" w:color="auto" w:fill="auto"/>
          </w:tcPr>
          <w:p w14:paraId="4F94B445"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16D4AADD"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4172A090" w14:textId="77777777" w:rsidTr="002B5D5D">
        <w:tc>
          <w:tcPr>
            <w:tcW w:w="1821" w:type="dxa"/>
            <w:shd w:val="clear" w:color="auto" w:fill="auto"/>
          </w:tcPr>
          <w:p w14:paraId="0C5BF0FF"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Z12.17</w:t>
            </w:r>
          </w:p>
        </w:tc>
        <w:tc>
          <w:tcPr>
            <w:tcW w:w="1133" w:type="dxa"/>
            <w:shd w:val="clear" w:color="auto" w:fill="auto"/>
          </w:tcPr>
          <w:p w14:paraId="3E392FB1"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1,864</w:t>
            </w:r>
          </w:p>
        </w:tc>
        <w:tc>
          <w:tcPr>
            <w:tcW w:w="2978" w:type="dxa"/>
            <w:shd w:val="clear" w:color="auto" w:fill="auto"/>
          </w:tcPr>
          <w:p w14:paraId="32E776F6" w14:textId="77777777" w:rsidR="00C510C2" w:rsidRPr="00F41174" w:rsidRDefault="00C510C2" w:rsidP="00C510C2">
            <w:pPr>
              <w:spacing w:before="40" w:after="40"/>
              <w:rPr>
                <w:rFonts w:eastAsia="Calibri"/>
                <w:b/>
                <w:sz w:val="20"/>
                <w:szCs w:val="20"/>
              </w:rPr>
            </w:pPr>
            <w:r w:rsidRPr="00F41174">
              <w:rPr>
                <w:rFonts w:eastAsia="Calibri"/>
                <w:b/>
                <w:sz w:val="20"/>
                <w:szCs w:val="20"/>
              </w:rPr>
              <w:t>převzato do ÚP</w:t>
            </w:r>
          </w:p>
        </w:tc>
        <w:tc>
          <w:tcPr>
            <w:tcW w:w="3118" w:type="dxa"/>
            <w:shd w:val="clear" w:color="auto" w:fill="auto"/>
          </w:tcPr>
          <w:p w14:paraId="74CB9727" w14:textId="77777777" w:rsidR="00C510C2" w:rsidRPr="00F41174" w:rsidRDefault="00C510C2" w:rsidP="00C510C2">
            <w:pPr>
              <w:pStyle w:val="1text"/>
              <w:spacing w:before="40" w:after="40"/>
              <w:jc w:val="left"/>
              <w:rPr>
                <w:b/>
                <w:sz w:val="20"/>
                <w:szCs w:val="20"/>
              </w:rPr>
            </w:pPr>
            <w:r w:rsidRPr="00F41174">
              <w:rPr>
                <w:b/>
                <w:sz w:val="20"/>
                <w:szCs w:val="20"/>
              </w:rPr>
              <w:t>plocha Z99</w:t>
            </w:r>
          </w:p>
        </w:tc>
      </w:tr>
      <w:tr w:rsidR="00C510C2" w:rsidRPr="00F41174" w14:paraId="3D970E4F" w14:textId="77777777" w:rsidTr="002B5D5D">
        <w:tc>
          <w:tcPr>
            <w:tcW w:w="1821" w:type="dxa"/>
            <w:shd w:val="clear" w:color="auto" w:fill="auto"/>
            <w:vAlign w:val="bottom"/>
          </w:tcPr>
          <w:p w14:paraId="658695A4"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Z12.24</w:t>
            </w:r>
          </w:p>
        </w:tc>
        <w:tc>
          <w:tcPr>
            <w:tcW w:w="1133" w:type="dxa"/>
            <w:shd w:val="clear" w:color="auto" w:fill="auto"/>
            <w:vAlign w:val="bottom"/>
          </w:tcPr>
          <w:p w14:paraId="7727B2E7"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0,112</w:t>
            </w:r>
          </w:p>
        </w:tc>
        <w:tc>
          <w:tcPr>
            <w:tcW w:w="2978" w:type="dxa"/>
            <w:shd w:val="clear" w:color="auto" w:fill="auto"/>
          </w:tcPr>
          <w:p w14:paraId="49075190" w14:textId="77777777" w:rsidR="00C510C2" w:rsidRPr="00F41174" w:rsidRDefault="00C510C2" w:rsidP="00C510C2">
            <w:pPr>
              <w:spacing w:before="40" w:after="40"/>
              <w:rPr>
                <w:rFonts w:eastAsia="Calibri"/>
                <w:b/>
                <w:sz w:val="20"/>
                <w:szCs w:val="20"/>
              </w:rPr>
            </w:pPr>
            <w:r w:rsidRPr="00F41174">
              <w:rPr>
                <w:rFonts w:eastAsia="Calibri"/>
                <w:b/>
                <w:sz w:val="20"/>
                <w:szCs w:val="20"/>
              </w:rPr>
              <w:t>převzato do ÚP</w:t>
            </w:r>
          </w:p>
        </w:tc>
        <w:tc>
          <w:tcPr>
            <w:tcW w:w="3118" w:type="dxa"/>
            <w:shd w:val="clear" w:color="auto" w:fill="auto"/>
          </w:tcPr>
          <w:p w14:paraId="38D0CEB7" w14:textId="77777777" w:rsidR="00C510C2" w:rsidRPr="00F41174" w:rsidRDefault="00C510C2" w:rsidP="00C510C2">
            <w:pPr>
              <w:pStyle w:val="1text"/>
              <w:spacing w:before="40" w:after="40"/>
              <w:jc w:val="left"/>
              <w:rPr>
                <w:b/>
                <w:sz w:val="20"/>
                <w:szCs w:val="20"/>
              </w:rPr>
            </w:pPr>
            <w:r w:rsidRPr="00F41174">
              <w:rPr>
                <w:b/>
                <w:sz w:val="20"/>
                <w:szCs w:val="20"/>
              </w:rPr>
              <w:t>plocha P11</w:t>
            </w:r>
          </w:p>
        </w:tc>
      </w:tr>
      <w:tr w:rsidR="00C510C2" w:rsidRPr="00F41174" w14:paraId="0A19654A" w14:textId="77777777" w:rsidTr="002B5D5D">
        <w:tc>
          <w:tcPr>
            <w:tcW w:w="1821" w:type="dxa"/>
            <w:shd w:val="clear" w:color="auto" w:fill="auto"/>
          </w:tcPr>
          <w:p w14:paraId="670CBFA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Z12.25</w:t>
            </w:r>
          </w:p>
        </w:tc>
        <w:tc>
          <w:tcPr>
            <w:tcW w:w="1133" w:type="dxa"/>
            <w:shd w:val="clear" w:color="auto" w:fill="auto"/>
          </w:tcPr>
          <w:p w14:paraId="6F20F9B3"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10,240</w:t>
            </w:r>
          </w:p>
        </w:tc>
        <w:tc>
          <w:tcPr>
            <w:tcW w:w="2978" w:type="dxa"/>
            <w:shd w:val="clear" w:color="auto" w:fill="auto"/>
          </w:tcPr>
          <w:p w14:paraId="5F184348"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v rozsahu 4,820 ha převzato do ÚP</w:t>
            </w:r>
            <w:r w:rsidRPr="00F41174">
              <w:rPr>
                <w:rFonts w:eastAsia="Calibri"/>
                <w:sz w:val="20"/>
                <w:szCs w:val="20"/>
              </w:rPr>
              <w:t>, zbývající část vypuštěna</w:t>
            </w:r>
          </w:p>
        </w:tc>
        <w:tc>
          <w:tcPr>
            <w:tcW w:w="3118" w:type="dxa"/>
            <w:shd w:val="clear" w:color="auto" w:fill="auto"/>
          </w:tcPr>
          <w:p w14:paraId="40DA19B7" w14:textId="77777777" w:rsidR="00C510C2" w:rsidRPr="00F41174" w:rsidRDefault="00C510C2" w:rsidP="00C510C2">
            <w:pPr>
              <w:pStyle w:val="1text"/>
              <w:spacing w:before="40" w:after="40"/>
              <w:jc w:val="left"/>
              <w:rPr>
                <w:b/>
                <w:sz w:val="20"/>
                <w:szCs w:val="20"/>
                <w:highlight w:val="green"/>
              </w:rPr>
            </w:pPr>
            <w:r w:rsidRPr="00F41174">
              <w:rPr>
                <w:b/>
                <w:sz w:val="20"/>
                <w:szCs w:val="20"/>
              </w:rPr>
              <w:t>plochy P18, Z44A, Z46, Z47</w:t>
            </w:r>
          </w:p>
        </w:tc>
      </w:tr>
      <w:tr w:rsidR="00C510C2" w:rsidRPr="00F41174" w14:paraId="56C2917A" w14:textId="77777777" w:rsidTr="002B5D5D">
        <w:tc>
          <w:tcPr>
            <w:tcW w:w="1821" w:type="dxa"/>
            <w:shd w:val="clear" w:color="auto" w:fill="auto"/>
          </w:tcPr>
          <w:p w14:paraId="0B4F794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Z12.26</w:t>
            </w:r>
          </w:p>
        </w:tc>
        <w:tc>
          <w:tcPr>
            <w:tcW w:w="1133" w:type="dxa"/>
            <w:shd w:val="clear" w:color="auto" w:fill="auto"/>
          </w:tcPr>
          <w:p w14:paraId="02EBCDB8"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0,002</w:t>
            </w:r>
          </w:p>
        </w:tc>
        <w:tc>
          <w:tcPr>
            <w:tcW w:w="2978" w:type="dxa"/>
            <w:shd w:val="clear" w:color="auto" w:fill="auto"/>
          </w:tcPr>
          <w:p w14:paraId="2B3FBF2C"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4795BEB9" w14:textId="77777777" w:rsidR="00C510C2" w:rsidRPr="00F41174" w:rsidRDefault="00C510C2" w:rsidP="00C510C2">
            <w:pPr>
              <w:pStyle w:val="1text"/>
              <w:spacing w:before="40" w:after="40"/>
              <w:jc w:val="left"/>
              <w:rPr>
                <w:sz w:val="20"/>
                <w:szCs w:val="20"/>
                <w:highlight w:val="green"/>
              </w:rPr>
            </w:pPr>
          </w:p>
        </w:tc>
      </w:tr>
      <w:tr w:rsidR="00C510C2" w:rsidRPr="00F41174" w14:paraId="1B714BC1" w14:textId="77777777" w:rsidTr="002B5D5D">
        <w:tc>
          <w:tcPr>
            <w:tcW w:w="1821" w:type="dxa"/>
            <w:shd w:val="clear" w:color="auto" w:fill="auto"/>
          </w:tcPr>
          <w:p w14:paraId="0153E019"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Z12.27</w:t>
            </w:r>
          </w:p>
        </w:tc>
        <w:tc>
          <w:tcPr>
            <w:tcW w:w="1133" w:type="dxa"/>
            <w:shd w:val="clear" w:color="auto" w:fill="auto"/>
          </w:tcPr>
          <w:p w14:paraId="09C8CC58"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0,037</w:t>
            </w:r>
          </w:p>
        </w:tc>
        <w:tc>
          <w:tcPr>
            <w:tcW w:w="2978" w:type="dxa"/>
            <w:shd w:val="clear" w:color="auto" w:fill="auto"/>
          </w:tcPr>
          <w:p w14:paraId="7753F45A"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6AD228BA"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1D5D87AC" w14:textId="77777777" w:rsidTr="002B5D5D">
        <w:tc>
          <w:tcPr>
            <w:tcW w:w="1821" w:type="dxa"/>
            <w:shd w:val="clear" w:color="auto" w:fill="auto"/>
          </w:tcPr>
          <w:p w14:paraId="6473D90B"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lastRenderedPageBreak/>
              <w:t>Z18.1</w:t>
            </w:r>
          </w:p>
        </w:tc>
        <w:tc>
          <w:tcPr>
            <w:tcW w:w="1133" w:type="dxa"/>
            <w:shd w:val="clear" w:color="auto" w:fill="auto"/>
          </w:tcPr>
          <w:p w14:paraId="4B5A6219"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0,088</w:t>
            </w:r>
          </w:p>
        </w:tc>
        <w:tc>
          <w:tcPr>
            <w:tcW w:w="2978" w:type="dxa"/>
            <w:shd w:val="clear" w:color="auto" w:fill="auto"/>
          </w:tcPr>
          <w:p w14:paraId="65723085"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68BC5D8B"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4A0F913A" w14:textId="77777777" w:rsidTr="002B5D5D">
        <w:tc>
          <w:tcPr>
            <w:tcW w:w="1821" w:type="dxa"/>
            <w:shd w:val="clear" w:color="auto" w:fill="auto"/>
            <w:vAlign w:val="bottom"/>
          </w:tcPr>
          <w:p w14:paraId="282A93B9"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Z18.3</w:t>
            </w:r>
          </w:p>
        </w:tc>
        <w:tc>
          <w:tcPr>
            <w:tcW w:w="1133" w:type="dxa"/>
            <w:shd w:val="clear" w:color="auto" w:fill="auto"/>
            <w:vAlign w:val="bottom"/>
          </w:tcPr>
          <w:p w14:paraId="0471E99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0,139</w:t>
            </w:r>
          </w:p>
        </w:tc>
        <w:tc>
          <w:tcPr>
            <w:tcW w:w="2978" w:type="dxa"/>
            <w:shd w:val="clear" w:color="auto" w:fill="auto"/>
          </w:tcPr>
          <w:p w14:paraId="211A0C7C"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F5DBC59" w14:textId="77777777" w:rsidR="00C510C2" w:rsidRPr="00F41174" w:rsidRDefault="00C510C2" w:rsidP="00C510C2">
            <w:pPr>
              <w:pStyle w:val="1text"/>
              <w:spacing w:before="40" w:after="40"/>
              <w:jc w:val="left"/>
              <w:rPr>
                <w:sz w:val="20"/>
                <w:szCs w:val="20"/>
                <w:highlight w:val="green"/>
              </w:rPr>
            </w:pPr>
            <w:r w:rsidRPr="00F41174">
              <w:rPr>
                <w:sz w:val="20"/>
                <w:szCs w:val="20"/>
              </w:rPr>
              <w:t xml:space="preserve">zastavěno </w:t>
            </w:r>
          </w:p>
        </w:tc>
      </w:tr>
      <w:tr w:rsidR="00C510C2" w:rsidRPr="00F41174" w14:paraId="76C7C2B2" w14:textId="77777777" w:rsidTr="002B5D5D">
        <w:tc>
          <w:tcPr>
            <w:tcW w:w="9050" w:type="dxa"/>
            <w:gridSpan w:val="4"/>
            <w:shd w:val="clear" w:color="auto" w:fill="auto"/>
            <w:vAlign w:val="bottom"/>
          </w:tcPr>
          <w:p w14:paraId="52433151" w14:textId="77777777" w:rsidR="00C510C2" w:rsidRPr="00F41174" w:rsidRDefault="00C510C2" w:rsidP="00C510C2">
            <w:pPr>
              <w:pStyle w:val="1text"/>
              <w:spacing w:before="40" w:after="40"/>
              <w:jc w:val="left"/>
              <w:rPr>
                <w:sz w:val="20"/>
                <w:szCs w:val="20"/>
              </w:rPr>
            </w:pPr>
            <w:r w:rsidRPr="00F41174">
              <w:rPr>
                <w:sz w:val="20"/>
                <w:szCs w:val="20"/>
              </w:rPr>
              <w:t>Plochy bydlení</w:t>
            </w:r>
          </w:p>
        </w:tc>
      </w:tr>
      <w:tr w:rsidR="00C510C2" w:rsidRPr="00F41174" w14:paraId="3E08109C" w14:textId="77777777" w:rsidTr="002B5D5D">
        <w:tc>
          <w:tcPr>
            <w:tcW w:w="1821" w:type="dxa"/>
            <w:shd w:val="clear" w:color="auto" w:fill="auto"/>
          </w:tcPr>
          <w:p w14:paraId="6885116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4</w:t>
            </w:r>
          </w:p>
        </w:tc>
        <w:tc>
          <w:tcPr>
            <w:tcW w:w="1133" w:type="dxa"/>
            <w:shd w:val="clear" w:color="auto" w:fill="auto"/>
          </w:tcPr>
          <w:p w14:paraId="53FAC962" w14:textId="77777777" w:rsidR="00C510C2" w:rsidRPr="00F41174" w:rsidRDefault="00C510C2" w:rsidP="00C510C2">
            <w:pPr>
              <w:pStyle w:val="1text"/>
              <w:spacing w:before="40" w:after="40"/>
              <w:jc w:val="left"/>
              <w:rPr>
                <w:rFonts w:eastAsia="Times New Roman"/>
                <w:sz w:val="20"/>
                <w:szCs w:val="20"/>
                <w:highlight w:val="green"/>
                <w:lang w:eastAsia="cs-CZ"/>
              </w:rPr>
            </w:pPr>
            <w:r w:rsidRPr="00F41174">
              <w:rPr>
                <w:rFonts w:eastAsia="Times New Roman"/>
                <w:color w:val="000000"/>
                <w:sz w:val="20"/>
                <w:szCs w:val="20"/>
                <w:lang w:eastAsia="cs-CZ"/>
              </w:rPr>
              <w:t>0,244</w:t>
            </w:r>
          </w:p>
        </w:tc>
        <w:tc>
          <w:tcPr>
            <w:tcW w:w="2978" w:type="dxa"/>
            <w:shd w:val="clear" w:color="auto" w:fill="auto"/>
          </w:tcPr>
          <w:p w14:paraId="570C8A5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17233DD7" w14:textId="77777777" w:rsidR="00C510C2" w:rsidRPr="00F41174" w:rsidRDefault="00C510C2" w:rsidP="00C510C2">
            <w:pPr>
              <w:pStyle w:val="1text"/>
              <w:spacing w:before="40" w:after="40"/>
              <w:jc w:val="left"/>
              <w:rPr>
                <w:sz w:val="20"/>
                <w:szCs w:val="20"/>
                <w:highlight w:val="green"/>
              </w:rPr>
            </w:pPr>
          </w:p>
        </w:tc>
      </w:tr>
      <w:tr w:rsidR="00C510C2" w:rsidRPr="00F41174" w14:paraId="0F1174C7" w14:textId="77777777" w:rsidTr="002B5D5D">
        <w:tc>
          <w:tcPr>
            <w:tcW w:w="1821" w:type="dxa"/>
            <w:shd w:val="clear" w:color="auto" w:fill="auto"/>
          </w:tcPr>
          <w:p w14:paraId="567210A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31</w:t>
            </w:r>
          </w:p>
        </w:tc>
        <w:tc>
          <w:tcPr>
            <w:tcW w:w="1133" w:type="dxa"/>
            <w:shd w:val="clear" w:color="auto" w:fill="auto"/>
          </w:tcPr>
          <w:p w14:paraId="70F5CAA8"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0,232</w:t>
            </w:r>
          </w:p>
        </w:tc>
        <w:tc>
          <w:tcPr>
            <w:tcW w:w="2978" w:type="dxa"/>
            <w:shd w:val="clear" w:color="auto" w:fill="auto"/>
          </w:tcPr>
          <w:p w14:paraId="206C6FC4"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B0878DB"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 zčásti realizováno</w:t>
            </w:r>
          </w:p>
        </w:tc>
      </w:tr>
      <w:tr w:rsidR="00C510C2" w:rsidRPr="00F41174" w14:paraId="1FAA2C85" w14:textId="77777777" w:rsidTr="002B5D5D">
        <w:tc>
          <w:tcPr>
            <w:tcW w:w="1821" w:type="dxa"/>
            <w:shd w:val="clear" w:color="auto" w:fill="auto"/>
          </w:tcPr>
          <w:p w14:paraId="2BB9BCA7"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32</w:t>
            </w:r>
          </w:p>
        </w:tc>
        <w:tc>
          <w:tcPr>
            <w:tcW w:w="1133" w:type="dxa"/>
            <w:shd w:val="clear" w:color="auto" w:fill="auto"/>
          </w:tcPr>
          <w:p w14:paraId="0F871BA7"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1,385</w:t>
            </w:r>
          </w:p>
        </w:tc>
        <w:tc>
          <w:tcPr>
            <w:tcW w:w="2978" w:type="dxa"/>
            <w:shd w:val="clear" w:color="auto" w:fill="auto"/>
          </w:tcPr>
          <w:p w14:paraId="4D3C85FF"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25ED678C"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Z46</w:t>
            </w:r>
          </w:p>
        </w:tc>
      </w:tr>
      <w:tr w:rsidR="00C510C2" w:rsidRPr="00F41174" w14:paraId="0D2779AD" w14:textId="77777777" w:rsidTr="002B5D5D">
        <w:tc>
          <w:tcPr>
            <w:tcW w:w="1821" w:type="dxa"/>
            <w:shd w:val="clear" w:color="auto" w:fill="auto"/>
          </w:tcPr>
          <w:p w14:paraId="5E7AA8CE"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33</w:t>
            </w:r>
          </w:p>
        </w:tc>
        <w:tc>
          <w:tcPr>
            <w:tcW w:w="1133" w:type="dxa"/>
            <w:shd w:val="clear" w:color="auto" w:fill="auto"/>
          </w:tcPr>
          <w:p w14:paraId="22AAD369"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0,330</w:t>
            </w:r>
          </w:p>
        </w:tc>
        <w:tc>
          <w:tcPr>
            <w:tcW w:w="2978" w:type="dxa"/>
            <w:shd w:val="clear" w:color="auto" w:fill="auto"/>
          </w:tcPr>
          <w:p w14:paraId="0E7D1E31"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70FBF65E"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Z46</w:t>
            </w:r>
          </w:p>
        </w:tc>
      </w:tr>
      <w:tr w:rsidR="00C510C2" w:rsidRPr="00F41174" w14:paraId="1521E14B" w14:textId="77777777" w:rsidTr="002B5D5D">
        <w:tc>
          <w:tcPr>
            <w:tcW w:w="1821" w:type="dxa"/>
            <w:shd w:val="clear" w:color="auto" w:fill="auto"/>
          </w:tcPr>
          <w:p w14:paraId="3E738956"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34</w:t>
            </w:r>
          </w:p>
        </w:tc>
        <w:tc>
          <w:tcPr>
            <w:tcW w:w="1133" w:type="dxa"/>
            <w:shd w:val="clear" w:color="auto" w:fill="auto"/>
          </w:tcPr>
          <w:p w14:paraId="71687783" w14:textId="77777777" w:rsidR="00C510C2" w:rsidRPr="00F41174" w:rsidRDefault="00C510C2" w:rsidP="00C510C2">
            <w:pPr>
              <w:pStyle w:val="1text"/>
              <w:spacing w:before="40" w:after="40"/>
              <w:jc w:val="left"/>
              <w:rPr>
                <w:rFonts w:eastAsia="Times New Roman"/>
                <w:sz w:val="20"/>
                <w:szCs w:val="20"/>
                <w:highlight w:val="green"/>
                <w:lang w:eastAsia="cs-CZ"/>
              </w:rPr>
            </w:pPr>
            <w:r w:rsidRPr="00F41174">
              <w:rPr>
                <w:rFonts w:eastAsia="Times New Roman"/>
                <w:color w:val="000000"/>
                <w:sz w:val="20"/>
                <w:szCs w:val="20"/>
                <w:lang w:eastAsia="cs-CZ"/>
              </w:rPr>
              <w:t>2,173</w:t>
            </w:r>
          </w:p>
        </w:tc>
        <w:tc>
          <w:tcPr>
            <w:tcW w:w="2978" w:type="dxa"/>
            <w:shd w:val="clear" w:color="auto" w:fill="auto"/>
          </w:tcPr>
          <w:p w14:paraId="4FBDE389"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42CEDDDB"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42C05A2A" w14:textId="77777777" w:rsidTr="002B5D5D">
        <w:tc>
          <w:tcPr>
            <w:tcW w:w="1821" w:type="dxa"/>
            <w:shd w:val="clear" w:color="auto" w:fill="auto"/>
          </w:tcPr>
          <w:p w14:paraId="4FCCBFB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35</w:t>
            </w:r>
          </w:p>
        </w:tc>
        <w:tc>
          <w:tcPr>
            <w:tcW w:w="1133" w:type="dxa"/>
            <w:shd w:val="clear" w:color="auto" w:fill="auto"/>
          </w:tcPr>
          <w:p w14:paraId="7CE344D6"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1,173</w:t>
            </w:r>
          </w:p>
        </w:tc>
        <w:tc>
          <w:tcPr>
            <w:tcW w:w="2978" w:type="dxa"/>
            <w:shd w:val="clear" w:color="auto" w:fill="auto"/>
          </w:tcPr>
          <w:p w14:paraId="35D4CDE3"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FEB58F4"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380C7243" w14:textId="77777777" w:rsidTr="002B5D5D">
        <w:tc>
          <w:tcPr>
            <w:tcW w:w="1821" w:type="dxa"/>
            <w:shd w:val="clear" w:color="auto" w:fill="auto"/>
          </w:tcPr>
          <w:p w14:paraId="684FC8B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36</w:t>
            </w:r>
          </w:p>
        </w:tc>
        <w:tc>
          <w:tcPr>
            <w:tcW w:w="1133" w:type="dxa"/>
            <w:shd w:val="clear" w:color="auto" w:fill="auto"/>
          </w:tcPr>
          <w:p w14:paraId="57D3C495"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3,313</w:t>
            </w:r>
          </w:p>
        </w:tc>
        <w:tc>
          <w:tcPr>
            <w:tcW w:w="2978" w:type="dxa"/>
            <w:shd w:val="clear" w:color="auto" w:fill="auto"/>
          </w:tcPr>
          <w:p w14:paraId="7229797E"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3C26D028"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Z43</w:t>
            </w:r>
          </w:p>
        </w:tc>
      </w:tr>
      <w:tr w:rsidR="00C510C2" w:rsidRPr="00F41174" w14:paraId="41CAD89B" w14:textId="77777777" w:rsidTr="002B5D5D">
        <w:tc>
          <w:tcPr>
            <w:tcW w:w="1821" w:type="dxa"/>
            <w:shd w:val="clear" w:color="auto" w:fill="auto"/>
          </w:tcPr>
          <w:p w14:paraId="5088451D"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37</w:t>
            </w:r>
          </w:p>
        </w:tc>
        <w:tc>
          <w:tcPr>
            <w:tcW w:w="1133" w:type="dxa"/>
            <w:shd w:val="clear" w:color="auto" w:fill="auto"/>
          </w:tcPr>
          <w:p w14:paraId="16D03C09"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4,010</w:t>
            </w:r>
          </w:p>
        </w:tc>
        <w:tc>
          <w:tcPr>
            <w:tcW w:w="2978" w:type="dxa"/>
            <w:shd w:val="clear" w:color="auto" w:fill="auto"/>
          </w:tcPr>
          <w:p w14:paraId="4D9BD838" w14:textId="77777777" w:rsidR="00C510C2" w:rsidRPr="00F41174" w:rsidRDefault="00C510C2" w:rsidP="00C510C2">
            <w:pPr>
              <w:spacing w:before="40" w:after="40"/>
              <w:rPr>
                <w:rFonts w:eastAsia="Calibri"/>
                <w:sz w:val="20"/>
                <w:szCs w:val="20"/>
              </w:rPr>
            </w:pPr>
            <w:r w:rsidRPr="00F41174">
              <w:rPr>
                <w:rFonts w:eastAsia="Calibri"/>
                <w:b/>
                <w:sz w:val="20"/>
                <w:szCs w:val="20"/>
              </w:rPr>
              <w:t>v rozsahu 3,947 ha převzato do ÚP</w:t>
            </w:r>
            <w:r w:rsidRPr="00F41174">
              <w:rPr>
                <w:rFonts w:eastAsia="Calibri"/>
                <w:sz w:val="20"/>
                <w:szCs w:val="20"/>
              </w:rPr>
              <w:t>, zbývající část vymezena jako stabilizovaná plocha</w:t>
            </w:r>
          </w:p>
        </w:tc>
        <w:tc>
          <w:tcPr>
            <w:tcW w:w="3118" w:type="dxa"/>
            <w:shd w:val="clear" w:color="auto" w:fill="auto"/>
          </w:tcPr>
          <w:p w14:paraId="6EC2C9F6" w14:textId="77777777" w:rsidR="00C510C2" w:rsidRPr="00F41174" w:rsidRDefault="00C510C2" w:rsidP="00C510C2">
            <w:pPr>
              <w:pStyle w:val="1text"/>
              <w:spacing w:before="40" w:after="40"/>
              <w:jc w:val="left"/>
              <w:rPr>
                <w:sz w:val="20"/>
                <w:szCs w:val="20"/>
              </w:rPr>
            </w:pPr>
            <w:r w:rsidRPr="00F41174">
              <w:rPr>
                <w:b/>
                <w:sz w:val="20"/>
                <w:szCs w:val="20"/>
              </w:rPr>
              <w:t>plochy Z43 a P22</w:t>
            </w:r>
            <w:r w:rsidRPr="00F41174">
              <w:rPr>
                <w:sz w:val="20"/>
                <w:szCs w:val="20"/>
              </w:rPr>
              <w:t>, zčásti realizováno</w:t>
            </w:r>
          </w:p>
        </w:tc>
      </w:tr>
      <w:tr w:rsidR="00C510C2" w:rsidRPr="00F41174" w14:paraId="45EFDA5A" w14:textId="77777777" w:rsidTr="002B5D5D">
        <w:tc>
          <w:tcPr>
            <w:tcW w:w="1821" w:type="dxa"/>
            <w:shd w:val="clear" w:color="auto" w:fill="auto"/>
          </w:tcPr>
          <w:p w14:paraId="1DE47E1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41</w:t>
            </w:r>
          </w:p>
        </w:tc>
        <w:tc>
          <w:tcPr>
            <w:tcW w:w="1133" w:type="dxa"/>
            <w:shd w:val="clear" w:color="auto" w:fill="auto"/>
          </w:tcPr>
          <w:p w14:paraId="61C4F7C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0,174</w:t>
            </w:r>
          </w:p>
        </w:tc>
        <w:tc>
          <w:tcPr>
            <w:tcW w:w="2978" w:type="dxa"/>
            <w:shd w:val="clear" w:color="auto" w:fill="auto"/>
          </w:tcPr>
          <w:p w14:paraId="5C62E144"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868C239"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3CA529DB" w14:textId="77777777" w:rsidTr="002B5D5D">
        <w:tc>
          <w:tcPr>
            <w:tcW w:w="1821" w:type="dxa"/>
            <w:shd w:val="clear" w:color="auto" w:fill="auto"/>
          </w:tcPr>
          <w:p w14:paraId="1D9879C7"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43</w:t>
            </w:r>
          </w:p>
        </w:tc>
        <w:tc>
          <w:tcPr>
            <w:tcW w:w="1133" w:type="dxa"/>
            <w:shd w:val="clear" w:color="auto" w:fill="auto"/>
          </w:tcPr>
          <w:p w14:paraId="7D847AEA"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0,687</w:t>
            </w:r>
          </w:p>
        </w:tc>
        <w:tc>
          <w:tcPr>
            <w:tcW w:w="2978" w:type="dxa"/>
            <w:shd w:val="clear" w:color="auto" w:fill="auto"/>
          </w:tcPr>
          <w:p w14:paraId="5E6C68FA"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00043656"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P26</w:t>
            </w:r>
          </w:p>
        </w:tc>
      </w:tr>
      <w:tr w:rsidR="00C510C2" w:rsidRPr="00F41174" w14:paraId="424EF36D" w14:textId="77777777" w:rsidTr="002B5D5D">
        <w:tc>
          <w:tcPr>
            <w:tcW w:w="1821" w:type="dxa"/>
            <w:shd w:val="clear" w:color="auto" w:fill="auto"/>
          </w:tcPr>
          <w:p w14:paraId="27437B4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46</w:t>
            </w:r>
          </w:p>
        </w:tc>
        <w:tc>
          <w:tcPr>
            <w:tcW w:w="1133" w:type="dxa"/>
            <w:shd w:val="clear" w:color="auto" w:fill="auto"/>
          </w:tcPr>
          <w:p w14:paraId="62DCDD0E"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2,054</w:t>
            </w:r>
          </w:p>
        </w:tc>
        <w:tc>
          <w:tcPr>
            <w:tcW w:w="2978" w:type="dxa"/>
            <w:shd w:val="clear" w:color="auto" w:fill="auto"/>
          </w:tcPr>
          <w:p w14:paraId="4E195DDE" w14:textId="77777777" w:rsidR="00C510C2" w:rsidRPr="00F41174" w:rsidRDefault="00C510C2" w:rsidP="00C510C2">
            <w:pPr>
              <w:spacing w:before="40" w:after="40"/>
              <w:rPr>
                <w:rFonts w:eastAsia="Calibri"/>
                <w:sz w:val="20"/>
                <w:szCs w:val="20"/>
                <w:highlight w:val="green"/>
              </w:rPr>
            </w:pPr>
            <w:r w:rsidRPr="00F41174">
              <w:rPr>
                <w:rFonts w:eastAsia="Calibri"/>
                <w:b/>
                <w:sz w:val="20"/>
                <w:szCs w:val="20"/>
              </w:rPr>
              <w:t>v rozsahu 1,601 ha převzato do ÚP</w:t>
            </w:r>
            <w:r w:rsidRPr="00F41174">
              <w:rPr>
                <w:rFonts w:eastAsia="Calibri"/>
                <w:sz w:val="20"/>
                <w:szCs w:val="20"/>
              </w:rPr>
              <w:t>, zbývající část vymezena jako stabilizovaná plocha</w:t>
            </w:r>
          </w:p>
        </w:tc>
        <w:tc>
          <w:tcPr>
            <w:tcW w:w="3118" w:type="dxa"/>
            <w:shd w:val="clear" w:color="auto" w:fill="auto"/>
          </w:tcPr>
          <w:p w14:paraId="3E32EA2F" w14:textId="77777777" w:rsidR="00C510C2" w:rsidRPr="00F41174" w:rsidRDefault="00C510C2" w:rsidP="00C510C2">
            <w:pPr>
              <w:pStyle w:val="1text"/>
              <w:spacing w:before="40" w:after="40"/>
              <w:jc w:val="left"/>
              <w:rPr>
                <w:sz w:val="20"/>
                <w:szCs w:val="20"/>
                <w:highlight w:val="green"/>
              </w:rPr>
            </w:pPr>
            <w:r w:rsidRPr="00F41174">
              <w:rPr>
                <w:b/>
                <w:sz w:val="20"/>
                <w:szCs w:val="20"/>
              </w:rPr>
              <w:t>plochy Z54 a Z55</w:t>
            </w:r>
            <w:r w:rsidRPr="00F41174">
              <w:rPr>
                <w:sz w:val="20"/>
                <w:szCs w:val="20"/>
              </w:rPr>
              <w:t>, zčásti realizováno</w:t>
            </w:r>
          </w:p>
        </w:tc>
      </w:tr>
      <w:tr w:rsidR="00C510C2" w:rsidRPr="00F41174" w14:paraId="49C018E2" w14:textId="77777777" w:rsidTr="002B5D5D">
        <w:tc>
          <w:tcPr>
            <w:tcW w:w="1821" w:type="dxa"/>
            <w:shd w:val="clear" w:color="auto" w:fill="auto"/>
          </w:tcPr>
          <w:p w14:paraId="69DD7B1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51</w:t>
            </w:r>
          </w:p>
        </w:tc>
        <w:tc>
          <w:tcPr>
            <w:tcW w:w="1133" w:type="dxa"/>
            <w:shd w:val="clear" w:color="auto" w:fill="auto"/>
          </w:tcPr>
          <w:p w14:paraId="70C7B05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0,282</w:t>
            </w:r>
          </w:p>
        </w:tc>
        <w:tc>
          <w:tcPr>
            <w:tcW w:w="2978" w:type="dxa"/>
            <w:shd w:val="clear" w:color="auto" w:fill="auto"/>
          </w:tcPr>
          <w:p w14:paraId="37C4E009" w14:textId="77777777" w:rsidR="00C510C2" w:rsidRPr="00F41174" w:rsidRDefault="00C510C2" w:rsidP="00C510C2">
            <w:pPr>
              <w:spacing w:before="40" w:after="40"/>
              <w:rPr>
                <w:rFonts w:eastAsia="Calibri"/>
                <w:sz w:val="20"/>
                <w:szCs w:val="20"/>
              </w:rPr>
            </w:pPr>
            <w:r w:rsidRPr="00F41174">
              <w:rPr>
                <w:rFonts w:eastAsia="Calibri"/>
                <w:sz w:val="20"/>
                <w:szCs w:val="20"/>
              </w:rPr>
              <w:t>zčásti vymezeno jako stabilizovaná plocha, zčásti záměr vypuštěn</w:t>
            </w:r>
          </w:p>
        </w:tc>
        <w:tc>
          <w:tcPr>
            <w:tcW w:w="3118" w:type="dxa"/>
            <w:shd w:val="clear" w:color="auto" w:fill="auto"/>
          </w:tcPr>
          <w:p w14:paraId="16D37870" w14:textId="77777777" w:rsidR="00C510C2" w:rsidRPr="00F41174" w:rsidRDefault="00C510C2" w:rsidP="00C510C2">
            <w:pPr>
              <w:pStyle w:val="1text"/>
              <w:spacing w:before="40" w:after="40"/>
              <w:jc w:val="left"/>
              <w:rPr>
                <w:sz w:val="20"/>
                <w:szCs w:val="20"/>
              </w:rPr>
            </w:pPr>
            <w:r w:rsidRPr="00F41174">
              <w:rPr>
                <w:sz w:val="20"/>
                <w:szCs w:val="20"/>
              </w:rPr>
              <w:t>zčásti realizováno</w:t>
            </w:r>
          </w:p>
        </w:tc>
      </w:tr>
      <w:tr w:rsidR="00C510C2" w:rsidRPr="00F41174" w14:paraId="62B3EEFE" w14:textId="77777777" w:rsidTr="002B5D5D">
        <w:tc>
          <w:tcPr>
            <w:tcW w:w="1821" w:type="dxa"/>
            <w:shd w:val="clear" w:color="auto" w:fill="auto"/>
          </w:tcPr>
          <w:p w14:paraId="698778C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57</w:t>
            </w:r>
          </w:p>
        </w:tc>
        <w:tc>
          <w:tcPr>
            <w:tcW w:w="1133" w:type="dxa"/>
            <w:shd w:val="clear" w:color="auto" w:fill="auto"/>
          </w:tcPr>
          <w:p w14:paraId="0D3172F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0,003</w:t>
            </w:r>
          </w:p>
        </w:tc>
        <w:tc>
          <w:tcPr>
            <w:tcW w:w="2978" w:type="dxa"/>
            <w:shd w:val="clear" w:color="auto" w:fill="auto"/>
          </w:tcPr>
          <w:p w14:paraId="3D142D3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4A16AB3C" w14:textId="77777777" w:rsidR="00C510C2" w:rsidRPr="00F41174" w:rsidRDefault="00C510C2" w:rsidP="00C510C2">
            <w:pPr>
              <w:pStyle w:val="1text"/>
              <w:spacing w:before="40" w:after="40"/>
              <w:jc w:val="left"/>
              <w:rPr>
                <w:sz w:val="20"/>
                <w:szCs w:val="20"/>
                <w:highlight w:val="green"/>
              </w:rPr>
            </w:pPr>
          </w:p>
        </w:tc>
      </w:tr>
      <w:tr w:rsidR="00C510C2" w:rsidRPr="00F41174" w14:paraId="14281545" w14:textId="77777777" w:rsidTr="002B5D5D">
        <w:tc>
          <w:tcPr>
            <w:tcW w:w="1821" w:type="dxa"/>
            <w:shd w:val="clear" w:color="auto" w:fill="auto"/>
          </w:tcPr>
          <w:p w14:paraId="2BE46A1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106</w:t>
            </w:r>
          </w:p>
        </w:tc>
        <w:tc>
          <w:tcPr>
            <w:tcW w:w="1133" w:type="dxa"/>
            <w:shd w:val="clear" w:color="auto" w:fill="auto"/>
          </w:tcPr>
          <w:p w14:paraId="74C6590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0,002</w:t>
            </w:r>
          </w:p>
        </w:tc>
        <w:tc>
          <w:tcPr>
            <w:tcW w:w="2978" w:type="dxa"/>
            <w:shd w:val="clear" w:color="auto" w:fill="auto"/>
          </w:tcPr>
          <w:p w14:paraId="78517019"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67466F48" w14:textId="77777777" w:rsidR="00C510C2" w:rsidRPr="00F41174" w:rsidRDefault="00C510C2" w:rsidP="00C510C2">
            <w:pPr>
              <w:pStyle w:val="1text"/>
              <w:spacing w:before="40" w:after="40"/>
              <w:jc w:val="left"/>
              <w:rPr>
                <w:sz w:val="20"/>
                <w:szCs w:val="20"/>
              </w:rPr>
            </w:pPr>
            <w:r w:rsidRPr="00F41174">
              <w:rPr>
                <w:sz w:val="20"/>
                <w:szCs w:val="20"/>
              </w:rPr>
              <w:t>dle §58 a §2, odst. 1c stavebního zákona, zčásti zastavěno</w:t>
            </w:r>
          </w:p>
        </w:tc>
      </w:tr>
      <w:tr w:rsidR="00C510C2" w:rsidRPr="00F41174" w14:paraId="41727948" w14:textId="77777777" w:rsidTr="002B5D5D">
        <w:tc>
          <w:tcPr>
            <w:tcW w:w="1821" w:type="dxa"/>
            <w:shd w:val="clear" w:color="auto" w:fill="auto"/>
          </w:tcPr>
          <w:p w14:paraId="60C4B20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Z17.1b</w:t>
            </w:r>
          </w:p>
        </w:tc>
        <w:tc>
          <w:tcPr>
            <w:tcW w:w="1133" w:type="dxa"/>
            <w:shd w:val="clear" w:color="auto" w:fill="auto"/>
          </w:tcPr>
          <w:p w14:paraId="74EFD9E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0,309</w:t>
            </w:r>
          </w:p>
        </w:tc>
        <w:tc>
          <w:tcPr>
            <w:tcW w:w="2978" w:type="dxa"/>
            <w:shd w:val="clear" w:color="auto" w:fill="auto"/>
          </w:tcPr>
          <w:p w14:paraId="3087D880"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66896EF4"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5DEC1CE8" w14:textId="77777777" w:rsidTr="002B5D5D">
        <w:tc>
          <w:tcPr>
            <w:tcW w:w="1821" w:type="dxa"/>
            <w:shd w:val="clear" w:color="auto" w:fill="auto"/>
          </w:tcPr>
          <w:p w14:paraId="5FA3958C"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Z17.4a</w:t>
            </w:r>
          </w:p>
        </w:tc>
        <w:tc>
          <w:tcPr>
            <w:tcW w:w="1133" w:type="dxa"/>
            <w:shd w:val="clear" w:color="auto" w:fill="auto"/>
          </w:tcPr>
          <w:p w14:paraId="21AD0642"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2,015</w:t>
            </w:r>
          </w:p>
        </w:tc>
        <w:tc>
          <w:tcPr>
            <w:tcW w:w="2978" w:type="dxa"/>
            <w:shd w:val="clear" w:color="auto" w:fill="auto"/>
          </w:tcPr>
          <w:p w14:paraId="05D5E91F" w14:textId="77777777" w:rsidR="00C510C2" w:rsidRPr="00F41174" w:rsidRDefault="00C510C2" w:rsidP="00C510C2">
            <w:pPr>
              <w:spacing w:before="40" w:after="40"/>
              <w:rPr>
                <w:rFonts w:eastAsia="Calibri"/>
                <w:sz w:val="20"/>
                <w:szCs w:val="20"/>
                <w:highlight w:val="green"/>
              </w:rPr>
            </w:pPr>
            <w:r w:rsidRPr="00F41174">
              <w:rPr>
                <w:rFonts w:eastAsia="Calibri"/>
                <w:b/>
                <w:sz w:val="20"/>
                <w:szCs w:val="20"/>
              </w:rPr>
              <w:t xml:space="preserve">v rozsahu </w:t>
            </w:r>
            <w:r w:rsidRPr="00F41174">
              <w:rPr>
                <w:b/>
                <w:sz w:val="20"/>
                <w:szCs w:val="20"/>
              </w:rPr>
              <w:t xml:space="preserve">1,823 </w:t>
            </w:r>
            <w:r w:rsidRPr="00F41174">
              <w:rPr>
                <w:rFonts w:eastAsia="Calibri"/>
                <w:b/>
                <w:sz w:val="20"/>
                <w:szCs w:val="20"/>
              </w:rPr>
              <w:t>ha převzato do ÚP</w:t>
            </w:r>
            <w:r w:rsidRPr="00F41174">
              <w:rPr>
                <w:rFonts w:eastAsia="Calibri"/>
                <w:sz w:val="20"/>
                <w:szCs w:val="20"/>
              </w:rPr>
              <w:t>, zbývající část vymezena jako stabilizovaná plocha</w:t>
            </w:r>
          </w:p>
        </w:tc>
        <w:tc>
          <w:tcPr>
            <w:tcW w:w="3118" w:type="dxa"/>
            <w:shd w:val="clear" w:color="auto" w:fill="auto"/>
          </w:tcPr>
          <w:p w14:paraId="7A5D0740" w14:textId="77777777" w:rsidR="00C510C2" w:rsidRPr="00F41174" w:rsidRDefault="00C510C2" w:rsidP="00C510C2">
            <w:pPr>
              <w:pStyle w:val="1text"/>
              <w:spacing w:before="40" w:after="40"/>
              <w:jc w:val="left"/>
              <w:rPr>
                <w:sz w:val="20"/>
                <w:szCs w:val="20"/>
                <w:highlight w:val="green"/>
              </w:rPr>
            </w:pPr>
            <w:r w:rsidRPr="00F41174">
              <w:rPr>
                <w:b/>
                <w:sz w:val="20"/>
                <w:szCs w:val="20"/>
              </w:rPr>
              <w:t>plocha P25</w:t>
            </w:r>
            <w:r w:rsidRPr="00F41174">
              <w:rPr>
                <w:sz w:val="20"/>
                <w:szCs w:val="20"/>
              </w:rPr>
              <w:t>, zčásti zastavěno</w:t>
            </w:r>
          </w:p>
        </w:tc>
      </w:tr>
      <w:tr w:rsidR="00C510C2" w:rsidRPr="00F41174" w14:paraId="322EA1C4" w14:textId="77777777" w:rsidTr="002B5D5D">
        <w:tc>
          <w:tcPr>
            <w:tcW w:w="1821" w:type="dxa"/>
            <w:shd w:val="clear" w:color="auto" w:fill="auto"/>
            <w:vAlign w:val="bottom"/>
          </w:tcPr>
          <w:p w14:paraId="461DD775"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Z17.4b</w:t>
            </w:r>
          </w:p>
        </w:tc>
        <w:tc>
          <w:tcPr>
            <w:tcW w:w="1133" w:type="dxa"/>
            <w:shd w:val="clear" w:color="auto" w:fill="auto"/>
            <w:vAlign w:val="bottom"/>
          </w:tcPr>
          <w:p w14:paraId="01DF81EB"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0,307</w:t>
            </w:r>
          </w:p>
        </w:tc>
        <w:tc>
          <w:tcPr>
            <w:tcW w:w="2978" w:type="dxa"/>
            <w:shd w:val="clear" w:color="auto" w:fill="auto"/>
          </w:tcPr>
          <w:p w14:paraId="7687C2C0"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1472A4D"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3034F718" w14:textId="77777777" w:rsidTr="002B5D5D">
        <w:tc>
          <w:tcPr>
            <w:tcW w:w="9050" w:type="dxa"/>
            <w:gridSpan w:val="4"/>
            <w:shd w:val="clear" w:color="auto" w:fill="auto"/>
            <w:vAlign w:val="bottom"/>
          </w:tcPr>
          <w:p w14:paraId="4200B538" w14:textId="77777777" w:rsidR="00C510C2" w:rsidRPr="00F41174" w:rsidRDefault="00C510C2" w:rsidP="00C510C2">
            <w:pPr>
              <w:pStyle w:val="1text"/>
              <w:spacing w:before="40" w:after="40"/>
              <w:jc w:val="left"/>
              <w:rPr>
                <w:sz w:val="20"/>
                <w:szCs w:val="20"/>
              </w:rPr>
            </w:pPr>
            <w:r w:rsidRPr="00F41174">
              <w:rPr>
                <w:sz w:val="20"/>
                <w:szCs w:val="20"/>
              </w:rPr>
              <w:t>Plochy rekreace</w:t>
            </w:r>
          </w:p>
        </w:tc>
      </w:tr>
      <w:tr w:rsidR="00C510C2" w:rsidRPr="00F41174" w14:paraId="2DE6E783" w14:textId="77777777" w:rsidTr="002B5D5D">
        <w:tc>
          <w:tcPr>
            <w:tcW w:w="1821" w:type="dxa"/>
            <w:shd w:val="clear" w:color="auto" w:fill="auto"/>
          </w:tcPr>
          <w:p w14:paraId="7AF80DB6"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44</w:t>
            </w:r>
          </w:p>
        </w:tc>
        <w:tc>
          <w:tcPr>
            <w:tcW w:w="1133" w:type="dxa"/>
            <w:shd w:val="clear" w:color="auto" w:fill="auto"/>
          </w:tcPr>
          <w:p w14:paraId="1932EF96"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0,906</w:t>
            </w:r>
          </w:p>
        </w:tc>
        <w:tc>
          <w:tcPr>
            <w:tcW w:w="2978" w:type="dxa"/>
            <w:shd w:val="clear" w:color="auto" w:fill="auto"/>
          </w:tcPr>
          <w:p w14:paraId="521E19B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zčásti vymezeno jako stabilizovaná plocha, zčásti záměr vypuštěn</w:t>
            </w:r>
          </w:p>
        </w:tc>
        <w:tc>
          <w:tcPr>
            <w:tcW w:w="3118" w:type="dxa"/>
            <w:shd w:val="clear" w:color="auto" w:fill="auto"/>
          </w:tcPr>
          <w:p w14:paraId="67CC9116" w14:textId="77777777" w:rsidR="00C510C2" w:rsidRPr="00F41174" w:rsidRDefault="00C510C2" w:rsidP="00C510C2">
            <w:pPr>
              <w:pStyle w:val="1text"/>
              <w:spacing w:before="40" w:after="40"/>
              <w:jc w:val="left"/>
              <w:rPr>
                <w:sz w:val="20"/>
                <w:szCs w:val="20"/>
                <w:highlight w:val="green"/>
              </w:rPr>
            </w:pPr>
            <w:r w:rsidRPr="00F41174">
              <w:rPr>
                <w:sz w:val="20"/>
                <w:szCs w:val="20"/>
              </w:rPr>
              <w:t>zčásti realizováno</w:t>
            </w:r>
          </w:p>
        </w:tc>
      </w:tr>
      <w:tr w:rsidR="00C510C2" w:rsidRPr="00F41174" w14:paraId="4EE7B260" w14:textId="77777777" w:rsidTr="002B5D5D">
        <w:tc>
          <w:tcPr>
            <w:tcW w:w="1821" w:type="dxa"/>
            <w:shd w:val="clear" w:color="auto" w:fill="auto"/>
          </w:tcPr>
          <w:p w14:paraId="0E4C635C"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45</w:t>
            </w:r>
          </w:p>
        </w:tc>
        <w:tc>
          <w:tcPr>
            <w:tcW w:w="1133" w:type="dxa"/>
            <w:shd w:val="clear" w:color="auto" w:fill="auto"/>
          </w:tcPr>
          <w:p w14:paraId="238C80F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0,828</w:t>
            </w:r>
          </w:p>
        </w:tc>
        <w:tc>
          <w:tcPr>
            <w:tcW w:w="2978" w:type="dxa"/>
            <w:shd w:val="clear" w:color="auto" w:fill="auto"/>
          </w:tcPr>
          <w:p w14:paraId="603B39B9"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B22536F"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7F43E8E4" w14:textId="77777777" w:rsidTr="002B5D5D">
        <w:tc>
          <w:tcPr>
            <w:tcW w:w="1821" w:type="dxa"/>
            <w:shd w:val="clear" w:color="auto" w:fill="auto"/>
          </w:tcPr>
          <w:p w14:paraId="29B2D9A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120</w:t>
            </w:r>
          </w:p>
        </w:tc>
        <w:tc>
          <w:tcPr>
            <w:tcW w:w="1133" w:type="dxa"/>
            <w:shd w:val="clear" w:color="auto" w:fill="auto"/>
          </w:tcPr>
          <w:p w14:paraId="4D55A2A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1,115</w:t>
            </w:r>
          </w:p>
        </w:tc>
        <w:tc>
          <w:tcPr>
            <w:tcW w:w="2978" w:type="dxa"/>
            <w:shd w:val="clear" w:color="auto" w:fill="auto"/>
          </w:tcPr>
          <w:p w14:paraId="694DD494"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69E131E4" w14:textId="77777777" w:rsidR="00C510C2" w:rsidRPr="00F41174" w:rsidRDefault="00C510C2" w:rsidP="00C510C2">
            <w:pPr>
              <w:pStyle w:val="1text"/>
              <w:spacing w:before="40" w:after="40"/>
              <w:jc w:val="left"/>
              <w:rPr>
                <w:sz w:val="20"/>
                <w:szCs w:val="20"/>
                <w:highlight w:val="green"/>
              </w:rPr>
            </w:pPr>
          </w:p>
        </w:tc>
      </w:tr>
      <w:tr w:rsidR="00C510C2" w:rsidRPr="00F41174" w14:paraId="04741334" w14:textId="77777777" w:rsidTr="002B5D5D">
        <w:tc>
          <w:tcPr>
            <w:tcW w:w="1821" w:type="dxa"/>
            <w:shd w:val="clear" w:color="auto" w:fill="auto"/>
          </w:tcPr>
          <w:p w14:paraId="6B4A76B3"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Z12.29</w:t>
            </w:r>
          </w:p>
        </w:tc>
        <w:tc>
          <w:tcPr>
            <w:tcW w:w="1133" w:type="dxa"/>
            <w:shd w:val="clear" w:color="auto" w:fill="auto"/>
          </w:tcPr>
          <w:p w14:paraId="22B8A53E"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0,896</w:t>
            </w:r>
          </w:p>
        </w:tc>
        <w:tc>
          <w:tcPr>
            <w:tcW w:w="2978" w:type="dxa"/>
            <w:shd w:val="clear" w:color="auto" w:fill="auto"/>
          </w:tcPr>
          <w:p w14:paraId="20A80AE0" w14:textId="77777777" w:rsidR="00C510C2" w:rsidRPr="00F41174" w:rsidRDefault="00C510C2" w:rsidP="00C510C2">
            <w:pPr>
              <w:spacing w:before="40" w:after="40"/>
              <w:rPr>
                <w:rFonts w:eastAsia="Calibri"/>
                <w:sz w:val="20"/>
                <w:szCs w:val="20"/>
              </w:rPr>
            </w:pPr>
            <w:r w:rsidRPr="00F41174">
              <w:rPr>
                <w:rFonts w:eastAsia="Calibri"/>
                <w:b/>
                <w:sz w:val="20"/>
                <w:szCs w:val="20"/>
              </w:rPr>
              <w:t>v rozsahu 0,843 ha převzato do ÚP</w:t>
            </w:r>
            <w:r w:rsidRPr="00F41174">
              <w:rPr>
                <w:rFonts w:eastAsia="Calibri"/>
                <w:sz w:val="20"/>
                <w:szCs w:val="20"/>
              </w:rPr>
              <w:t xml:space="preserve"> s jiným využitím, zbývající část vymezena jako stabilizovaná plocha</w:t>
            </w:r>
          </w:p>
        </w:tc>
        <w:tc>
          <w:tcPr>
            <w:tcW w:w="3118" w:type="dxa"/>
            <w:shd w:val="clear" w:color="auto" w:fill="auto"/>
          </w:tcPr>
          <w:p w14:paraId="69B5F48F" w14:textId="77777777" w:rsidR="00C510C2" w:rsidRPr="00F41174" w:rsidRDefault="00C510C2" w:rsidP="00C510C2">
            <w:pPr>
              <w:pStyle w:val="1text"/>
              <w:spacing w:before="40" w:after="40"/>
              <w:jc w:val="left"/>
              <w:rPr>
                <w:sz w:val="20"/>
                <w:szCs w:val="20"/>
              </w:rPr>
            </w:pPr>
            <w:r w:rsidRPr="00F41174">
              <w:rPr>
                <w:b/>
                <w:sz w:val="20"/>
                <w:szCs w:val="20"/>
              </w:rPr>
              <w:t>plocha P19</w:t>
            </w:r>
            <w:r w:rsidRPr="00F41174">
              <w:rPr>
                <w:sz w:val="20"/>
                <w:szCs w:val="20"/>
              </w:rPr>
              <w:t>, zčásti realizováno</w:t>
            </w:r>
          </w:p>
        </w:tc>
      </w:tr>
      <w:tr w:rsidR="00C510C2" w:rsidRPr="00F41174" w14:paraId="5C5062F6" w14:textId="77777777" w:rsidTr="002B5D5D">
        <w:tc>
          <w:tcPr>
            <w:tcW w:w="9050" w:type="dxa"/>
            <w:gridSpan w:val="4"/>
            <w:shd w:val="clear" w:color="auto" w:fill="auto"/>
            <w:vAlign w:val="bottom"/>
          </w:tcPr>
          <w:p w14:paraId="74117207" w14:textId="77777777" w:rsidR="00C510C2" w:rsidRPr="00F41174" w:rsidRDefault="00C510C2" w:rsidP="00C510C2">
            <w:pPr>
              <w:pStyle w:val="1text"/>
              <w:spacing w:before="40" w:after="40"/>
              <w:jc w:val="left"/>
              <w:rPr>
                <w:sz w:val="20"/>
                <w:szCs w:val="20"/>
              </w:rPr>
            </w:pPr>
            <w:r w:rsidRPr="00F41174">
              <w:rPr>
                <w:sz w:val="20"/>
                <w:szCs w:val="20"/>
              </w:rPr>
              <w:t>Plochy občanského vybavení</w:t>
            </w:r>
          </w:p>
        </w:tc>
      </w:tr>
      <w:tr w:rsidR="00C510C2" w:rsidRPr="00F41174" w14:paraId="7D0BFFE5" w14:textId="77777777" w:rsidTr="002B5D5D">
        <w:tc>
          <w:tcPr>
            <w:tcW w:w="1821" w:type="dxa"/>
            <w:shd w:val="clear" w:color="auto" w:fill="auto"/>
          </w:tcPr>
          <w:p w14:paraId="12F1714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w:t>
            </w:r>
          </w:p>
        </w:tc>
        <w:tc>
          <w:tcPr>
            <w:tcW w:w="1133" w:type="dxa"/>
            <w:shd w:val="clear" w:color="auto" w:fill="auto"/>
          </w:tcPr>
          <w:p w14:paraId="5393789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0,003</w:t>
            </w:r>
          </w:p>
        </w:tc>
        <w:tc>
          <w:tcPr>
            <w:tcW w:w="2978" w:type="dxa"/>
            <w:shd w:val="clear" w:color="auto" w:fill="auto"/>
          </w:tcPr>
          <w:p w14:paraId="5B8579B1"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2A9A506C" w14:textId="77777777" w:rsidR="00C510C2" w:rsidRPr="00F41174" w:rsidRDefault="00C510C2" w:rsidP="00C510C2">
            <w:pPr>
              <w:pStyle w:val="1text"/>
              <w:spacing w:before="40" w:after="40"/>
              <w:jc w:val="left"/>
              <w:rPr>
                <w:sz w:val="20"/>
                <w:szCs w:val="20"/>
                <w:highlight w:val="green"/>
              </w:rPr>
            </w:pPr>
          </w:p>
        </w:tc>
      </w:tr>
      <w:tr w:rsidR="00C510C2" w:rsidRPr="00F41174" w14:paraId="6243EF82" w14:textId="77777777" w:rsidTr="002B5D5D">
        <w:tc>
          <w:tcPr>
            <w:tcW w:w="1821" w:type="dxa"/>
            <w:shd w:val="clear" w:color="auto" w:fill="auto"/>
          </w:tcPr>
          <w:p w14:paraId="5064EB07"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101</w:t>
            </w:r>
          </w:p>
        </w:tc>
        <w:tc>
          <w:tcPr>
            <w:tcW w:w="1133" w:type="dxa"/>
            <w:shd w:val="clear" w:color="auto" w:fill="auto"/>
          </w:tcPr>
          <w:p w14:paraId="4A9948AE"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1,428</w:t>
            </w:r>
          </w:p>
        </w:tc>
        <w:tc>
          <w:tcPr>
            <w:tcW w:w="2978" w:type="dxa"/>
            <w:shd w:val="clear" w:color="auto" w:fill="auto"/>
          </w:tcPr>
          <w:p w14:paraId="75860C95" w14:textId="77777777" w:rsidR="00C510C2" w:rsidRPr="00F41174" w:rsidRDefault="00C510C2" w:rsidP="00C510C2">
            <w:pPr>
              <w:spacing w:before="40" w:after="40"/>
              <w:rPr>
                <w:rFonts w:eastAsia="Calibri"/>
                <w:sz w:val="20"/>
                <w:szCs w:val="20"/>
                <w:highlight w:val="green"/>
              </w:rPr>
            </w:pPr>
            <w:r w:rsidRPr="00F41174">
              <w:rPr>
                <w:rFonts w:eastAsia="Calibri"/>
                <w:b/>
                <w:sz w:val="20"/>
                <w:szCs w:val="20"/>
              </w:rPr>
              <w:t xml:space="preserve">v rozsahu </w:t>
            </w:r>
            <w:r w:rsidRPr="00F41174">
              <w:rPr>
                <w:b/>
                <w:sz w:val="20"/>
                <w:szCs w:val="20"/>
              </w:rPr>
              <w:t>0,924</w:t>
            </w:r>
            <w:r w:rsidRPr="00F41174">
              <w:rPr>
                <w:sz w:val="20"/>
                <w:szCs w:val="20"/>
              </w:rPr>
              <w:t xml:space="preserve"> </w:t>
            </w:r>
            <w:r w:rsidRPr="00F41174">
              <w:rPr>
                <w:rFonts w:eastAsia="Calibri"/>
                <w:b/>
                <w:sz w:val="20"/>
                <w:szCs w:val="20"/>
              </w:rPr>
              <w:t>ha převzato do ÚP</w:t>
            </w:r>
            <w:r w:rsidRPr="00F41174">
              <w:rPr>
                <w:rFonts w:eastAsia="Calibri"/>
                <w:sz w:val="20"/>
                <w:szCs w:val="20"/>
              </w:rPr>
              <w:t xml:space="preserve">, </w:t>
            </w:r>
            <w:r w:rsidRPr="00F41174">
              <w:rPr>
                <w:rFonts w:eastAsia="Calibri"/>
                <w:sz w:val="20"/>
                <w:szCs w:val="20"/>
              </w:rPr>
              <w:lastRenderedPageBreak/>
              <w:t>zbývající část vypuštěna</w:t>
            </w:r>
          </w:p>
        </w:tc>
        <w:tc>
          <w:tcPr>
            <w:tcW w:w="3118" w:type="dxa"/>
            <w:shd w:val="clear" w:color="auto" w:fill="auto"/>
          </w:tcPr>
          <w:p w14:paraId="329D9402" w14:textId="77777777" w:rsidR="00C510C2" w:rsidRPr="00F41174" w:rsidRDefault="00C510C2" w:rsidP="00C510C2">
            <w:pPr>
              <w:pStyle w:val="1text"/>
              <w:spacing w:before="40" w:after="40"/>
              <w:jc w:val="left"/>
              <w:rPr>
                <w:b/>
                <w:sz w:val="20"/>
                <w:szCs w:val="20"/>
                <w:highlight w:val="green"/>
              </w:rPr>
            </w:pPr>
            <w:r w:rsidRPr="00F41174">
              <w:rPr>
                <w:b/>
                <w:sz w:val="20"/>
                <w:szCs w:val="20"/>
              </w:rPr>
              <w:lastRenderedPageBreak/>
              <w:t>plocha P08</w:t>
            </w:r>
          </w:p>
        </w:tc>
      </w:tr>
      <w:tr w:rsidR="00C510C2" w:rsidRPr="00F41174" w14:paraId="2069D912" w14:textId="77777777" w:rsidTr="002B5D5D">
        <w:tc>
          <w:tcPr>
            <w:tcW w:w="1821" w:type="dxa"/>
            <w:shd w:val="clear" w:color="auto" w:fill="auto"/>
          </w:tcPr>
          <w:p w14:paraId="634845C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lastRenderedPageBreak/>
              <w:t>111</w:t>
            </w:r>
          </w:p>
        </w:tc>
        <w:tc>
          <w:tcPr>
            <w:tcW w:w="1133" w:type="dxa"/>
            <w:shd w:val="clear" w:color="auto" w:fill="auto"/>
          </w:tcPr>
          <w:p w14:paraId="66AB128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1,687</w:t>
            </w:r>
          </w:p>
        </w:tc>
        <w:tc>
          <w:tcPr>
            <w:tcW w:w="2978" w:type="dxa"/>
            <w:shd w:val="clear" w:color="auto" w:fill="auto"/>
          </w:tcPr>
          <w:p w14:paraId="4BF1C5D0"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153EAC6F" w14:textId="77777777" w:rsidR="00C510C2" w:rsidRPr="00F41174" w:rsidRDefault="00C510C2" w:rsidP="00C510C2">
            <w:pPr>
              <w:pStyle w:val="1text"/>
              <w:spacing w:before="40" w:after="40"/>
              <w:jc w:val="left"/>
              <w:rPr>
                <w:sz w:val="20"/>
                <w:szCs w:val="20"/>
                <w:highlight w:val="green"/>
              </w:rPr>
            </w:pPr>
          </w:p>
        </w:tc>
      </w:tr>
      <w:tr w:rsidR="00C510C2" w:rsidRPr="00F41174" w14:paraId="2A7B15B7" w14:textId="77777777" w:rsidTr="002B5D5D">
        <w:tc>
          <w:tcPr>
            <w:tcW w:w="1821" w:type="dxa"/>
            <w:shd w:val="clear" w:color="auto" w:fill="auto"/>
          </w:tcPr>
          <w:p w14:paraId="17B94A9A"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121</w:t>
            </w:r>
          </w:p>
        </w:tc>
        <w:tc>
          <w:tcPr>
            <w:tcW w:w="1133" w:type="dxa"/>
            <w:shd w:val="clear" w:color="auto" w:fill="auto"/>
          </w:tcPr>
          <w:p w14:paraId="3A6FBF3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0,337</w:t>
            </w:r>
          </w:p>
        </w:tc>
        <w:tc>
          <w:tcPr>
            <w:tcW w:w="2978" w:type="dxa"/>
            <w:shd w:val="clear" w:color="auto" w:fill="auto"/>
          </w:tcPr>
          <w:p w14:paraId="6C07E045"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0533ACDC" w14:textId="77777777" w:rsidR="00C510C2" w:rsidRPr="00F41174" w:rsidRDefault="00C510C2" w:rsidP="00C510C2">
            <w:pPr>
              <w:pStyle w:val="1text"/>
              <w:spacing w:before="40" w:after="40"/>
              <w:jc w:val="left"/>
              <w:rPr>
                <w:sz w:val="20"/>
                <w:szCs w:val="20"/>
                <w:highlight w:val="green"/>
              </w:rPr>
            </w:pPr>
          </w:p>
        </w:tc>
      </w:tr>
      <w:tr w:rsidR="00C510C2" w:rsidRPr="00F41174" w14:paraId="115CA884" w14:textId="77777777" w:rsidTr="002B5D5D">
        <w:tc>
          <w:tcPr>
            <w:tcW w:w="1821" w:type="dxa"/>
            <w:shd w:val="clear" w:color="auto" w:fill="auto"/>
          </w:tcPr>
          <w:p w14:paraId="4EFCE43F"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Z12.32</w:t>
            </w:r>
          </w:p>
        </w:tc>
        <w:tc>
          <w:tcPr>
            <w:tcW w:w="1133" w:type="dxa"/>
            <w:shd w:val="clear" w:color="auto" w:fill="auto"/>
          </w:tcPr>
          <w:p w14:paraId="56CD2BC3"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0,192</w:t>
            </w:r>
          </w:p>
        </w:tc>
        <w:tc>
          <w:tcPr>
            <w:tcW w:w="2978" w:type="dxa"/>
            <w:shd w:val="clear" w:color="auto" w:fill="auto"/>
          </w:tcPr>
          <w:p w14:paraId="1814C0BE"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6F32F7E3"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P11</w:t>
            </w:r>
          </w:p>
        </w:tc>
      </w:tr>
      <w:tr w:rsidR="00C510C2" w:rsidRPr="00F41174" w14:paraId="6807E6F6" w14:textId="77777777" w:rsidTr="002B5D5D">
        <w:tc>
          <w:tcPr>
            <w:tcW w:w="1821" w:type="dxa"/>
            <w:shd w:val="clear" w:color="auto" w:fill="auto"/>
          </w:tcPr>
          <w:p w14:paraId="2AB99CE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Z15.8</w:t>
            </w:r>
          </w:p>
        </w:tc>
        <w:tc>
          <w:tcPr>
            <w:tcW w:w="1133" w:type="dxa"/>
            <w:shd w:val="clear" w:color="auto" w:fill="auto"/>
          </w:tcPr>
          <w:p w14:paraId="2DC538A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0,147</w:t>
            </w:r>
          </w:p>
        </w:tc>
        <w:tc>
          <w:tcPr>
            <w:tcW w:w="2978" w:type="dxa"/>
            <w:shd w:val="clear" w:color="auto" w:fill="auto"/>
          </w:tcPr>
          <w:p w14:paraId="021B971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77F41B0"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 zčásti realizováno</w:t>
            </w:r>
          </w:p>
        </w:tc>
      </w:tr>
      <w:tr w:rsidR="00C510C2" w:rsidRPr="00F41174" w14:paraId="79C7892D" w14:textId="77777777" w:rsidTr="002B5D5D">
        <w:tc>
          <w:tcPr>
            <w:tcW w:w="1821" w:type="dxa"/>
            <w:shd w:val="clear" w:color="auto" w:fill="auto"/>
          </w:tcPr>
          <w:p w14:paraId="12345D09"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Z18.2</w:t>
            </w:r>
          </w:p>
        </w:tc>
        <w:tc>
          <w:tcPr>
            <w:tcW w:w="1133" w:type="dxa"/>
            <w:shd w:val="clear" w:color="auto" w:fill="auto"/>
          </w:tcPr>
          <w:p w14:paraId="7DE1EACC"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0,112</w:t>
            </w:r>
          </w:p>
        </w:tc>
        <w:tc>
          <w:tcPr>
            <w:tcW w:w="2978" w:type="dxa"/>
            <w:shd w:val="clear" w:color="auto" w:fill="auto"/>
          </w:tcPr>
          <w:p w14:paraId="5EF98DB7"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26BE9E31"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P14</w:t>
            </w:r>
          </w:p>
        </w:tc>
      </w:tr>
      <w:tr w:rsidR="00C510C2" w:rsidRPr="00F41174" w14:paraId="02C4DBD2" w14:textId="77777777" w:rsidTr="002B5D5D">
        <w:tc>
          <w:tcPr>
            <w:tcW w:w="9050" w:type="dxa"/>
            <w:gridSpan w:val="4"/>
            <w:shd w:val="clear" w:color="auto" w:fill="auto"/>
          </w:tcPr>
          <w:p w14:paraId="76E67935" w14:textId="77777777" w:rsidR="00C510C2" w:rsidRPr="00F41174" w:rsidRDefault="00C510C2" w:rsidP="00C510C2">
            <w:pPr>
              <w:pStyle w:val="1text"/>
              <w:spacing w:before="40" w:after="40"/>
              <w:jc w:val="left"/>
              <w:rPr>
                <w:sz w:val="20"/>
                <w:szCs w:val="20"/>
              </w:rPr>
            </w:pPr>
            <w:r w:rsidRPr="00F41174">
              <w:rPr>
                <w:sz w:val="20"/>
                <w:szCs w:val="20"/>
              </w:rPr>
              <w:t>Plochy výroby</w:t>
            </w:r>
          </w:p>
        </w:tc>
      </w:tr>
      <w:tr w:rsidR="00C510C2" w:rsidRPr="00F41174" w14:paraId="7BC7B226" w14:textId="77777777" w:rsidTr="002B5D5D">
        <w:tc>
          <w:tcPr>
            <w:tcW w:w="1821" w:type="dxa"/>
            <w:shd w:val="clear" w:color="auto" w:fill="auto"/>
          </w:tcPr>
          <w:p w14:paraId="5531BA9D"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21</w:t>
            </w:r>
          </w:p>
        </w:tc>
        <w:tc>
          <w:tcPr>
            <w:tcW w:w="1133" w:type="dxa"/>
            <w:shd w:val="clear" w:color="auto" w:fill="auto"/>
          </w:tcPr>
          <w:p w14:paraId="6FD10322"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4,213</w:t>
            </w:r>
          </w:p>
        </w:tc>
        <w:tc>
          <w:tcPr>
            <w:tcW w:w="2978" w:type="dxa"/>
            <w:shd w:val="clear" w:color="auto" w:fill="auto"/>
          </w:tcPr>
          <w:p w14:paraId="407227FD"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7674D977" w14:textId="77777777" w:rsidR="00C510C2" w:rsidRPr="00F41174" w:rsidRDefault="00C510C2" w:rsidP="00C510C2">
            <w:pPr>
              <w:pStyle w:val="1text"/>
              <w:spacing w:before="40" w:after="40"/>
              <w:jc w:val="left"/>
              <w:rPr>
                <w:b/>
                <w:sz w:val="20"/>
                <w:szCs w:val="20"/>
                <w:highlight w:val="green"/>
              </w:rPr>
            </w:pPr>
            <w:r w:rsidRPr="00F41174">
              <w:rPr>
                <w:b/>
                <w:sz w:val="20"/>
                <w:szCs w:val="20"/>
              </w:rPr>
              <w:t>plochy Z48, Z49, Z50</w:t>
            </w:r>
          </w:p>
        </w:tc>
      </w:tr>
      <w:tr w:rsidR="00C510C2" w:rsidRPr="00F41174" w14:paraId="4E832C12" w14:textId="77777777" w:rsidTr="002B5D5D">
        <w:tc>
          <w:tcPr>
            <w:tcW w:w="1821" w:type="dxa"/>
            <w:shd w:val="clear" w:color="auto" w:fill="auto"/>
          </w:tcPr>
          <w:p w14:paraId="370A48D4"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22</w:t>
            </w:r>
          </w:p>
        </w:tc>
        <w:tc>
          <w:tcPr>
            <w:tcW w:w="1133" w:type="dxa"/>
            <w:shd w:val="clear" w:color="auto" w:fill="auto"/>
          </w:tcPr>
          <w:p w14:paraId="2098AB9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0,958</w:t>
            </w:r>
          </w:p>
        </w:tc>
        <w:tc>
          <w:tcPr>
            <w:tcW w:w="2978" w:type="dxa"/>
            <w:shd w:val="clear" w:color="auto" w:fill="auto"/>
          </w:tcPr>
          <w:p w14:paraId="1BFB404F"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10DECDA0"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P09</w:t>
            </w:r>
          </w:p>
        </w:tc>
      </w:tr>
      <w:tr w:rsidR="00C510C2" w:rsidRPr="00F41174" w14:paraId="58F4DDBE" w14:textId="77777777" w:rsidTr="002B5D5D">
        <w:tc>
          <w:tcPr>
            <w:tcW w:w="1821" w:type="dxa"/>
            <w:shd w:val="clear" w:color="auto" w:fill="auto"/>
          </w:tcPr>
          <w:p w14:paraId="193E8A2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23</w:t>
            </w:r>
          </w:p>
        </w:tc>
        <w:tc>
          <w:tcPr>
            <w:tcW w:w="1133" w:type="dxa"/>
            <w:shd w:val="clear" w:color="auto" w:fill="auto"/>
          </w:tcPr>
          <w:p w14:paraId="0F47BFC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2,618</w:t>
            </w:r>
          </w:p>
        </w:tc>
        <w:tc>
          <w:tcPr>
            <w:tcW w:w="2978" w:type="dxa"/>
            <w:shd w:val="clear" w:color="auto" w:fill="auto"/>
          </w:tcPr>
          <w:p w14:paraId="4E962B69"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20C325C"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43C786D1" w14:textId="77777777" w:rsidTr="002B5D5D">
        <w:tc>
          <w:tcPr>
            <w:tcW w:w="1821" w:type="dxa"/>
            <w:shd w:val="clear" w:color="auto" w:fill="auto"/>
          </w:tcPr>
          <w:p w14:paraId="44EBB8A3"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109</w:t>
            </w:r>
          </w:p>
        </w:tc>
        <w:tc>
          <w:tcPr>
            <w:tcW w:w="1133" w:type="dxa"/>
            <w:shd w:val="clear" w:color="auto" w:fill="auto"/>
          </w:tcPr>
          <w:p w14:paraId="22170D4C"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0,132</w:t>
            </w:r>
          </w:p>
        </w:tc>
        <w:tc>
          <w:tcPr>
            <w:tcW w:w="2978" w:type="dxa"/>
            <w:shd w:val="clear" w:color="auto" w:fill="auto"/>
          </w:tcPr>
          <w:p w14:paraId="6965EC68"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062B3CC8" w14:textId="77777777" w:rsidR="00C510C2" w:rsidRPr="00F41174" w:rsidRDefault="00C510C2" w:rsidP="00C510C2">
            <w:pPr>
              <w:pStyle w:val="1text"/>
              <w:spacing w:before="40" w:after="40"/>
              <w:jc w:val="left"/>
              <w:rPr>
                <w:sz w:val="20"/>
                <w:szCs w:val="20"/>
                <w:highlight w:val="green"/>
              </w:rPr>
            </w:pPr>
          </w:p>
        </w:tc>
      </w:tr>
      <w:tr w:rsidR="00C510C2" w:rsidRPr="00F41174" w14:paraId="50A65E25" w14:textId="77777777" w:rsidTr="002B5D5D">
        <w:tc>
          <w:tcPr>
            <w:tcW w:w="1821" w:type="dxa"/>
            <w:shd w:val="clear" w:color="auto" w:fill="auto"/>
          </w:tcPr>
          <w:p w14:paraId="588BE8AD"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112</w:t>
            </w:r>
          </w:p>
        </w:tc>
        <w:tc>
          <w:tcPr>
            <w:tcW w:w="1133" w:type="dxa"/>
            <w:shd w:val="clear" w:color="auto" w:fill="auto"/>
          </w:tcPr>
          <w:p w14:paraId="0A6A0C2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16,662</w:t>
            </w:r>
          </w:p>
        </w:tc>
        <w:tc>
          <w:tcPr>
            <w:tcW w:w="2978" w:type="dxa"/>
            <w:shd w:val="clear" w:color="auto" w:fill="auto"/>
          </w:tcPr>
          <w:p w14:paraId="21608C02" w14:textId="77777777" w:rsidR="00C510C2" w:rsidRPr="00F41174" w:rsidRDefault="00C510C2" w:rsidP="00C510C2">
            <w:pPr>
              <w:spacing w:before="40" w:after="40"/>
              <w:rPr>
                <w:rFonts w:eastAsia="Calibri"/>
                <w:sz w:val="20"/>
                <w:szCs w:val="20"/>
                <w:highlight w:val="green"/>
              </w:rPr>
            </w:pPr>
            <w:r w:rsidRPr="00F41174">
              <w:rPr>
                <w:rFonts w:eastAsia="Calibri"/>
                <w:b/>
                <w:sz w:val="20"/>
                <w:szCs w:val="20"/>
              </w:rPr>
              <w:t>v rozsahu 1,187 ha převzato do ÚP</w:t>
            </w:r>
            <w:r w:rsidRPr="00F41174">
              <w:rPr>
                <w:rFonts w:eastAsia="Calibri"/>
                <w:sz w:val="20"/>
                <w:szCs w:val="20"/>
              </w:rPr>
              <w:t>, zbývající část vymezena jako stabilizovaná plocha</w:t>
            </w:r>
          </w:p>
        </w:tc>
        <w:tc>
          <w:tcPr>
            <w:tcW w:w="3118" w:type="dxa"/>
            <w:shd w:val="clear" w:color="auto" w:fill="auto"/>
          </w:tcPr>
          <w:p w14:paraId="0FE7F4C8" w14:textId="77777777" w:rsidR="00C510C2" w:rsidRPr="00F41174" w:rsidRDefault="00C510C2" w:rsidP="00C510C2">
            <w:pPr>
              <w:pStyle w:val="1text"/>
              <w:spacing w:before="40" w:after="40"/>
              <w:jc w:val="left"/>
              <w:rPr>
                <w:sz w:val="20"/>
                <w:szCs w:val="20"/>
                <w:highlight w:val="green"/>
              </w:rPr>
            </w:pPr>
            <w:r w:rsidRPr="00F41174">
              <w:rPr>
                <w:b/>
                <w:sz w:val="20"/>
                <w:szCs w:val="20"/>
              </w:rPr>
              <w:t>plocha Z36</w:t>
            </w:r>
            <w:r w:rsidRPr="00F41174">
              <w:rPr>
                <w:sz w:val="20"/>
                <w:szCs w:val="20"/>
              </w:rPr>
              <w:t>, zčásti zastavěno</w:t>
            </w:r>
          </w:p>
        </w:tc>
      </w:tr>
      <w:tr w:rsidR="00C510C2" w:rsidRPr="00F41174" w14:paraId="25FEDBDC" w14:textId="77777777" w:rsidTr="002B5D5D">
        <w:tc>
          <w:tcPr>
            <w:tcW w:w="1821" w:type="dxa"/>
            <w:shd w:val="clear" w:color="auto" w:fill="auto"/>
            <w:vAlign w:val="bottom"/>
          </w:tcPr>
          <w:p w14:paraId="197681D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Z4</w:t>
            </w:r>
          </w:p>
        </w:tc>
        <w:tc>
          <w:tcPr>
            <w:tcW w:w="1133" w:type="dxa"/>
            <w:shd w:val="clear" w:color="auto" w:fill="auto"/>
            <w:vAlign w:val="bottom"/>
          </w:tcPr>
          <w:p w14:paraId="725FEB1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0,262</w:t>
            </w:r>
          </w:p>
        </w:tc>
        <w:tc>
          <w:tcPr>
            <w:tcW w:w="2978" w:type="dxa"/>
            <w:shd w:val="clear" w:color="auto" w:fill="auto"/>
          </w:tcPr>
          <w:p w14:paraId="64CBF22E"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7F16BA87"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5BF2E1D2" w14:textId="77777777" w:rsidTr="002B5D5D">
        <w:tc>
          <w:tcPr>
            <w:tcW w:w="1821" w:type="dxa"/>
            <w:shd w:val="clear" w:color="auto" w:fill="auto"/>
            <w:vAlign w:val="bottom"/>
          </w:tcPr>
          <w:p w14:paraId="3D45427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Z12.38</w:t>
            </w:r>
          </w:p>
        </w:tc>
        <w:tc>
          <w:tcPr>
            <w:tcW w:w="1133" w:type="dxa"/>
            <w:shd w:val="clear" w:color="auto" w:fill="auto"/>
            <w:vAlign w:val="bottom"/>
          </w:tcPr>
          <w:p w14:paraId="25149EC3"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0,046</w:t>
            </w:r>
          </w:p>
        </w:tc>
        <w:tc>
          <w:tcPr>
            <w:tcW w:w="2978" w:type="dxa"/>
            <w:shd w:val="clear" w:color="auto" w:fill="auto"/>
          </w:tcPr>
          <w:p w14:paraId="231B6127" w14:textId="77777777" w:rsidR="00C510C2" w:rsidRPr="00F41174" w:rsidRDefault="00C510C2" w:rsidP="00C510C2">
            <w:pPr>
              <w:spacing w:before="40" w:after="40"/>
              <w:rPr>
                <w:rFonts w:eastAsia="Calibri"/>
                <w:b/>
                <w:sz w:val="20"/>
                <w:szCs w:val="20"/>
                <w:highlight w:val="green"/>
              </w:rPr>
            </w:pPr>
            <w:r w:rsidRPr="00F41174">
              <w:rPr>
                <w:rFonts w:eastAsia="Calibri"/>
                <w:sz w:val="20"/>
                <w:szCs w:val="20"/>
              </w:rPr>
              <w:t>vymezeno jako stabilizovaná plocha</w:t>
            </w:r>
          </w:p>
        </w:tc>
        <w:tc>
          <w:tcPr>
            <w:tcW w:w="3118" w:type="dxa"/>
            <w:shd w:val="clear" w:color="auto" w:fill="auto"/>
          </w:tcPr>
          <w:p w14:paraId="6C6AE57D"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5FD86310" w14:textId="77777777" w:rsidTr="002B5D5D">
        <w:tc>
          <w:tcPr>
            <w:tcW w:w="1821" w:type="dxa"/>
            <w:shd w:val="clear" w:color="auto" w:fill="auto"/>
            <w:vAlign w:val="bottom"/>
          </w:tcPr>
          <w:p w14:paraId="0FCE276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Z17.1a</w:t>
            </w:r>
          </w:p>
        </w:tc>
        <w:tc>
          <w:tcPr>
            <w:tcW w:w="1133" w:type="dxa"/>
            <w:shd w:val="clear" w:color="auto" w:fill="auto"/>
          </w:tcPr>
          <w:p w14:paraId="72CA8CC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0,137</w:t>
            </w:r>
          </w:p>
        </w:tc>
        <w:tc>
          <w:tcPr>
            <w:tcW w:w="2978" w:type="dxa"/>
            <w:shd w:val="clear" w:color="auto" w:fill="auto"/>
          </w:tcPr>
          <w:p w14:paraId="5F86CF5B"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1CDD104"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14F1D4B8" w14:textId="77777777" w:rsidTr="002B5D5D">
        <w:tc>
          <w:tcPr>
            <w:tcW w:w="9050" w:type="dxa"/>
            <w:gridSpan w:val="4"/>
            <w:shd w:val="clear" w:color="auto" w:fill="auto"/>
            <w:vAlign w:val="bottom"/>
          </w:tcPr>
          <w:p w14:paraId="0B5D4A23" w14:textId="77777777" w:rsidR="00C510C2" w:rsidRPr="00F41174" w:rsidRDefault="00C510C2" w:rsidP="00C510C2">
            <w:pPr>
              <w:pStyle w:val="1text"/>
              <w:spacing w:before="40" w:after="40"/>
              <w:jc w:val="left"/>
              <w:rPr>
                <w:sz w:val="20"/>
                <w:szCs w:val="20"/>
              </w:rPr>
            </w:pPr>
            <w:r w:rsidRPr="00F41174">
              <w:rPr>
                <w:sz w:val="20"/>
                <w:szCs w:val="20"/>
              </w:rPr>
              <w:t>Plochy dopravní infrastruktury</w:t>
            </w:r>
          </w:p>
        </w:tc>
      </w:tr>
      <w:tr w:rsidR="00C510C2" w:rsidRPr="00F41174" w14:paraId="7E2B36DC" w14:textId="77777777" w:rsidTr="002B5D5D">
        <w:tc>
          <w:tcPr>
            <w:tcW w:w="1821" w:type="dxa"/>
            <w:shd w:val="clear" w:color="auto" w:fill="auto"/>
          </w:tcPr>
          <w:p w14:paraId="1C7A4C92"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8</w:t>
            </w:r>
          </w:p>
        </w:tc>
        <w:tc>
          <w:tcPr>
            <w:tcW w:w="1133" w:type="dxa"/>
            <w:shd w:val="clear" w:color="auto" w:fill="auto"/>
          </w:tcPr>
          <w:p w14:paraId="1AD83995"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0,019</w:t>
            </w:r>
          </w:p>
        </w:tc>
        <w:tc>
          <w:tcPr>
            <w:tcW w:w="2978" w:type="dxa"/>
            <w:shd w:val="clear" w:color="auto" w:fill="auto"/>
          </w:tcPr>
          <w:p w14:paraId="7425D9F9"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6B282548"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3176F270" w14:textId="77777777" w:rsidTr="002B5D5D">
        <w:tc>
          <w:tcPr>
            <w:tcW w:w="1821" w:type="dxa"/>
            <w:shd w:val="clear" w:color="auto" w:fill="auto"/>
          </w:tcPr>
          <w:p w14:paraId="5AE491ED"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9</w:t>
            </w:r>
          </w:p>
        </w:tc>
        <w:tc>
          <w:tcPr>
            <w:tcW w:w="1133" w:type="dxa"/>
            <w:shd w:val="clear" w:color="auto" w:fill="auto"/>
          </w:tcPr>
          <w:p w14:paraId="0DBF229E"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0,318</w:t>
            </w:r>
          </w:p>
        </w:tc>
        <w:tc>
          <w:tcPr>
            <w:tcW w:w="2978" w:type="dxa"/>
            <w:shd w:val="clear" w:color="auto" w:fill="auto"/>
          </w:tcPr>
          <w:p w14:paraId="789FC1FD"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23E208C3" w14:textId="77777777" w:rsidR="00C510C2" w:rsidRPr="00F41174" w:rsidRDefault="00C510C2" w:rsidP="00C510C2">
            <w:pPr>
              <w:pStyle w:val="1text"/>
              <w:spacing w:before="40" w:after="40"/>
              <w:jc w:val="left"/>
              <w:rPr>
                <w:sz w:val="20"/>
                <w:szCs w:val="20"/>
                <w:highlight w:val="green"/>
              </w:rPr>
            </w:pPr>
          </w:p>
        </w:tc>
      </w:tr>
      <w:tr w:rsidR="00C510C2" w:rsidRPr="00F41174" w14:paraId="7CED1061" w14:textId="77777777" w:rsidTr="002B5D5D">
        <w:tc>
          <w:tcPr>
            <w:tcW w:w="1821" w:type="dxa"/>
            <w:shd w:val="clear" w:color="auto" w:fill="auto"/>
          </w:tcPr>
          <w:p w14:paraId="3B3F851C"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10</w:t>
            </w:r>
          </w:p>
        </w:tc>
        <w:tc>
          <w:tcPr>
            <w:tcW w:w="1133" w:type="dxa"/>
            <w:shd w:val="clear" w:color="auto" w:fill="auto"/>
          </w:tcPr>
          <w:p w14:paraId="0EE25585"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0,065</w:t>
            </w:r>
          </w:p>
        </w:tc>
        <w:tc>
          <w:tcPr>
            <w:tcW w:w="2978" w:type="dxa"/>
            <w:shd w:val="clear" w:color="auto" w:fill="auto"/>
          </w:tcPr>
          <w:p w14:paraId="1BF79AB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04F66E2B" w14:textId="77777777" w:rsidR="00C510C2" w:rsidRPr="00F41174" w:rsidRDefault="00C510C2" w:rsidP="00C510C2">
            <w:pPr>
              <w:pStyle w:val="1text"/>
              <w:spacing w:before="40" w:after="40"/>
              <w:jc w:val="left"/>
              <w:rPr>
                <w:sz w:val="20"/>
                <w:szCs w:val="20"/>
                <w:highlight w:val="green"/>
              </w:rPr>
            </w:pPr>
          </w:p>
        </w:tc>
      </w:tr>
      <w:tr w:rsidR="00C510C2" w:rsidRPr="00F41174" w14:paraId="7AEF57BA" w14:textId="77777777" w:rsidTr="002B5D5D">
        <w:tc>
          <w:tcPr>
            <w:tcW w:w="1821" w:type="dxa"/>
            <w:shd w:val="clear" w:color="auto" w:fill="auto"/>
          </w:tcPr>
          <w:p w14:paraId="2D9A524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12</w:t>
            </w:r>
          </w:p>
        </w:tc>
        <w:tc>
          <w:tcPr>
            <w:tcW w:w="1133" w:type="dxa"/>
            <w:shd w:val="clear" w:color="auto" w:fill="auto"/>
          </w:tcPr>
          <w:p w14:paraId="1452223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0,138</w:t>
            </w:r>
          </w:p>
        </w:tc>
        <w:tc>
          <w:tcPr>
            <w:tcW w:w="2978" w:type="dxa"/>
            <w:shd w:val="clear" w:color="auto" w:fill="auto"/>
          </w:tcPr>
          <w:p w14:paraId="2DF75DF7"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05DC993C"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566EA136" w14:textId="77777777" w:rsidTr="002B5D5D">
        <w:tc>
          <w:tcPr>
            <w:tcW w:w="1821" w:type="dxa"/>
            <w:shd w:val="clear" w:color="auto" w:fill="auto"/>
          </w:tcPr>
          <w:p w14:paraId="4B057EF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24</w:t>
            </w:r>
          </w:p>
        </w:tc>
        <w:tc>
          <w:tcPr>
            <w:tcW w:w="1133" w:type="dxa"/>
            <w:shd w:val="clear" w:color="auto" w:fill="auto"/>
          </w:tcPr>
          <w:p w14:paraId="2CE4C870"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0,045</w:t>
            </w:r>
          </w:p>
        </w:tc>
        <w:tc>
          <w:tcPr>
            <w:tcW w:w="2978" w:type="dxa"/>
            <w:shd w:val="clear" w:color="auto" w:fill="auto"/>
          </w:tcPr>
          <w:p w14:paraId="5FEA2A15" w14:textId="77777777" w:rsidR="00C510C2" w:rsidRPr="00F41174" w:rsidRDefault="00C510C2" w:rsidP="00C510C2">
            <w:pPr>
              <w:spacing w:before="40" w:after="40"/>
              <w:rPr>
                <w:rFonts w:eastAsia="Calibri"/>
                <w:sz w:val="20"/>
                <w:szCs w:val="20"/>
                <w:highlight w:val="green"/>
              </w:rPr>
            </w:pPr>
            <w:r w:rsidRPr="00F41174">
              <w:rPr>
                <w:rFonts w:eastAsia="Calibri"/>
                <w:b/>
                <w:sz w:val="20"/>
                <w:szCs w:val="20"/>
              </w:rPr>
              <w:t>část (bez záboru ZPF) převzata do ÚP</w:t>
            </w:r>
            <w:r w:rsidRPr="00F41174">
              <w:rPr>
                <w:rFonts w:eastAsia="Calibri"/>
                <w:sz w:val="20"/>
                <w:szCs w:val="20"/>
              </w:rPr>
              <w:t>, zbývající část vymezena jako stabilizovaná plocha</w:t>
            </w:r>
          </w:p>
        </w:tc>
        <w:tc>
          <w:tcPr>
            <w:tcW w:w="3118" w:type="dxa"/>
            <w:shd w:val="clear" w:color="auto" w:fill="auto"/>
          </w:tcPr>
          <w:p w14:paraId="355D46B7" w14:textId="77777777" w:rsidR="00C510C2" w:rsidRPr="00F41174" w:rsidRDefault="00C510C2" w:rsidP="00C510C2">
            <w:pPr>
              <w:pStyle w:val="1text"/>
              <w:spacing w:before="40" w:after="40"/>
              <w:jc w:val="left"/>
              <w:rPr>
                <w:sz w:val="20"/>
                <w:szCs w:val="20"/>
                <w:highlight w:val="green"/>
              </w:rPr>
            </w:pPr>
            <w:r w:rsidRPr="00F41174">
              <w:rPr>
                <w:b/>
                <w:sz w:val="20"/>
                <w:szCs w:val="20"/>
              </w:rPr>
              <w:t>plocha P17</w:t>
            </w:r>
            <w:r w:rsidRPr="00F41174">
              <w:rPr>
                <w:sz w:val="20"/>
                <w:szCs w:val="20"/>
              </w:rPr>
              <w:t>, zčásti zastavěno, zbývající část dle §58 a §2, odst. 1c stavebního zákona</w:t>
            </w:r>
          </w:p>
        </w:tc>
      </w:tr>
      <w:tr w:rsidR="00C510C2" w:rsidRPr="00F41174" w14:paraId="4EB14B8F" w14:textId="77777777" w:rsidTr="002B5D5D">
        <w:tc>
          <w:tcPr>
            <w:tcW w:w="1821" w:type="dxa"/>
            <w:shd w:val="clear" w:color="auto" w:fill="auto"/>
          </w:tcPr>
          <w:p w14:paraId="6D2B807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26</w:t>
            </w:r>
          </w:p>
        </w:tc>
        <w:tc>
          <w:tcPr>
            <w:tcW w:w="1133" w:type="dxa"/>
            <w:shd w:val="clear" w:color="auto" w:fill="auto"/>
          </w:tcPr>
          <w:p w14:paraId="38EB312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0,101</w:t>
            </w:r>
          </w:p>
        </w:tc>
        <w:tc>
          <w:tcPr>
            <w:tcW w:w="2978" w:type="dxa"/>
            <w:shd w:val="clear" w:color="auto" w:fill="auto"/>
          </w:tcPr>
          <w:p w14:paraId="31C8EDA6"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0451BC4B" w14:textId="77777777" w:rsidR="00C510C2" w:rsidRPr="00F41174" w:rsidRDefault="00C510C2" w:rsidP="00C510C2">
            <w:pPr>
              <w:pStyle w:val="1text"/>
              <w:spacing w:before="40" w:after="40"/>
              <w:jc w:val="left"/>
              <w:rPr>
                <w:sz w:val="20"/>
                <w:szCs w:val="20"/>
                <w:highlight w:val="green"/>
              </w:rPr>
            </w:pPr>
          </w:p>
        </w:tc>
      </w:tr>
      <w:tr w:rsidR="00C510C2" w:rsidRPr="00F41174" w14:paraId="2151400C" w14:textId="77777777" w:rsidTr="002B5D5D">
        <w:tc>
          <w:tcPr>
            <w:tcW w:w="1821" w:type="dxa"/>
            <w:shd w:val="clear" w:color="auto" w:fill="auto"/>
          </w:tcPr>
          <w:p w14:paraId="02AC7D4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27</w:t>
            </w:r>
          </w:p>
        </w:tc>
        <w:tc>
          <w:tcPr>
            <w:tcW w:w="1133" w:type="dxa"/>
            <w:shd w:val="clear" w:color="auto" w:fill="auto"/>
          </w:tcPr>
          <w:p w14:paraId="2E4EB57B"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0,797</w:t>
            </w:r>
          </w:p>
        </w:tc>
        <w:tc>
          <w:tcPr>
            <w:tcW w:w="2978" w:type="dxa"/>
            <w:shd w:val="clear" w:color="auto" w:fill="auto"/>
          </w:tcPr>
          <w:p w14:paraId="1C94FB5E"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1A7BFACD" w14:textId="77777777" w:rsidR="00C510C2" w:rsidRPr="00F41174" w:rsidRDefault="00C510C2" w:rsidP="00C510C2">
            <w:pPr>
              <w:pStyle w:val="1text"/>
              <w:spacing w:before="40" w:after="40"/>
              <w:jc w:val="left"/>
              <w:rPr>
                <w:sz w:val="20"/>
                <w:szCs w:val="20"/>
                <w:highlight w:val="green"/>
              </w:rPr>
            </w:pPr>
          </w:p>
        </w:tc>
      </w:tr>
      <w:tr w:rsidR="00C510C2" w:rsidRPr="00F41174" w14:paraId="186A22BD" w14:textId="77777777" w:rsidTr="002B5D5D">
        <w:tc>
          <w:tcPr>
            <w:tcW w:w="1821" w:type="dxa"/>
            <w:shd w:val="clear" w:color="auto" w:fill="auto"/>
          </w:tcPr>
          <w:p w14:paraId="4512E15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39</w:t>
            </w:r>
          </w:p>
        </w:tc>
        <w:tc>
          <w:tcPr>
            <w:tcW w:w="1133" w:type="dxa"/>
            <w:shd w:val="clear" w:color="auto" w:fill="auto"/>
          </w:tcPr>
          <w:p w14:paraId="005B2C9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0,664</w:t>
            </w:r>
          </w:p>
        </w:tc>
        <w:tc>
          <w:tcPr>
            <w:tcW w:w="2978" w:type="dxa"/>
            <w:shd w:val="clear" w:color="auto" w:fill="auto"/>
          </w:tcPr>
          <w:p w14:paraId="44CB0F06"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D0C356B"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385E2696" w14:textId="77777777" w:rsidTr="002B5D5D">
        <w:tc>
          <w:tcPr>
            <w:tcW w:w="1821" w:type="dxa"/>
            <w:shd w:val="clear" w:color="auto" w:fill="auto"/>
          </w:tcPr>
          <w:p w14:paraId="3AC37079"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42</w:t>
            </w:r>
          </w:p>
        </w:tc>
        <w:tc>
          <w:tcPr>
            <w:tcW w:w="1133" w:type="dxa"/>
            <w:shd w:val="clear" w:color="auto" w:fill="auto"/>
          </w:tcPr>
          <w:p w14:paraId="76BE943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0,142</w:t>
            </w:r>
          </w:p>
        </w:tc>
        <w:tc>
          <w:tcPr>
            <w:tcW w:w="2978" w:type="dxa"/>
            <w:shd w:val="clear" w:color="auto" w:fill="auto"/>
          </w:tcPr>
          <w:p w14:paraId="08480B86"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4EEEC090" w14:textId="77777777" w:rsidR="00C510C2" w:rsidRPr="00F41174" w:rsidRDefault="00C510C2" w:rsidP="00C510C2">
            <w:pPr>
              <w:pStyle w:val="1text"/>
              <w:spacing w:before="40" w:after="40"/>
              <w:jc w:val="left"/>
              <w:rPr>
                <w:sz w:val="20"/>
                <w:szCs w:val="20"/>
                <w:highlight w:val="green"/>
              </w:rPr>
            </w:pPr>
          </w:p>
        </w:tc>
      </w:tr>
      <w:tr w:rsidR="00C510C2" w:rsidRPr="00F41174" w14:paraId="6B9AED8F" w14:textId="77777777" w:rsidTr="002B5D5D">
        <w:tc>
          <w:tcPr>
            <w:tcW w:w="1821" w:type="dxa"/>
            <w:shd w:val="clear" w:color="auto" w:fill="auto"/>
          </w:tcPr>
          <w:p w14:paraId="0EFB0CE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47</w:t>
            </w:r>
          </w:p>
        </w:tc>
        <w:tc>
          <w:tcPr>
            <w:tcW w:w="1133" w:type="dxa"/>
            <w:shd w:val="clear" w:color="auto" w:fill="auto"/>
          </w:tcPr>
          <w:p w14:paraId="502ACD8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0,039</w:t>
            </w:r>
          </w:p>
        </w:tc>
        <w:tc>
          <w:tcPr>
            <w:tcW w:w="2978" w:type="dxa"/>
            <w:shd w:val="clear" w:color="auto" w:fill="auto"/>
          </w:tcPr>
          <w:p w14:paraId="151BF5E3"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6CB4B544" w14:textId="77777777" w:rsidR="00C510C2" w:rsidRPr="00F41174" w:rsidRDefault="00C510C2" w:rsidP="00C510C2">
            <w:pPr>
              <w:pStyle w:val="1text"/>
              <w:spacing w:before="40" w:after="40"/>
              <w:jc w:val="left"/>
              <w:rPr>
                <w:sz w:val="20"/>
                <w:szCs w:val="20"/>
                <w:highlight w:val="green"/>
              </w:rPr>
            </w:pPr>
          </w:p>
        </w:tc>
      </w:tr>
      <w:tr w:rsidR="00C510C2" w:rsidRPr="00F41174" w14:paraId="3BE647DC" w14:textId="77777777" w:rsidTr="002B5D5D">
        <w:tc>
          <w:tcPr>
            <w:tcW w:w="1821" w:type="dxa"/>
            <w:shd w:val="clear" w:color="auto" w:fill="auto"/>
          </w:tcPr>
          <w:p w14:paraId="31986A8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50</w:t>
            </w:r>
          </w:p>
        </w:tc>
        <w:tc>
          <w:tcPr>
            <w:tcW w:w="1133" w:type="dxa"/>
            <w:shd w:val="clear" w:color="auto" w:fill="auto"/>
          </w:tcPr>
          <w:p w14:paraId="3F3BA65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0,205</w:t>
            </w:r>
          </w:p>
        </w:tc>
        <w:tc>
          <w:tcPr>
            <w:tcW w:w="2978" w:type="dxa"/>
            <w:shd w:val="clear" w:color="auto" w:fill="auto"/>
          </w:tcPr>
          <w:p w14:paraId="6E685321"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34A13CC" w14:textId="77777777" w:rsidR="00C510C2" w:rsidRPr="00F41174" w:rsidRDefault="00C510C2" w:rsidP="00C510C2">
            <w:pPr>
              <w:pStyle w:val="1text"/>
              <w:spacing w:before="40" w:after="40"/>
              <w:jc w:val="left"/>
              <w:rPr>
                <w:sz w:val="20"/>
                <w:szCs w:val="20"/>
                <w:highlight w:val="green"/>
              </w:rPr>
            </w:pPr>
          </w:p>
        </w:tc>
      </w:tr>
      <w:tr w:rsidR="00C510C2" w:rsidRPr="00F41174" w14:paraId="2F8C85D1" w14:textId="77777777" w:rsidTr="002B5D5D">
        <w:tc>
          <w:tcPr>
            <w:tcW w:w="1821" w:type="dxa"/>
            <w:shd w:val="clear" w:color="auto" w:fill="auto"/>
          </w:tcPr>
          <w:p w14:paraId="0C5F991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54</w:t>
            </w:r>
          </w:p>
        </w:tc>
        <w:tc>
          <w:tcPr>
            <w:tcW w:w="1133" w:type="dxa"/>
            <w:shd w:val="clear" w:color="auto" w:fill="auto"/>
          </w:tcPr>
          <w:p w14:paraId="4A80DCD9"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0,005</w:t>
            </w:r>
          </w:p>
        </w:tc>
        <w:tc>
          <w:tcPr>
            <w:tcW w:w="2978" w:type="dxa"/>
            <w:shd w:val="clear" w:color="auto" w:fill="auto"/>
          </w:tcPr>
          <w:p w14:paraId="4CA55456"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7DA14978" w14:textId="77777777" w:rsidR="00C510C2" w:rsidRPr="00F41174" w:rsidRDefault="00C510C2" w:rsidP="00C510C2">
            <w:pPr>
              <w:pStyle w:val="1text"/>
              <w:spacing w:before="40" w:after="40"/>
              <w:jc w:val="left"/>
              <w:rPr>
                <w:sz w:val="20"/>
                <w:szCs w:val="20"/>
                <w:highlight w:val="green"/>
              </w:rPr>
            </w:pPr>
          </w:p>
        </w:tc>
      </w:tr>
      <w:tr w:rsidR="00C510C2" w:rsidRPr="00F41174" w14:paraId="67B23355" w14:textId="77777777" w:rsidTr="002B5D5D">
        <w:tc>
          <w:tcPr>
            <w:tcW w:w="1821" w:type="dxa"/>
            <w:shd w:val="clear" w:color="auto" w:fill="auto"/>
          </w:tcPr>
          <w:p w14:paraId="3CF67B4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55</w:t>
            </w:r>
          </w:p>
        </w:tc>
        <w:tc>
          <w:tcPr>
            <w:tcW w:w="1133" w:type="dxa"/>
            <w:shd w:val="clear" w:color="auto" w:fill="auto"/>
          </w:tcPr>
          <w:p w14:paraId="56E3BF76"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0,038</w:t>
            </w:r>
          </w:p>
        </w:tc>
        <w:tc>
          <w:tcPr>
            <w:tcW w:w="2978" w:type="dxa"/>
            <w:shd w:val="clear" w:color="auto" w:fill="auto"/>
          </w:tcPr>
          <w:p w14:paraId="7A34F0F3"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5C0C875F" w14:textId="77777777" w:rsidR="00C510C2" w:rsidRPr="00F41174" w:rsidRDefault="00C510C2" w:rsidP="00C510C2">
            <w:pPr>
              <w:pStyle w:val="1text"/>
              <w:spacing w:before="40" w:after="40"/>
              <w:jc w:val="left"/>
              <w:rPr>
                <w:sz w:val="20"/>
                <w:szCs w:val="20"/>
                <w:highlight w:val="green"/>
              </w:rPr>
            </w:pPr>
          </w:p>
        </w:tc>
      </w:tr>
      <w:tr w:rsidR="00C510C2" w:rsidRPr="00F41174" w14:paraId="12CDA6E0" w14:textId="77777777" w:rsidTr="002B5D5D">
        <w:tc>
          <w:tcPr>
            <w:tcW w:w="1821" w:type="dxa"/>
            <w:shd w:val="clear" w:color="auto" w:fill="auto"/>
          </w:tcPr>
          <w:p w14:paraId="3A682C5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57</w:t>
            </w:r>
          </w:p>
        </w:tc>
        <w:tc>
          <w:tcPr>
            <w:tcW w:w="1133" w:type="dxa"/>
            <w:shd w:val="clear" w:color="auto" w:fill="auto"/>
          </w:tcPr>
          <w:p w14:paraId="4979744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0,005</w:t>
            </w:r>
          </w:p>
        </w:tc>
        <w:tc>
          <w:tcPr>
            <w:tcW w:w="2978" w:type="dxa"/>
            <w:shd w:val="clear" w:color="auto" w:fill="auto"/>
          </w:tcPr>
          <w:p w14:paraId="536F6305"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7336A7BB" w14:textId="77777777" w:rsidR="00C510C2" w:rsidRPr="00F41174" w:rsidRDefault="00C510C2" w:rsidP="00C510C2">
            <w:pPr>
              <w:pStyle w:val="1text"/>
              <w:spacing w:before="40" w:after="40"/>
              <w:jc w:val="left"/>
              <w:rPr>
                <w:sz w:val="20"/>
                <w:szCs w:val="20"/>
              </w:rPr>
            </w:pPr>
            <w:r w:rsidRPr="00F41174">
              <w:rPr>
                <w:sz w:val="20"/>
                <w:szCs w:val="20"/>
              </w:rPr>
              <w:t>zčásti zastavěno, zbývající část dle §58 a §2, odst. 1c stavebního zákona</w:t>
            </w:r>
          </w:p>
        </w:tc>
      </w:tr>
      <w:tr w:rsidR="00C510C2" w:rsidRPr="00F41174" w14:paraId="47BD5ABE" w14:textId="77777777" w:rsidTr="002B5D5D">
        <w:tc>
          <w:tcPr>
            <w:tcW w:w="1821" w:type="dxa"/>
            <w:shd w:val="clear" w:color="auto" w:fill="auto"/>
          </w:tcPr>
          <w:p w14:paraId="76878F4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92</w:t>
            </w:r>
          </w:p>
        </w:tc>
        <w:tc>
          <w:tcPr>
            <w:tcW w:w="1133" w:type="dxa"/>
            <w:shd w:val="clear" w:color="auto" w:fill="auto"/>
          </w:tcPr>
          <w:p w14:paraId="498F8D1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0,063</w:t>
            </w:r>
          </w:p>
        </w:tc>
        <w:tc>
          <w:tcPr>
            <w:tcW w:w="2978" w:type="dxa"/>
            <w:shd w:val="clear" w:color="auto" w:fill="auto"/>
          </w:tcPr>
          <w:p w14:paraId="2323F170"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34F21FDE" w14:textId="77777777" w:rsidR="00C510C2" w:rsidRPr="00F41174" w:rsidRDefault="00C510C2" w:rsidP="00C510C2">
            <w:pPr>
              <w:pStyle w:val="1text"/>
              <w:spacing w:before="40" w:after="40"/>
              <w:jc w:val="left"/>
              <w:rPr>
                <w:sz w:val="20"/>
                <w:szCs w:val="20"/>
                <w:highlight w:val="green"/>
              </w:rPr>
            </w:pPr>
          </w:p>
        </w:tc>
      </w:tr>
      <w:tr w:rsidR="00C510C2" w:rsidRPr="00F41174" w14:paraId="67497C25" w14:textId="77777777" w:rsidTr="002B5D5D">
        <w:tc>
          <w:tcPr>
            <w:tcW w:w="1821" w:type="dxa"/>
            <w:shd w:val="clear" w:color="auto" w:fill="auto"/>
          </w:tcPr>
          <w:p w14:paraId="464F15B9"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93</w:t>
            </w:r>
          </w:p>
        </w:tc>
        <w:tc>
          <w:tcPr>
            <w:tcW w:w="1133" w:type="dxa"/>
            <w:shd w:val="clear" w:color="auto" w:fill="auto"/>
          </w:tcPr>
          <w:p w14:paraId="630126DB"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0,051</w:t>
            </w:r>
          </w:p>
        </w:tc>
        <w:tc>
          <w:tcPr>
            <w:tcW w:w="2978" w:type="dxa"/>
            <w:shd w:val="clear" w:color="auto" w:fill="auto"/>
          </w:tcPr>
          <w:p w14:paraId="3E3C98CB"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35BE798A" w14:textId="77777777" w:rsidR="00C510C2" w:rsidRPr="00F41174" w:rsidRDefault="00C510C2" w:rsidP="00C510C2">
            <w:pPr>
              <w:pStyle w:val="1text"/>
              <w:spacing w:before="40" w:after="40"/>
              <w:jc w:val="left"/>
              <w:rPr>
                <w:sz w:val="20"/>
                <w:szCs w:val="20"/>
                <w:highlight w:val="green"/>
              </w:rPr>
            </w:pPr>
          </w:p>
        </w:tc>
      </w:tr>
      <w:tr w:rsidR="00C510C2" w:rsidRPr="00F41174" w14:paraId="0204A38F" w14:textId="77777777" w:rsidTr="002B5D5D">
        <w:tc>
          <w:tcPr>
            <w:tcW w:w="1821" w:type="dxa"/>
            <w:shd w:val="clear" w:color="auto" w:fill="auto"/>
          </w:tcPr>
          <w:p w14:paraId="092C8F8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108</w:t>
            </w:r>
          </w:p>
        </w:tc>
        <w:tc>
          <w:tcPr>
            <w:tcW w:w="1133" w:type="dxa"/>
            <w:shd w:val="clear" w:color="auto" w:fill="auto"/>
          </w:tcPr>
          <w:p w14:paraId="0D8BF495"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0,220</w:t>
            </w:r>
          </w:p>
        </w:tc>
        <w:tc>
          <w:tcPr>
            <w:tcW w:w="2978" w:type="dxa"/>
            <w:shd w:val="clear" w:color="auto" w:fill="auto"/>
          </w:tcPr>
          <w:p w14:paraId="4D32C23C"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2F5243ED"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2FB3A031" w14:textId="77777777" w:rsidTr="002B5D5D">
        <w:tc>
          <w:tcPr>
            <w:tcW w:w="1821" w:type="dxa"/>
            <w:shd w:val="clear" w:color="auto" w:fill="auto"/>
          </w:tcPr>
          <w:p w14:paraId="07034AD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lastRenderedPageBreak/>
              <w:t>114</w:t>
            </w:r>
          </w:p>
        </w:tc>
        <w:tc>
          <w:tcPr>
            <w:tcW w:w="1133" w:type="dxa"/>
            <w:shd w:val="clear" w:color="auto" w:fill="auto"/>
          </w:tcPr>
          <w:p w14:paraId="245BD6AF"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0,797</w:t>
            </w:r>
          </w:p>
        </w:tc>
        <w:tc>
          <w:tcPr>
            <w:tcW w:w="2978" w:type="dxa"/>
            <w:shd w:val="clear" w:color="auto" w:fill="auto"/>
          </w:tcPr>
          <w:p w14:paraId="7247AC3D"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42A7855A" w14:textId="77777777" w:rsidR="00C510C2" w:rsidRPr="00F41174" w:rsidRDefault="00C510C2" w:rsidP="00C510C2">
            <w:pPr>
              <w:pStyle w:val="1text"/>
              <w:spacing w:before="40" w:after="40"/>
              <w:jc w:val="left"/>
              <w:rPr>
                <w:sz w:val="20"/>
                <w:szCs w:val="20"/>
                <w:highlight w:val="green"/>
              </w:rPr>
            </w:pPr>
          </w:p>
        </w:tc>
      </w:tr>
      <w:tr w:rsidR="00C510C2" w:rsidRPr="00F41174" w14:paraId="66AF0E01" w14:textId="77777777" w:rsidTr="002B5D5D">
        <w:tc>
          <w:tcPr>
            <w:tcW w:w="1821" w:type="dxa"/>
            <w:shd w:val="clear" w:color="auto" w:fill="auto"/>
          </w:tcPr>
          <w:p w14:paraId="1915511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172</w:t>
            </w:r>
          </w:p>
        </w:tc>
        <w:tc>
          <w:tcPr>
            <w:tcW w:w="1133" w:type="dxa"/>
            <w:shd w:val="clear" w:color="auto" w:fill="auto"/>
          </w:tcPr>
          <w:p w14:paraId="61D5B32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17,324</w:t>
            </w:r>
          </w:p>
        </w:tc>
        <w:tc>
          <w:tcPr>
            <w:tcW w:w="2978" w:type="dxa"/>
            <w:shd w:val="clear" w:color="auto" w:fill="auto"/>
          </w:tcPr>
          <w:p w14:paraId="5E46D567"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5E75C262" w14:textId="77777777" w:rsidR="00C510C2" w:rsidRPr="00F41174" w:rsidRDefault="00C510C2" w:rsidP="00C510C2">
            <w:pPr>
              <w:pStyle w:val="1text"/>
              <w:spacing w:before="40" w:after="40"/>
              <w:jc w:val="left"/>
              <w:rPr>
                <w:sz w:val="20"/>
                <w:szCs w:val="20"/>
                <w:highlight w:val="green"/>
              </w:rPr>
            </w:pPr>
          </w:p>
        </w:tc>
      </w:tr>
      <w:tr w:rsidR="00C510C2" w:rsidRPr="00F41174" w14:paraId="2DE0002E" w14:textId="77777777" w:rsidTr="002B5D5D">
        <w:tc>
          <w:tcPr>
            <w:tcW w:w="9050" w:type="dxa"/>
            <w:gridSpan w:val="4"/>
            <w:shd w:val="clear" w:color="auto" w:fill="auto"/>
            <w:vAlign w:val="bottom"/>
          </w:tcPr>
          <w:p w14:paraId="64B9257C" w14:textId="77777777" w:rsidR="00C510C2" w:rsidRPr="00F41174" w:rsidRDefault="00C510C2" w:rsidP="00C510C2">
            <w:pPr>
              <w:pStyle w:val="1text"/>
              <w:spacing w:before="40" w:after="40"/>
              <w:jc w:val="left"/>
              <w:rPr>
                <w:sz w:val="20"/>
                <w:szCs w:val="20"/>
              </w:rPr>
            </w:pPr>
            <w:r w:rsidRPr="00F41174">
              <w:rPr>
                <w:sz w:val="20"/>
                <w:szCs w:val="20"/>
              </w:rPr>
              <w:t>Plochy zeleně</w:t>
            </w:r>
          </w:p>
        </w:tc>
      </w:tr>
      <w:tr w:rsidR="00C510C2" w:rsidRPr="00F41174" w14:paraId="717D92D5" w14:textId="77777777" w:rsidTr="002B5D5D">
        <w:tc>
          <w:tcPr>
            <w:tcW w:w="1821" w:type="dxa"/>
            <w:shd w:val="clear" w:color="auto" w:fill="auto"/>
            <w:vAlign w:val="bottom"/>
          </w:tcPr>
          <w:p w14:paraId="0573C16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11</w:t>
            </w:r>
          </w:p>
        </w:tc>
        <w:tc>
          <w:tcPr>
            <w:tcW w:w="1133" w:type="dxa"/>
            <w:shd w:val="clear" w:color="auto" w:fill="auto"/>
            <w:vAlign w:val="bottom"/>
          </w:tcPr>
          <w:p w14:paraId="44CF33FB"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0,564</w:t>
            </w:r>
          </w:p>
        </w:tc>
        <w:tc>
          <w:tcPr>
            <w:tcW w:w="2978" w:type="dxa"/>
            <w:shd w:val="clear" w:color="auto" w:fill="auto"/>
          </w:tcPr>
          <w:p w14:paraId="5C09FA6D"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05D90410"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507BDB7B" w14:textId="77777777" w:rsidTr="002B5D5D">
        <w:tc>
          <w:tcPr>
            <w:tcW w:w="1821" w:type="dxa"/>
            <w:shd w:val="clear" w:color="auto" w:fill="auto"/>
            <w:vAlign w:val="bottom"/>
          </w:tcPr>
          <w:p w14:paraId="7976D7FB"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Z11/2</w:t>
            </w:r>
          </w:p>
        </w:tc>
        <w:tc>
          <w:tcPr>
            <w:tcW w:w="1133" w:type="dxa"/>
            <w:shd w:val="clear" w:color="auto" w:fill="auto"/>
            <w:vAlign w:val="bottom"/>
          </w:tcPr>
          <w:p w14:paraId="5F48B9E2"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0,034</w:t>
            </w:r>
          </w:p>
        </w:tc>
        <w:tc>
          <w:tcPr>
            <w:tcW w:w="2978" w:type="dxa"/>
            <w:shd w:val="clear" w:color="auto" w:fill="auto"/>
          </w:tcPr>
          <w:p w14:paraId="040FFD21"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746E8F49"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06B7BAF0" w14:textId="77777777" w:rsidTr="002B5D5D">
        <w:tc>
          <w:tcPr>
            <w:tcW w:w="1821" w:type="dxa"/>
            <w:shd w:val="clear" w:color="auto" w:fill="auto"/>
            <w:vAlign w:val="bottom"/>
          </w:tcPr>
          <w:p w14:paraId="3A9FD02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Z12.34</w:t>
            </w:r>
          </w:p>
        </w:tc>
        <w:tc>
          <w:tcPr>
            <w:tcW w:w="1133" w:type="dxa"/>
            <w:shd w:val="clear" w:color="auto" w:fill="auto"/>
            <w:vAlign w:val="bottom"/>
          </w:tcPr>
          <w:p w14:paraId="20024E0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0,050</w:t>
            </w:r>
          </w:p>
        </w:tc>
        <w:tc>
          <w:tcPr>
            <w:tcW w:w="2978" w:type="dxa"/>
            <w:shd w:val="clear" w:color="auto" w:fill="auto"/>
          </w:tcPr>
          <w:p w14:paraId="137829CE"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03E86D5A" w14:textId="77777777" w:rsidR="00C510C2" w:rsidRPr="00F41174" w:rsidRDefault="00C510C2" w:rsidP="00C510C2">
            <w:pPr>
              <w:pStyle w:val="1text"/>
              <w:spacing w:before="40" w:after="40"/>
              <w:jc w:val="left"/>
              <w:rPr>
                <w:sz w:val="20"/>
                <w:szCs w:val="20"/>
              </w:rPr>
            </w:pPr>
          </w:p>
        </w:tc>
      </w:tr>
      <w:tr w:rsidR="00C510C2" w:rsidRPr="00F41174" w14:paraId="393FDA97" w14:textId="77777777" w:rsidTr="002B5D5D">
        <w:tc>
          <w:tcPr>
            <w:tcW w:w="1821" w:type="dxa"/>
            <w:tcBorders>
              <w:bottom w:val="single" w:sz="12" w:space="0" w:color="auto"/>
            </w:tcBorders>
            <w:shd w:val="clear" w:color="auto" w:fill="auto"/>
            <w:vAlign w:val="bottom"/>
          </w:tcPr>
          <w:p w14:paraId="518B473A"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Z12.36</w:t>
            </w:r>
          </w:p>
        </w:tc>
        <w:tc>
          <w:tcPr>
            <w:tcW w:w="1133" w:type="dxa"/>
            <w:tcBorders>
              <w:bottom w:val="single" w:sz="12" w:space="0" w:color="auto"/>
            </w:tcBorders>
            <w:shd w:val="clear" w:color="auto" w:fill="auto"/>
            <w:vAlign w:val="bottom"/>
          </w:tcPr>
          <w:p w14:paraId="67386531"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0,274</w:t>
            </w:r>
          </w:p>
        </w:tc>
        <w:tc>
          <w:tcPr>
            <w:tcW w:w="2978" w:type="dxa"/>
            <w:tcBorders>
              <w:bottom w:val="single" w:sz="12" w:space="0" w:color="auto"/>
            </w:tcBorders>
            <w:shd w:val="clear" w:color="auto" w:fill="auto"/>
          </w:tcPr>
          <w:p w14:paraId="798F02EE"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tcBorders>
              <w:bottom w:val="single" w:sz="12" w:space="0" w:color="auto"/>
            </w:tcBorders>
            <w:shd w:val="clear" w:color="auto" w:fill="auto"/>
          </w:tcPr>
          <w:p w14:paraId="7E706782" w14:textId="77777777" w:rsidR="00C510C2" w:rsidRPr="00F41174" w:rsidRDefault="00C510C2" w:rsidP="00C510C2">
            <w:pPr>
              <w:pStyle w:val="1text"/>
              <w:spacing w:before="40" w:after="40"/>
              <w:jc w:val="left"/>
              <w:rPr>
                <w:b/>
                <w:sz w:val="20"/>
                <w:szCs w:val="20"/>
              </w:rPr>
            </w:pPr>
            <w:r w:rsidRPr="00F41174">
              <w:rPr>
                <w:b/>
                <w:sz w:val="20"/>
                <w:szCs w:val="20"/>
              </w:rPr>
              <w:t>plochy P10 a P13</w:t>
            </w:r>
          </w:p>
        </w:tc>
      </w:tr>
      <w:tr w:rsidR="00C510C2" w:rsidRPr="00F41174" w14:paraId="5A49959A" w14:textId="77777777" w:rsidTr="002B5D5D">
        <w:tc>
          <w:tcPr>
            <w:tcW w:w="1821" w:type="dxa"/>
            <w:tcBorders>
              <w:top w:val="single" w:sz="12" w:space="0" w:color="auto"/>
              <w:left w:val="single" w:sz="12" w:space="0" w:color="auto"/>
            </w:tcBorders>
            <w:shd w:val="clear" w:color="auto" w:fill="F2F2F2"/>
          </w:tcPr>
          <w:p w14:paraId="61B1B024"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sz w:val="20"/>
                <w:szCs w:val="20"/>
                <w:lang w:eastAsia="cs-CZ"/>
              </w:rPr>
              <w:t>CELKEM K.U. HRÁDEK NAD NISOU</w:t>
            </w:r>
          </w:p>
        </w:tc>
        <w:tc>
          <w:tcPr>
            <w:tcW w:w="7229" w:type="dxa"/>
            <w:gridSpan w:val="3"/>
            <w:tcBorders>
              <w:top w:val="single" w:sz="12" w:space="0" w:color="auto"/>
              <w:right w:val="single" w:sz="12" w:space="0" w:color="auto"/>
            </w:tcBorders>
            <w:shd w:val="clear" w:color="auto" w:fill="F2F2F2"/>
          </w:tcPr>
          <w:p w14:paraId="78BF3462" w14:textId="77777777" w:rsidR="00C510C2" w:rsidRPr="00F41174" w:rsidRDefault="00C510C2" w:rsidP="00C510C2">
            <w:pPr>
              <w:pStyle w:val="1text"/>
              <w:spacing w:before="40" w:after="40"/>
              <w:jc w:val="left"/>
              <w:rPr>
                <w:b/>
                <w:sz w:val="20"/>
                <w:szCs w:val="20"/>
              </w:rPr>
            </w:pPr>
            <w:r w:rsidRPr="00F41174">
              <w:rPr>
                <w:rFonts w:eastAsia="Times New Roman"/>
                <w:b/>
                <w:color w:val="000000"/>
                <w:sz w:val="20"/>
                <w:szCs w:val="20"/>
                <w:lang w:eastAsia="cs-CZ"/>
              </w:rPr>
              <w:t>87,063</w:t>
            </w:r>
          </w:p>
        </w:tc>
      </w:tr>
      <w:tr w:rsidR="00C510C2" w:rsidRPr="00F41174" w14:paraId="43FE5CF0" w14:textId="77777777" w:rsidTr="002B5D5D">
        <w:tc>
          <w:tcPr>
            <w:tcW w:w="1821" w:type="dxa"/>
            <w:vMerge w:val="restart"/>
            <w:tcBorders>
              <w:left w:val="single" w:sz="12" w:space="0" w:color="auto"/>
            </w:tcBorders>
            <w:shd w:val="clear" w:color="auto" w:fill="auto"/>
          </w:tcPr>
          <w:p w14:paraId="53FD147A"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z toho:</w:t>
            </w:r>
          </w:p>
        </w:tc>
        <w:tc>
          <w:tcPr>
            <w:tcW w:w="1133" w:type="dxa"/>
            <w:shd w:val="clear" w:color="auto" w:fill="auto"/>
          </w:tcPr>
          <w:p w14:paraId="2F077CDD"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29,145 ha</w:t>
            </w:r>
          </w:p>
        </w:tc>
        <w:tc>
          <w:tcPr>
            <w:tcW w:w="6096" w:type="dxa"/>
            <w:gridSpan w:val="2"/>
            <w:tcBorders>
              <w:right w:val="single" w:sz="12" w:space="0" w:color="auto"/>
            </w:tcBorders>
            <w:shd w:val="clear" w:color="auto" w:fill="auto"/>
          </w:tcPr>
          <w:p w14:paraId="4D4DFD61" w14:textId="77777777" w:rsidR="00C510C2" w:rsidRPr="00F41174" w:rsidRDefault="00C510C2" w:rsidP="00C510C2">
            <w:pPr>
              <w:pStyle w:val="1text"/>
              <w:spacing w:before="40" w:after="40"/>
              <w:jc w:val="left"/>
              <w:rPr>
                <w:sz w:val="20"/>
                <w:szCs w:val="20"/>
              </w:rPr>
            </w:pPr>
            <w:r w:rsidRPr="00F41174">
              <w:rPr>
                <w:b/>
                <w:sz w:val="20"/>
                <w:szCs w:val="20"/>
              </w:rPr>
              <w:t>záborů ZPF převzato</w:t>
            </w:r>
          </w:p>
        </w:tc>
      </w:tr>
      <w:tr w:rsidR="00C510C2" w:rsidRPr="00F41174" w14:paraId="3369C10D" w14:textId="77777777" w:rsidTr="002B5D5D">
        <w:tc>
          <w:tcPr>
            <w:tcW w:w="1821" w:type="dxa"/>
            <w:vMerge/>
            <w:tcBorders>
              <w:left w:val="single" w:sz="12" w:space="0" w:color="auto"/>
            </w:tcBorders>
            <w:shd w:val="clear" w:color="auto" w:fill="auto"/>
          </w:tcPr>
          <w:p w14:paraId="10402FD8"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shd w:val="clear" w:color="auto" w:fill="auto"/>
          </w:tcPr>
          <w:p w14:paraId="09781DFB"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28,097 ha</w:t>
            </w:r>
          </w:p>
        </w:tc>
        <w:tc>
          <w:tcPr>
            <w:tcW w:w="6096" w:type="dxa"/>
            <w:gridSpan w:val="2"/>
            <w:tcBorders>
              <w:right w:val="single" w:sz="12" w:space="0" w:color="auto"/>
            </w:tcBorders>
            <w:shd w:val="clear" w:color="auto" w:fill="auto"/>
          </w:tcPr>
          <w:p w14:paraId="6022D59D" w14:textId="77777777" w:rsidR="00C510C2" w:rsidRPr="00F41174" w:rsidRDefault="00C510C2" w:rsidP="00C510C2">
            <w:pPr>
              <w:pStyle w:val="1text"/>
              <w:spacing w:before="40" w:after="40"/>
              <w:jc w:val="left"/>
              <w:rPr>
                <w:sz w:val="20"/>
                <w:szCs w:val="20"/>
              </w:rPr>
            </w:pPr>
            <w:r w:rsidRPr="00F41174">
              <w:rPr>
                <w:b/>
                <w:sz w:val="20"/>
                <w:szCs w:val="20"/>
              </w:rPr>
              <w:t>záborů ZPF vymezeno jako stabilizovaná plocha</w:t>
            </w:r>
          </w:p>
        </w:tc>
      </w:tr>
      <w:tr w:rsidR="00C510C2" w:rsidRPr="00F41174" w14:paraId="09C93542" w14:textId="77777777" w:rsidTr="002B5D5D">
        <w:tc>
          <w:tcPr>
            <w:tcW w:w="1821" w:type="dxa"/>
            <w:vMerge/>
            <w:tcBorders>
              <w:left w:val="single" w:sz="12" w:space="0" w:color="auto"/>
              <w:bottom w:val="single" w:sz="12" w:space="0" w:color="auto"/>
            </w:tcBorders>
            <w:shd w:val="clear" w:color="auto" w:fill="auto"/>
          </w:tcPr>
          <w:p w14:paraId="7B1FE177"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auto"/>
          </w:tcPr>
          <w:p w14:paraId="111998F4"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29,822 ha</w:t>
            </w:r>
          </w:p>
        </w:tc>
        <w:tc>
          <w:tcPr>
            <w:tcW w:w="6096" w:type="dxa"/>
            <w:gridSpan w:val="2"/>
            <w:tcBorders>
              <w:bottom w:val="single" w:sz="12" w:space="0" w:color="auto"/>
              <w:right w:val="single" w:sz="12" w:space="0" w:color="auto"/>
            </w:tcBorders>
            <w:shd w:val="clear" w:color="auto" w:fill="auto"/>
          </w:tcPr>
          <w:p w14:paraId="1E0D92E6" w14:textId="77777777" w:rsidR="00C510C2" w:rsidRPr="00F41174" w:rsidRDefault="00C510C2" w:rsidP="00C510C2">
            <w:pPr>
              <w:pStyle w:val="1text"/>
              <w:spacing w:before="40" w:after="40"/>
              <w:jc w:val="left"/>
              <w:rPr>
                <w:sz w:val="20"/>
                <w:szCs w:val="20"/>
              </w:rPr>
            </w:pPr>
            <w:r w:rsidRPr="00F41174">
              <w:rPr>
                <w:b/>
                <w:sz w:val="20"/>
                <w:szCs w:val="20"/>
              </w:rPr>
              <w:t>záborů ZPF vypuštěno</w:t>
            </w:r>
          </w:p>
        </w:tc>
      </w:tr>
      <w:tr w:rsidR="00C510C2" w:rsidRPr="00F41174" w14:paraId="14C155D4" w14:textId="77777777" w:rsidTr="002B5D5D">
        <w:tc>
          <w:tcPr>
            <w:tcW w:w="9050" w:type="dxa"/>
            <w:gridSpan w:val="4"/>
            <w:tcBorders>
              <w:top w:val="single" w:sz="12" w:space="0" w:color="auto"/>
            </w:tcBorders>
            <w:shd w:val="clear" w:color="auto" w:fill="D9D9D9"/>
            <w:vAlign w:val="bottom"/>
          </w:tcPr>
          <w:p w14:paraId="070CE532" w14:textId="77777777" w:rsidR="00C510C2" w:rsidRPr="00F41174" w:rsidRDefault="00C510C2" w:rsidP="00C510C2">
            <w:pPr>
              <w:pStyle w:val="1text"/>
              <w:spacing w:before="40" w:after="40"/>
              <w:jc w:val="left"/>
              <w:rPr>
                <w:b/>
                <w:sz w:val="20"/>
                <w:szCs w:val="20"/>
              </w:rPr>
            </w:pPr>
            <w:r w:rsidRPr="00F41174">
              <w:rPr>
                <w:b/>
                <w:sz w:val="20"/>
                <w:szCs w:val="20"/>
              </w:rPr>
              <w:t>K.Ú. LOUČNÁ</w:t>
            </w:r>
          </w:p>
        </w:tc>
      </w:tr>
      <w:tr w:rsidR="00C510C2" w:rsidRPr="00F41174" w14:paraId="0AD15857" w14:textId="77777777" w:rsidTr="002B5D5D">
        <w:tc>
          <w:tcPr>
            <w:tcW w:w="9050" w:type="dxa"/>
            <w:gridSpan w:val="4"/>
            <w:shd w:val="clear" w:color="auto" w:fill="auto"/>
            <w:vAlign w:val="bottom"/>
          </w:tcPr>
          <w:p w14:paraId="5806755D" w14:textId="77777777" w:rsidR="00C510C2" w:rsidRPr="00F41174" w:rsidRDefault="00C510C2" w:rsidP="00C510C2">
            <w:pPr>
              <w:pStyle w:val="1text"/>
              <w:spacing w:before="40" w:after="40"/>
              <w:jc w:val="left"/>
              <w:rPr>
                <w:sz w:val="20"/>
                <w:szCs w:val="20"/>
              </w:rPr>
            </w:pPr>
            <w:r w:rsidRPr="00F41174">
              <w:rPr>
                <w:sz w:val="20"/>
                <w:szCs w:val="20"/>
              </w:rPr>
              <w:t>Plochy smíšené obytné</w:t>
            </w:r>
          </w:p>
        </w:tc>
      </w:tr>
      <w:tr w:rsidR="00C510C2" w:rsidRPr="00F41174" w14:paraId="2DC83EF5" w14:textId="77777777" w:rsidTr="002B5D5D">
        <w:tc>
          <w:tcPr>
            <w:tcW w:w="1821" w:type="dxa"/>
            <w:shd w:val="clear" w:color="auto" w:fill="auto"/>
          </w:tcPr>
          <w:p w14:paraId="1C36B622"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80</w:t>
            </w:r>
          </w:p>
        </w:tc>
        <w:tc>
          <w:tcPr>
            <w:tcW w:w="1133" w:type="dxa"/>
            <w:shd w:val="clear" w:color="auto" w:fill="auto"/>
          </w:tcPr>
          <w:p w14:paraId="79F5F67D"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0,188</w:t>
            </w:r>
          </w:p>
        </w:tc>
        <w:tc>
          <w:tcPr>
            <w:tcW w:w="2978" w:type="dxa"/>
            <w:shd w:val="clear" w:color="auto" w:fill="auto"/>
          </w:tcPr>
          <w:p w14:paraId="6BFE05D4" w14:textId="77777777" w:rsidR="00C510C2" w:rsidRPr="00F41174" w:rsidRDefault="00C510C2" w:rsidP="00C510C2">
            <w:pPr>
              <w:spacing w:before="40" w:after="40"/>
              <w:rPr>
                <w:rFonts w:eastAsia="Calibri"/>
                <w:sz w:val="20"/>
                <w:szCs w:val="20"/>
              </w:rPr>
            </w:pPr>
            <w:r w:rsidRPr="00F41174">
              <w:rPr>
                <w:rFonts w:eastAsia="Calibri"/>
                <w:b/>
                <w:sz w:val="20"/>
                <w:szCs w:val="20"/>
              </w:rPr>
              <w:t xml:space="preserve">část (bez záboru ZPF) převzata do ÚP </w:t>
            </w:r>
            <w:r w:rsidRPr="00F41174">
              <w:rPr>
                <w:rFonts w:eastAsia="Calibri"/>
                <w:sz w:val="20"/>
                <w:szCs w:val="20"/>
              </w:rPr>
              <w:t>s jiným využitím, ve zbývající části záměr vypuštěn</w:t>
            </w:r>
          </w:p>
        </w:tc>
        <w:tc>
          <w:tcPr>
            <w:tcW w:w="3118" w:type="dxa"/>
            <w:shd w:val="clear" w:color="auto" w:fill="auto"/>
          </w:tcPr>
          <w:p w14:paraId="0B328FED" w14:textId="77777777" w:rsidR="00C510C2" w:rsidRPr="00F41174" w:rsidRDefault="00C510C2" w:rsidP="00C510C2">
            <w:pPr>
              <w:pStyle w:val="1text"/>
              <w:spacing w:before="40" w:after="40"/>
              <w:jc w:val="left"/>
              <w:rPr>
                <w:b/>
                <w:sz w:val="20"/>
                <w:szCs w:val="20"/>
              </w:rPr>
            </w:pPr>
            <w:r w:rsidRPr="00F41174">
              <w:rPr>
                <w:b/>
                <w:sz w:val="20"/>
                <w:szCs w:val="20"/>
              </w:rPr>
              <w:t>plocha Z58</w:t>
            </w:r>
          </w:p>
        </w:tc>
      </w:tr>
      <w:tr w:rsidR="00C510C2" w:rsidRPr="00F41174" w14:paraId="5CC6D389" w14:textId="77777777" w:rsidTr="002B5D5D">
        <w:tc>
          <w:tcPr>
            <w:tcW w:w="1821" w:type="dxa"/>
            <w:shd w:val="clear" w:color="auto" w:fill="auto"/>
          </w:tcPr>
          <w:p w14:paraId="7623F7E5"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81</w:t>
            </w:r>
          </w:p>
        </w:tc>
        <w:tc>
          <w:tcPr>
            <w:tcW w:w="1133" w:type="dxa"/>
            <w:shd w:val="clear" w:color="auto" w:fill="auto"/>
          </w:tcPr>
          <w:p w14:paraId="5CEA038D"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0,318</w:t>
            </w:r>
          </w:p>
        </w:tc>
        <w:tc>
          <w:tcPr>
            <w:tcW w:w="2978" w:type="dxa"/>
            <w:shd w:val="clear" w:color="auto" w:fill="auto"/>
          </w:tcPr>
          <w:p w14:paraId="18971FB4"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78A7E9F2" w14:textId="77777777" w:rsidR="00C510C2" w:rsidRPr="00F41174" w:rsidRDefault="00C510C2" w:rsidP="00C510C2">
            <w:pPr>
              <w:pStyle w:val="1text"/>
              <w:spacing w:before="40" w:after="40"/>
              <w:jc w:val="left"/>
              <w:rPr>
                <w:sz w:val="20"/>
                <w:szCs w:val="20"/>
                <w:highlight w:val="green"/>
              </w:rPr>
            </w:pPr>
          </w:p>
        </w:tc>
      </w:tr>
      <w:tr w:rsidR="00C510C2" w:rsidRPr="00F41174" w14:paraId="78B03FF6" w14:textId="77777777" w:rsidTr="002B5D5D">
        <w:tc>
          <w:tcPr>
            <w:tcW w:w="1821" w:type="dxa"/>
            <w:shd w:val="clear" w:color="auto" w:fill="auto"/>
          </w:tcPr>
          <w:p w14:paraId="52AE1AE4"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82</w:t>
            </w:r>
          </w:p>
        </w:tc>
        <w:tc>
          <w:tcPr>
            <w:tcW w:w="1133" w:type="dxa"/>
            <w:shd w:val="clear" w:color="auto" w:fill="auto"/>
          </w:tcPr>
          <w:p w14:paraId="7C4A7AC9"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0,624</w:t>
            </w:r>
          </w:p>
        </w:tc>
        <w:tc>
          <w:tcPr>
            <w:tcW w:w="2978" w:type="dxa"/>
            <w:shd w:val="clear" w:color="auto" w:fill="auto"/>
          </w:tcPr>
          <w:p w14:paraId="505568AE"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shd w:val="clear" w:color="auto" w:fill="auto"/>
          </w:tcPr>
          <w:p w14:paraId="779DB832" w14:textId="77777777" w:rsidR="00C510C2" w:rsidRPr="00F41174" w:rsidRDefault="00C510C2" w:rsidP="00C510C2">
            <w:pPr>
              <w:pStyle w:val="1text"/>
              <w:spacing w:before="40" w:after="40"/>
              <w:jc w:val="left"/>
              <w:rPr>
                <w:b/>
                <w:sz w:val="20"/>
                <w:szCs w:val="20"/>
              </w:rPr>
            </w:pPr>
            <w:r w:rsidRPr="00F41174">
              <w:rPr>
                <w:b/>
                <w:sz w:val="20"/>
                <w:szCs w:val="20"/>
              </w:rPr>
              <w:t>plocha Z62</w:t>
            </w:r>
          </w:p>
        </w:tc>
      </w:tr>
      <w:tr w:rsidR="00C510C2" w:rsidRPr="00F41174" w14:paraId="1DC91D35" w14:textId="77777777" w:rsidTr="002B5D5D">
        <w:tc>
          <w:tcPr>
            <w:tcW w:w="1821" w:type="dxa"/>
            <w:shd w:val="clear" w:color="auto" w:fill="auto"/>
          </w:tcPr>
          <w:p w14:paraId="1C92AC7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83</w:t>
            </w:r>
          </w:p>
        </w:tc>
        <w:tc>
          <w:tcPr>
            <w:tcW w:w="1133" w:type="dxa"/>
            <w:shd w:val="clear" w:color="auto" w:fill="auto"/>
          </w:tcPr>
          <w:p w14:paraId="41F0157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0,169</w:t>
            </w:r>
          </w:p>
        </w:tc>
        <w:tc>
          <w:tcPr>
            <w:tcW w:w="2978" w:type="dxa"/>
            <w:shd w:val="clear" w:color="auto" w:fill="auto"/>
          </w:tcPr>
          <w:p w14:paraId="32738EAE"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16358201" w14:textId="77777777" w:rsidR="00C510C2" w:rsidRPr="00F41174" w:rsidRDefault="00C510C2" w:rsidP="00C510C2">
            <w:pPr>
              <w:pStyle w:val="1text"/>
              <w:spacing w:before="40" w:after="40"/>
              <w:jc w:val="left"/>
              <w:rPr>
                <w:sz w:val="20"/>
                <w:szCs w:val="20"/>
                <w:highlight w:val="green"/>
              </w:rPr>
            </w:pPr>
            <w:r w:rsidRPr="00F41174">
              <w:rPr>
                <w:sz w:val="20"/>
                <w:szCs w:val="20"/>
              </w:rPr>
              <w:t>zastavěno</w:t>
            </w:r>
          </w:p>
        </w:tc>
      </w:tr>
      <w:tr w:rsidR="00C510C2" w:rsidRPr="00F41174" w14:paraId="0825E25B" w14:textId="77777777" w:rsidTr="002B5D5D">
        <w:tc>
          <w:tcPr>
            <w:tcW w:w="1821" w:type="dxa"/>
            <w:shd w:val="clear" w:color="auto" w:fill="auto"/>
          </w:tcPr>
          <w:p w14:paraId="4772409D"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84</w:t>
            </w:r>
          </w:p>
        </w:tc>
        <w:tc>
          <w:tcPr>
            <w:tcW w:w="1133" w:type="dxa"/>
            <w:shd w:val="clear" w:color="auto" w:fill="auto"/>
          </w:tcPr>
          <w:p w14:paraId="05259005"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0,236</w:t>
            </w:r>
          </w:p>
        </w:tc>
        <w:tc>
          <w:tcPr>
            <w:tcW w:w="2978" w:type="dxa"/>
            <w:shd w:val="clear" w:color="auto" w:fill="auto"/>
          </w:tcPr>
          <w:p w14:paraId="0D12C026"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shd w:val="clear" w:color="auto" w:fill="auto"/>
          </w:tcPr>
          <w:p w14:paraId="23622B5A"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Z64</w:t>
            </w:r>
          </w:p>
        </w:tc>
      </w:tr>
      <w:tr w:rsidR="00C510C2" w:rsidRPr="00F41174" w14:paraId="0EABF8CB" w14:textId="77777777" w:rsidTr="002B5D5D">
        <w:tc>
          <w:tcPr>
            <w:tcW w:w="1821" w:type="dxa"/>
            <w:shd w:val="clear" w:color="auto" w:fill="auto"/>
          </w:tcPr>
          <w:p w14:paraId="30697B8D"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85</w:t>
            </w:r>
          </w:p>
        </w:tc>
        <w:tc>
          <w:tcPr>
            <w:tcW w:w="1133" w:type="dxa"/>
            <w:shd w:val="clear" w:color="auto" w:fill="auto"/>
          </w:tcPr>
          <w:p w14:paraId="59B5966E"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0,766</w:t>
            </w:r>
          </w:p>
        </w:tc>
        <w:tc>
          <w:tcPr>
            <w:tcW w:w="2978" w:type="dxa"/>
            <w:shd w:val="clear" w:color="auto" w:fill="auto"/>
          </w:tcPr>
          <w:p w14:paraId="2658DB5F"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39E48415" w14:textId="77777777" w:rsidR="00C510C2" w:rsidRPr="00F41174" w:rsidRDefault="00C510C2" w:rsidP="00C510C2">
            <w:pPr>
              <w:pStyle w:val="1text"/>
              <w:spacing w:before="40" w:after="40"/>
              <w:jc w:val="left"/>
              <w:rPr>
                <w:sz w:val="20"/>
                <w:szCs w:val="20"/>
              </w:rPr>
            </w:pPr>
            <w:r w:rsidRPr="00F41174">
              <w:rPr>
                <w:sz w:val="20"/>
                <w:szCs w:val="20"/>
              </w:rPr>
              <w:t>zčásti realizováno, zbývající část dle §58 a §2, odst. 1c stavebního zákona</w:t>
            </w:r>
          </w:p>
        </w:tc>
      </w:tr>
      <w:tr w:rsidR="00C510C2" w:rsidRPr="00F41174" w14:paraId="41450975" w14:textId="77777777" w:rsidTr="002B5D5D">
        <w:tc>
          <w:tcPr>
            <w:tcW w:w="1821" w:type="dxa"/>
            <w:shd w:val="clear" w:color="auto" w:fill="auto"/>
          </w:tcPr>
          <w:p w14:paraId="76742B15"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90</w:t>
            </w:r>
          </w:p>
        </w:tc>
        <w:tc>
          <w:tcPr>
            <w:tcW w:w="1133" w:type="dxa"/>
            <w:shd w:val="clear" w:color="auto" w:fill="auto"/>
          </w:tcPr>
          <w:p w14:paraId="61A5AC54"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0,008</w:t>
            </w:r>
          </w:p>
        </w:tc>
        <w:tc>
          <w:tcPr>
            <w:tcW w:w="2978" w:type="dxa"/>
            <w:shd w:val="clear" w:color="auto" w:fill="auto"/>
          </w:tcPr>
          <w:p w14:paraId="2BD0FB58"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0B4716DE"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4FC2BE7E" w14:textId="77777777" w:rsidTr="002B5D5D">
        <w:tc>
          <w:tcPr>
            <w:tcW w:w="1821" w:type="dxa"/>
            <w:shd w:val="clear" w:color="auto" w:fill="auto"/>
          </w:tcPr>
          <w:p w14:paraId="108899E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91</w:t>
            </w:r>
          </w:p>
        </w:tc>
        <w:tc>
          <w:tcPr>
            <w:tcW w:w="1133" w:type="dxa"/>
            <w:shd w:val="clear" w:color="auto" w:fill="auto"/>
          </w:tcPr>
          <w:p w14:paraId="638623CA"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0,619</w:t>
            </w:r>
          </w:p>
        </w:tc>
        <w:tc>
          <w:tcPr>
            <w:tcW w:w="2978" w:type="dxa"/>
            <w:shd w:val="clear" w:color="auto" w:fill="auto"/>
          </w:tcPr>
          <w:p w14:paraId="2C17DE8A"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2AC12C06" w14:textId="77777777" w:rsidR="00C510C2" w:rsidRPr="00F41174" w:rsidRDefault="00C510C2" w:rsidP="00C510C2">
            <w:pPr>
              <w:pStyle w:val="1text"/>
              <w:spacing w:before="40" w:after="40"/>
              <w:jc w:val="left"/>
              <w:rPr>
                <w:sz w:val="20"/>
                <w:szCs w:val="20"/>
              </w:rPr>
            </w:pPr>
            <w:r w:rsidRPr="00F41174">
              <w:rPr>
                <w:sz w:val="20"/>
                <w:szCs w:val="20"/>
              </w:rPr>
              <w:t>dle §58 a §2, odst. 1c stavebního zákona</w:t>
            </w:r>
          </w:p>
        </w:tc>
      </w:tr>
      <w:tr w:rsidR="00C510C2" w:rsidRPr="00F41174" w14:paraId="78D92553" w14:textId="77777777" w:rsidTr="002B5D5D">
        <w:tc>
          <w:tcPr>
            <w:tcW w:w="1821" w:type="dxa"/>
            <w:shd w:val="clear" w:color="auto" w:fill="auto"/>
          </w:tcPr>
          <w:p w14:paraId="7D12B93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Z12.05</w:t>
            </w:r>
          </w:p>
        </w:tc>
        <w:tc>
          <w:tcPr>
            <w:tcW w:w="1133" w:type="dxa"/>
            <w:shd w:val="clear" w:color="auto" w:fill="auto"/>
          </w:tcPr>
          <w:p w14:paraId="5258843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1,256</w:t>
            </w:r>
          </w:p>
        </w:tc>
        <w:tc>
          <w:tcPr>
            <w:tcW w:w="2978" w:type="dxa"/>
            <w:shd w:val="clear" w:color="auto" w:fill="auto"/>
          </w:tcPr>
          <w:p w14:paraId="28D4268A"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6DD754B2" w14:textId="77777777" w:rsidR="00C510C2" w:rsidRPr="00F41174" w:rsidRDefault="00C510C2" w:rsidP="00C510C2">
            <w:pPr>
              <w:pStyle w:val="1text"/>
              <w:spacing w:before="40" w:after="40"/>
              <w:jc w:val="left"/>
              <w:rPr>
                <w:sz w:val="20"/>
                <w:szCs w:val="20"/>
              </w:rPr>
            </w:pPr>
            <w:r w:rsidRPr="00F41174">
              <w:rPr>
                <w:sz w:val="20"/>
                <w:szCs w:val="20"/>
              </w:rPr>
              <w:t>zčásti realizováno, zbývající část dle §58 a §2, odst. 1c stavebního zákona</w:t>
            </w:r>
          </w:p>
        </w:tc>
      </w:tr>
      <w:tr w:rsidR="00C510C2" w:rsidRPr="00F41174" w14:paraId="4F9E2282" w14:textId="77777777" w:rsidTr="002B5D5D">
        <w:tc>
          <w:tcPr>
            <w:tcW w:w="1821" w:type="dxa"/>
            <w:shd w:val="clear" w:color="auto" w:fill="auto"/>
          </w:tcPr>
          <w:p w14:paraId="3D79DA5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Z12.16</w:t>
            </w:r>
          </w:p>
        </w:tc>
        <w:tc>
          <w:tcPr>
            <w:tcW w:w="1133" w:type="dxa"/>
            <w:shd w:val="clear" w:color="auto" w:fill="auto"/>
          </w:tcPr>
          <w:p w14:paraId="06B8FDF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0,924</w:t>
            </w:r>
          </w:p>
        </w:tc>
        <w:tc>
          <w:tcPr>
            <w:tcW w:w="2978" w:type="dxa"/>
            <w:shd w:val="clear" w:color="auto" w:fill="auto"/>
          </w:tcPr>
          <w:p w14:paraId="01F3AA7A"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7BDFB134" w14:textId="77777777" w:rsidR="00C510C2" w:rsidRPr="00F41174" w:rsidRDefault="00C510C2" w:rsidP="00C510C2">
            <w:pPr>
              <w:pStyle w:val="1text"/>
              <w:spacing w:before="40" w:after="40"/>
              <w:jc w:val="left"/>
              <w:rPr>
                <w:sz w:val="20"/>
                <w:szCs w:val="20"/>
              </w:rPr>
            </w:pPr>
            <w:r w:rsidRPr="00F41174">
              <w:rPr>
                <w:sz w:val="20"/>
                <w:szCs w:val="20"/>
              </w:rPr>
              <w:t>zčásti realizováno, zbývající část dle §58 a §2, odst. 1c stavebního zákona</w:t>
            </w:r>
          </w:p>
        </w:tc>
      </w:tr>
      <w:tr w:rsidR="00C510C2" w:rsidRPr="00F41174" w14:paraId="6F7B2114" w14:textId="77777777" w:rsidTr="002B5D5D">
        <w:tc>
          <w:tcPr>
            <w:tcW w:w="1821" w:type="dxa"/>
            <w:shd w:val="clear" w:color="auto" w:fill="auto"/>
          </w:tcPr>
          <w:p w14:paraId="009EC77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Z15.3</w:t>
            </w:r>
          </w:p>
        </w:tc>
        <w:tc>
          <w:tcPr>
            <w:tcW w:w="1133" w:type="dxa"/>
            <w:shd w:val="clear" w:color="auto" w:fill="auto"/>
          </w:tcPr>
          <w:p w14:paraId="665806AF"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0,023</w:t>
            </w:r>
          </w:p>
        </w:tc>
        <w:tc>
          <w:tcPr>
            <w:tcW w:w="2978" w:type="dxa"/>
            <w:shd w:val="clear" w:color="auto" w:fill="auto"/>
          </w:tcPr>
          <w:p w14:paraId="5A056694"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1C3D1C80" w14:textId="77777777" w:rsidR="00C510C2" w:rsidRPr="00F41174" w:rsidRDefault="00C510C2" w:rsidP="00C510C2">
            <w:pPr>
              <w:pStyle w:val="1text"/>
              <w:spacing w:before="40" w:after="40"/>
              <w:jc w:val="left"/>
              <w:rPr>
                <w:sz w:val="20"/>
                <w:szCs w:val="20"/>
                <w:highlight w:val="green"/>
              </w:rPr>
            </w:pPr>
            <w:r w:rsidRPr="00F41174">
              <w:rPr>
                <w:sz w:val="20"/>
                <w:szCs w:val="20"/>
              </w:rPr>
              <w:t>zastavěno</w:t>
            </w:r>
          </w:p>
        </w:tc>
      </w:tr>
      <w:tr w:rsidR="00C510C2" w:rsidRPr="00F41174" w14:paraId="5E6D925B" w14:textId="77777777" w:rsidTr="002B5D5D">
        <w:tc>
          <w:tcPr>
            <w:tcW w:w="9050" w:type="dxa"/>
            <w:gridSpan w:val="4"/>
            <w:shd w:val="clear" w:color="auto" w:fill="auto"/>
            <w:vAlign w:val="bottom"/>
          </w:tcPr>
          <w:p w14:paraId="61B10083" w14:textId="77777777" w:rsidR="00C510C2" w:rsidRPr="00F41174" w:rsidRDefault="00C510C2" w:rsidP="00C510C2">
            <w:pPr>
              <w:pStyle w:val="1text"/>
              <w:spacing w:before="40" w:after="40"/>
              <w:jc w:val="left"/>
              <w:rPr>
                <w:sz w:val="20"/>
                <w:szCs w:val="20"/>
              </w:rPr>
            </w:pPr>
            <w:r w:rsidRPr="00F41174">
              <w:rPr>
                <w:sz w:val="20"/>
                <w:szCs w:val="20"/>
              </w:rPr>
              <w:t>Plochy bydlení</w:t>
            </w:r>
          </w:p>
        </w:tc>
      </w:tr>
      <w:tr w:rsidR="00C510C2" w:rsidRPr="00F41174" w14:paraId="0C5BFB37" w14:textId="77777777" w:rsidTr="002B5D5D">
        <w:tc>
          <w:tcPr>
            <w:tcW w:w="1821" w:type="dxa"/>
            <w:shd w:val="clear" w:color="auto" w:fill="auto"/>
          </w:tcPr>
          <w:p w14:paraId="2C94951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71</w:t>
            </w:r>
          </w:p>
        </w:tc>
        <w:tc>
          <w:tcPr>
            <w:tcW w:w="1133" w:type="dxa"/>
            <w:shd w:val="clear" w:color="auto" w:fill="auto"/>
          </w:tcPr>
          <w:p w14:paraId="5B273EC8"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0,669</w:t>
            </w:r>
          </w:p>
        </w:tc>
        <w:tc>
          <w:tcPr>
            <w:tcW w:w="2978" w:type="dxa"/>
            <w:shd w:val="clear" w:color="auto" w:fill="auto"/>
          </w:tcPr>
          <w:p w14:paraId="0BA072CC" w14:textId="77777777" w:rsidR="00C510C2" w:rsidRPr="00F41174" w:rsidRDefault="00C510C2" w:rsidP="00C510C2">
            <w:pPr>
              <w:spacing w:before="40" w:after="40"/>
              <w:rPr>
                <w:rFonts w:eastAsia="Calibri"/>
                <w:sz w:val="20"/>
                <w:szCs w:val="20"/>
              </w:rPr>
            </w:pPr>
            <w:r w:rsidRPr="00F41174">
              <w:rPr>
                <w:rFonts w:eastAsia="Calibri"/>
                <w:sz w:val="20"/>
                <w:szCs w:val="20"/>
              </w:rPr>
              <w:t>z převážné části záměr vypuštěn, zbývající část vymezena jako stabilizovaná plocha</w:t>
            </w:r>
          </w:p>
        </w:tc>
        <w:tc>
          <w:tcPr>
            <w:tcW w:w="3118" w:type="dxa"/>
            <w:shd w:val="clear" w:color="auto" w:fill="auto"/>
          </w:tcPr>
          <w:p w14:paraId="2560C46B" w14:textId="77777777" w:rsidR="00C510C2" w:rsidRPr="00F41174" w:rsidRDefault="00C510C2" w:rsidP="00C510C2">
            <w:pPr>
              <w:pStyle w:val="1text"/>
              <w:spacing w:before="40" w:after="40"/>
              <w:jc w:val="left"/>
              <w:rPr>
                <w:sz w:val="20"/>
                <w:szCs w:val="20"/>
              </w:rPr>
            </w:pPr>
            <w:r w:rsidRPr="00F41174">
              <w:rPr>
                <w:sz w:val="20"/>
                <w:szCs w:val="20"/>
              </w:rPr>
              <w:t>část přičleněna pod společné oplocení (§58 a §2, odst. 1c stavebního zákona)</w:t>
            </w:r>
          </w:p>
        </w:tc>
      </w:tr>
      <w:tr w:rsidR="00C510C2" w:rsidRPr="00F41174" w14:paraId="4A6798B4" w14:textId="77777777" w:rsidTr="002B5D5D">
        <w:tc>
          <w:tcPr>
            <w:tcW w:w="1821" w:type="dxa"/>
            <w:shd w:val="clear" w:color="auto" w:fill="auto"/>
          </w:tcPr>
          <w:p w14:paraId="3FC1254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72</w:t>
            </w:r>
          </w:p>
        </w:tc>
        <w:tc>
          <w:tcPr>
            <w:tcW w:w="1133" w:type="dxa"/>
            <w:shd w:val="clear" w:color="auto" w:fill="auto"/>
          </w:tcPr>
          <w:p w14:paraId="6FBEF1E5"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0,695</w:t>
            </w:r>
          </w:p>
        </w:tc>
        <w:tc>
          <w:tcPr>
            <w:tcW w:w="2978" w:type="dxa"/>
            <w:shd w:val="clear" w:color="auto" w:fill="auto"/>
          </w:tcPr>
          <w:p w14:paraId="0B52E2BE" w14:textId="77777777" w:rsidR="00C510C2" w:rsidRPr="00F41174" w:rsidRDefault="00C510C2" w:rsidP="00C510C2">
            <w:pPr>
              <w:spacing w:before="40" w:after="40"/>
              <w:rPr>
                <w:rFonts w:eastAsia="Calibri"/>
                <w:sz w:val="20"/>
                <w:szCs w:val="20"/>
              </w:rPr>
            </w:pPr>
            <w:r w:rsidRPr="00F41174">
              <w:rPr>
                <w:rFonts w:eastAsia="Calibri"/>
                <w:sz w:val="20"/>
                <w:szCs w:val="20"/>
              </w:rPr>
              <w:t>z převážné části záměr vypuštěn, zbývající část vymezena jako stabilizovaná plocha</w:t>
            </w:r>
          </w:p>
        </w:tc>
        <w:tc>
          <w:tcPr>
            <w:tcW w:w="3118" w:type="dxa"/>
            <w:shd w:val="clear" w:color="auto" w:fill="auto"/>
          </w:tcPr>
          <w:p w14:paraId="05D152F1" w14:textId="77777777" w:rsidR="00C510C2" w:rsidRPr="00F41174" w:rsidRDefault="00C510C2" w:rsidP="00C510C2">
            <w:pPr>
              <w:pStyle w:val="1text"/>
              <w:spacing w:before="40" w:after="40"/>
              <w:jc w:val="left"/>
              <w:rPr>
                <w:sz w:val="20"/>
                <w:szCs w:val="20"/>
              </w:rPr>
            </w:pPr>
            <w:r w:rsidRPr="00F41174">
              <w:rPr>
                <w:sz w:val="20"/>
                <w:szCs w:val="20"/>
              </w:rPr>
              <w:t>část přičleněna pod společné oplocení (§58 a §2, odst. 1c stavebního zákona)</w:t>
            </w:r>
          </w:p>
        </w:tc>
      </w:tr>
      <w:tr w:rsidR="00C510C2" w:rsidRPr="00F41174" w14:paraId="367F8463" w14:textId="77777777" w:rsidTr="002B5D5D">
        <w:tc>
          <w:tcPr>
            <w:tcW w:w="1821" w:type="dxa"/>
            <w:shd w:val="clear" w:color="auto" w:fill="auto"/>
          </w:tcPr>
          <w:p w14:paraId="035A113A"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Z12.23</w:t>
            </w:r>
          </w:p>
        </w:tc>
        <w:tc>
          <w:tcPr>
            <w:tcW w:w="1133" w:type="dxa"/>
            <w:shd w:val="clear" w:color="auto" w:fill="auto"/>
          </w:tcPr>
          <w:p w14:paraId="31539DC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0,372</w:t>
            </w:r>
          </w:p>
        </w:tc>
        <w:tc>
          <w:tcPr>
            <w:tcW w:w="2978" w:type="dxa"/>
            <w:shd w:val="clear" w:color="auto" w:fill="auto"/>
          </w:tcPr>
          <w:p w14:paraId="6FD80473"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4D2F9BF9"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78E11D5C" w14:textId="77777777" w:rsidTr="002B5D5D">
        <w:tc>
          <w:tcPr>
            <w:tcW w:w="9050" w:type="dxa"/>
            <w:gridSpan w:val="4"/>
            <w:shd w:val="clear" w:color="auto" w:fill="auto"/>
          </w:tcPr>
          <w:p w14:paraId="55069724" w14:textId="77777777" w:rsidR="00C510C2" w:rsidRPr="00F41174" w:rsidRDefault="00C510C2" w:rsidP="00C510C2">
            <w:pPr>
              <w:pStyle w:val="1text"/>
              <w:spacing w:before="40" w:after="40"/>
              <w:jc w:val="left"/>
              <w:rPr>
                <w:sz w:val="20"/>
                <w:szCs w:val="20"/>
              </w:rPr>
            </w:pPr>
            <w:r w:rsidRPr="00F41174">
              <w:rPr>
                <w:sz w:val="20"/>
                <w:szCs w:val="20"/>
              </w:rPr>
              <w:t>Plochy občanského vybavení</w:t>
            </w:r>
          </w:p>
        </w:tc>
      </w:tr>
      <w:tr w:rsidR="00C510C2" w:rsidRPr="00F41174" w14:paraId="4E29F726" w14:textId="77777777" w:rsidTr="002B5D5D">
        <w:tc>
          <w:tcPr>
            <w:tcW w:w="1821" w:type="dxa"/>
            <w:shd w:val="clear" w:color="auto" w:fill="auto"/>
          </w:tcPr>
          <w:p w14:paraId="6F30581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lastRenderedPageBreak/>
              <w:t>Z12.31</w:t>
            </w:r>
          </w:p>
        </w:tc>
        <w:tc>
          <w:tcPr>
            <w:tcW w:w="1133" w:type="dxa"/>
            <w:shd w:val="clear" w:color="auto" w:fill="auto"/>
          </w:tcPr>
          <w:p w14:paraId="2CB06C5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0,129</w:t>
            </w:r>
          </w:p>
        </w:tc>
        <w:tc>
          <w:tcPr>
            <w:tcW w:w="2978" w:type="dxa"/>
            <w:shd w:val="clear" w:color="auto" w:fill="auto"/>
          </w:tcPr>
          <w:p w14:paraId="0739BE99"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4D519766"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5758BC84" w14:textId="77777777" w:rsidTr="002B5D5D">
        <w:tc>
          <w:tcPr>
            <w:tcW w:w="9050" w:type="dxa"/>
            <w:gridSpan w:val="4"/>
            <w:shd w:val="clear" w:color="auto" w:fill="auto"/>
          </w:tcPr>
          <w:p w14:paraId="3AFB5781" w14:textId="77777777" w:rsidR="00C510C2" w:rsidRPr="00F41174" w:rsidRDefault="00C510C2" w:rsidP="00C510C2">
            <w:pPr>
              <w:pStyle w:val="1text"/>
              <w:spacing w:before="40" w:after="40"/>
              <w:jc w:val="left"/>
              <w:rPr>
                <w:sz w:val="20"/>
                <w:szCs w:val="20"/>
              </w:rPr>
            </w:pPr>
            <w:r w:rsidRPr="00F41174">
              <w:rPr>
                <w:sz w:val="20"/>
                <w:szCs w:val="20"/>
              </w:rPr>
              <w:t>Plochy dopravní infrastruktury</w:t>
            </w:r>
          </w:p>
        </w:tc>
      </w:tr>
      <w:tr w:rsidR="00C510C2" w:rsidRPr="00F41174" w14:paraId="782B5968" w14:textId="77777777" w:rsidTr="002B5D5D">
        <w:tc>
          <w:tcPr>
            <w:tcW w:w="1821" w:type="dxa"/>
            <w:tcBorders>
              <w:bottom w:val="single" w:sz="12" w:space="0" w:color="auto"/>
            </w:tcBorders>
            <w:shd w:val="clear" w:color="auto" w:fill="auto"/>
          </w:tcPr>
          <w:p w14:paraId="0244E6D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74</w:t>
            </w:r>
          </w:p>
        </w:tc>
        <w:tc>
          <w:tcPr>
            <w:tcW w:w="1133" w:type="dxa"/>
            <w:tcBorders>
              <w:bottom w:val="single" w:sz="12" w:space="0" w:color="auto"/>
            </w:tcBorders>
            <w:shd w:val="clear" w:color="auto" w:fill="auto"/>
          </w:tcPr>
          <w:p w14:paraId="2858027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0,017</w:t>
            </w:r>
          </w:p>
        </w:tc>
        <w:tc>
          <w:tcPr>
            <w:tcW w:w="2978" w:type="dxa"/>
            <w:tcBorders>
              <w:bottom w:val="single" w:sz="12" w:space="0" w:color="auto"/>
            </w:tcBorders>
            <w:shd w:val="clear" w:color="auto" w:fill="auto"/>
          </w:tcPr>
          <w:p w14:paraId="5362A86E"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tcBorders>
              <w:bottom w:val="single" w:sz="12" w:space="0" w:color="auto"/>
            </w:tcBorders>
            <w:shd w:val="clear" w:color="auto" w:fill="auto"/>
          </w:tcPr>
          <w:p w14:paraId="0AE46CB7" w14:textId="77777777" w:rsidR="00C510C2" w:rsidRPr="00F41174" w:rsidRDefault="00C510C2" w:rsidP="00C510C2">
            <w:pPr>
              <w:pStyle w:val="1text"/>
              <w:spacing w:before="40" w:after="40"/>
              <w:jc w:val="left"/>
              <w:rPr>
                <w:sz w:val="20"/>
                <w:szCs w:val="20"/>
                <w:highlight w:val="green"/>
              </w:rPr>
            </w:pPr>
          </w:p>
        </w:tc>
      </w:tr>
      <w:tr w:rsidR="00C510C2" w:rsidRPr="00F41174" w14:paraId="65A9C87D" w14:textId="77777777" w:rsidTr="002B5D5D">
        <w:tc>
          <w:tcPr>
            <w:tcW w:w="1821" w:type="dxa"/>
            <w:tcBorders>
              <w:top w:val="single" w:sz="12" w:space="0" w:color="auto"/>
              <w:left w:val="single" w:sz="12" w:space="0" w:color="auto"/>
            </w:tcBorders>
            <w:shd w:val="clear" w:color="auto" w:fill="auto"/>
          </w:tcPr>
          <w:p w14:paraId="3211DC13"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sz w:val="20"/>
                <w:szCs w:val="20"/>
                <w:lang w:eastAsia="cs-CZ"/>
              </w:rPr>
              <w:t>CELKEM K.U. LOUČNÁ</w:t>
            </w:r>
          </w:p>
        </w:tc>
        <w:tc>
          <w:tcPr>
            <w:tcW w:w="7229" w:type="dxa"/>
            <w:gridSpan w:val="3"/>
            <w:tcBorders>
              <w:top w:val="single" w:sz="12" w:space="0" w:color="auto"/>
              <w:right w:val="single" w:sz="12" w:space="0" w:color="auto"/>
            </w:tcBorders>
            <w:shd w:val="clear" w:color="auto" w:fill="auto"/>
          </w:tcPr>
          <w:p w14:paraId="723490F4" w14:textId="77777777" w:rsidR="00C510C2" w:rsidRPr="00F41174" w:rsidRDefault="00C510C2" w:rsidP="00C510C2">
            <w:pPr>
              <w:pStyle w:val="1text"/>
              <w:spacing w:before="40" w:after="40"/>
              <w:jc w:val="left"/>
              <w:rPr>
                <w:b/>
                <w:sz w:val="20"/>
                <w:szCs w:val="20"/>
                <w:highlight w:val="green"/>
              </w:rPr>
            </w:pPr>
            <w:r w:rsidRPr="00F41174">
              <w:rPr>
                <w:rFonts w:eastAsia="Times New Roman"/>
                <w:b/>
                <w:color w:val="000000"/>
                <w:sz w:val="20"/>
                <w:szCs w:val="20"/>
                <w:lang w:eastAsia="cs-CZ"/>
              </w:rPr>
              <w:t>7,013</w:t>
            </w:r>
          </w:p>
        </w:tc>
      </w:tr>
      <w:tr w:rsidR="00C510C2" w:rsidRPr="00F41174" w14:paraId="5CE2FC86" w14:textId="77777777" w:rsidTr="002B5D5D">
        <w:tc>
          <w:tcPr>
            <w:tcW w:w="1821" w:type="dxa"/>
            <w:vMerge w:val="restart"/>
            <w:tcBorders>
              <w:left w:val="single" w:sz="12" w:space="0" w:color="auto"/>
            </w:tcBorders>
            <w:shd w:val="clear" w:color="auto" w:fill="auto"/>
          </w:tcPr>
          <w:p w14:paraId="3D7D5A52"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z toho:</w:t>
            </w:r>
          </w:p>
        </w:tc>
        <w:tc>
          <w:tcPr>
            <w:tcW w:w="1133" w:type="dxa"/>
            <w:shd w:val="clear" w:color="auto" w:fill="auto"/>
          </w:tcPr>
          <w:p w14:paraId="0CFEDFBF"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0,860 ha</w:t>
            </w:r>
          </w:p>
        </w:tc>
        <w:tc>
          <w:tcPr>
            <w:tcW w:w="6096" w:type="dxa"/>
            <w:gridSpan w:val="2"/>
            <w:tcBorders>
              <w:right w:val="single" w:sz="12" w:space="0" w:color="auto"/>
            </w:tcBorders>
            <w:shd w:val="clear" w:color="auto" w:fill="auto"/>
          </w:tcPr>
          <w:p w14:paraId="28DA61B4" w14:textId="77777777" w:rsidR="00C510C2" w:rsidRPr="00F41174" w:rsidRDefault="00C510C2" w:rsidP="00C510C2">
            <w:pPr>
              <w:pStyle w:val="1text"/>
              <w:spacing w:before="40" w:after="40"/>
              <w:jc w:val="left"/>
              <w:rPr>
                <w:sz w:val="20"/>
                <w:szCs w:val="20"/>
              </w:rPr>
            </w:pPr>
            <w:r w:rsidRPr="00F41174">
              <w:rPr>
                <w:b/>
                <w:sz w:val="20"/>
                <w:szCs w:val="20"/>
              </w:rPr>
              <w:t>záborů ZPF převzato</w:t>
            </w:r>
          </w:p>
        </w:tc>
      </w:tr>
      <w:tr w:rsidR="00C510C2" w:rsidRPr="00F41174" w14:paraId="2EDF09D2" w14:textId="77777777" w:rsidTr="002B5D5D">
        <w:tc>
          <w:tcPr>
            <w:tcW w:w="1821" w:type="dxa"/>
            <w:vMerge/>
            <w:tcBorders>
              <w:left w:val="single" w:sz="12" w:space="0" w:color="auto"/>
            </w:tcBorders>
            <w:shd w:val="clear" w:color="auto" w:fill="auto"/>
          </w:tcPr>
          <w:p w14:paraId="0AFE7B1F"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shd w:val="clear" w:color="auto" w:fill="auto"/>
          </w:tcPr>
          <w:p w14:paraId="5FC610F4"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4,501 ha</w:t>
            </w:r>
          </w:p>
        </w:tc>
        <w:tc>
          <w:tcPr>
            <w:tcW w:w="6096" w:type="dxa"/>
            <w:gridSpan w:val="2"/>
            <w:tcBorders>
              <w:right w:val="single" w:sz="12" w:space="0" w:color="auto"/>
            </w:tcBorders>
            <w:shd w:val="clear" w:color="auto" w:fill="auto"/>
          </w:tcPr>
          <w:p w14:paraId="4C853F6D" w14:textId="77777777" w:rsidR="00C510C2" w:rsidRPr="00F41174" w:rsidRDefault="00C510C2" w:rsidP="00C510C2">
            <w:pPr>
              <w:pStyle w:val="1text"/>
              <w:spacing w:before="40" w:after="40"/>
              <w:jc w:val="left"/>
              <w:rPr>
                <w:sz w:val="20"/>
                <w:szCs w:val="20"/>
              </w:rPr>
            </w:pPr>
            <w:r w:rsidRPr="00F41174">
              <w:rPr>
                <w:b/>
                <w:sz w:val="20"/>
                <w:szCs w:val="20"/>
              </w:rPr>
              <w:t>záborů ZPF vymezeno jako stabilizovaná plocha</w:t>
            </w:r>
          </w:p>
        </w:tc>
      </w:tr>
      <w:tr w:rsidR="00C510C2" w:rsidRPr="00F41174" w14:paraId="309CACB4" w14:textId="77777777" w:rsidTr="002B5D5D">
        <w:tc>
          <w:tcPr>
            <w:tcW w:w="1821" w:type="dxa"/>
            <w:vMerge/>
            <w:tcBorders>
              <w:left w:val="single" w:sz="12" w:space="0" w:color="auto"/>
              <w:bottom w:val="single" w:sz="12" w:space="0" w:color="auto"/>
            </w:tcBorders>
            <w:shd w:val="clear" w:color="auto" w:fill="auto"/>
          </w:tcPr>
          <w:p w14:paraId="3D88933B"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auto"/>
          </w:tcPr>
          <w:p w14:paraId="3B852563"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1,652 ha</w:t>
            </w:r>
          </w:p>
        </w:tc>
        <w:tc>
          <w:tcPr>
            <w:tcW w:w="6096" w:type="dxa"/>
            <w:gridSpan w:val="2"/>
            <w:tcBorders>
              <w:bottom w:val="single" w:sz="12" w:space="0" w:color="auto"/>
              <w:right w:val="single" w:sz="12" w:space="0" w:color="auto"/>
            </w:tcBorders>
            <w:shd w:val="clear" w:color="auto" w:fill="auto"/>
          </w:tcPr>
          <w:p w14:paraId="7DF81077" w14:textId="77777777" w:rsidR="00C510C2" w:rsidRPr="00F41174" w:rsidRDefault="00C510C2" w:rsidP="00C510C2">
            <w:pPr>
              <w:pStyle w:val="1text"/>
              <w:spacing w:before="40" w:after="40"/>
              <w:jc w:val="left"/>
              <w:rPr>
                <w:sz w:val="20"/>
                <w:szCs w:val="20"/>
              </w:rPr>
            </w:pPr>
            <w:r w:rsidRPr="00F41174">
              <w:rPr>
                <w:b/>
                <w:sz w:val="20"/>
                <w:szCs w:val="20"/>
              </w:rPr>
              <w:t>záborů ZPF vypuštěno</w:t>
            </w:r>
          </w:p>
        </w:tc>
      </w:tr>
      <w:tr w:rsidR="00C510C2" w:rsidRPr="00F41174" w14:paraId="0874836D" w14:textId="77777777" w:rsidTr="002B5D5D">
        <w:tc>
          <w:tcPr>
            <w:tcW w:w="9050" w:type="dxa"/>
            <w:gridSpan w:val="4"/>
            <w:tcBorders>
              <w:top w:val="single" w:sz="12" w:space="0" w:color="auto"/>
            </w:tcBorders>
            <w:shd w:val="clear" w:color="auto" w:fill="D9D9D9"/>
            <w:vAlign w:val="bottom"/>
          </w:tcPr>
          <w:p w14:paraId="059A3875" w14:textId="77777777" w:rsidR="00C510C2" w:rsidRPr="00F41174" w:rsidRDefault="00C510C2" w:rsidP="00C510C2">
            <w:pPr>
              <w:pStyle w:val="1text"/>
              <w:spacing w:before="40" w:after="40"/>
              <w:jc w:val="left"/>
              <w:rPr>
                <w:b/>
                <w:sz w:val="20"/>
                <w:szCs w:val="20"/>
              </w:rPr>
            </w:pPr>
            <w:r w:rsidRPr="00F41174">
              <w:rPr>
                <w:b/>
                <w:sz w:val="20"/>
                <w:szCs w:val="20"/>
              </w:rPr>
              <w:t>K.Ú. OLDŘICHOV NA HRANICÍCH</w:t>
            </w:r>
          </w:p>
        </w:tc>
      </w:tr>
      <w:tr w:rsidR="00C510C2" w:rsidRPr="00F41174" w14:paraId="2718A21D" w14:textId="77777777" w:rsidTr="002B5D5D">
        <w:tc>
          <w:tcPr>
            <w:tcW w:w="9050" w:type="dxa"/>
            <w:gridSpan w:val="4"/>
            <w:shd w:val="clear" w:color="auto" w:fill="auto"/>
            <w:vAlign w:val="bottom"/>
          </w:tcPr>
          <w:p w14:paraId="78E2926F" w14:textId="77777777" w:rsidR="00C510C2" w:rsidRPr="00F41174" w:rsidRDefault="00C510C2" w:rsidP="00C510C2">
            <w:pPr>
              <w:pStyle w:val="1text"/>
              <w:spacing w:before="40" w:after="40"/>
              <w:jc w:val="left"/>
              <w:rPr>
                <w:sz w:val="20"/>
                <w:szCs w:val="20"/>
              </w:rPr>
            </w:pPr>
            <w:r w:rsidRPr="00F41174">
              <w:rPr>
                <w:sz w:val="20"/>
                <w:szCs w:val="20"/>
              </w:rPr>
              <w:t>Plochy smíšené obytné</w:t>
            </w:r>
          </w:p>
        </w:tc>
      </w:tr>
      <w:tr w:rsidR="00C510C2" w:rsidRPr="00F41174" w14:paraId="45AF51C5" w14:textId="77777777" w:rsidTr="002B5D5D">
        <w:tc>
          <w:tcPr>
            <w:tcW w:w="1821" w:type="dxa"/>
            <w:shd w:val="clear" w:color="auto" w:fill="auto"/>
          </w:tcPr>
          <w:p w14:paraId="770FFAB0"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173</w:t>
            </w:r>
          </w:p>
        </w:tc>
        <w:tc>
          <w:tcPr>
            <w:tcW w:w="1133" w:type="dxa"/>
            <w:shd w:val="clear" w:color="auto" w:fill="auto"/>
          </w:tcPr>
          <w:p w14:paraId="3B112F12"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0,389</w:t>
            </w:r>
          </w:p>
        </w:tc>
        <w:tc>
          <w:tcPr>
            <w:tcW w:w="2978" w:type="dxa"/>
            <w:shd w:val="clear" w:color="auto" w:fill="auto"/>
          </w:tcPr>
          <w:p w14:paraId="1D478634"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shd w:val="clear" w:color="auto" w:fill="auto"/>
          </w:tcPr>
          <w:p w14:paraId="5BF4495D" w14:textId="77777777" w:rsidR="00C510C2" w:rsidRPr="00F41174" w:rsidRDefault="00C510C2" w:rsidP="00C510C2">
            <w:pPr>
              <w:pStyle w:val="1text"/>
              <w:spacing w:before="40" w:after="40"/>
              <w:jc w:val="left"/>
              <w:rPr>
                <w:b/>
                <w:sz w:val="20"/>
                <w:szCs w:val="20"/>
              </w:rPr>
            </w:pPr>
            <w:r w:rsidRPr="00F41174">
              <w:rPr>
                <w:b/>
                <w:sz w:val="20"/>
                <w:szCs w:val="20"/>
              </w:rPr>
              <w:t>plocha Z38</w:t>
            </w:r>
          </w:p>
        </w:tc>
      </w:tr>
      <w:tr w:rsidR="00C510C2" w:rsidRPr="00F41174" w14:paraId="7E32A317" w14:textId="77777777" w:rsidTr="002B5D5D">
        <w:tc>
          <w:tcPr>
            <w:tcW w:w="1821" w:type="dxa"/>
            <w:shd w:val="clear" w:color="auto" w:fill="auto"/>
          </w:tcPr>
          <w:p w14:paraId="71E0DC5D"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174</w:t>
            </w:r>
          </w:p>
        </w:tc>
        <w:tc>
          <w:tcPr>
            <w:tcW w:w="1133" w:type="dxa"/>
            <w:shd w:val="clear" w:color="auto" w:fill="auto"/>
          </w:tcPr>
          <w:p w14:paraId="5A72C7E8"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0,205</w:t>
            </w:r>
          </w:p>
        </w:tc>
        <w:tc>
          <w:tcPr>
            <w:tcW w:w="2978" w:type="dxa"/>
            <w:shd w:val="clear" w:color="auto" w:fill="auto"/>
          </w:tcPr>
          <w:p w14:paraId="006BED52"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 v malé části vymezeno jako stabilizovaná plocha</w:t>
            </w:r>
          </w:p>
        </w:tc>
        <w:tc>
          <w:tcPr>
            <w:tcW w:w="3118" w:type="dxa"/>
            <w:shd w:val="clear" w:color="auto" w:fill="auto"/>
          </w:tcPr>
          <w:p w14:paraId="477C14B1" w14:textId="77777777" w:rsidR="00C510C2" w:rsidRPr="00F41174" w:rsidRDefault="00C510C2" w:rsidP="00C510C2">
            <w:pPr>
              <w:pStyle w:val="1text"/>
              <w:spacing w:before="40" w:after="40"/>
              <w:jc w:val="left"/>
              <w:rPr>
                <w:sz w:val="20"/>
                <w:szCs w:val="20"/>
              </w:rPr>
            </w:pPr>
            <w:r w:rsidRPr="00F41174">
              <w:rPr>
                <w:sz w:val="20"/>
                <w:szCs w:val="20"/>
              </w:rPr>
              <w:t>dle §58 a §2, odst. 1c stavebního zákona</w:t>
            </w:r>
          </w:p>
        </w:tc>
      </w:tr>
      <w:tr w:rsidR="00C510C2" w:rsidRPr="00F41174" w14:paraId="095F0311" w14:textId="77777777" w:rsidTr="002B5D5D">
        <w:tc>
          <w:tcPr>
            <w:tcW w:w="1821" w:type="dxa"/>
            <w:shd w:val="clear" w:color="auto" w:fill="auto"/>
          </w:tcPr>
          <w:p w14:paraId="77A79806"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175</w:t>
            </w:r>
          </w:p>
        </w:tc>
        <w:tc>
          <w:tcPr>
            <w:tcW w:w="1133" w:type="dxa"/>
            <w:shd w:val="clear" w:color="auto" w:fill="auto"/>
          </w:tcPr>
          <w:p w14:paraId="738002F5"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0,257</w:t>
            </w:r>
          </w:p>
        </w:tc>
        <w:tc>
          <w:tcPr>
            <w:tcW w:w="2978" w:type="dxa"/>
            <w:shd w:val="clear" w:color="auto" w:fill="auto"/>
          </w:tcPr>
          <w:p w14:paraId="10FE56AF"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08503DC9" w14:textId="77777777" w:rsidR="00C510C2" w:rsidRPr="00F41174" w:rsidRDefault="00C510C2" w:rsidP="00C510C2">
            <w:pPr>
              <w:pStyle w:val="1text"/>
              <w:spacing w:before="40" w:after="40"/>
              <w:jc w:val="left"/>
              <w:rPr>
                <w:sz w:val="20"/>
                <w:szCs w:val="20"/>
                <w:highlight w:val="green"/>
              </w:rPr>
            </w:pPr>
            <w:r w:rsidRPr="00F41174">
              <w:rPr>
                <w:sz w:val="20"/>
                <w:szCs w:val="20"/>
              </w:rPr>
              <w:t>zastavěno</w:t>
            </w:r>
          </w:p>
        </w:tc>
      </w:tr>
      <w:tr w:rsidR="00C510C2" w:rsidRPr="00F41174" w14:paraId="0AA95301" w14:textId="77777777" w:rsidTr="002B5D5D">
        <w:tc>
          <w:tcPr>
            <w:tcW w:w="1821" w:type="dxa"/>
            <w:shd w:val="clear" w:color="auto" w:fill="auto"/>
          </w:tcPr>
          <w:p w14:paraId="1D055BC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176</w:t>
            </w:r>
          </w:p>
        </w:tc>
        <w:tc>
          <w:tcPr>
            <w:tcW w:w="1133" w:type="dxa"/>
            <w:shd w:val="clear" w:color="auto" w:fill="auto"/>
          </w:tcPr>
          <w:p w14:paraId="719D8D8B"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0,276</w:t>
            </w:r>
          </w:p>
        </w:tc>
        <w:tc>
          <w:tcPr>
            <w:tcW w:w="2978" w:type="dxa"/>
            <w:shd w:val="clear" w:color="auto" w:fill="auto"/>
          </w:tcPr>
          <w:p w14:paraId="444C018F"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2E4B2BA"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6C10DCB3" w14:textId="77777777" w:rsidTr="002B5D5D">
        <w:tc>
          <w:tcPr>
            <w:tcW w:w="1821" w:type="dxa"/>
            <w:shd w:val="clear" w:color="auto" w:fill="auto"/>
          </w:tcPr>
          <w:p w14:paraId="1CE2012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177</w:t>
            </w:r>
          </w:p>
        </w:tc>
        <w:tc>
          <w:tcPr>
            <w:tcW w:w="1133" w:type="dxa"/>
            <w:shd w:val="clear" w:color="auto" w:fill="auto"/>
          </w:tcPr>
          <w:p w14:paraId="2552894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0,193</w:t>
            </w:r>
          </w:p>
        </w:tc>
        <w:tc>
          <w:tcPr>
            <w:tcW w:w="2978" w:type="dxa"/>
            <w:shd w:val="clear" w:color="auto" w:fill="auto"/>
          </w:tcPr>
          <w:p w14:paraId="6A68983E"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49A5789C"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187D380B" w14:textId="77777777" w:rsidTr="002B5D5D">
        <w:tc>
          <w:tcPr>
            <w:tcW w:w="1821" w:type="dxa"/>
            <w:shd w:val="clear" w:color="auto" w:fill="auto"/>
          </w:tcPr>
          <w:p w14:paraId="5DEFABAC"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178</w:t>
            </w:r>
          </w:p>
        </w:tc>
        <w:tc>
          <w:tcPr>
            <w:tcW w:w="1133" w:type="dxa"/>
            <w:shd w:val="clear" w:color="auto" w:fill="auto"/>
          </w:tcPr>
          <w:p w14:paraId="4E99CE0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0,241</w:t>
            </w:r>
          </w:p>
        </w:tc>
        <w:tc>
          <w:tcPr>
            <w:tcW w:w="2978" w:type="dxa"/>
            <w:shd w:val="clear" w:color="auto" w:fill="auto"/>
          </w:tcPr>
          <w:p w14:paraId="7D810B79"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AA21E9C"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168B52E8" w14:textId="77777777" w:rsidTr="002B5D5D">
        <w:tc>
          <w:tcPr>
            <w:tcW w:w="1821" w:type="dxa"/>
            <w:shd w:val="clear" w:color="auto" w:fill="auto"/>
          </w:tcPr>
          <w:p w14:paraId="16DBAAA8"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Z12.08</w:t>
            </w:r>
          </w:p>
        </w:tc>
        <w:tc>
          <w:tcPr>
            <w:tcW w:w="1133" w:type="dxa"/>
            <w:shd w:val="clear" w:color="auto" w:fill="auto"/>
          </w:tcPr>
          <w:p w14:paraId="042EAC6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0,211</w:t>
            </w:r>
          </w:p>
        </w:tc>
        <w:tc>
          <w:tcPr>
            <w:tcW w:w="2978" w:type="dxa"/>
            <w:shd w:val="clear" w:color="auto" w:fill="auto"/>
          </w:tcPr>
          <w:p w14:paraId="0D9895D5"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1B8B883"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1221F96E" w14:textId="77777777" w:rsidTr="002B5D5D">
        <w:tc>
          <w:tcPr>
            <w:tcW w:w="1821" w:type="dxa"/>
            <w:shd w:val="clear" w:color="auto" w:fill="auto"/>
          </w:tcPr>
          <w:p w14:paraId="79F85589"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Z17.3a</w:t>
            </w:r>
          </w:p>
        </w:tc>
        <w:tc>
          <w:tcPr>
            <w:tcW w:w="1133" w:type="dxa"/>
            <w:shd w:val="clear" w:color="auto" w:fill="auto"/>
          </w:tcPr>
          <w:p w14:paraId="46F65F0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0,065</w:t>
            </w:r>
          </w:p>
        </w:tc>
        <w:tc>
          <w:tcPr>
            <w:tcW w:w="2978" w:type="dxa"/>
            <w:shd w:val="clear" w:color="auto" w:fill="auto"/>
          </w:tcPr>
          <w:p w14:paraId="74A79B7A"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D0489A9"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637DBF7C" w14:textId="77777777" w:rsidTr="002B5D5D">
        <w:tc>
          <w:tcPr>
            <w:tcW w:w="9050" w:type="dxa"/>
            <w:gridSpan w:val="4"/>
            <w:shd w:val="clear" w:color="auto" w:fill="auto"/>
            <w:vAlign w:val="bottom"/>
          </w:tcPr>
          <w:p w14:paraId="3C6AAD0E" w14:textId="77777777" w:rsidR="00C510C2" w:rsidRPr="00F41174" w:rsidRDefault="00C510C2" w:rsidP="00C510C2">
            <w:pPr>
              <w:pStyle w:val="1text"/>
              <w:spacing w:before="40" w:after="40"/>
              <w:jc w:val="left"/>
              <w:rPr>
                <w:sz w:val="20"/>
                <w:szCs w:val="20"/>
              </w:rPr>
            </w:pPr>
            <w:r w:rsidRPr="00F41174">
              <w:rPr>
                <w:sz w:val="20"/>
                <w:szCs w:val="20"/>
              </w:rPr>
              <w:t>Plochy výroby</w:t>
            </w:r>
          </w:p>
        </w:tc>
      </w:tr>
      <w:tr w:rsidR="00C510C2" w:rsidRPr="00F41174" w14:paraId="305A68F2" w14:textId="77777777" w:rsidTr="002B5D5D">
        <w:tc>
          <w:tcPr>
            <w:tcW w:w="1821" w:type="dxa"/>
            <w:shd w:val="clear" w:color="auto" w:fill="auto"/>
            <w:vAlign w:val="bottom"/>
          </w:tcPr>
          <w:p w14:paraId="6A27EA3C"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171</w:t>
            </w:r>
          </w:p>
        </w:tc>
        <w:tc>
          <w:tcPr>
            <w:tcW w:w="1133" w:type="dxa"/>
            <w:shd w:val="clear" w:color="auto" w:fill="auto"/>
          </w:tcPr>
          <w:p w14:paraId="1851F91C"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5,125</w:t>
            </w:r>
          </w:p>
        </w:tc>
        <w:tc>
          <w:tcPr>
            <w:tcW w:w="2978" w:type="dxa"/>
            <w:shd w:val="clear" w:color="auto" w:fill="auto"/>
          </w:tcPr>
          <w:p w14:paraId="1BCE5D93"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shd w:val="clear" w:color="auto" w:fill="auto"/>
          </w:tcPr>
          <w:p w14:paraId="56E87EEF" w14:textId="77777777" w:rsidR="00C510C2" w:rsidRPr="00F41174" w:rsidRDefault="00C510C2" w:rsidP="00C510C2">
            <w:pPr>
              <w:pStyle w:val="1text"/>
              <w:spacing w:before="40" w:after="40"/>
              <w:jc w:val="left"/>
              <w:rPr>
                <w:b/>
                <w:sz w:val="20"/>
                <w:szCs w:val="20"/>
              </w:rPr>
            </w:pPr>
            <w:r w:rsidRPr="00F41174">
              <w:rPr>
                <w:b/>
                <w:sz w:val="20"/>
                <w:szCs w:val="20"/>
              </w:rPr>
              <w:t>plocha Z37</w:t>
            </w:r>
          </w:p>
        </w:tc>
      </w:tr>
      <w:tr w:rsidR="00C510C2" w:rsidRPr="00F41174" w14:paraId="283A2F07" w14:textId="77777777" w:rsidTr="002B5D5D">
        <w:tc>
          <w:tcPr>
            <w:tcW w:w="1821" w:type="dxa"/>
            <w:shd w:val="clear" w:color="auto" w:fill="auto"/>
            <w:vAlign w:val="bottom"/>
          </w:tcPr>
          <w:p w14:paraId="1778E8C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Z2/2</w:t>
            </w:r>
          </w:p>
        </w:tc>
        <w:tc>
          <w:tcPr>
            <w:tcW w:w="1133" w:type="dxa"/>
            <w:shd w:val="clear" w:color="auto" w:fill="auto"/>
            <w:vAlign w:val="bottom"/>
          </w:tcPr>
          <w:p w14:paraId="1485E99D"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8,037</w:t>
            </w:r>
          </w:p>
        </w:tc>
        <w:tc>
          <w:tcPr>
            <w:tcW w:w="2978" w:type="dxa"/>
            <w:shd w:val="clear" w:color="auto" w:fill="auto"/>
          </w:tcPr>
          <w:p w14:paraId="705FFA08" w14:textId="77777777" w:rsidR="00C510C2" w:rsidRPr="00F41174" w:rsidRDefault="00C510C2" w:rsidP="00C510C2">
            <w:pPr>
              <w:spacing w:before="40" w:after="40"/>
              <w:rPr>
                <w:rFonts w:eastAsia="Calibri"/>
                <w:sz w:val="20"/>
                <w:szCs w:val="20"/>
              </w:rPr>
            </w:pPr>
            <w:r w:rsidRPr="00F41174">
              <w:rPr>
                <w:rFonts w:eastAsia="Calibri"/>
                <w:sz w:val="20"/>
                <w:szCs w:val="20"/>
              </w:rPr>
              <w:t>záměr vypuštěn</w:t>
            </w:r>
          </w:p>
        </w:tc>
        <w:tc>
          <w:tcPr>
            <w:tcW w:w="3118" w:type="dxa"/>
            <w:shd w:val="clear" w:color="auto" w:fill="auto"/>
          </w:tcPr>
          <w:p w14:paraId="2D08087B" w14:textId="77777777" w:rsidR="00C510C2" w:rsidRPr="00F41174" w:rsidRDefault="00C510C2" w:rsidP="00C510C2">
            <w:pPr>
              <w:pStyle w:val="1text"/>
              <w:spacing w:before="40" w:after="40"/>
              <w:jc w:val="left"/>
              <w:rPr>
                <w:sz w:val="20"/>
                <w:szCs w:val="20"/>
              </w:rPr>
            </w:pPr>
          </w:p>
        </w:tc>
      </w:tr>
      <w:tr w:rsidR="00C510C2" w:rsidRPr="00F41174" w14:paraId="2FF40EEF" w14:textId="77777777" w:rsidTr="002B5D5D">
        <w:tc>
          <w:tcPr>
            <w:tcW w:w="1821" w:type="dxa"/>
            <w:shd w:val="clear" w:color="auto" w:fill="auto"/>
            <w:vAlign w:val="bottom"/>
          </w:tcPr>
          <w:p w14:paraId="5B2AD8F0"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Z15.9</w:t>
            </w:r>
          </w:p>
        </w:tc>
        <w:tc>
          <w:tcPr>
            <w:tcW w:w="1133" w:type="dxa"/>
            <w:shd w:val="clear" w:color="auto" w:fill="auto"/>
            <w:vAlign w:val="bottom"/>
          </w:tcPr>
          <w:p w14:paraId="15D14E46"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0,430</w:t>
            </w:r>
          </w:p>
        </w:tc>
        <w:tc>
          <w:tcPr>
            <w:tcW w:w="2978" w:type="dxa"/>
            <w:shd w:val="clear" w:color="auto" w:fill="auto"/>
          </w:tcPr>
          <w:p w14:paraId="19B49A2A"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shd w:val="clear" w:color="auto" w:fill="auto"/>
          </w:tcPr>
          <w:p w14:paraId="408B02B7" w14:textId="77777777" w:rsidR="00C510C2" w:rsidRPr="00F41174" w:rsidRDefault="00C510C2" w:rsidP="00C510C2">
            <w:pPr>
              <w:pStyle w:val="1text"/>
              <w:spacing w:before="40" w:after="40"/>
              <w:jc w:val="left"/>
              <w:rPr>
                <w:b/>
                <w:sz w:val="20"/>
                <w:szCs w:val="20"/>
              </w:rPr>
            </w:pPr>
            <w:r w:rsidRPr="00F41174">
              <w:rPr>
                <w:b/>
                <w:sz w:val="20"/>
                <w:szCs w:val="20"/>
              </w:rPr>
              <w:t>plocha Z37</w:t>
            </w:r>
          </w:p>
        </w:tc>
      </w:tr>
      <w:tr w:rsidR="00C510C2" w:rsidRPr="00F41174" w14:paraId="7775FFEF" w14:textId="77777777" w:rsidTr="002B5D5D">
        <w:tc>
          <w:tcPr>
            <w:tcW w:w="9050" w:type="dxa"/>
            <w:gridSpan w:val="4"/>
            <w:shd w:val="clear" w:color="auto" w:fill="auto"/>
            <w:vAlign w:val="bottom"/>
          </w:tcPr>
          <w:p w14:paraId="40EDA23E" w14:textId="77777777" w:rsidR="00C510C2" w:rsidRPr="00F41174" w:rsidRDefault="00C510C2" w:rsidP="00C510C2">
            <w:pPr>
              <w:pStyle w:val="1text"/>
              <w:spacing w:before="40" w:after="40"/>
              <w:jc w:val="left"/>
              <w:rPr>
                <w:sz w:val="20"/>
                <w:szCs w:val="20"/>
              </w:rPr>
            </w:pPr>
            <w:r w:rsidRPr="00F41174">
              <w:rPr>
                <w:sz w:val="20"/>
                <w:szCs w:val="20"/>
              </w:rPr>
              <w:t>Plochy dopravní infrastruktury</w:t>
            </w:r>
          </w:p>
        </w:tc>
      </w:tr>
      <w:tr w:rsidR="00C510C2" w:rsidRPr="00F41174" w14:paraId="104A8A58" w14:textId="77777777" w:rsidTr="002B5D5D">
        <w:tc>
          <w:tcPr>
            <w:tcW w:w="1821" w:type="dxa"/>
            <w:shd w:val="clear" w:color="auto" w:fill="auto"/>
            <w:vAlign w:val="bottom"/>
          </w:tcPr>
          <w:p w14:paraId="04E864B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170</w:t>
            </w:r>
          </w:p>
        </w:tc>
        <w:tc>
          <w:tcPr>
            <w:tcW w:w="1133" w:type="dxa"/>
            <w:shd w:val="clear" w:color="auto" w:fill="auto"/>
          </w:tcPr>
          <w:p w14:paraId="626D9CA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3,310</w:t>
            </w:r>
          </w:p>
        </w:tc>
        <w:tc>
          <w:tcPr>
            <w:tcW w:w="2978" w:type="dxa"/>
            <w:shd w:val="clear" w:color="auto" w:fill="auto"/>
          </w:tcPr>
          <w:p w14:paraId="22204F8C"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4C987843"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144C3054" w14:textId="77777777" w:rsidTr="002B5D5D">
        <w:tc>
          <w:tcPr>
            <w:tcW w:w="9050" w:type="dxa"/>
            <w:gridSpan w:val="4"/>
            <w:shd w:val="clear" w:color="auto" w:fill="auto"/>
            <w:vAlign w:val="bottom"/>
          </w:tcPr>
          <w:p w14:paraId="16AA09F1" w14:textId="77777777" w:rsidR="00C510C2" w:rsidRPr="00F41174" w:rsidRDefault="00C510C2" w:rsidP="00C510C2">
            <w:pPr>
              <w:pStyle w:val="1text"/>
              <w:spacing w:before="40" w:after="40"/>
              <w:jc w:val="left"/>
              <w:rPr>
                <w:sz w:val="20"/>
                <w:szCs w:val="20"/>
              </w:rPr>
            </w:pPr>
            <w:r w:rsidRPr="00F41174">
              <w:rPr>
                <w:sz w:val="20"/>
                <w:szCs w:val="20"/>
              </w:rPr>
              <w:t>Plochy zeleně</w:t>
            </w:r>
          </w:p>
        </w:tc>
      </w:tr>
      <w:tr w:rsidR="00C510C2" w:rsidRPr="00F41174" w14:paraId="0BF139A6" w14:textId="77777777" w:rsidTr="002B5D5D">
        <w:tc>
          <w:tcPr>
            <w:tcW w:w="1821" w:type="dxa"/>
            <w:tcBorders>
              <w:bottom w:val="single" w:sz="12" w:space="0" w:color="auto"/>
            </w:tcBorders>
            <w:shd w:val="clear" w:color="auto" w:fill="auto"/>
            <w:vAlign w:val="bottom"/>
          </w:tcPr>
          <w:p w14:paraId="49E6CED2"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Z17.3b</w:t>
            </w:r>
          </w:p>
        </w:tc>
        <w:tc>
          <w:tcPr>
            <w:tcW w:w="1133" w:type="dxa"/>
            <w:tcBorders>
              <w:bottom w:val="single" w:sz="12" w:space="0" w:color="auto"/>
            </w:tcBorders>
            <w:shd w:val="clear" w:color="auto" w:fill="auto"/>
          </w:tcPr>
          <w:p w14:paraId="369932FE"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0,080</w:t>
            </w:r>
          </w:p>
        </w:tc>
        <w:tc>
          <w:tcPr>
            <w:tcW w:w="2978" w:type="dxa"/>
            <w:tcBorders>
              <w:bottom w:val="single" w:sz="12" w:space="0" w:color="auto"/>
            </w:tcBorders>
            <w:shd w:val="clear" w:color="auto" w:fill="auto"/>
          </w:tcPr>
          <w:p w14:paraId="2E4618E9"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tcBorders>
              <w:bottom w:val="single" w:sz="12" w:space="0" w:color="auto"/>
            </w:tcBorders>
            <w:shd w:val="clear" w:color="auto" w:fill="auto"/>
          </w:tcPr>
          <w:p w14:paraId="523665EE"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4D4899DD" w14:textId="77777777" w:rsidTr="002B5D5D">
        <w:tc>
          <w:tcPr>
            <w:tcW w:w="1821" w:type="dxa"/>
            <w:tcBorders>
              <w:top w:val="single" w:sz="12" w:space="0" w:color="auto"/>
              <w:left w:val="single" w:sz="12" w:space="0" w:color="auto"/>
            </w:tcBorders>
            <w:shd w:val="clear" w:color="auto" w:fill="F2F2F2"/>
          </w:tcPr>
          <w:p w14:paraId="403D552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sz w:val="20"/>
                <w:szCs w:val="20"/>
                <w:lang w:eastAsia="cs-CZ"/>
              </w:rPr>
              <w:t>CELKEM K.U. OLDŘICHOV NA HRANICÍCH</w:t>
            </w:r>
          </w:p>
        </w:tc>
        <w:tc>
          <w:tcPr>
            <w:tcW w:w="7229" w:type="dxa"/>
            <w:gridSpan w:val="3"/>
            <w:tcBorders>
              <w:top w:val="single" w:sz="12" w:space="0" w:color="auto"/>
              <w:right w:val="single" w:sz="12" w:space="0" w:color="auto"/>
            </w:tcBorders>
            <w:shd w:val="clear" w:color="auto" w:fill="F2F2F2"/>
          </w:tcPr>
          <w:p w14:paraId="0BF83CFE" w14:textId="77777777" w:rsidR="00C510C2" w:rsidRPr="00F41174" w:rsidRDefault="00C510C2" w:rsidP="00C510C2">
            <w:pPr>
              <w:pStyle w:val="1text"/>
              <w:spacing w:before="40" w:after="40"/>
              <w:jc w:val="left"/>
              <w:rPr>
                <w:b/>
                <w:sz w:val="20"/>
                <w:szCs w:val="20"/>
              </w:rPr>
            </w:pPr>
            <w:r w:rsidRPr="00F41174">
              <w:rPr>
                <w:rFonts w:eastAsia="Times New Roman"/>
                <w:b/>
                <w:color w:val="000000"/>
                <w:sz w:val="20"/>
                <w:szCs w:val="20"/>
                <w:lang w:eastAsia="cs-CZ"/>
              </w:rPr>
              <w:t>18,819</w:t>
            </w:r>
          </w:p>
        </w:tc>
      </w:tr>
      <w:tr w:rsidR="00C510C2" w:rsidRPr="00F41174" w14:paraId="41397D43" w14:textId="77777777" w:rsidTr="002B5D5D">
        <w:tc>
          <w:tcPr>
            <w:tcW w:w="1821" w:type="dxa"/>
            <w:vMerge w:val="restart"/>
            <w:tcBorders>
              <w:left w:val="single" w:sz="12" w:space="0" w:color="auto"/>
            </w:tcBorders>
            <w:shd w:val="clear" w:color="auto" w:fill="auto"/>
          </w:tcPr>
          <w:p w14:paraId="754398F6"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z toho:</w:t>
            </w:r>
          </w:p>
        </w:tc>
        <w:tc>
          <w:tcPr>
            <w:tcW w:w="1133" w:type="dxa"/>
            <w:shd w:val="clear" w:color="auto" w:fill="auto"/>
          </w:tcPr>
          <w:p w14:paraId="3D5001DD"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5,944 ha</w:t>
            </w:r>
          </w:p>
        </w:tc>
        <w:tc>
          <w:tcPr>
            <w:tcW w:w="6096" w:type="dxa"/>
            <w:gridSpan w:val="2"/>
            <w:tcBorders>
              <w:right w:val="single" w:sz="12" w:space="0" w:color="auto"/>
            </w:tcBorders>
            <w:shd w:val="clear" w:color="auto" w:fill="auto"/>
          </w:tcPr>
          <w:p w14:paraId="416455B9" w14:textId="77777777" w:rsidR="00C510C2" w:rsidRPr="00F41174" w:rsidRDefault="00C510C2" w:rsidP="00C510C2">
            <w:pPr>
              <w:pStyle w:val="1text"/>
              <w:spacing w:before="40" w:after="40"/>
              <w:jc w:val="left"/>
              <w:rPr>
                <w:sz w:val="20"/>
                <w:szCs w:val="20"/>
              </w:rPr>
            </w:pPr>
            <w:r w:rsidRPr="00F41174">
              <w:rPr>
                <w:b/>
                <w:sz w:val="20"/>
                <w:szCs w:val="20"/>
              </w:rPr>
              <w:t>záborů ZPF převzato</w:t>
            </w:r>
          </w:p>
        </w:tc>
      </w:tr>
      <w:tr w:rsidR="00C510C2" w:rsidRPr="00F41174" w14:paraId="54B45AE1" w14:textId="77777777" w:rsidTr="002B5D5D">
        <w:tc>
          <w:tcPr>
            <w:tcW w:w="1821" w:type="dxa"/>
            <w:vMerge/>
            <w:tcBorders>
              <w:left w:val="single" w:sz="12" w:space="0" w:color="auto"/>
            </w:tcBorders>
            <w:shd w:val="clear" w:color="auto" w:fill="auto"/>
          </w:tcPr>
          <w:p w14:paraId="55875220" w14:textId="77777777" w:rsidR="00C510C2" w:rsidRPr="00F41174" w:rsidRDefault="00C510C2" w:rsidP="00C510C2">
            <w:pPr>
              <w:pStyle w:val="1text"/>
              <w:spacing w:before="40" w:after="40"/>
              <w:jc w:val="left"/>
              <w:rPr>
                <w:rFonts w:eastAsia="Times New Roman"/>
                <w:color w:val="000000"/>
                <w:sz w:val="20"/>
                <w:szCs w:val="20"/>
                <w:lang w:eastAsia="cs-CZ"/>
              </w:rPr>
            </w:pPr>
          </w:p>
        </w:tc>
        <w:tc>
          <w:tcPr>
            <w:tcW w:w="1133" w:type="dxa"/>
            <w:shd w:val="clear" w:color="auto" w:fill="auto"/>
          </w:tcPr>
          <w:p w14:paraId="436666D9"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4,681 ha</w:t>
            </w:r>
          </w:p>
        </w:tc>
        <w:tc>
          <w:tcPr>
            <w:tcW w:w="6096" w:type="dxa"/>
            <w:gridSpan w:val="2"/>
            <w:tcBorders>
              <w:right w:val="single" w:sz="12" w:space="0" w:color="auto"/>
            </w:tcBorders>
            <w:shd w:val="clear" w:color="auto" w:fill="auto"/>
          </w:tcPr>
          <w:p w14:paraId="4A8468C6" w14:textId="77777777" w:rsidR="00C510C2" w:rsidRPr="00F41174" w:rsidRDefault="00C510C2" w:rsidP="00C510C2">
            <w:pPr>
              <w:pStyle w:val="1text"/>
              <w:spacing w:before="40" w:after="40"/>
              <w:jc w:val="left"/>
              <w:rPr>
                <w:sz w:val="20"/>
                <w:szCs w:val="20"/>
              </w:rPr>
            </w:pPr>
            <w:r w:rsidRPr="00F41174">
              <w:rPr>
                <w:b/>
                <w:sz w:val="20"/>
                <w:szCs w:val="20"/>
              </w:rPr>
              <w:t>záborů ZPF vymezeno jako stabilizovaná plocha</w:t>
            </w:r>
          </w:p>
        </w:tc>
      </w:tr>
      <w:tr w:rsidR="00C510C2" w:rsidRPr="00F41174" w14:paraId="6DE5491A" w14:textId="77777777" w:rsidTr="002B5D5D">
        <w:tc>
          <w:tcPr>
            <w:tcW w:w="1821" w:type="dxa"/>
            <w:vMerge/>
            <w:tcBorders>
              <w:left w:val="single" w:sz="12" w:space="0" w:color="auto"/>
              <w:bottom w:val="single" w:sz="12" w:space="0" w:color="auto"/>
            </w:tcBorders>
            <w:shd w:val="clear" w:color="auto" w:fill="auto"/>
          </w:tcPr>
          <w:p w14:paraId="260F599C" w14:textId="77777777" w:rsidR="00C510C2" w:rsidRPr="00F41174" w:rsidRDefault="00C510C2" w:rsidP="00C510C2">
            <w:pPr>
              <w:pStyle w:val="1text"/>
              <w:spacing w:before="40" w:after="40"/>
              <w:jc w:val="left"/>
              <w:rPr>
                <w:rFonts w:eastAsia="Times New Roman"/>
                <w:color w:val="000000"/>
                <w:sz w:val="20"/>
                <w:szCs w:val="20"/>
                <w:lang w:eastAsia="cs-CZ"/>
              </w:rPr>
            </w:pPr>
          </w:p>
        </w:tc>
        <w:tc>
          <w:tcPr>
            <w:tcW w:w="1133" w:type="dxa"/>
            <w:tcBorders>
              <w:bottom w:val="single" w:sz="12" w:space="0" w:color="auto"/>
            </w:tcBorders>
            <w:shd w:val="clear" w:color="auto" w:fill="auto"/>
          </w:tcPr>
          <w:p w14:paraId="35ED706B"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8,194 ha</w:t>
            </w:r>
          </w:p>
        </w:tc>
        <w:tc>
          <w:tcPr>
            <w:tcW w:w="6096" w:type="dxa"/>
            <w:gridSpan w:val="2"/>
            <w:tcBorders>
              <w:bottom w:val="single" w:sz="12" w:space="0" w:color="auto"/>
              <w:right w:val="single" w:sz="12" w:space="0" w:color="auto"/>
            </w:tcBorders>
            <w:shd w:val="clear" w:color="auto" w:fill="auto"/>
          </w:tcPr>
          <w:p w14:paraId="70FE7BEE" w14:textId="77777777" w:rsidR="00C510C2" w:rsidRPr="00F41174" w:rsidRDefault="00C510C2" w:rsidP="00C510C2">
            <w:pPr>
              <w:pStyle w:val="1text"/>
              <w:spacing w:before="40" w:after="40"/>
              <w:jc w:val="left"/>
              <w:rPr>
                <w:sz w:val="20"/>
                <w:szCs w:val="20"/>
              </w:rPr>
            </w:pPr>
            <w:r w:rsidRPr="00F41174">
              <w:rPr>
                <w:b/>
                <w:sz w:val="20"/>
                <w:szCs w:val="20"/>
              </w:rPr>
              <w:t>záborů ZPF vypuštěno</w:t>
            </w:r>
          </w:p>
        </w:tc>
      </w:tr>
      <w:tr w:rsidR="00C510C2" w:rsidRPr="00F41174" w14:paraId="772CCB54" w14:textId="77777777" w:rsidTr="002B5D5D">
        <w:tc>
          <w:tcPr>
            <w:tcW w:w="9050" w:type="dxa"/>
            <w:gridSpan w:val="4"/>
            <w:tcBorders>
              <w:top w:val="single" w:sz="12" w:space="0" w:color="auto"/>
            </w:tcBorders>
            <w:shd w:val="clear" w:color="auto" w:fill="D9D9D9"/>
            <w:vAlign w:val="bottom"/>
          </w:tcPr>
          <w:p w14:paraId="10325D2A" w14:textId="77777777" w:rsidR="00C510C2" w:rsidRPr="00F41174" w:rsidRDefault="00C510C2" w:rsidP="00C510C2">
            <w:pPr>
              <w:pStyle w:val="1text"/>
              <w:spacing w:before="40" w:after="40"/>
              <w:jc w:val="left"/>
              <w:rPr>
                <w:b/>
                <w:sz w:val="20"/>
                <w:szCs w:val="20"/>
              </w:rPr>
            </w:pPr>
            <w:r w:rsidRPr="00F41174">
              <w:rPr>
                <w:b/>
                <w:sz w:val="20"/>
                <w:szCs w:val="20"/>
              </w:rPr>
              <w:t>K.Ú. VÁCLAVICE U HRÁDKU NAD NISOU</w:t>
            </w:r>
          </w:p>
        </w:tc>
      </w:tr>
      <w:tr w:rsidR="00C510C2" w:rsidRPr="00F41174" w14:paraId="55EB0662" w14:textId="77777777" w:rsidTr="002B5D5D">
        <w:tc>
          <w:tcPr>
            <w:tcW w:w="9050" w:type="dxa"/>
            <w:gridSpan w:val="4"/>
            <w:shd w:val="clear" w:color="auto" w:fill="auto"/>
            <w:vAlign w:val="bottom"/>
          </w:tcPr>
          <w:p w14:paraId="0C8142C4" w14:textId="77777777" w:rsidR="00C510C2" w:rsidRPr="00F41174" w:rsidRDefault="00C510C2" w:rsidP="00C510C2">
            <w:pPr>
              <w:pStyle w:val="1text"/>
              <w:spacing w:before="40" w:after="40"/>
              <w:jc w:val="left"/>
              <w:rPr>
                <w:sz w:val="20"/>
                <w:szCs w:val="20"/>
                <w:highlight w:val="green"/>
              </w:rPr>
            </w:pPr>
            <w:r w:rsidRPr="00F41174">
              <w:rPr>
                <w:sz w:val="20"/>
                <w:szCs w:val="20"/>
              </w:rPr>
              <w:t>Plochy smíšené obytné</w:t>
            </w:r>
          </w:p>
        </w:tc>
      </w:tr>
      <w:tr w:rsidR="00C510C2" w:rsidRPr="00F41174" w14:paraId="0FFC9174" w14:textId="77777777" w:rsidTr="002B5D5D">
        <w:tc>
          <w:tcPr>
            <w:tcW w:w="1821" w:type="dxa"/>
            <w:shd w:val="clear" w:color="auto" w:fill="auto"/>
          </w:tcPr>
          <w:p w14:paraId="3460CBBF"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180</w:t>
            </w:r>
          </w:p>
        </w:tc>
        <w:tc>
          <w:tcPr>
            <w:tcW w:w="1133" w:type="dxa"/>
            <w:shd w:val="clear" w:color="auto" w:fill="auto"/>
          </w:tcPr>
          <w:p w14:paraId="007538AE"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0,450</w:t>
            </w:r>
          </w:p>
        </w:tc>
        <w:tc>
          <w:tcPr>
            <w:tcW w:w="2978" w:type="dxa"/>
            <w:shd w:val="clear" w:color="auto" w:fill="auto"/>
          </w:tcPr>
          <w:p w14:paraId="2C0C19F8" w14:textId="77777777" w:rsidR="00C510C2" w:rsidRPr="00F41174" w:rsidRDefault="00C510C2" w:rsidP="00C510C2">
            <w:pPr>
              <w:spacing w:before="40" w:after="40"/>
              <w:rPr>
                <w:rFonts w:eastAsia="Calibri"/>
                <w:sz w:val="20"/>
                <w:szCs w:val="20"/>
              </w:rPr>
            </w:pPr>
            <w:r w:rsidRPr="00F41174">
              <w:rPr>
                <w:rFonts w:eastAsia="Calibri"/>
                <w:b/>
                <w:sz w:val="20"/>
                <w:szCs w:val="20"/>
              </w:rPr>
              <w:t>v rozsahu 0,380 ha převzato do ÚP</w:t>
            </w:r>
            <w:r w:rsidRPr="00F41174">
              <w:rPr>
                <w:rFonts w:eastAsia="Calibri"/>
                <w:sz w:val="20"/>
                <w:szCs w:val="20"/>
              </w:rPr>
              <w:t>, část vymezena jako stabilizovaná plocha</w:t>
            </w:r>
          </w:p>
        </w:tc>
        <w:tc>
          <w:tcPr>
            <w:tcW w:w="3118" w:type="dxa"/>
            <w:shd w:val="clear" w:color="auto" w:fill="auto"/>
          </w:tcPr>
          <w:p w14:paraId="674CFFC2" w14:textId="77777777" w:rsidR="00C510C2" w:rsidRPr="00F41174" w:rsidRDefault="00C510C2" w:rsidP="00C510C2">
            <w:pPr>
              <w:pStyle w:val="1text"/>
              <w:spacing w:before="40" w:after="40"/>
              <w:jc w:val="left"/>
              <w:rPr>
                <w:sz w:val="20"/>
                <w:szCs w:val="20"/>
              </w:rPr>
            </w:pPr>
            <w:r w:rsidRPr="00F41174">
              <w:rPr>
                <w:b/>
                <w:sz w:val="20"/>
                <w:szCs w:val="20"/>
              </w:rPr>
              <w:t>plocha Z29</w:t>
            </w:r>
            <w:r w:rsidRPr="00F41174">
              <w:rPr>
                <w:sz w:val="20"/>
                <w:szCs w:val="20"/>
              </w:rPr>
              <w:t>, část realizována, část dle §58 stavebního zákona (proluka)</w:t>
            </w:r>
          </w:p>
        </w:tc>
      </w:tr>
      <w:tr w:rsidR="00C510C2" w:rsidRPr="00F41174" w14:paraId="298C2625" w14:textId="77777777" w:rsidTr="002B5D5D">
        <w:tc>
          <w:tcPr>
            <w:tcW w:w="1821" w:type="dxa"/>
            <w:shd w:val="clear" w:color="auto" w:fill="auto"/>
          </w:tcPr>
          <w:p w14:paraId="6764D45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lastRenderedPageBreak/>
              <w:t>181</w:t>
            </w:r>
          </w:p>
        </w:tc>
        <w:tc>
          <w:tcPr>
            <w:tcW w:w="1133" w:type="dxa"/>
            <w:shd w:val="clear" w:color="auto" w:fill="auto"/>
          </w:tcPr>
          <w:p w14:paraId="22343A6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0,465</w:t>
            </w:r>
          </w:p>
        </w:tc>
        <w:tc>
          <w:tcPr>
            <w:tcW w:w="2978" w:type="dxa"/>
            <w:shd w:val="clear" w:color="auto" w:fill="auto"/>
          </w:tcPr>
          <w:p w14:paraId="48B20904"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7110B8BD" w14:textId="77777777" w:rsidR="00C510C2" w:rsidRPr="00F41174" w:rsidRDefault="00C510C2" w:rsidP="00C510C2">
            <w:pPr>
              <w:pStyle w:val="1text"/>
              <w:spacing w:before="40" w:after="40"/>
              <w:jc w:val="left"/>
              <w:rPr>
                <w:sz w:val="20"/>
                <w:szCs w:val="20"/>
                <w:highlight w:val="green"/>
              </w:rPr>
            </w:pPr>
            <w:r w:rsidRPr="00F41174">
              <w:rPr>
                <w:sz w:val="20"/>
                <w:szCs w:val="20"/>
              </w:rPr>
              <w:t>část realizována, zbývající část dle §58 a §2, odst. 1c stavebního zákona</w:t>
            </w:r>
          </w:p>
        </w:tc>
      </w:tr>
      <w:tr w:rsidR="00C510C2" w:rsidRPr="00F41174" w14:paraId="335EB4A5" w14:textId="77777777" w:rsidTr="002B5D5D">
        <w:tc>
          <w:tcPr>
            <w:tcW w:w="1821" w:type="dxa"/>
            <w:shd w:val="clear" w:color="auto" w:fill="auto"/>
          </w:tcPr>
          <w:p w14:paraId="00A01A1C"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182</w:t>
            </w:r>
          </w:p>
        </w:tc>
        <w:tc>
          <w:tcPr>
            <w:tcW w:w="1133" w:type="dxa"/>
            <w:shd w:val="clear" w:color="auto" w:fill="auto"/>
          </w:tcPr>
          <w:p w14:paraId="19164E49"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0,181</w:t>
            </w:r>
          </w:p>
        </w:tc>
        <w:tc>
          <w:tcPr>
            <w:tcW w:w="2978" w:type="dxa"/>
            <w:shd w:val="clear" w:color="auto" w:fill="auto"/>
          </w:tcPr>
          <w:p w14:paraId="07C5FD26"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518D4361" w14:textId="77777777" w:rsidR="00C510C2" w:rsidRPr="00F41174" w:rsidRDefault="00C510C2" w:rsidP="00C510C2">
            <w:pPr>
              <w:pStyle w:val="1text"/>
              <w:spacing w:before="40" w:after="40"/>
              <w:jc w:val="left"/>
              <w:rPr>
                <w:sz w:val="20"/>
                <w:szCs w:val="20"/>
                <w:highlight w:val="green"/>
              </w:rPr>
            </w:pPr>
            <w:r w:rsidRPr="00F41174">
              <w:rPr>
                <w:sz w:val="20"/>
                <w:szCs w:val="20"/>
              </w:rPr>
              <w:t>dle §58 stavebního zákona (proluka)</w:t>
            </w:r>
          </w:p>
        </w:tc>
      </w:tr>
      <w:tr w:rsidR="00C510C2" w:rsidRPr="00F41174" w14:paraId="0CA7627E" w14:textId="77777777" w:rsidTr="002B5D5D">
        <w:tc>
          <w:tcPr>
            <w:tcW w:w="1821" w:type="dxa"/>
            <w:shd w:val="clear" w:color="auto" w:fill="auto"/>
          </w:tcPr>
          <w:p w14:paraId="5344FC5A"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191</w:t>
            </w:r>
          </w:p>
        </w:tc>
        <w:tc>
          <w:tcPr>
            <w:tcW w:w="1133" w:type="dxa"/>
            <w:shd w:val="clear" w:color="auto" w:fill="auto"/>
          </w:tcPr>
          <w:p w14:paraId="1891DD71"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0,428</w:t>
            </w:r>
          </w:p>
        </w:tc>
        <w:tc>
          <w:tcPr>
            <w:tcW w:w="2978" w:type="dxa"/>
            <w:shd w:val="clear" w:color="auto" w:fill="auto"/>
          </w:tcPr>
          <w:p w14:paraId="2EE8FC3D"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shd w:val="clear" w:color="auto" w:fill="auto"/>
          </w:tcPr>
          <w:p w14:paraId="3B216EE0" w14:textId="77777777" w:rsidR="00C510C2" w:rsidRPr="00F41174" w:rsidRDefault="00C510C2" w:rsidP="00C510C2">
            <w:pPr>
              <w:pStyle w:val="1text"/>
              <w:spacing w:before="40" w:after="40"/>
              <w:jc w:val="left"/>
              <w:rPr>
                <w:b/>
                <w:sz w:val="20"/>
                <w:szCs w:val="20"/>
              </w:rPr>
            </w:pPr>
            <w:r w:rsidRPr="00F41174">
              <w:rPr>
                <w:b/>
                <w:sz w:val="20"/>
                <w:szCs w:val="20"/>
              </w:rPr>
              <w:t>plocha Z28</w:t>
            </w:r>
          </w:p>
        </w:tc>
      </w:tr>
      <w:tr w:rsidR="00C510C2" w:rsidRPr="00F41174" w14:paraId="58E1CA55" w14:textId="77777777" w:rsidTr="002B5D5D">
        <w:tc>
          <w:tcPr>
            <w:tcW w:w="1821" w:type="dxa"/>
            <w:shd w:val="clear" w:color="auto" w:fill="auto"/>
          </w:tcPr>
          <w:p w14:paraId="0C7A2A7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192</w:t>
            </w:r>
          </w:p>
        </w:tc>
        <w:tc>
          <w:tcPr>
            <w:tcW w:w="1133" w:type="dxa"/>
            <w:shd w:val="clear" w:color="auto" w:fill="auto"/>
          </w:tcPr>
          <w:p w14:paraId="45BB8433"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0,129</w:t>
            </w:r>
          </w:p>
        </w:tc>
        <w:tc>
          <w:tcPr>
            <w:tcW w:w="2978" w:type="dxa"/>
            <w:shd w:val="clear" w:color="auto" w:fill="auto"/>
          </w:tcPr>
          <w:p w14:paraId="45CB6D1F"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 xml:space="preserve">převzato do ÚP </w:t>
            </w:r>
          </w:p>
        </w:tc>
        <w:tc>
          <w:tcPr>
            <w:tcW w:w="3118" w:type="dxa"/>
            <w:shd w:val="clear" w:color="auto" w:fill="auto"/>
          </w:tcPr>
          <w:p w14:paraId="28261AE0"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Z25</w:t>
            </w:r>
          </w:p>
        </w:tc>
      </w:tr>
      <w:tr w:rsidR="00C510C2" w:rsidRPr="00F41174" w14:paraId="12A24881" w14:textId="77777777" w:rsidTr="002B5D5D">
        <w:tc>
          <w:tcPr>
            <w:tcW w:w="1821" w:type="dxa"/>
            <w:shd w:val="clear" w:color="auto" w:fill="auto"/>
          </w:tcPr>
          <w:p w14:paraId="691BF93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201</w:t>
            </w:r>
          </w:p>
        </w:tc>
        <w:tc>
          <w:tcPr>
            <w:tcW w:w="1133" w:type="dxa"/>
            <w:shd w:val="clear" w:color="auto" w:fill="auto"/>
          </w:tcPr>
          <w:p w14:paraId="71359B9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1,023</w:t>
            </w:r>
          </w:p>
        </w:tc>
        <w:tc>
          <w:tcPr>
            <w:tcW w:w="2978" w:type="dxa"/>
            <w:shd w:val="clear" w:color="auto" w:fill="auto"/>
          </w:tcPr>
          <w:p w14:paraId="309F9294"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část vymezena jako stabilizovaná plocha, v části záměr vypuštěn</w:t>
            </w:r>
          </w:p>
        </w:tc>
        <w:tc>
          <w:tcPr>
            <w:tcW w:w="3118" w:type="dxa"/>
            <w:shd w:val="clear" w:color="auto" w:fill="auto"/>
          </w:tcPr>
          <w:p w14:paraId="74C7089C" w14:textId="77777777" w:rsidR="00C510C2" w:rsidRPr="00F41174" w:rsidRDefault="00C510C2" w:rsidP="00C510C2">
            <w:pPr>
              <w:pStyle w:val="1text"/>
              <w:spacing w:before="40" w:after="40"/>
              <w:jc w:val="left"/>
              <w:rPr>
                <w:sz w:val="20"/>
                <w:szCs w:val="20"/>
                <w:highlight w:val="green"/>
              </w:rPr>
            </w:pPr>
            <w:r w:rsidRPr="00F41174">
              <w:rPr>
                <w:sz w:val="20"/>
                <w:szCs w:val="20"/>
              </w:rPr>
              <w:t>dle §58 a §2, odst. 1c stavebního zákona</w:t>
            </w:r>
          </w:p>
        </w:tc>
      </w:tr>
      <w:tr w:rsidR="00C510C2" w:rsidRPr="00F41174" w14:paraId="332D205E" w14:textId="77777777" w:rsidTr="002B5D5D">
        <w:tc>
          <w:tcPr>
            <w:tcW w:w="1821" w:type="dxa"/>
            <w:shd w:val="clear" w:color="auto" w:fill="auto"/>
          </w:tcPr>
          <w:p w14:paraId="76C42BD7"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202</w:t>
            </w:r>
          </w:p>
        </w:tc>
        <w:tc>
          <w:tcPr>
            <w:tcW w:w="1133" w:type="dxa"/>
            <w:shd w:val="clear" w:color="auto" w:fill="auto"/>
          </w:tcPr>
          <w:p w14:paraId="5ED2D309"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1,468</w:t>
            </w:r>
          </w:p>
        </w:tc>
        <w:tc>
          <w:tcPr>
            <w:tcW w:w="2978" w:type="dxa"/>
            <w:shd w:val="clear" w:color="auto" w:fill="auto"/>
          </w:tcPr>
          <w:p w14:paraId="58F6EAE4" w14:textId="77777777" w:rsidR="00C510C2" w:rsidRPr="00F41174" w:rsidRDefault="00C510C2" w:rsidP="00C510C2">
            <w:pPr>
              <w:spacing w:before="40" w:after="40"/>
              <w:rPr>
                <w:rFonts w:eastAsia="Calibri"/>
                <w:sz w:val="20"/>
                <w:szCs w:val="20"/>
              </w:rPr>
            </w:pPr>
            <w:r w:rsidRPr="00F41174">
              <w:rPr>
                <w:rFonts w:eastAsia="Calibri"/>
                <w:b/>
                <w:sz w:val="20"/>
                <w:szCs w:val="20"/>
              </w:rPr>
              <w:t>v rozsahu 1,289 ha převzato do ÚP</w:t>
            </w:r>
            <w:r w:rsidRPr="00F41174">
              <w:rPr>
                <w:rFonts w:eastAsia="Calibri"/>
                <w:sz w:val="20"/>
                <w:szCs w:val="20"/>
              </w:rPr>
              <w:t>, zbývající část vymezena jako stabilizovaná plocha</w:t>
            </w:r>
          </w:p>
        </w:tc>
        <w:tc>
          <w:tcPr>
            <w:tcW w:w="3118" w:type="dxa"/>
            <w:shd w:val="clear" w:color="auto" w:fill="auto"/>
          </w:tcPr>
          <w:p w14:paraId="139E18E1" w14:textId="77777777" w:rsidR="00C510C2" w:rsidRPr="00F41174" w:rsidRDefault="00C510C2" w:rsidP="00C510C2">
            <w:pPr>
              <w:pStyle w:val="1text"/>
              <w:spacing w:before="40" w:after="40"/>
              <w:jc w:val="left"/>
              <w:rPr>
                <w:sz w:val="20"/>
                <w:szCs w:val="20"/>
              </w:rPr>
            </w:pPr>
            <w:r w:rsidRPr="00F41174">
              <w:rPr>
                <w:b/>
                <w:sz w:val="20"/>
                <w:szCs w:val="20"/>
              </w:rPr>
              <w:t>plochy Z23 a P02</w:t>
            </w:r>
            <w:r w:rsidRPr="00F41174">
              <w:rPr>
                <w:sz w:val="20"/>
                <w:szCs w:val="20"/>
              </w:rPr>
              <w:t>, zbývající část dle §58 a §2, odst. 1c stavebního zákona</w:t>
            </w:r>
          </w:p>
        </w:tc>
      </w:tr>
      <w:tr w:rsidR="00C510C2" w:rsidRPr="00F41174" w14:paraId="0B36047B" w14:textId="77777777" w:rsidTr="002B5D5D">
        <w:tc>
          <w:tcPr>
            <w:tcW w:w="1821" w:type="dxa"/>
            <w:shd w:val="clear" w:color="auto" w:fill="auto"/>
          </w:tcPr>
          <w:p w14:paraId="653F8B9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203</w:t>
            </w:r>
          </w:p>
        </w:tc>
        <w:tc>
          <w:tcPr>
            <w:tcW w:w="1133" w:type="dxa"/>
            <w:shd w:val="clear" w:color="auto" w:fill="auto"/>
          </w:tcPr>
          <w:p w14:paraId="51DA1636"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0,137</w:t>
            </w:r>
          </w:p>
        </w:tc>
        <w:tc>
          <w:tcPr>
            <w:tcW w:w="2978" w:type="dxa"/>
            <w:shd w:val="clear" w:color="auto" w:fill="auto"/>
          </w:tcPr>
          <w:p w14:paraId="3692FBF8"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3FD93794" w14:textId="77777777" w:rsidR="00C510C2" w:rsidRPr="00F41174" w:rsidRDefault="00C510C2" w:rsidP="00C510C2">
            <w:pPr>
              <w:pStyle w:val="1text"/>
              <w:spacing w:before="40" w:after="40"/>
              <w:jc w:val="left"/>
              <w:rPr>
                <w:sz w:val="20"/>
                <w:szCs w:val="20"/>
                <w:highlight w:val="green"/>
              </w:rPr>
            </w:pPr>
          </w:p>
        </w:tc>
      </w:tr>
      <w:tr w:rsidR="00C510C2" w:rsidRPr="00F41174" w14:paraId="1A9CBB2A" w14:textId="77777777" w:rsidTr="002B5D5D">
        <w:tc>
          <w:tcPr>
            <w:tcW w:w="1821" w:type="dxa"/>
            <w:shd w:val="clear" w:color="auto" w:fill="auto"/>
          </w:tcPr>
          <w:p w14:paraId="3256A2C0"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204</w:t>
            </w:r>
          </w:p>
        </w:tc>
        <w:tc>
          <w:tcPr>
            <w:tcW w:w="1133" w:type="dxa"/>
            <w:shd w:val="clear" w:color="auto" w:fill="auto"/>
          </w:tcPr>
          <w:p w14:paraId="40AE5ED7"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0,188</w:t>
            </w:r>
          </w:p>
        </w:tc>
        <w:tc>
          <w:tcPr>
            <w:tcW w:w="2978" w:type="dxa"/>
            <w:shd w:val="clear" w:color="auto" w:fill="auto"/>
          </w:tcPr>
          <w:p w14:paraId="7C7935B1"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10DD477" w14:textId="77777777" w:rsidR="00C510C2" w:rsidRPr="00F41174" w:rsidRDefault="00C510C2" w:rsidP="00C510C2">
            <w:pPr>
              <w:pStyle w:val="1text"/>
              <w:spacing w:before="40" w:after="40"/>
              <w:jc w:val="left"/>
              <w:rPr>
                <w:sz w:val="20"/>
                <w:szCs w:val="20"/>
                <w:highlight w:val="green"/>
              </w:rPr>
            </w:pPr>
            <w:r w:rsidRPr="00F41174">
              <w:rPr>
                <w:sz w:val="20"/>
                <w:szCs w:val="20"/>
              </w:rPr>
              <w:t>dle §58 stavebního zákona (proluka)</w:t>
            </w:r>
          </w:p>
        </w:tc>
      </w:tr>
      <w:tr w:rsidR="00C510C2" w:rsidRPr="00F41174" w14:paraId="674F2E90" w14:textId="77777777" w:rsidTr="002B5D5D">
        <w:tc>
          <w:tcPr>
            <w:tcW w:w="1821" w:type="dxa"/>
            <w:shd w:val="clear" w:color="auto" w:fill="auto"/>
            <w:vAlign w:val="bottom"/>
          </w:tcPr>
          <w:p w14:paraId="09C4FD3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Z15.4</w:t>
            </w:r>
          </w:p>
        </w:tc>
        <w:tc>
          <w:tcPr>
            <w:tcW w:w="1133" w:type="dxa"/>
            <w:shd w:val="clear" w:color="auto" w:fill="auto"/>
          </w:tcPr>
          <w:p w14:paraId="65341C3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0,051</w:t>
            </w:r>
          </w:p>
        </w:tc>
        <w:tc>
          <w:tcPr>
            <w:tcW w:w="2978" w:type="dxa"/>
            <w:shd w:val="clear" w:color="auto" w:fill="auto"/>
          </w:tcPr>
          <w:p w14:paraId="1B2AA0DA"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4D699A3F" w14:textId="77777777" w:rsidR="00C510C2" w:rsidRPr="00F41174" w:rsidRDefault="00C510C2" w:rsidP="00C510C2">
            <w:pPr>
              <w:pStyle w:val="1text"/>
              <w:spacing w:before="40" w:after="40"/>
              <w:jc w:val="left"/>
              <w:rPr>
                <w:sz w:val="20"/>
                <w:szCs w:val="20"/>
                <w:highlight w:val="green"/>
              </w:rPr>
            </w:pPr>
            <w:r w:rsidRPr="00F41174">
              <w:rPr>
                <w:sz w:val="20"/>
                <w:szCs w:val="20"/>
              </w:rPr>
              <w:t>zastavěno</w:t>
            </w:r>
          </w:p>
        </w:tc>
      </w:tr>
      <w:tr w:rsidR="00C510C2" w:rsidRPr="00F41174" w14:paraId="3F3F3FC1" w14:textId="77777777" w:rsidTr="002B5D5D">
        <w:tc>
          <w:tcPr>
            <w:tcW w:w="1821" w:type="dxa"/>
            <w:shd w:val="clear" w:color="auto" w:fill="auto"/>
            <w:vAlign w:val="bottom"/>
          </w:tcPr>
          <w:p w14:paraId="63BA35AF"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Z18.6b</w:t>
            </w:r>
          </w:p>
        </w:tc>
        <w:tc>
          <w:tcPr>
            <w:tcW w:w="1133" w:type="dxa"/>
            <w:shd w:val="clear" w:color="auto" w:fill="auto"/>
            <w:vAlign w:val="bottom"/>
          </w:tcPr>
          <w:p w14:paraId="79AA5F9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0,060</w:t>
            </w:r>
          </w:p>
        </w:tc>
        <w:tc>
          <w:tcPr>
            <w:tcW w:w="2978" w:type="dxa"/>
            <w:shd w:val="clear" w:color="auto" w:fill="auto"/>
          </w:tcPr>
          <w:p w14:paraId="182184EA"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58F4B7E2" w14:textId="77777777" w:rsidR="00C510C2" w:rsidRPr="00F41174" w:rsidRDefault="00C510C2" w:rsidP="00C510C2">
            <w:pPr>
              <w:pStyle w:val="1text"/>
              <w:spacing w:before="40" w:after="40"/>
              <w:jc w:val="left"/>
              <w:rPr>
                <w:sz w:val="20"/>
                <w:szCs w:val="20"/>
                <w:highlight w:val="green"/>
              </w:rPr>
            </w:pPr>
            <w:r w:rsidRPr="00F41174">
              <w:rPr>
                <w:sz w:val="20"/>
                <w:szCs w:val="20"/>
              </w:rPr>
              <w:t>zastavěno</w:t>
            </w:r>
          </w:p>
        </w:tc>
      </w:tr>
      <w:tr w:rsidR="00C510C2" w:rsidRPr="00F41174" w14:paraId="0163CB46" w14:textId="77777777" w:rsidTr="002B5D5D">
        <w:tc>
          <w:tcPr>
            <w:tcW w:w="1821" w:type="dxa"/>
            <w:shd w:val="clear" w:color="auto" w:fill="auto"/>
            <w:vAlign w:val="bottom"/>
          </w:tcPr>
          <w:p w14:paraId="787DA31B"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Z18.7</w:t>
            </w:r>
          </w:p>
        </w:tc>
        <w:tc>
          <w:tcPr>
            <w:tcW w:w="1133" w:type="dxa"/>
            <w:shd w:val="clear" w:color="auto" w:fill="auto"/>
            <w:vAlign w:val="bottom"/>
          </w:tcPr>
          <w:p w14:paraId="06E73467"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0,015</w:t>
            </w:r>
          </w:p>
        </w:tc>
        <w:tc>
          <w:tcPr>
            <w:tcW w:w="2978" w:type="dxa"/>
            <w:shd w:val="clear" w:color="auto" w:fill="auto"/>
          </w:tcPr>
          <w:p w14:paraId="6ED214FA"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 xml:space="preserve">převzato do ÚP </w:t>
            </w:r>
          </w:p>
        </w:tc>
        <w:tc>
          <w:tcPr>
            <w:tcW w:w="3118" w:type="dxa"/>
            <w:shd w:val="clear" w:color="auto" w:fill="auto"/>
          </w:tcPr>
          <w:p w14:paraId="0C7BB88E" w14:textId="77777777" w:rsidR="00C510C2" w:rsidRPr="00F41174" w:rsidRDefault="00C510C2" w:rsidP="00C510C2">
            <w:pPr>
              <w:pStyle w:val="1text"/>
              <w:spacing w:before="40" w:after="40"/>
              <w:jc w:val="left"/>
              <w:rPr>
                <w:b/>
                <w:sz w:val="20"/>
                <w:szCs w:val="20"/>
                <w:highlight w:val="green"/>
              </w:rPr>
            </w:pPr>
            <w:r w:rsidRPr="00F41174">
              <w:rPr>
                <w:b/>
                <w:sz w:val="20"/>
                <w:szCs w:val="20"/>
              </w:rPr>
              <w:t>plocha P01</w:t>
            </w:r>
          </w:p>
        </w:tc>
      </w:tr>
      <w:tr w:rsidR="00C510C2" w:rsidRPr="00F41174" w14:paraId="1C5D0FD0" w14:textId="77777777" w:rsidTr="002B5D5D">
        <w:tc>
          <w:tcPr>
            <w:tcW w:w="9050" w:type="dxa"/>
            <w:gridSpan w:val="4"/>
            <w:shd w:val="clear" w:color="auto" w:fill="auto"/>
            <w:vAlign w:val="bottom"/>
          </w:tcPr>
          <w:p w14:paraId="6C79EBEF" w14:textId="77777777" w:rsidR="00C510C2" w:rsidRPr="00F41174" w:rsidRDefault="00C510C2" w:rsidP="00C510C2">
            <w:pPr>
              <w:pStyle w:val="1text"/>
              <w:spacing w:before="40" w:after="40"/>
              <w:jc w:val="left"/>
              <w:rPr>
                <w:sz w:val="20"/>
                <w:szCs w:val="20"/>
              </w:rPr>
            </w:pPr>
            <w:r w:rsidRPr="00F41174">
              <w:rPr>
                <w:sz w:val="20"/>
                <w:szCs w:val="20"/>
              </w:rPr>
              <w:t>Plochy občanského vybavení</w:t>
            </w:r>
          </w:p>
        </w:tc>
      </w:tr>
      <w:tr w:rsidR="00C510C2" w:rsidRPr="00F41174" w14:paraId="624693E8" w14:textId="77777777" w:rsidTr="002B5D5D">
        <w:tc>
          <w:tcPr>
            <w:tcW w:w="1821" w:type="dxa"/>
            <w:shd w:val="clear" w:color="auto" w:fill="auto"/>
            <w:vAlign w:val="bottom"/>
          </w:tcPr>
          <w:p w14:paraId="39345171"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200</w:t>
            </w:r>
          </w:p>
        </w:tc>
        <w:tc>
          <w:tcPr>
            <w:tcW w:w="1133" w:type="dxa"/>
            <w:shd w:val="clear" w:color="auto" w:fill="auto"/>
          </w:tcPr>
          <w:p w14:paraId="27251C57"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0,111</w:t>
            </w:r>
          </w:p>
        </w:tc>
        <w:tc>
          <w:tcPr>
            <w:tcW w:w="2978" w:type="dxa"/>
            <w:shd w:val="clear" w:color="auto" w:fill="auto"/>
          </w:tcPr>
          <w:p w14:paraId="55BD0999"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shd w:val="clear" w:color="auto" w:fill="auto"/>
          </w:tcPr>
          <w:p w14:paraId="5026242C" w14:textId="77777777" w:rsidR="00C510C2" w:rsidRPr="00F41174" w:rsidRDefault="00C510C2" w:rsidP="00C510C2">
            <w:pPr>
              <w:pStyle w:val="1text"/>
              <w:spacing w:before="40" w:after="40"/>
              <w:jc w:val="left"/>
              <w:rPr>
                <w:b/>
                <w:sz w:val="20"/>
                <w:szCs w:val="20"/>
              </w:rPr>
            </w:pPr>
            <w:r w:rsidRPr="00F41174">
              <w:rPr>
                <w:b/>
                <w:sz w:val="20"/>
                <w:szCs w:val="20"/>
              </w:rPr>
              <w:t>plochy P03, P04 a Z24</w:t>
            </w:r>
          </w:p>
        </w:tc>
      </w:tr>
      <w:tr w:rsidR="00C510C2" w:rsidRPr="00F41174" w14:paraId="032329FE" w14:textId="77777777" w:rsidTr="002B5D5D">
        <w:tc>
          <w:tcPr>
            <w:tcW w:w="9050" w:type="dxa"/>
            <w:gridSpan w:val="4"/>
            <w:shd w:val="clear" w:color="auto" w:fill="auto"/>
            <w:vAlign w:val="bottom"/>
          </w:tcPr>
          <w:p w14:paraId="48A52903" w14:textId="77777777" w:rsidR="00C510C2" w:rsidRPr="00F41174" w:rsidRDefault="00C510C2" w:rsidP="00C510C2">
            <w:pPr>
              <w:pStyle w:val="1text"/>
              <w:spacing w:before="40" w:after="40"/>
              <w:jc w:val="left"/>
              <w:rPr>
                <w:sz w:val="20"/>
                <w:szCs w:val="20"/>
              </w:rPr>
            </w:pPr>
            <w:r w:rsidRPr="00F41174">
              <w:rPr>
                <w:sz w:val="20"/>
                <w:szCs w:val="20"/>
              </w:rPr>
              <w:t>Plochy výroby</w:t>
            </w:r>
          </w:p>
        </w:tc>
      </w:tr>
      <w:tr w:rsidR="00C510C2" w:rsidRPr="00F41174" w14:paraId="3F793EB1" w14:textId="77777777" w:rsidTr="002B5D5D">
        <w:tc>
          <w:tcPr>
            <w:tcW w:w="1821" w:type="dxa"/>
            <w:shd w:val="clear" w:color="auto" w:fill="auto"/>
          </w:tcPr>
          <w:p w14:paraId="770E96D7"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193</w:t>
            </w:r>
          </w:p>
        </w:tc>
        <w:tc>
          <w:tcPr>
            <w:tcW w:w="1133" w:type="dxa"/>
            <w:shd w:val="clear" w:color="auto" w:fill="auto"/>
          </w:tcPr>
          <w:p w14:paraId="05BD9E56"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1,001</w:t>
            </w:r>
          </w:p>
        </w:tc>
        <w:tc>
          <w:tcPr>
            <w:tcW w:w="2978" w:type="dxa"/>
            <w:shd w:val="clear" w:color="auto" w:fill="auto"/>
          </w:tcPr>
          <w:p w14:paraId="567006C2" w14:textId="77777777" w:rsidR="00C510C2" w:rsidRPr="00F41174" w:rsidRDefault="00C510C2" w:rsidP="00C510C2">
            <w:pPr>
              <w:spacing w:before="40" w:after="40"/>
              <w:rPr>
                <w:rFonts w:eastAsia="Calibri"/>
                <w:sz w:val="20"/>
                <w:szCs w:val="20"/>
              </w:rPr>
            </w:pPr>
            <w:r w:rsidRPr="00F41174">
              <w:rPr>
                <w:rFonts w:eastAsia="Calibri"/>
                <w:b/>
                <w:sz w:val="20"/>
                <w:szCs w:val="20"/>
              </w:rPr>
              <w:t>v rozsahu 0,864 ha převzato do ÚP</w:t>
            </w:r>
            <w:r w:rsidRPr="00F41174">
              <w:rPr>
                <w:rFonts w:eastAsia="Calibri"/>
                <w:sz w:val="20"/>
                <w:szCs w:val="20"/>
              </w:rPr>
              <w:t>, zbývající část vymezena jako stabilizovaná plocha</w:t>
            </w:r>
          </w:p>
        </w:tc>
        <w:tc>
          <w:tcPr>
            <w:tcW w:w="3118" w:type="dxa"/>
            <w:shd w:val="clear" w:color="auto" w:fill="auto"/>
          </w:tcPr>
          <w:p w14:paraId="22C01F30" w14:textId="77777777" w:rsidR="00C510C2" w:rsidRPr="00F41174" w:rsidRDefault="00C510C2" w:rsidP="00C510C2">
            <w:pPr>
              <w:pStyle w:val="1text"/>
              <w:spacing w:before="40" w:after="40"/>
              <w:jc w:val="left"/>
              <w:rPr>
                <w:sz w:val="20"/>
                <w:szCs w:val="20"/>
              </w:rPr>
            </w:pPr>
            <w:r w:rsidRPr="00F41174">
              <w:rPr>
                <w:b/>
                <w:sz w:val="20"/>
                <w:szCs w:val="20"/>
              </w:rPr>
              <w:t>plocha Z101</w:t>
            </w:r>
            <w:r w:rsidRPr="00F41174">
              <w:rPr>
                <w:sz w:val="20"/>
                <w:szCs w:val="20"/>
              </w:rPr>
              <w:t>, část přičleněna pod společné oplocení (§58 a §2, odst. 1c stavebního zákona)</w:t>
            </w:r>
          </w:p>
        </w:tc>
      </w:tr>
      <w:tr w:rsidR="00C510C2" w:rsidRPr="00F41174" w14:paraId="1E513433" w14:textId="77777777" w:rsidTr="002B5D5D">
        <w:tc>
          <w:tcPr>
            <w:tcW w:w="1821" w:type="dxa"/>
            <w:shd w:val="clear" w:color="auto" w:fill="auto"/>
          </w:tcPr>
          <w:p w14:paraId="2966E65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Z2/1</w:t>
            </w:r>
          </w:p>
        </w:tc>
        <w:tc>
          <w:tcPr>
            <w:tcW w:w="1133" w:type="dxa"/>
            <w:shd w:val="clear" w:color="auto" w:fill="auto"/>
          </w:tcPr>
          <w:p w14:paraId="6BA0645C"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5,255</w:t>
            </w:r>
          </w:p>
        </w:tc>
        <w:tc>
          <w:tcPr>
            <w:tcW w:w="2978" w:type="dxa"/>
            <w:shd w:val="clear" w:color="auto" w:fill="auto"/>
          </w:tcPr>
          <w:p w14:paraId="033710D1"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 zčásti záměr vypuštěn</w:t>
            </w:r>
          </w:p>
        </w:tc>
        <w:tc>
          <w:tcPr>
            <w:tcW w:w="3118" w:type="dxa"/>
            <w:shd w:val="clear" w:color="auto" w:fill="auto"/>
          </w:tcPr>
          <w:p w14:paraId="728CCAE9" w14:textId="77777777" w:rsidR="00C510C2" w:rsidRPr="00F41174" w:rsidRDefault="00C510C2" w:rsidP="00C510C2">
            <w:pPr>
              <w:pStyle w:val="1text"/>
              <w:spacing w:before="40" w:after="40"/>
              <w:jc w:val="left"/>
              <w:rPr>
                <w:sz w:val="20"/>
                <w:szCs w:val="20"/>
              </w:rPr>
            </w:pPr>
            <w:r w:rsidRPr="00F41174">
              <w:rPr>
                <w:sz w:val="20"/>
                <w:szCs w:val="20"/>
              </w:rPr>
              <w:t>zčásti realizováno</w:t>
            </w:r>
          </w:p>
        </w:tc>
      </w:tr>
      <w:tr w:rsidR="00C510C2" w:rsidRPr="00F41174" w14:paraId="65A49754" w14:textId="77777777" w:rsidTr="002B5D5D">
        <w:tc>
          <w:tcPr>
            <w:tcW w:w="1821" w:type="dxa"/>
            <w:shd w:val="clear" w:color="auto" w:fill="auto"/>
          </w:tcPr>
          <w:p w14:paraId="2C4C5422"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Z18.9</w:t>
            </w:r>
          </w:p>
        </w:tc>
        <w:tc>
          <w:tcPr>
            <w:tcW w:w="1133" w:type="dxa"/>
            <w:shd w:val="clear" w:color="auto" w:fill="auto"/>
          </w:tcPr>
          <w:p w14:paraId="07445A6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2,561</w:t>
            </w:r>
          </w:p>
        </w:tc>
        <w:tc>
          <w:tcPr>
            <w:tcW w:w="2978" w:type="dxa"/>
            <w:shd w:val="clear" w:color="auto" w:fill="auto"/>
          </w:tcPr>
          <w:p w14:paraId="644C9773" w14:textId="77777777" w:rsidR="00C510C2" w:rsidRPr="00F41174" w:rsidRDefault="00C510C2" w:rsidP="00C510C2">
            <w:pPr>
              <w:spacing w:before="40" w:after="40"/>
              <w:rPr>
                <w:rFonts w:eastAsia="Calibri"/>
                <w:b/>
                <w:sz w:val="20"/>
                <w:szCs w:val="20"/>
              </w:rPr>
            </w:pPr>
            <w:r w:rsidRPr="00F41174">
              <w:rPr>
                <w:rFonts w:eastAsia="Calibri"/>
                <w:b/>
                <w:sz w:val="20"/>
                <w:szCs w:val="20"/>
              </w:rPr>
              <w:t xml:space="preserve">převzato do ÚP </w:t>
            </w:r>
          </w:p>
        </w:tc>
        <w:tc>
          <w:tcPr>
            <w:tcW w:w="3118" w:type="dxa"/>
            <w:shd w:val="clear" w:color="auto" w:fill="auto"/>
          </w:tcPr>
          <w:p w14:paraId="695B10E9" w14:textId="77777777" w:rsidR="00C510C2" w:rsidRPr="00F41174" w:rsidRDefault="00C510C2" w:rsidP="00C510C2">
            <w:pPr>
              <w:pStyle w:val="1text"/>
              <w:spacing w:before="40" w:after="40"/>
              <w:jc w:val="left"/>
              <w:rPr>
                <w:b/>
                <w:sz w:val="20"/>
                <w:szCs w:val="20"/>
              </w:rPr>
            </w:pPr>
            <w:r w:rsidRPr="00F41174">
              <w:rPr>
                <w:b/>
                <w:sz w:val="20"/>
                <w:szCs w:val="20"/>
              </w:rPr>
              <w:t xml:space="preserve">plocha Z101 </w:t>
            </w:r>
          </w:p>
        </w:tc>
      </w:tr>
      <w:tr w:rsidR="00C510C2" w:rsidRPr="00F41174" w14:paraId="38A46614" w14:textId="77777777" w:rsidTr="002B5D5D">
        <w:tc>
          <w:tcPr>
            <w:tcW w:w="9050" w:type="dxa"/>
            <w:gridSpan w:val="4"/>
            <w:shd w:val="clear" w:color="auto" w:fill="auto"/>
          </w:tcPr>
          <w:p w14:paraId="764E65CD" w14:textId="77777777" w:rsidR="00C510C2" w:rsidRPr="00F41174" w:rsidRDefault="00C510C2" w:rsidP="00C510C2">
            <w:pPr>
              <w:pStyle w:val="1text"/>
              <w:spacing w:before="40" w:after="40"/>
              <w:jc w:val="left"/>
              <w:rPr>
                <w:sz w:val="20"/>
                <w:szCs w:val="20"/>
              </w:rPr>
            </w:pPr>
            <w:r w:rsidRPr="00F41174">
              <w:rPr>
                <w:sz w:val="20"/>
                <w:szCs w:val="20"/>
              </w:rPr>
              <w:t>Plochy dopravní infrastruktury</w:t>
            </w:r>
          </w:p>
        </w:tc>
      </w:tr>
      <w:tr w:rsidR="00C510C2" w:rsidRPr="00F41174" w14:paraId="3F372206" w14:textId="77777777" w:rsidTr="002B5D5D">
        <w:tc>
          <w:tcPr>
            <w:tcW w:w="1821" w:type="dxa"/>
            <w:shd w:val="clear" w:color="auto" w:fill="auto"/>
          </w:tcPr>
          <w:p w14:paraId="15ECE9CE"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190</w:t>
            </w:r>
          </w:p>
        </w:tc>
        <w:tc>
          <w:tcPr>
            <w:tcW w:w="1133" w:type="dxa"/>
            <w:shd w:val="clear" w:color="auto" w:fill="auto"/>
          </w:tcPr>
          <w:p w14:paraId="3CD243D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29,173</w:t>
            </w:r>
          </w:p>
        </w:tc>
        <w:tc>
          <w:tcPr>
            <w:tcW w:w="2978" w:type="dxa"/>
            <w:shd w:val="clear" w:color="auto" w:fill="auto"/>
          </w:tcPr>
          <w:p w14:paraId="6980D422"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záměr vypuštěn</w:t>
            </w:r>
          </w:p>
        </w:tc>
        <w:tc>
          <w:tcPr>
            <w:tcW w:w="3118" w:type="dxa"/>
            <w:shd w:val="clear" w:color="auto" w:fill="auto"/>
          </w:tcPr>
          <w:p w14:paraId="0E571E6E" w14:textId="77777777" w:rsidR="00C510C2" w:rsidRPr="00F41174" w:rsidRDefault="00C510C2" w:rsidP="00C510C2">
            <w:pPr>
              <w:pStyle w:val="1text"/>
              <w:spacing w:before="40" w:after="40"/>
              <w:jc w:val="left"/>
              <w:rPr>
                <w:sz w:val="20"/>
                <w:szCs w:val="20"/>
                <w:highlight w:val="green"/>
              </w:rPr>
            </w:pPr>
          </w:p>
        </w:tc>
      </w:tr>
      <w:tr w:rsidR="00C510C2" w:rsidRPr="00F41174" w14:paraId="5C54F5F9" w14:textId="77777777" w:rsidTr="002B5D5D">
        <w:tc>
          <w:tcPr>
            <w:tcW w:w="1821" w:type="dxa"/>
            <w:shd w:val="clear" w:color="auto" w:fill="auto"/>
          </w:tcPr>
          <w:p w14:paraId="412125A2"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194</w:t>
            </w:r>
          </w:p>
        </w:tc>
        <w:tc>
          <w:tcPr>
            <w:tcW w:w="1133" w:type="dxa"/>
            <w:shd w:val="clear" w:color="auto" w:fill="auto"/>
          </w:tcPr>
          <w:p w14:paraId="2FAD8F72"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0,071</w:t>
            </w:r>
          </w:p>
        </w:tc>
        <w:tc>
          <w:tcPr>
            <w:tcW w:w="2978" w:type="dxa"/>
            <w:shd w:val="clear" w:color="auto" w:fill="auto"/>
          </w:tcPr>
          <w:p w14:paraId="3064C8DB"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257A3521"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17C9AEAE" w14:textId="77777777" w:rsidTr="002B5D5D">
        <w:tc>
          <w:tcPr>
            <w:tcW w:w="1821" w:type="dxa"/>
            <w:shd w:val="clear" w:color="auto" w:fill="auto"/>
          </w:tcPr>
          <w:p w14:paraId="426D3A22"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205</w:t>
            </w:r>
          </w:p>
        </w:tc>
        <w:tc>
          <w:tcPr>
            <w:tcW w:w="1133" w:type="dxa"/>
            <w:shd w:val="clear" w:color="auto" w:fill="auto"/>
          </w:tcPr>
          <w:p w14:paraId="735BFAAC"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6,986</w:t>
            </w:r>
          </w:p>
        </w:tc>
        <w:tc>
          <w:tcPr>
            <w:tcW w:w="2978" w:type="dxa"/>
            <w:shd w:val="clear" w:color="auto" w:fill="auto"/>
          </w:tcPr>
          <w:p w14:paraId="2AAC8DE6" w14:textId="77777777" w:rsidR="00C510C2" w:rsidRPr="00F41174" w:rsidRDefault="00C510C2" w:rsidP="00C510C2">
            <w:pPr>
              <w:spacing w:before="40" w:after="40"/>
              <w:rPr>
                <w:rFonts w:eastAsia="Calibri"/>
                <w:sz w:val="20"/>
                <w:szCs w:val="20"/>
                <w:highlight w:val="green"/>
              </w:rPr>
            </w:pPr>
            <w:r w:rsidRPr="00F41174">
              <w:rPr>
                <w:rFonts w:eastAsia="Calibri"/>
                <w:sz w:val="20"/>
                <w:szCs w:val="20"/>
              </w:rPr>
              <w:t>vymezeno jako stabilizovaná plocha</w:t>
            </w:r>
          </w:p>
        </w:tc>
        <w:tc>
          <w:tcPr>
            <w:tcW w:w="3118" w:type="dxa"/>
            <w:shd w:val="clear" w:color="auto" w:fill="auto"/>
          </w:tcPr>
          <w:p w14:paraId="38CC7C4F" w14:textId="77777777" w:rsidR="00C510C2" w:rsidRPr="00F41174" w:rsidRDefault="00C510C2" w:rsidP="00C510C2">
            <w:pPr>
              <w:pStyle w:val="1text"/>
              <w:spacing w:before="40" w:after="40"/>
              <w:jc w:val="left"/>
              <w:rPr>
                <w:sz w:val="20"/>
                <w:szCs w:val="20"/>
                <w:highlight w:val="green"/>
              </w:rPr>
            </w:pPr>
            <w:r w:rsidRPr="00F41174">
              <w:rPr>
                <w:sz w:val="20"/>
                <w:szCs w:val="20"/>
              </w:rPr>
              <w:t>realizováno</w:t>
            </w:r>
          </w:p>
        </w:tc>
      </w:tr>
      <w:tr w:rsidR="00C510C2" w:rsidRPr="00F41174" w14:paraId="1F7EF174" w14:textId="77777777" w:rsidTr="002B5D5D">
        <w:tc>
          <w:tcPr>
            <w:tcW w:w="9050" w:type="dxa"/>
            <w:gridSpan w:val="4"/>
            <w:shd w:val="clear" w:color="auto" w:fill="auto"/>
            <w:vAlign w:val="bottom"/>
          </w:tcPr>
          <w:p w14:paraId="2F3F03BB" w14:textId="77777777" w:rsidR="00C510C2" w:rsidRPr="00F41174" w:rsidRDefault="00C510C2" w:rsidP="00C510C2">
            <w:pPr>
              <w:pStyle w:val="1text"/>
              <w:spacing w:before="40" w:after="40"/>
              <w:jc w:val="left"/>
              <w:rPr>
                <w:sz w:val="20"/>
                <w:szCs w:val="20"/>
                <w:highlight w:val="green"/>
              </w:rPr>
            </w:pPr>
            <w:r w:rsidRPr="00F41174">
              <w:rPr>
                <w:sz w:val="20"/>
                <w:szCs w:val="20"/>
              </w:rPr>
              <w:t>Plochy vodní a vodohospodářské</w:t>
            </w:r>
          </w:p>
        </w:tc>
      </w:tr>
      <w:tr w:rsidR="00C510C2" w:rsidRPr="00F41174" w14:paraId="2F5743F4" w14:textId="77777777" w:rsidTr="002B5D5D">
        <w:tc>
          <w:tcPr>
            <w:tcW w:w="1821" w:type="dxa"/>
            <w:shd w:val="clear" w:color="auto" w:fill="auto"/>
            <w:vAlign w:val="bottom"/>
          </w:tcPr>
          <w:p w14:paraId="6401C4C8"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Z18.8a</w:t>
            </w:r>
          </w:p>
        </w:tc>
        <w:tc>
          <w:tcPr>
            <w:tcW w:w="1133" w:type="dxa"/>
            <w:shd w:val="clear" w:color="auto" w:fill="auto"/>
            <w:vAlign w:val="bottom"/>
          </w:tcPr>
          <w:p w14:paraId="32E71E19"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0,987</w:t>
            </w:r>
          </w:p>
        </w:tc>
        <w:tc>
          <w:tcPr>
            <w:tcW w:w="2978" w:type="dxa"/>
            <w:shd w:val="clear" w:color="auto" w:fill="auto"/>
          </w:tcPr>
          <w:p w14:paraId="677A7F12"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6169B525" w14:textId="77777777" w:rsidR="00C510C2" w:rsidRPr="00F41174" w:rsidRDefault="00C510C2" w:rsidP="00C510C2">
            <w:pPr>
              <w:pStyle w:val="1text"/>
              <w:spacing w:before="40" w:after="40"/>
              <w:jc w:val="left"/>
              <w:rPr>
                <w:b/>
                <w:sz w:val="20"/>
                <w:szCs w:val="20"/>
              </w:rPr>
            </w:pPr>
            <w:r w:rsidRPr="00F41174">
              <w:rPr>
                <w:b/>
                <w:sz w:val="20"/>
                <w:szCs w:val="20"/>
              </w:rPr>
              <w:t>plocha K24</w:t>
            </w:r>
          </w:p>
        </w:tc>
      </w:tr>
      <w:tr w:rsidR="00C510C2" w:rsidRPr="00F41174" w14:paraId="7C46C49C" w14:textId="77777777" w:rsidTr="002B5D5D">
        <w:tc>
          <w:tcPr>
            <w:tcW w:w="1821" w:type="dxa"/>
            <w:shd w:val="clear" w:color="auto" w:fill="auto"/>
            <w:vAlign w:val="bottom"/>
          </w:tcPr>
          <w:p w14:paraId="41D6B69E"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Z18.8b</w:t>
            </w:r>
          </w:p>
        </w:tc>
        <w:tc>
          <w:tcPr>
            <w:tcW w:w="1133" w:type="dxa"/>
            <w:shd w:val="clear" w:color="auto" w:fill="auto"/>
            <w:vAlign w:val="bottom"/>
          </w:tcPr>
          <w:p w14:paraId="6528901B"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0,052</w:t>
            </w:r>
          </w:p>
        </w:tc>
        <w:tc>
          <w:tcPr>
            <w:tcW w:w="2978" w:type="dxa"/>
            <w:shd w:val="clear" w:color="auto" w:fill="auto"/>
          </w:tcPr>
          <w:p w14:paraId="602D4B4D"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44AEAD9A" w14:textId="77777777" w:rsidR="00C510C2" w:rsidRPr="00F41174" w:rsidRDefault="00C510C2" w:rsidP="00C510C2">
            <w:pPr>
              <w:pStyle w:val="1text"/>
              <w:spacing w:before="40" w:after="40"/>
              <w:jc w:val="left"/>
              <w:rPr>
                <w:b/>
                <w:sz w:val="20"/>
                <w:szCs w:val="20"/>
              </w:rPr>
            </w:pPr>
            <w:r w:rsidRPr="00F41174">
              <w:rPr>
                <w:b/>
                <w:sz w:val="20"/>
                <w:szCs w:val="20"/>
              </w:rPr>
              <w:t>plocha K25</w:t>
            </w:r>
          </w:p>
        </w:tc>
      </w:tr>
      <w:tr w:rsidR="00C510C2" w:rsidRPr="00F41174" w14:paraId="5A325514" w14:textId="77777777" w:rsidTr="002B5D5D">
        <w:tc>
          <w:tcPr>
            <w:tcW w:w="1821" w:type="dxa"/>
            <w:shd w:val="clear" w:color="auto" w:fill="auto"/>
            <w:vAlign w:val="bottom"/>
          </w:tcPr>
          <w:p w14:paraId="41F18271"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Z18.8c</w:t>
            </w:r>
          </w:p>
        </w:tc>
        <w:tc>
          <w:tcPr>
            <w:tcW w:w="1133" w:type="dxa"/>
            <w:shd w:val="clear" w:color="auto" w:fill="auto"/>
            <w:vAlign w:val="bottom"/>
          </w:tcPr>
          <w:p w14:paraId="692606EF"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0,151</w:t>
            </w:r>
          </w:p>
        </w:tc>
        <w:tc>
          <w:tcPr>
            <w:tcW w:w="2978" w:type="dxa"/>
            <w:shd w:val="clear" w:color="auto" w:fill="auto"/>
          </w:tcPr>
          <w:p w14:paraId="72E4EF83"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53C57BFC" w14:textId="77777777" w:rsidR="00C510C2" w:rsidRPr="00F41174" w:rsidRDefault="00C510C2" w:rsidP="00C510C2">
            <w:pPr>
              <w:pStyle w:val="1text"/>
              <w:spacing w:before="40" w:after="40"/>
              <w:jc w:val="left"/>
              <w:rPr>
                <w:b/>
                <w:sz w:val="20"/>
                <w:szCs w:val="20"/>
              </w:rPr>
            </w:pPr>
            <w:r w:rsidRPr="00F41174">
              <w:rPr>
                <w:b/>
                <w:sz w:val="20"/>
                <w:szCs w:val="20"/>
              </w:rPr>
              <w:t>plocha K26</w:t>
            </w:r>
          </w:p>
        </w:tc>
      </w:tr>
      <w:tr w:rsidR="00C510C2" w:rsidRPr="00F41174" w14:paraId="2AA5B1E1" w14:textId="77777777" w:rsidTr="002B5D5D">
        <w:tc>
          <w:tcPr>
            <w:tcW w:w="1821" w:type="dxa"/>
            <w:shd w:val="clear" w:color="auto" w:fill="auto"/>
            <w:vAlign w:val="bottom"/>
          </w:tcPr>
          <w:p w14:paraId="57F6B4A2"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Z18.8d</w:t>
            </w:r>
          </w:p>
        </w:tc>
        <w:tc>
          <w:tcPr>
            <w:tcW w:w="1133" w:type="dxa"/>
            <w:shd w:val="clear" w:color="auto" w:fill="auto"/>
            <w:vAlign w:val="bottom"/>
          </w:tcPr>
          <w:p w14:paraId="2E7C98EC"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0,244</w:t>
            </w:r>
          </w:p>
        </w:tc>
        <w:tc>
          <w:tcPr>
            <w:tcW w:w="2978" w:type="dxa"/>
            <w:shd w:val="clear" w:color="auto" w:fill="auto"/>
          </w:tcPr>
          <w:p w14:paraId="7D03690D"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06E21754" w14:textId="77777777" w:rsidR="00C510C2" w:rsidRPr="00F41174" w:rsidRDefault="00C510C2" w:rsidP="00C510C2">
            <w:pPr>
              <w:pStyle w:val="1text"/>
              <w:spacing w:before="40" w:after="40"/>
              <w:jc w:val="left"/>
              <w:rPr>
                <w:b/>
                <w:sz w:val="20"/>
                <w:szCs w:val="20"/>
              </w:rPr>
            </w:pPr>
            <w:r w:rsidRPr="00F41174">
              <w:rPr>
                <w:b/>
                <w:sz w:val="20"/>
                <w:szCs w:val="20"/>
              </w:rPr>
              <w:t>plocha K27</w:t>
            </w:r>
          </w:p>
        </w:tc>
      </w:tr>
      <w:tr w:rsidR="00C510C2" w:rsidRPr="00F41174" w14:paraId="45393010" w14:textId="77777777" w:rsidTr="002B5D5D">
        <w:tc>
          <w:tcPr>
            <w:tcW w:w="1821" w:type="dxa"/>
            <w:shd w:val="clear" w:color="auto" w:fill="auto"/>
            <w:vAlign w:val="bottom"/>
          </w:tcPr>
          <w:p w14:paraId="31A5DFB4"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Z18.8e</w:t>
            </w:r>
          </w:p>
        </w:tc>
        <w:tc>
          <w:tcPr>
            <w:tcW w:w="1133" w:type="dxa"/>
            <w:shd w:val="clear" w:color="auto" w:fill="auto"/>
            <w:vAlign w:val="bottom"/>
          </w:tcPr>
          <w:p w14:paraId="4383C37F"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0,058</w:t>
            </w:r>
          </w:p>
        </w:tc>
        <w:tc>
          <w:tcPr>
            <w:tcW w:w="2978" w:type="dxa"/>
            <w:shd w:val="clear" w:color="auto" w:fill="auto"/>
          </w:tcPr>
          <w:p w14:paraId="30EFC770" w14:textId="77777777" w:rsidR="00C510C2" w:rsidRPr="00F41174" w:rsidRDefault="00C510C2" w:rsidP="00C510C2">
            <w:pPr>
              <w:spacing w:before="40" w:after="40"/>
              <w:rPr>
                <w:rFonts w:eastAsia="Calibri"/>
                <w:b/>
                <w:sz w:val="20"/>
                <w:szCs w:val="20"/>
                <w:highlight w:val="green"/>
              </w:rPr>
            </w:pPr>
            <w:r w:rsidRPr="00F41174">
              <w:rPr>
                <w:rFonts w:eastAsia="Calibri"/>
                <w:b/>
                <w:sz w:val="20"/>
                <w:szCs w:val="20"/>
              </w:rPr>
              <w:t>převzato do ÚP</w:t>
            </w:r>
          </w:p>
        </w:tc>
        <w:tc>
          <w:tcPr>
            <w:tcW w:w="3118" w:type="dxa"/>
            <w:shd w:val="clear" w:color="auto" w:fill="auto"/>
          </w:tcPr>
          <w:p w14:paraId="79C2E787" w14:textId="77777777" w:rsidR="00C510C2" w:rsidRPr="00F41174" w:rsidRDefault="00C510C2" w:rsidP="00C510C2">
            <w:pPr>
              <w:pStyle w:val="1text"/>
              <w:spacing w:before="40" w:after="40"/>
              <w:jc w:val="left"/>
              <w:rPr>
                <w:b/>
                <w:sz w:val="20"/>
                <w:szCs w:val="20"/>
              </w:rPr>
            </w:pPr>
            <w:r w:rsidRPr="00F41174">
              <w:rPr>
                <w:b/>
                <w:sz w:val="20"/>
                <w:szCs w:val="20"/>
              </w:rPr>
              <w:t>plocha K28</w:t>
            </w:r>
          </w:p>
        </w:tc>
      </w:tr>
      <w:tr w:rsidR="00C510C2" w:rsidRPr="00F41174" w14:paraId="02C28CD1" w14:textId="77777777" w:rsidTr="002B5D5D">
        <w:tc>
          <w:tcPr>
            <w:tcW w:w="1821" w:type="dxa"/>
            <w:shd w:val="clear" w:color="auto" w:fill="auto"/>
          </w:tcPr>
          <w:p w14:paraId="3DF59FC4"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Z18.8f</w:t>
            </w:r>
          </w:p>
        </w:tc>
        <w:tc>
          <w:tcPr>
            <w:tcW w:w="1133" w:type="dxa"/>
            <w:shd w:val="clear" w:color="auto" w:fill="auto"/>
          </w:tcPr>
          <w:p w14:paraId="12FF06C3"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0,326</w:t>
            </w:r>
          </w:p>
        </w:tc>
        <w:tc>
          <w:tcPr>
            <w:tcW w:w="2978" w:type="dxa"/>
            <w:shd w:val="clear" w:color="auto" w:fill="auto"/>
          </w:tcPr>
          <w:p w14:paraId="5CB3112C"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5CA6B6E0"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5438E8DD" w14:textId="77777777" w:rsidTr="002B5D5D">
        <w:tc>
          <w:tcPr>
            <w:tcW w:w="1821" w:type="dxa"/>
            <w:shd w:val="clear" w:color="auto" w:fill="auto"/>
          </w:tcPr>
          <w:p w14:paraId="7CA0CE7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Z18.8g</w:t>
            </w:r>
          </w:p>
        </w:tc>
        <w:tc>
          <w:tcPr>
            <w:tcW w:w="1133" w:type="dxa"/>
            <w:shd w:val="clear" w:color="auto" w:fill="auto"/>
          </w:tcPr>
          <w:p w14:paraId="401CBED0"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0,183</w:t>
            </w:r>
          </w:p>
        </w:tc>
        <w:tc>
          <w:tcPr>
            <w:tcW w:w="2978" w:type="dxa"/>
            <w:shd w:val="clear" w:color="auto" w:fill="auto"/>
          </w:tcPr>
          <w:p w14:paraId="29D10269"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52564F9C"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4DC1D715" w14:textId="77777777" w:rsidTr="002B5D5D">
        <w:tc>
          <w:tcPr>
            <w:tcW w:w="1821" w:type="dxa"/>
            <w:shd w:val="clear" w:color="auto" w:fill="auto"/>
          </w:tcPr>
          <w:p w14:paraId="264A5448"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Z18.8i</w:t>
            </w:r>
          </w:p>
        </w:tc>
        <w:tc>
          <w:tcPr>
            <w:tcW w:w="1133" w:type="dxa"/>
            <w:shd w:val="clear" w:color="auto" w:fill="auto"/>
          </w:tcPr>
          <w:p w14:paraId="0C901A83"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color w:val="000000"/>
                <w:sz w:val="20"/>
                <w:szCs w:val="20"/>
                <w:lang w:eastAsia="cs-CZ"/>
              </w:rPr>
              <w:t>0,219</w:t>
            </w:r>
          </w:p>
        </w:tc>
        <w:tc>
          <w:tcPr>
            <w:tcW w:w="2978" w:type="dxa"/>
            <w:shd w:val="clear" w:color="auto" w:fill="auto"/>
          </w:tcPr>
          <w:p w14:paraId="0F55CA97" w14:textId="77777777" w:rsidR="00C510C2" w:rsidRPr="00F41174" w:rsidRDefault="00C510C2" w:rsidP="00C510C2">
            <w:pPr>
              <w:spacing w:before="40" w:after="40"/>
              <w:rPr>
                <w:rFonts w:eastAsia="Calibri"/>
                <w:b/>
                <w:sz w:val="20"/>
                <w:szCs w:val="20"/>
              </w:rPr>
            </w:pPr>
            <w:r w:rsidRPr="00F41174">
              <w:rPr>
                <w:rFonts w:eastAsia="Calibri"/>
                <w:b/>
                <w:sz w:val="20"/>
                <w:szCs w:val="20"/>
              </w:rPr>
              <w:t>převzato do ÚP</w:t>
            </w:r>
          </w:p>
        </w:tc>
        <w:tc>
          <w:tcPr>
            <w:tcW w:w="3118" w:type="dxa"/>
            <w:shd w:val="clear" w:color="auto" w:fill="auto"/>
          </w:tcPr>
          <w:p w14:paraId="6949C2C4" w14:textId="77777777" w:rsidR="00C510C2" w:rsidRPr="00F41174" w:rsidRDefault="00C510C2" w:rsidP="00C510C2">
            <w:pPr>
              <w:pStyle w:val="1text"/>
              <w:spacing w:before="40" w:after="40"/>
              <w:jc w:val="left"/>
              <w:rPr>
                <w:b/>
                <w:sz w:val="20"/>
                <w:szCs w:val="20"/>
              </w:rPr>
            </w:pPr>
            <w:r w:rsidRPr="00F41174">
              <w:rPr>
                <w:b/>
                <w:sz w:val="20"/>
                <w:szCs w:val="20"/>
              </w:rPr>
              <w:t>plocha K23</w:t>
            </w:r>
          </w:p>
        </w:tc>
      </w:tr>
      <w:tr w:rsidR="00C510C2" w:rsidRPr="00F41174" w14:paraId="1DC88030" w14:textId="77777777" w:rsidTr="002B5D5D">
        <w:tc>
          <w:tcPr>
            <w:tcW w:w="1821" w:type="dxa"/>
            <w:shd w:val="clear" w:color="auto" w:fill="auto"/>
          </w:tcPr>
          <w:p w14:paraId="20652077"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Z18.8k</w:t>
            </w:r>
          </w:p>
        </w:tc>
        <w:tc>
          <w:tcPr>
            <w:tcW w:w="1133" w:type="dxa"/>
            <w:shd w:val="clear" w:color="auto" w:fill="auto"/>
          </w:tcPr>
          <w:p w14:paraId="629B34EB"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0,174</w:t>
            </w:r>
          </w:p>
        </w:tc>
        <w:tc>
          <w:tcPr>
            <w:tcW w:w="2978" w:type="dxa"/>
            <w:shd w:val="clear" w:color="auto" w:fill="auto"/>
          </w:tcPr>
          <w:p w14:paraId="774A0458"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shd w:val="clear" w:color="auto" w:fill="auto"/>
          </w:tcPr>
          <w:p w14:paraId="6D95902A"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77AC3EAB" w14:textId="77777777" w:rsidTr="002B5D5D">
        <w:tc>
          <w:tcPr>
            <w:tcW w:w="1821" w:type="dxa"/>
            <w:tcBorders>
              <w:bottom w:val="single" w:sz="12" w:space="0" w:color="auto"/>
            </w:tcBorders>
            <w:shd w:val="clear" w:color="auto" w:fill="auto"/>
          </w:tcPr>
          <w:p w14:paraId="2FEA7EB1" w14:textId="77777777" w:rsidR="00C510C2" w:rsidRPr="00F41174" w:rsidRDefault="00C510C2" w:rsidP="00C510C2">
            <w:pPr>
              <w:pStyle w:val="1text"/>
              <w:spacing w:before="40" w:after="40"/>
              <w:jc w:val="left"/>
              <w:rPr>
                <w:rFonts w:eastAsia="Times New Roman"/>
                <w:color w:val="000000"/>
                <w:sz w:val="20"/>
                <w:szCs w:val="20"/>
                <w:lang w:eastAsia="cs-CZ"/>
              </w:rPr>
            </w:pPr>
            <w:r w:rsidRPr="00F41174">
              <w:rPr>
                <w:rFonts w:eastAsia="Times New Roman"/>
                <w:color w:val="000000"/>
                <w:sz w:val="20"/>
                <w:szCs w:val="20"/>
                <w:lang w:eastAsia="cs-CZ"/>
              </w:rPr>
              <w:t>Z18.8l</w:t>
            </w:r>
          </w:p>
        </w:tc>
        <w:tc>
          <w:tcPr>
            <w:tcW w:w="1133" w:type="dxa"/>
            <w:tcBorders>
              <w:bottom w:val="single" w:sz="12" w:space="0" w:color="auto"/>
            </w:tcBorders>
            <w:shd w:val="clear" w:color="auto" w:fill="auto"/>
          </w:tcPr>
          <w:p w14:paraId="520B0A31" w14:textId="77777777" w:rsidR="00C510C2" w:rsidRPr="00F41174" w:rsidRDefault="00C510C2" w:rsidP="00C510C2">
            <w:pPr>
              <w:pStyle w:val="1text"/>
              <w:spacing w:before="40" w:after="40"/>
              <w:jc w:val="left"/>
              <w:rPr>
                <w:rFonts w:eastAsia="Times New Roman"/>
                <w:sz w:val="20"/>
                <w:szCs w:val="20"/>
                <w:lang w:eastAsia="cs-CZ"/>
              </w:rPr>
            </w:pPr>
            <w:r w:rsidRPr="00F41174">
              <w:rPr>
                <w:rFonts w:eastAsia="Times New Roman"/>
                <w:color w:val="000000"/>
                <w:sz w:val="20"/>
                <w:szCs w:val="20"/>
                <w:lang w:eastAsia="cs-CZ"/>
              </w:rPr>
              <w:t>0,184</w:t>
            </w:r>
          </w:p>
        </w:tc>
        <w:tc>
          <w:tcPr>
            <w:tcW w:w="2978" w:type="dxa"/>
            <w:tcBorders>
              <w:bottom w:val="single" w:sz="12" w:space="0" w:color="auto"/>
            </w:tcBorders>
            <w:shd w:val="clear" w:color="auto" w:fill="auto"/>
          </w:tcPr>
          <w:p w14:paraId="0C92D4FE" w14:textId="77777777" w:rsidR="00C510C2" w:rsidRPr="00F41174" w:rsidRDefault="00C510C2" w:rsidP="00C510C2">
            <w:pPr>
              <w:spacing w:before="40" w:after="40"/>
              <w:rPr>
                <w:rFonts w:eastAsia="Calibri"/>
                <w:sz w:val="20"/>
                <w:szCs w:val="20"/>
              </w:rPr>
            </w:pPr>
            <w:r w:rsidRPr="00F41174">
              <w:rPr>
                <w:rFonts w:eastAsia="Calibri"/>
                <w:sz w:val="20"/>
                <w:szCs w:val="20"/>
              </w:rPr>
              <w:t>vymezeno jako stabilizovaná plocha</w:t>
            </w:r>
          </w:p>
        </w:tc>
        <w:tc>
          <w:tcPr>
            <w:tcW w:w="3118" w:type="dxa"/>
            <w:tcBorders>
              <w:bottom w:val="single" w:sz="12" w:space="0" w:color="auto"/>
            </w:tcBorders>
            <w:shd w:val="clear" w:color="auto" w:fill="auto"/>
          </w:tcPr>
          <w:p w14:paraId="7801C9EB" w14:textId="77777777" w:rsidR="00C510C2" w:rsidRPr="00F41174" w:rsidRDefault="00C510C2" w:rsidP="00C510C2">
            <w:pPr>
              <w:pStyle w:val="1text"/>
              <w:spacing w:before="40" w:after="40"/>
              <w:jc w:val="left"/>
              <w:rPr>
                <w:sz w:val="20"/>
                <w:szCs w:val="20"/>
              </w:rPr>
            </w:pPr>
            <w:r w:rsidRPr="00F41174">
              <w:rPr>
                <w:sz w:val="20"/>
                <w:szCs w:val="20"/>
              </w:rPr>
              <w:t>realizováno</w:t>
            </w:r>
          </w:p>
        </w:tc>
      </w:tr>
      <w:tr w:rsidR="00C510C2" w:rsidRPr="00F41174" w14:paraId="57A851E9" w14:textId="77777777" w:rsidTr="002B5D5D">
        <w:tc>
          <w:tcPr>
            <w:tcW w:w="1821" w:type="dxa"/>
            <w:tcBorders>
              <w:top w:val="single" w:sz="12" w:space="0" w:color="auto"/>
              <w:left w:val="single" w:sz="12" w:space="0" w:color="auto"/>
            </w:tcBorders>
            <w:shd w:val="clear" w:color="auto" w:fill="F2F2F2"/>
          </w:tcPr>
          <w:p w14:paraId="25ED2188"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sz w:val="20"/>
                <w:szCs w:val="20"/>
                <w:lang w:eastAsia="cs-CZ"/>
              </w:rPr>
              <w:lastRenderedPageBreak/>
              <w:t>CELKEM K.U. VÁCLAVICE U HRÁDKU NAD NISOU</w:t>
            </w:r>
          </w:p>
        </w:tc>
        <w:tc>
          <w:tcPr>
            <w:tcW w:w="7229" w:type="dxa"/>
            <w:gridSpan w:val="3"/>
            <w:tcBorders>
              <w:top w:val="single" w:sz="12" w:space="0" w:color="auto"/>
              <w:right w:val="single" w:sz="12" w:space="0" w:color="auto"/>
            </w:tcBorders>
            <w:shd w:val="clear" w:color="auto" w:fill="F2F2F2"/>
          </w:tcPr>
          <w:p w14:paraId="152C182E" w14:textId="77777777" w:rsidR="00C510C2" w:rsidRPr="00F41174" w:rsidRDefault="00C510C2" w:rsidP="00C510C2">
            <w:pPr>
              <w:pStyle w:val="1text"/>
              <w:spacing w:before="40" w:after="40"/>
              <w:jc w:val="left"/>
              <w:rPr>
                <w:b/>
                <w:sz w:val="20"/>
                <w:szCs w:val="20"/>
                <w:highlight w:val="green"/>
              </w:rPr>
            </w:pPr>
            <w:r w:rsidRPr="00F41174">
              <w:rPr>
                <w:rFonts w:eastAsia="Times New Roman"/>
                <w:b/>
                <w:color w:val="000000"/>
                <w:sz w:val="20"/>
                <w:szCs w:val="20"/>
                <w:lang w:eastAsia="cs-CZ"/>
              </w:rPr>
              <w:t>64,675</w:t>
            </w:r>
          </w:p>
        </w:tc>
      </w:tr>
      <w:tr w:rsidR="00C510C2" w:rsidRPr="00F41174" w14:paraId="1F746F60" w14:textId="77777777" w:rsidTr="002B5D5D">
        <w:tc>
          <w:tcPr>
            <w:tcW w:w="1821" w:type="dxa"/>
            <w:vMerge w:val="restart"/>
            <w:tcBorders>
              <w:left w:val="single" w:sz="12" w:space="0" w:color="auto"/>
            </w:tcBorders>
            <w:shd w:val="clear" w:color="auto" w:fill="auto"/>
          </w:tcPr>
          <w:p w14:paraId="6F5B3022"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z toho:</w:t>
            </w:r>
          </w:p>
        </w:tc>
        <w:tc>
          <w:tcPr>
            <w:tcW w:w="1133" w:type="dxa"/>
            <w:shd w:val="clear" w:color="auto" w:fill="auto"/>
          </w:tcPr>
          <w:p w14:paraId="1852760D"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6,733 ha</w:t>
            </w:r>
          </w:p>
        </w:tc>
        <w:tc>
          <w:tcPr>
            <w:tcW w:w="6096" w:type="dxa"/>
            <w:gridSpan w:val="2"/>
            <w:tcBorders>
              <w:right w:val="single" w:sz="12" w:space="0" w:color="auto"/>
            </w:tcBorders>
            <w:shd w:val="clear" w:color="auto" w:fill="auto"/>
          </w:tcPr>
          <w:p w14:paraId="2E878134" w14:textId="77777777" w:rsidR="00C510C2" w:rsidRPr="00F41174" w:rsidRDefault="00C510C2" w:rsidP="00C510C2">
            <w:pPr>
              <w:pStyle w:val="1text"/>
              <w:spacing w:before="40" w:after="40"/>
              <w:jc w:val="left"/>
              <w:rPr>
                <w:sz w:val="20"/>
                <w:szCs w:val="20"/>
              </w:rPr>
            </w:pPr>
            <w:r w:rsidRPr="00F41174">
              <w:rPr>
                <w:b/>
                <w:sz w:val="20"/>
                <w:szCs w:val="20"/>
              </w:rPr>
              <w:t>záborů ZPF převzato</w:t>
            </w:r>
          </w:p>
        </w:tc>
      </w:tr>
      <w:tr w:rsidR="00C510C2" w:rsidRPr="00F41174" w14:paraId="73965809" w14:textId="77777777" w:rsidTr="002B5D5D">
        <w:tc>
          <w:tcPr>
            <w:tcW w:w="1821" w:type="dxa"/>
            <w:vMerge/>
            <w:tcBorders>
              <w:left w:val="single" w:sz="12" w:space="0" w:color="auto"/>
            </w:tcBorders>
            <w:shd w:val="clear" w:color="auto" w:fill="auto"/>
          </w:tcPr>
          <w:p w14:paraId="50E1744A"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shd w:val="clear" w:color="auto" w:fill="auto"/>
          </w:tcPr>
          <w:p w14:paraId="7437207C"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14,883 ha</w:t>
            </w:r>
          </w:p>
        </w:tc>
        <w:tc>
          <w:tcPr>
            <w:tcW w:w="6096" w:type="dxa"/>
            <w:gridSpan w:val="2"/>
            <w:tcBorders>
              <w:right w:val="single" w:sz="12" w:space="0" w:color="auto"/>
            </w:tcBorders>
            <w:shd w:val="clear" w:color="auto" w:fill="auto"/>
          </w:tcPr>
          <w:p w14:paraId="01E61A94" w14:textId="77777777" w:rsidR="00C510C2" w:rsidRPr="00F41174" w:rsidRDefault="00C510C2" w:rsidP="00C510C2">
            <w:pPr>
              <w:pStyle w:val="1text"/>
              <w:spacing w:before="40" w:after="40"/>
              <w:jc w:val="left"/>
              <w:rPr>
                <w:sz w:val="20"/>
                <w:szCs w:val="20"/>
              </w:rPr>
            </w:pPr>
            <w:r w:rsidRPr="00F41174">
              <w:rPr>
                <w:b/>
                <w:sz w:val="20"/>
                <w:szCs w:val="20"/>
              </w:rPr>
              <w:t>záborů ZPF vymezeno jako stabilizovaná plocha</w:t>
            </w:r>
          </w:p>
        </w:tc>
      </w:tr>
      <w:tr w:rsidR="00C510C2" w:rsidRPr="00F41174" w14:paraId="25397442" w14:textId="77777777" w:rsidTr="002B5D5D">
        <w:tc>
          <w:tcPr>
            <w:tcW w:w="1821" w:type="dxa"/>
            <w:vMerge/>
            <w:tcBorders>
              <w:left w:val="single" w:sz="12" w:space="0" w:color="auto"/>
              <w:bottom w:val="single" w:sz="12" w:space="0" w:color="auto"/>
            </w:tcBorders>
            <w:shd w:val="clear" w:color="auto" w:fill="auto"/>
          </w:tcPr>
          <w:p w14:paraId="69BC3AEB"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auto"/>
          </w:tcPr>
          <w:p w14:paraId="752D3EA2"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43,060 ha</w:t>
            </w:r>
          </w:p>
        </w:tc>
        <w:tc>
          <w:tcPr>
            <w:tcW w:w="6096" w:type="dxa"/>
            <w:gridSpan w:val="2"/>
            <w:tcBorders>
              <w:bottom w:val="single" w:sz="12" w:space="0" w:color="auto"/>
              <w:right w:val="single" w:sz="12" w:space="0" w:color="auto"/>
            </w:tcBorders>
            <w:shd w:val="clear" w:color="auto" w:fill="auto"/>
          </w:tcPr>
          <w:p w14:paraId="63C8B0F4" w14:textId="77777777" w:rsidR="00C510C2" w:rsidRPr="00F41174" w:rsidRDefault="00C510C2" w:rsidP="00C510C2">
            <w:pPr>
              <w:pStyle w:val="1text"/>
              <w:spacing w:before="40" w:after="40"/>
              <w:jc w:val="left"/>
              <w:rPr>
                <w:sz w:val="20"/>
                <w:szCs w:val="20"/>
              </w:rPr>
            </w:pPr>
            <w:r w:rsidRPr="00F41174">
              <w:rPr>
                <w:b/>
                <w:sz w:val="20"/>
                <w:szCs w:val="20"/>
              </w:rPr>
              <w:t>záborů ZPF vypuštěno</w:t>
            </w:r>
          </w:p>
        </w:tc>
      </w:tr>
      <w:tr w:rsidR="00C510C2" w:rsidRPr="00F41174" w14:paraId="1490110E" w14:textId="77777777" w:rsidTr="002B5D5D">
        <w:tc>
          <w:tcPr>
            <w:tcW w:w="1821" w:type="dxa"/>
            <w:vMerge w:val="restart"/>
            <w:tcBorders>
              <w:top w:val="single" w:sz="12" w:space="0" w:color="auto"/>
              <w:left w:val="single" w:sz="12" w:space="0" w:color="auto"/>
            </w:tcBorders>
            <w:shd w:val="clear" w:color="auto" w:fill="BFBFBF"/>
          </w:tcPr>
          <w:p w14:paraId="282DC5DE" w14:textId="77777777" w:rsidR="00C510C2" w:rsidRPr="00F41174" w:rsidRDefault="00C510C2" w:rsidP="00C510C2">
            <w:pPr>
              <w:pStyle w:val="1text"/>
              <w:spacing w:before="40" w:after="40"/>
              <w:jc w:val="left"/>
              <w:rPr>
                <w:rFonts w:eastAsia="Times New Roman"/>
                <w:b/>
                <w:sz w:val="20"/>
                <w:szCs w:val="20"/>
                <w:lang w:eastAsia="cs-CZ"/>
              </w:rPr>
            </w:pPr>
            <w:r w:rsidRPr="00F41174">
              <w:rPr>
                <w:rFonts w:eastAsia="Times New Roman"/>
                <w:b/>
                <w:sz w:val="20"/>
                <w:szCs w:val="20"/>
                <w:lang w:eastAsia="cs-CZ"/>
              </w:rPr>
              <w:t>CELKEM SPRÁVNÍ ÚZEMÍ HRÁDEK NAD NISOU</w:t>
            </w:r>
          </w:p>
        </w:tc>
        <w:tc>
          <w:tcPr>
            <w:tcW w:w="1133" w:type="dxa"/>
            <w:tcBorders>
              <w:top w:val="single" w:sz="12" w:space="0" w:color="auto"/>
            </w:tcBorders>
            <w:shd w:val="clear" w:color="auto" w:fill="BFBFBF"/>
          </w:tcPr>
          <w:p w14:paraId="7F0CB0D5"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54,434 ha</w:t>
            </w:r>
          </w:p>
        </w:tc>
        <w:tc>
          <w:tcPr>
            <w:tcW w:w="6096" w:type="dxa"/>
            <w:gridSpan w:val="2"/>
            <w:tcBorders>
              <w:top w:val="single" w:sz="12" w:space="0" w:color="auto"/>
              <w:right w:val="single" w:sz="12" w:space="0" w:color="auto"/>
            </w:tcBorders>
            <w:shd w:val="clear" w:color="auto" w:fill="BFBFBF"/>
          </w:tcPr>
          <w:p w14:paraId="24E8DDC2" w14:textId="77777777" w:rsidR="00C510C2" w:rsidRPr="00F41174" w:rsidRDefault="00C510C2" w:rsidP="00C510C2">
            <w:pPr>
              <w:pStyle w:val="1text"/>
              <w:spacing w:before="40" w:after="40"/>
              <w:jc w:val="left"/>
              <w:rPr>
                <w:sz w:val="20"/>
                <w:szCs w:val="20"/>
              </w:rPr>
            </w:pPr>
            <w:r w:rsidRPr="00F41174">
              <w:rPr>
                <w:b/>
                <w:sz w:val="20"/>
                <w:szCs w:val="20"/>
              </w:rPr>
              <w:t>záborů ZPF převzato</w:t>
            </w:r>
          </w:p>
        </w:tc>
      </w:tr>
      <w:tr w:rsidR="00C510C2" w:rsidRPr="00F41174" w14:paraId="520F1E1A" w14:textId="77777777" w:rsidTr="002B5D5D">
        <w:tc>
          <w:tcPr>
            <w:tcW w:w="1821" w:type="dxa"/>
            <w:vMerge/>
            <w:tcBorders>
              <w:left w:val="single" w:sz="12" w:space="0" w:color="auto"/>
            </w:tcBorders>
            <w:shd w:val="clear" w:color="auto" w:fill="BFBFBF"/>
          </w:tcPr>
          <w:p w14:paraId="75EAF4B0"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shd w:val="clear" w:color="auto" w:fill="BFBFBF"/>
          </w:tcPr>
          <w:p w14:paraId="51BA0364"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67,030 ha</w:t>
            </w:r>
          </w:p>
        </w:tc>
        <w:tc>
          <w:tcPr>
            <w:tcW w:w="6096" w:type="dxa"/>
            <w:gridSpan w:val="2"/>
            <w:tcBorders>
              <w:right w:val="single" w:sz="12" w:space="0" w:color="auto"/>
            </w:tcBorders>
            <w:shd w:val="clear" w:color="auto" w:fill="BFBFBF"/>
          </w:tcPr>
          <w:p w14:paraId="6820EC1E" w14:textId="77777777" w:rsidR="00C510C2" w:rsidRPr="00F41174" w:rsidRDefault="00C510C2" w:rsidP="00C510C2">
            <w:pPr>
              <w:pStyle w:val="1text"/>
              <w:spacing w:before="40" w:after="40"/>
              <w:jc w:val="left"/>
              <w:rPr>
                <w:sz w:val="20"/>
                <w:szCs w:val="20"/>
              </w:rPr>
            </w:pPr>
            <w:r w:rsidRPr="00F41174">
              <w:rPr>
                <w:b/>
                <w:sz w:val="20"/>
                <w:szCs w:val="20"/>
              </w:rPr>
              <w:t>záborů ZPF vymezeno jako stabilizovaná plocha</w:t>
            </w:r>
          </w:p>
        </w:tc>
      </w:tr>
      <w:tr w:rsidR="00C510C2" w:rsidRPr="00F41174" w14:paraId="1AA57120" w14:textId="77777777" w:rsidTr="002B5D5D">
        <w:tc>
          <w:tcPr>
            <w:tcW w:w="1821" w:type="dxa"/>
            <w:vMerge/>
            <w:tcBorders>
              <w:left w:val="single" w:sz="12" w:space="0" w:color="auto"/>
              <w:bottom w:val="single" w:sz="12" w:space="0" w:color="auto"/>
            </w:tcBorders>
            <w:shd w:val="clear" w:color="auto" w:fill="BFBFBF"/>
          </w:tcPr>
          <w:p w14:paraId="2902B82B" w14:textId="77777777" w:rsidR="00C510C2" w:rsidRPr="00F41174" w:rsidRDefault="00C510C2" w:rsidP="00C510C2">
            <w:pPr>
              <w:pStyle w:val="1text"/>
              <w:spacing w:before="40" w:after="40"/>
              <w:jc w:val="left"/>
              <w:rPr>
                <w:rFonts w:eastAsia="Times New Roman"/>
                <w:b/>
                <w:sz w:val="20"/>
                <w:szCs w:val="20"/>
                <w:lang w:eastAsia="cs-CZ"/>
              </w:rPr>
            </w:pPr>
          </w:p>
        </w:tc>
        <w:tc>
          <w:tcPr>
            <w:tcW w:w="1133" w:type="dxa"/>
            <w:tcBorders>
              <w:bottom w:val="single" w:sz="12" w:space="0" w:color="auto"/>
            </w:tcBorders>
            <w:shd w:val="clear" w:color="auto" w:fill="BFBFBF"/>
          </w:tcPr>
          <w:p w14:paraId="68601299" w14:textId="77777777" w:rsidR="00C510C2" w:rsidRPr="00F41174" w:rsidRDefault="00C510C2" w:rsidP="00C510C2">
            <w:pPr>
              <w:pStyle w:val="1text"/>
              <w:spacing w:before="40" w:after="40"/>
              <w:jc w:val="left"/>
              <w:rPr>
                <w:rFonts w:eastAsia="Times New Roman"/>
                <w:b/>
                <w:color w:val="000000"/>
                <w:sz w:val="20"/>
                <w:szCs w:val="20"/>
                <w:lang w:eastAsia="cs-CZ"/>
              </w:rPr>
            </w:pPr>
            <w:r w:rsidRPr="00F41174">
              <w:rPr>
                <w:rFonts w:eastAsia="Times New Roman"/>
                <w:b/>
                <w:color w:val="000000"/>
                <w:sz w:val="20"/>
                <w:szCs w:val="20"/>
                <w:lang w:eastAsia="cs-CZ"/>
              </w:rPr>
              <w:t>97,054 ha</w:t>
            </w:r>
          </w:p>
        </w:tc>
        <w:tc>
          <w:tcPr>
            <w:tcW w:w="6096" w:type="dxa"/>
            <w:gridSpan w:val="2"/>
            <w:tcBorders>
              <w:bottom w:val="single" w:sz="12" w:space="0" w:color="auto"/>
              <w:right w:val="single" w:sz="12" w:space="0" w:color="auto"/>
            </w:tcBorders>
            <w:shd w:val="clear" w:color="auto" w:fill="BFBFBF"/>
          </w:tcPr>
          <w:p w14:paraId="48B674A3" w14:textId="77777777" w:rsidR="00C510C2" w:rsidRPr="00F41174" w:rsidRDefault="00C510C2" w:rsidP="00C510C2">
            <w:pPr>
              <w:pStyle w:val="1text"/>
              <w:spacing w:before="40" w:after="40"/>
              <w:jc w:val="left"/>
              <w:rPr>
                <w:sz w:val="20"/>
                <w:szCs w:val="20"/>
              </w:rPr>
            </w:pPr>
            <w:r w:rsidRPr="00F41174">
              <w:rPr>
                <w:b/>
                <w:sz w:val="20"/>
                <w:szCs w:val="20"/>
              </w:rPr>
              <w:t>záborů ZPF vypuštěno</w:t>
            </w:r>
          </w:p>
        </w:tc>
      </w:tr>
    </w:tbl>
    <w:p w14:paraId="6B787202" w14:textId="77777777" w:rsidR="00C510C2" w:rsidRDefault="00C510C2" w:rsidP="002B5D5D">
      <w:pPr>
        <w:spacing w:before="120" w:after="120" w:line="100" w:lineRule="atLeast"/>
        <w:rPr>
          <w:b/>
          <w:bCs/>
          <w:i/>
          <w:iCs/>
        </w:rPr>
      </w:pPr>
      <w:r>
        <w:rPr>
          <w:b/>
          <w:bCs/>
          <w:i/>
          <w:iCs/>
        </w:rPr>
        <w:t>Vyhodnocení celkových záborů z platného Územního plánu sídelního útvaru Hrádek nad Nisou, z návrhu Územního plánu Hrádek nad Nisou pro společné jednání a z upraveného návrhu Územního plánu Hrádek nad Nisou dle požadavků a dohod s dotčenými orgány je uveden v následující tabulce:</w:t>
      </w:r>
    </w:p>
    <w:tbl>
      <w:tblPr>
        <w:tblW w:w="4889" w:type="pct"/>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8"/>
        <w:gridCol w:w="1874"/>
      </w:tblGrid>
      <w:tr w:rsidR="00C510C2" w:rsidRPr="00F41174" w14:paraId="53131303" w14:textId="77777777" w:rsidTr="002B5D5D">
        <w:tc>
          <w:tcPr>
            <w:tcW w:w="7208" w:type="dxa"/>
            <w:shd w:val="clear" w:color="auto" w:fill="DBDBDB"/>
          </w:tcPr>
          <w:p w14:paraId="41177C17" w14:textId="77777777" w:rsidR="00C510C2" w:rsidRPr="00F41174" w:rsidRDefault="00C510C2" w:rsidP="00C510C2">
            <w:pPr>
              <w:spacing w:before="60" w:after="60"/>
              <w:rPr>
                <w:rFonts w:eastAsia="Calibri"/>
                <w:sz w:val="20"/>
                <w:szCs w:val="20"/>
              </w:rPr>
            </w:pPr>
            <w:bookmarkStart w:id="218" w:name="_Hlk10445679"/>
            <w:r w:rsidRPr="00F41174">
              <w:rPr>
                <w:rFonts w:eastAsia="Calibri"/>
                <w:sz w:val="20"/>
                <w:szCs w:val="20"/>
              </w:rPr>
              <w:t>Pro zábor ZPF v platném ÚPSÚ vymezeno a schváleno</w:t>
            </w:r>
          </w:p>
        </w:tc>
        <w:tc>
          <w:tcPr>
            <w:tcW w:w="1874" w:type="dxa"/>
            <w:shd w:val="clear" w:color="auto" w:fill="auto"/>
          </w:tcPr>
          <w:p w14:paraId="3D006442" w14:textId="77777777" w:rsidR="00C510C2" w:rsidRPr="00F41174" w:rsidRDefault="00C510C2" w:rsidP="00C510C2">
            <w:pPr>
              <w:spacing w:before="60" w:after="60"/>
              <w:rPr>
                <w:rFonts w:eastAsia="Calibri"/>
                <w:b/>
                <w:sz w:val="20"/>
                <w:szCs w:val="20"/>
              </w:rPr>
            </w:pPr>
            <w:r w:rsidRPr="00F41174">
              <w:rPr>
                <w:rFonts w:eastAsia="Calibri"/>
                <w:b/>
                <w:sz w:val="20"/>
                <w:szCs w:val="20"/>
              </w:rPr>
              <w:t>218,518 ha</w:t>
            </w:r>
          </w:p>
        </w:tc>
      </w:tr>
      <w:tr w:rsidR="00C510C2" w:rsidRPr="00F41174" w14:paraId="0B7FDFEE" w14:textId="77777777" w:rsidTr="002B5D5D">
        <w:tc>
          <w:tcPr>
            <w:tcW w:w="7208" w:type="dxa"/>
            <w:shd w:val="clear" w:color="auto" w:fill="DBDBDB"/>
          </w:tcPr>
          <w:p w14:paraId="1DCD4E88" w14:textId="77777777" w:rsidR="00C510C2" w:rsidRPr="00F41174" w:rsidRDefault="00C510C2" w:rsidP="00C510C2">
            <w:pPr>
              <w:spacing w:before="60" w:after="60"/>
              <w:rPr>
                <w:rFonts w:eastAsia="Calibri"/>
                <w:sz w:val="20"/>
                <w:szCs w:val="20"/>
              </w:rPr>
            </w:pPr>
            <w:r w:rsidRPr="00F41174">
              <w:rPr>
                <w:rFonts w:eastAsia="Calibri"/>
                <w:sz w:val="20"/>
                <w:szCs w:val="20"/>
              </w:rPr>
              <w:t>Pro zábor ZPF v novém ÚP vymezeno</w:t>
            </w:r>
          </w:p>
        </w:tc>
        <w:tc>
          <w:tcPr>
            <w:tcW w:w="1874" w:type="dxa"/>
            <w:shd w:val="clear" w:color="auto" w:fill="auto"/>
          </w:tcPr>
          <w:p w14:paraId="684A7538" w14:textId="77777777" w:rsidR="00C510C2" w:rsidRPr="00F41174" w:rsidRDefault="00C510C2" w:rsidP="00C510C2">
            <w:pPr>
              <w:spacing w:before="60" w:after="60"/>
              <w:rPr>
                <w:rFonts w:eastAsia="Calibri"/>
                <w:b/>
                <w:sz w:val="20"/>
                <w:szCs w:val="20"/>
              </w:rPr>
            </w:pPr>
            <w:r w:rsidRPr="00F41174">
              <w:rPr>
                <w:rFonts w:eastAsia="Calibri"/>
                <w:b/>
                <w:sz w:val="20"/>
                <w:szCs w:val="20"/>
              </w:rPr>
              <w:t>98,861 ha</w:t>
            </w:r>
          </w:p>
        </w:tc>
      </w:tr>
      <w:tr w:rsidR="00C510C2" w:rsidRPr="00F41174" w14:paraId="460A9821" w14:textId="77777777" w:rsidTr="002B5D5D">
        <w:tc>
          <w:tcPr>
            <w:tcW w:w="7208" w:type="dxa"/>
            <w:shd w:val="clear" w:color="auto" w:fill="DBDBDB"/>
          </w:tcPr>
          <w:p w14:paraId="43BE673B" w14:textId="77777777" w:rsidR="00C510C2" w:rsidRPr="00F41174" w:rsidRDefault="00C510C2" w:rsidP="00C510C2">
            <w:pPr>
              <w:spacing w:before="60" w:after="60"/>
              <w:rPr>
                <w:rFonts w:eastAsia="Calibri"/>
                <w:sz w:val="20"/>
                <w:szCs w:val="20"/>
              </w:rPr>
            </w:pPr>
            <w:r w:rsidRPr="00F41174">
              <w:rPr>
                <w:rFonts w:eastAsia="Calibri"/>
                <w:sz w:val="20"/>
                <w:szCs w:val="20"/>
              </w:rPr>
              <w:t>Rozdíl záboru ZPF v platném ÚPSÚ a novém ÚP</w:t>
            </w:r>
          </w:p>
        </w:tc>
        <w:tc>
          <w:tcPr>
            <w:tcW w:w="1874" w:type="dxa"/>
            <w:shd w:val="clear" w:color="auto" w:fill="auto"/>
          </w:tcPr>
          <w:p w14:paraId="7A8B1DFE" w14:textId="77777777" w:rsidR="00C510C2" w:rsidRPr="00F41174" w:rsidRDefault="00C510C2" w:rsidP="00C510C2">
            <w:pPr>
              <w:spacing w:before="60" w:after="60"/>
              <w:rPr>
                <w:rFonts w:eastAsia="Calibri"/>
                <w:b/>
                <w:sz w:val="20"/>
                <w:szCs w:val="20"/>
              </w:rPr>
            </w:pPr>
            <w:r w:rsidRPr="00F41174">
              <w:rPr>
                <w:rFonts w:eastAsia="Calibri"/>
                <w:b/>
                <w:sz w:val="20"/>
                <w:szCs w:val="20"/>
              </w:rPr>
              <w:t>-119,657 ha</w:t>
            </w:r>
          </w:p>
        </w:tc>
      </w:tr>
      <w:tr w:rsidR="00C510C2" w:rsidRPr="00F41174" w14:paraId="66C05139" w14:textId="77777777" w:rsidTr="002B5D5D">
        <w:tc>
          <w:tcPr>
            <w:tcW w:w="7208" w:type="dxa"/>
            <w:shd w:val="clear" w:color="auto" w:fill="DBDBDB"/>
          </w:tcPr>
          <w:p w14:paraId="1F7AF166" w14:textId="77777777" w:rsidR="00C510C2" w:rsidRPr="00F41174" w:rsidRDefault="00C510C2" w:rsidP="00C510C2">
            <w:pPr>
              <w:spacing w:before="60" w:after="60"/>
              <w:rPr>
                <w:rFonts w:eastAsia="Calibri"/>
                <w:sz w:val="20"/>
                <w:szCs w:val="20"/>
              </w:rPr>
            </w:pPr>
            <w:r w:rsidRPr="00F41174">
              <w:rPr>
                <w:rFonts w:eastAsia="Calibri"/>
                <w:sz w:val="20"/>
                <w:szCs w:val="20"/>
              </w:rPr>
              <w:t>Rozsah záboru ZPF z ÚPSÚ, který byl v novém ÚP vypuštěn</w:t>
            </w:r>
          </w:p>
        </w:tc>
        <w:tc>
          <w:tcPr>
            <w:tcW w:w="1874" w:type="dxa"/>
            <w:shd w:val="clear" w:color="auto" w:fill="auto"/>
          </w:tcPr>
          <w:p w14:paraId="4A8B8D80" w14:textId="77777777" w:rsidR="00C510C2" w:rsidRPr="00F41174" w:rsidRDefault="00C510C2" w:rsidP="00C510C2">
            <w:pPr>
              <w:spacing w:before="60" w:after="60"/>
              <w:rPr>
                <w:rFonts w:eastAsia="Calibri"/>
                <w:b/>
                <w:sz w:val="20"/>
                <w:szCs w:val="20"/>
              </w:rPr>
            </w:pPr>
            <w:r w:rsidRPr="00F41174">
              <w:rPr>
                <w:rFonts w:eastAsia="Calibri"/>
                <w:b/>
                <w:sz w:val="20"/>
                <w:szCs w:val="20"/>
              </w:rPr>
              <w:t xml:space="preserve">97,054 ha </w:t>
            </w:r>
          </w:p>
        </w:tc>
      </w:tr>
      <w:tr w:rsidR="00C510C2" w:rsidRPr="00F41174" w14:paraId="34E1E55D" w14:textId="77777777" w:rsidTr="002B5D5D">
        <w:tc>
          <w:tcPr>
            <w:tcW w:w="7208" w:type="dxa"/>
            <w:shd w:val="clear" w:color="auto" w:fill="DBDBDB"/>
          </w:tcPr>
          <w:p w14:paraId="7AF8DCDB" w14:textId="77777777" w:rsidR="00C510C2" w:rsidRPr="00F41174" w:rsidRDefault="00C510C2" w:rsidP="00C510C2">
            <w:pPr>
              <w:spacing w:before="60" w:after="60"/>
              <w:rPr>
                <w:rFonts w:eastAsia="Calibri"/>
                <w:sz w:val="20"/>
                <w:szCs w:val="20"/>
              </w:rPr>
            </w:pPr>
            <w:r w:rsidRPr="00F41174">
              <w:rPr>
                <w:rFonts w:eastAsia="Calibri"/>
                <w:sz w:val="20"/>
                <w:szCs w:val="20"/>
              </w:rPr>
              <w:t>Rozsah záboru ZPF z ÚPSÚ, který byl v novém ÚP vymezen jako stabilizované plochy</w:t>
            </w:r>
          </w:p>
        </w:tc>
        <w:tc>
          <w:tcPr>
            <w:tcW w:w="1874" w:type="dxa"/>
            <w:shd w:val="clear" w:color="auto" w:fill="auto"/>
          </w:tcPr>
          <w:p w14:paraId="383DC601" w14:textId="77777777" w:rsidR="00C510C2" w:rsidRPr="00F41174" w:rsidRDefault="00C510C2" w:rsidP="00C510C2">
            <w:pPr>
              <w:spacing w:before="60" w:after="60"/>
              <w:rPr>
                <w:rFonts w:eastAsia="Calibri"/>
                <w:b/>
                <w:sz w:val="20"/>
                <w:szCs w:val="20"/>
              </w:rPr>
            </w:pPr>
            <w:r w:rsidRPr="00F41174">
              <w:rPr>
                <w:rFonts w:eastAsia="Calibri"/>
                <w:b/>
                <w:sz w:val="20"/>
                <w:szCs w:val="20"/>
              </w:rPr>
              <w:t>67,030 ha</w:t>
            </w:r>
          </w:p>
        </w:tc>
      </w:tr>
      <w:tr w:rsidR="00C510C2" w:rsidRPr="00F41174" w14:paraId="205E8AB1" w14:textId="77777777" w:rsidTr="002B5D5D">
        <w:tc>
          <w:tcPr>
            <w:tcW w:w="7208" w:type="dxa"/>
            <w:shd w:val="clear" w:color="auto" w:fill="DBDBDB"/>
          </w:tcPr>
          <w:p w14:paraId="5928E1D2" w14:textId="77777777" w:rsidR="00C510C2" w:rsidRPr="00F41174" w:rsidRDefault="00C510C2" w:rsidP="00C510C2">
            <w:pPr>
              <w:spacing w:before="60" w:after="60"/>
              <w:rPr>
                <w:rFonts w:eastAsia="Calibri"/>
                <w:sz w:val="20"/>
                <w:szCs w:val="20"/>
              </w:rPr>
            </w:pPr>
            <w:r w:rsidRPr="00F41174">
              <w:rPr>
                <w:rFonts w:eastAsia="Calibri"/>
                <w:sz w:val="20"/>
                <w:szCs w:val="20"/>
              </w:rPr>
              <w:t>Rozsah záboru ZPF převzatého z platného ÚPSÚ do nového ÚP</w:t>
            </w:r>
          </w:p>
        </w:tc>
        <w:tc>
          <w:tcPr>
            <w:tcW w:w="1874" w:type="dxa"/>
            <w:shd w:val="clear" w:color="auto" w:fill="auto"/>
          </w:tcPr>
          <w:p w14:paraId="106C289B" w14:textId="77777777" w:rsidR="00C510C2" w:rsidRPr="00F41174" w:rsidRDefault="00C510C2" w:rsidP="00C510C2">
            <w:pPr>
              <w:spacing w:before="60" w:after="60"/>
              <w:rPr>
                <w:rFonts w:eastAsia="Calibri"/>
                <w:b/>
                <w:sz w:val="20"/>
                <w:szCs w:val="20"/>
              </w:rPr>
            </w:pPr>
            <w:r w:rsidRPr="00F41174">
              <w:rPr>
                <w:rFonts w:eastAsia="Calibri"/>
                <w:b/>
                <w:sz w:val="20"/>
                <w:szCs w:val="20"/>
              </w:rPr>
              <w:t xml:space="preserve">54,434 ha </w:t>
            </w:r>
            <w:r w:rsidRPr="00F41174">
              <w:rPr>
                <w:rFonts w:eastAsia="Calibri"/>
                <w:sz w:val="20"/>
                <w:szCs w:val="20"/>
              </w:rPr>
              <w:t>(55%)</w:t>
            </w:r>
          </w:p>
        </w:tc>
      </w:tr>
      <w:tr w:rsidR="00C510C2" w:rsidRPr="00F41174" w14:paraId="5CE0F919" w14:textId="77777777" w:rsidTr="002B5D5D">
        <w:tc>
          <w:tcPr>
            <w:tcW w:w="7208" w:type="dxa"/>
            <w:shd w:val="clear" w:color="auto" w:fill="DBDBDB"/>
          </w:tcPr>
          <w:p w14:paraId="65FB6D9C" w14:textId="77777777" w:rsidR="00C510C2" w:rsidRPr="00F41174" w:rsidRDefault="00C510C2" w:rsidP="00C510C2">
            <w:pPr>
              <w:spacing w:before="60" w:after="60"/>
              <w:rPr>
                <w:rFonts w:eastAsia="Calibri"/>
                <w:sz w:val="20"/>
                <w:szCs w:val="20"/>
              </w:rPr>
            </w:pPr>
            <w:r w:rsidRPr="00F41174">
              <w:rPr>
                <w:rFonts w:eastAsia="Calibri"/>
                <w:sz w:val="20"/>
                <w:szCs w:val="20"/>
              </w:rPr>
              <w:t>Rozsah záboru ZPF vymezeného v ÚP nově</w:t>
            </w:r>
          </w:p>
        </w:tc>
        <w:tc>
          <w:tcPr>
            <w:tcW w:w="1874" w:type="dxa"/>
            <w:shd w:val="clear" w:color="auto" w:fill="auto"/>
          </w:tcPr>
          <w:p w14:paraId="79A8D42F" w14:textId="77777777" w:rsidR="00C510C2" w:rsidRPr="00F41174" w:rsidRDefault="00C510C2" w:rsidP="00C510C2">
            <w:pPr>
              <w:spacing w:before="60" w:after="60"/>
              <w:rPr>
                <w:rFonts w:eastAsia="Calibri"/>
                <w:b/>
                <w:sz w:val="20"/>
                <w:szCs w:val="20"/>
              </w:rPr>
            </w:pPr>
            <w:r w:rsidRPr="00F41174">
              <w:rPr>
                <w:rFonts w:eastAsia="Calibri"/>
                <w:b/>
                <w:sz w:val="20"/>
                <w:szCs w:val="20"/>
              </w:rPr>
              <w:t xml:space="preserve">44,427 ha </w:t>
            </w:r>
            <w:r w:rsidRPr="00F41174">
              <w:rPr>
                <w:rFonts w:eastAsia="Calibri"/>
                <w:sz w:val="20"/>
                <w:szCs w:val="20"/>
              </w:rPr>
              <w:t>(45%)</w:t>
            </w:r>
          </w:p>
        </w:tc>
      </w:tr>
    </w:tbl>
    <w:bookmarkEnd w:id="218"/>
    <w:p w14:paraId="0410ADDD" w14:textId="77777777" w:rsidR="00C510C2" w:rsidRPr="00F41174" w:rsidRDefault="00C510C2" w:rsidP="002B5D5D">
      <w:pPr>
        <w:autoSpaceDE w:val="0"/>
        <w:autoSpaceDN w:val="0"/>
        <w:adjustRightInd w:val="0"/>
        <w:spacing w:before="120" w:line="240" w:lineRule="auto"/>
        <w:rPr>
          <w:rFonts w:cstheme="majorBidi"/>
          <w:b/>
          <w:i/>
          <w:iCs/>
          <w:lang w:eastAsia="en-US"/>
        </w:rPr>
      </w:pPr>
      <w:r w:rsidRPr="00F41174">
        <w:rPr>
          <w:rFonts w:cstheme="majorBidi"/>
          <w:b/>
          <w:i/>
          <w:iCs/>
          <w:lang w:eastAsia="en-US"/>
        </w:rPr>
        <w:t>Na základě uzavřené dohody dotčený orgán nadále nepožaduje zpracování vyhodnocení vlivů na životní prostředí.</w:t>
      </w:r>
    </w:p>
    <w:p w14:paraId="03CE949C" w14:textId="77777777" w:rsidR="00C510C2" w:rsidRPr="00F41174" w:rsidRDefault="00C510C2" w:rsidP="00F41174">
      <w:pPr>
        <w:autoSpaceDE w:val="0"/>
        <w:autoSpaceDN w:val="0"/>
        <w:adjustRightInd w:val="0"/>
        <w:spacing w:before="240" w:line="240" w:lineRule="auto"/>
        <w:ind w:left="567"/>
        <w:rPr>
          <w:rFonts w:eastAsiaTheme="minorHAnsi" w:cstheme="majorBidi"/>
          <w:lang w:eastAsia="en-US"/>
        </w:rPr>
      </w:pPr>
      <w:r w:rsidRPr="00F41174">
        <w:rPr>
          <w:rFonts w:eastAsiaTheme="minorHAnsi" w:cstheme="majorBidi"/>
          <w:b/>
          <w:bCs/>
          <w:lang w:eastAsia="en-US"/>
        </w:rPr>
        <w:t xml:space="preserve">5) zákona č. 86/2002 Sb., o ochraně ovzduší a o změně některých dalších zákonů, ve znění pozdějších předpisů: </w:t>
      </w:r>
    </w:p>
    <w:p w14:paraId="2727E291"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KÚ LK, jako věcně a místně příslušný orgán státní správy ochrany ovzduší podle ustanovení § 27 odst. 1, písm. e) zákona č. 201/2012 Sb., o ochraně ovzduší, ve znění pozdějších předpisů (dále jen „zákon o ochraně ovzduší“), uplatňuje ve smyslu ustanovení § 11 odst. 2 písm. a) zákona o ochraně ovzduší následující stanovisko: </w:t>
      </w:r>
    </w:p>
    <w:p w14:paraId="402B8980"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Orgán ochrany ovzduší upřesňuje k předloženému Návrhu ÚP Hrádek nad Nisou </w:t>
      </w:r>
      <w:r w:rsidRPr="00F41174">
        <w:rPr>
          <w:rFonts w:eastAsiaTheme="minorHAnsi" w:cstheme="majorBidi"/>
          <w:b/>
          <w:bCs/>
          <w:lang w:eastAsia="en-US"/>
        </w:rPr>
        <w:t>požadavek na vyhodnocení vlivů navrhovaného funkčního využití ploch s potenciálem ovlivnění imisní situace</w:t>
      </w:r>
      <w:r w:rsidRPr="00F41174">
        <w:rPr>
          <w:rFonts w:eastAsiaTheme="minorHAnsi" w:cstheme="majorBidi"/>
          <w:lang w:eastAsia="en-US"/>
        </w:rPr>
        <w:t xml:space="preserve">, a to v rámci vyhodnocení vlivů na životní prostředí. Jedná se zejména o návrhové plochy pro lehký průmysl a pro výrobu a skladování se specifickým využitím. Posoudit je třeba únosnost dalšího zatížení území ve vztahu k imisním limitům stanoveným zákonem č. 201/2012 Sb., o ochraně ovzduší, ve znění pozdějších předpisů (dále jen „zákon o ochraně ovzduší“). Při posouzení budou zohledněny stávající reálné emise (průmysl, doprava, lokální topeniště), odhad emisí z návrhových ploch s potenciálem vnosu dalších emisí do ovzduší (při plném vytížení návrhových ploch) a na základě těchto údajů bude učiněn </w:t>
      </w:r>
      <w:r w:rsidRPr="00F41174">
        <w:rPr>
          <w:rFonts w:eastAsiaTheme="minorHAnsi" w:cstheme="majorBidi"/>
          <w:u w:val="single"/>
          <w:lang w:eastAsia="en-US"/>
        </w:rPr>
        <w:t>závěr ve vztahu k plnění imisních limitů</w:t>
      </w:r>
      <w:r w:rsidRPr="00F41174">
        <w:rPr>
          <w:rFonts w:eastAsiaTheme="minorHAnsi" w:cstheme="majorBidi"/>
          <w:lang w:eastAsia="en-US"/>
        </w:rPr>
        <w:t xml:space="preserve">. </w:t>
      </w:r>
    </w:p>
    <w:p w14:paraId="6146CF83"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V rámci vyhodnocení vlivů na životní prostředí je třeba z hlediska ochrany ovzduší dále věnovat pečlivou pozornost </w:t>
      </w:r>
      <w:r w:rsidRPr="00F41174">
        <w:rPr>
          <w:rFonts w:eastAsiaTheme="minorHAnsi" w:cstheme="majorBidi"/>
          <w:u w:val="single"/>
          <w:lang w:eastAsia="en-US"/>
        </w:rPr>
        <w:t>vyhodnocení vhodnosti prostorového uspořádání návrhových ploch</w:t>
      </w:r>
      <w:r w:rsidRPr="00F41174">
        <w:rPr>
          <w:rFonts w:eastAsiaTheme="minorHAnsi" w:cstheme="majorBidi"/>
          <w:lang w:eastAsia="en-US"/>
        </w:rPr>
        <w:t xml:space="preserve"> s potenciální produkcí emisí a návrhových nebo stabilizovaných ploch s funkcí bydlení (zejm. návrhové plochy Z41 vůči plochám Z43, </w:t>
      </w:r>
      <w:r w:rsidRPr="00F41174">
        <w:rPr>
          <w:rFonts w:eastAsiaTheme="minorHAnsi" w:cstheme="majorBidi"/>
          <w:lang w:eastAsia="en-US"/>
        </w:rPr>
        <w:lastRenderedPageBreak/>
        <w:t xml:space="preserve">Z44, Z45 (při zohlednění emisí z provozu na I/35), plochy Z37 vůči Z38 stabilizovaným plochám s funkcí bydlení). </w:t>
      </w:r>
    </w:p>
    <w:p w14:paraId="7493B086"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Pokud jde o navrhované plochy izolační a ochranné zeleně KD1 a KD2, které mají sloužit k odclonění vlivů ploch výroby, resp. dopravy (I/35), orgán ochrany ovzduší k těmto uvádí, že tyto pouze při vhodném výběru dřevin stromového a keřového patra, při dostatečné šířce pásu ochranné zeleně, hustotě a výšce porostu, budou plnit izolační funkci. </w:t>
      </w:r>
      <w:r w:rsidRPr="00F41174">
        <w:rPr>
          <w:rFonts w:eastAsiaTheme="minorHAnsi" w:cstheme="majorBidi"/>
          <w:u w:val="single"/>
          <w:lang w:eastAsia="en-US"/>
        </w:rPr>
        <w:t>Vybudování těchto pásů izolační zeleně by mělo předcházet reálnému využití návrhových funkčních ploch, které mají být těmito pásy odděleny (mělo by být stanoveno jako podmínka)</w:t>
      </w:r>
      <w:r w:rsidRPr="00F41174">
        <w:rPr>
          <w:rFonts w:eastAsiaTheme="minorHAnsi" w:cstheme="majorBidi"/>
          <w:lang w:eastAsia="en-US"/>
        </w:rPr>
        <w:t xml:space="preserve">. </w:t>
      </w:r>
    </w:p>
    <w:p w14:paraId="60E80003" w14:textId="77777777" w:rsidR="00C510C2" w:rsidRPr="00F41174" w:rsidRDefault="00C510C2" w:rsidP="00F41174">
      <w:pPr>
        <w:autoSpaceDE w:val="0"/>
        <w:autoSpaceDN w:val="0"/>
        <w:adjustRightInd w:val="0"/>
        <w:spacing w:before="120" w:after="120" w:line="240" w:lineRule="auto"/>
        <w:ind w:left="567"/>
        <w:rPr>
          <w:rFonts w:eastAsiaTheme="minorHAnsi" w:cstheme="majorBidi"/>
          <w:lang w:eastAsia="en-US"/>
        </w:rPr>
      </w:pPr>
      <w:r w:rsidRPr="00F41174">
        <w:rPr>
          <w:rFonts w:eastAsiaTheme="minorHAnsi" w:cstheme="majorBidi"/>
          <w:lang w:eastAsia="en-US"/>
        </w:rPr>
        <w:t xml:space="preserve">Orgán ochrany ovzduší upozorňuje na účinnost </w:t>
      </w:r>
      <w:r w:rsidRPr="00F41174">
        <w:rPr>
          <w:rFonts w:eastAsiaTheme="minorHAnsi" w:cstheme="majorBidi"/>
          <w:b/>
          <w:bCs/>
          <w:lang w:eastAsia="en-US"/>
        </w:rPr>
        <w:t xml:space="preserve">Programu zlepšování kvality ovzduší zóna severovýchod – CZ 05 </w:t>
      </w:r>
      <w:r w:rsidRPr="00F41174">
        <w:rPr>
          <w:rFonts w:eastAsiaTheme="minorHAnsi" w:cstheme="majorBidi"/>
          <w:lang w:eastAsia="en-US"/>
        </w:rPr>
        <w:t>(dále jen „PZKO“), jehož cílem je zajistit do roku 2020 dodržování všech imisních limitů stanovených zákonem o ochraně ovzduší. Ve vazbě na zákon o ochraně ovzduší a na tento koncepční dokument orgán ochrany ovzduší dále upozorňuje, že Návrh ÚP Hrádek nad Nisou nesmí vytvářet potenciál k lokálnímu prolomení imisních limitů stanovených zákonem.</w:t>
      </w:r>
    </w:p>
    <w:p w14:paraId="3F554C54" w14:textId="77777777" w:rsidR="00C510C2" w:rsidRPr="00F41174" w:rsidRDefault="00C510C2" w:rsidP="00F41174">
      <w:pPr>
        <w:autoSpaceDE w:val="0"/>
        <w:autoSpaceDN w:val="0"/>
        <w:adjustRightInd w:val="0"/>
        <w:spacing w:before="120" w:line="240" w:lineRule="auto"/>
        <w:ind w:left="567"/>
        <w:rPr>
          <w:rFonts w:eastAsiaTheme="minorHAnsi" w:cstheme="majorBidi"/>
          <w:lang w:eastAsia="en-US"/>
        </w:rPr>
      </w:pPr>
      <w:r w:rsidRPr="00F41174">
        <w:rPr>
          <w:rFonts w:eastAsiaTheme="minorHAnsi" w:cstheme="majorBidi"/>
          <w:lang w:eastAsia="en-US"/>
        </w:rPr>
        <w:t xml:space="preserve">Součástí PZKO je i </w:t>
      </w:r>
      <w:r w:rsidRPr="00F41174">
        <w:rPr>
          <w:rFonts w:eastAsiaTheme="minorHAnsi" w:cstheme="majorBidi"/>
          <w:b/>
          <w:bCs/>
          <w:lang w:eastAsia="en-US"/>
        </w:rPr>
        <w:t xml:space="preserve">Opatření ED1 </w:t>
      </w:r>
      <w:r w:rsidRPr="00F41174">
        <w:rPr>
          <w:rFonts w:eastAsiaTheme="minorHAnsi" w:cstheme="majorBidi"/>
          <w:lang w:eastAsia="en-US"/>
        </w:rPr>
        <w:t xml:space="preserve">vztahující se k územnímu plánování. Při tvorbě, aktualizaci a změnách ÚPD je nutné, aby pořizovatel ÚPD v maximální možné míře zohledňoval zásady uvedené v Opatření ED1. Pro uplatnění těchto zásad je nutné využívat především prostorového uspořádání území, lokalizace a rozsah využití území, institutu podmíněně přípustného využití, podmínek pro využití ploch, resp. pro vymezení pozemků apod. Jednou z uvedených zásad je např. „neumísťovat obytnou zástavbu do bezprostřední blízkosti velmi silně dopravně zatížených komunikací a koridorů dopravní infrastruktury, zejména dopravní stavby mezinárodního, republikového a nadmístního významu vymezených v PÚR nebo ÚPD“. </w:t>
      </w:r>
      <w:r w:rsidRPr="00F41174">
        <w:rPr>
          <w:rFonts w:eastAsiaTheme="minorHAnsi" w:cstheme="majorBidi"/>
          <w:u w:val="single"/>
          <w:lang w:eastAsia="en-US"/>
        </w:rPr>
        <w:t>Vyhodnocení dodržení zásad uvedených v opatření ED1 požaduje orgán ochrany ovzduší rovněž začlenit jako součást vyhodnocení vlivů na životní prostředí</w:t>
      </w:r>
      <w:r w:rsidRPr="00F41174">
        <w:rPr>
          <w:rFonts w:eastAsiaTheme="minorHAnsi" w:cstheme="majorBidi"/>
          <w:lang w:eastAsia="en-US"/>
        </w:rPr>
        <w:t>.</w:t>
      </w:r>
    </w:p>
    <w:p w14:paraId="2CB92AA1" w14:textId="77777777" w:rsidR="00C510C2" w:rsidRPr="00F41174" w:rsidRDefault="00C510C2" w:rsidP="002B5D5D">
      <w:pPr>
        <w:spacing w:before="240"/>
        <w:rPr>
          <w:rFonts w:cstheme="majorBidi"/>
          <w:i/>
          <w:iCs/>
          <w:lang w:eastAsia="en-US"/>
        </w:rPr>
      </w:pPr>
      <w:r w:rsidRPr="00F41174">
        <w:rPr>
          <w:rFonts w:cstheme="majorBidi"/>
          <w:b/>
          <w:bCs/>
          <w:i/>
          <w:iCs/>
          <w:lang w:eastAsia="en-US"/>
        </w:rPr>
        <w:t xml:space="preserve">Vyhodnocení stanoviska  </w:t>
      </w:r>
    </w:p>
    <w:p w14:paraId="56A5240D" w14:textId="77777777" w:rsidR="00C510C2" w:rsidRPr="00F41174" w:rsidRDefault="00C510C2" w:rsidP="002B5D5D">
      <w:pPr>
        <w:autoSpaceDE w:val="0"/>
        <w:autoSpaceDN w:val="0"/>
        <w:adjustRightInd w:val="0"/>
        <w:spacing w:before="120" w:line="240" w:lineRule="auto"/>
        <w:rPr>
          <w:rFonts w:cstheme="majorBidi"/>
          <w:i/>
          <w:iCs/>
          <w:lang w:eastAsia="en-US"/>
        </w:rPr>
      </w:pPr>
      <w:r w:rsidRPr="00F41174">
        <w:rPr>
          <w:rFonts w:cstheme="majorBidi"/>
          <w:i/>
          <w:iCs/>
          <w:lang w:eastAsia="en-US"/>
        </w:rPr>
        <w:t xml:space="preserve">Pořizovatel ve spolupráci s určeným zastupitelem se zabýval požadavkem dotčeného orgánu a s ohledem na jednání, která s dotčeným orgánem proběhla, </w:t>
      </w:r>
      <w:r w:rsidRPr="00F41174">
        <w:rPr>
          <w:rFonts w:cstheme="majorBidi"/>
          <w:bCs/>
          <w:i/>
          <w:iCs/>
          <w:lang w:eastAsia="en-US"/>
        </w:rPr>
        <w:t>uzavřel s dotčeným orgánem dohodu č.j. OSŽP-2564/2019 –PES ze dne 01.04.2019, ze které vyplývá,</w:t>
      </w:r>
      <w:r w:rsidRPr="00F41174">
        <w:rPr>
          <w:rFonts w:cstheme="majorBidi"/>
          <w:i/>
          <w:iCs/>
          <w:lang w:eastAsia="en-US"/>
        </w:rPr>
        <w:t xml:space="preserve"> že v návrhu Územního plánu Hrádek nad Nisou bude upraven rozsah zastavitelných ploch tak, aby se z hlediska ovzduší minimalizovalo jejich vzájemné negativní ovlivnění, a bude upravena textová část, a to následujícím způsobem:</w:t>
      </w:r>
    </w:p>
    <w:p w14:paraId="1864DE17" w14:textId="77777777" w:rsidR="00C510C2" w:rsidRPr="00F41174" w:rsidRDefault="00C510C2" w:rsidP="002B5D5D">
      <w:pPr>
        <w:pStyle w:val="ListParagraph"/>
        <w:keepNext/>
        <w:numPr>
          <w:ilvl w:val="0"/>
          <w:numId w:val="132"/>
        </w:numPr>
        <w:tabs>
          <w:tab w:val="left" w:pos="567"/>
          <w:tab w:val="left" w:pos="851"/>
        </w:tabs>
        <w:suppressAutoHyphens/>
        <w:spacing w:before="120" w:line="100" w:lineRule="atLeast"/>
        <w:ind w:left="567" w:hanging="567"/>
        <w:contextualSpacing/>
        <w:rPr>
          <w:i/>
        </w:rPr>
      </w:pPr>
      <w:r w:rsidRPr="00F41174">
        <w:rPr>
          <w:i/>
        </w:rPr>
        <w:t>redukce zastavitelné plochy výroby a skladování – Z41 na následující rozsah:</w:t>
      </w:r>
    </w:p>
    <w:p w14:paraId="70A8EA40" w14:textId="77777777" w:rsidR="00C510C2" w:rsidRPr="00BF7F29" w:rsidRDefault="00C510C2" w:rsidP="002B5D5D">
      <w:pPr>
        <w:spacing w:before="120" w:line="100" w:lineRule="atLeast"/>
        <w:ind w:left="567" w:hanging="283"/>
        <w:jc w:val="center"/>
        <w:rPr>
          <w:i/>
          <w:color w:val="FF0000"/>
        </w:rPr>
      </w:pPr>
      <w:r w:rsidRPr="00BF7F29">
        <w:rPr>
          <w:i/>
          <w:noProof/>
          <w:color w:val="FF0000"/>
          <w:lang w:eastAsia="cs-CZ"/>
        </w:rPr>
        <w:drawing>
          <wp:inline distT="0" distB="0" distL="0" distR="0" wp14:anchorId="4EF00880" wp14:editId="62418747">
            <wp:extent cx="2575560" cy="2858787"/>
            <wp:effectExtent l="0" t="0" r="0" b="0"/>
            <wp:docPr id="37" name="Obrázek 37" descr="Z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82328" cy="2866299"/>
                    </a:xfrm>
                    <a:prstGeom prst="rect">
                      <a:avLst/>
                    </a:prstGeom>
                    <a:noFill/>
                    <a:ln>
                      <a:noFill/>
                    </a:ln>
                  </pic:spPr>
                </pic:pic>
              </a:graphicData>
            </a:graphic>
          </wp:inline>
        </w:drawing>
      </w:r>
    </w:p>
    <w:p w14:paraId="1B2F878C" w14:textId="77777777" w:rsidR="00C510C2" w:rsidRPr="00BF7F29" w:rsidRDefault="00C510C2" w:rsidP="002B5D5D">
      <w:pPr>
        <w:spacing w:before="120" w:line="100" w:lineRule="atLeast"/>
        <w:ind w:left="567" w:hanging="283"/>
        <w:rPr>
          <w:i/>
          <w:color w:val="FF0000"/>
        </w:rPr>
      </w:pPr>
    </w:p>
    <w:p w14:paraId="096FC7BA" w14:textId="77777777" w:rsidR="00C510C2" w:rsidRPr="00C50D79" w:rsidRDefault="00C510C2" w:rsidP="002B5D5D">
      <w:pPr>
        <w:pStyle w:val="ListParagraph"/>
        <w:keepNext/>
        <w:numPr>
          <w:ilvl w:val="0"/>
          <w:numId w:val="132"/>
        </w:numPr>
        <w:tabs>
          <w:tab w:val="left" w:pos="567"/>
        </w:tabs>
        <w:suppressAutoHyphens/>
        <w:spacing w:before="120" w:line="100" w:lineRule="atLeast"/>
        <w:ind w:left="567" w:hanging="567"/>
        <w:contextualSpacing/>
        <w:rPr>
          <w:i/>
        </w:rPr>
      </w:pPr>
      <w:r w:rsidRPr="00C50D79">
        <w:rPr>
          <w:i/>
        </w:rPr>
        <w:lastRenderedPageBreak/>
        <w:t>redukce zastavitelné plochy bydlení – Z44 na následující rozsah:</w:t>
      </w:r>
    </w:p>
    <w:p w14:paraId="204DD116" w14:textId="77777777" w:rsidR="00C510C2" w:rsidRPr="00C50D79" w:rsidRDefault="00C510C2" w:rsidP="002B5D5D">
      <w:pPr>
        <w:spacing w:before="120" w:line="100" w:lineRule="atLeast"/>
        <w:ind w:left="1134" w:hanging="567"/>
        <w:jc w:val="center"/>
        <w:rPr>
          <w:i/>
          <w:color w:val="FF0000"/>
        </w:rPr>
      </w:pPr>
      <w:r w:rsidRPr="00C50D79">
        <w:rPr>
          <w:i/>
          <w:noProof/>
          <w:color w:val="FF0000"/>
          <w:lang w:eastAsia="cs-CZ"/>
        </w:rPr>
        <w:drawing>
          <wp:inline distT="0" distB="0" distL="0" distR="0" wp14:anchorId="61DD64AA" wp14:editId="0606C2F2">
            <wp:extent cx="2941320" cy="2772292"/>
            <wp:effectExtent l="0" t="0" r="0" b="9525"/>
            <wp:docPr id="5" name="Obrázek 5" descr="Z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4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47429" cy="2778050"/>
                    </a:xfrm>
                    <a:prstGeom prst="rect">
                      <a:avLst/>
                    </a:prstGeom>
                    <a:noFill/>
                    <a:ln>
                      <a:noFill/>
                    </a:ln>
                  </pic:spPr>
                </pic:pic>
              </a:graphicData>
            </a:graphic>
          </wp:inline>
        </w:drawing>
      </w:r>
    </w:p>
    <w:p w14:paraId="11453137" w14:textId="4D3DC9E8" w:rsidR="00C510C2" w:rsidRPr="00C50D79" w:rsidRDefault="00C510C2" w:rsidP="002B5D5D">
      <w:pPr>
        <w:pStyle w:val="ListParagraph"/>
        <w:numPr>
          <w:ilvl w:val="0"/>
          <w:numId w:val="132"/>
        </w:numPr>
        <w:tabs>
          <w:tab w:val="left" w:pos="567"/>
        </w:tabs>
        <w:suppressAutoHyphens/>
        <w:spacing w:before="120" w:line="100" w:lineRule="atLeast"/>
        <w:ind w:left="567" w:hanging="567"/>
        <w:rPr>
          <w:i/>
        </w:rPr>
      </w:pPr>
      <w:r w:rsidRPr="00C50D79">
        <w:rPr>
          <w:i/>
        </w:rPr>
        <w:t>V textové části v podmínkách prostorového uspořádání území bude u ploch K01 a K02 podrobně definováno n</w:t>
      </w:r>
      <w:r w:rsidR="002B5D5D">
        <w:rPr>
          <w:i/>
        </w:rPr>
        <w:t>a</w:t>
      </w:r>
      <w:r w:rsidRPr="00C50D79">
        <w:rPr>
          <w:i/>
        </w:rPr>
        <w:t>vrhované využití jako izolační zeleň.</w:t>
      </w:r>
    </w:p>
    <w:p w14:paraId="410BDFA9" w14:textId="77777777" w:rsidR="00C510C2" w:rsidRPr="00C50D79" w:rsidRDefault="00C510C2" w:rsidP="002B5D5D">
      <w:pPr>
        <w:pStyle w:val="ListParagraph"/>
        <w:numPr>
          <w:ilvl w:val="0"/>
          <w:numId w:val="132"/>
        </w:numPr>
        <w:tabs>
          <w:tab w:val="left" w:pos="567"/>
        </w:tabs>
        <w:spacing w:before="120" w:after="100" w:afterAutospacing="1" w:line="248" w:lineRule="auto"/>
        <w:ind w:left="567" w:hanging="567"/>
        <w:rPr>
          <w:i/>
        </w:rPr>
      </w:pPr>
      <w:r w:rsidRPr="00C50D79">
        <w:rPr>
          <w:i/>
        </w:rPr>
        <w:t>V textové části v regulativu funkčních ploch Výroba a skladování – se specifickým využitím (VX)  bude upřesněno nepřípustné využití  pod písmenem c.3) následovně: “ c.3) všechny činnosti, zařízení a stavby, jejichž negativní účinky na životní prostředí překračují limity stanovené příslušnými právními předpisy nad přípustnou míru nebo mají potenciál negativního ovlivnění pohody bydlení v okolní obytné zástavbě (vlivem zápachu apod.),“</w:t>
      </w:r>
    </w:p>
    <w:p w14:paraId="570D9CB2" w14:textId="77777777" w:rsidR="00C510C2" w:rsidRPr="00C50D79" w:rsidRDefault="00C510C2" w:rsidP="002B5D5D">
      <w:pPr>
        <w:pStyle w:val="ListParagraph"/>
        <w:keepNext/>
        <w:numPr>
          <w:ilvl w:val="0"/>
          <w:numId w:val="132"/>
        </w:numPr>
        <w:tabs>
          <w:tab w:val="left" w:pos="567"/>
        </w:tabs>
        <w:suppressAutoHyphens/>
        <w:spacing w:before="120" w:line="100" w:lineRule="atLeast"/>
        <w:ind w:left="567" w:hanging="567"/>
        <w:rPr>
          <w:rFonts w:cstheme="majorBidi"/>
          <w:i/>
          <w:iCs/>
          <w:lang w:eastAsia="en-US"/>
        </w:rPr>
      </w:pPr>
      <w:r w:rsidRPr="00C50D79">
        <w:rPr>
          <w:rFonts w:cstheme="majorBidi"/>
          <w:i/>
          <w:iCs/>
          <w:lang w:eastAsia="en-US"/>
        </w:rPr>
        <w:t xml:space="preserve">Na </w:t>
      </w:r>
      <w:r w:rsidRPr="00C50D79">
        <w:rPr>
          <w:i/>
        </w:rPr>
        <w:t>základě</w:t>
      </w:r>
      <w:r w:rsidRPr="00C50D79">
        <w:rPr>
          <w:rFonts w:cstheme="majorBidi"/>
          <w:i/>
          <w:iCs/>
          <w:lang w:eastAsia="en-US"/>
        </w:rPr>
        <w:t xml:space="preserve"> uzavřené dohody dotčený orgán nadále nepožaduje zpracování vyhodnocení vlivů na životní prostředí.</w:t>
      </w:r>
    </w:p>
    <w:p w14:paraId="33F5B24A" w14:textId="77777777" w:rsidR="00C510C2" w:rsidRPr="00C50D79" w:rsidRDefault="00C510C2" w:rsidP="00C50D79">
      <w:pPr>
        <w:autoSpaceDE w:val="0"/>
        <w:autoSpaceDN w:val="0"/>
        <w:adjustRightInd w:val="0"/>
        <w:spacing w:before="240" w:line="240" w:lineRule="auto"/>
        <w:ind w:left="567"/>
        <w:rPr>
          <w:rFonts w:eastAsiaTheme="minorHAnsi" w:cstheme="majorBidi"/>
          <w:lang w:eastAsia="en-US"/>
        </w:rPr>
      </w:pPr>
      <w:r w:rsidRPr="00C50D79">
        <w:rPr>
          <w:rFonts w:eastAsiaTheme="minorHAnsi" w:cstheme="majorBidi"/>
          <w:b/>
          <w:bCs/>
          <w:lang w:eastAsia="en-US"/>
        </w:rPr>
        <w:t xml:space="preserve">6) zákona č. 254/2001 Sb., o vodách a o změně některých zákonů, ve znění pozdějších předpisů: </w:t>
      </w:r>
    </w:p>
    <w:p w14:paraId="73C59BB1" w14:textId="77777777" w:rsidR="00C510C2" w:rsidRPr="00C50D79" w:rsidRDefault="00C510C2" w:rsidP="00C50D79">
      <w:pPr>
        <w:autoSpaceDE w:val="0"/>
        <w:autoSpaceDN w:val="0"/>
        <w:adjustRightInd w:val="0"/>
        <w:spacing w:before="120" w:line="240" w:lineRule="auto"/>
        <w:ind w:left="567"/>
        <w:rPr>
          <w:rFonts w:eastAsiaTheme="minorHAnsi" w:cstheme="majorBidi"/>
          <w:lang w:eastAsia="en-US"/>
        </w:rPr>
      </w:pPr>
      <w:r w:rsidRPr="00C50D79">
        <w:rPr>
          <w:rFonts w:eastAsiaTheme="minorHAnsi" w:cstheme="majorBidi"/>
          <w:lang w:eastAsia="en-US"/>
        </w:rPr>
        <w:t xml:space="preserve">Do působnosti krajského úřadu jako vodoprávního úřadu dle § 107 odst. 1 písm. a) zákona č. 254/2001 Sb., o vodách a o změně některých zákonů (vodní zákon), ve znění pozdějších předpisů, nepatří uplatňovat stanoviska k územním plánům obcí. </w:t>
      </w:r>
    </w:p>
    <w:p w14:paraId="7EF2DB32" w14:textId="77777777" w:rsidR="00C510C2" w:rsidRPr="00C50D79" w:rsidRDefault="00C510C2" w:rsidP="00C50D79">
      <w:pPr>
        <w:autoSpaceDE w:val="0"/>
        <w:autoSpaceDN w:val="0"/>
        <w:adjustRightInd w:val="0"/>
        <w:spacing w:before="120" w:line="240" w:lineRule="auto"/>
        <w:ind w:left="567"/>
        <w:rPr>
          <w:rFonts w:eastAsiaTheme="minorHAnsi" w:cstheme="majorBidi"/>
          <w:lang w:eastAsia="en-US"/>
        </w:rPr>
      </w:pPr>
      <w:r w:rsidRPr="00C50D79">
        <w:rPr>
          <w:rFonts w:eastAsiaTheme="minorHAnsi" w:cstheme="majorBidi"/>
          <w:lang w:eastAsia="en-US"/>
        </w:rPr>
        <w:t>Tato působnost je dle § 106 odst. 2 zákona č. 254/2001 Sb., o vodách a o změně některých zákonů (vodní zákon), ve znění pozdějších předpisů, svěřena obecním úřadům obcí s rozšířenou působností, tzn. v daném případě je k uplatnění stanoviska příslušný Magistrát města Liberec – OŽP jako vodoprávní úřad.</w:t>
      </w:r>
    </w:p>
    <w:p w14:paraId="5747BBCB" w14:textId="77777777" w:rsidR="00C510C2" w:rsidRPr="00C50D79" w:rsidRDefault="00C510C2" w:rsidP="00C50D79">
      <w:pPr>
        <w:autoSpaceDE w:val="0"/>
        <w:autoSpaceDN w:val="0"/>
        <w:adjustRightInd w:val="0"/>
        <w:spacing w:before="240" w:line="240" w:lineRule="auto"/>
        <w:ind w:left="567"/>
        <w:rPr>
          <w:rFonts w:eastAsiaTheme="minorHAnsi" w:cstheme="majorBidi"/>
          <w:lang w:eastAsia="en-US"/>
        </w:rPr>
      </w:pPr>
      <w:r w:rsidRPr="00C50D79">
        <w:rPr>
          <w:rFonts w:eastAsiaTheme="minorHAnsi" w:cstheme="majorBidi"/>
          <w:b/>
          <w:bCs/>
          <w:lang w:eastAsia="en-US"/>
        </w:rPr>
        <w:t xml:space="preserve">7) zákona č. 114/1992 Sb., o ochraně přírody a krajiny, ve znění pozdějších předpisů: </w:t>
      </w:r>
    </w:p>
    <w:p w14:paraId="75FC484A" w14:textId="77777777" w:rsidR="00C510C2" w:rsidRPr="00C50D79" w:rsidRDefault="00C510C2" w:rsidP="00C50D79">
      <w:pPr>
        <w:autoSpaceDE w:val="0"/>
        <w:autoSpaceDN w:val="0"/>
        <w:adjustRightInd w:val="0"/>
        <w:spacing w:before="120" w:line="240" w:lineRule="auto"/>
        <w:ind w:left="567"/>
        <w:rPr>
          <w:rFonts w:eastAsiaTheme="minorHAnsi" w:cstheme="majorBidi"/>
          <w:lang w:eastAsia="en-US"/>
        </w:rPr>
      </w:pPr>
      <w:r w:rsidRPr="00C50D79">
        <w:rPr>
          <w:rFonts w:eastAsiaTheme="minorHAnsi" w:cstheme="majorBidi"/>
          <w:lang w:eastAsia="en-US"/>
        </w:rPr>
        <w:t xml:space="preserve">KÚ LK, odbor životního prostředí a zemědělství, jako orgán ochrany přírody (dále jen krajský úřad) příslušný podle § 75 a § 77a zák. č.114/1992 Sb., o ochraně přírody a krajiny, ve znění pozdějších předpisů (dále jen zákon) sděluje následující: </w:t>
      </w:r>
    </w:p>
    <w:p w14:paraId="6A6E2E26" w14:textId="77777777" w:rsidR="00C510C2" w:rsidRPr="00C50D79" w:rsidRDefault="00C510C2" w:rsidP="00C50D79">
      <w:pPr>
        <w:pStyle w:val="ListParagraph"/>
        <w:numPr>
          <w:ilvl w:val="0"/>
          <w:numId w:val="124"/>
        </w:numPr>
        <w:autoSpaceDE w:val="0"/>
        <w:autoSpaceDN w:val="0"/>
        <w:adjustRightInd w:val="0"/>
        <w:spacing w:before="120" w:after="120" w:line="240" w:lineRule="auto"/>
        <w:ind w:left="567" w:firstLine="0"/>
        <w:contextualSpacing/>
        <w:rPr>
          <w:rFonts w:eastAsiaTheme="minorHAnsi" w:cstheme="majorBidi"/>
          <w:lang w:eastAsia="en-US"/>
        </w:rPr>
      </w:pPr>
      <w:r w:rsidRPr="00C50D79">
        <w:rPr>
          <w:rFonts w:eastAsiaTheme="minorHAnsi" w:cstheme="majorBidi"/>
          <w:b/>
          <w:bCs/>
          <w:lang w:eastAsia="en-US"/>
        </w:rPr>
        <w:t>Krajský úřad požaduje</w:t>
      </w:r>
      <w:r w:rsidRPr="00C50D79">
        <w:rPr>
          <w:rFonts w:eastAsiaTheme="minorHAnsi" w:cstheme="majorBidi"/>
          <w:lang w:eastAsia="en-US"/>
        </w:rPr>
        <w:t xml:space="preserve">, aby změnové plochy Z44, Z45, Z46 byly buď ponechány stávajícímu využití, popřípadě proporce změnových ploch upraveny v rámci regulačního plánu </w:t>
      </w:r>
      <w:r w:rsidRPr="00C50D79">
        <w:rPr>
          <w:rFonts w:eastAsiaTheme="minorHAnsi" w:cstheme="majorBidi"/>
          <w:b/>
          <w:bCs/>
          <w:lang w:eastAsia="en-US"/>
        </w:rPr>
        <w:t>na základě závěrů biologického hodnocení provedeného v souladu s ustanovením § 67 odst. 1 zákona</w:t>
      </w:r>
      <w:r w:rsidRPr="00C50D79">
        <w:rPr>
          <w:rFonts w:eastAsiaTheme="minorHAnsi" w:cstheme="majorBidi"/>
          <w:lang w:eastAsia="en-US"/>
        </w:rPr>
        <w:t xml:space="preserve">. Jedná se totiž o rozsáhlé, na sebe navazující plochy zástavby okolo bývalé pískovny s vodními plochami (plochy NL a NK), kde krajský úřad eviduje výskyt množství zvláště chráněných druhů živočichů. Jedná se o dle příl. č. III vyhl. č. 395/1992 Sb., kterou se provádějí některá ustanovení zákona, ve znění pozdějších předpisů (dále jen „vyhláška“) v kategorii ohrožený ropuchu obecnou a užovku obojkovou, v kategorii silně ohrožený čolka obecného, čolka velkého, blatnici skvrnitou, skokana štíhlého a ještěrku obecnou, v kategorii kriticky ohrožený o skokana skřehotavého. </w:t>
      </w:r>
    </w:p>
    <w:p w14:paraId="1FED5DF8" w14:textId="77777777" w:rsidR="00C510C2" w:rsidRPr="00C50D79" w:rsidRDefault="00C510C2" w:rsidP="00C50D79">
      <w:pPr>
        <w:autoSpaceDE w:val="0"/>
        <w:autoSpaceDN w:val="0"/>
        <w:adjustRightInd w:val="0"/>
        <w:spacing w:before="120" w:line="240" w:lineRule="auto"/>
        <w:ind w:left="567"/>
        <w:rPr>
          <w:rFonts w:eastAsiaTheme="minorHAnsi" w:cstheme="majorBidi"/>
          <w:lang w:eastAsia="en-US"/>
        </w:rPr>
      </w:pPr>
      <w:r w:rsidRPr="00C50D79">
        <w:rPr>
          <w:rFonts w:eastAsiaTheme="minorHAnsi" w:cstheme="majorBidi"/>
          <w:lang w:eastAsia="en-US"/>
        </w:rPr>
        <w:lastRenderedPageBreak/>
        <w:t xml:space="preserve">Odůvodnění: </w:t>
      </w:r>
    </w:p>
    <w:p w14:paraId="703AB7BA" w14:textId="77777777" w:rsidR="00C510C2" w:rsidRPr="00C50D79" w:rsidRDefault="00C510C2" w:rsidP="00C50D79">
      <w:pPr>
        <w:autoSpaceDE w:val="0"/>
        <w:autoSpaceDN w:val="0"/>
        <w:adjustRightInd w:val="0"/>
        <w:spacing w:before="120" w:after="120" w:line="240" w:lineRule="auto"/>
        <w:ind w:left="567"/>
        <w:rPr>
          <w:rFonts w:eastAsiaTheme="minorHAnsi" w:cstheme="majorBidi"/>
          <w:lang w:eastAsia="en-US"/>
        </w:rPr>
      </w:pPr>
      <w:r w:rsidRPr="00C50D79">
        <w:rPr>
          <w:rFonts w:eastAsiaTheme="minorHAnsi" w:cstheme="majorBidi"/>
          <w:lang w:eastAsia="en-US"/>
        </w:rPr>
        <w:t xml:space="preserve">Jak bylo krajským úřadem deklarováno, předmětné plochy Z44, Z45, Z46 úzce navazují na plochu bývalé pískovny, kde je evidován výskyt zvláště chráněných druhů živočichů, který tento prostor obývají trvale, nebo pouze dočasně, v době jejich rozmnožování. </w:t>
      </w:r>
    </w:p>
    <w:p w14:paraId="17A74319" w14:textId="77777777" w:rsidR="00C510C2" w:rsidRPr="00C50D79" w:rsidRDefault="00C510C2" w:rsidP="00C50D79">
      <w:pPr>
        <w:autoSpaceDE w:val="0"/>
        <w:autoSpaceDN w:val="0"/>
        <w:adjustRightInd w:val="0"/>
        <w:spacing w:before="120" w:after="120" w:line="240" w:lineRule="auto"/>
        <w:ind w:left="567"/>
        <w:rPr>
          <w:rFonts w:eastAsiaTheme="minorHAnsi" w:cstheme="majorBidi"/>
          <w:lang w:eastAsia="en-US"/>
        </w:rPr>
      </w:pPr>
      <w:r w:rsidRPr="00C50D79">
        <w:rPr>
          <w:rFonts w:eastAsiaTheme="minorHAnsi" w:cstheme="majorBidi"/>
          <w:lang w:eastAsia="en-US"/>
        </w:rPr>
        <w:t xml:space="preserve">Zmenšením jejich životního prostoru a jeho izolací od dochovaných krajinných struktur dochází ke snižování velikosti populací, jejich genetické degeneraci a postupnému vymizení. V současnosti je již migrační prostor ohraničen stávající historickou zástavbou a nově také tělesem silnice I/35. </w:t>
      </w:r>
    </w:p>
    <w:p w14:paraId="06C5D88C" w14:textId="77777777" w:rsidR="00C510C2" w:rsidRPr="00C50D79" w:rsidRDefault="00C510C2" w:rsidP="00C50D79">
      <w:pPr>
        <w:autoSpaceDE w:val="0"/>
        <w:autoSpaceDN w:val="0"/>
        <w:adjustRightInd w:val="0"/>
        <w:spacing w:before="120" w:after="120" w:line="240" w:lineRule="auto"/>
        <w:ind w:left="567"/>
        <w:rPr>
          <w:rFonts w:eastAsiaTheme="minorHAnsi" w:cstheme="majorBidi"/>
          <w:lang w:eastAsia="en-US"/>
        </w:rPr>
      </w:pPr>
      <w:r w:rsidRPr="00C50D79">
        <w:rPr>
          <w:rFonts w:eastAsiaTheme="minorHAnsi" w:cstheme="majorBidi"/>
          <w:lang w:eastAsia="en-US"/>
        </w:rPr>
        <w:t xml:space="preserve">S ohledem na maximální ochranu druhové rozmanitosti a biotopů chráněných druhů proto požaduje krajský úřad výše uvedené plochy vypustit. Pokud by však podrobnější posouzení lokality ve formě biologického hodnocení provedeného v souladu s ustanovením § 67 odst. 1 zákona vyčlenilo i z hlediska dalších zájmů ochrany přírody z těchto poměrně rozsáhlých ploch takové, které by bylo možné zastavět ve větší míře, pak by bylo možné např. </w:t>
      </w:r>
      <w:r w:rsidRPr="00C50D79">
        <w:rPr>
          <w:rFonts w:eastAsiaTheme="minorHAnsi" w:cstheme="majorBidi"/>
          <w:b/>
          <w:bCs/>
          <w:lang w:eastAsia="en-US"/>
        </w:rPr>
        <w:t xml:space="preserve">formou regulačního plánu, územní studie </w:t>
      </w:r>
      <w:r w:rsidRPr="00C50D79">
        <w:rPr>
          <w:rFonts w:eastAsiaTheme="minorHAnsi" w:cstheme="majorBidi"/>
          <w:lang w:eastAsia="en-US"/>
        </w:rPr>
        <w:t>tyto plochy stanovit, nastavit únosné koeficienty zastavěnosti a vytvořit další vhodná opatření pro umožnění prostupnosti krajiny nejen pro tyto drobné druhy živočichů v řádu stovek metrů od pískovny.</w:t>
      </w:r>
    </w:p>
    <w:p w14:paraId="6F112AC1" w14:textId="77777777" w:rsidR="00C510C2" w:rsidRPr="00C50D79" w:rsidRDefault="00C510C2" w:rsidP="00C50D79">
      <w:pPr>
        <w:pStyle w:val="ListParagraph"/>
        <w:numPr>
          <w:ilvl w:val="0"/>
          <w:numId w:val="124"/>
        </w:numPr>
        <w:autoSpaceDE w:val="0"/>
        <w:autoSpaceDN w:val="0"/>
        <w:adjustRightInd w:val="0"/>
        <w:spacing w:before="120" w:after="120" w:line="240" w:lineRule="auto"/>
        <w:ind w:left="567" w:firstLine="0"/>
        <w:contextualSpacing/>
        <w:rPr>
          <w:rFonts w:eastAsiaTheme="minorHAnsi" w:cstheme="majorBidi"/>
          <w:lang w:eastAsia="en-US"/>
        </w:rPr>
      </w:pPr>
      <w:r w:rsidRPr="00C50D79">
        <w:rPr>
          <w:rFonts w:eastAsiaTheme="minorHAnsi" w:cstheme="majorBidi"/>
          <w:b/>
          <w:bCs/>
          <w:lang w:eastAsia="en-US"/>
        </w:rPr>
        <w:t>Krajský úřad</w:t>
      </w:r>
      <w:r w:rsidRPr="00C50D79">
        <w:rPr>
          <w:rFonts w:eastAsiaTheme="minorHAnsi" w:cstheme="majorBidi"/>
          <w:lang w:eastAsia="en-US"/>
        </w:rPr>
        <w:t xml:space="preserve">, příslušný podle § 77a a odst. 4 písm. x) a odst. 6. zákona, </w:t>
      </w:r>
      <w:r w:rsidRPr="00C50D79">
        <w:rPr>
          <w:rFonts w:eastAsiaTheme="minorHAnsi" w:cstheme="majorBidi"/>
          <w:b/>
          <w:bCs/>
          <w:lang w:eastAsia="en-US"/>
        </w:rPr>
        <w:t>upozorňuje na nesoulad</w:t>
      </w:r>
      <w:r w:rsidRPr="00C50D79">
        <w:rPr>
          <w:rFonts w:eastAsiaTheme="minorHAnsi" w:cstheme="majorBidi"/>
          <w:lang w:eastAsia="en-US"/>
        </w:rPr>
        <w:t xml:space="preserve"> v textu Návrhu ÚP Hrádek nad Nisou a jeho výkresové části. Nadregionální biokoridor </w:t>
      </w:r>
      <w:r w:rsidRPr="00C50D79">
        <w:rPr>
          <w:rFonts w:eastAsiaTheme="minorHAnsi" w:cstheme="majorBidi"/>
          <w:b/>
          <w:bCs/>
          <w:lang w:eastAsia="en-US"/>
        </w:rPr>
        <w:t>NBRK K 34B</w:t>
      </w:r>
      <w:r w:rsidRPr="00C50D79">
        <w:rPr>
          <w:rFonts w:eastAsiaTheme="minorHAnsi" w:cstheme="majorBidi"/>
          <w:lang w:eastAsia="en-US"/>
        </w:rPr>
        <w:t xml:space="preserve"> (borový) je v textu Návrhu mylně uváděn jako </w:t>
      </w:r>
      <w:r w:rsidRPr="00C50D79">
        <w:rPr>
          <w:rFonts w:eastAsiaTheme="minorHAnsi" w:cstheme="majorBidi"/>
          <w:b/>
          <w:bCs/>
          <w:lang w:eastAsia="en-US"/>
        </w:rPr>
        <w:t>NRBK K34 MB</w:t>
      </w:r>
      <w:r w:rsidRPr="00C50D79">
        <w:rPr>
          <w:rFonts w:eastAsiaTheme="minorHAnsi" w:cstheme="majorBidi"/>
          <w:lang w:eastAsia="en-US"/>
        </w:rPr>
        <w:t xml:space="preserve"> (mezofilně bukový), proto krajský úřad upozorňuje na tento nesoulad a předpokládá jeho nápravu.</w:t>
      </w:r>
    </w:p>
    <w:p w14:paraId="00A21B4A" w14:textId="77777777" w:rsidR="00C510C2" w:rsidRPr="00C50D79" w:rsidRDefault="00C510C2" w:rsidP="00C50D79">
      <w:pPr>
        <w:autoSpaceDE w:val="0"/>
        <w:autoSpaceDN w:val="0"/>
        <w:adjustRightInd w:val="0"/>
        <w:spacing w:before="120" w:line="240" w:lineRule="auto"/>
        <w:ind w:left="567"/>
        <w:rPr>
          <w:rFonts w:eastAsiaTheme="minorHAnsi" w:cstheme="majorBidi"/>
          <w:lang w:eastAsia="en-US"/>
        </w:rPr>
      </w:pPr>
      <w:r w:rsidRPr="00C50D79">
        <w:rPr>
          <w:rFonts w:eastAsiaTheme="minorHAnsi" w:cstheme="majorBidi"/>
          <w:lang w:eastAsia="en-US"/>
        </w:rPr>
        <w:t>Odůvodnění:</w:t>
      </w:r>
    </w:p>
    <w:p w14:paraId="65FD8C05" w14:textId="77777777" w:rsidR="00C510C2" w:rsidRPr="00C50D79" w:rsidRDefault="00C510C2" w:rsidP="00C50D79">
      <w:pPr>
        <w:autoSpaceDE w:val="0"/>
        <w:autoSpaceDN w:val="0"/>
        <w:adjustRightInd w:val="0"/>
        <w:spacing w:before="120" w:line="240" w:lineRule="auto"/>
        <w:ind w:left="567"/>
        <w:rPr>
          <w:rFonts w:eastAsiaTheme="minorHAnsi" w:cstheme="majorBidi"/>
          <w:lang w:eastAsia="en-US"/>
        </w:rPr>
      </w:pPr>
      <w:r w:rsidRPr="00C50D79">
        <w:rPr>
          <w:rFonts w:eastAsiaTheme="minorHAnsi" w:cstheme="majorBidi"/>
          <w:lang w:eastAsia="en-US"/>
        </w:rPr>
        <w:t>V ZÚR LK je vytyčen nadregionální koridor NRBK K 34B (borový), v textové části Návrhu ÚP Hrádek nad Nisou je však tento koridor označen na str. 27 chybně jako NRBK K34 MB (mezofilně bukový), proto krajský úřad upozorňuje na tento nesoulad a předpokládá jeho nápravu.</w:t>
      </w:r>
    </w:p>
    <w:p w14:paraId="2ED94D09" w14:textId="77777777" w:rsidR="00C510C2" w:rsidRPr="00C50D79" w:rsidRDefault="00C510C2" w:rsidP="002B5D5D">
      <w:pPr>
        <w:spacing w:before="120"/>
        <w:rPr>
          <w:i/>
          <w:iCs/>
          <w:lang w:eastAsia="en-US"/>
        </w:rPr>
      </w:pPr>
      <w:r w:rsidRPr="00C50D79">
        <w:rPr>
          <w:b/>
          <w:bCs/>
          <w:i/>
          <w:iCs/>
          <w:lang w:eastAsia="en-US"/>
        </w:rPr>
        <w:t xml:space="preserve">Vyhodnocení stanoviska  </w:t>
      </w:r>
    </w:p>
    <w:p w14:paraId="616D2284" w14:textId="77777777" w:rsidR="00C510C2" w:rsidRPr="00C50D79" w:rsidRDefault="00C510C2" w:rsidP="002B5D5D">
      <w:pPr>
        <w:autoSpaceDE w:val="0"/>
        <w:autoSpaceDN w:val="0"/>
        <w:adjustRightInd w:val="0"/>
        <w:spacing w:before="120" w:line="240" w:lineRule="auto"/>
        <w:rPr>
          <w:rFonts w:cstheme="majorBidi"/>
          <w:i/>
          <w:iCs/>
          <w:lang w:eastAsia="en-US"/>
        </w:rPr>
      </w:pPr>
      <w:r w:rsidRPr="00C50D79">
        <w:rPr>
          <w:rFonts w:cstheme="majorBidi"/>
          <w:i/>
          <w:iCs/>
          <w:lang w:eastAsia="en-US"/>
        </w:rPr>
        <w:t xml:space="preserve">Pořizovatel ve spolupráci s určeným zastupitelem se zabýval požadavkem dotčeného orgánu a s ohledem na jednání, která s dotčeným orgánem proběhla, </w:t>
      </w:r>
      <w:r w:rsidRPr="00C50D79">
        <w:rPr>
          <w:rFonts w:cstheme="majorBidi"/>
          <w:bCs/>
          <w:i/>
          <w:iCs/>
          <w:lang w:eastAsia="en-US"/>
        </w:rPr>
        <w:t>uzavřel s dotčeným orgánem dohodu č.j. OSŽP-2564/2019 –PES ze dne 01.04.2019, ze které vyplývá,</w:t>
      </w:r>
      <w:r w:rsidRPr="00C50D79">
        <w:rPr>
          <w:rFonts w:cstheme="majorBidi"/>
          <w:i/>
          <w:iCs/>
          <w:lang w:eastAsia="en-US"/>
        </w:rPr>
        <w:t xml:space="preserve"> že návrh Územního plánu Hrádek nad Nisou bude upraven následujícím způsobem:</w:t>
      </w:r>
    </w:p>
    <w:p w14:paraId="3FCBE8DB" w14:textId="77777777" w:rsidR="00C510C2" w:rsidRDefault="00C510C2" w:rsidP="002B5D5D">
      <w:pPr>
        <w:numPr>
          <w:ilvl w:val="0"/>
          <w:numId w:val="140"/>
        </w:numPr>
        <w:suppressAutoHyphens/>
        <w:spacing w:before="120" w:line="240" w:lineRule="auto"/>
        <w:ind w:left="567" w:hanging="567"/>
        <w:rPr>
          <w:b/>
          <w:i/>
        </w:rPr>
      </w:pPr>
      <w:r>
        <w:rPr>
          <w:b/>
          <w:i/>
        </w:rPr>
        <w:t>redukce zastavitelné plochy bydlení – Z44 na následující rozsah:</w:t>
      </w:r>
    </w:p>
    <w:tbl>
      <w:tblPr>
        <w:tblStyle w:val="TableGrid"/>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4"/>
      </w:tblGrid>
      <w:tr w:rsidR="00C50D79" w14:paraId="0E298BAA" w14:textId="77777777" w:rsidTr="00C50D79">
        <w:tc>
          <w:tcPr>
            <w:tcW w:w="9212" w:type="dxa"/>
          </w:tcPr>
          <w:p w14:paraId="1865A2F7" w14:textId="0CACA4B4" w:rsidR="00C50D79" w:rsidRDefault="00C50D79" w:rsidP="002B5D5D">
            <w:pPr>
              <w:suppressAutoHyphens/>
              <w:spacing w:before="120" w:line="240" w:lineRule="auto"/>
              <w:ind w:left="567" w:hanging="567"/>
              <w:jc w:val="center"/>
              <w:rPr>
                <w:b/>
                <w:i/>
              </w:rPr>
            </w:pPr>
            <w:r>
              <w:rPr>
                <w:b/>
                <w:i/>
                <w:noProof/>
                <w:color w:val="FF0000"/>
                <w:lang w:eastAsia="cs-CZ"/>
              </w:rPr>
              <w:drawing>
                <wp:inline distT="0" distB="0" distL="0" distR="0" wp14:anchorId="56373866" wp14:editId="1F7B84F0">
                  <wp:extent cx="3305175" cy="31146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05175" cy="3114675"/>
                          </a:xfrm>
                          <a:prstGeom prst="rect">
                            <a:avLst/>
                          </a:prstGeom>
                          <a:noFill/>
                          <a:ln>
                            <a:noFill/>
                          </a:ln>
                        </pic:spPr>
                      </pic:pic>
                    </a:graphicData>
                  </a:graphic>
                </wp:inline>
              </w:drawing>
            </w:r>
          </w:p>
        </w:tc>
      </w:tr>
    </w:tbl>
    <w:p w14:paraId="137F035D" w14:textId="77777777" w:rsidR="00C510C2" w:rsidRDefault="00C510C2" w:rsidP="002B5D5D">
      <w:pPr>
        <w:numPr>
          <w:ilvl w:val="0"/>
          <w:numId w:val="140"/>
        </w:numPr>
        <w:suppressAutoHyphens/>
        <w:spacing w:before="120" w:line="240" w:lineRule="auto"/>
        <w:ind w:left="567" w:hanging="567"/>
        <w:rPr>
          <w:b/>
          <w:i/>
        </w:rPr>
      </w:pPr>
      <w:r>
        <w:rPr>
          <w:b/>
          <w:i/>
        </w:rPr>
        <w:lastRenderedPageBreak/>
        <w:t xml:space="preserve">pro zastavitelné plochy bydlení – Z44, Z45 a Z46 bude do příslušné výrokové textové části zapracován požadavek, že </w:t>
      </w:r>
      <w:r w:rsidRPr="00E23044">
        <w:rPr>
          <w:b/>
          <w:i/>
        </w:rPr>
        <w:t xml:space="preserve">rozhodování o změnách v území </w:t>
      </w:r>
      <w:r>
        <w:rPr>
          <w:b/>
          <w:i/>
        </w:rPr>
        <w:t xml:space="preserve">v uvedených plochách je </w:t>
      </w:r>
      <w:r w:rsidRPr="00E23044">
        <w:rPr>
          <w:b/>
          <w:i/>
        </w:rPr>
        <w:t>podmíněno zpracováním územní stude</w:t>
      </w:r>
      <w:r>
        <w:rPr>
          <w:b/>
          <w:i/>
        </w:rPr>
        <w:t>. Podmínka zpracování regulačního plánu nebude do dokumentace zapracována, z důvodu, že jeho pořízení a zpracování se nejeví jako efektivní pro tento typ území.</w:t>
      </w:r>
    </w:p>
    <w:p w14:paraId="0AB0B94A" w14:textId="77777777" w:rsidR="00C510C2" w:rsidRDefault="00C510C2" w:rsidP="002B5D5D">
      <w:pPr>
        <w:numPr>
          <w:ilvl w:val="0"/>
          <w:numId w:val="140"/>
        </w:numPr>
        <w:suppressAutoHyphens/>
        <w:spacing w:before="120" w:line="240" w:lineRule="auto"/>
        <w:ind w:left="567" w:hanging="567"/>
        <w:rPr>
          <w:b/>
          <w:i/>
        </w:rPr>
      </w:pPr>
      <w:r>
        <w:rPr>
          <w:b/>
          <w:i/>
        </w:rPr>
        <w:t>v</w:t>
      </w:r>
      <w:r w:rsidRPr="00A17DBE">
        <w:rPr>
          <w:b/>
          <w:i/>
        </w:rPr>
        <w:t> dokumentaci návrhu Územního plánu bude upraveno označení nadregionálního biokoridoru NBRK K 34B (borový) na správné vytyčení, které je NRBK K34 MB (mezofilně bukový).</w:t>
      </w:r>
    </w:p>
    <w:p w14:paraId="38C10FB2" w14:textId="77777777" w:rsidR="00C510C2" w:rsidRDefault="00C510C2" w:rsidP="00C510C2">
      <w:pPr>
        <w:autoSpaceDE w:val="0"/>
        <w:autoSpaceDN w:val="0"/>
        <w:adjustRightInd w:val="0"/>
        <w:spacing w:line="240" w:lineRule="auto"/>
        <w:ind w:left="567"/>
        <w:rPr>
          <w:rFonts w:asciiTheme="majorBidi" w:hAnsiTheme="majorBidi" w:cstheme="majorBidi"/>
          <w:i/>
          <w:iCs/>
          <w:lang w:eastAsia="en-US"/>
        </w:rPr>
      </w:pPr>
    </w:p>
    <w:p w14:paraId="51426499"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b/>
          <w:bCs/>
          <w:lang w:eastAsia="en-US"/>
        </w:rPr>
        <w:t xml:space="preserve">8) </w:t>
      </w:r>
      <w:r w:rsidRPr="00C50D79">
        <w:rPr>
          <w:rFonts w:eastAsiaTheme="minorHAnsi" w:cstheme="majorBidi"/>
          <w:b/>
          <w:bCs/>
          <w:lang w:eastAsia="en-US"/>
        </w:rPr>
        <w:t>zákona</w:t>
      </w:r>
      <w:r w:rsidRPr="00C50D79">
        <w:rPr>
          <w:rFonts w:eastAsiaTheme="minorHAnsi"/>
          <w:b/>
          <w:bCs/>
          <w:lang w:eastAsia="en-US"/>
        </w:rPr>
        <w:t xml:space="preserve"> č.13/1997 Sb., o pozemních komunikacích, ve znění pozdějších předpisů: </w:t>
      </w:r>
    </w:p>
    <w:p w14:paraId="7B1A333F"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odbor dopravy (dále jen KÚ LK OD) dle § 40 odst. 3 písm. f) zákona č. 13/1997 Sb., o pozemních komunikacích v platném znění </w:t>
      </w:r>
      <w:r w:rsidRPr="00C50D79">
        <w:rPr>
          <w:rFonts w:eastAsiaTheme="minorHAnsi"/>
          <w:b/>
          <w:bCs/>
          <w:lang w:eastAsia="en-US"/>
        </w:rPr>
        <w:t xml:space="preserve">souhlasí </w:t>
      </w:r>
      <w:r w:rsidRPr="00C50D79">
        <w:rPr>
          <w:rFonts w:eastAsiaTheme="minorHAnsi"/>
          <w:lang w:eastAsia="en-US"/>
        </w:rPr>
        <w:t xml:space="preserve">s Návrhem ÚP Hrádek nad Nisou za podmínky, že bude doplněno nebo opraveno následující: </w:t>
      </w:r>
    </w:p>
    <w:p w14:paraId="372CE6C8"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b/>
          <w:bCs/>
          <w:lang w:eastAsia="en-US"/>
        </w:rPr>
        <w:t xml:space="preserve">Územní plán Hrádek nad Nisou – návrh: </w:t>
      </w:r>
    </w:p>
    <w:p w14:paraId="509E59E7"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10, kap. C.1, podkap. (C09), část h): </w:t>
      </w:r>
    </w:p>
    <w:p w14:paraId="65EBC530"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upozorňuje na skutečnost, že silnice s původním označením III/2715 v úseku mezi křižovatkami silnic I/13 a III/2711 byla přeznačena na silnici III/2713. </w:t>
      </w:r>
    </w:p>
    <w:p w14:paraId="20F8AD36"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11, kap. C.1, podkap. (C09), část k): </w:t>
      </w:r>
    </w:p>
    <w:p w14:paraId="7F19C43C"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silnice s původním označením III/2715 v úseku mezi křižovatkami silnic I/13 a III/2711 byla přeznačena na silnici III/2713. </w:t>
      </w:r>
    </w:p>
    <w:p w14:paraId="1A8A26EA"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41038EE3"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k tomuto sděluje, že na tuto skutečnost bylo upozorněno v rámci požadavků vznesených KÚ LK OD k zadání – viz Odůvodnění ÚP Hrádek nad Nisou, str. 66, kap. 3.5, podkap. (407). </w:t>
      </w:r>
    </w:p>
    <w:p w14:paraId="408D76ED"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18, kap. D.1.1: </w:t>
      </w:r>
    </w:p>
    <w:p w14:paraId="0E18417C"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přeložka silnice I/35 v úseku MÚK Bílý Kostel nad Nisou – Hrádek nad Nisou (kapacitní silnice S4) byla včetně obchvatu města Hrádek nad Nisou prozatím vybudována pouze v polovičním profilu S11,5/80, přičemž v rámci Aktualizace č. 1 Zásad územního rozvoje Libereckého kraje (dále jen A ZÚR LK) bude v tomto koridoru vymezena územní rezerva na dobudování plného profilu v návrhové kategorii S24,5/80. </w:t>
      </w:r>
    </w:p>
    <w:p w14:paraId="5394EE4A" w14:textId="77777777" w:rsidR="00C510C2" w:rsidRPr="00C50D79" w:rsidRDefault="00C510C2" w:rsidP="00C50D79">
      <w:pPr>
        <w:keepNext/>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13866839"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Tento požadavek vychází z KATEGORIZACE DÁLNIC A SILNIC I. TŘÍDY DO ROKU 2040 schválené v 06/2010. KÚ LK OD doporučuje opravit text následovně: „</w:t>
      </w:r>
      <w:r w:rsidRPr="00C50D79">
        <w:rPr>
          <w:rFonts w:eastAsiaTheme="minorHAnsi"/>
          <w:i/>
          <w:iCs/>
          <w:lang w:eastAsia="en-US"/>
        </w:rPr>
        <w:t xml:space="preserve">Přeložka silnice I/35 byla realizována v polovičním profilu“. </w:t>
      </w:r>
    </w:p>
    <w:p w14:paraId="2659164B" w14:textId="77777777" w:rsidR="00C510C2" w:rsidRPr="00C50D79" w:rsidRDefault="00C510C2" w:rsidP="00C50D79">
      <w:pPr>
        <w:keepNext/>
        <w:autoSpaceDE w:val="0"/>
        <w:autoSpaceDN w:val="0"/>
        <w:adjustRightInd w:val="0"/>
        <w:spacing w:before="120" w:line="240" w:lineRule="auto"/>
        <w:ind w:left="567"/>
        <w:rPr>
          <w:rFonts w:eastAsiaTheme="minorHAnsi"/>
          <w:lang w:eastAsia="en-US"/>
        </w:rPr>
      </w:pPr>
      <w:r w:rsidRPr="00C50D79">
        <w:rPr>
          <w:rFonts w:eastAsiaTheme="minorHAnsi"/>
          <w:b/>
          <w:bCs/>
          <w:lang w:eastAsia="en-US"/>
        </w:rPr>
        <w:t xml:space="preserve">Územní plán Hrádek nad Nisou – odůvodnění: </w:t>
      </w:r>
    </w:p>
    <w:p w14:paraId="42B90EF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18, kap. 1.2.2, podkap. (49), str. 19, kap. 1.2.3, podkap. (57), str. 39, kap. 1.2.10, podkap. (216): </w:t>
      </w:r>
    </w:p>
    <w:p w14:paraId="507F0945"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přeložka silnice I/35 v úseku MÚK Bílý Kostel nad Nisou – Hrádek nad Nisou byla včetně obchvatu města Hrádek nad Nisou prozatím vybudována pouze v polovičním profilu S11,5/80, přičemž v rámci A ZÚR LK bude v tomto koridoru vymezena územní rezerva na dobudování plného profilu v návrhové kategorii S24,5/80. </w:t>
      </w:r>
    </w:p>
    <w:p w14:paraId="34936E1D"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16F42468"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Tento požadavek vychází z KATEGORIZACE DÁLNIC A SILNIC I. TŘÍDY DO ROKU 2040 schválené v 06/2010. KÚ LK OD doporučuje opravit text následovně: „</w:t>
      </w:r>
      <w:r w:rsidRPr="00C50D79">
        <w:rPr>
          <w:rFonts w:eastAsiaTheme="minorHAnsi"/>
          <w:i/>
          <w:iCs/>
          <w:lang w:eastAsia="en-US"/>
        </w:rPr>
        <w:t xml:space="preserve">Přeložka silnice I/35 byla realizována v polovičním profilu“. </w:t>
      </w:r>
    </w:p>
    <w:p w14:paraId="2F256367"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47, kap. 3.1.1, podkap. (234): </w:t>
      </w:r>
    </w:p>
    <w:p w14:paraId="4863340B"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přeložka silnice I/35 v úseku MÚK Bílý Kostel nad Nisou – Hrádek nad Nisou (kapacitní silnice S4) byla včetně obchvatu města Hrádek nad Nisou prozatím </w:t>
      </w:r>
      <w:r w:rsidRPr="00C50D79">
        <w:rPr>
          <w:rFonts w:eastAsiaTheme="minorHAnsi"/>
          <w:lang w:eastAsia="en-US"/>
        </w:rPr>
        <w:lastRenderedPageBreak/>
        <w:t xml:space="preserve">vybudována pouze v polovičním profilu S11,5/80, přičemž v rámci A ZÚR LK bude v tomto koridoru vymezena územní rezerva na dobudování plného profilu v návrhové kategorii S24,5/80. </w:t>
      </w:r>
    </w:p>
    <w:p w14:paraId="20D06ABB"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769B4E83"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Tento požadavek vychází z KATEGORIZACE DÁLNIC A SILNIC I. TŘÍDY DO ROKU 2040 schválené v 06/2010. KÚ LK OD doporučuje opravit text následovně: „</w:t>
      </w:r>
      <w:r w:rsidRPr="00C50D79">
        <w:rPr>
          <w:rFonts w:eastAsiaTheme="minorHAnsi"/>
          <w:i/>
          <w:iCs/>
          <w:lang w:eastAsia="en-US"/>
        </w:rPr>
        <w:t xml:space="preserve">Přeložka silnice I/35 byla realizována v polovičním profilu“. </w:t>
      </w:r>
    </w:p>
    <w:p w14:paraId="3F1FFBD7"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51, kap. 3.1.2, podkap. (265) a (271), str. 83, kap. 3.10, podkap. (520): </w:t>
      </w:r>
    </w:p>
    <w:p w14:paraId="490D3182"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přeložka silnice I/35 v úseku MÚK Bílý Kostel nad Nisou – Hrádek nad Nisou byla včetně obchvatu města Hrádek nad Nisou prozatím vybudována pouze v polovičním profilu S11,5/80, přičemž v rámci A ZÚR LK bude v tomto koridoru vymezena územní rezerva na dobudování plného profilu v návrhové kategorii S24,5/80. </w:t>
      </w:r>
    </w:p>
    <w:p w14:paraId="1A31303B"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6C13FF67"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Tento požadavek vychází z KATEGORIZACE DÁLNIC A SILNIC I. TŘÍDY DO ROKU 2040 schválené v 06/2010. KÚ LK OD doporučuje opravit text následovně: „</w:t>
      </w:r>
      <w:r w:rsidRPr="00C50D79">
        <w:rPr>
          <w:rFonts w:eastAsiaTheme="minorHAnsi"/>
          <w:i/>
          <w:iCs/>
          <w:lang w:eastAsia="en-US"/>
        </w:rPr>
        <w:t xml:space="preserve">Přeložka silnice I/35 byla realizována v polovičním profilu“. </w:t>
      </w:r>
    </w:p>
    <w:p w14:paraId="563A068E"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83, kap. 3.10, podkap. (522): </w:t>
      </w:r>
    </w:p>
    <w:p w14:paraId="0B1A6469"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se domnívá, že text: </w:t>
      </w:r>
    </w:p>
    <w:p w14:paraId="0E8AB610"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i/>
          <w:iCs/>
          <w:lang w:eastAsia="en-US"/>
        </w:rPr>
        <w:t xml:space="preserve">„(522) Řešit územní souvislosti návaznosti koridoru modernizované železniční tratě Turnov – Jičín – Hradec Králové.“ </w:t>
      </w:r>
      <w:r w:rsidRPr="00C50D79">
        <w:rPr>
          <w:rFonts w:eastAsiaTheme="minorHAnsi"/>
          <w:lang w:eastAsia="en-US"/>
        </w:rPr>
        <w:t xml:space="preserve">s odůvodněním: </w:t>
      </w:r>
    </w:p>
    <w:p w14:paraId="7A7733D7"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i/>
          <w:iCs/>
          <w:lang w:eastAsia="en-US"/>
        </w:rPr>
        <w:t xml:space="preserve">„S cílem vytvoření podmínek pro zlepšení dostupnosti Hrádku nad Nisou po železnici a zlepšení přeshraničních dopravních vazeb vymezuje ÚP koridor drážní dopravy X01 pro optimalizaci a elektrizaci železniční trati č. 089.“ </w:t>
      </w:r>
    </w:p>
    <w:p w14:paraId="4A0CA981"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by měl být nahrazen tímto textem odůvodnění: </w:t>
      </w:r>
      <w:r w:rsidRPr="00C50D79">
        <w:rPr>
          <w:rFonts w:eastAsiaTheme="minorHAnsi"/>
          <w:i/>
          <w:iCs/>
          <w:lang w:eastAsia="en-US"/>
        </w:rPr>
        <w:t xml:space="preserve">„Mimo řešené území.“ </w:t>
      </w:r>
    </w:p>
    <w:p w14:paraId="62CF910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4FFAB6B8"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Koridor modernizované železniční tratě Turnov – Jičín – Hradec Králové nemá absolutně žádný vztah k území Hrádku nad Nisou. </w:t>
      </w:r>
    </w:p>
    <w:p w14:paraId="60408523"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117, kap. 6.4.1, podkap. II., část Dolní Suchá, odst. 1, </w:t>
      </w:r>
    </w:p>
    <w:p w14:paraId="264076D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121, kap. 6.4.1, podkap. III.a), část Dolní Suchá, odst. 3 – 4: </w:t>
      </w:r>
    </w:p>
    <w:p w14:paraId="121B075F"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silnice s původním označením III/2715 v úseku mezi křižovatkami silnic I/13 a III/2711 byla přeznačena na silnici III/2713. </w:t>
      </w:r>
    </w:p>
    <w:p w14:paraId="31F67A04"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57B3AF43"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k tomuto sděluje, že na tuto skutečnost bylo upozorněno v rámci požadavků vznesených KÚ LK OD k zadání – viz Odůvodnění ÚP Hrádek nad Nisou, str. 66, kap. 3.5, podkap. (407). </w:t>
      </w:r>
    </w:p>
    <w:p w14:paraId="235785F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157, kap. 6.4.2, podkap. e), Z87-Z93, Z95-Z97: </w:t>
      </w:r>
    </w:p>
    <w:p w14:paraId="6FBA37E7"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silnice s původním označením III/2715 v úseku mezi křižovatkami silnic I/13 a III/2711 byla přeznačena na silnici III/2713. </w:t>
      </w:r>
    </w:p>
    <w:p w14:paraId="55FF9273"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48A23798"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k tomuto sděluje, že na tuto skutečnost bylo upozorněno v rámci požadavků vznesených KÚ LK OD k zadání – viz Odůvodnění ÚP Hrádek nad Nisou, str. 66, kap. 3.5, podkap. (407). </w:t>
      </w:r>
    </w:p>
    <w:p w14:paraId="123B98B0"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165, kap. 6.5.1, podkap. Pozemní komunikace (k bodům D04 – D06 ÚP), odst. 1: </w:t>
      </w:r>
    </w:p>
    <w:p w14:paraId="135D62F2"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silnice I/35 je součástí mezinárodního tahu E442 v úseku MÚK Bílý Kostel nad Nisou – MÚK Stráž nad Nisou. </w:t>
      </w:r>
    </w:p>
    <w:p w14:paraId="00A98A93" w14:textId="77777777" w:rsidR="00C510C2" w:rsidRPr="00C50D79" w:rsidRDefault="00C510C2" w:rsidP="00C50D79">
      <w:pPr>
        <w:keepNext/>
        <w:autoSpaceDE w:val="0"/>
        <w:autoSpaceDN w:val="0"/>
        <w:adjustRightInd w:val="0"/>
        <w:spacing w:before="120" w:line="240" w:lineRule="auto"/>
        <w:ind w:left="567"/>
        <w:rPr>
          <w:rFonts w:eastAsiaTheme="minorHAnsi"/>
          <w:lang w:eastAsia="en-US"/>
        </w:rPr>
      </w:pPr>
      <w:r w:rsidRPr="00C50D79">
        <w:rPr>
          <w:rFonts w:eastAsiaTheme="minorHAnsi"/>
          <w:lang w:eastAsia="en-US"/>
        </w:rPr>
        <w:lastRenderedPageBreak/>
        <w:t xml:space="preserve">Odůvodnění: </w:t>
      </w:r>
    </w:p>
    <w:p w14:paraId="0335E6C6" w14:textId="77777777" w:rsidR="00C510C2" w:rsidRPr="00C50D79" w:rsidRDefault="00C510C2" w:rsidP="00C50D79">
      <w:pPr>
        <w:keepNext/>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Silnice I/35 v úseku MÚK Bílý Kostel nad Nisou – MÚK Stráž nad Nisou peážuje se silnicí I/13, která je v úseku Karlovy Vary – MÚK Stráž nad Nisou součástí mezinárodního silničního tahu E442 a tudíž i silnice I/35 v úseku z MÚK Bílý Kostel nad Nisou směrem na Stráž nad Nisou je součástí tohoto mezinárodního tahu, nikoli však z Chrastavy, jak je uvedeno v textu: </w:t>
      </w:r>
    </w:p>
    <w:p w14:paraId="45E2E457"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i/>
          <w:iCs/>
          <w:lang w:eastAsia="en-US"/>
        </w:rPr>
        <w:t xml:space="preserve">„Hlavní páteř tranzitní automobilové dopravy přes území města Hrádek nad Nisou tvoří silnice I/35, která je zároveň v úseku od Chrastavy směrem dále na Liberec součástí Evropské sítě mezinárodních silnic pod označením E442. Samotná silnice I/35 nepřenáší žádné vnitroměstské dopravní vztahy města Hrádek nad Nisou, slouží pouze pro dálkové cesty začínající či končící v Hrádku nad Nisou. Na území města Hrádek nad Nisou jsou na silnici I/35 situovány 2 úrovňové křižovatky, z toho jedna okružní v severní části při česko-polské hranici. Silnice I/35 má v úseku Bílý Kostel nad Nisou – hraniční přechod Hrádek nad Nisou/Porajów (Polsko) 2-pruhové uspořádání, které zcela vyhovuje stávajícím intenzitám automobilové dopravy.“ </w:t>
      </w:r>
    </w:p>
    <w:p w14:paraId="2C5EBB9A"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Silnice I/35 pokračuje přes Turnov, Jičín, Hradec Králové, Olomouc, Hranice na Moravě na hraniční přechod se Slovenskem v Makově jako mezinárodní silniční tah E442. </w:t>
      </w:r>
    </w:p>
    <w:p w14:paraId="494FD3F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dále k výše uvedenému textu uvádí, že silnice I/35 v úseku MÚK Bílý Kostel nad Nisou – Hrádek nad Nisou je vybudována v polovičním profilu jako dvoupruhová komunikace a ve stoupání je rozšířena o přídavný stoupací pruh. </w:t>
      </w:r>
    </w:p>
    <w:p w14:paraId="1682ABF4"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165, kap. 6.5.1, podkap. Pozemní komunikace (k bodům D04 – D06 ÚP), odst. 2: </w:t>
      </w:r>
    </w:p>
    <w:p w14:paraId="2E0B7C98"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silnice s původním označením III/2715 v úseku mezi křižovatkami silnic I/13 a III/2711 byla přeznačena na silnici III/2713. </w:t>
      </w:r>
    </w:p>
    <w:p w14:paraId="09B79B9A"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63D9284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k tomuto sděluje, že na tuto skutečnost bylo upozorněno v rámci požadavků vznesených KÚ LK OD k zadání – viz Odůvodnění ÚP Hrádek nad Nisou, str. 66, kap. 3.5, podkap. (407). </w:t>
      </w:r>
    </w:p>
    <w:p w14:paraId="1CEA202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Str. 229 – 231, kap. 8.1.5, podkap. a), Z87-Z93, Z95-Z97, str. 240, kap. 8.2.2, Z89, Z95-Z97: </w:t>
      </w:r>
    </w:p>
    <w:p w14:paraId="5CDF55A6"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KÚ LK OD upozorňuje na skutečnost, že silnice s původním označením III/2715 v úseku mezi křižovatkami silnic I/13 a III/2711 byla přeznačena na silnici III/2713. </w:t>
      </w:r>
    </w:p>
    <w:p w14:paraId="7EE59BF7"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499D4AB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k tomuto sděluje, že na tuto skutečnost bylo upozorněno v rámci požadavků vznesených KÚ LK OD k zadání – viz Odůvodnění ÚP Hrádek nad Nisou, str. 66, kap. 3.5, podkap. (407). </w:t>
      </w:r>
    </w:p>
    <w:p w14:paraId="32473ACC"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Koordinační výkres: </w:t>
      </w:r>
    </w:p>
    <w:p w14:paraId="71A77D6C"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KÚ LK OD požaduje označit všechny silnice III. třídy, a to včetně jejich návrhových kategorií tak, jak je uvedeno v Odůvodnění ÚP Hrádek nad Nisou, str. 66, kap. 3.5, podkap. (407). </w:t>
      </w:r>
    </w:p>
    <w:p w14:paraId="418385DB"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Pro přehlednost KÚ LK OD doporučuje to samé provést u silnic I. třídy. K tomuto uvádí následující: </w:t>
      </w:r>
    </w:p>
    <w:p w14:paraId="6DB2F281"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U přeložky silnice I/35 (MÚK Bílý Kostel nad Nisou – Hrádek nad Nisou (I/35J x III/2716) se jedná o návrhovou kategorii S11,5/80 a územní rezervou na plný profil S24,5/80, u obchvatu města I/35 se jedná o návrhovou kategorii S11,5/80 a u původní silnice I/35 označené zatím jako I/35L v úseku mezi okružními křižovatkami se jedná o návrhovou kategorii S11,5/80 a ve zbývajícím úseku směrem ke státní hranici s Polskem o návrhovou kategorii S7,5/70. </w:t>
      </w:r>
    </w:p>
    <w:p w14:paraId="050E37CD" w14:textId="77777777" w:rsidR="00C510C2" w:rsidRPr="00C50D79" w:rsidRDefault="00C510C2" w:rsidP="00C50D79">
      <w:pPr>
        <w:autoSpaceDE w:val="0"/>
        <w:autoSpaceDN w:val="0"/>
        <w:adjustRightInd w:val="0"/>
        <w:spacing w:before="120" w:line="240" w:lineRule="auto"/>
        <w:ind w:left="567"/>
        <w:rPr>
          <w:rFonts w:eastAsiaTheme="minorHAnsi"/>
          <w:lang w:eastAsia="en-US"/>
        </w:rPr>
      </w:pPr>
      <w:r w:rsidRPr="00C50D79">
        <w:rPr>
          <w:rFonts w:eastAsiaTheme="minorHAnsi"/>
          <w:lang w:eastAsia="en-US"/>
        </w:rPr>
        <w:t xml:space="preserve">Odůvodnění: </w:t>
      </w:r>
    </w:p>
    <w:p w14:paraId="0D7F6D8C" w14:textId="77777777" w:rsidR="00C510C2" w:rsidRPr="00C50D79" w:rsidRDefault="00C510C2" w:rsidP="00C50D79">
      <w:pPr>
        <w:autoSpaceDE w:val="0"/>
        <w:autoSpaceDN w:val="0"/>
        <w:adjustRightInd w:val="0"/>
        <w:spacing w:before="120" w:after="120" w:line="240" w:lineRule="auto"/>
        <w:ind w:left="567"/>
        <w:rPr>
          <w:rFonts w:eastAsiaTheme="minorHAnsi"/>
          <w:lang w:eastAsia="en-US"/>
        </w:rPr>
      </w:pPr>
      <w:r w:rsidRPr="00C50D79">
        <w:rPr>
          <w:rFonts w:eastAsiaTheme="minorHAnsi"/>
          <w:lang w:eastAsia="en-US"/>
        </w:rPr>
        <w:t xml:space="preserve">Označením silnic a uvedením jejich návrhových kategorií dojde k zpřehlednění územně plánovací dokumentace. </w:t>
      </w:r>
    </w:p>
    <w:p w14:paraId="745F2F0B" w14:textId="77777777" w:rsidR="00C510C2" w:rsidRPr="00C50D79" w:rsidRDefault="00C510C2" w:rsidP="008244A6">
      <w:pPr>
        <w:spacing w:before="240"/>
        <w:rPr>
          <w:rFonts w:cstheme="majorBidi"/>
          <w:i/>
          <w:iCs/>
          <w:lang w:eastAsia="en-US"/>
        </w:rPr>
      </w:pPr>
      <w:r w:rsidRPr="00C50D79">
        <w:rPr>
          <w:rFonts w:cstheme="majorBidi"/>
          <w:b/>
          <w:bCs/>
          <w:i/>
          <w:iCs/>
          <w:lang w:eastAsia="en-US"/>
        </w:rPr>
        <w:t xml:space="preserve">Vyhodnocení stanoviska  </w:t>
      </w:r>
    </w:p>
    <w:p w14:paraId="029CA845" w14:textId="77777777" w:rsidR="00C510C2" w:rsidRDefault="00C510C2" w:rsidP="002B5D5D">
      <w:pPr>
        <w:autoSpaceDE w:val="0"/>
        <w:autoSpaceDN w:val="0"/>
        <w:adjustRightInd w:val="0"/>
        <w:spacing w:before="120" w:line="240" w:lineRule="auto"/>
        <w:rPr>
          <w:rFonts w:cstheme="majorBidi"/>
          <w:i/>
          <w:iCs/>
          <w:lang w:eastAsia="en-US"/>
        </w:rPr>
      </w:pPr>
      <w:r w:rsidRPr="00C50D79">
        <w:rPr>
          <w:rFonts w:cstheme="majorBidi"/>
          <w:i/>
          <w:iCs/>
          <w:lang w:eastAsia="en-US"/>
        </w:rPr>
        <w:lastRenderedPageBreak/>
        <w:t>Pořizovatel ve spolupráci s určeným zastupitelem vyhodnotil obsah stanoviska a konstatuje, že uvedeným podmínkám bylo plně vyhověno.</w:t>
      </w:r>
    </w:p>
    <w:p w14:paraId="5AFE52E8" w14:textId="77777777" w:rsidR="008244A6" w:rsidRPr="00657760" w:rsidRDefault="008244A6" w:rsidP="008244A6">
      <w:pPr>
        <w:autoSpaceDE w:val="0"/>
        <w:autoSpaceDN w:val="0"/>
        <w:adjustRightInd w:val="0"/>
        <w:spacing w:before="240" w:line="240" w:lineRule="auto"/>
        <w:ind w:left="567" w:hanging="567"/>
        <w:rPr>
          <w:rFonts w:eastAsiaTheme="minorHAnsi"/>
          <w:lang w:eastAsia="en-US"/>
        </w:rPr>
      </w:pPr>
      <w:r w:rsidRPr="00657760">
        <w:rPr>
          <w:rFonts w:eastAsiaTheme="minorHAnsi"/>
          <w:b/>
          <w:bCs/>
          <w:lang w:eastAsia="en-US"/>
        </w:rPr>
        <w:t xml:space="preserve">9) </w:t>
      </w:r>
      <w:r w:rsidRPr="00657760">
        <w:rPr>
          <w:rFonts w:eastAsiaTheme="minorHAnsi"/>
          <w:b/>
          <w:bCs/>
          <w:lang w:eastAsia="en-US"/>
        </w:rPr>
        <w:tab/>
      </w:r>
      <w:r w:rsidRPr="00657760">
        <w:rPr>
          <w:rFonts w:eastAsiaTheme="minorHAnsi" w:cstheme="majorBidi"/>
          <w:b/>
          <w:bCs/>
          <w:lang w:eastAsia="en-US"/>
        </w:rPr>
        <w:t>zákona</w:t>
      </w:r>
      <w:r w:rsidRPr="00657760">
        <w:rPr>
          <w:rFonts w:eastAsiaTheme="minorHAnsi"/>
          <w:b/>
          <w:bCs/>
          <w:lang w:eastAsia="en-US"/>
        </w:rPr>
        <w:t xml:space="preserve"> č. 224/2015 Sb., o prevenci závažných havárií, ve znění pozdějších předpisů: </w:t>
      </w:r>
    </w:p>
    <w:p w14:paraId="69BF73F5" w14:textId="77777777" w:rsidR="008244A6" w:rsidRPr="00657760" w:rsidRDefault="008244A6" w:rsidP="008244A6">
      <w:pPr>
        <w:autoSpaceDE w:val="0"/>
        <w:autoSpaceDN w:val="0"/>
        <w:adjustRightInd w:val="0"/>
        <w:spacing w:before="120" w:line="240" w:lineRule="auto"/>
        <w:ind w:left="567"/>
        <w:rPr>
          <w:rFonts w:eastAsiaTheme="minorHAnsi"/>
          <w:lang w:eastAsia="en-US"/>
        </w:rPr>
      </w:pPr>
      <w:r w:rsidRPr="00657760">
        <w:rPr>
          <w:rFonts w:eastAsiaTheme="minorHAnsi"/>
          <w:lang w:eastAsia="en-US"/>
        </w:rPr>
        <w:t xml:space="preserve">Ve smyslu § 49 odst. 2 zákona č. 224/2015 Sb., o prevenci závažných havárií, ve znění pozdějších předpisů (dále zákon), se Návrh ÚP Hrádek nad Nisou nedotýká zájmů chráněných tímto zákonem. </w:t>
      </w:r>
    </w:p>
    <w:p w14:paraId="70D06A7F" w14:textId="77777777" w:rsidR="008244A6" w:rsidRPr="00657760" w:rsidRDefault="008244A6" w:rsidP="008244A6">
      <w:pPr>
        <w:autoSpaceDE w:val="0"/>
        <w:autoSpaceDN w:val="0"/>
        <w:adjustRightInd w:val="0"/>
        <w:spacing w:before="120" w:line="240" w:lineRule="auto"/>
        <w:ind w:left="567"/>
        <w:rPr>
          <w:rFonts w:eastAsiaTheme="minorHAnsi"/>
          <w:lang w:eastAsia="en-US"/>
        </w:rPr>
      </w:pPr>
      <w:r w:rsidRPr="00657760">
        <w:rPr>
          <w:rFonts w:eastAsiaTheme="minorHAnsi"/>
          <w:lang w:eastAsia="en-US"/>
        </w:rPr>
        <w:t xml:space="preserve">Odůvodnění: </w:t>
      </w:r>
    </w:p>
    <w:p w14:paraId="06928AF1" w14:textId="77777777" w:rsidR="008244A6" w:rsidRPr="00657760" w:rsidRDefault="008244A6" w:rsidP="008244A6">
      <w:pPr>
        <w:autoSpaceDE w:val="0"/>
        <w:autoSpaceDN w:val="0"/>
        <w:adjustRightInd w:val="0"/>
        <w:spacing w:before="120" w:line="240" w:lineRule="auto"/>
        <w:ind w:left="567"/>
        <w:rPr>
          <w:rFonts w:eastAsiaTheme="minorHAnsi"/>
          <w:lang w:eastAsia="en-US"/>
        </w:rPr>
      </w:pPr>
      <w:r w:rsidRPr="00657760">
        <w:rPr>
          <w:rFonts w:eastAsiaTheme="minorHAnsi"/>
          <w:lang w:eastAsia="en-US"/>
        </w:rPr>
        <w:t xml:space="preserve">Předložený návrh územního plánu nenavrhuje žádné funkční využití podléhající posouzení dle tohoto zákona. </w:t>
      </w:r>
    </w:p>
    <w:p w14:paraId="3EE8FC51" w14:textId="77777777" w:rsidR="008244A6" w:rsidRPr="00657760" w:rsidRDefault="008244A6" w:rsidP="008244A6">
      <w:pPr>
        <w:autoSpaceDE w:val="0"/>
        <w:autoSpaceDN w:val="0"/>
        <w:adjustRightInd w:val="0"/>
        <w:spacing w:before="120" w:line="240" w:lineRule="auto"/>
        <w:ind w:left="567" w:hanging="567"/>
        <w:rPr>
          <w:rFonts w:eastAsiaTheme="minorHAnsi"/>
          <w:lang w:eastAsia="en-US"/>
        </w:rPr>
      </w:pPr>
      <w:r w:rsidRPr="00657760">
        <w:rPr>
          <w:rFonts w:eastAsiaTheme="minorHAnsi"/>
          <w:b/>
          <w:bCs/>
          <w:lang w:eastAsia="en-US"/>
        </w:rPr>
        <w:t xml:space="preserve">10) </w:t>
      </w:r>
      <w:r w:rsidRPr="00657760">
        <w:rPr>
          <w:rFonts w:eastAsiaTheme="minorHAnsi"/>
          <w:b/>
          <w:bCs/>
          <w:lang w:eastAsia="en-US"/>
        </w:rPr>
        <w:tab/>
      </w:r>
      <w:r w:rsidRPr="00657760">
        <w:rPr>
          <w:rFonts w:eastAsiaTheme="minorHAnsi" w:cstheme="majorBidi"/>
          <w:b/>
          <w:bCs/>
          <w:lang w:eastAsia="en-US"/>
        </w:rPr>
        <w:t>uplatněné</w:t>
      </w:r>
      <w:r w:rsidRPr="00657760">
        <w:rPr>
          <w:rFonts w:eastAsiaTheme="minorHAnsi"/>
          <w:b/>
          <w:bCs/>
          <w:lang w:eastAsia="en-US"/>
        </w:rPr>
        <w:t xml:space="preserve"> na základě zákona č. 183/2006 Sb., o územním plánování a stavebním řádu (dále jen stavební zákon): </w:t>
      </w:r>
    </w:p>
    <w:p w14:paraId="0B24952F" w14:textId="77777777" w:rsidR="008244A6" w:rsidRPr="00657760" w:rsidRDefault="008244A6" w:rsidP="008244A6">
      <w:pPr>
        <w:autoSpaceDE w:val="0"/>
        <w:autoSpaceDN w:val="0"/>
        <w:adjustRightInd w:val="0"/>
        <w:spacing w:before="120" w:line="240" w:lineRule="auto"/>
        <w:ind w:left="567"/>
        <w:rPr>
          <w:rFonts w:eastAsiaTheme="minorHAnsi"/>
          <w:lang w:eastAsia="en-US"/>
        </w:rPr>
      </w:pPr>
      <w:r w:rsidRPr="00657760">
        <w:rPr>
          <w:rFonts w:eastAsiaTheme="minorHAnsi"/>
          <w:lang w:eastAsia="en-US"/>
        </w:rPr>
        <w:t xml:space="preserve">KÚ LK, odbor územního plánování a stavebního řádu, upozorňuje, že stanovisko z hledisek zajištění koordinace využívání území s ohledem na širší územní vztahy, souladu s politikou územního rozvoje a souladu s územně plánovací dokumentací vydanou krajem dle § 50 odst. 7 stavebního zákona vydá ve lhůtě 30 dnů poté, co od pořizovatele obdrží kopie stanovisek, připomínek a výsledků konzultací k návrhu předmětné dokumentace. </w:t>
      </w:r>
    </w:p>
    <w:p w14:paraId="64C5C8CB" w14:textId="77777777" w:rsidR="00917A47" w:rsidRPr="008940E0" w:rsidRDefault="00917A47" w:rsidP="00C50D79">
      <w:pPr>
        <w:pStyle w:val="ListParagraph"/>
        <w:numPr>
          <w:ilvl w:val="0"/>
          <w:numId w:val="125"/>
        </w:numPr>
        <w:spacing w:before="360" w:after="10" w:line="247" w:lineRule="auto"/>
        <w:ind w:left="567" w:right="215" w:hanging="567"/>
        <w:contextualSpacing/>
        <w:rPr>
          <w:b/>
        </w:rPr>
      </w:pPr>
      <w:r w:rsidRPr="00657760">
        <w:rPr>
          <w:b/>
        </w:rPr>
        <w:t>Pořizovatel obdržel na základě oznamující</w:t>
      </w:r>
      <w:r w:rsidRPr="008940E0">
        <w:rPr>
          <w:b/>
        </w:rPr>
        <w:t xml:space="preserve"> veřejného projednání návrhu Územního plánu Hrádek nad Nisou 5 stanovisek dotčených orgánů, která obsahovala požadavky na úpravu dokumentace návrhu Územního plánu Hrádek nad Nisou pro veřejné projednání, které pořizovatel vyhodnotil následujícím způsobem:</w:t>
      </w:r>
    </w:p>
    <w:p w14:paraId="2D455099" w14:textId="14AED67E" w:rsidR="00917A47" w:rsidRPr="008244A6" w:rsidRDefault="00917A47" w:rsidP="00C50D79">
      <w:pPr>
        <w:pStyle w:val="BodyText"/>
        <w:spacing w:before="240"/>
        <w:rPr>
          <w:b/>
          <w:bCs/>
          <w:color w:val="92D050"/>
        </w:rPr>
      </w:pPr>
      <w:r w:rsidRPr="008244A6">
        <w:rPr>
          <w:b/>
          <w:bCs/>
          <w:color w:val="92D050"/>
        </w:rPr>
        <w:t xml:space="preserve">Stanovisko </w:t>
      </w:r>
      <w:r w:rsidR="00C50D79" w:rsidRPr="008244A6">
        <w:rPr>
          <w:b/>
          <w:bCs/>
          <w:color w:val="92D050"/>
        </w:rPr>
        <w:t>č</w:t>
      </w:r>
      <w:r w:rsidRPr="008244A6">
        <w:rPr>
          <w:b/>
          <w:bCs/>
          <w:color w:val="92D050"/>
        </w:rPr>
        <w:t>.1 - Dotčený orgán: Krajský úřad Libereckého kraje</w:t>
      </w:r>
    </w:p>
    <w:p w14:paraId="5731CE47" w14:textId="77777777" w:rsidR="00917A47" w:rsidRPr="00C50D79" w:rsidRDefault="00917A47" w:rsidP="00C50D79">
      <w:pPr>
        <w:pStyle w:val="BodyText"/>
        <w:keepNext/>
        <w:spacing w:before="120"/>
        <w:rPr>
          <w:rFonts w:cs="Times New Roman"/>
          <w:sz w:val="22"/>
          <w:szCs w:val="22"/>
        </w:rPr>
      </w:pPr>
      <w:r w:rsidRPr="00C50D79">
        <w:rPr>
          <w:rFonts w:cs="Times New Roman"/>
          <w:sz w:val="22"/>
          <w:szCs w:val="22"/>
        </w:rPr>
        <w:t>Stanovisko č.j. OÚPSŘ 273/2012/OÚP-KULK 76950/2019 ze dne 21.10.2019, doručené dne 21.10.2019, vedená pod č. j. OSŽP-7198/2019</w:t>
      </w:r>
    </w:p>
    <w:p w14:paraId="2CC36BAF" w14:textId="77777777" w:rsidR="00917A47" w:rsidRPr="00C50D79" w:rsidRDefault="00917A47" w:rsidP="00C50D79">
      <w:pPr>
        <w:pStyle w:val="BodyText"/>
        <w:keepNext/>
        <w:spacing w:before="120"/>
        <w:rPr>
          <w:rFonts w:cs="Times New Roman"/>
          <w:b/>
          <w:i/>
          <w:sz w:val="22"/>
          <w:szCs w:val="22"/>
        </w:rPr>
      </w:pPr>
      <w:r w:rsidRPr="00C50D79">
        <w:rPr>
          <w:rFonts w:cs="Times New Roman"/>
          <w:b/>
          <w:i/>
          <w:sz w:val="22"/>
          <w:szCs w:val="22"/>
        </w:rPr>
        <w:t>Obsah stanoviska:</w:t>
      </w:r>
    </w:p>
    <w:p w14:paraId="6006F602" w14:textId="77777777" w:rsidR="00917A47" w:rsidRPr="00C50D79" w:rsidRDefault="00917A47" w:rsidP="00C50D79">
      <w:pPr>
        <w:spacing w:before="120" w:after="240" w:line="233" w:lineRule="auto"/>
        <w:ind w:right="45"/>
      </w:pPr>
      <w:r w:rsidRPr="00C50D79">
        <w:rPr>
          <w:rFonts w:eastAsia="Calibri"/>
          <w:u w:val="single" w:color="000000"/>
        </w:rPr>
        <w:t>Koordinované stanovisko Krajského úřadu Libereckého kraje jako dotčeného orgánu a jako nadřízeného orgánu dle § 52 odst. 3 zákona č. 183/2006 Sb., o územním plánování a stavebním řádu, k veřejnému projednání Návrhu Územního plánu Hrádek nad Nisou.</w:t>
      </w:r>
    </w:p>
    <w:p w14:paraId="061897FA" w14:textId="77777777" w:rsidR="00917A47" w:rsidRPr="00C50D79" w:rsidRDefault="00917A47" w:rsidP="00C50D79">
      <w:pPr>
        <w:spacing w:before="120" w:after="120" w:line="259" w:lineRule="auto"/>
        <w:ind w:right="43"/>
      </w:pPr>
      <w:r w:rsidRPr="00C50D79">
        <w:rPr>
          <w:rFonts w:eastAsia="Calibri"/>
        </w:rPr>
        <w:t>Zahrnující požadavky na ochranu dotčených veřejných zájmů, které hájí na základě:</w:t>
      </w:r>
    </w:p>
    <w:p w14:paraId="788AFED9" w14:textId="77777777" w:rsidR="00917A47" w:rsidRPr="00C50D79" w:rsidRDefault="00917A47" w:rsidP="00A71CDF">
      <w:pPr>
        <w:pStyle w:val="ListParagraph"/>
        <w:numPr>
          <w:ilvl w:val="0"/>
          <w:numId w:val="136"/>
        </w:numPr>
        <w:spacing w:before="120" w:after="10" w:line="248" w:lineRule="auto"/>
        <w:ind w:left="426" w:right="43" w:hanging="426"/>
        <w:contextualSpacing/>
        <w:rPr>
          <w:b/>
          <w:bCs/>
        </w:rPr>
      </w:pPr>
      <w:r w:rsidRPr="00C50D79">
        <w:rPr>
          <w:b/>
          <w:bCs/>
        </w:rPr>
        <w:t>zákona č. 114/1992 Sb., o ochraně přírody a krajiny, v platném znění:</w:t>
      </w:r>
    </w:p>
    <w:p w14:paraId="075FD168" w14:textId="77777777" w:rsidR="00917A47" w:rsidRPr="00C50D79" w:rsidRDefault="00917A47" w:rsidP="00A71CDF">
      <w:pPr>
        <w:spacing w:before="120" w:after="137" w:line="254" w:lineRule="auto"/>
        <w:ind w:left="426" w:right="43"/>
      </w:pPr>
      <w:r w:rsidRPr="00C50D79">
        <w:t>KÚ LK, odbor životního prostředí a zemědělství, jako orgán ochrany přírody (dále jen „krajský úřad”) příslušný podle § 75 a § 77a zák. č.114/1992 Sb., o ochraně přírody a krajiny, ve znění pozdějších předpisů (dále jen „zákon”) sděluje k Upravenému a posouzenému návrhu ÚP Hrádek nad Nisou následující:</w:t>
      </w:r>
    </w:p>
    <w:p w14:paraId="01F13EF4" w14:textId="77777777" w:rsidR="00917A47" w:rsidRPr="00C50D79" w:rsidRDefault="00917A47" w:rsidP="00A71CDF">
      <w:pPr>
        <w:spacing w:before="120" w:after="120" w:line="254" w:lineRule="auto"/>
        <w:ind w:left="426" w:right="43"/>
      </w:pPr>
      <w:r w:rsidRPr="00C50D79">
        <w:t>Krajský úřad požaduje, aby bylo do ploch řešených územních studií US-12 (změnová plocha Z44A) a US-13 (změnové plochy Z44B a Z45) doplněn požadavek, že územní studie prověří a navrhne:</w:t>
      </w:r>
    </w:p>
    <w:p w14:paraId="1F08C4A6" w14:textId="77777777" w:rsidR="00917A47" w:rsidRPr="00C50D79" w:rsidRDefault="00917A47" w:rsidP="00A71CDF">
      <w:pPr>
        <w:spacing w:before="120" w:line="254" w:lineRule="auto"/>
        <w:ind w:left="426" w:right="43"/>
      </w:pPr>
      <w:r w:rsidRPr="00C50D79">
        <w:t>*) řešení vazby území na prostor bývalé cihelny a zajištění průchodnosti území pro drobné živočichy bez migračních překážek (zídky, ploty s podezdívkou) na základě provedeného biologického hodnocení v souladu § 67 odst. 1 zákona č. 114/1992 Sb. o ochraně přírody a krajiny.</w:t>
      </w:r>
    </w:p>
    <w:p w14:paraId="2E6CDC04" w14:textId="77777777" w:rsidR="00917A47" w:rsidRPr="00C50D79" w:rsidRDefault="00917A47" w:rsidP="00A71CDF">
      <w:pPr>
        <w:spacing w:before="120" w:after="177" w:line="254" w:lineRule="auto"/>
        <w:ind w:left="426" w:right="43"/>
      </w:pPr>
      <w:r w:rsidRPr="00C50D79">
        <w:t>Jedná se totiž o rozsáhlé, na sebe navazující plochy zástavby, okolo bývalé pískovny s vodními plochami (plochy NL a NK), kde krajský úřad eviduje výskyt množství zvláště chráněných druhů živočichů. Jedná se o druhy dle příl. č. III vyhl. č. 395/1992 Sb., kterou se provádějí některá ustanovení zákona, ve znění pozdějších předpisů (dále jen „vyhláška”), v kategorii ohrožený- ropuchu obecnou a užovku obojkovou, v kategorii silně ohrožený - čolka obecného, čolka velkého, blatnici skvrnitou, skokana štíhlého a ještěrku obecnou, v kategorii kriticky ohrožený - pak skokana skřehotavého.</w:t>
      </w:r>
    </w:p>
    <w:p w14:paraId="2141496A" w14:textId="77777777" w:rsidR="00917A47" w:rsidRPr="00C50D79" w:rsidRDefault="00917A47" w:rsidP="00A71CDF">
      <w:pPr>
        <w:spacing w:before="120" w:after="9" w:line="254" w:lineRule="auto"/>
        <w:ind w:left="426" w:right="43"/>
      </w:pPr>
      <w:r w:rsidRPr="00C50D79">
        <w:lastRenderedPageBreak/>
        <w:t>Odůvodnění:</w:t>
      </w:r>
    </w:p>
    <w:p w14:paraId="60AA37AE" w14:textId="77777777" w:rsidR="00917A47" w:rsidRPr="00C50D79" w:rsidRDefault="00917A47" w:rsidP="00A71CDF">
      <w:pPr>
        <w:spacing w:before="120" w:after="99" w:line="254" w:lineRule="auto"/>
        <w:ind w:left="426" w:right="43"/>
      </w:pPr>
      <w:r w:rsidRPr="00C50D79">
        <w:t>Jak bylo krajským úřadem deklarováno, předmětné plochy Z44A, Z44B a Z45 úzce navazují na plochu bývalé pískovny, kde je evidován výskyt zvláště chráněných druhů živočichů, který tento prostor obývají trvale, nebo pouze dočasně, v době jejich rozmnožování.</w:t>
      </w:r>
    </w:p>
    <w:p w14:paraId="7D26F5AF" w14:textId="77777777" w:rsidR="00917A47" w:rsidRPr="00C50D79" w:rsidRDefault="00917A47" w:rsidP="00A71CDF">
      <w:pPr>
        <w:spacing w:before="120" w:after="122" w:line="254" w:lineRule="auto"/>
        <w:ind w:left="426" w:right="43"/>
      </w:pPr>
      <w:r w:rsidRPr="00C50D79">
        <w:t>Zmenšením jejich životního prostoru a jeho izolací od dochovaných krajinných struktur dochází ke snižování velikosti populací, jejich genetické degeneraci a postupnému vymizení. V současnosti je již migrační prostor ohraničen stávající historickou zástavbou a nově také tělesem silnice I/35.</w:t>
      </w:r>
    </w:p>
    <w:p w14:paraId="5AAC34DB" w14:textId="77777777" w:rsidR="00917A47" w:rsidRPr="00C50D79" w:rsidRDefault="00917A47" w:rsidP="00A71CDF">
      <w:pPr>
        <w:spacing w:before="120" w:after="204" w:line="254" w:lineRule="auto"/>
        <w:ind w:left="426" w:right="43"/>
      </w:pPr>
      <w:r w:rsidRPr="00C50D79">
        <w:t>S ohledem na maximální ochranu druhové rozmanitosti a biotopů chráněných druhů proto požaduje krajský úřad posouzení lokalit územních studií US-12 a US-13 ve formě biologického hodnocení provedeného v souladu s ustanovením § 67 odst. 1 zákona. Biologické hodnocení poslouží jako podklad územní studie k nastavení únosných koeficientů zastavěnosti a vytvořit další vhodná opatření pro umožnění prostupnosti krajiny nejen pro tyto drobné druhy živočichů v řádu stovek metrů od pískovny.</w:t>
      </w:r>
    </w:p>
    <w:p w14:paraId="1B74A02F" w14:textId="77777777" w:rsidR="00917A47" w:rsidRPr="00C50D79" w:rsidRDefault="00917A47" w:rsidP="008244A6">
      <w:pPr>
        <w:spacing w:before="120"/>
        <w:ind w:right="43" w:hanging="6"/>
        <w:rPr>
          <w:b/>
          <w:i/>
          <w:u w:val="single"/>
        </w:rPr>
      </w:pPr>
      <w:r w:rsidRPr="00C50D79">
        <w:rPr>
          <w:b/>
          <w:i/>
          <w:u w:val="single"/>
        </w:rPr>
        <w:t xml:space="preserve">Vyhodnocení stanoviska v části 1): </w:t>
      </w:r>
    </w:p>
    <w:p w14:paraId="6431F0C1" w14:textId="77777777" w:rsidR="00917A47" w:rsidRPr="00C50D79" w:rsidRDefault="00917A47" w:rsidP="008244A6">
      <w:pPr>
        <w:spacing w:before="120"/>
        <w:ind w:right="43" w:hanging="6"/>
        <w:rPr>
          <w:b/>
          <w:i/>
        </w:rPr>
      </w:pPr>
      <w:r w:rsidRPr="00C50D79">
        <w:rPr>
          <w:b/>
          <w:i/>
        </w:rPr>
        <w:t>Pořizovatel ve spolupráci s určeným zastupitelem a projektantem posoudil uplatněný požadavek ze stanoviska a dospěl k závěru, že požadavek ze stanoviska na doplnění požadavků na zpracování územních studií US-12 (změnová plocha Z44A) a US-13 (změnové plochy Z44B a Z45) bude zapracován, jelikož se tím úpravám navazujících dokumentací pro vlastní povolení staveb.</w:t>
      </w:r>
    </w:p>
    <w:p w14:paraId="6AEE1977" w14:textId="77777777" w:rsidR="00917A47" w:rsidRPr="00C50D79" w:rsidRDefault="00917A47" w:rsidP="008244A6">
      <w:pPr>
        <w:spacing w:before="120"/>
        <w:ind w:right="43"/>
        <w:rPr>
          <w:b/>
          <w:i/>
        </w:rPr>
      </w:pPr>
      <w:r w:rsidRPr="00C50D79">
        <w:rPr>
          <w:b/>
          <w:i/>
        </w:rPr>
        <w:t>Stanovisku se v části 1) vyhovuje v plném rozsahu.</w:t>
      </w:r>
    </w:p>
    <w:p w14:paraId="4B53E603" w14:textId="77777777" w:rsidR="00917A47" w:rsidRPr="00C50D79" w:rsidRDefault="00917A47" w:rsidP="008244A6">
      <w:pPr>
        <w:spacing w:before="120"/>
        <w:ind w:right="43"/>
        <w:rPr>
          <w:b/>
          <w:i/>
        </w:rPr>
      </w:pPr>
      <w:r w:rsidRPr="00C50D79">
        <w:rPr>
          <w:b/>
          <w:i/>
        </w:rPr>
        <w:t>Stanovisko vyvolává nepodstatnou úpravu dokumentace Návrhu Územního plánu Hrádek nad Nisou.</w:t>
      </w:r>
    </w:p>
    <w:p w14:paraId="1862297B" w14:textId="77777777" w:rsidR="00917A47" w:rsidRPr="00C50D79" w:rsidRDefault="00917A47" w:rsidP="00A71CDF">
      <w:pPr>
        <w:pStyle w:val="ListParagraph"/>
        <w:numPr>
          <w:ilvl w:val="0"/>
          <w:numId w:val="136"/>
        </w:numPr>
        <w:spacing w:before="240" w:line="253" w:lineRule="auto"/>
        <w:ind w:left="426" w:right="43" w:hanging="426"/>
        <w:contextualSpacing/>
        <w:rPr>
          <w:b/>
          <w:bCs/>
        </w:rPr>
      </w:pPr>
      <w:r w:rsidRPr="00C50D79">
        <w:rPr>
          <w:b/>
          <w:bCs/>
        </w:rPr>
        <w:t>zákona č. 13/1997 Sb., o pozemních komunikacích, ve znění pozdějších předpisů:</w:t>
      </w:r>
    </w:p>
    <w:p w14:paraId="08DE0BF5" w14:textId="77777777" w:rsidR="00917A47" w:rsidRPr="00C50D79" w:rsidRDefault="00917A47" w:rsidP="00A71CDF">
      <w:pPr>
        <w:spacing w:before="120" w:after="233"/>
        <w:ind w:left="426" w:right="43"/>
      </w:pPr>
      <w:r w:rsidRPr="00C50D79">
        <w:t>KÚ LK, odbor dopravy (dále jen KÚ LK OD) dle § 40 odst. 3 písm. f) zákona č. 13/1997 Sb., o pozemních komunikacích v platném znění souhlasí s upraveným a posouzeným Návrhem ÚP Hrádek nad Nisou za podmínky, že bude doplněno nebo opraveno následující:</w:t>
      </w:r>
    </w:p>
    <w:p w14:paraId="497D794A" w14:textId="77777777" w:rsidR="00917A47" w:rsidRPr="00C50D79" w:rsidRDefault="00917A47" w:rsidP="00A71CDF">
      <w:pPr>
        <w:spacing w:before="120" w:after="69" w:line="259" w:lineRule="auto"/>
        <w:ind w:left="426" w:right="43"/>
      </w:pPr>
      <w:r w:rsidRPr="00C50D79">
        <w:rPr>
          <w:u w:val="single" w:color="000000"/>
        </w:rPr>
        <w:t>Územní plán Hrádek nad Nisou – návrh:</w:t>
      </w:r>
    </w:p>
    <w:p w14:paraId="6DA2EA11" w14:textId="77777777" w:rsidR="00917A47" w:rsidRPr="00C50D79" w:rsidRDefault="00917A47" w:rsidP="00A71CDF">
      <w:pPr>
        <w:spacing w:before="120" w:after="29"/>
        <w:ind w:left="426" w:right="43"/>
      </w:pPr>
      <w:r w:rsidRPr="00C50D79">
        <w:t>Str. 11, kap. C.1, podkap. (C09), část h):</w:t>
      </w:r>
    </w:p>
    <w:p w14:paraId="1DFA7461" w14:textId="77777777" w:rsidR="00917A47" w:rsidRPr="00C50D79" w:rsidRDefault="00917A47" w:rsidP="00A71CDF">
      <w:pPr>
        <w:spacing w:before="120" w:after="120" w:line="247" w:lineRule="auto"/>
        <w:ind w:left="426" w:right="43"/>
      </w:pPr>
      <w:r w:rsidRPr="00C50D79">
        <w:t>KÚ LK OD upozorňuje na skutečnost, že silnice s původním označením III/2715 v úseku mezi křižovatkami silnic I/13 a III/2711 byla přeznačena na silnici III/2713.</w:t>
      </w:r>
    </w:p>
    <w:p w14:paraId="2C4F7DCA" w14:textId="77777777" w:rsidR="00917A47" w:rsidRPr="00C50D79" w:rsidRDefault="00917A47" w:rsidP="00A71CDF">
      <w:pPr>
        <w:spacing w:before="120" w:line="247" w:lineRule="auto"/>
        <w:ind w:left="426" w:right="43"/>
      </w:pPr>
      <w:r w:rsidRPr="00C50D79">
        <w:t>Str. 12, kap. C.I, podkap. (C09), část k):</w:t>
      </w:r>
    </w:p>
    <w:p w14:paraId="00996BFA" w14:textId="77777777" w:rsidR="00917A47" w:rsidRPr="00C50D79" w:rsidRDefault="00917A47" w:rsidP="00A71CDF">
      <w:pPr>
        <w:spacing w:before="120" w:after="120" w:line="247" w:lineRule="auto"/>
        <w:ind w:left="426" w:right="43"/>
      </w:pPr>
      <w:r w:rsidRPr="00C50D79">
        <w:t>KÚ LK OD upozorňuje na skutečnost, že silnice s původním označením III/2715 v úseku mezi křižovatkami silnic I/13 a 111/2711 byla přeznačena na silnici III/2713.</w:t>
      </w:r>
    </w:p>
    <w:p w14:paraId="18D01523" w14:textId="77777777" w:rsidR="00917A47" w:rsidRPr="00C50D79" w:rsidRDefault="00917A47" w:rsidP="00A71CDF">
      <w:pPr>
        <w:spacing w:before="120" w:line="259" w:lineRule="auto"/>
        <w:ind w:left="426" w:right="43"/>
      </w:pPr>
      <w:r w:rsidRPr="00C50D79">
        <w:rPr>
          <w:u w:val="single" w:color="000000"/>
        </w:rPr>
        <w:t>Odůvodnění:</w:t>
      </w:r>
    </w:p>
    <w:p w14:paraId="01C7A5DA" w14:textId="77777777" w:rsidR="00917A47" w:rsidRPr="00C50D79" w:rsidRDefault="00917A47" w:rsidP="00A71CDF">
      <w:pPr>
        <w:spacing w:before="120" w:after="237"/>
        <w:ind w:left="426" w:right="43"/>
      </w:pPr>
      <w:r w:rsidRPr="00C50D79">
        <w:t>KÚ LK OD k tomuto sděluje, že na tuto skutečnost bylo upozorněno v rámci požadavků vznesených KÚ LK OD k zadání — viz Odůvodnění Územního plánu Hrádek nad Nisou, str. 66, kap. 3.5, podkap. (191).</w:t>
      </w:r>
    </w:p>
    <w:p w14:paraId="63325BC5" w14:textId="77777777" w:rsidR="00917A47" w:rsidRPr="00C50D79" w:rsidRDefault="00917A47" w:rsidP="00A71CDF">
      <w:pPr>
        <w:spacing w:before="120" w:after="69" w:line="259" w:lineRule="auto"/>
        <w:ind w:left="426" w:right="43"/>
      </w:pPr>
      <w:r w:rsidRPr="00C50D79">
        <w:rPr>
          <w:u w:val="single" w:color="000000"/>
        </w:rPr>
        <w:t>Územní plán Hrádek nad Nisou — odůvodnění:</w:t>
      </w:r>
    </w:p>
    <w:p w14:paraId="1DF78646" w14:textId="77777777" w:rsidR="00917A47" w:rsidRPr="00C50D79" w:rsidRDefault="00917A47" w:rsidP="00A71CDF">
      <w:pPr>
        <w:spacing w:before="120" w:after="60" w:line="247" w:lineRule="auto"/>
        <w:ind w:left="426" w:right="43"/>
      </w:pPr>
      <w:r w:rsidRPr="00C50D79">
        <w:t>Str. 18, kap. 1.2.2, podkap. (49), str. 19, kap. 1.2.3, podkap. (57), str. 39, kap. 1.2.10, podkap. (216), str. 83, kap. 3.10, podkap. (304):</w:t>
      </w:r>
    </w:p>
    <w:p w14:paraId="3BE6FB3B" w14:textId="77777777" w:rsidR="00917A47" w:rsidRPr="00C50D79" w:rsidRDefault="00917A47" w:rsidP="00A71CDF">
      <w:pPr>
        <w:spacing w:before="120"/>
        <w:ind w:left="426" w:right="43"/>
      </w:pPr>
      <w:r w:rsidRPr="00C50D79">
        <w:t>KÚ LK OD upozorňuje na skutečnost, že přeložka silnice I/35 v úseku MÚK Bílý Kostel nad Nisou – Hrádek nad Nisou byla včetně obchvatu města Hrádek nad Nisou prozatím vybudována pouze v polovičním profilu S1 1,5/80, přičemž v rámci Aktualizace č. 1 Zásad územního rozvoje Libereckého kraje bude v tomto koridoru vymezena územní rezerva na dobudování plného profilu v návrhové kategorii S24,5/80.</w:t>
      </w:r>
    </w:p>
    <w:p w14:paraId="2740CB12" w14:textId="77777777" w:rsidR="00917A47" w:rsidRPr="00C50D79" w:rsidRDefault="00917A47" w:rsidP="00A71CDF">
      <w:pPr>
        <w:spacing w:before="120" w:after="63" w:line="259" w:lineRule="auto"/>
        <w:ind w:left="426" w:right="43"/>
      </w:pPr>
      <w:r w:rsidRPr="00C50D79">
        <w:rPr>
          <w:rFonts w:eastAsia="Calibri"/>
          <w:u w:val="single" w:color="000000"/>
        </w:rPr>
        <w:t>Odůvodnění:</w:t>
      </w:r>
    </w:p>
    <w:p w14:paraId="7BBB33B3" w14:textId="77777777" w:rsidR="00917A47" w:rsidRPr="00C50D79" w:rsidRDefault="00917A47" w:rsidP="00A71CDF">
      <w:pPr>
        <w:spacing w:before="120"/>
        <w:ind w:left="426" w:right="43"/>
        <w:rPr>
          <w:i/>
          <w:iCs/>
        </w:rPr>
      </w:pPr>
      <w:r w:rsidRPr="00C50D79">
        <w:lastRenderedPageBreak/>
        <w:t xml:space="preserve">Tento požadavek vychází z KATEGORIZACE DÁLNIC A SILNIC 1. TŘÍDY DO ROKU 2040 schválené v 06/2010. KÚ LK OD doporučuje opravit text následovně: </w:t>
      </w:r>
      <w:r w:rsidRPr="00C50D79">
        <w:rPr>
          <w:i/>
          <w:iCs/>
        </w:rPr>
        <w:t>„Přeložka silnice I/35 byla realizována v polovičním profilu”.</w:t>
      </w:r>
    </w:p>
    <w:p w14:paraId="57BB42C7" w14:textId="77777777" w:rsidR="00917A47" w:rsidRPr="00C50D79" w:rsidRDefault="00917A47" w:rsidP="00A71CDF">
      <w:pPr>
        <w:spacing w:before="120" w:after="44"/>
        <w:ind w:left="426" w:right="43"/>
      </w:pPr>
      <w:r w:rsidRPr="00C50D79">
        <w:t>Str. 1 19, kap. 6.4.1, podkap. II., část Dolní Suchá, odst. 1,</w:t>
      </w:r>
    </w:p>
    <w:p w14:paraId="45FDA3BC" w14:textId="77777777" w:rsidR="00917A47" w:rsidRPr="00C50D79" w:rsidRDefault="00917A47" w:rsidP="00A71CDF">
      <w:pPr>
        <w:spacing w:before="120" w:after="44"/>
        <w:ind w:left="426" w:right="43"/>
      </w:pPr>
      <w:r w:rsidRPr="00C50D79">
        <w:t>str. 123, kap. 6.4. l, podkap. III.a), část Dolní Suchá, odst. 3 - 4:</w:t>
      </w:r>
    </w:p>
    <w:p w14:paraId="2E7F3C2A" w14:textId="77777777" w:rsidR="00917A47" w:rsidRPr="00C50D79" w:rsidRDefault="00917A47" w:rsidP="00A71CDF">
      <w:pPr>
        <w:spacing w:before="120" w:after="67"/>
        <w:ind w:left="426" w:right="43"/>
      </w:pPr>
      <w:r w:rsidRPr="00C50D79">
        <w:t>KÚ LK OD upozorňuje na skutečnost, že silnice s původním označením III/2715 v úseku mezi křižovatkami silnic I/13 a III/2711 byla přeznačena na silnici III/2713.</w:t>
      </w:r>
    </w:p>
    <w:p w14:paraId="6233DB11" w14:textId="77777777" w:rsidR="00917A47" w:rsidRPr="00C50D79" w:rsidRDefault="00917A47" w:rsidP="00A71CDF">
      <w:pPr>
        <w:spacing w:before="120" w:after="69" w:line="259" w:lineRule="auto"/>
        <w:ind w:left="426" w:right="43"/>
      </w:pPr>
      <w:r w:rsidRPr="00C50D79">
        <w:rPr>
          <w:u w:val="single" w:color="000000"/>
        </w:rPr>
        <w:t>Odůvodnění:</w:t>
      </w:r>
    </w:p>
    <w:p w14:paraId="7A6803C6" w14:textId="77777777" w:rsidR="00917A47" w:rsidRPr="00C50D79" w:rsidRDefault="00917A47" w:rsidP="00A71CDF">
      <w:pPr>
        <w:spacing w:before="120"/>
        <w:ind w:left="426" w:right="43"/>
      </w:pPr>
      <w:r w:rsidRPr="00C50D79">
        <w:t>KÚ LK OD k tomuto sděluje, že na tuto skutečnost bylo upozorněno v rámci požadavků vznesených KÚ LK OD k zadání – viz Odůvodnění Územního plánu Hrádek nad Nisou, str. 66, kap. 3.5, podkap. (191).</w:t>
      </w:r>
    </w:p>
    <w:p w14:paraId="0365B2A7" w14:textId="77777777" w:rsidR="00917A47" w:rsidRPr="00C50D79" w:rsidRDefault="00917A47" w:rsidP="00A71CDF">
      <w:pPr>
        <w:spacing w:before="120" w:after="38"/>
        <w:ind w:left="426" w:right="43"/>
      </w:pPr>
      <w:r w:rsidRPr="00C50D79">
        <w:t>Str. 157 - 159, kap. 6.4.2, podkap. e), Z87-Z92, Z95-Z97, m 03:</w:t>
      </w:r>
    </w:p>
    <w:p w14:paraId="6F835D8C" w14:textId="77777777" w:rsidR="00917A47" w:rsidRPr="00C50D79" w:rsidRDefault="00917A47" w:rsidP="00A71CDF">
      <w:pPr>
        <w:spacing w:before="120"/>
        <w:ind w:left="426" w:right="43"/>
      </w:pPr>
      <w:r w:rsidRPr="00C50D79">
        <w:t>KÚ LK OD upozorňuje na skutečnost, že silnice s původním označením III/2715 v úseku mezi      křižovatkami silnic I/13 a III/2711 byla přeznačena na silnici III/2713.</w:t>
      </w:r>
    </w:p>
    <w:p w14:paraId="1DA8BC7F" w14:textId="77777777" w:rsidR="00917A47" w:rsidRPr="00C50D79" w:rsidRDefault="00917A47" w:rsidP="00A71CDF">
      <w:pPr>
        <w:spacing w:before="120" w:after="63" w:line="259" w:lineRule="auto"/>
        <w:ind w:left="426" w:right="43"/>
      </w:pPr>
      <w:r w:rsidRPr="00C50D79">
        <w:rPr>
          <w:rFonts w:eastAsia="Calibri"/>
          <w:u w:val="single" w:color="000000"/>
        </w:rPr>
        <w:t>Odůvodnění:</w:t>
      </w:r>
    </w:p>
    <w:p w14:paraId="6D5418B2" w14:textId="77777777" w:rsidR="00917A47" w:rsidRPr="00C50D79" w:rsidRDefault="00917A47" w:rsidP="00A71CDF">
      <w:pPr>
        <w:spacing w:before="120" w:after="129"/>
        <w:ind w:left="426" w:right="43"/>
      </w:pPr>
      <w:r w:rsidRPr="00C50D79">
        <w:t>KÚ LK OD k tomuto sděluje, že na tuto skutečnost bylo upozorněno v rámci požadavků vznesených KÚ LK OD k zadání – viz Odůvodnění Územního plánu Hrádek nad Nisou, str. 66, kap. 3.5, podkap. (191).</w:t>
      </w:r>
    </w:p>
    <w:p w14:paraId="4E444638" w14:textId="77777777" w:rsidR="00917A47" w:rsidRPr="00C50D79" w:rsidRDefault="00917A47" w:rsidP="00A71CDF">
      <w:pPr>
        <w:spacing w:before="120"/>
        <w:ind w:left="426" w:right="43"/>
      </w:pPr>
      <w:r w:rsidRPr="00C50D79">
        <w:t>Str. 166, kap. 6.5.1, podkap. Pozemní komunikace (k bodům D04 – D06 ÚP), odst. 2:</w:t>
      </w:r>
    </w:p>
    <w:p w14:paraId="2C46BF5E" w14:textId="77777777" w:rsidR="00917A47" w:rsidRPr="00C50D79" w:rsidRDefault="00917A47" w:rsidP="00A71CDF">
      <w:pPr>
        <w:spacing w:before="120" w:after="66"/>
        <w:ind w:left="426" w:right="43"/>
      </w:pPr>
      <w:r w:rsidRPr="00C50D79">
        <w:t>KÚ LK OD upozorňuje na skutečnost, že silnice s původním označením III/2715 v úseku mezi křižovatkami silnic I/13 a III/2711 byla přeznačena na silnici III/2713.</w:t>
      </w:r>
    </w:p>
    <w:p w14:paraId="312837A4" w14:textId="77777777" w:rsidR="00917A47" w:rsidRPr="00C50D79" w:rsidRDefault="00917A47" w:rsidP="00A71CDF">
      <w:pPr>
        <w:spacing w:before="120" w:after="63" w:line="259" w:lineRule="auto"/>
        <w:ind w:left="426" w:right="43"/>
      </w:pPr>
      <w:r w:rsidRPr="00C50D79">
        <w:rPr>
          <w:rFonts w:eastAsia="Calibri"/>
          <w:u w:val="single" w:color="000000"/>
        </w:rPr>
        <w:t>Odůvodnění:</w:t>
      </w:r>
    </w:p>
    <w:p w14:paraId="6EEB54C9" w14:textId="77777777" w:rsidR="00917A47" w:rsidRPr="00C50D79" w:rsidRDefault="00917A47" w:rsidP="00A71CDF">
      <w:pPr>
        <w:spacing w:before="120" w:after="37"/>
        <w:ind w:left="426" w:right="43"/>
      </w:pPr>
      <w:r w:rsidRPr="00C50D79">
        <w:t>KÚ LK OD k tomuto sděluje, že na tuto skutečnost bylo upozorněno v rámci požadavků vznesených KÚ LK OD k zadání – viz Odůvodnění Územního plánu Hrádek nad Nisou, str. 66, kap. 3.5, podkap. (191).</w:t>
      </w:r>
    </w:p>
    <w:p w14:paraId="5520846D" w14:textId="77777777" w:rsidR="00917A47" w:rsidRPr="00C50D79" w:rsidRDefault="00917A47" w:rsidP="00A71CDF">
      <w:pPr>
        <w:spacing w:before="120" w:after="7"/>
        <w:ind w:left="426" w:right="43"/>
      </w:pPr>
      <w:r w:rsidRPr="00C50D79">
        <w:t>str. 217, kap. 7.1, část Dolní Suchá, odst. 1:</w:t>
      </w:r>
    </w:p>
    <w:p w14:paraId="5B852888" w14:textId="77777777" w:rsidR="00917A47" w:rsidRPr="00C50D79" w:rsidRDefault="00917A47" w:rsidP="00A71CDF">
      <w:pPr>
        <w:spacing w:before="120"/>
        <w:ind w:left="426" w:right="43"/>
      </w:pPr>
      <w:r w:rsidRPr="00C50D79">
        <w:t>KÚ LK OD upozorňuje na skutečnost, že silnice s původním označením III/2715 v úseku mezi křižovatkami silnic I/13 a III/2711 byla přeznačena na silnici III/2713.</w:t>
      </w:r>
    </w:p>
    <w:p w14:paraId="1E70C891" w14:textId="77777777" w:rsidR="00917A47" w:rsidRPr="00C50D79" w:rsidRDefault="00917A47" w:rsidP="00A71CDF">
      <w:pPr>
        <w:spacing w:before="120" w:after="63" w:line="259" w:lineRule="auto"/>
        <w:ind w:left="426" w:right="43"/>
      </w:pPr>
      <w:r w:rsidRPr="00C50D79">
        <w:rPr>
          <w:rFonts w:eastAsia="Calibri"/>
          <w:u w:val="single" w:color="000000"/>
        </w:rPr>
        <w:t>Odůvodnění:</w:t>
      </w:r>
    </w:p>
    <w:p w14:paraId="67CB3060" w14:textId="77777777" w:rsidR="00917A47" w:rsidRPr="00C50D79" w:rsidRDefault="00917A47" w:rsidP="00A71CDF">
      <w:pPr>
        <w:spacing w:before="120"/>
        <w:ind w:left="426" w:right="43"/>
      </w:pPr>
      <w:r w:rsidRPr="00C50D79">
        <w:t>KÚ LK OD k tomuto sděluje, že na tuto skutečnost bylo upozorněno v rámci požadavků vznesených KÚ LK OD k zadání – viz Odůvodnění Územního plánu Hrádek nad Nisou, str. 66, kap. 3.5, podkap. (191).</w:t>
      </w:r>
    </w:p>
    <w:p w14:paraId="790BBA93" w14:textId="77777777" w:rsidR="00917A47" w:rsidRPr="00C50D79" w:rsidRDefault="00917A47" w:rsidP="00A71CDF">
      <w:pPr>
        <w:spacing w:before="120"/>
        <w:ind w:left="426" w:right="43"/>
      </w:pPr>
      <w:r w:rsidRPr="00C50D79">
        <w:t>Str. 268 - 272, kap. 8.1.5, podkap. a), Z87-Z93, Z95-Z97, str. 281, kap. 8.2.2, Z89, Z95-Z97, Z103:</w:t>
      </w:r>
    </w:p>
    <w:p w14:paraId="5201823A" w14:textId="77777777" w:rsidR="00917A47" w:rsidRPr="00C50D79" w:rsidRDefault="00917A47" w:rsidP="00A71CDF">
      <w:pPr>
        <w:spacing w:before="120"/>
        <w:ind w:left="426" w:right="43"/>
      </w:pPr>
      <w:r w:rsidRPr="00C50D79">
        <w:t>KÚ LK OD upozorňuje na skutečnost, že silnice s původním označením III/2715 v úseku mezi křižovatkami silnic I/13 a III/2711 byla přeznačena na silnici III/2713.</w:t>
      </w:r>
    </w:p>
    <w:p w14:paraId="1EEDC968" w14:textId="77777777" w:rsidR="00917A47" w:rsidRPr="00C50D79" w:rsidRDefault="00917A47" w:rsidP="00A71CDF">
      <w:pPr>
        <w:spacing w:before="120" w:after="63" w:line="259" w:lineRule="auto"/>
        <w:ind w:left="426" w:right="43"/>
      </w:pPr>
      <w:r w:rsidRPr="00C50D79">
        <w:rPr>
          <w:rFonts w:eastAsia="Calibri"/>
          <w:u w:val="single" w:color="000000"/>
        </w:rPr>
        <w:t>Odůvodnění:</w:t>
      </w:r>
    </w:p>
    <w:p w14:paraId="2354688F" w14:textId="77777777" w:rsidR="00917A47" w:rsidRPr="00C50D79" w:rsidRDefault="00917A47" w:rsidP="00A71CDF">
      <w:pPr>
        <w:spacing w:before="120" w:after="200"/>
        <w:ind w:left="426" w:right="43"/>
      </w:pPr>
      <w:r w:rsidRPr="00C50D79">
        <w:t>KÚ LK OD k tomuto sděluje, že na tuto skutečnost bylo upozorněno v rámci požadavků vznesených KÚ LK OD k zadání – viz Odůvodnění Územního plánu Hrádek nad Nisou, str. 66, kap. 3.5, podkap. (191).</w:t>
      </w:r>
    </w:p>
    <w:p w14:paraId="783BFE40" w14:textId="77777777" w:rsidR="00917A47" w:rsidRPr="00C50D79" w:rsidRDefault="00917A47" w:rsidP="00A71CDF">
      <w:pPr>
        <w:keepNext/>
        <w:spacing w:before="120" w:after="50" w:line="259" w:lineRule="auto"/>
        <w:ind w:left="426" w:right="43"/>
        <w:jc w:val="left"/>
      </w:pPr>
      <w:r w:rsidRPr="00C50D79">
        <w:rPr>
          <w:u w:val="single" w:color="000000"/>
        </w:rPr>
        <w:t>Koordinační výkres:</w:t>
      </w:r>
    </w:p>
    <w:p w14:paraId="3095E851" w14:textId="77777777" w:rsidR="00917A47" w:rsidRPr="00C50D79" w:rsidRDefault="00917A47" w:rsidP="00A71CDF">
      <w:pPr>
        <w:keepNext/>
        <w:spacing w:before="120"/>
        <w:ind w:left="426" w:right="43"/>
      </w:pPr>
      <w:r w:rsidRPr="00C50D79">
        <w:t>KÚ LK OD požaduje označit všechny silnice III. třídy, a to včetně jejich návrhových kategorií tak, jak je uvedeno v Odůvodnění Územního plánu Hrádek nad Nisou, str. 66, kap. 3.5, podkap. (191).</w:t>
      </w:r>
    </w:p>
    <w:p w14:paraId="01FE4A10" w14:textId="77777777" w:rsidR="00917A47" w:rsidRPr="00C50D79" w:rsidRDefault="00917A47" w:rsidP="00A71CDF">
      <w:pPr>
        <w:keepNext/>
        <w:spacing w:before="120"/>
        <w:ind w:left="426" w:right="43"/>
      </w:pPr>
      <w:r w:rsidRPr="00C50D79">
        <w:t>Pro přehlednost KÚ LK OD doporučuje to samé provést u silnic I. třídy. K tomuto uvádí následující:</w:t>
      </w:r>
    </w:p>
    <w:p w14:paraId="136C0B1A" w14:textId="77777777" w:rsidR="00917A47" w:rsidRPr="00C50D79" w:rsidRDefault="00917A47" w:rsidP="00A71CDF">
      <w:pPr>
        <w:keepNext/>
        <w:spacing w:before="120" w:after="43"/>
        <w:ind w:left="426" w:right="43"/>
      </w:pPr>
      <w:r w:rsidRPr="00C50D79">
        <w:t xml:space="preserve">U přeložky silnice I/35 (MÚK Bílý Kostel nad Nisou – Hrádek nad Nisou (I/35J x III/2716) se jedná o návrhovou kategorii S1 1,5/80 a územní rezervou na plný profil S24,5/80, u obchvatu města I/35 se jedná o návrhovou kategorii S1 1,5/80 a u původní silnice I/35 označené zatím jako I/35L v úseku mezi okružními </w:t>
      </w:r>
      <w:r w:rsidRPr="00C50D79">
        <w:lastRenderedPageBreak/>
        <w:t>křižovatkami se jedná o návrhovou kategorii S1 1,5/80 a ve zbývajícím úseku směrem ke státní hranici s Polskem o návrhovou kategorii S7,5/70.</w:t>
      </w:r>
    </w:p>
    <w:p w14:paraId="32F29C45" w14:textId="77777777" w:rsidR="00917A47" w:rsidRPr="00C50D79" w:rsidRDefault="00917A47" w:rsidP="00A71CDF">
      <w:pPr>
        <w:spacing w:before="120" w:after="69" w:line="259" w:lineRule="auto"/>
        <w:ind w:left="426" w:right="43"/>
        <w:jc w:val="left"/>
      </w:pPr>
      <w:r w:rsidRPr="00C50D79">
        <w:rPr>
          <w:u w:val="single" w:color="000000"/>
        </w:rPr>
        <w:t>Odůvodnění:</w:t>
      </w:r>
    </w:p>
    <w:p w14:paraId="2061D9E9" w14:textId="77777777" w:rsidR="00917A47" w:rsidRPr="00C50D79" w:rsidRDefault="00917A47" w:rsidP="00A71CDF">
      <w:pPr>
        <w:spacing w:before="120"/>
        <w:ind w:left="426" w:right="43"/>
      </w:pPr>
      <w:r w:rsidRPr="00C50D79">
        <w:t>Označením silnic a uvedením jejich návrhových kategorií dojde k zpřehlednění územně plánovací dokumentace.</w:t>
      </w:r>
    </w:p>
    <w:p w14:paraId="64F18720" w14:textId="77777777" w:rsidR="00917A47" w:rsidRPr="00C50D79" w:rsidRDefault="00917A47" w:rsidP="008244A6">
      <w:pPr>
        <w:spacing w:before="120"/>
        <w:ind w:right="43" w:hanging="6"/>
        <w:rPr>
          <w:b/>
          <w:i/>
          <w:u w:val="single"/>
        </w:rPr>
      </w:pPr>
      <w:r w:rsidRPr="00C50D79">
        <w:rPr>
          <w:b/>
          <w:i/>
          <w:u w:val="single"/>
        </w:rPr>
        <w:t xml:space="preserve">Návrh vyhodnocení stanoviska v části 2): </w:t>
      </w:r>
    </w:p>
    <w:p w14:paraId="20D9BB68" w14:textId="77777777" w:rsidR="00917A47" w:rsidRPr="00C50D79" w:rsidRDefault="00917A47" w:rsidP="008244A6">
      <w:pPr>
        <w:spacing w:before="120"/>
        <w:ind w:right="43" w:hanging="6"/>
        <w:rPr>
          <w:b/>
          <w:i/>
        </w:rPr>
      </w:pPr>
      <w:r w:rsidRPr="00C50D79">
        <w:rPr>
          <w:b/>
          <w:i/>
        </w:rPr>
        <w:t>Pořizovatel ve spolupráci s určeným zastupitelem a projektantem posoudil uplatněný požadavek ze stanoviska a dospěl k závěru, že označením silnic a uvedením jejich návrhových kategorií dojde k zpřehlednění územně plánovací dokumentace. Označení silnic v koordinačním výkresu bude doplněno.</w:t>
      </w:r>
      <w:r w:rsidRPr="00C50D79">
        <w:rPr>
          <w:b/>
        </w:rPr>
        <w:t xml:space="preserve"> </w:t>
      </w:r>
      <w:r w:rsidRPr="00C50D79">
        <w:rPr>
          <w:b/>
          <w:i/>
        </w:rPr>
        <w:t xml:space="preserve">Provedené úpravy dokumentace nebudou mít vliv na práva vlastníků, na místní ani nadmístní souvislost, nebudou mít vliv ani na žádné další aspekty Návrhu Územního plánu Hrádek nad Nisou. </w:t>
      </w:r>
    </w:p>
    <w:p w14:paraId="5BF74405" w14:textId="77777777" w:rsidR="00917A47" w:rsidRPr="00C50D79" w:rsidRDefault="00917A47" w:rsidP="008244A6">
      <w:pPr>
        <w:spacing w:before="120"/>
        <w:ind w:right="43"/>
        <w:rPr>
          <w:b/>
          <w:i/>
        </w:rPr>
      </w:pPr>
      <w:r w:rsidRPr="00C50D79">
        <w:rPr>
          <w:b/>
          <w:i/>
        </w:rPr>
        <w:t>Stanovisku se v části 2) vyhovuje v plném rozsahu.</w:t>
      </w:r>
    </w:p>
    <w:p w14:paraId="37F95958" w14:textId="77777777" w:rsidR="00917A47" w:rsidRPr="00C50D79" w:rsidRDefault="00917A47" w:rsidP="008244A6">
      <w:pPr>
        <w:spacing w:before="120"/>
        <w:ind w:right="43"/>
        <w:rPr>
          <w:b/>
          <w:i/>
        </w:rPr>
      </w:pPr>
      <w:r w:rsidRPr="00C50D79">
        <w:rPr>
          <w:b/>
          <w:i/>
        </w:rPr>
        <w:t>Stanovisko vyvolává nepodstatnou úpravu dokumentace Návrhu Územního plánu Hrádek nad Nisou.</w:t>
      </w:r>
    </w:p>
    <w:p w14:paraId="422814B9" w14:textId="77777777" w:rsidR="00917A47" w:rsidRPr="008244A6" w:rsidRDefault="00917A47" w:rsidP="007B2346">
      <w:pPr>
        <w:spacing w:before="240"/>
        <w:rPr>
          <w:b/>
          <w:color w:val="92D050"/>
          <w:sz w:val="24"/>
          <w:szCs w:val="24"/>
        </w:rPr>
      </w:pPr>
      <w:r w:rsidRPr="008244A6">
        <w:rPr>
          <w:b/>
          <w:color w:val="92D050"/>
          <w:sz w:val="24"/>
          <w:szCs w:val="24"/>
        </w:rPr>
        <w:t>Stanovisko č. 2 – Státní pozemkový úřad</w:t>
      </w:r>
    </w:p>
    <w:p w14:paraId="16AFDF97" w14:textId="77777777" w:rsidR="00917A47" w:rsidRPr="00C50D79" w:rsidRDefault="00917A47" w:rsidP="00E50796">
      <w:pPr>
        <w:pStyle w:val="BodyText"/>
        <w:keepNext/>
        <w:ind w:right="43"/>
        <w:rPr>
          <w:rFonts w:cs="Times New Roman"/>
          <w:sz w:val="22"/>
          <w:szCs w:val="22"/>
        </w:rPr>
      </w:pPr>
      <w:r w:rsidRPr="00C50D79">
        <w:rPr>
          <w:rFonts w:cs="Times New Roman"/>
          <w:sz w:val="22"/>
          <w:szCs w:val="22"/>
        </w:rPr>
        <w:t>Stanovisko č.j. SPU 362126/2019/102/Zi  ze dne 11.9.2019, doručené dne 11.9.2019, vedená pod č. j. OSŽP-6192/2019</w:t>
      </w:r>
    </w:p>
    <w:p w14:paraId="74216A49" w14:textId="77777777" w:rsidR="00917A47" w:rsidRPr="00C50D79" w:rsidRDefault="00917A47" w:rsidP="00E50796">
      <w:pPr>
        <w:pStyle w:val="BodyText"/>
        <w:keepNext/>
        <w:spacing w:before="120"/>
        <w:ind w:right="43"/>
        <w:rPr>
          <w:rFonts w:cs="Times New Roman"/>
          <w:b/>
          <w:i/>
          <w:sz w:val="22"/>
          <w:szCs w:val="22"/>
        </w:rPr>
      </w:pPr>
      <w:r w:rsidRPr="00C50D79">
        <w:rPr>
          <w:rFonts w:cs="Times New Roman"/>
          <w:b/>
          <w:i/>
          <w:sz w:val="22"/>
          <w:szCs w:val="22"/>
        </w:rPr>
        <w:t>Obsah stanoviska:</w:t>
      </w:r>
    </w:p>
    <w:p w14:paraId="40F768D5" w14:textId="77777777" w:rsidR="00917A47" w:rsidRPr="00C50D79" w:rsidRDefault="00917A47" w:rsidP="00446993">
      <w:pPr>
        <w:spacing w:before="60" w:line="259" w:lineRule="auto"/>
        <w:ind w:left="426" w:right="43"/>
        <w:jc w:val="left"/>
      </w:pPr>
      <w:r w:rsidRPr="00C50D79">
        <w:t>Vyjádření SPÚ, Oddělení vodohospodářských staveb:</w:t>
      </w:r>
    </w:p>
    <w:p w14:paraId="6E7D8606" w14:textId="77777777" w:rsidR="00917A47" w:rsidRPr="00C50D79" w:rsidRDefault="00917A47" w:rsidP="00446993">
      <w:pPr>
        <w:spacing w:before="120"/>
        <w:ind w:left="426" w:right="43"/>
      </w:pPr>
      <w:r w:rsidRPr="00C50D79">
        <w:t>V zájmovém území ÚP Hrádek nad Nisou evidujeme stavby vodních děl – hlavní odvodňovací zařízení (HOZ), které jsou v majetku státu a příslušnosti hospodařit SPU v souladu s § 56 odst. 6 zákona č. 254/2001 Sb., o vodách, ve znění pozdějších předpisů a § 4 odst. 2 zákona č. 503/2012 Sb., o Státním pozemkovém úřadu a o změně některých souvisejících zákonů, ve zněni pozdějších předpisů.</w:t>
      </w:r>
    </w:p>
    <w:p w14:paraId="608B7B6E" w14:textId="77777777" w:rsidR="00917A47" w:rsidRPr="00C50D79" w:rsidRDefault="00917A47" w:rsidP="00446993">
      <w:pPr>
        <w:spacing w:before="120"/>
        <w:ind w:left="426" w:right="43"/>
      </w:pPr>
      <w:r w:rsidRPr="00C50D79">
        <w:t>Jedná se o tyto stavby HOZ umístěné dle vyznačení v přiložených situacích:</w:t>
      </w:r>
    </w:p>
    <w:p w14:paraId="620B107D" w14:textId="77777777" w:rsidR="00917A47" w:rsidRPr="00C50D79" w:rsidRDefault="00917A47" w:rsidP="00446993">
      <w:pPr>
        <w:spacing w:before="120" w:line="247" w:lineRule="auto"/>
        <w:ind w:left="426" w:right="43" w:hanging="11"/>
      </w:pPr>
      <w:r w:rsidRPr="00C50D79">
        <w:t>-„HMZ VA.III O3 2.ús-otevř.” - otevřený kanál v délce 0,563 km, ID 1050000291-11201000, v ČHP 2-04-09008/01 z roku 1989 (označení v situaci č. 1 HOZ 1),</w:t>
      </w:r>
    </w:p>
    <w:p w14:paraId="5D8469F8" w14:textId="77777777" w:rsidR="00917A47" w:rsidRPr="00C50D79" w:rsidRDefault="00917A47" w:rsidP="00446993">
      <w:pPr>
        <w:spacing w:before="120" w:line="247" w:lineRule="auto"/>
        <w:ind w:left="426" w:right="43" w:hanging="11"/>
      </w:pPr>
      <w:r w:rsidRPr="00C50D79">
        <w:t>-„HMZ VA.III O3 1.ús-otevř.” - otevřený kanál v délce 0,080 km, ID 1050000290-11201000, v ČHP 2-04-09-008/0, z roku 1989 (označení v situaci č. 1 HOZ 2),</w:t>
      </w:r>
    </w:p>
    <w:p w14:paraId="3BE231C6" w14:textId="77777777" w:rsidR="00917A47" w:rsidRPr="00C50D79" w:rsidRDefault="00917A47" w:rsidP="00446993">
      <w:pPr>
        <w:spacing w:before="120" w:line="247" w:lineRule="auto"/>
        <w:ind w:left="426" w:right="43" w:hanging="11"/>
      </w:pPr>
      <w:r w:rsidRPr="00C50D79">
        <w:t>-„HMZ VA III. O4 - otevřený” - otevřený kanál v délce 0,278 km, ID 1050000292-11201000, v ČHP 2-04-09008/0, z roku 1989 (označení v situaci č. 1 HOZ 3),</w:t>
      </w:r>
    </w:p>
    <w:p w14:paraId="6F9C5B3C" w14:textId="77777777" w:rsidR="00917A47" w:rsidRPr="00C50D79" w:rsidRDefault="00917A47" w:rsidP="00446993">
      <w:pPr>
        <w:spacing w:before="120" w:line="247" w:lineRule="auto"/>
        <w:ind w:left="426" w:right="43" w:hanging="11"/>
      </w:pPr>
      <w:r w:rsidRPr="00C50D79">
        <w:t>-„HMZ VA.III.O2 3.ús.zatr.” - zakrytý kanál v délce 0,298 km, ID 1050000293-11201000, v ČHP 2-04-07-03610, z roku 1989 (označení v situaci č. 1 HOZ 4),</w:t>
      </w:r>
    </w:p>
    <w:p w14:paraId="5C64F29F" w14:textId="77777777" w:rsidR="00917A47" w:rsidRPr="00C50D79" w:rsidRDefault="00917A47" w:rsidP="00446993">
      <w:pPr>
        <w:spacing w:before="120" w:line="247" w:lineRule="auto"/>
        <w:ind w:left="426" w:right="43" w:hanging="11"/>
      </w:pPr>
      <w:r w:rsidRPr="00C50D79">
        <w:t>-„HMZ VA.III.O1 - otevřený” - otevřený kanál v délce 0,638 km, ID 1050000289-11201000, v ČHP 2-04-07-036/0, z roku 1989 (označení v situaci č. 1 HOZ 5),</w:t>
      </w:r>
    </w:p>
    <w:p w14:paraId="27BCB845" w14:textId="77777777" w:rsidR="00917A47" w:rsidRPr="00C50D79" w:rsidRDefault="00917A47" w:rsidP="00446993">
      <w:pPr>
        <w:spacing w:before="120" w:line="247" w:lineRule="auto"/>
        <w:ind w:left="426" w:right="43" w:hanging="11"/>
      </w:pPr>
      <w:r w:rsidRPr="00C50D79">
        <w:t>-„HMZ VAC.I.O1/3 - otevř.” - otevřený kanál v délce 0,160 km, ID 1050000288-11201000, v ČHP 2-04-07036/0, z roku 1986 (označení v situaci č. 1 HOZ 6),</w:t>
      </w:r>
    </w:p>
    <w:p w14:paraId="0DF6083C" w14:textId="77777777" w:rsidR="00917A47" w:rsidRPr="00C50D79" w:rsidRDefault="00917A47" w:rsidP="00446993">
      <w:pPr>
        <w:spacing w:before="120" w:line="247" w:lineRule="auto"/>
        <w:ind w:left="426" w:right="43" w:hanging="11"/>
      </w:pPr>
      <w:r w:rsidRPr="00C50D79">
        <w:t>-„HMZ VA II O1/5 2.ús. zatr.”</w:t>
      </w:r>
      <w:r w:rsidRPr="00C50D79">
        <w:rPr>
          <w:vertAlign w:val="superscript"/>
        </w:rPr>
        <w:t xml:space="preserve"> </w:t>
      </w:r>
      <w:r w:rsidRPr="00C50D79">
        <w:t>- zakrytý kanál v délce 0,130 km, ID 1050000295-11201000, v ČHP 2-04-07035/01 z roku 1988 (označení v situaci č. 1 HOZ 7),</w:t>
      </w:r>
    </w:p>
    <w:p w14:paraId="32A69F1E" w14:textId="77777777" w:rsidR="00917A47" w:rsidRPr="00C50D79" w:rsidRDefault="00917A47" w:rsidP="00446993">
      <w:pPr>
        <w:spacing w:before="120" w:line="247" w:lineRule="auto"/>
        <w:ind w:left="426" w:right="43" w:hanging="11"/>
      </w:pPr>
      <w:r w:rsidRPr="00C50D79">
        <w:t>-„HMZ VA II O1/5, l.ús- otev.” - otevřený kanál v délce 0,284 km, ID 1050000294-11201000, v ČHP 2-04-07035/0, z roku 1988 (označení v situaci č. 1 HOZ 8),</w:t>
      </w:r>
    </w:p>
    <w:p w14:paraId="3D331A04" w14:textId="77777777" w:rsidR="00917A47" w:rsidRPr="00C50D79" w:rsidRDefault="00917A47" w:rsidP="00446993">
      <w:pPr>
        <w:spacing w:before="120" w:line="247" w:lineRule="auto"/>
        <w:ind w:left="426" w:right="43" w:hanging="11"/>
      </w:pPr>
      <w:r w:rsidRPr="00C50D79">
        <w:t>-„HMZ LOUCNA O1 2.ús.otevř” - otevřený kanál v délce 0,273 km, ID 1050000357-11201000, v ČHP 2-04-07-037/0, z roku 1980 (označení v situaci č. 2 HOZ 9),</w:t>
      </w:r>
    </w:p>
    <w:p w14:paraId="6C79D64E" w14:textId="77777777" w:rsidR="00917A47" w:rsidRPr="00C50D79" w:rsidRDefault="00917A47" w:rsidP="00446993">
      <w:pPr>
        <w:spacing w:before="120" w:line="247" w:lineRule="auto"/>
        <w:ind w:left="426" w:right="43" w:hanging="11"/>
      </w:pPr>
      <w:r w:rsidRPr="00C50D79">
        <w:t>-„HMZ LOUCNA O1 1.ús.zatr.”</w:t>
      </w:r>
      <w:r w:rsidRPr="00C50D79">
        <w:rPr>
          <w:vertAlign w:val="superscript"/>
        </w:rPr>
        <w:t xml:space="preserve"> </w:t>
      </w:r>
      <w:r w:rsidRPr="00C50D79">
        <w:t>- zakrytý kanál v délce 0,063 km, ID 1050000358-11201000, v ČHP 2-04-07-037/0, z roku 1980 (označení v situaci č. 2 HOZ 10),</w:t>
      </w:r>
    </w:p>
    <w:p w14:paraId="191F59C9" w14:textId="77777777" w:rsidR="00917A47" w:rsidRPr="00C50D79" w:rsidRDefault="00917A47" w:rsidP="00446993">
      <w:pPr>
        <w:spacing w:before="120" w:line="247" w:lineRule="auto"/>
        <w:ind w:left="426" w:right="43" w:hanging="11"/>
      </w:pPr>
      <w:r w:rsidRPr="00C50D79">
        <w:lastRenderedPageBreak/>
        <w:t>-„HMZ LOUCNA Z2 - zatrub.” - zakrytý kanál v délce 0,248 km, ID 1050000359-11201000, v ČHP 2-04-07-037/0, z roku 1980 (označení v situaci č. 2 HOZ 11),</w:t>
      </w:r>
    </w:p>
    <w:p w14:paraId="62C439C7" w14:textId="77777777" w:rsidR="00917A47" w:rsidRPr="00C50D79" w:rsidRDefault="00917A47" w:rsidP="00446993">
      <w:pPr>
        <w:spacing w:before="120" w:line="247" w:lineRule="auto"/>
        <w:ind w:left="426" w:right="43" w:hanging="11"/>
      </w:pPr>
      <w:r w:rsidRPr="00C50D79">
        <w:t>-„HMZ D.SEDLO K5 - zatrub.” - zakrytý kanál v délce 0,100 km, ID 1050000130-11201000, v ČHP 2-04-07037/0, z roku 1986 (označení v situaci č. 3 HOZ 12),</w:t>
      </w:r>
    </w:p>
    <w:p w14:paraId="1CE96541" w14:textId="77777777" w:rsidR="00917A47" w:rsidRPr="00C50D79" w:rsidRDefault="00917A47" w:rsidP="00446993">
      <w:pPr>
        <w:spacing w:before="120" w:line="247" w:lineRule="auto"/>
        <w:ind w:left="426" w:right="43" w:hanging="11"/>
      </w:pPr>
      <w:r w:rsidRPr="00C50D79">
        <w:t>-„HMZ D.SEDLO K1 -l.ús.-ot.” - otevřený kanál v délce 0,726 km, ID 1050000123-11201000, v ČHP 2-04-07. 037/0, z roku 1986 (označení v situaci č. 3 HOZ 13),</w:t>
      </w:r>
    </w:p>
    <w:p w14:paraId="40DE3FE9" w14:textId="77777777" w:rsidR="00917A47" w:rsidRPr="00C50D79" w:rsidRDefault="00917A47" w:rsidP="00446993">
      <w:pPr>
        <w:spacing w:before="120" w:line="247" w:lineRule="auto"/>
        <w:ind w:left="426" w:right="43" w:hanging="11"/>
      </w:pPr>
      <w:r w:rsidRPr="00C50D79">
        <w:t>-„HMZ D.SEDLO K2 - zatrub.” - zakrytý kanál v délce 0,110 km, ID 1050000126-11201000, v ČHP 2-04-07037/0, z roku 1986 (označení v situaci č. 3 HOZ 14),</w:t>
      </w:r>
    </w:p>
    <w:p w14:paraId="2946AA8F" w14:textId="77777777" w:rsidR="00917A47" w:rsidRPr="00C50D79" w:rsidRDefault="00917A47" w:rsidP="00446993">
      <w:pPr>
        <w:spacing w:before="120" w:line="247" w:lineRule="auto"/>
        <w:ind w:left="426" w:right="43" w:hanging="11"/>
      </w:pPr>
      <w:r w:rsidRPr="00C50D79">
        <w:t>-„HMZ D.SEDLO K3 - zatrub.” zakrytý kanál v délce 0,090 km, ID 1050000127-11201000, v ČHP 2-04-07. 037/0, z roku 1986 (označení v situaci č. 3 HOZ 15),</w:t>
      </w:r>
    </w:p>
    <w:p w14:paraId="1709EC6B" w14:textId="77777777" w:rsidR="00917A47" w:rsidRPr="00C50D79" w:rsidRDefault="00917A47" w:rsidP="00446993">
      <w:pPr>
        <w:spacing w:before="120" w:line="247" w:lineRule="auto"/>
        <w:ind w:left="426" w:right="43" w:hanging="11"/>
      </w:pPr>
      <w:r w:rsidRPr="00C50D79">
        <w:t>-„HMZ D.SEDLO K1-2.ús.-za.” - zakrytý kanál v délce 0,142 km, ID 1050000124-11201000, v ČHP 2-04-07037/0, z roku 1986 (označení v situaci č. 3 HOZ 16),</w:t>
      </w:r>
    </w:p>
    <w:p w14:paraId="72BF8EBF" w14:textId="77777777" w:rsidR="00917A47" w:rsidRPr="00C50D79" w:rsidRDefault="00917A47" w:rsidP="00446993">
      <w:pPr>
        <w:spacing w:before="120" w:line="247" w:lineRule="auto"/>
        <w:ind w:left="426" w:right="43" w:hanging="11"/>
      </w:pPr>
      <w:r w:rsidRPr="00C50D79">
        <w:t>-„HMZ D.SEDLO K1'- zatrub.” zakrytý kanál v délce 0,094 km, ID 1050000125-11201000, v ČHP 2-04-07037/0, z roku 1986 (označení v situaci č. 3 HOZ 17),</w:t>
      </w:r>
    </w:p>
    <w:p w14:paraId="39D43956" w14:textId="77777777" w:rsidR="00917A47" w:rsidRPr="00C50D79" w:rsidRDefault="00917A47" w:rsidP="00446993">
      <w:pPr>
        <w:spacing w:before="120" w:line="247" w:lineRule="auto"/>
        <w:ind w:left="426" w:right="43" w:hanging="11"/>
      </w:pPr>
      <w:r w:rsidRPr="00C50D79">
        <w:t>-„HMZ D.SEDLO K4- zatrub.” - zakrytý kanál v délce 0,134 km, ID 1050000128-11201000, v ČHP 2-04-07-037/0, z roku 1986 (označení v situaci č. 3 HOZ 18),</w:t>
      </w:r>
    </w:p>
    <w:p w14:paraId="1DA86D23" w14:textId="77777777" w:rsidR="00917A47" w:rsidRPr="00C50D79" w:rsidRDefault="00917A47" w:rsidP="00446993">
      <w:pPr>
        <w:spacing w:before="120" w:line="247" w:lineRule="auto"/>
        <w:ind w:left="426" w:right="43" w:hanging="11"/>
      </w:pPr>
      <w:r w:rsidRPr="00C50D79">
        <w:t>-„HMZ D.SEDLO K4' zatrub.” - zakrytý kanál v délce 0,098 km, ID 1050000129-11201000, v ČHP 2-04-07037/0, z roku 1986 (označení v situaci č. 3 HOZ 19).</w:t>
      </w:r>
    </w:p>
    <w:p w14:paraId="616FA9D6" w14:textId="77777777" w:rsidR="00917A47" w:rsidRPr="00C50D79" w:rsidRDefault="00917A47" w:rsidP="00446993">
      <w:pPr>
        <w:spacing w:before="120"/>
        <w:ind w:left="426" w:right="43"/>
      </w:pPr>
      <w:r w:rsidRPr="00C50D79">
        <w:t xml:space="preserve">Přestože jsou linie HOZ v grafických přílohách ÚP vyznačeny, zasíláme Vám identifikaci staveb HOZ </w:t>
      </w:r>
      <w:r w:rsidRPr="00C50D79">
        <w:rPr>
          <w:rFonts w:eastAsia="Calibri"/>
        </w:rPr>
        <w:t xml:space="preserve">s </w:t>
      </w:r>
      <w:r w:rsidRPr="00C50D79">
        <w:t>podmínkami v případě jejich dotčení.</w:t>
      </w:r>
    </w:p>
    <w:p w14:paraId="13D35395" w14:textId="77777777" w:rsidR="00917A47" w:rsidRPr="00C50D79" w:rsidRDefault="00917A47" w:rsidP="00446993">
      <w:pPr>
        <w:spacing w:before="120"/>
        <w:ind w:left="426" w:right="43"/>
      </w:pPr>
      <w:r w:rsidRPr="00C50D79">
        <w:t>Stavby HOZ požadujeme respektovat a zachovat jejich funkčnost.</w:t>
      </w:r>
    </w:p>
    <w:p w14:paraId="2D3A30A1" w14:textId="77777777" w:rsidR="00917A47" w:rsidRPr="00C50D79" w:rsidRDefault="00917A47" w:rsidP="00446993">
      <w:pPr>
        <w:spacing w:before="120"/>
        <w:ind w:left="426" w:right="43"/>
      </w:pPr>
      <w:r w:rsidRPr="00C50D79">
        <w:rPr>
          <w:rFonts w:eastAsia="Calibri"/>
        </w:rPr>
        <w:t xml:space="preserve">Z </w:t>
      </w:r>
      <w:r w:rsidRPr="00C50D79">
        <w:t>hlediska umožnění výkonu správy a údržby požadujeme zachovat podél otevřených HOZ nezastavěný manipulační pruh o šíři 6 m od vrchní hrany na obě strany, u zakrytých HOZ 4 m od osy potrubí na obě strany. Na uvedených vodních dílech HOZ je zajišťována běžná údržba, např. odstranění splavené ornice, sečení porostů a odstraňování náletů dřevin z průtočného profilu HOZ či v případě zakrytých úseků opravy trubních vedení vč. revizních šachet.</w:t>
      </w:r>
    </w:p>
    <w:p w14:paraId="2C685E7D" w14:textId="77777777" w:rsidR="00917A47" w:rsidRPr="00C50D79" w:rsidRDefault="00917A47" w:rsidP="00446993">
      <w:pPr>
        <w:spacing w:before="120"/>
        <w:ind w:left="426" w:right="43"/>
      </w:pPr>
      <w:r w:rsidRPr="00C50D79">
        <w:t>Do HOZ nesmí být vypouštěny žádné odpadní ani dešťové vody.</w:t>
      </w:r>
    </w:p>
    <w:p w14:paraId="3AFDBE9F" w14:textId="77777777" w:rsidR="00917A47" w:rsidRPr="00C50D79" w:rsidRDefault="00917A47" w:rsidP="00446993">
      <w:pPr>
        <w:spacing w:before="120"/>
        <w:ind w:left="426" w:right="43"/>
      </w:pPr>
      <w:r w:rsidRPr="00C50D79">
        <w:t>Podél HOZ nesmí být vysazována žádná doprovodná liniová zeleň.</w:t>
      </w:r>
    </w:p>
    <w:p w14:paraId="3386B21A" w14:textId="77777777" w:rsidR="00917A47" w:rsidRPr="00C50D79" w:rsidRDefault="00917A47" w:rsidP="00446993">
      <w:pPr>
        <w:spacing w:before="120"/>
        <w:ind w:left="426" w:right="43"/>
      </w:pPr>
      <w:r w:rsidRPr="00C50D79">
        <w:t xml:space="preserve">Dle nám dostupných informací se na části zájmového území </w:t>
      </w:r>
      <w:r w:rsidRPr="00C50D79">
        <w:rPr>
          <w:u w:val="single" w:color="000000"/>
        </w:rPr>
        <w:t xml:space="preserve">nachází </w:t>
      </w:r>
      <w:r w:rsidRPr="00C50D79">
        <w:t>také podrobné odvodňovací zařízení (POZ), které je příslušenstvím pozemků.</w:t>
      </w:r>
    </w:p>
    <w:p w14:paraId="516B6F34" w14:textId="77777777" w:rsidR="00917A47" w:rsidRPr="00C50D79" w:rsidRDefault="00917A47" w:rsidP="00446993">
      <w:pPr>
        <w:spacing w:before="120"/>
        <w:ind w:left="426" w:right="43"/>
      </w:pPr>
      <w:r w:rsidRPr="00C50D79">
        <w:t xml:space="preserve">Tyto údaje o POZ (investicích do půdy za účelem zlepšení půdní úrodnosti) jsou neaktualizovanými historickými daty, která pořídila Zemědělská vodohospodářská správa digitalizací analogových map 1 </w:t>
      </w:r>
      <w:r w:rsidRPr="00C50D79">
        <w:rPr>
          <w:rFonts w:eastAsia="Calibri"/>
        </w:rPr>
        <w:t xml:space="preserve">: 10 000. </w:t>
      </w:r>
      <w:r w:rsidRPr="00C50D79">
        <w:t>Vzhledem k tomu, že neexistuje evidence meliorací (odvodnění a závlah) a jejich následných změn (zrušení, rozšíření) od doby pořízení těchto dat (zákresy do map provedeny v 90. letech, jejich následná digitalizace proběhla přibližně v letech 2003-2007), nemusí proto tato data odpovídat skutečnému rozsahu meliorací na jednotlivých pozemcích. Údaje jsou k dispozici ke stažení na Portálu farmáře (</w:t>
      </w:r>
      <w:r w:rsidRPr="00C50D79">
        <w:rPr>
          <w:u w:val="single" w:color="000000"/>
        </w:rPr>
        <w:t>http://eagri.cz/public/web/mze/famar/LPIS/data-melioraci/)</w:t>
      </w:r>
      <w:r w:rsidRPr="00C50D79">
        <w:t xml:space="preserve"> ve formátu shp a jsou také zobrazeny v LPIS ve vrstvě LPIS/Životní prostředí/Nitrátová směrnice/Uložení hnojiv – detail/Meliorace.</w:t>
      </w:r>
    </w:p>
    <w:p w14:paraId="2195FCFA" w14:textId="77777777" w:rsidR="00917A47" w:rsidRPr="00C50D79" w:rsidRDefault="00917A47" w:rsidP="00446993">
      <w:pPr>
        <w:spacing w:before="120"/>
        <w:ind w:left="426" w:right="43"/>
      </w:pPr>
      <w:r w:rsidRPr="00C50D79">
        <w:t>Při případném provádění výsadeb na plochách podrobného odvodňovacího zařízení musí být provedena taková opatření, aby bylo zabráněno prorůstání kořenů do drenáží a nedošlo k porušení jejich funkčnosti.</w:t>
      </w:r>
    </w:p>
    <w:p w14:paraId="1216C98E" w14:textId="77777777" w:rsidR="00917A47" w:rsidRPr="00C50D79" w:rsidRDefault="00917A47" w:rsidP="00446993">
      <w:pPr>
        <w:spacing w:before="120"/>
        <w:ind w:left="426" w:right="43"/>
      </w:pPr>
      <w:r w:rsidRPr="00C50D79">
        <w:t>Toto stanovisko se vydává za SPÚ, odbor vodohospodářských staveb, z titulu vlastníka technické infrastruktury (staveb k vodohospodářským melioracím).</w:t>
      </w:r>
    </w:p>
    <w:p w14:paraId="0F3F120C" w14:textId="77777777" w:rsidR="00917A47" w:rsidRPr="00C50D79" w:rsidRDefault="00917A47" w:rsidP="00446993">
      <w:pPr>
        <w:spacing w:before="120"/>
        <w:ind w:left="426" w:right="43"/>
      </w:pPr>
      <w:r w:rsidRPr="00C50D79">
        <w:lastRenderedPageBreak/>
        <w:t>Na základě uvedených vyjádření Státní pozemkový úřad, Krajský pozemkový úřad pro Liberecký kraj vydal k návrhu Územního plánu Hrádek nad Nisou závazné stanovisko, tak jak je uvedeno ve výroku tohoto stanoviska.</w:t>
      </w:r>
    </w:p>
    <w:p w14:paraId="01A41873" w14:textId="77777777" w:rsidR="00917A47" w:rsidRPr="00C50D79" w:rsidRDefault="00917A47" w:rsidP="00E50796">
      <w:pPr>
        <w:spacing w:before="120"/>
        <w:ind w:right="43"/>
        <w:jc w:val="left"/>
        <w:rPr>
          <w:b/>
          <w:i/>
          <w:u w:val="single"/>
        </w:rPr>
      </w:pPr>
      <w:r w:rsidRPr="00C50D79">
        <w:rPr>
          <w:b/>
          <w:i/>
          <w:u w:val="single"/>
        </w:rPr>
        <w:t xml:space="preserve">Návrh vyhodnocení stanoviska: </w:t>
      </w:r>
    </w:p>
    <w:p w14:paraId="0F4AAF33" w14:textId="77777777" w:rsidR="00917A47" w:rsidRPr="00C50D79" w:rsidRDefault="00917A47" w:rsidP="00A71CDF">
      <w:pPr>
        <w:spacing w:before="60"/>
        <w:ind w:right="43"/>
        <w:rPr>
          <w:b/>
          <w:i/>
        </w:rPr>
      </w:pPr>
      <w:r w:rsidRPr="00C50D79">
        <w:rPr>
          <w:b/>
          <w:i/>
        </w:rPr>
        <w:t xml:space="preserve">Pořizovatel ve spolupráci s určeným zastupitelem a projektantem posoudil uplatněný požadavek ze stanoviska a konstatuje, že uvedená odvodňovacích zařízení a plošné investice do půdy jsou limitem v území, které by měly být uvedeny, jak v textové, tak výkresové v části odůvodnění Územního plánu Hrádek nad Nisou. Dále pořizovatel uvádí, že do tabulky limitů v oblasti ochrany půd bude doplněn zákon č. 254/2001 Sb. (vodní zákon), který definuje odvodňovací zařízení. Konkrétní podmínky jejich ochrany stanoví příslušný vodoprávní úřad v rámci navazujících řízení dle stavebního zákona. </w:t>
      </w:r>
    </w:p>
    <w:p w14:paraId="3F2FEC94" w14:textId="77777777" w:rsidR="00917A47" w:rsidRPr="00C50D79" w:rsidRDefault="00917A47" w:rsidP="00E50796">
      <w:pPr>
        <w:spacing w:before="120"/>
        <w:ind w:right="43" w:hanging="6"/>
        <w:rPr>
          <w:b/>
          <w:i/>
        </w:rPr>
      </w:pPr>
      <w:r w:rsidRPr="00C50D79">
        <w:rPr>
          <w:b/>
          <w:i/>
        </w:rPr>
        <w:t xml:space="preserve">Provedené úpravy dokumentace nebudou mít vliv na práva vlastníků, na místní ani nadmístní souvislost, nebudou mít vliv ani na žádné další aspekty Návrhu Územního plánu Hrádek nad Nisou. </w:t>
      </w:r>
    </w:p>
    <w:p w14:paraId="2C93BFD3" w14:textId="77777777" w:rsidR="00917A47" w:rsidRPr="00C50D79" w:rsidRDefault="00917A47" w:rsidP="00E50796">
      <w:pPr>
        <w:spacing w:before="120"/>
        <w:ind w:right="43"/>
        <w:rPr>
          <w:b/>
          <w:i/>
        </w:rPr>
      </w:pPr>
      <w:r w:rsidRPr="00C50D79">
        <w:rPr>
          <w:b/>
          <w:i/>
        </w:rPr>
        <w:t>Stanovisku se vyhovuje v plném rozsahu.</w:t>
      </w:r>
    </w:p>
    <w:p w14:paraId="3B32B98D" w14:textId="77777777" w:rsidR="00917A47" w:rsidRPr="00C50D79" w:rsidRDefault="00917A47" w:rsidP="00E50796">
      <w:pPr>
        <w:spacing w:before="120"/>
        <w:ind w:right="43"/>
      </w:pPr>
      <w:r w:rsidRPr="00C50D79">
        <w:rPr>
          <w:b/>
          <w:i/>
        </w:rPr>
        <w:t>Stanovisko vyvolává nepodstatnou úpravu textové části a výkresové části odůvodnění dokumentace Návrhu Územního plánu Hrádek nad Nisou.</w:t>
      </w:r>
    </w:p>
    <w:p w14:paraId="24051D08" w14:textId="77777777" w:rsidR="00917A47" w:rsidRPr="008244A6" w:rsidRDefault="00917A47" w:rsidP="00C50D79">
      <w:pPr>
        <w:spacing w:before="240"/>
        <w:rPr>
          <w:b/>
          <w:color w:val="92D050"/>
          <w:sz w:val="24"/>
          <w:szCs w:val="24"/>
        </w:rPr>
      </w:pPr>
      <w:r w:rsidRPr="008244A6">
        <w:rPr>
          <w:b/>
          <w:color w:val="92D050"/>
          <w:sz w:val="24"/>
          <w:szCs w:val="24"/>
        </w:rPr>
        <w:t xml:space="preserve">Stanovisko č. 3 – Ministerstvo dopravy </w:t>
      </w:r>
    </w:p>
    <w:p w14:paraId="73378855" w14:textId="77777777" w:rsidR="00917A47" w:rsidRPr="00C50D79" w:rsidRDefault="00917A47" w:rsidP="006D5F9F">
      <w:pPr>
        <w:pStyle w:val="BodyText"/>
        <w:keepNext/>
        <w:ind w:right="43"/>
        <w:rPr>
          <w:rFonts w:cs="Times New Roman"/>
          <w:sz w:val="22"/>
          <w:szCs w:val="22"/>
        </w:rPr>
      </w:pPr>
      <w:r w:rsidRPr="00C50D79">
        <w:rPr>
          <w:rFonts w:cs="Times New Roman"/>
          <w:sz w:val="22"/>
          <w:szCs w:val="22"/>
        </w:rPr>
        <w:t>Stanovisko č.j. 683/2019-910-UPR/3 ze dne 21.10.2019, doručené dne 22.10.2019, vedená pod č. j. OSŽP-7219/2019</w:t>
      </w:r>
    </w:p>
    <w:p w14:paraId="34760935" w14:textId="77777777" w:rsidR="00917A47" w:rsidRPr="00C50D79" w:rsidRDefault="00917A47" w:rsidP="007B2346">
      <w:pPr>
        <w:pStyle w:val="BodyText"/>
        <w:keepNext/>
        <w:spacing w:before="120"/>
        <w:ind w:right="43"/>
        <w:rPr>
          <w:b/>
          <w:i/>
          <w:sz w:val="22"/>
          <w:szCs w:val="22"/>
        </w:rPr>
      </w:pPr>
      <w:r w:rsidRPr="00C50D79">
        <w:rPr>
          <w:b/>
          <w:i/>
          <w:sz w:val="22"/>
          <w:szCs w:val="22"/>
        </w:rPr>
        <w:t>Obsah stanoviska:</w:t>
      </w:r>
    </w:p>
    <w:p w14:paraId="2F4C187C" w14:textId="77777777" w:rsidR="00917A47" w:rsidRPr="00C50D79" w:rsidRDefault="00917A47" w:rsidP="00446993">
      <w:pPr>
        <w:spacing w:before="60" w:line="240" w:lineRule="auto"/>
        <w:ind w:left="426" w:right="43" w:firstLine="1"/>
      </w:pPr>
      <w:r w:rsidRPr="00C50D79">
        <w:rPr>
          <w:rFonts w:eastAsia="Calibri"/>
        </w:rPr>
        <w:t>Ministerstvo dopravy je podle § 17 zákona č. 2/1969 Sb., o zřízení ministerstev a jiných ústředních orgánů státní správy České republiky, ve znění pozdějších předpisů, ústředním orgánem a odpovídá za tvorbu státní politiky v oblasti dopravy a v rozsahu své působnosti za její uskutečňování. Ustanovení § 22 citovaného zákona dále stanovuje, že ministerstva zpracovávají koncepce rozvoje svěřených odvětví.</w:t>
      </w:r>
    </w:p>
    <w:p w14:paraId="15542BE9" w14:textId="77777777" w:rsidR="00917A47" w:rsidRPr="00C50D79" w:rsidRDefault="00917A47" w:rsidP="00446993">
      <w:pPr>
        <w:spacing w:before="120" w:line="240" w:lineRule="auto"/>
        <w:ind w:left="426" w:right="43" w:firstLine="1"/>
      </w:pPr>
      <w:r w:rsidRPr="00C50D79">
        <w:rPr>
          <w:rFonts w:eastAsia="Calibri"/>
        </w:rPr>
        <w:t>Ministerstvo dopravy jako dotčený orgán podle § 40 odst. 2 písm. g) zákona č. 13/1997 Sb., o pozemních komunikacích, ve znění pozdějších předpisů, podle § 56 písm. d) zákona č. 266/1994 Sb., o dráhách, ve znění pozdějších předpisů, podle § 88 odst. 1 písm. k) a l) zákona č. 49/1997 Sb., o civilním letectví, ve znění pozdějších předpisů a dále podle § 4 zákona č. 114/1995 Sb., o vnitrozemské plavbě, ve znění pozdějších předpisů, k veřejnému projednání návrhu územního plánu Hrádek nad Nisou vydává stanovisko podle § 4 odst. 2 písm. b) zákona č. 183/2006 Sb., o územním plánování a stavebním řádu (stavební zákon), v platném znění, (dále jen „stavební zákon"), obdobně podle § 149 odst. 2 zákona č. 500/2004 Sb., ve znění pozdějších předpisů:</w:t>
      </w:r>
    </w:p>
    <w:p w14:paraId="59253B78" w14:textId="77777777" w:rsidR="00917A47" w:rsidRPr="00C50D79" w:rsidRDefault="00917A47" w:rsidP="00446993">
      <w:pPr>
        <w:spacing w:before="120" w:line="219" w:lineRule="auto"/>
        <w:ind w:left="426" w:right="43" w:firstLine="1"/>
      </w:pPr>
      <w:r w:rsidRPr="00C50D79">
        <w:rPr>
          <w:rFonts w:eastAsia="Calibri"/>
        </w:rPr>
        <w:t>Z hlediska dopravy na pozemních komunikacích, námi sledovaných dálnic a silnic I. třídy, souhlasíme s projednávaným návrhem územního plánu Hrádek nad Nisou při splnění následujících podmínek:</w:t>
      </w:r>
    </w:p>
    <w:p w14:paraId="046762C8" w14:textId="77777777" w:rsidR="00917A47" w:rsidRPr="00C50D79" w:rsidRDefault="00917A47" w:rsidP="00446993">
      <w:pPr>
        <w:spacing w:before="120" w:line="230" w:lineRule="auto"/>
        <w:ind w:left="426" w:right="45"/>
      </w:pPr>
      <w:r w:rsidRPr="00C50D79">
        <w:rPr>
          <w:rFonts w:eastAsia="Calibri"/>
        </w:rPr>
        <w:t>Požadujeme v koordinačním výkresu a ve výkresu koncepce dopravní infrastruktury vymezit koridor územní rezervy pro rozšíření silnice I/35 na čtyřpruhové uspořádání a pro úpravy stávající okružní křižovatky minimálně v šíři 20 m vpravo od hrany silničního tělesa ve směru Liberec – státní hranice. V textové části územního plánuje tento koridor označený jako RI 6.</w:t>
      </w:r>
    </w:p>
    <w:p w14:paraId="0D45539F" w14:textId="77777777" w:rsidR="00917A47" w:rsidRPr="00C50D79" w:rsidRDefault="00917A47" w:rsidP="00446993">
      <w:pPr>
        <w:spacing w:before="120"/>
        <w:ind w:left="426" w:right="45"/>
        <w:jc w:val="left"/>
      </w:pPr>
      <w:r w:rsidRPr="00C50D79">
        <w:t>Odůvodnění:</w:t>
      </w:r>
    </w:p>
    <w:p w14:paraId="37A5C0BF" w14:textId="77777777" w:rsidR="00917A47" w:rsidRPr="00C50D79" w:rsidRDefault="00917A47" w:rsidP="00446993">
      <w:pPr>
        <w:spacing w:before="120"/>
        <w:ind w:left="426" w:right="45"/>
      </w:pPr>
      <w:r w:rsidRPr="00C50D79">
        <w:t>Doprava na pozemních komunikacích, námi sledovaných dálnic a silnic I. třídy.</w:t>
      </w:r>
    </w:p>
    <w:p w14:paraId="6CE02BE3" w14:textId="77777777" w:rsidR="00917A47" w:rsidRPr="00C50D79" w:rsidRDefault="00917A47" w:rsidP="00446993">
      <w:pPr>
        <w:spacing w:before="120" w:line="249" w:lineRule="auto"/>
        <w:ind w:left="426" w:right="45"/>
      </w:pPr>
      <w:r w:rsidRPr="00C50D79">
        <w:t>Správním územím města Hrádek nad Nisou prochází silnice I/35. Požadavek na rozšíření této komunikace na čtyřpruhové uspořádání je zakotven v Zásadách územního rozvoje Libereckého kraje</w:t>
      </w:r>
    </w:p>
    <w:p w14:paraId="0371ACE1" w14:textId="77777777" w:rsidR="00917A47" w:rsidRPr="00C50D79" w:rsidRDefault="00917A47" w:rsidP="00446993">
      <w:pPr>
        <w:spacing w:before="120"/>
        <w:ind w:right="43"/>
        <w:rPr>
          <w:b/>
          <w:i/>
          <w:u w:val="single"/>
        </w:rPr>
      </w:pPr>
      <w:r w:rsidRPr="00C50D79">
        <w:rPr>
          <w:b/>
          <w:i/>
          <w:u w:val="single"/>
        </w:rPr>
        <w:t xml:space="preserve">Návrh vyhodnocení stanoviska: </w:t>
      </w:r>
    </w:p>
    <w:p w14:paraId="3B01E5B7" w14:textId="77777777" w:rsidR="00917A47" w:rsidRPr="00C50D79" w:rsidRDefault="00917A47" w:rsidP="007B2346">
      <w:pPr>
        <w:spacing w:before="120"/>
        <w:ind w:right="43"/>
        <w:rPr>
          <w:b/>
          <w:i/>
        </w:rPr>
      </w:pPr>
      <w:r w:rsidRPr="00C50D79">
        <w:rPr>
          <w:b/>
          <w:i/>
        </w:rPr>
        <w:t>Pořizovatel ve spolupráci s určeným zastupitelem a projektantem podrobně posoudil uplatněný požadavek ze stanoviska a dospěl k závěru že, Koridor R16 je obsažen v dokumentaci Návrhu Územního plánu Hrádek nad Nisou, pouze byl opomenut projektanty znázornit v Koordinačním výkresu a ve Výkresu koncepce dopravní infrastruktury, kam bude zapracován totožně dle Hlavního výkresu.</w:t>
      </w:r>
    </w:p>
    <w:p w14:paraId="52D67D3D" w14:textId="77777777" w:rsidR="00917A47" w:rsidRPr="00C50D79" w:rsidRDefault="00917A47" w:rsidP="007B2346">
      <w:pPr>
        <w:spacing w:before="120"/>
        <w:ind w:right="43" w:hanging="6"/>
        <w:rPr>
          <w:b/>
          <w:i/>
        </w:rPr>
      </w:pPr>
      <w:r w:rsidRPr="00C50D79">
        <w:rPr>
          <w:b/>
          <w:i/>
        </w:rPr>
        <w:lastRenderedPageBreak/>
        <w:t xml:space="preserve">Provedené úpravy dokumentace nebudou mít vliv na práva vlastníků, na místní ani nadmístní souvislost, nebudou mít vliv ani na žádné další aspekty Návrhu územního plánu Hrádek nad Nisou. </w:t>
      </w:r>
    </w:p>
    <w:p w14:paraId="098F6C3F" w14:textId="77777777" w:rsidR="00917A47" w:rsidRPr="00C50D79" w:rsidRDefault="00917A47" w:rsidP="007B2346">
      <w:pPr>
        <w:spacing w:before="120"/>
        <w:ind w:right="43"/>
        <w:rPr>
          <w:b/>
          <w:i/>
        </w:rPr>
      </w:pPr>
      <w:r w:rsidRPr="00C50D79">
        <w:rPr>
          <w:b/>
          <w:i/>
        </w:rPr>
        <w:t>Stanovisku se vyhovuje v plném rozsahu.</w:t>
      </w:r>
    </w:p>
    <w:p w14:paraId="5E38739E" w14:textId="77777777" w:rsidR="00917A47" w:rsidRPr="00C50D79" w:rsidRDefault="00917A47" w:rsidP="007B2346">
      <w:pPr>
        <w:spacing w:before="120"/>
        <w:ind w:right="43"/>
      </w:pPr>
      <w:r w:rsidRPr="00C50D79">
        <w:rPr>
          <w:b/>
          <w:i/>
        </w:rPr>
        <w:t>Stanovisko vyvolává nepodstatnou úpravu výkresové části odůvodnění dokumentace Návrhu Územního plánu Hrádek nad Nisou.</w:t>
      </w:r>
    </w:p>
    <w:p w14:paraId="36B86039" w14:textId="77777777" w:rsidR="00917A47" w:rsidRPr="008244A6" w:rsidRDefault="00917A47" w:rsidP="007B2346">
      <w:pPr>
        <w:spacing w:before="240"/>
        <w:rPr>
          <w:b/>
          <w:color w:val="92D050"/>
          <w:sz w:val="24"/>
          <w:szCs w:val="24"/>
        </w:rPr>
      </w:pPr>
      <w:r w:rsidRPr="008244A6">
        <w:rPr>
          <w:b/>
          <w:color w:val="92D050"/>
          <w:sz w:val="24"/>
          <w:szCs w:val="24"/>
        </w:rPr>
        <w:t xml:space="preserve">Stanovisko č. 4 – Ředitelství silnic a dálnic </w:t>
      </w:r>
    </w:p>
    <w:p w14:paraId="5A502CCB" w14:textId="77777777" w:rsidR="00917A47" w:rsidRPr="007B2346" w:rsidRDefault="00917A47" w:rsidP="007B2346">
      <w:pPr>
        <w:pStyle w:val="BodyText"/>
        <w:keepNext/>
        <w:ind w:right="43"/>
        <w:rPr>
          <w:rFonts w:cs="Times New Roman"/>
          <w:sz w:val="22"/>
          <w:szCs w:val="22"/>
        </w:rPr>
      </w:pPr>
      <w:r w:rsidRPr="007B2346">
        <w:rPr>
          <w:rFonts w:cs="Times New Roman"/>
          <w:sz w:val="22"/>
          <w:szCs w:val="22"/>
        </w:rPr>
        <w:t>Stanovisko č.j. 18655-19-ŘSD-11110 ze dne 16.10.2019, doručené dne 22.10.2019, vedená pod č. j. OSŽP-7217/2019</w:t>
      </w:r>
    </w:p>
    <w:p w14:paraId="50D34987" w14:textId="77777777" w:rsidR="00917A47" w:rsidRPr="007B2346" w:rsidRDefault="00917A47" w:rsidP="007B2346">
      <w:pPr>
        <w:pStyle w:val="BodyText"/>
        <w:keepNext/>
        <w:spacing w:before="120"/>
        <w:ind w:right="43"/>
        <w:rPr>
          <w:b/>
          <w:i/>
          <w:sz w:val="22"/>
          <w:szCs w:val="22"/>
        </w:rPr>
      </w:pPr>
      <w:r w:rsidRPr="007B2346">
        <w:rPr>
          <w:b/>
          <w:i/>
          <w:sz w:val="22"/>
          <w:szCs w:val="22"/>
        </w:rPr>
        <w:t>Obsah stanoviska:</w:t>
      </w:r>
    </w:p>
    <w:p w14:paraId="54B89B74" w14:textId="77777777" w:rsidR="00917A47" w:rsidRPr="009605D3" w:rsidRDefault="00917A47" w:rsidP="00A71CDF">
      <w:pPr>
        <w:spacing w:before="60"/>
        <w:ind w:left="567"/>
        <w:rPr>
          <w:b/>
          <w:i/>
        </w:rPr>
      </w:pPr>
      <w:r w:rsidRPr="009605D3">
        <w:rPr>
          <w:b/>
          <w:i/>
        </w:rPr>
        <w:t>Věc: Návrh Územního plánu města Hrádek nad Nisou – veřejné projednání</w:t>
      </w:r>
    </w:p>
    <w:p w14:paraId="4930A20F" w14:textId="77777777" w:rsidR="00917A47" w:rsidRPr="007B2346" w:rsidRDefault="00917A47" w:rsidP="008244A6">
      <w:pPr>
        <w:spacing w:before="120" w:line="216" w:lineRule="auto"/>
        <w:ind w:left="567" w:right="43" w:firstLine="1"/>
      </w:pPr>
      <w:r w:rsidRPr="007B2346">
        <w:t>ŘSD ČR je státní příspěvková organizace zřízená Ministerstvem dopravy, pro které vykonává vlastnická práva státu k nemovitostem tvořícím dálnice a silnice I. třidy, zabezpečuje výstavbu a modernizaci dálnic a silnic I. třídy a spolupracuje s příslušnými orgány státní správy včetně orgánů samosprávy.</w:t>
      </w:r>
    </w:p>
    <w:p w14:paraId="69C5E905" w14:textId="77777777" w:rsidR="00917A47" w:rsidRPr="007B2346" w:rsidRDefault="00917A47" w:rsidP="008244A6">
      <w:pPr>
        <w:keepNext/>
        <w:spacing w:before="120"/>
        <w:ind w:left="567" w:right="43" w:firstLine="1"/>
      </w:pPr>
      <w:r w:rsidRPr="007B2346">
        <w:t>K návrhu územního plánu (dále jen ÚP) Hrádek nad Nisou zasíláme v souladu s §52 zákona</w:t>
      </w:r>
    </w:p>
    <w:p w14:paraId="68896145" w14:textId="77777777" w:rsidR="00917A47" w:rsidRPr="007B2346" w:rsidRDefault="00917A47" w:rsidP="008244A6">
      <w:pPr>
        <w:keepNext/>
        <w:spacing w:before="120" w:line="216" w:lineRule="auto"/>
        <w:ind w:left="567" w:right="43" w:firstLine="1"/>
      </w:pPr>
      <w:r w:rsidRPr="007B2346">
        <w:t>č. 183/2006 Sb. (Stavební zákon), ve znění pozdějších předpisů, námitky jako oprávněný investor dle §23a téhož zákona.</w:t>
      </w:r>
    </w:p>
    <w:p w14:paraId="796588F4" w14:textId="77777777" w:rsidR="00917A47" w:rsidRPr="007B2346" w:rsidRDefault="00917A47" w:rsidP="008244A6">
      <w:pPr>
        <w:spacing w:before="120" w:line="216" w:lineRule="auto"/>
        <w:ind w:left="567" w:right="43" w:firstLine="1"/>
      </w:pPr>
      <w:r w:rsidRPr="007B2346">
        <w:t>Správním územím obce Hrádek nad Nisou prochází silnice I/35.</w:t>
      </w:r>
    </w:p>
    <w:p w14:paraId="4743E044" w14:textId="77777777" w:rsidR="00917A47" w:rsidRPr="007B2346" w:rsidRDefault="00917A47" w:rsidP="008244A6">
      <w:pPr>
        <w:spacing w:before="120" w:line="216" w:lineRule="auto"/>
        <w:ind w:left="567" w:right="43" w:firstLine="1"/>
      </w:pPr>
      <w:r w:rsidRPr="007B2346">
        <w:t>V návrhu Aktualizace č. 1 ZÚR Lk (č. j. 2060-ŘSD-11110-2015 dne 5. 10. 2015) bylo požadováno vymezení koridoru územní rezervy pro případné výhledové rozšíření na čtyřpruhové uspořádání. Dotčeným orgánem ÚPD byl požadavek akceptován.</w:t>
      </w:r>
    </w:p>
    <w:p w14:paraId="11FF72A3" w14:textId="77777777" w:rsidR="00917A47" w:rsidRPr="007B2346" w:rsidRDefault="00917A47" w:rsidP="008244A6">
      <w:pPr>
        <w:spacing w:before="120"/>
        <w:ind w:left="567" w:right="43" w:firstLine="1"/>
      </w:pPr>
      <w:r w:rsidRPr="007B2346">
        <w:rPr>
          <w:u w:val="single" w:color="000000"/>
        </w:rPr>
        <w:t>K návrhu změny územního plánu města Hrádek nad Nisou zasíláme následující námitky:</w:t>
      </w:r>
    </w:p>
    <w:p w14:paraId="0FDD9A34" w14:textId="77777777" w:rsidR="00917A47" w:rsidRPr="007B2346" w:rsidRDefault="00917A47" w:rsidP="00A71CDF">
      <w:pPr>
        <w:pStyle w:val="ListParagraph"/>
        <w:numPr>
          <w:ilvl w:val="0"/>
          <w:numId w:val="135"/>
        </w:numPr>
        <w:spacing w:before="60" w:line="240" w:lineRule="auto"/>
        <w:ind w:left="1134" w:right="43" w:hanging="567"/>
        <w:contextualSpacing/>
      </w:pPr>
      <w:r w:rsidRPr="007B2346">
        <w:rPr>
          <w:rFonts w:eastAsia="Calibri"/>
        </w:rPr>
        <w:t>Koridor územní rezervy R16 pro rozšíření silnice I/35 na čtyřpruhové uspořádání a pro úpravy stávající okružní křižovatky v min. šíři 20 m vpravo od hrany silničního tělesa ve směru Liberec – státní hranice požadujeme vymezit v koordinačním výkrese a výkrese koncepce dopravní infrastruktury.</w:t>
      </w:r>
    </w:p>
    <w:p w14:paraId="43717F34" w14:textId="77777777" w:rsidR="00917A47" w:rsidRPr="007B2346" w:rsidRDefault="00917A47" w:rsidP="008244A6">
      <w:pPr>
        <w:spacing w:before="120" w:line="240" w:lineRule="auto"/>
        <w:ind w:left="1134" w:right="43"/>
        <w:rPr>
          <w:i/>
          <w:iCs/>
        </w:rPr>
      </w:pPr>
      <w:r w:rsidRPr="007B2346">
        <w:rPr>
          <w:rFonts w:eastAsia="Calibri"/>
          <w:i/>
          <w:iCs/>
        </w:rPr>
        <w:t xml:space="preserve">Odůvodnění: Předmětná územní rezerva je významným limitem v území a na základě vyhlášky 500/2006 Sb., o územně analytických podkladech, územně plánovací dokumentaci </w:t>
      </w:r>
      <w:r w:rsidRPr="007B2346">
        <w:rPr>
          <w:i/>
          <w:iCs/>
        </w:rPr>
        <w:t xml:space="preserve">a způsobu evidence územně plánovací činnosti, §2, odst. 1 písm. b), je nutné ji ve výkresové </w:t>
      </w:r>
      <w:r w:rsidRPr="007B2346">
        <w:rPr>
          <w:rFonts w:eastAsia="Calibri"/>
          <w:i/>
          <w:iCs/>
        </w:rPr>
        <w:t>části výroku i odůvodnění ÚP uvést.</w:t>
      </w:r>
    </w:p>
    <w:p w14:paraId="7429BE36" w14:textId="77777777" w:rsidR="00917A47" w:rsidRPr="007B2346" w:rsidRDefault="00917A47" w:rsidP="008244A6">
      <w:pPr>
        <w:pStyle w:val="ListParagraph"/>
        <w:numPr>
          <w:ilvl w:val="0"/>
          <w:numId w:val="135"/>
        </w:numPr>
        <w:spacing w:before="120" w:line="240" w:lineRule="auto"/>
        <w:ind w:left="1134" w:right="43" w:hanging="567"/>
        <w:contextualSpacing/>
      </w:pPr>
      <w:r w:rsidRPr="007B2346">
        <w:rPr>
          <w:rFonts w:eastAsia="Calibri"/>
        </w:rPr>
        <w:t xml:space="preserve">Podmínky pro zpracování územních studií v kapitole L, odst. L03, písm. b) a odst. L04, </w:t>
      </w:r>
      <w:r w:rsidRPr="007B2346">
        <w:t xml:space="preserve">písm. b) pro plochy Z37 (US-03) a Z41 (US-04) požadujeme doplnit o respektování územní </w:t>
      </w:r>
      <w:r w:rsidRPr="007B2346">
        <w:rPr>
          <w:rFonts w:eastAsia="Calibri"/>
        </w:rPr>
        <w:t>rezervy pro rozšíření silnice I/35 a ochranného pásma silnice I/35.</w:t>
      </w:r>
    </w:p>
    <w:p w14:paraId="00731309" w14:textId="77777777" w:rsidR="00917A47" w:rsidRPr="007B2346" w:rsidRDefault="00917A47" w:rsidP="008244A6">
      <w:pPr>
        <w:spacing w:before="120" w:line="240" w:lineRule="auto"/>
        <w:ind w:left="1134" w:right="43"/>
        <w:rPr>
          <w:i/>
          <w:iCs/>
        </w:rPr>
      </w:pPr>
      <w:r w:rsidRPr="007B2346">
        <w:rPr>
          <w:rFonts w:eastAsia="Calibri"/>
          <w:i/>
          <w:iCs/>
        </w:rPr>
        <w:t xml:space="preserve">Odůvodnění: Na základě dohody ze dne 10. 7. 2019 v souladu s §43, odst. 1, resp. §36, </w:t>
      </w:r>
      <w:r w:rsidRPr="007B2346">
        <w:rPr>
          <w:i/>
          <w:iCs/>
        </w:rPr>
        <w:t xml:space="preserve">odst. 1 zákona č. 183/2006 Sb. (stavební zákon), kde je uvedeno: „V územní rezervě jsou zakázány změny v území [§ 2 odst. 1 písm. a)], které by mohly stanovené využití podstatné </w:t>
      </w:r>
      <w:r w:rsidRPr="007B2346">
        <w:rPr>
          <w:rFonts w:eastAsia="Calibri"/>
          <w:i/>
          <w:iCs/>
        </w:rPr>
        <w:t xml:space="preserve">ztížit nebo znemožnit”, a na základě §30 a §32 zákona č. 13/1997 Sb., o pozemních </w:t>
      </w:r>
      <w:r w:rsidRPr="007B2346">
        <w:rPr>
          <w:i/>
          <w:iCs/>
        </w:rPr>
        <w:t>komunikacích, v platném znění.</w:t>
      </w:r>
    </w:p>
    <w:p w14:paraId="59ADE5A8" w14:textId="77777777" w:rsidR="00917A47" w:rsidRPr="007B2346" w:rsidRDefault="00917A47" w:rsidP="008244A6">
      <w:pPr>
        <w:spacing w:before="120" w:line="216" w:lineRule="auto"/>
        <w:ind w:left="567" w:right="43" w:firstLine="1"/>
      </w:pPr>
      <w:r w:rsidRPr="007B2346">
        <w:t>K návrhu ÚP Hrádek nad Nisou nemáme další námitky.</w:t>
      </w:r>
    </w:p>
    <w:p w14:paraId="1DC70647" w14:textId="77777777" w:rsidR="00917A47" w:rsidRPr="007B2346" w:rsidRDefault="00917A47" w:rsidP="007B2346">
      <w:pPr>
        <w:spacing w:before="240"/>
        <w:ind w:right="43"/>
        <w:rPr>
          <w:b/>
          <w:i/>
          <w:u w:val="single"/>
        </w:rPr>
      </w:pPr>
      <w:r w:rsidRPr="007B2346">
        <w:rPr>
          <w:b/>
          <w:i/>
          <w:u w:val="single"/>
        </w:rPr>
        <w:t xml:space="preserve">Návrh vyhodnocení stanoviska: </w:t>
      </w:r>
    </w:p>
    <w:p w14:paraId="7748815F" w14:textId="77777777" w:rsidR="00917A47" w:rsidRPr="007B2346" w:rsidRDefault="00917A47" w:rsidP="007B2346">
      <w:pPr>
        <w:spacing w:before="120"/>
        <w:ind w:right="43"/>
        <w:rPr>
          <w:b/>
          <w:i/>
        </w:rPr>
      </w:pPr>
      <w:r w:rsidRPr="007B2346">
        <w:rPr>
          <w:b/>
          <w:i/>
        </w:rPr>
        <w:t>Pořizovatel ve spolupráci s určeným zastupitelem a projektantem podrobně posoudil uplatněný požadavek ze stanoviska a dospěl k závěru že, Koridor R16 je obsažen v dokumentaci Návrhu Územního plánu Hrádek nad Nisou, pouze byl opomenut projektanty znázornit v Koordinačním výkresu a ve Výkresu koncepce dopravní infrastruktury, kam bude zapracován totožně dle Hlavního výkresu.</w:t>
      </w:r>
    </w:p>
    <w:p w14:paraId="33980077" w14:textId="77777777" w:rsidR="00917A47" w:rsidRPr="007B2346" w:rsidRDefault="00917A47" w:rsidP="007B2346">
      <w:pPr>
        <w:spacing w:before="120"/>
        <w:ind w:right="43"/>
        <w:rPr>
          <w:b/>
          <w:i/>
        </w:rPr>
      </w:pPr>
      <w:r w:rsidRPr="007B2346">
        <w:rPr>
          <w:b/>
          <w:i/>
        </w:rPr>
        <w:t xml:space="preserve">Požadovaný požadavek na doplnění podmínky pro zpracování územních studií pro plochy Z37 (US-03) a Z41 (US-04) bude zapracován do dokumentace návrhu Územního plánu Hrádek nad Nisou, přestože </w:t>
      </w:r>
      <w:r w:rsidRPr="007B2346">
        <w:rPr>
          <w:b/>
          <w:i/>
        </w:rPr>
        <w:lastRenderedPageBreak/>
        <w:t>z dokumentace tento požadavek již vyplývá, jelikož to budou jednoznačné pokyny pro zpracovatele územních studií, že se touto problematikou má zabývat.</w:t>
      </w:r>
    </w:p>
    <w:p w14:paraId="69569EE2" w14:textId="77777777" w:rsidR="00917A47" w:rsidRPr="007B2346" w:rsidRDefault="00917A47" w:rsidP="007B2346">
      <w:pPr>
        <w:spacing w:before="120"/>
        <w:ind w:right="43" w:hanging="6"/>
        <w:rPr>
          <w:b/>
          <w:i/>
        </w:rPr>
      </w:pPr>
      <w:r w:rsidRPr="007B2346">
        <w:rPr>
          <w:b/>
          <w:i/>
        </w:rPr>
        <w:t xml:space="preserve">Provedené úpravy dokumentace nebudou mít vliv na práva vlastníků, na místní ani nadmístní souvislost, nebudou mít vliv ani na žádné další aspekty Návrhu územního plánu Hrádek nad Nisou. </w:t>
      </w:r>
    </w:p>
    <w:p w14:paraId="3B1A3325" w14:textId="77777777" w:rsidR="00917A47" w:rsidRPr="007B2346" w:rsidRDefault="00917A47" w:rsidP="007B2346">
      <w:pPr>
        <w:spacing w:before="120"/>
        <w:ind w:right="43"/>
        <w:rPr>
          <w:b/>
          <w:i/>
        </w:rPr>
      </w:pPr>
      <w:r w:rsidRPr="007B2346">
        <w:rPr>
          <w:b/>
          <w:i/>
        </w:rPr>
        <w:t>Stanovisku se vyhovuje v plném rozsahu.</w:t>
      </w:r>
    </w:p>
    <w:p w14:paraId="7728F39F" w14:textId="77777777" w:rsidR="00917A47" w:rsidRPr="007B2346" w:rsidRDefault="00917A47" w:rsidP="007B2346">
      <w:pPr>
        <w:spacing w:before="120"/>
        <w:ind w:right="43"/>
      </w:pPr>
      <w:r w:rsidRPr="007B2346">
        <w:rPr>
          <w:b/>
          <w:i/>
        </w:rPr>
        <w:t>Stanovisko vyvolává nepodstatnou úpravu dokumentace Návrhu Územního plánu Hrádek nad Nisou.</w:t>
      </w:r>
    </w:p>
    <w:p w14:paraId="0520CCF5" w14:textId="77777777" w:rsidR="00917A47" w:rsidRPr="008244A6" w:rsidRDefault="00917A47" w:rsidP="007B2346">
      <w:pPr>
        <w:spacing w:before="240"/>
        <w:rPr>
          <w:b/>
          <w:color w:val="92D050"/>
          <w:sz w:val="24"/>
          <w:szCs w:val="24"/>
        </w:rPr>
      </w:pPr>
      <w:r w:rsidRPr="008244A6">
        <w:rPr>
          <w:b/>
          <w:color w:val="92D050"/>
          <w:sz w:val="24"/>
          <w:szCs w:val="24"/>
        </w:rPr>
        <w:t>Stanovisko č. 5 – Dotčený orgán: Krajský úřad Libereckého kraje</w:t>
      </w:r>
    </w:p>
    <w:p w14:paraId="56637F83" w14:textId="77777777" w:rsidR="00917A47" w:rsidRPr="007B2346" w:rsidRDefault="00917A47" w:rsidP="007B2346">
      <w:pPr>
        <w:pStyle w:val="BodyText"/>
        <w:keepNext/>
        <w:ind w:right="43"/>
        <w:rPr>
          <w:rFonts w:cs="Times New Roman"/>
          <w:sz w:val="22"/>
          <w:szCs w:val="22"/>
        </w:rPr>
      </w:pPr>
      <w:r w:rsidRPr="007B2346">
        <w:rPr>
          <w:rFonts w:cs="Times New Roman"/>
          <w:sz w:val="22"/>
          <w:szCs w:val="22"/>
        </w:rPr>
        <w:t>Stanovisko č.j. OÚPSŘ 273/2012/OÚP-KULK 76951/2019 ze dne 21.10.2019, doručené dne 21.10.2019, vedená pod č. j. OSŽP-7199/2019</w:t>
      </w:r>
    </w:p>
    <w:p w14:paraId="421F9A62" w14:textId="77777777" w:rsidR="00917A47" w:rsidRPr="007B2346" w:rsidRDefault="00917A47" w:rsidP="007B2346">
      <w:pPr>
        <w:pStyle w:val="BodyText"/>
        <w:keepNext/>
        <w:spacing w:before="120"/>
        <w:ind w:right="43"/>
        <w:rPr>
          <w:b/>
          <w:i/>
          <w:sz w:val="22"/>
          <w:szCs w:val="22"/>
        </w:rPr>
      </w:pPr>
      <w:r w:rsidRPr="007B2346">
        <w:rPr>
          <w:b/>
          <w:i/>
          <w:sz w:val="22"/>
          <w:szCs w:val="22"/>
        </w:rPr>
        <w:t>Obsah stanoviska:</w:t>
      </w:r>
    </w:p>
    <w:p w14:paraId="51727A9E" w14:textId="77777777" w:rsidR="00917A47" w:rsidRPr="007B2346" w:rsidRDefault="00917A47" w:rsidP="00446993">
      <w:pPr>
        <w:spacing w:before="60"/>
        <w:ind w:left="426" w:right="43"/>
      </w:pPr>
      <w:r w:rsidRPr="007B2346">
        <w:t>Výzva ke zjednání nápravy v souladu s ustanovením §171 zákona č. 183/2006 Sb., o územním plánování a stavebním řádu</w:t>
      </w:r>
    </w:p>
    <w:p w14:paraId="2FD6D126" w14:textId="77777777" w:rsidR="00917A47" w:rsidRPr="007B2346" w:rsidRDefault="00917A47" w:rsidP="00446993">
      <w:pPr>
        <w:spacing w:before="120" w:line="249" w:lineRule="auto"/>
        <w:ind w:left="426" w:right="43"/>
      </w:pPr>
      <w:r w:rsidRPr="007B2346">
        <w:rPr>
          <w:rFonts w:eastAsia="Calibri"/>
        </w:rPr>
        <w:t>Krajský úřad Libereckého kraje, odbor územního plánování a stavebního řádu (dále jen KÚ LK, OÚPSŘ), na základě dozorové pravomoci nadřízeného orgánu dané ustanovením §171 zákona č. 183/2006 Sb., o územním plánování a stavebním řádu (dále jen stavební zákon) uplatňuje po seznámení se s doručenými podklady (dokumentace „ÚP Hrádek nad Nisou — Návrh pro veřejné projednání (52 odst. 1 stavebního zákona)”, datum zhotovení srpen 2019, zhotovitel HaskoningDHV Czech Republic, spol. s r.o.) následující:</w:t>
      </w:r>
    </w:p>
    <w:p w14:paraId="5F2258CC" w14:textId="77777777" w:rsidR="00917A47" w:rsidRPr="007B2346" w:rsidRDefault="00917A47" w:rsidP="00446993">
      <w:pPr>
        <w:spacing w:before="120" w:line="259" w:lineRule="auto"/>
        <w:ind w:left="426" w:right="43"/>
      </w:pPr>
      <w:r w:rsidRPr="007B2346">
        <w:rPr>
          <w:rFonts w:eastAsia="Calibri"/>
          <w:u w:val="single" w:color="000000"/>
        </w:rPr>
        <w:t>Územního plán Hrádek nad Nisou</w:t>
      </w:r>
    </w:p>
    <w:p w14:paraId="43B57A94" w14:textId="77777777" w:rsidR="00917A47" w:rsidRPr="007B2346" w:rsidRDefault="00917A47" w:rsidP="00446993">
      <w:pPr>
        <w:ind w:left="426" w:right="43"/>
      </w:pPr>
      <w:r w:rsidRPr="007B2346">
        <w:t>(návrh předložený pro veřejné projednání)</w:t>
      </w:r>
    </w:p>
    <w:p w14:paraId="242C4BE5" w14:textId="77777777" w:rsidR="00917A47" w:rsidRPr="007B2346" w:rsidRDefault="00917A47" w:rsidP="00446993">
      <w:pPr>
        <w:spacing w:before="120" w:line="249" w:lineRule="auto"/>
        <w:ind w:left="426" w:right="43"/>
      </w:pPr>
      <w:r w:rsidRPr="007B2346">
        <w:rPr>
          <w:rFonts w:eastAsia="Calibri"/>
        </w:rPr>
        <w:t>KÚ LK, OÚPSŘ, OÚP upozorňuje, že obsah a struktura územního plánu je stanovena v Příloze č. 7 k vyhlášce č. 500/2006 Sb., o územně analytických podkladech, územně plánovací dokumentaci a způsobu evidence územně plánovací činnosti, která byla novelizována vyhláškou č. 13/2018 Sb. (dále jen „vyhláška"). Po této novelizaci je nutno dodržet obsah, včetně struktury územního plánu, přesně tak jak je uvedeno ve vyhlášce.</w:t>
      </w:r>
    </w:p>
    <w:p w14:paraId="526858A5" w14:textId="77777777" w:rsidR="00917A47" w:rsidRPr="007B2346" w:rsidRDefault="00917A47" w:rsidP="00446993">
      <w:pPr>
        <w:spacing w:before="120" w:line="249" w:lineRule="auto"/>
        <w:ind w:left="426" w:right="43"/>
      </w:pPr>
      <w:r w:rsidRPr="007B2346">
        <w:rPr>
          <w:rFonts w:eastAsia="Calibri"/>
        </w:rPr>
        <w:t>KÚLK, OÚPSŘ požaduje dokumentaci „ÚP Hrádek nad Nisou” uvést do souladu s touto vyhláškou.</w:t>
      </w:r>
    </w:p>
    <w:p w14:paraId="081DA496" w14:textId="77777777" w:rsidR="00917A47" w:rsidRPr="007B2346" w:rsidRDefault="00917A47" w:rsidP="00446993">
      <w:pPr>
        <w:spacing w:before="120" w:line="249" w:lineRule="auto"/>
        <w:ind w:left="426" w:right="43"/>
      </w:pPr>
      <w:r w:rsidRPr="007B2346">
        <w:rPr>
          <w:rFonts w:eastAsia="Calibri"/>
        </w:rPr>
        <w:t>Dále KÚ LK, OÚPSŘ, OÚP upozorňuje na některé další nesrovnalosti v textu (výčet nemusí být úplný) např.:</w:t>
      </w:r>
    </w:p>
    <w:p w14:paraId="743FBE85" w14:textId="77777777" w:rsidR="00917A47" w:rsidRPr="007B2346" w:rsidRDefault="00917A47" w:rsidP="00446993">
      <w:pPr>
        <w:spacing w:before="120" w:line="249" w:lineRule="auto"/>
        <w:ind w:left="426" w:right="43"/>
      </w:pPr>
      <w:r w:rsidRPr="007B2346">
        <w:rPr>
          <w:rFonts w:eastAsia="Calibri"/>
        </w:rPr>
        <w:t xml:space="preserve">Územní plán Hrádek nad Nisou upravený návrh k veřejnému projednání </w:t>
      </w:r>
      <w:r w:rsidRPr="007B2346">
        <w:rPr>
          <w:noProof/>
          <w:lang w:eastAsia="cs-CZ"/>
        </w:rPr>
        <w:drawing>
          <wp:inline distT="0" distB="0" distL="0" distR="0" wp14:anchorId="181DA825" wp14:editId="44C85B13">
            <wp:extent cx="45742" cy="18289"/>
            <wp:effectExtent l="0" t="0" r="0" b="0"/>
            <wp:docPr id="2886" name="Picture 2886"/>
            <wp:cNvGraphicFramePr/>
            <a:graphic xmlns:a="http://schemas.openxmlformats.org/drawingml/2006/main">
              <a:graphicData uri="http://schemas.openxmlformats.org/drawingml/2006/picture">
                <pic:pic xmlns:pic="http://schemas.openxmlformats.org/drawingml/2006/picture">
                  <pic:nvPicPr>
                    <pic:cNvPr id="2886" name="Picture 2886"/>
                    <pic:cNvPicPr/>
                  </pic:nvPicPr>
                  <pic:blipFill>
                    <a:blip r:embed="rId40"/>
                    <a:stretch>
                      <a:fillRect/>
                    </a:stretch>
                  </pic:blipFill>
                  <pic:spPr>
                    <a:xfrm>
                      <a:off x="0" y="0"/>
                      <a:ext cx="45742" cy="18289"/>
                    </a:xfrm>
                    <a:prstGeom prst="rect">
                      <a:avLst/>
                    </a:prstGeom>
                  </pic:spPr>
                </pic:pic>
              </a:graphicData>
            </a:graphic>
          </wp:inline>
        </w:drawing>
      </w:r>
      <w:r w:rsidRPr="007B2346">
        <w:rPr>
          <w:rFonts w:eastAsia="Calibri"/>
        </w:rPr>
        <w:t xml:space="preserve"> str. 3 v bodě (A01) chybí slovo „území” v předložené dokumentaci je uvedeno (citujeme): „Hranice zastavěného je v rozsahu zakresleném ve výkresu č. I.1 a v dalších výkresech grafické části územního plánu vymezena ve stavu ke dni 31. 1. 2019”. KÚLK, OÚPSŘ, OÚP se domnívá, že má být uvedeno: Hranice zastavěného území je v rozsahu zakresleném ve výkresu č. I.1 a v dalších výkresech grafické části územního plánu vymezena ve stavu ke dni 31. 1. 2019.</w:t>
      </w:r>
    </w:p>
    <w:p w14:paraId="4C7CDEB7" w14:textId="77777777" w:rsidR="00917A47" w:rsidRPr="007B2346" w:rsidRDefault="00917A47" w:rsidP="00446993">
      <w:pPr>
        <w:spacing w:before="120" w:line="249" w:lineRule="auto"/>
        <w:ind w:left="426" w:right="43"/>
      </w:pPr>
      <w:r w:rsidRPr="007B2346">
        <w:rPr>
          <w:noProof/>
          <w:lang w:eastAsia="cs-CZ"/>
        </w:rPr>
        <w:drawing>
          <wp:inline distT="0" distB="0" distL="0" distR="0" wp14:anchorId="555AB441" wp14:editId="13C1FEFA">
            <wp:extent cx="73186" cy="54867"/>
            <wp:effectExtent l="0" t="0" r="0" b="0"/>
            <wp:docPr id="11552" name="Picture 11552"/>
            <wp:cNvGraphicFramePr/>
            <a:graphic xmlns:a="http://schemas.openxmlformats.org/drawingml/2006/main">
              <a:graphicData uri="http://schemas.openxmlformats.org/drawingml/2006/picture">
                <pic:pic xmlns:pic="http://schemas.openxmlformats.org/drawingml/2006/picture">
                  <pic:nvPicPr>
                    <pic:cNvPr id="11552" name="Picture 11552"/>
                    <pic:cNvPicPr/>
                  </pic:nvPicPr>
                  <pic:blipFill>
                    <a:blip r:embed="rId41"/>
                    <a:stretch>
                      <a:fillRect/>
                    </a:stretch>
                  </pic:blipFill>
                  <pic:spPr>
                    <a:xfrm>
                      <a:off x="0" y="0"/>
                      <a:ext cx="73186" cy="54867"/>
                    </a:xfrm>
                    <a:prstGeom prst="rect">
                      <a:avLst/>
                    </a:prstGeom>
                  </pic:spPr>
                </pic:pic>
              </a:graphicData>
            </a:graphic>
          </wp:inline>
        </w:drawing>
      </w:r>
      <w:r w:rsidRPr="007B2346">
        <w:rPr>
          <w:rFonts w:eastAsia="Calibri"/>
        </w:rPr>
        <w:t>str. 7 v bodě (C03) za a) (opakuje se i v dalších částech kapitoly C.I Návrh urbanistické koncepce) je uvedeno (citujeme): „(C03) V části Hrádek nad Nisou: a) je rozvíjena jako svébytné sídlo s nezbytnou infrastrukturou, zejména oblasti veřejného občanského vybavení”</w:t>
      </w:r>
      <w:r w:rsidRPr="007B2346">
        <w:rPr>
          <w:noProof/>
          <w:lang w:eastAsia="cs-CZ"/>
        </w:rPr>
        <w:drawing>
          <wp:inline distT="0" distB="0" distL="0" distR="0" wp14:anchorId="145F7CBD" wp14:editId="2E410FD1">
            <wp:extent cx="18297" cy="13716"/>
            <wp:effectExtent l="0" t="0" r="0" b="0"/>
            <wp:docPr id="2948" name="Picture 2948"/>
            <wp:cNvGraphicFramePr/>
            <a:graphic xmlns:a="http://schemas.openxmlformats.org/drawingml/2006/main">
              <a:graphicData uri="http://schemas.openxmlformats.org/drawingml/2006/picture">
                <pic:pic xmlns:pic="http://schemas.openxmlformats.org/drawingml/2006/picture">
                  <pic:nvPicPr>
                    <pic:cNvPr id="2948" name="Picture 2948"/>
                    <pic:cNvPicPr/>
                  </pic:nvPicPr>
                  <pic:blipFill>
                    <a:blip r:embed="rId42"/>
                    <a:stretch>
                      <a:fillRect/>
                    </a:stretch>
                  </pic:blipFill>
                  <pic:spPr>
                    <a:xfrm>
                      <a:off x="0" y="0"/>
                      <a:ext cx="18297" cy="13716"/>
                    </a:xfrm>
                    <a:prstGeom prst="rect">
                      <a:avLst/>
                    </a:prstGeom>
                  </pic:spPr>
                </pic:pic>
              </a:graphicData>
            </a:graphic>
          </wp:inline>
        </w:drawing>
      </w:r>
    </w:p>
    <w:p w14:paraId="6D78E99F" w14:textId="77777777" w:rsidR="00917A47" w:rsidRPr="007B2346" w:rsidRDefault="00917A47" w:rsidP="00446993">
      <w:pPr>
        <w:spacing w:before="120" w:line="249" w:lineRule="auto"/>
        <w:ind w:left="426" w:right="43"/>
        <w:rPr>
          <w:rFonts w:eastAsia="Calibri"/>
        </w:rPr>
      </w:pPr>
      <w:r w:rsidRPr="007B2346">
        <w:rPr>
          <w:rFonts w:eastAsia="Calibri"/>
        </w:rPr>
        <w:t>Z textu není zřejmé, kdo popř. co je rozvíjena.</w:t>
      </w:r>
    </w:p>
    <w:p w14:paraId="52A75C1E" w14:textId="77777777" w:rsidR="00917A47" w:rsidRPr="007B2346" w:rsidRDefault="00917A47" w:rsidP="00446993">
      <w:pPr>
        <w:spacing w:before="120"/>
        <w:ind w:left="426" w:right="43"/>
      </w:pPr>
      <w:r w:rsidRPr="007B2346">
        <w:t>str. 20 v bodě (D23) je uvedeno (citujeme): „(D23) Územní plán navrhuje vedení dálkové cyklotrasy Odra-Nisa. Grafické znázornění vedení cyklotrasy je vyjádřeno ve výkrese I.2c Výkres veřejné infrastruktury.</w:t>
      </w:r>
    </w:p>
    <w:p w14:paraId="7985BF57" w14:textId="77777777" w:rsidR="00917A47" w:rsidRPr="007B2346" w:rsidRDefault="00917A47" w:rsidP="00446993">
      <w:pPr>
        <w:spacing w:before="120"/>
        <w:ind w:left="426" w:right="43"/>
      </w:pPr>
      <w:r w:rsidRPr="007B2346">
        <w:t>„KÚ LK, OÚPSR, OÚP upozorňuje, že výkres I.2c se jmenuje „Výkres koncepce veřejné infrastruktury”. Grafická část musí být v souladu s textovou částí, i co se týče názvů výkresů ÚP.</w:t>
      </w:r>
    </w:p>
    <w:p w14:paraId="1B0A61A5" w14:textId="77777777" w:rsidR="00917A47" w:rsidRPr="007B2346" w:rsidRDefault="00917A47" w:rsidP="00446993">
      <w:pPr>
        <w:spacing w:before="120"/>
        <w:ind w:left="426" w:right="43"/>
      </w:pPr>
      <w:r w:rsidRPr="007B2346">
        <w:rPr>
          <w:noProof/>
          <w:lang w:eastAsia="cs-CZ"/>
        </w:rPr>
        <w:drawing>
          <wp:inline distT="0" distB="0" distL="0" distR="0" wp14:anchorId="11087E66" wp14:editId="0DE5CEBF">
            <wp:extent cx="64038" cy="54867"/>
            <wp:effectExtent l="0" t="0" r="0" b="0"/>
            <wp:docPr id="11560" name="Picture 11560"/>
            <wp:cNvGraphicFramePr/>
            <a:graphic xmlns:a="http://schemas.openxmlformats.org/drawingml/2006/main">
              <a:graphicData uri="http://schemas.openxmlformats.org/drawingml/2006/picture">
                <pic:pic xmlns:pic="http://schemas.openxmlformats.org/drawingml/2006/picture">
                  <pic:nvPicPr>
                    <pic:cNvPr id="11560" name="Picture 11560"/>
                    <pic:cNvPicPr/>
                  </pic:nvPicPr>
                  <pic:blipFill>
                    <a:blip r:embed="rId43"/>
                    <a:stretch>
                      <a:fillRect/>
                    </a:stretch>
                  </pic:blipFill>
                  <pic:spPr>
                    <a:xfrm>
                      <a:off x="0" y="0"/>
                      <a:ext cx="64038" cy="54867"/>
                    </a:xfrm>
                    <a:prstGeom prst="rect">
                      <a:avLst/>
                    </a:prstGeom>
                  </pic:spPr>
                </pic:pic>
              </a:graphicData>
            </a:graphic>
          </wp:inline>
        </w:drawing>
      </w:r>
      <w:r w:rsidRPr="007B2346">
        <w:t>V dokumentaci je chybně uváděna zkratka ZÚR, správně má být uvedeno ZÚR Libereckého kraje, popř. ZÚR LK.</w:t>
      </w:r>
    </w:p>
    <w:p w14:paraId="7850C64A" w14:textId="77777777" w:rsidR="00917A47" w:rsidRPr="007B2346" w:rsidRDefault="00917A47" w:rsidP="008244A6">
      <w:pPr>
        <w:pStyle w:val="ListParagraph"/>
        <w:numPr>
          <w:ilvl w:val="0"/>
          <w:numId w:val="135"/>
        </w:numPr>
        <w:spacing w:before="120" w:line="248" w:lineRule="auto"/>
        <w:ind w:left="851" w:right="43" w:hanging="284"/>
        <w:contextualSpacing/>
      </w:pPr>
      <w:r w:rsidRPr="007B2346">
        <w:lastRenderedPageBreak/>
        <w:t>str. 33 (a dále) v kapitole F.I Vymezení ploch a koridorů s rozdílným způsobem využití KÚLK, OÚPSŘ, OÚP doporučuje, pro lepší přehlednost a jednoznačnost u ploch s rozdílným způsobem využití (např. hřbitovů (OH), sportu (OS). ..) zachovat členění na hlavní využití, přípustné využití, nepřípustné využití a podmíněně přípustné využití, jak uvádí vyhláška a jak je tomu i v ostatních případech v ÚP Hrádek nad Nisou.</w:t>
      </w:r>
    </w:p>
    <w:p w14:paraId="4DD3EC6F" w14:textId="77777777" w:rsidR="00917A47" w:rsidRPr="007B2346" w:rsidRDefault="00917A47" w:rsidP="008244A6">
      <w:pPr>
        <w:pStyle w:val="ListParagraph"/>
        <w:numPr>
          <w:ilvl w:val="0"/>
          <w:numId w:val="135"/>
        </w:numPr>
        <w:spacing w:before="120" w:line="248" w:lineRule="auto"/>
        <w:ind w:left="851" w:right="43" w:hanging="284"/>
        <w:contextualSpacing/>
      </w:pPr>
      <w:r w:rsidRPr="007B2346">
        <w:t>str. 39 v bodě (F24) je uvedeno (citujeme): „Pro plochy rekreace jsou stanoveny tyto obecné podmínky pro využití". Jelikož se podmínky využití týkají ploch rekreace individuální, tak se KÚ LK, OÚPSR, OÚP domnívá, že má být uvedeno: Pro plochy rekreace individuální jsou stanoveny tyto obecné podmínky pro využití.</w:t>
      </w:r>
    </w:p>
    <w:p w14:paraId="5622395C" w14:textId="77777777" w:rsidR="00917A47" w:rsidRPr="007B2346" w:rsidRDefault="00917A47" w:rsidP="008244A6">
      <w:pPr>
        <w:pStyle w:val="ListParagraph"/>
        <w:numPr>
          <w:ilvl w:val="0"/>
          <w:numId w:val="135"/>
        </w:numPr>
        <w:spacing w:before="120" w:line="248" w:lineRule="auto"/>
        <w:ind w:left="851" w:right="43" w:hanging="284"/>
        <w:contextualSpacing/>
      </w:pPr>
      <w:r w:rsidRPr="007B2346">
        <w:t xml:space="preserve">str. 43 v bodě (F43) je uvedeno (citujeme): „Pro plochy veřejných prostranství jsou stanoveny tyto obecné podmínky pro využití: Jelikož se podmínky využití týkají ploch veřejných prostranství - komunikace, tak se KÚLK, OÚPSŘ, OÚP domnívá, že má být uvedeno: Pro plochy veřejných prostranství - komunikace jsou stanoveny tyto obecné podmínky pro využití. </w:t>
      </w:r>
      <w:r w:rsidRPr="007B2346">
        <w:rPr>
          <w:noProof/>
          <w:lang w:eastAsia="cs-CZ"/>
        </w:rPr>
        <w:drawing>
          <wp:inline distT="0" distB="0" distL="0" distR="0" wp14:anchorId="443937FF" wp14:editId="62261DD5">
            <wp:extent cx="45741" cy="18289"/>
            <wp:effectExtent l="0" t="0" r="0" b="0"/>
            <wp:docPr id="6022" name="Picture 6022"/>
            <wp:cNvGraphicFramePr/>
            <a:graphic xmlns:a="http://schemas.openxmlformats.org/drawingml/2006/main">
              <a:graphicData uri="http://schemas.openxmlformats.org/drawingml/2006/picture">
                <pic:pic xmlns:pic="http://schemas.openxmlformats.org/drawingml/2006/picture">
                  <pic:nvPicPr>
                    <pic:cNvPr id="6022" name="Picture 6022"/>
                    <pic:cNvPicPr/>
                  </pic:nvPicPr>
                  <pic:blipFill>
                    <a:blip r:embed="rId44"/>
                    <a:stretch>
                      <a:fillRect/>
                    </a:stretch>
                  </pic:blipFill>
                  <pic:spPr>
                    <a:xfrm>
                      <a:off x="0" y="0"/>
                      <a:ext cx="45741" cy="18289"/>
                    </a:xfrm>
                    <a:prstGeom prst="rect">
                      <a:avLst/>
                    </a:prstGeom>
                  </pic:spPr>
                </pic:pic>
              </a:graphicData>
            </a:graphic>
          </wp:inline>
        </w:drawing>
      </w:r>
      <w:r w:rsidRPr="007B2346">
        <w:t xml:space="preserve"> KÚ LK, OÚPSŘ, OÚP doporučuje zařadit mezi podmíněně přípustné mimo jiné i plochy dopravní infrastruktury (např. u ploch „plochy krajinné”).</w:t>
      </w:r>
    </w:p>
    <w:p w14:paraId="79FF72DB" w14:textId="77777777" w:rsidR="00917A47" w:rsidRPr="007B2346" w:rsidRDefault="00917A47" w:rsidP="00446993">
      <w:pPr>
        <w:spacing w:before="120"/>
        <w:ind w:left="426" w:right="43"/>
      </w:pPr>
      <w:r w:rsidRPr="007B2346">
        <w:t>Grafická část</w:t>
      </w:r>
    </w:p>
    <w:p w14:paraId="57E6461A" w14:textId="77777777" w:rsidR="00917A47" w:rsidRPr="007B2346" w:rsidRDefault="00917A47" w:rsidP="00446993">
      <w:pPr>
        <w:spacing w:before="120"/>
        <w:ind w:left="426" w:right="43"/>
      </w:pPr>
      <w:r w:rsidRPr="007B2346">
        <w:t>KÚLK, OÚPSŘ, OÚP upozorňuje na nepřehlednost barevné škály legendy pro rozlišení jednotlivých ploch s rozdílným způsobem využití např.:</w:t>
      </w:r>
    </w:p>
    <w:p w14:paraId="381C27BE" w14:textId="77777777" w:rsidR="00917A47" w:rsidRPr="007B2346" w:rsidRDefault="00917A47" w:rsidP="00446993">
      <w:pPr>
        <w:spacing w:before="120"/>
        <w:ind w:left="426" w:right="43"/>
      </w:pPr>
      <w:r w:rsidRPr="007B2346">
        <w:t>ve výkresu I.2c Výkres koncepce veřejné infrastruktury, kde je v legendě pouze nepatrné barevné vylišení mezi plochami DS - silniční doprava a TI - technická infrastruktura.</w:t>
      </w:r>
    </w:p>
    <w:p w14:paraId="2B2D64C3" w14:textId="77777777" w:rsidR="00917A47" w:rsidRPr="007B2346" w:rsidRDefault="00917A47" w:rsidP="00446993">
      <w:pPr>
        <w:spacing w:before="120"/>
        <w:ind w:left="426" w:right="43"/>
      </w:pPr>
      <w:r w:rsidRPr="007B2346">
        <w:t>ve výkresu I.2a Hlavní výkres - způsob využití je opět pouze nepatrné barevné vylišení mezi plochami PV- veřejné prostranství, DS - silniční doprava a VL-lehký průmysl.</w:t>
      </w:r>
    </w:p>
    <w:p w14:paraId="077F6449" w14:textId="77777777" w:rsidR="00917A47" w:rsidRPr="007B2346" w:rsidRDefault="00917A47" w:rsidP="00446993">
      <w:pPr>
        <w:spacing w:before="120"/>
        <w:ind w:left="426" w:right="43"/>
      </w:pPr>
      <w:r w:rsidRPr="007B2346">
        <w:t>KÚ LK, OÚPSŘ, OÚP doporučuje prověřit všechny výkresy Grafické části ÚP Hrádek nad Nisou a prověřit barevnou škálu legend, tak, aby bylo možno jednoznačně určit, o jaký způsob využití se u dané plochy jedná. Odlišení jednotlivých ploch a koridorů s rozdílným způsobem využití písmenným rozlišením nepovažuje KÚ LK, OÚPSŘ, OÚP za dostačující.</w:t>
      </w:r>
    </w:p>
    <w:p w14:paraId="3D36F706" w14:textId="6DEE5F7C" w:rsidR="00917A47" w:rsidRPr="007B2346" w:rsidRDefault="00917A47" w:rsidP="00446993">
      <w:pPr>
        <w:spacing w:before="120" w:line="259" w:lineRule="auto"/>
        <w:ind w:left="426" w:right="43"/>
      </w:pPr>
      <w:r w:rsidRPr="007B2346">
        <w:t>Závěr:</w:t>
      </w:r>
    </w:p>
    <w:p w14:paraId="00AF64FE" w14:textId="77777777" w:rsidR="00917A47" w:rsidRPr="007B2346" w:rsidRDefault="00917A47" w:rsidP="00446993">
      <w:pPr>
        <w:ind w:left="426" w:right="43"/>
      </w:pPr>
      <w:r w:rsidRPr="007B2346">
        <w:t>KÚ LK, OÚPSŘ na základě výše uvedených nedostatků požaduje opravit chyby v dokumentaci</w:t>
      </w:r>
    </w:p>
    <w:p w14:paraId="63C22682" w14:textId="77777777" w:rsidR="00917A47" w:rsidRPr="007B2346" w:rsidRDefault="00917A47" w:rsidP="00446993">
      <w:pPr>
        <w:spacing w:before="120" w:line="247" w:lineRule="auto"/>
        <w:ind w:left="426" w:right="45" w:hanging="11"/>
      </w:pPr>
      <w:r w:rsidRPr="007B2346">
        <w:t>Návrhu UP Hrádek nad Nisou a uvést jí do souladu s platnou legislativou. Opravenou dokumentaci KÚLK, OÚPSŘ, OÚP požaduje před vydáním předložit ke kontrole. Nedostatky zjištěné KÚ LK, OÚPSŘ, OÚP při kontrole dokumentace Návrhu ÚP Hrádek nad Nisou předložené k veřejnému projednání nejsou takového charakteru, že by bylo nutno požadovat opakované veřejné projednání.</w:t>
      </w:r>
    </w:p>
    <w:p w14:paraId="2A4C38F3" w14:textId="77777777" w:rsidR="00917A47" w:rsidRPr="007B2346" w:rsidRDefault="00917A47" w:rsidP="007B2346">
      <w:pPr>
        <w:spacing w:before="120"/>
        <w:ind w:right="43"/>
        <w:jc w:val="left"/>
        <w:rPr>
          <w:b/>
          <w:i/>
          <w:u w:val="single"/>
        </w:rPr>
      </w:pPr>
      <w:r w:rsidRPr="007B2346">
        <w:rPr>
          <w:b/>
          <w:i/>
          <w:u w:val="single"/>
        </w:rPr>
        <w:t xml:space="preserve">Návrh vyhodnocení stanoviska: </w:t>
      </w:r>
    </w:p>
    <w:p w14:paraId="49317A8C" w14:textId="77777777" w:rsidR="00917A47" w:rsidRPr="007B2346" w:rsidRDefault="00917A47" w:rsidP="007B2346">
      <w:pPr>
        <w:spacing w:before="120"/>
        <w:ind w:right="43"/>
        <w:rPr>
          <w:b/>
          <w:i/>
        </w:rPr>
      </w:pPr>
      <w:r w:rsidRPr="007B2346">
        <w:rPr>
          <w:b/>
          <w:i/>
        </w:rPr>
        <w:t xml:space="preserve">Pořizovatel ve spolupráci s určeným zastupitelem a projektantem posoudil uplatněný požadavek ze stanoviska a dospěl k závěru, že všechny nedostatky a překlepy, názvy kapitol budou důkladně odkontrolovány a následně odstraněny, tak aby Návrh Územního plánu Hrádek nad Nisou přesně odpovídal ustanovením stavebního zákona a prováděcích vyhlášek. </w:t>
      </w:r>
    </w:p>
    <w:p w14:paraId="0A373683" w14:textId="77777777" w:rsidR="00917A47" w:rsidRPr="007B2346" w:rsidRDefault="00917A47" w:rsidP="007B2346">
      <w:pPr>
        <w:spacing w:before="120"/>
        <w:ind w:right="43"/>
        <w:rPr>
          <w:b/>
          <w:i/>
        </w:rPr>
      </w:pPr>
      <w:r w:rsidRPr="007B2346">
        <w:rPr>
          <w:b/>
          <w:i/>
        </w:rPr>
        <w:t xml:space="preserve">Provedené úpravy dokumentace nebudou mít vliv na práva vlastníků, na místní ani nadmístní souvislost, nebudou mít vliv ani na žádné další aspekty Návrhu územního plánu Hrádek nad Nisou. </w:t>
      </w:r>
    </w:p>
    <w:p w14:paraId="4B980281" w14:textId="77777777" w:rsidR="00A71CDF" w:rsidRDefault="00917A47" w:rsidP="007B2346">
      <w:pPr>
        <w:spacing w:before="120"/>
        <w:ind w:right="43"/>
        <w:rPr>
          <w:b/>
          <w:i/>
        </w:rPr>
      </w:pPr>
      <w:r w:rsidRPr="007B2346">
        <w:rPr>
          <w:b/>
          <w:i/>
        </w:rPr>
        <w:t>Stanovisku se vyhovuje v plném rozsahu.</w:t>
      </w:r>
      <w:r w:rsidR="00446993">
        <w:rPr>
          <w:b/>
          <w:i/>
        </w:rPr>
        <w:t xml:space="preserve"> </w:t>
      </w:r>
    </w:p>
    <w:p w14:paraId="554A5D59" w14:textId="21A4F13F" w:rsidR="00917A47" w:rsidRPr="007B2346" w:rsidRDefault="00917A47" w:rsidP="007B2346">
      <w:pPr>
        <w:spacing w:before="120"/>
        <w:ind w:right="43"/>
        <w:rPr>
          <w:b/>
          <w:i/>
        </w:rPr>
      </w:pPr>
      <w:r w:rsidRPr="007B2346">
        <w:rPr>
          <w:b/>
          <w:i/>
        </w:rPr>
        <w:t>Stanovisko vyvolává nepodstatnou úpravu dokumentace Návrhu Územního plánu Hrádek nad Nisou.</w:t>
      </w:r>
    </w:p>
    <w:p w14:paraId="5B97AC9C" w14:textId="77777777" w:rsidR="00917A47" w:rsidRDefault="00917A47" w:rsidP="00C510C2">
      <w:pPr>
        <w:autoSpaceDE w:val="0"/>
        <w:autoSpaceDN w:val="0"/>
        <w:adjustRightInd w:val="0"/>
        <w:spacing w:line="240" w:lineRule="auto"/>
        <w:ind w:left="567"/>
        <w:rPr>
          <w:rFonts w:asciiTheme="majorBidi" w:hAnsiTheme="majorBidi" w:cstheme="majorBidi"/>
          <w:i/>
          <w:iCs/>
          <w:lang w:eastAsia="en-US"/>
        </w:rPr>
      </w:pPr>
    </w:p>
    <w:p w14:paraId="4D330682" w14:textId="77777777" w:rsidR="00C4394D" w:rsidRDefault="00C4394D" w:rsidP="00C4394D">
      <w:pPr>
        <w:rPr>
          <w:lang w:val="nl-NL"/>
        </w:rPr>
      </w:pPr>
    </w:p>
    <w:p w14:paraId="398D8F0E" w14:textId="77777777" w:rsidR="00C4394D" w:rsidRPr="00FC237B" w:rsidRDefault="00C4394D" w:rsidP="00FC237B"/>
    <w:p w14:paraId="06B5E029" w14:textId="77777777" w:rsidR="00C4394D" w:rsidRDefault="00C4394D">
      <w:pPr>
        <w:spacing w:line="240" w:lineRule="auto"/>
        <w:jc w:val="left"/>
        <w:rPr>
          <w:rFonts w:cs="Arial"/>
          <w:b/>
          <w:bCs/>
          <w:i/>
          <w:iCs/>
          <w:sz w:val="28"/>
          <w:szCs w:val="28"/>
        </w:rPr>
      </w:pPr>
      <w:r>
        <w:br w:type="page"/>
      </w:r>
    </w:p>
    <w:p w14:paraId="4F7986CF" w14:textId="779DC317" w:rsidR="00917A47" w:rsidRPr="00461C16" w:rsidRDefault="00917A47" w:rsidP="00917A47">
      <w:pPr>
        <w:pStyle w:val="Heading2"/>
      </w:pPr>
      <w:bookmarkStart w:id="219" w:name="_Toc36116344"/>
      <w:r w:rsidRPr="00C41445">
        <w:lastRenderedPageBreak/>
        <w:t>B.</w:t>
      </w:r>
      <w:r w:rsidRPr="00C41445">
        <w:tab/>
        <w:t>Náležitosti podle § 53 odst. 5 zákona č. 183/2006 Sb.</w:t>
      </w:r>
      <w:bookmarkEnd w:id="219"/>
      <w:r>
        <w:t xml:space="preserve"> </w:t>
      </w:r>
    </w:p>
    <w:p w14:paraId="01D0523A" w14:textId="77777777" w:rsidR="00917A47" w:rsidRPr="00C41445" w:rsidRDefault="00917A47" w:rsidP="00C41445">
      <w:pPr>
        <w:pStyle w:val="ListParagraph"/>
        <w:keepNext/>
        <w:numPr>
          <w:ilvl w:val="0"/>
          <w:numId w:val="130"/>
        </w:numPr>
        <w:autoSpaceDE w:val="0"/>
        <w:autoSpaceDN w:val="0"/>
        <w:adjustRightInd w:val="0"/>
        <w:spacing w:before="240" w:after="120" w:line="240" w:lineRule="auto"/>
        <w:ind w:left="568" w:hanging="568"/>
        <w:jc w:val="left"/>
        <w:rPr>
          <w:rFonts w:eastAsiaTheme="minorHAnsi"/>
          <w:b/>
          <w:lang w:eastAsia="en-US"/>
        </w:rPr>
      </w:pPr>
      <w:r w:rsidRPr="00C41445">
        <w:rPr>
          <w:rFonts w:eastAsiaTheme="minorHAnsi"/>
          <w:b/>
          <w:bCs/>
          <w:lang w:eastAsia="en-US"/>
        </w:rPr>
        <w:t xml:space="preserve">Výsledek přezkoumání územního plánu podle § 53 odst. 4 stavebního zákona </w:t>
      </w:r>
    </w:p>
    <w:p w14:paraId="04DF6DCA"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Návrh Územního plánu Hrádek nad Nisou je v souladu s § 53 odst. 4 stavebního zákona tak, jak je uvedeno v kapitole 4) Náležitosti podle § 53 odst. 4 stavebního zákona tohoto opatření obecné povahy.</w:t>
      </w:r>
    </w:p>
    <w:p w14:paraId="0A838F51" w14:textId="77777777" w:rsidR="00917A47" w:rsidRPr="00C41445" w:rsidRDefault="00917A47" w:rsidP="00C41445">
      <w:pPr>
        <w:pStyle w:val="ListParagraph"/>
        <w:keepNext/>
        <w:numPr>
          <w:ilvl w:val="0"/>
          <w:numId w:val="130"/>
        </w:numPr>
        <w:autoSpaceDE w:val="0"/>
        <w:autoSpaceDN w:val="0"/>
        <w:adjustRightInd w:val="0"/>
        <w:spacing w:before="240" w:after="120" w:line="240" w:lineRule="auto"/>
        <w:ind w:left="568" w:hanging="568"/>
        <w:rPr>
          <w:rFonts w:eastAsiaTheme="minorHAnsi"/>
          <w:b/>
          <w:bCs/>
          <w:lang w:eastAsia="en-US"/>
        </w:rPr>
      </w:pPr>
      <w:r w:rsidRPr="00C41445">
        <w:rPr>
          <w:rFonts w:eastAsiaTheme="minorHAnsi"/>
          <w:b/>
          <w:bCs/>
          <w:lang w:eastAsia="en-US"/>
        </w:rPr>
        <w:t>Zpráva o vyhodnocení vlivů na udržitelný rozvoj území obsahující základní informace o výsledcích tohoto vyhodnocení včetně výsledků vyhodnocení vlivů na životní prostředí</w:t>
      </w:r>
    </w:p>
    <w:p w14:paraId="741DBAFD"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Dotčeným orgánem bylo konstatováno, že záměr nemůže mít samostatně nebo ve spojení s jinými záměry významný vliv na evropsky významné lokality a ptačí oblasti.</w:t>
      </w:r>
    </w:p>
    <w:p w14:paraId="339B6E54"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Dotčeným orgánem z hlediska posuzování vlivů na životní prostředí nebyl uplatněn požadavek na zpracování vyhodnocení vlivů na životní prostředí dle přílohy ke stavebnímu zákonu.</w:t>
      </w:r>
    </w:p>
    <w:p w14:paraId="6CE44E13"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Z výše uvedených důvodů nebylo vyhodnocení vliv na udržitelný rozvoj území zpracováno</w:t>
      </w:r>
    </w:p>
    <w:p w14:paraId="0D942CA3" w14:textId="77777777" w:rsidR="00917A47" w:rsidRPr="00C41445" w:rsidRDefault="00917A47" w:rsidP="00C41445">
      <w:pPr>
        <w:pStyle w:val="ListParagraph"/>
        <w:keepNext/>
        <w:numPr>
          <w:ilvl w:val="0"/>
          <w:numId w:val="130"/>
        </w:numPr>
        <w:autoSpaceDE w:val="0"/>
        <w:autoSpaceDN w:val="0"/>
        <w:adjustRightInd w:val="0"/>
        <w:spacing w:before="240" w:after="120" w:line="240" w:lineRule="auto"/>
        <w:ind w:left="568" w:hanging="568"/>
        <w:rPr>
          <w:rFonts w:eastAsiaTheme="minorHAnsi"/>
          <w:b/>
          <w:bCs/>
          <w:lang w:eastAsia="en-US"/>
        </w:rPr>
      </w:pPr>
      <w:r w:rsidRPr="00C41445">
        <w:rPr>
          <w:rFonts w:eastAsiaTheme="minorHAnsi"/>
          <w:b/>
          <w:bCs/>
          <w:lang w:eastAsia="en-US"/>
        </w:rPr>
        <w:t>Stanovisko krajského úřadu podle § 50 odst. 5 stavebního zákona</w:t>
      </w:r>
    </w:p>
    <w:p w14:paraId="088114E7"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Dotčeným orgánem bylo konstatováno, že záměr nemůže mít samostatně nebo ve spojení s jinými záměry významný vliv na evropsky významné lokality a ptačí oblasti a dotčeným orgánem z hlediska posuzování vlivů na životní prostředí nebyl uplatněn požadavek na zpracování vyhodnocení vlivů na životní prostředí.</w:t>
      </w:r>
    </w:p>
    <w:p w14:paraId="5B0B916C"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Z výše uvedených důvodů nebylo vyhodnocení vliv na udržitelný rozvoj území zpracováno</w:t>
      </w:r>
    </w:p>
    <w:p w14:paraId="65D6BC37" w14:textId="77777777" w:rsidR="00917A47" w:rsidRPr="00C41445" w:rsidRDefault="00917A47" w:rsidP="00C41445">
      <w:pPr>
        <w:pStyle w:val="ListParagraph"/>
        <w:keepNext/>
        <w:numPr>
          <w:ilvl w:val="0"/>
          <w:numId w:val="130"/>
        </w:numPr>
        <w:autoSpaceDE w:val="0"/>
        <w:autoSpaceDN w:val="0"/>
        <w:adjustRightInd w:val="0"/>
        <w:spacing w:before="240" w:after="120" w:line="240" w:lineRule="auto"/>
        <w:ind w:left="568" w:hanging="568"/>
        <w:rPr>
          <w:rFonts w:eastAsiaTheme="minorHAnsi"/>
          <w:b/>
          <w:bCs/>
          <w:lang w:eastAsia="en-US"/>
        </w:rPr>
      </w:pPr>
      <w:r w:rsidRPr="00C41445">
        <w:rPr>
          <w:rFonts w:eastAsiaTheme="minorHAnsi"/>
          <w:b/>
          <w:bCs/>
          <w:lang w:eastAsia="en-US"/>
        </w:rPr>
        <w:t>Sdělení, jak bylo stanovisko podle § 50 odst. 5 stavebního zákona zohledněno, s uvedením závažných důvodů, pokud některé požadavky nebo podmínky zohledněny nebyly</w:t>
      </w:r>
    </w:p>
    <w:p w14:paraId="79FF7DF7"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Dotčeným orgánem bylo konstatováno, že záměr nemůže mít samostatně nebo ve spojení s jinými záměry významný vliv na evropsky významné lokality a ptačí oblasti a dotčeným orgánem z hlediska posuzování vlivů na životní prostředí nebyl uplatněn požadavek na zpracování vyhodnocení vlivů na životní prostředí.</w:t>
      </w:r>
    </w:p>
    <w:p w14:paraId="599073D3"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Z výše uvedených důvodů nebylo vyhodnocení vliv na udržitelný rozvoj území zpracováno</w:t>
      </w:r>
    </w:p>
    <w:p w14:paraId="15B852AD" w14:textId="77777777" w:rsidR="00917A47" w:rsidRPr="00C41445" w:rsidRDefault="00917A47" w:rsidP="00C41445">
      <w:pPr>
        <w:pStyle w:val="ListParagraph"/>
        <w:keepNext/>
        <w:numPr>
          <w:ilvl w:val="0"/>
          <w:numId w:val="130"/>
        </w:numPr>
        <w:autoSpaceDE w:val="0"/>
        <w:autoSpaceDN w:val="0"/>
        <w:adjustRightInd w:val="0"/>
        <w:spacing w:before="240" w:after="120" w:line="240" w:lineRule="auto"/>
        <w:ind w:left="568" w:hanging="568"/>
        <w:rPr>
          <w:rFonts w:eastAsiaTheme="minorHAnsi"/>
          <w:b/>
          <w:bCs/>
          <w:lang w:eastAsia="en-US"/>
        </w:rPr>
      </w:pPr>
      <w:r w:rsidRPr="00C41445">
        <w:rPr>
          <w:rFonts w:eastAsiaTheme="minorHAnsi"/>
          <w:b/>
          <w:bCs/>
          <w:lang w:eastAsia="en-US"/>
        </w:rPr>
        <w:t>Komplexní zdůvodnění přijatého řešení včetně vybrané varianty</w:t>
      </w:r>
    </w:p>
    <w:p w14:paraId="5B487556"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Návrh Územního plánu Hrádek nad Nisou neobsahuje varianty řešení.</w:t>
      </w:r>
    </w:p>
    <w:p w14:paraId="05CA50D1"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Komplexní zdůvodnění přijatého řešení je zpracováno v části zpracované zpracovatelem dokumentace územního plánu, tj. v kapitole 6. Textové části odůvodnění územního plánu.</w:t>
      </w:r>
    </w:p>
    <w:p w14:paraId="3D8B1CF8" w14:textId="4FAFA60C" w:rsidR="00917A47" w:rsidRPr="00C41445" w:rsidRDefault="00917A47" w:rsidP="00C41445">
      <w:pPr>
        <w:pStyle w:val="ListParagraph"/>
        <w:keepNext/>
        <w:numPr>
          <w:ilvl w:val="0"/>
          <w:numId w:val="130"/>
        </w:numPr>
        <w:autoSpaceDE w:val="0"/>
        <w:autoSpaceDN w:val="0"/>
        <w:adjustRightInd w:val="0"/>
        <w:spacing w:before="240" w:after="120" w:line="240" w:lineRule="auto"/>
        <w:ind w:left="568" w:hanging="568"/>
        <w:rPr>
          <w:rFonts w:eastAsiaTheme="minorHAnsi"/>
          <w:b/>
          <w:bCs/>
          <w:lang w:eastAsia="en-US"/>
        </w:rPr>
      </w:pPr>
      <w:r w:rsidRPr="00C41445">
        <w:rPr>
          <w:rFonts w:eastAsiaTheme="minorHAnsi"/>
          <w:b/>
          <w:bCs/>
          <w:lang w:eastAsia="en-US"/>
        </w:rPr>
        <w:t>Vyhodnocení účelného využití zastavěného území a vyhodnocení potřeby vymezení zastavitelných ploch</w:t>
      </w:r>
    </w:p>
    <w:p w14:paraId="1CE33508" w14:textId="77777777" w:rsidR="00917A47" w:rsidRPr="00C41445" w:rsidRDefault="00917A47" w:rsidP="00C41445">
      <w:pPr>
        <w:autoSpaceDE w:val="0"/>
        <w:autoSpaceDN w:val="0"/>
        <w:adjustRightInd w:val="0"/>
        <w:spacing w:before="120" w:after="120" w:line="240" w:lineRule="auto"/>
        <w:ind w:left="567"/>
        <w:rPr>
          <w:rFonts w:cstheme="majorBidi"/>
        </w:rPr>
      </w:pPr>
      <w:r w:rsidRPr="00C41445">
        <w:rPr>
          <w:rFonts w:cstheme="majorBidi"/>
        </w:rPr>
        <w:t>Vyhodnocení účelného využití zastavěného území a vyhodnocení potřeby vymezení zastavitelných ploch je zpracováno v části zpracované zpracovatelem dokumentace územního plánu, tj. v kapitole 7. Textové části odůvodnění územního plánu.</w:t>
      </w:r>
    </w:p>
    <w:p w14:paraId="73F6DAB5" w14:textId="77777777" w:rsidR="00C41445" w:rsidRDefault="00C41445">
      <w:pPr>
        <w:spacing w:line="240" w:lineRule="auto"/>
        <w:jc w:val="left"/>
        <w:rPr>
          <w:rFonts w:cs="Arial"/>
          <w:b/>
          <w:bCs/>
          <w:i/>
          <w:iCs/>
          <w:sz w:val="28"/>
          <w:szCs w:val="28"/>
        </w:rPr>
      </w:pPr>
      <w:r>
        <w:br w:type="page"/>
      </w:r>
    </w:p>
    <w:p w14:paraId="6073ABED" w14:textId="2D53692E" w:rsidR="00917A47" w:rsidRPr="00817B73" w:rsidRDefault="00917A47" w:rsidP="00917A47">
      <w:pPr>
        <w:pStyle w:val="Heading2"/>
      </w:pPr>
      <w:bookmarkStart w:id="220" w:name="_Toc36116345"/>
      <w:r w:rsidRPr="00817B73">
        <w:lastRenderedPageBreak/>
        <w:t>C.</w:t>
      </w:r>
      <w:r w:rsidRPr="00817B73">
        <w:tab/>
        <w:t>Soulad územního plánu s požadavky podle přílohy č. 7 části II odst. 1 vyhlášky č. 500/2006 Sb.</w:t>
      </w:r>
      <w:bookmarkEnd w:id="220"/>
    </w:p>
    <w:p w14:paraId="78ED2EE0" w14:textId="77777777" w:rsidR="00917A47" w:rsidRPr="00817B73" w:rsidRDefault="00917A47" w:rsidP="00817B73">
      <w:pPr>
        <w:pStyle w:val="ListParagraph"/>
        <w:keepNext/>
        <w:numPr>
          <w:ilvl w:val="0"/>
          <w:numId w:val="131"/>
        </w:numPr>
        <w:autoSpaceDE w:val="0"/>
        <w:autoSpaceDN w:val="0"/>
        <w:adjustRightInd w:val="0"/>
        <w:spacing w:before="240" w:line="240" w:lineRule="auto"/>
        <w:ind w:left="567" w:hanging="567"/>
        <w:rPr>
          <w:rFonts w:eastAsiaTheme="minorHAnsi"/>
          <w:b/>
          <w:bCs/>
          <w:lang w:eastAsia="en-US"/>
        </w:rPr>
      </w:pPr>
      <w:r w:rsidRPr="00817B73">
        <w:rPr>
          <w:rFonts w:eastAsiaTheme="minorHAnsi"/>
          <w:b/>
          <w:bCs/>
          <w:lang w:eastAsia="en-US"/>
        </w:rPr>
        <w:t>Vyhodnocení koordinace využívání území z hlediska širších vztahů v území</w:t>
      </w:r>
    </w:p>
    <w:p w14:paraId="3E2C305A" w14:textId="77777777" w:rsidR="00917A47" w:rsidRPr="00817B73" w:rsidRDefault="00917A47" w:rsidP="00817B73">
      <w:pPr>
        <w:autoSpaceDE w:val="0"/>
        <w:autoSpaceDN w:val="0"/>
        <w:adjustRightInd w:val="0"/>
        <w:spacing w:before="120" w:line="240" w:lineRule="auto"/>
        <w:ind w:left="567"/>
        <w:rPr>
          <w:rFonts w:cstheme="majorBidi"/>
        </w:rPr>
      </w:pPr>
      <w:r w:rsidRPr="00817B73">
        <w:rPr>
          <w:rFonts w:cstheme="majorBidi"/>
        </w:rPr>
        <w:t>Vyhodnocení koordinace využívání území z hlediska širších vztahů v území je zpracováno v části zpracované zpracovatelem dokumentace územního plánu, tj. v kapitole 4. Textové části odůvodnění územního plánu.</w:t>
      </w:r>
    </w:p>
    <w:p w14:paraId="4047B29B" w14:textId="77777777" w:rsidR="00917A47" w:rsidRPr="00817B73" w:rsidRDefault="00917A47" w:rsidP="00817B73">
      <w:pPr>
        <w:pStyle w:val="ListParagraph"/>
        <w:keepNext/>
        <w:numPr>
          <w:ilvl w:val="0"/>
          <w:numId w:val="131"/>
        </w:numPr>
        <w:autoSpaceDE w:val="0"/>
        <w:autoSpaceDN w:val="0"/>
        <w:adjustRightInd w:val="0"/>
        <w:spacing w:before="240" w:line="240" w:lineRule="auto"/>
        <w:ind w:hanging="410"/>
        <w:rPr>
          <w:rFonts w:eastAsiaTheme="minorHAnsi"/>
          <w:b/>
          <w:bCs/>
          <w:lang w:eastAsia="en-US"/>
        </w:rPr>
      </w:pPr>
      <w:r w:rsidRPr="00817B73">
        <w:rPr>
          <w:rFonts w:eastAsiaTheme="minorHAnsi"/>
          <w:b/>
          <w:bCs/>
          <w:lang w:eastAsia="en-US"/>
        </w:rPr>
        <w:t>Vyhodnocení splnění požadavků zadání</w:t>
      </w:r>
    </w:p>
    <w:p w14:paraId="199BA9D8" w14:textId="77777777" w:rsidR="00917A47" w:rsidRPr="00817B73" w:rsidRDefault="00917A47" w:rsidP="00817B73">
      <w:pPr>
        <w:autoSpaceDE w:val="0"/>
        <w:autoSpaceDN w:val="0"/>
        <w:adjustRightInd w:val="0"/>
        <w:spacing w:before="120" w:line="240" w:lineRule="auto"/>
        <w:ind w:left="567"/>
        <w:rPr>
          <w:rFonts w:cstheme="majorBidi"/>
        </w:rPr>
      </w:pPr>
      <w:r w:rsidRPr="00817B73">
        <w:rPr>
          <w:rFonts w:cstheme="majorBidi"/>
        </w:rPr>
        <w:t>Návrh Územního plánu Hrádek nad Nisou byl zpracován v souladu se schváleným Zadáním Územního plánu Hrádek nad Nisou</w:t>
      </w:r>
    </w:p>
    <w:p w14:paraId="03CF8C87" w14:textId="77777777" w:rsidR="00917A47" w:rsidRPr="00817B73" w:rsidRDefault="00917A47" w:rsidP="00817B73">
      <w:pPr>
        <w:autoSpaceDE w:val="0"/>
        <w:autoSpaceDN w:val="0"/>
        <w:adjustRightInd w:val="0"/>
        <w:spacing w:before="120" w:line="240" w:lineRule="auto"/>
        <w:ind w:left="567"/>
        <w:rPr>
          <w:rFonts w:cstheme="majorBidi"/>
        </w:rPr>
      </w:pPr>
      <w:r w:rsidRPr="00817B73">
        <w:rPr>
          <w:rFonts w:cstheme="majorBidi"/>
        </w:rPr>
        <w:t>Vyhodnocení splnění požadavků Zadání je zpracováno v textové části odůvodnění návrhu Územního plánu Hrádek nad Nisou a to v kapitole 3. Textové části odůvodnění územního plánu.</w:t>
      </w:r>
    </w:p>
    <w:p w14:paraId="4C4ECE57" w14:textId="2CC3B1B4" w:rsidR="00917A47" w:rsidRPr="00817B73" w:rsidRDefault="00917A47" w:rsidP="00817B73">
      <w:pPr>
        <w:keepNext/>
        <w:autoSpaceDE w:val="0"/>
        <w:autoSpaceDN w:val="0"/>
        <w:adjustRightInd w:val="0"/>
        <w:spacing w:before="120" w:line="240" w:lineRule="auto"/>
        <w:ind w:left="1134" w:hanging="551"/>
        <w:rPr>
          <w:rFonts w:eastAsiaTheme="minorHAnsi"/>
          <w:b/>
          <w:bCs/>
          <w:lang w:eastAsia="en-US"/>
        </w:rPr>
      </w:pPr>
      <w:r w:rsidRPr="00817B73">
        <w:rPr>
          <w:rFonts w:eastAsiaTheme="minorHAnsi"/>
          <w:b/>
          <w:bCs/>
          <w:lang w:eastAsia="en-US"/>
        </w:rPr>
        <w:t xml:space="preserve">b.1) </w:t>
      </w:r>
      <w:r w:rsidR="00817B73">
        <w:rPr>
          <w:rFonts w:eastAsiaTheme="minorHAnsi"/>
          <w:b/>
          <w:bCs/>
          <w:lang w:eastAsia="en-US"/>
        </w:rPr>
        <w:tab/>
      </w:r>
      <w:r w:rsidRPr="00817B73">
        <w:rPr>
          <w:rFonts w:eastAsiaTheme="minorHAnsi"/>
          <w:b/>
          <w:bCs/>
          <w:lang w:eastAsia="en-US"/>
        </w:rPr>
        <w:t xml:space="preserve">Vyhodnocení souladu se schváleným výběrem nejvhodnější varianty a podmínkami k její úpravě v případě postupu podle § 51 odst. 2 stavebního zákona </w:t>
      </w:r>
    </w:p>
    <w:p w14:paraId="064EBB65" w14:textId="77777777" w:rsidR="00917A47" w:rsidRPr="00817B73" w:rsidRDefault="00917A47" w:rsidP="00817B73">
      <w:pPr>
        <w:autoSpaceDE w:val="0"/>
        <w:autoSpaceDN w:val="0"/>
        <w:adjustRightInd w:val="0"/>
        <w:spacing w:before="120" w:line="240" w:lineRule="auto"/>
        <w:ind w:left="1134"/>
        <w:rPr>
          <w:rFonts w:cstheme="majorBidi"/>
        </w:rPr>
      </w:pPr>
      <w:r w:rsidRPr="00817B73">
        <w:rPr>
          <w:rFonts w:cstheme="majorBidi"/>
        </w:rPr>
        <w:t>Návrh Územního plánu Hrádek nad Nisou neobsahuje varianty řešení.</w:t>
      </w:r>
    </w:p>
    <w:p w14:paraId="1577D8BA" w14:textId="168152B1" w:rsidR="00917A47" w:rsidRPr="00817B73" w:rsidRDefault="00917A47" w:rsidP="00817B73">
      <w:pPr>
        <w:keepNext/>
        <w:autoSpaceDE w:val="0"/>
        <w:autoSpaceDN w:val="0"/>
        <w:adjustRightInd w:val="0"/>
        <w:spacing w:before="120" w:line="240" w:lineRule="auto"/>
        <w:ind w:left="1134" w:hanging="551"/>
        <w:rPr>
          <w:rFonts w:eastAsiaTheme="minorHAnsi"/>
          <w:b/>
          <w:bCs/>
          <w:lang w:eastAsia="en-US"/>
        </w:rPr>
      </w:pPr>
      <w:r w:rsidRPr="00817B73">
        <w:rPr>
          <w:rFonts w:eastAsiaTheme="minorHAnsi"/>
          <w:b/>
          <w:bCs/>
          <w:lang w:eastAsia="en-US"/>
        </w:rPr>
        <w:t xml:space="preserve">b.2) </w:t>
      </w:r>
      <w:r w:rsidR="00817B73">
        <w:rPr>
          <w:rFonts w:eastAsiaTheme="minorHAnsi"/>
          <w:b/>
          <w:bCs/>
          <w:lang w:eastAsia="en-US"/>
        </w:rPr>
        <w:tab/>
      </w:r>
      <w:r w:rsidRPr="00817B73">
        <w:rPr>
          <w:rFonts w:eastAsiaTheme="minorHAnsi"/>
          <w:b/>
          <w:bCs/>
          <w:lang w:eastAsia="en-US"/>
        </w:rPr>
        <w:t>Vyhodnocení souladu s pokyny pro zpracování návrhu územního plánu v případě postupu podle § 51 odst. 3 stavebního zákona</w:t>
      </w:r>
    </w:p>
    <w:p w14:paraId="31C2128A" w14:textId="0A4BA3F6" w:rsidR="00917A47" w:rsidRPr="00817B73" w:rsidRDefault="00BA7077" w:rsidP="00BA7077">
      <w:pPr>
        <w:autoSpaceDE w:val="0"/>
        <w:autoSpaceDN w:val="0"/>
        <w:spacing w:before="120"/>
        <w:ind w:left="1134"/>
        <w:rPr>
          <w:rFonts w:cstheme="majorBidi"/>
        </w:rPr>
      </w:pPr>
      <w:r>
        <w:t>Při pořizování Územního plánu Hrádek nad Nisou nebylo postupováno podle § 51 odst. 3 stavebního zákona</w:t>
      </w:r>
      <w:r w:rsidR="00917A47" w:rsidRPr="00817B73">
        <w:rPr>
          <w:rFonts w:cstheme="majorBidi"/>
        </w:rPr>
        <w:t>.</w:t>
      </w:r>
    </w:p>
    <w:p w14:paraId="7D4E1018" w14:textId="7A0A4BE7" w:rsidR="00917A47" w:rsidRPr="00817B73" w:rsidRDefault="00917A47" w:rsidP="00817B73">
      <w:pPr>
        <w:keepNext/>
        <w:autoSpaceDE w:val="0"/>
        <w:autoSpaceDN w:val="0"/>
        <w:adjustRightInd w:val="0"/>
        <w:spacing w:before="120" w:line="240" w:lineRule="auto"/>
        <w:ind w:left="1134" w:hanging="551"/>
        <w:rPr>
          <w:rFonts w:eastAsiaTheme="minorHAnsi"/>
          <w:b/>
          <w:bCs/>
          <w:lang w:eastAsia="en-US"/>
        </w:rPr>
      </w:pPr>
      <w:r w:rsidRPr="00817B73">
        <w:rPr>
          <w:rFonts w:eastAsiaTheme="minorHAnsi"/>
          <w:b/>
          <w:bCs/>
          <w:lang w:eastAsia="en-US"/>
        </w:rPr>
        <w:t xml:space="preserve">b.3) </w:t>
      </w:r>
      <w:r w:rsidR="00817B73">
        <w:rPr>
          <w:rFonts w:eastAsiaTheme="minorHAnsi"/>
          <w:b/>
          <w:bCs/>
          <w:lang w:eastAsia="en-US"/>
        </w:rPr>
        <w:tab/>
      </w:r>
      <w:r w:rsidRPr="00817B73">
        <w:rPr>
          <w:rFonts w:eastAsiaTheme="minorHAnsi"/>
          <w:b/>
          <w:bCs/>
          <w:lang w:eastAsia="en-US"/>
        </w:rPr>
        <w:t>Vyhodnocení souladu s pokyny k úpravě návrhu územního plánu v případě postupu podle § 54 odst. 3 stavebního zákona</w:t>
      </w:r>
    </w:p>
    <w:p w14:paraId="36CC725D" w14:textId="488F5A16" w:rsidR="00917A47" w:rsidRPr="00817B73" w:rsidRDefault="00BA7077" w:rsidP="00817B73">
      <w:pPr>
        <w:autoSpaceDE w:val="0"/>
        <w:autoSpaceDN w:val="0"/>
        <w:adjustRightInd w:val="0"/>
        <w:spacing w:before="120" w:line="240" w:lineRule="auto"/>
        <w:ind w:left="1134"/>
        <w:rPr>
          <w:rFonts w:cstheme="majorBidi"/>
        </w:rPr>
      </w:pPr>
      <w:r>
        <w:t>Zastupitelstvo města Hrádek nad Nisou souhlasilo s předloženým Územním plánem Hrádek nad Nisou a s výsledky jeho projednání, neshledalo důvody pro jeho vrácení pořizovateli nebo zamítnutí</w:t>
      </w:r>
      <w:r w:rsidR="00917A47" w:rsidRPr="00817B73">
        <w:rPr>
          <w:rFonts w:cstheme="majorBidi"/>
        </w:rPr>
        <w:t>.</w:t>
      </w:r>
    </w:p>
    <w:p w14:paraId="5C4C272F" w14:textId="6FB6AAD7" w:rsidR="00917A47" w:rsidRPr="00817B73" w:rsidRDefault="00917A47" w:rsidP="00817B73">
      <w:pPr>
        <w:keepNext/>
        <w:autoSpaceDE w:val="0"/>
        <w:autoSpaceDN w:val="0"/>
        <w:adjustRightInd w:val="0"/>
        <w:spacing w:before="120" w:line="240" w:lineRule="auto"/>
        <w:ind w:left="1134" w:hanging="551"/>
        <w:rPr>
          <w:rFonts w:eastAsiaTheme="minorHAnsi"/>
          <w:b/>
          <w:bCs/>
          <w:lang w:eastAsia="en-US"/>
        </w:rPr>
      </w:pPr>
      <w:r w:rsidRPr="00817B73">
        <w:rPr>
          <w:rFonts w:eastAsiaTheme="minorHAnsi"/>
          <w:b/>
          <w:bCs/>
          <w:lang w:eastAsia="en-US"/>
        </w:rPr>
        <w:t xml:space="preserve">b.4) </w:t>
      </w:r>
      <w:r w:rsidR="00817B73">
        <w:rPr>
          <w:rFonts w:eastAsiaTheme="minorHAnsi"/>
          <w:b/>
          <w:bCs/>
          <w:lang w:eastAsia="en-US"/>
        </w:rPr>
        <w:tab/>
      </w:r>
      <w:r w:rsidRPr="00817B73">
        <w:rPr>
          <w:rFonts w:eastAsiaTheme="minorHAnsi"/>
          <w:b/>
          <w:bCs/>
          <w:lang w:eastAsia="en-US"/>
        </w:rPr>
        <w:t>Vyhodnocení souladu s rozhodnutím o pořízení územního plánu nebo jeho změny a o jejím obsahu v případě postupu podle § 55 odst. 3 stavebního zákona</w:t>
      </w:r>
    </w:p>
    <w:p w14:paraId="70882843" w14:textId="77777777" w:rsidR="00917A47" w:rsidRPr="00817B73" w:rsidRDefault="00917A47" w:rsidP="00817B73">
      <w:pPr>
        <w:autoSpaceDE w:val="0"/>
        <w:autoSpaceDN w:val="0"/>
        <w:adjustRightInd w:val="0"/>
        <w:spacing w:before="120" w:line="240" w:lineRule="auto"/>
        <w:ind w:left="1134"/>
        <w:rPr>
          <w:rFonts w:cstheme="majorBidi"/>
        </w:rPr>
      </w:pPr>
      <w:r w:rsidRPr="00817B73">
        <w:rPr>
          <w:rFonts w:cstheme="majorBidi"/>
        </w:rPr>
        <w:t>Územní plán Hrádek nad Nisou nebo její část nebyla zrušena, ani nenastaly skutečnosti podle § 54 odst. 4 a 5 stavebního zákona, z toho důvodu nebylo zastupitelstvem města rozhodnuto o pořízení územního plánu nebo jeho změny a o jejím obsahu.</w:t>
      </w:r>
    </w:p>
    <w:p w14:paraId="327D8BA6" w14:textId="77777777" w:rsidR="00917A47" w:rsidRPr="00817B73" w:rsidRDefault="00917A47" w:rsidP="00817B73">
      <w:pPr>
        <w:pStyle w:val="ListParagraph"/>
        <w:keepNext/>
        <w:numPr>
          <w:ilvl w:val="0"/>
          <w:numId w:val="131"/>
        </w:numPr>
        <w:autoSpaceDE w:val="0"/>
        <w:autoSpaceDN w:val="0"/>
        <w:adjustRightInd w:val="0"/>
        <w:spacing w:before="240" w:line="240" w:lineRule="auto"/>
        <w:ind w:left="567" w:hanging="567"/>
        <w:rPr>
          <w:rFonts w:eastAsiaTheme="minorHAnsi"/>
          <w:b/>
          <w:bCs/>
          <w:lang w:eastAsia="en-US"/>
        </w:rPr>
      </w:pPr>
      <w:r w:rsidRPr="00817B73">
        <w:rPr>
          <w:rFonts w:eastAsiaTheme="minorHAnsi"/>
          <w:b/>
          <w:bCs/>
          <w:lang w:eastAsia="en-US"/>
        </w:rPr>
        <w:t>Výčet záležitostí nadmístního významu, které nejsou řešeny v zásadách územního rozvoje (§ 43 odst. 1 stavebního zákona), s odůvodněním potřeby jejich vymezení</w:t>
      </w:r>
    </w:p>
    <w:p w14:paraId="15633C25" w14:textId="77777777" w:rsidR="00917A47" w:rsidRPr="00817B73" w:rsidRDefault="00917A47" w:rsidP="00817B73">
      <w:pPr>
        <w:autoSpaceDE w:val="0"/>
        <w:autoSpaceDN w:val="0"/>
        <w:adjustRightInd w:val="0"/>
        <w:spacing w:before="120" w:line="240" w:lineRule="auto"/>
        <w:rPr>
          <w:rFonts w:cstheme="majorBidi"/>
        </w:rPr>
      </w:pPr>
      <w:r w:rsidRPr="00817B73">
        <w:rPr>
          <w:rFonts w:cstheme="majorBidi"/>
        </w:rPr>
        <w:t>V územním plánu nejsou řešeny žádné záležitosti nadmístního významu, které nejsou řešeny v zásadách územního rozvoje.</w:t>
      </w:r>
    </w:p>
    <w:p w14:paraId="1B070CF1" w14:textId="77777777" w:rsidR="00917A47" w:rsidRPr="00817B73" w:rsidRDefault="00917A47" w:rsidP="00817B73">
      <w:pPr>
        <w:pStyle w:val="ListParagraph"/>
        <w:keepNext/>
        <w:numPr>
          <w:ilvl w:val="0"/>
          <w:numId w:val="131"/>
        </w:numPr>
        <w:autoSpaceDE w:val="0"/>
        <w:autoSpaceDN w:val="0"/>
        <w:adjustRightInd w:val="0"/>
        <w:spacing w:before="240" w:line="240" w:lineRule="auto"/>
        <w:ind w:left="567" w:hanging="567"/>
        <w:rPr>
          <w:rFonts w:eastAsiaTheme="minorHAnsi"/>
          <w:b/>
          <w:bCs/>
          <w:lang w:eastAsia="en-US"/>
        </w:rPr>
      </w:pPr>
      <w:r w:rsidRPr="00817B73">
        <w:rPr>
          <w:rFonts w:eastAsiaTheme="minorHAnsi"/>
          <w:b/>
          <w:bCs/>
          <w:lang w:eastAsia="en-US"/>
        </w:rPr>
        <w:t>Vyhodnocení předpokládaných důsledků navrhovaného řešení na zemědělský půdní fond a pozemky určené k plnění funkce lesa</w:t>
      </w:r>
    </w:p>
    <w:p w14:paraId="7888478C" w14:textId="77777777" w:rsidR="00917A47" w:rsidRPr="00817B73" w:rsidRDefault="00917A47" w:rsidP="00817B73">
      <w:pPr>
        <w:autoSpaceDE w:val="0"/>
        <w:autoSpaceDN w:val="0"/>
        <w:adjustRightInd w:val="0"/>
        <w:spacing w:before="120" w:line="240" w:lineRule="auto"/>
        <w:rPr>
          <w:rFonts w:cstheme="majorBidi"/>
        </w:rPr>
      </w:pPr>
      <w:r w:rsidRPr="00817B73">
        <w:rPr>
          <w:rFonts w:cstheme="majorBidi"/>
        </w:rPr>
        <w:t>Vyhodnocení je zpracováno v části zpracované zpracovatelem dokumentace územního plánu a to v kapitole 8. Textové části odůvodnění územního plánu.</w:t>
      </w:r>
    </w:p>
    <w:p w14:paraId="60F6D8EF" w14:textId="77777777" w:rsidR="00917A47" w:rsidRPr="00917A47" w:rsidRDefault="00917A47" w:rsidP="00817B73">
      <w:pPr>
        <w:ind w:left="567" w:hanging="567"/>
      </w:pPr>
    </w:p>
    <w:p w14:paraId="39C4B475" w14:textId="77777777" w:rsidR="00817B73" w:rsidRDefault="00817B73">
      <w:pPr>
        <w:spacing w:line="240" w:lineRule="auto"/>
        <w:jc w:val="left"/>
        <w:rPr>
          <w:rFonts w:cs="Arial"/>
          <w:b/>
          <w:bCs/>
          <w:i/>
          <w:iCs/>
          <w:sz w:val="28"/>
          <w:szCs w:val="28"/>
        </w:rPr>
      </w:pPr>
      <w:r>
        <w:br w:type="page"/>
      </w:r>
    </w:p>
    <w:p w14:paraId="0A6530BB" w14:textId="567DF8F5" w:rsidR="00C4394D" w:rsidRDefault="00917A47" w:rsidP="00C4394D">
      <w:pPr>
        <w:pStyle w:val="Heading2"/>
      </w:pPr>
      <w:bookmarkStart w:id="221" w:name="_Toc36116346"/>
      <w:r>
        <w:lastRenderedPageBreak/>
        <w:t>D</w:t>
      </w:r>
      <w:r w:rsidR="00C4394D">
        <w:t>.</w:t>
      </w:r>
      <w:r w:rsidR="00C4394D">
        <w:tab/>
        <w:t>Rozhodnutí o námitkách uplatněných v návrhu Územního plánu Hrádek nad Nisou a jejich odůvodnění</w:t>
      </w:r>
      <w:bookmarkEnd w:id="221"/>
    </w:p>
    <w:p w14:paraId="670B335F" w14:textId="77777777" w:rsidR="00C4394D" w:rsidRPr="00FC237B" w:rsidRDefault="00C4394D" w:rsidP="00FC237B">
      <w:pPr>
        <w:spacing w:before="240"/>
      </w:pPr>
      <w:r w:rsidRPr="00FC237B">
        <w:t>Pořizovatel obdržel na základě zveřejněné veřejné vyhlášky oznamující veřejné projednání k návrhu Územního plánu Hrádek nad Nisou 4 námitky, které vyhodnotil následujícím způsobem:</w:t>
      </w:r>
    </w:p>
    <w:p w14:paraId="33BEC19E" w14:textId="77777777" w:rsidR="00C4394D" w:rsidRPr="00B45646" w:rsidRDefault="00C4394D" w:rsidP="0059000C">
      <w:pPr>
        <w:spacing w:before="240" w:line="247" w:lineRule="auto"/>
        <w:ind w:right="215" w:hanging="11"/>
        <w:rPr>
          <w:b/>
          <w:color w:val="92D050"/>
          <w:sz w:val="24"/>
          <w:szCs w:val="24"/>
        </w:rPr>
      </w:pPr>
      <w:r w:rsidRPr="00B45646">
        <w:rPr>
          <w:b/>
          <w:color w:val="92D050"/>
          <w:sz w:val="24"/>
          <w:szCs w:val="24"/>
        </w:rPr>
        <w:t>Námitka č. 1 – Podatel: Jana Vokněrová – (v zákrese označena jako N1)</w:t>
      </w:r>
    </w:p>
    <w:p w14:paraId="381698C6" w14:textId="77777777" w:rsidR="00C4394D" w:rsidRPr="00C4394D" w:rsidRDefault="00C4394D" w:rsidP="00C4394D">
      <w:pPr>
        <w:pStyle w:val="BodyText"/>
        <w:keepNext/>
        <w:spacing w:before="120"/>
        <w:rPr>
          <w:rFonts w:cs="Times New Roman"/>
          <w:sz w:val="22"/>
          <w:szCs w:val="22"/>
        </w:rPr>
      </w:pPr>
      <w:r w:rsidRPr="00C4394D">
        <w:rPr>
          <w:rFonts w:cs="Times New Roman"/>
          <w:sz w:val="22"/>
          <w:szCs w:val="22"/>
        </w:rPr>
        <w:t>Námitka ze dne 16.10.2019, doručená dne 16.10.2019, vedená pod č. j.OSŽP-7120/2019</w:t>
      </w:r>
    </w:p>
    <w:p w14:paraId="55EFBD9E" w14:textId="77777777" w:rsidR="00C4394D" w:rsidRPr="00C4394D" w:rsidRDefault="00C4394D" w:rsidP="00C4394D">
      <w:pPr>
        <w:pStyle w:val="BodyText"/>
        <w:keepNext/>
        <w:spacing w:before="120"/>
        <w:rPr>
          <w:b/>
          <w:i/>
          <w:sz w:val="22"/>
          <w:szCs w:val="22"/>
        </w:rPr>
      </w:pPr>
      <w:r w:rsidRPr="00C4394D">
        <w:rPr>
          <w:b/>
          <w:i/>
          <w:sz w:val="22"/>
          <w:szCs w:val="22"/>
        </w:rPr>
        <w:t xml:space="preserve">Obsah námitky: </w:t>
      </w:r>
    </w:p>
    <w:p w14:paraId="694A407F" w14:textId="77777777" w:rsidR="00C4394D" w:rsidRPr="00C4394D" w:rsidRDefault="00C4394D" w:rsidP="00C4394D">
      <w:pPr>
        <w:pStyle w:val="BodyText"/>
        <w:keepNext/>
        <w:spacing w:before="120"/>
        <w:rPr>
          <w:rFonts w:cs="Times New Roman"/>
          <w:bCs/>
          <w:i/>
          <w:sz w:val="22"/>
          <w:szCs w:val="22"/>
        </w:rPr>
      </w:pPr>
      <w:r w:rsidRPr="00C4394D">
        <w:rPr>
          <w:rFonts w:cs="Times New Roman"/>
          <w:bCs/>
          <w:i/>
          <w:sz w:val="22"/>
          <w:szCs w:val="22"/>
        </w:rPr>
        <w:t>Námitka proti novému územnímu plánu</w:t>
      </w:r>
    </w:p>
    <w:p w14:paraId="609929C4" w14:textId="77777777" w:rsidR="00C4394D" w:rsidRPr="00C4394D" w:rsidRDefault="00C4394D" w:rsidP="00C4394D">
      <w:pPr>
        <w:pStyle w:val="BodyText"/>
        <w:keepNext/>
        <w:spacing w:before="120"/>
        <w:rPr>
          <w:rFonts w:cs="Times New Roman"/>
          <w:bCs/>
          <w:i/>
          <w:sz w:val="22"/>
          <w:szCs w:val="22"/>
        </w:rPr>
      </w:pPr>
      <w:r w:rsidRPr="00C4394D">
        <w:rPr>
          <w:rFonts w:cs="Times New Roman"/>
          <w:bCs/>
          <w:i/>
          <w:sz w:val="22"/>
          <w:szCs w:val="22"/>
        </w:rPr>
        <w:t>Vznáším námitku proti novému územnímu plánu, do kterého je zahrnutý můj pozemek č. 1113 v katastrálním území Donín u Hrádku nad Nisou. Tento pozemek byl doposud vedený jako zastavitelný. V novém územním plánu má být tento pozemek vedený jako nezastavitelný. Tímto Vás žádám, aby byl pozemek dále vedený v územním plánu jako zastavitelný z důvodu budoucí výstavby rodinného domu. Vaší změnou v novém územním plánu by byla poškozena moje rodina.</w:t>
      </w:r>
    </w:p>
    <w:p w14:paraId="6EE4380A" w14:textId="77777777" w:rsidR="00C4394D" w:rsidRPr="00C4394D" w:rsidRDefault="00C4394D" w:rsidP="00C4394D">
      <w:pPr>
        <w:spacing w:before="120" w:line="240" w:lineRule="auto"/>
        <w:rPr>
          <w:b/>
          <w:i/>
          <w:u w:val="single"/>
        </w:rPr>
      </w:pPr>
      <w:r w:rsidRPr="00C4394D">
        <w:rPr>
          <w:b/>
          <w:i/>
          <w:u w:val="single"/>
        </w:rPr>
        <w:t xml:space="preserve">Rozhodnutí o námitce: </w:t>
      </w:r>
    </w:p>
    <w:p w14:paraId="4446D0CB" w14:textId="77777777" w:rsidR="00C4394D" w:rsidRPr="00C4394D" w:rsidRDefault="00C4394D" w:rsidP="00C4394D">
      <w:pPr>
        <w:spacing w:before="120" w:line="240" w:lineRule="auto"/>
        <w:ind w:hanging="11"/>
        <w:rPr>
          <w:b/>
          <w:i/>
        </w:rPr>
      </w:pPr>
      <w:r w:rsidRPr="00C4394D">
        <w:rPr>
          <w:b/>
          <w:i/>
        </w:rPr>
        <w:t>Pořizovatel ve spolupráci s určeným zastupitelem a projektantem posoudil uplatněnou námitku a po důkladném prověření došel k závěru, že</w:t>
      </w:r>
      <w:r w:rsidRPr="00C4394D">
        <w:rPr>
          <w:b/>
          <w:bCs/>
          <w:i/>
        </w:rPr>
        <w:t xml:space="preserve"> přestože byl pozemek č.p. 1113 v katastrálním území Donín u Hrádku nad Nisou</w:t>
      </w:r>
      <w:r w:rsidRPr="00C4394D">
        <w:rPr>
          <w:b/>
          <w:i/>
          <w:color w:val="FF0000"/>
        </w:rPr>
        <w:t xml:space="preserve"> </w:t>
      </w:r>
      <w:r w:rsidRPr="00C4394D">
        <w:rPr>
          <w:b/>
          <w:i/>
        </w:rPr>
        <w:t>pro zastavění objekty bydlení vymezen v platném ÚPSÚ již od roku 1996, do současnosti nedošlo k využití pozemku pro daný záměr. Pro tento pozemek nebylo vydáno žádné územní rozhodnutí ani stavení povolení.</w:t>
      </w:r>
    </w:p>
    <w:p w14:paraId="6BC4CAA5" w14:textId="77777777" w:rsidR="00C4394D" w:rsidRPr="00C4394D" w:rsidRDefault="00C4394D" w:rsidP="00C4394D">
      <w:pPr>
        <w:spacing w:before="120" w:line="240" w:lineRule="auto"/>
        <w:ind w:hanging="11"/>
        <w:rPr>
          <w:b/>
          <w:i/>
        </w:rPr>
      </w:pPr>
      <w:r w:rsidRPr="00C4394D">
        <w:rPr>
          <w:b/>
          <w:i/>
        </w:rPr>
        <w:t>V Návrhu Územního plánu Hrádek nad Nisou došlo k přehodnocení potřeby vymezení nových zastavitelných ploch zejména s ohledem na ochranu volné krajiny a ochranu kvalitních zemědělských půd I. a II. třídy ochrany vyplývající ze zákona č. 334/1992 Sb. (Zákon o ochraně zemědělského půdního fondu), v souladu s PÚR ČR a ZÚR Libereckého kraje.</w:t>
      </w:r>
    </w:p>
    <w:p w14:paraId="779F000B" w14:textId="77777777" w:rsidR="00C4394D" w:rsidRPr="00C4394D" w:rsidRDefault="00C4394D" w:rsidP="00C4394D">
      <w:pPr>
        <w:spacing w:before="120" w:line="240" w:lineRule="auto"/>
        <w:ind w:hanging="11"/>
        <w:rPr>
          <w:b/>
          <w:i/>
        </w:rPr>
      </w:pPr>
      <w:r w:rsidRPr="00C4394D">
        <w:rPr>
          <w:b/>
          <w:i/>
        </w:rPr>
        <w:t>Z hlediska ochrany zemědělského půdního fondu se dotčený pozemek nachází z převážné části na půdě II. třídy ochrany zemědělského půdního fondu, je pořizovatel toho názoru, že zábor nejcennějších půd již nelze v souladu se stanoviskem orgánu ochrany ZPF navyšovat, a zvláště pro plochy, které přestože mohly být stavebně využity, k tomuto využití dlouhodobě nedošlo, navíc tyto plochy svou nevyužitou kapacitou blokují jiné podstatně reálněji využitelné rozvojové plochy.</w:t>
      </w:r>
    </w:p>
    <w:p w14:paraId="29D1999D" w14:textId="77777777" w:rsidR="00C4394D" w:rsidRPr="00C4394D" w:rsidRDefault="00C4394D" w:rsidP="00C4394D">
      <w:pPr>
        <w:spacing w:before="120" w:line="240" w:lineRule="auto"/>
        <w:ind w:hanging="11"/>
        <w:rPr>
          <w:b/>
          <w:i/>
          <w:iCs/>
        </w:rPr>
      </w:pPr>
      <w:r w:rsidRPr="00C4394D">
        <w:rPr>
          <w:b/>
          <w:i/>
        </w:rPr>
        <w:t xml:space="preserve">Dále pořizovatel dospěl k závěru, že </w:t>
      </w:r>
      <w:r w:rsidRPr="00C4394D">
        <w:rPr>
          <w:b/>
          <w:i/>
          <w:iCs/>
        </w:rPr>
        <w:t xml:space="preserve">rozvoj by mohl ohrozit hodnoty, které jsou ve veřejném zájmu, a to </w:t>
      </w:r>
      <w:r w:rsidRPr="00C4394D">
        <w:rPr>
          <w:b/>
          <w:i/>
        </w:rPr>
        <w:t>vytváření</w:t>
      </w:r>
      <w:r w:rsidRPr="00C4394D">
        <w:rPr>
          <w:b/>
          <w:i/>
          <w:iCs/>
        </w:rPr>
        <w:t xml:space="preserve"> kvalitního obytného a krajinného prostředí, kvalitní urbanistické a krajinářské koncepce, dotvoření a naplnění dlouhodobě sledované a platné územně plánovací koncepce, jelikož každé území má jen omezený počet ploch, které mohou být v návrhu k zastavění. Je důležité navrhovat takové plochy, v lokalitách kde je dostatečná kapacita technické infrastruktury a tam kde převažuje veřejný zájem. </w:t>
      </w:r>
    </w:p>
    <w:p w14:paraId="68FEDA00" w14:textId="77777777" w:rsidR="00C4394D" w:rsidRDefault="00C4394D" w:rsidP="00C4394D">
      <w:pPr>
        <w:keepNext/>
        <w:spacing w:before="120" w:line="247" w:lineRule="auto"/>
        <w:ind w:left="425" w:right="215" w:hanging="11"/>
        <w:jc w:val="center"/>
        <w:rPr>
          <w:i/>
          <w:sz w:val="20"/>
          <w:szCs w:val="20"/>
        </w:rPr>
      </w:pPr>
      <w:r w:rsidRPr="00C4394D">
        <w:rPr>
          <w:i/>
          <w:sz w:val="20"/>
          <w:szCs w:val="20"/>
        </w:rPr>
        <w:lastRenderedPageBreak/>
        <w:t>Zákres námitky č. 1 do Hlavního výkresu návrhu Územního plánu Hrádek nad Nisou:</w:t>
      </w:r>
    </w:p>
    <w:tbl>
      <w:tblPr>
        <w:tblStyle w:val="TableGrid"/>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3"/>
      </w:tblGrid>
      <w:tr w:rsidR="00C4394D" w14:paraId="15581A6D" w14:textId="77777777" w:rsidTr="00C4394D">
        <w:tc>
          <w:tcPr>
            <w:tcW w:w="9212" w:type="dxa"/>
          </w:tcPr>
          <w:p w14:paraId="13FE1429" w14:textId="77777777" w:rsidR="00C4394D" w:rsidRDefault="00C4394D" w:rsidP="00C4394D">
            <w:pPr>
              <w:keepNext/>
              <w:spacing w:before="120" w:line="247" w:lineRule="auto"/>
              <w:ind w:right="215"/>
              <w:jc w:val="center"/>
              <w:rPr>
                <w:i/>
                <w:sz w:val="20"/>
                <w:szCs w:val="20"/>
              </w:rPr>
            </w:pPr>
            <w:r w:rsidRPr="00C4394D">
              <w:rPr>
                <w:b/>
                <w:bCs/>
                <w:i/>
                <w:noProof/>
                <w:lang w:eastAsia="cs-CZ"/>
              </w:rPr>
              <w:drawing>
                <wp:inline distT="0" distB="0" distL="0" distR="0" wp14:anchorId="52DFD7BC" wp14:editId="7064240E">
                  <wp:extent cx="4377927" cy="3219450"/>
                  <wp:effectExtent l="0" t="0" r="381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 name="N1-111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15349" cy="3246969"/>
                          </a:xfrm>
                          <a:prstGeom prst="rect">
                            <a:avLst/>
                          </a:prstGeom>
                        </pic:spPr>
                      </pic:pic>
                    </a:graphicData>
                  </a:graphic>
                </wp:inline>
              </w:drawing>
            </w:r>
          </w:p>
        </w:tc>
      </w:tr>
    </w:tbl>
    <w:p w14:paraId="6FFA7D8B" w14:textId="77777777" w:rsidR="00C4394D" w:rsidRPr="00C4394D" w:rsidRDefault="00C4394D" w:rsidP="00C4394D">
      <w:pPr>
        <w:keepNext/>
        <w:spacing w:before="120" w:line="247" w:lineRule="auto"/>
        <w:ind w:left="425" w:right="215" w:hanging="11"/>
        <w:jc w:val="center"/>
        <w:rPr>
          <w:i/>
          <w:sz w:val="20"/>
          <w:szCs w:val="20"/>
        </w:rPr>
      </w:pPr>
    </w:p>
    <w:p w14:paraId="77AF354E" w14:textId="77777777" w:rsidR="00C4394D" w:rsidRPr="00B45646" w:rsidRDefault="00C4394D" w:rsidP="0059000C">
      <w:pPr>
        <w:pStyle w:val="BodyText"/>
        <w:spacing w:before="240"/>
        <w:rPr>
          <w:b/>
          <w:bCs/>
          <w:color w:val="92D050"/>
        </w:rPr>
      </w:pPr>
      <w:r w:rsidRPr="00B45646">
        <w:rPr>
          <w:b/>
          <w:bCs/>
          <w:color w:val="92D050"/>
        </w:rPr>
        <w:t>Námitka č.2 -  Podatel: Luboš Svoboda – (v zákrese označena jako N2)</w:t>
      </w:r>
    </w:p>
    <w:p w14:paraId="179CDC43" w14:textId="77777777" w:rsidR="00C4394D" w:rsidRPr="00C4394D" w:rsidRDefault="00C4394D" w:rsidP="00C4394D">
      <w:pPr>
        <w:pStyle w:val="BodyText"/>
        <w:keepNext/>
        <w:spacing w:before="120"/>
        <w:rPr>
          <w:rFonts w:cs="Times New Roman"/>
          <w:sz w:val="22"/>
          <w:szCs w:val="22"/>
        </w:rPr>
      </w:pPr>
      <w:r w:rsidRPr="00C4394D">
        <w:rPr>
          <w:rFonts w:cs="Times New Roman"/>
          <w:sz w:val="22"/>
          <w:szCs w:val="22"/>
        </w:rPr>
        <w:t>Námitka ze dne 15.10.2019, doručená dne 15.10.2019, vedená pod č. j. OSŽP-7081/2019</w:t>
      </w:r>
    </w:p>
    <w:p w14:paraId="77BAB19B" w14:textId="77777777" w:rsidR="00C4394D" w:rsidRPr="00C4394D" w:rsidRDefault="00C4394D" w:rsidP="00C4394D">
      <w:pPr>
        <w:pStyle w:val="BodyText"/>
        <w:keepNext/>
        <w:spacing w:before="120"/>
        <w:rPr>
          <w:b/>
          <w:i/>
          <w:sz w:val="22"/>
          <w:szCs w:val="22"/>
        </w:rPr>
      </w:pPr>
      <w:r w:rsidRPr="00C4394D">
        <w:rPr>
          <w:b/>
          <w:i/>
          <w:sz w:val="22"/>
          <w:szCs w:val="22"/>
        </w:rPr>
        <w:t xml:space="preserve">Obsah námitky: </w:t>
      </w:r>
    </w:p>
    <w:p w14:paraId="503C7B26" w14:textId="77777777" w:rsidR="00C4394D" w:rsidRPr="00C4394D" w:rsidRDefault="00C4394D" w:rsidP="00C4394D">
      <w:pPr>
        <w:pStyle w:val="BodyText"/>
        <w:keepNext/>
        <w:spacing w:before="120"/>
        <w:rPr>
          <w:rFonts w:cs="Times New Roman"/>
          <w:bCs/>
          <w:i/>
          <w:sz w:val="22"/>
          <w:szCs w:val="22"/>
        </w:rPr>
      </w:pPr>
      <w:r w:rsidRPr="00C4394D">
        <w:rPr>
          <w:rFonts w:cs="Times New Roman"/>
          <w:bCs/>
          <w:i/>
          <w:sz w:val="22"/>
          <w:szCs w:val="22"/>
        </w:rPr>
        <w:t>Dne 04.02.2011 byla mnou podaná žádost u Městského úřadu v Hrádku nad Nisou, odbor stavební a životního prostředí — ÚP-ZMĚNA o změnu na plochu „zastavitelnou” pod č.j.960/2011, mimo jiné také k parcelnímu č.748, k.ú. Oldřichov na Hranicích [710008], LVI 23, druh poz. trvalý travní porost.</w:t>
      </w:r>
    </w:p>
    <w:p w14:paraId="3B4D33C0" w14:textId="77777777" w:rsidR="00C4394D" w:rsidRPr="00C4394D" w:rsidRDefault="00C4394D" w:rsidP="00C4394D">
      <w:pPr>
        <w:pStyle w:val="BodyText"/>
        <w:keepNext/>
        <w:spacing w:before="120"/>
        <w:rPr>
          <w:rFonts w:cs="Times New Roman"/>
          <w:bCs/>
          <w:i/>
          <w:sz w:val="22"/>
          <w:szCs w:val="22"/>
        </w:rPr>
      </w:pPr>
      <w:r w:rsidRPr="00C4394D">
        <w:rPr>
          <w:rFonts w:cs="Times New Roman"/>
          <w:bCs/>
          <w:i/>
          <w:sz w:val="22"/>
          <w:szCs w:val="22"/>
        </w:rPr>
        <w:t>Jelikož popisovaný mírně svažitý pozemek se nachází centrálně v obci, v zázemí ploch pro bydlení, dopravně dostupný, sousedící celou hranicí pozemku s komunikací vč. veškerých základních sítí technické infrastruktury je naprosto vhodný pro výstavbu -</w:t>
      </w:r>
    </w:p>
    <w:p w14:paraId="1BC72984" w14:textId="77777777" w:rsidR="00C4394D" w:rsidRPr="00C4394D" w:rsidRDefault="00C4394D" w:rsidP="00C4394D">
      <w:pPr>
        <w:pStyle w:val="BodyText"/>
        <w:keepNext/>
        <w:spacing w:before="120" w:after="120"/>
        <w:rPr>
          <w:rFonts w:cs="Times New Roman"/>
          <w:bCs/>
          <w:i/>
          <w:sz w:val="22"/>
          <w:szCs w:val="22"/>
        </w:rPr>
      </w:pPr>
      <w:r w:rsidRPr="00C4394D">
        <w:rPr>
          <w:rFonts w:cs="Times New Roman"/>
          <w:bCs/>
          <w:i/>
          <w:sz w:val="22"/>
          <w:szCs w:val="22"/>
        </w:rPr>
        <w:t>S UPRAVENÝM NÁVRHEM Úp o zařazení plochy pozemku NESOUHLASÍM a žádám o opětovné posouzení předmětu z 04.02.2011 u popisovaného pozemku.</w:t>
      </w:r>
    </w:p>
    <w:p w14:paraId="42905B7C" w14:textId="77777777" w:rsidR="00C4394D" w:rsidRPr="00C4394D" w:rsidRDefault="00C4394D" w:rsidP="00C4394D">
      <w:pPr>
        <w:spacing w:before="120" w:line="216" w:lineRule="auto"/>
        <w:ind w:right="238"/>
      </w:pPr>
      <w:r w:rsidRPr="00C4394D">
        <w:t>Příloha:</w:t>
      </w:r>
    </w:p>
    <w:p w14:paraId="3712762B" w14:textId="77777777" w:rsidR="00C4394D" w:rsidRPr="00C4394D" w:rsidRDefault="00C4394D" w:rsidP="00C4394D">
      <w:pPr>
        <w:spacing w:before="120"/>
      </w:pPr>
      <w:r w:rsidRPr="00C4394D">
        <w:t>1.) Nákres umístění pozemku č.748.</w:t>
      </w:r>
    </w:p>
    <w:p w14:paraId="5A4C2C75" w14:textId="77777777" w:rsidR="0059000C" w:rsidRDefault="0059000C">
      <w:pPr>
        <w:spacing w:line="240" w:lineRule="auto"/>
        <w:jc w:val="left"/>
      </w:pPr>
      <w:r>
        <w:br w:type="page"/>
      </w:r>
    </w:p>
    <w:p w14:paraId="3752605E" w14:textId="77777777" w:rsidR="00C4394D" w:rsidRDefault="00C4394D" w:rsidP="0059000C">
      <w:pPr>
        <w:spacing w:before="120" w:after="120"/>
      </w:pPr>
      <w:r w:rsidRPr="00C4394D">
        <w:lastRenderedPageBreak/>
        <w:t>Obrázek 1.) k námitce u parcelního č.748, k.ú. Oldřichov na Hranicích [710008</w:t>
      </w:r>
      <w:r w:rsidRPr="00C4394D">
        <w:rPr>
          <w:bCs/>
          <w:iCs/>
        </w:rPr>
        <w:t>]</w:t>
      </w:r>
      <w:r w:rsidRPr="00C4394D">
        <w:t xml:space="preserve"> z 15.10.2019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446993" w14:paraId="40C73709" w14:textId="77777777" w:rsidTr="00446993">
        <w:tc>
          <w:tcPr>
            <w:tcW w:w="9212" w:type="dxa"/>
          </w:tcPr>
          <w:p w14:paraId="2C652EF5" w14:textId="60FCFA0A" w:rsidR="00446993" w:rsidRDefault="00446993" w:rsidP="0059000C">
            <w:pPr>
              <w:spacing w:before="120" w:after="120"/>
            </w:pPr>
            <w:r w:rsidRPr="00C4394D">
              <w:rPr>
                <w:noProof/>
                <w:lang w:eastAsia="cs-CZ"/>
              </w:rPr>
              <w:drawing>
                <wp:anchor distT="0" distB="0" distL="114300" distR="114300" simplePos="0" relativeHeight="251697152" behindDoc="0" locked="0" layoutInCell="1" allowOverlap="1" wp14:anchorId="51D6C20A" wp14:editId="1E3E10CD">
                  <wp:simplePos x="0" y="0"/>
                  <wp:positionH relativeFrom="column">
                    <wp:posOffset>-1905</wp:posOffset>
                  </wp:positionH>
                  <wp:positionV relativeFrom="paragraph">
                    <wp:posOffset>-3846830</wp:posOffset>
                  </wp:positionV>
                  <wp:extent cx="4381500" cy="4046220"/>
                  <wp:effectExtent l="0" t="0" r="0" b="0"/>
                  <wp:wrapSquare wrapText="bothSides"/>
                  <wp:docPr id="18" name="Picture 6594"/>
                  <wp:cNvGraphicFramePr/>
                  <a:graphic xmlns:a="http://schemas.openxmlformats.org/drawingml/2006/main">
                    <a:graphicData uri="http://schemas.openxmlformats.org/drawingml/2006/picture">
                      <pic:pic xmlns:pic="http://schemas.openxmlformats.org/drawingml/2006/picture">
                        <pic:nvPicPr>
                          <pic:cNvPr id="6594" name="Picture 659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81500" cy="4046220"/>
                          </a:xfrm>
                          <a:prstGeom prst="rect">
                            <a:avLst/>
                          </a:prstGeom>
                        </pic:spPr>
                      </pic:pic>
                    </a:graphicData>
                  </a:graphic>
                  <wp14:sizeRelH relativeFrom="page">
                    <wp14:pctWidth>0</wp14:pctWidth>
                  </wp14:sizeRelH>
                  <wp14:sizeRelV relativeFrom="page">
                    <wp14:pctHeight>0</wp14:pctHeight>
                  </wp14:sizeRelV>
                </wp:anchor>
              </w:drawing>
            </w:r>
          </w:p>
        </w:tc>
      </w:tr>
    </w:tbl>
    <w:p w14:paraId="5E963CD2" w14:textId="77777777" w:rsidR="00446993" w:rsidRDefault="00446993" w:rsidP="0059000C">
      <w:pPr>
        <w:spacing w:before="120" w:after="120"/>
      </w:pPr>
    </w:p>
    <w:p w14:paraId="1275C0A5" w14:textId="77777777" w:rsidR="00C4394D" w:rsidRDefault="00C4394D" w:rsidP="0059000C">
      <w:pPr>
        <w:spacing w:before="120" w:after="120"/>
      </w:pPr>
      <w:r w:rsidRPr="00C4394D">
        <w:t>Nákres 2.) k námitce u parcelního č.748, k.ú. Oldřichov na Hranicích [710008</w:t>
      </w:r>
      <w:r w:rsidRPr="00C4394D">
        <w:rPr>
          <w:bCs/>
          <w:iCs/>
        </w:rPr>
        <w:t>]</w:t>
      </w:r>
      <w:r w:rsidRPr="00C4394D">
        <w:t xml:space="preserve"> z 15.10.2019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446993" w14:paraId="144FFA43" w14:textId="77777777" w:rsidTr="00446993">
        <w:tc>
          <w:tcPr>
            <w:tcW w:w="9212" w:type="dxa"/>
          </w:tcPr>
          <w:p w14:paraId="5D8D645C" w14:textId="6DF2368F" w:rsidR="00446993" w:rsidRDefault="00446993" w:rsidP="0059000C">
            <w:pPr>
              <w:spacing w:before="120" w:after="120"/>
            </w:pPr>
            <w:r w:rsidRPr="00C4394D">
              <w:rPr>
                <w:noProof/>
                <w:lang w:eastAsia="cs-CZ"/>
              </w:rPr>
              <w:drawing>
                <wp:anchor distT="0" distB="0" distL="114300" distR="114300" simplePos="0" relativeHeight="251698176" behindDoc="0" locked="0" layoutInCell="1" allowOverlap="1" wp14:anchorId="3735E410" wp14:editId="6F6BF955">
                  <wp:simplePos x="0" y="0"/>
                  <wp:positionH relativeFrom="column">
                    <wp:posOffset>-1905</wp:posOffset>
                  </wp:positionH>
                  <wp:positionV relativeFrom="paragraph">
                    <wp:posOffset>-3177540</wp:posOffset>
                  </wp:positionV>
                  <wp:extent cx="5929630" cy="3376295"/>
                  <wp:effectExtent l="0" t="0" r="0" b="0"/>
                  <wp:wrapSquare wrapText="bothSides"/>
                  <wp:docPr id="19" name="Picture 4089"/>
                  <wp:cNvGraphicFramePr/>
                  <a:graphic xmlns:a="http://schemas.openxmlformats.org/drawingml/2006/main">
                    <a:graphicData uri="http://schemas.openxmlformats.org/drawingml/2006/picture">
                      <pic:pic xmlns:pic="http://schemas.openxmlformats.org/drawingml/2006/picture">
                        <pic:nvPicPr>
                          <pic:cNvPr id="4089" name="Picture 408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29630" cy="3376295"/>
                          </a:xfrm>
                          <a:prstGeom prst="rect">
                            <a:avLst/>
                          </a:prstGeom>
                        </pic:spPr>
                      </pic:pic>
                    </a:graphicData>
                  </a:graphic>
                  <wp14:sizeRelH relativeFrom="page">
                    <wp14:pctWidth>0</wp14:pctWidth>
                  </wp14:sizeRelH>
                  <wp14:sizeRelV relativeFrom="page">
                    <wp14:pctHeight>0</wp14:pctHeight>
                  </wp14:sizeRelV>
                </wp:anchor>
              </w:drawing>
            </w:r>
          </w:p>
        </w:tc>
      </w:tr>
    </w:tbl>
    <w:p w14:paraId="4E175B91" w14:textId="77777777" w:rsidR="00446993" w:rsidRDefault="00446993" w:rsidP="0059000C">
      <w:pPr>
        <w:spacing w:before="120" w:after="120"/>
      </w:pPr>
    </w:p>
    <w:p w14:paraId="09059CDE" w14:textId="77777777" w:rsidR="00446993" w:rsidRDefault="00446993" w:rsidP="0059000C">
      <w:pPr>
        <w:spacing w:before="120" w:after="120"/>
      </w:pPr>
    </w:p>
    <w:p w14:paraId="16C1FD99" w14:textId="77777777" w:rsidR="00C4394D" w:rsidRPr="00C4394D" w:rsidRDefault="00C4394D" w:rsidP="00C4394D">
      <w:pPr>
        <w:keepNext/>
        <w:spacing w:before="120" w:line="240" w:lineRule="auto"/>
        <w:ind w:right="215" w:hanging="11"/>
        <w:rPr>
          <w:b/>
          <w:i/>
          <w:u w:val="single"/>
        </w:rPr>
      </w:pPr>
      <w:r w:rsidRPr="00C4394D">
        <w:rPr>
          <w:b/>
          <w:i/>
          <w:u w:val="single"/>
        </w:rPr>
        <w:t xml:space="preserve">Návrh rozhodnutí o námitce: </w:t>
      </w:r>
    </w:p>
    <w:p w14:paraId="2B2A84D0" w14:textId="77777777" w:rsidR="00C4394D" w:rsidRPr="00C4394D" w:rsidRDefault="00C4394D" w:rsidP="00C4394D">
      <w:pPr>
        <w:spacing w:before="120" w:line="240" w:lineRule="auto"/>
        <w:rPr>
          <w:b/>
          <w:i/>
          <w:iCs/>
        </w:rPr>
      </w:pPr>
      <w:r w:rsidRPr="00C4394D">
        <w:rPr>
          <w:b/>
          <w:i/>
        </w:rPr>
        <w:t>Pořizovatel ve spolupráci s určeným zastupitelem a projektantem posoudil uplatněnou námitku a po prověření zjistil, že</w:t>
      </w:r>
      <w:r w:rsidRPr="00C4394D">
        <w:rPr>
          <w:b/>
          <w:bCs/>
          <w:i/>
        </w:rPr>
        <w:t xml:space="preserve"> </w:t>
      </w:r>
      <w:r w:rsidRPr="00C4394D">
        <w:rPr>
          <w:b/>
          <w:i/>
        </w:rPr>
        <w:t>předmětný pozemek je součástí pásu krajinné zeleně, dlouhodobě (již v platném ÚPSÚ) je sledován jako součást krajinného zázemí sídla Oldřichov na Hranicích. Pozemek se nachází v regionálním biokoridoru RK638, jeho vymezení je převzato ze ZÚR Libereckého kraje, které jsou pro Návrh Územního plánu Hrádek nad Nisou závaznou nadřazenou dokumentací. Regionální biokoridor RK638 byl z nadřazené dokumentace (ZÚR) zpřesněn do Návrhu Územního plánu Hrádek nad Nisou v souladu s úkoly pro územní plánování vyplývající ze Zásad územního rozvoje Libereckého kraje, v kterých je mimo jiné uvedeno „</w:t>
      </w:r>
      <w:r w:rsidRPr="00C4394D">
        <w:rPr>
          <w:b/>
          <w:i/>
          <w:iCs/>
        </w:rPr>
        <w:t xml:space="preserve">Prvky Územního systému ekologické stability (dále jen „ÚSES“) respektovat jako plochy a koridory nezastavitelné, s využitím pro zvýšení biodiverzity a ekologické stability krajiny, kde lze výjimečně umístit protipovodňová opatření a stavby dopravní a technické infrastruktury.“ </w:t>
      </w:r>
    </w:p>
    <w:p w14:paraId="1935FC2D" w14:textId="77777777" w:rsidR="00C4394D" w:rsidRPr="00C4394D" w:rsidRDefault="00C4394D" w:rsidP="00C4394D">
      <w:pPr>
        <w:spacing w:before="120" w:line="240" w:lineRule="auto"/>
        <w:rPr>
          <w:b/>
          <w:i/>
        </w:rPr>
      </w:pPr>
      <w:r w:rsidRPr="00C4394D">
        <w:rPr>
          <w:b/>
          <w:i/>
        </w:rPr>
        <w:t xml:space="preserve">Vymezení zastavitelné plochy uvnitř regionálního biokoridoru není přípustné, s ohledem k tomu, že by narušil celistvost a funkčnost ÚSES- viz zákon č. 114/1992 Sb., o ochraně přírody a krajiny, v platném znění. </w:t>
      </w:r>
    </w:p>
    <w:p w14:paraId="4718114E" w14:textId="77777777" w:rsidR="00C4394D" w:rsidRDefault="00C4394D" w:rsidP="00C4394D">
      <w:pPr>
        <w:spacing w:before="120" w:line="240" w:lineRule="auto"/>
        <w:rPr>
          <w:b/>
          <w:i/>
        </w:rPr>
      </w:pPr>
      <w:r w:rsidRPr="00C4394D">
        <w:rPr>
          <w:b/>
          <w:i/>
        </w:rPr>
        <w:t xml:space="preserve">Na základě uvedeného dospěl pořizovatel k závěru, že v tomto případě převažuje veřejný zájem na ochranu přírody a krajiny, zejména pak podpoření ekologické stability území nad zájmem soukromým.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59000C" w14:paraId="5D002A1D" w14:textId="77777777" w:rsidTr="0059000C">
        <w:tc>
          <w:tcPr>
            <w:tcW w:w="9212" w:type="dxa"/>
          </w:tcPr>
          <w:p w14:paraId="015CB7B4" w14:textId="77777777" w:rsidR="0059000C" w:rsidRDefault="0059000C" w:rsidP="0059000C">
            <w:pPr>
              <w:spacing w:before="120" w:line="240" w:lineRule="auto"/>
              <w:jc w:val="center"/>
              <w:rPr>
                <w:b/>
                <w:i/>
              </w:rPr>
            </w:pPr>
            <w:r w:rsidRPr="00C4394D">
              <w:rPr>
                <w:b/>
                <w:bCs/>
                <w:i/>
                <w:noProof/>
                <w:lang w:eastAsia="cs-CZ"/>
              </w:rPr>
              <w:drawing>
                <wp:inline distT="0" distB="0" distL="0" distR="0" wp14:anchorId="55FC1E3B" wp14:editId="4420903B">
                  <wp:extent cx="4660143" cy="3867150"/>
                  <wp:effectExtent l="0" t="0" r="762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1.png"/>
                          <pic:cNvPicPr/>
                        </pic:nvPicPr>
                        <pic:blipFill>
                          <a:blip r:embed="rId48">
                            <a:extLst>
                              <a:ext uri="{28A0092B-C50C-407E-A947-70E740481C1C}">
                                <a14:useLocalDpi xmlns:a14="http://schemas.microsoft.com/office/drawing/2010/main" val="0"/>
                              </a:ext>
                            </a:extLst>
                          </a:blip>
                          <a:stretch>
                            <a:fillRect/>
                          </a:stretch>
                        </pic:blipFill>
                        <pic:spPr>
                          <a:xfrm>
                            <a:off x="0" y="0"/>
                            <a:ext cx="4675529" cy="3879918"/>
                          </a:xfrm>
                          <a:prstGeom prst="rect">
                            <a:avLst/>
                          </a:prstGeom>
                        </pic:spPr>
                      </pic:pic>
                    </a:graphicData>
                  </a:graphic>
                </wp:inline>
              </w:drawing>
            </w:r>
          </w:p>
        </w:tc>
      </w:tr>
    </w:tbl>
    <w:p w14:paraId="6A5C7D70" w14:textId="77777777" w:rsidR="00C4394D" w:rsidRPr="00C4394D" w:rsidRDefault="00C4394D" w:rsidP="00C4394D">
      <w:pPr>
        <w:spacing w:before="360" w:line="247" w:lineRule="auto"/>
        <w:ind w:right="215" w:hanging="11"/>
        <w:rPr>
          <w:i/>
        </w:rPr>
      </w:pPr>
      <w:r w:rsidRPr="00C4394D">
        <w:rPr>
          <w:b/>
          <w:i/>
        </w:rPr>
        <w:t xml:space="preserve">Námitce se navrhuje </w:t>
      </w:r>
      <w:r w:rsidRPr="00C4394D">
        <w:rPr>
          <w:b/>
          <w:bCs/>
          <w:i/>
        </w:rPr>
        <w:t>nevyhovět.</w:t>
      </w:r>
    </w:p>
    <w:p w14:paraId="7945345C" w14:textId="77777777" w:rsidR="00C4394D" w:rsidRPr="00C4394D" w:rsidRDefault="00C4394D" w:rsidP="00C4394D">
      <w:pPr>
        <w:spacing w:before="120"/>
      </w:pPr>
      <w:r w:rsidRPr="00C4394D">
        <w:rPr>
          <w:b/>
          <w:i/>
        </w:rPr>
        <w:t>Námitka nevyvolává změnu dokumentace Návrhu Územního plánu Hrádek nad Nisou.</w:t>
      </w:r>
    </w:p>
    <w:p w14:paraId="397CB03F" w14:textId="77777777" w:rsidR="00B45646" w:rsidRDefault="00B45646">
      <w:pPr>
        <w:spacing w:line="240" w:lineRule="auto"/>
        <w:jc w:val="left"/>
        <w:rPr>
          <w:rFonts w:eastAsia="Times New Roman" w:cs="Arial"/>
          <w:b/>
          <w:bCs/>
          <w:color w:val="92D050"/>
          <w:sz w:val="24"/>
          <w:szCs w:val="24"/>
          <w:lang w:eastAsia="cs-CZ"/>
        </w:rPr>
      </w:pPr>
      <w:r>
        <w:rPr>
          <w:b/>
          <w:bCs/>
          <w:color w:val="92D050"/>
        </w:rPr>
        <w:br w:type="page"/>
      </w:r>
    </w:p>
    <w:p w14:paraId="6EF6A53B" w14:textId="2C22434D" w:rsidR="00C4394D" w:rsidRPr="00B45646" w:rsidRDefault="00C4394D" w:rsidP="0059000C">
      <w:pPr>
        <w:pStyle w:val="BodyText"/>
        <w:spacing w:before="240"/>
        <w:rPr>
          <w:b/>
          <w:bCs/>
          <w:color w:val="92D050"/>
        </w:rPr>
      </w:pPr>
      <w:r w:rsidRPr="00B45646">
        <w:rPr>
          <w:b/>
          <w:bCs/>
          <w:color w:val="92D050"/>
        </w:rPr>
        <w:lastRenderedPageBreak/>
        <w:t>Námitka č.3 - Podatel: České Dráhy, a.s.  – (v zákrese označena jako N3)</w:t>
      </w:r>
    </w:p>
    <w:p w14:paraId="7F468BB0" w14:textId="77777777" w:rsidR="00C4394D" w:rsidRPr="0059000C" w:rsidRDefault="00C4394D" w:rsidP="00C4394D">
      <w:pPr>
        <w:pStyle w:val="BodyText"/>
        <w:keepNext/>
        <w:spacing w:before="120"/>
        <w:ind w:left="425"/>
        <w:rPr>
          <w:rFonts w:cs="Times New Roman"/>
          <w:sz w:val="22"/>
          <w:szCs w:val="22"/>
        </w:rPr>
      </w:pPr>
      <w:r w:rsidRPr="0059000C">
        <w:rPr>
          <w:rFonts w:cs="Times New Roman"/>
          <w:sz w:val="22"/>
          <w:szCs w:val="22"/>
        </w:rPr>
        <w:t>Námitka ze dne 21.10.2019, doručená dne 22.10.2019, vedená pod č. j. OSŽP-7200/2019</w:t>
      </w:r>
    </w:p>
    <w:p w14:paraId="5069D2C7" w14:textId="77777777" w:rsidR="00C4394D" w:rsidRPr="0059000C" w:rsidRDefault="00C4394D" w:rsidP="00B45646">
      <w:pPr>
        <w:pStyle w:val="BodyText"/>
        <w:keepNext/>
        <w:spacing w:before="240" w:after="120"/>
        <w:ind w:left="425"/>
        <w:rPr>
          <w:b/>
          <w:i/>
          <w:sz w:val="22"/>
          <w:szCs w:val="22"/>
        </w:rPr>
      </w:pPr>
      <w:r w:rsidRPr="0059000C">
        <w:rPr>
          <w:b/>
          <w:i/>
          <w:sz w:val="22"/>
          <w:szCs w:val="22"/>
        </w:rPr>
        <w:t xml:space="preserve">Obsah námitky: </w:t>
      </w:r>
    </w:p>
    <w:tbl>
      <w:tblPr>
        <w:tblStyle w:val="TableGrid0"/>
        <w:tblW w:w="9213" w:type="dxa"/>
        <w:tblInd w:w="423" w:type="dxa"/>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top w:w="3" w:type="dxa"/>
          <w:right w:w="62" w:type="dxa"/>
        </w:tblCellMar>
        <w:tblLook w:val="04A0" w:firstRow="1" w:lastRow="0" w:firstColumn="1" w:lastColumn="0" w:noHBand="0" w:noVBand="1"/>
      </w:tblPr>
      <w:tblGrid>
        <w:gridCol w:w="4606"/>
        <w:gridCol w:w="4607"/>
      </w:tblGrid>
      <w:tr w:rsidR="00C4394D" w:rsidRPr="0059000C" w14:paraId="759BD9A0" w14:textId="77777777" w:rsidTr="0059000C">
        <w:trPr>
          <w:trHeight w:val="619"/>
        </w:trPr>
        <w:tc>
          <w:tcPr>
            <w:tcW w:w="4606" w:type="dxa"/>
            <w:vAlign w:val="center"/>
          </w:tcPr>
          <w:p w14:paraId="06C7EF3E" w14:textId="77777777" w:rsidR="00C4394D" w:rsidRPr="0059000C" w:rsidRDefault="00C4394D" w:rsidP="008849DA">
            <w:pPr>
              <w:spacing w:before="120"/>
              <w:ind w:left="283"/>
              <w:jc w:val="left"/>
            </w:pPr>
            <w:r w:rsidRPr="0059000C">
              <w:t>jméno a příjmení/název:</w:t>
            </w:r>
          </w:p>
        </w:tc>
        <w:tc>
          <w:tcPr>
            <w:tcW w:w="4607" w:type="dxa"/>
            <w:vAlign w:val="center"/>
          </w:tcPr>
          <w:p w14:paraId="3F31D3EC" w14:textId="77777777" w:rsidR="00C4394D" w:rsidRPr="0059000C" w:rsidRDefault="00C4394D" w:rsidP="008849DA">
            <w:pPr>
              <w:spacing w:before="120" w:line="247" w:lineRule="auto"/>
              <w:ind w:left="283" w:right="215" w:hanging="11"/>
              <w:jc w:val="left"/>
            </w:pPr>
            <w:r w:rsidRPr="0059000C">
              <w:t>České Dráhy, a.s.</w:t>
            </w:r>
          </w:p>
        </w:tc>
      </w:tr>
      <w:tr w:rsidR="00C4394D" w:rsidRPr="0059000C" w14:paraId="6597BF29" w14:textId="77777777" w:rsidTr="0059000C">
        <w:trPr>
          <w:trHeight w:val="562"/>
        </w:trPr>
        <w:tc>
          <w:tcPr>
            <w:tcW w:w="4606" w:type="dxa"/>
            <w:vAlign w:val="center"/>
          </w:tcPr>
          <w:p w14:paraId="76F8C79B" w14:textId="77777777" w:rsidR="00C4394D" w:rsidRPr="0059000C" w:rsidRDefault="00C4394D" w:rsidP="008849DA">
            <w:pPr>
              <w:spacing w:before="120"/>
              <w:ind w:left="283"/>
              <w:jc w:val="left"/>
            </w:pPr>
            <w:r w:rsidRPr="0059000C">
              <w:t xml:space="preserve"> datum narození/IČO:</w:t>
            </w:r>
          </w:p>
        </w:tc>
        <w:tc>
          <w:tcPr>
            <w:tcW w:w="4607" w:type="dxa"/>
            <w:vAlign w:val="center"/>
          </w:tcPr>
          <w:p w14:paraId="410E8882" w14:textId="77777777" w:rsidR="00C4394D" w:rsidRPr="0059000C" w:rsidRDefault="00C4394D" w:rsidP="008849DA">
            <w:pPr>
              <w:spacing w:before="120" w:line="247" w:lineRule="auto"/>
              <w:ind w:left="283" w:right="215" w:hanging="11"/>
              <w:jc w:val="left"/>
            </w:pPr>
            <w:r w:rsidRPr="0059000C">
              <w:t>70994226</w:t>
            </w:r>
          </w:p>
        </w:tc>
      </w:tr>
      <w:tr w:rsidR="00C4394D" w:rsidRPr="0059000C" w14:paraId="5B34FA9C" w14:textId="77777777" w:rsidTr="0059000C">
        <w:trPr>
          <w:trHeight w:val="550"/>
        </w:trPr>
        <w:tc>
          <w:tcPr>
            <w:tcW w:w="4606" w:type="dxa"/>
            <w:vAlign w:val="center"/>
          </w:tcPr>
          <w:p w14:paraId="098D833B" w14:textId="77777777" w:rsidR="00C4394D" w:rsidRPr="0059000C" w:rsidRDefault="00C4394D" w:rsidP="008849DA">
            <w:pPr>
              <w:spacing w:before="120"/>
              <w:ind w:left="283"/>
              <w:jc w:val="left"/>
            </w:pPr>
            <w:r w:rsidRPr="0059000C">
              <w:t>adresa trvalého pobytu/sídlo:</w:t>
            </w:r>
          </w:p>
        </w:tc>
        <w:tc>
          <w:tcPr>
            <w:tcW w:w="4607" w:type="dxa"/>
            <w:vAlign w:val="center"/>
          </w:tcPr>
          <w:p w14:paraId="14F0212A" w14:textId="77777777" w:rsidR="00C4394D" w:rsidRPr="0059000C" w:rsidRDefault="00C4394D" w:rsidP="008849DA">
            <w:pPr>
              <w:spacing w:before="120" w:line="247" w:lineRule="auto"/>
              <w:ind w:left="283" w:right="215" w:hanging="11"/>
              <w:jc w:val="left"/>
            </w:pPr>
            <w:r w:rsidRPr="0059000C">
              <w:t>Nábřeží Ludvíka Svobody 1222/12, Nové Město, 11000 Praha 1</w:t>
            </w:r>
          </w:p>
        </w:tc>
      </w:tr>
      <w:tr w:rsidR="00C4394D" w:rsidRPr="0059000C" w14:paraId="1D5C533C" w14:textId="77777777" w:rsidTr="0059000C">
        <w:trPr>
          <w:trHeight w:val="554"/>
        </w:trPr>
        <w:tc>
          <w:tcPr>
            <w:tcW w:w="4606" w:type="dxa"/>
            <w:vAlign w:val="center"/>
          </w:tcPr>
          <w:p w14:paraId="1A7F0EE9" w14:textId="77777777" w:rsidR="00C4394D" w:rsidRPr="0059000C" w:rsidRDefault="00C4394D" w:rsidP="008849DA">
            <w:pPr>
              <w:spacing w:before="120"/>
              <w:ind w:left="283"/>
              <w:jc w:val="left"/>
            </w:pPr>
            <w:r w:rsidRPr="0059000C">
              <w:t>údaje podle katastru nemovitostí dokládající dotčená práva - číslo parcely:</w:t>
            </w:r>
          </w:p>
        </w:tc>
        <w:tc>
          <w:tcPr>
            <w:tcW w:w="4607" w:type="dxa"/>
            <w:vAlign w:val="center"/>
          </w:tcPr>
          <w:p w14:paraId="176BCB20" w14:textId="77777777" w:rsidR="00C4394D" w:rsidRPr="0059000C" w:rsidRDefault="00C4394D" w:rsidP="008849DA">
            <w:pPr>
              <w:spacing w:before="120" w:line="247" w:lineRule="auto"/>
              <w:ind w:left="283" w:right="215" w:hanging="11"/>
              <w:jc w:val="left"/>
            </w:pPr>
            <w:r w:rsidRPr="0059000C">
              <w:t>p.č. 1765, p.č. 1768/3, p.č. 1598/10</w:t>
            </w:r>
          </w:p>
        </w:tc>
      </w:tr>
      <w:tr w:rsidR="00C4394D" w:rsidRPr="0059000C" w14:paraId="02FD1B5E" w14:textId="77777777" w:rsidTr="0059000C">
        <w:trPr>
          <w:trHeight w:val="554"/>
        </w:trPr>
        <w:tc>
          <w:tcPr>
            <w:tcW w:w="4606" w:type="dxa"/>
            <w:vAlign w:val="center"/>
          </w:tcPr>
          <w:p w14:paraId="79F1D8A5" w14:textId="77777777" w:rsidR="00C4394D" w:rsidRPr="0059000C" w:rsidRDefault="00C4394D" w:rsidP="008849DA">
            <w:pPr>
              <w:spacing w:before="120"/>
              <w:ind w:left="283"/>
              <w:jc w:val="left"/>
            </w:pPr>
            <w:r w:rsidRPr="0059000C">
              <w:t>číslo listu vlastnictví a název katastrálního území podle katastru nemovitostí:</w:t>
            </w:r>
          </w:p>
        </w:tc>
        <w:tc>
          <w:tcPr>
            <w:tcW w:w="4607" w:type="dxa"/>
            <w:vAlign w:val="center"/>
          </w:tcPr>
          <w:p w14:paraId="4E112674" w14:textId="77777777" w:rsidR="00C4394D" w:rsidRPr="0059000C" w:rsidRDefault="00C4394D" w:rsidP="008849DA">
            <w:pPr>
              <w:spacing w:before="120" w:line="247" w:lineRule="auto"/>
              <w:ind w:left="283" w:right="215" w:hanging="11"/>
              <w:jc w:val="left"/>
            </w:pPr>
            <w:r w:rsidRPr="0059000C">
              <w:t>V 2016, k.ú. Hrádek nad Nisou [647390]</w:t>
            </w:r>
          </w:p>
        </w:tc>
      </w:tr>
      <w:tr w:rsidR="00C4394D" w:rsidRPr="0059000C" w14:paraId="2A031785" w14:textId="77777777" w:rsidTr="0059000C">
        <w:trPr>
          <w:trHeight w:val="554"/>
        </w:trPr>
        <w:tc>
          <w:tcPr>
            <w:tcW w:w="4606" w:type="dxa"/>
            <w:vAlign w:val="center"/>
          </w:tcPr>
          <w:p w14:paraId="430F95DA" w14:textId="77777777" w:rsidR="00C4394D" w:rsidRPr="0059000C" w:rsidRDefault="00C4394D" w:rsidP="008849DA">
            <w:pPr>
              <w:spacing w:before="120"/>
              <w:ind w:left="283"/>
              <w:jc w:val="left"/>
            </w:pPr>
            <w:r w:rsidRPr="0059000C">
              <w:t>vymezení území dotčeného námitkou</w:t>
            </w:r>
          </w:p>
          <w:p w14:paraId="47F4A896" w14:textId="77777777" w:rsidR="00C4394D" w:rsidRPr="0059000C" w:rsidRDefault="00C4394D" w:rsidP="008849DA">
            <w:pPr>
              <w:spacing w:before="120"/>
              <w:ind w:left="283"/>
              <w:jc w:val="left"/>
            </w:pPr>
            <w:r w:rsidRPr="0059000C">
              <w:t>(může být v samostatné grafické příloze):</w:t>
            </w:r>
          </w:p>
        </w:tc>
        <w:tc>
          <w:tcPr>
            <w:tcW w:w="4607" w:type="dxa"/>
            <w:vAlign w:val="center"/>
          </w:tcPr>
          <w:p w14:paraId="0FF44B8D" w14:textId="77777777" w:rsidR="00C4394D" w:rsidRPr="0059000C" w:rsidRDefault="00C4394D" w:rsidP="008849DA">
            <w:pPr>
              <w:spacing w:before="120" w:line="247" w:lineRule="auto"/>
              <w:ind w:left="283" w:right="215" w:hanging="11"/>
              <w:jc w:val="left"/>
            </w:pPr>
            <w:r w:rsidRPr="0059000C">
              <w:t>Území vymezeno graficky v příloze č.1 - pozemky parc.č. 1765, 1768/3, 1598/10, vše k.ú. Hrádek nad Nisou</w:t>
            </w:r>
          </w:p>
        </w:tc>
      </w:tr>
      <w:tr w:rsidR="00C4394D" w:rsidRPr="0059000C" w14:paraId="415E43D7" w14:textId="77777777" w:rsidTr="0059000C">
        <w:trPr>
          <w:trHeight w:val="410"/>
        </w:trPr>
        <w:tc>
          <w:tcPr>
            <w:tcW w:w="9213" w:type="dxa"/>
            <w:gridSpan w:val="2"/>
          </w:tcPr>
          <w:p w14:paraId="53AA251A" w14:textId="77777777" w:rsidR="00C4394D" w:rsidRPr="0059000C" w:rsidRDefault="00C4394D" w:rsidP="008849DA">
            <w:pPr>
              <w:spacing w:before="120"/>
              <w:ind w:left="283"/>
              <w:jc w:val="left"/>
            </w:pPr>
            <w:r w:rsidRPr="0059000C">
              <w:t>text námitky - jakým způsobem budu dotčen/a (lze pokračovat samostatnou přílohou):</w:t>
            </w:r>
          </w:p>
        </w:tc>
      </w:tr>
      <w:tr w:rsidR="00C4394D" w:rsidRPr="0059000C" w14:paraId="47B5F9F3" w14:textId="77777777" w:rsidTr="0059000C">
        <w:trPr>
          <w:trHeight w:val="2038"/>
        </w:trPr>
        <w:tc>
          <w:tcPr>
            <w:tcW w:w="9213" w:type="dxa"/>
            <w:gridSpan w:val="2"/>
          </w:tcPr>
          <w:p w14:paraId="585D7070" w14:textId="77777777" w:rsidR="00C4394D" w:rsidRPr="0059000C" w:rsidRDefault="00C4394D" w:rsidP="008849DA">
            <w:pPr>
              <w:spacing w:before="120" w:after="17" w:line="240" w:lineRule="auto"/>
              <w:ind w:left="283" w:right="245" w:firstLine="22"/>
              <w:jc w:val="left"/>
            </w:pPr>
            <w:r w:rsidRPr="0059000C">
              <w:t>České dráhy, a.s., jako vlastník pozemků parce č. 1765, 1768/3 a 1598/10, vše k.ú. Hrádek nad Nisou, vznáší námitku proti ponechání předmětné lokality v ploše určené pro funkční využití DZ – drážní doprava a požaduje zařazení lokality do sousední funkční plochy SM — plochy smíšené obytné městské.</w:t>
            </w:r>
          </w:p>
          <w:p w14:paraId="13AF50A8" w14:textId="77777777" w:rsidR="00C4394D" w:rsidRPr="0059000C" w:rsidRDefault="00C4394D" w:rsidP="008849DA">
            <w:pPr>
              <w:spacing w:before="120"/>
              <w:ind w:left="283" w:hanging="22"/>
              <w:jc w:val="left"/>
            </w:pPr>
            <w:r w:rsidRPr="0059000C">
              <w:t>Lokalita a vyznačení změny ve výřezu z Hlavního výkresu I.2a upraveného návrhu územního plánu Hrádku nad Nisou je v příloze č. 2.</w:t>
            </w:r>
          </w:p>
        </w:tc>
      </w:tr>
      <w:tr w:rsidR="00C4394D" w:rsidRPr="0059000C" w14:paraId="37E47B2B" w14:textId="77777777" w:rsidTr="0059000C">
        <w:trPr>
          <w:trHeight w:val="444"/>
        </w:trPr>
        <w:tc>
          <w:tcPr>
            <w:tcW w:w="9213" w:type="dxa"/>
            <w:gridSpan w:val="2"/>
          </w:tcPr>
          <w:p w14:paraId="2B42AC9B" w14:textId="77777777" w:rsidR="00C4394D" w:rsidRPr="0059000C" w:rsidRDefault="00C4394D" w:rsidP="008849DA">
            <w:pPr>
              <w:spacing w:before="120"/>
              <w:ind w:left="283"/>
              <w:jc w:val="left"/>
            </w:pPr>
            <w:r w:rsidRPr="0059000C">
              <w:t>odůvodnění uplatněné námitky (lze pokračovat samostatnou přílohou):</w:t>
            </w:r>
          </w:p>
        </w:tc>
      </w:tr>
      <w:tr w:rsidR="00C4394D" w:rsidRPr="0059000C" w14:paraId="6352B094" w14:textId="77777777" w:rsidTr="0059000C">
        <w:trPr>
          <w:trHeight w:val="701"/>
        </w:trPr>
        <w:tc>
          <w:tcPr>
            <w:tcW w:w="9213" w:type="dxa"/>
            <w:gridSpan w:val="2"/>
            <w:vAlign w:val="center"/>
          </w:tcPr>
          <w:p w14:paraId="5355F7B0" w14:textId="77777777" w:rsidR="00C4394D" w:rsidRPr="0059000C" w:rsidRDefault="00C4394D" w:rsidP="008849DA">
            <w:pPr>
              <w:spacing w:before="120" w:after="36" w:line="240" w:lineRule="auto"/>
              <w:ind w:left="283" w:right="439"/>
            </w:pPr>
            <w:r w:rsidRPr="0059000C">
              <w:t>V současné době probíhá mezi Českými drahami, a.s. a SŽDC, s.o., proces úplného majetkového vyrovnání v železničních stanicích. V rámci tohoto procesu byly pozemky, nacházející se na západní straně od kolejiště, hodnoceny jako zbytné z hlediska provozu dráhy.</w:t>
            </w:r>
          </w:p>
          <w:p w14:paraId="240BF753" w14:textId="77777777" w:rsidR="00C4394D" w:rsidRPr="0059000C" w:rsidRDefault="00C4394D" w:rsidP="008849DA">
            <w:pPr>
              <w:spacing w:before="120" w:after="11" w:line="240" w:lineRule="auto"/>
              <w:ind w:left="283" w:right="72"/>
            </w:pPr>
            <w:r w:rsidRPr="0059000C">
              <w:t>České dráhy, a.s. (dále ČD) tyto pozemky již využívá a má v plánu nadále využívat pro jiné účely, než je provoz dráhy, ať už přímo, nebo formou pronájmu či prodeje. Z tohoto důvodu je naší prioritou uvézt využití území do souladu s územním plánem, a tím zajistit napojení tohoto území do struktury zástavby města a poskytnout podmínky pro další využívání a údržbu dotčených nemovitostí.</w:t>
            </w:r>
          </w:p>
          <w:p w14:paraId="7A1C0391" w14:textId="77777777" w:rsidR="00C4394D" w:rsidRPr="0059000C" w:rsidRDefault="00C4394D" w:rsidP="008849DA">
            <w:pPr>
              <w:spacing w:before="120" w:after="12" w:line="240" w:lineRule="auto"/>
              <w:ind w:left="283" w:right="173" w:hanging="58"/>
            </w:pPr>
            <w:r w:rsidRPr="0059000C">
              <w:t>Většinová část území je v návrhu začleněna v ploše SC – plochy smíšené obytné v centrech měst, okrajová část výše uvedených pozemků ale zůstala stále v ploše DZ – drážní doprava.</w:t>
            </w:r>
          </w:p>
          <w:p w14:paraId="1FC1B868" w14:textId="77777777" w:rsidR="00C4394D" w:rsidRPr="0059000C" w:rsidRDefault="00C4394D" w:rsidP="008849DA">
            <w:pPr>
              <w:spacing w:before="120" w:after="35" w:line="240" w:lineRule="auto"/>
              <w:ind w:left="283" w:right="43"/>
            </w:pPr>
            <w:r w:rsidRPr="0059000C">
              <w:t>Vzhledem k tomu, že pozemky tvoří uzavřenou lokalitu, na které se nachází objekt se záměrem rekonstrukce pro individuální bydlení, požadujeme vyjmutí této lokality s plochy DZ a přiřazení do sousední funkční plochy SM – plochy smíšené obytné městské.</w:t>
            </w:r>
          </w:p>
          <w:p w14:paraId="65CC2274" w14:textId="77777777" w:rsidR="00C4394D" w:rsidRPr="0059000C" w:rsidRDefault="00C4394D" w:rsidP="008849DA">
            <w:pPr>
              <w:spacing w:before="120" w:line="240" w:lineRule="auto"/>
              <w:ind w:left="283"/>
            </w:pPr>
            <w:r w:rsidRPr="0059000C">
              <w:t xml:space="preserve">Upozorňujeme, že tato lokalita je ve výkresu </w:t>
            </w:r>
            <w:r w:rsidRPr="0059000C">
              <w:rPr>
                <w:b/>
                <w:bCs/>
              </w:rPr>
              <w:t>I.2b Hlavní výkres – Prostorové uspořádání</w:t>
            </w:r>
            <w:r w:rsidRPr="0059000C">
              <w:t xml:space="preserve"> území již zařazena do strukturálního bloku s využitím SM, regulativem R (A) 3NP + P /11,5; KZ 40% - viz příloha č. 3. Tento funkční a prostorový regulativ plně odpovídá plánovanému využití skupiny pozemků pro rodinný dům s příslušenstvím (zahradou).</w:t>
            </w:r>
          </w:p>
        </w:tc>
      </w:tr>
    </w:tbl>
    <w:p w14:paraId="764D01F1" w14:textId="77777777" w:rsidR="00C4394D" w:rsidRPr="00C4394D" w:rsidRDefault="00C4394D" w:rsidP="00C4394D">
      <w:pPr>
        <w:pStyle w:val="BodyText"/>
        <w:spacing w:before="120"/>
        <w:ind w:left="425"/>
        <w:jc w:val="center"/>
        <w:rPr>
          <w:b/>
          <w:i/>
        </w:rPr>
      </w:pPr>
      <w:r w:rsidRPr="00C4394D">
        <w:rPr>
          <w:b/>
          <w:i/>
          <w:noProof/>
        </w:rPr>
        <w:lastRenderedPageBreak/>
        <w:drawing>
          <wp:inline distT="0" distB="0" distL="0" distR="0" wp14:anchorId="6431A460" wp14:editId="5F7BEF95">
            <wp:extent cx="4644972" cy="6791325"/>
            <wp:effectExtent l="0" t="0" r="3810" b="0"/>
            <wp:docPr id="2017" name="Obrázek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ČD_1.png"/>
                    <pic:cNvPicPr/>
                  </pic:nvPicPr>
                  <pic:blipFill>
                    <a:blip r:embed="rId49">
                      <a:extLst>
                        <a:ext uri="{28A0092B-C50C-407E-A947-70E740481C1C}">
                          <a14:useLocalDpi xmlns:a14="http://schemas.microsoft.com/office/drawing/2010/main" val="0"/>
                        </a:ext>
                      </a:extLst>
                    </a:blip>
                    <a:stretch>
                      <a:fillRect/>
                    </a:stretch>
                  </pic:blipFill>
                  <pic:spPr>
                    <a:xfrm>
                      <a:off x="0" y="0"/>
                      <a:ext cx="4688641" cy="6855173"/>
                    </a:xfrm>
                    <a:prstGeom prst="rect">
                      <a:avLst/>
                    </a:prstGeom>
                  </pic:spPr>
                </pic:pic>
              </a:graphicData>
            </a:graphic>
          </wp:inline>
        </w:drawing>
      </w:r>
    </w:p>
    <w:p w14:paraId="03507523" w14:textId="77777777" w:rsidR="00C4394D" w:rsidRPr="00C4394D" w:rsidRDefault="00C4394D" w:rsidP="00C4394D">
      <w:pPr>
        <w:pStyle w:val="BodyText"/>
        <w:keepNext/>
        <w:spacing w:before="120"/>
        <w:ind w:left="425"/>
        <w:jc w:val="center"/>
        <w:rPr>
          <w:b/>
          <w:i/>
        </w:rPr>
      </w:pPr>
      <w:r w:rsidRPr="00C4394D">
        <w:rPr>
          <w:b/>
          <w:i/>
          <w:noProof/>
        </w:rPr>
        <w:lastRenderedPageBreak/>
        <w:drawing>
          <wp:inline distT="0" distB="0" distL="0" distR="0" wp14:anchorId="30A318DF" wp14:editId="7BFDF282">
            <wp:extent cx="5448300" cy="7857022"/>
            <wp:effectExtent l="0" t="0" r="0" b="0"/>
            <wp:docPr id="2018" name="Obrázek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čd_2.png"/>
                    <pic:cNvPicPr/>
                  </pic:nvPicPr>
                  <pic:blipFill>
                    <a:blip r:embed="rId50">
                      <a:extLst>
                        <a:ext uri="{28A0092B-C50C-407E-A947-70E740481C1C}">
                          <a14:useLocalDpi xmlns:a14="http://schemas.microsoft.com/office/drawing/2010/main" val="0"/>
                        </a:ext>
                      </a:extLst>
                    </a:blip>
                    <a:stretch>
                      <a:fillRect/>
                    </a:stretch>
                  </pic:blipFill>
                  <pic:spPr>
                    <a:xfrm>
                      <a:off x="0" y="0"/>
                      <a:ext cx="5458998" cy="7872450"/>
                    </a:xfrm>
                    <a:prstGeom prst="rect">
                      <a:avLst/>
                    </a:prstGeom>
                  </pic:spPr>
                </pic:pic>
              </a:graphicData>
            </a:graphic>
          </wp:inline>
        </w:drawing>
      </w:r>
    </w:p>
    <w:p w14:paraId="40AA797C" w14:textId="77777777" w:rsidR="00C4394D" w:rsidRPr="00C4394D" w:rsidRDefault="00C4394D" w:rsidP="00C4394D">
      <w:pPr>
        <w:pStyle w:val="BodyText"/>
        <w:keepNext/>
        <w:spacing w:before="120"/>
        <w:ind w:left="425"/>
        <w:rPr>
          <w:b/>
          <w:i/>
        </w:rPr>
      </w:pPr>
    </w:p>
    <w:p w14:paraId="6703659C" w14:textId="77777777" w:rsidR="00C4394D" w:rsidRPr="00C4394D" w:rsidRDefault="00C4394D" w:rsidP="00C4394D">
      <w:pPr>
        <w:pStyle w:val="BodyText"/>
        <w:keepNext/>
        <w:spacing w:before="120"/>
        <w:ind w:left="425"/>
        <w:rPr>
          <w:b/>
          <w:i/>
        </w:rPr>
      </w:pPr>
    </w:p>
    <w:p w14:paraId="085E012B" w14:textId="77777777" w:rsidR="00C4394D" w:rsidRPr="00C4394D" w:rsidRDefault="00C4394D" w:rsidP="00C4394D">
      <w:pPr>
        <w:pStyle w:val="BodyText"/>
        <w:keepNext/>
        <w:spacing w:before="120"/>
        <w:ind w:left="425"/>
        <w:jc w:val="center"/>
        <w:rPr>
          <w:b/>
          <w:i/>
        </w:rPr>
      </w:pPr>
      <w:r w:rsidRPr="00C4394D">
        <w:rPr>
          <w:b/>
          <w:i/>
          <w:noProof/>
        </w:rPr>
        <w:lastRenderedPageBreak/>
        <w:drawing>
          <wp:inline distT="0" distB="0" distL="0" distR="0" wp14:anchorId="584D5AB7" wp14:editId="2A9DF121">
            <wp:extent cx="5449060" cy="7849695"/>
            <wp:effectExtent l="0" t="0" r="0" b="0"/>
            <wp:docPr id="2019" name="Obrázek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ČD_3.png"/>
                    <pic:cNvPicPr/>
                  </pic:nvPicPr>
                  <pic:blipFill>
                    <a:blip r:embed="rId51">
                      <a:extLst>
                        <a:ext uri="{28A0092B-C50C-407E-A947-70E740481C1C}">
                          <a14:useLocalDpi xmlns:a14="http://schemas.microsoft.com/office/drawing/2010/main" val="0"/>
                        </a:ext>
                      </a:extLst>
                    </a:blip>
                    <a:stretch>
                      <a:fillRect/>
                    </a:stretch>
                  </pic:blipFill>
                  <pic:spPr>
                    <a:xfrm>
                      <a:off x="0" y="0"/>
                      <a:ext cx="5449060" cy="7849695"/>
                    </a:xfrm>
                    <a:prstGeom prst="rect">
                      <a:avLst/>
                    </a:prstGeom>
                  </pic:spPr>
                </pic:pic>
              </a:graphicData>
            </a:graphic>
          </wp:inline>
        </w:drawing>
      </w:r>
    </w:p>
    <w:p w14:paraId="4316779A" w14:textId="77777777" w:rsidR="00B45646" w:rsidRDefault="00B45646">
      <w:pPr>
        <w:spacing w:line="240" w:lineRule="auto"/>
        <w:jc w:val="left"/>
        <w:rPr>
          <w:b/>
          <w:i/>
          <w:u w:val="single"/>
        </w:rPr>
      </w:pPr>
      <w:r>
        <w:rPr>
          <w:b/>
          <w:i/>
          <w:u w:val="single"/>
        </w:rPr>
        <w:br w:type="page"/>
      </w:r>
    </w:p>
    <w:p w14:paraId="195F8CE4" w14:textId="7F824177" w:rsidR="00C4394D" w:rsidRPr="0059000C" w:rsidRDefault="00C4394D" w:rsidP="00C4394D">
      <w:pPr>
        <w:spacing w:before="480" w:after="120" w:line="240" w:lineRule="auto"/>
        <w:ind w:left="436" w:right="215" w:hanging="11"/>
        <w:rPr>
          <w:b/>
          <w:i/>
          <w:u w:val="single"/>
        </w:rPr>
      </w:pPr>
      <w:r w:rsidRPr="0059000C">
        <w:rPr>
          <w:b/>
          <w:i/>
          <w:u w:val="single"/>
        </w:rPr>
        <w:lastRenderedPageBreak/>
        <w:t xml:space="preserve">Rozhodnutí o námitce: </w:t>
      </w:r>
    </w:p>
    <w:p w14:paraId="01ACB823" w14:textId="77777777" w:rsidR="00C4394D" w:rsidRPr="0059000C" w:rsidRDefault="00C4394D" w:rsidP="00C4394D">
      <w:pPr>
        <w:spacing w:before="120" w:line="240" w:lineRule="auto"/>
        <w:ind w:left="435"/>
        <w:rPr>
          <w:b/>
          <w:i/>
        </w:rPr>
      </w:pPr>
      <w:r w:rsidRPr="0059000C">
        <w:rPr>
          <w:b/>
          <w:i/>
        </w:rPr>
        <w:t xml:space="preserve">Pořizovatel ve spolupráci s určeným zastupitelem a projektantem posoudil uplatněnou námitku a po důkladném prověření celé této lokality došel k závěru, že pozemky parc. č. 1765, 1768/3, 1598/10 vše k. ú. Hrádek nad Nisou leží z části v koridoru pro veřejně prospěšnou stavbu </w:t>
      </w:r>
      <w:r w:rsidRPr="0059000C">
        <w:rPr>
          <w:rFonts w:cs="Arial"/>
          <w:b/>
          <w:i/>
        </w:rPr>
        <w:t xml:space="preserve">(DZ.k) X01, který zpřesňuje </w:t>
      </w:r>
      <w:r w:rsidRPr="0059000C">
        <w:rPr>
          <w:b/>
          <w:i/>
        </w:rPr>
        <w:t>koridor pro veřejně prospěšnou stavbu „D28“, který vyplývá ze Zásad územního rozvoje Libereckého kraje, které jsou pro pořizování Návrhu Územního plánu Hrádek nad Nisou závazné.</w:t>
      </w:r>
    </w:p>
    <w:p w14:paraId="5A20B7C2" w14:textId="77777777" w:rsidR="00C4394D" w:rsidRPr="0059000C" w:rsidRDefault="00C4394D" w:rsidP="00C4394D">
      <w:pPr>
        <w:spacing w:before="120" w:line="240" w:lineRule="auto"/>
        <w:ind w:left="435"/>
        <w:rPr>
          <w:b/>
          <w:bCs/>
          <w:i/>
        </w:rPr>
      </w:pPr>
      <w:r w:rsidRPr="0059000C">
        <w:rPr>
          <w:b/>
          <w:bCs/>
          <w:i/>
        </w:rPr>
        <w:t>Ze Zásad územního rozvoje Libereckého kraje rovněž vyplývají úkoly pro územní plánovaní, mezi kterými je mimo jiné úkol „</w:t>
      </w:r>
      <w:r w:rsidRPr="0059000C">
        <w:rPr>
          <w:b/>
          <w:i/>
        </w:rPr>
        <w:t xml:space="preserve">Vytvářet územní podmínky pro potenciální využití koridoru pro kombinovanou dopravu s napojením na modernizovanou železniční trať v Zittau (Německo).“ Vymezení nových ploch pro bydlení v tomto koridoru je v rozporu s tímto úkolem pro územní plánování. </w:t>
      </w:r>
    </w:p>
    <w:p w14:paraId="34366B4A" w14:textId="77777777" w:rsidR="00C4394D" w:rsidRPr="0059000C" w:rsidRDefault="00C4394D" w:rsidP="00C4394D">
      <w:pPr>
        <w:spacing w:before="120" w:line="240" w:lineRule="auto"/>
        <w:ind w:left="435"/>
        <w:rPr>
          <w:b/>
          <w:i/>
        </w:rPr>
      </w:pPr>
      <w:r w:rsidRPr="0059000C">
        <w:rPr>
          <w:b/>
          <w:i/>
        </w:rPr>
        <w:t>Pozemky rovněž nejsou vhodné pro zařazení do ploch SM – plochy smíšené obytné městské z důvodu těsného sousedství železniční trati, která by představovala možné překročení hygienických limitů hluku v rámci územních řízeních staveb. Jak je uvedeno ve stanovisku dotčeného orgánu Krajské hygienické stanice, které pořizovatel obdržel po společném projednání dne 15.5.2018 „Územní plán může vhodným návrhem využití ploch obce preventivně omezovat zátěž obyvatelstva hlukem. Jde zejména o neumísťování chráněných prostorů ve smyslu § 30 zákona č. 258/2000 Sb., ve znění pozdějších předpisů, do blízkosti zdrojů dopravního hluku.“</w:t>
      </w:r>
    </w:p>
    <w:p w14:paraId="26BED040" w14:textId="77777777" w:rsidR="00C4394D" w:rsidRDefault="00C4394D" w:rsidP="00C4394D">
      <w:pPr>
        <w:spacing w:before="120" w:after="240" w:line="240" w:lineRule="auto"/>
        <w:ind w:left="436" w:right="215" w:hanging="11"/>
        <w:rPr>
          <w:b/>
          <w:i/>
        </w:rPr>
      </w:pPr>
      <w:r w:rsidRPr="0059000C">
        <w:rPr>
          <w:b/>
          <w:i/>
        </w:rPr>
        <w:t>Nový ÚP Hrádek nad Nisou nenavrhuje změnu využití na dané ploše (v ÚPNSÚ byla jižní část plochy N3 zahrnuta v plochách přestavbových  – plochy dopravní vybavenosti) severní část zůstává v plochách pro drážní dopravu.</w:t>
      </w:r>
    </w:p>
    <w:tbl>
      <w:tblPr>
        <w:tblStyle w:val="TableGrid"/>
        <w:tblW w:w="0" w:type="auto"/>
        <w:tblInd w:w="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2"/>
      </w:tblGrid>
      <w:tr w:rsidR="0059000C" w14:paraId="3CF51F5D" w14:textId="77777777" w:rsidTr="0059000C">
        <w:tc>
          <w:tcPr>
            <w:tcW w:w="9212" w:type="dxa"/>
          </w:tcPr>
          <w:p w14:paraId="0147DCFA" w14:textId="77777777" w:rsidR="0059000C" w:rsidRDefault="0059000C" w:rsidP="0059000C">
            <w:pPr>
              <w:spacing w:before="120" w:after="240" w:line="240" w:lineRule="auto"/>
              <w:ind w:right="215"/>
              <w:jc w:val="center"/>
              <w:rPr>
                <w:b/>
                <w:i/>
                <w:sz w:val="24"/>
                <w:szCs w:val="24"/>
              </w:rPr>
            </w:pPr>
            <w:r w:rsidRPr="00C4394D">
              <w:rPr>
                <w:b/>
                <w:bCs/>
                <w:i/>
                <w:noProof/>
                <w:lang w:eastAsia="cs-CZ"/>
              </w:rPr>
              <w:drawing>
                <wp:inline distT="0" distB="0" distL="0" distR="0" wp14:anchorId="4889B160" wp14:editId="6566969A">
                  <wp:extent cx="4188683" cy="3919994"/>
                  <wp:effectExtent l="0" t="0" r="2540" b="444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N3.png"/>
                          <pic:cNvPicPr/>
                        </pic:nvPicPr>
                        <pic:blipFill>
                          <a:blip r:embed="rId52">
                            <a:extLst>
                              <a:ext uri="{28A0092B-C50C-407E-A947-70E740481C1C}">
                                <a14:useLocalDpi xmlns:a14="http://schemas.microsoft.com/office/drawing/2010/main" val="0"/>
                              </a:ext>
                            </a:extLst>
                          </a:blip>
                          <a:stretch>
                            <a:fillRect/>
                          </a:stretch>
                        </pic:blipFill>
                        <pic:spPr>
                          <a:xfrm>
                            <a:off x="0" y="0"/>
                            <a:ext cx="4195297" cy="3926184"/>
                          </a:xfrm>
                          <a:prstGeom prst="rect">
                            <a:avLst/>
                          </a:prstGeom>
                        </pic:spPr>
                      </pic:pic>
                    </a:graphicData>
                  </a:graphic>
                </wp:inline>
              </w:drawing>
            </w:r>
          </w:p>
        </w:tc>
      </w:tr>
    </w:tbl>
    <w:p w14:paraId="22C103A3" w14:textId="77777777" w:rsidR="0059000C" w:rsidRPr="00C4394D" w:rsidRDefault="0059000C" w:rsidP="00C4394D">
      <w:pPr>
        <w:spacing w:before="120" w:after="240" w:line="240" w:lineRule="auto"/>
        <w:ind w:left="436" w:right="215" w:hanging="11"/>
        <w:rPr>
          <w:b/>
          <w:i/>
          <w:sz w:val="24"/>
          <w:szCs w:val="24"/>
        </w:rPr>
      </w:pPr>
    </w:p>
    <w:p w14:paraId="61B542C7" w14:textId="77777777" w:rsidR="00C4394D" w:rsidRPr="00C4394D" w:rsidRDefault="00C4394D" w:rsidP="00C4394D">
      <w:pPr>
        <w:spacing w:before="120"/>
        <w:ind w:left="425"/>
        <w:jc w:val="center"/>
        <w:rPr>
          <w:b/>
          <w:bCs/>
          <w:i/>
        </w:rPr>
      </w:pPr>
    </w:p>
    <w:p w14:paraId="01CFBFD6" w14:textId="77777777" w:rsidR="00C4394D" w:rsidRPr="00C4394D" w:rsidRDefault="00C4394D" w:rsidP="00C4394D">
      <w:pPr>
        <w:spacing w:before="120"/>
        <w:ind w:left="425"/>
        <w:rPr>
          <w:b/>
          <w:i/>
          <w:highlight w:val="yellow"/>
        </w:rPr>
      </w:pPr>
    </w:p>
    <w:p w14:paraId="19FF2BAB" w14:textId="77777777" w:rsidR="00C4394D" w:rsidRPr="00B45646" w:rsidRDefault="00C4394D" w:rsidP="0059000C">
      <w:pPr>
        <w:pStyle w:val="BodyText"/>
        <w:spacing w:before="240"/>
        <w:rPr>
          <w:b/>
          <w:bCs/>
          <w:color w:val="92D050"/>
        </w:rPr>
      </w:pPr>
      <w:r w:rsidRPr="00B45646">
        <w:rPr>
          <w:b/>
          <w:bCs/>
          <w:color w:val="92D050"/>
        </w:rPr>
        <w:t xml:space="preserve">     Námitka č.4 - Podatel: VGP Park Hrádek nad Nisou – (v zákrese označena jako N4)</w:t>
      </w:r>
    </w:p>
    <w:p w14:paraId="6D3AF811" w14:textId="77777777" w:rsidR="00C4394D" w:rsidRPr="0059000C" w:rsidRDefault="00C4394D" w:rsidP="0059000C">
      <w:pPr>
        <w:pStyle w:val="BodyText"/>
        <w:keepNext/>
        <w:spacing w:before="120"/>
        <w:ind w:left="284"/>
        <w:rPr>
          <w:rFonts w:cs="Times New Roman"/>
          <w:sz w:val="22"/>
          <w:szCs w:val="22"/>
        </w:rPr>
      </w:pPr>
      <w:r w:rsidRPr="0059000C">
        <w:rPr>
          <w:rFonts w:cs="Times New Roman"/>
          <w:sz w:val="22"/>
          <w:szCs w:val="22"/>
        </w:rPr>
        <w:t>Námitka ze dne 21.10.2019, doručená dne 22.10.2019, vedená pod č. j.OSŽP-71/2019</w:t>
      </w:r>
    </w:p>
    <w:p w14:paraId="0A4B96D2" w14:textId="77777777" w:rsidR="00C4394D" w:rsidRPr="0059000C" w:rsidRDefault="00C4394D" w:rsidP="00B45646">
      <w:pPr>
        <w:pStyle w:val="BodyText"/>
        <w:keepNext/>
        <w:spacing w:before="240"/>
        <w:ind w:left="284"/>
        <w:rPr>
          <w:b/>
          <w:i/>
          <w:sz w:val="22"/>
          <w:szCs w:val="22"/>
        </w:rPr>
      </w:pPr>
      <w:r w:rsidRPr="0059000C">
        <w:rPr>
          <w:b/>
          <w:i/>
          <w:sz w:val="22"/>
          <w:szCs w:val="22"/>
        </w:rPr>
        <w:t xml:space="preserve">Obsah námitky: </w:t>
      </w:r>
    </w:p>
    <w:p w14:paraId="10E5A679" w14:textId="77777777" w:rsidR="00C4394D" w:rsidRPr="0059000C" w:rsidRDefault="00C4394D" w:rsidP="0059000C">
      <w:pPr>
        <w:spacing w:before="120" w:after="240" w:line="240" w:lineRule="auto"/>
        <w:ind w:left="284" w:right="74" w:hanging="11"/>
      </w:pPr>
      <w:r w:rsidRPr="0059000C">
        <w:t>Námitky proti návrhu Územního plánu Hrádek nad Nisou</w:t>
      </w:r>
    </w:p>
    <w:p w14:paraId="55301B90" w14:textId="77777777" w:rsidR="00C4394D" w:rsidRPr="0059000C" w:rsidRDefault="00C4394D" w:rsidP="0059000C">
      <w:pPr>
        <w:spacing w:before="120"/>
        <w:ind w:left="284" w:right="71"/>
      </w:pPr>
      <w:r w:rsidRPr="0059000C">
        <w:t>Vážení, dne 29.8.2019 byl na webových stránkách města Hrádek nad Nisou zveřejněný návrh Územního plánu Hrádek nad Nisou (dále jen „Návrh”). Dne 15.10.2019 proběhlo veřejné projednání Návrhu.</w:t>
      </w:r>
    </w:p>
    <w:p w14:paraId="319E5894" w14:textId="77777777" w:rsidR="00C4394D" w:rsidRPr="0059000C" w:rsidRDefault="00C4394D" w:rsidP="0059000C">
      <w:pPr>
        <w:spacing w:before="120"/>
        <w:ind w:left="284" w:right="71"/>
      </w:pPr>
      <w:r w:rsidRPr="0059000C">
        <w:t>Návrh v čl. F56 (d.3) počítá s výstavbou budov pro lehký průmysl na ploše Z37, tj. právě v uvedeném území na severovýchod od silnice I/35.</w:t>
      </w:r>
    </w:p>
    <w:p w14:paraId="22B8E382" w14:textId="77777777" w:rsidR="00C4394D" w:rsidRPr="0059000C" w:rsidRDefault="00C4394D" w:rsidP="0059000C">
      <w:pPr>
        <w:spacing w:before="120"/>
        <w:ind w:left="284" w:right="71"/>
      </w:pPr>
      <w:r w:rsidRPr="0059000C">
        <w:t>Naše společnost je vlastníkem pozemků parc. č. 354/2, 354/3, 354/15, 359/1, 359/2, 359/3, 359/4, 378/1, 378/2 a 382/3 v k.ú. Oldřichov na Hranicích (dále jen „Pozemky VGP”). Kromě toho naše společnost jako budoucí kupující uzavřela dne 12.6.2019 Smlouvu o smlouvě budoucí kupní (dále jen „SoSB”) ve vztahu k pozemkům ve vlastnictví Města Hrádek nad Nisou, parc. č. 354/1, 354/7 a 354/10 v k.ú. Oldřichov na Hranicích (dále jen „Pozemky města” a spolu s Pozemky VGP dále jen „Pozemky”). Naše společnost zamýšlí realizovat záměr na Pozemcích VGP i na Pozemcích města, v souladu s § 52 odst. 2 zákona č. 183/2006 Sb., o územním plánování a stavebním řádu, v platném znění (dále jen „stavební zákon”), Pozemky VGP jsou proto dotčeny celkovou regulací využití zóny Z37 v Návrhu.</w:t>
      </w:r>
    </w:p>
    <w:p w14:paraId="29FCBF7B" w14:textId="77777777" w:rsidR="00C4394D" w:rsidRPr="0059000C" w:rsidRDefault="00C4394D" w:rsidP="0059000C">
      <w:pPr>
        <w:spacing w:before="120" w:after="179"/>
        <w:ind w:left="284" w:right="71"/>
      </w:pPr>
      <w:r w:rsidRPr="0059000C">
        <w:t>Jako vlastník Pozemků VGP proto tímto vznášíme vůči Návrhu v části týkající se plochy Z37</w:t>
      </w:r>
    </w:p>
    <w:p w14:paraId="604A8F93" w14:textId="77777777" w:rsidR="00C4394D" w:rsidRPr="0059000C" w:rsidRDefault="00C4394D" w:rsidP="00C4394D">
      <w:pPr>
        <w:spacing w:before="120" w:after="183" w:line="259" w:lineRule="auto"/>
        <w:ind w:left="425" w:right="71"/>
        <w:jc w:val="center"/>
      </w:pPr>
      <w:r w:rsidRPr="0059000C">
        <w:t>námitky</w:t>
      </w:r>
    </w:p>
    <w:p w14:paraId="2772D598" w14:textId="77777777" w:rsidR="00C4394D" w:rsidRPr="0059000C" w:rsidRDefault="00C4394D" w:rsidP="0059000C">
      <w:pPr>
        <w:spacing w:before="120" w:after="273"/>
        <w:ind w:left="284" w:right="71"/>
      </w:pPr>
      <w:r w:rsidRPr="0059000C">
        <w:t xml:space="preserve">a to vůči (i) </w:t>
      </w:r>
      <w:r w:rsidRPr="0059000C">
        <w:rPr>
          <w:u w:val="single" w:color="000000"/>
        </w:rPr>
        <w:t>omezení celkové yýšky zástavby na 12m</w:t>
      </w:r>
      <w:r w:rsidRPr="0059000C">
        <w:t xml:space="preserve">, a (ii) </w:t>
      </w:r>
      <w:r w:rsidRPr="0059000C">
        <w:rPr>
          <w:u w:val="single" w:color="000000"/>
        </w:rPr>
        <w:t>podmínce rozhodování o využití území spočívající ve zpracování územní studie</w:t>
      </w:r>
      <w:r w:rsidRPr="0059000C">
        <w:t xml:space="preserve"> (ÚS-03). Zároveň jako budoucí kupující Pozemků města vznášíme připomínky ve vztahu k stejným regulativům v rozsahu, v němž se dotýkají Pozemků města.</w:t>
      </w:r>
    </w:p>
    <w:p w14:paraId="7B78DDDD" w14:textId="77777777" w:rsidR="00C4394D" w:rsidRPr="0059000C" w:rsidRDefault="00C4394D" w:rsidP="0059000C">
      <w:pPr>
        <w:spacing w:before="120" w:after="120" w:line="247" w:lineRule="auto"/>
        <w:ind w:left="284" w:right="74"/>
      </w:pPr>
      <w:r w:rsidRPr="0059000C">
        <w:t>Na úvod si dovolujeme poukázat na to, že smyslem nabytí Pozemků skupinou VGP je od počátku rozšíření logistického a výrobního areálu VGP Park Hrádek nad Nisou („Areál”), a to i na druhé straně silnice I/35. Naše společnost za tímto účelem nabyla v roce 2018 Pozemky VGP a uzavřela s městem Hrádek nad Nisou zmiňovanou SoSB. V současnosti probíhají kroky směřující k získání územního rozhodnutí pro záměr, který naše společnost hodlá na Pozemcích realizovat, a to konkrétně dne 7.10.2019 bylo zahájeno Zjišťovací řízení pod kódem záměru LBK677. Jak se uvádí na str. 149 odůvodnění Návrhu, „</w:t>
      </w:r>
      <w:r w:rsidRPr="0059000C">
        <w:rPr>
          <w:i/>
          <w:iCs/>
        </w:rPr>
        <w:t>Je tak velmi reálné, že k zastavění plochy dojde ještě před dokončením a vydáním ÚP Hrádek nad Nisou.”</w:t>
      </w:r>
      <w:r w:rsidRPr="0059000C">
        <w:t xml:space="preserve"> Proto si dovolujeme požádat, aby byl Návrh v požadovaném rozsahu uveden do souladu se záměrem, když požadované úpravy jsou z hlediska územního plánování nepodstatné, avšak na realizaci záměru by mohly mít zásadní dopad.</w:t>
      </w:r>
    </w:p>
    <w:p w14:paraId="66E46995" w14:textId="77777777" w:rsidR="00C4394D" w:rsidRPr="0059000C" w:rsidRDefault="00C4394D" w:rsidP="0059000C">
      <w:pPr>
        <w:spacing w:before="120"/>
        <w:ind w:left="284"/>
        <w:rPr>
          <w:b/>
          <w:bCs/>
        </w:rPr>
      </w:pPr>
      <w:r w:rsidRPr="0059000C">
        <w:rPr>
          <w:rFonts w:eastAsia="Calibri"/>
          <w:b/>
          <w:bCs/>
        </w:rPr>
        <w:t>1)</w:t>
      </w:r>
      <w:r w:rsidRPr="0059000C">
        <w:rPr>
          <w:rFonts w:eastAsia="Calibri"/>
          <w:b/>
          <w:bCs/>
        </w:rPr>
        <w:tab/>
      </w:r>
      <w:r w:rsidRPr="0059000C">
        <w:rPr>
          <w:b/>
          <w:bCs/>
        </w:rPr>
        <w:t>Nesouhlas s omezením výšky zástavby na Pozemcích na 12 metrů</w:t>
      </w:r>
    </w:p>
    <w:p w14:paraId="63B37489" w14:textId="77777777" w:rsidR="00C4394D" w:rsidRPr="0059000C" w:rsidRDefault="00C4394D" w:rsidP="0059000C">
      <w:pPr>
        <w:spacing w:before="120"/>
        <w:ind w:left="284" w:right="71"/>
      </w:pPr>
      <w:r w:rsidRPr="0059000C">
        <w:t>Pro plochu Z37 je v koordinačním výkresu, který je součástí Návrhu, stanoveno omezení výšky nové zástavby do maximální výšky 12m. V platném územním plánu Hrádek nad Nisou v platném znění (dále jen „Platný ÚP”) není obdobné omezení stanoveno.</w:t>
      </w:r>
    </w:p>
    <w:p w14:paraId="768A8BD3" w14:textId="77777777" w:rsidR="00C4394D" w:rsidRPr="0059000C" w:rsidRDefault="00C4394D" w:rsidP="0059000C">
      <w:pPr>
        <w:spacing w:before="120" w:after="120" w:line="247" w:lineRule="auto"/>
        <w:ind w:left="284" w:right="74"/>
      </w:pPr>
      <w:r w:rsidRPr="0059000C">
        <w:t xml:space="preserve">Proti uvedenému novému omezení tímto vznášíme námitku a </w:t>
      </w:r>
      <w:r w:rsidRPr="0059000C">
        <w:rPr>
          <w:u w:val="single" w:color="000000"/>
        </w:rPr>
        <w:t>žádáme o navýšení yýškového limitu pro plochu Z37 alespoň na 13 metrů</w:t>
      </w:r>
      <w:r w:rsidRPr="0059000C">
        <w:t>. Tato plocha je dlouhodobé určena na zástavbu pro lehký průmysl, popř. logistické stavby. Tyto stavby obvykle vyžaduji tzv. „světlou výšku” minimálně 10,5 metru, což odpovídá standardizovaným rozměrům palet, výrobních linek a dalších logistických systémů.</w:t>
      </w:r>
    </w:p>
    <w:p w14:paraId="3C23189C" w14:textId="77777777" w:rsidR="00C4394D" w:rsidRPr="0059000C" w:rsidRDefault="00C4394D" w:rsidP="0059000C">
      <w:pPr>
        <w:spacing w:before="120" w:after="120" w:line="216" w:lineRule="auto"/>
        <w:ind w:left="284" w:right="74"/>
      </w:pPr>
      <w:r w:rsidRPr="0059000C">
        <w:t xml:space="preserve">Kromě toho, realizace administrativní vestavby o třech nadzemních podlažích v rámci skladovací či výrobní haly </w:t>
      </w:r>
      <w:r w:rsidRPr="0059000C">
        <w:rPr>
          <w:u w:val="single" w:color="000000"/>
        </w:rPr>
        <w:t>je technicky nesrovnatelně komplikovanější při omezení výšky haly na 12m. než by tomu bylo při omezení na 13m</w:t>
      </w:r>
      <w:r w:rsidRPr="0059000C">
        <w:t>.</w:t>
      </w:r>
    </w:p>
    <w:p w14:paraId="2973F55C" w14:textId="77777777" w:rsidR="00C4394D" w:rsidRPr="0059000C" w:rsidRDefault="00C4394D" w:rsidP="0059000C">
      <w:pPr>
        <w:spacing w:before="120" w:after="200"/>
        <w:ind w:left="284" w:right="71"/>
      </w:pPr>
      <w:r w:rsidRPr="0059000C">
        <w:lastRenderedPageBreak/>
        <w:t>Dosažení uvedené světlé výšky (používané v podstatě plošně v celé Evropě) je technologicky a z hlediska zachování statiky a při rozumných stavebních nákladech možné pouze za předpokladu, že celková výška zástavby dosáhne alespoň uvedené hodnoty. Omezení maximální výšky na 12m by za daného stavu nepřípustně omezilo možnost využití Pozemků a tím nepřípustně zasáhlo do realizace vlastnického práva skupiny VGP k Pozemkům, a jako zcela neúčelné by se následně jevilo i dojednávání a uzavření SOSB.</w:t>
      </w:r>
    </w:p>
    <w:p w14:paraId="60989858" w14:textId="77777777" w:rsidR="00C4394D" w:rsidRPr="0059000C" w:rsidRDefault="00C4394D" w:rsidP="0059000C">
      <w:pPr>
        <w:tabs>
          <w:tab w:val="center" w:pos="3803"/>
        </w:tabs>
        <w:spacing w:before="120" w:after="158"/>
        <w:ind w:left="284"/>
        <w:jc w:val="left"/>
        <w:rPr>
          <w:b/>
          <w:bCs/>
        </w:rPr>
      </w:pPr>
      <w:r w:rsidRPr="0059000C">
        <w:rPr>
          <w:rFonts w:eastAsia="Calibri" w:cs="Calibri"/>
          <w:b/>
          <w:bCs/>
        </w:rPr>
        <w:t>(2)</w:t>
      </w:r>
      <w:r w:rsidRPr="0059000C">
        <w:rPr>
          <w:rFonts w:eastAsia="Calibri" w:cs="Calibri"/>
          <w:b/>
          <w:bCs/>
        </w:rPr>
        <w:tab/>
      </w:r>
      <w:r w:rsidRPr="0059000C">
        <w:rPr>
          <w:b/>
          <w:bCs/>
        </w:rPr>
        <w:t>Nesouhlas se stanovením podmínky zpracování územní studie</w:t>
      </w:r>
    </w:p>
    <w:p w14:paraId="59196493" w14:textId="77777777" w:rsidR="00C4394D" w:rsidRPr="0059000C" w:rsidRDefault="00C4394D" w:rsidP="0059000C">
      <w:pPr>
        <w:spacing w:before="120" w:after="120" w:line="247" w:lineRule="auto"/>
        <w:ind w:left="284" w:right="74"/>
      </w:pPr>
      <w:r w:rsidRPr="0059000C">
        <w:t xml:space="preserve">Na str. 65 Návrhu v čl. (L01) je pro rozhodování o změnách v území stanovena podmínka zpracování územní studie. Dle odůvodnění Návrhu je územní studii potřeba zpracovat zejména z důvodu, že </w:t>
      </w:r>
      <w:r w:rsidRPr="0059000C">
        <w:rPr>
          <w:i/>
          <w:iCs/>
        </w:rPr>
        <w:t xml:space="preserve">„rozloha tohoto území (8, 168 ha), </w:t>
      </w:r>
      <w:r w:rsidRPr="0059000C">
        <w:rPr>
          <w:rFonts w:eastAsia="Calibri"/>
          <w:i/>
          <w:iCs/>
        </w:rPr>
        <w:t xml:space="preserve">strategická poloha na mezinárodním dopravním tahu, potřeba harmonického hmotového začlenění zástavby do okolní krajiny a nutnost zajištění ochrany </w:t>
      </w:r>
      <w:r w:rsidRPr="0059000C">
        <w:rPr>
          <w:i/>
          <w:iCs/>
        </w:rPr>
        <w:t>navazující obytné zástavby sídla Oldřichov na Hranicích”</w:t>
      </w:r>
      <w:r w:rsidRPr="0059000C">
        <w:t xml:space="preserve"> (str. 149 odůvodnění). Zadání územní studie je pak v Návrhu rozpracováno v souladu s § 30 stavebního zákona.</w:t>
      </w:r>
    </w:p>
    <w:p w14:paraId="3E3437DD" w14:textId="77777777" w:rsidR="00C4394D" w:rsidRPr="0059000C" w:rsidRDefault="00C4394D" w:rsidP="0059000C">
      <w:pPr>
        <w:spacing w:before="120" w:after="120" w:line="247" w:lineRule="auto"/>
        <w:ind w:left="284" w:right="74"/>
      </w:pPr>
      <w:r w:rsidRPr="0059000C">
        <w:t>Dle našeho názoru uvedené důvody neopodstatňují stanovení podmínky zpracování územní studie pro rozhodování o změnách na ploše Z37. V první řadě je potřeba poukázat na to, že tato podmínka se s velkou pravděpodobností dotkne pouze velmi malé části plochy Z37, která v době nabytí platnosti nového územního plánu ještě nebude zastavěna, resp. jejíž zástavba nebude povolena. Kromě toho, rozloha této plochy se nijak nevymyká obvyklým rozlohám menších průmyslových zón a umožňuje v podstatě výstavbu pouze jednoho segmentu jedné haly. Z tohoto pohledu je tak možnost uspořádání využití území dána v první řadě umístěním okolních komunikací, reliéfem terénu, ostatními regulativy stanovenými v územním plánu a zamýšleným účelem výstavby, kterým je skladování a lehká výroba.</w:t>
      </w:r>
    </w:p>
    <w:p w14:paraId="744FF8AA" w14:textId="77777777" w:rsidR="00C4394D" w:rsidRPr="0059000C" w:rsidRDefault="00C4394D" w:rsidP="0059000C">
      <w:pPr>
        <w:spacing w:before="120" w:after="120" w:line="247" w:lineRule="auto"/>
        <w:ind w:left="284"/>
      </w:pPr>
      <w:r w:rsidRPr="0059000C">
        <w:t>Jednotlivé oblasti, které by měla územní studie prověřit, jsou nicméně předmětem dokumentace v současnosti zpracovávané k záměru a budou předmětem posouzení v jednotlivých řízeních souvisejících se záměrem, zejména ve zjišťovacím řízení. Konkrétně:</w:t>
      </w:r>
    </w:p>
    <w:p w14:paraId="3B039ABA" w14:textId="77777777" w:rsidR="00C4394D" w:rsidRPr="0059000C" w:rsidRDefault="00C4394D" w:rsidP="00BA7077">
      <w:pPr>
        <w:numPr>
          <w:ilvl w:val="0"/>
          <w:numId w:val="106"/>
        </w:numPr>
        <w:spacing w:before="120" w:after="31" w:line="223" w:lineRule="auto"/>
        <w:ind w:left="284" w:hanging="360"/>
        <w:jc w:val="left"/>
        <w:rPr>
          <w:i/>
          <w:iCs/>
        </w:rPr>
      </w:pPr>
      <w:r w:rsidRPr="0059000C">
        <w:rPr>
          <w:rFonts w:eastAsia="Calibri"/>
          <w:i/>
          <w:iCs/>
        </w:rPr>
        <w:t xml:space="preserve">uspořádání a způsob zastavění území, zejména urbanistickou strukturu při </w:t>
      </w:r>
      <w:r w:rsidRPr="0059000C">
        <w:rPr>
          <w:i/>
          <w:iCs/>
        </w:rPr>
        <w:t>zohlednění ÚSES, evidovaného území s archeologickými nálezy a v souladu s podmínkami uvedenými v kap. F ÚP:</w:t>
      </w:r>
    </w:p>
    <w:p w14:paraId="1453ACE9" w14:textId="77777777" w:rsidR="00C4394D" w:rsidRPr="0059000C" w:rsidRDefault="00C4394D" w:rsidP="0059000C">
      <w:pPr>
        <w:spacing w:before="120" w:after="120" w:line="247" w:lineRule="auto"/>
        <w:ind w:left="284" w:right="74" w:hanging="11"/>
      </w:pPr>
      <w:r w:rsidRPr="0059000C">
        <w:t>Koncepce záměru, jak je popsána v Oznámení záměru v Zjišťovacím řízení, plně zohledňuje ÚSES i podmínky uvedené v kap. F. Návrhu, archeologický průzkum bude proveden v rámci přípravy výstavby v souladu s příslušnými předpisy; vzhledem k omezené ploše záměru a výstavbě pouze jedné haly není důvod pro upřesňování uspořádání zastavění území územní studií;</w:t>
      </w:r>
    </w:p>
    <w:p w14:paraId="691D2A3A" w14:textId="77777777" w:rsidR="00C4394D" w:rsidRPr="0059000C" w:rsidRDefault="00C4394D" w:rsidP="00BA7077">
      <w:pPr>
        <w:numPr>
          <w:ilvl w:val="0"/>
          <w:numId w:val="106"/>
        </w:numPr>
        <w:spacing w:before="120" w:after="120" w:line="221" w:lineRule="auto"/>
        <w:ind w:left="284" w:hanging="360"/>
        <w:jc w:val="left"/>
        <w:rPr>
          <w:i/>
          <w:iCs/>
        </w:rPr>
      </w:pPr>
      <w:r w:rsidRPr="0059000C">
        <w:rPr>
          <w:rFonts w:eastAsia="Calibri"/>
          <w:i/>
          <w:iCs/>
        </w:rPr>
        <w:t>postup výstavby s podmínkou přednostního využívání území bezprostředně navazujícího na silnici I/35:</w:t>
      </w:r>
    </w:p>
    <w:p w14:paraId="1EE9ED21" w14:textId="77777777" w:rsidR="00C4394D" w:rsidRPr="0059000C" w:rsidRDefault="00C4394D" w:rsidP="0059000C">
      <w:pPr>
        <w:spacing w:before="120" w:after="120" w:line="247" w:lineRule="auto"/>
        <w:ind w:left="284" w:right="74" w:hanging="11"/>
      </w:pPr>
      <w:r w:rsidRPr="0059000C">
        <w:t xml:space="preserve">Postup výstavby je v dokumentaci k záměru jednoznačné definovaný </w:t>
      </w:r>
      <w:r w:rsidRPr="0059000C">
        <w:rPr>
          <w:noProof/>
        </w:rPr>
        <w:t xml:space="preserve">– </w:t>
      </w:r>
      <w:r w:rsidRPr="0059000C">
        <w:t>vzhledem k tomu, že bude výstavba pouze jedné haly, tak nepřichází v této souvislosti do úvahy odlišný postup, než který investor v současnosti navrhuje;</w:t>
      </w:r>
    </w:p>
    <w:p w14:paraId="0F3AE0B6" w14:textId="77777777" w:rsidR="00C4394D" w:rsidRPr="0059000C" w:rsidRDefault="00C4394D" w:rsidP="00BA7077">
      <w:pPr>
        <w:numPr>
          <w:ilvl w:val="0"/>
          <w:numId w:val="106"/>
        </w:numPr>
        <w:spacing w:before="120" w:after="120" w:line="216" w:lineRule="auto"/>
        <w:ind w:left="284" w:hanging="360"/>
        <w:jc w:val="left"/>
        <w:rPr>
          <w:i/>
          <w:iCs/>
        </w:rPr>
      </w:pPr>
      <w:r w:rsidRPr="0059000C">
        <w:rPr>
          <w:rFonts w:eastAsia="Calibri"/>
          <w:i/>
          <w:iCs/>
        </w:rPr>
        <w:t>citlivé objemové řešení staveb zohledňující blízkost státní hranice a vizuální exponovanost plochy při dálkových pohledech:</w:t>
      </w:r>
    </w:p>
    <w:p w14:paraId="60CB51CC" w14:textId="77777777" w:rsidR="00C4394D" w:rsidRPr="0059000C" w:rsidRDefault="00C4394D" w:rsidP="0059000C">
      <w:pPr>
        <w:spacing w:before="120" w:after="130"/>
        <w:ind w:left="284" w:right="71"/>
      </w:pPr>
      <w:r w:rsidRPr="0059000C">
        <w:t>Pro účely zjišťovacího řízení byla zpracována studie dopadu záměru na krajinný ráz, která prokazuje, že záměr nebude mít zásadní dopady na krajinný ráz a to především z pohledu Polské strany;</w:t>
      </w:r>
    </w:p>
    <w:p w14:paraId="730DFB56" w14:textId="77777777" w:rsidR="00C4394D" w:rsidRPr="0059000C" w:rsidRDefault="00C4394D" w:rsidP="00BA7077">
      <w:pPr>
        <w:numPr>
          <w:ilvl w:val="0"/>
          <w:numId w:val="106"/>
        </w:numPr>
        <w:spacing w:before="120" w:after="120" w:line="223" w:lineRule="auto"/>
        <w:ind w:left="284" w:hanging="360"/>
        <w:jc w:val="left"/>
        <w:rPr>
          <w:i/>
          <w:iCs/>
        </w:rPr>
      </w:pPr>
      <w:r w:rsidRPr="0059000C">
        <w:rPr>
          <w:i/>
          <w:iCs/>
        </w:rPr>
        <w:t>způsob dopravního napojení, vnitřní dopravní obsluhu plochy a řešení dopravy v </w:t>
      </w:r>
      <w:r w:rsidRPr="0059000C">
        <w:rPr>
          <w:rFonts w:eastAsia="Calibri"/>
          <w:i/>
          <w:iCs/>
        </w:rPr>
        <w:t>klidu pro její uživatele:</w:t>
      </w:r>
    </w:p>
    <w:p w14:paraId="7A701896" w14:textId="77777777" w:rsidR="00C4394D" w:rsidRPr="0059000C" w:rsidRDefault="00C4394D" w:rsidP="0059000C">
      <w:pPr>
        <w:spacing w:before="120" w:after="120" w:line="247" w:lineRule="auto"/>
        <w:ind w:left="284" w:right="74" w:hanging="11"/>
      </w:pPr>
      <w:r w:rsidRPr="0059000C">
        <w:t>Dopravní napojení záměru je v dokumentaci k jeho realizaci definováno v souladu s podmínkami stanovenými v Návrhu na str. 45 prostřednictvím silnice III/27110, přičemž vzhledem k organizaci území zde přichází do úvahy v podstatě pouze v současnosti zvažované řešení. Vnitřní dopravní obsluha plochy je pak téměř 100%-tně definována umístěním haly a strukturou terénu, tj. ani zde nelze očekávat zásadní přínos územní studie.</w:t>
      </w:r>
    </w:p>
    <w:p w14:paraId="396C268F" w14:textId="77777777" w:rsidR="00C4394D" w:rsidRPr="0059000C" w:rsidRDefault="00C4394D" w:rsidP="00BA7077">
      <w:pPr>
        <w:numPr>
          <w:ilvl w:val="0"/>
          <w:numId w:val="106"/>
        </w:numPr>
        <w:spacing w:before="120" w:after="120" w:line="221" w:lineRule="auto"/>
        <w:ind w:left="284" w:hanging="360"/>
        <w:jc w:val="left"/>
        <w:rPr>
          <w:i/>
          <w:iCs/>
        </w:rPr>
      </w:pPr>
      <w:r w:rsidRPr="0059000C">
        <w:rPr>
          <w:rFonts w:eastAsia="Calibri"/>
          <w:i/>
          <w:iCs/>
        </w:rPr>
        <w:t>řešení vazby na plochu krajinné zelené a obytnou zástavbu sídla Oldřichov na Hranicích, s cílem maximální ochrany obytného komfortu:</w:t>
      </w:r>
    </w:p>
    <w:p w14:paraId="050FFD5E" w14:textId="77777777" w:rsidR="00C4394D" w:rsidRPr="0059000C" w:rsidRDefault="00C4394D" w:rsidP="0059000C">
      <w:pPr>
        <w:spacing w:before="120" w:after="120" w:line="247" w:lineRule="auto"/>
        <w:ind w:left="284" w:right="74" w:hanging="11"/>
      </w:pPr>
      <w:r w:rsidRPr="0059000C">
        <w:lastRenderedPageBreak/>
        <w:t>Územní plán jasně definuje plochu ochranné zeleně, a také její návaznost na plochu Z37. Při realizaci haly společně s ochranným zemním valem bude realizováno protihlukové opatření, které omezí průnik hluku ze směru od stávajících hal, a částečné také od komunikace I/35, k západní zastavěné části obce Oldřichov na Hranicích.</w:t>
      </w:r>
    </w:p>
    <w:p w14:paraId="5177A237" w14:textId="77777777" w:rsidR="00C4394D" w:rsidRPr="0059000C" w:rsidRDefault="00C4394D" w:rsidP="00BA7077">
      <w:pPr>
        <w:numPr>
          <w:ilvl w:val="0"/>
          <w:numId w:val="106"/>
        </w:numPr>
        <w:spacing w:before="120" w:after="120" w:line="221" w:lineRule="auto"/>
        <w:ind w:left="284" w:hanging="360"/>
        <w:jc w:val="left"/>
        <w:rPr>
          <w:i/>
          <w:iCs/>
        </w:rPr>
      </w:pPr>
      <w:r w:rsidRPr="0059000C">
        <w:rPr>
          <w:rFonts w:eastAsia="Calibri"/>
          <w:i/>
          <w:iCs/>
        </w:rPr>
        <w:t xml:space="preserve">řešení napojení ploch na technickou infrastrukturu a vnitřní rozvody sítí technické </w:t>
      </w:r>
      <w:r w:rsidRPr="0059000C">
        <w:rPr>
          <w:i/>
          <w:iCs/>
        </w:rPr>
        <w:t>infrastruktury v plochách:</w:t>
      </w:r>
    </w:p>
    <w:p w14:paraId="7596F21E" w14:textId="77777777" w:rsidR="00C4394D" w:rsidRPr="0059000C" w:rsidRDefault="00C4394D" w:rsidP="0059000C">
      <w:pPr>
        <w:spacing w:before="120" w:after="120" w:line="247" w:lineRule="auto"/>
        <w:ind w:left="284" w:right="74" w:hanging="11"/>
      </w:pPr>
      <w:r w:rsidRPr="0059000C">
        <w:t>Napojení ploch na technickou infrastrukturu je řešeno v dokumentaci k záměru, stejně jako vnitřní rozvody sítí, proto není potřeba dalšího zkoumání těchto otázek v rámci územní studie.</w:t>
      </w:r>
    </w:p>
    <w:p w14:paraId="3AD35672" w14:textId="77777777" w:rsidR="00C4394D" w:rsidRPr="0059000C" w:rsidRDefault="00C4394D" w:rsidP="00BA7077">
      <w:pPr>
        <w:numPr>
          <w:ilvl w:val="0"/>
          <w:numId w:val="106"/>
        </w:numPr>
        <w:spacing w:before="120" w:after="120" w:line="221" w:lineRule="auto"/>
        <w:ind w:left="284" w:hanging="360"/>
        <w:jc w:val="left"/>
        <w:rPr>
          <w:i/>
          <w:iCs/>
        </w:rPr>
      </w:pPr>
      <w:r w:rsidRPr="0059000C">
        <w:rPr>
          <w:rFonts w:eastAsia="Calibri"/>
          <w:i/>
          <w:iCs/>
        </w:rPr>
        <w:t>ekologicky příznivý způsob likvidace povrchových (dešťových) vod na základě hydrologického posouzení lokality:</w:t>
      </w:r>
    </w:p>
    <w:p w14:paraId="58A81C78" w14:textId="77777777" w:rsidR="00C4394D" w:rsidRPr="0059000C" w:rsidRDefault="00C4394D" w:rsidP="0059000C">
      <w:pPr>
        <w:spacing w:before="120" w:after="120" w:line="247" w:lineRule="auto"/>
        <w:ind w:left="284" w:right="74" w:hanging="11"/>
      </w:pPr>
      <w:r w:rsidRPr="0059000C">
        <w:t>Bude předmětem posouzení v rámci dokumentace k územnímu řízení, nicméně součástí záměru je retenční nádrž o objemu 1125m</w:t>
      </w:r>
      <w:r w:rsidRPr="0059000C">
        <w:rPr>
          <w:vertAlign w:val="superscript"/>
        </w:rPr>
        <w:t>3</w:t>
      </w:r>
      <w:r w:rsidRPr="0059000C">
        <w:t>. Bude-li to na základě hydro-geologického posouzení lokality možné, bude tato nádrž v maximálním možném rozsahu konstruovaná jako vsakovací, čímž bude zajištěno zachování dešťových vod v území. Pouze v rozsahu, v němž vsakování nebude možné, budou dešťové vody odváděny do Oldřichovského potoka, a to řízeným odtokem.</w:t>
      </w:r>
    </w:p>
    <w:p w14:paraId="44590541" w14:textId="77777777" w:rsidR="00C4394D" w:rsidRPr="0059000C" w:rsidRDefault="00C4394D" w:rsidP="0059000C">
      <w:pPr>
        <w:spacing w:before="120" w:after="169"/>
        <w:ind w:left="284" w:right="71"/>
      </w:pPr>
      <w:r w:rsidRPr="0059000C">
        <w:rPr>
          <w:rFonts w:eastAsia="Calibri"/>
        </w:rPr>
        <w:t xml:space="preserve">z </w:t>
      </w:r>
      <w:r w:rsidRPr="0059000C">
        <w:t>uvedených důvodu žádáme, aby:</w:t>
      </w:r>
    </w:p>
    <w:p w14:paraId="262B6A67" w14:textId="77777777" w:rsidR="00C4394D" w:rsidRPr="0059000C" w:rsidRDefault="00C4394D" w:rsidP="00BA7077">
      <w:pPr>
        <w:numPr>
          <w:ilvl w:val="0"/>
          <w:numId w:val="107"/>
        </w:numPr>
        <w:spacing w:before="120" w:after="120" w:line="223" w:lineRule="auto"/>
        <w:ind w:left="284" w:right="71" w:hanging="360"/>
      </w:pPr>
      <w:r w:rsidRPr="0059000C">
        <w:t>byla pro plochu Z37 v koordinačním výkresu stanovena maximální výška zástavby ve výši 13 metrů;</w:t>
      </w:r>
    </w:p>
    <w:p w14:paraId="6A9DB873" w14:textId="77777777" w:rsidR="00C4394D" w:rsidRPr="0059000C" w:rsidRDefault="00C4394D" w:rsidP="00BA7077">
      <w:pPr>
        <w:numPr>
          <w:ilvl w:val="0"/>
          <w:numId w:val="107"/>
        </w:numPr>
        <w:spacing w:before="120" w:after="169" w:line="223" w:lineRule="auto"/>
        <w:ind w:left="284" w:right="71" w:hanging="360"/>
      </w:pPr>
      <w:r w:rsidRPr="0059000C">
        <w:t>byla pro plochu Z37 z Návrhu vypuštěna podmínka zpracování územní studie pro rozhodování o změnách v území.</w:t>
      </w:r>
    </w:p>
    <w:p w14:paraId="3FB9F51C" w14:textId="77777777" w:rsidR="00C4394D" w:rsidRPr="0059000C" w:rsidRDefault="00C4394D" w:rsidP="0059000C">
      <w:pPr>
        <w:spacing w:before="120" w:after="187"/>
        <w:ind w:left="284" w:right="71"/>
      </w:pPr>
      <w:r w:rsidRPr="0059000C">
        <w:t>V případě zájmu o bližší projednání výše uvedených námitek jsme vám samozřejmě k dispozici.</w:t>
      </w:r>
    </w:p>
    <w:p w14:paraId="5BFD0B23" w14:textId="77777777" w:rsidR="00C4394D" w:rsidRPr="0059000C" w:rsidRDefault="00C4394D" w:rsidP="0059000C">
      <w:pPr>
        <w:pStyle w:val="BodyText"/>
        <w:keepNext/>
        <w:spacing w:before="120"/>
        <w:ind w:left="284"/>
        <w:rPr>
          <w:rFonts w:cs="Times New Roman"/>
          <w:b/>
          <w:bCs/>
          <w:sz w:val="22"/>
          <w:szCs w:val="22"/>
        </w:rPr>
      </w:pPr>
      <w:r w:rsidRPr="0059000C">
        <w:rPr>
          <w:rFonts w:cs="Times New Roman"/>
          <w:b/>
          <w:bCs/>
          <w:sz w:val="22"/>
          <w:szCs w:val="22"/>
        </w:rPr>
        <w:t>Doplnění námitky ze dne 1.11.2019, doručené dne 6.11.2019, vedená pod č. j.OSŽP-7485/2019</w:t>
      </w:r>
    </w:p>
    <w:p w14:paraId="15A120FF" w14:textId="77777777" w:rsidR="00C4394D" w:rsidRPr="0059000C" w:rsidRDefault="00C4394D" w:rsidP="0059000C">
      <w:pPr>
        <w:pStyle w:val="BodyText"/>
        <w:keepNext/>
        <w:spacing w:before="120"/>
        <w:ind w:left="284"/>
        <w:rPr>
          <w:b/>
          <w:i/>
          <w:sz w:val="22"/>
          <w:szCs w:val="22"/>
        </w:rPr>
      </w:pPr>
      <w:r w:rsidRPr="0059000C">
        <w:rPr>
          <w:b/>
          <w:i/>
          <w:sz w:val="22"/>
          <w:szCs w:val="22"/>
        </w:rPr>
        <w:t xml:space="preserve">Obsah doplnění: </w:t>
      </w:r>
    </w:p>
    <w:p w14:paraId="617BA3F6" w14:textId="77777777" w:rsidR="00C4394D" w:rsidRPr="0059000C" w:rsidRDefault="00C4394D" w:rsidP="0059000C">
      <w:pPr>
        <w:spacing w:before="120" w:after="120" w:line="240" w:lineRule="auto"/>
        <w:ind w:left="284" w:right="1281" w:hanging="11"/>
        <w:jc w:val="left"/>
      </w:pPr>
      <w:r w:rsidRPr="0059000C">
        <w:t>Doplnění námitek proti návrhu Územního plánu Hrádek nad Nisou</w:t>
      </w:r>
    </w:p>
    <w:p w14:paraId="5F4DFF97" w14:textId="77777777" w:rsidR="00C4394D" w:rsidRPr="0059000C" w:rsidRDefault="00C4394D" w:rsidP="0059000C">
      <w:pPr>
        <w:spacing w:before="120" w:after="135" w:line="265" w:lineRule="auto"/>
        <w:ind w:left="284" w:right="71"/>
      </w:pPr>
      <w:r w:rsidRPr="0059000C">
        <w:t>Vážení, dne 29.8.2019 byl na webových stránkách města Hrádek nad Nisou zveřejněný návrh Územního plánu Hrádek nad Nisou (dále jen „Návrh"). Dne 15.10.2019 proběhlo veřejné projednání Návrhu a dne 21.10.2019 jsme proti tomuto Návrhu podali námitky (dále jen „Námitky").</w:t>
      </w:r>
    </w:p>
    <w:p w14:paraId="4E531AEC" w14:textId="77777777" w:rsidR="00C4394D" w:rsidRPr="0059000C" w:rsidRDefault="00C4394D" w:rsidP="0059000C">
      <w:pPr>
        <w:spacing w:before="120" w:after="165"/>
        <w:ind w:left="284" w:right="21"/>
      </w:pPr>
      <w:r w:rsidRPr="0059000C">
        <w:t>Po konzultaci s kompetentními osobami si dovolujeme naše Námitky v bodu (1) zpřesnit, a to tak, že pro plochu Z37, pro kterou je v Návrhu stanoveno omezení výšky nové zástavby do maximální výšky 12m, žádáme o navýšení výškového limitu pro plochu Z37 na 12,5 metru.</w:t>
      </w:r>
    </w:p>
    <w:p w14:paraId="653CAC1E" w14:textId="77777777" w:rsidR="00C4394D" w:rsidRPr="0059000C" w:rsidRDefault="00C4394D" w:rsidP="0059000C">
      <w:pPr>
        <w:spacing w:before="120" w:after="143"/>
        <w:ind w:left="284" w:right="21"/>
      </w:pPr>
      <w:r w:rsidRPr="0059000C">
        <w:t>Pro podrobné odůvodnění tohoto požadavku si dovolujeme odkázat na původní text Námitek, a rovněž ve zbytku Námitek setrváváme na postoji již projeveném v Námitkách.</w:t>
      </w:r>
    </w:p>
    <w:p w14:paraId="63A3F9AD" w14:textId="77777777" w:rsidR="00C4394D" w:rsidRPr="0059000C" w:rsidRDefault="00C4394D" w:rsidP="0059000C">
      <w:pPr>
        <w:pStyle w:val="BodyText"/>
        <w:keepNext/>
        <w:spacing w:before="120"/>
        <w:ind w:left="284"/>
        <w:rPr>
          <w:b/>
          <w:i/>
          <w:sz w:val="22"/>
          <w:szCs w:val="22"/>
        </w:rPr>
      </w:pPr>
      <w:r w:rsidRPr="0059000C">
        <w:rPr>
          <w:sz w:val="22"/>
          <w:szCs w:val="22"/>
        </w:rPr>
        <w:t xml:space="preserve">V případě zájmu o bližší projednání výše uvedeného, anebo dalších aspektů souvisejících s návrhem, jsme vám samozřejmě k dispozici. </w:t>
      </w:r>
    </w:p>
    <w:p w14:paraId="24AE4894" w14:textId="77777777" w:rsidR="00C4394D" w:rsidRPr="0059000C" w:rsidRDefault="00C4394D" w:rsidP="0059000C">
      <w:pPr>
        <w:spacing w:before="100" w:beforeAutospacing="1" w:line="240" w:lineRule="auto"/>
        <w:ind w:left="284"/>
        <w:rPr>
          <w:b/>
          <w:i/>
          <w:u w:val="single"/>
        </w:rPr>
      </w:pPr>
      <w:r w:rsidRPr="0059000C">
        <w:rPr>
          <w:b/>
          <w:i/>
          <w:u w:val="single"/>
        </w:rPr>
        <w:t>Návrh rozhodnutí o námitce v části 1):</w:t>
      </w:r>
    </w:p>
    <w:p w14:paraId="4D230A5D" w14:textId="77777777" w:rsidR="00C4394D" w:rsidRPr="0059000C" w:rsidRDefault="00C4394D" w:rsidP="0059000C">
      <w:pPr>
        <w:spacing w:before="120" w:line="240" w:lineRule="auto"/>
        <w:ind w:left="284"/>
        <w:rPr>
          <w:b/>
          <w:i/>
        </w:rPr>
      </w:pPr>
      <w:r w:rsidRPr="0059000C">
        <w:rPr>
          <w:b/>
          <w:i/>
        </w:rPr>
        <w:t>Pořizovatel ve spolupráci s určeným zastupitelem a projektantem posoudil uplatněnou námitku a po důkladném prověření došel k závěru, že vzhledem k rozdílnému charakteru připomínkovaných záležitostí rozděluje připomínku na dvě samostatné části.</w:t>
      </w:r>
    </w:p>
    <w:p w14:paraId="54517F41" w14:textId="77777777" w:rsidR="00C4394D" w:rsidRPr="0059000C" w:rsidRDefault="00C4394D" w:rsidP="00B45646">
      <w:pPr>
        <w:pStyle w:val="ListParagraph"/>
        <w:numPr>
          <w:ilvl w:val="0"/>
          <w:numId w:val="108"/>
        </w:numPr>
        <w:tabs>
          <w:tab w:val="left" w:pos="851"/>
        </w:tabs>
        <w:spacing w:before="240" w:after="120" w:line="240" w:lineRule="auto"/>
        <w:ind w:left="425" w:right="215" w:firstLine="0"/>
        <w:rPr>
          <w:b/>
          <w:i/>
          <w:iCs/>
        </w:rPr>
      </w:pPr>
      <w:r w:rsidRPr="0059000C">
        <w:rPr>
          <w:b/>
          <w:bCs/>
          <w:i/>
          <w:iCs/>
        </w:rPr>
        <w:t>Nesouhlas s omezením výšky zástavby na Pozemcích na 12 metrů</w:t>
      </w:r>
    </w:p>
    <w:p w14:paraId="558BC8EA" w14:textId="77777777" w:rsidR="00C4394D" w:rsidRPr="0059000C" w:rsidRDefault="00C4394D" w:rsidP="00C4394D">
      <w:pPr>
        <w:spacing w:before="120" w:line="240" w:lineRule="auto"/>
        <w:ind w:left="851" w:right="71"/>
        <w:rPr>
          <w:b/>
          <w:i/>
          <w:iCs/>
        </w:rPr>
      </w:pPr>
      <w:r w:rsidRPr="0059000C">
        <w:rPr>
          <w:b/>
          <w:i/>
          <w:iCs/>
        </w:rPr>
        <w:t xml:space="preserve">Pořizovatel v prvním bodě námitky po důkladném prověření konstatuje, že nový Územní plán Hrádek nad Nisou je zpracován dle nového stavebního zákona, který obsahuje požadavek na upřesnění podmínek prostorového uspořádání (vyhláška č. 500/2006 Sb.). V době zpracování současně platného ÚPSÚ Hrádek nad Nisou platily jiné legislativní předpisy. Požadavek na </w:t>
      </w:r>
      <w:r w:rsidRPr="0059000C">
        <w:rPr>
          <w:b/>
          <w:i/>
          <w:iCs/>
        </w:rPr>
        <w:lastRenderedPageBreak/>
        <w:t xml:space="preserve">stanovení výškové regulace zástavby zároveň vyplývá z požadavků Zadání územního plánu, schváleného zastupitelstvem města. </w:t>
      </w:r>
    </w:p>
    <w:p w14:paraId="6EA78CDA" w14:textId="77777777" w:rsidR="00C4394D" w:rsidRPr="0059000C" w:rsidRDefault="00C4394D" w:rsidP="00C4394D">
      <w:pPr>
        <w:spacing w:before="120" w:line="240" w:lineRule="auto"/>
        <w:ind w:left="851" w:right="71"/>
        <w:rPr>
          <w:b/>
          <w:i/>
          <w:iCs/>
        </w:rPr>
      </w:pPr>
      <w:r w:rsidRPr="0059000C">
        <w:rPr>
          <w:b/>
          <w:i/>
          <w:iCs/>
        </w:rPr>
        <w:t xml:space="preserve">Navýšení maximální stanovená výšky z 12 m na 12,5 metru nepředstavuje již zásah do krajinného rázu, jelikož již stávající navazující průmyslový areál má tuto výšku, a dále s ohledem, že terén poměrně výrazně klesá od stávající silnice I/35. Nadále bude platit, že maximální výška je stanovena co nejcitlivěji ke krajinnému rázu. </w:t>
      </w:r>
    </w:p>
    <w:p w14:paraId="2CD36ADA" w14:textId="77777777" w:rsidR="00C4394D" w:rsidRPr="0059000C" w:rsidRDefault="00C4394D" w:rsidP="00C4394D">
      <w:pPr>
        <w:spacing w:before="120" w:line="240" w:lineRule="auto"/>
        <w:ind w:left="851" w:right="71"/>
        <w:rPr>
          <w:b/>
          <w:i/>
          <w:iCs/>
        </w:rPr>
      </w:pPr>
      <w:r w:rsidRPr="0059000C">
        <w:rPr>
          <w:b/>
          <w:i/>
          <w:iCs/>
        </w:rPr>
        <w:t xml:space="preserve">Ponechání maximální stanovené výšky na 12 m pro plochu Z37 by vedlo ke zhoršené využitelnosti této plochy pro lehký průmysl, a potřebu většího záboru zemědělského půdního fondu, vzhledem k technologii výroby hal pro lehký průmysl popřípadě logistických center. Tyto technické postupy jsou stanoveny minimální světlou výškou, standardizovanými rozměry palet, výrobních linek a dalších logistických systémů.  Technologie výroby těchto hal vyžaduje minimálně navrženou přípustnou výšku 12,5 m </w:t>
      </w:r>
    </w:p>
    <w:p w14:paraId="45B6F726" w14:textId="77777777" w:rsidR="00C4394D" w:rsidRPr="0059000C" w:rsidRDefault="00C4394D" w:rsidP="00C4394D">
      <w:pPr>
        <w:spacing w:before="120" w:line="240" w:lineRule="auto"/>
        <w:ind w:left="851" w:right="71"/>
        <w:rPr>
          <w:b/>
          <w:i/>
          <w:iCs/>
        </w:rPr>
      </w:pPr>
      <w:r w:rsidRPr="0059000C">
        <w:rPr>
          <w:b/>
          <w:i/>
          <w:iCs/>
        </w:rPr>
        <w:t xml:space="preserve">Zrealizování záměru staveb pro lehký průmysl je také ve veřejném zájmu a v zájmu města Hrádek nad Nisou vzhledem k novým pracovním příležitostem, které toto rozšíření areálu VGP přinese. Nové pracovní příležitosti mohou také vést k většímu počtu nově přistěhovalých obyvatel a přispět tedy k žádanému rozvoji města. </w:t>
      </w:r>
    </w:p>
    <w:p w14:paraId="1734515C" w14:textId="77777777" w:rsidR="00C4394D" w:rsidRPr="0059000C" w:rsidRDefault="00C4394D" w:rsidP="00C4394D">
      <w:pPr>
        <w:spacing w:before="240" w:line="247" w:lineRule="auto"/>
        <w:ind w:left="425" w:right="71" w:hanging="11"/>
        <w:rPr>
          <w:b/>
          <w:bCs/>
          <w:i/>
        </w:rPr>
      </w:pPr>
      <w:r w:rsidRPr="0059000C">
        <w:rPr>
          <w:b/>
          <w:i/>
          <w:iCs/>
        </w:rPr>
        <w:t xml:space="preserve">Námitce se v části 1) navrhuje </w:t>
      </w:r>
      <w:r w:rsidRPr="0059000C">
        <w:rPr>
          <w:b/>
          <w:bCs/>
          <w:i/>
        </w:rPr>
        <w:t xml:space="preserve">vyhovět. </w:t>
      </w:r>
    </w:p>
    <w:p w14:paraId="4D22071F" w14:textId="77777777" w:rsidR="00C4394D" w:rsidRPr="0059000C" w:rsidRDefault="00C4394D" w:rsidP="00C4394D">
      <w:pPr>
        <w:spacing w:before="120"/>
        <w:ind w:left="425" w:right="71"/>
        <w:rPr>
          <w:b/>
          <w:i/>
        </w:rPr>
      </w:pPr>
      <w:r w:rsidRPr="0059000C">
        <w:rPr>
          <w:b/>
          <w:bCs/>
          <w:i/>
        </w:rPr>
        <w:t xml:space="preserve">Tato část námitky </w:t>
      </w:r>
      <w:r w:rsidRPr="0059000C">
        <w:rPr>
          <w:b/>
          <w:i/>
        </w:rPr>
        <w:t xml:space="preserve">vyvolává nepodstatnou změnu dokumentace Návrhu Územního plánu Hrádek nad Nisou pro veřejné projednání, kdy se navrhuje v dokumentaci Územního plánu Hrádek nad Nisou navýšit maximální přípustnou výšku pro plochu Z37 na 12,5m. </w:t>
      </w:r>
    </w:p>
    <w:p w14:paraId="2D77FBCA" w14:textId="77777777" w:rsidR="00C4394D" w:rsidRPr="0059000C" w:rsidRDefault="00C4394D" w:rsidP="00C4394D">
      <w:pPr>
        <w:keepNext/>
        <w:spacing w:after="120" w:line="240" w:lineRule="auto"/>
        <w:ind w:left="425"/>
        <w:rPr>
          <w:b/>
          <w:i/>
          <w:u w:val="single"/>
        </w:rPr>
      </w:pPr>
      <w:r w:rsidRPr="0059000C">
        <w:rPr>
          <w:b/>
          <w:i/>
          <w:u w:val="single"/>
        </w:rPr>
        <w:t>Rozhodnutí o námitce v části 2):</w:t>
      </w:r>
    </w:p>
    <w:p w14:paraId="6F0351D1" w14:textId="77777777" w:rsidR="00C4394D" w:rsidRPr="0059000C" w:rsidRDefault="00C4394D" w:rsidP="00B45646">
      <w:pPr>
        <w:pStyle w:val="ListParagraph"/>
        <w:keepNext/>
        <w:numPr>
          <w:ilvl w:val="0"/>
          <w:numId w:val="108"/>
        </w:numPr>
        <w:tabs>
          <w:tab w:val="left" w:pos="851"/>
        </w:tabs>
        <w:spacing w:after="120" w:line="240" w:lineRule="auto"/>
        <w:ind w:left="425" w:right="71" w:firstLine="0"/>
        <w:rPr>
          <w:b/>
          <w:bCs/>
          <w:i/>
          <w:iCs/>
        </w:rPr>
      </w:pPr>
      <w:r w:rsidRPr="0059000C">
        <w:rPr>
          <w:b/>
          <w:bCs/>
          <w:i/>
          <w:iCs/>
        </w:rPr>
        <w:t>Nesouhlas se stanovením podmínky zpracování územní studie</w:t>
      </w:r>
    </w:p>
    <w:p w14:paraId="6D66AC2B" w14:textId="77777777" w:rsidR="00C4394D" w:rsidRDefault="00C4394D" w:rsidP="00C4394D">
      <w:pPr>
        <w:spacing w:before="120" w:line="240" w:lineRule="auto"/>
        <w:ind w:left="851" w:right="71"/>
        <w:rPr>
          <w:b/>
          <w:i/>
          <w:iCs/>
        </w:rPr>
      </w:pPr>
      <w:r w:rsidRPr="0059000C">
        <w:rPr>
          <w:b/>
          <w:i/>
          <w:iCs/>
        </w:rPr>
        <w:t>Pořizovatel v druhé části námitky dospěl k závěru, že podmínka zpracování územní studie pro plochu Z37 je stanovena zejména s ohledem na velikost její plochy, která je 8,168 ha, přičemž pro plochy těchto velikostí je nezbytné důkladně prověřit způsob, jakým bude plocha využita a to zejména uspořádání a způsob zastavění území, urbanistickou strukturu při zohlednění ÚSES, citlivé objemové řešení staveb zohledňující blízkost státní hranice a vizuální exponovanost plochy při dálkových pohledech, způsob dopravního napojení, vnitřní dopravní obsluhu plochy a řešení dopravy v klidu pro její uživatele a návrh napojení na veřejnou technickou infrastrukturu, řešení vazby na plochu krajinné zeleně a obytnou zástavbu sídla Oldřichov na Hranicích, s cílem maximální ochrany obytného komfortu. Požadavek na zpracování územní studie, pro takto velkou lokalitu, vyplývá ze zastupitelstvem města schváleného Zadání územního plánu.</w:t>
      </w:r>
    </w:p>
    <w:tbl>
      <w:tblPr>
        <w:tblStyle w:val="TableGrid"/>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59000C" w14:paraId="59AA1443" w14:textId="77777777" w:rsidTr="00FC237B">
        <w:tc>
          <w:tcPr>
            <w:tcW w:w="8437" w:type="dxa"/>
          </w:tcPr>
          <w:p w14:paraId="16E7E788" w14:textId="77777777" w:rsidR="0059000C" w:rsidRDefault="0059000C" w:rsidP="0059000C">
            <w:pPr>
              <w:spacing w:before="120" w:line="240" w:lineRule="auto"/>
              <w:ind w:right="71"/>
              <w:jc w:val="center"/>
              <w:rPr>
                <w:b/>
                <w:i/>
                <w:iCs/>
              </w:rPr>
            </w:pPr>
            <w:r w:rsidRPr="00C4394D">
              <w:rPr>
                <w:i/>
                <w:noProof/>
                <w:sz w:val="24"/>
                <w:szCs w:val="24"/>
                <w:lang w:eastAsia="cs-CZ"/>
              </w:rPr>
              <w:lastRenderedPageBreak/>
              <w:drawing>
                <wp:inline distT="0" distB="0" distL="0" distR="0" wp14:anchorId="68E12130" wp14:editId="1FC32DBE">
                  <wp:extent cx="3987102" cy="3176276"/>
                  <wp:effectExtent l="0" t="0" r="0" b="508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N4.png"/>
                          <pic:cNvPicPr/>
                        </pic:nvPicPr>
                        <pic:blipFill>
                          <a:blip r:embed="rId53">
                            <a:extLst>
                              <a:ext uri="{28A0092B-C50C-407E-A947-70E740481C1C}">
                                <a14:useLocalDpi xmlns:a14="http://schemas.microsoft.com/office/drawing/2010/main" val="0"/>
                              </a:ext>
                            </a:extLst>
                          </a:blip>
                          <a:stretch>
                            <a:fillRect/>
                          </a:stretch>
                        </pic:blipFill>
                        <pic:spPr>
                          <a:xfrm>
                            <a:off x="0" y="0"/>
                            <a:ext cx="4020098" cy="3202562"/>
                          </a:xfrm>
                          <a:prstGeom prst="rect">
                            <a:avLst/>
                          </a:prstGeom>
                        </pic:spPr>
                      </pic:pic>
                    </a:graphicData>
                  </a:graphic>
                </wp:inline>
              </w:drawing>
            </w:r>
          </w:p>
        </w:tc>
      </w:tr>
    </w:tbl>
    <w:p w14:paraId="10F3426B" w14:textId="77777777" w:rsidR="00446993" w:rsidRDefault="00446993" w:rsidP="00FC237B">
      <w:pPr>
        <w:pStyle w:val="Heading2"/>
      </w:pPr>
    </w:p>
    <w:p w14:paraId="5F4A8D8F" w14:textId="77777777" w:rsidR="00446993" w:rsidRDefault="00446993">
      <w:pPr>
        <w:spacing w:line="240" w:lineRule="auto"/>
        <w:jc w:val="left"/>
        <w:rPr>
          <w:rFonts w:cs="Arial"/>
          <w:b/>
          <w:bCs/>
          <w:i/>
          <w:iCs/>
          <w:sz w:val="28"/>
          <w:szCs w:val="28"/>
        </w:rPr>
      </w:pPr>
      <w:r>
        <w:br w:type="page"/>
      </w:r>
    </w:p>
    <w:p w14:paraId="6CD82F98" w14:textId="5F47C482" w:rsidR="00FC237B" w:rsidRDefault="00917A47" w:rsidP="00FC237B">
      <w:pPr>
        <w:pStyle w:val="Heading2"/>
      </w:pPr>
      <w:bookmarkStart w:id="222" w:name="_Toc36116347"/>
      <w:r>
        <w:lastRenderedPageBreak/>
        <w:t>E</w:t>
      </w:r>
      <w:r w:rsidR="00FC237B" w:rsidRPr="008849DA">
        <w:t>.</w:t>
      </w:r>
      <w:r w:rsidR="00FC237B" w:rsidRPr="008849DA">
        <w:tab/>
        <w:t>Vyhodnocení uplatněných připomínek</w:t>
      </w:r>
      <w:bookmarkEnd w:id="222"/>
      <w:r w:rsidR="00FC237B" w:rsidRPr="008849DA">
        <w:t xml:space="preserve"> </w:t>
      </w:r>
    </w:p>
    <w:p w14:paraId="6776F1F3" w14:textId="7E681569" w:rsidR="008849DA" w:rsidRPr="008849DA" w:rsidRDefault="00817B73" w:rsidP="00817B73">
      <w:pPr>
        <w:spacing w:before="360" w:line="240" w:lineRule="auto"/>
        <w:ind w:left="567" w:hanging="567"/>
        <w:rPr>
          <w:b/>
          <w:sz w:val="26"/>
          <w:szCs w:val="26"/>
        </w:rPr>
      </w:pPr>
      <w:r>
        <w:rPr>
          <w:b/>
          <w:sz w:val="26"/>
          <w:szCs w:val="26"/>
        </w:rPr>
        <w:t xml:space="preserve">E.1. </w:t>
      </w:r>
      <w:r w:rsidR="008849DA" w:rsidRPr="008849DA">
        <w:rPr>
          <w:b/>
          <w:sz w:val="26"/>
          <w:szCs w:val="26"/>
        </w:rPr>
        <w:t>NÁVRH VYHODNOCENÍ PŘIPOMÍNEK SOUSEDNÍCH OBCÍ UPLATNĚNÝCH K NÁVRHU ÚZEMNÍHO PLÁNU HRÁDEK NAD NISOU</w:t>
      </w:r>
    </w:p>
    <w:p w14:paraId="27B85990" w14:textId="77777777" w:rsidR="008849DA" w:rsidRPr="008849DA" w:rsidRDefault="008849DA" w:rsidP="008849DA">
      <w:pPr>
        <w:pStyle w:val="ListParagraph"/>
        <w:autoSpaceDE w:val="0"/>
        <w:autoSpaceDN w:val="0"/>
        <w:adjustRightInd w:val="0"/>
        <w:spacing w:before="120" w:line="240" w:lineRule="auto"/>
        <w:ind w:left="0"/>
        <w:rPr>
          <w:rFonts w:eastAsiaTheme="minorHAnsi" w:cstheme="majorBidi"/>
          <w:lang w:eastAsia="en-US"/>
        </w:rPr>
      </w:pPr>
      <w:r w:rsidRPr="008849DA">
        <w:rPr>
          <w:rFonts w:eastAsiaTheme="minorHAnsi" w:cstheme="majorBidi"/>
          <w:lang w:eastAsia="en-US"/>
        </w:rPr>
        <w:t>Pořizovatel neobdržel žádné připomínky sousedních obcí.</w:t>
      </w:r>
    </w:p>
    <w:p w14:paraId="6650B609" w14:textId="4049AA42" w:rsidR="008849DA" w:rsidRPr="008849DA" w:rsidRDefault="00817B73" w:rsidP="00817B73">
      <w:pPr>
        <w:spacing w:before="360" w:line="240" w:lineRule="auto"/>
        <w:ind w:left="567" w:hanging="567"/>
        <w:rPr>
          <w:rFonts w:cstheme="majorBidi"/>
          <w:color w:val="000000" w:themeColor="text1"/>
          <w:sz w:val="26"/>
          <w:szCs w:val="26"/>
          <w:lang w:eastAsia="en-US"/>
        </w:rPr>
      </w:pPr>
      <w:r>
        <w:rPr>
          <w:b/>
          <w:sz w:val="26"/>
          <w:szCs w:val="26"/>
        </w:rPr>
        <w:t>E.2.</w:t>
      </w:r>
      <w:r>
        <w:rPr>
          <w:b/>
          <w:sz w:val="26"/>
          <w:szCs w:val="26"/>
        </w:rPr>
        <w:tab/>
      </w:r>
      <w:r w:rsidR="008849DA" w:rsidRPr="008849DA">
        <w:rPr>
          <w:b/>
          <w:sz w:val="26"/>
          <w:szCs w:val="26"/>
        </w:rPr>
        <w:t>NÁVRH VYHODNOCENÍ DALŠÍCH PŘIPOMÍNEK UPLATNĚNÝCH VE SPOLEČNÉM JEDNÁNÍ</w:t>
      </w:r>
    </w:p>
    <w:p w14:paraId="41647779" w14:textId="77777777" w:rsidR="008849DA" w:rsidRPr="008849DA" w:rsidRDefault="008849DA" w:rsidP="008849DA">
      <w:pPr>
        <w:spacing w:before="120"/>
      </w:pPr>
      <w:r w:rsidRPr="008849DA">
        <w:t>Pořizovatel obdržel na základě zveřejněné veřejné vyhlášky oznamující společné jednání k návrhu Územního plánu Hrádek nad Nisou 1 připomínka, kterou vyhodnotil následujícím způsobem:</w:t>
      </w:r>
    </w:p>
    <w:p w14:paraId="5A31AFE0" w14:textId="34E27CD6" w:rsidR="008849DA" w:rsidRPr="00B45646" w:rsidRDefault="008849DA" w:rsidP="008849DA">
      <w:pPr>
        <w:pStyle w:val="ListParagraph"/>
        <w:numPr>
          <w:ilvl w:val="1"/>
          <w:numId w:val="112"/>
        </w:numPr>
        <w:spacing w:before="240" w:after="10" w:line="248" w:lineRule="auto"/>
        <w:ind w:right="214" w:hanging="513"/>
        <w:contextualSpacing/>
        <w:rPr>
          <w:b/>
          <w:color w:val="92D050"/>
          <w:kern w:val="1"/>
          <w:sz w:val="24"/>
          <w:szCs w:val="20"/>
          <w:lang w:eastAsia="ar-SA"/>
        </w:rPr>
      </w:pPr>
      <w:r w:rsidRPr="00B45646">
        <w:rPr>
          <w:b/>
          <w:color w:val="92D050"/>
          <w:kern w:val="1"/>
          <w:sz w:val="24"/>
          <w:szCs w:val="20"/>
          <w:lang w:eastAsia="ar-SA"/>
        </w:rPr>
        <w:t>Připomínka č. 1 – Podatel: Jan Jaksch – (v zákrese označena jako PS1)</w:t>
      </w:r>
    </w:p>
    <w:p w14:paraId="3F3518F7" w14:textId="77777777" w:rsidR="008849DA" w:rsidRPr="008849DA" w:rsidRDefault="008849DA" w:rsidP="008849DA">
      <w:pPr>
        <w:pStyle w:val="BodyText"/>
        <w:spacing w:before="120"/>
        <w:rPr>
          <w:rFonts w:cs="Times New Roman"/>
          <w:sz w:val="22"/>
          <w:szCs w:val="22"/>
        </w:rPr>
      </w:pPr>
      <w:r w:rsidRPr="008849DA">
        <w:rPr>
          <w:rFonts w:cs="Times New Roman"/>
          <w:sz w:val="22"/>
          <w:szCs w:val="22"/>
        </w:rPr>
        <w:t>Připomínka ze dne 14.03.2018, doručená dne 14.05.2018, vedená pod č. j. 3507/OSŽP/2018</w:t>
      </w:r>
    </w:p>
    <w:p w14:paraId="730B877B" w14:textId="77777777" w:rsidR="008849DA" w:rsidRPr="008849DA" w:rsidRDefault="008849DA" w:rsidP="008849DA">
      <w:pPr>
        <w:pStyle w:val="BodyText"/>
        <w:keepNext/>
        <w:spacing w:before="120"/>
        <w:rPr>
          <w:b/>
          <w:i/>
          <w:sz w:val="22"/>
          <w:szCs w:val="22"/>
        </w:rPr>
      </w:pPr>
      <w:r w:rsidRPr="008849DA">
        <w:rPr>
          <w:b/>
          <w:i/>
          <w:sz w:val="22"/>
          <w:szCs w:val="22"/>
        </w:rPr>
        <w:t xml:space="preserve">Obsah připomínky: </w:t>
      </w:r>
    </w:p>
    <w:p w14:paraId="1C596C07" w14:textId="77777777" w:rsidR="008849DA" w:rsidRPr="008849DA" w:rsidRDefault="008849DA" w:rsidP="008849DA">
      <w:pPr>
        <w:pStyle w:val="BodyText"/>
        <w:spacing w:before="120"/>
        <w:rPr>
          <w:rFonts w:cs="Times New Roman"/>
          <w:i/>
          <w:sz w:val="22"/>
          <w:szCs w:val="22"/>
        </w:rPr>
      </w:pPr>
      <w:r w:rsidRPr="008849DA">
        <w:rPr>
          <w:rFonts w:cs="Times New Roman"/>
          <w:i/>
          <w:sz w:val="22"/>
          <w:szCs w:val="22"/>
        </w:rPr>
        <w:t>Nesouhlasím s návrhem ÚP, který část pozemku vedenou v platném územním plánu jako plocha obytné zástavby nízkopodlažní venkovská zařazuje do nezastavitelných ploch - plochy smíšené nezastavěného území - zemědělské NS.</w:t>
      </w:r>
    </w:p>
    <w:p w14:paraId="2D920337" w14:textId="77777777" w:rsidR="008849DA" w:rsidRPr="008849DA" w:rsidRDefault="008849DA" w:rsidP="008849DA">
      <w:pPr>
        <w:pStyle w:val="BodyText"/>
        <w:spacing w:before="120"/>
        <w:rPr>
          <w:rFonts w:cs="Times New Roman"/>
          <w:i/>
          <w:sz w:val="22"/>
          <w:szCs w:val="22"/>
        </w:rPr>
      </w:pPr>
      <w:r w:rsidRPr="008849DA">
        <w:rPr>
          <w:rFonts w:cs="Times New Roman"/>
          <w:i/>
          <w:sz w:val="22"/>
          <w:szCs w:val="22"/>
        </w:rPr>
        <w:t>Katastrální území: Donín u Hrádku nad Nisou</w:t>
      </w:r>
    </w:p>
    <w:p w14:paraId="55921112" w14:textId="77777777" w:rsidR="008849DA" w:rsidRPr="008849DA" w:rsidRDefault="008849DA" w:rsidP="008849DA">
      <w:pPr>
        <w:pStyle w:val="BodyText"/>
        <w:spacing w:before="120"/>
        <w:rPr>
          <w:rFonts w:cs="Times New Roman"/>
          <w:i/>
          <w:sz w:val="22"/>
          <w:szCs w:val="22"/>
        </w:rPr>
      </w:pPr>
      <w:r w:rsidRPr="008849DA">
        <w:rPr>
          <w:rFonts w:cs="Times New Roman"/>
          <w:i/>
          <w:sz w:val="22"/>
          <w:szCs w:val="22"/>
        </w:rPr>
        <w:t>Parcelní číslo: 883/2</w:t>
      </w:r>
    </w:p>
    <w:p w14:paraId="5FA5D34D" w14:textId="77777777" w:rsidR="008849DA" w:rsidRPr="008849DA" w:rsidRDefault="008849DA" w:rsidP="008849DA">
      <w:pPr>
        <w:pStyle w:val="BodyText"/>
        <w:spacing w:before="120"/>
        <w:rPr>
          <w:rFonts w:cs="Times New Roman"/>
          <w:i/>
          <w:sz w:val="22"/>
          <w:szCs w:val="22"/>
        </w:rPr>
      </w:pPr>
      <w:r w:rsidRPr="008849DA">
        <w:rPr>
          <w:rFonts w:cs="Times New Roman"/>
          <w:i/>
          <w:sz w:val="22"/>
          <w:szCs w:val="22"/>
        </w:rPr>
        <w:t>ODŮVODNĚNÍ PŘIPOMÍNKY K NÁVRHU ÚP HRÁDEK NAD NISOU:</w:t>
      </w:r>
    </w:p>
    <w:p w14:paraId="77A82329" w14:textId="77777777" w:rsidR="008849DA" w:rsidRPr="008849DA" w:rsidRDefault="008849DA" w:rsidP="008849DA">
      <w:pPr>
        <w:pStyle w:val="BodyText"/>
        <w:spacing w:before="120"/>
        <w:ind w:left="414" w:hanging="425"/>
        <w:rPr>
          <w:rFonts w:cs="Times New Roman"/>
          <w:i/>
          <w:sz w:val="22"/>
          <w:szCs w:val="22"/>
        </w:rPr>
      </w:pPr>
      <w:r w:rsidRPr="008849DA">
        <w:rPr>
          <w:rFonts w:cs="Times New Roman"/>
          <w:i/>
          <w:sz w:val="22"/>
          <w:szCs w:val="22"/>
        </w:rPr>
        <w:t>1)</w:t>
      </w:r>
      <w:r w:rsidRPr="008849DA">
        <w:rPr>
          <w:rFonts w:cs="Times New Roman"/>
          <w:i/>
          <w:sz w:val="22"/>
          <w:szCs w:val="22"/>
        </w:rPr>
        <w:tab/>
        <w:t>Část pozemku pare. č. 883/2 v k.ú. Donín u Hrádku nad Nisou, jehož jsem spoluvlastníkem, je v současně platném územní plánu obce Hrádek nad Nisou zařazena do ploch obytné zástavby nízkopodlažní venkovské. Zastavitelná část pozemku je dopravně přístupná, jen mírně svažitá, dostupné jsou také veškeré základní sítě technické infrastruktury, což znamená, že je naprosto vhodná pro výstavbu jednoho RD. Uvedený pozemek (podíl Vi) jsem získal v roce 2016 v dražbě. Před dražbou byl zpracován znalecký posudek, který určuje tržní hodnotu pozemku, která byla vyčíslena pro spoluvlastnický podíl na 138.000 Kč (viz příloha). Vzhledem k termínu zpracování a postupnému růstu cen nemovitostí je současná hodnota pozemku ještě vyšší.</w:t>
      </w:r>
    </w:p>
    <w:p w14:paraId="0859D535" w14:textId="77777777" w:rsidR="008849DA" w:rsidRPr="008849DA" w:rsidRDefault="008849DA" w:rsidP="008849DA">
      <w:pPr>
        <w:pStyle w:val="BodyText"/>
        <w:spacing w:before="120"/>
        <w:ind w:left="414" w:hanging="425"/>
        <w:rPr>
          <w:rFonts w:cs="Times New Roman"/>
          <w:i/>
          <w:sz w:val="22"/>
          <w:szCs w:val="22"/>
        </w:rPr>
      </w:pPr>
      <w:r w:rsidRPr="008849DA">
        <w:rPr>
          <w:rFonts w:cs="Times New Roman"/>
          <w:i/>
          <w:sz w:val="22"/>
          <w:szCs w:val="22"/>
        </w:rPr>
        <w:tab/>
        <w:t>Návrh územního plánu Hrádek nad Nisou mění zastavitelnou část pozemku na plochu smíšenou nezastavěného území, která je nezastavitelná. Takovouto změnou dochází značnému znehodnocení pozemku a také k budoucímu zamezení plánované výstavby RD. Dle § 102 odst. 2 zákona 183/2006 Sb. ve znění pozdějších předpisů (stavební zákon) „Vlastníkovi pozemku, kterému vznikla prokazatelná majetková újma v důsledku zrušení určení pozemku k zastavění na základě změny územního plánu nebo vydáním nového územního plánu, náleží náhrada vynaložených nákladů na přípravu výstavby v obvyklé výši, zejména na koupi pozemku, na projektovou přípravu výstavby nebo v souvislostí se snížením hodnoty pozemku, který slouží k zajištění závazku. Tato náhrada náleží též vlastníkovi pozemku nebo osobě, která byla před změnou nebo zrušením regulačního plánu anebo před změnou nebo zrušením územního rozhodnutí, územního souhlasu nebo veřejnoprávní smlouvy nahrazující územní rozhodnutí podle § 94 odst. 3 oprávněna vykonávat práva z nich vyplývající (dále jen "oprávněný"), pokud uvedenou změnou nebo zrušením bylo zrušeno určení k zastavění a vznikla mu prokazatelná majetková újma." mi byla způsobena majetková újma a v případě nenavrácení části pozemku do zastavitelných ploch pro bydlení budu požadovat finanční náhradu.</w:t>
      </w:r>
    </w:p>
    <w:p w14:paraId="795508B9" w14:textId="77777777" w:rsidR="008849DA" w:rsidRPr="008849DA" w:rsidRDefault="008849DA" w:rsidP="008849DA">
      <w:pPr>
        <w:pStyle w:val="BodyText"/>
        <w:spacing w:before="120"/>
        <w:ind w:left="414" w:hanging="425"/>
        <w:rPr>
          <w:rFonts w:cs="Times New Roman"/>
          <w:i/>
          <w:sz w:val="22"/>
          <w:szCs w:val="22"/>
        </w:rPr>
      </w:pPr>
      <w:r w:rsidRPr="008849DA">
        <w:rPr>
          <w:rFonts w:cs="Times New Roman"/>
          <w:i/>
          <w:sz w:val="22"/>
          <w:szCs w:val="22"/>
        </w:rPr>
        <w:t xml:space="preserve">2) </w:t>
      </w:r>
      <w:r w:rsidRPr="008849DA">
        <w:rPr>
          <w:rFonts w:cs="Times New Roman"/>
          <w:i/>
          <w:sz w:val="22"/>
          <w:szCs w:val="22"/>
        </w:rPr>
        <w:tab/>
        <w:t xml:space="preserve">Část pozemků 883/2 a 883/3 ve tvaru pruhu podél komunikace 111/2716 sahající k vrchnímu vedeni VN je z urbanistického hlediska „prolukou” v zastavěném území (mezi pozemky 1119 a 1058 v k.ú. Donín u Hrádku nad Nisou, které jsou oplocenými zahradami). Nová zástavba RD na těchto částech pozemků by vhodně doplnila stávající, případně navrhovanou zástavbu na druhé straně komunikace. Byl by tak dotvořen sourodý celek sídla, na nějž navazuje okolní rozptýlená zástavba. Z těchto důvodů se nedomnívám, že se </w:t>
      </w:r>
      <w:r w:rsidRPr="008849DA">
        <w:rPr>
          <w:rFonts w:cs="Times New Roman"/>
          <w:i/>
          <w:sz w:val="22"/>
          <w:szCs w:val="22"/>
        </w:rPr>
        <w:lastRenderedPageBreak/>
        <w:t>jedná o zastavitelné plochy umisťované do volné krajiny, což je hlavní argument pro jejich vyřezaní ze stávajícího územního plánu. Tato část pozemků navíc není v posledních letech zemědělsky obhospodařovaná (pouhé sečení), takže nedochází k záboru orné půdy. Prosím o přehodnocení a vrácení pruhu podél komunikace 111/2716 zpět do zastavitelných ploch.</w:t>
      </w:r>
    </w:p>
    <w:p w14:paraId="4E3CA36F" w14:textId="77777777" w:rsidR="008849DA" w:rsidRPr="008849DA" w:rsidRDefault="008849DA" w:rsidP="008849DA">
      <w:pPr>
        <w:pStyle w:val="BodyText"/>
        <w:spacing w:before="120"/>
        <w:ind w:left="414" w:hanging="425"/>
        <w:rPr>
          <w:rFonts w:cs="Times New Roman"/>
          <w:i/>
          <w:sz w:val="22"/>
          <w:szCs w:val="22"/>
        </w:rPr>
      </w:pPr>
      <w:r w:rsidRPr="008849DA">
        <w:rPr>
          <w:rFonts w:cs="Times New Roman"/>
          <w:i/>
          <w:sz w:val="22"/>
          <w:szCs w:val="22"/>
        </w:rPr>
        <w:t>3)</w:t>
      </w:r>
      <w:r w:rsidRPr="008849DA">
        <w:rPr>
          <w:rFonts w:cs="Times New Roman"/>
          <w:i/>
          <w:sz w:val="22"/>
          <w:szCs w:val="22"/>
        </w:rPr>
        <w:tab/>
        <w:t>znalecký posudek</w:t>
      </w:r>
    </w:p>
    <w:p w14:paraId="0756A77A" w14:textId="77777777" w:rsidR="008849DA" w:rsidRPr="008849DA" w:rsidRDefault="008849DA" w:rsidP="008849DA">
      <w:pPr>
        <w:pStyle w:val="BodyText"/>
        <w:spacing w:before="120"/>
        <w:ind w:left="414"/>
        <w:rPr>
          <w:rFonts w:cs="Times New Roman"/>
          <w:i/>
          <w:sz w:val="22"/>
          <w:szCs w:val="22"/>
        </w:rPr>
      </w:pPr>
      <w:r w:rsidRPr="008849DA">
        <w:rPr>
          <w:rFonts w:cs="Times New Roman"/>
          <w:i/>
          <w:sz w:val="22"/>
          <w:szCs w:val="22"/>
        </w:rPr>
        <w:t>Nižší obchodovatelnost spoluvlastnických podílů.</w:t>
      </w:r>
    </w:p>
    <w:p w14:paraId="2263B81B" w14:textId="77777777" w:rsidR="008849DA" w:rsidRPr="008849DA" w:rsidRDefault="008849DA" w:rsidP="008849DA">
      <w:pPr>
        <w:pStyle w:val="BodyText"/>
        <w:spacing w:before="120"/>
        <w:ind w:left="414"/>
        <w:rPr>
          <w:rFonts w:cs="Times New Roman"/>
          <w:i/>
          <w:sz w:val="22"/>
          <w:szCs w:val="22"/>
        </w:rPr>
      </w:pPr>
      <w:r w:rsidRPr="008849DA">
        <w:rPr>
          <w:rFonts w:cs="Times New Roman"/>
          <w:i/>
          <w:sz w:val="22"/>
          <w:szCs w:val="22"/>
        </w:rPr>
        <w:t>V případě oceňování spoluvlastnického podílu na nemovitosti musí být při stanoveni ceny obvyklé zohledněna jeho nižší obchodovatelnost v porovnání s prodejem nemovitosti jakožto celku. De facto je však v první řadě nutné konstatoval, že v podstatě neexistuje v tuzemských podmínkách trh se spoluvlastnickými podíly na nemovitostech, což velmi ztěžuje nejen jejich prodej, ale i již samotné ocenění.</w:t>
      </w:r>
    </w:p>
    <w:p w14:paraId="669AB3E8" w14:textId="77777777" w:rsidR="008849DA" w:rsidRPr="008849DA" w:rsidRDefault="008849DA" w:rsidP="008849DA">
      <w:pPr>
        <w:pStyle w:val="BodyText"/>
        <w:spacing w:before="120"/>
        <w:ind w:left="414"/>
        <w:rPr>
          <w:rFonts w:cs="Times New Roman"/>
          <w:i/>
          <w:sz w:val="22"/>
          <w:szCs w:val="22"/>
        </w:rPr>
      </w:pPr>
      <w:r w:rsidRPr="008849DA">
        <w:rPr>
          <w:rFonts w:cs="Times New Roman"/>
          <w:i/>
          <w:sz w:val="22"/>
          <w:szCs w:val="22"/>
        </w:rPr>
        <w:t>Metodicky se pro stanovení ceny obvyklé vychází ze vzorků podobných nemovitostí nabízených k prodeji (nebo již zrealizovaných prodejů), obecně tedy z aktuální tržní ceny porovnatelných nemovitostí, avšak nemovitostí nabízených či již prodaných jako celek. Ačkoliv stav, kdy se nemovitosti nachází ve spoluvlastnictví více osob, není nijak neobvyklý, tak vesměs se jednotlivé spoluvlastnické podíly na nemovitostech, až na vzácné výjimky, veřejně neobchodují, neboť na realitním trhu je takřka mizivá poptávka po takovýchto Částech nemovitostí. Tato faktická neexistence trhu se spoluvlastnickými podíly na nemovitostech je přímým důsledkem nízké obchodovatelnosti spoluvlastnických podílů na nemovitostech. Skutečnost, že v podstatě nejsou k dispozici vzorky porovnatelných spoluvlastnických podílů na nemovitostech, nýbrž pouze srovnatelné obchodované nemovitosti jakožto celky, musí být jako taková rovněž zohledněna při ocenění spoluvlastnického podílu na nemovitosti, kdy se tak děje prostřednictvím užití koeficientu nižší obchodovatelnosti spoluvlastnických podílů.</w:t>
      </w:r>
    </w:p>
    <w:p w14:paraId="57F4ABCA" w14:textId="77777777" w:rsidR="008849DA" w:rsidRPr="008849DA" w:rsidRDefault="008849DA" w:rsidP="008849DA">
      <w:pPr>
        <w:pStyle w:val="BodyText"/>
        <w:spacing w:before="120"/>
        <w:ind w:left="414"/>
        <w:rPr>
          <w:rFonts w:cs="Times New Roman"/>
          <w:i/>
          <w:sz w:val="22"/>
          <w:szCs w:val="22"/>
        </w:rPr>
      </w:pPr>
      <w:r w:rsidRPr="008849DA">
        <w:rPr>
          <w:rFonts w:cs="Times New Roman"/>
          <w:i/>
          <w:sz w:val="22"/>
          <w:szCs w:val="22"/>
        </w:rPr>
        <w:t>Vedle výše zmíněného problematického aspektu při obchodování se spoluvlastnickým podílem na nemovitosti spočívajícím v někdy až absentujícím trhu se spoluvlastnickými podíly na nemovitostech je rovněž nutné zmínit, že situace, kdy předmětem obchodní transakce není celá nemovitost, nýbrž pouze spoluvlastnický podíl, představuje pro případného zájemce o koupi nemovitosti značný zdroj potencionálních potíží, a to z toho důvodu, že se po nabytí daného spoluvlastnického podílu nestane výlučným vlastníkem nemovitosti, tedy nebude oprávněn rozhodovat o osudu dotyčné nemovitosti zcela libovolně dle vlastního úsudku ani s ní takto nakládat, nýbrž bude do budoucna nucen vždy nějakým způsobem kooperovat s ostatními spoluvlastníky.</w:t>
      </w:r>
    </w:p>
    <w:p w14:paraId="606F3C6C" w14:textId="77777777" w:rsidR="008849DA" w:rsidRPr="008849DA" w:rsidRDefault="008849DA" w:rsidP="008849DA">
      <w:pPr>
        <w:pStyle w:val="BodyText"/>
        <w:spacing w:before="120"/>
        <w:ind w:left="414"/>
        <w:rPr>
          <w:rFonts w:cs="Times New Roman"/>
          <w:i/>
          <w:sz w:val="22"/>
          <w:szCs w:val="22"/>
        </w:rPr>
      </w:pPr>
      <w:r w:rsidRPr="008849DA">
        <w:rPr>
          <w:rFonts w:cs="Times New Roman"/>
          <w:i/>
          <w:sz w:val="22"/>
          <w:szCs w:val="22"/>
        </w:rPr>
        <w:t>Tyto nepříjemnosti, které jsou spojené s koupi pouze spoluvlastnického podílu na nemovitosti, se následně odrážejí v zájmu potencionálních kupujících při nabídce spoluvlastnických podílů k prodeji, který je obecně nižší v porovnání se situací, kdy je nabízena celá nemovitost, v důsledku čehož je rovněž i dosahovaná prodejní cena spoluvlastnického podílu nižší, než by napovídala velikost konkrétního spoluvlastnického podílu - tedy například u spoluvlastnického podílu o velikosti 1/2 je jeho prodejní cena nižší než polovina celé nemovitosti, u velikosti 1/3 je jeho prodejní cena nižší než třetina celé nemovitosti atp. Nejinak je tomu i v případě prodeje spoluvlastnického podílu v exekučním řízení formou veřejné dražby, naopak skutečnost je taková, že v tomto případě jsou výše zmíněné problematické charakteristiky spoluvlastnického podílu kupujícími vnímány dokonce ještě intenzivněji, neboť se s ostatními spoluvlastníky zpravidla neznají a riziko případných budoucích neshod mezi nimi je tím pádem ještě akcentováno.</w:t>
      </w:r>
    </w:p>
    <w:p w14:paraId="266DE57C" w14:textId="77777777" w:rsidR="008849DA" w:rsidRPr="008849DA" w:rsidRDefault="008849DA" w:rsidP="008849DA">
      <w:pPr>
        <w:pStyle w:val="BodyText"/>
        <w:spacing w:before="120"/>
        <w:ind w:left="414"/>
        <w:rPr>
          <w:rFonts w:cs="Times New Roman"/>
          <w:i/>
          <w:sz w:val="22"/>
          <w:szCs w:val="22"/>
        </w:rPr>
      </w:pPr>
      <w:r w:rsidRPr="008849DA">
        <w:rPr>
          <w:rFonts w:cs="Times New Roman"/>
          <w:i/>
          <w:sz w:val="22"/>
          <w:szCs w:val="22"/>
        </w:rPr>
        <w:t>Tato snížená obchodovatelnost musí být při oceňování samotného spoluvlastnického podílu na nemovitosti samozřejmě zohledněna a tato komplikace musí být promítnuta do zjištěné obvyklé ceny spoluvlastnického podílu, jak ostatně vyplývá i z dikce ustanovení § 2 odst. 1 zákona č. 151/1997 Sb., o oceňování majetku: „Obvyklou cenou se pro účely tohoto zákona rozumí cena, která by byla dosažena při prodejích stejného popřípadě obdobného majetku nebo při poskytováni stejné nebo obdobné služby v obvyklém obchodním styku v tuzemsku ke dni ocenění. Přitom se zvažují všechny okolnosti, které mají na cenu vliv, avšak do její výše se nepromítají vlivy mimořádných okolností trhu, osobních poměrů prodávajícího nebo kupujícího ani vliv zvláštní obliby.</w:t>
      </w:r>
    </w:p>
    <w:p w14:paraId="61098F40" w14:textId="77777777" w:rsidR="008849DA" w:rsidRPr="008849DA" w:rsidRDefault="008849DA" w:rsidP="008849DA">
      <w:pPr>
        <w:pStyle w:val="BodyText"/>
        <w:spacing w:before="120"/>
        <w:ind w:left="414"/>
        <w:rPr>
          <w:rFonts w:cs="Times New Roman"/>
          <w:i/>
          <w:sz w:val="22"/>
          <w:szCs w:val="22"/>
          <w:u w:val="single"/>
        </w:rPr>
      </w:pPr>
      <w:r w:rsidRPr="008849DA">
        <w:rPr>
          <w:rFonts w:cs="Times New Roman"/>
          <w:i/>
          <w:sz w:val="22"/>
          <w:szCs w:val="22"/>
          <w:u w:val="single"/>
        </w:rPr>
        <w:t>Závěr znaleckého posudku</w:t>
      </w:r>
    </w:p>
    <w:p w14:paraId="46C975D9" w14:textId="77777777" w:rsidR="008849DA" w:rsidRPr="008849DA" w:rsidRDefault="008849DA" w:rsidP="008849DA">
      <w:pPr>
        <w:pStyle w:val="BodyText"/>
        <w:spacing w:before="120"/>
        <w:ind w:left="414"/>
        <w:rPr>
          <w:rFonts w:cs="Times New Roman"/>
          <w:i/>
          <w:sz w:val="22"/>
          <w:szCs w:val="22"/>
        </w:rPr>
      </w:pPr>
      <w:r w:rsidRPr="008849DA">
        <w:rPr>
          <w:rFonts w:cs="Times New Roman"/>
          <w:i/>
          <w:sz w:val="22"/>
          <w:szCs w:val="22"/>
        </w:rPr>
        <w:t xml:space="preserve">Na základě výše zjištěných skutečností stanovujeme cenu obvyklou ideálního spoluvlastnického podílu o velikostí 1/2 (jedna polovina) na pozemku parc. č. 883/2 (orná půda) v kat. území Donín u Hrádku nad </w:t>
      </w:r>
      <w:r w:rsidRPr="008849DA">
        <w:rPr>
          <w:rFonts w:cs="Times New Roman"/>
          <w:i/>
          <w:sz w:val="22"/>
          <w:szCs w:val="22"/>
        </w:rPr>
        <w:lastRenderedPageBreak/>
        <w:t>Nisou, obec Hrádek nad Nisou, okres Liberec, zapsáno na LV 17 v objektivní zaokrouhlené výši 138. 000,- Kč.</w:t>
      </w:r>
    </w:p>
    <w:p w14:paraId="39BAD961" w14:textId="77777777" w:rsidR="008849DA" w:rsidRPr="008849DA" w:rsidRDefault="008849DA" w:rsidP="008849DA">
      <w:pPr>
        <w:pStyle w:val="BodyText"/>
        <w:spacing w:before="120"/>
        <w:ind w:left="414"/>
        <w:rPr>
          <w:rFonts w:cs="Times New Roman"/>
          <w:i/>
          <w:sz w:val="22"/>
          <w:szCs w:val="22"/>
        </w:rPr>
      </w:pPr>
      <w:r w:rsidRPr="008849DA">
        <w:rPr>
          <w:rFonts w:cs="Times New Roman"/>
          <w:i/>
          <w:sz w:val="22"/>
          <w:szCs w:val="22"/>
        </w:rPr>
        <w:t>Celé znění znaleckého posudku je uloženo k nahlédnutí u pořizovatele</w:t>
      </w:r>
    </w:p>
    <w:p w14:paraId="50322605" w14:textId="77777777" w:rsidR="008849DA" w:rsidRPr="008849DA" w:rsidRDefault="008849DA" w:rsidP="008849DA">
      <w:pPr>
        <w:spacing w:before="120" w:line="247" w:lineRule="auto"/>
        <w:ind w:hanging="11"/>
        <w:rPr>
          <w:b/>
          <w:i/>
          <w:color w:val="000000" w:themeColor="text1"/>
          <w:u w:val="single"/>
        </w:rPr>
      </w:pPr>
      <w:r w:rsidRPr="008849DA">
        <w:rPr>
          <w:b/>
          <w:i/>
          <w:color w:val="000000" w:themeColor="text1"/>
          <w:u w:val="single"/>
        </w:rPr>
        <w:t xml:space="preserve">Vyhodnocení připomínky: </w:t>
      </w:r>
    </w:p>
    <w:p w14:paraId="2EE9681B" w14:textId="77777777" w:rsidR="008849DA" w:rsidRPr="008849DA" w:rsidRDefault="008849DA" w:rsidP="008849DA">
      <w:pPr>
        <w:spacing w:before="120" w:line="247" w:lineRule="auto"/>
        <w:ind w:hanging="11"/>
        <w:rPr>
          <w:b/>
          <w:color w:val="000000" w:themeColor="text1"/>
        </w:rPr>
      </w:pPr>
      <w:r w:rsidRPr="008849DA">
        <w:rPr>
          <w:b/>
          <w:i/>
          <w:color w:val="000000" w:themeColor="text1"/>
        </w:rPr>
        <w:t>Pořizovatel ve spolupráci s určeným zastupitelem a projektantem posoudil uplatněnou připomínku, která mu byla doručena po společném jednání, a dospěl k závěru, že po podrobném přezkoumání lokality a konkrétního pozemku parc. č. 883/2 v k.ú. Donín u Hrádku nad Nisou je tato plocha vhodná pro budoucí zastavění v rozsahu, ve kterém je vymezen v současně platném ÚPSÚ Hrádek nad Nisou, a to zejména v zájmu zajištění kontinuity při rozhodování o změnách v území. Budoucí částečné zastavění pozemku parc. č. 883/2 v k.ú. Donín u Hrádku nad Nisou směřuje k využití proluky mezi fragmenty stávající zástavby, v zájmu hospodárného využití území a ochrany volné krajiny.</w:t>
      </w:r>
    </w:p>
    <w:p w14:paraId="4B4BA8ED" w14:textId="77777777" w:rsidR="008849DA" w:rsidRDefault="008849DA" w:rsidP="00362598">
      <w:pPr>
        <w:spacing w:before="120" w:after="120" w:line="247" w:lineRule="auto"/>
        <w:ind w:hanging="11"/>
        <w:rPr>
          <w:b/>
          <w:i/>
          <w:iCs/>
          <w:color w:val="000000" w:themeColor="text1"/>
          <w:sz w:val="24"/>
          <w:szCs w:val="24"/>
        </w:rPr>
      </w:pPr>
      <w:r w:rsidRPr="008849DA">
        <w:rPr>
          <w:b/>
          <w:i/>
          <w:iCs/>
          <w:color w:val="000000" w:themeColor="text1"/>
        </w:rPr>
        <w:t>Pořizovatel také dospěl k závěru, že v ponechání pozemku parc. č. 883/2 v k.ú. Donín u Hrádku nad Nisou v plochách zastavitelných, v míře, v jaké je vymezen v současně platném ÚPSÚ Hrádek nad Nisou, je také veřejný zájem. Veřejný zájem spočívá ve vytváření kvalitního obytného a krajinného prostředí, kvalitní urbanistické a krajinářské koncepce, dotvoření a naplnění dlouhodobě sledované a platné územně plánovací koncepce. Kvalita prostředí je zajištěna lokalizací plochy na hranici zastavěného území podél komunikace a stanovením adekvátních podmínek využití, včetně podmínek prostorového uspořádání.</w:t>
      </w:r>
      <w:r w:rsidRPr="008849DA">
        <w:rPr>
          <w:b/>
          <w:i/>
          <w:iCs/>
          <w:color w:val="000000" w:themeColor="text1"/>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8849DA" w14:paraId="068625D5" w14:textId="77777777" w:rsidTr="008849DA">
        <w:tc>
          <w:tcPr>
            <w:tcW w:w="9212" w:type="dxa"/>
          </w:tcPr>
          <w:p w14:paraId="10542117" w14:textId="0BB86D00" w:rsidR="008849DA" w:rsidRDefault="008849DA" w:rsidP="008849DA">
            <w:pPr>
              <w:spacing w:before="120" w:line="247" w:lineRule="auto"/>
              <w:jc w:val="center"/>
              <w:rPr>
                <w:b/>
                <w:i/>
                <w:iCs/>
                <w:color w:val="000000" w:themeColor="text1"/>
                <w:sz w:val="24"/>
                <w:szCs w:val="24"/>
              </w:rPr>
            </w:pPr>
            <w:r w:rsidRPr="008849DA">
              <w:rPr>
                <w:i/>
                <w:noProof/>
                <w:lang w:eastAsia="cs-CZ"/>
              </w:rPr>
              <w:drawing>
                <wp:inline distT="0" distB="0" distL="0" distR="0" wp14:anchorId="3D3A4E93" wp14:editId="00E53260">
                  <wp:extent cx="4752975" cy="3805920"/>
                  <wp:effectExtent l="0" t="0" r="0" b="444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ps1.png"/>
                          <pic:cNvPicPr/>
                        </pic:nvPicPr>
                        <pic:blipFill>
                          <a:blip r:embed="rId54">
                            <a:extLst>
                              <a:ext uri="{28A0092B-C50C-407E-A947-70E740481C1C}">
                                <a14:useLocalDpi xmlns:a14="http://schemas.microsoft.com/office/drawing/2010/main" val="0"/>
                              </a:ext>
                            </a:extLst>
                          </a:blip>
                          <a:stretch>
                            <a:fillRect/>
                          </a:stretch>
                        </pic:blipFill>
                        <pic:spPr>
                          <a:xfrm>
                            <a:off x="0" y="0"/>
                            <a:ext cx="4768984" cy="3818739"/>
                          </a:xfrm>
                          <a:prstGeom prst="rect">
                            <a:avLst/>
                          </a:prstGeom>
                        </pic:spPr>
                      </pic:pic>
                    </a:graphicData>
                  </a:graphic>
                </wp:inline>
              </w:drawing>
            </w:r>
          </w:p>
        </w:tc>
      </w:tr>
    </w:tbl>
    <w:p w14:paraId="1D5662BA" w14:textId="77777777" w:rsidR="00362598" w:rsidRDefault="00362598" w:rsidP="008849DA">
      <w:pPr>
        <w:spacing w:before="360" w:line="240" w:lineRule="auto"/>
        <w:rPr>
          <w:b/>
          <w:sz w:val="26"/>
          <w:szCs w:val="26"/>
        </w:rPr>
      </w:pPr>
    </w:p>
    <w:p w14:paraId="6FE147F4" w14:textId="77777777" w:rsidR="00362598" w:rsidRDefault="00362598">
      <w:pPr>
        <w:spacing w:line="240" w:lineRule="auto"/>
        <w:jc w:val="left"/>
        <w:rPr>
          <w:b/>
          <w:sz w:val="26"/>
          <w:szCs w:val="26"/>
        </w:rPr>
      </w:pPr>
      <w:r>
        <w:rPr>
          <w:b/>
          <w:sz w:val="26"/>
          <w:szCs w:val="26"/>
        </w:rPr>
        <w:br w:type="page"/>
      </w:r>
    </w:p>
    <w:p w14:paraId="14E2EC4B" w14:textId="071656C6" w:rsidR="008849DA" w:rsidRPr="008849DA" w:rsidRDefault="00817B73" w:rsidP="00817B73">
      <w:pPr>
        <w:spacing w:before="360" w:line="240" w:lineRule="auto"/>
        <w:ind w:left="567" w:hanging="567"/>
        <w:rPr>
          <w:rFonts w:cstheme="majorBidi"/>
          <w:color w:val="000000" w:themeColor="text1"/>
          <w:sz w:val="26"/>
          <w:szCs w:val="26"/>
          <w:lang w:eastAsia="en-US"/>
        </w:rPr>
      </w:pPr>
      <w:r>
        <w:rPr>
          <w:b/>
          <w:sz w:val="26"/>
          <w:szCs w:val="26"/>
        </w:rPr>
        <w:lastRenderedPageBreak/>
        <w:t>E.3.</w:t>
      </w:r>
      <w:r>
        <w:rPr>
          <w:b/>
          <w:sz w:val="26"/>
          <w:szCs w:val="26"/>
        </w:rPr>
        <w:tab/>
      </w:r>
      <w:r w:rsidR="008849DA" w:rsidRPr="008849DA">
        <w:rPr>
          <w:b/>
          <w:sz w:val="26"/>
          <w:szCs w:val="26"/>
        </w:rPr>
        <w:t>NÁVRH VYHODNOCENÍ PŘIPOMÍNEK UPLATNĚNÝCH VE VEŘEJNÉM PROJEDNÁNÍ</w:t>
      </w:r>
    </w:p>
    <w:p w14:paraId="065B9312" w14:textId="77777777" w:rsidR="008849DA" w:rsidRPr="008849DA" w:rsidRDefault="008849DA" w:rsidP="008849DA">
      <w:pPr>
        <w:spacing w:before="120"/>
      </w:pPr>
      <w:r w:rsidRPr="008849DA">
        <w:t>Pořizovatel obdržel na základě zveřejněné veřejné vyhlášky oznamující veřejné projednání k návrhu Územního plánu Hrádek nad Nisou 3 připomínky, které vyhodnotil následujícím způsobem:</w:t>
      </w:r>
    </w:p>
    <w:p w14:paraId="019E0874" w14:textId="77777777" w:rsidR="008849DA" w:rsidRPr="00B45646" w:rsidRDefault="008849DA" w:rsidP="008849DA">
      <w:pPr>
        <w:pStyle w:val="ListParagraph"/>
        <w:numPr>
          <w:ilvl w:val="1"/>
          <w:numId w:val="112"/>
        </w:numPr>
        <w:spacing w:before="240" w:after="10" w:line="248" w:lineRule="auto"/>
        <w:ind w:right="214" w:hanging="513"/>
        <w:contextualSpacing/>
        <w:rPr>
          <w:b/>
          <w:color w:val="92D050"/>
          <w:kern w:val="1"/>
          <w:sz w:val="24"/>
          <w:szCs w:val="20"/>
          <w:lang w:eastAsia="ar-SA"/>
        </w:rPr>
      </w:pPr>
      <w:r w:rsidRPr="00B45646">
        <w:rPr>
          <w:b/>
          <w:color w:val="92D050"/>
          <w:kern w:val="1"/>
          <w:sz w:val="24"/>
          <w:szCs w:val="20"/>
          <w:lang w:eastAsia="ar-SA"/>
        </w:rPr>
        <w:t>Připomínka č. 2 – Podatel: Jaroslava Lindaurová – (v zákrese označena jako P2)</w:t>
      </w:r>
    </w:p>
    <w:p w14:paraId="26B6FD9F" w14:textId="77777777" w:rsidR="008849DA" w:rsidRPr="008849DA" w:rsidRDefault="008849DA" w:rsidP="008849DA">
      <w:pPr>
        <w:pStyle w:val="BodyText"/>
        <w:keepNext/>
        <w:spacing w:before="120"/>
        <w:rPr>
          <w:rFonts w:cs="Times New Roman"/>
          <w:sz w:val="22"/>
          <w:szCs w:val="22"/>
        </w:rPr>
      </w:pPr>
      <w:r w:rsidRPr="008849DA">
        <w:rPr>
          <w:rFonts w:cs="Times New Roman"/>
          <w:sz w:val="22"/>
          <w:szCs w:val="22"/>
        </w:rPr>
        <w:t>Připomínka ze dne 15.10.2019, doručená dne 15.10.2019, vedená pod č. j. OSŽP-7144/2019</w:t>
      </w:r>
    </w:p>
    <w:p w14:paraId="552C7F11" w14:textId="77777777" w:rsidR="008849DA" w:rsidRPr="008849DA" w:rsidRDefault="008849DA" w:rsidP="008849DA">
      <w:pPr>
        <w:pStyle w:val="BodyText"/>
        <w:keepNext/>
        <w:spacing w:before="120"/>
        <w:rPr>
          <w:b/>
          <w:i/>
          <w:sz w:val="22"/>
          <w:szCs w:val="22"/>
        </w:rPr>
      </w:pPr>
      <w:r w:rsidRPr="008849DA">
        <w:rPr>
          <w:b/>
          <w:i/>
          <w:sz w:val="22"/>
          <w:szCs w:val="22"/>
        </w:rPr>
        <w:t xml:space="preserve">Obsah připomínky: </w:t>
      </w:r>
    </w:p>
    <w:p w14:paraId="271392B8" w14:textId="77777777" w:rsidR="008849DA" w:rsidRPr="008849DA" w:rsidRDefault="008849DA" w:rsidP="008849DA">
      <w:pPr>
        <w:spacing w:before="120" w:line="226" w:lineRule="auto"/>
        <w:rPr>
          <w:i/>
          <w:iCs/>
        </w:rPr>
      </w:pPr>
      <w:r w:rsidRPr="008849DA">
        <w:rPr>
          <w:i/>
          <w:iCs/>
          <w:u w:val="single" w:color="000000"/>
        </w:rPr>
        <w:t>„Připomínka k návrhu nového územního plánu Hrádek nad Nisou pozemek p. č. 254/4 v k.ú. Dolní Sedlo”</w:t>
      </w:r>
    </w:p>
    <w:p w14:paraId="34F06F6A" w14:textId="77777777" w:rsidR="008849DA" w:rsidRPr="008849DA" w:rsidRDefault="008849DA" w:rsidP="008849DA">
      <w:pPr>
        <w:spacing w:before="120"/>
        <w:rPr>
          <w:i/>
          <w:iCs/>
        </w:rPr>
      </w:pPr>
      <w:r w:rsidRPr="008849DA">
        <w:rPr>
          <w:i/>
          <w:iCs/>
        </w:rPr>
        <w:t>K nově navrhovanému územnímu plánu Města Hrádek nad Nisou (dále též „Město”) mám tyto připomínky:</w:t>
      </w:r>
    </w:p>
    <w:p w14:paraId="06EF15CB" w14:textId="77777777" w:rsidR="008849DA" w:rsidRPr="008849DA" w:rsidRDefault="008849DA" w:rsidP="008849DA">
      <w:pPr>
        <w:spacing w:before="120"/>
        <w:rPr>
          <w:i/>
          <w:iCs/>
        </w:rPr>
      </w:pPr>
      <w:r w:rsidRPr="008849DA">
        <w:rPr>
          <w:i/>
          <w:iCs/>
        </w:rPr>
        <w:t>Dle dlouhodobých studií a zachování koncepce, jak je prezentováno na stránkách Města, byl výše uvedený pozemek dlouhodobě určen k zástavbě, ale v novém uzemním plánu je tento pozemek rozdělen (ještě zcela nelogicky, před tím tato část území tvořila ucelenou plochu) na jednotlivé části ploch určené jako zeleň a na plochu k zástavbě. Podle jaké koncepce bylo takto rozhodnuto, když vycházíte z dlouhodobého a koncepčního rozvoje území? Dle místního stavebního úřadu bylo takto konáno z důvodu dlouhodobého nevyužití. To se nezakládá na pravdě. V roce 2017 bylo na sousední pozemek p. č. 274/1 k.ú. Dolní Sedlo vydáno stavební povolení. Na základě povolení se začalo vyřizovat připojení pozemku p. č. 274/1 k.ú. Dolní Sedlo na inženýrské sítě. Na svém pozemku p. č. 254/4 k.ú. Dolní Sedlo jsem umožnila firmě ČEZ výstavbu trafostanice, a to pro celou novou přilehnou lokalitu. Stavba byla dokončena po dlouhých přípravách v letošním roce tj. v roce 2019. Bez této akce by nebylo možno nové pozemky plně využívat. Teď by tam stála nová trafostanice, která určitě nebyla zadarmo, bez využití.</w:t>
      </w:r>
    </w:p>
    <w:p w14:paraId="1D23CFE2" w14:textId="77777777" w:rsidR="008849DA" w:rsidRPr="008849DA" w:rsidRDefault="008849DA" w:rsidP="008849DA">
      <w:pPr>
        <w:spacing w:before="120"/>
        <w:rPr>
          <w:i/>
          <w:iCs/>
        </w:rPr>
      </w:pPr>
      <w:r w:rsidRPr="008849DA">
        <w:rPr>
          <w:i/>
          <w:iCs/>
        </w:rPr>
        <w:t>Novým územním plánem by došlo k znehodnocení uvedených pozemků, proto žádám o napravení a zpětné zařazení pozemků do ploch určené k zástavbě.</w:t>
      </w:r>
    </w:p>
    <w:p w14:paraId="01EAE15B" w14:textId="165A228D" w:rsidR="008849DA" w:rsidRPr="008849DA" w:rsidRDefault="008849DA" w:rsidP="008849DA">
      <w:pPr>
        <w:spacing w:before="120" w:line="247" w:lineRule="auto"/>
        <w:ind w:hanging="11"/>
        <w:rPr>
          <w:b/>
          <w:i/>
          <w:u w:val="single"/>
        </w:rPr>
      </w:pPr>
      <w:r w:rsidRPr="008849DA">
        <w:rPr>
          <w:b/>
          <w:i/>
          <w:u w:val="single"/>
        </w:rPr>
        <w:t xml:space="preserve">Vyhodnocení připomínky v části 1): </w:t>
      </w:r>
    </w:p>
    <w:p w14:paraId="2AD401C7" w14:textId="77777777" w:rsidR="008849DA" w:rsidRPr="008849DA" w:rsidRDefault="008849DA" w:rsidP="008849DA">
      <w:pPr>
        <w:pStyle w:val="ListParagraph"/>
        <w:numPr>
          <w:ilvl w:val="0"/>
          <w:numId w:val="116"/>
        </w:numPr>
        <w:spacing w:before="120" w:line="240" w:lineRule="auto"/>
        <w:ind w:left="850" w:hanging="425"/>
        <w:rPr>
          <w:b/>
          <w:i/>
        </w:rPr>
      </w:pPr>
      <w:r w:rsidRPr="008849DA">
        <w:rPr>
          <w:b/>
          <w:i/>
        </w:rPr>
        <w:t xml:space="preserve">Pořizovatel po prověření první části připomínky, došel k závěru, že Návrh Územního plánu Hrádek nad Nisou je vytvořen nad katastrálním podkladem v souladu s vyhláškou č. 500/2006 Sb. - Vyhláška o územně analytických podkladech, územně plánovací dokumentaci a o způsobu evidence územně plánovací činnosti, a to z doby zpracování dokumentace územního plánu. V katastrálním podkladě však dochází ke změnám neustále, a to z důvodů nepřetržité aktualizace dat, která odráží každou změnu v území. Vzhledem k početným změnám, ke kterým v katastrálním podkladu v nedávné době pro dotčené území města Hrádek nad Nisou došlo, bude tento podklad aktualizován, aby dokumentace Územního plánu Hrádek nad Nisou pro vydání byla pokud možno co nejaktuálnější. </w:t>
      </w:r>
    </w:p>
    <w:p w14:paraId="574BDD84" w14:textId="15FF38EE" w:rsidR="008849DA" w:rsidRPr="008849DA" w:rsidRDefault="008849DA" w:rsidP="008849DA">
      <w:pPr>
        <w:spacing w:before="120" w:line="247" w:lineRule="auto"/>
        <w:rPr>
          <w:b/>
          <w:i/>
          <w:u w:val="single"/>
        </w:rPr>
      </w:pPr>
      <w:r w:rsidRPr="008849DA">
        <w:rPr>
          <w:b/>
          <w:i/>
          <w:u w:val="single"/>
        </w:rPr>
        <w:t xml:space="preserve">Vyhodnocení připomínky v části 2): </w:t>
      </w:r>
    </w:p>
    <w:p w14:paraId="147DFA88" w14:textId="77777777" w:rsidR="008849DA" w:rsidRPr="008849DA" w:rsidRDefault="008849DA" w:rsidP="008849DA">
      <w:pPr>
        <w:pStyle w:val="ListParagraph"/>
        <w:numPr>
          <w:ilvl w:val="0"/>
          <w:numId w:val="116"/>
        </w:numPr>
        <w:spacing w:before="120" w:line="240" w:lineRule="auto"/>
        <w:ind w:left="850" w:hanging="425"/>
        <w:rPr>
          <w:b/>
          <w:i/>
          <w:color w:val="000000" w:themeColor="text1"/>
        </w:rPr>
      </w:pPr>
      <w:r w:rsidRPr="008849DA">
        <w:rPr>
          <w:b/>
          <w:i/>
          <w:color w:val="000000" w:themeColor="text1"/>
        </w:rPr>
        <w:t xml:space="preserve">Pořizovatel ve spolupráci s určeným zastupitelem a projektantem posoudil druhou část uplatněné uplatněnou připomínku, která požaduje </w:t>
      </w:r>
      <w:r w:rsidRPr="008849DA">
        <w:rPr>
          <w:b/>
          <w:i/>
        </w:rPr>
        <w:t xml:space="preserve">zařazení </w:t>
      </w:r>
      <w:r w:rsidRPr="008849DA">
        <w:rPr>
          <w:b/>
          <w:i/>
          <w:color w:val="000000" w:themeColor="text1"/>
        </w:rPr>
        <w:t xml:space="preserve">pozemku p. č. 254/4 v k. ú. Dolní Sedlo do ploch bydlení, k čemuž uvádí, že dle platného ÚPSÚ Hrádek nad Nisou je do stavových ploch bydlení zařazena pouze malá část přiléhající k ul. Rynoltická – viz výřez níže, která byla v plném rozsahu zařazena do zastavěného území a do stavových ploch bydlení venkovských (BV). Navíc byla do nově vymezeného zastavěného území (dle ustanovení §58 zákona č. 183/2006 Sb., v platném znění) a do stavových ploch bydlení venkovských (BV) zařazena i další část pozemku č. 254/4 v k. ú. Dolní Sedlo – viz výřez níže. </w:t>
      </w:r>
    </w:p>
    <w:p w14:paraId="4000E443" w14:textId="77777777" w:rsidR="008849DA" w:rsidRPr="008849DA" w:rsidRDefault="008849DA" w:rsidP="008849DA">
      <w:pPr>
        <w:spacing w:line="240" w:lineRule="auto"/>
        <w:ind w:left="425"/>
        <w:rPr>
          <w:i/>
        </w:rPr>
      </w:pPr>
    </w:p>
    <w:p w14:paraId="793386B7" w14:textId="77777777" w:rsidR="00362598" w:rsidRDefault="00362598">
      <w:pPr>
        <w:spacing w:line="240" w:lineRule="auto"/>
        <w:jc w:val="left"/>
        <w:rPr>
          <w:i/>
        </w:rPr>
      </w:pPr>
      <w:r>
        <w:rPr>
          <w:i/>
        </w:rPr>
        <w:br w:type="page"/>
      </w:r>
    </w:p>
    <w:p w14:paraId="7D41A24C" w14:textId="30925780" w:rsidR="008849DA" w:rsidRDefault="008849DA" w:rsidP="008849DA">
      <w:pPr>
        <w:spacing w:line="240" w:lineRule="auto"/>
        <w:ind w:left="425"/>
        <w:jc w:val="center"/>
        <w:rPr>
          <w:i/>
        </w:rPr>
      </w:pPr>
      <w:r w:rsidRPr="008849DA">
        <w:rPr>
          <w:i/>
        </w:rPr>
        <w:lastRenderedPageBreak/>
        <w:t>Lokalita dle platného ÚPSÚ Hrádek nad Nisou:</w:t>
      </w:r>
    </w:p>
    <w:tbl>
      <w:tblPr>
        <w:tblStyle w:val="TableGrid"/>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3"/>
      </w:tblGrid>
      <w:tr w:rsidR="008849DA" w14:paraId="45D11F1A" w14:textId="77777777" w:rsidTr="008849DA">
        <w:tc>
          <w:tcPr>
            <w:tcW w:w="9212" w:type="dxa"/>
          </w:tcPr>
          <w:p w14:paraId="266D2FD7" w14:textId="7A7572AB" w:rsidR="008849DA" w:rsidRDefault="008849DA" w:rsidP="008849DA">
            <w:pPr>
              <w:spacing w:line="240" w:lineRule="auto"/>
              <w:jc w:val="center"/>
              <w:rPr>
                <w:i/>
              </w:rPr>
            </w:pPr>
            <w:r w:rsidRPr="008849DA">
              <w:rPr>
                <w:noProof/>
                <w:lang w:eastAsia="cs-CZ"/>
              </w:rPr>
              <w:drawing>
                <wp:inline distT="0" distB="0" distL="0" distR="0" wp14:anchorId="06BCFE0A" wp14:editId="1B6A791C">
                  <wp:extent cx="2619375" cy="2647950"/>
                  <wp:effectExtent l="0" t="0" r="9525"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19375" cy="2647950"/>
                          </a:xfrm>
                          <a:prstGeom prst="rect">
                            <a:avLst/>
                          </a:prstGeom>
                          <a:noFill/>
                          <a:ln>
                            <a:noFill/>
                          </a:ln>
                        </pic:spPr>
                      </pic:pic>
                    </a:graphicData>
                  </a:graphic>
                </wp:inline>
              </w:drawing>
            </w:r>
          </w:p>
        </w:tc>
      </w:tr>
    </w:tbl>
    <w:p w14:paraId="3B695711" w14:textId="77777777" w:rsidR="008849DA" w:rsidRDefault="008849DA" w:rsidP="008849DA">
      <w:pPr>
        <w:spacing w:before="240" w:line="240" w:lineRule="auto"/>
        <w:ind w:left="425" w:right="215" w:hanging="11"/>
        <w:jc w:val="center"/>
        <w:rPr>
          <w:i/>
        </w:rPr>
      </w:pPr>
      <w:r w:rsidRPr="008849DA">
        <w:rPr>
          <w:i/>
        </w:rPr>
        <w:t>Lokalita dle Návrhu Územního plánu Hrádek nad Nisou:</w:t>
      </w:r>
    </w:p>
    <w:tbl>
      <w:tblPr>
        <w:tblStyle w:val="TableGrid"/>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3"/>
      </w:tblGrid>
      <w:tr w:rsidR="008849DA" w14:paraId="19D6B88B" w14:textId="77777777" w:rsidTr="008849DA">
        <w:tc>
          <w:tcPr>
            <w:tcW w:w="9212" w:type="dxa"/>
          </w:tcPr>
          <w:p w14:paraId="3EB0A5D5" w14:textId="6C8A7160" w:rsidR="008849DA" w:rsidRDefault="008849DA" w:rsidP="008849DA">
            <w:pPr>
              <w:spacing w:before="240" w:line="240" w:lineRule="auto"/>
              <w:ind w:right="215"/>
              <w:jc w:val="center"/>
              <w:rPr>
                <w:i/>
              </w:rPr>
            </w:pPr>
            <w:r w:rsidRPr="008849DA">
              <w:rPr>
                <w:noProof/>
                <w:lang w:eastAsia="cs-CZ"/>
              </w:rPr>
              <w:drawing>
                <wp:inline distT="0" distB="0" distL="0" distR="0" wp14:anchorId="162C50C3" wp14:editId="3D22F712">
                  <wp:extent cx="2714625" cy="2562225"/>
                  <wp:effectExtent l="0" t="0" r="9525" b="952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14625" cy="2562225"/>
                          </a:xfrm>
                          <a:prstGeom prst="rect">
                            <a:avLst/>
                          </a:prstGeom>
                          <a:noFill/>
                          <a:ln>
                            <a:noFill/>
                          </a:ln>
                        </pic:spPr>
                      </pic:pic>
                    </a:graphicData>
                  </a:graphic>
                </wp:inline>
              </w:drawing>
            </w:r>
          </w:p>
        </w:tc>
      </w:tr>
    </w:tbl>
    <w:p w14:paraId="65AD8F50" w14:textId="67B727FE" w:rsidR="008849DA" w:rsidRPr="008849DA" w:rsidRDefault="008849DA" w:rsidP="008849DA">
      <w:pPr>
        <w:spacing w:before="120" w:line="240" w:lineRule="auto"/>
        <w:ind w:hanging="11"/>
        <w:rPr>
          <w:b/>
          <w:i/>
        </w:rPr>
      </w:pPr>
      <w:r w:rsidRPr="008849DA">
        <w:rPr>
          <w:b/>
          <w:i/>
        </w:rPr>
        <w:t xml:space="preserve">Z doložených skutečností je zřejmé, že příslušná část </w:t>
      </w:r>
      <w:r w:rsidRPr="008849DA">
        <w:rPr>
          <w:b/>
          <w:i/>
          <w:color w:val="000000" w:themeColor="text1"/>
        </w:rPr>
        <w:t>pozemku p. č. 254/4 v k. ú. Dolní Sedlo, je zařazena do ploch bydlení v souladu s dlouhodobými koncepcemi a platným ÚPSÚ Hrádek nad Nisou, a to dokonce v rozsahu větším, který je dán ustanovením stavebního zákona o vymezení zastavěného území</w:t>
      </w:r>
      <w:r>
        <w:rPr>
          <w:b/>
          <w:i/>
          <w:color w:val="000000" w:themeColor="text1"/>
        </w:rPr>
        <w:t>.</w:t>
      </w:r>
    </w:p>
    <w:p w14:paraId="34DEB523" w14:textId="77777777" w:rsidR="008849DA" w:rsidRPr="00B45646" w:rsidRDefault="008849DA" w:rsidP="00362598">
      <w:pPr>
        <w:pStyle w:val="ListParagraph"/>
        <w:numPr>
          <w:ilvl w:val="1"/>
          <w:numId w:val="112"/>
        </w:numPr>
        <w:spacing w:before="240" w:after="10" w:line="248" w:lineRule="auto"/>
        <w:ind w:right="214" w:hanging="513"/>
        <w:contextualSpacing/>
        <w:rPr>
          <w:b/>
          <w:color w:val="92D050"/>
          <w:kern w:val="1"/>
          <w:sz w:val="24"/>
          <w:szCs w:val="24"/>
          <w:lang w:eastAsia="ar-SA"/>
        </w:rPr>
      </w:pPr>
      <w:r w:rsidRPr="00B45646">
        <w:rPr>
          <w:b/>
          <w:color w:val="92D050"/>
          <w:kern w:val="1"/>
          <w:sz w:val="24"/>
          <w:szCs w:val="24"/>
          <w:lang w:eastAsia="ar-SA"/>
        </w:rPr>
        <w:t>Připomínka č. 3 – Podatel: Město Hrádek nad Nisou – (v zákrese označena jako P3)</w:t>
      </w:r>
    </w:p>
    <w:p w14:paraId="5ED7C1E0" w14:textId="77777777" w:rsidR="008849DA" w:rsidRPr="00362598" w:rsidRDefault="008849DA" w:rsidP="00362598">
      <w:pPr>
        <w:pStyle w:val="BodyText"/>
        <w:keepNext/>
        <w:spacing w:before="120"/>
        <w:rPr>
          <w:rFonts w:cs="Times New Roman"/>
          <w:sz w:val="22"/>
          <w:szCs w:val="22"/>
        </w:rPr>
      </w:pPr>
      <w:r w:rsidRPr="00362598">
        <w:rPr>
          <w:rFonts w:cs="Times New Roman"/>
          <w:sz w:val="22"/>
          <w:szCs w:val="22"/>
        </w:rPr>
        <w:t>Připomínka ze dne 21.10.2019, doručená dne 22.10.2019, vedená pod č. j. OSŽP-7223/2019</w:t>
      </w:r>
    </w:p>
    <w:p w14:paraId="16359721" w14:textId="77777777" w:rsidR="008849DA" w:rsidRPr="00362598" w:rsidRDefault="008849DA" w:rsidP="00362598">
      <w:pPr>
        <w:pStyle w:val="BodyText"/>
        <w:keepNext/>
        <w:spacing w:before="120"/>
        <w:rPr>
          <w:b/>
          <w:i/>
          <w:sz w:val="22"/>
          <w:szCs w:val="22"/>
        </w:rPr>
      </w:pPr>
      <w:r w:rsidRPr="00362598">
        <w:rPr>
          <w:b/>
          <w:i/>
          <w:sz w:val="22"/>
          <w:szCs w:val="22"/>
        </w:rPr>
        <w:t>Obsah připomínky:</w:t>
      </w:r>
    </w:p>
    <w:tbl>
      <w:tblPr>
        <w:tblW w:w="9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361"/>
        <w:gridCol w:w="20"/>
      </w:tblGrid>
      <w:tr w:rsidR="00362598" w:rsidRPr="00362598" w14:paraId="3D3E0F08" w14:textId="77777777" w:rsidTr="008849DA">
        <w:tc>
          <w:tcPr>
            <w:tcW w:w="9361" w:type="dxa"/>
            <w:tcBorders>
              <w:top w:val="single" w:sz="4" w:space="0" w:color="FFFFFF"/>
              <w:left w:val="single" w:sz="4" w:space="0" w:color="FFFFFF"/>
              <w:bottom w:val="single" w:sz="4" w:space="0" w:color="FFFFFF"/>
              <w:right w:val="single" w:sz="4" w:space="0" w:color="D9D9D9"/>
            </w:tcBorders>
          </w:tcPr>
          <w:p w14:paraId="38326B4D" w14:textId="77777777" w:rsidR="008849DA" w:rsidRPr="00362598" w:rsidRDefault="008849DA" w:rsidP="00362598">
            <w:pPr>
              <w:spacing w:before="120"/>
              <w:rPr>
                <w:b/>
              </w:rPr>
            </w:pPr>
            <w:r w:rsidRPr="00362598">
              <w:rPr>
                <w:b/>
              </w:rPr>
              <w:t>Připomínka k veřejnému projednání návrhu Územního plánu HRÁDEK NAD NISOU</w:t>
            </w:r>
          </w:p>
        </w:tc>
        <w:tc>
          <w:tcPr>
            <w:tcW w:w="20" w:type="dxa"/>
            <w:tcBorders>
              <w:top w:val="single" w:sz="4" w:space="0" w:color="FFFFFF"/>
              <w:left w:val="single" w:sz="4" w:space="0" w:color="FFFFFF"/>
              <w:bottom w:val="single" w:sz="4" w:space="0" w:color="FFFFFF"/>
              <w:right w:val="single" w:sz="4" w:space="0" w:color="D9D9D9"/>
            </w:tcBorders>
          </w:tcPr>
          <w:p w14:paraId="014B3507" w14:textId="77777777" w:rsidR="008849DA" w:rsidRPr="00362598" w:rsidRDefault="008849DA" w:rsidP="00362598">
            <w:pPr>
              <w:spacing w:before="120"/>
              <w:rPr>
                <w:b/>
              </w:rPr>
            </w:pPr>
          </w:p>
        </w:tc>
      </w:tr>
    </w:tbl>
    <w:p w14:paraId="10D3764F" w14:textId="77777777" w:rsidR="008849DA" w:rsidRPr="008849DA" w:rsidRDefault="008849DA" w:rsidP="008849DA">
      <w:pPr>
        <w:keepNext/>
        <w:tabs>
          <w:tab w:val="left" w:pos="425"/>
        </w:tabs>
        <w:spacing w:before="120" w:after="120"/>
        <w:ind w:left="425" w:hanging="425"/>
        <w:rPr>
          <w:b/>
        </w:rPr>
      </w:pPr>
      <w:r w:rsidRPr="008849DA">
        <w:rPr>
          <w:b/>
        </w:rPr>
        <w:t>A)</w:t>
      </w:r>
      <w:r w:rsidRPr="008849DA">
        <w:rPr>
          <w:b/>
        </w:rPr>
        <w:tab/>
        <w:t>Údaje umožňující identifikaci navrhovatele</w:t>
      </w:r>
    </w:p>
    <w:tbl>
      <w:tblPr>
        <w:tblW w:w="9356" w:type="dxa"/>
        <w:tblLook w:val="01E0" w:firstRow="1" w:lastRow="1" w:firstColumn="1" w:lastColumn="1" w:noHBand="0" w:noVBand="0"/>
      </w:tblPr>
      <w:tblGrid>
        <w:gridCol w:w="4116"/>
        <w:gridCol w:w="5240"/>
      </w:tblGrid>
      <w:tr w:rsidR="008849DA" w:rsidRPr="008849DA" w14:paraId="6D0EC20D" w14:textId="77777777" w:rsidTr="00362598">
        <w:trPr>
          <w:trHeight w:val="465"/>
        </w:trPr>
        <w:tc>
          <w:tcPr>
            <w:tcW w:w="4116" w:type="dxa"/>
            <w:tcBorders>
              <w:top w:val="single" w:sz="4" w:space="0" w:color="FFFFFF"/>
              <w:left w:val="single" w:sz="4" w:space="0" w:color="FFFFFF"/>
              <w:bottom w:val="single" w:sz="4" w:space="0" w:color="FFFFFF"/>
              <w:right w:val="single" w:sz="4" w:space="0" w:color="D9D9D9"/>
            </w:tcBorders>
            <w:tcMar>
              <w:left w:w="0" w:type="dxa"/>
              <w:right w:w="0" w:type="dxa"/>
            </w:tcMar>
            <w:vAlign w:val="center"/>
          </w:tcPr>
          <w:p w14:paraId="1B6E6FD2" w14:textId="77777777" w:rsidR="008849DA" w:rsidRPr="008849DA" w:rsidRDefault="008849DA" w:rsidP="008849DA">
            <w:pPr>
              <w:spacing w:before="120"/>
              <w:ind w:left="425"/>
            </w:pPr>
            <w:r w:rsidRPr="008849DA">
              <w:t>Jméno, příjmení:</w:t>
            </w:r>
          </w:p>
        </w:tc>
        <w:tc>
          <w:tcPr>
            <w:tcW w:w="5240" w:type="dxa"/>
            <w:tcBorders>
              <w:top w:val="single" w:sz="4" w:space="0" w:color="D9D9D9"/>
              <w:left w:val="single" w:sz="4" w:space="0" w:color="D9D9D9"/>
              <w:bottom w:val="single" w:sz="4" w:space="0" w:color="D9D9D9"/>
              <w:right w:val="single" w:sz="4" w:space="0" w:color="D9D9D9"/>
            </w:tcBorders>
            <w:vAlign w:val="center"/>
          </w:tcPr>
          <w:p w14:paraId="76C48AD3" w14:textId="77777777" w:rsidR="008849DA" w:rsidRPr="008849DA" w:rsidRDefault="008849DA" w:rsidP="008849DA">
            <w:pPr>
              <w:spacing w:before="120"/>
              <w:ind w:left="425"/>
              <w:rPr>
                <w:b/>
              </w:rPr>
            </w:pPr>
            <w:r w:rsidRPr="008849DA">
              <w:rPr>
                <w:b/>
              </w:rPr>
              <w:t>Město Hrádek nad Nisou</w:t>
            </w:r>
          </w:p>
        </w:tc>
      </w:tr>
      <w:tr w:rsidR="008849DA" w:rsidRPr="008849DA" w14:paraId="59B164E2" w14:textId="77777777" w:rsidTr="00362598">
        <w:trPr>
          <w:trHeight w:val="465"/>
        </w:trPr>
        <w:tc>
          <w:tcPr>
            <w:tcW w:w="4116" w:type="dxa"/>
            <w:tcBorders>
              <w:top w:val="single" w:sz="4" w:space="0" w:color="FFFFFF"/>
              <w:left w:val="single" w:sz="4" w:space="0" w:color="FFFFFF"/>
              <w:bottom w:val="single" w:sz="4" w:space="0" w:color="FFFFFF"/>
              <w:right w:val="single" w:sz="4" w:space="0" w:color="D9D9D9"/>
            </w:tcBorders>
            <w:tcMar>
              <w:left w:w="0" w:type="dxa"/>
              <w:right w:w="0" w:type="dxa"/>
            </w:tcMar>
            <w:vAlign w:val="center"/>
          </w:tcPr>
          <w:p w14:paraId="6A37613C" w14:textId="77777777" w:rsidR="008849DA" w:rsidRPr="008849DA" w:rsidRDefault="008849DA" w:rsidP="008849DA">
            <w:pPr>
              <w:spacing w:before="120"/>
              <w:ind w:left="425"/>
            </w:pPr>
            <w:r w:rsidRPr="008849DA">
              <w:t>Datum narození:</w:t>
            </w:r>
          </w:p>
        </w:tc>
        <w:tc>
          <w:tcPr>
            <w:tcW w:w="5240" w:type="dxa"/>
            <w:tcBorders>
              <w:top w:val="single" w:sz="4" w:space="0" w:color="D9D9D9"/>
              <w:left w:val="single" w:sz="4" w:space="0" w:color="D9D9D9"/>
              <w:bottom w:val="single" w:sz="4" w:space="0" w:color="D9D9D9"/>
              <w:right w:val="single" w:sz="4" w:space="0" w:color="D9D9D9"/>
            </w:tcBorders>
            <w:vAlign w:val="center"/>
          </w:tcPr>
          <w:p w14:paraId="699A2604" w14:textId="77777777" w:rsidR="008849DA" w:rsidRPr="008849DA" w:rsidRDefault="008849DA" w:rsidP="008849DA">
            <w:pPr>
              <w:spacing w:before="120"/>
              <w:ind w:left="425"/>
              <w:rPr>
                <w:b/>
              </w:rPr>
            </w:pPr>
            <w:r w:rsidRPr="008849DA">
              <w:rPr>
                <w:b/>
              </w:rPr>
              <w:t>IČ 00262854</w:t>
            </w:r>
          </w:p>
        </w:tc>
      </w:tr>
      <w:tr w:rsidR="008849DA" w:rsidRPr="008849DA" w14:paraId="050FEA62" w14:textId="77777777" w:rsidTr="00362598">
        <w:trPr>
          <w:trHeight w:val="465"/>
        </w:trPr>
        <w:tc>
          <w:tcPr>
            <w:tcW w:w="4116" w:type="dxa"/>
            <w:tcBorders>
              <w:top w:val="single" w:sz="4" w:space="0" w:color="FFFFFF"/>
              <w:left w:val="single" w:sz="4" w:space="0" w:color="FFFFFF"/>
              <w:bottom w:val="single" w:sz="4" w:space="0" w:color="FFFFFF"/>
              <w:right w:val="single" w:sz="4" w:space="0" w:color="D9D9D9"/>
            </w:tcBorders>
            <w:tcMar>
              <w:left w:w="0" w:type="dxa"/>
              <w:right w:w="0" w:type="dxa"/>
            </w:tcMar>
            <w:vAlign w:val="center"/>
          </w:tcPr>
          <w:p w14:paraId="05780E7E" w14:textId="77777777" w:rsidR="008849DA" w:rsidRPr="008849DA" w:rsidRDefault="008849DA" w:rsidP="008849DA">
            <w:pPr>
              <w:spacing w:before="120"/>
              <w:ind w:left="425"/>
            </w:pPr>
            <w:r w:rsidRPr="008849DA">
              <w:t>Adresa trvalého bydliště:</w:t>
            </w:r>
          </w:p>
        </w:tc>
        <w:tc>
          <w:tcPr>
            <w:tcW w:w="5240" w:type="dxa"/>
            <w:tcBorders>
              <w:top w:val="single" w:sz="4" w:space="0" w:color="D9D9D9"/>
              <w:left w:val="single" w:sz="4" w:space="0" w:color="D9D9D9"/>
              <w:bottom w:val="single" w:sz="4" w:space="0" w:color="D9D9D9"/>
              <w:right w:val="single" w:sz="4" w:space="0" w:color="D9D9D9"/>
            </w:tcBorders>
            <w:vAlign w:val="center"/>
          </w:tcPr>
          <w:p w14:paraId="69D0A9D3" w14:textId="77777777" w:rsidR="008849DA" w:rsidRPr="008849DA" w:rsidRDefault="008849DA" w:rsidP="008849DA">
            <w:pPr>
              <w:spacing w:before="120"/>
              <w:ind w:left="425"/>
              <w:rPr>
                <w:b/>
              </w:rPr>
            </w:pPr>
            <w:r w:rsidRPr="008849DA">
              <w:rPr>
                <w:b/>
              </w:rPr>
              <w:t>Horní náměstí 73, 463 34  Hrádek nad Nisou</w:t>
            </w:r>
          </w:p>
        </w:tc>
      </w:tr>
      <w:tr w:rsidR="008849DA" w:rsidRPr="008849DA" w14:paraId="57368808" w14:textId="77777777" w:rsidTr="00362598">
        <w:trPr>
          <w:trHeight w:val="465"/>
        </w:trPr>
        <w:tc>
          <w:tcPr>
            <w:tcW w:w="4116" w:type="dxa"/>
            <w:tcBorders>
              <w:top w:val="single" w:sz="4" w:space="0" w:color="FFFFFF"/>
              <w:left w:val="single" w:sz="4" w:space="0" w:color="FFFFFF"/>
              <w:bottom w:val="single" w:sz="4" w:space="0" w:color="FFFFFF"/>
              <w:right w:val="single" w:sz="4" w:space="0" w:color="D9D9D9"/>
            </w:tcBorders>
            <w:tcMar>
              <w:left w:w="0" w:type="dxa"/>
              <w:right w:w="0" w:type="dxa"/>
            </w:tcMar>
            <w:vAlign w:val="center"/>
          </w:tcPr>
          <w:p w14:paraId="4E9F6633" w14:textId="77777777" w:rsidR="008849DA" w:rsidRPr="008849DA" w:rsidRDefault="008849DA" w:rsidP="008849DA">
            <w:pPr>
              <w:spacing w:before="120"/>
              <w:ind w:left="425"/>
            </w:pPr>
            <w:r w:rsidRPr="008849DA">
              <w:lastRenderedPageBreak/>
              <w:t>Adresa pro doručování:</w:t>
            </w:r>
          </w:p>
          <w:p w14:paraId="54209FFF" w14:textId="77777777" w:rsidR="008849DA" w:rsidRPr="008849DA" w:rsidRDefault="008849DA" w:rsidP="008849DA">
            <w:pPr>
              <w:spacing w:before="120"/>
              <w:ind w:left="425"/>
            </w:pPr>
            <w:r w:rsidRPr="008849DA">
              <w:rPr>
                <w:i/>
              </w:rPr>
              <w:t>(pokud se liší)</w:t>
            </w:r>
          </w:p>
        </w:tc>
        <w:tc>
          <w:tcPr>
            <w:tcW w:w="5240" w:type="dxa"/>
            <w:tcBorders>
              <w:top w:val="single" w:sz="4" w:space="0" w:color="D9D9D9"/>
              <w:left w:val="single" w:sz="4" w:space="0" w:color="D9D9D9"/>
              <w:bottom w:val="single" w:sz="4" w:space="0" w:color="D9D9D9"/>
              <w:right w:val="single" w:sz="4" w:space="0" w:color="D9D9D9"/>
            </w:tcBorders>
            <w:vAlign w:val="center"/>
          </w:tcPr>
          <w:p w14:paraId="02A6E1F1" w14:textId="77777777" w:rsidR="008849DA" w:rsidRPr="008849DA" w:rsidRDefault="008849DA" w:rsidP="008849DA">
            <w:pPr>
              <w:spacing w:before="120"/>
              <w:ind w:left="425"/>
              <w:rPr>
                <w:b/>
              </w:rPr>
            </w:pPr>
          </w:p>
        </w:tc>
      </w:tr>
      <w:tr w:rsidR="008849DA" w:rsidRPr="008849DA" w14:paraId="5F90C253" w14:textId="77777777" w:rsidTr="00362598">
        <w:trPr>
          <w:trHeight w:val="465"/>
        </w:trPr>
        <w:tc>
          <w:tcPr>
            <w:tcW w:w="4116" w:type="dxa"/>
            <w:tcBorders>
              <w:top w:val="single" w:sz="4" w:space="0" w:color="FFFFFF"/>
              <w:left w:val="single" w:sz="4" w:space="0" w:color="FFFFFF"/>
              <w:bottom w:val="single" w:sz="4" w:space="0" w:color="FFFFFF"/>
              <w:right w:val="single" w:sz="4" w:space="0" w:color="D9D9D9"/>
            </w:tcBorders>
            <w:tcMar>
              <w:left w:w="0" w:type="dxa"/>
              <w:right w:w="0" w:type="dxa"/>
            </w:tcMar>
            <w:vAlign w:val="center"/>
          </w:tcPr>
          <w:p w14:paraId="620D7E90" w14:textId="77777777" w:rsidR="008849DA" w:rsidRPr="008849DA" w:rsidRDefault="008849DA" w:rsidP="008849DA">
            <w:pPr>
              <w:spacing w:before="120"/>
              <w:ind w:left="425"/>
            </w:pPr>
            <w:r w:rsidRPr="008849DA">
              <w:t>Datová schránka:</w:t>
            </w:r>
          </w:p>
          <w:p w14:paraId="3ABD3B1F" w14:textId="77777777" w:rsidR="008849DA" w:rsidRPr="008849DA" w:rsidRDefault="008849DA" w:rsidP="008849DA">
            <w:pPr>
              <w:spacing w:before="120"/>
              <w:ind w:left="425"/>
            </w:pPr>
            <w:r w:rsidRPr="008849DA">
              <w:t>(</w:t>
            </w:r>
            <w:r w:rsidRPr="008849DA">
              <w:rPr>
                <w:i/>
              </w:rPr>
              <w:t>pokud je zřízena)</w:t>
            </w:r>
          </w:p>
        </w:tc>
        <w:tc>
          <w:tcPr>
            <w:tcW w:w="5240" w:type="dxa"/>
            <w:tcBorders>
              <w:top w:val="single" w:sz="4" w:space="0" w:color="D9D9D9"/>
              <w:left w:val="single" w:sz="4" w:space="0" w:color="D9D9D9"/>
              <w:bottom w:val="single" w:sz="4" w:space="0" w:color="D9D9D9"/>
              <w:right w:val="single" w:sz="4" w:space="0" w:color="D9D9D9"/>
            </w:tcBorders>
            <w:vAlign w:val="center"/>
          </w:tcPr>
          <w:p w14:paraId="0891E1D1" w14:textId="77777777" w:rsidR="008849DA" w:rsidRPr="008849DA" w:rsidRDefault="008849DA" w:rsidP="008849DA">
            <w:pPr>
              <w:spacing w:before="120"/>
              <w:ind w:left="425"/>
              <w:rPr>
                <w:b/>
              </w:rPr>
            </w:pPr>
            <w:r w:rsidRPr="008849DA">
              <w:rPr>
                <w:b/>
              </w:rPr>
              <w:t>4tkbw8g</w:t>
            </w:r>
          </w:p>
        </w:tc>
      </w:tr>
      <w:tr w:rsidR="008849DA" w:rsidRPr="008849DA" w14:paraId="05799E6C" w14:textId="77777777" w:rsidTr="00362598">
        <w:trPr>
          <w:trHeight w:val="590"/>
        </w:trPr>
        <w:tc>
          <w:tcPr>
            <w:tcW w:w="4116" w:type="dxa"/>
            <w:tcBorders>
              <w:top w:val="single" w:sz="4" w:space="0" w:color="FFFFFF"/>
              <w:left w:val="single" w:sz="4" w:space="0" w:color="FFFFFF"/>
              <w:bottom w:val="single" w:sz="4" w:space="0" w:color="FFFFFF"/>
              <w:right w:val="single" w:sz="4" w:space="0" w:color="D9D9D9"/>
            </w:tcBorders>
            <w:tcMar>
              <w:left w:w="0" w:type="dxa"/>
              <w:right w:w="0" w:type="dxa"/>
            </w:tcMar>
            <w:vAlign w:val="center"/>
          </w:tcPr>
          <w:p w14:paraId="4F7BDB38" w14:textId="77777777" w:rsidR="008849DA" w:rsidRPr="008849DA" w:rsidRDefault="008849DA" w:rsidP="008849DA">
            <w:pPr>
              <w:spacing w:before="120"/>
              <w:ind w:left="425"/>
            </w:pPr>
            <w:r w:rsidRPr="008849DA">
              <w:t>Další kontaktní údaje (</w:t>
            </w:r>
            <w:r w:rsidRPr="008849DA">
              <w:rPr>
                <w:i/>
              </w:rPr>
              <w:t xml:space="preserve">nepovinné) </w:t>
            </w:r>
            <w:r w:rsidRPr="008849DA">
              <w:t xml:space="preserve">telefon, </w:t>
            </w:r>
          </w:p>
          <w:p w14:paraId="5D95D0DA" w14:textId="77777777" w:rsidR="008849DA" w:rsidRPr="008849DA" w:rsidRDefault="008849DA" w:rsidP="008849DA">
            <w:pPr>
              <w:spacing w:before="120"/>
              <w:ind w:left="425"/>
            </w:pPr>
            <w:r w:rsidRPr="008849DA">
              <w:t>e-mail</w:t>
            </w:r>
            <w:r w:rsidRPr="008849DA">
              <w:rPr>
                <w:i/>
              </w:rPr>
              <w:t>:</w:t>
            </w:r>
          </w:p>
        </w:tc>
        <w:tc>
          <w:tcPr>
            <w:tcW w:w="5240" w:type="dxa"/>
            <w:tcBorders>
              <w:top w:val="single" w:sz="4" w:space="0" w:color="D9D9D9"/>
              <w:left w:val="single" w:sz="4" w:space="0" w:color="D9D9D9"/>
              <w:bottom w:val="single" w:sz="4" w:space="0" w:color="D9D9D9"/>
              <w:right w:val="single" w:sz="4" w:space="0" w:color="D9D9D9"/>
            </w:tcBorders>
            <w:vAlign w:val="center"/>
          </w:tcPr>
          <w:p w14:paraId="577A2F68" w14:textId="77777777" w:rsidR="008849DA" w:rsidRPr="008849DA" w:rsidRDefault="008849DA" w:rsidP="008849DA">
            <w:pPr>
              <w:spacing w:before="120"/>
              <w:ind w:left="425"/>
              <w:rPr>
                <w:b/>
              </w:rPr>
            </w:pPr>
          </w:p>
        </w:tc>
      </w:tr>
    </w:tbl>
    <w:p w14:paraId="25BF4F75" w14:textId="77777777" w:rsidR="008849DA" w:rsidRPr="008849DA" w:rsidRDefault="008849DA" w:rsidP="008849DA">
      <w:pPr>
        <w:keepNext/>
        <w:tabs>
          <w:tab w:val="left" w:pos="425"/>
        </w:tabs>
        <w:spacing w:before="120" w:after="120"/>
        <w:ind w:left="425" w:hanging="425"/>
        <w:rPr>
          <w:b/>
        </w:rPr>
      </w:pPr>
      <w:r w:rsidRPr="008849DA">
        <w:rPr>
          <w:b/>
        </w:rPr>
        <w:t>B)</w:t>
      </w:r>
      <w:r w:rsidRPr="008849DA">
        <w:rPr>
          <w:b/>
        </w:rPr>
        <w:tab/>
        <w:t>Pozemky včetně katastrálního území, nebo označení plochy v návrhu Územního plánu, kterých se připomínka týká</w:t>
      </w:r>
    </w:p>
    <w:tbl>
      <w:tblPr>
        <w:tblW w:w="9356" w:type="dxa"/>
        <w:tblInd w:w="108" w:type="dxa"/>
        <w:tblLook w:val="01E0" w:firstRow="1" w:lastRow="1" w:firstColumn="1" w:lastColumn="1" w:noHBand="0" w:noVBand="0"/>
      </w:tblPr>
      <w:tblGrid>
        <w:gridCol w:w="9356"/>
      </w:tblGrid>
      <w:tr w:rsidR="008849DA" w:rsidRPr="008849DA" w14:paraId="443E3BEF" w14:textId="77777777" w:rsidTr="008849DA">
        <w:trPr>
          <w:trHeight w:val="283"/>
        </w:trPr>
        <w:tc>
          <w:tcPr>
            <w:tcW w:w="9356" w:type="dxa"/>
            <w:tcBorders>
              <w:top w:val="single" w:sz="4" w:space="0" w:color="D9D9D9"/>
              <w:left w:val="single" w:sz="4" w:space="0" w:color="D9D9D9"/>
              <w:bottom w:val="single" w:sz="4" w:space="0" w:color="D9D9D9"/>
              <w:right w:val="single" w:sz="4" w:space="0" w:color="D9D9D9"/>
            </w:tcBorders>
          </w:tcPr>
          <w:p w14:paraId="3757F427" w14:textId="77777777" w:rsidR="008849DA" w:rsidRPr="008849DA" w:rsidRDefault="008849DA" w:rsidP="008849DA">
            <w:pPr>
              <w:spacing w:before="120" w:line="280" w:lineRule="exact"/>
              <w:ind w:left="425"/>
              <w:rPr>
                <w:bCs/>
              </w:rPr>
            </w:pPr>
            <w:r w:rsidRPr="008849DA">
              <w:rPr>
                <w:bCs/>
              </w:rPr>
              <w:t>pozemek p.č. 442/3 v k.ú. Oldřichov na Hranicích</w:t>
            </w:r>
          </w:p>
        </w:tc>
      </w:tr>
    </w:tbl>
    <w:p w14:paraId="228E0968" w14:textId="77777777" w:rsidR="008849DA" w:rsidRPr="008849DA" w:rsidRDefault="008849DA" w:rsidP="008849DA">
      <w:pPr>
        <w:keepNext/>
        <w:tabs>
          <w:tab w:val="left" w:pos="425"/>
        </w:tabs>
        <w:spacing w:before="120" w:after="120"/>
        <w:ind w:left="425" w:hanging="425"/>
        <w:rPr>
          <w:b/>
        </w:rPr>
      </w:pPr>
      <w:r w:rsidRPr="008849DA">
        <w:rPr>
          <w:b/>
        </w:rPr>
        <w:t>C)</w:t>
      </w:r>
      <w:r w:rsidRPr="008849DA">
        <w:rPr>
          <w:b/>
        </w:rPr>
        <w:tab/>
        <w:t xml:space="preserve">Připomínka </w:t>
      </w:r>
      <w:r w:rsidRPr="008849DA">
        <w:t>(podrobný popis a případné zdůvodnění podávané připomínky)</w:t>
      </w:r>
    </w:p>
    <w:tbl>
      <w:tblPr>
        <w:tblW w:w="9356" w:type="dxa"/>
        <w:tblInd w:w="108" w:type="dxa"/>
        <w:tblLook w:val="01E0" w:firstRow="1" w:lastRow="1" w:firstColumn="1" w:lastColumn="1" w:noHBand="0" w:noVBand="0"/>
      </w:tblPr>
      <w:tblGrid>
        <w:gridCol w:w="9356"/>
      </w:tblGrid>
      <w:tr w:rsidR="008849DA" w:rsidRPr="008849DA" w14:paraId="5E94196A" w14:textId="77777777" w:rsidTr="008849DA">
        <w:trPr>
          <w:trHeight w:val="283"/>
        </w:trPr>
        <w:tc>
          <w:tcPr>
            <w:tcW w:w="9356" w:type="dxa"/>
            <w:tcBorders>
              <w:top w:val="single" w:sz="4" w:space="0" w:color="D9D9D9"/>
              <w:left w:val="single" w:sz="4" w:space="0" w:color="D9D9D9"/>
              <w:bottom w:val="single" w:sz="4" w:space="0" w:color="D9D9D9"/>
              <w:right w:val="single" w:sz="4" w:space="0" w:color="D9D9D9"/>
            </w:tcBorders>
          </w:tcPr>
          <w:p w14:paraId="3E0B9C7E" w14:textId="77777777" w:rsidR="008849DA" w:rsidRPr="008849DA" w:rsidRDefault="008849DA" w:rsidP="008849DA">
            <w:pPr>
              <w:spacing w:before="120" w:line="280" w:lineRule="exact"/>
              <w:ind w:left="425"/>
              <w:rPr>
                <w:bCs/>
              </w:rPr>
            </w:pPr>
            <w:r w:rsidRPr="008849DA">
              <w:rPr>
                <w:bCs/>
              </w:rPr>
              <w:t>V návrhu územního plánu Hrádek nad Nisou je pozemek navržen jako plochy smíšené obytné – venkovské. Předmětný pozemek navrhujeme zařadit do ploch veřejná prostranství - veřejná zeleň.</w:t>
            </w:r>
          </w:p>
          <w:p w14:paraId="5A6E8FEB" w14:textId="77777777" w:rsidR="008849DA" w:rsidRPr="008849DA" w:rsidRDefault="008849DA" w:rsidP="008849DA">
            <w:pPr>
              <w:spacing w:before="120" w:line="280" w:lineRule="exact"/>
              <w:ind w:left="425"/>
              <w:rPr>
                <w:b/>
              </w:rPr>
            </w:pPr>
            <w:r w:rsidRPr="008849DA">
              <w:rPr>
                <w:bCs/>
              </w:rPr>
              <w:t>V současné době je pozemek součástí parku – ploch zeleně, který je vybudován na pozemcích p.č. 468/1 a p.č. 469 v k.ú. Oldřichov na Hranicích. Pozemek p.č. 469 je v návrhu územního plánu Hrádek nad Nisou zařazen do ploch veřejná prostranství – veřejná zeleň. Město Hrádek nad Nisou připravuje revitalizaci této plochy tak, aby celistvý park mohl sloužit široké veřejnosti.</w:t>
            </w:r>
          </w:p>
        </w:tc>
      </w:tr>
    </w:tbl>
    <w:p w14:paraId="7948C854" w14:textId="77777777" w:rsidR="008849DA" w:rsidRPr="008849DA" w:rsidRDefault="008849DA" w:rsidP="00362598">
      <w:pPr>
        <w:keepNext/>
        <w:tabs>
          <w:tab w:val="left" w:pos="851"/>
        </w:tabs>
        <w:spacing w:before="120" w:after="120"/>
        <w:ind w:left="425" w:hanging="425"/>
        <w:rPr>
          <w:b/>
        </w:rPr>
      </w:pPr>
      <w:r w:rsidRPr="008849DA">
        <w:rPr>
          <w:b/>
        </w:rPr>
        <w:t>D)</w:t>
      </w:r>
      <w:r w:rsidRPr="008849DA">
        <w:rPr>
          <w:b/>
        </w:rPr>
        <w:tab/>
        <w:t xml:space="preserve">Přílohy </w:t>
      </w:r>
      <w:r w:rsidRPr="008849DA">
        <w:t>(např. zákresy do mapových podkladů, další dokumenty k podpoře připomínky)</w:t>
      </w:r>
    </w:p>
    <w:tbl>
      <w:tblPr>
        <w:tblW w:w="9356" w:type="dxa"/>
        <w:tblInd w:w="108" w:type="dxa"/>
        <w:tblLook w:val="01E0" w:firstRow="1" w:lastRow="1" w:firstColumn="1" w:lastColumn="1" w:noHBand="0" w:noVBand="0"/>
      </w:tblPr>
      <w:tblGrid>
        <w:gridCol w:w="9356"/>
      </w:tblGrid>
      <w:tr w:rsidR="008849DA" w:rsidRPr="008849DA" w14:paraId="6A6B8E48" w14:textId="77777777" w:rsidTr="008849DA">
        <w:trPr>
          <w:trHeight w:val="283"/>
        </w:trPr>
        <w:tc>
          <w:tcPr>
            <w:tcW w:w="9356" w:type="dxa"/>
            <w:tcBorders>
              <w:top w:val="single" w:sz="4" w:space="0" w:color="D9D9D9"/>
              <w:left w:val="single" w:sz="4" w:space="0" w:color="D9D9D9"/>
              <w:bottom w:val="single" w:sz="4" w:space="0" w:color="D9D9D9"/>
              <w:right w:val="single" w:sz="4" w:space="0" w:color="D9D9D9"/>
            </w:tcBorders>
          </w:tcPr>
          <w:p w14:paraId="783A2A09" w14:textId="77777777" w:rsidR="008849DA" w:rsidRPr="008849DA" w:rsidRDefault="008849DA" w:rsidP="008849DA">
            <w:pPr>
              <w:spacing w:before="120" w:line="280" w:lineRule="exact"/>
              <w:ind w:left="425"/>
              <w:rPr>
                <w:b/>
              </w:rPr>
            </w:pPr>
            <w:r w:rsidRPr="008849DA">
              <w:rPr>
                <w:b/>
              </w:rPr>
              <w:t>Příloha 1 – zákres do výřezu návrhu ÚP Hrádek nad Nisou</w:t>
            </w:r>
          </w:p>
        </w:tc>
      </w:tr>
    </w:tbl>
    <w:p w14:paraId="61FB06FD" w14:textId="77777777" w:rsidR="008849DA" w:rsidRPr="008849DA" w:rsidRDefault="008849DA" w:rsidP="00362598">
      <w:pPr>
        <w:spacing w:before="240"/>
        <w:ind w:left="425"/>
        <w:rPr>
          <w:b/>
        </w:rPr>
      </w:pPr>
      <w:r w:rsidRPr="008849DA">
        <w:rPr>
          <w:b/>
        </w:rPr>
        <w:t>Příloha 1</w:t>
      </w:r>
    </w:p>
    <w:p w14:paraId="46142ABE" w14:textId="77777777" w:rsidR="008849DA" w:rsidRDefault="008849DA" w:rsidP="008849DA">
      <w:pPr>
        <w:spacing w:before="120" w:line="247" w:lineRule="auto"/>
        <w:ind w:left="425" w:hanging="11"/>
        <w:rPr>
          <w:bCs/>
        </w:rPr>
      </w:pPr>
      <w:r w:rsidRPr="008849DA">
        <w:rPr>
          <w:bCs/>
        </w:rPr>
        <w:t>Výřez z návrhu územního plánu Hrádek nad Nisou. Červenou čarou je vyznačen připomínkovaný pozemek.</w:t>
      </w:r>
    </w:p>
    <w:tbl>
      <w:tblPr>
        <w:tblStyle w:val="TableGrid"/>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3"/>
      </w:tblGrid>
      <w:tr w:rsidR="00362598" w14:paraId="200CB294" w14:textId="77777777" w:rsidTr="00362598">
        <w:tc>
          <w:tcPr>
            <w:tcW w:w="9212" w:type="dxa"/>
          </w:tcPr>
          <w:p w14:paraId="1D9CB65C" w14:textId="24898D9E" w:rsidR="00362598" w:rsidRDefault="00362598" w:rsidP="00362598">
            <w:pPr>
              <w:spacing w:before="120" w:line="247" w:lineRule="auto"/>
              <w:jc w:val="center"/>
              <w:rPr>
                <w:bCs/>
              </w:rPr>
            </w:pPr>
            <w:r w:rsidRPr="008849DA">
              <w:rPr>
                <w:bCs/>
                <w:noProof/>
                <w:lang w:eastAsia="cs-CZ"/>
              </w:rPr>
              <w:drawing>
                <wp:inline distT="0" distB="0" distL="0" distR="0" wp14:anchorId="4C0AB1DA" wp14:editId="5155CEA9">
                  <wp:extent cx="4095750" cy="2964613"/>
                  <wp:effectExtent l="0" t="0" r="0" b="7620"/>
                  <wp:docPr id="27" name="Obrázek 27" descr="254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4_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8213" cy="2980872"/>
                          </a:xfrm>
                          <a:prstGeom prst="rect">
                            <a:avLst/>
                          </a:prstGeom>
                          <a:noFill/>
                          <a:ln>
                            <a:noFill/>
                          </a:ln>
                        </pic:spPr>
                      </pic:pic>
                    </a:graphicData>
                  </a:graphic>
                </wp:inline>
              </w:drawing>
            </w:r>
          </w:p>
        </w:tc>
      </w:tr>
    </w:tbl>
    <w:p w14:paraId="76DF0026" w14:textId="77777777" w:rsidR="00362598" w:rsidRPr="008849DA" w:rsidRDefault="00362598" w:rsidP="008849DA">
      <w:pPr>
        <w:spacing w:before="120" w:line="247" w:lineRule="auto"/>
        <w:ind w:left="425" w:hanging="11"/>
        <w:rPr>
          <w:bCs/>
        </w:rPr>
      </w:pPr>
    </w:p>
    <w:p w14:paraId="1FBB89AA" w14:textId="77777777" w:rsidR="00446993" w:rsidRDefault="00446993">
      <w:pPr>
        <w:spacing w:line="240" w:lineRule="auto"/>
        <w:jc w:val="left"/>
        <w:rPr>
          <w:b/>
          <w:i/>
          <w:u w:val="single"/>
        </w:rPr>
      </w:pPr>
      <w:r>
        <w:rPr>
          <w:b/>
          <w:i/>
          <w:u w:val="single"/>
        </w:rPr>
        <w:br w:type="page"/>
      </w:r>
    </w:p>
    <w:p w14:paraId="342C68E2" w14:textId="4A259B16" w:rsidR="008849DA" w:rsidRPr="008849DA" w:rsidRDefault="008849DA" w:rsidP="00362598">
      <w:pPr>
        <w:spacing w:before="120" w:line="247" w:lineRule="auto"/>
        <w:ind w:hanging="11"/>
        <w:rPr>
          <w:b/>
          <w:i/>
          <w:u w:val="single"/>
        </w:rPr>
      </w:pPr>
      <w:r w:rsidRPr="008849DA">
        <w:rPr>
          <w:b/>
          <w:i/>
          <w:u w:val="single"/>
        </w:rPr>
        <w:lastRenderedPageBreak/>
        <w:t xml:space="preserve">Vyhodnocení připomínky: </w:t>
      </w:r>
    </w:p>
    <w:p w14:paraId="26C085DD" w14:textId="77777777" w:rsidR="008849DA" w:rsidRPr="008849DA" w:rsidRDefault="008849DA" w:rsidP="00362598">
      <w:pPr>
        <w:spacing w:before="120" w:line="247" w:lineRule="auto"/>
        <w:ind w:hanging="11"/>
        <w:rPr>
          <w:b/>
          <w:i/>
        </w:rPr>
      </w:pPr>
      <w:r w:rsidRPr="008849DA">
        <w:rPr>
          <w:b/>
          <w:i/>
        </w:rPr>
        <w:t xml:space="preserve">Pořizovatel ve spolupráci s určeným zastupitelem a projektantem posoudil uplatněnou připomínku a po důkladném prověření pozemku p. </w:t>
      </w:r>
      <w:r w:rsidRPr="008849DA">
        <w:rPr>
          <w:b/>
          <w:bCs/>
          <w:i/>
        </w:rPr>
        <w:t>č. 442/3 v k. ú. Oldřichov na Hranicích</w:t>
      </w:r>
      <w:r w:rsidRPr="008849DA">
        <w:rPr>
          <w:b/>
          <w:i/>
        </w:rPr>
        <w:t xml:space="preserve"> došel k závěru, že s ohledem k tomu, že přilehlý pozemek p. č. 442/2 </w:t>
      </w:r>
      <w:r w:rsidRPr="008849DA">
        <w:rPr>
          <w:b/>
          <w:bCs/>
          <w:i/>
        </w:rPr>
        <w:t>v k. ú. Oldřichov na Hranicích</w:t>
      </w:r>
      <w:r w:rsidRPr="008849DA">
        <w:rPr>
          <w:b/>
          <w:i/>
        </w:rPr>
        <w:t xml:space="preserve">, je zapsán v katastru nemovitostí jako ostatní komunikace, která slouží k přístupu k rodinnému domu, a fakticky odděluje pozemek p. </w:t>
      </w:r>
      <w:r w:rsidRPr="008849DA">
        <w:rPr>
          <w:b/>
          <w:bCs/>
          <w:i/>
        </w:rPr>
        <w:t xml:space="preserve">č. 442/3 od stávající zástavby a tento pozemek není samostatně pro bydlení využitelný, a dále jelikož </w:t>
      </w:r>
      <w:r w:rsidRPr="008849DA">
        <w:rPr>
          <w:b/>
          <w:i/>
        </w:rPr>
        <w:t>stávající skutečné využití pozemku je právě veřejná zeleň, která byla na pozemku v minulosti realizována, která je součástí parkově upravené zeleně, na kterou město Hrádek nad Nisou již v současné době zpracovává projekt na revitalizaci veřejné zeleně, na celou tuto plochu včetně předmětného pozemku, čímž dojde ke zkvalitní plochy pro každodenní rekreaci obyvatel v okrajové části města, doporučuje připomínce vyhovět.</w:t>
      </w:r>
    </w:p>
    <w:p w14:paraId="42DC2802" w14:textId="77777777" w:rsidR="008849DA" w:rsidRPr="008849DA" w:rsidRDefault="008849DA" w:rsidP="00362598">
      <w:pPr>
        <w:spacing w:before="120" w:line="247" w:lineRule="auto"/>
        <w:ind w:hanging="11"/>
        <w:rPr>
          <w:b/>
          <w:i/>
        </w:rPr>
      </w:pPr>
      <w:r w:rsidRPr="008849DA">
        <w:rPr>
          <w:b/>
          <w:i/>
        </w:rPr>
        <w:t xml:space="preserve">Pozemek není v kolizi s žádným limitem nebo veřejných zájmem, které by znemožňovaly nebo omezovaly využití pozemku k navrhovanému využití. </w:t>
      </w:r>
    </w:p>
    <w:p w14:paraId="12F79B76" w14:textId="77777777" w:rsidR="008849DA" w:rsidRDefault="008849DA" w:rsidP="008849DA">
      <w:pPr>
        <w:keepNext/>
        <w:spacing w:before="120" w:line="247" w:lineRule="auto"/>
        <w:ind w:left="425" w:right="215" w:hanging="11"/>
        <w:jc w:val="center"/>
        <w:rPr>
          <w:i/>
        </w:rPr>
      </w:pPr>
      <w:r w:rsidRPr="008849DA">
        <w:rPr>
          <w:i/>
        </w:rPr>
        <w:t>Zákres připomínky č. 3 do Hlavního výkresu návrhu Územního plánu Hrádek nad Nisou:</w:t>
      </w:r>
    </w:p>
    <w:tbl>
      <w:tblPr>
        <w:tblStyle w:val="TableGrid"/>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63"/>
      </w:tblGrid>
      <w:tr w:rsidR="00362598" w14:paraId="74D94FBA" w14:textId="77777777" w:rsidTr="00362598">
        <w:tc>
          <w:tcPr>
            <w:tcW w:w="9212" w:type="dxa"/>
          </w:tcPr>
          <w:p w14:paraId="58C41152" w14:textId="62DD7952" w:rsidR="00362598" w:rsidRDefault="00362598" w:rsidP="008849DA">
            <w:pPr>
              <w:keepNext/>
              <w:spacing w:before="120" w:line="247" w:lineRule="auto"/>
              <w:ind w:right="215"/>
              <w:jc w:val="center"/>
              <w:rPr>
                <w:i/>
              </w:rPr>
            </w:pPr>
            <w:r w:rsidRPr="008849DA">
              <w:rPr>
                <w:i/>
                <w:noProof/>
                <w:lang w:eastAsia="cs-CZ"/>
              </w:rPr>
              <w:drawing>
                <wp:inline distT="0" distB="0" distL="0" distR="0" wp14:anchorId="65841F98" wp14:editId="18BCFE23">
                  <wp:extent cx="4495800" cy="3254181"/>
                  <wp:effectExtent l="0" t="0" r="0" b="381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N.png"/>
                          <pic:cNvPicPr/>
                        </pic:nvPicPr>
                        <pic:blipFill>
                          <a:blip r:embed="rId58">
                            <a:extLst>
                              <a:ext uri="{28A0092B-C50C-407E-A947-70E740481C1C}">
                                <a14:useLocalDpi xmlns:a14="http://schemas.microsoft.com/office/drawing/2010/main" val="0"/>
                              </a:ext>
                            </a:extLst>
                          </a:blip>
                          <a:stretch>
                            <a:fillRect/>
                          </a:stretch>
                        </pic:blipFill>
                        <pic:spPr>
                          <a:xfrm>
                            <a:off x="0" y="0"/>
                            <a:ext cx="4507496" cy="3262647"/>
                          </a:xfrm>
                          <a:prstGeom prst="rect">
                            <a:avLst/>
                          </a:prstGeom>
                        </pic:spPr>
                      </pic:pic>
                    </a:graphicData>
                  </a:graphic>
                </wp:inline>
              </w:drawing>
            </w:r>
          </w:p>
        </w:tc>
      </w:tr>
    </w:tbl>
    <w:p w14:paraId="5C2FA2FB" w14:textId="239E94E1" w:rsidR="008849DA" w:rsidRPr="00B45646" w:rsidRDefault="008849DA" w:rsidP="00362598">
      <w:pPr>
        <w:pStyle w:val="BodyText"/>
        <w:spacing w:before="240"/>
        <w:rPr>
          <w:b/>
          <w:bCs/>
          <w:color w:val="92D050"/>
        </w:rPr>
      </w:pPr>
      <w:r w:rsidRPr="00B45646">
        <w:rPr>
          <w:b/>
          <w:bCs/>
          <w:color w:val="92D050"/>
        </w:rPr>
        <w:t>Připomínka č. 4 - Podatel: Severočeské vodovody a kanalizace, a.s</w:t>
      </w:r>
    </w:p>
    <w:p w14:paraId="67827D04" w14:textId="77777777" w:rsidR="008849DA" w:rsidRPr="008849DA" w:rsidRDefault="008849DA" w:rsidP="00362598">
      <w:pPr>
        <w:pStyle w:val="BodyText"/>
        <w:keepNext/>
        <w:spacing w:before="120" w:after="120"/>
        <w:rPr>
          <w:rFonts w:cs="Times New Roman"/>
          <w:sz w:val="22"/>
          <w:szCs w:val="22"/>
        </w:rPr>
      </w:pPr>
      <w:r w:rsidRPr="008849DA">
        <w:rPr>
          <w:rFonts w:cs="Times New Roman"/>
          <w:sz w:val="22"/>
          <w:szCs w:val="22"/>
        </w:rPr>
        <w:t>Připomínka ze dne 30.8.2019, doručená dne 24.10.2019, vedená pod č. j. OSŽP-7272/2019</w:t>
      </w:r>
    </w:p>
    <w:p w14:paraId="1402FEE9" w14:textId="77777777" w:rsidR="008849DA" w:rsidRPr="008849DA" w:rsidRDefault="008849DA" w:rsidP="00362598">
      <w:pPr>
        <w:pStyle w:val="BodyText"/>
        <w:keepNext/>
        <w:spacing w:before="120" w:after="120"/>
        <w:rPr>
          <w:b/>
          <w:i/>
          <w:sz w:val="22"/>
          <w:szCs w:val="22"/>
        </w:rPr>
      </w:pPr>
      <w:r w:rsidRPr="008849DA">
        <w:rPr>
          <w:b/>
          <w:i/>
          <w:sz w:val="22"/>
          <w:szCs w:val="22"/>
        </w:rPr>
        <w:t xml:space="preserve">Obsah připomínky: </w:t>
      </w:r>
    </w:p>
    <w:p w14:paraId="7EBEFC3E" w14:textId="77777777" w:rsidR="008849DA" w:rsidRPr="008849DA" w:rsidRDefault="008849DA" w:rsidP="00362598">
      <w:pPr>
        <w:spacing w:before="120" w:line="259" w:lineRule="auto"/>
        <w:ind w:left="425" w:right="57"/>
        <w:jc w:val="center"/>
        <w:rPr>
          <w:b/>
          <w:bCs/>
        </w:rPr>
      </w:pPr>
      <w:r w:rsidRPr="008849DA">
        <w:rPr>
          <w:b/>
          <w:bCs/>
        </w:rPr>
        <w:t>Vyjádření k územnímu plánu „Hrádek nad Nisou” a jeho změnám</w:t>
      </w:r>
    </w:p>
    <w:tbl>
      <w:tblPr>
        <w:tblStyle w:val="TableGrid0"/>
        <w:tblpPr w:leftFromText="141" w:rightFromText="141" w:vertAnchor="text" w:horzAnchor="page" w:tblpX="1448" w:tblpY="120"/>
        <w:tblW w:w="9563" w:type="dxa"/>
        <w:tblInd w:w="0" w:type="dxa"/>
        <w:tblBorders>
          <w:top w:val="single" w:sz="2" w:space="0" w:color="000000"/>
          <w:left w:val="single" w:sz="2" w:space="0" w:color="000000"/>
          <w:bottom w:val="single" w:sz="2" w:space="0" w:color="000000"/>
          <w:right w:val="single" w:sz="2" w:space="0" w:color="000000"/>
          <w:insideH w:val="single" w:sz="6" w:space="0" w:color="000000"/>
          <w:insideV w:val="single" w:sz="6" w:space="0" w:color="000000"/>
        </w:tblBorders>
        <w:tblCellMar>
          <w:top w:w="38" w:type="dxa"/>
          <w:left w:w="58" w:type="dxa"/>
          <w:right w:w="75" w:type="dxa"/>
        </w:tblCellMar>
        <w:tblLook w:val="04A0" w:firstRow="1" w:lastRow="0" w:firstColumn="1" w:lastColumn="0" w:noHBand="0" w:noVBand="1"/>
      </w:tblPr>
      <w:tblGrid>
        <w:gridCol w:w="2347"/>
        <w:gridCol w:w="7216"/>
      </w:tblGrid>
      <w:tr w:rsidR="008849DA" w:rsidRPr="008849DA" w14:paraId="6C557907" w14:textId="77777777" w:rsidTr="00362598">
        <w:trPr>
          <w:trHeight w:val="322"/>
        </w:trPr>
        <w:tc>
          <w:tcPr>
            <w:tcW w:w="2347" w:type="dxa"/>
          </w:tcPr>
          <w:p w14:paraId="7FDFDEBD" w14:textId="77777777" w:rsidR="008849DA" w:rsidRPr="008849DA" w:rsidRDefault="008849DA" w:rsidP="00362598">
            <w:pPr>
              <w:spacing w:before="120" w:line="259" w:lineRule="auto"/>
              <w:ind w:left="425"/>
              <w:jc w:val="left"/>
            </w:pPr>
            <w:r w:rsidRPr="008849DA">
              <w:t>Název akce:</w:t>
            </w:r>
          </w:p>
        </w:tc>
        <w:tc>
          <w:tcPr>
            <w:tcW w:w="7216" w:type="dxa"/>
          </w:tcPr>
          <w:p w14:paraId="4A71018E" w14:textId="77777777" w:rsidR="008849DA" w:rsidRPr="008849DA" w:rsidRDefault="008849DA" w:rsidP="00362598">
            <w:pPr>
              <w:spacing w:before="120" w:line="259" w:lineRule="auto"/>
              <w:ind w:left="425"/>
              <w:jc w:val="left"/>
              <w:rPr>
                <w:b/>
                <w:bCs/>
              </w:rPr>
            </w:pPr>
            <w:r w:rsidRPr="008849DA">
              <w:rPr>
                <w:b/>
                <w:bCs/>
              </w:rPr>
              <w:t>Územní plán Hrádek nad Nisou</w:t>
            </w:r>
          </w:p>
        </w:tc>
      </w:tr>
      <w:tr w:rsidR="008849DA" w:rsidRPr="008849DA" w14:paraId="21040CE0" w14:textId="77777777" w:rsidTr="00362598">
        <w:trPr>
          <w:trHeight w:val="322"/>
        </w:trPr>
        <w:tc>
          <w:tcPr>
            <w:tcW w:w="2347" w:type="dxa"/>
          </w:tcPr>
          <w:p w14:paraId="2610F695" w14:textId="77777777" w:rsidR="008849DA" w:rsidRPr="008849DA" w:rsidRDefault="008849DA" w:rsidP="00362598">
            <w:pPr>
              <w:spacing w:before="120" w:line="259" w:lineRule="auto"/>
              <w:ind w:left="425"/>
              <w:jc w:val="left"/>
            </w:pPr>
            <w:r w:rsidRPr="008849DA">
              <w:t>Účel vyjádření:</w:t>
            </w:r>
          </w:p>
        </w:tc>
        <w:tc>
          <w:tcPr>
            <w:tcW w:w="7216" w:type="dxa"/>
          </w:tcPr>
          <w:p w14:paraId="73D0817A" w14:textId="77777777" w:rsidR="008849DA" w:rsidRPr="008849DA" w:rsidRDefault="008849DA" w:rsidP="00362598">
            <w:pPr>
              <w:spacing w:before="120" w:line="259" w:lineRule="auto"/>
              <w:ind w:left="425"/>
              <w:jc w:val="left"/>
              <w:rPr>
                <w:b/>
                <w:bCs/>
              </w:rPr>
            </w:pPr>
            <w:r w:rsidRPr="008849DA">
              <w:rPr>
                <w:b/>
                <w:bCs/>
              </w:rPr>
              <w:t>K územnímu plánu „Hrádek nad Nisou” a jeho změnám</w:t>
            </w:r>
          </w:p>
        </w:tc>
      </w:tr>
      <w:tr w:rsidR="008849DA" w:rsidRPr="008849DA" w14:paraId="0D7E684B" w14:textId="77777777" w:rsidTr="00362598">
        <w:trPr>
          <w:trHeight w:val="326"/>
        </w:trPr>
        <w:tc>
          <w:tcPr>
            <w:tcW w:w="2347" w:type="dxa"/>
            <w:vMerge w:val="restart"/>
            <w:vAlign w:val="center"/>
          </w:tcPr>
          <w:p w14:paraId="336EA20D" w14:textId="77777777" w:rsidR="008849DA" w:rsidRPr="008849DA" w:rsidRDefault="008849DA" w:rsidP="00362598">
            <w:pPr>
              <w:spacing w:before="120" w:line="259" w:lineRule="auto"/>
              <w:ind w:left="425"/>
              <w:jc w:val="left"/>
            </w:pPr>
            <w:r w:rsidRPr="008849DA">
              <w:t>Zájmové území:</w:t>
            </w:r>
          </w:p>
        </w:tc>
        <w:tc>
          <w:tcPr>
            <w:tcW w:w="7216" w:type="dxa"/>
          </w:tcPr>
          <w:p w14:paraId="364B9ACD" w14:textId="77777777" w:rsidR="008849DA" w:rsidRPr="008849DA" w:rsidRDefault="008849DA" w:rsidP="00362598">
            <w:pPr>
              <w:spacing w:before="120" w:line="259" w:lineRule="auto"/>
              <w:ind w:left="425"/>
              <w:jc w:val="left"/>
            </w:pPr>
            <w:r w:rsidRPr="008849DA">
              <w:t>Okres: Liberec</w:t>
            </w:r>
          </w:p>
        </w:tc>
      </w:tr>
      <w:tr w:rsidR="008849DA" w:rsidRPr="008849DA" w14:paraId="6D772553" w14:textId="77777777" w:rsidTr="00362598">
        <w:trPr>
          <w:trHeight w:val="322"/>
        </w:trPr>
        <w:tc>
          <w:tcPr>
            <w:tcW w:w="2347" w:type="dxa"/>
            <w:vMerge/>
          </w:tcPr>
          <w:p w14:paraId="4573B31A" w14:textId="77777777" w:rsidR="008849DA" w:rsidRPr="008849DA" w:rsidRDefault="008849DA" w:rsidP="00362598">
            <w:pPr>
              <w:spacing w:before="120" w:after="160" w:line="259" w:lineRule="auto"/>
              <w:ind w:left="425"/>
              <w:jc w:val="left"/>
            </w:pPr>
          </w:p>
        </w:tc>
        <w:tc>
          <w:tcPr>
            <w:tcW w:w="7216" w:type="dxa"/>
          </w:tcPr>
          <w:p w14:paraId="02AACC95" w14:textId="77777777" w:rsidR="008849DA" w:rsidRPr="008849DA" w:rsidRDefault="008849DA" w:rsidP="00362598">
            <w:pPr>
              <w:spacing w:before="120" w:line="259" w:lineRule="auto"/>
              <w:ind w:left="425"/>
              <w:jc w:val="left"/>
            </w:pPr>
            <w:r w:rsidRPr="008849DA">
              <w:t>Obec: Hrádek nad Nisou</w:t>
            </w:r>
          </w:p>
        </w:tc>
      </w:tr>
      <w:tr w:rsidR="008849DA" w:rsidRPr="008849DA" w14:paraId="7960B296" w14:textId="77777777" w:rsidTr="00362598">
        <w:trPr>
          <w:trHeight w:val="471"/>
        </w:trPr>
        <w:tc>
          <w:tcPr>
            <w:tcW w:w="2347" w:type="dxa"/>
            <w:vMerge/>
          </w:tcPr>
          <w:p w14:paraId="0EDFE003" w14:textId="77777777" w:rsidR="008849DA" w:rsidRPr="008849DA" w:rsidRDefault="008849DA" w:rsidP="00362598">
            <w:pPr>
              <w:spacing w:before="120" w:after="160" w:line="259" w:lineRule="auto"/>
              <w:ind w:left="425"/>
              <w:jc w:val="left"/>
            </w:pPr>
          </w:p>
        </w:tc>
        <w:tc>
          <w:tcPr>
            <w:tcW w:w="7216" w:type="dxa"/>
          </w:tcPr>
          <w:p w14:paraId="3DA18B10" w14:textId="77777777" w:rsidR="008849DA" w:rsidRPr="008849DA" w:rsidRDefault="008849DA" w:rsidP="00362598">
            <w:pPr>
              <w:spacing w:before="120" w:line="259" w:lineRule="auto"/>
              <w:ind w:left="425" w:hanging="5"/>
            </w:pPr>
            <w:r w:rsidRPr="008849DA">
              <w:t>Část obce, ulice, č.p.: Hrádek nad Nisou, Donín, Loučná, Oldřichov na Hranicích, Václavice, Uhelná, Dolní Suchá, Dolní Sedlo, Horní Sedlo.</w:t>
            </w:r>
          </w:p>
        </w:tc>
      </w:tr>
      <w:tr w:rsidR="008849DA" w:rsidRPr="008849DA" w14:paraId="2EACDC17" w14:textId="77777777" w:rsidTr="00362598">
        <w:trPr>
          <w:trHeight w:val="696"/>
        </w:trPr>
        <w:tc>
          <w:tcPr>
            <w:tcW w:w="2347" w:type="dxa"/>
            <w:vMerge/>
          </w:tcPr>
          <w:p w14:paraId="0DB0132A" w14:textId="77777777" w:rsidR="008849DA" w:rsidRPr="008849DA" w:rsidRDefault="008849DA" w:rsidP="00362598">
            <w:pPr>
              <w:spacing w:before="120" w:after="160" w:line="259" w:lineRule="auto"/>
              <w:ind w:left="425"/>
              <w:jc w:val="left"/>
            </w:pPr>
          </w:p>
        </w:tc>
        <w:tc>
          <w:tcPr>
            <w:tcW w:w="7216" w:type="dxa"/>
          </w:tcPr>
          <w:p w14:paraId="36DBF0AD" w14:textId="77777777" w:rsidR="008849DA" w:rsidRPr="008849DA" w:rsidRDefault="008849DA" w:rsidP="00362598">
            <w:pPr>
              <w:spacing w:before="120" w:line="259" w:lineRule="auto"/>
              <w:ind w:left="425" w:right="215"/>
              <w:jc w:val="left"/>
            </w:pPr>
            <w:r w:rsidRPr="008849DA">
              <w:t>Katastrální území, parcelní číslo: Hrádek nad Nisou, Donín u Hrádku nad Nisou, Loučná, Oldřichov na Hranicích, Václavice u Hrádku nad Nisou, Dolní Suchá u Chotyně, Dolní Sedlo, Horní Sedlo, p.p.č. –rozsah dle situací územního plánu</w:t>
            </w:r>
          </w:p>
        </w:tc>
      </w:tr>
      <w:tr w:rsidR="008849DA" w:rsidRPr="008849DA" w14:paraId="6084550E" w14:textId="77777777" w:rsidTr="00362598">
        <w:trPr>
          <w:trHeight w:val="326"/>
        </w:trPr>
        <w:tc>
          <w:tcPr>
            <w:tcW w:w="2347" w:type="dxa"/>
          </w:tcPr>
          <w:p w14:paraId="38841D85" w14:textId="77777777" w:rsidR="008849DA" w:rsidRPr="008849DA" w:rsidRDefault="008849DA" w:rsidP="00362598">
            <w:pPr>
              <w:spacing w:before="120" w:line="259" w:lineRule="auto"/>
              <w:ind w:left="425"/>
              <w:jc w:val="left"/>
            </w:pPr>
            <w:r w:rsidRPr="008849DA">
              <w:t>Žadatel:</w:t>
            </w:r>
          </w:p>
        </w:tc>
        <w:tc>
          <w:tcPr>
            <w:tcW w:w="7216" w:type="dxa"/>
          </w:tcPr>
          <w:p w14:paraId="3F6D55E0" w14:textId="77777777" w:rsidR="008849DA" w:rsidRPr="008849DA" w:rsidRDefault="008849DA" w:rsidP="00362598">
            <w:pPr>
              <w:spacing w:before="120" w:line="259" w:lineRule="auto"/>
              <w:ind w:left="425"/>
              <w:jc w:val="left"/>
            </w:pPr>
            <w:r w:rsidRPr="008849DA">
              <w:t>Město Hrádek nad Nisou – Odbor stavební a životního prostředí</w:t>
            </w:r>
          </w:p>
        </w:tc>
      </w:tr>
      <w:tr w:rsidR="008849DA" w:rsidRPr="008849DA" w14:paraId="7ECFA899" w14:textId="77777777" w:rsidTr="00362598">
        <w:trPr>
          <w:trHeight w:val="323"/>
        </w:trPr>
        <w:tc>
          <w:tcPr>
            <w:tcW w:w="2347" w:type="dxa"/>
          </w:tcPr>
          <w:p w14:paraId="4FBFDC64" w14:textId="77777777" w:rsidR="008849DA" w:rsidRPr="008849DA" w:rsidRDefault="008849DA" w:rsidP="00362598">
            <w:pPr>
              <w:spacing w:before="120" w:line="259" w:lineRule="auto"/>
              <w:ind w:left="425"/>
              <w:jc w:val="left"/>
            </w:pPr>
            <w:r w:rsidRPr="008849DA">
              <w:t>Adresa, tel.,</w:t>
            </w:r>
            <w:r w:rsidRPr="008849DA">
              <w:br/>
              <w:t>e-mail</w:t>
            </w:r>
          </w:p>
        </w:tc>
        <w:tc>
          <w:tcPr>
            <w:tcW w:w="7216" w:type="dxa"/>
          </w:tcPr>
          <w:p w14:paraId="0E76CE29" w14:textId="77777777" w:rsidR="008849DA" w:rsidRPr="008849DA" w:rsidRDefault="008849DA" w:rsidP="00362598">
            <w:pPr>
              <w:spacing w:before="120" w:line="259" w:lineRule="auto"/>
              <w:ind w:left="425"/>
              <w:jc w:val="left"/>
            </w:pPr>
            <w:r w:rsidRPr="008849DA">
              <w:t>Horní náměstí 73, 463 34 Hrádek nad Nisou</w:t>
            </w:r>
          </w:p>
        </w:tc>
      </w:tr>
      <w:tr w:rsidR="008849DA" w:rsidRPr="008849DA" w14:paraId="3ED19BCA" w14:textId="77777777" w:rsidTr="00362598">
        <w:trPr>
          <w:trHeight w:val="322"/>
        </w:trPr>
        <w:tc>
          <w:tcPr>
            <w:tcW w:w="2347" w:type="dxa"/>
          </w:tcPr>
          <w:p w14:paraId="7F83EE23" w14:textId="77777777" w:rsidR="008849DA" w:rsidRPr="008849DA" w:rsidRDefault="008849DA" w:rsidP="00362598">
            <w:pPr>
              <w:spacing w:before="120" w:line="259" w:lineRule="auto"/>
              <w:ind w:left="425"/>
              <w:jc w:val="left"/>
            </w:pPr>
            <w:r w:rsidRPr="008849DA">
              <w:t>Investor:</w:t>
            </w:r>
          </w:p>
        </w:tc>
        <w:tc>
          <w:tcPr>
            <w:tcW w:w="7216" w:type="dxa"/>
          </w:tcPr>
          <w:p w14:paraId="0353BEF6" w14:textId="77777777" w:rsidR="008849DA" w:rsidRPr="008849DA" w:rsidRDefault="008849DA" w:rsidP="00362598">
            <w:pPr>
              <w:spacing w:before="120" w:line="259" w:lineRule="auto"/>
              <w:ind w:left="425"/>
              <w:jc w:val="left"/>
            </w:pPr>
            <w:r w:rsidRPr="008849DA">
              <w:t>Město Hrádek nad Nisou</w:t>
            </w:r>
          </w:p>
        </w:tc>
      </w:tr>
      <w:tr w:rsidR="008849DA" w:rsidRPr="008849DA" w14:paraId="1F451380" w14:textId="77777777" w:rsidTr="00362598">
        <w:trPr>
          <w:trHeight w:val="322"/>
        </w:trPr>
        <w:tc>
          <w:tcPr>
            <w:tcW w:w="2347" w:type="dxa"/>
          </w:tcPr>
          <w:p w14:paraId="0A52659C" w14:textId="77777777" w:rsidR="008849DA" w:rsidRPr="008849DA" w:rsidRDefault="008849DA" w:rsidP="00362598">
            <w:pPr>
              <w:spacing w:before="120" w:line="259" w:lineRule="auto"/>
              <w:ind w:left="425"/>
              <w:jc w:val="left"/>
            </w:pPr>
            <w:r w:rsidRPr="008849DA">
              <w:t>Projektant:</w:t>
            </w:r>
          </w:p>
        </w:tc>
        <w:tc>
          <w:tcPr>
            <w:tcW w:w="7216" w:type="dxa"/>
          </w:tcPr>
          <w:p w14:paraId="1610D842" w14:textId="77777777" w:rsidR="008849DA" w:rsidRPr="008849DA" w:rsidRDefault="008849DA" w:rsidP="00362598">
            <w:pPr>
              <w:spacing w:before="120" w:line="259" w:lineRule="auto"/>
              <w:ind w:left="425"/>
              <w:jc w:val="left"/>
            </w:pPr>
            <w:r w:rsidRPr="008849DA">
              <w:t>HaskoningDHV Czech Republic, spol. s.r.o. - kolektiv, 08/2019</w:t>
            </w:r>
          </w:p>
        </w:tc>
      </w:tr>
      <w:tr w:rsidR="008849DA" w:rsidRPr="008849DA" w14:paraId="454E13D1" w14:textId="77777777" w:rsidTr="00362598">
        <w:trPr>
          <w:trHeight w:val="322"/>
        </w:trPr>
        <w:tc>
          <w:tcPr>
            <w:tcW w:w="2347" w:type="dxa"/>
          </w:tcPr>
          <w:p w14:paraId="3809DFD4" w14:textId="77777777" w:rsidR="008849DA" w:rsidRPr="008849DA" w:rsidRDefault="008849DA" w:rsidP="00362598">
            <w:pPr>
              <w:spacing w:before="120" w:line="259" w:lineRule="auto"/>
              <w:ind w:left="425"/>
              <w:jc w:val="left"/>
            </w:pPr>
            <w:r w:rsidRPr="008849DA">
              <w:t>Vlastník dotčené IS</w:t>
            </w:r>
          </w:p>
        </w:tc>
        <w:tc>
          <w:tcPr>
            <w:tcW w:w="7216" w:type="dxa"/>
          </w:tcPr>
          <w:p w14:paraId="6DDCA90C" w14:textId="77777777" w:rsidR="008849DA" w:rsidRPr="008849DA" w:rsidRDefault="008849DA" w:rsidP="00362598">
            <w:pPr>
              <w:spacing w:before="120" w:line="259" w:lineRule="auto"/>
              <w:ind w:left="425"/>
              <w:jc w:val="left"/>
            </w:pPr>
            <w:r w:rsidRPr="008849DA">
              <w:rPr>
                <w:rFonts w:eastAsia="Calibri"/>
              </w:rPr>
              <w:t>SVS a.s.</w:t>
            </w:r>
          </w:p>
        </w:tc>
      </w:tr>
      <w:tr w:rsidR="008849DA" w:rsidRPr="008849DA" w14:paraId="205126B3" w14:textId="77777777" w:rsidTr="00362598">
        <w:trPr>
          <w:trHeight w:val="469"/>
        </w:trPr>
        <w:tc>
          <w:tcPr>
            <w:tcW w:w="2347" w:type="dxa"/>
          </w:tcPr>
          <w:p w14:paraId="5F5B067A" w14:textId="77777777" w:rsidR="008849DA" w:rsidRPr="008849DA" w:rsidRDefault="008849DA" w:rsidP="00362598">
            <w:pPr>
              <w:spacing w:before="120" w:line="259" w:lineRule="auto"/>
              <w:ind w:left="425" w:firstLine="10"/>
            </w:pPr>
            <w:r w:rsidRPr="008849DA">
              <w:t>Předchozí vyjádření a rozhodnutí</w:t>
            </w:r>
          </w:p>
        </w:tc>
        <w:tc>
          <w:tcPr>
            <w:tcW w:w="7216" w:type="dxa"/>
            <w:vAlign w:val="center"/>
          </w:tcPr>
          <w:p w14:paraId="42145016" w14:textId="77777777" w:rsidR="008849DA" w:rsidRPr="008849DA" w:rsidRDefault="008849DA" w:rsidP="00362598">
            <w:pPr>
              <w:spacing w:before="120" w:line="259" w:lineRule="auto"/>
              <w:ind w:left="425"/>
              <w:jc w:val="left"/>
              <w:rPr>
                <w:b/>
                <w:bCs/>
              </w:rPr>
            </w:pPr>
            <w:r w:rsidRPr="008849DA">
              <w:rPr>
                <w:b/>
                <w:bCs/>
              </w:rPr>
              <w:t>Nebylo vydáno</w:t>
            </w:r>
          </w:p>
        </w:tc>
      </w:tr>
      <w:tr w:rsidR="008849DA" w:rsidRPr="008849DA" w14:paraId="2A2967CE" w14:textId="77777777" w:rsidTr="00362598">
        <w:trPr>
          <w:trHeight w:val="472"/>
        </w:trPr>
        <w:tc>
          <w:tcPr>
            <w:tcW w:w="2347" w:type="dxa"/>
            <w:vAlign w:val="center"/>
          </w:tcPr>
          <w:p w14:paraId="6446582C" w14:textId="77777777" w:rsidR="008849DA" w:rsidRPr="008849DA" w:rsidRDefault="008849DA" w:rsidP="00362598">
            <w:pPr>
              <w:spacing w:before="120" w:line="259" w:lineRule="auto"/>
              <w:ind w:left="425"/>
              <w:jc w:val="left"/>
            </w:pPr>
            <w:r w:rsidRPr="008849DA">
              <w:t>Platnost vyjádření:</w:t>
            </w:r>
          </w:p>
        </w:tc>
        <w:tc>
          <w:tcPr>
            <w:tcW w:w="7216" w:type="dxa"/>
          </w:tcPr>
          <w:p w14:paraId="79B18432" w14:textId="77777777" w:rsidR="008849DA" w:rsidRPr="008849DA" w:rsidRDefault="008849DA" w:rsidP="00362598">
            <w:pPr>
              <w:spacing w:before="120" w:line="259" w:lineRule="auto"/>
              <w:ind w:left="425" w:hanging="5"/>
            </w:pPr>
            <w:r w:rsidRPr="008849DA">
              <w:rPr>
                <w:b/>
                <w:bCs/>
              </w:rPr>
              <w:t>jeden rok ode dne vyhotovení</w:t>
            </w:r>
            <w:r w:rsidRPr="008849DA">
              <w:t xml:space="preserve"> </w:t>
            </w:r>
            <w:r w:rsidRPr="008849DA">
              <w:rPr>
                <w:i/>
                <w:iCs/>
              </w:rPr>
              <w:t xml:space="preserve">(v případě, že Váš zájem nadále trvá, požádejte </w:t>
            </w:r>
            <w:r w:rsidRPr="008849DA">
              <w:rPr>
                <w:rFonts w:eastAsia="Calibri"/>
                <w:i/>
                <w:iCs/>
              </w:rPr>
              <w:t>před uplynutím této lhůty o prodloužení platnosti vyjádření)</w:t>
            </w:r>
          </w:p>
        </w:tc>
      </w:tr>
    </w:tbl>
    <w:p w14:paraId="41548EA1" w14:textId="77777777" w:rsidR="008849DA" w:rsidRPr="008849DA" w:rsidRDefault="008849DA" w:rsidP="00362598">
      <w:pPr>
        <w:spacing w:before="120" w:after="170"/>
        <w:ind w:right="23"/>
      </w:pPr>
      <w:r w:rsidRPr="008849DA">
        <w:t>Ve výše uvedeném zájmovém území se nachází zařízení provozované společností Severočeské vodovody a kanalizace, a. s. ve vlastnictví SVS a.s.</w:t>
      </w:r>
    </w:p>
    <w:p w14:paraId="63F080E4" w14:textId="77777777" w:rsidR="008849DA" w:rsidRPr="008849DA" w:rsidRDefault="008849DA" w:rsidP="00362598">
      <w:pPr>
        <w:spacing w:before="120" w:after="157"/>
        <w:ind w:right="23"/>
      </w:pPr>
      <w:r w:rsidRPr="008849DA">
        <w:t>Obecné technické požadavky na vodohospodářské, (dále jen VH) stavby se řídí především závaznými právními předpisy, technickými normami a na území působnosti konkrétního vlastníka VH infrastruktury se využívají „Technické standardy” schválené tímto vlastníkem a provozovatelem, které jsou k dispozici na webových stránkách majitelů infrastruktury a na webových stránkách provozovatele.</w:t>
      </w:r>
    </w:p>
    <w:p w14:paraId="1C8D92D5" w14:textId="77777777" w:rsidR="008849DA" w:rsidRPr="008849DA" w:rsidRDefault="008849DA" w:rsidP="00362598">
      <w:pPr>
        <w:spacing w:before="240" w:after="120"/>
        <w:ind w:right="23"/>
      </w:pPr>
      <w:r w:rsidRPr="008849DA">
        <w:t>Základní podmínky pro provádění vodohospodářských staveb zejména nikoliv však pouze:</w:t>
      </w:r>
      <w:r w:rsidRPr="008849DA">
        <w:rPr>
          <w:noProof/>
          <w:lang w:eastAsia="cs-CZ"/>
        </w:rPr>
        <w:drawing>
          <wp:inline distT="0" distB="0" distL="0" distR="0" wp14:anchorId="3F87500D" wp14:editId="4516D764">
            <wp:extent cx="3048" cy="3049"/>
            <wp:effectExtent l="0" t="0" r="0" b="0"/>
            <wp:docPr id="3252" name="Picture 3252"/>
            <wp:cNvGraphicFramePr/>
            <a:graphic xmlns:a="http://schemas.openxmlformats.org/drawingml/2006/main">
              <a:graphicData uri="http://schemas.openxmlformats.org/drawingml/2006/picture">
                <pic:pic xmlns:pic="http://schemas.openxmlformats.org/drawingml/2006/picture">
                  <pic:nvPicPr>
                    <pic:cNvPr id="3252" name="Picture 3252"/>
                    <pic:cNvPicPr/>
                  </pic:nvPicPr>
                  <pic:blipFill>
                    <a:blip r:embed="rId59"/>
                    <a:stretch>
                      <a:fillRect/>
                    </a:stretch>
                  </pic:blipFill>
                  <pic:spPr>
                    <a:xfrm>
                      <a:off x="0" y="0"/>
                      <a:ext cx="3048" cy="3049"/>
                    </a:xfrm>
                    <a:prstGeom prst="rect">
                      <a:avLst/>
                    </a:prstGeom>
                  </pic:spPr>
                </pic:pic>
              </a:graphicData>
            </a:graphic>
          </wp:inline>
        </w:drawing>
      </w:r>
    </w:p>
    <w:p w14:paraId="7E46AD59" w14:textId="77777777" w:rsidR="008849DA" w:rsidRPr="008849DA" w:rsidRDefault="008849DA" w:rsidP="00362598">
      <w:pPr>
        <w:numPr>
          <w:ilvl w:val="0"/>
          <w:numId w:val="113"/>
        </w:numPr>
        <w:spacing w:before="120" w:line="226" w:lineRule="auto"/>
        <w:ind w:left="567" w:right="23" w:hanging="567"/>
      </w:pPr>
      <w:r w:rsidRPr="008849DA">
        <w:t xml:space="preserve">U stávajících sítí ve správě Severočeských vodovodů a kanalizací, a.s. je nutno respektovat ochranná pásma (dle zák. č.274/2001 Sb. v platném znění S23 odst. 3,5 kdy je stavebník povinen dodržet ochranná pásma u vodovodních řadů a kanalizačních stok do průměru 500 mm včetně 1,5 m, nad průměr 500 mm 2,5 m od vnějšího líce stěny potrubí na každou stranu, u vodovodních řadů nebo kanalizačních stok o průměru nad 200 mm, jejichž dno je uloženo v </w:t>
      </w:r>
      <w:r w:rsidRPr="008849DA">
        <w:rPr>
          <w:noProof/>
          <w:lang w:eastAsia="cs-CZ"/>
        </w:rPr>
        <w:drawing>
          <wp:inline distT="0" distB="0" distL="0" distR="0" wp14:anchorId="1851FAE9" wp14:editId="1C137F7C">
            <wp:extent cx="3049" cy="3049"/>
            <wp:effectExtent l="0" t="0" r="0" b="0"/>
            <wp:docPr id="3253" name="Picture 3253"/>
            <wp:cNvGraphicFramePr/>
            <a:graphic xmlns:a="http://schemas.openxmlformats.org/drawingml/2006/main">
              <a:graphicData uri="http://schemas.openxmlformats.org/drawingml/2006/picture">
                <pic:pic xmlns:pic="http://schemas.openxmlformats.org/drawingml/2006/picture">
                  <pic:nvPicPr>
                    <pic:cNvPr id="3253" name="Picture 3253"/>
                    <pic:cNvPicPr/>
                  </pic:nvPicPr>
                  <pic:blipFill>
                    <a:blip r:embed="rId60"/>
                    <a:stretch>
                      <a:fillRect/>
                    </a:stretch>
                  </pic:blipFill>
                  <pic:spPr>
                    <a:xfrm>
                      <a:off x="0" y="0"/>
                      <a:ext cx="3049" cy="3049"/>
                    </a:xfrm>
                    <a:prstGeom prst="rect">
                      <a:avLst/>
                    </a:prstGeom>
                  </pic:spPr>
                </pic:pic>
              </a:graphicData>
            </a:graphic>
          </wp:inline>
        </w:drawing>
      </w:r>
      <w:r w:rsidRPr="008849DA">
        <w:t>hloubce větší než 2,5 m pod upraveným povrchem, se vzdálenosti od vnějšího líce zvyšují 0 1,0 m), ochranná pásma musí zůstat nezastavěná a trvale přístupná pro provoz a údržbu.</w:t>
      </w:r>
    </w:p>
    <w:p w14:paraId="78752378" w14:textId="77777777" w:rsidR="008849DA" w:rsidRPr="008849DA" w:rsidRDefault="008849DA" w:rsidP="00362598">
      <w:pPr>
        <w:numPr>
          <w:ilvl w:val="0"/>
          <w:numId w:val="113"/>
        </w:numPr>
        <w:spacing w:before="120" w:line="226" w:lineRule="auto"/>
        <w:ind w:left="567" w:right="23" w:hanging="567"/>
      </w:pPr>
      <w:r w:rsidRPr="008849DA">
        <w:t xml:space="preserve">Případná opatření k odstranění technické nemožnosti napojení dalších odběratelů či související vodohospodářské infrastruktury na stávající vodohospodářskou infrastrukturu (dále jen VHI) ve správě Severočeských vodovodů a kanalizací, a.s. (zkapacitnění sítí a objektů včetně jejich zařízení, opatření k úpravě tlakových poměrů, atp.) je nutné projednat a odsouhlasit s vlastníkem VHI, kterým je Severočeská vodárenská společnost a.s. (kontaktní osobou je v těchto případech oblastní provozní inspektor: Viktor Pokorný, e-mail </w:t>
      </w:r>
      <w:r w:rsidRPr="008849DA">
        <w:rPr>
          <w:u w:val="single" w:color="000000"/>
        </w:rPr>
        <w:t>viktor.pokorny@svs.cz</w:t>
      </w:r>
      <w:r w:rsidRPr="008849DA">
        <w:t xml:space="preserve">, mobil 724 027 721). </w:t>
      </w:r>
      <w:r w:rsidRPr="008849DA">
        <w:rPr>
          <w:u w:val="single" w:color="000000"/>
        </w:rPr>
        <w:t>Náklady spojené s těmito opatřeními nese vždy subjekt, jehož požadavky tuto potřebu vyvolaly. Podkladem k takovému projednání s vlastníkem VHI je vždy stanovisko provozovatele k navrhovanému opatření.</w:t>
      </w:r>
    </w:p>
    <w:p w14:paraId="40DEA16A" w14:textId="77777777" w:rsidR="008849DA" w:rsidRPr="008849DA" w:rsidRDefault="008849DA" w:rsidP="00362598">
      <w:pPr>
        <w:numPr>
          <w:ilvl w:val="0"/>
          <w:numId w:val="113"/>
        </w:numPr>
        <w:spacing w:before="120" w:line="226" w:lineRule="auto"/>
        <w:ind w:left="567" w:right="23" w:hanging="567"/>
      </w:pPr>
      <w:r w:rsidRPr="008849DA">
        <w:t xml:space="preserve">Ve všech případech, kde se jedná o </w:t>
      </w:r>
      <w:r w:rsidRPr="008849DA">
        <w:rPr>
          <w:u w:val="single" w:color="000000"/>
        </w:rPr>
        <w:t xml:space="preserve">přeložku </w:t>
      </w:r>
      <w:r w:rsidRPr="008849DA">
        <w:t>stávajícího zařízení ve vlastnictví SVS (významné zařízení SVS), se se svou Žádostí obracejte na příslušného provozního inspektora Viktora Pokorného (</w:t>
      </w:r>
      <w:r w:rsidRPr="008849DA">
        <w:rPr>
          <w:u w:val="single" w:color="000000"/>
        </w:rPr>
        <w:t>viktor.pokorny@svs.cz</w:t>
      </w:r>
      <w:r w:rsidRPr="008849DA">
        <w:t>), který je oprávněn za SVS v této věci jednat.</w:t>
      </w:r>
    </w:p>
    <w:p w14:paraId="21167449" w14:textId="77777777" w:rsidR="008849DA" w:rsidRPr="008849DA" w:rsidRDefault="008849DA" w:rsidP="00362598">
      <w:pPr>
        <w:spacing w:before="240" w:after="120" w:line="259" w:lineRule="auto"/>
        <w:jc w:val="left"/>
      </w:pPr>
      <w:r w:rsidRPr="008849DA">
        <w:rPr>
          <w:rFonts w:eastAsia="Calibri"/>
          <w:u w:val="single" w:color="000000"/>
        </w:rPr>
        <w:t>Podmínky realizace přeložek:</w:t>
      </w:r>
    </w:p>
    <w:p w14:paraId="7577D46E" w14:textId="77777777" w:rsidR="008849DA" w:rsidRPr="008849DA" w:rsidRDefault="008849DA" w:rsidP="00362598">
      <w:pPr>
        <w:numPr>
          <w:ilvl w:val="0"/>
          <w:numId w:val="115"/>
        </w:numPr>
        <w:spacing w:before="120" w:line="226" w:lineRule="auto"/>
        <w:ind w:left="567" w:right="23" w:hanging="567"/>
      </w:pPr>
      <w:r w:rsidRPr="008849DA">
        <w:t xml:space="preserve">Žádost o </w:t>
      </w:r>
      <w:r w:rsidRPr="008849DA">
        <w:rPr>
          <w:u w:val="single" w:color="000000"/>
        </w:rPr>
        <w:t>přeložku</w:t>
      </w:r>
      <w:r w:rsidRPr="008849DA">
        <w:t xml:space="preserve"> stávajícího zařízení v majetku Severočeské vodárenské společnosti a.s. je vhodné projednat nejlépe v období bezprostředně po vydání stanoviska SčVK k možnosti napojení na předmětnou stavbu, příp. existenci zařízení ve správě SčVK, tedy žádost podat nejpozději do 30 dnů od vydání stanoviska SčVK. Příslušné formuláře jsou k dispozici na </w:t>
      </w:r>
      <w:r w:rsidRPr="008849DA">
        <w:rPr>
          <w:u w:val="single" w:color="000000"/>
        </w:rPr>
        <w:t>www.svs.cz</w:t>
      </w:r>
      <w:r w:rsidRPr="008849DA">
        <w:t>.</w:t>
      </w:r>
    </w:p>
    <w:p w14:paraId="111D7DD8" w14:textId="77777777" w:rsidR="008849DA" w:rsidRPr="008849DA" w:rsidRDefault="008849DA" w:rsidP="00362598">
      <w:pPr>
        <w:numPr>
          <w:ilvl w:val="0"/>
          <w:numId w:val="115"/>
        </w:numPr>
        <w:spacing w:before="120" w:line="226" w:lineRule="auto"/>
        <w:ind w:left="567" w:right="23" w:hanging="567"/>
      </w:pPr>
      <w:r w:rsidRPr="008849DA">
        <w:lastRenderedPageBreak/>
        <w:t xml:space="preserve">V této věci bude nejpozději před vydáním stanoviska k PD k stavebnímu řízení po projednání a odsouhlasení v majetkové komisi SVS uzavřena Smlouva o přeložce. </w:t>
      </w:r>
      <w:r w:rsidRPr="008849DA">
        <w:rPr>
          <w:u w:val="single" w:color="000000"/>
        </w:rPr>
        <w:t>Uzavření Smlouvy o přeložce je podmínkou kladného stanoviska provozovatele k PD k stavebnímu řízení</w:t>
      </w:r>
      <w:r w:rsidRPr="008849DA">
        <w:t>.</w:t>
      </w:r>
    </w:p>
    <w:p w14:paraId="337180F1" w14:textId="77777777" w:rsidR="008849DA" w:rsidRPr="008849DA" w:rsidRDefault="008849DA" w:rsidP="00362598">
      <w:pPr>
        <w:numPr>
          <w:ilvl w:val="0"/>
          <w:numId w:val="115"/>
        </w:numPr>
        <w:spacing w:before="120" w:line="226" w:lineRule="auto"/>
        <w:ind w:left="567" w:right="23" w:hanging="567"/>
      </w:pPr>
      <w:r w:rsidRPr="008849DA">
        <w:t>Podmínkou</w:t>
      </w:r>
      <w:r w:rsidRPr="008849DA">
        <w:rPr>
          <w:rFonts w:eastAsia="Calibri"/>
        </w:rPr>
        <w:t xml:space="preserve"> pro vydání kladného stanoviska k DSP jsou uzavřené budoucí smlouvy o zřízení </w:t>
      </w:r>
      <w:r w:rsidRPr="008849DA">
        <w:t xml:space="preserve">služebnosti inženýrské sítě (práva věcného břemene). V záležitostech týkajících se uzavírání smluv o </w:t>
      </w:r>
      <w:r w:rsidRPr="008849DA">
        <w:rPr>
          <w:rFonts w:eastAsia="Calibri"/>
        </w:rPr>
        <w:t>zřízení služebnosti inženýrské sítě (věcného břemene) má oprávnění za SVS jednat provozovatel vodohospodářské infrastruktury: Severočeské vodovody a kanalizace a. s. (tel. č. 840 111 111, info@scvk.cz, datová schránka: f7rf9ns).</w:t>
      </w:r>
    </w:p>
    <w:p w14:paraId="246C5D3E" w14:textId="77777777" w:rsidR="008849DA" w:rsidRPr="00362598" w:rsidRDefault="008849DA" w:rsidP="00362598">
      <w:pPr>
        <w:numPr>
          <w:ilvl w:val="0"/>
          <w:numId w:val="115"/>
        </w:numPr>
        <w:spacing w:before="120" w:line="226" w:lineRule="auto"/>
        <w:ind w:left="567" w:right="23" w:hanging="567"/>
      </w:pPr>
      <w:r w:rsidRPr="008849DA">
        <w:rPr>
          <w:rFonts w:eastAsia="Calibri"/>
        </w:rPr>
        <w:t xml:space="preserve">Před </w:t>
      </w:r>
      <w:r w:rsidRPr="008849DA">
        <w:t>zahájením</w:t>
      </w:r>
      <w:r w:rsidRPr="008849DA">
        <w:rPr>
          <w:rFonts w:eastAsia="Calibri"/>
        </w:rPr>
        <w:t xml:space="preserve"> řízení o užívání stavby (kolaudačním řízením) VH infrastruktury je nezbytné, aby investor </w:t>
      </w:r>
      <w:r w:rsidRPr="008849DA">
        <w:t xml:space="preserve">stavby uzavřel na své vlastní náklady smlouvy o zřízení služebnosti inženýrské sítě (práva věcného břemene) ve prospěch SVS jako oprávněného, a to ve všech případech, kde liniová a s nimi související VH </w:t>
      </w:r>
      <w:r w:rsidRPr="008849DA">
        <w:rPr>
          <w:rFonts w:eastAsia="Calibri"/>
        </w:rPr>
        <w:t xml:space="preserve">zařízení leží na pozemcích, které nejsou ve vlastnictví SVS (či požadovaném budoucím vlastnictví </w:t>
      </w:r>
      <w:r w:rsidRPr="00362598">
        <w:rPr>
          <w:rFonts w:eastAsia="Calibri"/>
        </w:rPr>
        <w:t xml:space="preserve">SVS — </w:t>
      </w:r>
      <w:r w:rsidRPr="00362598">
        <w:t>nadzemní objekty a objekty v oplocení) dle pokynů provozovatele.</w:t>
      </w:r>
    </w:p>
    <w:p w14:paraId="6C41D622" w14:textId="77777777" w:rsidR="008849DA" w:rsidRPr="00362598" w:rsidRDefault="008849DA" w:rsidP="00362598">
      <w:pPr>
        <w:numPr>
          <w:ilvl w:val="0"/>
          <w:numId w:val="115"/>
        </w:numPr>
        <w:spacing w:before="120" w:line="226" w:lineRule="auto"/>
        <w:ind w:left="567" w:right="23" w:hanging="567"/>
      </w:pPr>
      <w:r w:rsidRPr="00362598">
        <w:t xml:space="preserve">V rámci zahájeného řízení o užívání stavby (kolaudace) přeložky zpracuje provozovatel návrh Zápisu o </w:t>
      </w:r>
      <w:r w:rsidRPr="00362598">
        <w:rPr>
          <w:rFonts w:eastAsia="Calibri"/>
        </w:rPr>
        <w:t>předání a převzetí přeložky do majetku SVS a předá jej k odsouhlasení a podpisu investorovi a SVS.</w:t>
      </w:r>
    </w:p>
    <w:p w14:paraId="34C0C28D" w14:textId="77777777" w:rsidR="008849DA" w:rsidRPr="00362598" w:rsidRDefault="008849DA" w:rsidP="00362598">
      <w:pPr>
        <w:numPr>
          <w:ilvl w:val="0"/>
          <w:numId w:val="115"/>
        </w:numPr>
        <w:spacing w:before="120" w:line="226" w:lineRule="auto"/>
        <w:ind w:left="567" w:right="23" w:hanging="567"/>
      </w:pPr>
      <w:r w:rsidRPr="00362598">
        <w:t>Stavebník</w:t>
      </w:r>
      <w:r w:rsidRPr="00362598">
        <w:rPr>
          <w:rFonts w:eastAsia="Calibri"/>
        </w:rPr>
        <w:t xml:space="preserve"> přeložky, je povinen předat vlastníkovi vodovodu nebo kanalizace dokončenou stavbu neprodleně </w:t>
      </w:r>
      <w:r w:rsidRPr="00362598">
        <w:t>po té, co nastaly právní účinky kolaudačního souhlasu. V případě, že tak neučiní, hrozí mu pokuta dle zákona č. 274/2001 Sb. o vodovodech a kanalizacích, ve znění pozdějších předpisů, dle § 32 odst. 6 a § 33 odst. 8.</w:t>
      </w:r>
    </w:p>
    <w:p w14:paraId="61F459C9" w14:textId="77777777" w:rsidR="008849DA" w:rsidRPr="00362598" w:rsidRDefault="008849DA" w:rsidP="00362598">
      <w:pPr>
        <w:numPr>
          <w:ilvl w:val="0"/>
          <w:numId w:val="115"/>
        </w:numPr>
        <w:spacing w:before="120" w:line="226" w:lineRule="auto"/>
        <w:ind w:left="567" w:right="23" w:hanging="567"/>
      </w:pPr>
      <w:r w:rsidRPr="00362598">
        <w:t>Náklady</w:t>
      </w:r>
      <w:r w:rsidRPr="00362598">
        <w:rPr>
          <w:rFonts w:eastAsia="Calibri"/>
        </w:rPr>
        <w:t xml:space="preserve"> na zřízení nových přípojek nebo jejich prodloužení jsou vyvolány změnou trasy vodovodu nebo kanalizace a budou hrazeny osobou, která změnu trasy vodovodu a nebo kanalizace vyvolala.</w:t>
      </w:r>
    </w:p>
    <w:p w14:paraId="1402B63D" w14:textId="77777777" w:rsidR="008849DA" w:rsidRPr="00362598" w:rsidRDefault="008849DA" w:rsidP="00362598">
      <w:pPr>
        <w:spacing w:before="120" w:after="216" w:line="216" w:lineRule="auto"/>
        <w:jc w:val="left"/>
      </w:pPr>
      <w:r w:rsidRPr="00362598">
        <w:rPr>
          <w:u w:val="single" w:color="000000"/>
        </w:rPr>
        <w:t>Popis navrženého řešení:</w:t>
      </w:r>
    </w:p>
    <w:p w14:paraId="4715FB2E" w14:textId="77777777" w:rsidR="008849DA" w:rsidRPr="00362598" w:rsidRDefault="008849DA" w:rsidP="00362598">
      <w:pPr>
        <w:spacing w:before="120" w:after="154"/>
        <w:ind w:right="23"/>
      </w:pPr>
      <w:r w:rsidRPr="00362598">
        <w:t>Obsahem dokumentace je návrh nového územního plánu města Hrádek nad Nisou a jeho částí Donín, Loučná, Oldřichov na Hranicích, Václavice, Uhelná, Dolní Suchá, Dolní Sedlo a Horní Sedlo.</w:t>
      </w:r>
      <w:r w:rsidRPr="00362598">
        <w:rPr>
          <w:noProof/>
          <w:lang w:eastAsia="cs-CZ"/>
        </w:rPr>
        <w:drawing>
          <wp:inline distT="0" distB="0" distL="0" distR="0" wp14:anchorId="330E6C6C" wp14:editId="4B6243CD">
            <wp:extent cx="3048" cy="3048"/>
            <wp:effectExtent l="0" t="0" r="0" b="0"/>
            <wp:docPr id="7790" name="Picture 7790"/>
            <wp:cNvGraphicFramePr/>
            <a:graphic xmlns:a="http://schemas.openxmlformats.org/drawingml/2006/main">
              <a:graphicData uri="http://schemas.openxmlformats.org/drawingml/2006/picture">
                <pic:pic xmlns:pic="http://schemas.openxmlformats.org/drawingml/2006/picture">
                  <pic:nvPicPr>
                    <pic:cNvPr id="7790" name="Picture 7790"/>
                    <pic:cNvPicPr/>
                  </pic:nvPicPr>
                  <pic:blipFill>
                    <a:blip r:embed="rId61"/>
                    <a:stretch>
                      <a:fillRect/>
                    </a:stretch>
                  </pic:blipFill>
                  <pic:spPr>
                    <a:xfrm>
                      <a:off x="0" y="0"/>
                      <a:ext cx="3048" cy="3048"/>
                    </a:xfrm>
                    <a:prstGeom prst="rect">
                      <a:avLst/>
                    </a:prstGeom>
                  </pic:spPr>
                </pic:pic>
              </a:graphicData>
            </a:graphic>
          </wp:inline>
        </w:drawing>
      </w:r>
    </w:p>
    <w:p w14:paraId="3151F651" w14:textId="77777777" w:rsidR="008849DA" w:rsidRPr="00362598" w:rsidRDefault="008849DA" w:rsidP="00362598">
      <w:pPr>
        <w:spacing w:before="120" w:after="216" w:line="216" w:lineRule="auto"/>
        <w:jc w:val="left"/>
      </w:pPr>
      <w:r w:rsidRPr="00362598">
        <w:rPr>
          <w:u w:val="single" w:color="000000"/>
        </w:rPr>
        <w:t>Lokalita: město Hrádek nad Nisou k.ú. Hrádek nad Nisou Donín u Hrádku nad Nisou Loučná Oldřichov na Hranicích, Václavice u Hrádku nad Nisou, Dolní Suchá u Chotyně, Dolní Sedlo, Horní Sedlo</w:t>
      </w:r>
    </w:p>
    <w:p w14:paraId="30635CC4" w14:textId="77777777" w:rsidR="008849DA" w:rsidRPr="00362598" w:rsidRDefault="008849DA" w:rsidP="00362598">
      <w:pPr>
        <w:numPr>
          <w:ilvl w:val="0"/>
          <w:numId w:val="114"/>
        </w:numPr>
        <w:spacing w:before="120" w:after="10" w:line="226" w:lineRule="auto"/>
        <w:ind w:left="567" w:right="23" w:hanging="502"/>
      </w:pPr>
      <w:r w:rsidRPr="00362598">
        <w:t>Předložený územní plán řeší rozvoj území města, ochranu a rozvoj přírodních hodnot území, ochranu a rozvoj kulturních hodnot území a ochranu a rozvoj civilizačních hodnot území, a to v rámci celého území města Hrádek nad Nisou a jeho částí.</w:t>
      </w:r>
    </w:p>
    <w:p w14:paraId="6EEA8EC9" w14:textId="77777777" w:rsidR="008849DA" w:rsidRPr="00362598" w:rsidRDefault="008849DA" w:rsidP="00362598">
      <w:pPr>
        <w:numPr>
          <w:ilvl w:val="0"/>
          <w:numId w:val="114"/>
        </w:numPr>
        <w:spacing w:before="120" w:after="10" w:line="226" w:lineRule="auto"/>
        <w:ind w:left="567" w:right="23" w:hanging="502"/>
      </w:pPr>
      <w:r w:rsidRPr="00362598">
        <w:t>Předložený územní plán stanovuje rozvoj vodovodní a kanalizační soustavy realizovat v souladu s plánem rozvoje vodovodů a kanalizací Libereckého kraje a nevymezuje trasy připojení a rozvodů vodovodních řadů a kanalizačních stok. Tyto trasy budou upřesňovány v rámci podrobnějších projektových dokumentací.</w:t>
      </w:r>
    </w:p>
    <w:p w14:paraId="126D6810" w14:textId="77777777" w:rsidR="008849DA" w:rsidRPr="00362598" w:rsidRDefault="008849DA" w:rsidP="00362598">
      <w:pPr>
        <w:spacing w:before="120" w:line="226" w:lineRule="auto"/>
        <w:ind w:right="23"/>
      </w:pPr>
      <w:r w:rsidRPr="00362598">
        <w:t>S předloženým návrhem územního plánu — zásobování pitnou vodou v dané lokalitě k.ú. Hrádek nad Nisou, Donín u Hrádku nad Nisou, Loučná, Oldřichov na Hranicích, Václavice u Hrádku nad Nisou, Dolní Suchá u Chotyně, Dolní Sedlo a Horní Sedlo souhlasíme za dodržení následujících podmínek:</w:t>
      </w:r>
    </w:p>
    <w:p w14:paraId="0A3DE078" w14:textId="77777777" w:rsidR="008849DA" w:rsidRPr="00362598" w:rsidRDefault="008849DA" w:rsidP="00362598">
      <w:pPr>
        <w:numPr>
          <w:ilvl w:val="1"/>
          <w:numId w:val="114"/>
        </w:numPr>
        <w:spacing w:before="120" w:line="226" w:lineRule="auto"/>
        <w:ind w:left="567" w:right="23" w:hanging="567"/>
      </w:pPr>
      <w:r w:rsidRPr="00362598">
        <w:t>Budou dodržena ochranná pásma stávající ČOV Hrádek nad Nisou, hlavních vodovodních řadů a kanalizačních stok a ochranná pásma vodních zdrojů - OPVZ I., II. a III. stupně.</w:t>
      </w:r>
    </w:p>
    <w:p w14:paraId="02D906FB" w14:textId="77777777" w:rsidR="008849DA" w:rsidRPr="008849DA" w:rsidRDefault="008849DA" w:rsidP="00362598">
      <w:pPr>
        <w:numPr>
          <w:ilvl w:val="1"/>
          <w:numId w:val="114"/>
        </w:numPr>
        <w:spacing w:before="120" w:line="226" w:lineRule="auto"/>
        <w:ind w:left="567" w:right="23" w:hanging="567"/>
      </w:pPr>
      <w:r w:rsidRPr="00362598">
        <w:t>Případná opatření k odstranění technické nemožnosti napojení dalších odběratelů či související vodohospodářské infrastruktury na stávající vodohospodářskou infrastrukturu (dále jen VHI) ve správě Severočeských</w:t>
      </w:r>
      <w:r w:rsidRPr="008849DA">
        <w:t xml:space="preserve"> vodovodů a kanalizací, as. (zkapacitnění sítí a objektů včetně jejich zařízení, opatření k úpravě tlakových poměrů, atp.) je nutné projednat a odsouhlasit s vlastníkem VHI, kterým je Severočeská vodárenská společnost a.s. Náklady spojené s těmito opatřeními nese vždy subjekt, jehož požadavky tuto potřebu vyvolaly.</w:t>
      </w:r>
    </w:p>
    <w:p w14:paraId="5AED852D" w14:textId="77777777" w:rsidR="008849DA" w:rsidRPr="008849DA" w:rsidRDefault="008849DA" w:rsidP="00362598">
      <w:pPr>
        <w:numPr>
          <w:ilvl w:val="1"/>
          <w:numId w:val="114"/>
        </w:numPr>
        <w:spacing w:before="120" w:line="226" w:lineRule="auto"/>
        <w:ind w:left="567" w:right="23" w:hanging="567"/>
      </w:pPr>
      <w:r w:rsidRPr="008849DA">
        <w:t>Podkladem k projednání s vlastníkem VHI je nutné vždy stanovisko provozovatele k navrhovanému opatření.</w:t>
      </w:r>
    </w:p>
    <w:p w14:paraId="39A686B8" w14:textId="77777777" w:rsidR="00446993" w:rsidRDefault="00446993">
      <w:pPr>
        <w:spacing w:line="240" w:lineRule="auto"/>
        <w:jc w:val="left"/>
        <w:rPr>
          <w:b/>
          <w:i/>
          <w:u w:val="single"/>
        </w:rPr>
      </w:pPr>
      <w:r>
        <w:rPr>
          <w:b/>
          <w:i/>
          <w:u w:val="single"/>
        </w:rPr>
        <w:br w:type="page"/>
      </w:r>
    </w:p>
    <w:p w14:paraId="651AFFD1" w14:textId="789CFD18" w:rsidR="008849DA" w:rsidRPr="008849DA" w:rsidRDefault="008849DA" w:rsidP="00362598">
      <w:pPr>
        <w:spacing w:before="240" w:line="247" w:lineRule="auto"/>
        <w:ind w:right="215"/>
        <w:rPr>
          <w:b/>
          <w:i/>
          <w:u w:val="single"/>
        </w:rPr>
      </w:pPr>
      <w:r w:rsidRPr="008849DA">
        <w:rPr>
          <w:b/>
          <w:i/>
          <w:u w:val="single"/>
        </w:rPr>
        <w:lastRenderedPageBreak/>
        <w:t xml:space="preserve"> Vyhodnocení připomínky: </w:t>
      </w:r>
    </w:p>
    <w:p w14:paraId="57D4D80E" w14:textId="77777777" w:rsidR="008849DA" w:rsidRPr="008849DA" w:rsidRDefault="008849DA" w:rsidP="00362598">
      <w:pPr>
        <w:spacing w:before="120"/>
        <w:rPr>
          <w:b/>
          <w:i/>
        </w:rPr>
      </w:pPr>
      <w:r w:rsidRPr="008849DA">
        <w:rPr>
          <w:b/>
          <w:i/>
        </w:rPr>
        <w:t>Pořizovatel ve spolupráci s určeným zastupitelem a projektantem posoudil uplatněnou připomínku a po důkladném prověření došel k závěru že, připomínka obsahuje požadavky, které vyplývají z příslušných právních předpisů, které jsou také podrobněji uvedeny v kapitole 6.7.4</w:t>
      </w:r>
      <w:r w:rsidRPr="008849DA">
        <w:rPr>
          <w:b/>
        </w:rPr>
        <w:t xml:space="preserve"> (</w:t>
      </w:r>
      <w:r w:rsidRPr="008849DA">
        <w:rPr>
          <w:b/>
          <w:i/>
        </w:rPr>
        <w:t>Základní koncepce ochrany a rozvoje civilizačních hodnot) textové části odůvodnění Návrhu Územního plánu Hrádek nad Nisou a týkají se samotného umisťování a povolování staveb. V příslušných textových částech a výkresech Návrhu Územního plánu Hrádek nad Nisou jsou zapracována ochranná pásma vodohospodářských staveb, přičemž podatel nedoložil žádné skutečnosti, že by tomu tak nebylo.</w:t>
      </w:r>
    </w:p>
    <w:p w14:paraId="1B7176D7" w14:textId="77777777" w:rsidR="008849DA" w:rsidRPr="008849DA" w:rsidRDefault="008849DA" w:rsidP="00362598">
      <w:pPr>
        <w:spacing w:before="120"/>
        <w:rPr>
          <w:b/>
          <w:bCs/>
          <w:i/>
        </w:rPr>
      </w:pPr>
      <w:r w:rsidRPr="008849DA">
        <w:rPr>
          <w:b/>
          <w:i/>
        </w:rPr>
        <w:t>T</w:t>
      </w:r>
      <w:r w:rsidRPr="008849DA">
        <w:rPr>
          <w:b/>
          <w:bCs/>
          <w:i/>
        </w:rPr>
        <w:t>uto připomínku považuje pořizovatel za bezpředmětnou pro pořizování</w:t>
      </w:r>
      <w:r w:rsidRPr="008849DA">
        <w:rPr>
          <w:b/>
          <w:i/>
        </w:rPr>
        <w:t xml:space="preserve"> </w:t>
      </w:r>
      <w:r w:rsidRPr="008849DA">
        <w:rPr>
          <w:b/>
          <w:bCs/>
          <w:i/>
        </w:rPr>
        <w:t xml:space="preserve">Návrhu Územního plánu Hrádek nad Nisou a konstatuje, že všechny podmínky uvedené v připomínce jsou splněny. </w:t>
      </w:r>
    </w:p>
    <w:p w14:paraId="37E5017D" w14:textId="77777777" w:rsidR="008849DA" w:rsidRPr="008849DA" w:rsidRDefault="008849DA" w:rsidP="00362598"/>
    <w:p w14:paraId="3CA6D194" w14:textId="77777777" w:rsidR="0059000C" w:rsidRPr="008849DA" w:rsidRDefault="0059000C" w:rsidP="00FC237B">
      <w:pPr>
        <w:spacing w:before="120" w:line="240" w:lineRule="auto"/>
        <w:ind w:right="71"/>
        <w:rPr>
          <w:b/>
          <w:i/>
          <w:iCs/>
        </w:rPr>
      </w:pPr>
    </w:p>
    <w:p w14:paraId="66C3023D" w14:textId="77777777" w:rsidR="00C4394D" w:rsidRPr="008849DA" w:rsidRDefault="00C4394D" w:rsidP="00C4394D">
      <w:pPr>
        <w:spacing w:before="120"/>
        <w:ind w:left="425"/>
        <w:jc w:val="center"/>
        <w:rPr>
          <w:i/>
        </w:rPr>
      </w:pPr>
    </w:p>
    <w:p w14:paraId="6239D871" w14:textId="77777777" w:rsidR="00C4394D" w:rsidRPr="008849DA" w:rsidRDefault="00C4394D" w:rsidP="00C4394D">
      <w:pPr>
        <w:spacing w:before="120"/>
        <w:ind w:left="425"/>
        <w:rPr>
          <w:b/>
          <w:i/>
          <w:highlight w:val="yellow"/>
        </w:rPr>
      </w:pPr>
    </w:p>
    <w:p w14:paraId="603151AC" w14:textId="77777777" w:rsidR="00C4394D" w:rsidRPr="008849DA" w:rsidRDefault="00C4394D" w:rsidP="00C4394D">
      <w:pPr>
        <w:spacing w:before="120"/>
        <w:ind w:left="425"/>
        <w:rPr>
          <w:b/>
          <w:i/>
        </w:rPr>
      </w:pPr>
    </w:p>
    <w:p w14:paraId="5F171F88" w14:textId="77777777" w:rsidR="00C4394D" w:rsidRPr="008849DA" w:rsidRDefault="00C4394D" w:rsidP="00C4394D">
      <w:pPr>
        <w:spacing w:before="120"/>
        <w:ind w:left="425"/>
        <w:rPr>
          <w:b/>
          <w:i/>
        </w:rPr>
      </w:pPr>
    </w:p>
    <w:p w14:paraId="15217B67" w14:textId="77777777" w:rsidR="00C4394D" w:rsidRPr="008849DA" w:rsidRDefault="00C4394D" w:rsidP="00C4394D">
      <w:pPr>
        <w:spacing w:before="120"/>
        <w:ind w:left="425"/>
        <w:rPr>
          <w:b/>
          <w:i/>
        </w:rPr>
      </w:pPr>
    </w:p>
    <w:p w14:paraId="4087CD79" w14:textId="77777777" w:rsidR="00C4394D" w:rsidRPr="008849DA" w:rsidRDefault="00C4394D" w:rsidP="00C4394D">
      <w:pPr>
        <w:spacing w:before="120"/>
        <w:ind w:left="425"/>
        <w:rPr>
          <w:b/>
          <w:i/>
        </w:rPr>
      </w:pPr>
    </w:p>
    <w:p w14:paraId="34E2777F" w14:textId="77777777" w:rsidR="00C4394D" w:rsidRPr="008849DA" w:rsidRDefault="00C4394D" w:rsidP="00C4394D">
      <w:pPr>
        <w:spacing w:before="120"/>
        <w:ind w:left="425"/>
        <w:rPr>
          <w:b/>
          <w:i/>
        </w:rPr>
      </w:pPr>
    </w:p>
    <w:p w14:paraId="6F0F031F" w14:textId="77777777" w:rsidR="00C4394D" w:rsidRPr="008849DA" w:rsidRDefault="00C4394D" w:rsidP="00C4394D"/>
    <w:p w14:paraId="2DF7C11C" w14:textId="77777777" w:rsidR="00C4394D" w:rsidRPr="008849DA" w:rsidRDefault="00C4394D" w:rsidP="00A857E6">
      <w:pPr>
        <w:rPr>
          <w:lang w:val="nl-NL"/>
        </w:rPr>
      </w:pPr>
    </w:p>
    <w:p w14:paraId="14B82AF6" w14:textId="77777777" w:rsidR="00A857E6" w:rsidRPr="008849DA" w:rsidRDefault="00A857E6" w:rsidP="00352126">
      <w:pPr>
        <w:spacing w:before="60" w:after="60" w:line="240" w:lineRule="auto"/>
        <w:rPr>
          <w:rFonts w:cs="Arial"/>
        </w:rPr>
      </w:pPr>
    </w:p>
    <w:sectPr w:rsidR="00A857E6" w:rsidRPr="008849DA" w:rsidSect="00D977BD">
      <w:pgSz w:w="11909" w:h="16834" w:code="9"/>
      <w:pgMar w:top="1701" w:right="1419" w:bottom="1418" w:left="1418"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BE9CC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E1EBAC" w14:textId="77777777" w:rsidR="00A06EB9" w:rsidRDefault="00A06EB9">
      <w:r>
        <w:separator/>
      </w:r>
    </w:p>
  </w:endnote>
  <w:endnote w:type="continuationSeparator" w:id="0">
    <w:p w14:paraId="6C7CD36B" w14:textId="77777777" w:rsidR="00A06EB9" w:rsidRDefault="00A06E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imes">
    <w:panose1 w:val="02020603050405020304"/>
    <w:charset w:val="EE"/>
    <w:family w:val="roman"/>
    <w:pitch w:val="variable"/>
    <w:sig w:usb0="E0002AFF" w:usb1="C0007841"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10006FF" w:usb1="4000205B" w:usb2="00000010" w:usb3="00000000" w:csb0="0000019F" w:csb1="00000000"/>
  </w:font>
  <w:font w:name="Avalon">
    <w:altName w:val="Times New Roman"/>
    <w:charset w:val="EE"/>
    <w:family w:val="roman"/>
    <w:pitch w:val="variable"/>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EE"/>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64F5EF" w14:textId="77777777" w:rsidR="00A06EB9" w:rsidRPr="009D4282" w:rsidRDefault="00A06EB9" w:rsidP="007F18DA">
    <w:pPr>
      <w:pStyle w:val="Footer"/>
      <w:ind w:right="360"/>
      <w:rPr>
        <w:color w:val="333333"/>
      </w:rPr>
    </w:pPr>
    <w:r w:rsidRPr="00A002D8">
      <w:rPr>
        <w:rStyle w:val="PageNumber"/>
        <w:color w:val="333333"/>
      </w:rPr>
      <w:fldChar w:fldCharType="begin"/>
    </w:r>
    <w:r w:rsidRPr="00A002D8">
      <w:rPr>
        <w:rStyle w:val="PageNumber"/>
        <w:color w:val="333333"/>
      </w:rPr>
      <w:instrText xml:space="preserve"> PAGE </w:instrText>
    </w:r>
    <w:r w:rsidRPr="00A002D8">
      <w:rPr>
        <w:rStyle w:val="PageNumber"/>
        <w:color w:val="333333"/>
      </w:rPr>
      <w:fldChar w:fldCharType="separate"/>
    </w:r>
    <w:r>
      <w:rPr>
        <w:rStyle w:val="PageNumber"/>
        <w:noProof/>
        <w:color w:val="333333"/>
      </w:rPr>
      <w:t>2</w:t>
    </w:r>
    <w:r w:rsidRPr="00A002D8">
      <w:rPr>
        <w:rStyle w:val="PageNumber"/>
        <w:color w:val="333333"/>
      </w:rPr>
      <w:fldChar w:fldCharType="end"/>
    </w:r>
    <w:r>
      <w:rPr>
        <w:rStyle w:val="PageNumber"/>
        <w:color w:val="333333"/>
      </w:rPr>
      <w:tab/>
    </w:r>
    <w:r>
      <w:rPr>
        <w:rStyle w:val="PageNumber"/>
        <w:color w:val="333333"/>
      </w:rPr>
      <w:tab/>
    </w:r>
    <w:r w:rsidRPr="00FC21F7">
      <w:rPr>
        <w:color w:val="333333"/>
        <w:sz w:val="18"/>
        <w:szCs w:val="18"/>
      </w:rPr>
      <w:t>© DHV CR, spol. s r.o., 2010</w:t>
    </w:r>
    <w:r>
      <w:rPr>
        <w:color w:val="333333"/>
        <w:sz w:val="18"/>
        <w:szCs w:val="18"/>
      </w:rPr>
      <w:t xml:space="preserve"> - 2011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05484" w14:textId="77777777" w:rsidR="00A06EB9" w:rsidRDefault="00A06EB9">
    <w:pPr>
      <w:pStyle w:val="Footer"/>
      <w:jc w:val="center"/>
    </w:pPr>
  </w:p>
  <w:p w14:paraId="28D7299D" w14:textId="77777777" w:rsidR="00A06EB9" w:rsidRPr="00AB6DE9" w:rsidRDefault="00A06EB9" w:rsidP="00AB6DE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430AF" w14:textId="77777777" w:rsidR="00A06EB9" w:rsidRPr="00AB6DE9" w:rsidRDefault="00A06EB9" w:rsidP="00AB6DE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8256156"/>
      <w:docPartObj>
        <w:docPartGallery w:val="Page Numbers (Bottom of Page)"/>
        <w:docPartUnique/>
      </w:docPartObj>
    </w:sdtPr>
    <w:sdtEndPr>
      <w:rPr>
        <w:noProof/>
        <w:color w:val="808080" w:themeColor="background1" w:themeShade="80"/>
        <w:sz w:val="20"/>
        <w:szCs w:val="20"/>
      </w:rPr>
    </w:sdtEndPr>
    <w:sdtContent>
      <w:p w14:paraId="74DF6A99" w14:textId="77777777" w:rsidR="00A06EB9" w:rsidRPr="00D71F9E" w:rsidRDefault="00A06EB9">
        <w:pPr>
          <w:pStyle w:val="Footer"/>
          <w:jc w:val="center"/>
          <w:rPr>
            <w:color w:val="808080" w:themeColor="background1" w:themeShade="80"/>
            <w:sz w:val="20"/>
            <w:szCs w:val="20"/>
          </w:rPr>
        </w:pPr>
        <w:r w:rsidRPr="00D71F9E">
          <w:rPr>
            <w:color w:val="808080" w:themeColor="background1" w:themeShade="80"/>
            <w:sz w:val="20"/>
            <w:szCs w:val="20"/>
          </w:rPr>
          <w:fldChar w:fldCharType="begin"/>
        </w:r>
        <w:r w:rsidRPr="00D71F9E">
          <w:rPr>
            <w:color w:val="808080" w:themeColor="background1" w:themeShade="80"/>
            <w:sz w:val="20"/>
            <w:szCs w:val="20"/>
          </w:rPr>
          <w:instrText xml:space="preserve"> PAGE   \* MERGEFORMAT </w:instrText>
        </w:r>
        <w:r w:rsidRPr="00D71F9E">
          <w:rPr>
            <w:color w:val="808080" w:themeColor="background1" w:themeShade="80"/>
            <w:sz w:val="20"/>
            <w:szCs w:val="20"/>
          </w:rPr>
          <w:fldChar w:fldCharType="separate"/>
        </w:r>
        <w:r w:rsidR="00B567E6">
          <w:rPr>
            <w:noProof/>
            <w:color w:val="808080" w:themeColor="background1" w:themeShade="80"/>
            <w:sz w:val="20"/>
            <w:szCs w:val="20"/>
          </w:rPr>
          <w:t>4</w:t>
        </w:r>
        <w:r w:rsidRPr="00D71F9E">
          <w:rPr>
            <w:noProof/>
            <w:color w:val="808080" w:themeColor="background1" w:themeShade="80"/>
            <w:sz w:val="20"/>
            <w:szCs w:val="20"/>
          </w:rPr>
          <w:fldChar w:fldCharType="end"/>
        </w:r>
      </w:p>
    </w:sdtContent>
  </w:sdt>
  <w:p w14:paraId="3A0964FF" w14:textId="77777777" w:rsidR="00A06EB9" w:rsidRPr="00AB6DE9" w:rsidRDefault="00A06EB9" w:rsidP="00AB6DE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z w:val="20"/>
        <w:szCs w:val="20"/>
      </w:rPr>
      <w:id w:val="-790595108"/>
      <w:docPartObj>
        <w:docPartGallery w:val="Page Numbers (Bottom of Page)"/>
        <w:docPartUnique/>
      </w:docPartObj>
    </w:sdtPr>
    <w:sdtEndPr>
      <w:rPr>
        <w:noProof/>
      </w:rPr>
    </w:sdtEndPr>
    <w:sdtContent>
      <w:p w14:paraId="2B23064F" w14:textId="77777777" w:rsidR="00A06EB9" w:rsidRPr="00D71F9E" w:rsidRDefault="00A06EB9">
        <w:pPr>
          <w:pStyle w:val="Footer"/>
          <w:jc w:val="center"/>
          <w:rPr>
            <w:color w:val="808080" w:themeColor="background1" w:themeShade="80"/>
            <w:sz w:val="20"/>
            <w:szCs w:val="20"/>
          </w:rPr>
        </w:pPr>
        <w:r w:rsidRPr="00D71F9E">
          <w:rPr>
            <w:color w:val="808080" w:themeColor="background1" w:themeShade="80"/>
            <w:sz w:val="20"/>
            <w:szCs w:val="20"/>
          </w:rPr>
          <w:fldChar w:fldCharType="begin"/>
        </w:r>
        <w:r w:rsidRPr="00D71F9E">
          <w:rPr>
            <w:color w:val="808080" w:themeColor="background1" w:themeShade="80"/>
            <w:sz w:val="20"/>
            <w:szCs w:val="20"/>
          </w:rPr>
          <w:instrText xml:space="preserve"> PAGE   \* MERGEFORMAT </w:instrText>
        </w:r>
        <w:r w:rsidRPr="00D71F9E">
          <w:rPr>
            <w:color w:val="808080" w:themeColor="background1" w:themeShade="80"/>
            <w:sz w:val="20"/>
            <w:szCs w:val="20"/>
          </w:rPr>
          <w:fldChar w:fldCharType="separate"/>
        </w:r>
        <w:r w:rsidR="00B567E6">
          <w:rPr>
            <w:noProof/>
            <w:color w:val="808080" w:themeColor="background1" w:themeShade="80"/>
            <w:sz w:val="20"/>
            <w:szCs w:val="20"/>
          </w:rPr>
          <w:t>2</w:t>
        </w:r>
        <w:r w:rsidRPr="00D71F9E">
          <w:rPr>
            <w:noProof/>
            <w:color w:val="808080" w:themeColor="background1" w:themeShade="80"/>
            <w:sz w:val="20"/>
            <w:szCs w:val="20"/>
          </w:rPr>
          <w:fldChar w:fldCharType="end"/>
        </w:r>
      </w:p>
    </w:sdtContent>
  </w:sdt>
  <w:p w14:paraId="79B5BF37" w14:textId="77777777" w:rsidR="00A06EB9" w:rsidRPr="00AB6DE9" w:rsidRDefault="00A06EB9" w:rsidP="00AB6DE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05825E" w14:textId="77777777" w:rsidR="00A06EB9" w:rsidRDefault="00A06EB9">
      <w:r>
        <w:separator/>
      </w:r>
    </w:p>
  </w:footnote>
  <w:footnote w:type="continuationSeparator" w:id="0">
    <w:p w14:paraId="0DFB7009" w14:textId="77777777" w:rsidR="00A06EB9" w:rsidRDefault="00A06EB9">
      <w:r>
        <w:continuationSeparator/>
      </w:r>
    </w:p>
  </w:footnote>
  <w:footnote w:id="1">
    <w:p w14:paraId="4DB96F8A" w14:textId="77777777" w:rsidR="00A06EB9" w:rsidRDefault="00A06EB9">
      <w:pPr>
        <w:pStyle w:val="FootnoteText"/>
      </w:pPr>
      <w:r>
        <w:rPr>
          <w:rStyle w:val="FootnoteReference"/>
        </w:rPr>
        <w:footnoteRef/>
      </w:r>
      <w:r>
        <w:t xml:space="preserve"> </w:t>
      </w:r>
      <w:r w:rsidRPr="00CE58C0">
        <w:rPr>
          <w:rFonts w:cs="Tahoma"/>
          <w:color w:val="000000"/>
          <w:shd w:val="clear" w:color="auto" w:fill="FFFFFF"/>
        </w:rPr>
        <w:t>http://web.muhradek.cz/dpp/</w:t>
      </w:r>
    </w:p>
  </w:footnote>
  <w:footnote w:id="2">
    <w:p w14:paraId="5DF8DB1F" w14:textId="77777777" w:rsidR="00A06EB9" w:rsidRDefault="00A06EB9" w:rsidP="0019194E">
      <w:pPr>
        <w:pStyle w:val="FootnoteText"/>
      </w:pPr>
      <w:r w:rsidRPr="00265987">
        <w:rPr>
          <w:rStyle w:val="FootnoteReference"/>
        </w:rPr>
        <w:footnoteRef/>
      </w:r>
      <w:r w:rsidRPr="00265987">
        <w:t xml:space="preserve"> </w:t>
      </w:r>
      <w:r w:rsidRPr="00D50CDE">
        <w:t>dle Evidence územně plánovací činnosti iLAS ke d</w:t>
      </w:r>
      <w:r>
        <w:t>ni 2.12</w:t>
      </w:r>
      <w:r w:rsidRPr="00D50CDE">
        <w:t>.2016</w:t>
      </w:r>
    </w:p>
  </w:footnote>
  <w:footnote w:id="3">
    <w:p w14:paraId="2EFB13DF" w14:textId="77777777" w:rsidR="00A06EB9" w:rsidRDefault="00A06EB9" w:rsidP="004764EF">
      <w:pPr>
        <w:pStyle w:val="FootnoteText"/>
        <w:spacing w:after="0"/>
      </w:pPr>
      <w:r w:rsidRPr="004764EF">
        <w:rPr>
          <w:rStyle w:val="FootnoteReference"/>
        </w:rPr>
        <w:footnoteRef/>
      </w:r>
      <w:r>
        <w:t xml:space="preserve"> Zdroj: informace Městského úřadu Hrádek nad Nisou, k 2.11.2018</w:t>
      </w:r>
    </w:p>
  </w:footnote>
  <w:footnote w:id="4">
    <w:p w14:paraId="71362328" w14:textId="77777777" w:rsidR="00A06EB9" w:rsidRPr="00D07C1A" w:rsidRDefault="00A06EB9" w:rsidP="00CF1E38">
      <w:pPr>
        <w:pStyle w:val="FootnoteText"/>
      </w:pPr>
      <w:r w:rsidRPr="00D07C1A">
        <w:rPr>
          <w:rStyle w:val="FootnoteReference"/>
        </w:rPr>
        <w:footnoteRef/>
      </w:r>
      <w:r w:rsidRPr="00D07C1A">
        <w:t xml:space="preserve"> Zdroj: ČSÚ Libereckého kraje</w:t>
      </w:r>
    </w:p>
  </w:footnote>
  <w:footnote w:id="5">
    <w:p w14:paraId="44EFAADE" w14:textId="77777777" w:rsidR="00A06EB9" w:rsidRDefault="00A06EB9" w:rsidP="00D95069">
      <w:pPr>
        <w:pStyle w:val="FootnoteText"/>
      </w:pPr>
      <w:r w:rsidRPr="00321D30">
        <w:rPr>
          <w:rStyle w:val="FootnoteReference"/>
        </w:rPr>
        <w:footnoteRef/>
      </w:r>
      <w:r w:rsidRPr="00321D30">
        <w:t xml:space="preserve"> </w:t>
      </w:r>
      <w:r w:rsidRPr="00321D30">
        <w:rPr>
          <w:sz w:val="18"/>
          <w:szCs w:val="18"/>
        </w:rPr>
        <w:t xml:space="preserve">dle dokumentace právního stavu ÚPSÚ Hrádek nad Nisou dostupné na </w:t>
      </w:r>
      <w:hyperlink r:id="rId1" w:history="1">
        <w:r w:rsidRPr="00321D30">
          <w:rPr>
            <w:rStyle w:val="Hyperlink"/>
            <w:sz w:val="18"/>
            <w:szCs w:val="18"/>
          </w:rPr>
          <w:t>http://marushkapub.liberec.cz</w:t>
        </w:r>
      </w:hyperlink>
      <w:r w:rsidRPr="00321D30">
        <w:rPr>
          <w:sz w:val="18"/>
          <w:szCs w:val="18"/>
        </w:rPr>
        <w:t>, ke dni 27.2.2017</w:t>
      </w:r>
    </w:p>
  </w:footnote>
  <w:footnote w:id="6">
    <w:p w14:paraId="397AF1DF" w14:textId="77777777" w:rsidR="00A06EB9" w:rsidRDefault="00A06EB9" w:rsidP="00BA2B09">
      <w:pPr>
        <w:pStyle w:val="FootnoteText"/>
      </w:pPr>
      <w:r>
        <w:rPr>
          <w:rStyle w:val="FootnoteReference"/>
        </w:rPr>
        <w:footnoteRef/>
      </w:r>
      <w:r>
        <w:t xml:space="preserve"> Dostupné z: </w:t>
      </w:r>
      <w:hyperlink r:id="rId2" w:history="1">
        <w:r w:rsidRPr="00D82EF7">
          <w:rPr>
            <w:rStyle w:val="Hyperlink"/>
          </w:rPr>
          <w:t>http://www.apko.cz/aplikace/index.html</w:t>
        </w:r>
      </w:hyperlink>
      <w:r>
        <w:t xml:space="preserve"> </w:t>
      </w:r>
    </w:p>
  </w:footnote>
  <w:footnote w:id="7">
    <w:p w14:paraId="3C9DCF14" w14:textId="77777777" w:rsidR="00A06EB9" w:rsidRDefault="00A06EB9">
      <w:pPr>
        <w:pStyle w:val="FootnoteText"/>
      </w:pPr>
      <w:r w:rsidRPr="00CB15A2">
        <w:rPr>
          <w:rStyle w:val="FootnoteReference"/>
        </w:rPr>
        <w:footnoteRef/>
      </w:r>
      <w:r>
        <w:t xml:space="preserve"> </w:t>
      </w:r>
      <w:r w:rsidRPr="00CB15A2">
        <w:rPr>
          <w:sz w:val="18"/>
          <w:szCs w:val="18"/>
        </w:rPr>
        <w:t>metodický postup autorů Vorel a kol. (2006)</w:t>
      </w:r>
    </w:p>
  </w:footnote>
  <w:footnote w:id="8">
    <w:p w14:paraId="0D1E0EA8" w14:textId="77777777" w:rsidR="00A06EB9" w:rsidRDefault="00A06EB9">
      <w:pPr>
        <w:pStyle w:val="FootnoteText"/>
      </w:pPr>
      <w:r w:rsidRPr="00B7067A">
        <w:rPr>
          <w:rStyle w:val="FootnoteReference"/>
        </w:rPr>
        <w:footnoteRef/>
      </w:r>
      <w:r>
        <w:t xml:space="preserve"> Analýza možností podpory hydrologických funkcí krajiny - povodí Václavického potoka (Agentura regionálního rozvoje, spol. s r.o., 9-11/2017)</w:t>
      </w:r>
    </w:p>
  </w:footnote>
  <w:footnote w:id="9">
    <w:p w14:paraId="5524F515" w14:textId="77777777" w:rsidR="00A06EB9" w:rsidRPr="00F3177D" w:rsidRDefault="00A06EB9" w:rsidP="006A2611">
      <w:pPr>
        <w:pStyle w:val="FootnoteText"/>
        <w:rPr>
          <w:rFonts w:cs="Arial"/>
        </w:rPr>
      </w:pPr>
      <w:r w:rsidRPr="006A2611">
        <w:rPr>
          <w:rStyle w:val="FootnoteReference"/>
          <w:rFonts w:ascii="Arial Narrow" w:hAnsi="Arial Narrow" w:cs="Arial"/>
          <w:iCs/>
          <w:sz w:val="18"/>
          <w:szCs w:val="18"/>
        </w:rPr>
        <w:footnoteRef/>
      </w:r>
      <w:r w:rsidRPr="0032499E">
        <w:rPr>
          <w:rFonts w:cs="Arial"/>
          <w:i/>
          <w:color w:val="FF0000"/>
          <w:sz w:val="18"/>
          <w:szCs w:val="18"/>
        </w:rPr>
        <w:t xml:space="preserve"> </w:t>
      </w:r>
      <w:r w:rsidRPr="0032499E">
        <w:rPr>
          <w:rFonts w:cs="Arial"/>
          <w:sz w:val="18"/>
          <w:szCs w:val="18"/>
        </w:rPr>
        <w:t>ČSÚ, SLDB</w:t>
      </w:r>
    </w:p>
  </w:footnote>
  <w:footnote w:id="10">
    <w:p w14:paraId="05DB0D5C" w14:textId="77777777" w:rsidR="00A06EB9" w:rsidRPr="001758AE" w:rsidRDefault="00A06EB9" w:rsidP="001758AE">
      <w:pPr>
        <w:pStyle w:val="FootnoteText"/>
        <w:spacing w:after="0"/>
        <w:ind w:left="154" w:hanging="154"/>
      </w:pPr>
      <w:r w:rsidRPr="001758AE">
        <w:rPr>
          <w:rStyle w:val="FootnoteReference"/>
          <w:rFonts w:ascii="Arial Narrow" w:hAnsi="Arial Narrow"/>
        </w:rPr>
        <w:footnoteRef/>
      </w:r>
      <w:r w:rsidRPr="001758AE">
        <w:rPr>
          <w:color w:val="00B050"/>
        </w:rPr>
        <w:t xml:space="preserve"> </w:t>
      </w:r>
      <w:r w:rsidRPr="00E83FB4">
        <w:rPr>
          <w:sz w:val="18"/>
          <w:szCs w:val="18"/>
        </w:rPr>
        <w:t>Prognózování celkové potřeby bytů v současných podmínkách ekonomické recese (IRI, RNDr. Michal Polednik, Ing. arch. Michal Hladač)</w:t>
      </w:r>
    </w:p>
  </w:footnote>
  <w:footnote w:id="11">
    <w:p w14:paraId="3F9C3706" w14:textId="77777777" w:rsidR="00A06EB9" w:rsidRPr="001758AE" w:rsidRDefault="00A06EB9" w:rsidP="001758AE">
      <w:pPr>
        <w:pStyle w:val="FootnoteText"/>
        <w:spacing w:after="0" w:line="264" w:lineRule="auto"/>
        <w:ind w:left="153" w:hanging="153"/>
      </w:pPr>
      <w:r w:rsidRPr="001758AE">
        <w:rPr>
          <w:rStyle w:val="FootnoteReference"/>
          <w:rFonts w:ascii="Arial Narrow" w:hAnsi="Arial Narrow"/>
        </w:rPr>
        <w:footnoteRef/>
      </w:r>
      <w:r w:rsidRPr="001758AE">
        <w:rPr>
          <w:color w:val="FF0000"/>
        </w:rPr>
        <w:t xml:space="preserve"> </w:t>
      </w:r>
      <w:r w:rsidRPr="001758AE">
        <w:tab/>
      </w:r>
      <w:r w:rsidRPr="00E83FB4">
        <w:rPr>
          <w:sz w:val="18"/>
          <w:szCs w:val="18"/>
        </w:rPr>
        <w:t>Vybrané údaje o bydlení 2011 (publikace MMR a ÚÚR, 2012)</w:t>
      </w:r>
    </w:p>
  </w:footnote>
  <w:footnote w:id="12">
    <w:p w14:paraId="66F7A849" w14:textId="77777777" w:rsidR="00A06EB9" w:rsidRPr="001758AE" w:rsidRDefault="00A06EB9" w:rsidP="001758AE">
      <w:pPr>
        <w:pStyle w:val="FootnoteText"/>
        <w:spacing w:after="0"/>
      </w:pPr>
      <w:r w:rsidRPr="001758AE">
        <w:rPr>
          <w:rStyle w:val="FootnoteReference"/>
          <w:rFonts w:ascii="Arial Narrow" w:hAnsi="Arial Narrow"/>
        </w:rPr>
        <w:footnoteRef/>
      </w:r>
      <w:r w:rsidRPr="001758AE">
        <w:t xml:space="preserve"> </w:t>
      </w:r>
      <w:r w:rsidRPr="00E83FB4">
        <w:rPr>
          <w:sz w:val="18"/>
          <w:szCs w:val="18"/>
        </w:rPr>
        <w:t>zdroj: ÚP Hrádek nad Nisou - průzkumy a rozbory  (Haskoning DHVCzech Republic, spol. s.r.o., 02/2017)</w:t>
      </w:r>
    </w:p>
  </w:footnote>
  <w:footnote w:id="13">
    <w:p w14:paraId="45FFE0D2" w14:textId="77777777" w:rsidR="00A06EB9" w:rsidRPr="001758AE" w:rsidRDefault="00A06EB9" w:rsidP="001758AE">
      <w:pPr>
        <w:pStyle w:val="FootnoteText"/>
        <w:spacing w:after="0"/>
        <w:rPr>
          <w:rFonts w:cs="Arial"/>
        </w:rPr>
      </w:pPr>
      <w:r w:rsidRPr="001758AE">
        <w:rPr>
          <w:rStyle w:val="FootnoteReference"/>
          <w:rFonts w:ascii="Arial Narrow" w:hAnsi="Arial Narrow" w:cs="Arial"/>
          <w:iCs/>
        </w:rPr>
        <w:footnoteRef/>
      </w:r>
      <w:r w:rsidRPr="001758AE">
        <w:rPr>
          <w:rFonts w:cs="Arial"/>
          <w:i/>
          <w:color w:val="FF0000"/>
        </w:rPr>
        <w:t xml:space="preserve"> </w:t>
      </w:r>
      <w:r w:rsidRPr="00E83FB4">
        <w:rPr>
          <w:rFonts w:cs="Arial"/>
          <w:sz w:val="18"/>
          <w:szCs w:val="18"/>
        </w:rPr>
        <w:t>SLDB 2011</w:t>
      </w:r>
    </w:p>
  </w:footnote>
  <w:footnote w:id="14">
    <w:p w14:paraId="0460AC23" w14:textId="77777777" w:rsidR="00A06EB9" w:rsidRPr="001758AE" w:rsidRDefault="00A06EB9" w:rsidP="001758AE">
      <w:pPr>
        <w:pStyle w:val="Poznamkapodcarou"/>
        <w:spacing w:before="0"/>
        <w:rPr>
          <w:rFonts w:ascii="Arial Narrow" w:hAnsi="Arial Narrow"/>
          <w:sz w:val="20"/>
          <w:highlight w:val="yellow"/>
        </w:rPr>
      </w:pPr>
      <w:r w:rsidRPr="001758AE">
        <w:rPr>
          <w:rStyle w:val="FootnoteReference"/>
          <w:rFonts w:ascii="Arial Narrow" w:hAnsi="Arial Narrow" w:cs="Arial"/>
        </w:rPr>
        <w:footnoteRef/>
      </w:r>
      <w:r w:rsidRPr="001758AE">
        <w:rPr>
          <w:rFonts w:ascii="Arial Narrow" w:hAnsi="Arial Narrow"/>
          <w:color w:val="FF0000"/>
          <w:sz w:val="20"/>
        </w:rPr>
        <w:t xml:space="preserve"> </w:t>
      </w:r>
      <w:r w:rsidRPr="00E83FB4">
        <w:rPr>
          <w:rFonts w:ascii="Arial Narrow" w:hAnsi="Arial Narrow"/>
          <w:sz w:val="18"/>
          <w:szCs w:val="18"/>
        </w:rPr>
        <w:t>Modelová města: města v ORP Liberec ve stejné velikostní kategorii (6,0 – 9,0 tis. obyvatel) – Chrastava, Frýdlant</w:t>
      </w:r>
    </w:p>
  </w:footnote>
  <w:footnote w:id="15">
    <w:p w14:paraId="0BB87802" w14:textId="77777777" w:rsidR="00A06EB9" w:rsidRPr="008B5658" w:rsidRDefault="00A06EB9" w:rsidP="00C45DF8">
      <w:pPr>
        <w:pStyle w:val="Poznamkapodcarou"/>
        <w:spacing w:before="0"/>
        <w:rPr>
          <w:rFonts w:ascii="Arial Narrow" w:hAnsi="Arial Narrow"/>
        </w:rPr>
      </w:pPr>
      <w:r w:rsidRPr="008B5658">
        <w:rPr>
          <w:rStyle w:val="FootnoteReference"/>
          <w:rFonts w:ascii="Arial Narrow" w:hAnsi="Arial Narrow"/>
          <w:sz w:val="18"/>
        </w:rPr>
        <w:footnoteRef/>
      </w:r>
      <w:r w:rsidRPr="008B5658">
        <w:rPr>
          <w:rFonts w:ascii="Arial Narrow" w:hAnsi="Arial Narrow"/>
          <w:i/>
          <w:color w:val="FF0000"/>
        </w:rPr>
        <w:t xml:space="preserve"> </w:t>
      </w:r>
      <w:r w:rsidRPr="00E83FB4">
        <w:rPr>
          <w:rFonts w:ascii="Arial Narrow" w:hAnsi="Arial Narrow"/>
          <w:sz w:val="18"/>
          <w:szCs w:val="18"/>
        </w:rPr>
        <w:t>Modelová města: města v ORP Liberec ve stejné velikostní kategorii (6,0 – 9,0 tis. obyvatel) – Chrastava, Frýdlant</w:t>
      </w:r>
    </w:p>
  </w:footnote>
  <w:footnote w:id="16">
    <w:p w14:paraId="3EE0AE88" w14:textId="77777777" w:rsidR="00A06EB9" w:rsidRDefault="00A06EB9">
      <w:pPr>
        <w:pStyle w:val="FootnoteText"/>
      </w:pPr>
      <w:r w:rsidRPr="008B5658">
        <w:rPr>
          <w:rStyle w:val="FootnoteReference"/>
          <w:rFonts w:ascii="Arial Narrow" w:hAnsi="Arial Narrow"/>
        </w:rPr>
        <w:footnoteRef/>
      </w:r>
      <w:r>
        <w:t xml:space="preserve"> </w:t>
      </w:r>
      <w:r w:rsidRPr="00E83FB4">
        <w:rPr>
          <w:sz w:val="18"/>
          <w:szCs w:val="18"/>
        </w:rPr>
        <w:t>ÚAP ORP Liberec – 4. aktualizace 2016</w:t>
      </w:r>
    </w:p>
  </w:footnote>
  <w:footnote w:id="17">
    <w:p w14:paraId="4C946E06" w14:textId="77777777" w:rsidR="00A06EB9" w:rsidRDefault="00A06EB9" w:rsidP="00F13913">
      <w:pPr>
        <w:pStyle w:val="FootnoteText"/>
      </w:pPr>
      <w:r w:rsidRPr="00F13913">
        <w:rPr>
          <w:rStyle w:val="FootnoteReference"/>
          <w:rFonts w:ascii="Arial Narrow" w:hAnsi="Arial Narrow"/>
        </w:rPr>
        <w:footnoteRef/>
      </w:r>
      <w:r>
        <w:t xml:space="preserve"> výměra pouze části plochy, která se zachází na zemědělské půdě</w:t>
      </w:r>
    </w:p>
  </w:footnote>
  <w:footnote w:id="18">
    <w:p w14:paraId="754DB51E" w14:textId="77777777" w:rsidR="00A06EB9" w:rsidRDefault="00A06EB9" w:rsidP="00D56E8E">
      <w:pPr>
        <w:pStyle w:val="FootnoteText"/>
        <w:spacing w:after="0"/>
      </w:pPr>
      <w:r w:rsidRPr="00D56E8E">
        <w:rPr>
          <w:rStyle w:val="FootnoteReference"/>
          <w:rFonts w:ascii="Arial Narrow" w:hAnsi="Arial Narrow"/>
        </w:rPr>
        <w:footnoteRef/>
      </w:r>
      <w:r>
        <w:t xml:space="preserve"> zdroj: ÚAP ORP Liberec 2016 (data předaná VÚMOZ)</w:t>
      </w:r>
    </w:p>
  </w:footnote>
  <w:footnote w:id="19">
    <w:p w14:paraId="412A310A" w14:textId="77777777" w:rsidR="00A06EB9" w:rsidRDefault="00A06EB9" w:rsidP="00D56E8E">
      <w:pPr>
        <w:pStyle w:val="FootnoteText"/>
        <w:spacing w:after="0"/>
      </w:pPr>
      <w:r w:rsidRPr="00D56E8E">
        <w:rPr>
          <w:rStyle w:val="FootnoteReference"/>
          <w:rFonts w:ascii="Arial Narrow" w:hAnsi="Arial Narrow"/>
        </w:rPr>
        <w:footnoteRef/>
      </w:r>
      <w:r>
        <w:t xml:space="preserve"> zdroj: ÚAP ORP Liberec 2016 (data předaná VÚMOZ)</w:t>
      </w:r>
    </w:p>
  </w:footnote>
  <w:footnote w:id="20">
    <w:p w14:paraId="0AA83144" w14:textId="77777777" w:rsidR="00A06EB9" w:rsidRDefault="00A06EB9" w:rsidP="00864C32">
      <w:pPr>
        <w:pStyle w:val="FootnoteText"/>
        <w:spacing w:after="0"/>
      </w:pPr>
      <w:r w:rsidRPr="00D56E8E">
        <w:rPr>
          <w:rStyle w:val="FootnoteReference"/>
          <w:rFonts w:ascii="Arial Narrow" w:hAnsi="Arial Narrow"/>
        </w:rPr>
        <w:footnoteRef/>
      </w:r>
      <w:r>
        <w:t xml:space="preserve"> </w:t>
      </w:r>
      <w:r w:rsidRPr="00DA7292">
        <w:rPr>
          <w:sz w:val="18"/>
          <w:szCs w:val="18"/>
        </w:rPr>
        <w:t>zdroj: ÚAP ORP Liberec 2016 (data předaná VÚMOZ)</w:t>
      </w:r>
    </w:p>
  </w:footnote>
  <w:footnote w:id="21">
    <w:p w14:paraId="7176AF01" w14:textId="77777777" w:rsidR="00A06EB9" w:rsidRDefault="00A06EB9">
      <w:pPr>
        <w:pStyle w:val="FootnoteText"/>
      </w:pPr>
      <w:r w:rsidRPr="00D56E8E">
        <w:rPr>
          <w:rStyle w:val="FootnoteReference"/>
          <w:rFonts w:ascii="Arial Narrow" w:hAnsi="Arial Narrow"/>
        </w:rPr>
        <w:footnoteRef/>
      </w:r>
      <w:r w:rsidRPr="00D56E8E">
        <w:rPr>
          <w:color w:val="FF0000"/>
        </w:rPr>
        <w:t xml:space="preserve"> </w:t>
      </w:r>
      <w:r w:rsidRPr="00755109">
        <w:rPr>
          <w:sz w:val="18"/>
          <w:szCs w:val="18"/>
        </w:rPr>
        <w:t>zdroj: ÚAP ORP Liberec 2016 (data předaná VÚMOZ)</w:t>
      </w:r>
    </w:p>
  </w:footnote>
  <w:footnote w:id="22">
    <w:p w14:paraId="7124A721" w14:textId="77777777" w:rsidR="00A06EB9" w:rsidRDefault="00A06EB9" w:rsidP="00E57ACF">
      <w:pPr>
        <w:pStyle w:val="FootnoteText"/>
        <w:spacing w:after="0"/>
      </w:pPr>
      <w:r w:rsidRPr="00D56E8E">
        <w:rPr>
          <w:rStyle w:val="FootnoteReference"/>
          <w:rFonts w:ascii="Arial Narrow" w:hAnsi="Arial Narrow"/>
        </w:rPr>
        <w:footnoteRef/>
      </w:r>
      <w:r w:rsidRPr="00D56E8E">
        <w:rPr>
          <w:color w:val="FF0000"/>
        </w:rPr>
        <w:t xml:space="preserve"> </w:t>
      </w:r>
      <w:r w:rsidRPr="00DF046B">
        <w:rPr>
          <w:sz w:val="18"/>
          <w:szCs w:val="18"/>
        </w:rPr>
        <w:t>zdroj: ÚAP ORP Liberec 2016 (data předaná VÚMOZ)</w:t>
      </w:r>
    </w:p>
  </w:footnote>
  <w:footnote w:id="23">
    <w:p w14:paraId="262CA13D" w14:textId="77777777" w:rsidR="00A06EB9" w:rsidRDefault="00A06EB9" w:rsidP="00E57ACF">
      <w:pPr>
        <w:pStyle w:val="FootnoteText"/>
        <w:spacing w:after="0"/>
      </w:pPr>
      <w:r w:rsidRPr="00D56E8E">
        <w:rPr>
          <w:rStyle w:val="FootnoteReference"/>
          <w:rFonts w:ascii="Arial Narrow" w:hAnsi="Arial Narrow"/>
        </w:rPr>
        <w:footnoteRef/>
      </w:r>
      <w:r w:rsidRPr="00D56E8E">
        <w:rPr>
          <w:color w:val="FF0000"/>
        </w:rPr>
        <w:t xml:space="preserve"> </w:t>
      </w:r>
      <w:r w:rsidRPr="00DF046B">
        <w:rPr>
          <w:sz w:val="18"/>
          <w:szCs w:val="18"/>
        </w:rPr>
        <w:t>zdroj: ÚAP ORP Liberec 2016 (data předaná VÚMOZ)</w:t>
      </w:r>
    </w:p>
  </w:footnote>
  <w:footnote w:id="24">
    <w:p w14:paraId="19326B91" w14:textId="77777777" w:rsidR="00A06EB9" w:rsidRPr="00DF046B" w:rsidRDefault="00A06EB9">
      <w:pPr>
        <w:pStyle w:val="FootnoteText"/>
        <w:rPr>
          <w:sz w:val="18"/>
          <w:szCs w:val="18"/>
        </w:rPr>
      </w:pPr>
      <w:r w:rsidRPr="00DF046B">
        <w:rPr>
          <w:rStyle w:val="FootnoteReference"/>
          <w:rFonts w:ascii="Arial Narrow" w:hAnsi="Arial Narrow"/>
          <w:sz w:val="18"/>
          <w:szCs w:val="18"/>
        </w:rPr>
        <w:footnoteRef/>
      </w:r>
      <w:r w:rsidRPr="00DF046B">
        <w:rPr>
          <w:sz w:val="18"/>
          <w:szCs w:val="18"/>
        </w:rPr>
        <w:t xml:space="preserve"> zdroj: ÚAP ORP Liberec 2016 (data předaná VÚMOZ)</w:t>
      </w:r>
    </w:p>
  </w:footnote>
  <w:footnote w:id="25">
    <w:p w14:paraId="3E555B50" w14:textId="77777777" w:rsidR="00A06EB9" w:rsidRDefault="00A06EB9">
      <w:pPr>
        <w:pStyle w:val="FootnoteText"/>
      </w:pPr>
      <w:r w:rsidRPr="00D56E8E">
        <w:rPr>
          <w:rStyle w:val="FootnoteReference"/>
          <w:rFonts w:ascii="Arial Narrow" w:hAnsi="Arial Narrow"/>
        </w:rPr>
        <w:footnoteRef/>
      </w:r>
      <w:r w:rsidRPr="00D56E8E">
        <w:rPr>
          <w:color w:val="FF0000"/>
        </w:rPr>
        <w:t xml:space="preserve"> </w:t>
      </w:r>
      <w:r w:rsidRPr="00DF046B">
        <w:rPr>
          <w:sz w:val="18"/>
          <w:szCs w:val="18"/>
        </w:rPr>
        <w:t>zdroj: ÚAP ORP Liberec 2016 (data předaná VÚMOZ)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6769EA" w14:textId="77777777" w:rsidR="00A06EB9" w:rsidRDefault="00A06EB9" w:rsidP="007F18DA">
    <w:pPr>
      <w:spacing w:after="60"/>
      <w:ind w:right="480"/>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2CAF4" w14:textId="77777777" w:rsidR="00A06EB9" w:rsidRPr="007F050A" w:rsidRDefault="00A06EB9" w:rsidP="007F050A">
    <w:pPr>
      <w:pStyle w:val="1text"/>
      <w:jc w:val="center"/>
      <w:rPr>
        <w:sz w:val="20"/>
      </w:rPr>
    </w:pPr>
    <w:r w:rsidRPr="007F050A">
      <w:rPr>
        <w:sz w:val="20"/>
      </w:rPr>
      <w:t>Ú</w:t>
    </w:r>
    <w:r>
      <w:rPr>
        <w:sz w:val="20"/>
      </w:rPr>
      <w:t>ZEMNÍ PLÁN</w:t>
    </w:r>
    <w:r w:rsidRPr="007F050A">
      <w:rPr>
        <w:sz w:val="20"/>
      </w:rPr>
      <w:t xml:space="preserve"> </w:t>
    </w:r>
    <w:r>
      <w:rPr>
        <w:sz w:val="20"/>
      </w:rPr>
      <w:t>HRÁDEK NAD NISOU</w:t>
    </w:r>
  </w:p>
  <w:p w14:paraId="2A60A48B" w14:textId="77777777" w:rsidR="00A06EB9" w:rsidRPr="007F050A" w:rsidRDefault="00A06EB9" w:rsidP="007F050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F670B9" w14:textId="77777777" w:rsidR="00A06EB9" w:rsidRDefault="00A06EB9" w:rsidP="008F539B">
    <w:pPr>
      <w:pStyle w:val="Header"/>
      <w:tabs>
        <w:tab w:val="clear" w:pos="8640"/>
        <w:tab w:val="right" w:pos="9540"/>
      </w:tabs>
      <w:jc w:val="left"/>
      <w:rPr>
        <w:bCs/>
        <w:color w:val="333333"/>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9BE40" w14:textId="5DA06716" w:rsidR="00A06EB9" w:rsidRPr="00A9758D" w:rsidRDefault="00A06EB9" w:rsidP="00112987">
    <w:pPr>
      <w:pStyle w:val="Header"/>
      <w:tabs>
        <w:tab w:val="clear" w:pos="8640"/>
        <w:tab w:val="right" w:pos="9072"/>
      </w:tabs>
      <w:jc w:val="center"/>
      <w:rPr>
        <w:color w:val="333333"/>
        <w:sz w:val="20"/>
        <w:szCs w:val="20"/>
      </w:rPr>
    </w:pPr>
  </w:p>
  <w:p w14:paraId="53A45A2A" w14:textId="77777777" w:rsidR="00A06EB9" w:rsidRDefault="00A06EB9" w:rsidP="008F539B">
    <w:pPr>
      <w:pStyle w:val="Header"/>
      <w:tabs>
        <w:tab w:val="clear" w:pos="8640"/>
        <w:tab w:val="right" w:pos="9540"/>
      </w:tabs>
      <w:jc w:val="left"/>
      <w:rPr>
        <w:bCs/>
        <w:color w:val="333333"/>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63"/>
        </w:tabs>
        <w:ind w:left="369" w:hanging="432"/>
      </w:pPr>
    </w:lvl>
    <w:lvl w:ilvl="1">
      <w:start w:val="1"/>
      <w:numFmt w:val="none"/>
      <w:suff w:val="nothing"/>
      <w:lvlText w:val=""/>
      <w:lvlJc w:val="left"/>
      <w:pPr>
        <w:tabs>
          <w:tab w:val="num" w:pos="-63"/>
        </w:tabs>
        <w:ind w:left="513" w:hanging="576"/>
      </w:pPr>
    </w:lvl>
    <w:lvl w:ilvl="2">
      <w:start w:val="1"/>
      <w:numFmt w:val="none"/>
      <w:suff w:val="nothing"/>
      <w:lvlText w:val=""/>
      <w:lvlJc w:val="left"/>
      <w:pPr>
        <w:tabs>
          <w:tab w:val="num" w:pos="-63"/>
        </w:tabs>
        <w:ind w:left="657" w:hanging="720"/>
      </w:pPr>
    </w:lvl>
    <w:lvl w:ilvl="3">
      <w:start w:val="1"/>
      <w:numFmt w:val="none"/>
      <w:suff w:val="nothing"/>
      <w:lvlText w:val=""/>
      <w:lvlJc w:val="left"/>
      <w:pPr>
        <w:tabs>
          <w:tab w:val="num" w:pos="-63"/>
        </w:tabs>
        <w:ind w:left="801" w:hanging="864"/>
      </w:pPr>
    </w:lvl>
    <w:lvl w:ilvl="4">
      <w:start w:val="1"/>
      <w:numFmt w:val="none"/>
      <w:suff w:val="nothing"/>
      <w:lvlText w:val=""/>
      <w:lvlJc w:val="left"/>
      <w:pPr>
        <w:tabs>
          <w:tab w:val="num" w:pos="-63"/>
        </w:tabs>
        <w:ind w:left="945" w:hanging="1008"/>
      </w:pPr>
    </w:lvl>
    <w:lvl w:ilvl="5">
      <w:start w:val="1"/>
      <w:numFmt w:val="none"/>
      <w:suff w:val="nothing"/>
      <w:lvlText w:val=""/>
      <w:lvlJc w:val="left"/>
      <w:pPr>
        <w:tabs>
          <w:tab w:val="num" w:pos="-63"/>
        </w:tabs>
        <w:ind w:left="1089" w:hanging="1152"/>
      </w:pPr>
    </w:lvl>
    <w:lvl w:ilvl="6">
      <w:start w:val="1"/>
      <w:numFmt w:val="none"/>
      <w:suff w:val="nothing"/>
      <w:lvlText w:val=""/>
      <w:lvlJc w:val="left"/>
      <w:pPr>
        <w:tabs>
          <w:tab w:val="num" w:pos="-63"/>
        </w:tabs>
        <w:ind w:left="1233" w:hanging="1296"/>
      </w:pPr>
    </w:lvl>
    <w:lvl w:ilvl="7">
      <w:start w:val="1"/>
      <w:numFmt w:val="none"/>
      <w:suff w:val="nothing"/>
      <w:lvlText w:val=""/>
      <w:lvlJc w:val="left"/>
      <w:pPr>
        <w:tabs>
          <w:tab w:val="num" w:pos="-63"/>
        </w:tabs>
        <w:ind w:left="1377" w:hanging="1440"/>
      </w:pPr>
    </w:lvl>
    <w:lvl w:ilvl="8">
      <w:start w:val="1"/>
      <w:numFmt w:val="none"/>
      <w:suff w:val="nothing"/>
      <w:lvlText w:val=""/>
      <w:lvlJc w:val="left"/>
      <w:pPr>
        <w:tabs>
          <w:tab w:val="num" w:pos="-63"/>
        </w:tabs>
        <w:ind w:left="1521" w:hanging="1584"/>
      </w:pPr>
    </w:lvl>
  </w:abstractNum>
  <w:abstractNum w:abstractNumId="1">
    <w:nsid w:val="00000002"/>
    <w:multiLevelType w:val="singleLevel"/>
    <w:tmpl w:val="00000002"/>
    <w:name w:val="WW8Num2"/>
    <w:lvl w:ilvl="0">
      <w:start w:val="1"/>
      <w:numFmt w:val="decimal"/>
      <w:pStyle w:val="StylTunZeno04b"/>
      <w:lvlText w:val="%1."/>
      <w:lvlJc w:val="left"/>
      <w:pPr>
        <w:tabs>
          <w:tab w:val="num" w:pos="2204"/>
        </w:tabs>
        <w:ind w:left="2204" w:hanging="360"/>
      </w:pPr>
    </w:lvl>
  </w:abstractNum>
  <w:abstractNum w:abstractNumId="2">
    <w:nsid w:val="00DF1816"/>
    <w:multiLevelType w:val="hybridMultilevel"/>
    <w:tmpl w:val="8D5EC574"/>
    <w:lvl w:ilvl="0" w:tplc="4D704F76">
      <w:start w:val="2"/>
      <w:numFmt w:val="bullet"/>
      <w:lvlText w:val="-"/>
      <w:lvlJc w:val="left"/>
      <w:pPr>
        <w:ind w:left="720"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18B7077"/>
    <w:multiLevelType w:val="hybridMultilevel"/>
    <w:tmpl w:val="A86EFD22"/>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1B937FD"/>
    <w:multiLevelType w:val="hybridMultilevel"/>
    <w:tmpl w:val="A21A575A"/>
    <w:lvl w:ilvl="0" w:tplc="A3325318">
      <w:start w:val="1"/>
      <w:numFmt w:val="lowerLetter"/>
      <w:lvlText w:val="%1)"/>
      <w:lvlJc w:val="left"/>
      <w:pPr>
        <w:ind w:left="720" w:hanging="360"/>
      </w:pPr>
      <w:rPr>
        <w:rFonts w:hint="default"/>
        <w:sz w:val="23"/>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02180876"/>
    <w:multiLevelType w:val="hybridMultilevel"/>
    <w:tmpl w:val="82F6BBAC"/>
    <w:lvl w:ilvl="0" w:tplc="A00A34B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33E003A"/>
    <w:multiLevelType w:val="hybridMultilevel"/>
    <w:tmpl w:val="893679F8"/>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nsid w:val="03B3245E"/>
    <w:multiLevelType w:val="hybridMultilevel"/>
    <w:tmpl w:val="A894D7F4"/>
    <w:lvl w:ilvl="0" w:tplc="2DB609FA">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0403114C"/>
    <w:multiLevelType w:val="hybridMultilevel"/>
    <w:tmpl w:val="609A805C"/>
    <w:lvl w:ilvl="0" w:tplc="233ACC30">
      <w:start w:val="1"/>
      <w:numFmt w:val="bullet"/>
      <w:pStyle w:val="Bullet3"/>
      <w:lvlText w:val="◊"/>
      <w:lvlJc w:val="left"/>
      <w:pPr>
        <w:tabs>
          <w:tab w:val="num" w:pos="1701"/>
        </w:tabs>
        <w:ind w:left="1701" w:hanging="567"/>
      </w:pPr>
      <w:rPr>
        <w:rFonts w:asci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64543A6"/>
    <w:multiLevelType w:val="hybridMultilevel"/>
    <w:tmpl w:val="D24EBB30"/>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
    <w:nsid w:val="06B75BD3"/>
    <w:multiLevelType w:val="hybridMultilevel"/>
    <w:tmpl w:val="04906B84"/>
    <w:lvl w:ilvl="0" w:tplc="04050001">
      <w:start w:val="1"/>
      <w:numFmt w:val="bullet"/>
      <w:lvlText w:val=""/>
      <w:lvlJc w:val="left"/>
      <w:pPr>
        <w:ind w:left="1015" w:hanging="360"/>
      </w:pPr>
      <w:rPr>
        <w:rFonts w:ascii="Symbol" w:hAnsi="Symbol" w:hint="default"/>
      </w:rPr>
    </w:lvl>
    <w:lvl w:ilvl="1" w:tplc="04050003" w:tentative="1">
      <w:start w:val="1"/>
      <w:numFmt w:val="bullet"/>
      <w:lvlText w:val="o"/>
      <w:lvlJc w:val="left"/>
      <w:pPr>
        <w:ind w:left="1735" w:hanging="360"/>
      </w:pPr>
      <w:rPr>
        <w:rFonts w:ascii="Courier New" w:hAnsi="Courier New" w:cs="Courier New" w:hint="default"/>
      </w:rPr>
    </w:lvl>
    <w:lvl w:ilvl="2" w:tplc="04050005" w:tentative="1">
      <w:start w:val="1"/>
      <w:numFmt w:val="bullet"/>
      <w:lvlText w:val=""/>
      <w:lvlJc w:val="left"/>
      <w:pPr>
        <w:ind w:left="2455" w:hanging="360"/>
      </w:pPr>
      <w:rPr>
        <w:rFonts w:ascii="Wingdings" w:hAnsi="Wingdings" w:hint="default"/>
      </w:rPr>
    </w:lvl>
    <w:lvl w:ilvl="3" w:tplc="04050001" w:tentative="1">
      <w:start w:val="1"/>
      <w:numFmt w:val="bullet"/>
      <w:lvlText w:val=""/>
      <w:lvlJc w:val="left"/>
      <w:pPr>
        <w:ind w:left="3175" w:hanging="360"/>
      </w:pPr>
      <w:rPr>
        <w:rFonts w:ascii="Symbol" w:hAnsi="Symbol" w:hint="default"/>
      </w:rPr>
    </w:lvl>
    <w:lvl w:ilvl="4" w:tplc="04050003" w:tentative="1">
      <w:start w:val="1"/>
      <w:numFmt w:val="bullet"/>
      <w:lvlText w:val="o"/>
      <w:lvlJc w:val="left"/>
      <w:pPr>
        <w:ind w:left="3895" w:hanging="360"/>
      </w:pPr>
      <w:rPr>
        <w:rFonts w:ascii="Courier New" w:hAnsi="Courier New" w:cs="Courier New" w:hint="default"/>
      </w:rPr>
    </w:lvl>
    <w:lvl w:ilvl="5" w:tplc="04050005" w:tentative="1">
      <w:start w:val="1"/>
      <w:numFmt w:val="bullet"/>
      <w:lvlText w:val=""/>
      <w:lvlJc w:val="left"/>
      <w:pPr>
        <w:ind w:left="4615" w:hanging="360"/>
      </w:pPr>
      <w:rPr>
        <w:rFonts w:ascii="Wingdings" w:hAnsi="Wingdings" w:hint="default"/>
      </w:rPr>
    </w:lvl>
    <w:lvl w:ilvl="6" w:tplc="04050001" w:tentative="1">
      <w:start w:val="1"/>
      <w:numFmt w:val="bullet"/>
      <w:lvlText w:val=""/>
      <w:lvlJc w:val="left"/>
      <w:pPr>
        <w:ind w:left="5335" w:hanging="360"/>
      </w:pPr>
      <w:rPr>
        <w:rFonts w:ascii="Symbol" w:hAnsi="Symbol" w:hint="default"/>
      </w:rPr>
    </w:lvl>
    <w:lvl w:ilvl="7" w:tplc="04050003" w:tentative="1">
      <w:start w:val="1"/>
      <w:numFmt w:val="bullet"/>
      <w:lvlText w:val="o"/>
      <w:lvlJc w:val="left"/>
      <w:pPr>
        <w:ind w:left="6055" w:hanging="360"/>
      </w:pPr>
      <w:rPr>
        <w:rFonts w:ascii="Courier New" w:hAnsi="Courier New" w:cs="Courier New" w:hint="default"/>
      </w:rPr>
    </w:lvl>
    <w:lvl w:ilvl="8" w:tplc="04050005" w:tentative="1">
      <w:start w:val="1"/>
      <w:numFmt w:val="bullet"/>
      <w:lvlText w:val=""/>
      <w:lvlJc w:val="left"/>
      <w:pPr>
        <w:ind w:left="6775" w:hanging="360"/>
      </w:pPr>
      <w:rPr>
        <w:rFonts w:ascii="Wingdings" w:hAnsi="Wingdings" w:hint="default"/>
      </w:rPr>
    </w:lvl>
  </w:abstractNum>
  <w:abstractNum w:abstractNumId="11">
    <w:nsid w:val="06BB5BA5"/>
    <w:multiLevelType w:val="hybridMultilevel"/>
    <w:tmpl w:val="1A268526"/>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2">
    <w:nsid w:val="097617BB"/>
    <w:multiLevelType w:val="hybridMultilevel"/>
    <w:tmpl w:val="3F12EBB2"/>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0B183C21"/>
    <w:multiLevelType w:val="hybridMultilevel"/>
    <w:tmpl w:val="0BB46706"/>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14">
    <w:nsid w:val="0B6C624E"/>
    <w:multiLevelType w:val="hybridMultilevel"/>
    <w:tmpl w:val="3306D494"/>
    <w:lvl w:ilvl="0" w:tplc="9FFAB490">
      <w:start w:val="1"/>
      <w:numFmt w:val="bullet"/>
      <w:lvlText w:val=""/>
      <w:lvlJc w:val="left"/>
      <w:pPr>
        <w:ind w:left="720" w:hanging="360"/>
      </w:pPr>
      <w:rPr>
        <w:rFonts w:ascii="Symbol" w:hAnsi="Symbol" w:hint="default"/>
        <w:b w:val="0"/>
        <w:bCs w:val="0"/>
        <w:i w:val="0"/>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0C6B0573"/>
    <w:multiLevelType w:val="hybridMultilevel"/>
    <w:tmpl w:val="6FF2180C"/>
    <w:lvl w:ilvl="0" w:tplc="FE7217BA">
      <w:start w:val="1"/>
      <w:numFmt w:val="lowerLetter"/>
      <w:lvlText w:val="(%1)"/>
      <w:lvlJc w:val="left"/>
      <w:pPr>
        <w:ind w:left="141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8280FBAA">
      <w:start w:val="1"/>
      <w:numFmt w:val="lowerLetter"/>
      <w:lvlText w:val="%2"/>
      <w:lvlJc w:val="left"/>
      <w:pPr>
        <w:ind w:left="176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68CA963E">
      <w:start w:val="1"/>
      <w:numFmt w:val="lowerRoman"/>
      <w:lvlText w:val="%3"/>
      <w:lvlJc w:val="left"/>
      <w:pPr>
        <w:ind w:left="248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4F7EF700">
      <w:start w:val="1"/>
      <w:numFmt w:val="decimal"/>
      <w:lvlText w:val="%4"/>
      <w:lvlJc w:val="left"/>
      <w:pPr>
        <w:ind w:left="320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74DEFCE2">
      <w:start w:val="1"/>
      <w:numFmt w:val="lowerLetter"/>
      <w:lvlText w:val="%5"/>
      <w:lvlJc w:val="left"/>
      <w:pPr>
        <w:ind w:left="392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12084260">
      <w:start w:val="1"/>
      <w:numFmt w:val="lowerRoman"/>
      <w:lvlText w:val="%6"/>
      <w:lvlJc w:val="left"/>
      <w:pPr>
        <w:ind w:left="464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EF202D36">
      <w:start w:val="1"/>
      <w:numFmt w:val="decimal"/>
      <w:lvlText w:val="%7"/>
      <w:lvlJc w:val="left"/>
      <w:pPr>
        <w:ind w:left="536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FD986F52">
      <w:start w:val="1"/>
      <w:numFmt w:val="lowerLetter"/>
      <w:lvlText w:val="%8"/>
      <w:lvlJc w:val="left"/>
      <w:pPr>
        <w:ind w:left="608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099851EC">
      <w:start w:val="1"/>
      <w:numFmt w:val="lowerRoman"/>
      <w:lvlText w:val="%9"/>
      <w:lvlJc w:val="left"/>
      <w:pPr>
        <w:ind w:left="680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6">
    <w:nsid w:val="0C734FCA"/>
    <w:multiLevelType w:val="hybridMultilevel"/>
    <w:tmpl w:val="89BA4C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0DA646B8"/>
    <w:multiLevelType w:val="hybridMultilevel"/>
    <w:tmpl w:val="44CCCF00"/>
    <w:lvl w:ilvl="0" w:tplc="2DB609FA">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0E8A6736"/>
    <w:multiLevelType w:val="hybridMultilevel"/>
    <w:tmpl w:val="6882B306"/>
    <w:lvl w:ilvl="0" w:tplc="FFFFFFFF">
      <w:start w:val="1"/>
      <w:numFmt w:val="lowerLetter"/>
      <w:pStyle w:val="List2"/>
      <w:lvlText w:val="%1)"/>
      <w:lvlJc w:val="left"/>
      <w:pPr>
        <w:tabs>
          <w:tab w:val="num" w:pos="1003"/>
        </w:tabs>
        <w:ind w:left="1003" w:hanging="360"/>
      </w:pPr>
      <w:rPr>
        <w:rFonts w:hint="default"/>
        <w:i w:val="0"/>
        <w:color w:val="auto"/>
      </w:rPr>
    </w:lvl>
    <w:lvl w:ilvl="1" w:tplc="FFFFFFFF">
      <w:start w:val="1"/>
      <w:numFmt w:val="upperRoman"/>
      <w:lvlText w:val="%2."/>
      <w:lvlJc w:val="left"/>
      <w:pPr>
        <w:tabs>
          <w:tab w:val="num" w:pos="2083"/>
        </w:tabs>
        <w:ind w:left="2083" w:hanging="720"/>
      </w:pPr>
      <w:rPr>
        <w:rFonts w:hint="default"/>
      </w:rPr>
    </w:lvl>
    <w:lvl w:ilvl="2" w:tplc="FFFFFFFF" w:tentative="1">
      <w:start w:val="1"/>
      <w:numFmt w:val="lowerRoman"/>
      <w:lvlText w:val="%3."/>
      <w:lvlJc w:val="right"/>
      <w:pPr>
        <w:tabs>
          <w:tab w:val="num" w:pos="2443"/>
        </w:tabs>
        <w:ind w:left="2443" w:hanging="180"/>
      </w:pPr>
    </w:lvl>
    <w:lvl w:ilvl="3" w:tplc="FFFFFFFF" w:tentative="1">
      <w:start w:val="1"/>
      <w:numFmt w:val="decimal"/>
      <w:lvlText w:val="%4."/>
      <w:lvlJc w:val="left"/>
      <w:pPr>
        <w:tabs>
          <w:tab w:val="num" w:pos="3163"/>
        </w:tabs>
        <w:ind w:left="3163" w:hanging="360"/>
      </w:pPr>
    </w:lvl>
    <w:lvl w:ilvl="4" w:tplc="FFFFFFFF" w:tentative="1">
      <w:start w:val="1"/>
      <w:numFmt w:val="lowerLetter"/>
      <w:lvlText w:val="%5."/>
      <w:lvlJc w:val="left"/>
      <w:pPr>
        <w:tabs>
          <w:tab w:val="num" w:pos="3883"/>
        </w:tabs>
        <w:ind w:left="3883" w:hanging="360"/>
      </w:pPr>
    </w:lvl>
    <w:lvl w:ilvl="5" w:tplc="FFFFFFFF" w:tentative="1">
      <w:start w:val="1"/>
      <w:numFmt w:val="lowerRoman"/>
      <w:lvlText w:val="%6."/>
      <w:lvlJc w:val="right"/>
      <w:pPr>
        <w:tabs>
          <w:tab w:val="num" w:pos="4603"/>
        </w:tabs>
        <w:ind w:left="4603" w:hanging="180"/>
      </w:pPr>
    </w:lvl>
    <w:lvl w:ilvl="6" w:tplc="FFFFFFFF" w:tentative="1">
      <w:start w:val="1"/>
      <w:numFmt w:val="decimal"/>
      <w:lvlText w:val="%7."/>
      <w:lvlJc w:val="left"/>
      <w:pPr>
        <w:tabs>
          <w:tab w:val="num" w:pos="5323"/>
        </w:tabs>
        <w:ind w:left="5323" w:hanging="360"/>
      </w:pPr>
    </w:lvl>
    <w:lvl w:ilvl="7" w:tplc="FFFFFFFF" w:tentative="1">
      <w:start w:val="1"/>
      <w:numFmt w:val="lowerLetter"/>
      <w:lvlText w:val="%8."/>
      <w:lvlJc w:val="left"/>
      <w:pPr>
        <w:tabs>
          <w:tab w:val="num" w:pos="6043"/>
        </w:tabs>
        <w:ind w:left="6043" w:hanging="360"/>
      </w:pPr>
    </w:lvl>
    <w:lvl w:ilvl="8" w:tplc="FFFFFFFF" w:tentative="1">
      <w:start w:val="1"/>
      <w:numFmt w:val="lowerRoman"/>
      <w:lvlText w:val="%9."/>
      <w:lvlJc w:val="right"/>
      <w:pPr>
        <w:tabs>
          <w:tab w:val="num" w:pos="6763"/>
        </w:tabs>
        <w:ind w:left="6763" w:hanging="180"/>
      </w:pPr>
    </w:lvl>
  </w:abstractNum>
  <w:abstractNum w:abstractNumId="19">
    <w:nsid w:val="0E9235A2"/>
    <w:multiLevelType w:val="hybridMultilevel"/>
    <w:tmpl w:val="C98465EA"/>
    <w:lvl w:ilvl="0" w:tplc="D7243CCC">
      <w:start w:val="1"/>
      <w:numFmt w:val="decimal"/>
      <w:lvlText w:val="%1)"/>
      <w:lvlJc w:val="left"/>
      <w:pPr>
        <w:ind w:left="775" w:hanging="360"/>
      </w:pPr>
      <w:rPr>
        <w:rFonts w:hint="default"/>
      </w:rPr>
    </w:lvl>
    <w:lvl w:ilvl="1" w:tplc="04050019" w:tentative="1">
      <w:start w:val="1"/>
      <w:numFmt w:val="lowerLetter"/>
      <w:lvlText w:val="%2."/>
      <w:lvlJc w:val="left"/>
      <w:pPr>
        <w:ind w:left="1495" w:hanging="360"/>
      </w:pPr>
    </w:lvl>
    <w:lvl w:ilvl="2" w:tplc="0405001B" w:tentative="1">
      <w:start w:val="1"/>
      <w:numFmt w:val="lowerRoman"/>
      <w:lvlText w:val="%3."/>
      <w:lvlJc w:val="right"/>
      <w:pPr>
        <w:ind w:left="2215" w:hanging="180"/>
      </w:pPr>
    </w:lvl>
    <w:lvl w:ilvl="3" w:tplc="0405000F" w:tentative="1">
      <w:start w:val="1"/>
      <w:numFmt w:val="decimal"/>
      <w:lvlText w:val="%4."/>
      <w:lvlJc w:val="left"/>
      <w:pPr>
        <w:ind w:left="2935" w:hanging="360"/>
      </w:pPr>
    </w:lvl>
    <w:lvl w:ilvl="4" w:tplc="04050019" w:tentative="1">
      <w:start w:val="1"/>
      <w:numFmt w:val="lowerLetter"/>
      <w:lvlText w:val="%5."/>
      <w:lvlJc w:val="left"/>
      <w:pPr>
        <w:ind w:left="3655" w:hanging="360"/>
      </w:pPr>
    </w:lvl>
    <w:lvl w:ilvl="5" w:tplc="0405001B" w:tentative="1">
      <w:start w:val="1"/>
      <w:numFmt w:val="lowerRoman"/>
      <w:lvlText w:val="%6."/>
      <w:lvlJc w:val="right"/>
      <w:pPr>
        <w:ind w:left="4375" w:hanging="180"/>
      </w:pPr>
    </w:lvl>
    <w:lvl w:ilvl="6" w:tplc="0405000F" w:tentative="1">
      <w:start w:val="1"/>
      <w:numFmt w:val="decimal"/>
      <w:lvlText w:val="%7."/>
      <w:lvlJc w:val="left"/>
      <w:pPr>
        <w:ind w:left="5095" w:hanging="360"/>
      </w:pPr>
    </w:lvl>
    <w:lvl w:ilvl="7" w:tplc="04050019" w:tentative="1">
      <w:start w:val="1"/>
      <w:numFmt w:val="lowerLetter"/>
      <w:lvlText w:val="%8."/>
      <w:lvlJc w:val="left"/>
      <w:pPr>
        <w:ind w:left="5815" w:hanging="360"/>
      </w:pPr>
    </w:lvl>
    <w:lvl w:ilvl="8" w:tplc="0405001B" w:tentative="1">
      <w:start w:val="1"/>
      <w:numFmt w:val="lowerRoman"/>
      <w:lvlText w:val="%9."/>
      <w:lvlJc w:val="right"/>
      <w:pPr>
        <w:ind w:left="6535" w:hanging="180"/>
      </w:pPr>
    </w:lvl>
  </w:abstractNum>
  <w:abstractNum w:abstractNumId="20">
    <w:nsid w:val="0FF568C9"/>
    <w:multiLevelType w:val="hybridMultilevel"/>
    <w:tmpl w:val="5CFA7D70"/>
    <w:lvl w:ilvl="0" w:tplc="7E14511E">
      <w:start w:val="1"/>
      <w:numFmt w:val="bullet"/>
      <w:lvlText w:val=""/>
      <w:lvlJc w:val="left"/>
      <w:pPr>
        <w:ind w:left="1145" w:hanging="360"/>
      </w:pPr>
      <w:rPr>
        <w:rFonts w:ascii="Symbol" w:hAnsi="Symbol" w:hint="default"/>
      </w:rPr>
    </w:lvl>
    <w:lvl w:ilvl="1" w:tplc="04050003" w:tentative="1">
      <w:start w:val="1"/>
      <w:numFmt w:val="bullet"/>
      <w:lvlText w:val="o"/>
      <w:lvlJc w:val="left"/>
      <w:pPr>
        <w:ind w:left="1865" w:hanging="360"/>
      </w:pPr>
      <w:rPr>
        <w:rFonts w:ascii="Courier New" w:hAnsi="Courier New" w:cs="Courier New" w:hint="default"/>
      </w:rPr>
    </w:lvl>
    <w:lvl w:ilvl="2" w:tplc="04050005" w:tentative="1">
      <w:start w:val="1"/>
      <w:numFmt w:val="bullet"/>
      <w:lvlText w:val=""/>
      <w:lvlJc w:val="left"/>
      <w:pPr>
        <w:ind w:left="2585" w:hanging="360"/>
      </w:pPr>
      <w:rPr>
        <w:rFonts w:ascii="Wingdings" w:hAnsi="Wingdings" w:hint="default"/>
      </w:rPr>
    </w:lvl>
    <w:lvl w:ilvl="3" w:tplc="04050001" w:tentative="1">
      <w:start w:val="1"/>
      <w:numFmt w:val="bullet"/>
      <w:lvlText w:val=""/>
      <w:lvlJc w:val="left"/>
      <w:pPr>
        <w:ind w:left="3305" w:hanging="360"/>
      </w:pPr>
      <w:rPr>
        <w:rFonts w:ascii="Symbol" w:hAnsi="Symbol" w:hint="default"/>
      </w:rPr>
    </w:lvl>
    <w:lvl w:ilvl="4" w:tplc="04050003" w:tentative="1">
      <w:start w:val="1"/>
      <w:numFmt w:val="bullet"/>
      <w:lvlText w:val="o"/>
      <w:lvlJc w:val="left"/>
      <w:pPr>
        <w:ind w:left="4025" w:hanging="360"/>
      </w:pPr>
      <w:rPr>
        <w:rFonts w:ascii="Courier New" w:hAnsi="Courier New" w:cs="Courier New" w:hint="default"/>
      </w:rPr>
    </w:lvl>
    <w:lvl w:ilvl="5" w:tplc="04050005" w:tentative="1">
      <w:start w:val="1"/>
      <w:numFmt w:val="bullet"/>
      <w:lvlText w:val=""/>
      <w:lvlJc w:val="left"/>
      <w:pPr>
        <w:ind w:left="4745" w:hanging="360"/>
      </w:pPr>
      <w:rPr>
        <w:rFonts w:ascii="Wingdings" w:hAnsi="Wingdings" w:hint="default"/>
      </w:rPr>
    </w:lvl>
    <w:lvl w:ilvl="6" w:tplc="04050001" w:tentative="1">
      <w:start w:val="1"/>
      <w:numFmt w:val="bullet"/>
      <w:lvlText w:val=""/>
      <w:lvlJc w:val="left"/>
      <w:pPr>
        <w:ind w:left="5465" w:hanging="360"/>
      </w:pPr>
      <w:rPr>
        <w:rFonts w:ascii="Symbol" w:hAnsi="Symbol" w:hint="default"/>
      </w:rPr>
    </w:lvl>
    <w:lvl w:ilvl="7" w:tplc="04050003" w:tentative="1">
      <w:start w:val="1"/>
      <w:numFmt w:val="bullet"/>
      <w:lvlText w:val="o"/>
      <w:lvlJc w:val="left"/>
      <w:pPr>
        <w:ind w:left="6185" w:hanging="360"/>
      </w:pPr>
      <w:rPr>
        <w:rFonts w:ascii="Courier New" w:hAnsi="Courier New" w:cs="Courier New" w:hint="default"/>
      </w:rPr>
    </w:lvl>
    <w:lvl w:ilvl="8" w:tplc="04050005" w:tentative="1">
      <w:start w:val="1"/>
      <w:numFmt w:val="bullet"/>
      <w:lvlText w:val=""/>
      <w:lvlJc w:val="left"/>
      <w:pPr>
        <w:ind w:left="6905" w:hanging="360"/>
      </w:pPr>
      <w:rPr>
        <w:rFonts w:ascii="Wingdings" w:hAnsi="Wingdings" w:hint="default"/>
      </w:rPr>
    </w:lvl>
  </w:abstractNum>
  <w:abstractNum w:abstractNumId="21">
    <w:nsid w:val="10664C07"/>
    <w:multiLevelType w:val="hybridMultilevel"/>
    <w:tmpl w:val="FD02F922"/>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13EF67CC"/>
    <w:multiLevelType w:val="hybridMultilevel"/>
    <w:tmpl w:val="9576684A"/>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14302C44"/>
    <w:multiLevelType w:val="hybridMultilevel"/>
    <w:tmpl w:val="C2329B30"/>
    <w:lvl w:ilvl="0" w:tplc="FFFFFFFF">
      <w:start w:val="4"/>
      <w:numFmt w:val="bullet"/>
      <w:lvlText w:val="-"/>
      <w:lvlJc w:val="left"/>
      <w:pPr>
        <w:ind w:left="720" w:hanging="360"/>
      </w:p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14FC4EDD"/>
    <w:multiLevelType w:val="hybridMultilevel"/>
    <w:tmpl w:val="E7B6B3DA"/>
    <w:lvl w:ilvl="0" w:tplc="83F2460E">
      <w:start w:val="1"/>
      <w:numFmt w:val="lowerLetter"/>
      <w:lvlText w:val="%1)"/>
      <w:lvlJc w:val="left"/>
      <w:pPr>
        <w:ind w:left="410" w:hanging="360"/>
      </w:pPr>
      <w:rPr>
        <w:rFonts w:hint="default"/>
      </w:rPr>
    </w:lvl>
    <w:lvl w:ilvl="1" w:tplc="04050019" w:tentative="1">
      <w:start w:val="1"/>
      <w:numFmt w:val="lowerLetter"/>
      <w:lvlText w:val="%2."/>
      <w:lvlJc w:val="left"/>
      <w:pPr>
        <w:ind w:left="1130" w:hanging="360"/>
      </w:pPr>
    </w:lvl>
    <w:lvl w:ilvl="2" w:tplc="0405001B" w:tentative="1">
      <w:start w:val="1"/>
      <w:numFmt w:val="lowerRoman"/>
      <w:lvlText w:val="%3."/>
      <w:lvlJc w:val="right"/>
      <w:pPr>
        <w:ind w:left="1850" w:hanging="180"/>
      </w:pPr>
    </w:lvl>
    <w:lvl w:ilvl="3" w:tplc="0405000F" w:tentative="1">
      <w:start w:val="1"/>
      <w:numFmt w:val="decimal"/>
      <w:lvlText w:val="%4."/>
      <w:lvlJc w:val="left"/>
      <w:pPr>
        <w:ind w:left="2570" w:hanging="360"/>
      </w:pPr>
    </w:lvl>
    <w:lvl w:ilvl="4" w:tplc="04050019" w:tentative="1">
      <w:start w:val="1"/>
      <w:numFmt w:val="lowerLetter"/>
      <w:lvlText w:val="%5."/>
      <w:lvlJc w:val="left"/>
      <w:pPr>
        <w:ind w:left="3290" w:hanging="360"/>
      </w:pPr>
    </w:lvl>
    <w:lvl w:ilvl="5" w:tplc="0405001B" w:tentative="1">
      <w:start w:val="1"/>
      <w:numFmt w:val="lowerRoman"/>
      <w:lvlText w:val="%6."/>
      <w:lvlJc w:val="right"/>
      <w:pPr>
        <w:ind w:left="4010" w:hanging="180"/>
      </w:pPr>
    </w:lvl>
    <w:lvl w:ilvl="6" w:tplc="0405000F" w:tentative="1">
      <w:start w:val="1"/>
      <w:numFmt w:val="decimal"/>
      <w:lvlText w:val="%7."/>
      <w:lvlJc w:val="left"/>
      <w:pPr>
        <w:ind w:left="4730" w:hanging="360"/>
      </w:pPr>
    </w:lvl>
    <w:lvl w:ilvl="7" w:tplc="04050019" w:tentative="1">
      <w:start w:val="1"/>
      <w:numFmt w:val="lowerLetter"/>
      <w:lvlText w:val="%8."/>
      <w:lvlJc w:val="left"/>
      <w:pPr>
        <w:ind w:left="5450" w:hanging="360"/>
      </w:pPr>
    </w:lvl>
    <w:lvl w:ilvl="8" w:tplc="0405001B" w:tentative="1">
      <w:start w:val="1"/>
      <w:numFmt w:val="lowerRoman"/>
      <w:lvlText w:val="%9."/>
      <w:lvlJc w:val="right"/>
      <w:pPr>
        <w:ind w:left="6170" w:hanging="180"/>
      </w:pPr>
    </w:lvl>
  </w:abstractNum>
  <w:abstractNum w:abstractNumId="25">
    <w:nsid w:val="173F0FDE"/>
    <w:multiLevelType w:val="hybridMultilevel"/>
    <w:tmpl w:val="AF92E5FA"/>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abstractNum w:abstractNumId="26">
    <w:nsid w:val="17D62276"/>
    <w:multiLevelType w:val="hybridMultilevel"/>
    <w:tmpl w:val="7EF0536E"/>
    <w:lvl w:ilvl="0" w:tplc="7E88CDF4">
      <w:start w:val="1"/>
      <w:numFmt w:val="bullet"/>
      <w:lvlText w:val="–"/>
      <w:lvlJc w:val="left"/>
      <w:pPr>
        <w:ind w:left="1571" w:hanging="360"/>
      </w:pPr>
      <w:rPr>
        <w:rFonts w:ascii="Times" w:hAnsi="Times" w:cs="Times New Roman" w:hint="default"/>
        <w:color w:val="0066CC"/>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27">
    <w:nsid w:val="18BE60BE"/>
    <w:multiLevelType w:val="hybridMultilevel"/>
    <w:tmpl w:val="484A8E98"/>
    <w:lvl w:ilvl="0" w:tplc="FFFFFFFF">
      <w:start w:val="4"/>
      <w:numFmt w:val="bullet"/>
      <w:lvlText w:val="-"/>
      <w:lvlJc w:val="left"/>
      <w:pPr>
        <w:ind w:left="720" w:hanging="360"/>
      </w:p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18DD0BE5"/>
    <w:multiLevelType w:val="hybridMultilevel"/>
    <w:tmpl w:val="297AA2FE"/>
    <w:lvl w:ilvl="0" w:tplc="A00A34B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1989555C"/>
    <w:multiLevelType w:val="hybridMultilevel"/>
    <w:tmpl w:val="CC5A21B6"/>
    <w:lvl w:ilvl="0" w:tplc="F5649006">
      <w:start w:val="7"/>
      <w:numFmt w:val="bullet"/>
      <w:lvlText w:val="-"/>
      <w:lvlJc w:val="left"/>
      <w:pPr>
        <w:ind w:left="1080" w:hanging="360"/>
      </w:pPr>
      <w:rPr>
        <w:rFonts w:ascii="Times New Roman" w:eastAsia="Times New Roman" w:hAnsi="Times New Roman" w:cs="Times New Roman" w:hint="default"/>
        <w:i/>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0">
    <w:nsid w:val="19DD69B2"/>
    <w:multiLevelType w:val="hybridMultilevel"/>
    <w:tmpl w:val="B3BCEB32"/>
    <w:lvl w:ilvl="0" w:tplc="13F631E8">
      <w:start w:val="1"/>
      <w:numFmt w:val="lowerLetter"/>
      <w:lvlText w:val="%1)"/>
      <w:lvlJc w:val="left"/>
      <w:pPr>
        <w:ind w:left="410" w:hanging="360"/>
      </w:pPr>
      <w:rPr>
        <w:rFonts w:hint="default"/>
      </w:rPr>
    </w:lvl>
    <w:lvl w:ilvl="1" w:tplc="04050019" w:tentative="1">
      <w:start w:val="1"/>
      <w:numFmt w:val="lowerLetter"/>
      <w:lvlText w:val="%2."/>
      <w:lvlJc w:val="left"/>
      <w:pPr>
        <w:ind w:left="1130" w:hanging="360"/>
      </w:pPr>
    </w:lvl>
    <w:lvl w:ilvl="2" w:tplc="0405001B" w:tentative="1">
      <w:start w:val="1"/>
      <w:numFmt w:val="lowerRoman"/>
      <w:lvlText w:val="%3."/>
      <w:lvlJc w:val="right"/>
      <w:pPr>
        <w:ind w:left="1850" w:hanging="180"/>
      </w:pPr>
    </w:lvl>
    <w:lvl w:ilvl="3" w:tplc="0405000F" w:tentative="1">
      <w:start w:val="1"/>
      <w:numFmt w:val="decimal"/>
      <w:lvlText w:val="%4."/>
      <w:lvlJc w:val="left"/>
      <w:pPr>
        <w:ind w:left="2570" w:hanging="360"/>
      </w:pPr>
    </w:lvl>
    <w:lvl w:ilvl="4" w:tplc="04050019" w:tentative="1">
      <w:start w:val="1"/>
      <w:numFmt w:val="lowerLetter"/>
      <w:lvlText w:val="%5."/>
      <w:lvlJc w:val="left"/>
      <w:pPr>
        <w:ind w:left="3290" w:hanging="360"/>
      </w:pPr>
    </w:lvl>
    <w:lvl w:ilvl="5" w:tplc="0405001B" w:tentative="1">
      <w:start w:val="1"/>
      <w:numFmt w:val="lowerRoman"/>
      <w:lvlText w:val="%6."/>
      <w:lvlJc w:val="right"/>
      <w:pPr>
        <w:ind w:left="4010" w:hanging="180"/>
      </w:pPr>
    </w:lvl>
    <w:lvl w:ilvl="6" w:tplc="0405000F" w:tentative="1">
      <w:start w:val="1"/>
      <w:numFmt w:val="decimal"/>
      <w:lvlText w:val="%7."/>
      <w:lvlJc w:val="left"/>
      <w:pPr>
        <w:ind w:left="4730" w:hanging="360"/>
      </w:pPr>
    </w:lvl>
    <w:lvl w:ilvl="7" w:tplc="04050019" w:tentative="1">
      <w:start w:val="1"/>
      <w:numFmt w:val="lowerLetter"/>
      <w:lvlText w:val="%8."/>
      <w:lvlJc w:val="left"/>
      <w:pPr>
        <w:ind w:left="5450" w:hanging="360"/>
      </w:pPr>
    </w:lvl>
    <w:lvl w:ilvl="8" w:tplc="0405001B" w:tentative="1">
      <w:start w:val="1"/>
      <w:numFmt w:val="lowerRoman"/>
      <w:lvlText w:val="%9."/>
      <w:lvlJc w:val="right"/>
      <w:pPr>
        <w:ind w:left="6170" w:hanging="180"/>
      </w:pPr>
    </w:lvl>
  </w:abstractNum>
  <w:abstractNum w:abstractNumId="31">
    <w:nsid w:val="19F3409B"/>
    <w:multiLevelType w:val="hybridMultilevel"/>
    <w:tmpl w:val="5F98CE96"/>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1B221865"/>
    <w:multiLevelType w:val="hybridMultilevel"/>
    <w:tmpl w:val="B3BCEB32"/>
    <w:lvl w:ilvl="0" w:tplc="13F631E8">
      <w:start w:val="1"/>
      <w:numFmt w:val="lowerLetter"/>
      <w:lvlText w:val="%1)"/>
      <w:lvlJc w:val="left"/>
      <w:pPr>
        <w:ind w:left="410" w:hanging="360"/>
      </w:pPr>
      <w:rPr>
        <w:rFonts w:hint="default"/>
      </w:rPr>
    </w:lvl>
    <w:lvl w:ilvl="1" w:tplc="04050019" w:tentative="1">
      <w:start w:val="1"/>
      <w:numFmt w:val="lowerLetter"/>
      <w:lvlText w:val="%2."/>
      <w:lvlJc w:val="left"/>
      <w:pPr>
        <w:ind w:left="1130" w:hanging="360"/>
      </w:pPr>
    </w:lvl>
    <w:lvl w:ilvl="2" w:tplc="0405001B" w:tentative="1">
      <w:start w:val="1"/>
      <w:numFmt w:val="lowerRoman"/>
      <w:lvlText w:val="%3."/>
      <w:lvlJc w:val="right"/>
      <w:pPr>
        <w:ind w:left="1850" w:hanging="180"/>
      </w:pPr>
    </w:lvl>
    <w:lvl w:ilvl="3" w:tplc="0405000F" w:tentative="1">
      <w:start w:val="1"/>
      <w:numFmt w:val="decimal"/>
      <w:lvlText w:val="%4."/>
      <w:lvlJc w:val="left"/>
      <w:pPr>
        <w:ind w:left="2570" w:hanging="360"/>
      </w:pPr>
    </w:lvl>
    <w:lvl w:ilvl="4" w:tplc="04050019" w:tentative="1">
      <w:start w:val="1"/>
      <w:numFmt w:val="lowerLetter"/>
      <w:lvlText w:val="%5."/>
      <w:lvlJc w:val="left"/>
      <w:pPr>
        <w:ind w:left="3290" w:hanging="360"/>
      </w:pPr>
    </w:lvl>
    <w:lvl w:ilvl="5" w:tplc="0405001B" w:tentative="1">
      <w:start w:val="1"/>
      <w:numFmt w:val="lowerRoman"/>
      <w:lvlText w:val="%6."/>
      <w:lvlJc w:val="right"/>
      <w:pPr>
        <w:ind w:left="4010" w:hanging="180"/>
      </w:pPr>
    </w:lvl>
    <w:lvl w:ilvl="6" w:tplc="0405000F" w:tentative="1">
      <w:start w:val="1"/>
      <w:numFmt w:val="decimal"/>
      <w:lvlText w:val="%7."/>
      <w:lvlJc w:val="left"/>
      <w:pPr>
        <w:ind w:left="4730" w:hanging="360"/>
      </w:pPr>
    </w:lvl>
    <w:lvl w:ilvl="7" w:tplc="04050019" w:tentative="1">
      <w:start w:val="1"/>
      <w:numFmt w:val="lowerLetter"/>
      <w:lvlText w:val="%8."/>
      <w:lvlJc w:val="left"/>
      <w:pPr>
        <w:ind w:left="5450" w:hanging="360"/>
      </w:pPr>
    </w:lvl>
    <w:lvl w:ilvl="8" w:tplc="0405001B" w:tentative="1">
      <w:start w:val="1"/>
      <w:numFmt w:val="lowerRoman"/>
      <w:lvlText w:val="%9."/>
      <w:lvlJc w:val="right"/>
      <w:pPr>
        <w:ind w:left="6170" w:hanging="180"/>
      </w:pPr>
    </w:lvl>
  </w:abstractNum>
  <w:abstractNum w:abstractNumId="33">
    <w:nsid w:val="1B222E5C"/>
    <w:multiLevelType w:val="hybridMultilevel"/>
    <w:tmpl w:val="87321AD2"/>
    <w:lvl w:ilvl="0" w:tplc="7E88CDF4">
      <w:start w:val="1"/>
      <w:numFmt w:val="bullet"/>
      <w:lvlText w:val="–"/>
      <w:lvlJc w:val="left"/>
      <w:pPr>
        <w:ind w:left="1571" w:hanging="360"/>
      </w:pPr>
      <w:rPr>
        <w:rFonts w:ascii="Times" w:hAnsi="Times" w:cs="Times New Roman" w:hint="default"/>
        <w:color w:val="0066CC"/>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34">
    <w:nsid w:val="1C063B7D"/>
    <w:multiLevelType w:val="hybridMultilevel"/>
    <w:tmpl w:val="CC2AF4E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nsid w:val="1C0658F7"/>
    <w:multiLevelType w:val="hybridMultilevel"/>
    <w:tmpl w:val="734A516A"/>
    <w:lvl w:ilvl="0" w:tplc="1710078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1C3C5AC6"/>
    <w:multiLevelType w:val="hybridMultilevel"/>
    <w:tmpl w:val="883E55DA"/>
    <w:lvl w:ilvl="0" w:tplc="4D704F76">
      <w:start w:val="2"/>
      <w:numFmt w:val="bullet"/>
      <w:lvlText w:val="-"/>
      <w:lvlJc w:val="left"/>
      <w:pPr>
        <w:ind w:left="720" w:hanging="360"/>
      </w:pPr>
      <w:rPr>
        <w:rFonts w:ascii="Arial Narrow" w:eastAsia="SimSun" w:hAnsi="Arial Narrow" w:cs="Times New Roman" w:hint="default"/>
      </w:rPr>
    </w:lvl>
    <w:lvl w:ilvl="1" w:tplc="4D704F76">
      <w:start w:val="2"/>
      <w:numFmt w:val="bullet"/>
      <w:lvlText w:val="-"/>
      <w:lvlJc w:val="left"/>
      <w:pPr>
        <w:ind w:left="1440" w:hanging="360"/>
      </w:pPr>
      <w:rPr>
        <w:rFonts w:ascii="Arial Narrow" w:eastAsia="SimSun" w:hAnsi="Arial Narrow" w:cs="Times New Roman"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nsid w:val="1D172443"/>
    <w:multiLevelType w:val="hybridMultilevel"/>
    <w:tmpl w:val="B5064816"/>
    <w:lvl w:ilvl="0" w:tplc="4D704F76">
      <w:start w:val="2"/>
      <w:numFmt w:val="bullet"/>
      <w:lvlText w:val="-"/>
      <w:lvlJc w:val="left"/>
      <w:pPr>
        <w:ind w:left="1080" w:hanging="360"/>
      </w:pPr>
      <w:rPr>
        <w:rFonts w:ascii="Arial Narrow" w:eastAsia="SimSun" w:hAnsi="Arial Narrow"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8">
    <w:nsid w:val="1DB72986"/>
    <w:multiLevelType w:val="hybridMultilevel"/>
    <w:tmpl w:val="AD3446D0"/>
    <w:lvl w:ilvl="0" w:tplc="12243368">
      <w:start w:val="1"/>
      <w:numFmt w:val="lowerLetter"/>
      <w:lvlText w:val="%1)"/>
      <w:lvlJc w:val="left"/>
      <w:pPr>
        <w:ind w:left="720" w:hanging="360"/>
      </w:pPr>
      <w:rPr>
        <w:rFonts w:hint="default"/>
        <w:sz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nsid w:val="1FF40EF9"/>
    <w:multiLevelType w:val="hybridMultilevel"/>
    <w:tmpl w:val="342E1C16"/>
    <w:lvl w:ilvl="0" w:tplc="4D704F76">
      <w:start w:val="2"/>
      <w:numFmt w:val="bullet"/>
      <w:lvlText w:val="-"/>
      <w:lvlJc w:val="left"/>
      <w:pPr>
        <w:ind w:left="1287" w:hanging="360"/>
      </w:pPr>
      <w:rPr>
        <w:rFonts w:ascii="Arial Narrow" w:eastAsia="SimSun" w:hAnsi="Arial Narrow" w:cs="Times New Roman"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0">
    <w:nsid w:val="203C4ADA"/>
    <w:multiLevelType w:val="hybridMultilevel"/>
    <w:tmpl w:val="54E2F484"/>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nsid w:val="207B3CE3"/>
    <w:multiLevelType w:val="hybridMultilevel"/>
    <w:tmpl w:val="90AC9DF8"/>
    <w:lvl w:ilvl="0" w:tplc="E398E0F4">
      <w:start w:val="1"/>
      <w:numFmt w:val="decimal"/>
      <w:pStyle w:val="3cislo"/>
      <w:lvlText w:val="%1."/>
      <w:lvlJc w:val="left"/>
      <w:pPr>
        <w:ind w:left="720" w:hanging="360"/>
      </w:pPr>
      <w:rPr>
        <w:b w:val="0"/>
        <w:bCs w:val="0"/>
        <w:i w:val="0"/>
        <w:iCs w:val="0"/>
        <w:caps w:val="0"/>
        <w:smallCaps w:val="0"/>
        <w:strike w:val="0"/>
        <w:dstrike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nsid w:val="22165573"/>
    <w:multiLevelType w:val="hybridMultilevel"/>
    <w:tmpl w:val="E46E039A"/>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43">
    <w:nsid w:val="23570667"/>
    <w:multiLevelType w:val="hybridMultilevel"/>
    <w:tmpl w:val="8EB06F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235F1B0C"/>
    <w:multiLevelType w:val="hybridMultilevel"/>
    <w:tmpl w:val="AE00A7B2"/>
    <w:lvl w:ilvl="0" w:tplc="EF063E80">
      <w:start w:val="1"/>
      <w:numFmt w:val="decimal"/>
      <w:lvlText w:val="%1."/>
      <w:lvlJc w:val="left"/>
      <w:pPr>
        <w:ind w:left="720" w:hanging="360"/>
      </w:pPr>
      <w:rPr>
        <w:rFonts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nsid w:val="2599292D"/>
    <w:multiLevelType w:val="hybridMultilevel"/>
    <w:tmpl w:val="AA6470F2"/>
    <w:lvl w:ilvl="0" w:tplc="04050017">
      <w:start w:val="1"/>
      <w:numFmt w:val="lowerLetter"/>
      <w:lvlText w:val="%1)"/>
      <w:lvlJc w:val="left"/>
      <w:pPr>
        <w:ind w:left="927" w:hanging="360"/>
      </w:pPr>
    </w:lvl>
    <w:lvl w:ilvl="1" w:tplc="04050019">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46">
    <w:nsid w:val="26757F19"/>
    <w:multiLevelType w:val="hybridMultilevel"/>
    <w:tmpl w:val="51B058FE"/>
    <w:lvl w:ilvl="0" w:tplc="4D704F76">
      <w:start w:val="2"/>
      <w:numFmt w:val="bullet"/>
      <w:lvlText w:val="-"/>
      <w:lvlJc w:val="left"/>
      <w:pPr>
        <w:ind w:left="1800" w:hanging="360"/>
      </w:pPr>
      <w:rPr>
        <w:rFonts w:ascii="Arial Narrow" w:eastAsia="SimSun" w:hAnsi="Arial Narrow" w:cs="Times New Roman"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47">
    <w:nsid w:val="26C17058"/>
    <w:multiLevelType w:val="hybridMultilevel"/>
    <w:tmpl w:val="4E7A22E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7E88CDF4">
      <w:start w:val="1"/>
      <w:numFmt w:val="bullet"/>
      <w:lvlText w:val="–"/>
      <w:lvlJc w:val="left"/>
      <w:pPr>
        <w:ind w:left="2160" w:hanging="180"/>
      </w:pPr>
      <w:rPr>
        <w:rFonts w:ascii="Times" w:hAnsi="Times" w:cs="Times New Roman" w:hint="default"/>
        <w:color w:val="0066CC"/>
      </w:r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8">
    <w:nsid w:val="2707042B"/>
    <w:multiLevelType w:val="hybridMultilevel"/>
    <w:tmpl w:val="1FB4A54C"/>
    <w:lvl w:ilvl="0" w:tplc="C28604D2">
      <w:start w:val="1"/>
      <w:numFmt w:val="decimal"/>
      <w:pStyle w:val="Normlnslovan"/>
      <w:lvlText w:val="%1."/>
      <w:lvlJc w:val="left"/>
      <w:pPr>
        <w:ind w:left="720" w:hanging="360"/>
      </w:pPr>
      <w:rPr>
        <w:rFonts w:cs="Times New Roman"/>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49">
    <w:nsid w:val="270B05C9"/>
    <w:multiLevelType w:val="hybridMultilevel"/>
    <w:tmpl w:val="633451D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7E88CDF4">
      <w:start w:val="1"/>
      <w:numFmt w:val="bullet"/>
      <w:lvlText w:val="–"/>
      <w:lvlJc w:val="left"/>
      <w:pPr>
        <w:ind w:left="2160" w:hanging="180"/>
      </w:pPr>
      <w:rPr>
        <w:rFonts w:ascii="Times" w:hAnsi="Times" w:cs="Times New Roman" w:hint="default"/>
        <w:color w:val="0066CC"/>
      </w:r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0">
    <w:nsid w:val="27936F95"/>
    <w:multiLevelType w:val="hybridMultilevel"/>
    <w:tmpl w:val="E424B710"/>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51">
    <w:nsid w:val="28D2379F"/>
    <w:multiLevelType w:val="hybridMultilevel"/>
    <w:tmpl w:val="FD6E1EBA"/>
    <w:lvl w:ilvl="0" w:tplc="4D704F76">
      <w:start w:val="2"/>
      <w:numFmt w:val="bullet"/>
      <w:lvlText w:val="-"/>
      <w:lvlJc w:val="left"/>
      <w:pPr>
        <w:ind w:left="720"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nsid w:val="2B9F38C8"/>
    <w:multiLevelType w:val="hybridMultilevel"/>
    <w:tmpl w:val="24FA0CA0"/>
    <w:lvl w:ilvl="0" w:tplc="2DB609FA">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nsid w:val="2BBA3C2F"/>
    <w:multiLevelType w:val="hybridMultilevel"/>
    <w:tmpl w:val="AE0CACD4"/>
    <w:lvl w:ilvl="0" w:tplc="F8D8FAD0">
      <w:start w:val="2"/>
      <w:numFmt w:val="bullet"/>
      <w:lvlText w:val="–"/>
      <w:lvlJc w:val="left"/>
      <w:pPr>
        <w:ind w:left="410" w:hanging="360"/>
      </w:pPr>
      <w:rPr>
        <w:rFonts w:ascii="Times New Roman" w:eastAsia="Times New Roman" w:hAnsi="Times New Roman" w:cs="Times New Roman" w:hint="default"/>
      </w:rPr>
    </w:lvl>
    <w:lvl w:ilvl="1" w:tplc="04050003">
      <w:start w:val="1"/>
      <w:numFmt w:val="bullet"/>
      <w:lvlText w:val="o"/>
      <w:lvlJc w:val="left"/>
      <w:pPr>
        <w:ind w:left="1130" w:hanging="360"/>
      </w:pPr>
      <w:rPr>
        <w:rFonts w:ascii="Courier New" w:hAnsi="Courier New" w:cs="Courier New" w:hint="default"/>
      </w:rPr>
    </w:lvl>
    <w:lvl w:ilvl="2" w:tplc="04050005" w:tentative="1">
      <w:start w:val="1"/>
      <w:numFmt w:val="bullet"/>
      <w:lvlText w:val=""/>
      <w:lvlJc w:val="left"/>
      <w:pPr>
        <w:ind w:left="1850" w:hanging="360"/>
      </w:pPr>
      <w:rPr>
        <w:rFonts w:ascii="Wingdings" w:hAnsi="Wingdings" w:hint="default"/>
      </w:rPr>
    </w:lvl>
    <w:lvl w:ilvl="3" w:tplc="04050001" w:tentative="1">
      <w:start w:val="1"/>
      <w:numFmt w:val="bullet"/>
      <w:lvlText w:val=""/>
      <w:lvlJc w:val="left"/>
      <w:pPr>
        <w:ind w:left="2570" w:hanging="360"/>
      </w:pPr>
      <w:rPr>
        <w:rFonts w:ascii="Symbol" w:hAnsi="Symbol" w:hint="default"/>
      </w:rPr>
    </w:lvl>
    <w:lvl w:ilvl="4" w:tplc="04050003" w:tentative="1">
      <w:start w:val="1"/>
      <w:numFmt w:val="bullet"/>
      <w:lvlText w:val="o"/>
      <w:lvlJc w:val="left"/>
      <w:pPr>
        <w:ind w:left="3290" w:hanging="360"/>
      </w:pPr>
      <w:rPr>
        <w:rFonts w:ascii="Courier New" w:hAnsi="Courier New" w:cs="Courier New" w:hint="default"/>
      </w:rPr>
    </w:lvl>
    <w:lvl w:ilvl="5" w:tplc="04050005" w:tentative="1">
      <w:start w:val="1"/>
      <w:numFmt w:val="bullet"/>
      <w:lvlText w:val=""/>
      <w:lvlJc w:val="left"/>
      <w:pPr>
        <w:ind w:left="4010" w:hanging="360"/>
      </w:pPr>
      <w:rPr>
        <w:rFonts w:ascii="Wingdings" w:hAnsi="Wingdings" w:hint="default"/>
      </w:rPr>
    </w:lvl>
    <w:lvl w:ilvl="6" w:tplc="04050001" w:tentative="1">
      <w:start w:val="1"/>
      <w:numFmt w:val="bullet"/>
      <w:lvlText w:val=""/>
      <w:lvlJc w:val="left"/>
      <w:pPr>
        <w:ind w:left="4730" w:hanging="360"/>
      </w:pPr>
      <w:rPr>
        <w:rFonts w:ascii="Symbol" w:hAnsi="Symbol" w:hint="default"/>
      </w:rPr>
    </w:lvl>
    <w:lvl w:ilvl="7" w:tplc="04050003" w:tentative="1">
      <w:start w:val="1"/>
      <w:numFmt w:val="bullet"/>
      <w:lvlText w:val="o"/>
      <w:lvlJc w:val="left"/>
      <w:pPr>
        <w:ind w:left="5450" w:hanging="360"/>
      </w:pPr>
      <w:rPr>
        <w:rFonts w:ascii="Courier New" w:hAnsi="Courier New" w:cs="Courier New" w:hint="default"/>
      </w:rPr>
    </w:lvl>
    <w:lvl w:ilvl="8" w:tplc="04050005" w:tentative="1">
      <w:start w:val="1"/>
      <w:numFmt w:val="bullet"/>
      <w:lvlText w:val=""/>
      <w:lvlJc w:val="left"/>
      <w:pPr>
        <w:ind w:left="6170" w:hanging="360"/>
      </w:pPr>
      <w:rPr>
        <w:rFonts w:ascii="Wingdings" w:hAnsi="Wingdings" w:hint="default"/>
      </w:rPr>
    </w:lvl>
  </w:abstractNum>
  <w:abstractNum w:abstractNumId="54">
    <w:nsid w:val="2EBC2C1F"/>
    <w:multiLevelType w:val="hybridMultilevel"/>
    <w:tmpl w:val="25047B16"/>
    <w:lvl w:ilvl="0" w:tplc="4D704F76">
      <w:start w:val="2"/>
      <w:numFmt w:val="bullet"/>
      <w:lvlText w:val="-"/>
      <w:lvlJc w:val="left"/>
      <w:pPr>
        <w:ind w:left="720"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nsid w:val="2EBE5895"/>
    <w:multiLevelType w:val="hybridMultilevel"/>
    <w:tmpl w:val="99D614D6"/>
    <w:lvl w:ilvl="0" w:tplc="8DAA2EFC">
      <w:start w:val="1"/>
      <w:numFmt w:val="bullet"/>
      <w:pStyle w:val="OV2"/>
      <w:lvlText w:val=""/>
      <w:lvlJc w:val="left"/>
      <w:pPr>
        <w:tabs>
          <w:tab w:val="num" w:pos="567"/>
        </w:tabs>
        <w:ind w:left="567" w:hanging="397"/>
      </w:pPr>
      <w:rPr>
        <w:rFonts w:ascii="Wingdings" w:hAnsi="Wingdings"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56">
    <w:nsid w:val="2EED66E9"/>
    <w:multiLevelType w:val="hybridMultilevel"/>
    <w:tmpl w:val="8E9A0C26"/>
    <w:lvl w:ilvl="0" w:tplc="04050017">
      <w:start w:val="1"/>
      <w:numFmt w:val="lowerLetter"/>
      <w:lvlText w:val="%1)"/>
      <w:lvlJc w:val="left"/>
      <w:pPr>
        <w:ind w:left="720" w:hanging="360"/>
      </w:pPr>
      <w:rPr>
        <w:rFonts w:hint="default"/>
        <w:u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nsid w:val="2F94725B"/>
    <w:multiLevelType w:val="hybridMultilevel"/>
    <w:tmpl w:val="DE4A39DC"/>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58">
    <w:nsid w:val="34002E19"/>
    <w:multiLevelType w:val="hybridMultilevel"/>
    <w:tmpl w:val="66D20084"/>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nsid w:val="3465483D"/>
    <w:multiLevelType w:val="hybridMultilevel"/>
    <w:tmpl w:val="735875E8"/>
    <w:lvl w:ilvl="0" w:tplc="9612B29C">
      <w:start w:val="1"/>
      <w:numFmt w:val="decimal"/>
      <w:lvlText w:val="(%1)"/>
      <w:lvlJc w:val="left"/>
      <w:pPr>
        <w:ind w:left="360" w:hanging="360"/>
      </w:pPr>
      <w:rPr>
        <w:rFonts w:hint="default"/>
        <w:b w:val="0"/>
        <w:i w:val="0"/>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0">
    <w:nsid w:val="34887FA7"/>
    <w:multiLevelType w:val="hybridMultilevel"/>
    <w:tmpl w:val="F97E0348"/>
    <w:lvl w:ilvl="0" w:tplc="4D704F76">
      <w:start w:val="2"/>
      <w:numFmt w:val="bullet"/>
      <w:lvlText w:val="-"/>
      <w:lvlJc w:val="left"/>
      <w:pPr>
        <w:ind w:left="1080" w:hanging="360"/>
      </w:pPr>
      <w:rPr>
        <w:rFonts w:ascii="Arial Narrow" w:eastAsia="SimSun" w:hAnsi="Arial Narrow"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1">
    <w:nsid w:val="37B308E4"/>
    <w:multiLevelType w:val="hybridMultilevel"/>
    <w:tmpl w:val="6AACC35A"/>
    <w:lvl w:ilvl="0" w:tplc="F47CFF24">
      <w:start w:val="1"/>
      <w:numFmt w:val="lowerLetter"/>
      <w:lvlText w:val="%1)"/>
      <w:lvlJc w:val="left"/>
      <w:pPr>
        <w:ind w:left="7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8D2503C">
      <w:start w:val="1"/>
      <w:numFmt w:val="lowerLetter"/>
      <w:lvlText w:val="%2"/>
      <w:lvlJc w:val="left"/>
      <w:pPr>
        <w:ind w:left="12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C3EB7A4">
      <w:start w:val="1"/>
      <w:numFmt w:val="lowerRoman"/>
      <w:lvlText w:val="%3"/>
      <w:lvlJc w:val="left"/>
      <w:pPr>
        <w:ind w:left="19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F74A856">
      <w:start w:val="1"/>
      <w:numFmt w:val="decimal"/>
      <w:lvlText w:val="%4"/>
      <w:lvlJc w:val="left"/>
      <w:pPr>
        <w:ind w:left="26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DBC3580">
      <w:start w:val="1"/>
      <w:numFmt w:val="lowerLetter"/>
      <w:lvlText w:val="%5"/>
      <w:lvlJc w:val="left"/>
      <w:pPr>
        <w:ind w:left="34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75A4222">
      <w:start w:val="1"/>
      <w:numFmt w:val="lowerRoman"/>
      <w:lvlText w:val="%6"/>
      <w:lvlJc w:val="left"/>
      <w:pPr>
        <w:ind w:left="41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0A80D86">
      <w:start w:val="1"/>
      <w:numFmt w:val="decimal"/>
      <w:lvlText w:val="%7"/>
      <w:lvlJc w:val="left"/>
      <w:pPr>
        <w:ind w:left="48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E8C5ADC">
      <w:start w:val="1"/>
      <w:numFmt w:val="lowerLetter"/>
      <w:lvlText w:val="%8"/>
      <w:lvlJc w:val="left"/>
      <w:pPr>
        <w:ind w:left="55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286C200">
      <w:start w:val="1"/>
      <w:numFmt w:val="lowerRoman"/>
      <w:lvlText w:val="%9"/>
      <w:lvlJc w:val="left"/>
      <w:pPr>
        <w:ind w:left="62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2">
    <w:nsid w:val="39937549"/>
    <w:multiLevelType w:val="hybridMultilevel"/>
    <w:tmpl w:val="7B724554"/>
    <w:lvl w:ilvl="0" w:tplc="86504C5E">
      <w:start w:val="2"/>
      <w:numFmt w:val="bullet"/>
      <w:lvlText w:val="-"/>
      <w:lvlJc w:val="left"/>
      <w:pPr>
        <w:ind w:left="720"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nsid w:val="39FA7E08"/>
    <w:multiLevelType w:val="hybridMultilevel"/>
    <w:tmpl w:val="A32425E8"/>
    <w:lvl w:ilvl="0" w:tplc="A2A89D38">
      <w:start w:val="2"/>
      <w:numFmt w:val="decimal"/>
      <w:lvlText w:val="%1)"/>
      <w:lvlJc w:val="left"/>
      <w:pPr>
        <w:ind w:left="821"/>
      </w:pPr>
      <w:rPr>
        <w:rFonts w:ascii="Arial Narrow" w:eastAsia="Times New Roman" w:hAnsi="Arial Narrow" w:cs="Times New Roman" w:hint="default"/>
        <w:b w:val="0"/>
        <w:i w:val="0"/>
        <w:strike w:val="0"/>
        <w:dstrike w:val="0"/>
        <w:color w:val="000000"/>
        <w:sz w:val="22"/>
        <w:szCs w:val="22"/>
        <w:u w:val="none" w:color="000000"/>
        <w:bdr w:val="none" w:sz="0" w:space="0" w:color="auto"/>
        <w:shd w:val="clear" w:color="auto" w:fill="auto"/>
        <w:vertAlign w:val="baseline"/>
      </w:rPr>
    </w:lvl>
    <w:lvl w:ilvl="1" w:tplc="E7CE6C7E">
      <w:start w:val="1"/>
      <w:numFmt w:val="lowerLetter"/>
      <w:lvlText w:val="%2"/>
      <w:lvlJc w:val="left"/>
      <w:pPr>
        <w:ind w:left="11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A52A88E">
      <w:start w:val="1"/>
      <w:numFmt w:val="lowerRoman"/>
      <w:lvlText w:val="%3"/>
      <w:lvlJc w:val="left"/>
      <w:pPr>
        <w:ind w:left="18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8B6B6D6">
      <w:start w:val="1"/>
      <w:numFmt w:val="decimal"/>
      <w:lvlText w:val="%4"/>
      <w:lvlJc w:val="left"/>
      <w:pPr>
        <w:ind w:left="25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F84BF8A">
      <w:start w:val="1"/>
      <w:numFmt w:val="lowerLetter"/>
      <w:lvlText w:val="%5"/>
      <w:lvlJc w:val="left"/>
      <w:pPr>
        <w:ind w:left="329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B4E43DC">
      <w:start w:val="1"/>
      <w:numFmt w:val="lowerRoman"/>
      <w:lvlText w:val="%6"/>
      <w:lvlJc w:val="left"/>
      <w:pPr>
        <w:ind w:left="401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FD033B6">
      <w:start w:val="1"/>
      <w:numFmt w:val="decimal"/>
      <w:lvlText w:val="%7"/>
      <w:lvlJc w:val="left"/>
      <w:pPr>
        <w:ind w:left="47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994752A">
      <w:start w:val="1"/>
      <w:numFmt w:val="lowerLetter"/>
      <w:lvlText w:val="%8"/>
      <w:lvlJc w:val="left"/>
      <w:pPr>
        <w:ind w:left="54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0AADA7E">
      <w:start w:val="1"/>
      <w:numFmt w:val="lowerRoman"/>
      <w:lvlText w:val="%9"/>
      <w:lvlJc w:val="left"/>
      <w:pPr>
        <w:ind w:left="617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4">
    <w:nsid w:val="3A0F0CB3"/>
    <w:multiLevelType w:val="hybridMultilevel"/>
    <w:tmpl w:val="CEAC18F0"/>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nsid w:val="3C332E7A"/>
    <w:multiLevelType w:val="hybridMultilevel"/>
    <w:tmpl w:val="5E3207C6"/>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nsid w:val="3E003E5F"/>
    <w:multiLevelType w:val="hybridMultilevel"/>
    <w:tmpl w:val="1B22578A"/>
    <w:lvl w:ilvl="0" w:tplc="7E88CDF4">
      <w:start w:val="1"/>
      <w:numFmt w:val="bullet"/>
      <w:lvlText w:val="–"/>
      <w:lvlJc w:val="left"/>
      <w:pPr>
        <w:ind w:left="1571" w:hanging="360"/>
      </w:pPr>
      <w:rPr>
        <w:rFonts w:ascii="Times" w:hAnsi="Times" w:cs="Times New Roman" w:hint="default"/>
        <w:color w:val="0066CC"/>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67">
    <w:nsid w:val="3E09122C"/>
    <w:multiLevelType w:val="hybridMultilevel"/>
    <w:tmpl w:val="9CD8AC36"/>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nsid w:val="3ECA1481"/>
    <w:multiLevelType w:val="hybridMultilevel"/>
    <w:tmpl w:val="1A7C6ACC"/>
    <w:lvl w:ilvl="0" w:tplc="ABDECF6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nsid w:val="3F461235"/>
    <w:multiLevelType w:val="hybridMultilevel"/>
    <w:tmpl w:val="379A93A8"/>
    <w:lvl w:ilvl="0" w:tplc="829862F0">
      <w:numFmt w:val="bullet"/>
      <w:lvlText w:val="-"/>
      <w:lvlJc w:val="left"/>
      <w:pPr>
        <w:ind w:left="765" w:hanging="360"/>
      </w:pPr>
      <w:rPr>
        <w:rFonts w:ascii="Calibri" w:eastAsia="SimSun" w:hAnsi="Calibri" w:cs="Times New Roman"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70">
    <w:nsid w:val="3FBF3DCF"/>
    <w:multiLevelType w:val="hybridMultilevel"/>
    <w:tmpl w:val="30662064"/>
    <w:lvl w:ilvl="0" w:tplc="A7FC0056">
      <w:start w:val="1"/>
      <w:numFmt w:val="lowerLetter"/>
      <w:lvlText w:val="%1)"/>
      <w:lvlJc w:val="left"/>
      <w:pPr>
        <w:ind w:left="927" w:hanging="360"/>
      </w:pPr>
    </w:lvl>
    <w:lvl w:ilvl="1" w:tplc="04050019">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71">
    <w:nsid w:val="3FF13876"/>
    <w:multiLevelType w:val="hybridMultilevel"/>
    <w:tmpl w:val="AD787A8E"/>
    <w:lvl w:ilvl="0" w:tplc="ABDECF64">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72">
    <w:nsid w:val="403C703E"/>
    <w:multiLevelType w:val="hybridMultilevel"/>
    <w:tmpl w:val="79122A46"/>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nsid w:val="4084418A"/>
    <w:multiLevelType w:val="hybridMultilevel"/>
    <w:tmpl w:val="02420E56"/>
    <w:lvl w:ilvl="0" w:tplc="04050015">
      <w:start w:val="1"/>
      <w:numFmt w:val="upperLetter"/>
      <w:lvlText w:val="%1."/>
      <w:lvlJc w:val="left"/>
      <w:pPr>
        <w:ind w:left="770" w:hanging="360"/>
      </w:pPr>
    </w:lvl>
    <w:lvl w:ilvl="1" w:tplc="04050019" w:tentative="1">
      <w:start w:val="1"/>
      <w:numFmt w:val="lowerLetter"/>
      <w:lvlText w:val="%2."/>
      <w:lvlJc w:val="left"/>
      <w:pPr>
        <w:ind w:left="1490" w:hanging="360"/>
      </w:pPr>
    </w:lvl>
    <w:lvl w:ilvl="2" w:tplc="0405001B" w:tentative="1">
      <w:start w:val="1"/>
      <w:numFmt w:val="lowerRoman"/>
      <w:lvlText w:val="%3."/>
      <w:lvlJc w:val="right"/>
      <w:pPr>
        <w:ind w:left="2210" w:hanging="180"/>
      </w:pPr>
    </w:lvl>
    <w:lvl w:ilvl="3" w:tplc="0405000F" w:tentative="1">
      <w:start w:val="1"/>
      <w:numFmt w:val="decimal"/>
      <w:lvlText w:val="%4."/>
      <w:lvlJc w:val="left"/>
      <w:pPr>
        <w:ind w:left="2930" w:hanging="360"/>
      </w:pPr>
    </w:lvl>
    <w:lvl w:ilvl="4" w:tplc="04050019" w:tentative="1">
      <w:start w:val="1"/>
      <w:numFmt w:val="lowerLetter"/>
      <w:lvlText w:val="%5."/>
      <w:lvlJc w:val="left"/>
      <w:pPr>
        <w:ind w:left="3650" w:hanging="360"/>
      </w:pPr>
    </w:lvl>
    <w:lvl w:ilvl="5" w:tplc="0405001B" w:tentative="1">
      <w:start w:val="1"/>
      <w:numFmt w:val="lowerRoman"/>
      <w:lvlText w:val="%6."/>
      <w:lvlJc w:val="right"/>
      <w:pPr>
        <w:ind w:left="4370" w:hanging="180"/>
      </w:pPr>
    </w:lvl>
    <w:lvl w:ilvl="6" w:tplc="0405000F" w:tentative="1">
      <w:start w:val="1"/>
      <w:numFmt w:val="decimal"/>
      <w:lvlText w:val="%7."/>
      <w:lvlJc w:val="left"/>
      <w:pPr>
        <w:ind w:left="5090" w:hanging="360"/>
      </w:pPr>
    </w:lvl>
    <w:lvl w:ilvl="7" w:tplc="04050019" w:tentative="1">
      <w:start w:val="1"/>
      <w:numFmt w:val="lowerLetter"/>
      <w:lvlText w:val="%8."/>
      <w:lvlJc w:val="left"/>
      <w:pPr>
        <w:ind w:left="5810" w:hanging="360"/>
      </w:pPr>
    </w:lvl>
    <w:lvl w:ilvl="8" w:tplc="0405001B" w:tentative="1">
      <w:start w:val="1"/>
      <w:numFmt w:val="lowerRoman"/>
      <w:lvlText w:val="%9."/>
      <w:lvlJc w:val="right"/>
      <w:pPr>
        <w:ind w:left="6530" w:hanging="180"/>
      </w:pPr>
    </w:lvl>
  </w:abstractNum>
  <w:abstractNum w:abstractNumId="74">
    <w:nsid w:val="425A3E99"/>
    <w:multiLevelType w:val="hybridMultilevel"/>
    <w:tmpl w:val="271CD22E"/>
    <w:lvl w:ilvl="0" w:tplc="6C8CBBBE">
      <w:start w:val="1"/>
      <w:numFmt w:val="decimal"/>
      <w:lvlText w:val="%1)"/>
      <w:lvlJc w:val="left"/>
      <w:pPr>
        <w:ind w:left="505" w:hanging="360"/>
      </w:pPr>
      <w:rPr>
        <w:rFonts w:hint="default"/>
      </w:rPr>
    </w:lvl>
    <w:lvl w:ilvl="1" w:tplc="04050019" w:tentative="1">
      <w:start w:val="1"/>
      <w:numFmt w:val="lowerLetter"/>
      <w:lvlText w:val="%2."/>
      <w:lvlJc w:val="left"/>
      <w:pPr>
        <w:ind w:left="1490" w:hanging="360"/>
      </w:pPr>
    </w:lvl>
    <w:lvl w:ilvl="2" w:tplc="0405001B" w:tentative="1">
      <w:start w:val="1"/>
      <w:numFmt w:val="lowerRoman"/>
      <w:lvlText w:val="%3."/>
      <w:lvlJc w:val="right"/>
      <w:pPr>
        <w:ind w:left="2210" w:hanging="180"/>
      </w:pPr>
    </w:lvl>
    <w:lvl w:ilvl="3" w:tplc="0405000F" w:tentative="1">
      <w:start w:val="1"/>
      <w:numFmt w:val="decimal"/>
      <w:lvlText w:val="%4."/>
      <w:lvlJc w:val="left"/>
      <w:pPr>
        <w:ind w:left="2930" w:hanging="360"/>
      </w:pPr>
    </w:lvl>
    <w:lvl w:ilvl="4" w:tplc="04050019" w:tentative="1">
      <w:start w:val="1"/>
      <w:numFmt w:val="lowerLetter"/>
      <w:lvlText w:val="%5."/>
      <w:lvlJc w:val="left"/>
      <w:pPr>
        <w:ind w:left="3650" w:hanging="360"/>
      </w:pPr>
    </w:lvl>
    <w:lvl w:ilvl="5" w:tplc="0405001B" w:tentative="1">
      <w:start w:val="1"/>
      <w:numFmt w:val="lowerRoman"/>
      <w:lvlText w:val="%6."/>
      <w:lvlJc w:val="right"/>
      <w:pPr>
        <w:ind w:left="4370" w:hanging="180"/>
      </w:pPr>
    </w:lvl>
    <w:lvl w:ilvl="6" w:tplc="0405000F" w:tentative="1">
      <w:start w:val="1"/>
      <w:numFmt w:val="decimal"/>
      <w:lvlText w:val="%7."/>
      <w:lvlJc w:val="left"/>
      <w:pPr>
        <w:ind w:left="5090" w:hanging="360"/>
      </w:pPr>
    </w:lvl>
    <w:lvl w:ilvl="7" w:tplc="04050019" w:tentative="1">
      <w:start w:val="1"/>
      <w:numFmt w:val="lowerLetter"/>
      <w:lvlText w:val="%8."/>
      <w:lvlJc w:val="left"/>
      <w:pPr>
        <w:ind w:left="5810" w:hanging="360"/>
      </w:pPr>
    </w:lvl>
    <w:lvl w:ilvl="8" w:tplc="0405001B" w:tentative="1">
      <w:start w:val="1"/>
      <w:numFmt w:val="lowerRoman"/>
      <w:lvlText w:val="%9."/>
      <w:lvlJc w:val="right"/>
      <w:pPr>
        <w:ind w:left="6530" w:hanging="180"/>
      </w:pPr>
    </w:lvl>
  </w:abstractNum>
  <w:abstractNum w:abstractNumId="75">
    <w:nsid w:val="4308418D"/>
    <w:multiLevelType w:val="hybridMultilevel"/>
    <w:tmpl w:val="0C9E86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nsid w:val="44BF26E3"/>
    <w:multiLevelType w:val="hybridMultilevel"/>
    <w:tmpl w:val="44CCCF00"/>
    <w:lvl w:ilvl="0" w:tplc="2DB609FA">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nsid w:val="4B960403"/>
    <w:multiLevelType w:val="multilevel"/>
    <w:tmpl w:val="31945AF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8">
    <w:nsid w:val="4D503797"/>
    <w:multiLevelType w:val="hybridMultilevel"/>
    <w:tmpl w:val="C1BE3210"/>
    <w:lvl w:ilvl="0" w:tplc="73145E2E">
      <w:start w:val="5"/>
      <w:numFmt w:val="bullet"/>
      <w:pStyle w:val="5odrazka"/>
      <w:lvlText w:val="-"/>
      <w:lvlJc w:val="left"/>
      <w:pPr>
        <w:ind w:left="720" w:hanging="360"/>
      </w:pPr>
      <w:rPr>
        <w:rFonts w:ascii="Arial Narrow" w:eastAsia="SimSun" w:hAnsi="Arial Narrow" w:cs="Times New Roman" w:hint="default"/>
      </w:rPr>
    </w:lvl>
    <w:lvl w:ilvl="1" w:tplc="86504C5E">
      <w:start w:val="2"/>
      <w:numFmt w:val="bullet"/>
      <w:lvlText w:val="-"/>
      <w:lvlJc w:val="left"/>
      <w:pPr>
        <w:ind w:left="1440" w:hanging="360"/>
      </w:pPr>
      <w:rPr>
        <w:rFonts w:ascii="Arial Narrow" w:eastAsia="SimSun" w:hAnsi="Arial Narrow"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nsid w:val="4DA629D6"/>
    <w:multiLevelType w:val="hybridMultilevel"/>
    <w:tmpl w:val="778EE866"/>
    <w:lvl w:ilvl="0" w:tplc="86504C5E">
      <w:start w:val="2"/>
      <w:numFmt w:val="bullet"/>
      <w:lvlText w:val="-"/>
      <w:lvlJc w:val="left"/>
      <w:pPr>
        <w:ind w:left="1800" w:hanging="360"/>
      </w:pPr>
      <w:rPr>
        <w:rFonts w:ascii="Arial Narrow" w:eastAsia="SimSun" w:hAnsi="Arial Narrow" w:cs="Times New Roman"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80">
    <w:nsid w:val="4EB96117"/>
    <w:multiLevelType w:val="hybridMultilevel"/>
    <w:tmpl w:val="EE7CB8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nsid w:val="4F68138F"/>
    <w:multiLevelType w:val="hybridMultilevel"/>
    <w:tmpl w:val="26864DC2"/>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nsid w:val="50187314"/>
    <w:multiLevelType w:val="hybridMultilevel"/>
    <w:tmpl w:val="10528E1E"/>
    <w:lvl w:ilvl="0" w:tplc="C7A48D6C">
      <w:start w:val="1"/>
      <w:numFmt w:val="bullet"/>
      <w:lvlText w:val="•"/>
      <w:lvlJc w:val="left"/>
      <w:pPr>
        <w:ind w:left="720" w:hanging="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nsid w:val="51C835C9"/>
    <w:multiLevelType w:val="hybridMultilevel"/>
    <w:tmpl w:val="B3BCEB32"/>
    <w:lvl w:ilvl="0" w:tplc="13F631E8">
      <w:start w:val="1"/>
      <w:numFmt w:val="lowerLetter"/>
      <w:lvlText w:val="%1)"/>
      <w:lvlJc w:val="left"/>
      <w:pPr>
        <w:ind w:left="410" w:hanging="360"/>
      </w:pPr>
      <w:rPr>
        <w:rFonts w:hint="default"/>
      </w:rPr>
    </w:lvl>
    <w:lvl w:ilvl="1" w:tplc="04050019" w:tentative="1">
      <w:start w:val="1"/>
      <w:numFmt w:val="lowerLetter"/>
      <w:lvlText w:val="%2."/>
      <w:lvlJc w:val="left"/>
      <w:pPr>
        <w:ind w:left="1130" w:hanging="360"/>
      </w:pPr>
    </w:lvl>
    <w:lvl w:ilvl="2" w:tplc="0405001B" w:tentative="1">
      <w:start w:val="1"/>
      <w:numFmt w:val="lowerRoman"/>
      <w:lvlText w:val="%3."/>
      <w:lvlJc w:val="right"/>
      <w:pPr>
        <w:ind w:left="1850" w:hanging="180"/>
      </w:pPr>
    </w:lvl>
    <w:lvl w:ilvl="3" w:tplc="0405000F" w:tentative="1">
      <w:start w:val="1"/>
      <w:numFmt w:val="decimal"/>
      <w:lvlText w:val="%4."/>
      <w:lvlJc w:val="left"/>
      <w:pPr>
        <w:ind w:left="2570" w:hanging="360"/>
      </w:pPr>
    </w:lvl>
    <w:lvl w:ilvl="4" w:tplc="04050019" w:tentative="1">
      <w:start w:val="1"/>
      <w:numFmt w:val="lowerLetter"/>
      <w:lvlText w:val="%5."/>
      <w:lvlJc w:val="left"/>
      <w:pPr>
        <w:ind w:left="3290" w:hanging="360"/>
      </w:pPr>
    </w:lvl>
    <w:lvl w:ilvl="5" w:tplc="0405001B" w:tentative="1">
      <w:start w:val="1"/>
      <w:numFmt w:val="lowerRoman"/>
      <w:lvlText w:val="%6."/>
      <w:lvlJc w:val="right"/>
      <w:pPr>
        <w:ind w:left="4010" w:hanging="180"/>
      </w:pPr>
    </w:lvl>
    <w:lvl w:ilvl="6" w:tplc="0405000F" w:tentative="1">
      <w:start w:val="1"/>
      <w:numFmt w:val="decimal"/>
      <w:lvlText w:val="%7."/>
      <w:lvlJc w:val="left"/>
      <w:pPr>
        <w:ind w:left="4730" w:hanging="360"/>
      </w:pPr>
    </w:lvl>
    <w:lvl w:ilvl="7" w:tplc="04050019" w:tentative="1">
      <w:start w:val="1"/>
      <w:numFmt w:val="lowerLetter"/>
      <w:lvlText w:val="%8."/>
      <w:lvlJc w:val="left"/>
      <w:pPr>
        <w:ind w:left="5450" w:hanging="360"/>
      </w:pPr>
    </w:lvl>
    <w:lvl w:ilvl="8" w:tplc="0405001B" w:tentative="1">
      <w:start w:val="1"/>
      <w:numFmt w:val="lowerRoman"/>
      <w:lvlText w:val="%9."/>
      <w:lvlJc w:val="right"/>
      <w:pPr>
        <w:ind w:left="6170" w:hanging="180"/>
      </w:pPr>
    </w:lvl>
  </w:abstractNum>
  <w:abstractNum w:abstractNumId="84">
    <w:nsid w:val="51DF205E"/>
    <w:multiLevelType w:val="hybridMultilevel"/>
    <w:tmpl w:val="F6940E9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5">
    <w:nsid w:val="528466B9"/>
    <w:multiLevelType w:val="hybridMultilevel"/>
    <w:tmpl w:val="5AA0025A"/>
    <w:lvl w:ilvl="0" w:tplc="86CE136A">
      <w:start w:val="1"/>
      <w:numFmt w:val="lowerLetter"/>
      <w:lvlText w:val="%1)"/>
      <w:lvlJc w:val="left"/>
      <w:pPr>
        <w:ind w:left="720" w:hanging="360"/>
      </w:pPr>
      <w:rPr>
        <w:rFonts w:cs="Times New Roman" w:hint="default"/>
        <w:b w:val="0"/>
        <w:bCs w:val="0"/>
        <w:i w:val="0"/>
        <w:iCs w:val="0"/>
        <w:caps w:val="0"/>
        <w:strike w:val="0"/>
        <w:dstrike w:val="0"/>
        <w:vanish w:val="0"/>
        <w:color w:val="auto"/>
        <w:spacing w:val="0"/>
        <w:kern w:val="0"/>
        <w:position w:val="0"/>
        <w:u w:val="none"/>
        <w:vertAlign w:val="baseline"/>
        <w:em w:val="none"/>
      </w:rPr>
    </w:lvl>
    <w:lvl w:ilvl="1" w:tplc="04050019" w:tentative="1">
      <w:start w:val="1"/>
      <w:numFmt w:val="lowerLetter"/>
      <w:lvlText w:val="%2."/>
      <w:lvlJc w:val="left"/>
      <w:pPr>
        <w:ind w:left="1440" w:hanging="360"/>
      </w:pPr>
    </w:lvl>
    <w:lvl w:ilvl="2" w:tplc="8038416E">
      <w:start w:val="1"/>
      <w:numFmt w:val="lowerLetter"/>
      <w:pStyle w:val="3psmeno"/>
      <w:lvlText w:val="%3)"/>
      <w:lvlJc w:val="lef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nsid w:val="543C4960"/>
    <w:multiLevelType w:val="hybridMultilevel"/>
    <w:tmpl w:val="381252DC"/>
    <w:lvl w:ilvl="0" w:tplc="4D704F76">
      <w:start w:val="2"/>
      <w:numFmt w:val="bullet"/>
      <w:lvlText w:val="-"/>
      <w:lvlJc w:val="left"/>
      <w:pPr>
        <w:ind w:left="720"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nsid w:val="560D6732"/>
    <w:multiLevelType w:val="hybridMultilevel"/>
    <w:tmpl w:val="103E8DDE"/>
    <w:lvl w:ilvl="0" w:tplc="399437C6">
      <w:start w:val="1"/>
      <w:numFmt w:val="bullet"/>
      <w:lvlText w:val="-"/>
      <w:lvlJc w:val="left"/>
      <w:pPr>
        <w:ind w:left="1080" w:hanging="360"/>
      </w:pPr>
      <w:rPr>
        <w:rFonts w:ascii="Arial Narrow" w:eastAsia="SimSun" w:hAnsi="Arial Narrow" w:cs="Times New Roman" w:hint="default"/>
        <w:u w:val="none"/>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8">
    <w:nsid w:val="56985C6B"/>
    <w:multiLevelType w:val="hybridMultilevel"/>
    <w:tmpl w:val="9C78212E"/>
    <w:lvl w:ilvl="0" w:tplc="F9CCAD4C">
      <w:start w:val="1"/>
      <w:numFmt w:val="bullet"/>
      <w:pStyle w:val="ListBullet2"/>
      <w:lvlText w:val=""/>
      <w:lvlJc w:val="left"/>
      <w:pPr>
        <w:tabs>
          <w:tab w:val="num" w:pos="737"/>
        </w:tabs>
        <w:ind w:left="737" w:hanging="380"/>
      </w:pPr>
      <w:rPr>
        <w:rFonts w:ascii="Symbol" w:hAnsi="Symbol" w:hint="default"/>
        <w:color w:val="auto"/>
      </w:rPr>
    </w:lvl>
    <w:lvl w:ilvl="1" w:tplc="6E763554">
      <w:start w:val="1"/>
      <w:numFmt w:val="bullet"/>
      <w:lvlText w:val=""/>
      <w:lvlJc w:val="left"/>
      <w:pPr>
        <w:tabs>
          <w:tab w:val="num" w:pos="1069"/>
        </w:tabs>
        <w:ind w:left="1021" w:hanging="312"/>
      </w:pPr>
      <w:rPr>
        <w:rFonts w:ascii="Symbol" w:hAnsi="Symbol"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89">
    <w:nsid w:val="5C712058"/>
    <w:multiLevelType w:val="hybridMultilevel"/>
    <w:tmpl w:val="42B0B3DC"/>
    <w:lvl w:ilvl="0" w:tplc="BCD2743A">
      <w:start w:val="1"/>
      <w:numFmt w:val="lowerLetter"/>
      <w:pStyle w:val="2psmeno"/>
      <w:lvlText w:val="%1)"/>
      <w:lvlJc w:val="left"/>
      <w:pPr>
        <w:ind w:left="1069" w:hanging="360"/>
      </w:pPr>
      <w:rPr>
        <w:rFonts w:cs="Times New Roman" w:hint="default"/>
        <w:b w:val="0"/>
        <w:bCs w:val="0"/>
        <w:i w:val="0"/>
        <w:iCs w:val="0"/>
        <w:caps w:val="0"/>
        <w:strike w:val="0"/>
        <w:dstrike w:val="0"/>
        <w:vanish w:val="0"/>
        <w:color w:val="auto"/>
        <w:spacing w:val="0"/>
        <w:kern w:val="0"/>
        <w:position w:val="0"/>
        <w:u w:val="none"/>
        <w:vertAlign w:val="baseline"/>
        <w:em w:val="none"/>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90">
    <w:nsid w:val="5CB96045"/>
    <w:multiLevelType w:val="hybridMultilevel"/>
    <w:tmpl w:val="EB62C978"/>
    <w:lvl w:ilvl="0" w:tplc="7E88CDF4">
      <w:start w:val="1"/>
      <w:numFmt w:val="bullet"/>
      <w:lvlText w:val="–"/>
      <w:lvlJc w:val="left"/>
      <w:pPr>
        <w:ind w:left="1571" w:hanging="360"/>
      </w:pPr>
      <w:rPr>
        <w:rFonts w:ascii="Times" w:hAnsi="Times" w:cs="Times New Roman" w:hint="default"/>
        <w:color w:val="0066CC"/>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91">
    <w:nsid w:val="5DF36F24"/>
    <w:multiLevelType w:val="hybridMultilevel"/>
    <w:tmpl w:val="0D1419A6"/>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92">
    <w:nsid w:val="5EBF1383"/>
    <w:multiLevelType w:val="hybridMultilevel"/>
    <w:tmpl w:val="3EB2898E"/>
    <w:lvl w:ilvl="0" w:tplc="CF7E8C1A">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3">
    <w:nsid w:val="5F417A04"/>
    <w:multiLevelType w:val="hybridMultilevel"/>
    <w:tmpl w:val="77F0C62A"/>
    <w:lvl w:ilvl="0" w:tplc="7E88CDF4">
      <w:start w:val="1"/>
      <w:numFmt w:val="bullet"/>
      <w:lvlText w:val="–"/>
      <w:lvlJc w:val="left"/>
      <w:pPr>
        <w:ind w:left="1571" w:hanging="360"/>
      </w:pPr>
      <w:rPr>
        <w:rFonts w:ascii="Times" w:hAnsi="Times" w:cs="Times New Roman" w:hint="default"/>
        <w:color w:val="0066CC"/>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94">
    <w:nsid w:val="5FD24EA6"/>
    <w:multiLevelType w:val="hybridMultilevel"/>
    <w:tmpl w:val="1272FC0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5">
    <w:nsid w:val="604D4646"/>
    <w:multiLevelType w:val="hybridMultilevel"/>
    <w:tmpl w:val="3AAA0982"/>
    <w:lvl w:ilvl="0" w:tplc="A00A34B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6">
    <w:nsid w:val="655D7BE4"/>
    <w:multiLevelType w:val="hybridMultilevel"/>
    <w:tmpl w:val="C0A2B370"/>
    <w:lvl w:ilvl="0" w:tplc="66B47616">
      <w:start w:val="1"/>
      <w:numFmt w:val="decimal"/>
      <w:lvlText w:val="%1."/>
      <w:lvlJc w:val="left"/>
      <w:pPr>
        <w:ind w:left="23"/>
      </w:pPr>
      <w:rPr>
        <w:rFonts w:ascii="Arial Narrow" w:eastAsia="Calibri" w:hAnsi="Arial Narrow" w:cs="Calibri" w:hint="default"/>
        <w:b w:val="0"/>
        <w:i w:val="0"/>
        <w:strike w:val="0"/>
        <w:dstrike w:val="0"/>
        <w:color w:val="000000"/>
        <w:sz w:val="22"/>
        <w:szCs w:val="22"/>
        <w:u w:val="none" w:color="000000"/>
        <w:bdr w:val="none" w:sz="0" w:space="0" w:color="auto"/>
        <w:shd w:val="clear" w:color="auto" w:fill="auto"/>
        <w:vertAlign w:val="baseline"/>
      </w:rPr>
    </w:lvl>
    <w:lvl w:ilvl="1" w:tplc="05EEC444">
      <w:start w:val="1"/>
      <w:numFmt w:val="decimal"/>
      <w:lvlText w:val="%2"/>
      <w:lvlJc w:val="left"/>
      <w:pPr>
        <w:ind w:left="725"/>
      </w:pPr>
      <w:rPr>
        <w:rFonts w:ascii="Arial Narrow" w:eastAsia="Calibri" w:hAnsi="Arial Narrow" w:cs="Calibri" w:hint="default"/>
        <w:b w:val="0"/>
        <w:i w:val="0"/>
        <w:strike w:val="0"/>
        <w:dstrike w:val="0"/>
        <w:color w:val="000000"/>
        <w:sz w:val="22"/>
        <w:szCs w:val="22"/>
        <w:u w:val="none" w:color="000000"/>
        <w:bdr w:val="none" w:sz="0" w:space="0" w:color="auto"/>
        <w:shd w:val="clear" w:color="auto" w:fill="auto"/>
        <w:vertAlign w:val="baseline"/>
      </w:rPr>
    </w:lvl>
    <w:lvl w:ilvl="2" w:tplc="D3CCD6FE">
      <w:start w:val="1"/>
      <w:numFmt w:val="lowerRoman"/>
      <w:lvlText w:val="%3"/>
      <w:lvlJc w:val="left"/>
      <w:pPr>
        <w:ind w:left="14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0281016">
      <w:start w:val="1"/>
      <w:numFmt w:val="decimal"/>
      <w:lvlText w:val="%4"/>
      <w:lvlJc w:val="left"/>
      <w:pPr>
        <w:ind w:left="21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966629E">
      <w:start w:val="1"/>
      <w:numFmt w:val="lowerLetter"/>
      <w:lvlText w:val="%5"/>
      <w:lvlJc w:val="left"/>
      <w:pPr>
        <w:ind w:left="28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244C7C4">
      <w:start w:val="1"/>
      <w:numFmt w:val="lowerRoman"/>
      <w:lvlText w:val="%6"/>
      <w:lvlJc w:val="left"/>
      <w:pPr>
        <w:ind w:left="36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3AC8780">
      <w:start w:val="1"/>
      <w:numFmt w:val="decimal"/>
      <w:lvlText w:val="%7"/>
      <w:lvlJc w:val="left"/>
      <w:pPr>
        <w:ind w:left="43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9D0A2EDC">
      <w:start w:val="1"/>
      <w:numFmt w:val="lowerLetter"/>
      <w:lvlText w:val="%8"/>
      <w:lvlJc w:val="left"/>
      <w:pPr>
        <w:ind w:left="50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6AEAECE">
      <w:start w:val="1"/>
      <w:numFmt w:val="lowerRoman"/>
      <w:lvlText w:val="%9"/>
      <w:lvlJc w:val="left"/>
      <w:pPr>
        <w:ind w:left="57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7">
    <w:nsid w:val="6616298E"/>
    <w:multiLevelType w:val="hybridMultilevel"/>
    <w:tmpl w:val="D4E28AA6"/>
    <w:lvl w:ilvl="0" w:tplc="7E88CDF4">
      <w:start w:val="1"/>
      <w:numFmt w:val="bullet"/>
      <w:lvlText w:val="–"/>
      <w:lvlJc w:val="left"/>
      <w:pPr>
        <w:ind w:left="1571" w:hanging="360"/>
      </w:pPr>
      <w:rPr>
        <w:rFonts w:ascii="Times" w:hAnsi="Times" w:cs="Times New Roman" w:hint="default"/>
        <w:color w:val="0066CC"/>
      </w:rPr>
    </w:lvl>
    <w:lvl w:ilvl="1" w:tplc="04050003" w:tentative="1">
      <w:start w:val="1"/>
      <w:numFmt w:val="bullet"/>
      <w:lvlText w:val="o"/>
      <w:lvlJc w:val="left"/>
      <w:pPr>
        <w:ind w:left="2291" w:hanging="360"/>
      </w:pPr>
      <w:rPr>
        <w:rFonts w:ascii="Courier New" w:hAnsi="Courier New" w:cs="Courier New" w:hint="default"/>
      </w:rPr>
    </w:lvl>
    <w:lvl w:ilvl="2" w:tplc="04050005" w:tentative="1">
      <w:start w:val="1"/>
      <w:numFmt w:val="bullet"/>
      <w:lvlText w:val=""/>
      <w:lvlJc w:val="left"/>
      <w:pPr>
        <w:ind w:left="3011" w:hanging="360"/>
      </w:pPr>
      <w:rPr>
        <w:rFonts w:ascii="Wingdings" w:hAnsi="Wingdings" w:hint="default"/>
      </w:rPr>
    </w:lvl>
    <w:lvl w:ilvl="3" w:tplc="04050001" w:tentative="1">
      <w:start w:val="1"/>
      <w:numFmt w:val="bullet"/>
      <w:lvlText w:val=""/>
      <w:lvlJc w:val="left"/>
      <w:pPr>
        <w:ind w:left="3731" w:hanging="360"/>
      </w:pPr>
      <w:rPr>
        <w:rFonts w:ascii="Symbol" w:hAnsi="Symbol" w:hint="default"/>
      </w:rPr>
    </w:lvl>
    <w:lvl w:ilvl="4" w:tplc="04050003" w:tentative="1">
      <w:start w:val="1"/>
      <w:numFmt w:val="bullet"/>
      <w:lvlText w:val="o"/>
      <w:lvlJc w:val="left"/>
      <w:pPr>
        <w:ind w:left="4451" w:hanging="360"/>
      </w:pPr>
      <w:rPr>
        <w:rFonts w:ascii="Courier New" w:hAnsi="Courier New" w:cs="Courier New" w:hint="default"/>
      </w:rPr>
    </w:lvl>
    <w:lvl w:ilvl="5" w:tplc="04050005" w:tentative="1">
      <w:start w:val="1"/>
      <w:numFmt w:val="bullet"/>
      <w:lvlText w:val=""/>
      <w:lvlJc w:val="left"/>
      <w:pPr>
        <w:ind w:left="5171" w:hanging="360"/>
      </w:pPr>
      <w:rPr>
        <w:rFonts w:ascii="Wingdings" w:hAnsi="Wingdings" w:hint="default"/>
      </w:rPr>
    </w:lvl>
    <w:lvl w:ilvl="6" w:tplc="04050001" w:tentative="1">
      <w:start w:val="1"/>
      <w:numFmt w:val="bullet"/>
      <w:lvlText w:val=""/>
      <w:lvlJc w:val="left"/>
      <w:pPr>
        <w:ind w:left="5891" w:hanging="360"/>
      </w:pPr>
      <w:rPr>
        <w:rFonts w:ascii="Symbol" w:hAnsi="Symbol" w:hint="default"/>
      </w:rPr>
    </w:lvl>
    <w:lvl w:ilvl="7" w:tplc="04050003" w:tentative="1">
      <w:start w:val="1"/>
      <w:numFmt w:val="bullet"/>
      <w:lvlText w:val="o"/>
      <w:lvlJc w:val="left"/>
      <w:pPr>
        <w:ind w:left="6611" w:hanging="360"/>
      </w:pPr>
      <w:rPr>
        <w:rFonts w:ascii="Courier New" w:hAnsi="Courier New" w:cs="Courier New" w:hint="default"/>
      </w:rPr>
    </w:lvl>
    <w:lvl w:ilvl="8" w:tplc="04050005" w:tentative="1">
      <w:start w:val="1"/>
      <w:numFmt w:val="bullet"/>
      <w:lvlText w:val=""/>
      <w:lvlJc w:val="left"/>
      <w:pPr>
        <w:ind w:left="7331" w:hanging="360"/>
      </w:pPr>
      <w:rPr>
        <w:rFonts w:ascii="Wingdings" w:hAnsi="Wingdings" w:hint="default"/>
      </w:rPr>
    </w:lvl>
  </w:abstractNum>
  <w:abstractNum w:abstractNumId="98">
    <w:nsid w:val="66464C41"/>
    <w:multiLevelType w:val="hybridMultilevel"/>
    <w:tmpl w:val="A21A575A"/>
    <w:lvl w:ilvl="0" w:tplc="A3325318">
      <w:start w:val="1"/>
      <w:numFmt w:val="lowerLetter"/>
      <w:lvlText w:val="%1)"/>
      <w:lvlJc w:val="left"/>
      <w:pPr>
        <w:ind w:left="720" w:hanging="360"/>
      </w:pPr>
      <w:rPr>
        <w:rFonts w:hint="default"/>
        <w:sz w:val="23"/>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9">
    <w:nsid w:val="666757DC"/>
    <w:multiLevelType w:val="hybridMultilevel"/>
    <w:tmpl w:val="BE58EE4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682E413C">
      <w:start w:val="1"/>
      <w:numFmt w:val="bullet"/>
      <w:lvlText w:val=""/>
      <w:lvlJc w:val="left"/>
      <w:pPr>
        <w:ind w:left="2160" w:hanging="360"/>
      </w:pPr>
      <w:rPr>
        <w:rFonts w:ascii="Symbol" w:hAnsi="Symbol"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nsid w:val="67E57766"/>
    <w:multiLevelType w:val="hybridMultilevel"/>
    <w:tmpl w:val="05E6A17C"/>
    <w:lvl w:ilvl="0" w:tplc="29700E8A">
      <w:numFmt w:val="bullet"/>
      <w:pStyle w:val="OV3"/>
      <w:lvlText w:val="-"/>
      <w:lvlJc w:val="left"/>
      <w:pPr>
        <w:tabs>
          <w:tab w:val="num" w:pos="927"/>
        </w:tabs>
        <w:ind w:left="927" w:hanging="360"/>
      </w:pPr>
      <w:rPr>
        <w:rFonts w:ascii="Century Gothic" w:eastAsia="Times New Roman" w:hAnsi="Century Gothic"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01">
    <w:nsid w:val="688C189C"/>
    <w:multiLevelType w:val="hybridMultilevel"/>
    <w:tmpl w:val="20441308"/>
    <w:lvl w:ilvl="0" w:tplc="251E52F8">
      <w:start w:val="1"/>
      <w:numFmt w:val="decimal"/>
      <w:lvlText w:val="%1)"/>
      <w:lvlJc w:val="left"/>
      <w:pPr>
        <w:ind w:left="1065" w:hanging="70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2">
    <w:nsid w:val="69750BED"/>
    <w:multiLevelType w:val="hybridMultilevel"/>
    <w:tmpl w:val="889C4432"/>
    <w:lvl w:ilvl="0" w:tplc="4D704F76">
      <w:start w:val="2"/>
      <w:numFmt w:val="bullet"/>
      <w:lvlText w:val="-"/>
      <w:lvlJc w:val="left"/>
      <w:pPr>
        <w:ind w:left="720"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nsid w:val="6B3177E5"/>
    <w:multiLevelType w:val="hybridMultilevel"/>
    <w:tmpl w:val="2266EFDE"/>
    <w:lvl w:ilvl="0" w:tplc="C70490CE">
      <w:start w:val="1"/>
      <w:numFmt w:val="bullet"/>
      <w:lvlText w:val=""/>
      <w:lvlJc w:val="left"/>
      <w:pPr>
        <w:tabs>
          <w:tab w:val="num" w:pos="720"/>
        </w:tabs>
        <w:ind w:left="72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nsid w:val="6B876BC4"/>
    <w:multiLevelType w:val="hybridMultilevel"/>
    <w:tmpl w:val="0FC09F84"/>
    <w:lvl w:ilvl="0" w:tplc="26C257CC">
      <w:start w:val="1"/>
      <w:numFmt w:val="lowerLetter"/>
      <w:pStyle w:val="b-pismeno"/>
      <w:lvlText w:val="%1)"/>
      <w:lvlJc w:val="left"/>
      <w:pPr>
        <w:ind w:left="1080" w:hanging="360"/>
      </w:pPr>
      <w:rPr>
        <w:rFonts w:cs="Times New Roman" w:hint="default"/>
        <w:b w:val="0"/>
        <w:bCs w:val="0"/>
        <w:i w:val="0"/>
        <w:iCs w:val="0"/>
        <w:caps w:val="0"/>
        <w:smallCaps w:val="0"/>
        <w:strike w:val="0"/>
        <w:dstrike w:val="0"/>
        <w:noProof w:val="0"/>
        <w:vanish w:val="0"/>
        <w:color w:val="auto"/>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05">
    <w:nsid w:val="6BD9390D"/>
    <w:multiLevelType w:val="hybridMultilevel"/>
    <w:tmpl w:val="CF2C5A1E"/>
    <w:lvl w:ilvl="0" w:tplc="04050001">
      <w:start w:val="1"/>
      <w:numFmt w:val="bullet"/>
      <w:lvlText w:val=""/>
      <w:lvlJc w:val="left"/>
      <w:pPr>
        <w:ind w:left="360" w:hanging="360"/>
      </w:pPr>
      <w:rPr>
        <w:rFonts w:ascii="Symbol" w:hAnsi="Symbol" w:hint="default"/>
        <w:b w:val="0"/>
        <w:i w:val="0"/>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6">
    <w:nsid w:val="6BF01A35"/>
    <w:multiLevelType w:val="hybridMultilevel"/>
    <w:tmpl w:val="0F3A86AC"/>
    <w:lvl w:ilvl="0" w:tplc="A00A34B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7">
    <w:nsid w:val="6C7F18A8"/>
    <w:multiLevelType w:val="hybridMultilevel"/>
    <w:tmpl w:val="2AF8E0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8">
    <w:nsid w:val="6DE95EF7"/>
    <w:multiLevelType w:val="hybridMultilevel"/>
    <w:tmpl w:val="1DA0E008"/>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9">
    <w:nsid w:val="6E045EFD"/>
    <w:multiLevelType w:val="hybridMultilevel"/>
    <w:tmpl w:val="FC56265C"/>
    <w:lvl w:ilvl="0" w:tplc="6C8CBBBE">
      <w:start w:val="1"/>
      <w:numFmt w:val="decimal"/>
      <w:lvlText w:val="%1)"/>
      <w:lvlJc w:val="left"/>
      <w:pPr>
        <w:ind w:left="455" w:hanging="360"/>
      </w:pPr>
      <w:rPr>
        <w:rFonts w:hint="default"/>
      </w:rPr>
    </w:lvl>
    <w:lvl w:ilvl="1" w:tplc="04050019" w:tentative="1">
      <w:start w:val="1"/>
      <w:numFmt w:val="lowerLetter"/>
      <w:lvlText w:val="%2."/>
      <w:lvlJc w:val="left"/>
      <w:pPr>
        <w:ind w:left="1175" w:hanging="360"/>
      </w:pPr>
    </w:lvl>
    <w:lvl w:ilvl="2" w:tplc="0405001B" w:tentative="1">
      <w:start w:val="1"/>
      <w:numFmt w:val="lowerRoman"/>
      <w:lvlText w:val="%3."/>
      <w:lvlJc w:val="right"/>
      <w:pPr>
        <w:ind w:left="1895" w:hanging="180"/>
      </w:pPr>
    </w:lvl>
    <w:lvl w:ilvl="3" w:tplc="0405000F" w:tentative="1">
      <w:start w:val="1"/>
      <w:numFmt w:val="decimal"/>
      <w:lvlText w:val="%4."/>
      <w:lvlJc w:val="left"/>
      <w:pPr>
        <w:ind w:left="2615" w:hanging="360"/>
      </w:pPr>
    </w:lvl>
    <w:lvl w:ilvl="4" w:tplc="04050019" w:tentative="1">
      <w:start w:val="1"/>
      <w:numFmt w:val="lowerLetter"/>
      <w:lvlText w:val="%5."/>
      <w:lvlJc w:val="left"/>
      <w:pPr>
        <w:ind w:left="3335" w:hanging="360"/>
      </w:pPr>
    </w:lvl>
    <w:lvl w:ilvl="5" w:tplc="0405001B" w:tentative="1">
      <w:start w:val="1"/>
      <w:numFmt w:val="lowerRoman"/>
      <w:lvlText w:val="%6."/>
      <w:lvlJc w:val="right"/>
      <w:pPr>
        <w:ind w:left="4055" w:hanging="180"/>
      </w:pPr>
    </w:lvl>
    <w:lvl w:ilvl="6" w:tplc="0405000F" w:tentative="1">
      <w:start w:val="1"/>
      <w:numFmt w:val="decimal"/>
      <w:lvlText w:val="%7."/>
      <w:lvlJc w:val="left"/>
      <w:pPr>
        <w:ind w:left="4775" w:hanging="360"/>
      </w:pPr>
    </w:lvl>
    <w:lvl w:ilvl="7" w:tplc="04050019" w:tentative="1">
      <w:start w:val="1"/>
      <w:numFmt w:val="lowerLetter"/>
      <w:lvlText w:val="%8."/>
      <w:lvlJc w:val="left"/>
      <w:pPr>
        <w:ind w:left="5495" w:hanging="360"/>
      </w:pPr>
    </w:lvl>
    <w:lvl w:ilvl="8" w:tplc="0405001B" w:tentative="1">
      <w:start w:val="1"/>
      <w:numFmt w:val="lowerRoman"/>
      <w:lvlText w:val="%9."/>
      <w:lvlJc w:val="right"/>
      <w:pPr>
        <w:ind w:left="6215" w:hanging="180"/>
      </w:pPr>
    </w:lvl>
  </w:abstractNum>
  <w:abstractNum w:abstractNumId="110">
    <w:nsid w:val="6E950962"/>
    <w:multiLevelType w:val="hybridMultilevel"/>
    <w:tmpl w:val="44CCCF00"/>
    <w:lvl w:ilvl="0" w:tplc="2DB609FA">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1">
    <w:nsid w:val="6FAB30AF"/>
    <w:multiLevelType w:val="hybridMultilevel"/>
    <w:tmpl w:val="B41ADDF0"/>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2">
    <w:nsid w:val="70095424"/>
    <w:multiLevelType w:val="hybridMultilevel"/>
    <w:tmpl w:val="6706D1D6"/>
    <w:lvl w:ilvl="0" w:tplc="B08A3694">
      <w:start w:val="1"/>
      <w:numFmt w:val="bullet"/>
      <w:lvlText w:val="–"/>
      <w:lvlJc w:val="left"/>
      <w:pPr>
        <w:ind w:left="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25AC88B0">
      <w:start w:val="1"/>
      <w:numFmt w:val="bullet"/>
      <w:lvlText w:val="o"/>
      <w:lvlJc w:val="left"/>
      <w:pPr>
        <w:ind w:left="84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2" w:tplc="5F34D666">
      <w:start w:val="1"/>
      <w:numFmt w:val="bullet"/>
      <w:lvlText w:val="▪"/>
      <w:lvlJc w:val="left"/>
      <w:pPr>
        <w:ind w:left="156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3" w:tplc="C7A48D6C">
      <w:start w:val="1"/>
      <w:numFmt w:val="bullet"/>
      <w:lvlText w:val="•"/>
      <w:lvlJc w:val="left"/>
      <w:pPr>
        <w:ind w:left="228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4" w:tplc="E3AE23AE">
      <w:start w:val="1"/>
      <w:numFmt w:val="bullet"/>
      <w:lvlText w:val="o"/>
      <w:lvlJc w:val="left"/>
      <w:pPr>
        <w:ind w:left="300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5" w:tplc="2BE448AE">
      <w:start w:val="1"/>
      <w:numFmt w:val="bullet"/>
      <w:lvlText w:val="▪"/>
      <w:lvlJc w:val="left"/>
      <w:pPr>
        <w:ind w:left="372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6" w:tplc="C7908E8E">
      <w:start w:val="1"/>
      <w:numFmt w:val="bullet"/>
      <w:lvlText w:val="•"/>
      <w:lvlJc w:val="left"/>
      <w:pPr>
        <w:ind w:left="444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7" w:tplc="7F0A287C">
      <w:start w:val="1"/>
      <w:numFmt w:val="bullet"/>
      <w:lvlText w:val="o"/>
      <w:lvlJc w:val="left"/>
      <w:pPr>
        <w:ind w:left="516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8" w:tplc="5FF84242">
      <w:start w:val="1"/>
      <w:numFmt w:val="bullet"/>
      <w:lvlText w:val="▪"/>
      <w:lvlJc w:val="left"/>
      <w:pPr>
        <w:ind w:left="5884"/>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abstractNum>
  <w:abstractNum w:abstractNumId="113">
    <w:nsid w:val="702E75F6"/>
    <w:multiLevelType w:val="hybridMultilevel"/>
    <w:tmpl w:val="3B34BC8E"/>
    <w:lvl w:ilvl="0" w:tplc="161C9756">
      <w:start w:val="1"/>
      <w:numFmt w:val="decimal"/>
      <w:lvlText w:val="%1."/>
      <w:lvlJc w:val="left"/>
      <w:pPr>
        <w:ind w:left="5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D100FD2">
      <w:start w:val="1"/>
      <w:numFmt w:val="decimal"/>
      <w:lvlText w:val="%2."/>
      <w:lvlJc w:val="left"/>
      <w:pPr>
        <w:ind w:left="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3AEEBCC">
      <w:start w:val="1"/>
      <w:numFmt w:val="lowerRoman"/>
      <w:lvlText w:val="%3"/>
      <w:lvlJc w:val="left"/>
      <w:pPr>
        <w:ind w:left="14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8E083DA">
      <w:start w:val="1"/>
      <w:numFmt w:val="decimal"/>
      <w:lvlText w:val="%4"/>
      <w:lvlJc w:val="left"/>
      <w:pPr>
        <w:ind w:left="21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F207CD0">
      <w:start w:val="1"/>
      <w:numFmt w:val="lowerLetter"/>
      <w:lvlText w:val="%5"/>
      <w:lvlJc w:val="left"/>
      <w:pPr>
        <w:ind w:left="289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FAA0176">
      <w:start w:val="1"/>
      <w:numFmt w:val="lowerRoman"/>
      <w:lvlText w:val="%6"/>
      <w:lvlJc w:val="left"/>
      <w:pPr>
        <w:ind w:left="361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4C88256">
      <w:start w:val="1"/>
      <w:numFmt w:val="decimal"/>
      <w:lvlText w:val="%7"/>
      <w:lvlJc w:val="left"/>
      <w:pPr>
        <w:ind w:left="433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34CDDE0">
      <w:start w:val="1"/>
      <w:numFmt w:val="lowerLetter"/>
      <w:lvlText w:val="%8"/>
      <w:lvlJc w:val="left"/>
      <w:pPr>
        <w:ind w:left="505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1EC97CA">
      <w:start w:val="1"/>
      <w:numFmt w:val="lowerRoman"/>
      <w:lvlText w:val="%9"/>
      <w:lvlJc w:val="left"/>
      <w:pPr>
        <w:ind w:left="577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4">
    <w:nsid w:val="70BC3B45"/>
    <w:multiLevelType w:val="hybridMultilevel"/>
    <w:tmpl w:val="28FEDD5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5">
    <w:nsid w:val="713D7B8E"/>
    <w:multiLevelType w:val="hybridMultilevel"/>
    <w:tmpl w:val="8B6E8D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6">
    <w:nsid w:val="736425D7"/>
    <w:multiLevelType w:val="hybridMultilevel"/>
    <w:tmpl w:val="411051A8"/>
    <w:lvl w:ilvl="0" w:tplc="FDD45F72">
      <w:start w:val="1"/>
      <w:numFmt w:val="decimal"/>
      <w:pStyle w:val="2cislo"/>
      <w:lvlText w:val="%1."/>
      <w:lvlJc w:val="left"/>
      <w:pPr>
        <w:tabs>
          <w:tab w:val="num" w:pos="360"/>
        </w:tabs>
        <w:ind w:left="360" w:hanging="360"/>
      </w:pPr>
      <w:rPr>
        <w:rFonts w:hint="default"/>
        <w:i w:val="0"/>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7">
    <w:nsid w:val="74442992"/>
    <w:multiLevelType w:val="hybridMultilevel"/>
    <w:tmpl w:val="0D001CFA"/>
    <w:lvl w:ilvl="0" w:tplc="ABDECF6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8">
    <w:nsid w:val="749844A0"/>
    <w:multiLevelType w:val="hybridMultilevel"/>
    <w:tmpl w:val="2822E78A"/>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19">
    <w:nsid w:val="7714046C"/>
    <w:multiLevelType w:val="hybridMultilevel"/>
    <w:tmpl w:val="2738FCEE"/>
    <w:lvl w:ilvl="0" w:tplc="E5EC2BF8">
      <w:start w:val="1"/>
      <w:numFmt w:val="decimalZero"/>
      <w:pStyle w:val="a-cislo"/>
      <w:lvlText w:val="(R%1)"/>
      <w:lvlJc w:val="left"/>
      <w:pPr>
        <w:ind w:left="720" w:hanging="360"/>
      </w:pPr>
      <w:rPr>
        <w:rFonts w:ascii="Arial Narrow" w:hAnsi="Arial Narrow"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0">
    <w:nsid w:val="7A863060"/>
    <w:multiLevelType w:val="hybridMultilevel"/>
    <w:tmpl w:val="C71C02A8"/>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1">
    <w:nsid w:val="7B0F47B5"/>
    <w:multiLevelType w:val="hybridMultilevel"/>
    <w:tmpl w:val="5C7EE8FE"/>
    <w:lvl w:ilvl="0" w:tplc="04050015">
      <w:start w:val="1"/>
      <w:numFmt w:val="upperLetter"/>
      <w:lvlText w:val="%1."/>
      <w:lvlJc w:val="left"/>
      <w:pPr>
        <w:ind w:left="770" w:hanging="360"/>
      </w:pPr>
    </w:lvl>
    <w:lvl w:ilvl="1" w:tplc="04050019" w:tentative="1">
      <w:start w:val="1"/>
      <w:numFmt w:val="lowerLetter"/>
      <w:lvlText w:val="%2."/>
      <w:lvlJc w:val="left"/>
      <w:pPr>
        <w:ind w:left="1490" w:hanging="360"/>
      </w:pPr>
    </w:lvl>
    <w:lvl w:ilvl="2" w:tplc="0405001B" w:tentative="1">
      <w:start w:val="1"/>
      <w:numFmt w:val="lowerRoman"/>
      <w:lvlText w:val="%3."/>
      <w:lvlJc w:val="right"/>
      <w:pPr>
        <w:ind w:left="2210" w:hanging="180"/>
      </w:pPr>
    </w:lvl>
    <w:lvl w:ilvl="3" w:tplc="0405000F" w:tentative="1">
      <w:start w:val="1"/>
      <w:numFmt w:val="decimal"/>
      <w:lvlText w:val="%4."/>
      <w:lvlJc w:val="left"/>
      <w:pPr>
        <w:ind w:left="2930" w:hanging="360"/>
      </w:pPr>
    </w:lvl>
    <w:lvl w:ilvl="4" w:tplc="04050019" w:tentative="1">
      <w:start w:val="1"/>
      <w:numFmt w:val="lowerLetter"/>
      <w:lvlText w:val="%5."/>
      <w:lvlJc w:val="left"/>
      <w:pPr>
        <w:ind w:left="3650" w:hanging="360"/>
      </w:pPr>
    </w:lvl>
    <w:lvl w:ilvl="5" w:tplc="0405001B" w:tentative="1">
      <w:start w:val="1"/>
      <w:numFmt w:val="lowerRoman"/>
      <w:lvlText w:val="%6."/>
      <w:lvlJc w:val="right"/>
      <w:pPr>
        <w:ind w:left="4370" w:hanging="180"/>
      </w:pPr>
    </w:lvl>
    <w:lvl w:ilvl="6" w:tplc="0405000F" w:tentative="1">
      <w:start w:val="1"/>
      <w:numFmt w:val="decimal"/>
      <w:lvlText w:val="%7."/>
      <w:lvlJc w:val="left"/>
      <w:pPr>
        <w:ind w:left="5090" w:hanging="360"/>
      </w:pPr>
    </w:lvl>
    <w:lvl w:ilvl="7" w:tplc="04050019" w:tentative="1">
      <w:start w:val="1"/>
      <w:numFmt w:val="lowerLetter"/>
      <w:lvlText w:val="%8."/>
      <w:lvlJc w:val="left"/>
      <w:pPr>
        <w:ind w:left="5810" w:hanging="360"/>
      </w:pPr>
    </w:lvl>
    <w:lvl w:ilvl="8" w:tplc="0405001B" w:tentative="1">
      <w:start w:val="1"/>
      <w:numFmt w:val="lowerRoman"/>
      <w:lvlText w:val="%9."/>
      <w:lvlJc w:val="right"/>
      <w:pPr>
        <w:ind w:left="6530" w:hanging="180"/>
      </w:pPr>
    </w:lvl>
  </w:abstractNum>
  <w:abstractNum w:abstractNumId="122">
    <w:nsid w:val="7B3A429B"/>
    <w:multiLevelType w:val="hybridMultilevel"/>
    <w:tmpl w:val="735875E8"/>
    <w:lvl w:ilvl="0" w:tplc="9612B29C">
      <w:start w:val="1"/>
      <w:numFmt w:val="decimal"/>
      <w:lvlText w:val="(%1)"/>
      <w:lvlJc w:val="left"/>
      <w:pPr>
        <w:ind w:left="360" w:hanging="360"/>
      </w:pPr>
      <w:rPr>
        <w:rFonts w:hint="default"/>
        <w:b w:val="0"/>
        <w:i w:val="0"/>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23">
    <w:nsid w:val="7BCB72B3"/>
    <w:multiLevelType w:val="hybridMultilevel"/>
    <w:tmpl w:val="0B587D88"/>
    <w:lvl w:ilvl="0" w:tplc="86504C5E">
      <w:start w:val="2"/>
      <w:numFmt w:val="bullet"/>
      <w:lvlText w:val="-"/>
      <w:lvlJc w:val="left"/>
      <w:pPr>
        <w:ind w:left="1571" w:hanging="360"/>
      </w:pPr>
      <w:rPr>
        <w:rFonts w:ascii="Arial Narrow" w:eastAsia="SimSun" w:hAnsi="Arial Narrow"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4">
    <w:nsid w:val="7D377C84"/>
    <w:multiLevelType w:val="hybridMultilevel"/>
    <w:tmpl w:val="44CCCF00"/>
    <w:lvl w:ilvl="0" w:tplc="2DB609FA">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5">
    <w:nsid w:val="7D9E5D88"/>
    <w:multiLevelType w:val="hybridMultilevel"/>
    <w:tmpl w:val="98742128"/>
    <w:lvl w:ilvl="0" w:tplc="A00A34B4">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6">
    <w:nsid w:val="7DD062DB"/>
    <w:multiLevelType w:val="hybridMultilevel"/>
    <w:tmpl w:val="13C85EE2"/>
    <w:lvl w:ilvl="0" w:tplc="C7A48D6C">
      <w:start w:val="1"/>
      <w:numFmt w:val="bullet"/>
      <w:lvlText w:val="•"/>
      <w:lvlJc w:val="left"/>
      <w:pPr>
        <w:ind w:left="720" w:hanging="360"/>
      </w:pPr>
      <w:rPr>
        <w:rFonts w:ascii="Times New Roman" w:eastAsia="Times New Roman" w:hAnsi="Times New Roman" w:cs="Times New Roman"/>
        <w:b w:val="0"/>
        <w:i w:val="0"/>
        <w:strike w:val="0"/>
        <w:dstrike w:val="0"/>
        <w:color w:val="000000"/>
        <w:sz w:val="23"/>
        <w:szCs w:val="23"/>
        <w:u w:val="none" w:color="000000"/>
        <w:bdr w:val="none" w:sz="0" w:space="0" w:color="auto"/>
        <w:shd w:val="clear" w:color="auto" w:fill="auto"/>
        <w:vertAlign w:val="baseline"/>
      </w:rPr>
    </w:lvl>
    <w:lvl w:ilvl="1" w:tplc="AB7427FA">
      <w:start w:val="1"/>
      <w:numFmt w:val="bullet"/>
      <w:lvlText w:val=""/>
      <w:lvlJc w:val="left"/>
      <w:pPr>
        <w:ind w:left="1440" w:hanging="360"/>
      </w:pPr>
      <w:rPr>
        <w:rFonts w:ascii="Times New Roman" w:eastAsiaTheme="minorHAnsi" w:hAnsi="Times New Roman" w:cs="Times New Roman"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7">
    <w:nsid w:val="7EFE370E"/>
    <w:multiLevelType w:val="hybridMultilevel"/>
    <w:tmpl w:val="445CF336"/>
    <w:lvl w:ilvl="0" w:tplc="30023A34">
      <w:start w:val="1"/>
      <w:numFmt w:val="decimal"/>
      <w:lvlText w:val="%1)"/>
      <w:lvlJc w:val="left"/>
      <w:pPr>
        <w:ind w:left="410" w:hanging="360"/>
      </w:pPr>
      <w:rPr>
        <w:rFonts w:hint="default"/>
      </w:rPr>
    </w:lvl>
    <w:lvl w:ilvl="1" w:tplc="C554D8B2">
      <w:start w:val="1"/>
      <w:numFmt w:val="lowerLetter"/>
      <w:lvlText w:val="%2)"/>
      <w:lvlJc w:val="left"/>
      <w:pPr>
        <w:ind w:left="1130" w:hanging="360"/>
      </w:pPr>
      <w:rPr>
        <w:rFonts w:hint="default"/>
      </w:rPr>
    </w:lvl>
    <w:lvl w:ilvl="2" w:tplc="0405001B" w:tentative="1">
      <w:start w:val="1"/>
      <w:numFmt w:val="lowerRoman"/>
      <w:lvlText w:val="%3."/>
      <w:lvlJc w:val="right"/>
      <w:pPr>
        <w:ind w:left="1850" w:hanging="180"/>
      </w:pPr>
    </w:lvl>
    <w:lvl w:ilvl="3" w:tplc="0405000F" w:tentative="1">
      <w:start w:val="1"/>
      <w:numFmt w:val="decimal"/>
      <w:lvlText w:val="%4."/>
      <w:lvlJc w:val="left"/>
      <w:pPr>
        <w:ind w:left="2570" w:hanging="360"/>
      </w:pPr>
    </w:lvl>
    <w:lvl w:ilvl="4" w:tplc="04050019" w:tentative="1">
      <w:start w:val="1"/>
      <w:numFmt w:val="lowerLetter"/>
      <w:lvlText w:val="%5."/>
      <w:lvlJc w:val="left"/>
      <w:pPr>
        <w:ind w:left="3290" w:hanging="360"/>
      </w:pPr>
    </w:lvl>
    <w:lvl w:ilvl="5" w:tplc="0405001B" w:tentative="1">
      <w:start w:val="1"/>
      <w:numFmt w:val="lowerRoman"/>
      <w:lvlText w:val="%6."/>
      <w:lvlJc w:val="right"/>
      <w:pPr>
        <w:ind w:left="4010" w:hanging="180"/>
      </w:pPr>
    </w:lvl>
    <w:lvl w:ilvl="6" w:tplc="0405000F" w:tentative="1">
      <w:start w:val="1"/>
      <w:numFmt w:val="decimal"/>
      <w:lvlText w:val="%7."/>
      <w:lvlJc w:val="left"/>
      <w:pPr>
        <w:ind w:left="4730" w:hanging="360"/>
      </w:pPr>
    </w:lvl>
    <w:lvl w:ilvl="7" w:tplc="04050019" w:tentative="1">
      <w:start w:val="1"/>
      <w:numFmt w:val="lowerLetter"/>
      <w:lvlText w:val="%8."/>
      <w:lvlJc w:val="left"/>
      <w:pPr>
        <w:ind w:left="5450" w:hanging="360"/>
      </w:pPr>
    </w:lvl>
    <w:lvl w:ilvl="8" w:tplc="0405001B" w:tentative="1">
      <w:start w:val="1"/>
      <w:numFmt w:val="lowerRoman"/>
      <w:lvlText w:val="%9."/>
      <w:lvlJc w:val="right"/>
      <w:pPr>
        <w:ind w:left="6170" w:hanging="180"/>
      </w:pPr>
    </w:lvl>
  </w:abstractNum>
  <w:num w:numId="1">
    <w:abstractNumId w:val="88"/>
  </w:num>
  <w:num w:numId="2">
    <w:abstractNumId w:val="48"/>
  </w:num>
  <w:num w:numId="3">
    <w:abstractNumId w:val="119"/>
  </w:num>
  <w:num w:numId="4">
    <w:abstractNumId w:val="104"/>
  </w:num>
  <w:num w:numId="5">
    <w:abstractNumId w:val="92"/>
  </w:num>
  <w:num w:numId="6">
    <w:abstractNumId w:val="8"/>
  </w:num>
  <w:num w:numId="7">
    <w:abstractNumId w:val="18"/>
  </w:num>
  <w:num w:numId="8">
    <w:abstractNumId w:val="100"/>
  </w:num>
  <w:num w:numId="9">
    <w:abstractNumId w:val="55"/>
  </w:num>
  <w:num w:numId="10">
    <w:abstractNumId w:val="89"/>
  </w:num>
  <w:num w:numId="11">
    <w:abstractNumId w:val="89"/>
    <w:lvlOverride w:ilvl="0">
      <w:startOverride w:val="1"/>
    </w:lvlOverride>
  </w:num>
  <w:num w:numId="12">
    <w:abstractNumId w:val="41"/>
  </w:num>
  <w:num w:numId="13">
    <w:abstractNumId w:val="36"/>
  </w:num>
  <w:num w:numId="14">
    <w:abstractNumId w:val="116"/>
  </w:num>
  <w:num w:numId="15">
    <w:abstractNumId w:val="6"/>
  </w:num>
  <w:num w:numId="16">
    <w:abstractNumId w:val="78"/>
  </w:num>
  <w:num w:numId="17">
    <w:abstractNumId w:val="124"/>
    <w:lvlOverride w:ilvl="0">
      <w:startOverride w:val="1"/>
    </w:lvlOverride>
  </w:num>
  <w:num w:numId="18">
    <w:abstractNumId w:val="108"/>
  </w:num>
  <w:num w:numId="19">
    <w:abstractNumId w:val="104"/>
    <w:lvlOverride w:ilvl="0">
      <w:startOverride w:val="1"/>
    </w:lvlOverride>
  </w:num>
  <w:num w:numId="20">
    <w:abstractNumId w:val="104"/>
    <w:lvlOverride w:ilvl="0">
      <w:startOverride w:val="1"/>
    </w:lvlOverride>
  </w:num>
  <w:num w:numId="21">
    <w:abstractNumId w:val="114"/>
  </w:num>
  <w:num w:numId="22">
    <w:abstractNumId w:val="84"/>
  </w:num>
  <w:num w:numId="23">
    <w:abstractNumId w:val="34"/>
  </w:num>
  <w:num w:numId="24">
    <w:abstractNumId w:val="52"/>
  </w:num>
  <w:num w:numId="25">
    <w:abstractNumId w:val="7"/>
  </w:num>
  <w:num w:numId="26">
    <w:abstractNumId w:val="104"/>
    <w:lvlOverride w:ilvl="0">
      <w:startOverride w:val="1"/>
    </w:lvlOverride>
  </w:num>
  <w:num w:numId="27">
    <w:abstractNumId w:val="104"/>
    <w:lvlOverride w:ilvl="0">
      <w:startOverride w:val="1"/>
    </w:lvlOverride>
  </w:num>
  <w:num w:numId="28">
    <w:abstractNumId w:val="104"/>
    <w:lvlOverride w:ilvl="0">
      <w:startOverride w:val="1"/>
    </w:lvlOverride>
  </w:num>
  <w:num w:numId="29">
    <w:abstractNumId w:val="110"/>
  </w:num>
  <w:num w:numId="30">
    <w:abstractNumId w:val="76"/>
  </w:num>
  <w:num w:numId="31">
    <w:abstractNumId w:val="17"/>
  </w:num>
  <w:num w:numId="32">
    <w:abstractNumId w:val="62"/>
  </w:num>
  <w:num w:numId="33">
    <w:abstractNumId w:val="91"/>
  </w:num>
  <w:num w:numId="34">
    <w:abstractNumId w:val="50"/>
  </w:num>
  <w:num w:numId="35">
    <w:abstractNumId w:val="57"/>
  </w:num>
  <w:num w:numId="36">
    <w:abstractNumId w:val="31"/>
  </w:num>
  <w:num w:numId="37">
    <w:abstractNumId w:val="81"/>
  </w:num>
  <w:num w:numId="38">
    <w:abstractNumId w:val="3"/>
  </w:num>
  <w:num w:numId="39">
    <w:abstractNumId w:val="123"/>
  </w:num>
  <w:num w:numId="40">
    <w:abstractNumId w:val="21"/>
  </w:num>
  <w:num w:numId="41">
    <w:abstractNumId w:val="58"/>
  </w:num>
  <w:num w:numId="42">
    <w:abstractNumId w:val="72"/>
  </w:num>
  <w:num w:numId="43">
    <w:abstractNumId w:val="22"/>
  </w:num>
  <w:num w:numId="44">
    <w:abstractNumId w:val="64"/>
  </w:num>
  <w:num w:numId="45">
    <w:abstractNumId w:val="12"/>
  </w:num>
  <w:num w:numId="46">
    <w:abstractNumId w:val="67"/>
  </w:num>
  <w:num w:numId="47">
    <w:abstractNumId w:val="111"/>
  </w:num>
  <w:num w:numId="48">
    <w:abstractNumId w:val="79"/>
  </w:num>
  <w:num w:numId="49">
    <w:abstractNumId w:val="42"/>
  </w:num>
  <w:num w:numId="50">
    <w:abstractNumId w:val="59"/>
  </w:num>
  <w:num w:numId="51">
    <w:abstractNumId w:val="66"/>
  </w:num>
  <w:num w:numId="52">
    <w:abstractNumId w:val="33"/>
  </w:num>
  <w:num w:numId="53">
    <w:abstractNumId w:val="93"/>
  </w:num>
  <w:num w:numId="54">
    <w:abstractNumId w:val="26"/>
  </w:num>
  <w:num w:numId="55">
    <w:abstractNumId w:val="97"/>
  </w:num>
  <w:num w:numId="56">
    <w:abstractNumId w:val="90"/>
  </w:num>
  <w:num w:numId="57">
    <w:abstractNumId w:val="54"/>
  </w:num>
  <w:num w:numId="58">
    <w:abstractNumId w:val="51"/>
  </w:num>
  <w:num w:numId="59">
    <w:abstractNumId w:val="102"/>
  </w:num>
  <w:num w:numId="60">
    <w:abstractNumId w:val="2"/>
  </w:num>
  <w:num w:numId="61">
    <w:abstractNumId w:val="86"/>
  </w:num>
  <w:num w:numId="62">
    <w:abstractNumId w:val="46"/>
  </w:num>
  <w:num w:numId="63">
    <w:abstractNumId w:val="37"/>
  </w:num>
  <w:num w:numId="64">
    <w:abstractNumId w:val="60"/>
  </w:num>
  <w:num w:numId="65">
    <w:abstractNumId w:val="87"/>
  </w:num>
  <w:num w:numId="66">
    <w:abstractNumId w:val="117"/>
  </w:num>
  <w:num w:numId="67">
    <w:abstractNumId w:val="71"/>
  </w:num>
  <w:num w:numId="68">
    <w:abstractNumId w:val="68"/>
  </w:num>
  <w:num w:numId="69">
    <w:abstractNumId w:val="120"/>
  </w:num>
  <w:num w:numId="70">
    <w:abstractNumId w:val="40"/>
  </w:num>
  <w:num w:numId="71">
    <w:abstractNumId w:val="103"/>
  </w:num>
  <w:num w:numId="72">
    <w:abstractNumId w:val="23"/>
  </w:num>
  <w:num w:numId="73">
    <w:abstractNumId w:val="69"/>
  </w:num>
  <w:num w:numId="74">
    <w:abstractNumId w:val="27"/>
  </w:num>
  <w:num w:numId="75">
    <w:abstractNumId w:val="99"/>
  </w:num>
  <w:num w:numId="76">
    <w:abstractNumId w:val="49"/>
  </w:num>
  <w:num w:numId="77">
    <w:abstractNumId w:val="47"/>
  </w:num>
  <w:num w:numId="78">
    <w:abstractNumId w:val="104"/>
    <w:lvlOverride w:ilvl="0">
      <w:startOverride w:val="1"/>
    </w:lvlOverride>
  </w:num>
  <w:num w:numId="79">
    <w:abstractNumId w:val="38"/>
  </w:num>
  <w:num w:numId="80">
    <w:abstractNumId w:val="80"/>
  </w:num>
  <w:num w:numId="81">
    <w:abstractNumId w:val="39"/>
  </w:num>
  <w:num w:numId="82">
    <w:abstractNumId w:val="107"/>
  </w:num>
  <w:num w:numId="83">
    <w:abstractNumId w:val="104"/>
    <w:lvlOverride w:ilvl="0">
      <w:startOverride w:val="1"/>
    </w:lvlOverride>
  </w:num>
  <w:num w:numId="84">
    <w:abstractNumId w:val="85"/>
  </w:num>
  <w:num w:numId="85">
    <w:abstractNumId w:val="44"/>
  </w:num>
  <w:num w:numId="86">
    <w:abstractNumId w:val="89"/>
    <w:lvlOverride w:ilvl="0">
      <w:startOverride w:val="1"/>
    </w:lvlOverride>
  </w:num>
  <w:num w:numId="87">
    <w:abstractNumId w:val="89"/>
    <w:lvlOverride w:ilvl="0">
      <w:startOverride w:val="1"/>
    </w:lvlOverride>
  </w:num>
  <w:num w:numId="88">
    <w:abstractNumId w:val="89"/>
    <w:lvlOverride w:ilvl="0">
      <w:startOverride w:val="1"/>
    </w:lvlOverride>
  </w:num>
  <w:num w:numId="89">
    <w:abstractNumId w:val="14"/>
  </w:num>
  <w:num w:numId="90">
    <w:abstractNumId w:val="75"/>
  </w:num>
  <w:num w:numId="91">
    <w:abstractNumId w:val="5"/>
  </w:num>
  <w:num w:numId="92">
    <w:abstractNumId w:val="16"/>
  </w:num>
  <w:num w:numId="93">
    <w:abstractNumId w:val="25"/>
  </w:num>
  <w:num w:numId="94">
    <w:abstractNumId w:val="13"/>
  </w:num>
  <w:num w:numId="95">
    <w:abstractNumId w:val="11"/>
  </w:num>
  <w:num w:numId="96">
    <w:abstractNumId w:val="115"/>
  </w:num>
  <w:num w:numId="97">
    <w:abstractNumId w:val="122"/>
  </w:num>
  <w:num w:numId="98">
    <w:abstractNumId w:val="43"/>
  </w:num>
  <w:num w:numId="99">
    <w:abstractNumId w:val="105"/>
  </w:num>
  <w:num w:numId="100">
    <w:abstractNumId w:val="35"/>
  </w:num>
  <w:num w:numId="101">
    <w:abstractNumId w:val="28"/>
  </w:num>
  <w:num w:numId="102">
    <w:abstractNumId w:val="125"/>
  </w:num>
  <w:num w:numId="103">
    <w:abstractNumId w:val="106"/>
  </w:num>
  <w:num w:numId="104">
    <w:abstractNumId w:val="95"/>
  </w:num>
  <w:num w:numId="105">
    <w:abstractNumId w:val="24"/>
  </w:num>
  <w:num w:numId="106">
    <w:abstractNumId w:val="61"/>
  </w:num>
  <w:num w:numId="107">
    <w:abstractNumId w:val="15"/>
  </w:num>
  <w:num w:numId="108">
    <w:abstractNumId w:val="109"/>
  </w:num>
  <w:num w:numId="109">
    <w:abstractNumId w:val="77"/>
  </w:num>
  <w:num w:numId="11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0"/>
  </w:num>
  <w:num w:numId="113">
    <w:abstractNumId w:val="113"/>
  </w:num>
  <w:num w:numId="114">
    <w:abstractNumId w:val="96"/>
  </w:num>
  <w:num w:numId="115">
    <w:abstractNumId w:val="65"/>
  </w:num>
  <w:num w:numId="116">
    <w:abstractNumId w:val="74"/>
  </w:num>
  <w:num w:numId="117">
    <w:abstractNumId w:val="73"/>
  </w:num>
  <w:num w:numId="118">
    <w:abstractNumId w:val="127"/>
  </w:num>
  <w:num w:numId="119">
    <w:abstractNumId w:val="83"/>
  </w:num>
  <w:num w:numId="120">
    <w:abstractNumId w:val="126"/>
  </w:num>
  <w:num w:numId="121">
    <w:abstractNumId w:val="82"/>
  </w:num>
  <w:num w:numId="122">
    <w:abstractNumId w:val="56"/>
  </w:num>
  <w:num w:numId="123">
    <w:abstractNumId w:val="94"/>
  </w:num>
  <w:num w:numId="124">
    <w:abstractNumId w:val="29"/>
  </w:num>
  <w:num w:numId="125">
    <w:abstractNumId w:val="118"/>
  </w:num>
  <w:num w:numId="126">
    <w:abstractNumId w:val="70"/>
  </w:num>
  <w:num w:numId="127">
    <w:abstractNumId w:val="45"/>
  </w:num>
  <w:num w:numId="128">
    <w:abstractNumId w:val="63"/>
  </w:num>
  <w:num w:numId="129">
    <w:abstractNumId w:val="101"/>
  </w:num>
  <w:num w:numId="130">
    <w:abstractNumId w:val="32"/>
  </w:num>
  <w:num w:numId="131">
    <w:abstractNumId w:val="30"/>
  </w:num>
  <w:num w:numId="132">
    <w:abstractNumId w:val="53"/>
  </w:num>
  <w:num w:numId="133">
    <w:abstractNumId w:val="112"/>
  </w:num>
  <w:num w:numId="134">
    <w:abstractNumId w:val="121"/>
  </w:num>
  <w:num w:numId="135">
    <w:abstractNumId w:val="10"/>
  </w:num>
  <w:num w:numId="136">
    <w:abstractNumId w:val="19"/>
  </w:num>
  <w:num w:numId="137">
    <w:abstractNumId w:val="1"/>
  </w:num>
  <w:num w:numId="138">
    <w:abstractNumId w:val="9"/>
  </w:num>
  <w:num w:numId="139">
    <w:abstractNumId w:val="98"/>
  </w:num>
  <w:num w:numId="140">
    <w:abstractNumId w:val="4"/>
  </w:num>
  <w:num w:numId="141">
    <w:abstractNumId w:val="20"/>
  </w:num>
  <w:numIdMacAtCleanup w:val="14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onika Bohacova">
    <w15:presenceInfo w15:providerId="AD" w15:userId="S-1-5-21-1935396879-2733818854-2105099567-117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98305">
      <o:colormru v:ext="edit" colors="#c73d3d"/>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301A"/>
    <w:rsid w:val="000001E0"/>
    <w:rsid w:val="0000052E"/>
    <w:rsid w:val="0000068E"/>
    <w:rsid w:val="00000D8F"/>
    <w:rsid w:val="000010D7"/>
    <w:rsid w:val="00001695"/>
    <w:rsid w:val="00002621"/>
    <w:rsid w:val="00003F29"/>
    <w:rsid w:val="000043AC"/>
    <w:rsid w:val="0000464D"/>
    <w:rsid w:val="00004D07"/>
    <w:rsid w:val="0000587F"/>
    <w:rsid w:val="00005D89"/>
    <w:rsid w:val="000063F6"/>
    <w:rsid w:val="00007269"/>
    <w:rsid w:val="000072DC"/>
    <w:rsid w:val="00007A61"/>
    <w:rsid w:val="000104AA"/>
    <w:rsid w:val="00010ADB"/>
    <w:rsid w:val="00010DCD"/>
    <w:rsid w:val="00011575"/>
    <w:rsid w:val="000116CF"/>
    <w:rsid w:val="000118B3"/>
    <w:rsid w:val="00011F02"/>
    <w:rsid w:val="0001237A"/>
    <w:rsid w:val="00012E2A"/>
    <w:rsid w:val="0001357A"/>
    <w:rsid w:val="000138DD"/>
    <w:rsid w:val="00013C18"/>
    <w:rsid w:val="00013E21"/>
    <w:rsid w:val="00014E04"/>
    <w:rsid w:val="00015249"/>
    <w:rsid w:val="000152FE"/>
    <w:rsid w:val="000155F7"/>
    <w:rsid w:val="00015A0B"/>
    <w:rsid w:val="00015ABD"/>
    <w:rsid w:val="000161D7"/>
    <w:rsid w:val="000161F4"/>
    <w:rsid w:val="00016638"/>
    <w:rsid w:val="000167FF"/>
    <w:rsid w:val="00016AB0"/>
    <w:rsid w:val="00017119"/>
    <w:rsid w:val="000179CA"/>
    <w:rsid w:val="00017F1D"/>
    <w:rsid w:val="00020077"/>
    <w:rsid w:val="0002057E"/>
    <w:rsid w:val="00020790"/>
    <w:rsid w:val="00021084"/>
    <w:rsid w:val="0002124D"/>
    <w:rsid w:val="00021473"/>
    <w:rsid w:val="000216AE"/>
    <w:rsid w:val="00021875"/>
    <w:rsid w:val="00021BAD"/>
    <w:rsid w:val="00021DC8"/>
    <w:rsid w:val="00021F8B"/>
    <w:rsid w:val="00022553"/>
    <w:rsid w:val="0002272A"/>
    <w:rsid w:val="00022B3C"/>
    <w:rsid w:val="000231C1"/>
    <w:rsid w:val="000237CA"/>
    <w:rsid w:val="00023933"/>
    <w:rsid w:val="00023A6C"/>
    <w:rsid w:val="00023C2D"/>
    <w:rsid w:val="00023C69"/>
    <w:rsid w:val="00023CB9"/>
    <w:rsid w:val="00023E6F"/>
    <w:rsid w:val="00024786"/>
    <w:rsid w:val="00024827"/>
    <w:rsid w:val="000249AA"/>
    <w:rsid w:val="00025A53"/>
    <w:rsid w:val="00025A74"/>
    <w:rsid w:val="00026B3F"/>
    <w:rsid w:val="00027A52"/>
    <w:rsid w:val="00027A6F"/>
    <w:rsid w:val="00027DCD"/>
    <w:rsid w:val="00030167"/>
    <w:rsid w:val="000301F3"/>
    <w:rsid w:val="000303A7"/>
    <w:rsid w:val="00030BD8"/>
    <w:rsid w:val="0003105F"/>
    <w:rsid w:val="00031D07"/>
    <w:rsid w:val="00032121"/>
    <w:rsid w:val="000328B8"/>
    <w:rsid w:val="00033002"/>
    <w:rsid w:val="000338A3"/>
    <w:rsid w:val="0003394A"/>
    <w:rsid w:val="00033C2D"/>
    <w:rsid w:val="00034177"/>
    <w:rsid w:val="00034608"/>
    <w:rsid w:val="00034A60"/>
    <w:rsid w:val="00035A70"/>
    <w:rsid w:val="00036B28"/>
    <w:rsid w:val="000370AB"/>
    <w:rsid w:val="0003712A"/>
    <w:rsid w:val="000372F3"/>
    <w:rsid w:val="0003768B"/>
    <w:rsid w:val="000400D2"/>
    <w:rsid w:val="00040C2A"/>
    <w:rsid w:val="00041067"/>
    <w:rsid w:val="0004126F"/>
    <w:rsid w:val="00041296"/>
    <w:rsid w:val="00041F5F"/>
    <w:rsid w:val="0004232B"/>
    <w:rsid w:val="00042844"/>
    <w:rsid w:val="00042B59"/>
    <w:rsid w:val="00043261"/>
    <w:rsid w:val="00043400"/>
    <w:rsid w:val="00043959"/>
    <w:rsid w:val="00043A21"/>
    <w:rsid w:val="00043E8B"/>
    <w:rsid w:val="000440AF"/>
    <w:rsid w:val="000442D0"/>
    <w:rsid w:val="00044D05"/>
    <w:rsid w:val="00045273"/>
    <w:rsid w:val="000457BA"/>
    <w:rsid w:val="000458C5"/>
    <w:rsid w:val="0004591F"/>
    <w:rsid w:val="00045A2D"/>
    <w:rsid w:val="00045F52"/>
    <w:rsid w:val="00046014"/>
    <w:rsid w:val="0004657D"/>
    <w:rsid w:val="0004677E"/>
    <w:rsid w:val="00046A11"/>
    <w:rsid w:val="00046A58"/>
    <w:rsid w:val="000473E3"/>
    <w:rsid w:val="0004769A"/>
    <w:rsid w:val="00047724"/>
    <w:rsid w:val="00047B56"/>
    <w:rsid w:val="0005043F"/>
    <w:rsid w:val="00050ACE"/>
    <w:rsid w:val="00051B2E"/>
    <w:rsid w:val="00051B48"/>
    <w:rsid w:val="00051F06"/>
    <w:rsid w:val="0005218D"/>
    <w:rsid w:val="000523CD"/>
    <w:rsid w:val="00052C8C"/>
    <w:rsid w:val="00052DE3"/>
    <w:rsid w:val="00052E8C"/>
    <w:rsid w:val="0005305A"/>
    <w:rsid w:val="00053517"/>
    <w:rsid w:val="00053780"/>
    <w:rsid w:val="00053941"/>
    <w:rsid w:val="00054225"/>
    <w:rsid w:val="00054409"/>
    <w:rsid w:val="0005452E"/>
    <w:rsid w:val="00054DB8"/>
    <w:rsid w:val="000559F2"/>
    <w:rsid w:val="00055A9A"/>
    <w:rsid w:val="00055E93"/>
    <w:rsid w:val="00056654"/>
    <w:rsid w:val="000566E4"/>
    <w:rsid w:val="0005678B"/>
    <w:rsid w:val="00057074"/>
    <w:rsid w:val="000571DC"/>
    <w:rsid w:val="000577A1"/>
    <w:rsid w:val="00057C50"/>
    <w:rsid w:val="00057F37"/>
    <w:rsid w:val="0006031A"/>
    <w:rsid w:val="00060390"/>
    <w:rsid w:val="000609D1"/>
    <w:rsid w:val="00060C80"/>
    <w:rsid w:val="0006125B"/>
    <w:rsid w:val="00061701"/>
    <w:rsid w:val="00061A79"/>
    <w:rsid w:val="00061B08"/>
    <w:rsid w:val="00061E21"/>
    <w:rsid w:val="00062208"/>
    <w:rsid w:val="0006237C"/>
    <w:rsid w:val="00062490"/>
    <w:rsid w:val="00062517"/>
    <w:rsid w:val="000629E7"/>
    <w:rsid w:val="00062EE3"/>
    <w:rsid w:val="00063429"/>
    <w:rsid w:val="0006365E"/>
    <w:rsid w:val="00063668"/>
    <w:rsid w:val="00064069"/>
    <w:rsid w:val="000640C4"/>
    <w:rsid w:val="00064255"/>
    <w:rsid w:val="000644B4"/>
    <w:rsid w:val="00064D60"/>
    <w:rsid w:val="00064D82"/>
    <w:rsid w:val="000650B4"/>
    <w:rsid w:val="00065728"/>
    <w:rsid w:val="00065CF3"/>
    <w:rsid w:val="00065FE7"/>
    <w:rsid w:val="00065FE8"/>
    <w:rsid w:val="00066343"/>
    <w:rsid w:val="0006669F"/>
    <w:rsid w:val="000666E0"/>
    <w:rsid w:val="000668CD"/>
    <w:rsid w:val="00066975"/>
    <w:rsid w:val="00066EB9"/>
    <w:rsid w:val="000673BB"/>
    <w:rsid w:val="00067792"/>
    <w:rsid w:val="000677D4"/>
    <w:rsid w:val="00067821"/>
    <w:rsid w:val="000679D5"/>
    <w:rsid w:val="00067C57"/>
    <w:rsid w:val="000700B2"/>
    <w:rsid w:val="0007017E"/>
    <w:rsid w:val="000707C4"/>
    <w:rsid w:val="00070B7F"/>
    <w:rsid w:val="00070D69"/>
    <w:rsid w:val="0007134C"/>
    <w:rsid w:val="00071399"/>
    <w:rsid w:val="000715C3"/>
    <w:rsid w:val="00071851"/>
    <w:rsid w:val="00071948"/>
    <w:rsid w:val="000719E2"/>
    <w:rsid w:val="00071A65"/>
    <w:rsid w:val="000721AC"/>
    <w:rsid w:val="00072430"/>
    <w:rsid w:val="0007273C"/>
    <w:rsid w:val="00072852"/>
    <w:rsid w:val="00072AFA"/>
    <w:rsid w:val="0007346B"/>
    <w:rsid w:val="00073814"/>
    <w:rsid w:val="00073EF9"/>
    <w:rsid w:val="000741A8"/>
    <w:rsid w:val="00074858"/>
    <w:rsid w:val="0007490E"/>
    <w:rsid w:val="00075851"/>
    <w:rsid w:val="00075AA0"/>
    <w:rsid w:val="00075B22"/>
    <w:rsid w:val="00075BA8"/>
    <w:rsid w:val="00076465"/>
    <w:rsid w:val="000769C3"/>
    <w:rsid w:val="00076AB6"/>
    <w:rsid w:val="00076BC6"/>
    <w:rsid w:val="00077C24"/>
    <w:rsid w:val="00077D9D"/>
    <w:rsid w:val="00080084"/>
    <w:rsid w:val="00080A34"/>
    <w:rsid w:val="00080C5B"/>
    <w:rsid w:val="00081029"/>
    <w:rsid w:val="000811A4"/>
    <w:rsid w:val="00081500"/>
    <w:rsid w:val="0008183F"/>
    <w:rsid w:val="00081E2A"/>
    <w:rsid w:val="000822FE"/>
    <w:rsid w:val="000835CD"/>
    <w:rsid w:val="000835F7"/>
    <w:rsid w:val="00083906"/>
    <w:rsid w:val="00083C1F"/>
    <w:rsid w:val="00083F3D"/>
    <w:rsid w:val="0008416C"/>
    <w:rsid w:val="000842E6"/>
    <w:rsid w:val="00085100"/>
    <w:rsid w:val="000852B4"/>
    <w:rsid w:val="000859CD"/>
    <w:rsid w:val="00086795"/>
    <w:rsid w:val="00086878"/>
    <w:rsid w:val="00086D96"/>
    <w:rsid w:val="000872BC"/>
    <w:rsid w:val="000874D5"/>
    <w:rsid w:val="0008757A"/>
    <w:rsid w:val="00087670"/>
    <w:rsid w:val="00087680"/>
    <w:rsid w:val="00087CCC"/>
    <w:rsid w:val="000900F7"/>
    <w:rsid w:val="000902F7"/>
    <w:rsid w:val="00090809"/>
    <w:rsid w:val="00090A30"/>
    <w:rsid w:val="00090B3A"/>
    <w:rsid w:val="000914EE"/>
    <w:rsid w:val="00091915"/>
    <w:rsid w:val="00092D18"/>
    <w:rsid w:val="00092EFF"/>
    <w:rsid w:val="000935D4"/>
    <w:rsid w:val="00094AE7"/>
    <w:rsid w:val="00095085"/>
    <w:rsid w:val="00095C2D"/>
    <w:rsid w:val="0009602C"/>
    <w:rsid w:val="000964A4"/>
    <w:rsid w:val="000964BD"/>
    <w:rsid w:val="00096F41"/>
    <w:rsid w:val="000970B4"/>
    <w:rsid w:val="0009735D"/>
    <w:rsid w:val="0009738B"/>
    <w:rsid w:val="00097BF4"/>
    <w:rsid w:val="00097CE7"/>
    <w:rsid w:val="000A014B"/>
    <w:rsid w:val="000A03AE"/>
    <w:rsid w:val="000A08F7"/>
    <w:rsid w:val="000A0CBC"/>
    <w:rsid w:val="000A1553"/>
    <w:rsid w:val="000A184A"/>
    <w:rsid w:val="000A2026"/>
    <w:rsid w:val="000A234C"/>
    <w:rsid w:val="000A2A07"/>
    <w:rsid w:val="000A2ACA"/>
    <w:rsid w:val="000A30B3"/>
    <w:rsid w:val="000A35E1"/>
    <w:rsid w:val="000A38E3"/>
    <w:rsid w:val="000A3C4A"/>
    <w:rsid w:val="000A43D9"/>
    <w:rsid w:val="000A479C"/>
    <w:rsid w:val="000A483C"/>
    <w:rsid w:val="000A49E5"/>
    <w:rsid w:val="000A4A7C"/>
    <w:rsid w:val="000A4BC8"/>
    <w:rsid w:val="000A5DB6"/>
    <w:rsid w:val="000A6224"/>
    <w:rsid w:val="000A6502"/>
    <w:rsid w:val="000A692A"/>
    <w:rsid w:val="000A6AF0"/>
    <w:rsid w:val="000A6C1A"/>
    <w:rsid w:val="000A6D38"/>
    <w:rsid w:val="000A74FE"/>
    <w:rsid w:val="000A7695"/>
    <w:rsid w:val="000A7697"/>
    <w:rsid w:val="000A799E"/>
    <w:rsid w:val="000A7C12"/>
    <w:rsid w:val="000A7CB9"/>
    <w:rsid w:val="000B0106"/>
    <w:rsid w:val="000B064C"/>
    <w:rsid w:val="000B06EC"/>
    <w:rsid w:val="000B094D"/>
    <w:rsid w:val="000B0B91"/>
    <w:rsid w:val="000B13E3"/>
    <w:rsid w:val="000B15B7"/>
    <w:rsid w:val="000B276F"/>
    <w:rsid w:val="000B2991"/>
    <w:rsid w:val="000B2F7C"/>
    <w:rsid w:val="000B3B30"/>
    <w:rsid w:val="000B47B5"/>
    <w:rsid w:val="000B5598"/>
    <w:rsid w:val="000B55D2"/>
    <w:rsid w:val="000B5711"/>
    <w:rsid w:val="000B57C8"/>
    <w:rsid w:val="000B5DBD"/>
    <w:rsid w:val="000B6D4B"/>
    <w:rsid w:val="000B6EA5"/>
    <w:rsid w:val="000B6F24"/>
    <w:rsid w:val="000B746D"/>
    <w:rsid w:val="000B7695"/>
    <w:rsid w:val="000B79E2"/>
    <w:rsid w:val="000B7C96"/>
    <w:rsid w:val="000C02F9"/>
    <w:rsid w:val="000C0310"/>
    <w:rsid w:val="000C0BE7"/>
    <w:rsid w:val="000C14BE"/>
    <w:rsid w:val="000C1B06"/>
    <w:rsid w:val="000C1B5D"/>
    <w:rsid w:val="000C2014"/>
    <w:rsid w:val="000C2128"/>
    <w:rsid w:val="000C2B1D"/>
    <w:rsid w:val="000C2C53"/>
    <w:rsid w:val="000C300E"/>
    <w:rsid w:val="000C33A1"/>
    <w:rsid w:val="000C37F5"/>
    <w:rsid w:val="000C4191"/>
    <w:rsid w:val="000C485D"/>
    <w:rsid w:val="000C4D37"/>
    <w:rsid w:val="000C4FAB"/>
    <w:rsid w:val="000C53E1"/>
    <w:rsid w:val="000C53E2"/>
    <w:rsid w:val="000C54EB"/>
    <w:rsid w:val="000C57A5"/>
    <w:rsid w:val="000C5952"/>
    <w:rsid w:val="000C5FA9"/>
    <w:rsid w:val="000C64BE"/>
    <w:rsid w:val="000C67F5"/>
    <w:rsid w:val="000C7293"/>
    <w:rsid w:val="000C781B"/>
    <w:rsid w:val="000C791F"/>
    <w:rsid w:val="000C7DE1"/>
    <w:rsid w:val="000D0147"/>
    <w:rsid w:val="000D0238"/>
    <w:rsid w:val="000D0513"/>
    <w:rsid w:val="000D05D5"/>
    <w:rsid w:val="000D0BB6"/>
    <w:rsid w:val="000D0C4E"/>
    <w:rsid w:val="000D0FA2"/>
    <w:rsid w:val="000D12E1"/>
    <w:rsid w:val="000D1763"/>
    <w:rsid w:val="000D1E29"/>
    <w:rsid w:val="000D2520"/>
    <w:rsid w:val="000D2A60"/>
    <w:rsid w:val="000D318C"/>
    <w:rsid w:val="000D3420"/>
    <w:rsid w:val="000D35AB"/>
    <w:rsid w:val="000D38C2"/>
    <w:rsid w:val="000D3FCD"/>
    <w:rsid w:val="000D42C8"/>
    <w:rsid w:val="000D4397"/>
    <w:rsid w:val="000D485F"/>
    <w:rsid w:val="000D5933"/>
    <w:rsid w:val="000D5DA3"/>
    <w:rsid w:val="000E0270"/>
    <w:rsid w:val="000E04CB"/>
    <w:rsid w:val="000E0A79"/>
    <w:rsid w:val="000E0B1B"/>
    <w:rsid w:val="000E0C26"/>
    <w:rsid w:val="000E0C89"/>
    <w:rsid w:val="000E0F42"/>
    <w:rsid w:val="000E118D"/>
    <w:rsid w:val="000E1739"/>
    <w:rsid w:val="000E1F5D"/>
    <w:rsid w:val="000E239B"/>
    <w:rsid w:val="000E2DDA"/>
    <w:rsid w:val="000E30F9"/>
    <w:rsid w:val="000E35F1"/>
    <w:rsid w:val="000E3E60"/>
    <w:rsid w:val="000E3EBE"/>
    <w:rsid w:val="000E3F8A"/>
    <w:rsid w:val="000E409E"/>
    <w:rsid w:val="000E43E7"/>
    <w:rsid w:val="000E449B"/>
    <w:rsid w:val="000E451A"/>
    <w:rsid w:val="000E4FAB"/>
    <w:rsid w:val="000E57F4"/>
    <w:rsid w:val="000E5A78"/>
    <w:rsid w:val="000E5B7A"/>
    <w:rsid w:val="000E654D"/>
    <w:rsid w:val="000E6647"/>
    <w:rsid w:val="000E7405"/>
    <w:rsid w:val="000E77C7"/>
    <w:rsid w:val="000E7948"/>
    <w:rsid w:val="000E7ACF"/>
    <w:rsid w:val="000E7C41"/>
    <w:rsid w:val="000E7CFB"/>
    <w:rsid w:val="000E7DF1"/>
    <w:rsid w:val="000F02D9"/>
    <w:rsid w:val="000F07E0"/>
    <w:rsid w:val="000F0843"/>
    <w:rsid w:val="000F0845"/>
    <w:rsid w:val="000F0C27"/>
    <w:rsid w:val="000F0CDB"/>
    <w:rsid w:val="000F0F2F"/>
    <w:rsid w:val="000F115E"/>
    <w:rsid w:val="000F121E"/>
    <w:rsid w:val="000F1445"/>
    <w:rsid w:val="000F1A3E"/>
    <w:rsid w:val="000F1C0E"/>
    <w:rsid w:val="000F1EB8"/>
    <w:rsid w:val="000F22E2"/>
    <w:rsid w:val="000F243D"/>
    <w:rsid w:val="000F246A"/>
    <w:rsid w:val="000F2999"/>
    <w:rsid w:val="000F2A88"/>
    <w:rsid w:val="000F310F"/>
    <w:rsid w:val="000F36C6"/>
    <w:rsid w:val="000F4260"/>
    <w:rsid w:val="000F42AB"/>
    <w:rsid w:val="000F48AD"/>
    <w:rsid w:val="000F4E25"/>
    <w:rsid w:val="000F54A7"/>
    <w:rsid w:val="000F56D2"/>
    <w:rsid w:val="000F5742"/>
    <w:rsid w:val="000F5F4A"/>
    <w:rsid w:val="000F6480"/>
    <w:rsid w:val="000F6CEF"/>
    <w:rsid w:val="000F72D6"/>
    <w:rsid w:val="000F7B6B"/>
    <w:rsid w:val="000F7CB8"/>
    <w:rsid w:val="00100042"/>
    <w:rsid w:val="001001E8"/>
    <w:rsid w:val="0010065C"/>
    <w:rsid w:val="00100D23"/>
    <w:rsid w:val="0010143B"/>
    <w:rsid w:val="00101744"/>
    <w:rsid w:val="00101C7E"/>
    <w:rsid w:val="00101DD3"/>
    <w:rsid w:val="00102425"/>
    <w:rsid w:val="00102462"/>
    <w:rsid w:val="00102EE0"/>
    <w:rsid w:val="00102F35"/>
    <w:rsid w:val="0010316F"/>
    <w:rsid w:val="00103850"/>
    <w:rsid w:val="0010457C"/>
    <w:rsid w:val="00104679"/>
    <w:rsid w:val="00104C6E"/>
    <w:rsid w:val="00104F04"/>
    <w:rsid w:val="00104FC9"/>
    <w:rsid w:val="001056FC"/>
    <w:rsid w:val="001057C2"/>
    <w:rsid w:val="001060B9"/>
    <w:rsid w:val="00106EA0"/>
    <w:rsid w:val="00106F4A"/>
    <w:rsid w:val="00107242"/>
    <w:rsid w:val="00107431"/>
    <w:rsid w:val="0010775D"/>
    <w:rsid w:val="00107A7C"/>
    <w:rsid w:val="00107BD6"/>
    <w:rsid w:val="00110104"/>
    <w:rsid w:val="00110346"/>
    <w:rsid w:val="00110556"/>
    <w:rsid w:val="00110A05"/>
    <w:rsid w:val="001111CC"/>
    <w:rsid w:val="001116BF"/>
    <w:rsid w:val="001119D3"/>
    <w:rsid w:val="00111E40"/>
    <w:rsid w:val="00111EDB"/>
    <w:rsid w:val="00111FA5"/>
    <w:rsid w:val="001122CD"/>
    <w:rsid w:val="0011261B"/>
    <w:rsid w:val="00112987"/>
    <w:rsid w:val="00112ACB"/>
    <w:rsid w:val="00112D92"/>
    <w:rsid w:val="00112D96"/>
    <w:rsid w:val="00112FAD"/>
    <w:rsid w:val="001130F9"/>
    <w:rsid w:val="001134C6"/>
    <w:rsid w:val="00113586"/>
    <w:rsid w:val="001135FD"/>
    <w:rsid w:val="001136BF"/>
    <w:rsid w:val="00113CEC"/>
    <w:rsid w:val="00113D05"/>
    <w:rsid w:val="00114275"/>
    <w:rsid w:val="00114C0D"/>
    <w:rsid w:val="001159F4"/>
    <w:rsid w:val="00115BB3"/>
    <w:rsid w:val="00116330"/>
    <w:rsid w:val="00116AC5"/>
    <w:rsid w:val="00116E27"/>
    <w:rsid w:val="00117115"/>
    <w:rsid w:val="001179E2"/>
    <w:rsid w:val="00117B3B"/>
    <w:rsid w:val="00117FB3"/>
    <w:rsid w:val="0012027E"/>
    <w:rsid w:val="00120639"/>
    <w:rsid w:val="00120879"/>
    <w:rsid w:val="001209F2"/>
    <w:rsid w:val="00120E76"/>
    <w:rsid w:val="001216F9"/>
    <w:rsid w:val="0012183A"/>
    <w:rsid w:val="00121F45"/>
    <w:rsid w:val="00122282"/>
    <w:rsid w:val="00122659"/>
    <w:rsid w:val="00122A04"/>
    <w:rsid w:val="00122B6E"/>
    <w:rsid w:val="00123042"/>
    <w:rsid w:val="001236FB"/>
    <w:rsid w:val="00123910"/>
    <w:rsid w:val="00123A12"/>
    <w:rsid w:val="00123A52"/>
    <w:rsid w:val="00123C48"/>
    <w:rsid w:val="0012418D"/>
    <w:rsid w:val="00124236"/>
    <w:rsid w:val="00124812"/>
    <w:rsid w:val="00124A22"/>
    <w:rsid w:val="00124A66"/>
    <w:rsid w:val="00124F45"/>
    <w:rsid w:val="001258F2"/>
    <w:rsid w:val="00125DE3"/>
    <w:rsid w:val="00125E91"/>
    <w:rsid w:val="001260A8"/>
    <w:rsid w:val="0012694A"/>
    <w:rsid w:val="00126C3A"/>
    <w:rsid w:val="00127163"/>
    <w:rsid w:val="00127B81"/>
    <w:rsid w:val="00127F54"/>
    <w:rsid w:val="00130339"/>
    <w:rsid w:val="0013110C"/>
    <w:rsid w:val="001318F2"/>
    <w:rsid w:val="001321BA"/>
    <w:rsid w:val="00133972"/>
    <w:rsid w:val="001343E9"/>
    <w:rsid w:val="00134B28"/>
    <w:rsid w:val="00134F08"/>
    <w:rsid w:val="00135B9D"/>
    <w:rsid w:val="0013659B"/>
    <w:rsid w:val="00136885"/>
    <w:rsid w:val="0013698C"/>
    <w:rsid w:val="00136B1A"/>
    <w:rsid w:val="00136B2B"/>
    <w:rsid w:val="00136DB5"/>
    <w:rsid w:val="00136DEC"/>
    <w:rsid w:val="00137332"/>
    <w:rsid w:val="001379AF"/>
    <w:rsid w:val="00137CF2"/>
    <w:rsid w:val="00137F94"/>
    <w:rsid w:val="00141143"/>
    <w:rsid w:val="001411E3"/>
    <w:rsid w:val="00141327"/>
    <w:rsid w:val="00141931"/>
    <w:rsid w:val="00142988"/>
    <w:rsid w:val="001438CA"/>
    <w:rsid w:val="001441F2"/>
    <w:rsid w:val="001448CF"/>
    <w:rsid w:val="00144BC6"/>
    <w:rsid w:val="00144C67"/>
    <w:rsid w:val="00145D35"/>
    <w:rsid w:val="00145D64"/>
    <w:rsid w:val="00145E7F"/>
    <w:rsid w:val="00146012"/>
    <w:rsid w:val="00146211"/>
    <w:rsid w:val="00146552"/>
    <w:rsid w:val="00147331"/>
    <w:rsid w:val="0014775E"/>
    <w:rsid w:val="00147BCA"/>
    <w:rsid w:val="00147C07"/>
    <w:rsid w:val="00147CDB"/>
    <w:rsid w:val="0015005B"/>
    <w:rsid w:val="001504BD"/>
    <w:rsid w:val="001504DF"/>
    <w:rsid w:val="001508F9"/>
    <w:rsid w:val="00150D49"/>
    <w:rsid w:val="00151811"/>
    <w:rsid w:val="00151B29"/>
    <w:rsid w:val="00151CCB"/>
    <w:rsid w:val="001521F7"/>
    <w:rsid w:val="0015223A"/>
    <w:rsid w:val="00152762"/>
    <w:rsid w:val="00152F31"/>
    <w:rsid w:val="001531EC"/>
    <w:rsid w:val="00153302"/>
    <w:rsid w:val="001538AC"/>
    <w:rsid w:val="00153EFA"/>
    <w:rsid w:val="001541B8"/>
    <w:rsid w:val="00154AEF"/>
    <w:rsid w:val="00154C5D"/>
    <w:rsid w:val="0015538C"/>
    <w:rsid w:val="001555FC"/>
    <w:rsid w:val="001559B1"/>
    <w:rsid w:val="00155E17"/>
    <w:rsid w:val="0015655E"/>
    <w:rsid w:val="00156768"/>
    <w:rsid w:val="0015744C"/>
    <w:rsid w:val="00157653"/>
    <w:rsid w:val="00157B9A"/>
    <w:rsid w:val="00157CA4"/>
    <w:rsid w:val="00160021"/>
    <w:rsid w:val="001606EA"/>
    <w:rsid w:val="001607A6"/>
    <w:rsid w:val="00161300"/>
    <w:rsid w:val="001617DB"/>
    <w:rsid w:val="0016267F"/>
    <w:rsid w:val="00162B93"/>
    <w:rsid w:val="00162C68"/>
    <w:rsid w:val="001630B3"/>
    <w:rsid w:val="0016348A"/>
    <w:rsid w:val="0016348B"/>
    <w:rsid w:val="001635C5"/>
    <w:rsid w:val="00163D6C"/>
    <w:rsid w:val="00163E5D"/>
    <w:rsid w:val="00164E0F"/>
    <w:rsid w:val="00164F28"/>
    <w:rsid w:val="001651A8"/>
    <w:rsid w:val="0016607D"/>
    <w:rsid w:val="0016632C"/>
    <w:rsid w:val="00166448"/>
    <w:rsid w:val="0016681C"/>
    <w:rsid w:val="001668F3"/>
    <w:rsid w:val="00166D5F"/>
    <w:rsid w:val="00166EFB"/>
    <w:rsid w:val="00167F0C"/>
    <w:rsid w:val="0017020F"/>
    <w:rsid w:val="00170778"/>
    <w:rsid w:val="001707CA"/>
    <w:rsid w:val="001707D1"/>
    <w:rsid w:val="00170EF8"/>
    <w:rsid w:val="001714F5"/>
    <w:rsid w:val="001716F7"/>
    <w:rsid w:val="00171DAE"/>
    <w:rsid w:val="00171DDB"/>
    <w:rsid w:val="00172280"/>
    <w:rsid w:val="00172B6C"/>
    <w:rsid w:val="00172D35"/>
    <w:rsid w:val="00172D36"/>
    <w:rsid w:val="0017446B"/>
    <w:rsid w:val="00174B5F"/>
    <w:rsid w:val="0017528E"/>
    <w:rsid w:val="001752BB"/>
    <w:rsid w:val="001758AE"/>
    <w:rsid w:val="001759E3"/>
    <w:rsid w:val="001761FC"/>
    <w:rsid w:val="00176855"/>
    <w:rsid w:val="001768C1"/>
    <w:rsid w:val="00176956"/>
    <w:rsid w:val="00176980"/>
    <w:rsid w:val="001771AA"/>
    <w:rsid w:val="001774B4"/>
    <w:rsid w:val="00177521"/>
    <w:rsid w:val="00177654"/>
    <w:rsid w:val="00177921"/>
    <w:rsid w:val="001800A8"/>
    <w:rsid w:val="001806EA"/>
    <w:rsid w:val="00180CB8"/>
    <w:rsid w:val="00181210"/>
    <w:rsid w:val="00181B09"/>
    <w:rsid w:val="00181BA7"/>
    <w:rsid w:val="001821B7"/>
    <w:rsid w:val="001825AF"/>
    <w:rsid w:val="00182EE4"/>
    <w:rsid w:val="001833AF"/>
    <w:rsid w:val="0018370B"/>
    <w:rsid w:val="001838A3"/>
    <w:rsid w:val="001838E7"/>
    <w:rsid w:val="00183A4F"/>
    <w:rsid w:val="00183B82"/>
    <w:rsid w:val="00183D51"/>
    <w:rsid w:val="00183E31"/>
    <w:rsid w:val="00183F21"/>
    <w:rsid w:val="0018426A"/>
    <w:rsid w:val="0018468E"/>
    <w:rsid w:val="001846E9"/>
    <w:rsid w:val="00184807"/>
    <w:rsid w:val="00184906"/>
    <w:rsid w:val="00184AD5"/>
    <w:rsid w:val="00185E00"/>
    <w:rsid w:val="00186068"/>
    <w:rsid w:val="00186FD9"/>
    <w:rsid w:val="00190008"/>
    <w:rsid w:val="00190033"/>
    <w:rsid w:val="0019011A"/>
    <w:rsid w:val="001917CB"/>
    <w:rsid w:val="0019194E"/>
    <w:rsid w:val="001919CA"/>
    <w:rsid w:val="00191BEF"/>
    <w:rsid w:val="00191E84"/>
    <w:rsid w:val="00192606"/>
    <w:rsid w:val="001927FC"/>
    <w:rsid w:val="001932DE"/>
    <w:rsid w:val="00193687"/>
    <w:rsid w:val="00194645"/>
    <w:rsid w:val="001947D6"/>
    <w:rsid w:val="00195168"/>
    <w:rsid w:val="0019595A"/>
    <w:rsid w:val="00195970"/>
    <w:rsid w:val="00195C77"/>
    <w:rsid w:val="00195EE2"/>
    <w:rsid w:val="00195FA6"/>
    <w:rsid w:val="001967DE"/>
    <w:rsid w:val="00196A79"/>
    <w:rsid w:val="00196EB4"/>
    <w:rsid w:val="00197070"/>
    <w:rsid w:val="00197388"/>
    <w:rsid w:val="0019741B"/>
    <w:rsid w:val="00197D31"/>
    <w:rsid w:val="00197FF7"/>
    <w:rsid w:val="001A00A2"/>
    <w:rsid w:val="001A0122"/>
    <w:rsid w:val="001A0292"/>
    <w:rsid w:val="001A038E"/>
    <w:rsid w:val="001A05D4"/>
    <w:rsid w:val="001A0642"/>
    <w:rsid w:val="001A08F7"/>
    <w:rsid w:val="001A0C24"/>
    <w:rsid w:val="001A0DAD"/>
    <w:rsid w:val="001A13E8"/>
    <w:rsid w:val="001A14E8"/>
    <w:rsid w:val="001A1683"/>
    <w:rsid w:val="001A1A54"/>
    <w:rsid w:val="001A1ADC"/>
    <w:rsid w:val="001A1E44"/>
    <w:rsid w:val="001A2551"/>
    <w:rsid w:val="001A25C0"/>
    <w:rsid w:val="001A31E5"/>
    <w:rsid w:val="001A3A78"/>
    <w:rsid w:val="001A3A7A"/>
    <w:rsid w:val="001A4229"/>
    <w:rsid w:val="001A4BC0"/>
    <w:rsid w:val="001A4D60"/>
    <w:rsid w:val="001A4FC4"/>
    <w:rsid w:val="001A5132"/>
    <w:rsid w:val="001A5206"/>
    <w:rsid w:val="001A5428"/>
    <w:rsid w:val="001A559D"/>
    <w:rsid w:val="001A59D1"/>
    <w:rsid w:val="001A5C89"/>
    <w:rsid w:val="001A5E5D"/>
    <w:rsid w:val="001A5F7C"/>
    <w:rsid w:val="001A618D"/>
    <w:rsid w:val="001A6544"/>
    <w:rsid w:val="001A6AEF"/>
    <w:rsid w:val="001A6F43"/>
    <w:rsid w:val="001A7505"/>
    <w:rsid w:val="001A75E7"/>
    <w:rsid w:val="001A7648"/>
    <w:rsid w:val="001A794C"/>
    <w:rsid w:val="001B0456"/>
    <w:rsid w:val="001B0EDC"/>
    <w:rsid w:val="001B1864"/>
    <w:rsid w:val="001B1A88"/>
    <w:rsid w:val="001B2A7D"/>
    <w:rsid w:val="001B2E69"/>
    <w:rsid w:val="001B32B5"/>
    <w:rsid w:val="001B342E"/>
    <w:rsid w:val="001B34CD"/>
    <w:rsid w:val="001B3C21"/>
    <w:rsid w:val="001B409F"/>
    <w:rsid w:val="001B5096"/>
    <w:rsid w:val="001B5172"/>
    <w:rsid w:val="001B5467"/>
    <w:rsid w:val="001B56DE"/>
    <w:rsid w:val="001B576F"/>
    <w:rsid w:val="001B57D2"/>
    <w:rsid w:val="001B59DF"/>
    <w:rsid w:val="001B5EB0"/>
    <w:rsid w:val="001B6444"/>
    <w:rsid w:val="001B6658"/>
    <w:rsid w:val="001B699E"/>
    <w:rsid w:val="001B69BB"/>
    <w:rsid w:val="001B70CE"/>
    <w:rsid w:val="001B755B"/>
    <w:rsid w:val="001B75B3"/>
    <w:rsid w:val="001B78CB"/>
    <w:rsid w:val="001C01F1"/>
    <w:rsid w:val="001C0A87"/>
    <w:rsid w:val="001C0E75"/>
    <w:rsid w:val="001C0EC5"/>
    <w:rsid w:val="001C132B"/>
    <w:rsid w:val="001C1D7E"/>
    <w:rsid w:val="001C1F6E"/>
    <w:rsid w:val="001C22D8"/>
    <w:rsid w:val="001C26ED"/>
    <w:rsid w:val="001C2E77"/>
    <w:rsid w:val="001C30C2"/>
    <w:rsid w:val="001C3458"/>
    <w:rsid w:val="001C3A2F"/>
    <w:rsid w:val="001C3D61"/>
    <w:rsid w:val="001C4A5B"/>
    <w:rsid w:val="001C4AB1"/>
    <w:rsid w:val="001C4AD0"/>
    <w:rsid w:val="001C55E8"/>
    <w:rsid w:val="001C5D23"/>
    <w:rsid w:val="001C5D63"/>
    <w:rsid w:val="001C60C4"/>
    <w:rsid w:val="001C67A3"/>
    <w:rsid w:val="001C782A"/>
    <w:rsid w:val="001C78F2"/>
    <w:rsid w:val="001C7CDA"/>
    <w:rsid w:val="001D0346"/>
    <w:rsid w:val="001D0B5A"/>
    <w:rsid w:val="001D0DB5"/>
    <w:rsid w:val="001D1579"/>
    <w:rsid w:val="001D224F"/>
    <w:rsid w:val="001D2296"/>
    <w:rsid w:val="001D258E"/>
    <w:rsid w:val="001D2F91"/>
    <w:rsid w:val="001D3043"/>
    <w:rsid w:val="001D3390"/>
    <w:rsid w:val="001D3A07"/>
    <w:rsid w:val="001D3C95"/>
    <w:rsid w:val="001D3E0E"/>
    <w:rsid w:val="001D415E"/>
    <w:rsid w:val="001D4307"/>
    <w:rsid w:val="001D4422"/>
    <w:rsid w:val="001D44C8"/>
    <w:rsid w:val="001D47F3"/>
    <w:rsid w:val="001D566B"/>
    <w:rsid w:val="001D5D45"/>
    <w:rsid w:val="001D5EDC"/>
    <w:rsid w:val="001D61A1"/>
    <w:rsid w:val="001D61B8"/>
    <w:rsid w:val="001D64D3"/>
    <w:rsid w:val="001D6A5D"/>
    <w:rsid w:val="001D6EE4"/>
    <w:rsid w:val="001D7002"/>
    <w:rsid w:val="001D7081"/>
    <w:rsid w:val="001D730E"/>
    <w:rsid w:val="001D7598"/>
    <w:rsid w:val="001D7637"/>
    <w:rsid w:val="001D777E"/>
    <w:rsid w:val="001D77FF"/>
    <w:rsid w:val="001D78F3"/>
    <w:rsid w:val="001E00E8"/>
    <w:rsid w:val="001E035B"/>
    <w:rsid w:val="001E0360"/>
    <w:rsid w:val="001E040E"/>
    <w:rsid w:val="001E0D10"/>
    <w:rsid w:val="001E0F68"/>
    <w:rsid w:val="001E12C3"/>
    <w:rsid w:val="001E135F"/>
    <w:rsid w:val="001E1654"/>
    <w:rsid w:val="001E1A72"/>
    <w:rsid w:val="001E2151"/>
    <w:rsid w:val="001E2609"/>
    <w:rsid w:val="001E2C1D"/>
    <w:rsid w:val="001E37A9"/>
    <w:rsid w:val="001E447A"/>
    <w:rsid w:val="001E4EE9"/>
    <w:rsid w:val="001E4F83"/>
    <w:rsid w:val="001E4FB4"/>
    <w:rsid w:val="001E58C6"/>
    <w:rsid w:val="001E5A2F"/>
    <w:rsid w:val="001E5BE0"/>
    <w:rsid w:val="001E5DC7"/>
    <w:rsid w:val="001E5EC9"/>
    <w:rsid w:val="001E5EFE"/>
    <w:rsid w:val="001E6228"/>
    <w:rsid w:val="001E6648"/>
    <w:rsid w:val="001E738D"/>
    <w:rsid w:val="001E73F5"/>
    <w:rsid w:val="001E7C4E"/>
    <w:rsid w:val="001E7E59"/>
    <w:rsid w:val="001F05C9"/>
    <w:rsid w:val="001F082B"/>
    <w:rsid w:val="001F0AF1"/>
    <w:rsid w:val="001F12C0"/>
    <w:rsid w:val="001F1E24"/>
    <w:rsid w:val="001F2069"/>
    <w:rsid w:val="001F24A2"/>
    <w:rsid w:val="001F25C1"/>
    <w:rsid w:val="001F3B4E"/>
    <w:rsid w:val="001F3BDA"/>
    <w:rsid w:val="001F4150"/>
    <w:rsid w:val="001F4709"/>
    <w:rsid w:val="001F4C14"/>
    <w:rsid w:val="001F4EC2"/>
    <w:rsid w:val="001F5454"/>
    <w:rsid w:val="001F5E43"/>
    <w:rsid w:val="001F5E68"/>
    <w:rsid w:val="001F60C6"/>
    <w:rsid w:val="001F68A4"/>
    <w:rsid w:val="001F75E2"/>
    <w:rsid w:val="002003D9"/>
    <w:rsid w:val="002004BF"/>
    <w:rsid w:val="0020087A"/>
    <w:rsid w:val="00200ADA"/>
    <w:rsid w:val="00200F32"/>
    <w:rsid w:val="00201FAC"/>
    <w:rsid w:val="00202665"/>
    <w:rsid w:val="002033C6"/>
    <w:rsid w:val="002035C6"/>
    <w:rsid w:val="002036F0"/>
    <w:rsid w:val="00203FBF"/>
    <w:rsid w:val="002047B1"/>
    <w:rsid w:val="002047D5"/>
    <w:rsid w:val="00204B09"/>
    <w:rsid w:val="00204B52"/>
    <w:rsid w:val="00204BC5"/>
    <w:rsid w:val="00204D36"/>
    <w:rsid w:val="002051E1"/>
    <w:rsid w:val="00205507"/>
    <w:rsid w:val="002055A2"/>
    <w:rsid w:val="00205825"/>
    <w:rsid w:val="00205AD0"/>
    <w:rsid w:val="002068AE"/>
    <w:rsid w:val="00206BBC"/>
    <w:rsid w:val="002074E3"/>
    <w:rsid w:val="00207675"/>
    <w:rsid w:val="002078D7"/>
    <w:rsid w:val="00207B34"/>
    <w:rsid w:val="00207DF3"/>
    <w:rsid w:val="002101DE"/>
    <w:rsid w:val="002104F8"/>
    <w:rsid w:val="002108EB"/>
    <w:rsid w:val="00211486"/>
    <w:rsid w:val="00211E31"/>
    <w:rsid w:val="0021200E"/>
    <w:rsid w:val="00212133"/>
    <w:rsid w:val="0021227B"/>
    <w:rsid w:val="002127AE"/>
    <w:rsid w:val="002128AC"/>
    <w:rsid w:val="00212C23"/>
    <w:rsid w:val="00212F6A"/>
    <w:rsid w:val="002130FF"/>
    <w:rsid w:val="0021368C"/>
    <w:rsid w:val="00213814"/>
    <w:rsid w:val="00213AAD"/>
    <w:rsid w:val="00213B40"/>
    <w:rsid w:val="00214754"/>
    <w:rsid w:val="00214C87"/>
    <w:rsid w:val="00214E35"/>
    <w:rsid w:val="00215495"/>
    <w:rsid w:val="00215564"/>
    <w:rsid w:val="00215679"/>
    <w:rsid w:val="00215998"/>
    <w:rsid w:val="00215E7D"/>
    <w:rsid w:val="00215F7E"/>
    <w:rsid w:val="0021686B"/>
    <w:rsid w:val="00216EC5"/>
    <w:rsid w:val="00217A85"/>
    <w:rsid w:val="002207A4"/>
    <w:rsid w:val="00220936"/>
    <w:rsid w:val="00221251"/>
    <w:rsid w:val="00221453"/>
    <w:rsid w:val="0022169D"/>
    <w:rsid w:val="00221739"/>
    <w:rsid w:val="002219DF"/>
    <w:rsid w:val="00221C49"/>
    <w:rsid w:val="00221ED9"/>
    <w:rsid w:val="002220F6"/>
    <w:rsid w:val="0022223B"/>
    <w:rsid w:val="002223F6"/>
    <w:rsid w:val="00222D49"/>
    <w:rsid w:val="00222E26"/>
    <w:rsid w:val="002237BE"/>
    <w:rsid w:val="002239D1"/>
    <w:rsid w:val="00223A66"/>
    <w:rsid w:val="002245F2"/>
    <w:rsid w:val="002247F6"/>
    <w:rsid w:val="00224DF5"/>
    <w:rsid w:val="00225779"/>
    <w:rsid w:val="0022587A"/>
    <w:rsid w:val="00225A0F"/>
    <w:rsid w:val="00225A44"/>
    <w:rsid w:val="002264FF"/>
    <w:rsid w:val="00226CB5"/>
    <w:rsid w:val="00227256"/>
    <w:rsid w:val="00227352"/>
    <w:rsid w:val="002276E1"/>
    <w:rsid w:val="002278FB"/>
    <w:rsid w:val="0023061A"/>
    <w:rsid w:val="0023064A"/>
    <w:rsid w:val="00230758"/>
    <w:rsid w:val="002315DF"/>
    <w:rsid w:val="0023176E"/>
    <w:rsid w:val="00231E41"/>
    <w:rsid w:val="0023234F"/>
    <w:rsid w:val="002329AA"/>
    <w:rsid w:val="002329D7"/>
    <w:rsid w:val="00233B2C"/>
    <w:rsid w:val="00234303"/>
    <w:rsid w:val="0023439E"/>
    <w:rsid w:val="0023472F"/>
    <w:rsid w:val="0023499F"/>
    <w:rsid w:val="00234D82"/>
    <w:rsid w:val="002360AE"/>
    <w:rsid w:val="00236177"/>
    <w:rsid w:val="0023644C"/>
    <w:rsid w:val="00236523"/>
    <w:rsid w:val="002365B1"/>
    <w:rsid w:val="00236826"/>
    <w:rsid w:val="00236968"/>
    <w:rsid w:val="00236D88"/>
    <w:rsid w:val="00237B72"/>
    <w:rsid w:val="002401C7"/>
    <w:rsid w:val="00241159"/>
    <w:rsid w:val="002412FF"/>
    <w:rsid w:val="0024153B"/>
    <w:rsid w:val="00241939"/>
    <w:rsid w:val="00241B4D"/>
    <w:rsid w:val="00241F02"/>
    <w:rsid w:val="002424BB"/>
    <w:rsid w:val="002427DB"/>
    <w:rsid w:val="0024290B"/>
    <w:rsid w:val="00243082"/>
    <w:rsid w:val="0024346A"/>
    <w:rsid w:val="00243D29"/>
    <w:rsid w:val="0024425C"/>
    <w:rsid w:val="00244DD3"/>
    <w:rsid w:val="002452FC"/>
    <w:rsid w:val="002453AC"/>
    <w:rsid w:val="00245641"/>
    <w:rsid w:val="00245690"/>
    <w:rsid w:val="00245DF2"/>
    <w:rsid w:val="002460B7"/>
    <w:rsid w:val="002467C3"/>
    <w:rsid w:val="0024688A"/>
    <w:rsid w:val="002471B4"/>
    <w:rsid w:val="0025007C"/>
    <w:rsid w:val="002507E0"/>
    <w:rsid w:val="00251231"/>
    <w:rsid w:val="00251495"/>
    <w:rsid w:val="00251645"/>
    <w:rsid w:val="00251FEC"/>
    <w:rsid w:val="00252319"/>
    <w:rsid w:val="00252859"/>
    <w:rsid w:val="002528AD"/>
    <w:rsid w:val="002529B2"/>
    <w:rsid w:val="00252F4F"/>
    <w:rsid w:val="00253503"/>
    <w:rsid w:val="00253682"/>
    <w:rsid w:val="00253908"/>
    <w:rsid w:val="00253B30"/>
    <w:rsid w:val="00253B61"/>
    <w:rsid w:val="00253CAC"/>
    <w:rsid w:val="00253D8B"/>
    <w:rsid w:val="00253E0D"/>
    <w:rsid w:val="00254008"/>
    <w:rsid w:val="002546C7"/>
    <w:rsid w:val="0025525D"/>
    <w:rsid w:val="002553EF"/>
    <w:rsid w:val="002554FD"/>
    <w:rsid w:val="0025568E"/>
    <w:rsid w:val="00255D4C"/>
    <w:rsid w:val="00255D5D"/>
    <w:rsid w:val="00255E78"/>
    <w:rsid w:val="00255F4F"/>
    <w:rsid w:val="0025648C"/>
    <w:rsid w:val="00256E3B"/>
    <w:rsid w:val="0025732C"/>
    <w:rsid w:val="00257C5E"/>
    <w:rsid w:val="00260557"/>
    <w:rsid w:val="00260703"/>
    <w:rsid w:val="002608A8"/>
    <w:rsid w:val="00260C45"/>
    <w:rsid w:val="002616E0"/>
    <w:rsid w:val="002627EE"/>
    <w:rsid w:val="00262B2B"/>
    <w:rsid w:val="00262E37"/>
    <w:rsid w:val="00263267"/>
    <w:rsid w:val="00263A61"/>
    <w:rsid w:val="00263D0E"/>
    <w:rsid w:val="00263ED2"/>
    <w:rsid w:val="00263F38"/>
    <w:rsid w:val="00264567"/>
    <w:rsid w:val="00264647"/>
    <w:rsid w:val="0026493B"/>
    <w:rsid w:val="00264A12"/>
    <w:rsid w:val="00264B6A"/>
    <w:rsid w:val="00264C8D"/>
    <w:rsid w:val="00265598"/>
    <w:rsid w:val="0026579D"/>
    <w:rsid w:val="002667A2"/>
    <w:rsid w:val="0026695D"/>
    <w:rsid w:val="00266FA6"/>
    <w:rsid w:val="002671F2"/>
    <w:rsid w:val="0026732E"/>
    <w:rsid w:val="0026749D"/>
    <w:rsid w:val="0026771A"/>
    <w:rsid w:val="002704E4"/>
    <w:rsid w:val="0027075D"/>
    <w:rsid w:val="00270BFD"/>
    <w:rsid w:val="002711B8"/>
    <w:rsid w:val="00271201"/>
    <w:rsid w:val="002719A1"/>
    <w:rsid w:val="00271A72"/>
    <w:rsid w:val="00271B3D"/>
    <w:rsid w:val="00271DFA"/>
    <w:rsid w:val="002722F7"/>
    <w:rsid w:val="002728B4"/>
    <w:rsid w:val="00272AC5"/>
    <w:rsid w:val="00272BBB"/>
    <w:rsid w:val="00272EDD"/>
    <w:rsid w:val="00273E0F"/>
    <w:rsid w:val="00274465"/>
    <w:rsid w:val="0027450A"/>
    <w:rsid w:val="002749D3"/>
    <w:rsid w:val="00274F94"/>
    <w:rsid w:val="0027511E"/>
    <w:rsid w:val="002754FF"/>
    <w:rsid w:val="00275920"/>
    <w:rsid w:val="00275B95"/>
    <w:rsid w:val="00275D6B"/>
    <w:rsid w:val="00276126"/>
    <w:rsid w:val="0027629A"/>
    <w:rsid w:val="002762D3"/>
    <w:rsid w:val="00276957"/>
    <w:rsid w:val="00276B42"/>
    <w:rsid w:val="00277144"/>
    <w:rsid w:val="002772C5"/>
    <w:rsid w:val="00277332"/>
    <w:rsid w:val="0027739B"/>
    <w:rsid w:val="00277433"/>
    <w:rsid w:val="00277837"/>
    <w:rsid w:val="00277A3F"/>
    <w:rsid w:val="00277B57"/>
    <w:rsid w:val="00277BBE"/>
    <w:rsid w:val="00277D17"/>
    <w:rsid w:val="00277D4B"/>
    <w:rsid w:val="00277E79"/>
    <w:rsid w:val="0028077B"/>
    <w:rsid w:val="00280DE7"/>
    <w:rsid w:val="00280E31"/>
    <w:rsid w:val="00280EA8"/>
    <w:rsid w:val="0028185B"/>
    <w:rsid w:val="00282401"/>
    <w:rsid w:val="0028240F"/>
    <w:rsid w:val="00282505"/>
    <w:rsid w:val="0028316C"/>
    <w:rsid w:val="00283708"/>
    <w:rsid w:val="00283743"/>
    <w:rsid w:val="00283AC1"/>
    <w:rsid w:val="00283E1E"/>
    <w:rsid w:val="00284906"/>
    <w:rsid w:val="00285CE7"/>
    <w:rsid w:val="00285D59"/>
    <w:rsid w:val="00285E35"/>
    <w:rsid w:val="0028620F"/>
    <w:rsid w:val="00286264"/>
    <w:rsid w:val="00286405"/>
    <w:rsid w:val="00286BCB"/>
    <w:rsid w:val="002879B7"/>
    <w:rsid w:val="00287A86"/>
    <w:rsid w:val="00287E1E"/>
    <w:rsid w:val="00290312"/>
    <w:rsid w:val="002907CB"/>
    <w:rsid w:val="002908C5"/>
    <w:rsid w:val="00290ADA"/>
    <w:rsid w:val="002914B1"/>
    <w:rsid w:val="00291539"/>
    <w:rsid w:val="00291CE6"/>
    <w:rsid w:val="0029245D"/>
    <w:rsid w:val="00292738"/>
    <w:rsid w:val="00292ADC"/>
    <w:rsid w:val="00293356"/>
    <w:rsid w:val="002948A8"/>
    <w:rsid w:val="00294AD5"/>
    <w:rsid w:val="00294B0A"/>
    <w:rsid w:val="00294D24"/>
    <w:rsid w:val="00294EEC"/>
    <w:rsid w:val="00295284"/>
    <w:rsid w:val="00295710"/>
    <w:rsid w:val="0029618F"/>
    <w:rsid w:val="002961E1"/>
    <w:rsid w:val="002968A0"/>
    <w:rsid w:val="0029694A"/>
    <w:rsid w:val="00296CA3"/>
    <w:rsid w:val="002971B8"/>
    <w:rsid w:val="00297C4E"/>
    <w:rsid w:val="002A042B"/>
    <w:rsid w:val="002A09F2"/>
    <w:rsid w:val="002A0CBB"/>
    <w:rsid w:val="002A0DFE"/>
    <w:rsid w:val="002A15AC"/>
    <w:rsid w:val="002A1BD5"/>
    <w:rsid w:val="002A1D3A"/>
    <w:rsid w:val="002A2060"/>
    <w:rsid w:val="002A247E"/>
    <w:rsid w:val="002A293E"/>
    <w:rsid w:val="002A2AF3"/>
    <w:rsid w:val="002A2C3E"/>
    <w:rsid w:val="002A2F00"/>
    <w:rsid w:val="002A2FD6"/>
    <w:rsid w:val="002A3874"/>
    <w:rsid w:val="002A3AEF"/>
    <w:rsid w:val="002A3D65"/>
    <w:rsid w:val="002A4146"/>
    <w:rsid w:val="002A42AB"/>
    <w:rsid w:val="002A4501"/>
    <w:rsid w:val="002A487E"/>
    <w:rsid w:val="002A49F4"/>
    <w:rsid w:val="002A4B0E"/>
    <w:rsid w:val="002A4E38"/>
    <w:rsid w:val="002A5925"/>
    <w:rsid w:val="002A748D"/>
    <w:rsid w:val="002A7692"/>
    <w:rsid w:val="002A7EF4"/>
    <w:rsid w:val="002A7F8B"/>
    <w:rsid w:val="002B0173"/>
    <w:rsid w:val="002B07A8"/>
    <w:rsid w:val="002B0A9F"/>
    <w:rsid w:val="002B113E"/>
    <w:rsid w:val="002B177B"/>
    <w:rsid w:val="002B19D1"/>
    <w:rsid w:val="002B19E3"/>
    <w:rsid w:val="002B21F2"/>
    <w:rsid w:val="002B2267"/>
    <w:rsid w:val="002B22ED"/>
    <w:rsid w:val="002B272A"/>
    <w:rsid w:val="002B28FE"/>
    <w:rsid w:val="002B3679"/>
    <w:rsid w:val="002B5036"/>
    <w:rsid w:val="002B562F"/>
    <w:rsid w:val="002B5D5D"/>
    <w:rsid w:val="002B5F62"/>
    <w:rsid w:val="002B61DC"/>
    <w:rsid w:val="002B64A7"/>
    <w:rsid w:val="002B677C"/>
    <w:rsid w:val="002B6BE5"/>
    <w:rsid w:val="002B6DDB"/>
    <w:rsid w:val="002B7521"/>
    <w:rsid w:val="002B7D01"/>
    <w:rsid w:val="002C09CA"/>
    <w:rsid w:val="002C0CB3"/>
    <w:rsid w:val="002C0F4E"/>
    <w:rsid w:val="002C1C05"/>
    <w:rsid w:val="002C208A"/>
    <w:rsid w:val="002C21CA"/>
    <w:rsid w:val="002C2AB4"/>
    <w:rsid w:val="002C2B8D"/>
    <w:rsid w:val="002C2FF4"/>
    <w:rsid w:val="002C306A"/>
    <w:rsid w:val="002C3881"/>
    <w:rsid w:val="002C39FF"/>
    <w:rsid w:val="002C4315"/>
    <w:rsid w:val="002C45CF"/>
    <w:rsid w:val="002C4A82"/>
    <w:rsid w:val="002C6C01"/>
    <w:rsid w:val="002C6F68"/>
    <w:rsid w:val="002C70E5"/>
    <w:rsid w:val="002C722F"/>
    <w:rsid w:val="002C7684"/>
    <w:rsid w:val="002C7BB2"/>
    <w:rsid w:val="002D02FF"/>
    <w:rsid w:val="002D0399"/>
    <w:rsid w:val="002D069F"/>
    <w:rsid w:val="002D0F08"/>
    <w:rsid w:val="002D180F"/>
    <w:rsid w:val="002D1C12"/>
    <w:rsid w:val="002D1E17"/>
    <w:rsid w:val="002D2418"/>
    <w:rsid w:val="002D2825"/>
    <w:rsid w:val="002D38DF"/>
    <w:rsid w:val="002D3E77"/>
    <w:rsid w:val="002D43C4"/>
    <w:rsid w:val="002D4861"/>
    <w:rsid w:val="002D494C"/>
    <w:rsid w:val="002D4EEE"/>
    <w:rsid w:val="002D54C3"/>
    <w:rsid w:val="002D5559"/>
    <w:rsid w:val="002D55F5"/>
    <w:rsid w:val="002D56D8"/>
    <w:rsid w:val="002D60AC"/>
    <w:rsid w:val="002D6386"/>
    <w:rsid w:val="002D703C"/>
    <w:rsid w:val="002D76F9"/>
    <w:rsid w:val="002D79C4"/>
    <w:rsid w:val="002D7F59"/>
    <w:rsid w:val="002E1A73"/>
    <w:rsid w:val="002E1F0E"/>
    <w:rsid w:val="002E2348"/>
    <w:rsid w:val="002E23DE"/>
    <w:rsid w:val="002E2D9B"/>
    <w:rsid w:val="002E2DD9"/>
    <w:rsid w:val="002E2E64"/>
    <w:rsid w:val="002E34BF"/>
    <w:rsid w:val="002E37ED"/>
    <w:rsid w:val="002E436F"/>
    <w:rsid w:val="002E47BD"/>
    <w:rsid w:val="002E4BDE"/>
    <w:rsid w:val="002E5BB9"/>
    <w:rsid w:val="002E5C2D"/>
    <w:rsid w:val="002E5C95"/>
    <w:rsid w:val="002E5EB3"/>
    <w:rsid w:val="002E6120"/>
    <w:rsid w:val="002E67F2"/>
    <w:rsid w:val="002E686A"/>
    <w:rsid w:val="002E6B23"/>
    <w:rsid w:val="002E6C9D"/>
    <w:rsid w:val="002E71A5"/>
    <w:rsid w:val="002E71DD"/>
    <w:rsid w:val="002E741E"/>
    <w:rsid w:val="002E74AC"/>
    <w:rsid w:val="002E7542"/>
    <w:rsid w:val="002E7EEC"/>
    <w:rsid w:val="002F0354"/>
    <w:rsid w:val="002F069E"/>
    <w:rsid w:val="002F0737"/>
    <w:rsid w:val="002F0741"/>
    <w:rsid w:val="002F07EC"/>
    <w:rsid w:val="002F0BDD"/>
    <w:rsid w:val="002F1400"/>
    <w:rsid w:val="002F15EB"/>
    <w:rsid w:val="002F1727"/>
    <w:rsid w:val="002F1E10"/>
    <w:rsid w:val="002F1F51"/>
    <w:rsid w:val="002F214B"/>
    <w:rsid w:val="002F27BF"/>
    <w:rsid w:val="002F2B45"/>
    <w:rsid w:val="002F2C91"/>
    <w:rsid w:val="002F4755"/>
    <w:rsid w:val="002F48D7"/>
    <w:rsid w:val="002F4E98"/>
    <w:rsid w:val="002F4FEB"/>
    <w:rsid w:val="002F6556"/>
    <w:rsid w:val="002F6557"/>
    <w:rsid w:val="002F66C0"/>
    <w:rsid w:val="002F6BBC"/>
    <w:rsid w:val="002F71E7"/>
    <w:rsid w:val="002F7D34"/>
    <w:rsid w:val="00301208"/>
    <w:rsid w:val="003018E0"/>
    <w:rsid w:val="00301C60"/>
    <w:rsid w:val="0030215E"/>
    <w:rsid w:val="0030218D"/>
    <w:rsid w:val="00302422"/>
    <w:rsid w:val="00302749"/>
    <w:rsid w:val="003028EA"/>
    <w:rsid w:val="00302BEC"/>
    <w:rsid w:val="00303A29"/>
    <w:rsid w:val="00303D97"/>
    <w:rsid w:val="003043CD"/>
    <w:rsid w:val="0030484A"/>
    <w:rsid w:val="003048C6"/>
    <w:rsid w:val="00304A3C"/>
    <w:rsid w:val="00304B3B"/>
    <w:rsid w:val="0030517D"/>
    <w:rsid w:val="003051E7"/>
    <w:rsid w:val="00305276"/>
    <w:rsid w:val="003055C4"/>
    <w:rsid w:val="00305802"/>
    <w:rsid w:val="00305D9C"/>
    <w:rsid w:val="0030636F"/>
    <w:rsid w:val="003076AF"/>
    <w:rsid w:val="0030784D"/>
    <w:rsid w:val="00307EC7"/>
    <w:rsid w:val="0031041D"/>
    <w:rsid w:val="00310562"/>
    <w:rsid w:val="003107A0"/>
    <w:rsid w:val="00310D4F"/>
    <w:rsid w:val="0031100F"/>
    <w:rsid w:val="0031118D"/>
    <w:rsid w:val="0031155C"/>
    <w:rsid w:val="003115D5"/>
    <w:rsid w:val="00311B58"/>
    <w:rsid w:val="00311CA8"/>
    <w:rsid w:val="00312485"/>
    <w:rsid w:val="00312C3A"/>
    <w:rsid w:val="003137C9"/>
    <w:rsid w:val="00314318"/>
    <w:rsid w:val="00314395"/>
    <w:rsid w:val="003143EC"/>
    <w:rsid w:val="003144A5"/>
    <w:rsid w:val="003146D2"/>
    <w:rsid w:val="00314787"/>
    <w:rsid w:val="00314A31"/>
    <w:rsid w:val="00314C5F"/>
    <w:rsid w:val="00314DCC"/>
    <w:rsid w:val="00314DCF"/>
    <w:rsid w:val="00315061"/>
    <w:rsid w:val="0031528C"/>
    <w:rsid w:val="003152A4"/>
    <w:rsid w:val="003153E6"/>
    <w:rsid w:val="003169F3"/>
    <w:rsid w:val="00316A83"/>
    <w:rsid w:val="00316AF0"/>
    <w:rsid w:val="00316DB1"/>
    <w:rsid w:val="003172D2"/>
    <w:rsid w:val="003176DE"/>
    <w:rsid w:val="003179F5"/>
    <w:rsid w:val="00320223"/>
    <w:rsid w:val="003203BC"/>
    <w:rsid w:val="003208B9"/>
    <w:rsid w:val="00321D30"/>
    <w:rsid w:val="00321E77"/>
    <w:rsid w:val="00322305"/>
    <w:rsid w:val="00323925"/>
    <w:rsid w:val="00323A65"/>
    <w:rsid w:val="00323D85"/>
    <w:rsid w:val="0032419E"/>
    <w:rsid w:val="003243B0"/>
    <w:rsid w:val="0032444C"/>
    <w:rsid w:val="00324A07"/>
    <w:rsid w:val="00324E1F"/>
    <w:rsid w:val="00324EEC"/>
    <w:rsid w:val="003250F9"/>
    <w:rsid w:val="0032533F"/>
    <w:rsid w:val="003253A9"/>
    <w:rsid w:val="003272B9"/>
    <w:rsid w:val="0032791E"/>
    <w:rsid w:val="003279BD"/>
    <w:rsid w:val="00330564"/>
    <w:rsid w:val="00330856"/>
    <w:rsid w:val="00330E05"/>
    <w:rsid w:val="003313C2"/>
    <w:rsid w:val="00331B29"/>
    <w:rsid w:val="00332099"/>
    <w:rsid w:val="0033291D"/>
    <w:rsid w:val="00332F0C"/>
    <w:rsid w:val="0033306A"/>
    <w:rsid w:val="00333220"/>
    <w:rsid w:val="003332EF"/>
    <w:rsid w:val="003342F6"/>
    <w:rsid w:val="00334F47"/>
    <w:rsid w:val="003354D1"/>
    <w:rsid w:val="00335BFF"/>
    <w:rsid w:val="00336253"/>
    <w:rsid w:val="00336994"/>
    <w:rsid w:val="00336BC2"/>
    <w:rsid w:val="00337A73"/>
    <w:rsid w:val="00337C8C"/>
    <w:rsid w:val="0034141A"/>
    <w:rsid w:val="00341AB2"/>
    <w:rsid w:val="00341B39"/>
    <w:rsid w:val="00341C1C"/>
    <w:rsid w:val="00341C28"/>
    <w:rsid w:val="00342338"/>
    <w:rsid w:val="00342386"/>
    <w:rsid w:val="003429AB"/>
    <w:rsid w:val="00342B03"/>
    <w:rsid w:val="00342B4E"/>
    <w:rsid w:val="00342DB0"/>
    <w:rsid w:val="00343650"/>
    <w:rsid w:val="003438A4"/>
    <w:rsid w:val="00343DA5"/>
    <w:rsid w:val="00343E95"/>
    <w:rsid w:val="00343F22"/>
    <w:rsid w:val="00344169"/>
    <w:rsid w:val="003445B7"/>
    <w:rsid w:val="00344B7E"/>
    <w:rsid w:val="00345268"/>
    <w:rsid w:val="003454F1"/>
    <w:rsid w:val="00345ABD"/>
    <w:rsid w:val="00345E05"/>
    <w:rsid w:val="003462C8"/>
    <w:rsid w:val="00346ED2"/>
    <w:rsid w:val="0034712D"/>
    <w:rsid w:val="00347246"/>
    <w:rsid w:val="00347912"/>
    <w:rsid w:val="00350442"/>
    <w:rsid w:val="0035050C"/>
    <w:rsid w:val="00350909"/>
    <w:rsid w:val="00350CEB"/>
    <w:rsid w:val="003511BF"/>
    <w:rsid w:val="00351328"/>
    <w:rsid w:val="003517E8"/>
    <w:rsid w:val="00351F77"/>
    <w:rsid w:val="0035206D"/>
    <w:rsid w:val="00352126"/>
    <w:rsid w:val="003525AC"/>
    <w:rsid w:val="00352B7F"/>
    <w:rsid w:val="00352BBD"/>
    <w:rsid w:val="00352C2B"/>
    <w:rsid w:val="00353227"/>
    <w:rsid w:val="00353DDD"/>
    <w:rsid w:val="00353F57"/>
    <w:rsid w:val="003543F5"/>
    <w:rsid w:val="00354DDD"/>
    <w:rsid w:val="00355833"/>
    <w:rsid w:val="003568A8"/>
    <w:rsid w:val="003568FD"/>
    <w:rsid w:val="00356937"/>
    <w:rsid w:val="00356D38"/>
    <w:rsid w:val="003570F4"/>
    <w:rsid w:val="003578ED"/>
    <w:rsid w:val="00357AD6"/>
    <w:rsid w:val="00357CC6"/>
    <w:rsid w:val="00357E8A"/>
    <w:rsid w:val="00357F7C"/>
    <w:rsid w:val="003602CF"/>
    <w:rsid w:val="003607A9"/>
    <w:rsid w:val="003608B4"/>
    <w:rsid w:val="00360D9D"/>
    <w:rsid w:val="003615CB"/>
    <w:rsid w:val="00361989"/>
    <w:rsid w:val="00361B9D"/>
    <w:rsid w:val="003621A5"/>
    <w:rsid w:val="00362268"/>
    <w:rsid w:val="00362432"/>
    <w:rsid w:val="00362598"/>
    <w:rsid w:val="003634C6"/>
    <w:rsid w:val="00363A53"/>
    <w:rsid w:val="00363E30"/>
    <w:rsid w:val="00365068"/>
    <w:rsid w:val="003650FB"/>
    <w:rsid w:val="0036759F"/>
    <w:rsid w:val="0036771A"/>
    <w:rsid w:val="003705F8"/>
    <w:rsid w:val="003706CD"/>
    <w:rsid w:val="0037071C"/>
    <w:rsid w:val="00370A8F"/>
    <w:rsid w:val="0037162E"/>
    <w:rsid w:val="00371699"/>
    <w:rsid w:val="00371843"/>
    <w:rsid w:val="00371B69"/>
    <w:rsid w:val="00371BE2"/>
    <w:rsid w:val="00371E43"/>
    <w:rsid w:val="003721AE"/>
    <w:rsid w:val="00372775"/>
    <w:rsid w:val="00372A16"/>
    <w:rsid w:val="00372C78"/>
    <w:rsid w:val="00372FA3"/>
    <w:rsid w:val="00373169"/>
    <w:rsid w:val="00373432"/>
    <w:rsid w:val="003735FE"/>
    <w:rsid w:val="00374398"/>
    <w:rsid w:val="00375873"/>
    <w:rsid w:val="003765E7"/>
    <w:rsid w:val="003767BD"/>
    <w:rsid w:val="00376BA4"/>
    <w:rsid w:val="00376CFF"/>
    <w:rsid w:val="00376FC7"/>
    <w:rsid w:val="003775EC"/>
    <w:rsid w:val="00377F5D"/>
    <w:rsid w:val="00380975"/>
    <w:rsid w:val="0038138D"/>
    <w:rsid w:val="00381669"/>
    <w:rsid w:val="0038184A"/>
    <w:rsid w:val="003828CD"/>
    <w:rsid w:val="00382918"/>
    <w:rsid w:val="00382A40"/>
    <w:rsid w:val="00382C0C"/>
    <w:rsid w:val="00382D46"/>
    <w:rsid w:val="00383040"/>
    <w:rsid w:val="00383671"/>
    <w:rsid w:val="003837BF"/>
    <w:rsid w:val="003837CB"/>
    <w:rsid w:val="0038382F"/>
    <w:rsid w:val="0038389B"/>
    <w:rsid w:val="0038408E"/>
    <w:rsid w:val="00385508"/>
    <w:rsid w:val="00385783"/>
    <w:rsid w:val="00385A34"/>
    <w:rsid w:val="003862D1"/>
    <w:rsid w:val="00386CC9"/>
    <w:rsid w:val="00387525"/>
    <w:rsid w:val="0038758E"/>
    <w:rsid w:val="00387695"/>
    <w:rsid w:val="00387BE9"/>
    <w:rsid w:val="00390B69"/>
    <w:rsid w:val="00390EE3"/>
    <w:rsid w:val="003912AD"/>
    <w:rsid w:val="00391442"/>
    <w:rsid w:val="00391580"/>
    <w:rsid w:val="00391C39"/>
    <w:rsid w:val="00391E4F"/>
    <w:rsid w:val="00392EBE"/>
    <w:rsid w:val="00393446"/>
    <w:rsid w:val="003934E1"/>
    <w:rsid w:val="00393588"/>
    <w:rsid w:val="00393900"/>
    <w:rsid w:val="00394323"/>
    <w:rsid w:val="003943B2"/>
    <w:rsid w:val="00394510"/>
    <w:rsid w:val="0039470C"/>
    <w:rsid w:val="00395086"/>
    <w:rsid w:val="003958CB"/>
    <w:rsid w:val="00395A30"/>
    <w:rsid w:val="00395A5C"/>
    <w:rsid w:val="00395AC4"/>
    <w:rsid w:val="00396836"/>
    <w:rsid w:val="00397A88"/>
    <w:rsid w:val="00397AA5"/>
    <w:rsid w:val="00397B58"/>
    <w:rsid w:val="00397DDE"/>
    <w:rsid w:val="003A02D7"/>
    <w:rsid w:val="003A1139"/>
    <w:rsid w:val="003A122F"/>
    <w:rsid w:val="003A1339"/>
    <w:rsid w:val="003A142B"/>
    <w:rsid w:val="003A1738"/>
    <w:rsid w:val="003A1EBA"/>
    <w:rsid w:val="003A21D1"/>
    <w:rsid w:val="003A2360"/>
    <w:rsid w:val="003A296D"/>
    <w:rsid w:val="003A30C0"/>
    <w:rsid w:val="003A32D1"/>
    <w:rsid w:val="003A3697"/>
    <w:rsid w:val="003A3B80"/>
    <w:rsid w:val="003A3CDE"/>
    <w:rsid w:val="003A3EA8"/>
    <w:rsid w:val="003A41B4"/>
    <w:rsid w:val="003A4221"/>
    <w:rsid w:val="003A4463"/>
    <w:rsid w:val="003A4576"/>
    <w:rsid w:val="003A489E"/>
    <w:rsid w:val="003A49BE"/>
    <w:rsid w:val="003A4A37"/>
    <w:rsid w:val="003A524B"/>
    <w:rsid w:val="003A52C9"/>
    <w:rsid w:val="003A5CBF"/>
    <w:rsid w:val="003A5E02"/>
    <w:rsid w:val="003A5E04"/>
    <w:rsid w:val="003A603E"/>
    <w:rsid w:val="003A6836"/>
    <w:rsid w:val="003A73BD"/>
    <w:rsid w:val="003A7688"/>
    <w:rsid w:val="003A7CF6"/>
    <w:rsid w:val="003A7E55"/>
    <w:rsid w:val="003B0436"/>
    <w:rsid w:val="003B07D8"/>
    <w:rsid w:val="003B150C"/>
    <w:rsid w:val="003B158A"/>
    <w:rsid w:val="003B167A"/>
    <w:rsid w:val="003B2208"/>
    <w:rsid w:val="003B245B"/>
    <w:rsid w:val="003B27F3"/>
    <w:rsid w:val="003B2A8E"/>
    <w:rsid w:val="003B32A8"/>
    <w:rsid w:val="003B33C8"/>
    <w:rsid w:val="003B35ED"/>
    <w:rsid w:val="003B3696"/>
    <w:rsid w:val="003B3BF6"/>
    <w:rsid w:val="003B3E06"/>
    <w:rsid w:val="003B4A37"/>
    <w:rsid w:val="003B535A"/>
    <w:rsid w:val="003B56ED"/>
    <w:rsid w:val="003B5950"/>
    <w:rsid w:val="003B5AA8"/>
    <w:rsid w:val="003B5ED5"/>
    <w:rsid w:val="003B66F2"/>
    <w:rsid w:val="003B76D3"/>
    <w:rsid w:val="003B772A"/>
    <w:rsid w:val="003B7780"/>
    <w:rsid w:val="003B7D7D"/>
    <w:rsid w:val="003C0333"/>
    <w:rsid w:val="003C039E"/>
    <w:rsid w:val="003C041F"/>
    <w:rsid w:val="003C0587"/>
    <w:rsid w:val="003C0765"/>
    <w:rsid w:val="003C07AF"/>
    <w:rsid w:val="003C08EA"/>
    <w:rsid w:val="003C0ED3"/>
    <w:rsid w:val="003C1528"/>
    <w:rsid w:val="003C1A0A"/>
    <w:rsid w:val="003C209E"/>
    <w:rsid w:val="003C24AA"/>
    <w:rsid w:val="003C259A"/>
    <w:rsid w:val="003C26C7"/>
    <w:rsid w:val="003C3615"/>
    <w:rsid w:val="003C3634"/>
    <w:rsid w:val="003C40DB"/>
    <w:rsid w:val="003C41CE"/>
    <w:rsid w:val="003C4B07"/>
    <w:rsid w:val="003C542A"/>
    <w:rsid w:val="003C5677"/>
    <w:rsid w:val="003C5E11"/>
    <w:rsid w:val="003C5E98"/>
    <w:rsid w:val="003C6B03"/>
    <w:rsid w:val="003C7652"/>
    <w:rsid w:val="003C789C"/>
    <w:rsid w:val="003C7B8B"/>
    <w:rsid w:val="003D0469"/>
    <w:rsid w:val="003D07DD"/>
    <w:rsid w:val="003D0ED6"/>
    <w:rsid w:val="003D1310"/>
    <w:rsid w:val="003D13CF"/>
    <w:rsid w:val="003D1B8E"/>
    <w:rsid w:val="003D1BD0"/>
    <w:rsid w:val="003D1C50"/>
    <w:rsid w:val="003D1CE0"/>
    <w:rsid w:val="003D2A24"/>
    <w:rsid w:val="003D2C20"/>
    <w:rsid w:val="003D2DD4"/>
    <w:rsid w:val="003D3102"/>
    <w:rsid w:val="003D3696"/>
    <w:rsid w:val="003D3D05"/>
    <w:rsid w:val="003D4177"/>
    <w:rsid w:val="003D4EBF"/>
    <w:rsid w:val="003D5855"/>
    <w:rsid w:val="003D5D53"/>
    <w:rsid w:val="003D5DDD"/>
    <w:rsid w:val="003D5E0A"/>
    <w:rsid w:val="003D6033"/>
    <w:rsid w:val="003D6336"/>
    <w:rsid w:val="003D65A9"/>
    <w:rsid w:val="003D6C79"/>
    <w:rsid w:val="003D6C81"/>
    <w:rsid w:val="003D70B0"/>
    <w:rsid w:val="003D76CF"/>
    <w:rsid w:val="003D7925"/>
    <w:rsid w:val="003D7BF2"/>
    <w:rsid w:val="003E0160"/>
    <w:rsid w:val="003E0852"/>
    <w:rsid w:val="003E0A3B"/>
    <w:rsid w:val="003E0A6A"/>
    <w:rsid w:val="003E0B9A"/>
    <w:rsid w:val="003E1049"/>
    <w:rsid w:val="003E167E"/>
    <w:rsid w:val="003E1A9D"/>
    <w:rsid w:val="003E20E7"/>
    <w:rsid w:val="003E3227"/>
    <w:rsid w:val="003E350B"/>
    <w:rsid w:val="003E3B7A"/>
    <w:rsid w:val="003E4090"/>
    <w:rsid w:val="003E419C"/>
    <w:rsid w:val="003E448B"/>
    <w:rsid w:val="003E45C2"/>
    <w:rsid w:val="003E4629"/>
    <w:rsid w:val="003E502D"/>
    <w:rsid w:val="003E5530"/>
    <w:rsid w:val="003E6303"/>
    <w:rsid w:val="003E6714"/>
    <w:rsid w:val="003E6B2A"/>
    <w:rsid w:val="003E7026"/>
    <w:rsid w:val="003E76BB"/>
    <w:rsid w:val="003E7B0F"/>
    <w:rsid w:val="003E7DC1"/>
    <w:rsid w:val="003E7E04"/>
    <w:rsid w:val="003E7E2E"/>
    <w:rsid w:val="003F0019"/>
    <w:rsid w:val="003F029D"/>
    <w:rsid w:val="003F0B2F"/>
    <w:rsid w:val="003F1537"/>
    <w:rsid w:val="003F1CBF"/>
    <w:rsid w:val="003F205D"/>
    <w:rsid w:val="003F308C"/>
    <w:rsid w:val="003F346C"/>
    <w:rsid w:val="003F3D74"/>
    <w:rsid w:val="003F45C6"/>
    <w:rsid w:val="003F4629"/>
    <w:rsid w:val="003F48EE"/>
    <w:rsid w:val="003F4AB0"/>
    <w:rsid w:val="003F5224"/>
    <w:rsid w:val="003F5933"/>
    <w:rsid w:val="003F5D97"/>
    <w:rsid w:val="003F5DFE"/>
    <w:rsid w:val="003F6703"/>
    <w:rsid w:val="003F68C9"/>
    <w:rsid w:val="003F6A65"/>
    <w:rsid w:val="003F6CB7"/>
    <w:rsid w:val="003F6CFE"/>
    <w:rsid w:val="003F797F"/>
    <w:rsid w:val="003F7AEF"/>
    <w:rsid w:val="00400270"/>
    <w:rsid w:val="0040027D"/>
    <w:rsid w:val="004004D4"/>
    <w:rsid w:val="004007B3"/>
    <w:rsid w:val="00400F67"/>
    <w:rsid w:val="00401081"/>
    <w:rsid w:val="0040119F"/>
    <w:rsid w:val="00401B78"/>
    <w:rsid w:val="004027B6"/>
    <w:rsid w:val="00402920"/>
    <w:rsid w:val="00402E35"/>
    <w:rsid w:val="00403B17"/>
    <w:rsid w:val="00404161"/>
    <w:rsid w:val="004045EE"/>
    <w:rsid w:val="00404DB8"/>
    <w:rsid w:val="004052DC"/>
    <w:rsid w:val="0040545C"/>
    <w:rsid w:val="00405E8E"/>
    <w:rsid w:val="00406B79"/>
    <w:rsid w:val="00406E45"/>
    <w:rsid w:val="004074A0"/>
    <w:rsid w:val="0040774B"/>
    <w:rsid w:val="00407B64"/>
    <w:rsid w:val="00407E6C"/>
    <w:rsid w:val="00410457"/>
    <w:rsid w:val="0041117A"/>
    <w:rsid w:val="004120B0"/>
    <w:rsid w:val="0041222F"/>
    <w:rsid w:val="004127DE"/>
    <w:rsid w:val="00412A4D"/>
    <w:rsid w:val="00412CBD"/>
    <w:rsid w:val="004134D6"/>
    <w:rsid w:val="004136A5"/>
    <w:rsid w:val="00413B18"/>
    <w:rsid w:val="00413CFE"/>
    <w:rsid w:val="00413F7D"/>
    <w:rsid w:val="004149DB"/>
    <w:rsid w:val="0041511A"/>
    <w:rsid w:val="00415598"/>
    <w:rsid w:val="00415670"/>
    <w:rsid w:val="004158D1"/>
    <w:rsid w:val="004160EE"/>
    <w:rsid w:val="00416528"/>
    <w:rsid w:val="00416AED"/>
    <w:rsid w:val="00416BCA"/>
    <w:rsid w:val="00417584"/>
    <w:rsid w:val="00417E0B"/>
    <w:rsid w:val="00420759"/>
    <w:rsid w:val="00420836"/>
    <w:rsid w:val="00420B72"/>
    <w:rsid w:val="00420FE1"/>
    <w:rsid w:val="004211DF"/>
    <w:rsid w:val="0042137A"/>
    <w:rsid w:val="0042173E"/>
    <w:rsid w:val="00421959"/>
    <w:rsid w:val="004221D6"/>
    <w:rsid w:val="00422217"/>
    <w:rsid w:val="00422231"/>
    <w:rsid w:val="004223B4"/>
    <w:rsid w:val="00422516"/>
    <w:rsid w:val="00422670"/>
    <w:rsid w:val="00422790"/>
    <w:rsid w:val="00422F84"/>
    <w:rsid w:val="004235E4"/>
    <w:rsid w:val="00423718"/>
    <w:rsid w:val="00423CF8"/>
    <w:rsid w:val="0042417D"/>
    <w:rsid w:val="004242E8"/>
    <w:rsid w:val="004246AD"/>
    <w:rsid w:val="00424CFA"/>
    <w:rsid w:val="004255EC"/>
    <w:rsid w:val="00425AF5"/>
    <w:rsid w:val="00427598"/>
    <w:rsid w:val="00427A8A"/>
    <w:rsid w:val="00427AB3"/>
    <w:rsid w:val="00430335"/>
    <w:rsid w:val="004306CB"/>
    <w:rsid w:val="00430796"/>
    <w:rsid w:val="00430A59"/>
    <w:rsid w:val="004313AF"/>
    <w:rsid w:val="004314E3"/>
    <w:rsid w:val="00431B49"/>
    <w:rsid w:val="00431C21"/>
    <w:rsid w:val="00431EFD"/>
    <w:rsid w:val="004320EC"/>
    <w:rsid w:val="00432121"/>
    <w:rsid w:val="004326F4"/>
    <w:rsid w:val="0043272F"/>
    <w:rsid w:val="00432753"/>
    <w:rsid w:val="00432BFE"/>
    <w:rsid w:val="004336AE"/>
    <w:rsid w:val="0043443B"/>
    <w:rsid w:val="004345A6"/>
    <w:rsid w:val="00434735"/>
    <w:rsid w:val="004347E9"/>
    <w:rsid w:val="00435118"/>
    <w:rsid w:val="004359F1"/>
    <w:rsid w:val="00435F80"/>
    <w:rsid w:val="00436E02"/>
    <w:rsid w:val="00437041"/>
    <w:rsid w:val="0043768A"/>
    <w:rsid w:val="004379CB"/>
    <w:rsid w:val="00437F25"/>
    <w:rsid w:val="0044022D"/>
    <w:rsid w:val="00440532"/>
    <w:rsid w:val="00440AF4"/>
    <w:rsid w:val="00440DE7"/>
    <w:rsid w:val="0044122E"/>
    <w:rsid w:val="00441419"/>
    <w:rsid w:val="004415C7"/>
    <w:rsid w:val="0044181B"/>
    <w:rsid w:val="004418F3"/>
    <w:rsid w:val="0044223A"/>
    <w:rsid w:val="00442591"/>
    <w:rsid w:val="004437CC"/>
    <w:rsid w:val="00444325"/>
    <w:rsid w:val="0044461C"/>
    <w:rsid w:val="00444687"/>
    <w:rsid w:val="00444D12"/>
    <w:rsid w:val="00444DE4"/>
    <w:rsid w:val="00445484"/>
    <w:rsid w:val="004454EA"/>
    <w:rsid w:val="00445727"/>
    <w:rsid w:val="00445922"/>
    <w:rsid w:val="00445A90"/>
    <w:rsid w:val="00445BB9"/>
    <w:rsid w:val="00445BEC"/>
    <w:rsid w:val="00446993"/>
    <w:rsid w:val="00446BD0"/>
    <w:rsid w:val="00446EED"/>
    <w:rsid w:val="004470AF"/>
    <w:rsid w:val="004470C1"/>
    <w:rsid w:val="00447635"/>
    <w:rsid w:val="00447B0A"/>
    <w:rsid w:val="0045022A"/>
    <w:rsid w:val="00450612"/>
    <w:rsid w:val="00450D31"/>
    <w:rsid w:val="0045142F"/>
    <w:rsid w:val="00451584"/>
    <w:rsid w:val="00451A8E"/>
    <w:rsid w:val="00451B71"/>
    <w:rsid w:val="00452066"/>
    <w:rsid w:val="004520ED"/>
    <w:rsid w:val="00452793"/>
    <w:rsid w:val="00452B32"/>
    <w:rsid w:val="00452DE1"/>
    <w:rsid w:val="004533B1"/>
    <w:rsid w:val="004533FD"/>
    <w:rsid w:val="00453777"/>
    <w:rsid w:val="00453FEE"/>
    <w:rsid w:val="0045448C"/>
    <w:rsid w:val="00454883"/>
    <w:rsid w:val="00454BEE"/>
    <w:rsid w:val="00454C50"/>
    <w:rsid w:val="00454E26"/>
    <w:rsid w:val="00454EDE"/>
    <w:rsid w:val="00455391"/>
    <w:rsid w:val="004555B2"/>
    <w:rsid w:val="00455976"/>
    <w:rsid w:val="00456021"/>
    <w:rsid w:val="00456145"/>
    <w:rsid w:val="0045621F"/>
    <w:rsid w:val="004564E7"/>
    <w:rsid w:val="004567A0"/>
    <w:rsid w:val="004567FC"/>
    <w:rsid w:val="004570AA"/>
    <w:rsid w:val="00457519"/>
    <w:rsid w:val="00457807"/>
    <w:rsid w:val="00457B9F"/>
    <w:rsid w:val="00457C51"/>
    <w:rsid w:val="004600CB"/>
    <w:rsid w:val="00460318"/>
    <w:rsid w:val="004604BF"/>
    <w:rsid w:val="00460505"/>
    <w:rsid w:val="00461295"/>
    <w:rsid w:val="00461C16"/>
    <w:rsid w:val="00462293"/>
    <w:rsid w:val="0046261C"/>
    <w:rsid w:val="00462915"/>
    <w:rsid w:val="00463071"/>
    <w:rsid w:val="00463231"/>
    <w:rsid w:val="00463305"/>
    <w:rsid w:val="004635E0"/>
    <w:rsid w:val="0046382A"/>
    <w:rsid w:val="00463955"/>
    <w:rsid w:val="004639B5"/>
    <w:rsid w:val="00463A26"/>
    <w:rsid w:val="00463ED8"/>
    <w:rsid w:val="0046414D"/>
    <w:rsid w:val="004647C9"/>
    <w:rsid w:val="004648EE"/>
    <w:rsid w:val="00464DD7"/>
    <w:rsid w:val="00464DF7"/>
    <w:rsid w:val="004651CD"/>
    <w:rsid w:val="004658FC"/>
    <w:rsid w:val="00466118"/>
    <w:rsid w:val="004662BB"/>
    <w:rsid w:val="0046658E"/>
    <w:rsid w:val="004665AA"/>
    <w:rsid w:val="004671A6"/>
    <w:rsid w:val="00467489"/>
    <w:rsid w:val="00467876"/>
    <w:rsid w:val="00467BCC"/>
    <w:rsid w:val="00467F31"/>
    <w:rsid w:val="004701B9"/>
    <w:rsid w:val="0047106C"/>
    <w:rsid w:val="004711C7"/>
    <w:rsid w:val="004714A0"/>
    <w:rsid w:val="00471C91"/>
    <w:rsid w:val="00471D18"/>
    <w:rsid w:val="00471DA4"/>
    <w:rsid w:val="00472457"/>
    <w:rsid w:val="004724EB"/>
    <w:rsid w:val="004725ED"/>
    <w:rsid w:val="00473FFB"/>
    <w:rsid w:val="004746AC"/>
    <w:rsid w:val="004748D3"/>
    <w:rsid w:val="00474963"/>
    <w:rsid w:val="00474A32"/>
    <w:rsid w:val="00474C14"/>
    <w:rsid w:val="00475039"/>
    <w:rsid w:val="00475C99"/>
    <w:rsid w:val="00476124"/>
    <w:rsid w:val="004764EF"/>
    <w:rsid w:val="00476722"/>
    <w:rsid w:val="0047672C"/>
    <w:rsid w:val="0047706F"/>
    <w:rsid w:val="00477665"/>
    <w:rsid w:val="00477797"/>
    <w:rsid w:val="00480287"/>
    <w:rsid w:val="004805B5"/>
    <w:rsid w:val="0048060C"/>
    <w:rsid w:val="00480AE9"/>
    <w:rsid w:val="00481430"/>
    <w:rsid w:val="00481434"/>
    <w:rsid w:val="00482474"/>
    <w:rsid w:val="00482C21"/>
    <w:rsid w:val="00482D95"/>
    <w:rsid w:val="004834CB"/>
    <w:rsid w:val="004838B3"/>
    <w:rsid w:val="00483BC8"/>
    <w:rsid w:val="00483F42"/>
    <w:rsid w:val="00484126"/>
    <w:rsid w:val="0048487F"/>
    <w:rsid w:val="00484A08"/>
    <w:rsid w:val="00484F33"/>
    <w:rsid w:val="00484F59"/>
    <w:rsid w:val="00485226"/>
    <w:rsid w:val="00485346"/>
    <w:rsid w:val="00486408"/>
    <w:rsid w:val="004864DF"/>
    <w:rsid w:val="00486692"/>
    <w:rsid w:val="00486F6E"/>
    <w:rsid w:val="004870E1"/>
    <w:rsid w:val="004870E5"/>
    <w:rsid w:val="004876E4"/>
    <w:rsid w:val="00487763"/>
    <w:rsid w:val="0048797D"/>
    <w:rsid w:val="0049004F"/>
    <w:rsid w:val="00490374"/>
    <w:rsid w:val="00490986"/>
    <w:rsid w:val="00490FF2"/>
    <w:rsid w:val="004918D4"/>
    <w:rsid w:val="00491BE6"/>
    <w:rsid w:val="00491CD4"/>
    <w:rsid w:val="00491ECE"/>
    <w:rsid w:val="00491F3B"/>
    <w:rsid w:val="00491F3E"/>
    <w:rsid w:val="00492AAD"/>
    <w:rsid w:val="0049304A"/>
    <w:rsid w:val="004933FF"/>
    <w:rsid w:val="00493905"/>
    <w:rsid w:val="00493D50"/>
    <w:rsid w:val="004946A6"/>
    <w:rsid w:val="00494979"/>
    <w:rsid w:val="00494DD5"/>
    <w:rsid w:val="004952EC"/>
    <w:rsid w:val="00495475"/>
    <w:rsid w:val="00495555"/>
    <w:rsid w:val="0049565B"/>
    <w:rsid w:val="00495732"/>
    <w:rsid w:val="00496068"/>
    <w:rsid w:val="0049637E"/>
    <w:rsid w:val="0049638C"/>
    <w:rsid w:val="00496FFD"/>
    <w:rsid w:val="004975BD"/>
    <w:rsid w:val="00497B1D"/>
    <w:rsid w:val="004A0111"/>
    <w:rsid w:val="004A0653"/>
    <w:rsid w:val="004A08F0"/>
    <w:rsid w:val="004A0945"/>
    <w:rsid w:val="004A0B6C"/>
    <w:rsid w:val="004A16CA"/>
    <w:rsid w:val="004A2138"/>
    <w:rsid w:val="004A2520"/>
    <w:rsid w:val="004A257B"/>
    <w:rsid w:val="004A29A3"/>
    <w:rsid w:val="004A2A75"/>
    <w:rsid w:val="004A2ED9"/>
    <w:rsid w:val="004A37DE"/>
    <w:rsid w:val="004A38C6"/>
    <w:rsid w:val="004A410A"/>
    <w:rsid w:val="004A4681"/>
    <w:rsid w:val="004A48B7"/>
    <w:rsid w:val="004A500A"/>
    <w:rsid w:val="004A6672"/>
    <w:rsid w:val="004A6970"/>
    <w:rsid w:val="004A6B4D"/>
    <w:rsid w:val="004A6F0C"/>
    <w:rsid w:val="004A6F9E"/>
    <w:rsid w:val="004A75CD"/>
    <w:rsid w:val="004A7CB1"/>
    <w:rsid w:val="004B03B9"/>
    <w:rsid w:val="004B0FDD"/>
    <w:rsid w:val="004B1250"/>
    <w:rsid w:val="004B18F9"/>
    <w:rsid w:val="004B19E0"/>
    <w:rsid w:val="004B1A50"/>
    <w:rsid w:val="004B2038"/>
    <w:rsid w:val="004B2ACB"/>
    <w:rsid w:val="004B2D25"/>
    <w:rsid w:val="004B300C"/>
    <w:rsid w:val="004B32F4"/>
    <w:rsid w:val="004B3340"/>
    <w:rsid w:val="004B3838"/>
    <w:rsid w:val="004B3AE0"/>
    <w:rsid w:val="004B3F87"/>
    <w:rsid w:val="004B4270"/>
    <w:rsid w:val="004B4566"/>
    <w:rsid w:val="004B4949"/>
    <w:rsid w:val="004B4A84"/>
    <w:rsid w:val="004B4A9E"/>
    <w:rsid w:val="004B5192"/>
    <w:rsid w:val="004B52C8"/>
    <w:rsid w:val="004B5895"/>
    <w:rsid w:val="004B5ABB"/>
    <w:rsid w:val="004B5D9B"/>
    <w:rsid w:val="004B62B3"/>
    <w:rsid w:val="004B6CD5"/>
    <w:rsid w:val="004B70EE"/>
    <w:rsid w:val="004B749E"/>
    <w:rsid w:val="004B7666"/>
    <w:rsid w:val="004C028B"/>
    <w:rsid w:val="004C030E"/>
    <w:rsid w:val="004C0D24"/>
    <w:rsid w:val="004C0D70"/>
    <w:rsid w:val="004C0EB8"/>
    <w:rsid w:val="004C1532"/>
    <w:rsid w:val="004C19C2"/>
    <w:rsid w:val="004C2135"/>
    <w:rsid w:val="004C21CA"/>
    <w:rsid w:val="004C2856"/>
    <w:rsid w:val="004C2931"/>
    <w:rsid w:val="004C29F5"/>
    <w:rsid w:val="004C3336"/>
    <w:rsid w:val="004C3758"/>
    <w:rsid w:val="004C3E2E"/>
    <w:rsid w:val="004C40E8"/>
    <w:rsid w:val="004C44A3"/>
    <w:rsid w:val="004C4B71"/>
    <w:rsid w:val="004C4BD6"/>
    <w:rsid w:val="004C4DE8"/>
    <w:rsid w:val="004C5049"/>
    <w:rsid w:val="004C5822"/>
    <w:rsid w:val="004C5AA0"/>
    <w:rsid w:val="004C5E8D"/>
    <w:rsid w:val="004C6F17"/>
    <w:rsid w:val="004C797E"/>
    <w:rsid w:val="004C79F0"/>
    <w:rsid w:val="004D088F"/>
    <w:rsid w:val="004D08BD"/>
    <w:rsid w:val="004D2041"/>
    <w:rsid w:val="004D279A"/>
    <w:rsid w:val="004D2852"/>
    <w:rsid w:val="004D3591"/>
    <w:rsid w:val="004D39C8"/>
    <w:rsid w:val="004D3D31"/>
    <w:rsid w:val="004D3DBA"/>
    <w:rsid w:val="004D4683"/>
    <w:rsid w:val="004D46B1"/>
    <w:rsid w:val="004D48E5"/>
    <w:rsid w:val="004D4C11"/>
    <w:rsid w:val="004D4D5B"/>
    <w:rsid w:val="004D5595"/>
    <w:rsid w:val="004D57E6"/>
    <w:rsid w:val="004D5EF8"/>
    <w:rsid w:val="004D5F41"/>
    <w:rsid w:val="004D5F93"/>
    <w:rsid w:val="004D6103"/>
    <w:rsid w:val="004D6937"/>
    <w:rsid w:val="004D7514"/>
    <w:rsid w:val="004E045A"/>
    <w:rsid w:val="004E04F2"/>
    <w:rsid w:val="004E0B7A"/>
    <w:rsid w:val="004E0E8E"/>
    <w:rsid w:val="004E112F"/>
    <w:rsid w:val="004E1436"/>
    <w:rsid w:val="004E1C7A"/>
    <w:rsid w:val="004E3184"/>
    <w:rsid w:val="004E33AC"/>
    <w:rsid w:val="004E3961"/>
    <w:rsid w:val="004E3AAB"/>
    <w:rsid w:val="004E453F"/>
    <w:rsid w:val="004E488A"/>
    <w:rsid w:val="004E49BE"/>
    <w:rsid w:val="004E4C5F"/>
    <w:rsid w:val="004E5284"/>
    <w:rsid w:val="004E5C8C"/>
    <w:rsid w:val="004E609F"/>
    <w:rsid w:val="004E6526"/>
    <w:rsid w:val="004E6FFA"/>
    <w:rsid w:val="004E724E"/>
    <w:rsid w:val="004E74BD"/>
    <w:rsid w:val="004E7912"/>
    <w:rsid w:val="004E793D"/>
    <w:rsid w:val="004E7AFF"/>
    <w:rsid w:val="004E7E7E"/>
    <w:rsid w:val="004F0906"/>
    <w:rsid w:val="004F0D7C"/>
    <w:rsid w:val="004F0F0B"/>
    <w:rsid w:val="004F106E"/>
    <w:rsid w:val="004F1349"/>
    <w:rsid w:val="004F1544"/>
    <w:rsid w:val="004F17D5"/>
    <w:rsid w:val="004F20B3"/>
    <w:rsid w:val="004F2356"/>
    <w:rsid w:val="004F2528"/>
    <w:rsid w:val="004F25E4"/>
    <w:rsid w:val="004F299C"/>
    <w:rsid w:val="004F2EBE"/>
    <w:rsid w:val="004F3C32"/>
    <w:rsid w:val="004F40BB"/>
    <w:rsid w:val="004F42C3"/>
    <w:rsid w:val="004F479C"/>
    <w:rsid w:val="004F560F"/>
    <w:rsid w:val="004F5F70"/>
    <w:rsid w:val="004F63EF"/>
    <w:rsid w:val="004F6D6E"/>
    <w:rsid w:val="004F6F45"/>
    <w:rsid w:val="004F7573"/>
    <w:rsid w:val="004F799D"/>
    <w:rsid w:val="00500E78"/>
    <w:rsid w:val="005014B2"/>
    <w:rsid w:val="00501553"/>
    <w:rsid w:val="00501639"/>
    <w:rsid w:val="0050171B"/>
    <w:rsid w:val="0050198D"/>
    <w:rsid w:val="00501A14"/>
    <w:rsid w:val="00501BF0"/>
    <w:rsid w:val="005026D1"/>
    <w:rsid w:val="00502F61"/>
    <w:rsid w:val="00503099"/>
    <w:rsid w:val="0050310D"/>
    <w:rsid w:val="00503F32"/>
    <w:rsid w:val="00504420"/>
    <w:rsid w:val="0050486C"/>
    <w:rsid w:val="00504EE4"/>
    <w:rsid w:val="00505008"/>
    <w:rsid w:val="00505980"/>
    <w:rsid w:val="00505B64"/>
    <w:rsid w:val="005062EF"/>
    <w:rsid w:val="005065CF"/>
    <w:rsid w:val="00506C49"/>
    <w:rsid w:val="00507CAE"/>
    <w:rsid w:val="00507F90"/>
    <w:rsid w:val="005102C2"/>
    <w:rsid w:val="00510C9B"/>
    <w:rsid w:val="00510E2A"/>
    <w:rsid w:val="00511061"/>
    <w:rsid w:val="0051111E"/>
    <w:rsid w:val="0051239A"/>
    <w:rsid w:val="00512556"/>
    <w:rsid w:val="00512D74"/>
    <w:rsid w:val="00513066"/>
    <w:rsid w:val="005133D5"/>
    <w:rsid w:val="005137E2"/>
    <w:rsid w:val="00513ABC"/>
    <w:rsid w:val="00514A74"/>
    <w:rsid w:val="005151BC"/>
    <w:rsid w:val="005151EF"/>
    <w:rsid w:val="0051522F"/>
    <w:rsid w:val="0051554C"/>
    <w:rsid w:val="0051579D"/>
    <w:rsid w:val="005158AB"/>
    <w:rsid w:val="00515EC4"/>
    <w:rsid w:val="00515F03"/>
    <w:rsid w:val="00515F47"/>
    <w:rsid w:val="00516005"/>
    <w:rsid w:val="00516666"/>
    <w:rsid w:val="00516751"/>
    <w:rsid w:val="005168A6"/>
    <w:rsid w:val="0051709B"/>
    <w:rsid w:val="005174A7"/>
    <w:rsid w:val="005205A1"/>
    <w:rsid w:val="00520F00"/>
    <w:rsid w:val="0052137E"/>
    <w:rsid w:val="00521D3D"/>
    <w:rsid w:val="00521F53"/>
    <w:rsid w:val="00523766"/>
    <w:rsid w:val="00523B96"/>
    <w:rsid w:val="00523BDE"/>
    <w:rsid w:val="00523C02"/>
    <w:rsid w:val="00523DB8"/>
    <w:rsid w:val="00525299"/>
    <w:rsid w:val="0052568A"/>
    <w:rsid w:val="005256CD"/>
    <w:rsid w:val="005256DF"/>
    <w:rsid w:val="0052597B"/>
    <w:rsid w:val="00525A55"/>
    <w:rsid w:val="00525BA8"/>
    <w:rsid w:val="00525C15"/>
    <w:rsid w:val="00525D7A"/>
    <w:rsid w:val="00525F77"/>
    <w:rsid w:val="00526032"/>
    <w:rsid w:val="00526D60"/>
    <w:rsid w:val="00527136"/>
    <w:rsid w:val="00527173"/>
    <w:rsid w:val="00527A6F"/>
    <w:rsid w:val="00527A70"/>
    <w:rsid w:val="00527C61"/>
    <w:rsid w:val="00527F21"/>
    <w:rsid w:val="005308E0"/>
    <w:rsid w:val="00530A6A"/>
    <w:rsid w:val="00530D9A"/>
    <w:rsid w:val="00530FD7"/>
    <w:rsid w:val="005313E5"/>
    <w:rsid w:val="0053151C"/>
    <w:rsid w:val="00531671"/>
    <w:rsid w:val="00531A31"/>
    <w:rsid w:val="00532015"/>
    <w:rsid w:val="0053211E"/>
    <w:rsid w:val="00532656"/>
    <w:rsid w:val="005328DA"/>
    <w:rsid w:val="00532F83"/>
    <w:rsid w:val="0053315B"/>
    <w:rsid w:val="0053319F"/>
    <w:rsid w:val="005338DD"/>
    <w:rsid w:val="00533D6D"/>
    <w:rsid w:val="00533F3A"/>
    <w:rsid w:val="005343E7"/>
    <w:rsid w:val="00534725"/>
    <w:rsid w:val="00534813"/>
    <w:rsid w:val="00534974"/>
    <w:rsid w:val="00534A91"/>
    <w:rsid w:val="00534DF5"/>
    <w:rsid w:val="005350FD"/>
    <w:rsid w:val="0053529D"/>
    <w:rsid w:val="005354D2"/>
    <w:rsid w:val="00535A81"/>
    <w:rsid w:val="00535ABD"/>
    <w:rsid w:val="00535DEF"/>
    <w:rsid w:val="00535E3C"/>
    <w:rsid w:val="00535F13"/>
    <w:rsid w:val="00536569"/>
    <w:rsid w:val="00536CAA"/>
    <w:rsid w:val="00536D0E"/>
    <w:rsid w:val="00537FDD"/>
    <w:rsid w:val="0054048E"/>
    <w:rsid w:val="00540701"/>
    <w:rsid w:val="00540DF0"/>
    <w:rsid w:val="00540E30"/>
    <w:rsid w:val="005415ED"/>
    <w:rsid w:val="00541B96"/>
    <w:rsid w:val="005422FC"/>
    <w:rsid w:val="0054241E"/>
    <w:rsid w:val="00542E91"/>
    <w:rsid w:val="00543454"/>
    <w:rsid w:val="005436FB"/>
    <w:rsid w:val="005438F6"/>
    <w:rsid w:val="00543928"/>
    <w:rsid w:val="0054426C"/>
    <w:rsid w:val="00544446"/>
    <w:rsid w:val="00544513"/>
    <w:rsid w:val="005449D7"/>
    <w:rsid w:val="00544FAE"/>
    <w:rsid w:val="00545196"/>
    <w:rsid w:val="00545638"/>
    <w:rsid w:val="00545849"/>
    <w:rsid w:val="00545971"/>
    <w:rsid w:val="00545A49"/>
    <w:rsid w:val="00545AA7"/>
    <w:rsid w:val="0054600C"/>
    <w:rsid w:val="005465A1"/>
    <w:rsid w:val="005465F8"/>
    <w:rsid w:val="005466AB"/>
    <w:rsid w:val="00546838"/>
    <w:rsid w:val="0054697C"/>
    <w:rsid w:val="005469FB"/>
    <w:rsid w:val="00546B60"/>
    <w:rsid w:val="00546EAC"/>
    <w:rsid w:val="00547145"/>
    <w:rsid w:val="0054733E"/>
    <w:rsid w:val="00547408"/>
    <w:rsid w:val="005479CA"/>
    <w:rsid w:val="00547BA9"/>
    <w:rsid w:val="00547C79"/>
    <w:rsid w:val="00547D4F"/>
    <w:rsid w:val="005505E4"/>
    <w:rsid w:val="00550752"/>
    <w:rsid w:val="00550E0E"/>
    <w:rsid w:val="005510D8"/>
    <w:rsid w:val="00551135"/>
    <w:rsid w:val="00551820"/>
    <w:rsid w:val="00551922"/>
    <w:rsid w:val="00551BDC"/>
    <w:rsid w:val="0055247E"/>
    <w:rsid w:val="0055257E"/>
    <w:rsid w:val="0055289E"/>
    <w:rsid w:val="00552A3F"/>
    <w:rsid w:val="00553519"/>
    <w:rsid w:val="00553C29"/>
    <w:rsid w:val="0055471B"/>
    <w:rsid w:val="00554ADE"/>
    <w:rsid w:val="00555010"/>
    <w:rsid w:val="00556CD7"/>
    <w:rsid w:val="00557798"/>
    <w:rsid w:val="00557C03"/>
    <w:rsid w:val="00557D78"/>
    <w:rsid w:val="005605BE"/>
    <w:rsid w:val="005606CB"/>
    <w:rsid w:val="00560A58"/>
    <w:rsid w:val="00560AC7"/>
    <w:rsid w:val="00560C1B"/>
    <w:rsid w:val="00560DA7"/>
    <w:rsid w:val="00560F0E"/>
    <w:rsid w:val="00561282"/>
    <w:rsid w:val="00561363"/>
    <w:rsid w:val="005615AD"/>
    <w:rsid w:val="00562157"/>
    <w:rsid w:val="005625D0"/>
    <w:rsid w:val="00562D94"/>
    <w:rsid w:val="00562E4F"/>
    <w:rsid w:val="005632B9"/>
    <w:rsid w:val="00563717"/>
    <w:rsid w:val="005639F9"/>
    <w:rsid w:val="00565A99"/>
    <w:rsid w:val="00565C02"/>
    <w:rsid w:val="00565C4E"/>
    <w:rsid w:val="00566499"/>
    <w:rsid w:val="00566987"/>
    <w:rsid w:val="005669CF"/>
    <w:rsid w:val="00567507"/>
    <w:rsid w:val="0056793A"/>
    <w:rsid w:val="005679FE"/>
    <w:rsid w:val="00567F92"/>
    <w:rsid w:val="0057014A"/>
    <w:rsid w:val="00570F35"/>
    <w:rsid w:val="00570F8F"/>
    <w:rsid w:val="005714BF"/>
    <w:rsid w:val="00571A8B"/>
    <w:rsid w:val="00572829"/>
    <w:rsid w:val="0057307F"/>
    <w:rsid w:val="0057320F"/>
    <w:rsid w:val="00574C6F"/>
    <w:rsid w:val="00574DBA"/>
    <w:rsid w:val="00574E91"/>
    <w:rsid w:val="005750A9"/>
    <w:rsid w:val="005751BA"/>
    <w:rsid w:val="0057528A"/>
    <w:rsid w:val="0057546D"/>
    <w:rsid w:val="00575BD1"/>
    <w:rsid w:val="005764A0"/>
    <w:rsid w:val="005771DC"/>
    <w:rsid w:val="00580358"/>
    <w:rsid w:val="0058059F"/>
    <w:rsid w:val="00581239"/>
    <w:rsid w:val="00581E7E"/>
    <w:rsid w:val="00581F4B"/>
    <w:rsid w:val="0058208F"/>
    <w:rsid w:val="005824A9"/>
    <w:rsid w:val="00582A4F"/>
    <w:rsid w:val="00582DBD"/>
    <w:rsid w:val="00583560"/>
    <w:rsid w:val="005838FB"/>
    <w:rsid w:val="00583AEF"/>
    <w:rsid w:val="005840B4"/>
    <w:rsid w:val="005841B7"/>
    <w:rsid w:val="005847DF"/>
    <w:rsid w:val="005848E2"/>
    <w:rsid w:val="005849CA"/>
    <w:rsid w:val="00584AD7"/>
    <w:rsid w:val="00584D1C"/>
    <w:rsid w:val="0058581F"/>
    <w:rsid w:val="00585979"/>
    <w:rsid w:val="00586522"/>
    <w:rsid w:val="00586A22"/>
    <w:rsid w:val="00586A56"/>
    <w:rsid w:val="00586B35"/>
    <w:rsid w:val="00587128"/>
    <w:rsid w:val="00587367"/>
    <w:rsid w:val="00587BAD"/>
    <w:rsid w:val="0059000C"/>
    <w:rsid w:val="0059003D"/>
    <w:rsid w:val="00590995"/>
    <w:rsid w:val="00590B02"/>
    <w:rsid w:val="0059129D"/>
    <w:rsid w:val="00591534"/>
    <w:rsid w:val="00591C26"/>
    <w:rsid w:val="00591DA0"/>
    <w:rsid w:val="00591F4B"/>
    <w:rsid w:val="00591FF5"/>
    <w:rsid w:val="0059249E"/>
    <w:rsid w:val="00592675"/>
    <w:rsid w:val="0059278A"/>
    <w:rsid w:val="00592F42"/>
    <w:rsid w:val="00593CD3"/>
    <w:rsid w:val="00593FCE"/>
    <w:rsid w:val="0059448A"/>
    <w:rsid w:val="0059482B"/>
    <w:rsid w:val="005949C0"/>
    <w:rsid w:val="00594CB3"/>
    <w:rsid w:val="00594DE6"/>
    <w:rsid w:val="0059504D"/>
    <w:rsid w:val="0059545F"/>
    <w:rsid w:val="005971F3"/>
    <w:rsid w:val="0059775F"/>
    <w:rsid w:val="005A00D6"/>
    <w:rsid w:val="005A06DA"/>
    <w:rsid w:val="005A0AC4"/>
    <w:rsid w:val="005A0B80"/>
    <w:rsid w:val="005A0EBB"/>
    <w:rsid w:val="005A1532"/>
    <w:rsid w:val="005A158E"/>
    <w:rsid w:val="005A17F1"/>
    <w:rsid w:val="005A18F0"/>
    <w:rsid w:val="005A1CE0"/>
    <w:rsid w:val="005A1D4D"/>
    <w:rsid w:val="005A2485"/>
    <w:rsid w:val="005A2735"/>
    <w:rsid w:val="005A2BA9"/>
    <w:rsid w:val="005A2E5F"/>
    <w:rsid w:val="005A30E1"/>
    <w:rsid w:val="005A31FB"/>
    <w:rsid w:val="005A3427"/>
    <w:rsid w:val="005A34F1"/>
    <w:rsid w:val="005A373D"/>
    <w:rsid w:val="005A378F"/>
    <w:rsid w:val="005A3A59"/>
    <w:rsid w:val="005A3CC6"/>
    <w:rsid w:val="005A3CF5"/>
    <w:rsid w:val="005A465D"/>
    <w:rsid w:val="005A47D5"/>
    <w:rsid w:val="005A4B4C"/>
    <w:rsid w:val="005A4D6D"/>
    <w:rsid w:val="005A5546"/>
    <w:rsid w:val="005A5C1C"/>
    <w:rsid w:val="005A6BF7"/>
    <w:rsid w:val="005A7497"/>
    <w:rsid w:val="005B0651"/>
    <w:rsid w:val="005B0828"/>
    <w:rsid w:val="005B0ED6"/>
    <w:rsid w:val="005B1FE1"/>
    <w:rsid w:val="005B2654"/>
    <w:rsid w:val="005B2D97"/>
    <w:rsid w:val="005B2E49"/>
    <w:rsid w:val="005B2FAF"/>
    <w:rsid w:val="005B3143"/>
    <w:rsid w:val="005B34D6"/>
    <w:rsid w:val="005B3CCB"/>
    <w:rsid w:val="005B42D7"/>
    <w:rsid w:val="005B5341"/>
    <w:rsid w:val="005B5491"/>
    <w:rsid w:val="005B5970"/>
    <w:rsid w:val="005B59AA"/>
    <w:rsid w:val="005B5BA0"/>
    <w:rsid w:val="005B6354"/>
    <w:rsid w:val="005B6F0F"/>
    <w:rsid w:val="005B7011"/>
    <w:rsid w:val="005B75EE"/>
    <w:rsid w:val="005B7DD8"/>
    <w:rsid w:val="005C09CA"/>
    <w:rsid w:val="005C0CCE"/>
    <w:rsid w:val="005C0E8A"/>
    <w:rsid w:val="005C1385"/>
    <w:rsid w:val="005C192C"/>
    <w:rsid w:val="005C26D1"/>
    <w:rsid w:val="005C2B1B"/>
    <w:rsid w:val="005C3396"/>
    <w:rsid w:val="005C3486"/>
    <w:rsid w:val="005C40B5"/>
    <w:rsid w:val="005C45FF"/>
    <w:rsid w:val="005C5D2B"/>
    <w:rsid w:val="005C5EA1"/>
    <w:rsid w:val="005C625B"/>
    <w:rsid w:val="005C6437"/>
    <w:rsid w:val="005C65CC"/>
    <w:rsid w:val="005C6B4E"/>
    <w:rsid w:val="005C6BA1"/>
    <w:rsid w:val="005C732A"/>
    <w:rsid w:val="005C7D46"/>
    <w:rsid w:val="005D047D"/>
    <w:rsid w:val="005D0634"/>
    <w:rsid w:val="005D0672"/>
    <w:rsid w:val="005D0753"/>
    <w:rsid w:val="005D07EF"/>
    <w:rsid w:val="005D10AA"/>
    <w:rsid w:val="005D183D"/>
    <w:rsid w:val="005D1D92"/>
    <w:rsid w:val="005D1F07"/>
    <w:rsid w:val="005D2318"/>
    <w:rsid w:val="005D25E0"/>
    <w:rsid w:val="005D2694"/>
    <w:rsid w:val="005D2E83"/>
    <w:rsid w:val="005D31C7"/>
    <w:rsid w:val="005D3818"/>
    <w:rsid w:val="005D3897"/>
    <w:rsid w:val="005D39F0"/>
    <w:rsid w:val="005D41F5"/>
    <w:rsid w:val="005D49EF"/>
    <w:rsid w:val="005D4B53"/>
    <w:rsid w:val="005D4BF6"/>
    <w:rsid w:val="005D5365"/>
    <w:rsid w:val="005D5653"/>
    <w:rsid w:val="005D626D"/>
    <w:rsid w:val="005D63F4"/>
    <w:rsid w:val="005D651B"/>
    <w:rsid w:val="005D667E"/>
    <w:rsid w:val="005D6F73"/>
    <w:rsid w:val="005D7225"/>
    <w:rsid w:val="005D778E"/>
    <w:rsid w:val="005D7EB7"/>
    <w:rsid w:val="005E05D0"/>
    <w:rsid w:val="005E0A3E"/>
    <w:rsid w:val="005E0B2A"/>
    <w:rsid w:val="005E1528"/>
    <w:rsid w:val="005E1876"/>
    <w:rsid w:val="005E1992"/>
    <w:rsid w:val="005E1A79"/>
    <w:rsid w:val="005E1CEB"/>
    <w:rsid w:val="005E1D0A"/>
    <w:rsid w:val="005E24D2"/>
    <w:rsid w:val="005E24D9"/>
    <w:rsid w:val="005E3235"/>
    <w:rsid w:val="005E3B62"/>
    <w:rsid w:val="005E3FD9"/>
    <w:rsid w:val="005E473A"/>
    <w:rsid w:val="005E474A"/>
    <w:rsid w:val="005E4ABE"/>
    <w:rsid w:val="005E5495"/>
    <w:rsid w:val="005E54F0"/>
    <w:rsid w:val="005E55EE"/>
    <w:rsid w:val="005E55F4"/>
    <w:rsid w:val="005E562B"/>
    <w:rsid w:val="005E5864"/>
    <w:rsid w:val="005E58C6"/>
    <w:rsid w:val="005E67A7"/>
    <w:rsid w:val="005E6CB7"/>
    <w:rsid w:val="005E7253"/>
    <w:rsid w:val="005E7478"/>
    <w:rsid w:val="005E794A"/>
    <w:rsid w:val="005E7CE4"/>
    <w:rsid w:val="005F02BC"/>
    <w:rsid w:val="005F079D"/>
    <w:rsid w:val="005F0898"/>
    <w:rsid w:val="005F0A9B"/>
    <w:rsid w:val="005F0E83"/>
    <w:rsid w:val="005F1220"/>
    <w:rsid w:val="005F1871"/>
    <w:rsid w:val="005F1FA1"/>
    <w:rsid w:val="005F2114"/>
    <w:rsid w:val="005F24DC"/>
    <w:rsid w:val="005F251C"/>
    <w:rsid w:val="005F2F04"/>
    <w:rsid w:val="005F35E4"/>
    <w:rsid w:val="005F3870"/>
    <w:rsid w:val="005F3982"/>
    <w:rsid w:val="005F3AB6"/>
    <w:rsid w:val="005F3B96"/>
    <w:rsid w:val="005F3BDF"/>
    <w:rsid w:val="005F3C17"/>
    <w:rsid w:val="005F3DDB"/>
    <w:rsid w:val="005F4497"/>
    <w:rsid w:val="005F48BF"/>
    <w:rsid w:val="005F4E4C"/>
    <w:rsid w:val="005F561E"/>
    <w:rsid w:val="005F5FB1"/>
    <w:rsid w:val="005F5FED"/>
    <w:rsid w:val="005F61FD"/>
    <w:rsid w:val="005F64CB"/>
    <w:rsid w:val="005F6539"/>
    <w:rsid w:val="005F66AF"/>
    <w:rsid w:val="005F6C4F"/>
    <w:rsid w:val="005F6D94"/>
    <w:rsid w:val="005F723D"/>
    <w:rsid w:val="005F74A8"/>
    <w:rsid w:val="00600263"/>
    <w:rsid w:val="006002CD"/>
    <w:rsid w:val="0060058F"/>
    <w:rsid w:val="00600701"/>
    <w:rsid w:val="006009B1"/>
    <w:rsid w:val="00601083"/>
    <w:rsid w:val="006011BB"/>
    <w:rsid w:val="0060161C"/>
    <w:rsid w:val="006016F8"/>
    <w:rsid w:val="00602CCE"/>
    <w:rsid w:val="00602DA9"/>
    <w:rsid w:val="00602E69"/>
    <w:rsid w:val="006035F8"/>
    <w:rsid w:val="006036D4"/>
    <w:rsid w:val="00603780"/>
    <w:rsid w:val="0060433F"/>
    <w:rsid w:val="0060463D"/>
    <w:rsid w:val="00604845"/>
    <w:rsid w:val="00604E7B"/>
    <w:rsid w:val="006055C5"/>
    <w:rsid w:val="00605C40"/>
    <w:rsid w:val="00606678"/>
    <w:rsid w:val="006066B2"/>
    <w:rsid w:val="0060694B"/>
    <w:rsid w:val="00606BC0"/>
    <w:rsid w:val="006074AA"/>
    <w:rsid w:val="00607AEC"/>
    <w:rsid w:val="00607B79"/>
    <w:rsid w:val="0061008A"/>
    <w:rsid w:val="00610A72"/>
    <w:rsid w:val="00610AEF"/>
    <w:rsid w:val="0061101B"/>
    <w:rsid w:val="006111DE"/>
    <w:rsid w:val="006113DB"/>
    <w:rsid w:val="0061152D"/>
    <w:rsid w:val="006120F9"/>
    <w:rsid w:val="00612459"/>
    <w:rsid w:val="00612C42"/>
    <w:rsid w:val="00613026"/>
    <w:rsid w:val="006132FE"/>
    <w:rsid w:val="006134BB"/>
    <w:rsid w:val="00613A2D"/>
    <w:rsid w:val="0061423A"/>
    <w:rsid w:val="006157AB"/>
    <w:rsid w:val="00615834"/>
    <w:rsid w:val="00615B08"/>
    <w:rsid w:val="00615D7B"/>
    <w:rsid w:val="00616189"/>
    <w:rsid w:val="0061628E"/>
    <w:rsid w:val="006163A9"/>
    <w:rsid w:val="006167FF"/>
    <w:rsid w:val="00616B5A"/>
    <w:rsid w:val="00617034"/>
    <w:rsid w:val="00617056"/>
    <w:rsid w:val="006175DF"/>
    <w:rsid w:val="00617813"/>
    <w:rsid w:val="00617B45"/>
    <w:rsid w:val="00620398"/>
    <w:rsid w:val="006206BF"/>
    <w:rsid w:val="00620F7A"/>
    <w:rsid w:val="0062126D"/>
    <w:rsid w:val="0062185F"/>
    <w:rsid w:val="00622014"/>
    <w:rsid w:val="00622D07"/>
    <w:rsid w:val="00622D75"/>
    <w:rsid w:val="00622E9F"/>
    <w:rsid w:val="00623E6C"/>
    <w:rsid w:val="0062448C"/>
    <w:rsid w:val="0062495C"/>
    <w:rsid w:val="00624C28"/>
    <w:rsid w:val="00625603"/>
    <w:rsid w:val="00625AE9"/>
    <w:rsid w:val="00625D32"/>
    <w:rsid w:val="00625FB7"/>
    <w:rsid w:val="006263C8"/>
    <w:rsid w:val="0062679E"/>
    <w:rsid w:val="006267F0"/>
    <w:rsid w:val="0062702E"/>
    <w:rsid w:val="0062733A"/>
    <w:rsid w:val="006305E4"/>
    <w:rsid w:val="00630B38"/>
    <w:rsid w:val="00631788"/>
    <w:rsid w:val="00631D77"/>
    <w:rsid w:val="00631D7B"/>
    <w:rsid w:val="00631F30"/>
    <w:rsid w:val="006337CF"/>
    <w:rsid w:val="00633C96"/>
    <w:rsid w:val="00633DFB"/>
    <w:rsid w:val="006341F4"/>
    <w:rsid w:val="00634676"/>
    <w:rsid w:val="00634866"/>
    <w:rsid w:val="00634A85"/>
    <w:rsid w:val="006350AC"/>
    <w:rsid w:val="0063552E"/>
    <w:rsid w:val="006363C7"/>
    <w:rsid w:val="0063654B"/>
    <w:rsid w:val="00636C3E"/>
    <w:rsid w:val="00636C79"/>
    <w:rsid w:val="00637016"/>
    <w:rsid w:val="00637321"/>
    <w:rsid w:val="00637E2F"/>
    <w:rsid w:val="006400C6"/>
    <w:rsid w:val="0064044E"/>
    <w:rsid w:val="00640AAE"/>
    <w:rsid w:val="00640CA5"/>
    <w:rsid w:val="00640D77"/>
    <w:rsid w:val="00640E48"/>
    <w:rsid w:val="0064107E"/>
    <w:rsid w:val="0064141A"/>
    <w:rsid w:val="00641F9C"/>
    <w:rsid w:val="00642171"/>
    <w:rsid w:val="006423DA"/>
    <w:rsid w:val="0064305B"/>
    <w:rsid w:val="006431B8"/>
    <w:rsid w:val="006439A2"/>
    <w:rsid w:val="006440BA"/>
    <w:rsid w:val="0064439B"/>
    <w:rsid w:val="00644480"/>
    <w:rsid w:val="00644671"/>
    <w:rsid w:val="006450FA"/>
    <w:rsid w:val="0064512F"/>
    <w:rsid w:val="006454B3"/>
    <w:rsid w:val="00645A6B"/>
    <w:rsid w:val="00645AEB"/>
    <w:rsid w:val="00645B05"/>
    <w:rsid w:val="00645BE0"/>
    <w:rsid w:val="00645C4E"/>
    <w:rsid w:val="00645C9F"/>
    <w:rsid w:val="00646823"/>
    <w:rsid w:val="00646EA8"/>
    <w:rsid w:val="00647204"/>
    <w:rsid w:val="00647951"/>
    <w:rsid w:val="00647A68"/>
    <w:rsid w:val="00647CA4"/>
    <w:rsid w:val="00647D33"/>
    <w:rsid w:val="00647E96"/>
    <w:rsid w:val="00650294"/>
    <w:rsid w:val="0065044A"/>
    <w:rsid w:val="00650A23"/>
    <w:rsid w:val="00650A9F"/>
    <w:rsid w:val="00650B3A"/>
    <w:rsid w:val="00650E00"/>
    <w:rsid w:val="006516C0"/>
    <w:rsid w:val="00651790"/>
    <w:rsid w:val="006517D1"/>
    <w:rsid w:val="006518A8"/>
    <w:rsid w:val="00651A94"/>
    <w:rsid w:val="00651FA3"/>
    <w:rsid w:val="006522BA"/>
    <w:rsid w:val="006523EA"/>
    <w:rsid w:val="00652F4F"/>
    <w:rsid w:val="006547A1"/>
    <w:rsid w:val="00654845"/>
    <w:rsid w:val="00654EBE"/>
    <w:rsid w:val="00655000"/>
    <w:rsid w:val="006550CF"/>
    <w:rsid w:val="00655164"/>
    <w:rsid w:val="006552CD"/>
    <w:rsid w:val="00655996"/>
    <w:rsid w:val="00655A05"/>
    <w:rsid w:val="00655C27"/>
    <w:rsid w:val="00655E97"/>
    <w:rsid w:val="00655F96"/>
    <w:rsid w:val="00656512"/>
    <w:rsid w:val="00656630"/>
    <w:rsid w:val="00656A8B"/>
    <w:rsid w:val="00656C04"/>
    <w:rsid w:val="00657161"/>
    <w:rsid w:val="00657760"/>
    <w:rsid w:val="00657C44"/>
    <w:rsid w:val="00657C68"/>
    <w:rsid w:val="00660317"/>
    <w:rsid w:val="0066060A"/>
    <w:rsid w:val="006607E5"/>
    <w:rsid w:val="00660C44"/>
    <w:rsid w:val="00661463"/>
    <w:rsid w:val="00661B6F"/>
    <w:rsid w:val="006620B0"/>
    <w:rsid w:val="00662C50"/>
    <w:rsid w:val="00663603"/>
    <w:rsid w:val="0066381A"/>
    <w:rsid w:val="00663B40"/>
    <w:rsid w:val="00663F41"/>
    <w:rsid w:val="0066444A"/>
    <w:rsid w:val="0066451D"/>
    <w:rsid w:val="0066453E"/>
    <w:rsid w:val="00664EA9"/>
    <w:rsid w:val="006651FC"/>
    <w:rsid w:val="00665222"/>
    <w:rsid w:val="00665577"/>
    <w:rsid w:val="00666136"/>
    <w:rsid w:val="00666167"/>
    <w:rsid w:val="0066647D"/>
    <w:rsid w:val="00667024"/>
    <w:rsid w:val="0066762F"/>
    <w:rsid w:val="006677E8"/>
    <w:rsid w:val="00667848"/>
    <w:rsid w:val="00667D08"/>
    <w:rsid w:val="006709FF"/>
    <w:rsid w:val="00670EDD"/>
    <w:rsid w:val="00670F84"/>
    <w:rsid w:val="00671A9E"/>
    <w:rsid w:val="00671C50"/>
    <w:rsid w:val="006724C2"/>
    <w:rsid w:val="0067294D"/>
    <w:rsid w:val="00672A3D"/>
    <w:rsid w:val="006730BA"/>
    <w:rsid w:val="00673499"/>
    <w:rsid w:val="006740C4"/>
    <w:rsid w:val="006741FD"/>
    <w:rsid w:val="006742A1"/>
    <w:rsid w:val="00674456"/>
    <w:rsid w:val="0067503C"/>
    <w:rsid w:val="006754E2"/>
    <w:rsid w:val="00675EFE"/>
    <w:rsid w:val="0067639D"/>
    <w:rsid w:val="00676D48"/>
    <w:rsid w:val="00676F16"/>
    <w:rsid w:val="00676F19"/>
    <w:rsid w:val="006772AF"/>
    <w:rsid w:val="006773EB"/>
    <w:rsid w:val="00677D82"/>
    <w:rsid w:val="00677EDC"/>
    <w:rsid w:val="00677FA5"/>
    <w:rsid w:val="0068030A"/>
    <w:rsid w:val="00680360"/>
    <w:rsid w:val="00680440"/>
    <w:rsid w:val="00680896"/>
    <w:rsid w:val="00681DDB"/>
    <w:rsid w:val="00681F76"/>
    <w:rsid w:val="00681F79"/>
    <w:rsid w:val="0068281E"/>
    <w:rsid w:val="00682E42"/>
    <w:rsid w:val="00683461"/>
    <w:rsid w:val="00683B95"/>
    <w:rsid w:val="00683E73"/>
    <w:rsid w:val="00684081"/>
    <w:rsid w:val="006840FE"/>
    <w:rsid w:val="0068434D"/>
    <w:rsid w:val="00684448"/>
    <w:rsid w:val="006847A6"/>
    <w:rsid w:val="00685138"/>
    <w:rsid w:val="0068538E"/>
    <w:rsid w:val="00685991"/>
    <w:rsid w:val="006863D3"/>
    <w:rsid w:val="006865AA"/>
    <w:rsid w:val="006870FF"/>
    <w:rsid w:val="00687210"/>
    <w:rsid w:val="00687645"/>
    <w:rsid w:val="00687CDD"/>
    <w:rsid w:val="00690EB4"/>
    <w:rsid w:val="00691C1D"/>
    <w:rsid w:val="00691EAA"/>
    <w:rsid w:val="00691F29"/>
    <w:rsid w:val="00692DE0"/>
    <w:rsid w:val="00693487"/>
    <w:rsid w:val="006938D9"/>
    <w:rsid w:val="00693A09"/>
    <w:rsid w:val="00693D5C"/>
    <w:rsid w:val="00693F09"/>
    <w:rsid w:val="0069467F"/>
    <w:rsid w:val="006950E2"/>
    <w:rsid w:val="006952C3"/>
    <w:rsid w:val="00695331"/>
    <w:rsid w:val="0069534B"/>
    <w:rsid w:val="006963CA"/>
    <w:rsid w:val="00696556"/>
    <w:rsid w:val="0069678F"/>
    <w:rsid w:val="00696793"/>
    <w:rsid w:val="00696E6F"/>
    <w:rsid w:val="00697A21"/>
    <w:rsid w:val="00697BCD"/>
    <w:rsid w:val="00697D65"/>
    <w:rsid w:val="006A043F"/>
    <w:rsid w:val="006A08C4"/>
    <w:rsid w:val="006A0B3C"/>
    <w:rsid w:val="006A116F"/>
    <w:rsid w:val="006A1F5B"/>
    <w:rsid w:val="006A216A"/>
    <w:rsid w:val="006A227F"/>
    <w:rsid w:val="006A2611"/>
    <w:rsid w:val="006A271F"/>
    <w:rsid w:val="006A3008"/>
    <w:rsid w:val="006A31CF"/>
    <w:rsid w:val="006A32DF"/>
    <w:rsid w:val="006A371C"/>
    <w:rsid w:val="006A4341"/>
    <w:rsid w:val="006A4531"/>
    <w:rsid w:val="006A4534"/>
    <w:rsid w:val="006A479D"/>
    <w:rsid w:val="006A511E"/>
    <w:rsid w:val="006A52CF"/>
    <w:rsid w:val="006A565E"/>
    <w:rsid w:val="006A5BAB"/>
    <w:rsid w:val="006A5C64"/>
    <w:rsid w:val="006A5D20"/>
    <w:rsid w:val="006A5E81"/>
    <w:rsid w:val="006A71D4"/>
    <w:rsid w:val="006A7820"/>
    <w:rsid w:val="006A7D7A"/>
    <w:rsid w:val="006B0889"/>
    <w:rsid w:val="006B11B4"/>
    <w:rsid w:val="006B1B3F"/>
    <w:rsid w:val="006B1BCB"/>
    <w:rsid w:val="006B2479"/>
    <w:rsid w:val="006B2852"/>
    <w:rsid w:val="006B2869"/>
    <w:rsid w:val="006B3243"/>
    <w:rsid w:val="006B372E"/>
    <w:rsid w:val="006B3A6E"/>
    <w:rsid w:val="006B3BDD"/>
    <w:rsid w:val="006B3FDC"/>
    <w:rsid w:val="006B438C"/>
    <w:rsid w:val="006B4944"/>
    <w:rsid w:val="006B4B03"/>
    <w:rsid w:val="006B4C26"/>
    <w:rsid w:val="006B4FE6"/>
    <w:rsid w:val="006B5E36"/>
    <w:rsid w:val="006B5E39"/>
    <w:rsid w:val="006B5FBB"/>
    <w:rsid w:val="006B62C2"/>
    <w:rsid w:val="006B640D"/>
    <w:rsid w:val="006B6412"/>
    <w:rsid w:val="006B6ACC"/>
    <w:rsid w:val="006B6DB1"/>
    <w:rsid w:val="006B7168"/>
    <w:rsid w:val="006B7421"/>
    <w:rsid w:val="006C0257"/>
    <w:rsid w:val="006C06A8"/>
    <w:rsid w:val="006C0950"/>
    <w:rsid w:val="006C0CF5"/>
    <w:rsid w:val="006C15A7"/>
    <w:rsid w:val="006C16DC"/>
    <w:rsid w:val="006C1995"/>
    <w:rsid w:val="006C25E6"/>
    <w:rsid w:val="006C385C"/>
    <w:rsid w:val="006C39C8"/>
    <w:rsid w:val="006C3D8C"/>
    <w:rsid w:val="006C3EA5"/>
    <w:rsid w:val="006C3F65"/>
    <w:rsid w:val="006C417C"/>
    <w:rsid w:val="006C4A1D"/>
    <w:rsid w:val="006C4CBA"/>
    <w:rsid w:val="006C5BC5"/>
    <w:rsid w:val="006C60A7"/>
    <w:rsid w:val="006C626B"/>
    <w:rsid w:val="006C6B28"/>
    <w:rsid w:val="006C6CBA"/>
    <w:rsid w:val="006C6EE7"/>
    <w:rsid w:val="006C710D"/>
    <w:rsid w:val="006C731F"/>
    <w:rsid w:val="006D00C4"/>
    <w:rsid w:val="006D0A83"/>
    <w:rsid w:val="006D1770"/>
    <w:rsid w:val="006D2C12"/>
    <w:rsid w:val="006D2CCB"/>
    <w:rsid w:val="006D2EDB"/>
    <w:rsid w:val="006D3025"/>
    <w:rsid w:val="006D3256"/>
    <w:rsid w:val="006D329E"/>
    <w:rsid w:val="006D33A1"/>
    <w:rsid w:val="006D37AB"/>
    <w:rsid w:val="006D39EA"/>
    <w:rsid w:val="006D3B44"/>
    <w:rsid w:val="006D3B90"/>
    <w:rsid w:val="006D432F"/>
    <w:rsid w:val="006D46F7"/>
    <w:rsid w:val="006D4B2B"/>
    <w:rsid w:val="006D4FE9"/>
    <w:rsid w:val="006D5104"/>
    <w:rsid w:val="006D5245"/>
    <w:rsid w:val="006D5F9F"/>
    <w:rsid w:val="006D6286"/>
    <w:rsid w:val="006D6A6B"/>
    <w:rsid w:val="006D6CD0"/>
    <w:rsid w:val="006D725B"/>
    <w:rsid w:val="006D7400"/>
    <w:rsid w:val="006D7605"/>
    <w:rsid w:val="006D79EC"/>
    <w:rsid w:val="006E08AC"/>
    <w:rsid w:val="006E0A30"/>
    <w:rsid w:val="006E0B28"/>
    <w:rsid w:val="006E0F27"/>
    <w:rsid w:val="006E1612"/>
    <w:rsid w:val="006E16D8"/>
    <w:rsid w:val="006E1A97"/>
    <w:rsid w:val="006E2030"/>
    <w:rsid w:val="006E27E8"/>
    <w:rsid w:val="006E280D"/>
    <w:rsid w:val="006E2BA6"/>
    <w:rsid w:val="006E30D9"/>
    <w:rsid w:val="006E36B3"/>
    <w:rsid w:val="006E3848"/>
    <w:rsid w:val="006E3B0F"/>
    <w:rsid w:val="006E4084"/>
    <w:rsid w:val="006E420E"/>
    <w:rsid w:val="006E5825"/>
    <w:rsid w:val="006E5A7B"/>
    <w:rsid w:val="006E5CDE"/>
    <w:rsid w:val="006E6239"/>
    <w:rsid w:val="006E626A"/>
    <w:rsid w:val="006E65CC"/>
    <w:rsid w:val="006E67C3"/>
    <w:rsid w:val="006E68E9"/>
    <w:rsid w:val="006E68EC"/>
    <w:rsid w:val="006E6B34"/>
    <w:rsid w:val="006E6D3A"/>
    <w:rsid w:val="006E7D15"/>
    <w:rsid w:val="006E7E83"/>
    <w:rsid w:val="006F038D"/>
    <w:rsid w:val="006F06B0"/>
    <w:rsid w:val="006F0733"/>
    <w:rsid w:val="006F0778"/>
    <w:rsid w:val="006F088E"/>
    <w:rsid w:val="006F131D"/>
    <w:rsid w:val="006F145C"/>
    <w:rsid w:val="006F1907"/>
    <w:rsid w:val="006F1ABE"/>
    <w:rsid w:val="006F1C0F"/>
    <w:rsid w:val="006F3BDC"/>
    <w:rsid w:val="006F3F20"/>
    <w:rsid w:val="006F49FB"/>
    <w:rsid w:val="006F4AE1"/>
    <w:rsid w:val="006F5514"/>
    <w:rsid w:val="006F5684"/>
    <w:rsid w:val="006F57BC"/>
    <w:rsid w:val="006F5A86"/>
    <w:rsid w:val="006F721D"/>
    <w:rsid w:val="006F75B3"/>
    <w:rsid w:val="006F7972"/>
    <w:rsid w:val="007005FC"/>
    <w:rsid w:val="00700987"/>
    <w:rsid w:val="007009DC"/>
    <w:rsid w:val="00700AD3"/>
    <w:rsid w:val="007010BA"/>
    <w:rsid w:val="007014D9"/>
    <w:rsid w:val="007016E0"/>
    <w:rsid w:val="00701C85"/>
    <w:rsid w:val="007025D4"/>
    <w:rsid w:val="00702DAB"/>
    <w:rsid w:val="00703378"/>
    <w:rsid w:val="0070346B"/>
    <w:rsid w:val="007040A6"/>
    <w:rsid w:val="00704F91"/>
    <w:rsid w:val="0070582C"/>
    <w:rsid w:val="00705E1B"/>
    <w:rsid w:val="007062F2"/>
    <w:rsid w:val="0070661D"/>
    <w:rsid w:val="007066E0"/>
    <w:rsid w:val="007067BA"/>
    <w:rsid w:val="00706952"/>
    <w:rsid w:val="00706E9E"/>
    <w:rsid w:val="00707443"/>
    <w:rsid w:val="00707BDE"/>
    <w:rsid w:val="00707DA0"/>
    <w:rsid w:val="00707F86"/>
    <w:rsid w:val="007128D3"/>
    <w:rsid w:val="00712AD9"/>
    <w:rsid w:val="00712F19"/>
    <w:rsid w:val="00712F87"/>
    <w:rsid w:val="00713842"/>
    <w:rsid w:val="007138B5"/>
    <w:rsid w:val="00713973"/>
    <w:rsid w:val="007139B6"/>
    <w:rsid w:val="007139F2"/>
    <w:rsid w:val="00713F68"/>
    <w:rsid w:val="007142A0"/>
    <w:rsid w:val="00714C76"/>
    <w:rsid w:val="0071571B"/>
    <w:rsid w:val="007158D1"/>
    <w:rsid w:val="00715E75"/>
    <w:rsid w:val="007166AB"/>
    <w:rsid w:val="00716AEA"/>
    <w:rsid w:val="00716B66"/>
    <w:rsid w:val="007170A1"/>
    <w:rsid w:val="00717AF1"/>
    <w:rsid w:val="00717B89"/>
    <w:rsid w:val="00717C96"/>
    <w:rsid w:val="00717E37"/>
    <w:rsid w:val="00720A3D"/>
    <w:rsid w:val="00720D30"/>
    <w:rsid w:val="007211C2"/>
    <w:rsid w:val="007218A0"/>
    <w:rsid w:val="007225A2"/>
    <w:rsid w:val="0072268B"/>
    <w:rsid w:val="00722AD1"/>
    <w:rsid w:val="00722B47"/>
    <w:rsid w:val="00722BA2"/>
    <w:rsid w:val="00722E04"/>
    <w:rsid w:val="0072331F"/>
    <w:rsid w:val="007240D0"/>
    <w:rsid w:val="007242C0"/>
    <w:rsid w:val="007256C3"/>
    <w:rsid w:val="0072604D"/>
    <w:rsid w:val="00726273"/>
    <w:rsid w:val="00726478"/>
    <w:rsid w:val="00727029"/>
    <w:rsid w:val="00730F45"/>
    <w:rsid w:val="007316DF"/>
    <w:rsid w:val="00731ABD"/>
    <w:rsid w:val="00731B3B"/>
    <w:rsid w:val="007321FA"/>
    <w:rsid w:val="007326A5"/>
    <w:rsid w:val="007327E5"/>
    <w:rsid w:val="00732EAE"/>
    <w:rsid w:val="00732F4D"/>
    <w:rsid w:val="00733012"/>
    <w:rsid w:val="00733416"/>
    <w:rsid w:val="007336CD"/>
    <w:rsid w:val="00733D6F"/>
    <w:rsid w:val="00734739"/>
    <w:rsid w:val="00734830"/>
    <w:rsid w:val="00734AEB"/>
    <w:rsid w:val="00734BE0"/>
    <w:rsid w:val="0073589E"/>
    <w:rsid w:val="00736132"/>
    <w:rsid w:val="0073652A"/>
    <w:rsid w:val="00736737"/>
    <w:rsid w:val="00736820"/>
    <w:rsid w:val="00736845"/>
    <w:rsid w:val="00736858"/>
    <w:rsid w:val="00736F4A"/>
    <w:rsid w:val="007370D3"/>
    <w:rsid w:val="00737B99"/>
    <w:rsid w:val="00737C67"/>
    <w:rsid w:val="00737E59"/>
    <w:rsid w:val="00740216"/>
    <w:rsid w:val="00740E20"/>
    <w:rsid w:val="0074147B"/>
    <w:rsid w:val="007414CA"/>
    <w:rsid w:val="0074168F"/>
    <w:rsid w:val="007418E6"/>
    <w:rsid w:val="007419EF"/>
    <w:rsid w:val="00741CA0"/>
    <w:rsid w:val="00741F2D"/>
    <w:rsid w:val="00742652"/>
    <w:rsid w:val="00742DA1"/>
    <w:rsid w:val="007436BE"/>
    <w:rsid w:val="00743D46"/>
    <w:rsid w:val="00743F9C"/>
    <w:rsid w:val="0074574A"/>
    <w:rsid w:val="00745972"/>
    <w:rsid w:val="00745B35"/>
    <w:rsid w:val="00746282"/>
    <w:rsid w:val="00746430"/>
    <w:rsid w:val="00746505"/>
    <w:rsid w:val="007468C5"/>
    <w:rsid w:val="00747574"/>
    <w:rsid w:val="007475B9"/>
    <w:rsid w:val="007476F6"/>
    <w:rsid w:val="00747704"/>
    <w:rsid w:val="00747DA6"/>
    <w:rsid w:val="00747F2A"/>
    <w:rsid w:val="00750210"/>
    <w:rsid w:val="00750249"/>
    <w:rsid w:val="007507C5"/>
    <w:rsid w:val="00750956"/>
    <w:rsid w:val="00750CC7"/>
    <w:rsid w:val="007511A9"/>
    <w:rsid w:val="007514DA"/>
    <w:rsid w:val="00751935"/>
    <w:rsid w:val="00751DFB"/>
    <w:rsid w:val="00752105"/>
    <w:rsid w:val="007524B2"/>
    <w:rsid w:val="0075267F"/>
    <w:rsid w:val="0075335B"/>
    <w:rsid w:val="007535F8"/>
    <w:rsid w:val="00753B7A"/>
    <w:rsid w:val="00753DD6"/>
    <w:rsid w:val="00753F4E"/>
    <w:rsid w:val="00754193"/>
    <w:rsid w:val="0075490D"/>
    <w:rsid w:val="00754A28"/>
    <w:rsid w:val="00755109"/>
    <w:rsid w:val="007551A3"/>
    <w:rsid w:val="00755B22"/>
    <w:rsid w:val="00755E4A"/>
    <w:rsid w:val="00756054"/>
    <w:rsid w:val="00756815"/>
    <w:rsid w:val="0075686A"/>
    <w:rsid w:val="007578A0"/>
    <w:rsid w:val="007578EC"/>
    <w:rsid w:val="00757A29"/>
    <w:rsid w:val="00757A72"/>
    <w:rsid w:val="00757A87"/>
    <w:rsid w:val="00760105"/>
    <w:rsid w:val="00760405"/>
    <w:rsid w:val="007606A2"/>
    <w:rsid w:val="00760B7E"/>
    <w:rsid w:val="00760C4E"/>
    <w:rsid w:val="007611F9"/>
    <w:rsid w:val="00761976"/>
    <w:rsid w:val="00761C1B"/>
    <w:rsid w:val="00762DE2"/>
    <w:rsid w:val="0076341F"/>
    <w:rsid w:val="007634E6"/>
    <w:rsid w:val="00764164"/>
    <w:rsid w:val="007645E3"/>
    <w:rsid w:val="0076477F"/>
    <w:rsid w:val="0076488C"/>
    <w:rsid w:val="00764A71"/>
    <w:rsid w:val="00764DD1"/>
    <w:rsid w:val="00765E0D"/>
    <w:rsid w:val="00765EB9"/>
    <w:rsid w:val="007664FD"/>
    <w:rsid w:val="007676DF"/>
    <w:rsid w:val="00767BBB"/>
    <w:rsid w:val="0077073C"/>
    <w:rsid w:val="0077077A"/>
    <w:rsid w:val="00770E8B"/>
    <w:rsid w:val="0077119A"/>
    <w:rsid w:val="00771347"/>
    <w:rsid w:val="00771411"/>
    <w:rsid w:val="007718DD"/>
    <w:rsid w:val="0077192E"/>
    <w:rsid w:val="0077228B"/>
    <w:rsid w:val="007727F7"/>
    <w:rsid w:val="00772A36"/>
    <w:rsid w:val="00772BB2"/>
    <w:rsid w:val="007732CC"/>
    <w:rsid w:val="0077366D"/>
    <w:rsid w:val="007736D5"/>
    <w:rsid w:val="00773C01"/>
    <w:rsid w:val="007741C7"/>
    <w:rsid w:val="00774338"/>
    <w:rsid w:val="007744BB"/>
    <w:rsid w:val="00774827"/>
    <w:rsid w:val="007748B3"/>
    <w:rsid w:val="00776302"/>
    <w:rsid w:val="00776477"/>
    <w:rsid w:val="00776FBB"/>
    <w:rsid w:val="0077708E"/>
    <w:rsid w:val="007771B1"/>
    <w:rsid w:val="00777AFD"/>
    <w:rsid w:val="007800C6"/>
    <w:rsid w:val="00780590"/>
    <w:rsid w:val="00780682"/>
    <w:rsid w:val="00780AF2"/>
    <w:rsid w:val="00780E9B"/>
    <w:rsid w:val="00781470"/>
    <w:rsid w:val="00781487"/>
    <w:rsid w:val="007816AC"/>
    <w:rsid w:val="007820CA"/>
    <w:rsid w:val="007820CE"/>
    <w:rsid w:val="0078259D"/>
    <w:rsid w:val="00782BA8"/>
    <w:rsid w:val="00782EE4"/>
    <w:rsid w:val="00783825"/>
    <w:rsid w:val="007839D2"/>
    <w:rsid w:val="00783B43"/>
    <w:rsid w:val="007844DF"/>
    <w:rsid w:val="00784AE0"/>
    <w:rsid w:val="00784BA0"/>
    <w:rsid w:val="00784C47"/>
    <w:rsid w:val="00785599"/>
    <w:rsid w:val="00785859"/>
    <w:rsid w:val="00785C16"/>
    <w:rsid w:val="007860EE"/>
    <w:rsid w:val="0078614C"/>
    <w:rsid w:val="00786322"/>
    <w:rsid w:val="00786356"/>
    <w:rsid w:val="0078687F"/>
    <w:rsid w:val="00786A75"/>
    <w:rsid w:val="00787935"/>
    <w:rsid w:val="007900EA"/>
    <w:rsid w:val="0079069F"/>
    <w:rsid w:val="00790BBE"/>
    <w:rsid w:val="00791919"/>
    <w:rsid w:val="00791CDF"/>
    <w:rsid w:val="00791E7C"/>
    <w:rsid w:val="007920AF"/>
    <w:rsid w:val="0079226B"/>
    <w:rsid w:val="0079255B"/>
    <w:rsid w:val="007926E5"/>
    <w:rsid w:val="00792705"/>
    <w:rsid w:val="00792D7B"/>
    <w:rsid w:val="00792E1D"/>
    <w:rsid w:val="00793118"/>
    <w:rsid w:val="007934AF"/>
    <w:rsid w:val="007934E6"/>
    <w:rsid w:val="007938E8"/>
    <w:rsid w:val="007939E4"/>
    <w:rsid w:val="00793A51"/>
    <w:rsid w:val="00793CAD"/>
    <w:rsid w:val="00794473"/>
    <w:rsid w:val="00794702"/>
    <w:rsid w:val="00794CA4"/>
    <w:rsid w:val="00794EB5"/>
    <w:rsid w:val="00794F2E"/>
    <w:rsid w:val="0079500B"/>
    <w:rsid w:val="00795295"/>
    <w:rsid w:val="0079590B"/>
    <w:rsid w:val="00795A91"/>
    <w:rsid w:val="00796177"/>
    <w:rsid w:val="0079643E"/>
    <w:rsid w:val="00796692"/>
    <w:rsid w:val="007967AA"/>
    <w:rsid w:val="00796F1C"/>
    <w:rsid w:val="00797D7B"/>
    <w:rsid w:val="007A0147"/>
    <w:rsid w:val="007A04A5"/>
    <w:rsid w:val="007A0C6E"/>
    <w:rsid w:val="007A0C82"/>
    <w:rsid w:val="007A12D6"/>
    <w:rsid w:val="007A13F8"/>
    <w:rsid w:val="007A167A"/>
    <w:rsid w:val="007A16C1"/>
    <w:rsid w:val="007A172E"/>
    <w:rsid w:val="007A217E"/>
    <w:rsid w:val="007A270C"/>
    <w:rsid w:val="007A28DD"/>
    <w:rsid w:val="007A35B7"/>
    <w:rsid w:val="007A430B"/>
    <w:rsid w:val="007A47C2"/>
    <w:rsid w:val="007A4AF7"/>
    <w:rsid w:val="007A4CF8"/>
    <w:rsid w:val="007A5475"/>
    <w:rsid w:val="007A5988"/>
    <w:rsid w:val="007A5C54"/>
    <w:rsid w:val="007A5DB7"/>
    <w:rsid w:val="007A5F01"/>
    <w:rsid w:val="007A6723"/>
    <w:rsid w:val="007A692F"/>
    <w:rsid w:val="007A6D12"/>
    <w:rsid w:val="007A6EA1"/>
    <w:rsid w:val="007A7436"/>
    <w:rsid w:val="007A7A6F"/>
    <w:rsid w:val="007A7C4D"/>
    <w:rsid w:val="007A7D77"/>
    <w:rsid w:val="007B046F"/>
    <w:rsid w:val="007B0819"/>
    <w:rsid w:val="007B0B07"/>
    <w:rsid w:val="007B0CDE"/>
    <w:rsid w:val="007B1086"/>
    <w:rsid w:val="007B14A0"/>
    <w:rsid w:val="007B157C"/>
    <w:rsid w:val="007B16CB"/>
    <w:rsid w:val="007B1770"/>
    <w:rsid w:val="007B1895"/>
    <w:rsid w:val="007B19CB"/>
    <w:rsid w:val="007B1A6F"/>
    <w:rsid w:val="007B2346"/>
    <w:rsid w:val="007B24EC"/>
    <w:rsid w:val="007B3086"/>
    <w:rsid w:val="007B3D34"/>
    <w:rsid w:val="007B3F84"/>
    <w:rsid w:val="007B4276"/>
    <w:rsid w:val="007B4495"/>
    <w:rsid w:val="007B44D7"/>
    <w:rsid w:val="007B4DC4"/>
    <w:rsid w:val="007B5582"/>
    <w:rsid w:val="007B566A"/>
    <w:rsid w:val="007B6594"/>
    <w:rsid w:val="007B72B3"/>
    <w:rsid w:val="007B740F"/>
    <w:rsid w:val="007B74B4"/>
    <w:rsid w:val="007B7780"/>
    <w:rsid w:val="007B7825"/>
    <w:rsid w:val="007B783B"/>
    <w:rsid w:val="007B799F"/>
    <w:rsid w:val="007C028B"/>
    <w:rsid w:val="007C07D8"/>
    <w:rsid w:val="007C128B"/>
    <w:rsid w:val="007C18E8"/>
    <w:rsid w:val="007C25AE"/>
    <w:rsid w:val="007C273C"/>
    <w:rsid w:val="007C2967"/>
    <w:rsid w:val="007C299D"/>
    <w:rsid w:val="007C3FBD"/>
    <w:rsid w:val="007C40E1"/>
    <w:rsid w:val="007C4E4A"/>
    <w:rsid w:val="007C5027"/>
    <w:rsid w:val="007C5283"/>
    <w:rsid w:val="007C5EEC"/>
    <w:rsid w:val="007C60B7"/>
    <w:rsid w:val="007C6389"/>
    <w:rsid w:val="007C677F"/>
    <w:rsid w:val="007C69DE"/>
    <w:rsid w:val="007C703C"/>
    <w:rsid w:val="007C712C"/>
    <w:rsid w:val="007C72AA"/>
    <w:rsid w:val="007C75BD"/>
    <w:rsid w:val="007C77D4"/>
    <w:rsid w:val="007C77E9"/>
    <w:rsid w:val="007C7D5F"/>
    <w:rsid w:val="007D0089"/>
    <w:rsid w:val="007D06D2"/>
    <w:rsid w:val="007D0737"/>
    <w:rsid w:val="007D0762"/>
    <w:rsid w:val="007D085E"/>
    <w:rsid w:val="007D106F"/>
    <w:rsid w:val="007D1466"/>
    <w:rsid w:val="007D161D"/>
    <w:rsid w:val="007D1AA2"/>
    <w:rsid w:val="007D1B48"/>
    <w:rsid w:val="007D1C22"/>
    <w:rsid w:val="007D1CE4"/>
    <w:rsid w:val="007D25DC"/>
    <w:rsid w:val="007D2B0C"/>
    <w:rsid w:val="007D2D54"/>
    <w:rsid w:val="007D2DB6"/>
    <w:rsid w:val="007D2E93"/>
    <w:rsid w:val="007D3703"/>
    <w:rsid w:val="007D3AE1"/>
    <w:rsid w:val="007D413D"/>
    <w:rsid w:val="007D4E40"/>
    <w:rsid w:val="007D4FED"/>
    <w:rsid w:val="007D5105"/>
    <w:rsid w:val="007D5197"/>
    <w:rsid w:val="007D551E"/>
    <w:rsid w:val="007D5D6C"/>
    <w:rsid w:val="007D6487"/>
    <w:rsid w:val="007D66A9"/>
    <w:rsid w:val="007D7CBC"/>
    <w:rsid w:val="007E00EA"/>
    <w:rsid w:val="007E0190"/>
    <w:rsid w:val="007E0331"/>
    <w:rsid w:val="007E06FC"/>
    <w:rsid w:val="007E0AD8"/>
    <w:rsid w:val="007E0C5A"/>
    <w:rsid w:val="007E1890"/>
    <w:rsid w:val="007E2294"/>
    <w:rsid w:val="007E2F4E"/>
    <w:rsid w:val="007E2FB7"/>
    <w:rsid w:val="007E3384"/>
    <w:rsid w:val="007E3B5D"/>
    <w:rsid w:val="007E3E74"/>
    <w:rsid w:val="007E3F30"/>
    <w:rsid w:val="007E41CF"/>
    <w:rsid w:val="007E425A"/>
    <w:rsid w:val="007E43B8"/>
    <w:rsid w:val="007E4B6A"/>
    <w:rsid w:val="007E4BD5"/>
    <w:rsid w:val="007E4EF7"/>
    <w:rsid w:val="007E4EFB"/>
    <w:rsid w:val="007E58C8"/>
    <w:rsid w:val="007E5F23"/>
    <w:rsid w:val="007E6115"/>
    <w:rsid w:val="007E6412"/>
    <w:rsid w:val="007F01BA"/>
    <w:rsid w:val="007F050A"/>
    <w:rsid w:val="007F1053"/>
    <w:rsid w:val="007F18DA"/>
    <w:rsid w:val="007F1AD8"/>
    <w:rsid w:val="007F1E07"/>
    <w:rsid w:val="007F1E5A"/>
    <w:rsid w:val="007F234B"/>
    <w:rsid w:val="007F26EC"/>
    <w:rsid w:val="007F32B1"/>
    <w:rsid w:val="007F3345"/>
    <w:rsid w:val="007F35EF"/>
    <w:rsid w:val="007F3676"/>
    <w:rsid w:val="007F3BF3"/>
    <w:rsid w:val="007F3D2E"/>
    <w:rsid w:val="007F3DE6"/>
    <w:rsid w:val="007F412C"/>
    <w:rsid w:val="007F4FB2"/>
    <w:rsid w:val="007F536D"/>
    <w:rsid w:val="007F5696"/>
    <w:rsid w:val="007F61B5"/>
    <w:rsid w:val="007F675B"/>
    <w:rsid w:val="007F6800"/>
    <w:rsid w:val="007F6AB9"/>
    <w:rsid w:val="007F79D2"/>
    <w:rsid w:val="007F7B6F"/>
    <w:rsid w:val="008004D5"/>
    <w:rsid w:val="008014EB"/>
    <w:rsid w:val="008016C4"/>
    <w:rsid w:val="00801B78"/>
    <w:rsid w:val="00802810"/>
    <w:rsid w:val="00803417"/>
    <w:rsid w:val="0080394F"/>
    <w:rsid w:val="00803DAD"/>
    <w:rsid w:val="008044EA"/>
    <w:rsid w:val="0080490A"/>
    <w:rsid w:val="00805295"/>
    <w:rsid w:val="008052E5"/>
    <w:rsid w:val="00805577"/>
    <w:rsid w:val="00805B0E"/>
    <w:rsid w:val="00805CD1"/>
    <w:rsid w:val="00805E89"/>
    <w:rsid w:val="008067F6"/>
    <w:rsid w:val="00806AE1"/>
    <w:rsid w:val="008100DA"/>
    <w:rsid w:val="008104BA"/>
    <w:rsid w:val="00810600"/>
    <w:rsid w:val="00810644"/>
    <w:rsid w:val="00810C57"/>
    <w:rsid w:val="00810D5F"/>
    <w:rsid w:val="0081116F"/>
    <w:rsid w:val="00811FF4"/>
    <w:rsid w:val="00812E79"/>
    <w:rsid w:val="0081311E"/>
    <w:rsid w:val="008132C6"/>
    <w:rsid w:val="008150F8"/>
    <w:rsid w:val="00815118"/>
    <w:rsid w:val="0081757D"/>
    <w:rsid w:val="0081763B"/>
    <w:rsid w:val="00817B73"/>
    <w:rsid w:val="00817DF5"/>
    <w:rsid w:val="00820A0A"/>
    <w:rsid w:val="00820F07"/>
    <w:rsid w:val="008211C5"/>
    <w:rsid w:val="0082261F"/>
    <w:rsid w:val="008238B3"/>
    <w:rsid w:val="008239E5"/>
    <w:rsid w:val="00823DDE"/>
    <w:rsid w:val="0082422F"/>
    <w:rsid w:val="008244A6"/>
    <w:rsid w:val="008244D1"/>
    <w:rsid w:val="008255BB"/>
    <w:rsid w:val="00825997"/>
    <w:rsid w:val="00825B9D"/>
    <w:rsid w:val="008260E9"/>
    <w:rsid w:val="0082626F"/>
    <w:rsid w:val="00826610"/>
    <w:rsid w:val="00826617"/>
    <w:rsid w:val="00826764"/>
    <w:rsid w:val="00826A69"/>
    <w:rsid w:val="00826BCA"/>
    <w:rsid w:val="00826C16"/>
    <w:rsid w:val="00826DB3"/>
    <w:rsid w:val="00826ED9"/>
    <w:rsid w:val="00826F03"/>
    <w:rsid w:val="0082711B"/>
    <w:rsid w:val="00827235"/>
    <w:rsid w:val="0082758B"/>
    <w:rsid w:val="0082785A"/>
    <w:rsid w:val="00830018"/>
    <w:rsid w:val="0083010D"/>
    <w:rsid w:val="00830431"/>
    <w:rsid w:val="008306DA"/>
    <w:rsid w:val="00830828"/>
    <w:rsid w:val="0083101F"/>
    <w:rsid w:val="00831658"/>
    <w:rsid w:val="00831EA8"/>
    <w:rsid w:val="00831F9A"/>
    <w:rsid w:val="00832A29"/>
    <w:rsid w:val="00832AEF"/>
    <w:rsid w:val="00832BAD"/>
    <w:rsid w:val="00832EE7"/>
    <w:rsid w:val="00832F59"/>
    <w:rsid w:val="00833551"/>
    <w:rsid w:val="008339EA"/>
    <w:rsid w:val="008348CD"/>
    <w:rsid w:val="0083526B"/>
    <w:rsid w:val="008352A6"/>
    <w:rsid w:val="00835780"/>
    <w:rsid w:val="00835802"/>
    <w:rsid w:val="00835D41"/>
    <w:rsid w:val="00835FD2"/>
    <w:rsid w:val="00836357"/>
    <w:rsid w:val="008367CA"/>
    <w:rsid w:val="00836A69"/>
    <w:rsid w:val="00836BBB"/>
    <w:rsid w:val="00836BBD"/>
    <w:rsid w:val="00837589"/>
    <w:rsid w:val="00837D4B"/>
    <w:rsid w:val="00837FF6"/>
    <w:rsid w:val="008402BC"/>
    <w:rsid w:val="00840CF5"/>
    <w:rsid w:val="00840E6F"/>
    <w:rsid w:val="0084194F"/>
    <w:rsid w:val="00841C30"/>
    <w:rsid w:val="0084210D"/>
    <w:rsid w:val="0084214D"/>
    <w:rsid w:val="00842493"/>
    <w:rsid w:val="008428B6"/>
    <w:rsid w:val="00842CF6"/>
    <w:rsid w:val="008434B3"/>
    <w:rsid w:val="00843969"/>
    <w:rsid w:val="00843C14"/>
    <w:rsid w:val="00843D78"/>
    <w:rsid w:val="00843E54"/>
    <w:rsid w:val="0084419C"/>
    <w:rsid w:val="00845211"/>
    <w:rsid w:val="0084572C"/>
    <w:rsid w:val="00847118"/>
    <w:rsid w:val="0084787A"/>
    <w:rsid w:val="00847966"/>
    <w:rsid w:val="00847A59"/>
    <w:rsid w:val="00847C65"/>
    <w:rsid w:val="00847CA0"/>
    <w:rsid w:val="008505DA"/>
    <w:rsid w:val="008515D2"/>
    <w:rsid w:val="00851843"/>
    <w:rsid w:val="00851BD6"/>
    <w:rsid w:val="00851C40"/>
    <w:rsid w:val="00852190"/>
    <w:rsid w:val="00852332"/>
    <w:rsid w:val="008523B4"/>
    <w:rsid w:val="00852576"/>
    <w:rsid w:val="00852717"/>
    <w:rsid w:val="008529B9"/>
    <w:rsid w:val="0085324B"/>
    <w:rsid w:val="00853DB9"/>
    <w:rsid w:val="008540EE"/>
    <w:rsid w:val="008542D9"/>
    <w:rsid w:val="00854582"/>
    <w:rsid w:val="00854F48"/>
    <w:rsid w:val="00855350"/>
    <w:rsid w:val="008556F5"/>
    <w:rsid w:val="00855715"/>
    <w:rsid w:val="008559DA"/>
    <w:rsid w:val="0085618D"/>
    <w:rsid w:val="0085658B"/>
    <w:rsid w:val="00856947"/>
    <w:rsid w:val="00856E1B"/>
    <w:rsid w:val="0085745E"/>
    <w:rsid w:val="00857694"/>
    <w:rsid w:val="00857D5F"/>
    <w:rsid w:val="00857E92"/>
    <w:rsid w:val="00860145"/>
    <w:rsid w:val="00860397"/>
    <w:rsid w:val="00860494"/>
    <w:rsid w:val="00860B0D"/>
    <w:rsid w:val="00860EC1"/>
    <w:rsid w:val="00861B1F"/>
    <w:rsid w:val="00861B2A"/>
    <w:rsid w:val="00861B59"/>
    <w:rsid w:val="008624E9"/>
    <w:rsid w:val="00862955"/>
    <w:rsid w:val="00862ABF"/>
    <w:rsid w:val="008631A2"/>
    <w:rsid w:val="00863EA5"/>
    <w:rsid w:val="00864293"/>
    <w:rsid w:val="00864328"/>
    <w:rsid w:val="008645FD"/>
    <w:rsid w:val="00864B7A"/>
    <w:rsid w:val="00864C32"/>
    <w:rsid w:val="00864CE9"/>
    <w:rsid w:val="00864EAB"/>
    <w:rsid w:val="00864EAC"/>
    <w:rsid w:val="00864FFF"/>
    <w:rsid w:val="0086532F"/>
    <w:rsid w:val="008654A3"/>
    <w:rsid w:val="00865C3B"/>
    <w:rsid w:val="00865FF7"/>
    <w:rsid w:val="008660CC"/>
    <w:rsid w:val="00866680"/>
    <w:rsid w:val="00866A92"/>
    <w:rsid w:val="00867916"/>
    <w:rsid w:val="00870101"/>
    <w:rsid w:val="008706B3"/>
    <w:rsid w:val="00870A43"/>
    <w:rsid w:val="00870F7E"/>
    <w:rsid w:val="008717C1"/>
    <w:rsid w:val="00871838"/>
    <w:rsid w:val="008722C4"/>
    <w:rsid w:val="00872637"/>
    <w:rsid w:val="0087266E"/>
    <w:rsid w:val="008726B0"/>
    <w:rsid w:val="0087324D"/>
    <w:rsid w:val="008732A7"/>
    <w:rsid w:val="00873A33"/>
    <w:rsid w:val="00873AAD"/>
    <w:rsid w:val="008740A8"/>
    <w:rsid w:val="00874A47"/>
    <w:rsid w:val="00874D32"/>
    <w:rsid w:val="0087539E"/>
    <w:rsid w:val="00875545"/>
    <w:rsid w:val="0087554D"/>
    <w:rsid w:val="008756C1"/>
    <w:rsid w:val="00875E9A"/>
    <w:rsid w:val="008762E5"/>
    <w:rsid w:val="0087645F"/>
    <w:rsid w:val="00876E3F"/>
    <w:rsid w:val="00877218"/>
    <w:rsid w:val="00877532"/>
    <w:rsid w:val="008779B3"/>
    <w:rsid w:val="008779CD"/>
    <w:rsid w:val="00880262"/>
    <w:rsid w:val="008804B2"/>
    <w:rsid w:val="00881462"/>
    <w:rsid w:val="00881571"/>
    <w:rsid w:val="008816D5"/>
    <w:rsid w:val="00881877"/>
    <w:rsid w:val="0088219A"/>
    <w:rsid w:val="00882E21"/>
    <w:rsid w:val="008837EB"/>
    <w:rsid w:val="0088391D"/>
    <w:rsid w:val="008849DA"/>
    <w:rsid w:val="008850A7"/>
    <w:rsid w:val="00885324"/>
    <w:rsid w:val="00885A53"/>
    <w:rsid w:val="00885E30"/>
    <w:rsid w:val="008868D2"/>
    <w:rsid w:val="00886942"/>
    <w:rsid w:val="00886969"/>
    <w:rsid w:val="0088712A"/>
    <w:rsid w:val="0088776E"/>
    <w:rsid w:val="00887ADB"/>
    <w:rsid w:val="00890200"/>
    <w:rsid w:val="00890AD8"/>
    <w:rsid w:val="00890D98"/>
    <w:rsid w:val="00891531"/>
    <w:rsid w:val="00891A2E"/>
    <w:rsid w:val="00892125"/>
    <w:rsid w:val="008924B1"/>
    <w:rsid w:val="00892735"/>
    <w:rsid w:val="00892A30"/>
    <w:rsid w:val="00892A87"/>
    <w:rsid w:val="00892C33"/>
    <w:rsid w:val="00892CBE"/>
    <w:rsid w:val="008930E4"/>
    <w:rsid w:val="008935C9"/>
    <w:rsid w:val="0089363A"/>
    <w:rsid w:val="008937C9"/>
    <w:rsid w:val="00893822"/>
    <w:rsid w:val="008939C5"/>
    <w:rsid w:val="00893B6A"/>
    <w:rsid w:val="00893BCE"/>
    <w:rsid w:val="00893C57"/>
    <w:rsid w:val="00893E32"/>
    <w:rsid w:val="00894A16"/>
    <w:rsid w:val="00894C15"/>
    <w:rsid w:val="00894F6E"/>
    <w:rsid w:val="00895094"/>
    <w:rsid w:val="00895C1D"/>
    <w:rsid w:val="00895E4E"/>
    <w:rsid w:val="00896ADE"/>
    <w:rsid w:val="00896B0C"/>
    <w:rsid w:val="00896F6E"/>
    <w:rsid w:val="0089769F"/>
    <w:rsid w:val="00897719"/>
    <w:rsid w:val="00897BAE"/>
    <w:rsid w:val="00897F35"/>
    <w:rsid w:val="008A0585"/>
    <w:rsid w:val="008A0843"/>
    <w:rsid w:val="008A0D05"/>
    <w:rsid w:val="008A11EF"/>
    <w:rsid w:val="008A132F"/>
    <w:rsid w:val="008A15E8"/>
    <w:rsid w:val="008A1B35"/>
    <w:rsid w:val="008A2736"/>
    <w:rsid w:val="008A3170"/>
    <w:rsid w:val="008A320B"/>
    <w:rsid w:val="008A38E7"/>
    <w:rsid w:val="008A3902"/>
    <w:rsid w:val="008A3ACB"/>
    <w:rsid w:val="008A3B60"/>
    <w:rsid w:val="008A4551"/>
    <w:rsid w:val="008A4D63"/>
    <w:rsid w:val="008A4ED6"/>
    <w:rsid w:val="008A4F4F"/>
    <w:rsid w:val="008A4FE1"/>
    <w:rsid w:val="008A53D4"/>
    <w:rsid w:val="008A60EB"/>
    <w:rsid w:val="008A69F3"/>
    <w:rsid w:val="008A70DF"/>
    <w:rsid w:val="008A7B95"/>
    <w:rsid w:val="008A7BD1"/>
    <w:rsid w:val="008B0286"/>
    <w:rsid w:val="008B0979"/>
    <w:rsid w:val="008B1317"/>
    <w:rsid w:val="008B1A2F"/>
    <w:rsid w:val="008B1B3A"/>
    <w:rsid w:val="008B1E9D"/>
    <w:rsid w:val="008B1EAF"/>
    <w:rsid w:val="008B25DD"/>
    <w:rsid w:val="008B28B1"/>
    <w:rsid w:val="008B2A4D"/>
    <w:rsid w:val="008B2C1B"/>
    <w:rsid w:val="008B2C7A"/>
    <w:rsid w:val="008B32E4"/>
    <w:rsid w:val="008B3387"/>
    <w:rsid w:val="008B3734"/>
    <w:rsid w:val="008B3974"/>
    <w:rsid w:val="008B3C9A"/>
    <w:rsid w:val="008B419B"/>
    <w:rsid w:val="008B4420"/>
    <w:rsid w:val="008B4610"/>
    <w:rsid w:val="008B4B99"/>
    <w:rsid w:val="008B4C2B"/>
    <w:rsid w:val="008B4C93"/>
    <w:rsid w:val="008B4E99"/>
    <w:rsid w:val="008B5164"/>
    <w:rsid w:val="008B5658"/>
    <w:rsid w:val="008B6B92"/>
    <w:rsid w:val="008B7394"/>
    <w:rsid w:val="008B75DD"/>
    <w:rsid w:val="008C014C"/>
    <w:rsid w:val="008C02A6"/>
    <w:rsid w:val="008C0480"/>
    <w:rsid w:val="008C0CDA"/>
    <w:rsid w:val="008C1895"/>
    <w:rsid w:val="008C1E66"/>
    <w:rsid w:val="008C23B2"/>
    <w:rsid w:val="008C2455"/>
    <w:rsid w:val="008C2ABF"/>
    <w:rsid w:val="008C4884"/>
    <w:rsid w:val="008C4A51"/>
    <w:rsid w:val="008C4B03"/>
    <w:rsid w:val="008C593D"/>
    <w:rsid w:val="008C5C52"/>
    <w:rsid w:val="008C5D3A"/>
    <w:rsid w:val="008C6173"/>
    <w:rsid w:val="008C631B"/>
    <w:rsid w:val="008C646D"/>
    <w:rsid w:val="008C785E"/>
    <w:rsid w:val="008C7977"/>
    <w:rsid w:val="008C7A36"/>
    <w:rsid w:val="008D0214"/>
    <w:rsid w:val="008D0DF0"/>
    <w:rsid w:val="008D145A"/>
    <w:rsid w:val="008D1767"/>
    <w:rsid w:val="008D2029"/>
    <w:rsid w:val="008D21FD"/>
    <w:rsid w:val="008D23FD"/>
    <w:rsid w:val="008D285A"/>
    <w:rsid w:val="008D3C83"/>
    <w:rsid w:val="008D45AE"/>
    <w:rsid w:val="008D4686"/>
    <w:rsid w:val="008D46CE"/>
    <w:rsid w:val="008D4BC4"/>
    <w:rsid w:val="008D4FCD"/>
    <w:rsid w:val="008D50A0"/>
    <w:rsid w:val="008D5673"/>
    <w:rsid w:val="008D5674"/>
    <w:rsid w:val="008D6D19"/>
    <w:rsid w:val="008D78F1"/>
    <w:rsid w:val="008D7A2F"/>
    <w:rsid w:val="008D7A47"/>
    <w:rsid w:val="008E008E"/>
    <w:rsid w:val="008E0556"/>
    <w:rsid w:val="008E0712"/>
    <w:rsid w:val="008E07F6"/>
    <w:rsid w:val="008E0ED5"/>
    <w:rsid w:val="008E0FDE"/>
    <w:rsid w:val="008E1581"/>
    <w:rsid w:val="008E1607"/>
    <w:rsid w:val="008E175D"/>
    <w:rsid w:val="008E179D"/>
    <w:rsid w:val="008E1A8E"/>
    <w:rsid w:val="008E1B6B"/>
    <w:rsid w:val="008E1D09"/>
    <w:rsid w:val="008E2022"/>
    <w:rsid w:val="008E20BE"/>
    <w:rsid w:val="008E2AE5"/>
    <w:rsid w:val="008E2E02"/>
    <w:rsid w:val="008E369C"/>
    <w:rsid w:val="008E4084"/>
    <w:rsid w:val="008E4204"/>
    <w:rsid w:val="008E4669"/>
    <w:rsid w:val="008E4961"/>
    <w:rsid w:val="008E552A"/>
    <w:rsid w:val="008E5CA9"/>
    <w:rsid w:val="008E6593"/>
    <w:rsid w:val="008E6FEA"/>
    <w:rsid w:val="008E791E"/>
    <w:rsid w:val="008F07CB"/>
    <w:rsid w:val="008F0A8B"/>
    <w:rsid w:val="008F0FB3"/>
    <w:rsid w:val="008F1304"/>
    <w:rsid w:val="008F1CC0"/>
    <w:rsid w:val="008F2A39"/>
    <w:rsid w:val="008F3C00"/>
    <w:rsid w:val="008F3EF1"/>
    <w:rsid w:val="008F465C"/>
    <w:rsid w:val="008F47A3"/>
    <w:rsid w:val="008F483E"/>
    <w:rsid w:val="008F493D"/>
    <w:rsid w:val="008F49A3"/>
    <w:rsid w:val="008F4B5F"/>
    <w:rsid w:val="008F4C19"/>
    <w:rsid w:val="008F503B"/>
    <w:rsid w:val="008F539B"/>
    <w:rsid w:val="008F580E"/>
    <w:rsid w:val="008F5E92"/>
    <w:rsid w:val="008F63EA"/>
    <w:rsid w:val="008F646A"/>
    <w:rsid w:val="008F650D"/>
    <w:rsid w:val="008F6DFC"/>
    <w:rsid w:val="008F70E7"/>
    <w:rsid w:val="008F71D6"/>
    <w:rsid w:val="008F75E2"/>
    <w:rsid w:val="008F795A"/>
    <w:rsid w:val="008F7B73"/>
    <w:rsid w:val="0090017F"/>
    <w:rsid w:val="00900416"/>
    <w:rsid w:val="009009E3"/>
    <w:rsid w:val="00900BB2"/>
    <w:rsid w:val="009011AC"/>
    <w:rsid w:val="00901742"/>
    <w:rsid w:val="0090191A"/>
    <w:rsid w:val="00901B62"/>
    <w:rsid w:val="00901B6D"/>
    <w:rsid w:val="00901DAC"/>
    <w:rsid w:val="0090230B"/>
    <w:rsid w:val="0090275E"/>
    <w:rsid w:val="0090296A"/>
    <w:rsid w:val="00902A5A"/>
    <w:rsid w:val="00902FB4"/>
    <w:rsid w:val="00903175"/>
    <w:rsid w:val="00903F77"/>
    <w:rsid w:val="009040B0"/>
    <w:rsid w:val="00904156"/>
    <w:rsid w:val="00904BC6"/>
    <w:rsid w:val="00904F0D"/>
    <w:rsid w:val="009060B1"/>
    <w:rsid w:val="009065FD"/>
    <w:rsid w:val="00907734"/>
    <w:rsid w:val="00907B50"/>
    <w:rsid w:val="00907C54"/>
    <w:rsid w:val="00910A3D"/>
    <w:rsid w:val="00910EC6"/>
    <w:rsid w:val="009117E3"/>
    <w:rsid w:val="009121B7"/>
    <w:rsid w:val="00912A28"/>
    <w:rsid w:val="00912A59"/>
    <w:rsid w:val="00912AA6"/>
    <w:rsid w:val="00913714"/>
    <w:rsid w:val="00913926"/>
    <w:rsid w:val="009139FD"/>
    <w:rsid w:val="00913A01"/>
    <w:rsid w:val="00913A21"/>
    <w:rsid w:val="009146F6"/>
    <w:rsid w:val="00914743"/>
    <w:rsid w:val="009159FE"/>
    <w:rsid w:val="0091720D"/>
    <w:rsid w:val="009176CD"/>
    <w:rsid w:val="00917A47"/>
    <w:rsid w:val="00917F00"/>
    <w:rsid w:val="009200A3"/>
    <w:rsid w:val="009206E5"/>
    <w:rsid w:val="009214F6"/>
    <w:rsid w:val="009217CA"/>
    <w:rsid w:val="009218A4"/>
    <w:rsid w:val="009219F6"/>
    <w:rsid w:val="00921CE7"/>
    <w:rsid w:val="00921FC8"/>
    <w:rsid w:val="00922A35"/>
    <w:rsid w:val="00922B17"/>
    <w:rsid w:val="00922D88"/>
    <w:rsid w:val="0092367A"/>
    <w:rsid w:val="00923959"/>
    <w:rsid w:val="00924591"/>
    <w:rsid w:val="009246BE"/>
    <w:rsid w:val="00924786"/>
    <w:rsid w:val="0092482B"/>
    <w:rsid w:val="00924E3E"/>
    <w:rsid w:val="009253B1"/>
    <w:rsid w:val="00925588"/>
    <w:rsid w:val="009256C8"/>
    <w:rsid w:val="0092585E"/>
    <w:rsid w:val="00925D78"/>
    <w:rsid w:val="00925E0B"/>
    <w:rsid w:val="00925ECE"/>
    <w:rsid w:val="00925F30"/>
    <w:rsid w:val="009261B1"/>
    <w:rsid w:val="00926711"/>
    <w:rsid w:val="00926C13"/>
    <w:rsid w:val="00926EBB"/>
    <w:rsid w:val="009300DE"/>
    <w:rsid w:val="009303A6"/>
    <w:rsid w:val="00930D15"/>
    <w:rsid w:val="00931071"/>
    <w:rsid w:val="0093111D"/>
    <w:rsid w:val="00931375"/>
    <w:rsid w:val="009313FD"/>
    <w:rsid w:val="00931654"/>
    <w:rsid w:val="00931899"/>
    <w:rsid w:val="00932F75"/>
    <w:rsid w:val="0093351D"/>
    <w:rsid w:val="00933535"/>
    <w:rsid w:val="009337B9"/>
    <w:rsid w:val="00933804"/>
    <w:rsid w:val="009340E5"/>
    <w:rsid w:val="00934130"/>
    <w:rsid w:val="00934268"/>
    <w:rsid w:val="009342EC"/>
    <w:rsid w:val="0093499B"/>
    <w:rsid w:val="009349D8"/>
    <w:rsid w:val="00934C28"/>
    <w:rsid w:val="00934CAB"/>
    <w:rsid w:val="0093506D"/>
    <w:rsid w:val="009351EB"/>
    <w:rsid w:val="00935F67"/>
    <w:rsid w:val="0093658E"/>
    <w:rsid w:val="009371AD"/>
    <w:rsid w:val="00937BBD"/>
    <w:rsid w:val="00937ECF"/>
    <w:rsid w:val="0094030F"/>
    <w:rsid w:val="00940813"/>
    <w:rsid w:val="00940D21"/>
    <w:rsid w:val="00940F5F"/>
    <w:rsid w:val="0094133E"/>
    <w:rsid w:val="009416E4"/>
    <w:rsid w:val="0094199E"/>
    <w:rsid w:val="00941CD7"/>
    <w:rsid w:val="00941FEC"/>
    <w:rsid w:val="00942198"/>
    <w:rsid w:val="00942822"/>
    <w:rsid w:val="00942C64"/>
    <w:rsid w:val="0094329C"/>
    <w:rsid w:val="00943382"/>
    <w:rsid w:val="00944655"/>
    <w:rsid w:val="009448DB"/>
    <w:rsid w:val="0094531E"/>
    <w:rsid w:val="00945909"/>
    <w:rsid w:val="00945D34"/>
    <w:rsid w:val="0094642E"/>
    <w:rsid w:val="00947255"/>
    <w:rsid w:val="00947877"/>
    <w:rsid w:val="00947A85"/>
    <w:rsid w:val="00947B53"/>
    <w:rsid w:val="009508C8"/>
    <w:rsid w:val="00950B39"/>
    <w:rsid w:val="00950C9C"/>
    <w:rsid w:val="00950F0A"/>
    <w:rsid w:val="00951CBB"/>
    <w:rsid w:val="00952345"/>
    <w:rsid w:val="00952E26"/>
    <w:rsid w:val="0095311E"/>
    <w:rsid w:val="00954E77"/>
    <w:rsid w:val="009550B4"/>
    <w:rsid w:val="00955D9E"/>
    <w:rsid w:val="009560DE"/>
    <w:rsid w:val="0095614E"/>
    <w:rsid w:val="009561A2"/>
    <w:rsid w:val="009563BD"/>
    <w:rsid w:val="00956413"/>
    <w:rsid w:val="009565F5"/>
    <w:rsid w:val="00956A10"/>
    <w:rsid w:val="00956C21"/>
    <w:rsid w:val="00956F6B"/>
    <w:rsid w:val="0095705D"/>
    <w:rsid w:val="00957D48"/>
    <w:rsid w:val="00957F63"/>
    <w:rsid w:val="009605D3"/>
    <w:rsid w:val="00960CB8"/>
    <w:rsid w:val="00961484"/>
    <w:rsid w:val="00961CD5"/>
    <w:rsid w:val="00961F3E"/>
    <w:rsid w:val="0096256E"/>
    <w:rsid w:val="00962634"/>
    <w:rsid w:val="009626C9"/>
    <w:rsid w:val="009631D8"/>
    <w:rsid w:val="00963F7B"/>
    <w:rsid w:val="009644F5"/>
    <w:rsid w:val="009645BA"/>
    <w:rsid w:val="00964888"/>
    <w:rsid w:val="00966CFF"/>
    <w:rsid w:val="009705F7"/>
    <w:rsid w:val="00970681"/>
    <w:rsid w:val="009707F7"/>
    <w:rsid w:val="00970B4A"/>
    <w:rsid w:val="009715F3"/>
    <w:rsid w:val="00971790"/>
    <w:rsid w:val="00971BCD"/>
    <w:rsid w:val="00971D34"/>
    <w:rsid w:val="00971E49"/>
    <w:rsid w:val="00971ECB"/>
    <w:rsid w:val="00972CF1"/>
    <w:rsid w:val="00973053"/>
    <w:rsid w:val="0097376D"/>
    <w:rsid w:val="00973DB2"/>
    <w:rsid w:val="00974477"/>
    <w:rsid w:val="0097459F"/>
    <w:rsid w:val="0097463F"/>
    <w:rsid w:val="00974B56"/>
    <w:rsid w:val="00974CD2"/>
    <w:rsid w:val="00974F19"/>
    <w:rsid w:val="00975184"/>
    <w:rsid w:val="009751BA"/>
    <w:rsid w:val="0097561D"/>
    <w:rsid w:val="00975F5F"/>
    <w:rsid w:val="0097649C"/>
    <w:rsid w:val="0097656E"/>
    <w:rsid w:val="00976B42"/>
    <w:rsid w:val="00976DEA"/>
    <w:rsid w:val="00976F46"/>
    <w:rsid w:val="00977749"/>
    <w:rsid w:val="00977A41"/>
    <w:rsid w:val="00977C6B"/>
    <w:rsid w:val="00980010"/>
    <w:rsid w:val="0098024F"/>
    <w:rsid w:val="00980CF0"/>
    <w:rsid w:val="00981A9D"/>
    <w:rsid w:val="0098223F"/>
    <w:rsid w:val="00982D7D"/>
    <w:rsid w:val="009830DE"/>
    <w:rsid w:val="009830E6"/>
    <w:rsid w:val="00983976"/>
    <w:rsid w:val="00983AD4"/>
    <w:rsid w:val="00983EE1"/>
    <w:rsid w:val="0098429B"/>
    <w:rsid w:val="009845E8"/>
    <w:rsid w:val="00984C3D"/>
    <w:rsid w:val="00984FD2"/>
    <w:rsid w:val="00985314"/>
    <w:rsid w:val="00985789"/>
    <w:rsid w:val="0098599E"/>
    <w:rsid w:val="00985EAF"/>
    <w:rsid w:val="00985FD7"/>
    <w:rsid w:val="009864A3"/>
    <w:rsid w:val="00987792"/>
    <w:rsid w:val="0098799B"/>
    <w:rsid w:val="00987AA6"/>
    <w:rsid w:val="00987D0B"/>
    <w:rsid w:val="00990020"/>
    <w:rsid w:val="009906EA"/>
    <w:rsid w:val="00990A9C"/>
    <w:rsid w:val="00990ACC"/>
    <w:rsid w:val="00990C2B"/>
    <w:rsid w:val="0099128F"/>
    <w:rsid w:val="009918EB"/>
    <w:rsid w:val="00991FAF"/>
    <w:rsid w:val="0099275F"/>
    <w:rsid w:val="00992CFC"/>
    <w:rsid w:val="00992E86"/>
    <w:rsid w:val="0099320D"/>
    <w:rsid w:val="0099344D"/>
    <w:rsid w:val="00993450"/>
    <w:rsid w:val="0099414C"/>
    <w:rsid w:val="00994703"/>
    <w:rsid w:val="00995C4D"/>
    <w:rsid w:val="00995F60"/>
    <w:rsid w:val="0099644B"/>
    <w:rsid w:val="009971B4"/>
    <w:rsid w:val="009973CA"/>
    <w:rsid w:val="009975AF"/>
    <w:rsid w:val="009979C0"/>
    <w:rsid w:val="009A0423"/>
    <w:rsid w:val="009A0B91"/>
    <w:rsid w:val="009A0E24"/>
    <w:rsid w:val="009A12D7"/>
    <w:rsid w:val="009A1739"/>
    <w:rsid w:val="009A17D3"/>
    <w:rsid w:val="009A1803"/>
    <w:rsid w:val="009A1C2D"/>
    <w:rsid w:val="009A230C"/>
    <w:rsid w:val="009A266C"/>
    <w:rsid w:val="009A3140"/>
    <w:rsid w:val="009A32D4"/>
    <w:rsid w:val="009A3AF1"/>
    <w:rsid w:val="009A45B7"/>
    <w:rsid w:val="009A4735"/>
    <w:rsid w:val="009A4E9B"/>
    <w:rsid w:val="009A5747"/>
    <w:rsid w:val="009A587C"/>
    <w:rsid w:val="009A59C7"/>
    <w:rsid w:val="009A5B98"/>
    <w:rsid w:val="009A5BD5"/>
    <w:rsid w:val="009A5CE9"/>
    <w:rsid w:val="009A63BC"/>
    <w:rsid w:val="009A66F7"/>
    <w:rsid w:val="009A6B7E"/>
    <w:rsid w:val="009A727E"/>
    <w:rsid w:val="009A74AD"/>
    <w:rsid w:val="009B06D2"/>
    <w:rsid w:val="009B0965"/>
    <w:rsid w:val="009B0FFA"/>
    <w:rsid w:val="009B120E"/>
    <w:rsid w:val="009B1233"/>
    <w:rsid w:val="009B1381"/>
    <w:rsid w:val="009B1A5A"/>
    <w:rsid w:val="009B1BE9"/>
    <w:rsid w:val="009B1F64"/>
    <w:rsid w:val="009B2879"/>
    <w:rsid w:val="009B3611"/>
    <w:rsid w:val="009B3A8D"/>
    <w:rsid w:val="009B3E4E"/>
    <w:rsid w:val="009B49D0"/>
    <w:rsid w:val="009B4D71"/>
    <w:rsid w:val="009B4F86"/>
    <w:rsid w:val="009B5397"/>
    <w:rsid w:val="009B6089"/>
    <w:rsid w:val="009B6190"/>
    <w:rsid w:val="009B6954"/>
    <w:rsid w:val="009B7054"/>
    <w:rsid w:val="009B7816"/>
    <w:rsid w:val="009B785C"/>
    <w:rsid w:val="009B7ECB"/>
    <w:rsid w:val="009C0095"/>
    <w:rsid w:val="009C062A"/>
    <w:rsid w:val="009C06D8"/>
    <w:rsid w:val="009C08A9"/>
    <w:rsid w:val="009C0A36"/>
    <w:rsid w:val="009C0C3C"/>
    <w:rsid w:val="009C11B0"/>
    <w:rsid w:val="009C1511"/>
    <w:rsid w:val="009C1546"/>
    <w:rsid w:val="009C1E10"/>
    <w:rsid w:val="009C2082"/>
    <w:rsid w:val="009C22D7"/>
    <w:rsid w:val="009C2515"/>
    <w:rsid w:val="009C2545"/>
    <w:rsid w:val="009C2DBA"/>
    <w:rsid w:val="009C2FFD"/>
    <w:rsid w:val="009C303F"/>
    <w:rsid w:val="009C38FC"/>
    <w:rsid w:val="009C427D"/>
    <w:rsid w:val="009C43E9"/>
    <w:rsid w:val="009C530A"/>
    <w:rsid w:val="009C570A"/>
    <w:rsid w:val="009C5E40"/>
    <w:rsid w:val="009C5F01"/>
    <w:rsid w:val="009C623A"/>
    <w:rsid w:val="009C7164"/>
    <w:rsid w:val="009C791B"/>
    <w:rsid w:val="009C7F7D"/>
    <w:rsid w:val="009D002C"/>
    <w:rsid w:val="009D0203"/>
    <w:rsid w:val="009D03C3"/>
    <w:rsid w:val="009D09F8"/>
    <w:rsid w:val="009D0DEC"/>
    <w:rsid w:val="009D1265"/>
    <w:rsid w:val="009D14CC"/>
    <w:rsid w:val="009D2BCC"/>
    <w:rsid w:val="009D2D01"/>
    <w:rsid w:val="009D2ED9"/>
    <w:rsid w:val="009D31A2"/>
    <w:rsid w:val="009D3568"/>
    <w:rsid w:val="009D3870"/>
    <w:rsid w:val="009D4223"/>
    <w:rsid w:val="009D47B0"/>
    <w:rsid w:val="009D47CB"/>
    <w:rsid w:val="009D4E34"/>
    <w:rsid w:val="009D4FEC"/>
    <w:rsid w:val="009D5553"/>
    <w:rsid w:val="009D57A4"/>
    <w:rsid w:val="009D5F47"/>
    <w:rsid w:val="009D7086"/>
    <w:rsid w:val="009D75C9"/>
    <w:rsid w:val="009D7C68"/>
    <w:rsid w:val="009E003F"/>
    <w:rsid w:val="009E04BB"/>
    <w:rsid w:val="009E05D8"/>
    <w:rsid w:val="009E08D2"/>
    <w:rsid w:val="009E16FB"/>
    <w:rsid w:val="009E1740"/>
    <w:rsid w:val="009E18C1"/>
    <w:rsid w:val="009E2440"/>
    <w:rsid w:val="009E2997"/>
    <w:rsid w:val="009E2CB1"/>
    <w:rsid w:val="009E3663"/>
    <w:rsid w:val="009E3D25"/>
    <w:rsid w:val="009E3E3C"/>
    <w:rsid w:val="009E472E"/>
    <w:rsid w:val="009E5AC9"/>
    <w:rsid w:val="009E5B4D"/>
    <w:rsid w:val="009E5B51"/>
    <w:rsid w:val="009E5E24"/>
    <w:rsid w:val="009E671B"/>
    <w:rsid w:val="009E6AB3"/>
    <w:rsid w:val="009E709D"/>
    <w:rsid w:val="009E72EE"/>
    <w:rsid w:val="009E7AF6"/>
    <w:rsid w:val="009E7C5B"/>
    <w:rsid w:val="009E7CE5"/>
    <w:rsid w:val="009E7E25"/>
    <w:rsid w:val="009F0116"/>
    <w:rsid w:val="009F0E23"/>
    <w:rsid w:val="009F10E5"/>
    <w:rsid w:val="009F1620"/>
    <w:rsid w:val="009F22FF"/>
    <w:rsid w:val="009F2767"/>
    <w:rsid w:val="009F287F"/>
    <w:rsid w:val="009F29AC"/>
    <w:rsid w:val="009F2AE6"/>
    <w:rsid w:val="009F2B3A"/>
    <w:rsid w:val="009F2C03"/>
    <w:rsid w:val="009F2CB4"/>
    <w:rsid w:val="009F3FB0"/>
    <w:rsid w:val="009F404E"/>
    <w:rsid w:val="009F41B7"/>
    <w:rsid w:val="009F4630"/>
    <w:rsid w:val="009F49DC"/>
    <w:rsid w:val="009F4C9C"/>
    <w:rsid w:val="009F4F5B"/>
    <w:rsid w:val="009F6220"/>
    <w:rsid w:val="009F65F9"/>
    <w:rsid w:val="009F667E"/>
    <w:rsid w:val="009F6FCE"/>
    <w:rsid w:val="009F726D"/>
    <w:rsid w:val="009F7870"/>
    <w:rsid w:val="009F7AB9"/>
    <w:rsid w:val="00A0000E"/>
    <w:rsid w:val="00A00924"/>
    <w:rsid w:val="00A01352"/>
    <w:rsid w:val="00A0152C"/>
    <w:rsid w:val="00A01D3D"/>
    <w:rsid w:val="00A01F9D"/>
    <w:rsid w:val="00A02AC8"/>
    <w:rsid w:val="00A034E0"/>
    <w:rsid w:val="00A0398B"/>
    <w:rsid w:val="00A03E64"/>
    <w:rsid w:val="00A041E2"/>
    <w:rsid w:val="00A045F3"/>
    <w:rsid w:val="00A04794"/>
    <w:rsid w:val="00A05C53"/>
    <w:rsid w:val="00A0674B"/>
    <w:rsid w:val="00A06908"/>
    <w:rsid w:val="00A06E6A"/>
    <w:rsid w:val="00A06EB9"/>
    <w:rsid w:val="00A0717B"/>
    <w:rsid w:val="00A078FD"/>
    <w:rsid w:val="00A10CA5"/>
    <w:rsid w:val="00A10D5E"/>
    <w:rsid w:val="00A10D7F"/>
    <w:rsid w:val="00A10E9C"/>
    <w:rsid w:val="00A1200F"/>
    <w:rsid w:val="00A122D1"/>
    <w:rsid w:val="00A12770"/>
    <w:rsid w:val="00A12C14"/>
    <w:rsid w:val="00A12C7D"/>
    <w:rsid w:val="00A1344A"/>
    <w:rsid w:val="00A13505"/>
    <w:rsid w:val="00A13741"/>
    <w:rsid w:val="00A13939"/>
    <w:rsid w:val="00A13E06"/>
    <w:rsid w:val="00A14086"/>
    <w:rsid w:val="00A1469C"/>
    <w:rsid w:val="00A1469F"/>
    <w:rsid w:val="00A147A4"/>
    <w:rsid w:val="00A14B1A"/>
    <w:rsid w:val="00A14C79"/>
    <w:rsid w:val="00A14F5E"/>
    <w:rsid w:val="00A14FF8"/>
    <w:rsid w:val="00A158FC"/>
    <w:rsid w:val="00A15EC0"/>
    <w:rsid w:val="00A15EEA"/>
    <w:rsid w:val="00A16F1C"/>
    <w:rsid w:val="00A170DA"/>
    <w:rsid w:val="00A1736A"/>
    <w:rsid w:val="00A2013C"/>
    <w:rsid w:val="00A20A5F"/>
    <w:rsid w:val="00A2148F"/>
    <w:rsid w:val="00A21EDA"/>
    <w:rsid w:val="00A21FFF"/>
    <w:rsid w:val="00A22C18"/>
    <w:rsid w:val="00A22DBF"/>
    <w:rsid w:val="00A23019"/>
    <w:rsid w:val="00A2301D"/>
    <w:rsid w:val="00A2304D"/>
    <w:rsid w:val="00A233E3"/>
    <w:rsid w:val="00A2376E"/>
    <w:rsid w:val="00A2402A"/>
    <w:rsid w:val="00A2503A"/>
    <w:rsid w:val="00A257CD"/>
    <w:rsid w:val="00A25862"/>
    <w:rsid w:val="00A258E1"/>
    <w:rsid w:val="00A270DC"/>
    <w:rsid w:val="00A27217"/>
    <w:rsid w:val="00A276D2"/>
    <w:rsid w:val="00A27C1D"/>
    <w:rsid w:val="00A30641"/>
    <w:rsid w:val="00A30D90"/>
    <w:rsid w:val="00A30E4B"/>
    <w:rsid w:val="00A30E66"/>
    <w:rsid w:val="00A31263"/>
    <w:rsid w:val="00A314EF"/>
    <w:rsid w:val="00A321ED"/>
    <w:rsid w:val="00A32920"/>
    <w:rsid w:val="00A32D62"/>
    <w:rsid w:val="00A32E7D"/>
    <w:rsid w:val="00A32FBA"/>
    <w:rsid w:val="00A32FDD"/>
    <w:rsid w:val="00A33125"/>
    <w:rsid w:val="00A33A52"/>
    <w:rsid w:val="00A33E04"/>
    <w:rsid w:val="00A34102"/>
    <w:rsid w:val="00A34562"/>
    <w:rsid w:val="00A34CBB"/>
    <w:rsid w:val="00A34DE0"/>
    <w:rsid w:val="00A350E5"/>
    <w:rsid w:val="00A3519C"/>
    <w:rsid w:val="00A35C47"/>
    <w:rsid w:val="00A375C3"/>
    <w:rsid w:val="00A37B55"/>
    <w:rsid w:val="00A40222"/>
    <w:rsid w:val="00A4028C"/>
    <w:rsid w:val="00A405E9"/>
    <w:rsid w:val="00A410F1"/>
    <w:rsid w:val="00A41A8F"/>
    <w:rsid w:val="00A41D85"/>
    <w:rsid w:val="00A42179"/>
    <w:rsid w:val="00A424A6"/>
    <w:rsid w:val="00A427BB"/>
    <w:rsid w:val="00A4299B"/>
    <w:rsid w:val="00A42A6C"/>
    <w:rsid w:val="00A439D8"/>
    <w:rsid w:val="00A43A8B"/>
    <w:rsid w:val="00A43C87"/>
    <w:rsid w:val="00A43FD4"/>
    <w:rsid w:val="00A444DF"/>
    <w:rsid w:val="00A44557"/>
    <w:rsid w:val="00A44836"/>
    <w:rsid w:val="00A4510D"/>
    <w:rsid w:val="00A45762"/>
    <w:rsid w:val="00A45E9A"/>
    <w:rsid w:val="00A46436"/>
    <w:rsid w:val="00A46A63"/>
    <w:rsid w:val="00A47471"/>
    <w:rsid w:val="00A477D2"/>
    <w:rsid w:val="00A47843"/>
    <w:rsid w:val="00A50327"/>
    <w:rsid w:val="00A50639"/>
    <w:rsid w:val="00A5090C"/>
    <w:rsid w:val="00A509F7"/>
    <w:rsid w:val="00A5113D"/>
    <w:rsid w:val="00A51169"/>
    <w:rsid w:val="00A517C6"/>
    <w:rsid w:val="00A519C8"/>
    <w:rsid w:val="00A51B24"/>
    <w:rsid w:val="00A51B60"/>
    <w:rsid w:val="00A51CC2"/>
    <w:rsid w:val="00A51D68"/>
    <w:rsid w:val="00A521C5"/>
    <w:rsid w:val="00A521CE"/>
    <w:rsid w:val="00A524C1"/>
    <w:rsid w:val="00A5270A"/>
    <w:rsid w:val="00A52E82"/>
    <w:rsid w:val="00A52FFD"/>
    <w:rsid w:val="00A53096"/>
    <w:rsid w:val="00A53633"/>
    <w:rsid w:val="00A53717"/>
    <w:rsid w:val="00A53768"/>
    <w:rsid w:val="00A53B4B"/>
    <w:rsid w:val="00A53E9A"/>
    <w:rsid w:val="00A54736"/>
    <w:rsid w:val="00A54817"/>
    <w:rsid w:val="00A55F4E"/>
    <w:rsid w:val="00A56218"/>
    <w:rsid w:val="00A566E0"/>
    <w:rsid w:val="00A56878"/>
    <w:rsid w:val="00A56879"/>
    <w:rsid w:val="00A568EF"/>
    <w:rsid w:val="00A56BC6"/>
    <w:rsid w:val="00A56BEB"/>
    <w:rsid w:val="00A56C8E"/>
    <w:rsid w:val="00A56DD7"/>
    <w:rsid w:val="00A56E6F"/>
    <w:rsid w:val="00A572D4"/>
    <w:rsid w:val="00A57A7D"/>
    <w:rsid w:val="00A605D9"/>
    <w:rsid w:val="00A60A16"/>
    <w:rsid w:val="00A60B85"/>
    <w:rsid w:val="00A61DEF"/>
    <w:rsid w:val="00A61EA5"/>
    <w:rsid w:val="00A630BF"/>
    <w:rsid w:val="00A633B4"/>
    <w:rsid w:val="00A63798"/>
    <w:rsid w:val="00A639D0"/>
    <w:rsid w:val="00A63BD1"/>
    <w:rsid w:val="00A63CB1"/>
    <w:rsid w:val="00A63E4C"/>
    <w:rsid w:val="00A63EF6"/>
    <w:rsid w:val="00A646A1"/>
    <w:rsid w:val="00A64BA6"/>
    <w:rsid w:val="00A64C88"/>
    <w:rsid w:val="00A64D9C"/>
    <w:rsid w:val="00A65587"/>
    <w:rsid w:val="00A65A01"/>
    <w:rsid w:val="00A660A4"/>
    <w:rsid w:val="00A6619D"/>
    <w:rsid w:val="00A6771C"/>
    <w:rsid w:val="00A67912"/>
    <w:rsid w:val="00A7007E"/>
    <w:rsid w:val="00A70238"/>
    <w:rsid w:val="00A70259"/>
    <w:rsid w:val="00A7044A"/>
    <w:rsid w:val="00A70A16"/>
    <w:rsid w:val="00A70E36"/>
    <w:rsid w:val="00A70E5B"/>
    <w:rsid w:val="00A70F15"/>
    <w:rsid w:val="00A7114D"/>
    <w:rsid w:val="00A71219"/>
    <w:rsid w:val="00A71539"/>
    <w:rsid w:val="00A71658"/>
    <w:rsid w:val="00A71CDF"/>
    <w:rsid w:val="00A71CE0"/>
    <w:rsid w:val="00A71FC1"/>
    <w:rsid w:val="00A723F1"/>
    <w:rsid w:val="00A72D0B"/>
    <w:rsid w:val="00A72F6C"/>
    <w:rsid w:val="00A734A6"/>
    <w:rsid w:val="00A73B40"/>
    <w:rsid w:val="00A743D5"/>
    <w:rsid w:val="00A74651"/>
    <w:rsid w:val="00A74FE6"/>
    <w:rsid w:val="00A75202"/>
    <w:rsid w:val="00A75773"/>
    <w:rsid w:val="00A758FC"/>
    <w:rsid w:val="00A75AB0"/>
    <w:rsid w:val="00A75C51"/>
    <w:rsid w:val="00A762FB"/>
    <w:rsid w:val="00A7675F"/>
    <w:rsid w:val="00A76D14"/>
    <w:rsid w:val="00A776AE"/>
    <w:rsid w:val="00A77875"/>
    <w:rsid w:val="00A778BE"/>
    <w:rsid w:val="00A77BCB"/>
    <w:rsid w:val="00A80037"/>
    <w:rsid w:val="00A80189"/>
    <w:rsid w:val="00A80432"/>
    <w:rsid w:val="00A80607"/>
    <w:rsid w:val="00A80B04"/>
    <w:rsid w:val="00A80F5C"/>
    <w:rsid w:val="00A81B0E"/>
    <w:rsid w:val="00A8207C"/>
    <w:rsid w:val="00A820DC"/>
    <w:rsid w:val="00A8270C"/>
    <w:rsid w:val="00A829C0"/>
    <w:rsid w:val="00A82C96"/>
    <w:rsid w:val="00A82DB0"/>
    <w:rsid w:val="00A82F53"/>
    <w:rsid w:val="00A8307E"/>
    <w:rsid w:val="00A833A8"/>
    <w:rsid w:val="00A83B96"/>
    <w:rsid w:val="00A83DF5"/>
    <w:rsid w:val="00A84737"/>
    <w:rsid w:val="00A8490A"/>
    <w:rsid w:val="00A84B27"/>
    <w:rsid w:val="00A8511F"/>
    <w:rsid w:val="00A8557D"/>
    <w:rsid w:val="00A856AF"/>
    <w:rsid w:val="00A857E6"/>
    <w:rsid w:val="00A85BC0"/>
    <w:rsid w:val="00A85D6B"/>
    <w:rsid w:val="00A85FA8"/>
    <w:rsid w:val="00A86340"/>
    <w:rsid w:val="00A867AB"/>
    <w:rsid w:val="00A86D37"/>
    <w:rsid w:val="00A86F28"/>
    <w:rsid w:val="00A86FEB"/>
    <w:rsid w:val="00A873EA"/>
    <w:rsid w:val="00A87558"/>
    <w:rsid w:val="00A87F8F"/>
    <w:rsid w:val="00A9020B"/>
    <w:rsid w:val="00A90231"/>
    <w:rsid w:val="00A902C8"/>
    <w:rsid w:val="00A91065"/>
    <w:rsid w:val="00A912DF"/>
    <w:rsid w:val="00A91B3D"/>
    <w:rsid w:val="00A91D7D"/>
    <w:rsid w:val="00A92125"/>
    <w:rsid w:val="00A92165"/>
    <w:rsid w:val="00A9272F"/>
    <w:rsid w:val="00A92B06"/>
    <w:rsid w:val="00A92B79"/>
    <w:rsid w:val="00A92F24"/>
    <w:rsid w:val="00A930F8"/>
    <w:rsid w:val="00A9354B"/>
    <w:rsid w:val="00A936BB"/>
    <w:rsid w:val="00A93A52"/>
    <w:rsid w:val="00A93ADA"/>
    <w:rsid w:val="00A93CC9"/>
    <w:rsid w:val="00A944DA"/>
    <w:rsid w:val="00A94CB5"/>
    <w:rsid w:val="00A950E6"/>
    <w:rsid w:val="00A95565"/>
    <w:rsid w:val="00A95692"/>
    <w:rsid w:val="00A95F93"/>
    <w:rsid w:val="00A96D41"/>
    <w:rsid w:val="00A97101"/>
    <w:rsid w:val="00A9758D"/>
    <w:rsid w:val="00A97644"/>
    <w:rsid w:val="00A978DD"/>
    <w:rsid w:val="00AA0580"/>
    <w:rsid w:val="00AA09A6"/>
    <w:rsid w:val="00AA0EC4"/>
    <w:rsid w:val="00AA1293"/>
    <w:rsid w:val="00AA1570"/>
    <w:rsid w:val="00AA1642"/>
    <w:rsid w:val="00AA187B"/>
    <w:rsid w:val="00AA1A58"/>
    <w:rsid w:val="00AA21AE"/>
    <w:rsid w:val="00AA21C9"/>
    <w:rsid w:val="00AA230F"/>
    <w:rsid w:val="00AA282C"/>
    <w:rsid w:val="00AA39F1"/>
    <w:rsid w:val="00AA3E9E"/>
    <w:rsid w:val="00AA4697"/>
    <w:rsid w:val="00AA4889"/>
    <w:rsid w:val="00AA488C"/>
    <w:rsid w:val="00AA4890"/>
    <w:rsid w:val="00AA6A5A"/>
    <w:rsid w:val="00AA7084"/>
    <w:rsid w:val="00AA7197"/>
    <w:rsid w:val="00AB00C5"/>
    <w:rsid w:val="00AB00D7"/>
    <w:rsid w:val="00AB02A7"/>
    <w:rsid w:val="00AB0310"/>
    <w:rsid w:val="00AB05BA"/>
    <w:rsid w:val="00AB06EC"/>
    <w:rsid w:val="00AB08BE"/>
    <w:rsid w:val="00AB08D5"/>
    <w:rsid w:val="00AB0B18"/>
    <w:rsid w:val="00AB0B3D"/>
    <w:rsid w:val="00AB128A"/>
    <w:rsid w:val="00AB1A38"/>
    <w:rsid w:val="00AB1CF1"/>
    <w:rsid w:val="00AB1FB7"/>
    <w:rsid w:val="00AB2362"/>
    <w:rsid w:val="00AB23FD"/>
    <w:rsid w:val="00AB2889"/>
    <w:rsid w:val="00AB2B32"/>
    <w:rsid w:val="00AB2E60"/>
    <w:rsid w:val="00AB2FB8"/>
    <w:rsid w:val="00AB308F"/>
    <w:rsid w:val="00AB3546"/>
    <w:rsid w:val="00AB3575"/>
    <w:rsid w:val="00AB367B"/>
    <w:rsid w:val="00AB3A9E"/>
    <w:rsid w:val="00AB4019"/>
    <w:rsid w:val="00AB492E"/>
    <w:rsid w:val="00AB496B"/>
    <w:rsid w:val="00AB4A61"/>
    <w:rsid w:val="00AB4D45"/>
    <w:rsid w:val="00AB4D66"/>
    <w:rsid w:val="00AB51E3"/>
    <w:rsid w:val="00AB5787"/>
    <w:rsid w:val="00AB624B"/>
    <w:rsid w:val="00AB6DE9"/>
    <w:rsid w:val="00AB70B0"/>
    <w:rsid w:val="00AB744E"/>
    <w:rsid w:val="00AC0240"/>
    <w:rsid w:val="00AC02D5"/>
    <w:rsid w:val="00AC09B5"/>
    <w:rsid w:val="00AC17AA"/>
    <w:rsid w:val="00AC1DD0"/>
    <w:rsid w:val="00AC1FBF"/>
    <w:rsid w:val="00AC2395"/>
    <w:rsid w:val="00AC2EF2"/>
    <w:rsid w:val="00AC303E"/>
    <w:rsid w:val="00AC364A"/>
    <w:rsid w:val="00AC39B5"/>
    <w:rsid w:val="00AC55DF"/>
    <w:rsid w:val="00AC5711"/>
    <w:rsid w:val="00AC5B1F"/>
    <w:rsid w:val="00AC5BDD"/>
    <w:rsid w:val="00AC5F4D"/>
    <w:rsid w:val="00AC63BB"/>
    <w:rsid w:val="00AC6552"/>
    <w:rsid w:val="00AC6656"/>
    <w:rsid w:val="00AC67CA"/>
    <w:rsid w:val="00AC6C2A"/>
    <w:rsid w:val="00AC7730"/>
    <w:rsid w:val="00AD019F"/>
    <w:rsid w:val="00AD0209"/>
    <w:rsid w:val="00AD0240"/>
    <w:rsid w:val="00AD0493"/>
    <w:rsid w:val="00AD06C4"/>
    <w:rsid w:val="00AD0740"/>
    <w:rsid w:val="00AD0764"/>
    <w:rsid w:val="00AD0868"/>
    <w:rsid w:val="00AD0E93"/>
    <w:rsid w:val="00AD13CF"/>
    <w:rsid w:val="00AD16A6"/>
    <w:rsid w:val="00AD1777"/>
    <w:rsid w:val="00AD1E3B"/>
    <w:rsid w:val="00AD1EF8"/>
    <w:rsid w:val="00AD22F9"/>
    <w:rsid w:val="00AD29B3"/>
    <w:rsid w:val="00AD2DF1"/>
    <w:rsid w:val="00AD2E81"/>
    <w:rsid w:val="00AD302F"/>
    <w:rsid w:val="00AD378B"/>
    <w:rsid w:val="00AD3931"/>
    <w:rsid w:val="00AD3E02"/>
    <w:rsid w:val="00AD3F2E"/>
    <w:rsid w:val="00AD40D7"/>
    <w:rsid w:val="00AD4571"/>
    <w:rsid w:val="00AD4DC1"/>
    <w:rsid w:val="00AD4EF2"/>
    <w:rsid w:val="00AD56D9"/>
    <w:rsid w:val="00AD5986"/>
    <w:rsid w:val="00AD5EB5"/>
    <w:rsid w:val="00AD6831"/>
    <w:rsid w:val="00AD6C57"/>
    <w:rsid w:val="00AD6EAB"/>
    <w:rsid w:val="00AD6F1C"/>
    <w:rsid w:val="00AD7341"/>
    <w:rsid w:val="00AD76AA"/>
    <w:rsid w:val="00AD7820"/>
    <w:rsid w:val="00AD7C43"/>
    <w:rsid w:val="00AE050D"/>
    <w:rsid w:val="00AE056F"/>
    <w:rsid w:val="00AE05CB"/>
    <w:rsid w:val="00AE080A"/>
    <w:rsid w:val="00AE0DBB"/>
    <w:rsid w:val="00AE0EDE"/>
    <w:rsid w:val="00AE16A6"/>
    <w:rsid w:val="00AE1A74"/>
    <w:rsid w:val="00AE366E"/>
    <w:rsid w:val="00AE37C5"/>
    <w:rsid w:val="00AE37F4"/>
    <w:rsid w:val="00AE3A9B"/>
    <w:rsid w:val="00AE3B07"/>
    <w:rsid w:val="00AE4580"/>
    <w:rsid w:val="00AE4613"/>
    <w:rsid w:val="00AE4AB5"/>
    <w:rsid w:val="00AE4E3D"/>
    <w:rsid w:val="00AE5088"/>
    <w:rsid w:val="00AE5776"/>
    <w:rsid w:val="00AE5B16"/>
    <w:rsid w:val="00AE5CC8"/>
    <w:rsid w:val="00AE62C2"/>
    <w:rsid w:val="00AE6A55"/>
    <w:rsid w:val="00AE6CAA"/>
    <w:rsid w:val="00AE6CE5"/>
    <w:rsid w:val="00AE6EBC"/>
    <w:rsid w:val="00AE7255"/>
    <w:rsid w:val="00AE78A3"/>
    <w:rsid w:val="00AF039A"/>
    <w:rsid w:val="00AF04CC"/>
    <w:rsid w:val="00AF110D"/>
    <w:rsid w:val="00AF12AC"/>
    <w:rsid w:val="00AF1AD6"/>
    <w:rsid w:val="00AF20BD"/>
    <w:rsid w:val="00AF2C2F"/>
    <w:rsid w:val="00AF311A"/>
    <w:rsid w:val="00AF3402"/>
    <w:rsid w:val="00AF362A"/>
    <w:rsid w:val="00AF3F18"/>
    <w:rsid w:val="00AF4016"/>
    <w:rsid w:val="00AF461C"/>
    <w:rsid w:val="00AF5158"/>
    <w:rsid w:val="00AF5B62"/>
    <w:rsid w:val="00AF5BAD"/>
    <w:rsid w:val="00AF5DEA"/>
    <w:rsid w:val="00AF66C8"/>
    <w:rsid w:val="00AF6794"/>
    <w:rsid w:val="00AF6AA4"/>
    <w:rsid w:val="00AF6DFA"/>
    <w:rsid w:val="00AF6F42"/>
    <w:rsid w:val="00AF7178"/>
    <w:rsid w:val="00AF7346"/>
    <w:rsid w:val="00AF7425"/>
    <w:rsid w:val="00AF7F58"/>
    <w:rsid w:val="00B00290"/>
    <w:rsid w:val="00B00AE3"/>
    <w:rsid w:val="00B00CF1"/>
    <w:rsid w:val="00B00E4B"/>
    <w:rsid w:val="00B0101A"/>
    <w:rsid w:val="00B01269"/>
    <w:rsid w:val="00B014F0"/>
    <w:rsid w:val="00B01555"/>
    <w:rsid w:val="00B030F6"/>
    <w:rsid w:val="00B032F9"/>
    <w:rsid w:val="00B03674"/>
    <w:rsid w:val="00B03D54"/>
    <w:rsid w:val="00B0445F"/>
    <w:rsid w:val="00B055BD"/>
    <w:rsid w:val="00B05757"/>
    <w:rsid w:val="00B05E02"/>
    <w:rsid w:val="00B05E79"/>
    <w:rsid w:val="00B065E2"/>
    <w:rsid w:val="00B0670E"/>
    <w:rsid w:val="00B0748C"/>
    <w:rsid w:val="00B075EE"/>
    <w:rsid w:val="00B07730"/>
    <w:rsid w:val="00B10AF3"/>
    <w:rsid w:val="00B11620"/>
    <w:rsid w:val="00B119B9"/>
    <w:rsid w:val="00B11B72"/>
    <w:rsid w:val="00B11BD0"/>
    <w:rsid w:val="00B12455"/>
    <w:rsid w:val="00B1270E"/>
    <w:rsid w:val="00B12AE2"/>
    <w:rsid w:val="00B12ECB"/>
    <w:rsid w:val="00B13185"/>
    <w:rsid w:val="00B13F69"/>
    <w:rsid w:val="00B14050"/>
    <w:rsid w:val="00B14EF2"/>
    <w:rsid w:val="00B14F0A"/>
    <w:rsid w:val="00B154E6"/>
    <w:rsid w:val="00B15AFB"/>
    <w:rsid w:val="00B15BF5"/>
    <w:rsid w:val="00B15D09"/>
    <w:rsid w:val="00B167D4"/>
    <w:rsid w:val="00B16813"/>
    <w:rsid w:val="00B16DCE"/>
    <w:rsid w:val="00B17058"/>
    <w:rsid w:val="00B17353"/>
    <w:rsid w:val="00B17632"/>
    <w:rsid w:val="00B17DDD"/>
    <w:rsid w:val="00B2022C"/>
    <w:rsid w:val="00B20F8A"/>
    <w:rsid w:val="00B21041"/>
    <w:rsid w:val="00B21170"/>
    <w:rsid w:val="00B2121D"/>
    <w:rsid w:val="00B21900"/>
    <w:rsid w:val="00B219D8"/>
    <w:rsid w:val="00B21BC6"/>
    <w:rsid w:val="00B2235D"/>
    <w:rsid w:val="00B225D1"/>
    <w:rsid w:val="00B22A91"/>
    <w:rsid w:val="00B23022"/>
    <w:rsid w:val="00B2312F"/>
    <w:rsid w:val="00B23670"/>
    <w:rsid w:val="00B23F3D"/>
    <w:rsid w:val="00B23FC9"/>
    <w:rsid w:val="00B2403F"/>
    <w:rsid w:val="00B246BD"/>
    <w:rsid w:val="00B24702"/>
    <w:rsid w:val="00B24CCA"/>
    <w:rsid w:val="00B25133"/>
    <w:rsid w:val="00B25517"/>
    <w:rsid w:val="00B25E79"/>
    <w:rsid w:val="00B263A9"/>
    <w:rsid w:val="00B2679F"/>
    <w:rsid w:val="00B267B8"/>
    <w:rsid w:val="00B26EE3"/>
    <w:rsid w:val="00B2753C"/>
    <w:rsid w:val="00B2757B"/>
    <w:rsid w:val="00B3002C"/>
    <w:rsid w:val="00B300F6"/>
    <w:rsid w:val="00B3026B"/>
    <w:rsid w:val="00B30918"/>
    <w:rsid w:val="00B30D2A"/>
    <w:rsid w:val="00B30D51"/>
    <w:rsid w:val="00B3100C"/>
    <w:rsid w:val="00B31113"/>
    <w:rsid w:val="00B31B6C"/>
    <w:rsid w:val="00B31E32"/>
    <w:rsid w:val="00B31E5B"/>
    <w:rsid w:val="00B322C2"/>
    <w:rsid w:val="00B32324"/>
    <w:rsid w:val="00B32546"/>
    <w:rsid w:val="00B329BA"/>
    <w:rsid w:val="00B32BE1"/>
    <w:rsid w:val="00B32C2B"/>
    <w:rsid w:val="00B33146"/>
    <w:rsid w:val="00B33289"/>
    <w:rsid w:val="00B334E9"/>
    <w:rsid w:val="00B33844"/>
    <w:rsid w:val="00B341F5"/>
    <w:rsid w:val="00B345B4"/>
    <w:rsid w:val="00B34AB8"/>
    <w:rsid w:val="00B34AC7"/>
    <w:rsid w:val="00B34BBB"/>
    <w:rsid w:val="00B34E57"/>
    <w:rsid w:val="00B35599"/>
    <w:rsid w:val="00B363A6"/>
    <w:rsid w:val="00B365A3"/>
    <w:rsid w:val="00B36C93"/>
    <w:rsid w:val="00B36CFC"/>
    <w:rsid w:val="00B36DD6"/>
    <w:rsid w:val="00B371A7"/>
    <w:rsid w:val="00B37344"/>
    <w:rsid w:val="00B37546"/>
    <w:rsid w:val="00B401E6"/>
    <w:rsid w:val="00B40677"/>
    <w:rsid w:val="00B4081B"/>
    <w:rsid w:val="00B40DF6"/>
    <w:rsid w:val="00B41429"/>
    <w:rsid w:val="00B417BA"/>
    <w:rsid w:val="00B4194F"/>
    <w:rsid w:val="00B42175"/>
    <w:rsid w:val="00B42368"/>
    <w:rsid w:val="00B4290E"/>
    <w:rsid w:val="00B43152"/>
    <w:rsid w:val="00B438BF"/>
    <w:rsid w:val="00B43EFE"/>
    <w:rsid w:val="00B441ED"/>
    <w:rsid w:val="00B4425B"/>
    <w:rsid w:val="00B448BF"/>
    <w:rsid w:val="00B44A46"/>
    <w:rsid w:val="00B44D40"/>
    <w:rsid w:val="00B45646"/>
    <w:rsid w:val="00B4587D"/>
    <w:rsid w:val="00B45FA1"/>
    <w:rsid w:val="00B46012"/>
    <w:rsid w:val="00B4660F"/>
    <w:rsid w:val="00B46D04"/>
    <w:rsid w:val="00B47705"/>
    <w:rsid w:val="00B47989"/>
    <w:rsid w:val="00B47B10"/>
    <w:rsid w:val="00B50812"/>
    <w:rsid w:val="00B5090C"/>
    <w:rsid w:val="00B50F86"/>
    <w:rsid w:val="00B5193F"/>
    <w:rsid w:val="00B51FA0"/>
    <w:rsid w:val="00B52133"/>
    <w:rsid w:val="00B524F8"/>
    <w:rsid w:val="00B52879"/>
    <w:rsid w:val="00B52BD8"/>
    <w:rsid w:val="00B53218"/>
    <w:rsid w:val="00B532FF"/>
    <w:rsid w:val="00B5361A"/>
    <w:rsid w:val="00B53A71"/>
    <w:rsid w:val="00B54470"/>
    <w:rsid w:val="00B54520"/>
    <w:rsid w:val="00B54848"/>
    <w:rsid w:val="00B54FF0"/>
    <w:rsid w:val="00B55125"/>
    <w:rsid w:val="00B554BA"/>
    <w:rsid w:val="00B554C9"/>
    <w:rsid w:val="00B55875"/>
    <w:rsid w:val="00B55CBB"/>
    <w:rsid w:val="00B56091"/>
    <w:rsid w:val="00B56735"/>
    <w:rsid w:val="00B567E6"/>
    <w:rsid w:val="00B5683C"/>
    <w:rsid w:val="00B56875"/>
    <w:rsid w:val="00B570E2"/>
    <w:rsid w:val="00B572F2"/>
    <w:rsid w:val="00B5733C"/>
    <w:rsid w:val="00B57696"/>
    <w:rsid w:val="00B57868"/>
    <w:rsid w:val="00B60463"/>
    <w:rsid w:val="00B60697"/>
    <w:rsid w:val="00B61509"/>
    <w:rsid w:val="00B6152D"/>
    <w:rsid w:val="00B61A02"/>
    <w:rsid w:val="00B621D6"/>
    <w:rsid w:val="00B622FF"/>
    <w:rsid w:val="00B62CE5"/>
    <w:rsid w:val="00B62E17"/>
    <w:rsid w:val="00B62E27"/>
    <w:rsid w:val="00B63854"/>
    <w:rsid w:val="00B63CC1"/>
    <w:rsid w:val="00B640DE"/>
    <w:rsid w:val="00B64CE4"/>
    <w:rsid w:val="00B6511E"/>
    <w:rsid w:val="00B6515F"/>
    <w:rsid w:val="00B658C4"/>
    <w:rsid w:val="00B65B90"/>
    <w:rsid w:val="00B6629B"/>
    <w:rsid w:val="00B66749"/>
    <w:rsid w:val="00B66C4F"/>
    <w:rsid w:val="00B66F5F"/>
    <w:rsid w:val="00B66F8F"/>
    <w:rsid w:val="00B67000"/>
    <w:rsid w:val="00B6745C"/>
    <w:rsid w:val="00B702D2"/>
    <w:rsid w:val="00B7067A"/>
    <w:rsid w:val="00B70D29"/>
    <w:rsid w:val="00B70DBB"/>
    <w:rsid w:val="00B70E59"/>
    <w:rsid w:val="00B713C9"/>
    <w:rsid w:val="00B714FA"/>
    <w:rsid w:val="00B71988"/>
    <w:rsid w:val="00B7243D"/>
    <w:rsid w:val="00B728DB"/>
    <w:rsid w:val="00B73655"/>
    <w:rsid w:val="00B747C1"/>
    <w:rsid w:val="00B747D4"/>
    <w:rsid w:val="00B75E51"/>
    <w:rsid w:val="00B76328"/>
    <w:rsid w:val="00B770D5"/>
    <w:rsid w:val="00B77754"/>
    <w:rsid w:val="00B77D7E"/>
    <w:rsid w:val="00B8016F"/>
    <w:rsid w:val="00B80F21"/>
    <w:rsid w:val="00B81711"/>
    <w:rsid w:val="00B82079"/>
    <w:rsid w:val="00B8207C"/>
    <w:rsid w:val="00B82B27"/>
    <w:rsid w:val="00B83449"/>
    <w:rsid w:val="00B8371B"/>
    <w:rsid w:val="00B83AAD"/>
    <w:rsid w:val="00B83BF1"/>
    <w:rsid w:val="00B83C09"/>
    <w:rsid w:val="00B8435A"/>
    <w:rsid w:val="00B84A0C"/>
    <w:rsid w:val="00B84AC2"/>
    <w:rsid w:val="00B852F7"/>
    <w:rsid w:val="00B85416"/>
    <w:rsid w:val="00B85A5F"/>
    <w:rsid w:val="00B85AC6"/>
    <w:rsid w:val="00B85AC7"/>
    <w:rsid w:val="00B85D3F"/>
    <w:rsid w:val="00B867EC"/>
    <w:rsid w:val="00B87098"/>
    <w:rsid w:val="00B87F86"/>
    <w:rsid w:val="00B902C4"/>
    <w:rsid w:val="00B902EB"/>
    <w:rsid w:val="00B90881"/>
    <w:rsid w:val="00B90C15"/>
    <w:rsid w:val="00B90E0C"/>
    <w:rsid w:val="00B91C7B"/>
    <w:rsid w:val="00B924F6"/>
    <w:rsid w:val="00B92886"/>
    <w:rsid w:val="00B92D70"/>
    <w:rsid w:val="00B92F3E"/>
    <w:rsid w:val="00B93413"/>
    <w:rsid w:val="00B93594"/>
    <w:rsid w:val="00B93B13"/>
    <w:rsid w:val="00B93E60"/>
    <w:rsid w:val="00B94C7E"/>
    <w:rsid w:val="00B952E1"/>
    <w:rsid w:val="00B95818"/>
    <w:rsid w:val="00B965EC"/>
    <w:rsid w:val="00B96D6F"/>
    <w:rsid w:val="00B974D3"/>
    <w:rsid w:val="00B978D7"/>
    <w:rsid w:val="00B97ADE"/>
    <w:rsid w:val="00B97BC2"/>
    <w:rsid w:val="00BA09D9"/>
    <w:rsid w:val="00BA0B91"/>
    <w:rsid w:val="00BA1441"/>
    <w:rsid w:val="00BA1B4C"/>
    <w:rsid w:val="00BA1E58"/>
    <w:rsid w:val="00BA1F5D"/>
    <w:rsid w:val="00BA20CC"/>
    <w:rsid w:val="00BA2B09"/>
    <w:rsid w:val="00BA318D"/>
    <w:rsid w:val="00BA3D63"/>
    <w:rsid w:val="00BA3DBF"/>
    <w:rsid w:val="00BA4D0F"/>
    <w:rsid w:val="00BA52C4"/>
    <w:rsid w:val="00BA549A"/>
    <w:rsid w:val="00BA5647"/>
    <w:rsid w:val="00BA5704"/>
    <w:rsid w:val="00BA6146"/>
    <w:rsid w:val="00BA6BEC"/>
    <w:rsid w:val="00BA6D9F"/>
    <w:rsid w:val="00BA6E7B"/>
    <w:rsid w:val="00BA7077"/>
    <w:rsid w:val="00BA7649"/>
    <w:rsid w:val="00BA76F9"/>
    <w:rsid w:val="00BA79FF"/>
    <w:rsid w:val="00BA7D77"/>
    <w:rsid w:val="00BB03C3"/>
    <w:rsid w:val="00BB0592"/>
    <w:rsid w:val="00BB0A46"/>
    <w:rsid w:val="00BB1568"/>
    <w:rsid w:val="00BB1672"/>
    <w:rsid w:val="00BB26AB"/>
    <w:rsid w:val="00BB26BE"/>
    <w:rsid w:val="00BB2815"/>
    <w:rsid w:val="00BB31E3"/>
    <w:rsid w:val="00BB3524"/>
    <w:rsid w:val="00BB3689"/>
    <w:rsid w:val="00BB36E9"/>
    <w:rsid w:val="00BB3723"/>
    <w:rsid w:val="00BB3906"/>
    <w:rsid w:val="00BB3AFF"/>
    <w:rsid w:val="00BB3C7B"/>
    <w:rsid w:val="00BB40F0"/>
    <w:rsid w:val="00BB4184"/>
    <w:rsid w:val="00BB4529"/>
    <w:rsid w:val="00BB459B"/>
    <w:rsid w:val="00BB4681"/>
    <w:rsid w:val="00BB4B36"/>
    <w:rsid w:val="00BB4C44"/>
    <w:rsid w:val="00BB52CE"/>
    <w:rsid w:val="00BB535A"/>
    <w:rsid w:val="00BB5549"/>
    <w:rsid w:val="00BB55E4"/>
    <w:rsid w:val="00BB580C"/>
    <w:rsid w:val="00BB58CC"/>
    <w:rsid w:val="00BB596D"/>
    <w:rsid w:val="00BB5DD0"/>
    <w:rsid w:val="00BB69BB"/>
    <w:rsid w:val="00BB69DA"/>
    <w:rsid w:val="00BB7566"/>
    <w:rsid w:val="00BB77AA"/>
    <w:rsid w:val="00BB7DB5"/>
    <w:rsid w:val="00BC00C2"/>
    <w:rsid w:val="00BC01D6"/>
    <w:rsid w:val="00BC0439"/>
    <w:rsid w:val="00BC069D"/>
    <w:rsid w:val="00BC1361"/>
    <w:rsid w:val="00BC1921"/>
    <w:rsid w:val="00BC1B18"/>
    <w:rsid w:val="00BC1C61"/>
    <w:rsid w:val="00BC1C86"/>
    <w:rsid w:val="00BC1E83"/>
    <w:rsid w:val="00BC22CC"/>
    <w:rsid w:val="00BC26DE"/>
    <w:rsid w:val="00BC2B38"/>
    <w:rsid w:val="00BC2C7B"/>
    <w:rsid w:val="00BC30C5"/>
    <w:rsid w:val="00BC32DC"/>
    <w:rsid w:val="00BC333D"/>
    <w:rsid w:val="00BC348C"/>
    <w:rsid w:val="00BC3BC9"/>
    <w:rsid w:val="00BC3C4C"/>
    <w:rsid w:val="00BC3D93"/>
    <w:rsid w:val="00BC3FDA"/>
    <w:rsid w:val="00BC408F"/>
    <w:rsid w:val="00BC4524"/>
    <w:rsid w:val="00BC4E8D"/>
    <w:rsid w:val="00BC4F5B"/>
    <w:rsid w:val="00BC5C3D"/>
    <w:rsid w:val="00BC5D74"/>
    <w:rsid w:val="00BC62A1"/>
    <w:rsid w:val="00BC6698"/>
    <w:rsid w:val="00BC684F"/>
    <w:rsid w:val="00BC7ADB"/>
    <w:rsid w:val="00BC7BAC"/>
    <w:rsid w:val="00BD0151"/>
    <w:rsid w:val="00BD04D4"/>
    <w:rsid w:val="00BD0509"/>
    <w:rsid w:val="00BD068A"/>
    <w:rsid w:val="00BD078F"/>
    <w:rsid w:val="00BD082B"/>
    <w:rsid w:val="00BD1DF1"/>
    <w:rsid w:val="00BD2463"/>
    <w:rsid w:val="00BD279F"/>
    <w:rsid w:val="00BD29BB"/>
    <w:rsid w:val="00BD36D9"/>
    <w:rsid w:val="00BD3D01"/>
    <w:rsid w:val="00BD3F04"/>
    <w:rsid w:val="00BD3F0C"/>
    <w:rsid w:val="00BD4F2A"/>
    <w:rsid w:val="00BD5A30"/>
    <w:rsid w:val="00BD5CA0"/>
    <w:rsid w:val="00BD64C6"/>
    <w:rsid w:val="00BD6743"/>
    <w:rsid w:val="00BD6FBA"/>
    <w:rsid w:val="00BD70A3"/>
    <w:rsid w:val="00BD737D"/>
    <w:rsid w:val="00BD73FF"/>
    <w:rsid w:val="00BD7ED4"/>
    <w:rsid w:val="00BE0599"/>
    <w:rsid w:val="00BE0AC6"/>
    <w:rsid w:val="00BE0F30"/>
    <w:rsid w:val="00BE1090"/>
    <w:rsid w:val="00BE1721"/>
    <w:rsid w:val="00BE1ADC"/>
    <w:rsid w:val="00BE1F65"/>
    <w:rsid w:val="00BE20EF"/>
    <w:rsid w:val="00BE2389"/>
    <w:rsid w:val="00BE251B"/>
    <w:rsid w:val="00BE2F25"/>
    <w:rsid w:val="00BE30EA"/>
    <w:rsid w:val="00BE40CF"/>
    <w:rsid w:val="00BE4816"/>
    <w:rsid w:val="00BE484D"/>
    <w:rsid w:val="00BE629C"/>
    <w:rsid w:val="00BE66DF"/>
    <w:rsid w:val="00BE7FC0"/>
    <w:rsid w:val="00BF0070"/>
    <w:rsid w:val="00BF085D"/>
    <w:rsid w:val="00BF16B9"/>
    <w:rsid w:val="00BF18BF"/>
    <w:rsid w:val="00BF1DB8"/>
    <w:rsid w:val="00BF2511"/>
    <w:rsid w:val="00BF25CD"/>
    <w:rsid w:val="00BF2D38"/>
    <w:rsid w:val="00BF2EED"/>
    <w:rsid w:val="00BF3280"/>
    <w:rsid w:val="00BF3683"/>
    <w:rsid w:val="00BF3C68"/>
    <w:rsid w:val="00BF3D3A"/>
    <w:rsid w:val="00BF3D66"/>
    <w:rsid w:val="00BF48BB"/>
    <w:rsid w:val="00BF5A06"/>
    <w:rsid w:val="00BF6F34"/>
    <w:rsid w:val="00BF76BC"/>
    <w:rsid w:val="00BF7C3B"/>
    <w:rsid w:val="00BF7EE9"/>
    <w:rsid w:val="00C0049A"/>
    <w:rsid w:val="00C008DB"/>
    <w:rsid w:val="00C00C38"/>
    <w:rsid w:val="00C01628"/>
    <w:rsid w:val="00C01919"/>
    <w:rsid w:val="00C0277C"/>
    <w:rsid w:val="00C02C36"/>
    <w:rsid w:val="00C03120"/>
    <w:rsid w:val="00C03335"/>
    <w:rsid w:val="00C033AD"/>
    <w:rsid w:val="00C0415A"/>
    <w:rsid w:val="00C04BCB"/>
    <w:rsid w:val="00C04FFF"/>
    <w:rsid w:val="00C060B4"/>
    <w:rsid w:val="00C06409"/>
    <w:rsid w:val="00C06D6D"/>
    <w:rsid w:val="00C06E95"/>
    <w:rsid w:val="00C06FD1"/>
    <w:rsid w:val="00C073F5"/>
    <w:rsid w:val="00C07B17"/>
    <w:rsid w:val="00C07BD2"/>
    <w:rsid w:val="00C07C11"/>
    <w:rsid w:val="00C07E76"/>
    <w:rsid w:val="00C10478"/>
    <w:rsid w:val="00C10D07"/>
    <w:rsid w:val="00C10FFD"/>
    <w:rsid w:val="00C11196"/>
    <w:rsid w:val="00C11309"/>
    <w:rsid w:val="00C11AA2"/>
    <w:rsid w:val="00C122E1"/>
    <w:rsid w:val="00C12C7A"/>
    <w:rsid w:val="00C12D6C"/>
    <w:rsid w:val="00C1301A"/>
    <w:rsid w:val="00C132A9"/>
    <w:rsid w:val="00C13418"/>
    <w:rsid w:val="00C13816"/>
    <w:rsid w:val="00C13C49"/>
    <w:rsid w:val="00C146CD"/>
    <w:rsid w:val="00C14BF9"/>
    <w:rsid w:val="00C15037"/>
    <w:rsid w:val="00C1504A"/>
    <w:rsid w:val="00C151EF"/>
    <w:rsid w:val="00C15239"/>
    <w:rsid w:val="00C1567A"/>
    <w:rsid w:val="00C15C74"/>
    <w:rsid w:val="00C15DD3"/>
    <w:rsid w:val="00C164A3"/>
    <w:rsid w:val="00C16521"/>
    <w:rsid w:val="00C16A46"/>
    <w:rsid w:val="00C16B6E"/>
    <w:rsid w:val="00C17555"/>
    <w:rsid w:val="00C175DE"/>
    <w:rsid w:val="00C202B1"/>
    <w:rsid w:val="00C20656"/>
    <w:rsid w:val="00C20B2D"/>
    <w:rsid w:val="00C20FDF"/>
    <w:rsid w:val="00C20FEB"/>
    <w:rsid w:val="00C21057"/>
    <w:rsid w:val="00C2105C"/>
    <w:rsid w:val="00C21365"/>
    <w:rsid w:val="00C217AD"/>
    <w:rsid w:val="00C21F3A"/>
    <w:rsid w:val="00C223BC"/>
    <w:rsid w:val="00C22B9E"/>
    <w:rsid w:val="00C2307A"/>
    <w:rsid w:val="00C232C9"/>
    <w:rsid w:val="00C23539"/>
    <w:rsid w:val="00C23FDD"/>
    <w:rsid w:val="00C24096"/>
    <w:rsid w:val="00C24353"/>
    <w:rsid w:val="00C244DC"/>
    <w:rsid w:val="00C24758"/>
    <w:rsid w:val="00C249CF"/>
    <w:rsid w:val="00C24E5D"/>
    <w:rsid w:val="00C24FA7"/>
    <w:rsid w:val="00C25508"/>
    <w:rsid w:val="00C258BC"/>
    <w:rsid w:val="00C25B26"/>
    <w:rsid w:val="00C263CB"/>
    <w:rsid w:val="00C263F5"/>
    <w:rsid w:val="00C27004"/>
    <w:rsid w:val="00C2707A"/>
    <w:rsid w:val="00C27E29"/>
    <w:rsid w:val="00C27E3F"/>
    <w:rsid w:val="00C27E65"/>
    <w:rsid w:val="00C27FC6"/>
    <w:rsid w:val="00C30073"/>
    <w:rsid w:val="00C30451"/>
    <w:rsid w:val="00C314E1"/>
    <w:rsid w:val="00C315D1"/>
    <w:rsid w:val="00C31B95"/>
    <w:rsid w:val="00C325A1"/>
    <w:rsid w:val="00C329F8"/>
    <w:rsid w:val="00C32F6A"/>
    <w:rsid w:val="00C32F8E"/>
    <w:rsid w:val="00C33907"/>
    <w:rsid w:val="00C339A5"/>
    <w:rsid w:val="00C33A2A"/>
    <w:rsid w:val="00C33C93"/>
    <w:rsid w:val="00C3473D"/>
    <w:rsid w:val="00C34B0B"/>
    <w:rsid w:val="00C353E3"/>
    <w:rsid w:val="00C3546F"/>
    <w:rsid w:val="00C35FF9"/>
    <w:rsid w:val="00C3607A"/>
    <w:rsid w:val="00C36217"/>
    <w:rsid w:val="00C363DC"/>
    <w:rsid w:val="00C3679C"/>
    <w:rsid w:val="00C3686B"/>
    <w:rsid w:val="00C36BED"/>
    <w:rsid w:val="00C36C3B"/>
    <w:rsid w:val="00C36D03"/>
    <w:rsid w:val="00C372E4"/>
    <w:rsid w:val="00C376F4"/>
    <w:rsid w:val="00C37841"/>
    <w:rsid w:val="00C37C5D"/>
    <w:rsid w:val="00C40378"/>
    <w:rsid w:val="00C4043E"/>
    <w:rsid w:val="00C4044E"/>
    <w:rsid w:val="00C40635"/>
    <w:rsid w:val="00C40AF8"/>
    <w:rsid w:val="00C41445"/>
    <w:rsid w:val="00C4189F"/>
    <w:rsid w:val="00C41F02"/>
    <w:rsid w:val="00C4290E"/>
    <w:rsid w:val="00C4292A"/>
    <w:rsid w:val="00C42D2E"/>
    <w:rsid w:val="00C42E72"/>
    <w:rsid w:val="00C43065"/>
    <w:rsid w:val="00C43474"/>
    <w:rsid w:val="00C434AC"/>
    <w:rsid w:val="00C437BB"/>
    <w:rsid w:val="00C4394D"/>
    <w:rsid w:val="00C44452"/>
    <w:rsid w:val="00C44A18"/>
    <w:rsid w:val="00C4520A"/>
    <w:rsid w:val="00C452D1"/>
    <w:rsid w:val="00C45DF8"/>
    <w:rsid w:val="00C463D7"/>
    <w:rsid w:val="00C465B0"/>
    <w:rsid w:val="00C46B12"/>
    <w:rsid w:val="00C47CEC"/>
    <w:rsid w:val="00C47F0F"/>
    <w:rsid w:val="00C50D79"/>
    <w:rsid w:val="00C510C2"/>
    <w:rsid w:val="00C51561"/>
    <w:rsid w:val="00C517C3"/>
    <w:rsid w:val="00C520E2"/>
    <w:rsid w:val="00C521FE"/>
    <w:rsid w:val="00C524E5"/>
    <w:rsid w:val="00C52895"/>
    <w:rsid w:val="00C52A40"/>
    <w:rsid w:val="00C52BE3"/>
    <w:rsid w:val="00C52F88"/>
    <w:rsid w:val="00C530FD"/>
    <w:rsid w:val="00C534B4"/>
    <w:rsid w:val="00C5469F"/>
    <w:rsid w:val="00C551D8"/>
    <w:rsid w:val="00C5531B"/>
    <w:rsid w:val="00C559E3"/>
    <w:rsid w:val="00C55AE9"/>
    <w:rsid w:val="00C56AAE"/>
    <w:rsid w:val="00C56CF2"/>
    <w:rsid w:val="00C57296"/>
    <w:rsid w:val="00C572F8"/>
    <w:rsid w:val="00C603A8"/>
    <w:rsid w:val="00C60BDE"/>
    <w:rsid w:val="00C611DB"/>
    <w:rsid w:val="00C614CE"/>
    <w:rsid w:val="00C6167A"/>
    <w:rsid w:val="00C61EC9"/>
    <w:rsid w:val="00C626A5"/>
    <w:rsid w:val="00C63E97"/>
    <w:rsid w:val="00C640DD"/>
    <w:rsid w:val="00C641AC"/>
    <w:rsid w:val="00C646C5"/>
    <w:rsid w:val="00C646D0"/>
    <w:rsid w:val="00C64AAD"/>
    <w:rsid w:val="00C6567C"/>
    <w:rsid w:val="00C65F6E"/>
    <w:rsid w:val="00C65F87"/>
    <w:rsid w:val="00C66239"/>
    <w:rsid w:val="00C66BDD"/>
    <w:rsid w:val="00C672A7"/>
    <w:rsid w:val="00C67724"/>
    <w:rsid w:val="00C67B4B"/>
    <w:rsid w:val="00C70428"/>
    <w:rsid w:val="00C7058B"/>
    <w:rsid w:val="00C70806"/>
    <w:rsid w:val="00C70B70"/>
    <w:rsid w:val="00C7100B"/>
    <w:rsid w:val="00C716DC"/>
    <w:rsid w:val="00C71892"/>
    <w:rsid w:val="00C718B8"/>
    <w:rsid w:val="00C71E14"/>
    <w:rsid w:val="00C7269B"/>
    <w:rsid w:val="00C72C44"/>
    <w:rsid w:val="00C72C98"/>
    <w:rsid w:val="00C72CAE"/>
    <w:rsid w:val="00C72CBE"/>
    <w:rsid w:val="00C72D16"/>
    <w:rsid w:val="00C7309C"/>
    <w:rsid w:val="00C737C6"/>
    <w:rsid w:val="00C738E3"/>
    <w:rsid w:val="00C74102"/>
    <w:rsid w:val="00C74152"/>
    <w:rsid w:val="00C743FF"/>
    <w:rsid w:val="00C749F6"/>
    <w:rsid w:val="00C74DA2"/>
    <w:rsid w:val="00C751CE"/>
    <w:rsid w:val="00C758E3"/>
    <w:rsid w:val="00C75B46"/>
    <w:rsid w:val="00C76044"/>
    <w:rsid w:val="00C766EB"/>
    <w:rsid w:val="00C76823"/>
    <w:rsid w:val="00C77B94"/>
    <w:rsid w:val="00C77E0A"/>
    <w:rsid w:val="00C8006B"/>
    <w:rsid w:val="00C80233"/>
    <w:rsid w:val="00C80649"/>
    <w:rsid w:val="00C8084B"/>
    <w:rsid w:val="00C80F5F"/>
    <w:rsid w:val="00C80F6B"/>
    <w:rsid w:val="00C81AE3"/>
    <w:rsid w:val="00C82456"/>
    <w:rsid w:val="00C826E7"/>
    <w:rsid w:val="00C82801"/>
    <w:rsid w:val="00C829B6"/>
    <w:rsid w:val="00C82AC2"/>
    <w:rsid w:val="00C8329C"/>
    <w:rsid w:val="00C83437"/>
    <w:rsid w:val="00C835D6"/>
    <w:rsid w:val="00C83740"/>
    <w:rsid w:val="00C8390B"/>
    <w:rsid w:val="00C8507F"/>
    <w:rsid w:val="00C85515"/>
    <w:rsid w:val="00C858A2"/>
    <w:rsid w:val="00C859C0"/>
    <w:rsid w:val="00C86263"/>
    <w:rsid w:val="00C866A9"/>
    <w:rsid w:val="00C86853"/>
    <w:rsid w:val="00C8695C"/>
    <w:rsid w:val="00C86F49"/>
    <w:rsid w:val="00C872FD"/>
    <w:rsid w:val="00C87448"/>
    <w:rsid w:val="00C8750C"/>
    <w:rsid w:val="00C87D32"/>
    <w:rsid w:val="00C87DD4"/>
    <w:rsid w:val="00C87F96"/>
    <w:rsid w:val="00C9097A"/>
    <w:rsid w:val="00C910E7"/>
    <w:rsid w:val="00C91730"/>
    <w:rsid w:val="00C91953"/>
    <w:rsid w:val="00C91F6F"/>
    <w:rsid w:val="00C93321"/>
    <w:rsid w:val="00C93792"/>
    <w:rsid w:val="00C93D51"/>
    <w:rsid w:val="00C9405E"/>
    <w:rsid w:val="00C944A9"/>
    <w:rsid w:val="00C94599"/>
    <w:rsid w:val="00C94625"/>
    <w:rsid w:val="00C9486F"/>
    <w:rsid w:val="00C94901"/>
    <w:rsid w:val="00C94FFD"/>
    <w:rsid w:val="00C95285"/>
    <w:rsid w:val="00C95938"/>
    <w:rsid w:val="00C95977"/>
    <w:rsid w:val="00C95C5C"/>
    <w:rsid w:val="00C95FEC"/>
    <w:rsid w:val="00C9610B"/>
    <w:rsid w:val="00C96240"/>
    <w:rsid w:val="00C96341"/>
    <w:rsid w:val="00C9635F"/>
    <w:rsid w:val="00C96B7F"/>
    <w:rsid w:val="00C9725B"/>
    <w:rsid w:val="00C97B06"/>
    <w:rsid w:val="00C97CA7"/>
    <w:rsid w:val="00CA02B1"/>
    <w:rsid w:val="00CA03F2"/>
    <w:rsid w:val="00CA0441"/>
    <w:rsid w:val="00CA0C3D"/>
    <w:rsid w:val="00CA0DB1"/>
    <w:rsid w:val="00CA11F7"/>
    <w:rsid w:val="00CA1CEA"/>
    <w:rsid w:val="00CA20E6"/>
    <w:rsid w:val="00CA2849"/>
    <w:rsid w:val="00CA2A2D"/>
    <w:rsid w:val="00CA2E02"/>
    <w:rsid w:val="00CA2FB9"/>
    <w:rsid w:val="00CA302A"/>
    <w:rsid w:val="00CA305F"/>
    <w:rsid w:val="00CA353E"/>
    <w:rsid w:val="00CA4433"/>
    <w:rsid w:val="00CA4886"/>
    <w:rsid w:val="00CA4A1B"/>
    <w:rsid w:val="00CA4C9B"/>
    <w:rsid w:val="00CA60C9"/>
    <w:rsid w:val="00CA6188"/>
    <w:rsid w:val="00CA6C34"/>
    <w:rsid w:val="00CA6CEC"/>
    <w:rsid w:val="00CA702F"/>
    <w:rsid w:val="00CA7316"/>
    <w:rsid w:val="00CA732C"/>
    <w:rsid w:val="00CA7CE0"/>
    <w:rsid w:val="00CB00C7"/>
    <w:rsid w:val="00CB1100"/>
    <w:rsid w:val="00CB15A2"/>
    <w:rsid w:val="00CB1CB6"/>
    <w:rsid w:val="00CB26CE"/>
    <w:rsid w:val="00CB26F7"/>
    <w:rsid w:val="00CB2927"/>
    <w:rsid w:val="00CB2BE7"/>
    <w:rsid w:val="00CB3171"/>
    <w:rsid w:val="00CB3C65"/>
    <w:rsid w:val="00CB42B3"/>
    <w:rsid w:val="00CB56C6"/>
    <w:rsid w:val="00CB579F"/>
    <w:rsid w:val="00CB5803"/>
    <w:rsid w:val="00CB5C82"/>
    <w:rsid w:val="00CB6291"/>
    <w:rsid w:val="00CB6E78"/>
    <w:rsid w:val="00CB72A2"/>
    <w:rsid w:val="00CB7F86"/>
    <w:rsid w:val="00CC10F6"/>
    <w:rsid w:val="00CC1506"/>
    <w:rsid w:val="00CC17C2"/>
    <w:rsid w:val="00CC19E0"/>
    <w:rsid w:val="00CC1AA4"/>
    <w:rsid w:val="00CC23E6"/>
    <w:rsid w:val="00CC24A9"/>
    <w:rsid w:val="00CC2545"/>
    <w:rsid w:val="00CC279E"/>
    <w:rsid w:val="00CC3293"/>
    <w:rsid w:val="00CC35A8"/>
    <w:rsid w:val="00CC3A78"/>
    <w:rsid w:val="00CC3B3F"/>
    <w:rsid w:val="00CC4006"/>
    <w:rsid w:val="00CC4329"/>
    <w:rsid w:val="00CC4A53"/>
    <w:rsid w:val="00CC4D9C"/>
    <w:rsid w:val="00CC5080"/>
    <w:rsid w:val="00CC5AB1"/>
    <w:rsid w:val="00CC5F11"/>
    <w:rsid w:val="00CC65CF"/>
    <w:rsid w:val="00CC6811"/>
    <w:rsid w:val="00CC683A"/>
    <w:rsid w:val="00CC68A2"/>
    <w:rsid w:val="00CC6BEF"/>
    <w:rsid w:val="00CC7658"/>
    <w:rsid w:val="00CC7D5B"/>
    <w:rsid w:val="00CC7D97"/>
    <w:rsid w:val="00CC7E47"/>
    <w:rsid w:val="00CD047A"/>
    <w:rsid w:val="00CD0570"/>
    <w:rsid w:val="00CD079F"/>
    <w:rsid w:val="00CD10A9"/>
    <w:rsid w:val="00CD16CC"/>
    <w:rsid w:val="00CD1994"/>
    <w:rsid w:val="00CD1E25"/>
    <w:rsid w:val="00CD232B"/>
    <w:rsid w:val="00CD25DE"/>
    <w:rsid w:val="00CD2AD1"/>
    <w:rsid w:val="00CD37B7"/>
    <w:rsid w:val="00CD3C61"/>
    <w:rsid w:val="00CD3EBA"/>
    <w:rsid w:val="00CD3F99"/>
    <w:rsid w:val="00CD4494"/>
    <w:rsid w:val="00CD4535"/>
    <w:rsid w:val="00CD45C4"/>
    <w:rsid w:val="00CD484C"/>
    <w:rsid w:val="00CD48C7"/>
    <w:rsid w:val="00CD4F3F"/>
    <w:rsid w:val="00CD4F7B"/>
    <w:rsid w:val="00CD4FB7"/>
    <w:rsid w:val="00CD52B5"/>
    <w:rsid w:val="00CD52E1"/>
    <w:rsid w:val="00CD661C"/>
    <w:rsid w:val="00CD689F"/>
    <w:rsid w:val="00CD697F"/>
    <w:rsid w:val="00CD71E7"/>
    <w:rsid w:val="00CD76E6"/>
    <w:rsid w:val="00CD7BFE"/>
    <w:rsid w:val="00CE08CA"/>
    <w:rsid w:val="00CE0938"/>
    <w:rsid w:val="00CE13C2"/>
    <w:rsid w:val="00CE1C08"/>
    <w:rsid w:val="00CE2087"/>
    <w:rsid w:val="00CE218C"/>
    <w:rsid w:val="00CE2B54"/>
    <w:rsid w:val="00CE2CCD"/>
    <w:rsid w:val="00CE38D6"/>
    <w:rsid w:val="00CE3A79"/>
    <w:rsid w:val="00CE3E02"/>
    <w:rsid w:val="00CE3EDB"/>
    <w:rsid w:val="00CE4C5C"/>
    <w:rsid w:val="00CE4DF9"/>
    <w:rsid w:val="00CE4F6A"/>
    <w:rsid w:val="00CE50F6"/>
    <w:rsid w:val="00CE52D0"/>
    <w:rsid w:val="00CE55B4"/>
    <w:rsid w:val="00CE5841"/>
    <w:rsid w:val="00CE58C0"/>
    <w:rsid w:val="00CE6198"/>
    <w:rsid w:val="00CE6472"/>
    <w:rsid w:val="00CE6658"/>
    <w:rsid w:val="00CE6E44"/>
    <w:rsid w:val="00CE7124"/>
    <w:rsid w:val="00CE7982"/>
    <w:rsid w:val="00CE7D7B"/>
    <w:rsid w:val="00CF00A6"/>
    <w:rsid w:val="00CF0BD8"/>
    <w:rsid w:val="00CF0CB0"/>
    <w:rsid w:val="00CF0FF2"/>
    <w:rsid w:val="00CF1604"/>
    <w:rsid w:val="00CF1641"/>
    <w:rsid w:val="00CF19F2"/>
    <w:rsid w:val="00CF1B33"/>
    <w:rsid w:val="00CF1D28"/>
    <w:rsid w:val="00CF1E38"/>
    <w:rsid w:val="00CF1EBD"/>
    <w:rsid w:val="00CF1EE8"/>
    <w:rsid w:val="00CF2AD3"/>
    <w:rsid w:val="00CF41E4"/>
    <w:rsid w:val="00CF4EC7"/>
    <w:rsid w:val="00CF4F98"/>
    <w:rsid w:val="00CF5328"/>
    <w:rsid w:val="00CF5BE8"/>
    <w:rsid w:val="00CF60A0"/>
    <w:rsid w:val="00CF6398"/>
    <w:rsid w:val="00CF6690"/>
    <w:rsid w:val="00CF6DDE"/>
    <w:rsid w:val="00CF710C"/>
    <w:rsid w:val="00CF7189"/>
    <w:rsid w:val="00CF71B1"/>
    <w:rsid w:val="00CF7AA9"/>
    <w:rsid w:val="00CF7C39"/>
    <w:rsid w:val="00D00186"/>
    <w:rsid w:val="00D00242"/>
    <w:rsid w:val="00D00EDA"/>
    <w:rsid w:val="00D015E5"/>
    <w:rsid w:val="00D0198D"/>
    <w:rsid w:val="00D02090"/>
    <w:rsid w:val="00D023C2"/>
    <w:rsid w:val="00D02753"/>
    <w:rsid w:val="00D02791"/>
    <w:rsid w:val="00D02B44"/>
    <w:rsid w:val="00D0389A"/>
    <w:rsid w:val="00D039F7"/>
    <w:rsid w:val="00D039FB"/>
    <w:rsid w:val="00D03DB6"/>
    <w:rsid w:val="00D04794"/>
    <w:rsid w:val="00D050EC"/>
    <w:rsid w:val="00D059E8"/>
    <w:rsid w:val="00D05A41"/>
    <w:rsid w:val="00D05BE6"/>
    <w:rsid w:val="00D05E70"/>
    <w:rsid w:val="00D0684B"/>
    <w:rsid w:val="00D069AC"/>
    <w:rsid w:val="00D069B5"/>
    <w:rsid w:val="00D06B61"/>
    <w:rsid w:val="00D06CA8"/>
    <w:rsid w:val="00D0713B"/>
    <w:rsid w:val="00D07272"/>
    <w:rsid w:val="00D07759"/>
    <w:rsid w:val="00D07D3C"/>
    <w:rsid w:val="00D10088"/>
    <w:rsid w:val="00D10972"/>
    <w:rsid w:val="00D10A60"/>
    <w:rsid w:val="00D10CAB"/>
    <w:rsid w:val="00D10D14"/>
    <w:rsid w:val="00D11061"/>
    <w:rsid w:val="00D1112B"/>
    <w:rsid w:val="00D11948"/>
    <w:rsid w:val="00D119FB"/>
    <w:rsid w:val="00D11BF6"/>
    <w:rsid w:val="00D11C9E"/>
    <w:rsid w:val="00D11FE7"/>
    <w:rsid w:val="00D12133"/>
    <w:rsid w:val="00D13258"/>
    <w:rsid w:val="00D137F6"/>
    <w:rsid w:val="00D13957"/>
    <w:rsid w:val="00D139B6"/>
    <w:rsid w:val="00D13E54"/>
    <w:rsid w:val="00D14702"/>
    <w:rsid w:val="00D147C7"/>
    <w:rsid w:val="00D14941"/>
    <w:rsid w:val="00D14C09"/>
    <w:rsid w:val="00D14CDF"/>
    <w:rsid w:val="00D15127"/>
    <w:rsid w:val="00D15C0B"/>
    <w:rsid w:val="00D15EF7"/>
    <w:rsid w:val="00D1644C"/>
    <w:rsid w:val="00D16755"/>
    <w:rsid w:val="00D16C2B"/>
    <w:rsid w:val="00D17AA3"/>
    <w:rsid w:val="00D20526"/>
    <w:rsid w:val="00D20576"/>
    <w:rsid w:val="00D212A7"/>
    <w:rsid w:val="00D21457"/>
    <w:rsid w:val="00D21E42"/>
    <w:rsid w:val="00D2224D"/>
    <w:rsid w:val="00D222E6"/>
    <w:rsid w:val="00D227E5"/>
    <w:rsid w:val="00D22F33"/>
    <w:rsid w:val="00D22FCA"/>
    <w:rsid w:val="00D23556"/>
    <w:rsid w:val="00D2378A"/>
    <w:rsid w:val="00D23962"/>
    <w:rsid w:val="00D23DD3"/>
    <w:rsid w:val="00D24226"/>
    <w:rsid w:val="00D24946"/>
    <w:rsid w:val="00D24D5A"/>
    <w:rsid w:val="00D24F45"/>
    <w:rsid w:val="00D25190"/>
    <w:rsid w:val="00D25284"/>
    <w:rsid w:val="00D2589C"/>
    <w:rsid w:val="00D262AE"/>
    <w:rsid w:val="00D2631E"/>
    <w:rsid w:val="00D266E8"/>
    <w:rsid w:val="00D268F9"/>
    <w:rsid w:val="00D26FC2"/>
    <w:rsid w:val="00D27128"/>
    <w:rsid w:val="00D2783A"/>
    <w:rsid w:val="00D279A6"/>
    <w:rsid w:val="00D3012B"/>
    <w:rsid w:val="00D30782"/>
    <w:rsid w:val="00D3097E"/>
    <w:rsid w:val="00D30ACC"/>
    <w:rsid w:val="00D30AD0"/>
    <w:rsid w:val="00D312E7"/>
    <w:rsid w:val="00D31498"/>
    <w:rsid w:val="00D31ECA"/>
    <w:rsid w:val="00D3247B"/>
    <w:rsid w:val="00D32606"/>
    <w:rsid w:val="00D32DDB"/>
    <w:rsid w:val="00D342FA"/>
    <w:rsid w:val="00D34741"/>
    <w:rsid w:val="00D34767"/>
    <w:rsid w:val="00D349D6"/>
    <w:rsid w:val="00D34FD3"/>
    <w:rsid w:val="00D353A5"/>
    <w:rsid w:val="00D3550C"/>
    <w:rsid w:val="00D35ECC"/>
    <w:rsid w:val="00D35F68"/>
    <w:rsid w:val="00D363CE"/>
    <w:rsid w:val="00D36454"/>
    <w:rsid w:val="00D36E2B"/>
    <w:rsid w:val="00D36FFA"/>
    <w:rsid w:val="00D373D3"/>
    <w:rsid w:val="00D3768E"/>
    <w:rsid w:val="00D40267"/>
    <w:rsid w:val="00D40F90"/>
    <w:rsid w:val="00D41213"/>
    <w:rsid w:val="00D416FF"/>
    <w:rsid w:val="00D418B7"/>
    <w:rsid w:val="00D41DC2"/>
    <w:rsid w:val="00D4213A"/>
    <w:rsid w:val="00D424B4"/>
    <w:rsid w:val="00D42A52"/>
    <w:rsid w:val="00D42A8B"/>
    <w:rsid w:val="00D43201"/>
    <w:rsid w:val="00D43340"/>
    <w:rsid w:val="00D43641"/>
    <w:rsid w:val="00D44341"/>
    <w:rsid w:val="00D4479E"/>
    <w:rsid w:val="00D44D3E"/>
    <w:rsid w:val="00D45281"/>
    <w:rsid w:val="00D4585E"/>
    <w:rsid w:val="00D45963"/>
    <w:rsid w:val="00D45FDB"/>
    <w:rsid w:val="00D462D1"/>
    <w:rsid w:val="00D47811"/>
    <w:rsid w:val="00D47D04"/>
    <w:rsid w:val="00D47F4C"/>
    <w:rsid w:val="00D50CDE"/>
    <w:rsid w:val="00D50FE1"/>
    <w:rsid w:val="00D514FC"/>
    <w:rsid w:val="00D52428"/>
    <w:rsid w:val="00D53301"/>
    <w:rsid w:val="00D53B67"/>
    <w:rsid w:val="00D53D2A"/>
    <w:rsid w:val="00D53E89"/>
    <w:rsid w:val="00D5402A"/>
    <w:rsid w:val="00D5436D"/>
    <w:rsid w:val="00D54376"/>
    <w:rsid w:val="00D54D70"/>
    <w:rsid w:val="00D55059"/>
    <w:rsid w:val="00D550C3"/>
    <w:rsid w:val="00D55C54"/>
    <w:rsid w:val="00D55E0F"/>
    <w:rsid w:val="00D560A8"/>
    <w:rsid w:val="00D56186"/>
    <w:rsid w:val="00D56276"/>
    <w:rsid w:val="00D5683E"/>
    <w:rsid w:val="00D56A8F"/>
    <w:rsid w:val="00D56C5C"/>
    <w:rsid w:val="00D56CB1"/>
    <w:rsid w:val="00D56E8E"/>
    <w:rsid w:val="00D57482"/>
    <w:rsid w:val="00D57A3A"/>
    <w:rsid w:val="00D57E3F"/>
    <w:rsid w:val="00D57F8C"/>
    <w:rsid w:val="00D6010F"/>
    <w:rsid w:val="00D604CC"/>
    <w:rsid w:val="00D60CB0"/>
    <w:rsid w:val="00D611A9"/>
    <w:rsid w:val="00D61453"/>
    <w:rsid w:val="00D61591"/>
    <w:rsid w:val="00D61740"/>
    <w:rsid w:val="00D61D1A"/>
    <w:rsid w:val="00D61D45"/>
    <w:rsid w:val="00D61D60"/>
    <w:rsid w:val="00D61E44"/>
    <w:rsid w:val="00D6284A"/>
    <w:rsid w:val="00D62D06"/>
    <w:rsid w:val="00D634FC"/>
    <w:rsid w:val="00D63DA6"/>
    <w:rsid w:val="00D63F01"/>
    <w:rsid w:val="00D64759"/>
    <w:rsid w:val="00D64BE9"/>
    <w:rsid w:val="00D64D76"/>
    <w:rsid w:val="00D653AD"/>
    <w:rsid w:val="00D65899"/>
    <w:rsid w:val="00D665A8"/>
    <w:rsid w:val="00D66653"/>
    <w:rsid w:val="00D66708"/>
    <w:rsid w:val="00D66759"/>
    <w:rsid w:val="00D674F7"/>
    <w:rsid w:val="00D67572"/>
    <w:rsid w:val="00D70D22"/>
    <w:rsid w:val="00D71288"/>
    <w:rsid w:val="00D716F6"/>
    <w:rsid w:val="00D71F9E"/>
    <w:rsid w:val="00D72A13"/>
    <w:rsid w:val="00D72C0F"/>
    <w:rsid w:val="00D72DC4"/>
    <w:rsid w:val="00D73B76"/>
    <w:rsid w:val="00D746EA"/>
    <w:rsid w:val="00D7501F"/>
    <w:rsid w:val="00D750B6"/>
    <w:rsid w:val="00D751D4"/>
    <w:rsid w:val="00D7535C"/>
    <w:rsid w:val="00D756FF"/>
    <w:rsid w:val="00D758EC"/>
    <w:rsid w:val="00D75953"/>
    <w:rsid w:val="00D76A42"/>
    <w:rsid w:val="00D76D09"/>
    <w:rsid w:val="00D77113"/>
    <w:rsid w:val="00D77A44"/>
    <w:rsid w:val="00D77A85"/>
    <w:rsid w:val="00D77D23"/>
    <w:rsid w:val="00D77FFB"/>
    <w:rsid w:val="00D80213"/>
    <w:rsid w:val="00D8086A"/>
    <w:rsid w:val="00D809C5"/>
    <w:rsid w:val="00D81331"/>
    <w:rsid w:val="00D81643"/>
    <w:rsid w:val="00D816AD"/>
    <w:rsid w:val="00D81A45"/>
    <w:rsid w:val="00D81B47"/>
    <w:rsid w:val="00D81EC8"/>
    <w:rsid w:val="00D822F4"/>
    <w:rsid w:val="00D829F9"/>
    <w:rsid w:val="00D82BB3"/>
    <w:rsid w:val="00D82C5C"/>
    <w:rsid w:val="00D82E2C"/>
    <w:rsid w:val="00D83086"/>
    <w:rsid w:val="00D839FB"/>
    <w:rsid w:val="00D83C8A"/>
    <w:rsid w:val="00D8471C"/>
    <w:rsid w:val="00D84C37"/>
    <w:rsid w:val="00D84D54"/>
    <w:rsid w:val="00D84D78"/>
    <w:rsid w:val="00D85284"/>
    <w:rsid w:val="00D852AB"/>
    <w:rsid w:val="00D8586E"/>
    <w:rsid w:val="00D85ACB"/>
    <w:rsid w:val="00D85BA8"/>
    <w:rsid w:val="00D85CE2"/>
    <w:rsid w:val="00D85D53"/>
    <w:rsid w:val="00D86502"/>
    <w:rsid w:val="00D86605"/>
    <w:rsid w:val="00D86A50"/>
    <w:rsid w:val="00D86AC0"/>
    <w:rsid w:val="00D87002"/>
    <w:rsid w:val="00D878C1"/>
    <w:rsid w:val="00D87C1E"/>
    <w:rsid w:val="00D87CCC"/>
    <w:rsid w:val="00D90B82"/>
    <w:rsid w:val="00D91E16"/>
    <w:rsid w:val="00D92236"/>
    <w:rsid w:val="00D927BD"/>
    <w:rsid w:val="00D93165"/>
    <w:rsid w:val="00D931A7"/>
    <w:rsid w:val="00D93483"/>
    <w:rsid w:val="00D935D6"/>
    <w:rsid w:val="00D93F18"/>
    <w:rsid w:val="00D943AF"/>
    <w:rsid w:val="00D94AEA"/>
    <w:rsid w:val="00D95069"/>
    <w:rsid w:val="00D9581F"/>
    <w:rsid w:val="00D95953"/>
    <w:rsid w:val="00D95A3B"/>
    <w:rsid w:val="00D95AC1"/>
    <w:rsid w:val="00D95CD5"/>
    <w:rsid w:val="00D9639F"/>
    <w:rsid w:val="00D96553"/>
    <w:rsid w:val="00D96C1A"/>
    <w:rsid w:val="00D974BC"/>
    <w:rsid w:val="00D977BD"/>
    <w:rsid w:val="00D978C8"/>
    <w:rsid w:val="00DA05D6"/>
    <w:rsid w:val="00DA065E"/>
    <w:rsid w:val="00DA0BA8"/>
    <w:rsid w:val="00DA226C"/>
    <w:rsid w:val="00DA22D1"/>
    <w:rsid w:val="00DA2541"/>
    <w:rsid w:val="00DA258F"/>
    <w:rsid w:val="00DA290A"/>
    <w:rsid w:val="00DA2972"/>
    <w:rsid w:val="00DA299D"/>
    <w:rsid w:val="00DA2EAD"/>
    <w:rsid w:val="00DA317B"/>
    <w:rsid w:val="00DA3587"/>
    <w:rsid w:val="00DA3C95"/>
    <w:rsid w:val="00DA3FCB"/>
    <w:rsid w:val="00DA4F7D"/>
    <w:rsid w:val="00DA5566"/>
    <w:rsid w:val="00DA67F1"/>
    <w:rsid w:val="00DA6A77"/>
    <w:rsid w:val="00DA6CD1"/>
    <w:rsid w:val="00DA7292"/>
    <w:rsid w:val="00DB039E"/>
    <w:rsid w:val="00DB0E97"/>
    <w:rsid w:val="00DB1221"/>
    <w:rsid w:val="00DB16F0"/>
    <w:rsid w:val="00DB1E1B"/>
    <w:rsid w:val="00DB1F21"/>
    <w:rsid w:val="00DB20A7"/>
    <w:rsid w:val="00DB274A"/>
    <w:rsid w:val="00DB2993"/>
    <w:rsid w:val="00DB29EA"/>
    <w:rsid w:val="00DB2FC9"/>
    <w:rsid w:val="00DB38A1"/>
    <w:rsid w:val="00DB4EEA"/>
    <w:rsid w:val="00DB52BA"/>
    <w:rsid w:val="00DB5777"/>
    <w:rsid w:val="00DB5938"/>
    <w:rsid w:val="00DB5AC9"/>
    <w:rsid w:val="00DB5B06"/>
    <w:rsid w:val="00DB6003"/>
    <w:rsid w:val="00DB681A"/>
    <w:rsid w:val="00DB69F2"/>
    <w:rsid w:val="00DB7423"/>
    <w:rsid w:val="00DB7576"/>
    <w:rsid w:val="00DC0033"/>
    <w:rsid w:val="00DC19A0"/>
    <w:rsid w:val="00DC2864"/>
    <w:rsid w:val="00DC2E88"/>
    <w:rsid w:val="00DC2FDB"/>
    <w:rsid w:val="00DC2FF6"/>
    <w:rsid w:val="00DC3336"/>
    <w:rsid w:val="00DC36CB"/>
    <w:rsid w:val="00DC3BE0"/>
    <w:rsid w:val="00DC3EDA"/>
    <w:rsid w:val="00DC4270"/>
    <w:rsid w:val="00DC448A"/>
    <w:rsid w:val="00DC4A5E"/>
    <w:rsid w:val="00DC52D9"/>
    <w:rsid w:val="00DC563B"/>
    <w:rsid w:val="00DC7253"/>
    <w:rsid w:val="00DC7705"/>
    <w:rsid w:val="00DC7D22"/>
    <w:rsid w:val="00DC7E14"/>
    <w:rsid w:val="00DC7ED8"/>
    <w:rsid w:val="00DD0502"/>
    <w:rsid w:val="00DD0A59"/>
    <w:rsid w:val="00DD0CBB"/>
    <w:rsid w:val="00DD0F08"/>
    <w:rsid w:val="00DD1786"/>
    <w:rsid w:val="00DD17AA"/>
    <w:rsid w:val="00DD192D"/>
    <w:rsid w:val="00DD1A69"/>
    <w:rsid w:val="00DD1BCA"/>
    <w:rsid w:val="00DD1EE2"/>
    <w:rsid w:val="00DD251E"/>
    <w:rsid w:val="00DD2789"/>
    <w:rsid w:val="00DD2D90"/>
    <w:rsid w:val="00DD36DE"/>
    <w:rsid w:val="00DD373B"/>
    <w:rsid w:val="00DD3BC2"/>
    <w:rsid w:val="00DD4C19"/>
    <w:rsid w:val="00DD504A"/>
    <w:rsid w:val="00DD51B7"/>
    <w:rsid w:val="00DD5243"/>
    <w:rsid w:val="00DD5951"/>
    <w:rsid w:val="00DD61B8"/>
    <w:rsid w:val="00DD62D8"/>
    <w:rsid w:val="00DD6311"/>
    <w:rsid w:val="00DD64C0"/>
    <w:rsid w:val="00DD6527"/>
    <w:rsid w:val="00DD69DE"/>
    <w:rsid w:val="00DD6B30"/>
    <w:rsid w:val="00DD7ADB"/>
    <w:rsid w:val="00DD7DD7"/>
    <w:rsid w:val="00DE0045"/>
    <w:rsid w:val="00DE011B"/>
    <w:rsid w:val="00DE0414"/>
    <w:rsid w:val="00DE0D05"/>
    <w:rsid w:val="00DE0EDE"/>
    <w:rsid w:val="00DE125A"/>
    <w:rsid w:val="00DE1A2C"/>
    <w:rsid w:val="00DE238D"/>
    <w:rsid w:val="00DE3150"/>
    <w:rsid w:val="00DE38BB"/>
    <w:rsid w:val="00DE3F21"/>
    <w:rsid w:val="00DE41ED"/>
    <w:rsid w:val="00DE423B"/>
    <w:rsid w:val="00DE42DF"/>
    <w:rsid w:val="00DE487F"/>
    <w:rsid w:val="00DE5263"/>
    <w:rsid w:val="00DE5A2D"/>
    <w:rsid w:val="00DE6317"/>
    <w:rsid w:val="00DE6494"/>
    <w:rsid w:val="00DE6513"/>
    <w:rsid w:val="00DE6998"/>
    <w:rsid w:val="00DE737E"/>
    <w:rsid w:val="00DF046B"/>
    <w:rsid w:val="00DF06A5"/>
    <w:rsid w:val="00DF0994"/>
    <w:rsid w:val="00DF0CF0"/>
    <w:rsid w:val="00DF110F"/>
    <w:rsid w:val="00DF11FA"/>
    <w:rsid w:val="00DF13C2"/>
    <w:rsid w:val="00DF1A15"/>
    <w:rsid w:val="00DF1B61"/>
    <w:rsid w:val="00DF1C53"/>
    <w:rsid w:val="00DF22A1"/>
    <w:rsid w:val="00DF22EA"/>
    <w:rsid w:val="00DF280E"/>
    <w:rsid w:val="00DF2876"/>
    <w:rsid w:val="00DF2B3B"/>
    <w:rsid w:val="00DF3275"/>
    <w:rsid w:val="00DF4112"/>
    <w:rsid w:val="00DF42D0"/>
    <w:rsid w:val="00DF4E09"/>
    <w:rsid w:val="00DF4FE7"/>
    <w:rsid w:val="00DF54C1"/>
    <w:rsid w:val="00DF55AC"/>
    <w:rsid w:val="00DF5A99"/>
    <w:rsid w:val="00DF60F3"/>
    <w:rsid w:val="00DF67FF"/>
    <w:rsid w:val="00DF7576"/>
    <w:rsid w:val="00DF7A23"/>
    <w:rsid w:val="00DF7DC2"/>
    <w:rsid w:val="00E0078A"/>
    <w:rsid w:val="00E009D2"/>
    <w:rsid w:val="00E00E87"/>
    <w:rsid w:val="00E011AC"/>
    <w:rsid w:val="00E01564"/>
    <w:rsid w:val="00E01717"/>
    <w:rsid w:val="00E03902"/>
    <w:rsid w:val="00E0393C"/>
    <w:rsid w:val="00E03E6C"/>
    <w:rsid w:val="00E0411E"/>
    <w:rsid w:val="00E041FB"/>
    <w:rsid w:val="00E043B2"/>
    <w:rsid w:val="00E046B4"/>
    <w:rsid w:val="00E04933"/>
    <w:rsid w:val="00E049AF"/>
    <w:rsid w:val="00E04C4F"/>
    <w:rsid w:val="00E05115"/>
    <w:rsid w:val="00E054AC"/>
    <w:rsid w:val="00E05D56"/>
    <w:rsid w:val="00E06EDF"/>
    <w:rsid w:val="00E07170"/>
    <w:rsid w:val="00E076F4"/>
    <w:rsid w:val="00E10145"/>
    <w:rsid w:val="00E10151"/>
    <w:rsid w:val="00E1031B"/>
    <w:rsid w:val="00E107CB"/>
    <w:rsid w:val="00E109B8"/>
    <w:rsid w:val="00E115CB"/>
    <w:rsid w:val="00E11715"/>
    <w:rsid w:val="00E121AB"/>
    <w:rsid w:val="00E12333"/>
    <w:rsid w:val="00E1267F"/>
    <w:rsid w:val="00E12AB8"/>
    <w:rsid w:val="00E12F1B"/>
    <w:rsid w:val="00E13450"/>
    <w:rsid w:val="00E138B2"/>
    <w:rsid w:val="00E13C77"/>
    <w:rsid w:val="00E13D4F"/>
    <w:rsid w:val="00E1432C"/>
    <w:rsid w:val="00E14514"/>
    <w:rsid w:val="00E145E9"/>
    <w:rsid w:val="00E14B3F"/>
    <w:rsid w:val="00E14CD1"/>
    <w:rsid w:val="00E14EFC"/>
    <w:rsid w:val="00E155F5"/>
    <w:rsid w:val="00E155F8"/>
    <w:rsid w:val="00E15A6E"/>
    <w:rsid w:val="00E15AA5"/>
    <w:rsid w:val="00E15D49"/>
    <w:rsid w:val="00E15D4C"/>
    <w:rsid w:val="00E15EC7"/>
    <w:rsid w:val="00E16279"/>
    <w:rsid w:val="00E163B7"/>
    <w:rsid w:val="00E17319"/>
    <w:rsid w:val="00E17A56"/>
    <w:rsid w:val="00E17C33"/>
    <w:rsid w:val="00E20401"/>
    <w:rsid w:val="00E20890"/>
    <w:rsid w:val="00E20C1B"/>
    <w:rsid w:val="00E213E7"/>
    <w:rsid w:val="00E216E8"/>
    <w:rsid w:val="00E21B07"/>
    <w:rsid w:val="00E21DEA"/>
    <w:rsid w:val="00E22A58"/>
    <w:rsid w:val="00E22D3A"/>
    <w:rsid w:val="00E22D7F"/>
    <w:rsid w:val="00E234B9"/>
    <w:rsid w:val="00E23970"/>
    <w:rsid w:val="00E244E2"/>
    <w:rsid w:val="00E2454A"/>
    <w:rsid w:val="00E25389"/>
    <w:rsid w:val="00E25C6B"/>
    <w:rsid w:val="00E26576"/>
    <w:rsid w:val="00E272B2"/>
    <w:rsid w:val="00E278C8"/>
    <w:rsid w:val="00E27902"/>
    <w:rsid w:val="00E27AA3"/>
    <w:rsid w:val="00E27C8B"/>
    <w:rsid w:val="00E27DD1"/>
    <w:rsid w:val="00E3071E"/>
    <w:rsid w:val="00E30A42"/>
    <w:rsid w:val="00E30FF8"/>
    <w:rsid w:val="00E31090"/>
    <w:rsid w:val="00E32B32"/>
    <w:rsid w:val="00E331DC"/>
    <w:rsid w:val="00E33DCC"/>
    <w:rsid w:val="00E340FE"/>
    <w:rsid w:val="00E341FA"/>
    <w:rsid w:val="00E34352"/>
    <w:rsid w:val="00E34DB1"/>
    <w:rsid w:val="00E352EC"/>
    <w:rsid w:val="00E35C56"/>
    <w:rsid w:val="00E35D97"/>
    <w:rsid w:val="00E36440"/>
    <w:rsid w:val="00E370C7"/>
    <w:rsid w:val="00E40C2B"/>
    <w:rsid w:val="00E412B0"/>
    <w:rsid w:val="00E414D7"/>
    <w:rsid w:val="00E416EC"/>
    <w:rsid w:val="00E420F6"/>
    <w:rsid w:val="00E425C7"/>
    <w:rsid w:val="00E426D6"/>
    <w:rsid w:val="00E42F1D"/>
    <w:rsid w:val="00E432D6"/>
    <w:rsid w:val="00E434AB"/>
    <w:rsid w:val="00E437D4"/>
    <w:rsid w:val="00E4409A"/>
    <w:rsid w:val="00E443DC"/>
    <w:rsid w:val="00E44555"/>
    <w:rsid w:val="00E4588D"/>
    <w:rsid w:val="00E45D13"/>
    <w:rsid w:val="00E45E2A"/>
    <w:rsid w:val="00E460DF"/>
    <w:rsid w:val="00E4631C"/>
    <w:rsid w:val="00E46A20"/>
    <w:rsid w:val="00E4750D"/>
    <w:rsid w:val="00E47563"/>
    <w:rsid w:val="00E4779B"/>
    <w:rsid w:val="00E47804"/>
    <w:rsid w:val="00E47C1D"/>
    <w:rsid w:val="00E47DB3"/>
    <w:rsid w:val="00E47F20"/>
    <w:rsid w:val="00E50082"/>
    <w:rsid w:val="00E505B2"/>
    <w:rsid w:val="00E50796"/>
    <w:rsid w:val="00E50848"/>
    <w:rsid w:val="00E50C6A"/>
    <w:rsid w:val="00E50C99"/>
    <w:rsid w:val="00E51E9F"/>
    <w:rsid w:val="00E52132"/>
    <w:rsid w:val="00E52A59"/>
    <w:rsid w:val="00E52F31"/>
    <w:rsid w:val="00E53376"/>
    <w:rsid w:val="00E54488"/>
    <w:rsid w:val="00E545A6"/>
    <w:rsid w:val="00E54970"/>
    <w:rsid w:val="00E55614"/>
    <w:rsid w:val="00E55F40"/>
    <w:rsid w:val="00E56630"/>
    <w:rsid w:val="00E56ADB"/>
    <w:rsid w:val="00E56BD2"/>
    <w:rsid w:val="00E570DA"/>
    <w:rsid w:val="00E572E8"/>
    <w:rsid w:val="00E57ACF"/>
    <w:rsid w:val="00E60562"/>
    <w:rsid w:val="00E6065B"/>
    <w:rsid w:val="00E606B0"/>
    <w:rsid w:val="00E60DE8"/>
    <w:rsid w:val="00E614A7"/>
    <w:rsid w:val="00E61529"/>
    <w:rsid w:val="00E61733"/>
    <w:rsid w:val="00E6192C"/>
    <w:rsid w:val="00E6198F"/>
    <w:rsid w:val="00E61BD3"/>
    <w:rsid w:val="00E61D12"/>
    <w:rsid w:val="00E624E6"/>
    <w:rsid w:val="00E62AFA"/>
    <w:rsid w:val="00E62FF7"/>
    <w:rsid w:val="00E6308E"/>
    <w:rsid w:val="00E6322D"/>
    <w:rsid w:val="00E6348C"/>
    <w:rsid w:val="00E63535"/>
    <w:rsid w:val="00E63B09"/>
    <w:rsid w:val="00E63E43"/>
    <w:rsid w:val="00E63E5D"/>
    <w:rsid w:val="00E642E8"/>
    <w:rsid w:val="00E643DD"/>
    <w:rsid w:val="00E64AA1"/>
    <w:rsid w:val="00E64B91"/>
    <w:rsid w:val="00E64E07"/>
    <w:rsid w:val="00E651A7"/>
    <w:rsid w:val="00E65227"/>
    <w:rsid w:val="00E65BA9"/>
    <w:rsid w:val="00E65C81"/>
    <w:rsid w:val="00E66091"/>
    <w:rsid w:val="00E660B8"/>
    <w:rsid w:val="00E66C5F"/>
    <w:rsid w:val="00E66D01"/>
    <w:rsid w:val="00E66D82"/>
    <w:rsid w:val="00E66E33"/>
    <w:rsid w:val="00E66ECB"/>
    <w:rsid w:val="00E67219"/>
    <w:rsid w:val="00E674A2"/>
    <w:rsid w:val="00E67C23"/>
    <w:rsid w:val="00E67CFA"/>
    <w:rsid w:val="00E7023C"/>
    <w:rsid w:val="00E70408"/>
    <w:rsid w:val="00E705D4"/>
    <w:rsid w:val="00E707D2"/>
    <w:rsid w:val="00E70D5F"/>
    <w:rsid w:val="00E716AD"/>
    <w:rsid w:val="00E71DD1"/>
    <w:rsid w:val="00E71E7E"/>
    <w:rsid w:val="00E7229C"/>
    <w:rsid w:val="00E72362"/>
    <w:rsid w:val="00E7246F"/>
    <w:rsid w:val="00E7251E"/>
    <w:rsid w:val="00E733DD"/>
    <w:rsid w:val="00E738CF"/>
    <w:rsid w:val="00E73D68"/>
    <w:rsid w:val="00E73F44"/>
    <w:rsid w:val="00E73F5A"/>
    <w:rsid w:val="00E73F5C"/>
    <w:rsid w:val="00E74571"/>
    <w:rsid w:val="00E74936"/>
    <w:rsid w:val="00E7497C"/>
    <w:rsid w:val="00E74D3E"/>
    <w:rsid w:val="00E75224"/>
    <w:rsid w:val="00E753B6"/>
    <w:rsid w:val="00E7544C"/>
    <w:rsid w:val="00E756B3"/>
    <w:rsid w:val="00E75A46"/>
    <w:rsid w:val="00E7667A"/>
    <w:rsid w:val="00E77711"/>
    <w:rsid w:val="00E7783D"/>
    <w:rsid w:val="00E779B9"/>
    <w:rsid w:val="00E77B9E"/>
    <w:rsid w:val="00E77C89"/>
    <w:rsid w:val="00E80B77"/>
    <w:rsid w:val="00E80D93"/>
    <w:rsid w:val="00E80DFE"/>
    <w:rsid w:val="00E810A9"/>
    <w:rsid w:val="00E810E6"/>
    <w:rsid w:val="00E8114B"/>
    <w:rsid w:val="00E815F4"/>
    <w:rsid w:val="00E82C9C"/>
    <w:rsid w:val="00E82F98"/>
    <w:rsid w:val="00E831E3"/>
    <w:rsid w:val="00E832B8"/>
    <w:rsid w:val="00E83307"/>
    <w:rsid w:val="00E83833"/>
    <w:rsid w:val="00E83FB4"/>
    <w:rsid w:val="00E84619"/>
    <w:rsid w:val="00E85036"/>
    <w:rsid w:val="00E851DF"/>
    <w:rsid w:val="00E8537E"/>
    <w:rsid w:val="00E862C3"/>
    <w:rsid w:val="00E86365"/>
    <w:rsid w:val="00E86B98"/>
    <w:rsid w:val="00E86BF1"/>
    <w:rsid w:val="00E86C03"/>
    <w:rsid w:val="00E87086"/>
    <w:rsid w:val="00E87C47"/>
    <w:rsid w:val="00E87C66"/>
    <w:rsid w:val="00E9045C"/>
    <w:rsid w:val="00E9064F"/>
    <w:rsid w:val="00E90E0F"/>
    <w:rsid w:val="00E90F81"/>
    <w:rsid w:val="00E916D3"/>
    <w:rsid w:val="00E917BF"/>
    <w:rsid w:val="00E918D9"/>
    <w:rsid w:val="00E91EF2"/>
    <w:rsid w:val="00E9239C"/>
    <w:rsid w:val="00E929A4"/>
    <w:rsid w:val="00E929BC"/>
    <w:rsid w:val="00E9355B"/>
    <w:rsid w:val="00E93864"/>
    <w:rsid w:val="00E93EBA"/>
    <w:rsid w:val="00E94195"/>
    <w:rsid w:val="00E9435B"/>
    <w:rsid w:val="00E94392"/>
    <w:rsid w:val="00E94443"/>
    <w:rsid w:val="00E95424"/>
    <w:rsid w:val="00E95487"/>
    <w:rsid w:val="00E95C71"/>
    <w:rsid w:val="00E9668D"/>
    <w:rsid w:val="00E96C32"/>
    <w:rsid w:val="00E96DDC"/>
    <w:rsid w:val="00E97759"/>
    <w:rsid w:val="00E97788"/>
    <w:rsid w:val="00EA0271"/>
    <w:rsid w:val="00EA0399"/>
    <w:rsid w:val="00EA03EB"/>
    <w:rsid w:val="00EA1185"/>
    <w:rsid w:val="00EA11D7"/>
    <w:rsid w:val="00EA17A4"/>
    <w:rsid w:val="00EA1883"/>
    <w:rsid w:val="00EA1ED2"/>
    <w:rsid w:val="00EA2958"/>
    <w:rsid w:val="00EA304D"/>
    <w:rsid w:val="00EA306B"/>
    <w:rsid w:val="00EA3D09"/>
    <w:rsid w:val="00EA3D10"/>
    <w:rsid w:val="00EA3D72"/>
    <w:rsid w:val="00EA3FD9"/>
    <w:rsid w:val="00EA54F3"/>
    <w:rsid w:val="00EA58C1"/>
    <w:rsid w:val="00EA5A5D"/>
    <w:rsid w:val="00EA5F0E"/>
    <w:rsid w:val="00EA5F3B"/>
    <w:rsid w:val="00EA6072"/>
    <w:rsid w:val="00EA67C9"/>
    <w:rsid w:val="00EA6A58"/>
    <w:rsid w:val="00EA6F84"/>
    <w:rsid w:val="00EA77D2"/>
    <w:rsid w:val="00EA7CE1"/>
    <w:rsid w:val="00EB017D"/>
    <w:rsid w:val="00EB0BC4"/>
    <w:rsid w:val="00EB115C"/>
    <w:rsid w:val="00EB13E2"/>
    <w:rsid w:val="00EB1606"/>
    <w:rsid w:val="00EB1932"/>
    <w:rsid w:val="00EB211C"/>
    <w:rsid w:val="00EB2B77"/>
    <w:rsid w:val="00EB381C"/>
    <w:rsid w:val="00EB39E8"/>
    <w:rsid w:val="00EB3B26"/>
    <w:rsid w:val="00EB3C8E"/>
    <w:rsid w:val="00EB3EAD"/>
    <w:rsid w:val="00EB4385"/>
    <w:rsid w:val="00EB44B1"/>
    <w:rsid w:val="00EB45E4"/>
    <w:rsid w:val="00EB4602"/>
    <w:rsid w:val="00EB4732"/>
    <w:rsid w:val="00EB4A75"/>
    <w:rsid w:val="00EB4C5D"/>
    <w:rsid w:val="00EB54B6"/>
    <w:rsid w:val="00EB61AF"/>
    <w:rsid w:val="00EB61CB"/>
    <w:rsid w:val="00EB690B"/>
    <w:rsid w:val="00EB6DDD"/>
    <w:rsid w:val="00EB7818"/>
    <w:rsid w:val="00EB782F"/>
    <w:rsid w:val="00EB79BA"/>
    <w:rsid w:val="00EB7F02"/>
    <w:rsid w:val="00EC0475"/>
    <w:rsid w:val="00EC11F7"/>
    <w:rsid w:val="00EC124C"/>
    <w:rsid w:val="00EC1A5A"/>
    <w:rsid w:val="00EC27D1"/>
    <w:rsid w:val="00EC2BCE"/>
    <w:rsid w:val="00EC2DE0"/>
    <w:rsid w:val="00EC31B4"/>
    <w:rsid w:val="00EC35F4"/>
    <w:rsid w:val="00EC3C9C"/>
    <w:rsid w:val="00EC455D"/>
    <w:rsid w:val="00EC4741"/>
    <w:rsid w:val="00EC4A4F"/>
    <w:rsid w:val="00EC4A9D"/>
    <w:rsid w:val="00EC4B87"/>
    <w:rsid w:val="00EC4F7F"/>
    <w:rsid w:val="00EC5899"/>
    <w:rsid w:val="00EC5975"/>
    <w:rsid w:val="00EC59D4"/>
    <w:rsid w:val="00EC60CD"/>
    <w:rsid w:val="00EC6723"/>
    <w:rsid w:val="00EC6767"/>
    <w:rsid w:val="00EC682F"/>
    <w:rsid w:val="00EC68BA"/>
    <w:rsid w:val="00EC6922"/>
    <w:rsid w:val="00EC71C9"/>
    <w:rsid w:val="00EC7C5A"/>
    <w:rsid w:val="00EC7D5F"/>
    <w:rsid w:val="00ED02BE"/>
    <w:rsid w:val="00ED0722"/>
    <w:rsid w:val="00ED0CEE"/>
    <w:rsid w:val="00ED14B2"/>
    <w:rsid w:val="00ED155A"/>
    <w:rsid w:val="00ED2250"/>
    <w:rsid w:val="00ED2414"/>
    <w:rsid w:val="00ED281A"/>
    <w:rsid w:val="00ED2966"/>
    <w:rsid w:val="00ED3BBF"/>
    <w:rsid w:val="00ED4309"/>
    <w:rsid w:val="00ED463D"/>
    <w:rsid w:val="00ED4A56"/>
    <w:rsid w:val="00ED59A3"/>
    <w:rsid w:val="00ED616A"/>
    <w:rsid w:val="00ED6AFB"/>
    <w:rsid w:val="00ED6C72"/>
    <w:rsid w:val="00ED6F30"/>
    <w:rsid w:val="00ED7AEA"/>
    <w:rsid w:val="00ED7BC0"/>
    <w:rsid w:val="00ED7CC8"/>
    <w:rsid w:val="00EE0C36"/>
    <w:rsid w:val="00EE29E6"/>
    <w:rsid w:val="00EE2E54"/>
    <w:rsid w:val="00EE305D"/>
    <w:rsid w:val="00EE3E9A"/>
    <w:rsid w:val="00EE3F02"/>
    <w:rsid w:val="00EE4264"/>
    <w:rsid w:val="00EE45D3"/>
    <w:rsid w:val="00EE4AAE"/>
    <w:rsid w:val="00EE4E40"/>
    <w:rsid w:val="00EE52EB"/>
    <w:rsid w:val="00EE56B0"/>
    <w:rsid w:val="00EE593C"/>
    <w:rsid w:val="00EE5E92"/>
    <w:rsid w:val="00EE6CAA"/>
    <w:rsid w:val="00EE7A02"/>
    <w:rsid w:val="00EF063F"/>
    <w:rsid w:val="00EF0CC7"/>
    <w:rsid w:val="00EF1511"/>
    <w:rsid w:val="00EF1D45"/>
    <w:rsid w:val="00EF1E56"/>
    <w:rsid w:val="00EF219F"/>
    <w:rsid w:val="00EF2960"/>
    <w:rsid w:val="00EF2CA5"/>
    <w:rsid w:val="00EF2D77"/>
    <w:rsid w:val="00EF2EE8"/>
    <w:rsid w:val="00EF30A0"/>
    <w:rsid w:val="00EF3CB3"/>
    <w:rsid w:val="00EF3CE8"/>
    <w:rsid w:val="00EF3D0F"/>
    <w:rsid w:val="00EF3E0C"/>
    <w:rsid w:val="00EF3FD6"/>
    <w:rsid w:val="00EF430F"/>
    <w:rsid w:val="00EF5F9C"/>
    <w:rsid w:val="00EF64F9"/>
    <w:rsid w:val="00EF69C8"/>
    <w:rsid w:val="00EF6D33"/>
    <w:rsid w:val="00EF7232"/>
    <w:rsid w:val="00EF7EA8"/>
    <w:rsid w:val="00F0035A"/>
    <w:rsid w:val="00F0065C"/>
    <w:rsid w:val="00F0108E"/>
    <w:rsid w:val="00F01AD4"/>
    <w:rsid w:val="00F01CC2"/>
    <w:rsid w:val="00F02309"/>
    <w:rsid w:val="00F02567"/>
    <w:rsid w:val="00F032B2"/>
    <w:rsid w:val="00F0349A"/>
    <w:rsid w:val="00F03BB9"/>
    <w:rsid w:val="00F03DB8"/>
    <w:rsid w:val="00F0400A"/>
    <w:rsid w:val="00F046EE"/>
    <w:rsid w:val="00F049C0"/>
    <w:rsid w:val="00F04B26"/>
    <w:rsid w:val="00F04B8B"/>
    <w:rsid w:val="00F0522D"/>
    <w:rsid w:val="00F0569D"/>
    <w:rsid w:val="00F05CDB"/>
    <w:rsid w:val="00F06256"/>
    <w:rsid w:val="00F0642F"/>
    <w:rsid w:val="00F06697"/>
    <w:rsid w:val="00F06ED0"/>
    <w:rsid w:val="00F0776F"/>
    <w:rsid w:val="00F0789F"/>
    <w:rsid w:val="00F07C07"/>
    <w:rsid w:val="00F1002B"/>
    <w:rsid w:val="00F108A9"/>
    <w:rsid w:val="00F10D06"/>
    <w:rsid w:val="00F11285"/>
    <w:rsid w:val="00F11362"/>
    <w:rsid w:val="00F12331"/>
    <w:rsid w:val="00F126EC"/>
    <w:rsid w:val="00F128EB"/>
    <w:rsid w:val="00F12CF0"/>
    <w:rsid w:val="00F13913"/>
    <w:rsid w:val="00F13A84"/>
    <w:rsid w:val="00F13E4A"/>
    <w:rsid w:val="00F1414D"/>
    <w:rsid w:val="00F141D7"/>
    <w:rsid w:val="00F14504"/>
    <w:rsid w:val="00F14E6E"/>
    <w:rsid w:val="00F14EA7"/>
    <w:rsid w:val="00F150FC"/>
    <w:rsid w:val="00F1510B"/>
    <w:rsid w:val="00F15277"/>
    <w:rsid w:val="00F153AB"/>
    <w:rsid w:val="00F1541A"/>
    <w:rsid w:val="00F154A7"/>
    <w:rsid w:val="00F15D20"/>
    <w:rsid w:val="00F15DCE"/>
    <w:rsid w:val="00F16377"/>
    <w:rsid w:val="00F16980"/>
    <w:rsid w:val="00F16BB8"/>
    <w:rsid w:val="00F16FFF"/>
    <w:rsid w:val="00F17584"/>
    <w:rsid w:val="00F17F11"/>
    <w:rsid w:val="00F206E5"/>
    <w:rsid w:val="00F20708"/>
    <w:rsid w:val="00F2081E"/>
    <w:rsid w:val="00F20C0A"/>
    <w:rsid w:val="00F21A4A"/>
    <w:rsid w:val="00F220C0"/>
    <w:rsid w:val="00F22794"/>
    <w:rsid w:val="00F22C5F"/>
    <w:rsid w:val="00F2301E"/>
    <w:rsid w:val="00F230FA"/>
    <w:rsid w:val="00F23209"/>
    <w:rsid w:val="00F237F2"/>
    <w:rsid w:val="00F239E8"/>
    <w:rsid w:val="00F23C86"/>
    <w:rsid w:val="00F23F46"/>
    <w:rsid w:val="00F24610"/>
    <w:rsid w:val="00F246CC"/>
    <w:rsid w:val="00F247B5"/>
    <w:rsid w:val="00F24FF2"/>
    <w:rsid w:val="00F25567"/>
    <w:rsid w:val="00F25776"/>
    <w:rsid w:val="00F260D3"/>
    <w:rsid w:val="00F262C0"/>
    <w:rsid w:val="00F264A1"/>
    <w:rsid w:val="00F264C0"/>
    <w:rsid w:val="00F2671B"/>
    <w:rsid w:val="00F2674E"/>
    <w:rsid w:val="00F26D76"/>
    <w:rsid w:val="00F272BB"/>
    <w:rsid w:val="00F272E8"/>
    <w:rsid w:val="00F27904"/>
    <w:rsid w:val="00F27AC9"/>
    <w:rsid w:val="00F30673"/>
    <w:rsid w:val="00F3079D"/>
    <w:rsid w:val="00F307F9"/>
    <w:rsid w:val="00F308E4"/>
    <w:rsid w:val="00F30BAB"/>
    <w:rsid w:val="00F30C8C"/>
    <w:rsid w:val="00F3124F"/>
    <w:rsid w:val="00F31C3F"/>
    <w:rsid w:val="00F31EA5"/>
    <w:rsid w:val="00F32B0C"/>
    <w:rsid w:val="00F3399E"/>
    <w:rsid w:val="00F33B95"/>
    <w:rsid w:val="00F33C7C"/>
    <w:rsid w:val="00F33F00"/>
    <w:rsid w:val="00F34133"/>
    <w:rsid w:val="00F341B1"/>
    <w:rsid w:val="00F348DB"/>
    <w:rsid w:val="00F34A4B"/>
    <w:rsid w:val="00F34F64"/>
    <w:rsid w:val="00F352C3"/>
    <w:rsid w:val="00F354BD"/>
    <w:rsid w:val="00F35653"/>
    <w:rsid w:val="00F35791"/>
    <w:rsid w:val="00F35BB0"/>
    <w:rsid w:val="00F363EE"/>
    <w:rsid w:val="00F3664D"/>
    <w:rsid w:val="00F36F7A"/>
    <w:rsid w:val="00F37B25"/>
    <w:rsid w:val="00F37D0D"/>
    <w:rsid w:val="00F4004A"/>
    <w:rsid w:val="00F40B1B"/>
    <w:rsid w:val="00F40B8B"/>
    <w:rsid w:val="00F40C84"/>
    <w:rsid w:val="00F40DEE"/>
    <w:rsid w:val="00F40FF9"/>
    <w:rsid w:val="00F41174"/>
    <w:rsid w:val="00F414E5"/>
    <w:rsid w:val="00F41C5A"/>
    <w:rsid w:val="00F42743"/>
    <w:rsid w:val="00F42BD2"/>
    <w:rsid w:val="00F4330A"/>
    <w:rsid w:val="00F436A3"/>
    <w:rsid w:val="00F439C4"/>
    <w:rsid w:val="00F43F43"/>
    <w:rsid w:val="00F440F6"/>
    <w:rsid w:val="00F4459F"/>
    <w:rsid w:val="00F44702"/>
    <w:rsid w:val="00F4487F"/>
    <w:rsid w:val="00F44BDC"/>
    <w:rsid w:val="00F44BE8"/>
    <w:rsid w:val="00F44DC4"/>
    <w:rsid w:val="00F45286"/>
    <w:rsid w:val="00F45517"/>
    <w:rsid w:val="00F46541"/>
    <w:rsid w:val="00F46B5E"/>
    <w:rsid w:val="00F46E15"/>
    <w:rsid w:val="00F471B3"/>
    <w:rsid w:val="00F47D1C"/>
    <w:rsid w:val="00F505B0"/>
    <w:rsid w:val="00F505F8"/>
    <w:rsid w:val="00F509FE"/>
    <w:rsid w:val="00F50DB6"/>
    <w:rsid w:val="00F51585"/>
    <w:rsid w:val="00F51897"/>
    <w:rsid w:val="00F5230C"/>
    <w:rsid w:val="00F52413"/>
    <w:rsid w:val="00F52CEE"/>
    <w:rsid w:val="00F5302E"/>
    <w:rsid w:val="00F5329E"/>
    <w:rsid w:val="00F5380C"/>
    <w:rsid w:val="00F5399E"/>
    <w:rsid w:val="00F53AF1"/>
    <w:rsid w:val="00F53CB3"/>
    <w:rsid w:val="00F541C8"/>
    <w:rsid w:val="00F54CC0"/>
    <w:rsid w:val="00F550A0"/>
    <w:rsid w:val="00F5535F"/>
    <w:rsid w:val="00F55717"/>
    <w:rsid w:val="00F5625D"/>
    <w:rsid w:val="00F565F5"/>
    <w:rsid w:val="00F568F4"/>
    <w:rsid w:val="00F57018"/>
    <w:rsid w:val="00F571DF"/>
    <w:rsid w:val="00F5782D"/>
    <w:rsid w:val="00F600DA"/>
    <w:rsid w:val="00F603E2"/>
    <w:rsid w:val="00F60AE8"/>
    <w:rsid w:val="00F60C4C"/>
    <w:rsid w:val="00F61275"/>
    <w:rsid w:val="00F61608"/>
    <w:rsid w:val="00F61619"/>
    <w:rsid w:val="00F61720"/>
    <w:rsid w:val="00F61BDB"/>
    <w:rsid w:val="00F621C7"/>
    <w:rsid w:val="00F62385"/>
    <w:rsid w:val="00F624A0"/>
    <w:rsid w:val="00F63440"/>
    <w:rsid w:val="00F63D30"/>
    <w:rsid w:val="00F64669"/>
    <w:rsid w:val="00F64CDB"/>
    <w:rsid w:val="00F64E6C"/>
    <w:rsid w:val="00F64FEB"/>
    <w:rsid w:val="00F657B8"/>
    <w:rsid w:val="00F6588A"/>
    <w:rsid w:val="00F65B6F"/>
    <w:rsid w:val="00F65EBB"/>
    <w:rsid w:val="00F66317"/>
    <w:rsid w:val="00F66641"/>
    <w:rsid w:val="00F66908"/>
    <w:rsid w:val="00F66CA5"/>
    <w:rsid w:val="00F671CD"/>
    <w:rsid w:val="00F673FF"/>
    <w:rsid w:val="00F6757F"/>
    <w:rsid w:val="00F67D49"/>
    <w:rsid w:val="00F7089B"/>
    <w:rsid w:val="00F7100C"/>
    <w:rsid w:val="00F7104D"/>
    <w:rsid w:val="00F7173E"/>
    <w:rsid w:val="00F71B8C"/>
    <w:rsid w:val="00F71B9F"/>
    <w:rsid w:val="00F71FFE"/>
    <w:rsid w:val="00F7279B"/>
    <w:rsid w:val="00F728B6"/>
    <w:rsid w:val="00F731E2"/>
    <w:rsid w:val="00F7320D"/>
    <w:rsid w:val="00F73345"/>
    <w:rsid w:val="00F735D9"/>
    <w:rsid w:val="00F74662"/>
    <w:rsid w:val="00F74E02"/>
    <w:rsid w:val="00F75023"/>
    <w:rsid w:val="00F756C9"/>
    <w:rsid w:val="00F756D6"/>
    <w:rsid w:val="00F7583B"/>
    <w:rsid w:val="00F759C0"/>
    <w:rsid w:val="00F75F28"/>
    <w:rsid w:val="00F75F29"/>
    <w:rsid w:val="00F75F9C"/>
    <w:rsid w:val="00F76705"/>
    <w:rsid w:val="00F7679E"/>
    <w:rsid w:val="00F767B1"/>
    <w:rsid w:val="00F7693C"/>
    <w:rsid w:val="00F76F63"/>
    <w:rsid w:val="00F7709A"/>
    <w:rsid w:val="00F7760E"/>
    <w:rsid w:val="00F77638"/>
    <w:rsid w:val="00F779B8"/>
    <w:rsid w:val="00F77ABC"/>
    <w:rsid w:val="00F77DA0"/>
    <w:rsid w:val="00F77F07"/>
    <w:rsid w:val="00F806F0"/>
    <w:rsid w:val="00F816A8"/>
    <w:rsid w:val="00F81F19"/>
    <w:rsid w:val="00F825EC"/>
    <w:rsid w:val="00F82732"/>
    <w:rsid w:val="00F82957"/>
    <w:rsid w:val="00F82DD2"/>
    <w:rsid w:val="00F8340D"/>
    <w:rsid w:val="00F834FF"/>
    <w:rsid w:val="00F8354E"/>
    <w:rsid w:val="00F83B59"/>
    <w:rsid w:val="00F8556F"/>
    <w:rsid w:val="00F85574"/>
    <w:rsid w:val="00F85864"/>
    <w:rsid w:val="00F859CE"/>
    <w:rsid w:val="00F85C9D"/>
    <w:rsid w:val="00F86361"/>
    <w:rsid w:val="00F86B70"/>
    <w:rsid w:val="00F86C7C"/>
    <w:rsid w:val="00F8720C"/>
    <w:rsid w:val="00F878EE"/>
    <w:rsid w:val="00F87A69"/>
    <w:rsid w:val="00F87A79"/>
    <w:rsid w:val="00F87AA1"/>
    <w:rsid w:val="00F87EF0"/>
    <w:rsid w:val="00F91115"/>
    <w:rsid w:val="00F91E70"/>
    <w:rsid w:val="00F91FB1"/>
    <w:rsid w:val="00F929D8"/>
    <w:rsid w:val="00F92D88"/>
    <w:rsid w:val="00F94128"/>
    <w:rsid w:val="00F94427"/>
    <w:rsid w:val="00F9490B"/>
    <w:rsid w:val="00F95115"/>
    <w:rsid w:val="00F95598"/>
    <w:rsid w:val="00F956FA"/>
    <w:rsid w:val="00F95F65"/>
    <w:rsid w:val="00F966D8"/>
    <w:rsid w:val="00F96972"/>
    <w:rsid w:val="00F969D5"/>
    <w:rsid w:val="00F97D62"/>
    <w:rsid w:val="00FA0D6C"/>
    <w:rsid w:val="00FA2029"/>
    <w:rsid w:val="00FA2124"/>
    <w:rsid w:val="00FA256B"/>
    <w:rsid w:val="00FA2AFC"/>
    <w:rsid w:val="00FA3927"/>
    <w:rsid w:val="00FA3959"/>
    <w:rsid w:val="00FA3FB8"/>
    <w:rsid w:val="00FA4B26"/>
    <w:rsid w:val="00FA5102"/>
    <w:rsid w:val="00FA5B26"/>
    <w:rsid w:val="00FA60B5"/>
    <w:rsid w:val="00FA64F4"/>
    <w:rsid w:val="00FA6858"/>
    <w:rsid w:val="00FA6DBB"/>
    <w:rsid w:val="00FA71CD"/>
    <w:rsid w:val="00FB0090"/>
    <w:rsid w:val="00FB140C"/>
    <w:rsid w:val="00FB1CCD"/>
    <w:rsid w:val="00FB2658"/>
    <w:rsid w:val="00FB2E89"/>
    <w:rsid w:val="00FB3238"/>
    <w:rsid w:val="00FB33B8"/>
    <w:rsid w:val="00FB37B6"/>
    <w:rsid w:val="00FB3888"/>
    <w:rsid w:val="00FB398E"/>
    <w:rsid w:val="00FB411A"/>
    <w:rsid w:val="00FB43D5"/>
    <w:rsid w:val="00FB43F5"/>
    <w:rsid w:val="00FB44E8"/>
    <w:rsid w:val="00FB4A4D"/>
    <w:rsid w:val="00FB4AB4"/>
    <w:rsid w:val="00FB4E2A"/>
    <w:rsid w:val="00FB5651"/>
    <w:rsid w:val="00FB5FFE"/>
    <w:rsid w:val="00FB637B"/>
    <w:rsid w:val="00FB6A5F"/>
    <w:rsid w:val="00FB7094"/>
    <w:rsid w:val="00FB7194"/>
    <w:rsid w:val="00FB723A"/>
    <w:rsid w:val="00FB72A7"/>
    <w:rsid w:val="00FB79A2"/>
    <w:rsid w:val="00FB79B1"/>
    <w:rsid w:val="00FB7AFC"/>
    <w:rsid w:val="00FB7C6D"/>
    <w:rsid w:val="00FC0367"/>
    <w:rsid w:val="00FC0A42"/>
    <w:rsid w:val="00FC106E"/>
    <w:rsid w:val="00FC17E7"/>
    <w:rsid w:val="00FC1840"/>
    <w:rsid w:val="00FC1C51"/>
    <w:rsid w:val="00FC2060"/>
    <w:rsid w:val="00FC21E0"/>
    <w:rsid w:val="00FC237B"/>
    <w:rsid w:val="00FC260C"/>
    <w:rsid w:val="00FC290C"/>
    <w:rsid w:val="00FC2B65"/>
    <w:rsid w:val="00FC2FFB"/>
    <w:rsid w:val="00FC3F8E"/>
    <w:rsid w:val="00FC450E"/>
    <w:rsid w:val="00FC4909"/>
    <w:rsid w:val="00FC4B73"/>
    <w:rsid w:val="00FC5C26"/>
    <w:rsid w:val="00FC616A"/>
    <w:rsid w:val="00FC68A9"/>
    <w:rsid w:val="00FC7BE2"/>
    <w:rsid w:val="00FD0D40"/>
    <w:rsid w:val="00FD0EA5"/>
    <w:rsid w:val="00FD0F83"/>
    <w:rsid w:val="00FD16D2"/>
    <w:rsid w:val="00FD16EB"/>
    <w:rsid w:val="00FD18AA"/>
    <w:rsid w:val="00FD18E4"/>
    <w:rsid w:val="00FD19F2"/>
    <w:rsid w:val="00FD2006"/>
    <w:rsid w:val="00FD2119"/>
    <w:rsid w:val="00FD2236"/>
    <w:rsid w:val="00FD2564"/>
    <w:rsid w:val="00FD2633"/>
    <w:rsid w:val="00FD2ADC"/>
    <w:rsid w:val="00FD2EBD"/>
    <w:rsid w:val="00FD3137"/>
    <w:rsid w:val="00FD335E"/>
    <w:rsid w:val="00FD3495"/>
    <w:rsid w:val="00FD385F"/>
    <w:rsid w:val="00FD39B3"/>
    <w:rsid w:val="00FD3B4D"/>
    <w:rsid w:val="00FD40C8"/>
    <w:rsid w:val="00FD441A"/>
    <w:rsid w:val="00FD44F6"/>
    <w:rsid w:val="00FD4505"/>
    <w:rsid w:val="00FD4986"/>
    <w:rsid w:val="00FD49CF"/>
    <w:rsid w:val="00FD50A4"/>
    <w:rsid w:val="00FD5162"/>
    <w:rsid w:val="00FD5B6D"/>
    <w:rsid w:val="00FD6418"/>
    <w:rsid w:val="00FD65B9"/>
    <w:rsid w:val="00FD6D0F"/>
    <w:rsid w:val="00FD6FFE"/>
    <w:rsid w:val="00FD754A"/>
    <w:rsid w:val="00FD75D1"/>
    <w:rsid w:val="00FD78C2"/>
    <w:rsid w:val="00FD79C4"/>
    <w:rsid w:val="00FD7A56"/>
    <w:rsid w:val="00FD7E08"/>
    <w:rsid w:val="00FE0832"/>
    <w:rsid w:val="00FE0B0E"/>
    <w:rsid w:val="00FE15CB"/>
    <w:rsid w:val="00FE179E"/>
    <w:rsid w:val="00FE1EF3"/>
    <w:rsid w:val="00FE2201"/>
    <w:rsid w:val="00FE245F"/>
    <w:rsid w:val="00FE2559"/>
    <w:rsid w:val="00FE309A"/>
    <w:rsid w:val="00FE34D1"/>
    <w:rsid w:val="00FE3554"/>
    <w:rsid w:val="00FE393D"/>
    <w:rsid w:val="00FE3CA6"/>
    <w:rsid w:val="00FE4277"/>
    <w:rsid w:val="00FE42EF"/>
    <w:rsid w:val="00FE43F6"/>
    <w:rsid w:val="00FE4731"/>
    <w:rsid w:val="00FE4897"/>
    <w:rsid w:val="00FE54DB"/>
    <w:rsid w:val="00FE5679"/>
    <w:rsid w:val="00FE5D67"/>
    <w:rsid w:val="00FE5D98"/>
    <w:rsid w:val="00FE63C5"/>
    <w:rsid w:val="00FE65CC"/>
    <w:rsid w:val="00FE6988"/>
    <w:rsid w:val="00FE6BF1"/>
    <w:rsid w:val="00FE6D08"/>
    <w:rsid w:val="00FE769B"/>
    <w:rsid w:val="00FE788D"/>
    <w:rsid w:val="00FE79EB"/>
    <w:rsid w:val="00FE7E90"/>
    <w:rsid w:val="00FF043E"/>
    <w:rsid w:val="00FF0B06"/>
    <w:rsid w:val="00FF1120"/>
    <w:rsid w:val="00FF11A2"/>
    <w:rsid w:val="00FF1639"/>
    <w:rsid w:val="00FF1FC7"/>
    <w:rsid w:val="00FF205B"/>
    <w:rsid w:val="00FF239C"/>
    <w:rsid w:val="00FF24BB"/>
    <w:rsid w:val="00FF28D9"/>
    <w:rsid w:val="00FF2992"/>
    <w:rsid w:val="00FF2F61"/>
    <w:rsid w:val="00FF3BED"/>
    <w:rsid w:val="00FF3EC5"/>
    <w:rsid w:val="00FF49C7"/>
    <w:rsid w:val="00FF4C98"/>
    <w:rsid w:val="00FF4F45"/>
    <w:rsid w:val="00FF5122"/>
    <w:rsid w:val="00FF53D1"/>
    <w:rsid w:val="00FF576D"/>
    <w:rsid w:val="00FF5B1B"/>
    <w:rsid w:val="00FF62E2"/>
    <w:rsid w:val="00FF636D"/>
    <w:rsid w:val="00FF655B"/>
    <w:rsid w:val="00FF6822"/>
    <w:rsid w:val="00FF6901"/>
    <w:rsid w:val="00FF731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8305">
      <o:colormru v:ext="edit" colors="#c73d3d"/>
    </o:shapedefaults>
    <o:shapelayout v:ext="edit">
      <o:idmap v:ext="edit" data="1"/>
    </o:shapelayout>
  </w:shapeDefaults>
  <w:decimalSymbol w:val=","/>
  <w:listSeparator w:val=";"/>
  <w14:docId w14:val="4DF55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cs-CZ" w:eastAsia="cs-CZ"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HTML Variable"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274A"/>
    <w:pPr>
      <w:spacing w:line="255" w:lineRule="exact"/>
      <w:jc w:val="both"/>
    </w:pPr>
    <w:rPr>
      <w:rFonts w:ascii="Arial Narrow" w:hAnsi="Arial Narrow"/>
      <w:sz w:val="22"/>
      <w:szCs w:val="22"/>
      <w:lang w:eastAsia="zh-CN"/>
    </w:rPr>
  </w:style>
  <w:style w:type="paragraph" w:styleId="Heading1">
    <w:name w:val="heading 1"/>
    <w:basedOn w:val="Normal"/>
    <w:next w:val="Normal"/>
    <w:link w:val="Heading1Char"/>
    <w:qFormat/>
    <w:rsid w:val="00B03D54"/>
    <w:pPr>
      <w:spacing w:before="360" w:after="240" w:line="240" w:lineRule="auto"/>
      <w:ind w:left="709" w:hanging="709"/>
      <w:jc w:val="left"/>
      <w:outlineLvl w:val="0"/>
    </w:pPr>
    <w:rPr>
      <w:rFonts w:cs="Arial"/>
      <w:b/>
      <w:bCs/>
      <w:caps/>
      <w:spacing w:val="40"/>
      <w:kern w:val="32"/>
      <w:sz w:val="30"/>
      <w:szCs w:val="32"/>
      <w:lang w:val="nl-NL"/>
    </w:rPr>
  </w:style>
  <w:style w:type="paragraph" w:styleId="Heading2">
    <w:name w:val="heading 2"/>
    <w:basedOn w:val="Normal"/>
    <w:next w:val="Normal"/>
    <w:link w:val="Heading2Char"/>
    <w:qFormat/>
    <w:rsid w:val="00107242"/>
    <w:pPr>
      <w:keepNext/>
      <w:spacing w:before="300" w:after="120" w:line="240" w:lineRule="auto"/>
      <w:ind w:left="567" w:hanging="567"/>
      <w:outlineLvl w:val="1"/>
    </w:pPr>
    <w:rPr>
      <w:rFonts w:cs="Arial"/>
      <w:b/>
      <w:bCs/>
      <w:i/>
      <w:iCs/>
      <w:sz w:val="28"/>
      <w:szCs w:val="28"/>
    </w:rPr>
  </w:style>
  <w:style w:type="paragraph" w:styleId="Heading3">
    <w:name w:val="heading 3"/>
    <w:basedOn w:val="Normal"/>
    <w:next w:val="Normal"/>
    <w:link w:val="Heading3Char"/>
    <w:qFormat/>
    <w:rsid w:val="00107242"/>
    <w:pPr>
      <w:keepNext/>
      <w:spacing w:before="240" w:after="120" w:line="240" w:lineRule="auto"/>
      <w:ind w:left="709" w:hanging="709"/>
      <w:outlineLvl w:val="2"/>
    </w:pPr>
    <w:rPr>
      <w:rFonts w:cs="Arial"/>
      <w:b/>
      <w:bCs/>
      <w:sz w:val="26"/>
      <w:szCs w:val="26"/>
    </w:rPr>
  </w:style>
  <w:style w:type="paragraph" w:styleId="Heading4">
    <w:name w:val="heading 4"/>
    <w:basedOn w:val="Normal"/>
    <w:next w:val="Normal"/>
    <w:link w:val="Heading4Char"/>
    <w:qFormat/>
    <w:rsid w:val="004E1C7A"/>
    <w:pPr>
      <w:keepNext/>
      <w:spacing w:before="240" w:after="60"/>
      <w:outlineLvl w:val="3"/>
    </w:pPr>
    <w:rPr>
      <w:rFonts w:ascii="Times New Roman" w:hAnsi="Times New Roman"/>
      <w:b/>
      <w:bCs/>
      <w:sz w:val="28"/>
      <w:szCs w:val="28"/>
      <w:lang w:val="nl-NL"/>
    </w:rPr>
  </w:style>
  <w:style w:type="paragraph" w:styleId="Heading5">
    <w:name w:val="heading 5"/>
    <w:aliases w:val="neodkazujici nadpisy"/>
    <w:basedOn w:val="Normal"/>
    <w:next w:val="Normal"/>
    <w:link w:val="Heading5Char"/>
    <w:unhideWhenUsed/>
    <w:qFormat/>
    <w:rsid w:val="004E1C7A"/>
    <w:pPr>
      <w:spacing w:before="240" w:after="60"/>
      <w:outlineLvl w:val="4"/>
    </w:pPr>
    <w:rPr>
      <w:rFonts w:ascii="Calibri" w:eastAsia="Times New Roman" w:hAnsi="Calibri"/>
      <w:b/>
      <w:bCs/>
      <w:i/>
      <w:iCs/>
      <w:sz w:val="26"/>
      <w:szCs w:val="26"/>
      <w:lang w:val="nl-NL"/>
    </w:rPr>
  </w:style>
  <w:style w:type="paragraph" w:styleId="Heading9">
    <w:name w:val="heading 9"/>
    <w:basedOn w:val="Normal"/>
    <w:next w:val="Normal"/>
    <w:link w:val="Heading9Char"/>
    <w:semiHidden/>
    <w:unhideWhenUsed/>
    <w:qFormat/>
    <w:rsid w:val="0087010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03D54"/>
    <w:rPr>
      <w:rFonts w:ascii="Arial Narrow" w:hAnsi="Arial Narrow" w:cs="Arial"/>
      <w:b/>
      <w:bCs/>
      <w:caps/>
      <w:spacing w:val="40"/>
      <w:kern w:val="32"/>
      <w:sz w:val="30"/>
      <w:szCs w:val="32"/>
      <w:lang w:val="nl-NL" w:eastAsia="zh-CN"/>
    </w:rPr>
  </w:style>
  <w:style w:type="character" w:customStyle="1" w:styleId="Heading2Char">
    <w:name w:val="Heading 2 Char"/>
    <w:basedOn w:val="DefaultParagraphFont"/>
    <w:link w:val="Heading2"/>
    <w:rsid w:val="00107242"/>
    <w:rPr>
      <w:rFonts w:ascii="Arial Narrow" w:hAnsi="Arial Narrow" w:cs="Arial"/>
      <w:b/>
      <w:bCs/>
      <w:i/>
      <w:iCs/>
      <w:sz w:val="28"/>
      <w:szCs w:val="28"/>
      <w:lang w:eastAsia="zh-CN"/>
    </w:rPr>
  </w:style>
  <w:style w:type="character" w:customStyle="1" w:styleId="Heading3Char">
    <w:name w:val="Heading 3 Char"/>
    <w:basedOn w:val="DefaultParagraphFont"/>
    <w:link w:val="Heading3"/>
    <w:rsid w:val="00107242"/>
    <w:rPr>
      <w:rFonts w:ascii="Arial Narrow" w:hAnsi="Arial Narrow" w:cs="Arial"/>
      <w:b/>
      <w:bCs/>
      <w:sz w:val="26"/>
      <w:szCs w:val="26"/>
      <w:lang w:eastAsia="zh-CN"/>
    </w:rPr>
  </w:style>
  <w:style w:type="character" w:customStyle="1" w:styleId="Heading4Char">
    <w:name w:val="Heading 4 Char"/>
    <w:basedOn w:val="DefaultParagraphFont"/>
    <w:link w:val="Heading4"/>
    <w:rsid w:val="004E1C7A"/>
    <w:rPr>
      <w:b/>
      <w:bCs/>
      <w:sz w:val="28"/>
      <w:szCs w:val="28"/>
      <w:lang w:val="nl-NL" w:eastAsia="zh-CN"/>
    </w:rPr>
  </w:style>
  <w:style w:type="character" w:customStyle="1" w:styleId="Heading5Char">
    <w:name w:val="Heading 5 Char"/>
    <w:aliases w:val="neodkazujici nadpisy Char"/>
    <w:basedOn w:val="DefaultParagraphFont"/>
    <w:link w:val="Heading5"/>
    <w:rsid w:val="004E1C7A"/>
    <w:rPr>
      <w:rFonts w:ascii="Calibri" w:eastAsia="Times New Roman" w:hAnsi="Calibri"/>
      <w:b/>
      <w:bCs/>
      <w:i/>
      <w:iCs/>
      <w:sz w:val="26"/>
      <w:szCs w:val="26"/>
      <w:lang w:val="nl-NL" w:eastAsia="zh-CN"/>
    </w:rPr>
  </w:style>
  <w:style w:type="character" w:customStyle="1" w:styleId="Heading9Char">
    <w:name w:val="Heading 9 Char"/>
    <w:basedOn w:val="DefaultParagraphFont"/>
    <w:link w:val="Heading9"/>
    <w:semiHidden/>
    <w:rsid w:val="00870101"/>
    <w:rPr>
      <w:rFonts w:asciiTheme="majorHAnsi" w:eastAsiaTheme="majorEastAsia" w:hAnsiTheme="majorHAnsi" w:cstheme="majorBidi"/>
      <w:i/>
      <w:iCs/>
      <w:color w:val="404040" w:themeColor="text1" w:themeTint="BF"/>
      <w:lang w:eastAsia="zh-CN"/>
    </w:rPr>
  </w:style>
  <w:style w:type="paragraph" w:customStyle="1" w:styleId="CharChar2">
    <w:name w:val="Char Char2"/>
    <w:basedOn w:val="Normal"/>
    <w:rsid w:val="00C1301A"/>
    <w:pPr>
      <w:spacing w:after="160" w:line="240" w:lineRule="exact"/>
      <w:jc w:val="left"/>
    </w:pPr>
    <w:rPr>
      <w:rFonts w:ascii="Tahoma" w:eastAsia="Times New Roman" w:hAnsi="Tahoma" w:cs="Tahoma"/>
      <w:sz w:val="20"/>
      <w:szCs w:val="20"/>
      <w:lang w:val="en-US" w:eastAsia="en-US"/>
    </w:rPr>
  </w:style>
  <w:style w:type="character" w:customStyle="1" w:styleId="NvrhP-text">
    <w:name w:val="Návrh ÚP - text"/>
    <w:rsid w:val="00D63F01"/>
    <w:rPr>
      <w:rFonts w:ascii="Arial Narrow" w:hAnsi="Arial Narrow"/>
    </w:rPr>
  </w:style>
  <w:style w:type="table" w:styleId="TableGrid">
    <w:name w:val="Table Grid"/>
    <w:basedOn w:val="TableNormal"/>
    <w:uiPriority w:val="59"/>
    <w:rsid w:val="00DA3587"/>
    <w:pPr>
      <w:spacing w:line="255"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rsid w:val="0044022D"/>
    <w:pPr>
      <w:numPr>
        <w:numId w:val="1"/>
      </w:numPr>
      <w:tabs>
        <w:tab w:val="left" w:pos="357"/>
      </w:tabs>
      <w:spacing w:before="60" w:line="288" w:lineRule="auto"/>
    </w:pPr>
    <w:rPr>
      <w:rFonts w:eastAsia="Times New Roman"/>
      <w:szCs w:val="24"/>
      <w:lang w:eastAsia="cs-CZ"/>
    </w:rPr>
  </w:style>
  <w:style w:type="paragraph" w:styleId="Header">
    <w:name w:val="header"/>
    <w:basedOn w:val="Normal"/>
    <w:link w:val="HeaderChar"/>
    <w:rsid w:val="00620398"/>
    <w:pPr>
      <w:tabs>
        <w:tab w:val="center" w:pos="4320"/>
        <w:tab w:val="right" w:pos="8640"/>
      </w:tabs>
    </w:pPr>
  </w:style>
  <w:style w:type="character" w:customStyle="1" w:styleId="HeaderChar">
    <w:name w:val="Header Char"/>
    <w:basedOn w:val="DefaultParagraphFont"/>
    <w:link w:val="Header"/>
    <w:rsid w:val="004E1C7A"/>
    <w:rPr>
      <w:rFonts w:ascii="Arial" w:hAnsi="Arial"/>
      <w:sz w:val="22"/>
      <w:szCs w:val="22"/>
      <w:lang w:eastAsia="zh-CN"/>
    </w:rPr>
  </w:style>
  <w:style w:type="paragraph" w:styleId="Footer">
    <w:name w:val="footer"/>
    <w:basedOn w:val="Normal"/>
    <w:link w:val="FooterChar"/>
    <w:rsid w:val="00620398"/>
    <w:pPr>
      <w:tabs>
        <w:tab w:val="center" w:pos="4320"/>
        <w:tab w:val="right" w:pos="8640"/>
      </w:tabs>
    </w:pPr>
  </w:style>
  <w:style w:type="character" w:customStyle="1" w:styleId="FooterChar">
    <w:name w:val="Footer Char"/>
    <w:basedOn w:val="DefaultParagraphFont"/>
    <w:link w:val="Footer"/>
    <w:rsid w:val="00F3079D"/>
    <w:rPr>
      <w:rFonts w:ascii="Arial" w:hAnsi="Arial"/>
      <w:sz w:val="22"/>
      <w:szCs w:val="22"/>
      <w:lang w:eastAsia="zh-CN"/>
    </w:rPr>
  </w:style>
  <w:style w:type="character" w:styleId="PageNumber">
    <w:name w:val="page number"/>
    <w:basedOn w:val="DefaultParagraphFont"/>
    <w:rsid w:val="00620398"/>
  </w:style>
  <w:style w:type="paragraph" w:customStyle="1" w:styleId="CharChar1">
    <w:name w:val="Char Char1"/>
    <w:basedOn w:val="Normal"/>
    <w:rsid w:val="00D61D45"/>
    <w:pPr>
      <w:spacing w:after="160" w:line="240" w:lineRule="exact"/>
    </w:pPr>
    <w:rPr>
      <w:rFonts w:ascii="Times New Roman Bold" w:hAnsi="Times New Roman Bold"/>
      <w:szCs w:val="26"/>
      <w:lang w:val="sk-SK" w:eastAsia="en-US"/>
    </w:rPr>
  </w:style>
  <w:style w:type="character" w:styleId="Hyperlink">
    <w:name w:val="Hyperlink"/>
    <w:uiPriority w:val="99"/>
    <w:rsid w:val="00D61D45"/>
    <w:rPr>
      <w:color w:val="0000FF"/>
      <w:u w:val="single"/>
    </w:rPr>
  </w:style>
  <w:style w:type="paragraph" w:styleId="TOC3">
    <w:name w:val="toc 3"/>
    <w:basedOn w:val="Normal"/>
    <w:next w:val="Normal"/>
    <w:autoRedefine/>
    <w:uiPriority w:val="39"/>
    <w:rsid w:val="00CE13C2"/>
    <w:pPr>
      <w:tabs>
        <w:tab w:val="left" w:pos="1100"/>
        <w:tab w:val="right" w:leader="dot" w:pos="9062"/>
      </w:tabs>
      <w:spacing w:after="60" w:line="240" w:lineRule="auto"/>
      <w:ind w:left="1134" w:hanging="680"/>
    </w:pPr>
    <w:rPr>
      <w:rFonts w:cs="Arial"/>
      <w:bCs/>
      <w:noProof/>
      <w:sz w:val="20"/>
      <w:szCs w:val="20"/>
      <w:lang w:eastAsia="en-US"/>
    </w:rPr>
  </w:style>
  <w:style w:type="character" w:customStyle="1" w:styleId="apple-style-span">
    <w:name w:val="apple-style-span"/>
    <w:basedOn w:val="DefaultParagraphFont"/>
    <w:rsid w:val="00E00E87"/>
  </w:style>
  <w:style w:type="paragraph" w:styleId="FootnoteText">
    <w:name w:val="footnote text"/>
    <w:aliases w:val="Schriftart: 9 pt,Schriftart: 10 pt,Schriftart: 8 pt,pozn. pod čarou"/>
    <w:basedOn w:val="Normal"/>
    <w:link w:val="FootnoteTextChar"/>
    <w:qFormat/>
    <w:rsid w:val="00DF13C2"/>
    <w:pPr>
      <w:spacing w:after="60" w:line="240" w:lineRule="auto"/>
    </w:pPr>
    <w:rPr>
      <w:sz w:val="20"/>
      <w:szCs w:val="20"/>
    </w:rPr>
  </w:style>
  <w:style w:type="character" w:customStyle="1" w:styleId="FootnoteTextChar">
    <w:name w:val="Footnote Text Char"/>
    <w:aliases w:val="Schriftart: 9 pt Char,Schriftart: 10 pt Char,Schriftart: 8 pt Char,pozn. pod čarou Char"/>
    <w:link w:val="FootnoteText"/>
    <w:locked/>
    <w:rsid w:val="00D16C2B"/>
    <w:rPr>
      <w:rFonts w:ascii="Arial" w:hAnsi="Arial"/>
      <w:lang w:val="cs-CZ"/>
    </w:rPr>
  </w:style>
  <w:style w:type="character" w:styleId="FootnoteReference">
    <w:name w:val="footnote reference"/>
    <w:qFormat/>
    <w:rsid w:val="00DF13C2"/>
    <w:rPr>
      <w:rFonts w:ascii="Arial" w:hAnsi="Arial"/>
      <w:dstrike w:val="0"/>
      <w:color w:val="FF0000"/>
      <w:sz w:val="20"/>
      <w:szCs w:val="20"/>
      <w:vertAlign w:val="superscript"/>
    </w:rPr>
  </w:style>
  <w:style w:type="character" w:styleId="CommentReference">
    <w:name w:val="annotation reference"/>
    <w:semiHidden/>
    <w:rsid w:val="00B532FF"/>
    <w:rPr>
      <w:sz w:val="16"/>
      <w:szCs w:val="16"/>
    </w:rPr>
  </w:style>
  <w:style w:type="paragraph" w:styleId="TOC1">
    <w:name w:val="toc 1"/>
    <w:basedOn w:val="Normal"/>
    <w:next w:val="Normal"/>
    <w:autoRedefine/>
    <w:uiPriority w:val="39"/>
    <w:rsid w:val="00AE3B07"/>
    <w:pPr>
      <w:tabs>
        <w:tab w:val="left" w:pos="709"/>
        <w:tab w:val="right" w:leader="dot" w:pos="9072"/>
      </w:tabs>
      <w:spacing w:before="60" w:after="60"/>
      <w:ind w:left="284" w:hanging="284"/>
    </w:pPr>
    <w:rPr>
      <w:rFonts w:cs="Arial"/>
      <w:noProof/>
      <w:sz w:val="20"/>
      <w:szCs w:val="18"/>
      <w:lang w:eastAsia="en-US"/>
    </w:rPr>
  </w:style>
  <w:style w:type="paragraph" w:styleId="TOC2">
    <w:name w:val="toc 2"/>
    <w:basedOn w:val="Normal"/>
    <w:next w:val="Normal"/>
    <w:autoRedefine/>
    <w:uiPriority w:val="39"/>
    <w:rsid w:val="00CE13C2"/>
    <w:pPr>
      <w:tabs>
        <w:tab w:val="left" w:pos="880"/>
        <w:tab w:val="right" w:leader="dot" w:pos="9072"/>
      </w:tabs>
      <w:spacing w:before="60" w:after="60" w:line="240" w:lineRule="auto"/>
      <w:ind w:left="851" w:hanging="567"/>
    </w:pPr>
    <w:rPr>
      <w:sz w:val="20"/>
    </w:rPr>
  </w:style>
  <w:style w:type="paragraph" w:styleId="CommentText">
    <w:name w:val="annotation text"/>
    <w:basedOn w:val="Normal"/>
    <w:link w:val="CommentTextChar"/>
    <w:semiHidden/>
    <w:rsid w:val="00B532FF"/>
    <w:rPr>
      <w:sz w:val="20"/>
      <w:szCs w:val="20"/>
    </w:rPr>
  </w:style>
  <w:style w:type="character" w:customStyle="1" w:styleId="CommentTextChar">
    <w:name w:val="Comment Text Char"/>
    <w:link w:val="CommentText"/>
    <w:semiHidden/>
    <w:rsid w:val="005354D2"/>
    <w:rPr>
      <w:rFonts w:ascii="Arial" w:hAnsi="Arial"/>
      <w:lang w:val="cs-CZ"/>
    </w:rPr>
  </w:style>
  <w:style w:type="paragraph" w:styleId="CommentSubject">
    <w:name w:val="annotation subject"/>
    <w:basedOn w:val="CommentText"/>
    <w:next w:val="CommentText"/>
    <w:link w:val="CommentSubjectChar"/>
    <w:semiHidden/>
    <w:rsid w:val="00B532FF"/>
    <w:rPr>
      <w:b/>
      <w:bCs/>
    </w:rPr>
  </w:style>
  <w:style w:type="character" w:customStyle="1" w:styleId="CommentSubjectChar">
    <w:name w:val="Comment Subject Char"/>
    <w:basedOn w:val="CommentTextChar"/>
    <w:link w:val="CommentSubject"/>
    <w:semiHidden/>
    <w:rsid w:val="00CB42B3"/>
    <w:rPr>
      <w:rFonts w:ascii="Arial Narrow" w:hAnsi="Arial Narrow"/>
      <w:b/>
      <w:bCs/>
      <w:lang w:val="cs-CZ" w:eastAsia="zh-CN"/>
    </w:rPr>
  </w:style>
  <w:style w:type="paragraph" w:styleId="BalloonText">
    <w:name w:val="Balloon Text"/>
    <w:basedOn w:val="Normal"/>
    <w:link w:val="BalloonTextChar"/>
    <w:uiPriority w:val="99"/>
    <w:rsid w:val="00B532FF"/>
    <w:rPr>
      <w:rFonts w:ascii="Tahoma" w:hAnsi="Tahoma" w:cs="Tahoma"/>
      <w:sz w:val="16"/>
      <w:szCs w:val="16"/>
    </w:rPr>
  </w:style>
  <w:style w:type="character" w:customStyle="1" w:styleId="BalloonTextChar">
    <w:name w:val="Balloon Text Char"/>
    <w:basedOn w:val="DefaultParagraphFont"/>
    <w:link w:val="BalloonText"/>
    <w:uiPriority w:val="99"/>
    <w:rsid w:val="004E1C7A"/>
    <w:rPr>
      <w:rFonts w:ascii="Tahoma" w:hAnsi="Tahoma" w:cs="Tahoma"/>
      <w:sz w:val="16"/>
      <w:szCs w:val="16"/>
      <w:lang w:eastAsia="zh-CN"/>
    </w:rPr>
  </w:style>
  <w:style w:type="character" w:styleId="FollowedHyperlink">
    <w:name w:val="FollowedHyperlink"/>
    <w:rsid w:val="00B532FF"/>
    <w:rPr>
      <w:color w:val="800080"/>
      <w:u w:val="single"/>
    </w:rPr>
  </w:style>
  <w:style w:type="paragraph" w:styleId="BodyText">
    <w:name w:val="Body Text"/>
    <w:basedOn w:val="Normal"/>
    <w:link w:val="BodyTextChar"/>
    <w:rsid w:val="00D822F4"/>
    <w:pPr>
      <w:spacing w:line="240" w:lineRule="auto"/>
    </w:pPr>
    <w:rPr>
      <w:rFonts w:eastAsia="Times New Roman" w:cs="Arial"/>
      <w:sz w:val="24"/>
      <w:szCs w:val="24"/>
      <w:lang w:eastAsia="cs-CZ"/>
    </w:rPr>
  </w:style>
  <w:style w:type="character" w:customStyle="1" w:styleId="BodyTextChar">
    <w:name w:val="Body Text Char"/>
    <w:basedOn w:val="DefaultParagraphFont"/>
    <w:link w:val="BodyText"/>
    <w:rsid w:val="00CB42B3"/>
    <w:rPr>
      <w:rFonts w:ascii="Arial Narrow" w:eastAsia="Times New Roman" w:hAnsi="Arial Narrow" w:cs="Arial"/>
      <w:sz w:val="24"/>
      <w:szCs w:val="24"/>
    </w:rPr>
  </w:style>
  <w:style w:type="character" w:customStyle="1" w:styleId="apple-converted-space">
    <w:name w:val="apple-converted-space"/>
    <w:basedOn w:val="DefaultParagraphFont"/>
    <w:rsid w:val="001D61B8"/>
  </w:style>
  <w:style w:type="paragraph" w:customStyle="1" w:styleId="0NORML">
    <w:name w:val="0NORMÁLŃÍ"/>
    <w:basedOn w:val="Normal"/>
    <w:rsid w:val="005F24DC"/>
    <w:pPr>
      <w:spacing w:before="200" w:line="240" w:lineRule="auto"/>
      <w:jc w:val="left"/>
    </w:pPr>
    <w:rPr>
      <w:rFonts w:ascii="Times New Roman" w:eastAsia="Times New Roman" w:hAnsi="Times New Roman"/>
      <w:caps/>
      <w:color w:val="000000"/>
      <w:sz w:val="20"/>
      <w:szCs w:val="24"/>
      <w:lang w:eastAsia="cs-CZ"/>
    </w:rPr>
  </w:style>
  <w:style w:type="paragraph" w:customStyle="1" w:styleId="Styl12NORML12b">
    <w:name w:val="Styl 12NORMÁLŃÍ + 12 b."/>
    <w:basedOn w:val="0NORML"/>
    <w:rsid w:val="005F24DC"/>
    <w:rPr>
      <w:sz w:val="24"/>
    </w:rPr>
  </w:style>
  <w:style w:type="character" w:customStyle="1" w:styleId="Styl12NORML12bChar">
    <w:name w:val="Styl 12NORMÁLŃÍ + 12 b. Char"/>
    <w:rsid w:val="005F24DC"/>
    <w:rPr>
      <w:caps/>
      <w:color w:val="000000"/>
      <w:sz w:val="24"/>
      <w:szCs w:val="24"/>
      <w:lang w:val="cs-CZ" w:eastAsia="cs-CZ" w:bidi="ar-SA"/>
    </w:rPr>
  </w:style>
  <w:style w:type="paragraph" w:styleId="Date">
    <w:name w:val="Date"/>
    <w:basedOn w:val="Normal"/>
    <w:next w:val="Normal"/>
    <w:link w:val="DateChar"/>
    <w:rsid w:val="00503099"/>
  </w:style>
  <w:style w:type="character" w:customStyle="1" w:styleId="DateChar">
    <w:name w:val="Date Char"/>
    <w:basedOn w:val="DefaultParagraphFont"/>
    <w:link w:val="Date"/>
    <w:rsid w:val="00CB42B3"/>
    <w:rPr>
      <w:rFonts w:ascii="Arial Narrow" w:hAnsi="Arial Narrow"/>
      <w:sz w:val="22"/>
      <w:szCs w:val="22"/>
      <w:lang w:eastAsia="zh-CN"/>
    </w:rPr>
  </w:style>
  <w:style w:type="paragraph" w:customStyle="1" w:styleId="xl26">
    <w:name w:val="xl26"/>
    <w:basedOn w:val="Normal"/>
    <w:rsid w:val="003354D1"/>
    <w:pPr>
      <w:spacing w:before="100" w:beforeAutospacing="1" w:after="100" w:afterAutospacing="1" w:line="240" w:lineRule="auto"/>
      <w:jc w:val="center"/>
    </w:pPr>
    <w:rPr>
      <w:rFonts w:eastAsia="Arial Unicode MS" w:cs="Arial Unicode MS"/>
      <w:lang w:eastAsia="cs-CZ"/>
    </w:rPr>
  </w:style>
  <w:style w:type="paragraph" w:customStyle="1" w:styleId="Default">
    <w:name w:val="Default"/>
    <w:link w:val="DefaultChar"/>
    <w:rsid w:val="006423DA"/>
    <w:pPr>
      <w:autoSpaceDE w:val="0"/>
      <w:autoSpaceDN w:val="0"/>
      <w:adjustRightInd w:val="0"/>
    </w:pPr>
    <w:rPr>
      <w:rFonts w:ascii="Arial" w:hAnsi="Arial" w:cs="Arial"/>
      <w:color w:val="000000"/>
      <w:sz w:val="24"/>
      <w:szCs w:val="24"/>
      <w:lang w:val="en-US" w:eastAsia="zh-CN"/>
    </w:rPr>
  </w:style>
  <w:style w:type="character" w:customStyle="1" w:styleId="DefaultChar">
    <w:name w:val="Default Char"/>
    <w:link w:val="Default"/>
    <w:rsid w:val="008B5658"/>
    <w:rPr>
      <w:rFonts w:ascii="Arial" w:hAnsi="Arial" w:cs="Arial"/>
      <w:color w:val="000000"/>
      <w:sz w:val="24"/>
      <w:szCs w:val="24"/>
      <w:lang w:val="en-US" w:eastAsia="zh-CN"/>
    </w:rPr>
  </w:style>
  <w:style w:type="character" w:customStyle="1" w:styleId="NvrhP-Heading1CharChar">
    <w:name w:val="Návrh ÚP - Heading 1 Char Char"/>
    <w:rsid w:val="00395A30"/>
    <w:rPr>
      <w:rFonts w:ascii="Arial Narrow" w:eastAsia="SimSun" w:hAnsi="Arial Narrow" w:cs="Arial"/>
      <w:b/>
      <w:bCs/>
      <w:kern w:val="32"/>
      <w:sz w:val="32"/>
      <w:szCs w:val="32"/>
      <w:lang w:val="nl-NL" w:eastAsia="zh-CN" w:bidi="ar-SA"/>
    </w:rPr>
  </w:style>
  <w:style w:type="paragraph" w:customStyle="1" w:styleId="CharCharCharCharCharChar">
    <w:name w:val="Char Char Char Char Char Char"/>
    <w:basedOn w:val="Normal"/>
    <w:rsid w:val="004567A0"/>
    <w:pPr>
      <w:spacing w:after="160" w:line="240" w:lineRule="exact"/>
      <w:jc w:val="left"/>
    </w:pPr>
    <w:rPr>
      <w:rFonts w:ascii="Tahoma" w:eastAsia="Times New Roman" w:hAnsi="Tahoma" w:cs="Tahoma"/>
      <w:sz w:val="20"/>
      <w:szCs w:val="20"/>
      <w:lang w:val="en-US" w:eastAsia="en-US"/>
    </w:rPr>
  </w:style>
  <w:style w:type="paragraph" w:customStyle="1" w:styleId="StyleHeading1">
    <w:name w:val="Style Heading 1"/>
    <w:aliases w:val="Návrh ÚP - Heading 1 + Before:  6 pt After:  6 pt"/>
    <w:basedOn w:val="Heading1"/>
    <w:rsid w:val="00792E1D"/>
    <w:pPr>
      <w:spacing w:after="120"/>
    </w:pPr>
    <w:rPr>
      <w:rFonts w:cs="Times New Roman"/>
      <w:szCs w:val="20"/>
    </w:rPr>
  </w:style>
  <w:style w:type="paragraph" w:styleId="DocumentMap">
    <w:name w:val="Document Map"/>
    <w:basedOn w:val="Normal"/>
    <w:link w:val="DocumentMapChar"/>
    <w:semiHidden/>
    <w:rsid w:val="001E4FB4"/>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CB42B3"/>
    <w:rPr>
      <w:rFonts w:ascii="Tahoma" w:hAnsi="Tahoma" w:cs="Tahoma"/>
      <w:shd w:val="clear" w:color="auto" w:fill="000080"/>
      <w:lang w:eastAsia="zh-CN"/>
    </w:rPr>
  </w:style>
  <w:style w:type="paragraph" w:customStyle="1" w:styleId="UText">
    <w:name w:val="UText"/>
    <w:basedOn w:val="Normal"/>
    <w:rsid w:val="009121B7"/>
    <w:pPr>
      <w:overflowPunct w:val="0"/>
      <w:autoSpaceDE w:val="0"/>
      <w:autoSpaceDN w:val="0"/>
      <w:adjustRightInd w:val="0"/>
      <w:spacing w:line="240" w:lineRule="auto"/>
      <w:textAlignment w:val="baseline"/>
    </w:pPr>
    <w:rPr>
      <w:rFonts w:ascii="Times New Roman" w:eastAsia="Times New Roman" w:hAnsi="Times New Roman"/>
      <w:sz w:val="24"/>
      <w:szCs w:val="20"/>
      <w:lang w:eastAsia="cs-CZ"/>
    </w:rPr>
  </w:style>
  <w:style w:type="paragraph" w:styleId="BodyTextIndent2">
    <w:name w:val="Body Text Indent 2"/>
    <w:basedOn w:val="Normal"/>
    <w:link w:val="BodyTextIndent2Char"/>
    <w:rsid w:val="00641F9C"/>
    <w:pPr>
      <w:spacing w:after="120" w:line="480" w:lineRule="auto"/>
      <w:ind w:left="283"/>
    </w:pPr>
  </w:style>
  <w:style w:type="character" w:customStyle="1" w:styleId="BodyTextIndent2Char">
    <w:name w:val="Body Text Indent 2 Char"/>
    <w:basedOn w:val="DefaultParagraphFont"/>
    <w:link w:val="BodyTextIndent2"/>
    <w:rsid w:val="00CB42B3"/>
    <w:rPr>
      <w:rFonts w:ascii="Arial Narrow" w:hAnsi="Arial Narrow"/>
      <w:sz w:val="22"/>
      <w:szCs w:val="22"/>
      <w:lang w:eastAsia="zh-CN"/>
    </w:rPr>
  </w:style>
  <w:style w:type="paragraph" w:styleId="BodyTextIndent">
    <w:name w:val="Body Text Indent"/>
    <w:basedOn w:val="Normal"/>
    <w:link w:val="BodyTextIndentChar"/>
    <w:rsid w:val="00203FBF"/>
    <w:pPr>
      <w:spacing w:after="120"/>
      <w:ind w:left="283"/>
    </w:pPr>
  </w:style>
  <w:style w:type="character" w:customStyle="1" w:styleId="BodyTextIndentChar">
    <w:name w:val="Body Text Indent Char"/>
    <w:basedOn w:val="DefaultParagraphFont"/>
    <w:link w:val="BodyTextIndent"/>
    <w:rsid w:val="006E3B0F"/>
    <w:rPr>
      <w:rFonts w:ascii="Arial Narrow" w:hAnsi="Arial Narrow"/>
      <w:sz w:val="22"/>
      <w:szCs w:val="22"/>
      <w:lang w:eastAsia="zh-CN"/>
    </w:rPr>
  </w:style>
  <w:style w:type="paragraph" w:customStyle="1" w:styleId="CharChar">
    <w:name w:val="Char Char"/>
    <w:basedOn w:val="Normal"/>
    <w:rsid w:val="00186068"/>
    <w:pPr>
      <w:spacing w:after="160" w:line="240" w:lineRule="exact"/>
      <w:jc w:val="left"/>
    </w:pPr>
    <w:rPr>
      <w:rFonts w:ascii="Tahoma" w:eastAsia="Times New Roman" w:hAnsi="Tahoma" w:cs="Tahoma"/>
      <w:sz w:val="20"/>
      <w:szCs w:val="20"/>
      <w:lang w:val="en-US" w:eastAsia="en-US"/>
    </w:rPr>
  </w:style>
  <w:style w:type="paragraph" w:customStyle="1" w:styleId="CharChar3">
    <w:name w:val="Char Char3"/>
    <w:basedOn w:val="Normal"/>
    <w:rsid w:val="00342B4E"/>
    <w:pPr>
      <w:spacing w:after="160" w:line="240" w:lineRule="exact"/>
      <w:jc w:val="left"/>
    </w:pPr>
    <w:rPr>
      <w:rFonts w:ascii="Tahoma" w:eastAsia="Times New Roman" w:hAnsi="Tahoma" w:cs="Tahoma"/>
      <w:sz w:val="20"/>
      <w:szCs w:val="20"/>
      <w:lang w:val="en-US" w:eastAsia="en-US"/>
    </w:rPr>
  </w:style>
  <w:style w:type="paragraph" w:customStyle="1" w:styleId="CharChar4">
    <w:name w:val="Char Char4"/>
    <w:basedOn w:val="Normal"/>
    <w:rsid w:val="000C4D37"/>
    <w:pPr>
      <w:spacing w:after="160" w:line="240" w:lineRule="exact"/>
      <w:jc w:val="left"/>
    </w:pPr>
    <w:rPr>
      <w:rFonts w:ascii="Tahoma" w:eastAsia="Times New Roman" w:hAnsi="Tahoma" w:cs="Tahoma"/>
      <w:sz w:val="20"/>
      <w:szCs w:val="20"/>
      <w:lang w:val="en-US" w:eastAsia="en-US"/>
    </w:rPr>
  </w:style>
  <w:style w:type="paragraph" w:customStyle="1" w:styleId="StylPrvndek">
    <w:name w:val="Styl První řádek"/>
    <w:basedOn w:val="Normal"/>
    <w:rsid w:val="00B14F0A"/>
    <w:pPr>
      <w:keepLines/>
      <w:spacing w:line="240" w:lineRule="auto"/>
      <w:ind w:firstLine="851"/>
    </w:pPr>
    <w:rPr>
      <w:rFonts w:ascii="Times New Roman" w:eastAsia="Times New Roman" w:hAnsi="Times New Roman"/>
      <w:color w:val="000000"/>
      <w:sz w:val="24"/>
      <w:szCs w:val="24"/>
      <w:lang w:eastAsia="cs-CZ"/>
    </w:rPr>
  </w:style>
  <w:style w:type="character" w:customStyle="1" w:styleId="nvrhp-text0">
    <w:name w:val="nvrhp-text"/>
    <w:rsid w:val="00A77875"/>
    <w:rPr>
      <w:rFonts w:ascii="Arial Narrow" w:hAnsi="Arial Narrow" w:hint="default"/>
    </w:rPr>
  </w:style>
  <w:style w:type="paragraph" w:customStyle="1" w:styleId="Normlnslovan">
    <w:name w:val="Normální číslovaný"/>
    <w:basedOn w:val="Normal"/>
    <w:rsid w:val="00FF731A"/>
    <w:pPr>
      <w:numPr>
        <w:numId w:val="2"/>
      </w:numPr>
      <w:spacing w:after="240" w:line="240" w:lineRule="auto"/>
    </w:pPr>
    <w:rPr>
      <w:rFonts w:eastAsia="Times New Roman" w:cs="Arial"/>
      <w:sz w:val="20"/>
      <w:szCs w:val="18"/>
      <w:lang w:eastAsia="cs-CZ"/>
    </w:rPr>
  </w:style>
  <w:style w:type="paragraph" w:styleId="ListParagraph">
    <w:name w:val="List Paragraph"/>
    <w:basedOn w:val="Normal"/>
    <w:uiPriority w:val="99"/>
    <w:qFormat/>
    <w:rsid w:val="00DB5777"/>
    <w:pPr>
      <w:ind w:left="708"/>
    </w:pPr>
  </w:style>
  <w:style w:type="paragraph" w:styleId="NoSpacing">
    <w:name w:val="No Spacing"/>
    <w:uiPriority w:val="1"/>
    <w:qFormat/>
    <w:rsid w:val="00F505B0"/>
    <w:pPr>
      <w:jc w:val="both"/>
    </w:pPr>
    <w:rPr>
      <w:rFonts w:ascii="Arial" w:hAnsi="Arial"/>
      <w:sz w:val="22"/>
      <w:szCs w:val="22"/>
      <w:lang w:eastAsia="zh-CN"/>
    </w:rPr>
  </w:style>
  <w:style w:type="paragraph" w:customStyle="1" w:styleId="b-pismeno">
    <w:name w:val="b-pismeno"/>
    <w:basedOn w:val="ListParagraph"/>
    <w:link w:val="b-pismenoChar"/>
    <w:qFormat/>
    <w:rsid w:val="00D550C3"/>
    <w:pPr>
      <w:numPr>
        <w:numId w:val="4"/>
      </w:numPr>
      <w:tabs>
        <w:tab w:val="left" w:pos="720"/>
      </w:tabs>
      <w:spacing w:before="60" w:line="240" w:lineRule="auto"/>
    </w:pPr>
    <w:rPr>
      <w:lang w:eastAsia="en-US"/>
    </w:rPr>
  </w:style>
  <w:style w:type="character" w:customStyle="1" w:styleId="b-pismenoChar">
    <w:name w:val="b-pismeno Char"/>
    <w:link w:val="b-pismeno"/>
    <w:rsid w:val="00D550C3"/>
    <w:rPr>
      <w:rFonts w:ascii="Arial Narrow" w:hAnsi="Arial Narrow"/>
      <w:sz w:val="22"/>
      <w:szCs w:val="22"/>
      <w:lang w:eastAsia="en-US"/>
    </w:rPr>
  </w:style>
  <w:style w:type="paragraph" w:customStyle="1" w:styleId="a-cislo">
    <w:name w:val="a-cislo"/>
    <w:basedOn w:val="Normal"/>
    <w:link w:val="a-cisloChar"/>
    <w:qFormat/>
    <w:rsid w:val="00A9758D"/>
    <w:pPr>
      <w:numPr>
        <w:numId w:val="3"/>
      </w:numPr>
      <w:spacing w:before="240" w:after="120" w:line="240" w:lineRule="auto"/>
    </w:pPr>
    <w:rPr>
      <w:rFonts w:cs="Arial"/>
    </w:rPr>
  </w:style>
  <w:style w:type="character" w:customStyle="1" w:styleId="a-cisloChar">
    <w:name w:val="a-cislo Char"/>
    <w:link w:val="a-cislo"/>
    <w:rsid w:val="00A9758D"/>
    <w:rPr>
      <w:rFonts w:ascii="Arial Narrow" w:hAnsi="Arial Narrow" w:cs="Arial"/>
      <w:sz w:val="22"/>
      <w:szCs w:val="22"/>
      <w:lang w:eastAsia="zh-CN"/>
    </w:rPr>
  </w:style>
  <w:style w:type="character" w:customStyle="1" w:styleId="c-podpsmenoChar">
    <w:name w:val="c-podpísmeno Char"/>
    <w:link w:val="c-podpsmeno"/>
    <w:locked/>
    <w:rsid w:val="0006031A"/>
    <w:rPr>
      <w:rFonts w:ascii="Arial Narrow" w:hAnsi="Arial Narrow"/>
      <w:sz w:val="22"/>
    </w:rPr>
  </w:style>
  <w:style w:type="paragraph" w:customStyle="1" w:styleId="c-podpsmeno">
    <w:name w:val="c-podpísmeno"/>
    <w:basedOn w:val="Normal"/>
    <w:link w:val="c-podpsmenoChar"/>
    <w:qFormat/>
    <w:rsid w:val="0006031A"/>
    <w:pPr>
      <w:spacing w:before="60" w:line="240" w:lineRule="auto"/>
      <w:ind w:left="1502" w:hanging="425"/>
    </w:pPr>
    <w:rPr>
      <w:szCs w:val="20"/>
    </w:rPr>
  </w:style>
  <w:style w:type="character" w:customStyle="1" w:styleId="Text">
    <w:name w:val="Text"/>
    <w:basedOn w:val="DefaultParagraphFont"/>
    <w:rsid w:val="002A3AEF"/>
    <w:rPr>
      <w:rFonts w:ascii="Arial Narrow" w:eastAsia="SimSun" w:hAnsi="Arial Narrow"/>
      <w:sz w:val="22"/>
      <w:lang w:val="en-US" w:eastAsia="zh-CN"/>
    </w:rPr>
  </w:style>
  <w:style w:type="paragraph" w:styleId="TOC4">
    <w:name w:val="toc 4"/>
    <w:basedOn w:val="Normal"/>
    <w:next w:val="Normal"/>
    <w:autoRedefine/>
    <w:uiPriority w:val="39"/>
    <w:unhideWhenUsed/>
    <w:rsid w:val="00D76D09"/>
    <w:pPr>
      <w:spacing w:after="100" w:line="276" w:lineRule="auto"/>
      <w:ind w:left="660"/>
      <w:jc w:val="left"/>
    </w:pPr>
    <w:rPr>
      <w:rFonts w:asciiTheme="minorHAnsi" w:eastAsiaTheme="minorEastAsia" w:hAnsiTheme="minorHAnsi" w:cstheme="minorBidi"/>
      <w:lang w:eastAsia="cs-CZ"/>
    </w:rPr>
  </w:style>
  <w:style w:type="paragraph" w:styleId="TOC5">
    <w:name w:val="toc 5"/>
    <w:basedOn w:val="Normal"/>
    <w:next w:val="Normal"/>
    <w:autoRedefine/>
    <w:uiPriority w:val="39"/>
    <w:unhideWhenUsed/>
    <w:rsid w:val="00D76D09"/>
    <w:pPr>
      <w:spacing w:after="100" w:line="276" w:lineRule="auto"/>
      <w:ind w:left="880"/>
      <w:jc w:val="left"/>
    </w:pPr>
    <w:rPr>
      <w:rFonts w:asciiTheme="minorHAnsi" w:eastAsiaTheme="minorEastAsia" w:hAnsiTheme="minorHAnsi" w:cstheme="minorBidi"/>
      <w:lang w:eastAsia="cs-CZ"/>
    </w:rPr>
  </w:style>
  <w:style w:type="paragraph" w:styleId="TOC6">
    <w:name w:val="toc 6"/>
    <w:basedOn w:val="Normal"/>
    <w:next w:val="Normal"/>
    <w:autoRedefine/>
    <w:uiPriority w:val="39"/>
    <w:unhideWhenUsed/>
    <w:rsid w:val="00D76D09"/>
    <w:pPr>
      <w:spacing w:after="100" w:line="276" w:lineRule="auto"/>
      <w:ind w:left="1100"/>
      <w:jc w:val="left"/>
    </w:pPr>
    <w:rPr>
      <w:rFonts w:asciiTheme="minorHAnsi" w:eastAsiaTheme="minorEastAsia" w:hAnsiTheme="minorHAnsi" w:cstheme="minorBidi"/>
      <w:lang w:eastAsia="cs-CZ"/>
    </w:rPr>
  </w:style>
  <w:style w:type="paragraph" w:styleId="TOC7">
    <w:name w:val="toc 7"/>
    <w:basedOn w:val="Normal"/>
    <w:next w:val="Normal"/>
    <w:autoRedefine/>
    <w:uiPriority w:val="39"/>
    <w:unhideWhenUsed/>
    <w:rsid w:val="00D76D09"/>
    <w:pPr>
      <w:spacing w:after="100" w:line="276" w:lineRule="auto"/>
      <w:ind w:left="1320"/>
      <w:jc w:val="left"/>
    </w:pPr>
    <w:rPr>
      <w:rFonts w:asciiTheme="minorHAnsi" w:eastAsiaTheme="minorEastAsia" w:hAnsiTheme="minorHAnsi" w:cstheme="minorBidi"/>
      <w:lang w:eastAsia="cs-CZ"/>
    </w:rPr>
  </w:style>
  <w:style w:type="paragraph" w:styleId="TOC8">
    <w:name w:val="toc 8"/>
    <w:basedOn w:val="Normal"/>
    <w:next w:val="Normal"/>
    <w:autoRedefine/>
    <w:uiPriority w:val="39"/>
    <w:unhideWhenUsed/>
    <w:rsid w:val="00D76D09"/>
    <w:pPr>
      <w:spacing w:after="100" w:line="276" w:lineRule="auto"/>
      <w:ind w:left="1540"/>
      <w:jc w:val="left"/>
    </w:pPr>
    <w:rPr>
      <w:rFonts w:asciiTheme="minorHAnsi" w:eastAsiaTheme="minorEastAsia" w:hAnsiTheme="minorHAnsi" w:cstheme="minorBidi"/>
      <w:lang w:eastAsia="cs-CZ"/>
    </w:rPr>
  </w:style>
  <w:style w:type="paragraph" w:styleId="TOC9">
    <w:name w:val="toc 9"/>
    <w:basedOn w:val="Normal"/>
    <w:next w:val="Normal"/>
    <w:autoRedefine/>
    <w:uiPriority w:val="39"/>
    <w:unhideWhenUsed/>
    <w:rsid w:val="00D76D09"/>
    <w:pPr>
      <w:spacing w:after="100" w:line="276" w:lineRule="auto"/>
      <w:ind w:left="1760"/>
      <w:jc w:val="left"/>
    </w:pPr>
    <w:rPr>
      <w:rFonts w:asciiTheme="minorHAnsi" w:eastAsiaTheme="minorEastAsia" w:hAnsiTheme="minorHAnsi" w:cstheme="minorBidi"/>
      <w:lang w:eastAsia="cs-CZ"/>
    </w:rPr>
  </w:style>
  <w:style w:type="paragraph" w:customStyle="1" w:styleId="1text">
    <w:name w:val="1_text"/>
    <w:basedOn w:val="Normal"/>
    <w:link w:val="1textChar"/>
    <w:qFormat/>
    <w:rsid w:val="003C3634"/>
    <w:pPr>
      <w:spacing w:before="120" w:line="240" w:lineRule="auto"/>
    </w:pPr>
  </w:style>
  <w:style w:type="character" w:customStyle="1" w:styleId="1textChar">
    <w:name w:val="1_text Char"/>
    <w:basedOn w:val="DefaultParagraphFont"/>
    <w:link w:val="1text"/>
    <w:rsid w:val="003C3634"/>
    <w:rPr>
      <w:rFonts w:ascii="Arial Narrow" w:hAnsi="Arial Narrow"/>
      <w:sz w:val="22"/>
      <w:szCs w:val="22"/>
      <w:lang w:eastAsia="zh-CN"/>
    </w:rPr>
  </w:style>
  <w:style w:type="paragraph" w:styleId="Subtitle">
    <w:name w:val="Subtitle"/>
    <w:basedOn w:val="Normal"/>
    <w:next w:val="Normal"/>
    <w:link w:val="SubtitleChar"/>
    <w:qFormat/>
    <w:rsid w:val="00112987"/>
    <w:pPr>
      <w:spacing w:before="120" w:after="60" w:line="240" w:lineRule="auto"/>
      <w:ind w:right="23"/>
      <w:jc w:val="left"/>
    </w:pPr>
    <w:rPr>
      <w:rFonts w:cs="Arial"/>
      <w:b/>
      <w:bCs/>
    </w:rPr>
  </w:style>
  <w:style w:type="character" w:customStyle="1" w:styleId="SubtitleChar">
    <w:name w:val="Subtitle Char"/>
    <w:basedOn w:val="DefaultParagraphFont"/>
    <w:link w:val="Subtitle"/>
    <w:rsid w:val="00112987"/>
    <w:rPr>
      <w:rFonts w:ascii="Arial Narrow" w:hAnsi="Arial Narrow" w:cs="Arial"/>
      <w:b/>
      <w:bCs/>
      <w:sz w:val="22"/>
      <w:szCs w:val="22"/>
      <w:lang w:eastAsia="zh-CN"/>
    </w:rPr>
  </w:style>
  <w:style w:type="paragraph" w:customStyle="1" w:styleId="CharCharCharCharCharChar1">
    <w:name w:val="Char Char Char Char Char Char1"/>
    <w:basedOn w:val="Normal"/>
    <w:rsid w:val="00112987"/>
    <w:pPr>
      <w:spacing w:after="160" w:line="240" w:lineRule="exact"/>
      <w:jc w:val="left"/>
    </w:pPr>
    <w:rPr>
      <w:rFonts w:ascii="Tahoma" w:eastAsia="Times New Roman" w:hAnsi="Tahoma" w:cs="Tahoma"/>
      <w:sz w:val="20"/>
      <w:szCs w:val="20"/>
      <w:lang w:val="en-US" w:eastAsia="en-US"/>
    </w:rPr>
  </w:style>
  <w:style w:type="paragraph" w:customStyle="1" w:styleId="Textbodu">
    <w:name w:val="Text bodu"/>
    <w:basedOn w:val="Normal"/>
    <w:rsid w:val="00A9758D"/>
    <w:pPr>
      <w:spacing w:before="120" w:line="240" w:lineRule="auto"/>
      <w:outlineLvl w:val="8"/>
    </w:pPr>
    <w:rPr>
      <w:rFonts w:ascii="Century Gothic" w:eastAsia="Times New Roman" w:hAnsi="Century Gothic"/>
      <w:sz w:val="24"/>
      <w:szCs w:val="20"/>
      <w:lang w:eastAsia="cs-CZ"/>
    </w:rPr>
  </w:style>
  <w:style w:type="paragraph" w:customStyle="1" w:styleId="CharCharCharCharCharChar0">
    <w:name w:val="Char Char Char Char Char Char"/>
    <w:basedOn w:val="Normal"/>
    <w:rsid w:val="00BB7566"/>
    <w:pPr>
      <w:spacing w:after="160" w:line="240" w:lineRule="exact"/>
      <w:jc w:val="left"/>
    </w:pPr>
    <w:rPr>
      <w:rFonts w:ascii="Tahoma" w:eastAsia="Times New Roman" w:hAnsi="Tahoma" w:cs="Tahoma"/>
      <w:sz w:val="20"/>
      <w:szCs w:val="20"/>
      <w:lang w:val="en-US" w:eastAsia="en-US"/>
    </w:rPr>
  </w:style>
  <w:style w:type="paragraph" w:customStyle="1" w:styleId="CharChar3CharCharCharChar">
    <w:name w:val="Char Char3 Char Char Char Char"/>
    <w:basedOn w:val="Normal"/>
    <w:rsid w:val="004E1C7A"/>
    <w:pPr>
      <w:spacing w:after="160" w:line="240" w:lineRule="exact"/>
      <w:jc w:val="left"/>
    </w:pPr>
    <w:rPr>
      <w:rFonts w:ascii="Tahoma" w:eastAsia="Times New Roman" w:hAnsi="Tahoma" w:cs="Tahoma"/>
      <w:sz w:val="20"/>
      <w:szCs w:val="20"/>
      <w:lang w:val="en-US" w:eastAsia="en-US"/>
    </w:rPr>
  </w:style>
  <w:style w:type="paragraph" w:customStyle="1" w:styleId="Normln1">
    <w:name w:val="Normální1"/>
    <w:basedOn w:val="Default"/>
    <w:next w:val="Default"/>
    <w:rsid w:val="004E1C7A"/>
    <w:rPr>
      <w:rFonts w:cs="Times New Roman"/>
      <w:color w:val="auto"/>
    </w:rPr>
  </w:style>
  <w:style w:type="paragraph" w:customStyle="1" w:styleId="Nadpis31">
    <w:name w:val="Nadpis 31"/>
    <w:basedOn w:val="Default"/>
    <w:next w:val="Default"/>
    <w:rsid w:val="004E1C7A"/>
    <w:rPr>
      <w:rFonts w:cs="Times New Roman"/>
      <w:color w:val="auto"/>
    </w:rPr>
  </w:style>
  <w:style w:type="paragraph" w:customStyle="1" w:styleId="Zkladntextodsazen1">
    <w:name w:val="Základní text odsazený1"/>
    <w:basedOn w:val="Default"/>
    <w:next w:val="Default"/>
    <w:rsid w:val="004E1C7A"/>
    <w:rPr>
      <w:rFonts w:cs="Times New Roman"/>
      <w:color w:val="auto"/>
    </w:rPr>
  </w:style>
  <w:style w:type="paragraph" w:customStyle="1" w:styleId="ostavec">
    <w:name w:val="ostavec"/>
    <w:basedOn w:val="Normal"/>
    <w:link w:val="ostavecChar"/>
    <w:rsid w:val="004E1C7A"/>
    <w:pPr>
      <w:spacing w:line="240" w:lineRule="auto"/>
    </w:pPr>
    <w:rPr>
      <w:rFonts w:ascii="Times New Roman" w:hAnsi="Times New Roman"/>
      <w:color w:val="000000"/>
      <w:sz w:val="24"/>
      <w:szCs w:val="20"/>
      <w:lang w:eastAsia="en-US"/>
    </w:rPr>
  </w:style>
  <w:style w:type="character" w:customStyle="1" w:styleId="ostavecChar">
    <w:name w:val="ostavec Char"/>
    <w:link w:val="ostavec"/>
    <w:rsid w:val="004E1C7A"/>
    <w:rPr>
      <w:color w:val="000000"/>
      <w:sz w:val="24"/>
      <w:lang w:eastAsia="en-US"/>
    </w:rPr>
  </w:style>
  <w:style w:type="paragraph" w:styleId="z-TopofForm">
    <w:name w:val="HTML Top of Form"/>
    <w:basedOn w:val="Normal"/>
    <w:next w:val="Normal"/>
    <w:link w:val="z-TopofFormChar"/>
    <w:hidden/>
    <w:rsid w:val="004E1C7A"/>
    <w:pPr>
      <w:pBdr>
        <w:bottom w:val="single" w:sz="6" w:space="1" w:color="auto"/>
      </w:pBdr>
      <w:spacing w:line="240" w:lineRule="auto"/>
      <w:jc w:val="center"/>
    </w:pPr>
    <w:rPr>
      <w:rFonts w:cs="Arial"/>
      <w:vanish/>
      <w:sz w:val="16"/>
      <w:szCs w:val="16"/>
      <w:lang w:val="en-US"/>
    </w:rPr>
  </w:style>
  <w:style w:type="character" w:customStyle="1" w:styleId="z-TopofFormChar">
    <w:name w:val="z-Top of Form Char"/>
    <w:basedOn w:val="DefaultParagraphFont"/>
    <w:link w:val="z-TopofForm"/>
    <w:rsid w:val="004E1C7A"/>
    <w:rPr>
      <w:rFonts w:ascii="Arial" w:hAnsi="Arial" w:cs="Arial"/>
      <w:vanish/>
      <w:sz w:val="16"/>
      <w:szCs w:val="16"/>
      <w:lang w:val="en-US" w:eastAsia="zh-CN"/>
    </w:rPr>
  </w:style>
  <w:style w:type="paragraph" w:styleId="z-BottomofForm">
    <w:name w:val="HTML Bottom of Form"/>
    <w:basedOn w:val="Normal"/>
    <w:next w:val="Normal"/>
    <w:link w:val="z-BottomofFormChar"/>
    <w:hidden/>
    <w:rsid w:val="004E1C7A"/>
    <w:pPr>
      <w:pBdr>
        <w:top w:val="single" w:sz="6" w:space="1" w:color="auto"/>
      </w:pBdr>
      <w:spacing w:line="240" w:lineRule="auto"/>
      <w:jc w:val="center"/>
    </w:pPr>
    <w:rPr>
      <w:rFonts w:cs="Arial"/>
      <w:vanish/>
      <w:sz w:val="16"/>
      <w:szCs w:val="16"/>
      <w:lang w:val="en-US"/>
    </w:rPr>
  </w:style>
  <w:style w:type="character" w:customStyle="1" w:styleId="z-BottomofFormChar">
    <w:name w:val="z-Bottom of Form Char"/>
    <w:basedOn w:val="DefaultParagraphFont"/>
    <w:link w:val="z-BottomofForm"/>
    <w:rsid w:val="004E1C7A"/>
    <w:rPr>
      <w:rFonts w:ascii="Arial" w:hAnsi="Arial" w:cs="Arial"/>
      <w:vanish/>
      <w:sz w:val="16"/>
      <w:szCs w:val="16"/>
      <w:lang w:val="en-US" w:eastAsia="zh-CN"/>
    </w:rPr>
  </w:style>
  <w:style w:type="paragraph" w:customStyle="1" w:styleId="Bullet3">
    <w:name w:val="Bullet 3"/>
    <w:basedOn w:val="Normal"/>
    <w:rsid w:val="004E1C7A"/>
    <w:pPr>
      <w:numPr>
        <w:numId w:val="6"/>
      </w:numPr>
    </w:pPr>
    <w:rPr>
      <w:rFonts w:eastAsia="Times New Roman"/>
      <w:sz w:val="18"/>
      <w:szCs w:val="20"/>
      <w:lang w:val="nl-NL" w:eastAsia="en-US"/>
    </w:rPr>
  </w:style>
  <w:style w:type="paragraph" w:styleId="List2">
    <w:name w:val="List 2"/>
    <w:basedOn w:val="Normal"/>
    <w:rsid w:val="004E1C7A"/>
    <w:pPr>
      <w:numPr>
        <w:numId w:val="7"/>
      </w:numPr>
      <w:spacing w:before="60" w:line="312" w:lineRule="auto"/>
    </w:pPr>
    <w:rPr>
      <w:sz w:val="20"/>
      <w:szCs w:val="20"/>
      <w:lang w:eastAsia="cs-CZ"/>
    </w:rPr>
  </w:style>
  <w:style w:type="paragraph" w:customStyle="1" w:styleId="StyleBodyTextIndent2JustifiedLeft0Hanging049L">
    <w:name w:val="Style Body Text Indent 2 + Justified Left:  0&quot; Hanging:  049&quot; L..."/>
    <w:basedOn w:val="BodyTextIndent2"/>
    <w:rsid w:val="004E1C7A"/>
    <w:pPr>
      <w:spacing w:before="120" w:after="0" w:line="312" w:lineRule="auto"/>
      <w:ind w:left="648" w:hanging="648"/>
    </w:pPr>
    <w:rPr>
      <w:sz w:val="20"/>
      <w:szCs w:val="20"/>
      <w:lang w:eastAsia="cs-CZ"/>
    </w:rPr>
  </w:style>
  <w:style w:type="paragraph" w:customStyle="1" w:styleId="OV3">
    <w:name w:val="OV3"/>
    <w:basedOn w:val="Normal"/>
    <w:rsid w:val="004E1C7A"/>
    <w:pPr>
      <w:numPr>
        <w:numId w:val="8"/>
      </w:numPr>
      <w:spacing w:before="120" w:after="120" w:line="240" w:lineRule="auto"/>
    </w:pPr>
    <w:rPr>
      <w:rFonts w:ascii="Century Gothic" w:eastAsia="Calibri" w:hAnsi="Century Gothic"/>
      <w:sz w:val="24"/>
      <w:szCs w:val="20"/>
      <w:lang w:eastAsia="cs-CZ"/>
    </w:rPr>
  </w:style>
  <w:style w:type="paragraph" w:styleId="EndnoteText">
    <w:name w:val="endnote text"/>
    <w:basedOn w:val="Normal"/>
    <w:link w:val="EndnoteTextChar"/>
    <w:rsid w:val="004E1C7A"/>
    <w:rPr>
      <w:sz w:val="20"/>
      <w:szCs w:val="20"/>
      <w:lang w:val="nl-NL"/>
    </w:rPr>
  </w:style>
  <w:style w:type="character" w:customStyle="1" w:styleId="EndnoteTextChar">
    <w:name w:val="Endnote Text Char"/>
    <w:basedOn w:val="DefaultParagraphFont"/>
    <w:link w:val="EndnoteText"/>
    <w:rsid w:val="004E1C7A"/>
    <w:rPr>
      <w:rFonts w:ascii="Arial" w:hAnsi="Arial"/>
      <w:lang w:val="nl-NL" w:eastAsia="zh-CN"/>
    </w:rPr>
  </w:style>
  <w:style w:type="character" w:styleId="EndnoteReference">
    <w:name w:val="endnote reference"/>
    <w:rsid w:val="004E1C7A"/>
    <w:rPr>
      <w:vertAlign w:val="superscript"/>
    </w:rPr>
  </w:style>
  <w:style w:type="paragraph" w:customStyle="1" w:styleId="5odrazka">
    <w:name w:val="5_odrazka"/>
    <w:basedOn w:val="1text"/>
    <w:link w:val="5odrazkaChar"/>
    <w:qFormat/>
    <w:rsid w:val="00F16BB8"/>
    <w:pPr>
      <w:numPr>
        <w:numId w:val="16"/>
      </w:numPr>
      <w:spacing w:before="60"/>
    </w:pPr>
    <w:rPr>
      <w:lang w:eastAsia="cs-CZ"/>
    </w:rPr>
  </w:style>
  <w:style w:type="character" w:customStyle="1" w:styleId="5odrazkaChar">
    <w:name w:val="5_odrazka Char"/>
    <w:link w:val="5odrazka"/>
    <w:rsid w:val="00F16BB8"/>
    <w:rPr>
      <w:rFonts w:ascii="Arial Narrow" w:hAnsi="Arial Narrow"/>
      <w:sz w:val="22"/>
      <w:szCs w:val="22"/>
    </w:rPr>
  </w:style>
  <w:style w:type="paragraph" w:customStyle="1" w:styleId="3pismeno">
    <w:name w:val="3_pismeno"/>
    <w:basedOn w:val="1text"/>
    <w:link w:val="3pismenoChar"/>
    <w:rsid w:val="004E1C7A"/>
    <w:pPr>
      <w:spacing w:before="60"/>
    </w:pPr>
  </w:style>
  <w:style w:type="character" w:customStyle="1" w:styleId="3pismenoChar">
    <w:name w:val="3_pismeno Char"/>
    <w:link w:val="3pismeno"/>
    <w:rsid w:val="004E1C7A"/>
    <w:rPr>
      <w:rFonts w:ascii="Arial Narrow" w:hAnsi="Arial Narrow"/>
      <w:sz w:val="22"/>
      <w:szCs w:val="22"/>
      <w:lang w:eastAsia="zh-CN"/>
    </w:rPr>
  </w:style>
  <w:style w:type="paragraph" w:customStyle="1" w:styleId="4podnadpis">
    <w:name w:val="4_podnadpis"/>
    <w:basedOn w:val="Normal"/>
    <w:link w:val="4podnadpisChar"/>
    <w:qFormat/>
    <w:rsid w:val="00753F4E"/>
    <w:pPr>
      <w:spacing w:before="160" w:line="240" w:lineRule="auto"/>
    </w:pPr>
    <w:rPr>
      <w:b/>
      <w:i/>
      <w:sz w:val="24"/>
      <w:lang w:eastAsia="cs-CZ"/>
    </w:rPr>
  </w:style>
  <w:style w:type="character" w:customStyle="1" w:styleId="4podnadpisChar">
    <w:name w:val="4_podnadpis Char"/>
    <w:link w:val="4podnadpis"/>
    <w:rsid w:val="00753F4E"/>
    <w:rPr>
      <w:rFonts w:ascii="Arial Narrow" w:hAnsi="Arial Narrow"/>
      <w:b/>
      <w:i/>
      <w:sz w:val="24"/>
      <w:szCs w:val="22"/>
    </w:rPr>
  </w:style>
  <w:style w:type="character" w:styleId="HTMLVariable">
    <w:name w:val="HTML Variable"/>
    <w:uiPriority w:val="99"/>
    <w:unhideWhenUsed/>
    <w:rsid w:val="004E1C7A"/>
    <w:rPr>
      <w:i/>
      <w:iCs/>
    </w:rPr>
  </w:style>
  <w:style w:type="paragraph" w:customStyle="1" w:styleId="l5">
    <w:name w:val="l5"/>
    <w:basedOn w:val="Normal"/>
    <w:rsid w:val="004E1C7A"/>
    <w:pPr>
      <w:spacing w:before="100" w:beforeAutospacing="1" w:after="100" w:afterAutospacing="1" w:line="240" w:lineRule="auto"/>
      <w:jc w:val="left"/>
    </w:pPr>
    <w:rPr>
      <w:rFonts w:ascii="Times New Roman" w:eastAsia="Times New Roman" w:hAnsi="Times New Roman"/>
      <w:sz w:val="24"/>
      <w:szCs w:val="24"/>
      <w:lang w:val="es-ES_tradnl" w:eastAsia="es-ES_tradnl"/>
    </w:rPr>
  </w:style>
  <w:style w:type="paragraph" w:customStyle="1" w:styleId="l6">
    <w:name w:val="l6"/>
    <w:basedOn w:val="Normal"/>
    <w:rsid w:val="004E1C7A"/>
    <w:pPr>
      <w:spacing w:before="100" w:beforeAutospacing="1" w:after="100" w:afterAutospacing="1" w:line="240" w:lineRule="auto"/>
      <w:jc w:val="left"/>
    </w:pPr>
    <w:rPr>
      <w:rFonts w:ascii="Times New Roman" w:eastAsia="Times New Roman" w:hAnsi="Times New Roman"/>
      <w:sz w:val="24"/>
      <w:szCs w:val="24"/>
      <w:lang w:val="es-ES_tradnl" w:eastAsia="es-ES_tradnl"/>
    </w:rPr>
  </w:style>
  <w:style w:type="character" w:styleId="Emphasis">
    <w:name w:val="Emphasis"/>
    <w:basedOn w:val="DefaultParagraphFont"/>
    <w:uiPriority w:val="20"/>
    <w:qFormat/>
    <w:rsid w:val="004E1C7A"/>
    <w:rPr>
      <w:b/>
      <w:bCs/>
      <w:i w:val="0"/>
      <w:iCs w:val="0"/>
    </w:rPr>
  </w:style>
  <w:style w:type="character" w:customStyle="1" w:styleId="ft">
    <w:name w:val="ft"/>
    <w:basedOn w:val="DefaultParagraphFont"/>
    <w:rsid w:val="004E1C7A"/>
  </w:style>
  <w:style w:type="character" w:styleId="Strong">
    <w:name w:val="Strong"/>
    <w:aliases w:val="neodkazujici podnadpis"/>
    <w:uiPriority w:val="22"/>
    <w:qFormat/>
    <w:rsid w:val="004E1C7A"/>
    <w:rPr>
      <w:rFonts w:ascii="Arial Narrow" w:hAnsi="Arial Narrow"/>
      <w:b/>
      <w:bCs/>
      <w:color w:val="auto"/>
      <w:spacing w:val="0"/>
      <w:sz w:val="24"/>
    </w:rPr>
  </w:style>
  <w:style w:type="character" w:styleId="SubtleEmphasis">
    <w:name w:val="Subtle Emphasis"/>
    <w:aliases w:val="pod obrazky"/>
    <w:uiPriority w:val="19"/>
    <w:qFormat/>
    <w:rsid w:val="004E1C7A"/>
    <w:rPr>
      <w:rFonts w:ascii="Arial Narrow" w:hAnsi="Arial Narrow"/>
      <w:i/>
      <w:iCs/>
      <w:color w:val="7F7F7F"/>
      <w:sz w:val="18"/>
    </w:rPr>
  </w:style>
  <w:style w:type="paragraph" w:customStyle="1" w:styleId="neodkazujici3">
    <w:name w:val="neodkazujici 3"/>
    <w:basedOn w:val="Normal"/>
    <w:autoRedefine/>
    <w:qFormat/>
    <w:rsid w:val="004E1C7A"/>
    <w:pPr>
      <w:spacing w:before="120" w:after="120" w:line="312" w:lineRule="auto"/>
    </w:pPr>
    <w:rPr>
      <w:b/>
      <w:spacing w:val="20"/>
    </w:rPr>
  </w:style>
  <w:style w:type="paragraph" w:customStyle="1" w:styleId="swot-">
    <w:name w:val="swot -"/>
    <w:basedOn w:val="Normal"/>
    <w:rsid w:val="004E1C7A"/>
    <w:pPr>
      <w:tabs>
        <w:tab w:val="num" w:pos="720"/>
      </w:tabs>
      <w:spacing w:line="240" w:lineRule="auto"/>
      <w:jc w:val="left"/>
    </w:pPr>
    <w:rPr>
      <w:rFonts w:ascii="Times New Roman" w:eastAsia="Times New Roman" w:hAnsi="Times New Roman" w:cs="Arial"/>
      <w:sz w:val="24"/>
      <w:szCs w:val="24"/>
      <w:lang w:eastAsia="cs-CZ"/>
    </w:rPr>
  </w:style>
  <w:style w:type="paragraph" w:customStyle="1" w:styleId="swot">
    <w:name w:val="swot +"/>
    <w:basedOn w:val="Normal"/>
    <w:rsid w:val="004E1C7A"/>
    <w:pPr>
      <w:tabs>
        <w:tab w:val="num" w:pos="720"/>
      </w:tabs>
      <w:spacing w:line="240" w:lineRule="auto"/>
      <w:jc w:val="left"/>
    </w:pPr>
    <w:rPr>
      <w:rFonts w:ascii="Times New Roman" w:eastAsia="Times New Roman" w:hAnsi="Times New Roman" w:cs="Arial"/>
      <w:sz w:val="24"/>
      <w:szCs w:val="24"/>
      <w:lang w:eastAsia="cs-CZ"/>
    </w:rPr>
  </w:style>
  <w:style w:type="paragraph" w:customStyle="1" w:styleId="OV2">
    <w:name w:val="OV2"/>
    <w:basedOn w:val="Normal"/>
    <w:rsid w:val="004E1C7A"/>
    <w:pPr>
      <w:numPr>
        <w:numId w:val="9"/>
      </w:numPr>
      <w:spacing w:before="240" w:after="120" w:line="240" w:lineRule="auto"/>
    </w:pPr>
    <w:rPr>
      <w:rFonts w:ascii="Century Gothic" w:eastAsia="Times New Roman" w:hAnsi="Century Gothic"/>
      <w:bCs/>
      <w:sz w:val="24"/>
      <w:szCs w:val="24"/>
      <w:lang w:eastAsia="cs-CZ"/>
    </w:rPr>
  </w:style>
  <w:style w:type="paragraph" w:styleId="BodyText2">
    <w:name w:val="Body Text 2"/>
    <w:basedOn w:val="Normal"/>
    <w:link w:val="BodyText2Char"/>
    <w:rsid w:val="004E1C7A"/>
    <w:pPr>
      <w:spacing w:after="120" w:line="480" w:lineRule="auto"/>
    </w:pPr>
  </w:style>
  <w:style w:type="character" w:customStyle="1" w:styleId="BodyText2Char">
    <w:name w:val="Body Text 2 Char"/>
    <w:basedOn w:val="DefaultParagraphFont"/>
    <w:link w:val="BodyText2"/>
    <w:rsid w:val="004E1C7A"/>
    <w:rPr>
      <w:rFonts w:ascii="Arial" w:hAnsi="Arial"/>
      <w:sz w:val="22"/>
      <w:szCs w:val="22"/>
      <w:lang w:eastAsia="zh-CN"/>
    </w:rPr>
  </w:style>
  <w:style w:type="paragraph" w:customStyle="1" w:styleId="1odstavec">
    <w:name w:val="1_odstavec"/>
    <w:basedOn w:val="Normal"/>
    <w:link w:val="1odstavecChar"/>
    <w:qFormat/>
    <w:rsid w:val="004E1C7A"/>
    <w:pPr>
      <w:spacing w:before="120" w:line="240" w:lineRule="auto"/>
    </w:pPr>
    <w:rPr>
      <w:rFonts w:cs="Tahoma"/>
      <w:szCs w:val="20"/>
      <w:lang w:eastAsia="en-US"/>
    </w:rPr>
  </w:style>
  <w:style w:type="character" w:customStyle="1" w:styleId="1odstavecChar">
    <w:name w:val="1_odstavec Char"/>
    <w:link w:val="1odstavec"/>
    <w:rsid w:val="004E1C7A"/>
    <w:rPr>
      <w:rFonts w:ascii="Arial Narrow" w:hAnsi="Arial Narrow" w:cs="Tahoma"/>
      <w:sz w:val="22"/>
      <w:lang w:eastAsia="en-US"/>
    </w:rPr>
  </w:style>
  <w:style w:type="paragraph" w:customStyle="1" w:styleId="Normln10">
    <w:name w:val="Normální 1"/>
    <w:basedOn w:val="Normal"/>
    <w:rsid w:val="004E1C7A"/>
    <w:pPr>
      <w:spacing w:before="60" w:line="240" w:lineRule="auto"/>
      <w:jc w:val="left"/>
    </w:pPr>
    <w:rPr>
      <w:rFonts w:cs="Tahoma"/>
      <w:szCs w:val="20"/>
      <w:lang w:eastAsia="cs-CZ"/>
    </w:rPr>
  </w:style>
  <w:style w:type="paragraph" w:customStyle="1" w:styleId="2psmeno">
    <w:name w:val="2_písmeno"/>
    <w:basedOn w:val="Normal"/>
    <w:link w:val="2psmenoChar"/>
    <w:qFormat/>
    <w:rsid w:val="00003F29"/>
    <w:pPr>
      <w:numPr>
        <w:numId w:val="10"/>
      </w:numPr>
      <w:spacing w:before="60" w:line="240" w:lineRule="auto"/>
    </w:pPr>
    <w:rPr>
      <w:rFonts w:cs="Tahoma"/>
      <w:szCs w:val="20"/>
      <w:lang w:eastAsia="en-US"/>
    </w:rPr>
  </w:style>
  <w:style w:type="character" w:customStyle="1" w:styleId="2psmenoChar">
    <w:name w:val="2_písmeno Char"/>
    <w:basedOn w:val="DefaultParagraphFont"/>
    <w:link w:val="2psmeno"/>
    <w:rsid w:val="004E1C7A"/>
    <w:rPr>
      <w:rFonts w:ascii="Arial Narrow" w:hAnsi="Arial Narrow" w:cs="Tahoma"/>
      <w:sz w:val="22"/>
      <w:lang w:eastAsia="en-US"/>
    </w:rPr>
  </w:style>
  <w:style w:type="paragraph" w:customStyle="1" w:styleId="3cislo">
    <w:name w:val="3_cislo"/>
    <w:basedOn w:val="Normal"/>
    <w:link w:val="3cisloChar"/>
    <w:qFormat/>
    <w:rsid w:val="00874A47"/>
    <w:pPr>
      <w:numPr>
        <w:numId w:val="12"/>
      </w:numPr>
      <w:spacing w:before="60" w:line="240" w:lineRule="auto"/>
    </w:pPr>
    <w:rPr>
      <w:rFonts w:cs="Arial"/>
      <w:szCs w:val="20"/>
      <w:lang w:eastAsia="en-US"/>
    </w:rPr>
  </w:style>
  <w:style w:type="character" w:customStyle="1" w:styleId="3cisloChar">
    <w:name w:val="3_cislo Char"/>
    <w:link w:val="3cislo"/>
    <w:rsid w:val="00874A47"/>
    <w:rPr>
      <w:rFonts w:ascii="Arial Narrow" w:hAnsi="Arial Narrow" w:cs="Arial"/>
      <w:sz w:val="22"/>
      <w:lang w:eastAsia="en-US"/>
    </w:rPr>
  </w:style>
  <w:style w:type="paragraph" w:styleId="NormalWeb">
    <w:name w:val="Normal (Web)"/>
    <w:basedOn w:val="Normal"/>
    <w:uiPriority w:val="99"/>
    <w:unhideWhenUsed/>
    <w:rsid w:val="004E1C7A"/>
    <w:pPr>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CharChar3CharCharCharChar0">
    <w:name w:val="Char Char3 Char Char Char Char"/>
    <w:basedOn w:val="Normal"/>
    <w:rsid w:val="00003F29"/>
    <w:pPr>
      <w:spacing w:after="160" w:line="240" w:lineRule="exact"/>
      <w:jc w:val="left"/>
    </w:pPr>
    <w:rPr>
      <w:rFonts w:ascii="Tahoma" w:eastAsia="Times New Roman" w:hAnsi="Tahoma" w:cs="Tahoma"/>
      <w:sz w:val="20"/>
      <w:szCs w:val="20"/>
      <w:lang w:val="en-US" w:eastAsia="en-US"/>
    </w:rPr>
  </w:style>
  <w:style w:type="paragraph" w:customStyle="1" w:styleId="odrazka">
    <w:name w:val="odrazka"/>
    <w:basedOn w:val="1text"/>
    <w:link w:val="odrazkaChar"/>
    <w:qFormat/>
    <w:rsid w:val="00AF5B62"/>
    <w:rPr>
      <w:rFonts w:ascii="Arial" w:hAnsi="Arial"/>
    </w:rPr>
  </w:style>
  <w:style w:type="character" w:customStyle="1" w:styleId="odrazkaChar">
    <w:name w:val="odrazka Char"/>
    <w:basedOn w:val="1textChar"/>
    <w:link w:val="odrazka"/>
    <w:rsid w:val="00AF5B62"/>
    <w:rPr>
      <w:rFonts w:ascii="Arial" w:hAnsi="Arial"/>
      <w:sz w:val="22"/>
      <w:szCs w:val="22"/>
      <w:lang w:eastAsia="zh-CN"/>
    </w:rPr>
  </w:style>
  <w:style w:type="character" w:customStyle="1" w:styleId="Nadpis3">
    <w:name w:val="Nadpis #3"/>
    <w:rsid w:val="00B55CBB"/>
    <w:rPr>
      <w:rFonts w:ascii="Verdana" w:eastAsia="Verdana" w:hAnsi="Verdana" w:cs="Verdana" w:hint="default"/>
      <w:b/>
      <w:bCs/>
      <w:i/>
      <w:iCs/>
      <w:smallCaps w:val="0"/>
      <w:strike w:val="0"/>
      <w:dstrike w:val="0"/>
      <w:color w:val="000000"/>
      <w:spacing w:val="0"/>
      <w:w w:val="100"/>
      <w:position w:val="0"/>
      <w:sz w:val="23"/>
      <w:szCs w:val="23"/>
      <w:u w:val="none"/>
      <w:effect w:val="none"/>
      <w:lang w:val="cs-CZ"/>
    </w:rPr>
  </w:style>
  <w:style w:type="paragraph" w:customStyle="1" w:styleId="Zkladntext2">
    <w:name w:val="Základní text2"/>
    <w:basedOn w:val="Normal"/>
    <w:rsid w:val="001F12C0"/>
    <w:pPr>
      <w:widowControl w:val="0"/>
      <w:shd w:val="clear" w:color="auto" w:fill="FFFFFF"/>
      <w:spacing w:before="120" w:after="240" w:line="302" w:lineRule="exact"/>
      <w:ind w:hanging="360"/>
      <w:jc w:val="left"/>
    </w:pPr>
    <w:rPr>
      <w:rFonts w:ascii="Verdana" w:eastAsia="Verdana" w:hAnsi="Verdana" w:cs="Verdana"/>
      <w:sz w:val="19"/>
      <w:szCs w:val="19"/>
      <w:lang w:eastAsia="cs-CZ"/>
    </w:rPr>
  </w:style>
  <w:style w:type="character" w:customStyle="1" w:styleId="Zkladntext7pt">
    <w:name w:val="Základní text + 7 pt"/>
    <w:aliases w:val="Tučné,Základní text + 7,5 pt"/>
    <w:rsid w:val="001F12C0"/>
    <w:rPr>
      <w:rFonts w:ascii="Verdana" w:eastAsia="Verdana" w:hAnsi="Verdana" w:cs="Verdana" w:hint="default"/>
      <w:color w:val="000000"/>
      <w:spacing w:val="0"/>
      <w:w w:val="100"/>
      <w:position w:val="0"/>
      <w:sz w:val="14"/>
      <w:szCs w:val="14"/>
      <w:shd w:val="clear" w:color="auto" w:fill="FFFFFF"/>
      <w:lang w:val="cs-CZ"/>
    </w:rPr>
  </w:style>
  <w:style w:type="paragraph" w:customStyle="1" w:styleId="Textpsmene">
    <w:name w:val="Text písmene"/>
    <w:basedOn w:val="Normal"/>
    <w:rsid w:val="00F150FC"/>
    <w:pPr>
      <w:tabs>
        <w:tab w:val="num" w:pos="425"/>
      </w:tabs>
      <w:spacing w:line="240" w:lineRule="auto"/>
      <w:ind w:left="425" w:hanging="425"/>
      <w:outlineLvl w:val="7"/>
    </w:pPr>
    <w:rPr>
      <w:rFonts w:ascii="Times New Roman" w:eastAsia="Times New Roman" w:hAnsi="Times New Roman"/>
      <w:sz w:val="24"/>
      <w:szCs w:val="20"/>
      <w:lang w:eastAsia="cs-CZ"/>
    </w:rPr>
  </w:style>
  <w:style w:type="paragraph" w:customStyle="1" w:styleId="Textodstavce">
    <w:name w:val="Text odstavce"/>
    <w:basedOn w:val="Normal"/>
    <w:rsid w:val="00F150FC"/>
    <w:pPr>
      <w:tabs>
        <w:tab w:val="num" w:pos="785"/>
        <w:tab w:val="left" w:pos="851"/>
      </w:tabs>
      <w:spacing w:before="120" w:after="120" w:line="240" w:lineRule="auto"/>
      <w:ind w:firstLine="425"/>
      <w:outlineLvl w:val="6"/>
    </w:pPr>
    <w:rPr>
      <w:rFonts w:ascii="Times New Roman" w:eastAsia="Times New Roman" w:hAnsi="Times New Roman"/>
      <w:sz w:val="24"/>
      <w:szCs w:val="20"/>
      <w:lang w:eastAsia="cs-CZ"/>
    </w:rPr>
  </w:style>
  <w:style w:type="character" w:customStyle="1" w:styleId="agendanazev">
    <w:name w:val="agendanazev"/>
    <w:basedOn w:val="DefaultParagraphFont"/>
    <w:rsid w:val="003958CB"/>
  </w:style>
  <w:style w:type="character" w:customStyle="1" w:styleId="ZkladntextTun">
    <w:name w:val="Základní text + Tučné"/>
    <w:rsid w:val="00437041"/>
    <w:rPr>
      <w:rFonts w:ascii="Times New Roman" w:eastAsia="Times New Roman" w:hAnsi="Times New Roman" w:cs="Times New Roman"/>
      <w:b/>
      <w:bCs/>
      <w:i w:val="0"/>
      <w:iCs w:val="0"/>
      <w:smallCaps w:val="0"/>
      <w:strike w:val="0"/>
      <w:color w:val="000000"/>
      <w:spacing w:val="0"/>
      <w:w w:val="100"/>
      <w:position w:val="0"/>
      <w:sz w:val="21"/>
      <w:szCs w:val="21"/>
      <w:u w:val="none"/>
      <w:lang w:val="cs-CZ"/>
    </w:rPr>
  </w:style>
  <w:style w:type="paragraph" w:customStyle="1" w:styleId="2cislo">
    <w:name w:val="2_cislo"/>
    <w:basedOn w:val="ListParagraph"/>
    <w:link w:val="2cisloChar"/>
    <w:qFormat/>
    <w:rsid w:val="009A3140"/>
    <w:pPr>
      <w:numPr>
        <w:numId w:val="14"/>
      </w:numPr>
      <w:spacing w:before="120" w:line="240" w:lineRule="auto"/>
    </w:pPr>
  </w:style>
  <w:style w:type="character" w:customStyle="1" w:styleId="2cisloChar">
    <w:name w:val="2_cislo Char"/>
    <w:basedOn w:val="DefaultParagraphFont"/>
    <w:link w:val="2cislo"/>
    <w:rsid w:val="00616B5A"/>
    <w:rPr>
      <w:rFonts w:ascii="Arial Narrow" w:hAnsi="Arial Narrow"/>
      <w:sz w:val="22"/>
      <w:szCs w:val="22"/>
      <w:lang w:eastAsia="zh-CN"/>
    </w:rPr>
  </w:style>
  <w:style w:type="character" w:customStyle="1" w:styleId="mw-headline">
    <w:name w:val="mw-headline"/>
    <w:basedOn w:val="DefaultParagraphFont"/>
    <w:rsid w:val="00051F06"/>
  </w:style>
  <w:style w:type="character" w:customStyle="1" w:styleId="mw-editsection">
    <w:name w:val="mw-editsection"/>
    <w:basedOn w:val="DefaultParagraphFont"/>
    <w:rsid w:val="00051F06"/>
  </w:style>
  <w:style w:type="character" w:customStyle="1" w:styleId="mw-editsection-bracket">
    <w:name w:val="mw-editsection-bracket"/>
    <w:basedOn w:val="DefaultParagraphFont"/>
    <w:rsid w:val="00051F06"/>
  </w:style>
  <w:style w:type="character" w:customStyle="1" w:styleId="mw-editsection-divider">
    <w:name w:val="mw-editsection-divider"/>
    <w:basedOn w:val="DefaultParagraphFont"/>
    <w:rsid w:val="00051F06"/>
  </w:style>
  <w:style w:type="paragraph" w:customStyle="1" w:styleId="7tabulka">
    <w:name w:val="7_tabulka"/>
    <w:basedOn w:val="1text"/>
    <w:link w:val="7tabulkaChar"/>
    <w:qFormat/>
    <w:rsid w:val="002A2AF3"/>
    <w:pPr>
      <w:spacing w:before="40" w:after="40"/>
    </w:pPr>
  </w:style>
  <w:style w:type="character" w:customStyle="1" w:styleId="7tabulkaChar">
    <w:name w:val="7_tabulka Char"/>
    <w:basedOn w:val="1textChar"/>
    <w:link w:val="7tabulka"/>
    <w:rsid w:val="002A2AF3"/>
    <w:rPr>
      <w:rFonts w:ascii="Arial Narrow" w:hAnsi="Arial Narrow"/>
      <w:sz w:val="22"/>
      <w:szCs w:val="22"/>
      <w:lang w:eastAsia="zh-CN"/>
    </w:rPr>
  </w:style>
  <w:style w:type="paragraph" w:customStyle="1" w:styleId="go">
    <w:name w:val="go"/>
    <w:basedOn w:val="Normal"/>
    <w:rsid w:val="009A0E24"/>
    <w:pPr>
      <w:spacing w:before="100" w:beforeAutospacing="1" w:after="100" w:afterAutospacing="1" w:line="240" w:lineRule="auto"/>
      <w:jc w:val="left"/>
    </w:pPr>
    <w:rPr>
      <w:rFonts w:ascii="Times New Roman" w:eastAsia="Times New Roman" w:hAnsi="Times New Roman"/>
      <w:sz w:val="24"/>
      <w:szCs w:val="24"/>
      <w:lang w:val="es-ES_tradnl" w:eastAsia="es-ES_tradnl"/>
    </w:rPr>
  </w:style>
  <w:style w:type="character" w:customStyle="1" w:styleId="h1a">
    <w:name w:val="h1a"/>
    <w:basedOn w:val="DefaultParagraphFont"/>
    <w:rsid w:val="00E14CD1"/>
  </w:style>
  <w:style w:type="paragraph" w:styleId="Caption">
    <w:name w:val="caption"/>
    <w:basedOn w:val="Normal"/>
    <w:next w:val="Normal"/>
    <w:link w:val="CaptionChar"/>
    <w:uiPriority w:val="35"/>
    <w:unhideWhenUsed/>
    <w:qFormat/>
    <w:rsid w:val="00113D05"/>
    <w:pPr>
      <w:spacing w:before="120" w:after="200" w:line="240" w:lineRule="auto"/>
    </w:pPr>
    <w:rPr>
      <w:bCs/>
      <w:i/>
      <w:sz w:val="16"/>
      <w:szCs w:val="18"/>
    </w:rPr>
  </w:style>
  <w:style w:type="character" w:customStyle="1" w:styleId="CaptionChar">
    <w:name w:val="Caption Char"/>
    <w:link w:val="Caption"/>
    <w:uiPriority w:val="35"/>
    <w:rsid w:val="00BF7C3B"/>
    <w:rPr>
      <w:rFonts w:ascii="Arial Narrow" w:hAnsi="Arial Narrow"/>
      <w:bCs/>
      <w:i/>
      <w:sz w:val="16"/>
      <w:szCs w:val="18"/>
      <w:lang w:eastAsia="zh-CN"/>
    </w:rPr>
  </w:style>
  <w:style w:type="paragraph" w:customStyle="1" w:styleId="dtabulka">
    <w:name w:val="d_tabulka"/>
    <w:basedOn w:val="Normal"/>
    <w:link w:val="dtabulkaChar"/>
    <w:qFormat/>
    <w:rsid w:val="00781487"/>
    <w:pPr>
      <w:spacing w:line="240" w:lineRule="auto"/>
      <w:jc w:val="left"/>
    </w:pPr>
    <w:rPr>
      <w:sz w:val="20"/>
      <w:szCs w:val="20"/>
    </w:rPr>
  </w:style>
  <w:style w:type="character" w:customStyle="1" w:styleId="dtabulkaChar">
    <w:name w:val="d_tabulka Char"/>
    <w:basedOn w:val="DefaultParagraphFont"/>
    <w:link w:val="dtabulka"/>
    <w:rsid w:val="00781487"/>
    <w:rPr>
      <w:rFonts w:ascii="Arial Narrow" w:hAnsi="Arial Narrow"/>
      <w:lang w:eastAsia="zh-CN"/>
    </w:rPr>
  </w:style>
  <w:style w:type="paragraph" w:customStyle="1" w:styleId="Intabulka">
    <w:name w:val="Intabulka"/>
    <w:basedOn w:val="Normal"/>
    <w:link w:val="IntabulkaChar"/>
    <w:qFormat/>
    <w:rsid w:val="005B2FAF"/>
    <w:pPr>
      <w:spacing w:before="40" w:after="40" w:line="240" w:lineRule="auto"/>
      <w:jc w:val="left"/>
    </w:pPr>
    <w:rPr>
      <w:rFonts w:ascii="Calibri" w:hAnsi="Calibri"/>
      <w:iCs/>
      <w:sz w:val="20"/>
      <w:szCs w:val="20"/>
      <w:lang w:val="x-none" w:eastAsia="x-none"/>
    </w:rPr>
  </w:style>
  <w:style w:type="character" w:customStyle="1" w:styleId="IntabulkaChar">
    <w:name w:val="Intabulka Char"/>
    <w:link w:val="Intabulka"/>
    <w:rsid w:val="005B2FAF"/>
    <w:rPr>
      <w:rFonts w:ascii="Calibri" w:hAnsi="Calibri"/>
      <w:iCs/>
      <w:lang w:val="x-none" w:eastAsia="x-none"/>
    </w:rPr>
  </w:style>
  <w:style w:type="paragraph" w:customStyle="1" w:styleId="6textkurziva">
    <w:name w:val="6_text_kurziva"/>
    <w:basedOn w:val="ListParagraph"/>
    <w:link w:val="6textkurzivaChar"/>
    <w:qFormat/>
    <w:rsid w:val="00D95069"/>
    <w:pPr>
      <w:spacing w:before="120" w:line="240" w:lineRule="auto"/>
      <w:ind w:left="0"/>
    </w:pPr>
    <w:rPr>
      <w:i/>
    </w:rPr>
  </w:style>
  <w:style w:type="character" w:customStyle="1" w:styleId="6textkurzivaChar">
    <w:name w:val="6_text_kurziva Char"/>
    <w:link w:val="6textkurziva"/>
    <w:rsid w:val="00D95069"/>
    <w:rPr>
      <w:rFonts w:ascii="Arial Narrow" w:hAnsi="Arial Narrow"/>
      <w:i/>
      <w:sz w:val="22"/>
      <w:szCs w:val="22"/>
      <w:lang w:eastAsia="zh-CN"/>
    </w:rPr>
  </w:style>
  <w:style w:type="paragraph" w:customStyle="1" w:styleId="3psmeno">
    <w:name w:val="3_písmeno"/>
    <w:basedOn w:val="Default"/>
    <w:link w:val="3psmenoChar"/>
    <w:qFormat/>
    <w:rsid w:val="00BD279F"/>
    <w:pPr>
      <w:numPr>
        <w:ilvl w:val="2"/>
        <w:numId w:val="84"/>
      </w:numPr>
      <w:spacing w:before="40" w:after="40"/>
    </w:pPr>
    <w:rPr>
      <w:rFonts w:ascii="Calibri" w:hAnsi="Calibri"/>
      <w:color w:val="auto"/>
      <w:sz w:val="22"/>
      <w:szCs w:val="22"/>
      <w:lang w:val="cs-CZ"/>
    </w:rPr>
  </w:style>
  <w:style w:type="character" w:customStyle="1" w:styleId="3psmenoChar">
    <w:name w:val="3_písmeno Char"/>
    <w:link w:val="3psmeno"/>
    <w:rsid w:val="00BD279F"/>
    <w:rPr>
      <w:rFonts w:ascii="Calibri" w:hAnsi="Calibri" w:cs="Arial"/>
      <w:sz w:val="22"/>
      <w:szCs w:val="22"/>
      <w:lang w:eastAsia="zh-CN"/>
    </w:rPr>
  </w:style>
  <w:style w:type="paragraph" w:customStyle="1" w:styleId="Poznamkapodcarou">
    <w:name w:val="Poznamka_pod_carou"/>
    <w:basedOn w:val="FootnoteText"/>
    <w:link w:val="PoznamkapodcarouChar"/>
    <w:qFormat/>
    <w:rsid w:val="006A2611"/>
    <w:pPr>
      <w:spacing w:before="120" w:after="0" w:line="264" w:lineRule="auto"/>
      <w:jc w:val="left"/>
    </w:pPr>
    <w:rPr>
      <w:rFonts w:ascii="Calibri" w:hAnsi="Calibri"/>
      <w:sz w:val="16"/>
      <w:lang w:eastAsia="en-US"/>
    </w:rPr>
  </w:style>
  <w:style w:type="character" w:customStyle="1" w:styleId="PoznamkapodcarouChar">
    <w:name w:val="Poznamka_pod_carou Char"/>
    <w:link w:val="Poznamkapodcarou"/>
    <w:rsid w:val="006A2611"/>
    <w:rPr>
      <w:rFonts w:ascii="Calibri" w:hAnsi="Calibri"/>
      <w:sz w:val="16"/>
      <w:lang w:eastAsia="en-US"/>
    </w:rPr>
  </w:style>
  <w:style w:type="paragraph" w:customStyle="1" w:styleId="BodyText21">
    <w:name w:val="Body Text 21"/>
    <w:basedOn w:val="Normal"/>
    <w:rsid w:val="006E3B0F"/>
    <w:pPr>
      <w:spacing w:before="120" w:line="240" w:lineRule="auto"/>
      <w:ind w:firstLine="567"/>
    </w:pPr>
    <w:rPr>
      <w:rFonts w:ascii="Times New Roman" w:eastAsia="Times New Roman" w:hAnsi="Times New Roman"/>
      <w:sz w:val="24"/>
      <w:szCs w:val="20"/>
      <w:lang w:eastAsia="cs-CZ"/>
    </w:rPr>
  </w:style>
  <w:style w:type="table" w:customStyle="1" w:styleId="TableGrid0">
    <w:name w:val="TableGrid"/>
    <w:rsid w:val="00C4394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List">
    <w:name w:val="List"/>
    <w:basedOn w:val="BodyText"/>
    <w:rsid w:val="00C510C2"/>
    <w:pPr>
      <w:suppressAutoHyphens/>
    </w:pPr>
    <w:rPr>
      <w:rFonts w:ascii="Avalon" w:hAnsi="Avalon" w:cs="Lucida Sans"/>
      <w:szCs w:val="20"/>
      <w:lang w:eastAsia="ar-SA"/>
    </w:rPr>
  </w:style>
  <w:style w:type="paragraph" w:customStyle="1" w:styleId="StylTunZeno04b">
    <w:name w:val="Styl Tučné Zúžené o  04 b."/>
    <w:basedOn w:val="Normal"/>
    <w:rsid w:val="00C510C2"/>
    <w:pPr>
      <w:numPr>
        <w:numId w:val="137"/>
      </w:numPr>
      <w:suppressAutoHyphens/>
      <w:spacing w:line="240" w:lineRule="auto"/>
    </w:pPr>
    <w:rPr>
      <w:rFonts w:ascii="Times New Roman" w:eastAsia="Times New Roman" w:hAnsi="Times New Roman"/>
      <w:b/>
      <w:spacing w:val="-8"/>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cs-CZ" w:eastAsia="cs-CZ"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HTML Variable"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274A"/>
    <w:pPr>
      <w:spacing w:line="255" w:lineRule="exact"/>
      <w:jc w:val="both"/>
    </w:pPr>
    <w:rPr>
      <w:rFonts w:ascii="Arial Narrow" w:hAnsi="Arial Narrow"/>
      <w:sz w:val="22"/>
      <w:szCs w:val="22"/>
      <w:lang w:eastAsia="zh-CN"/>
    </w:rPr>
  </w:style>
  <w:style w:type="paragraph" w:styleId="Heading1">
    <w:name w:val="heading 1"/>
    <w:basedOn w:val="Normal"/>
    <w:next w:val="Normal"/>
    <w:link w:val="Heading1Char"/>
    <w:qFormat/>
    <w:rsid w:val="00B03D54"/>
    <w:pPr>
      <w:spacing w:before="360" w:after="240" w:line="240" w:lineRule="auto"/>
      <w:ind w:left="709" w:hanging="709"/>
      <w:jc w:val="left"/>
      <w:outlineLvl w:val="0"/>
    </w:pPr>
    <w:rPr>
      <w:rFonts w:cs="Arial"/>
      <w:b/>
      <w:bCs/>
      <w:caps/>
      <w:spacing w:val="40"/>
      <w:kern w:val="32"/>
      <w:sz w:val="30"/>
      <w:szCs w:val="32"/>
      <w:lang w:val="nl-NL"/>
    </w:rPr>
  </w:style>
  <w:style w:type="paragraph" w:styleId="Heading2">
    <w:name w:val="heading 2"/>
    <w:basedOn w:val="Normal"/>
    <w:next w:val="Normal"/>
    <w:link w:val="Heading2Char"/>
    <w:qFormat/>
    <w:rsid w:val="00107242"/>
    <w:pPr>
      <w:keepNext/>
      <w:spacing w:before="300" w:after="120" w:line="240" w:lineRule="auto"/>
      <w:ind w:left="567" w:hanging="567"/>
      <w:outlineLvl w:val="1"/>
    </w:pPr>
    <w:rPr>
      <w:rFonts w:cs="Arial"/>
      <w:b/>
      <w:bCs/>
      <w:i/>
      <w:iCs/>
      <w:sz w:val="28"/>
      <w:szCs w:val="28"/>
    </w:rPr>
  </w:style>
  <w:style w:type="paragraph" w:styleId="Heading3">
    <w:name w:val="heading 3"/>
    <w:basedOn w:val="Normal"/>
    <w:next w:val="Normal"/>
    <w:link w:val="Heading3Char"/>
    <w:qFormat/>
    <w:rsid w:val="00107242"/>
    <w:pPr>
      <w:keepNext/>
      <w:spacing w:before="240" w:after="120" w:line="240" w:lineRule="auto"/>
      <w:ind w:left="709" w:hanging="709"/>
      <w:outlineLvl w:val="2"/>
    </w:pPr>
    <w:rPr>
      <w:rFonts w:cs="Arial"/>
      <w:b/>
      <w:bCs/>
      <w:sz w:val="26"/>
      <w:szCs w:val="26"/>
    </w:rPr>
  </w:style>
  <w:style w:type="paragraph" w:styleId="Heading4">
    <w:name w:val="heading 4"/>
    <w:basedOn w:val="Normal"/>
    <w:next w:val="Normal"/>
    <w:link w:val="Heading4Char"/>
    <w:qFormat/>
    <w:rsid w:val="004E1C7A"/>
    <w:pPr>
      <w:keepNext/>
      <w:spacing w:before="240" w:after="60"/>
      <w:outlineLvl w:val="3"/>
    </w:pPr>
    <w:rPr>
      <w:rFonts w:ascii="Times New Roman" w:hAnsi="Times New Roman"/>
      <w:b/>
      <w:bCs/>
      <w:sz w:val="28"/>
      <w:szCs w:val="28"/>
      <w:lang w:val="nl-NL"/>
    </w:rPr>
  </w:style>
  <w:style w:type="paragraph" w:styleId="Heading5">
    <w:name w:val="heading 5"/>
    <w:aliases w:val="neodkazujici nadpisy"/>
    <w:basedOn w:val="Normal"/>
    <w:next w:val="Normal"/>
    <w:link w:val="Heading5Char"/>
    <w:unhideWhenUsed/>
    <w:qFormat/>
    <w:rsid w:val="004E1C7A"/>
    <w:pPr>
      <w:spacing w:before="240" w:after="60"/>
      <w:outlineLvl w:val="4"/>
    </w:pPr>
    <w:rPr>
      <w:rFonts w:ascii="Calibri" w:eastAsia="Times New Roman" w:hAnsi="Calibri"/>
      <w:b/>
      <w:bCs/>
      <w:i/>
      <w:iCs/>
      <w:sz w:val="26"/>
      <w:szCs w:val="26"/>
      <w:lang w:val="nl-NL"/>
    </w:rPr>
  </w:style>
  <w:style w:type="paragraph" w:styleId="Heading9">
    <w:name w:val="heading 9"/>
    <w:basedOn w:val="Normal"/>
    <w:next w:val="Normal"/>
    <w:link w:val="Heading9Char"/>
    <w:semiHidden/>
    <w:unhideWhenUsed/>
    <w:qFormat/>
    <w:rsid w:val="0087010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03D54"/>
    <w:rPr>
      <w:rFonts w:ascii="Arial Narrow" w:hAnsi="Arial Narrow" w:cs="Arial"/>
      <w:b/>
      <w:bCs/>
      <w:caps/>
      <w:spacing w:val="40"/>
      <w:kern w:val="32"/>
      <w:sz w:val="30"/>
      <w:szCs w:val="32"/>
      <w:lang w:val="nl-NL" w:eastAsia="zh-CN"/>
    </w:rPr>
  </w:style>
  <w:style w:type="character" w:customStyle="1" w:styleId="Heading2Char">
    <w:name w:val="Heading 2 Char"/>
    <w:basedOn w:val="DefaultParagraphFont"/>
    <w:link w:val="Heading2"/>
    <w:rsid w:val="00107242"/>
    <w:rPr>
      <w:rFonts w:ascii="Arial Narrow" w:hAnsi="Arial Narrow" w:cs="Arial"/>
      <w:b/>
      <w:bCs/>
      <w:i/>
      <w:iCs/>
      <w:sz w:val="28"/>
      <w:szCs w:val="28"/>
      <w:lang w:eastAsia="zh-CN"/>
    </w:rPr>
  </w:style>
  <w:style w:type="character" w:customStyle="1" w:styleId="Heading3Char">
    <w:name w:val="Heading 3 Char"/>
    <w:basedOn w:val="DefaultParagraphFont"/>
    <w:link w:val="Heading3"/>
    <w:rsid w:val="00107242"/>
    <w:rPr>
      <w:rFonts w:ascii="Arial Narrow" w:hAnsi="Arial Narrow" w:cs="Arial"/>
      <w:b/>
      <w:bCs/>
      <w:sz w:val="26"/>
      <w:szCs w:val="26"/>
      <w:lang w:eastAsia="zh-CN"/>
    </w:rPr>
  </w:style>
  <w:style w:type="character" w:customStyle="1" w:styleId="Heading4Char">
    <w:name w:val="Heading 4 Char"/>
    <w:basedOn w:val="DefaultParagraphFont"/>
    <w:link w:val="Heading4"/>
    <w:rsid w:val="004E1C7A"/>
    <w:rPr>
      <w:b/>
      <w:bCs/>
      <w:sz w:val="28"/>
      <w:szCs w:val="28"/>
      <w:lang w:val="nl-NL" w:eastAsia="zh-CN"/>
    </w:rPr>
  </w:style>
  <w:style w:type="character" w:customStyle="1" w:styleId="Heading5Char">
    <w:name w:val="Heading 5 Char"/>
    <w:aliases w:val="neodkazujici nadpisy Char"/>
    <w:basedOn w:val="DefaultParagraphFont"/>
    <w:link w:val="Heading5"/>
    <w:rsid w:val="004E1C7A"/>
    <w:rPr>
      <w:rFonts w:ascii="Calibri" w:eastAsia="Times New Roman" w:hAnsi="Calibri"/>
      <w:b/>
      <w:bCs/>
      <w:i/>
      <w:iCs/>
      <w:sz w:val="26"/>
      <w:szCs w:val="26"/>
      <w:lang w:val="nl-NL" w:eastAsia="zh-CN"/>
    </w:rPr>
  </w:style>
  <w:style w:type="character" w:customStyle="1" w:styleId="Heading9Char">
    <w:name w:val="Heading 9 Char"/>
    <w:basedOn w:val="DefaultParagraphFont"/>
    <w:link w:val="Heading9"/>
    <w:semiHidden/>
    <w:rsid w:val="00870101"/>
    <w:rPr>
      <w:rFonts w:asciiTheme="majorHAnsi" w:eastAsiaTheme="majorEastAsia" w:hAnsiTheme="majorHAnsi" w:cstheme="majorBidi"/>
      <w:i/>
      <w:iCs/>
      <w:color w:val="404040" w:themeColor="text1" w:themeTint="BF"/>
      <w:lang w:eastAsia="zh-CN"/>
    </w:rPr>
  </w:style>
  <w:style w:type="paragraph" w:customStyle="1" w:styleId="CharChar2">
    <w:name w:val="Char Char2"/>
    <w:basedOn w:val="Normal"/>
    <w:rsid w:val="00C1301A"/>
    <w:pPr>
      <w:spacing w:after="160" w:line="240" w:lineRule="exact"/>
      <w:jc w:val="left"/>
    </w:pPr>
    <w:rPr>
      <w:rFonts w:ascii="Tahoma" w:eastAsia="Times New Roman" w:hAnsi="Tahoma" w:cs="Tahoma"/>
      <w:sz w:val="20"/>
      <w:szCs w:val="20"/>
      <w:lang w:val="en-US" w:eastAsia="en-US"/>
    </w:rPr>
  </w:style>
  <w:style w:type="character" w:customStyle="1" w:styleId="NvrhP-text">
    <w:name w:val="Návrh ÚP - text"/>
    <w:rsid w:val="00D63F01"/>
    <w:rPr>
      <w:rFonts w:ascii="Arial Narrow" w:hAnsi="Arial Narrow"/>
    </w:rPr>
  </w:style>
  <w:style w:type="table" w:styleId="TableGrid">
    <w:name w:val="Table Grid"/>
    <w:basedOn w:val="TableNormal"/>
    <w:uiPriority w:val="59"/>
    <w:rsid w:val="00DA3587"/>
    <w:pPr>
      <w:spacing w:line="255"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rsid w:val="0044022D"/>
    <w:pPr>
      <w:numPr>
        <w:numId w:val="1"/>
      </w:numPr>
      <w:tabs>
        <w:tab w:val="left" w:pos="357"/>
      </w:tabs>
      <w:spacing w:before="60" w:line="288" w:lineRule="auto"/>
    </w:pPr>
    <w:rPr>
      <w:rFonts w:eastAsia="Times New Roman"/>
      <w:szCs w:val="24"/>
      <w:lang w:eastAsia="cs-CZ"/>
    </w:rPr>
  </w:style>
  <w:style w:type="paragraph" w:styleId="Header">
    <w:name w:val="header"/>
    <w:basedOn w:val="Normal"/>
    <w:link w:val="HeaderChar"/>
    <w:rsid w:val="00620398"/>
    <w:pPr>
      <w:tabs>
        <w:tab w:val="center" w:pos="4320"/>
        <w:tab w:val="right" w:pos="8640"/>
      </w:tabs>
    </w:pPr>
  </w:style>
  <w:style w:type="character" w:customStyle="1" w:styleId="HeaderChar">
    <w:name w:val="Header Char"/>
    <w:basedOn w:val="DefaultParagraphFont"/>
    <w:link w:val="Header"/>
    <w:rsid w:val="004E1C7A"/>
    <w:rPr>
      <w:rFonts w:ascii="Arial" w:hAnsi="Arial"/>
      <w:sz w:val="22"/>
      <w:szCs w:val="22"/>
      <w:lang w:eastAsia="zh-CN"/>
    </w:rPr>
  </w:style>
  <w:style w:type="paragraph" w:styleId="Footer">
    <w:name w:val="footer"/>
    <w:basedOn w:val="Normal"/>
    <w:link w:val="FooterChar"/>
    <w:rsid w:val="00620398"/>
    <w:pPr>
      <w:tabs>
        <w:tab w:val="center" w:pos="4320"/>
        <w:tab w:val="right" w:pos="8640"/>
      </w:tabs>
    </w:pPr>
  </w:style>
  <w:style w:type="character" w:customStyle="1" w:styleId="FooterChar">
    <w:name w:val="Footer Char"/>
    <w:basedOn w:val="DefaultParagraphFont"/>
    <w:link w:val="Footer"/>
    <w:rsid w:val="00F3079D"/>
    <w:rPr>
      <w:rFonts w:ascii="Arial" w:hAnsi="Arial"/>
      <w:sz w:val="22"/>
      <w:szCs w:val="22"/>
      <w:lang w:eastAsia="zh-CN"/>
    </w:rPr>
  </w:style>
  <w:style w:type="character" w:styleId="PageNumber">
    <w:name w:val="page number"/>
    <w:basedOn w:val="DefaultParagraphFont"/>
    <w:rsid w:val="00620398"/>
  </w:style>
  <w:style w:type="paragraph" w:customStyle="1" w:styleId="CharChar1">
    <w:name w:val="Char Char1"/>
    <w:basedOn w:val="Normal"/>
    <w:rsid w:val="00D61D45"/>
    <w:pPr>
      <w:spacing w:after="160" w:line="240" w:lineRule="exact"/>
    </w:pPr>
    <w:rPr>
      <w:rFonts w:ascii="Times New Roman Bold" w:hAnsi="Times New Roman Bold"/>
      <w:szCs w:val="26"/>
      <w:lang w:val="sk-SK" w:eastAsia="en-US"/>
    </w:rPr>
  </w:style>
  <w:style w:type="character" w:styleId="Hyperlink">
    <w:name w:val="Hyperlink"/>
    <w:uiPriority w:val="99"/>
    <w:rsid w:val="00D61D45"/>
    <w:rPr>
      <w:color w:val="0000FF"/>
      <w:u w:val="single"/>
    </w:rPr>
  </w:style>
  <w:style w:type="paragraph" w:styleId="TOC3">
    <w:name w:val="toc 3"/>
    <w:basedOn w:val="Normal"/>
    <w:next w:val="Normal"/>
    <w:autoRedefine/>
    <w:uiPriority w:val="39"/>
    <w:rsid w:val="00CE13C2"/>
    <w:pPr>
      <w:tabs>
        <w:tab w:val="left" w:pos="1100"/>
        <w:tab w:val="right" w:leader="dot" w:pos="9062"/>
      </w:tabs>
      <w:spacing w:after="60" w:line="240" w:lineRule="auto"/>
      <w:ind w:left="1134" w:hanging="680"/>
    </w:pPr>
    <w:rPr>
      <w:rFonts w:cs="Arial"/>
      <w:bCs/>
      <w:noProof/>
      <w:sz w:val="20"/>
      <w:szCs w:val="20"/>
      <w:lang w:eastAsia="en-US"/>
    </w:rPr>
  </w:style>
  <w:style w:type="character" w:customStyle="1" w:styleId="apple-style-span">
    <w:name w:val="apple-style-span"/>
    <w:basedOn w:val="DefaultParagraphFont"/>
    <w:rsid w:val="00E00E87"/>
  </w:style>
  <w:style w:type="paragraph" w:styleId="FootnoteText">
    <w:name w:val="footnote text"/>
    <w:aliases w:val="Schriftart: 9 pt,Schriftart: 10 pt,Schriftart: 8 pt,pozn. pod čarou"/>
    <w:basedOn w:val="Normal"/>
    <w:link w:val="FootnoteTextChar"/>
    <w:qFormat/>
    <w:rsid w:val="00DF13C2"/>
    <w:pPr>
      <w:spacing w:after="60" w:line="240" w:lineRule="auto"/>
    </w:pPr>
    <w:rPr>
      <w:sz w:val="20"/>
      <w:szCs w:val="20"/>
    </w:rPr>
  </w:style>
  <w:style w:type="character" w:customStyle="1" w:styleId="FootnoteTextChar">
    <w:name w:val="Footnote Text Char"/>
    <w:aliases w:val="Schriftart: 9 pt Char,Schriftart: 10 pt Char,Schriftart: 8 pt Char,pozn. pod čarou Char"/>
    <w:link w:val="FootnoteText"/>
    <w:locked/>
    <w:rsid w:val="00D16C2B"/>
    <w:rPr>
      <w:rFonts w:ascii="Arial" w:hAnsi="Arial"/>
      <w:lang w:val="cs-CZ"/>
    </w:rPr>
  </w:style>
  <w:style w:type="character" w:styleId="FootnoteReference">
    <w:name w:val="footnote reference"/>
    <w:qFormat/>
    <w:rsid w:val="00DF13C2"/>
    <w:rPr>
      <w:rFonts w:ascii="Arial" w:hAnsi="Arial"/>
      <w:dstrike w:val="0"/>
      <w:color w:val="FF0000"/>
      <w:sz w:val="20"/>
      <w:szCs w:val="20"/>
      <w:vertAlign w:val="superscript"/>
    </w:rPr>
  </w:style>
  <w:style w:type="character" w:styleId="CommentReference">
    <w:name w:val="annotation reference"/>
    <w:semiHidden/>
    <w:rsid w:val="00B532FF"/>
    <w:rPr>
      <w:sz w:val="16"/>
      <w:szCs w:val="16"/>
    </w:rPr>
  </w:style>
  <w:style w:type="paragraph" w:styleId="TOC1">
    <w:name w:val="toc 1"/>
    <w:basedOn w:val="Normal"/>
    <w:next w:val="Normal"/>
    <w:autoRedefine/>
    <w:uiPriority w:val="39"/>
    <w:rsid w:val="00AE3B07"/>
    <w:pPr>
      <w:tabs>
        <w:tab w:val="left" w:pos="709"/>
        <w:tab w:val="right" w:leader="dot" w:pos="9072"/>
      </w:tabs>
      <w:spacing w:before="60" w:after="60"/>
      <w:ind w:left="284" w:hanging="284"/>
    </w:pPr>
    <w:rPr>
      <w:rFonts w:cs="Arial"/>
      <w:noProof/>
      <w:sz w:val="20"/>
      <w:szCs w:val="18"/>
      <w:lang w:eastAsia="en-US"/>
    </w:rPr>
  </w:style>
  <w:style w:type="paragraph" w:styleId="TOC2">
    <w:name w:val="toc 2"/>
    <w:basedOn w:val="Normal"/>
    <w:next w:val="Normal"/>
    <w:autoRedefine/>
    <w:uiPriority w:val="39"/>
    <w:rsid w:val="00CE13C2"/>
    <w:pPr>
      <w:tabs>
        <w:tab w:val="left" w:pos="880"/>
        <w:tab w:val="right" w:leader="dot" w:pos="9072"/>
      </w:tabs>
      <w:spacing w:before="60" w:after="60" w:line="240" w:lineRule="auto"/>
      <w:ind w:left="851" w:hanging="567"/>
    </w:pPr>
    <w:rPr>
      <w:sz w:val="20"/>
    </w:rPr>
  </w:style>
  <w:style w:type="paragraph" w:styleId="CommentText">
    <w:name w:val="annotation text"/>
    <w:basedOn w:val="Normal"/>
    <w:link w:val="CommentTextChar"/>
    <w:semiHidden/>
    <w:rsid w:val="00B532FF"/>
    <w:rPr>
      <w:sz w:val="20"/>
      <w:szCs w:val="20"/>
    </w:rPr>
  </w:style>
  <w:style w:type="character" w:customStyle="1" w:styleId="CommentTextChar">
    <w:name w:val="Comment Text Char"/>
    <w:link w:val="CommentText"/>
    <w:semiHidden/>
    <w:rsid w:val="005354D2"/>
    <w:rPr>
      <w:rFonts w:ascii="Arial" w:hAnsi="Arial"/>
      <w:lang w:val="cs-CZ"/>
    </w:rPr>
  </w:style>
  <w:style w:type="paragraph" w:styleId="CommentSubject">
    <w:name w:val="annotation subject"/>
    <w:basedOn w:val="CommentText"/>
    <w:next w:val="CommentText"/>
    <w:link w:val="CommentSubjectChar"/>
    <w:semiHidden/>
    <w:rsid w:val="00B532FF"/>
    <w:rPr>
      <w:b/>
      <w:bCs/>
    </w:rPr>
  </w:style>
  <w:style w:type="character" w:customStyle="1" w:styleId="CommentSubjectChar">
    <w:name w:val="Comment Subject Char"/>
    <w:basedOn w:val="CommentTextChar"/>
    <w:link w:val="CommentSubject"/>
    <w:semiHidden/>
    <w:rsid w:val="00CB42B3"/>
    <w:rPr>
      <w:rFonts w:ascii="Arial Narrow" w:hAnsi="Arial Narrow"/>
      <w:b/>
      <w:bCs/>
      <w:lang w:val="cs-CZ" w:eastAsia="zh-CN"/>
    </w:rPr>
  </w:style>
  <w:style w:type="paragraph" w:styleId="BalloonText">
    <w:name w:val="Balloon Text"/>
    <w:basedOn w:val="Normal"/>
    <w:link w:val="BalloonTextChar"/>
    <w:uiPriority w:val="99"/>
    <w:rsid w:val="00B532FF"/>
    <w:rPr>
      <w:rFonts w:ascii="Tahoma" w:hAnsi="Tahoma" w:cs="Tahoma"/>
      <w:sz w:val="16"/>
      <w:szCs w:val="16"/>
    </w:rPr>
  </w:style>
  <w:style w:type="character" w:customStyle="1" w:styleId="BalloonTextChar">
    <w:name w:val="Balloon Text Char"/>
    <w:basedOn w:val="DefaultParagraphFont"/>
    <w:link w:val="BalloonText"/>
    <w:uiPriority w:val="99"/>
    <w:rsid w:val="004E1C7A"/>
    <w:rPr>
      <w:rFonts w:ascii="Tahoma" w:hAnsi="Tahoma" w:cs="Tahoma"/>
      <w:sz w:val="16"/>
      <w:szCs w:val="16"/>
      <w:lang w:eastAsia="zh-CN"/>
    </w:rPr>
  </w:style>
  <w:style w:type="character" w:styleId="FollowedHyperlink">
    <w:name w:val="FollowedHyperlink"/>
    <w:rsid w:val="00B532FF"/>
    <w:rPr>
      <w:color w:val="800080"/>
      <w:u w:val="single"/>
    </w:rPr>
  </w:style>
  <w:style w:type="paragraph" w:styleId="BodyText">
    <w:name w:val="Body Text"/>
    <w:basedOn w:val="Normal"/>
    <w:link w:val="BodyTextChar"/>
    <w:rsid w:val="00D822F4"/>
    <w:pPr>
      <w:spacing w:line="240" w:lineRule="auto"/>
    </w:pPr>
    <w:rPr>
      <w:rFonts w:eastAsia="Times New Roman" w:cs="Arial"/>
      <w:sz w:val="24"/>
      <w:szCs w:val="24"/>
      <w:lang w:eastAsia="cs-CZ"/>
    </w:rPr>
  </w:style>
  <w:style w:type="character" w:customStyle="1" w:styleId="BodyTextChar">
    <w:name w:val="Body Text Char"/>
    <w:basedOn w:val="DefaultParagraphFont"/>
    <w:link w:val="BodyText"/>
    <w:rsid w:val="00CB42B3"/>
    <w:rPr>
      <w:rFonts w:ascii="Arial Narrow" w:eastAsia="Times New Roman" w:hAnsi="Arial Narrow" w:cs="Arial"/>
      <w:sz w:val="24"/>
      <w:szCs w:val="24"/>
    </w:rPr>
  </w:style>
  <w:style w:type="character" w:customStyle="1" w:styleId="apple-converted-space">
    <w:name w:val="apple-converted-space"/>
    <w:basedOn w:val="DefaultParagraphFont"/>
    <w:rsid w:val="001D61B8"/>
  </w:style>
  <w:style w:type="paragraph" w:customStyle="1" w:styleId="0NORML">
    <w:name w:val="0NORMÁLŃÍ"/>
    <w:basedOn w:val="Normal"/>
    <w:rsid w:val="005F24DC"/>
    <w:pPr>
      <w:spacing w:before="200" w:line="240" w:lineRule="auto"/>
      <w:jc w:val="left"/>
    </w:pPr>
    <w:rPr>
      <w:rFonts w:ascii="Times New Roman" w:eastAsia="Times New Roman" w:hAnsi="Times New Roman"/>
      <w:caps/>
      <w:color w:val="000000"/>
      <w:sz w:val="20"/>
      <w:szCs w:val="24"/>
      <w:lang w:eastAsia="cs-CZ"/>
    </w:rPr>
  </w:style>
  <w:style w:type="paragraph" w:customStyle="1" w:styleId="Styl12NORML12b">
    <w:name w:val="Styl 12NORMÁLŃÍ + 12 b."/>
    <w:basedOn w:val="0NORML"/>
    <w:rsid w:val="005F24DC"/>
    <w:rPr>
      <w:sz w:val="24"/>
    </w:rPr>
  </w:style>
  <w:style w:type="character" w:customStyle="1" w:styleId="Styl12NORML12bChar">
    <w:name w:val="Styl 12NORMÁLŃÍ + 12 b. Char"/>
    <w:rsid w:val="005F24DC"/>
    <w:rPr>
      <w:caps/>
      <w:color w:val="000000"/>
      <w:sz w:val="24"/>
      <w:szCs w:val="24"/>
      <w:lang w:val="cs-CZ" w:eastAsia="cs-CZ" w:bidi="ar-SA"/>
    </w:rPr>
  </w:style>
  <w:style w:type="paragraph" w:styleId="Date">
    <w:name w:val="Date"/>
    <w:basedOn w:val="Normal"/>
    <w:next w:val="Normal"/>
    <w:link w:val="DateChar"/>
    <w:rsid w:val="00503099"/>
  </w:style>
  <w:style w:type="character" w:customStyle="1" w:styleId="DateChar">
    <w:name w:val="Date Char"/>
    <w:basedOn w:val="DefaultParagraphFont"/>
    <w:link w:val="Date"/>
    <w:rsid w:val="00CB42B3"/>
    <w:rPr>
      <w:rFonts w:ascii="Arial Narrow" w:hAnsi="Arial Narrow"/>
      <w:sz w:val="22"/>
      <w:szCs w:val="22"/>
      <w:lang w:eastAsia="zh-CN"/>
    </w:rPr>
  </w:style>
  <w:style w:type="paragraph" w:customStyle="1" w:styleId="xl26">
    <w:name w:val="xl26"/>
    <w:basedOn w:val="Normal"/>
    <w:rsid w:val="003354D1"/>
    <w:pPr>
      <w:spacing w:before="100" w:beforeAutospacing="1" w:after="100" w:afterAutospacing="1" w:line="240" w:lineRule="auto"/>
      <w:jc w:val="center"/>
    </w:pPr>
    <w:rPr>
      <w:rFonts w:eastAsia="Arial Unicode MS" w:cs="Arial Unicode MS"/>
      <w:lang w:eastAsia="cs-CZ"/>
    </w:rPr>
  </w:style>
  <w:style w:type="paragraph" w:customStyle="1" w:styleId="Default">
    <w:name w:val="Default"/>
    <w:link w:val="DefaultChar"/>
    <w:rsid w:val="006423DA"/>
    <w:pPr>
      <w:autoSpaceDE w:val="0"/>
      <w:autoSpaceDN w:val="0"/>
      <w:adjustRightInd w:val="0"/>
    </w:pPr>
    <w:rPr>
      <w:rFonts w:ascii="Arial" w:hAnsi="Arial" w:cs="Arial"/>
      <w:color w:val="000000"/>
      <w:sz w:val="24"/>
      <w:szCs w:val="24"/>
      <w:lang w:val="en-US" w:eastAsia="zh-CN"/>
    </w:rPr>
  </w:style>
  <w:style w:type="character" w:customStyle="1" w:styleId="DefaultChar">
    <w:name w:val="Default Char"/>
    <w:link w:val="Default"/>
    <w:rsid w:val="008B5658"/>
    <w:rPr>
      <w:rFonts w:ascii="Arial" w:hAnsi="Arial" w:cs="Arial"/>
      <w:color w:val="000000"/>
      <w:sz w:val="24"/>
      <w:szCs w:val="24"/>
      <w:lang w:val="en-US" w:eastAsia="zh-CN"/>
    </w:rPr>
  </w:style>
  <w:style w:type="character" w:customStyle="1" w:styleId="NvrhP-Heading1CharChar">
    <w:name w:val="Návrh ÚP - Heading 1 Char Char"/>
    <w:rsid w:val="00395A30"/>
    <w:rPr>
      <w:rFonts w:ascii="Arial Narrow" w:eastAsia="SimSun" w:hAnsi="Arial Narrow" w:cs="Arial"/>
      <w:b/>
      <w:bCs/>
      <w:kern w:val="32"/>
      <w:sz w:val="32"/>
      <w:szCs w:val="32"/>
      <w:lang w:val="nl-NL" w:eastAsia="zh-CN" w:bidi="ar-SA"/>
    </w:rPr>
  </w:style>
  <w:style w:type="paragraph" w:customStyle="1" w:styleId="CharCharCharCharCharChar">
    <w:name w:val="Char Char Char Char Char Char"/>
    <w:basedOn w:val="Normal"/>
    <w:rsid w:val="004567A0"/>
    <w:pPr>
      <w:spacing w:after="160" w:line="240" w:lineRule="exact"/>
      <w:jc w:val="left"/>
    </w:pPr>
    <w:rPr>
      <w:rFonts w:ascii="Tahoma" w:eastAsia="Times New Roman" w:hAnsi="Tahoma" w:cs="Tahoma"/>
      <w:sz w:val="20"/>
      <w:szCs w:val="20"/>
      <w:lang w:val="en-US" w:eastAsia="en-US"/>
    </w:rPr>
  </w:style>
  <w:style w:type="paragraph" w:customStyle="1" w:styleId="StyleHeading1">
    <w:name w:val="Style Heading 1"/>
    <w:aliases w:val="Návrh ÚP - Heading 1 + Before:  6 pt After:  6 pt"/>
    <w:basedOn w:val="Heading1"/>
    <w:rsid w:val="00792E1D"/>
    <w:pPr>
      <w:spacing w:after="120"/>
    </w:pPr>
    <w:rPr>
      <w:rFonts w:cs="Times New Roman"/>
      <w:szCs w:val="20"/>
    </w:rPr>
  </w:style>
  <w:style w:type="paragraph" w:styleId="DocumentMap">
    <w:name w:val="Document Map"/>
    <w:basedOn w:val="Normal"/>
    <w:link w:val="DocumentMapChar"/>
    <w:semiHidden/>
    <w:rsid w:val="001E4FB4"/>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CB42B3"/>
    <w:rPr>
      <w:rFonts w:ascii="Tahoma" w:hAnsi="Tahoma" w:cs="Tahoma"/>
      <w:shd w:val="clear" w:color="auto" w:fill="000080"/>
      <w:lang w:eastAsia="zh-CN"/>
    </w:rPr>
  </w:style>
  <w:style w:type="paragraph" w:customStyle="1" w:styleId="UText">
    <w:name w:val="UText"/>
    <w:basedOn w:val="Normal"/>
    <w:rsid w:val="009121B7"/>
    <w:pPr>
      <w:overflowPunct w:val="0"/>
      <w:autoSpaceDE w:val="0"/>
      <w:autoSpaceDN w:val="0"/>
      <w:adjustRightInd w:val="0"/>
      <w:spacing w:line="240" w:lineRule="auto"/>
      <w:textAlignment w:val="baseline"/>
    </w:pPr>
    <w:rPr>
      <w:rFonts w:ascii="Times New Roman" w:eastAsia="Times New Roman" w:hAnsi="Times New Roman"/>
      <w:sz w:val="24"/>
      <w:szCs w:val="20"/>
      <w:lang w:eastAsia="cs-CZ"/>
    </w:rPr>
  </w:style>
  <w:style w:type="paragraph" w:styleId="BodyTextIndent2">
    <w:name w:val="Body Text Indent 2"/>
    <w:basedOn w:val="Normal"/>
    <w:link w:val="BodyTextIndent2Char"/>
    <w:rsid w:val="00641F9C"/>
    <w:pPr>
      <w:spacing w:after="120" w:line="480" w:lineRule="auto"/>
      <w:ind w:left="283"/>
    </w:pPr>
  </w:style>
  <w:style w:type="character" w:customStyle="1" w:styleId="BodyTextIndent2Char">
    <w:name w:val="Body Text Indent 2 Char"/>
    <w:basedOn w:val="DefaultParagraphFont"/>
    <w:link w:val="BodyTextIndent2"/>
    <w:rsid w:val="00CB42B3"/>
    <w:rPr>
      <w:rFonts w:ascii="Arial Narrow" w:hAnsi="Arial Narrow"/>
      <w:sz w:val="22"/>
      <w:szCs w:val="22"/>
      <w:lang w:eastAsia="zh-CN"/>
    </w:rPr>
  </w:style>
  <w:style w:type="paragraph" w:styleId="BodyTextIndent">
    <w:name w:val="Body Text Indent"/>
    <w:basedOn w:val="Normal"/>
    <w:link w:val="BodyTextIndentChar"/>
    <w:rsid w:val="00203FBF"/>
    <w:pPr>
      <w:spacing w:after="120"/>
      <w:ind w:left="283"/>
    </w:pPr>
  </w:style>
  <w:style w:type="character" w:customStyle="1" w:styleId="BodyTextIndentChar">
    <w:name w:val="Body Text Indent Char"/>
    <w:basedOn w:val="DefaultParagraphFont"/>
    <w:link w:val="BodyTextIndent"/>
    <w:rsid w:val="006E3B0F"/>
    <w:rPr>
      <w:rFonts w:ascii="Arial Narrow" w:hAnsi="Arial Narrow"/>
      <w:sz w:val="22"/>
      <w:szCs w:val="22"/>
      <w:lang w:eastAsia="zh-CN"/>
    </w:rPr>
  </w:style>
  <w:style w:type="paragraph" w:customStyle="1" w:styleId="CharChar">
    <w:name w:val="Char Char"/>
    <w:basedOn w:val="Normal"/>
    <w:rsid w:val="00186068"/>
    <w:pPr>
      <w:spacing w:after="160" w:line="240" w:lineRule="exact"/>
      <w:jc w:val="left"/>
    </w:pPr>
    <w:rPr>
      <w:rFonts w:ascii="Tahoma" w:eastAsia="Times New Roman" w:hAnsi="Tahoma" w:cs="Tahoma"/>
      <w:sz w:val="20"/>
      <w:szCs w:val="20"/>
      <w:lang w:val="en-US" w:eastAsia="en-US"/>
    </w:rPr>
  </w:style>
  <w:style w:type="paragraph" w:customStyle="1" w:styleId="CharChar3">
    <w:name w:val="Char Char3"/>
    <w:basedOn w:val="Normal"/>
    <w:rsid w:val="00342B4E"/>
    <w:pPr>
      <w:spacing w:after="160" w:line="240" w:lineRule="exact"/>
      <w:jc w:val="left"/>
    </w:pPr>
    <w:rPr>
      <w:rFonts w:ascii="Tahoma" w:eastAsia="Times New Roman" w:hAnsi="Tahoma" w:cs="Tahoma"/>
      <w:sz w:val="20"/>
      <w:szCs w:val="20"/>
      <w:lang w:val="en-US" w:eastAsia="en-US"/>
    </w:rPr>
  </w:style>
  <w:style w:type="paragraph" w:customStyle="1" w:styleId="CharChar4">
    <w:name w:val="Char Char4"/>
    <w:basedOn w:val="Normal"/>
    <w:rsid w:val="000C4D37"/>
    <w:pPr>
      <w:spacing w:after="160" w:line="240" w:lineRule="exact"/>
      <w:jc w:val="left"/>
    </w:pPr>
    <w:rPr>
      <w:rFonts w:ascii="Tahoma" w:eastAsia="Times New Roman" w:hAnsi="Tahoma" w:cs="Tahoma"/>
      <w:sz w:val="20"/>
      <w:szCs w:val="20"/>
      <w:lang w:val="en-US" w:eastAsia="en-US"/>
    </w:rPr>
  </w:style>
  <w:style w:type="paragraph" w:customStyle="1" w:styleId="StylPrvndek">
    <w:name w:val="Styl První řádek"/>
    <w:basedOn w:val="Normal"/>
    <w:rsid w:val="00B14F0A"/>
    <w:pPr>
      <w:keepLines/>
      <w:spacing w:line="240" w:lineRule="auto"/>
      <w:ind w:firstLine="851"/>
    </w:pPr>
    <w:rPr>
      <w:rFonts w:ascii="Times New Roman" w:eastAsia="Times New Roman" w:hAnsi="Times New Roman"/>
      <w:color w:val="000000"/>
      <w:sz w:val="24"/>
      <w:szCs w:val="24"/>
      <w:lang w:eastAsia="cs-CZ"/>
    </w:rPr>
  </w:style>
  <w:style w:type="character" w:customStyle="1" w:styleId="nvrhp-text0">
    <w:name w:val="nvrhp-text"/>
    <w:rsid w:val="00A77875"/>
    <w:rPr>
      <w:rFonts w:ascii="Arial Narrow" w:hAnsi="Arial Narrow" w:hint="default"/>
    </w:rPr>
  </w:style>
  <w:style w:type="paragraph" w:customStyle="1" w:styleId="Normlnslovan">
    <w:name w:val="Normální číslovaný"/>
    <w:basedOn w:val="Normal"/>
    <w:rsid w:val="00FF731A"/>
    <w:pPr>
      <w:numPr>
        <w:numId w:val="2"/>
      </w:numPr>
      <w:spacing w:after="240" w:line="240" w:lineRule="auto"/>
    </w:pPr>
    <w:rPr>
      <w:rFonts w:eastAsia="Times New Roman" w:cs="Arial"/>
      <w:sz w:val="20"/>
      <w:szCs w:val="18"/>
      <w:lang w:eastAsia="cs-CZ"/>
    </w:rPr>
  </w:style>
  <w:style w:type="paragraph" w:styleId="ListParagraph">
    <w:name w:val="List Paragraph"/>
    <w:basedOn w:val="Normal"/>
    <w:uiPriority w:val="99"/>
    <w:qFormat/>
    <w:rsid w:val="00DB5777"/>
    <w:pPr>
      <w:ind w:left="708"/>
    </w:pPr>
  </w:style>
  <w:style w:type="paragraph" w:styleId="NoSpacing">
    <w:name w:val="No Spacing"/>
    <w:uiPriority w:val="1"/>
    <w:qFormat/>
    <w:rsid w:val="00F505B0"/>
    <w:pPr>
      <w:jc w:val="both"/>
    </w:pPr>
    <w:rPr>
      <w:rFonts w:ascii="Arial" w:hAnsi="Arial"/>
      <w:sz w:val="22"/>
      <w:szCs w:val="22"/>
      <w:lang w:eastAsia="zh-CN"/>
    </w:rPr>
  </w:style>
  <w:style w:type="paragraph" w:customStyle="1" w:styleId="b-pismeno">
    <w:name w:val="b-pismeno"/>
    <w:basedOn w:val="ListParagraph"/>
    <w:link w:val="b-pismenoChar"/>
    <w:qFormat/>
    <w:rsid w:val="00D550C3"/>
    <w:pPr>
      <w:numPr>
        <w:numId w:val="4"/>
      </w:numPr>
      <w:tabs>
        <w:tab w:val="left" w:pos="720"/>
      </w:tabs>
      <w:spacing w:before="60" w:line="240" w:lineRule="auto"/>
    </w:pPr>
    <w:rPr>
      <w:lang w:eastAsia="en-US"/>
    </w:rPr>
  </w:style>
  <w:style w:type="character" w:customStyle="1" w:styleId="b-pismenoChar">
    <w:name w:val="b-pismeno Char"/>
    <w:link w:val="b-pismeno"/>
    <w:rsid w:val="00D550C3"/>
    <w:rPr>
      <w:rFonts w:ascii="Arial Narrow" w:hAnsi="Arial Narrow"/>
      <w:sz w:val="22"/>
      <w:szCs w:val="22"/>
      <w:lang w:eastAsia="en-US"/>
    </w:rPr>
  </w:style>
  <w:style w:type="paragraph" w:customStyle="1" w:styleId="a-cislo">
    <w:name w:val="a-cislo"/>
    <w:basedOn w:val="Normal"/>
    <w:link w:val="a-cisloChar"/>
    <w:qFormat/>
    <w:rsid w:val="00A9758D"/>
    <w:pPr>
      <w:numPr>
        <w:numId w:val="3"/>
      </w:numPr>
      <w:spacing w:before="240" w:after="120" w:line="240" w:lineRule="auto"/>
    </w:pPr>
    <w:rPr>
      <w:rFonts w:cs="Arial"/>
    </w:rPr>
  </w:style>
  <w:style w:type="character" w:customStyle="1" w:styleId="a-cisloChar">
    <w:name w:val="a-cislo Char"/>
    <w:link w:val="a-cislo"/>
    <w:rsid w:val="00A9758D"/>
    <w:rPr>
      <w:rFonts w:ascii="Arial Narrow" w:hAnsi="Arial Narrow" w:cs="Arial"/>
      <w:sz w:val="22"/>
      <w:szCs w:val="22"/>
      <w:lang w:eastAsia="zh-CN"/>
    </w:rPr>
  </w:style>
  <w:style w:type="character" w:customStyle="1" w:styleId="c-podpsmenoChar">
    <w:name w:val="c-podpísmeno Char"/>
    <w:link w:val="c-podpsmeno"/>
    <w:locked/>
    <w:rsid w:val="0006031A"/>
    <w:rPr>
      <w:rFonts w:ascii="Arial Narrow" w:hAnsi="Arial Narrow"/>
      <w:sz w:val="22"/>
    </w:rPr>
  </w:style>
  <w:style w:type="paragraph" w:customStyle="1" w:styleId="c-podpsmeno">
    <w:name w:val="c-podpísmeno"/>
    <w:basedOn w:val="Normal"/>
    <w:link w:val="c-podpsmenoChar"/>
    <w:qFormat/>
    <w:rsid w:val="0006031A"/>
    <w:pPr>
      <w:spacing w:before="60" w:line="240" w:lineRule="auto"/>
      <w:ind w:left="1502" w:hanging="425"/>
    </w:pPr>
    <w:rPr>
      <w:szCs w:val="20"/>
    </w:rPr>
  </w:style>
  <w:style w:type="character" w:customStyle="1" w:styleId="Text">
    <w:name w:val="Text"/>
    <w:basedOn w:val="DefaultParagraphFont"/>
    <w:rsid w:val="002A3AEF"/>
    <w:rPr>
      <w:rFonts w:ascii="Arial Narrow" w:eastAsia="SimSun" w:hAnsi="Arial Narrow"/>
      <w:sz w:val="22"/>
      <w:lang w:val="en-US" w:eastAsia="zh-CN"/>
    </w:rPr>
  </w:style>
  <w:style w:type="paragraph" w:styleId="TOC4">
    <w:name w:val="toc 4"/>
    <w:basedOn w:val="Normal"/>
    <w:next w:val="Normal"/>
    <w:autoRedefine/>
    <w:uiPriority w:val="39"/>
    <w:unhideWhenUsed/>
    <w:rsid w:val="00D76D09"/>
    <w:pPr>
      <w:spacing w:after="100" w:line="276" w:lineRule="auto"/>
      <w:ind w:left="660"/>
      <w:jc w:val="left"/>
    </w:pPr>
    <w:rPr>
      <w:rFonts w:asciiTheme="minorHAnsi" w:eastAsiaTheme="minorEastAsia" w:hAnsiTheme="minorHAnsi" w:cstheme="minorBidi"/>
      <w:lang w:eastAsia="cs-CZ"/>
    </w:rPr>
  </w:style>
  <w:style w:type="paragraph" w:styleId="TOC5">
    <w:name w:val="toc 5"/>
    <w:basedOn w:val="Normal"/>
    <w:next w:val="Normal"/>
    <w:autoRedefine/>
    <w:uiPriority w:val="39"/>
    <w:unhideWhenUsed/>
    <w:rsid w:val="00D76D09"/>
    <w:pPr>
      <w:spacing w:after="100" w:line="276" w:lineRule="auto"/>
      <w:ind w:left="880"/>
      <w:jc w:val="left"/>
    </w:pPr>
    <w:rPr>
      <w:rFonts w:asciiTheme="minorHAnsi" w:eastAsiaTheme="minorEastAsia" w:hAnsiTheme="minorHAnsi" w:cstheme="minorBidi"/>
      <w:lang w:eastAsia="cs-CZ"/>
    </w:rPr>
  </w:style>
  <w:style w:type="paragraph" w:styleId="TOC6">
    <w:name w:val="toc 6"/>
    <w:basedOn w:val="Normal"/>
    <w:next w:val="Normal"/>
    <w:autoRedefine/>
    <w:uiPriority w:val="39"/>
    <w:unhideWhenUsed/>
    <w:rsid w:val="00D76D09"/>
    <w:pPr>
      <w:spacing w:after="100" w:line="276" w:lineRule="auto"/>
      <w:ind w:left="1100"/>
      <w:jc w:val="left"/>
    </w:pPr>
    <w:rPr>
      <w:rFonts w:asciiTheme="minorHAnsi" w:eastAsiaTheme="minorEastAsia" w:hAnsiTheme="minorHAnsi" w:cstheme="minorBidi"/>
      <w:lang w:eastAsia="cs-CZ"/>
    </w:rPr>
  </w:style>
  <w:style w:type="paragraph" w:styleId="TOC7">
    <w:name w:val="toc 7"/>
    <w:basedOn w:val="Normal"/>
    <w:next w:val="Normal"/>
    <w:autoRedefine/>
    <w:uiPriority w:val="39"/>
    <w:unhideWhenUsed/>
    <w:rsid w:val="00D76D09"/>
    <w:pPr>
      <w:spacing w:after="100" w:line="276" w:lineRule="auto"/>
      <w:ind w:left="1320"/>
      <w:jc w:val="left"/>
    </w:pPr>
    <w:rPr>
      <w:rFonts w:asciiTheme="minorHAnsi" w:eastAsiaTheme="minorEastAsia" w:hAnsiTheme="minorHAnsi" w:cstheme="minorBidi"/>
      <w:lang w:eastAsia="cs-CZ"/>
    </w:rPr>
  </w:style>
  <w:style w:type="paragraph" w:styleId="TOC8">
    <w:name w:val="toc 8"/>
    <w:basedOn w:val="Normal"/>
    <w:next w:val="Normal"/>
    <w:autoRedefine/>
    <w:uiPriority w:val="39"/>
    <w:unhideWhenUsed/>
    <w:rsid w:val="00D76D09"/>
    <w:pPr>
      <w:spacing w:after="100" w:line="276" w:lineRule="auto"/>
      <w:ind w:left="1540"/>
      <w:jc w:val="left"/>
    </w:pPr>
    <w:rPr>
      <w:rFonts w:asciiTheme="minorHAnsi" w:eastAsiaTheme="minorEastAsia" w:hAnsiTheme="minorHAnsi" w:cstheme="minorBidi"/>
      <w:lang w:eastAsia="cs-CZ"/>
    </w:rPr>
  </w:style>
  <w:style w:type="paragraph" w:styleId="TOC9">
    <w:name w:val="toc 9"/>
    <w:basedOn w:val="Normal"/>
    <w:next w:val="Normal"/>
    <w:autoRedefine/>
    <w:uiPriority w:val="39"/>
    <w:unhideWhenUsed/>
    <w:rsid w:val="00D76D09"/>
    <w:pPr>
      <w:spacing w:after="100" w:line="276" w:lineRule="auto"/>
      <w:ind w:left="1760"/>
      <w:jc w:val="left"/>
    </w:pPr>
    <w:rPr>
      <w:rFonts w:asciiTheme="minorHAnsi" w:eastAsiaTheme="minorEastAsia" w:hAnsiTheme="minorHAnsi" w:cstheme="minorBidi"/>
      <w:lang w:eastAsia="cs-CZ"/>
    </w:rPr>
  </w:style>
  <w:style w:type="paragraph" w:customStyle="1" w:styleId="1text">
    <w:name w:val="1_text"/>
    <w:basedOn w:val="Normal"/>
    <w:link w:val="1textChar"/>
    <w:qFormat/>
    <w:rsid w:val="003C3634"/>
    <w:pPr>
      <w:spacing w:before="120" w:line="240" w:lineRule="auto"/>
    </w:pPr>
  </w:style>
  <w:style w:type="character" w:customStyle="1" w:styleId="1textChar">
    <w:name w:val="1_text Char"/>
    <w:basedOn w:val="DefaultParagraphFont"/>
    <w:link w:val="1text"/>
    <w:rsid w:val="003C3634"/>
    <w:rPr>
      <w:rFonts w:ascii="Arial Narrow" w:hAnsi="Arial Narrow"/>
      <w:sz w:val="22"/>
      <w:szCs w:val="22"/>
      <w:lang w:eastAsia="zh-CN"/>
    </w:rPr>
  </w:style>
  <w:style w:type="paragraph" w:styleId="Subtitle">
    <w:name w:val="Subtitle"/>
    <w:basedOn w:val="Normal"/>
    <w:next w:val="Normal"/>
    <w:link w:val="SubtitleChar"/>
    <w:qFormat/>
    <w:rsid w:val="00112987"/>
    <w:pPr>
      <w:spacing w:before="120" w:after="60" w:line="240" w:lineRule="auto"/>
      <w:ind w:right="23"/>
      <w:jc w:val="left"/>
    </w:pPr>
    <w:rPr>
      <w:rFonts w:cs="Arial"/>
      <w:b/>
      <w:bCs/>
    </w:rPr>
  </w:style>
  <w:style w:type="character" w:customStyle="1" w:styleId="SubtitleChar">
    <w:name w:val="Subtitle Char"/>
    <w:basedOn w:val="DefaultParagraphFont"/>
    <w:link w:val="Subtitle"/>
    <w:rsid w:val="00112987"/>
    <w:rPr>
      <w:rFonts w:ascii="Arial Narrow" w:hAnsi="Arial Narrow" w:cs="Arial"/>
      <w:b/>
      <w:bCs/>
      <w:sz w:val="22"/>
      <w:szCs w:val="22"/>
      <w:lang w:eastAsia="zh-CN"/>
    </w:rPr>
  </w:style>
  <w:style w:type="paragraph" w:customStyle="1" w:styleId="CharCharCharCharCharChar1">
    <w:name w:val="Char Char Char Char Char Char1"/>
    <w:basedOn w:val="Normal"/>
    <w:rsid w:val="00112987"/>
    <w:pPr>
      <w:spacing w:after="160" w:line="240" w:lineRule="exact"/>
      <w:jc w:val="left"/>
    </w:pPr>
    <w:rPr>
      <w:rFonts w:ascii="Tahoma" w:eastAsia="Times New Roman" w:hAnsi="Tahoma" w:cs="Tahoma"/>
      <w:sz w:val="20"/>
      <w:szCs w:val="20"/>
      <w:lang w:val="en-US" w:eastAsia="en-US"/>
    </w:rPr>
  </w:style>
  <w:style w:type="paragraph" w:customStyle="1" w:styleId="Textbodu">
    <w:name w:val="Text bodu"/>
    <w:basedOn w:val="Normal"/>
    <w:rsid w:val="00A9758D"/>
    <w:pPr>
      <w:spacing w:before="120" w:line="240" w:lineRule="auto"/>
      <w:outlineLvl w:val="8"/>
    </w:pPr>
    <w:rPr>
      <w:rFonts w:ascii="Century Gothic" w:eastAsia="Times New Roman" w:hAnsi="Century Gothic"/>
      <w:sz w:val="24"/>
      <w:szCs w:val="20"/>
      <w:lang w:eastAsia="cs-CZ"/>
    </w:rPr>
  </w:style>
  <w:style w:type="paragraph" w:customStyle="1" w:styleId="CharCharCharCharCharChar0">
    <w:name w:val="Char Char Char Char Char Char"/>
    <w:basedOn w:val="Normal"/>
    <w:rsid w:val="00BB7566"/>
    <w:pPr>
      <w:spacing w:after="160" w:line="240" w:lineRule="exact"/>
      <w:jc w:val="left"/>
    </w:pPr>
    <w:rPr>
      <w:rFonts w:ascii="Tahoma" w:eastAsia="Times New Roman" w:hAnsi="Tahoma" w:cs="Tahoma"/>
      <w:sz w:val="20"/>
      <w:szCs w:val="20"/>
      <w:lang w:val="en-US" w:eastAsia="en-US"/>
    </w:rPr>
  </w:style>
  <w:style w:type="paragraph" w:customStyle="1" w:styleId="CharChar3CharCharCharChar">
    <w:name w:val="Char Char3 Char Char Char Char"/>
    <w:basedOn w:val="Normal"/>
    <w:rsid w:val="004E1C7A"/>
    <w:pPr>
      <w:spacing w:after="160" w:line="240" w:lineRule="exact"/>
      <w:jc w:val="left"/>
    </w:pPr>
    <w:rPr>
      <w:rFonts w:ascii="Tahoma" w:eastAsia="Times New Roman" w:hAnsi="Tahoma" w:cs="Tahoma"/>
      <w:sz w:val="20"/>
      <w:szCs w:val="20"/>
      <w:lang w:val="en-US" w:eastAsia="en-US"/>
    </w:rPr>
  </w:style>
  <w:style w:type="paragraph" w:customStyle="1" w:styleId="Normln1">
    <w:name w:val="Normální1"/>
    <w:basedOn w:val="Default"/>
    <w:next w:val="Default"/>
    <w:rsid w:val="004E1C7A"/>
    <w:rPr>
      <w:rFonts w:cs="Times New Roman"/>
      <w:color w:val="auto"/>
    </w:rPr>
  </w:style>
  <w:style w:type="paragraph" w:customStyle="1" w:styleId="Nadpis31">
    <w:name w:val="Nadpis 31"/>
    <w:basedOn w:val="Default"/>
    <w:next w:val="Default"/>
    <w:rsid w:val="004E1C7A"/>
    <w:rPr>
      <w:rFonts w:cs="Times New Roman"/>
      <w:color w:val="auto"/>
    </w:rPr>
  </w:style>
  <w:style w:type="paragraph" w:customStyle="1" w:styleId="Zkladntextodsazen1">
    <w:name w:val="Základní text odsazený1"/>
    <w:basedOn w:val="Default"/>
    <w:next w:val="Default"/>
    <w:rsid w:val="004E1C7A"/>
    <w:rPr>
      <w:rFonts w:cs="Times New Roman"/>
      <w:color w:val="auto"/>
    </w:rPr>
  </w:style>
  <w:style w:type="paragraph" w:customStyle="1" w:styleId="ostavec">
    <w:name w:val="ostavec"/>
    <w:basedOn w:val="Normal"/>
    <w:link w:val="ostavecChar"/>
    <w:rsid w:val="004E1C7A"/>
    <w:pPr>
      <w:spacing w:line="240" w:lineRule="auto"/>
    </w:pPr>
    <w:rPr>
      <w:rFonts w:ascii="Times New Roman" w:hAnsi="Times New Roman"/>
      <w:color w:val="000000"/>
      <w:sz w:val="24"/>
      <w:szCs w:val="20"/>
      <w:lang w:eastAsia="en-US"/>
    </w:rPr>
  </w:style>
  <w:style w:type="character" w:customStyle="1" w:styleId="ostavecChar">
    <w:name w:val="ostavec Char"/>
    <w:link w:val="ostavec"/>
    <w:rsid w:val="004E1C7A"/>
    <w:rPr>
      <w:color w:val="000000"/>
      <w:sz w:val="24"/>
      <w:lang w:eastAsia="en-US"/>
    </w:rPr>
  </w:style>
  <w:style w:type="paragraph" w:styleId="z-TopofForm">
    <w:name w:val="HTML Top of Form"/>
    <w:basedOn w:val="Normal"/>
    <w:next w:val="Normal"/>
    <w:link w:val="z-TopofFormChar"/>
    <w:hidden/>
    <w:rsid w:val="004E1C7A"/>
    <w:pPr>
      <w:pBdr>
        <w:bottom w:val="single" w:sz="6" w:space="1" w:color="auto"/>
      </w:pBdr>
      <w:spacing w:line="240" w:lineRule="auto"/>
      <w:jc w:val="center"/>
    </w:pPr>
    <w:rPr>
      <w:rFonts w:cs="Arial"/>
      <w:vanish/>
      <w:sz w:val="16"/>
      <w:szCs w:val="16"/>
      <w:lang w:val="en-US"/>
    </w:rPr>
  </w:style>
  <w:style w:type="character" w:customStyle="1" w:styleId="z-TopofFormChar">
    <w:name w:val="z-Top of Form Char"/>
    <w:basedOn w:val="DefaultParagraphFont"/>
    <w:link w:val="z-TopofForm"/>
    <w:rsid w:val="004E1C7A"/>
    <w:rPr>
      <w:rFonts w:ascii="Arial" w:hAnsi="Arial" w:cs="Arial"/>
      <w:vanish/>
      <w:sz w:val="16"/>
      <w:szCs w:val="16"/>
      <w:lang w:val="en-US" w:eastAsia="zh-CN"/>
    </w:rPr>
  </w:style>
  <w:style w:type="paragraph" w:styleId="z-BottomofForm">
    <w:name w:val="HTML Bottom of Form"/>
    <w:basedOn w:val="Normal"/>
    <w:next w:val="Normal"/>
    <w:link w:val="z-BottomofFormChar"/>
    <w:hidden/>
    <w:rsid w:val="004E1C7A"/>
    <w:pPr>
      <w:pBdr>
        <w:top w:val="single" w:sz="6" w:space="1" w:color="auto"/>
      </w:pBdr>
      <w:spacing w:line="240" w:lineRule="auto"/>
      <w:jc w:val="center"/>
    </w:pPr>
    <w:rPr>
      <w:rFonts w:cs="Arial"/>
      <w:vanish/>
      <w:sz w:val="16"/>
      <w:szCs w:val="16"/>
      <w:lang w:val="en-US"/>
    </w:rPr>
  </w:style>
  <w:style w:type="character" w:customStyle="1" w:styleId="z-BottomofFormChar">
    <w:name w:val="z-Bottom of Form Char"/>
    <w:basedOn w:val="DefaultParagraphFont"/>
    <w:link w:val="z-BottomofForm"/>
    <w:rsid w:val="004E1C7A"/>
    <w:rPr>
      <w:rFonts w:ascii="Arial" w:hAnsi="Arial" w:cs="Arial"/>
      <w:vanish/>
      <w:sz w:val="16"/>
      <w:szCs w:val="16"/>
      <w:lang w:val="en-US" w:eastAsia="zh-CN"/>
    </w:rPr>
  </w:style>
  <w:style w:type="paragraph" w:customStyle="1" w:styleId="Bullet3">
    <w:name w:val="Bullet 3"/>
    <w:basedOn w:val="Normal"/>
    <w:rsid w:val="004E1C7A"/>
    <w:pPr>
      <w:numPr>
        <w:numId w:val="6"/>
      </w:numPr>
    </w:pPr>
    <w:rPr>
      <w:rFonts w:eastAsia="Times New Roman"/>
      <w:sz w:val="18"/>
      <w:szCs w:val="20"/>
      <w:lang w:val="nl-NL" w:eastAsia="en-US"/>
    </w:rPr>
  </w:style>
  <w:style w:type="paragraph" w:styleId="List2">
    <w:name w:val="List 2"/>
    <w:basedOn w:val="Normal"/>
    <w:rsid w:val="004E1C7A"/>
    <w:pPr>
      <w:numPr>
        <w:numId w:val="7"/>
      </w:numPr>
      <w:spacing w:before="60" w:line="312" w:lineRule="auto"/>
    </w:pPr>
    <w:rPr>
      <w:sz w:val="20"/>
      <w:szCs w:val="20"/>
      <w:lang w:eastAsia="cs-CZ"/>
    </w:rPr>
  </w:style>
  <w:style w:type="paragraph" w:customStyle="1" w:styleId="StyleBodyTextIndent2JustifiedLeft0Hanging049L">
    <w:name w:val="Style Body Text Indent 2 + Justified Left:  0&quot; Hanging:  049&quot; L..."/>
    <w:basedOn w:val="BodyTextIndent2"/>
    <w:rsid w:val="004E1C7A"/>
    <w:pPr>
      <w:spacing w:before="120" w:after="0" w:line="312" w:lineRule="auto"/>
      <w:ind w:left="648" w:hanging="648"/>
    </w:pPr>
    <w:rPr>
      <w:sz w:val="20"/>
      <w:szCs w:val="20"/>
      <w:lang w:eastAsia="cs-CZ"/>
    </w:rPr>
  </w:style>
  <w:style w:type="paragraph" w:customStyle="1" w:styleId="OV3">
    <w:name w:val="OV3"/>
    <w:basedOn w:val="Normal"/>
    <w:rsid w:val="004E1C7A"/>
    <w:pPr>
      <w:numPr>
        <w:numId w:val="8"/>
      </w:numPr>
      <w:spacing w:before="120" w:after="120" w:line="240" w:lineRule="auto"/>
    </w:pPr>
    <w:rPr>
      <w:rFonts w:ascii="Century Gothic" w:eastAsia="Calibri" w:hAnsi="Century Gothic"/>
      <w:sz w:val="24"/>
      <w:szCs w:val="20"/>
      <w:lang w:eastAsia="cs-CZ"/>
    </w:rPr>
  </w:style>
  <w:style w:type="paragraph" w:styleId="EndnoteText">
    <w:name w:val="endnote text"/>
    <w:basedOn w:val="Normal"/>
    <w:link w:val="EndnoteTextChar"/>
    <w:rsid w:val="004E1C7A"/>
    <w:rPr>
      <w:sz w:val="20"/>
      <w:szCs w:val="20"/>
      <w:lang w:val="nl-NL"/>
    </w:rPr>
  </w:style>
  <w:style w:type="character" w:customStyle="1" w:styleId="EndnoteTextChar">
    <w:name w:val="Endnote Text Char"/>
    <w:basedOn w:val="DefaultParagraphFont"/>
    <w:link w:val="EndnoteText"/>
    <w:rsid w:val="004E1C7A"/>
    <w:rPr>
      <w:rFonts w:ascii="Arial" w:hAnsi="Arial"/>
      <w:lang w:val="nl-NL" w:eastAsia="zh-CN"/>
    </w:rPr>
  </w:style>
  <w:style w:type="character" w:styleId="EndnoteReference">
    <w:name w:val="endnote reference"/>
    <w:rsid w:val="004E1C7A"/>
    <w:rPr>
      <w:vertAlign w:val="superscript"/>
    </w:rPr>
  </w:style>
  <w:style w:type="paragraph" w:customStyle="1" w:styleId="5odrazka">
    <w:name w:val="5_odrazka"/>
    <w:basedOn w:val="1text"/>
    <w:link w:val="5odrazkaChar"/>
    <w:qFormat/>
    <w:rsid w:val="00F16BB8"/>
    <w:pPr>
      <w:numPr>
        <w:numId w:val="16"/>
      </w:numPr>
      <w:spacing w:before="60"/>
    </w:pPr>
    <w:rPr>
      <w:lang w:eastAsia="cs-CZ"/>
    </w:rPr>
  </w:style>
  <w:style w:type="character" w:customStyle="1" w:styleId="5odrazkaChar">
    <w:name w:val="5_odrazka Char"/>
    <w:link w:val="5odrazka"/>
    <w:rsid w:val="00F16BB8"/>
    <w:rPr>
      <w:rFonts w:ascii="Arial Narrow" w:hAnsi="Arial Narrow"/>
      <w:sz w:val="22"/>
      <w:szCs w:val="22"/>
    </w:rPr>
  </w:style>
  <w:style w:type="paragraph" w:customStyle="1" w:styleId="3pismeno">
    <w:name w:val="3_pismeno"/>
    <w:basedOn w:val="1text"/>
    <w:link w:val="3pismenoChar"/>
    <w:rsid w:val="004E1C7A"/>
    <w:pPr>
      <w:spacing w:before="60"/>
    </w:pPr>
  </w:style>
  <w:style w:type="character" w:customStyle="1" w:styleId="3pismenoChar">
    <w:name w:val="3_pismeno Char"/>
    <w:link w:val="3pismeno"/>
    <w:rsid w:val="004E1C7A"/>
    <w:rPr>
      <w:rFonts w:ascii="Arial Narrow" w:hAnsi="Arial Narrow"/>
      <w:sz w:val="22"/>
      <w:szCs w:val="22"/>
      <w:lang w:eastAsia="zh-CN"/>
    </w:rPr>
  </w:style>
  <w:style w:type="paragraph" w:customStyle="1" w:styleId="4podnadpis">
    <w:name w:val="4_podnadpis"/>
    <w:basedOn w:val="Normal"/>
    <w:link w:val="4podnadpisChar"/>
    <w:qFormat/>
    <w:rsid w:val="00753F4E"/>
    <w:pPr>
      <w:spacing w:before="160" w:line="240" w:lineRule="auto"/>
    </w:pPr>
    <w:rPr>
      <w:b/>
      <w:i/>
      <w:sz w:val="24"/>
      <w:lang w:eastAsia="cs-CZ"/>
    </w:rPr>
  </w:style>
  <w:style w:type="character" w:customStyle="1" w:styleId="4podnadpisChar">
    <w:name w:val="4_podnadpis Char"/>
    <w:link w:val="4podnadpis"/>
    <w:rsid w:val="00753F4E"/>
    <w:rPr>
      <w:rFonts w:ascii="Arial Narrow" w:hAnsi="Arial Narrow"/>
      <w:b/>
      <w:i/>
      <w:sz w:val="24"/>
      <w:szCs w:val="22"/>
    </w:rPr>
  </w:style>
  <w:style w:type="character" w:styleId="HTMLVariable">
    <w:name w:val="HTML Variable"/>
    <w:uiPriority w:val="99"/>
    <w:unhideWhenUsed/>
    <w:rsid w:val="004E1C7A"/>
    <w:rPr>
      <w:i/>
      <w:iCs/>
    </w:rPr>
  </w:style>
  <w:style w:type="paragraph" w:customStyle="1" w:styleId="l5">
    <w:name w:val="l5"/>
    <w:basedOn w:val="Normal"/>
    <w:rsid w:val="004E1C7A"/>
    <w:pPr>
      <w:spacing w:before="100" w:beforeAutospacing="1" w:after="100" w:afterAutospacing="1" w:line="240" w:lineRule="auto"/>
      <w:jc w:val="left"/>
    </w:pPr>
    <w:rPr>
      <w:rFonts w:ascii="Times New Roman" w:eastAsia="Times New Roman" w:hAnsi="Times New Roman"/>
      <w:sz w:val="24"/>
      <w:szCs w:val="24"/>
      <w:lang w:val="es-ES_tradnl" w:eastAsia="es-ES_tradnl"/>
    </w:rPr>
  </w:style>
  <w:style w:type="paragraph" w:customStyle="1" w:styleId="l6">
    <w:name w:val="l6"/>
    <w:basedOn w:val="Normal"/>
    <w:rsid w:val="004E1C7A"/>
    <w:pPr>
      <w:spacing w:before="100" w:beforeAutospacing="1" w:after="100" w:afterAutospacing="1" w:line="240" w:lineRule="auto"/>
      <w:jc w:val="left"/>
    </w:pPr>
    <w:rPr>
      <w:rFonts w:ascii="Times New Roman" w:eastAsia="Times New Roman" w:hAnsi="Times New Roman"/>
      <w:sz w:val="24"/>
      <w:szCs w:val="24"/>
      <w:lang w:val="es-ES_tradnl" w:eastAsia="es-ES_tradnl"/>
    </w:rPr>
  </w:style>
  <w:style w:type="character" w:styleId="Emphasis">
    <w:name w:val="Emphasis"/>
    <w:basedOn w:val="DefaultParagraphFont"/>
    <w:uiPriority w:val="20"/>
    <w:qFormat/>
    <w:rsid w:val="004E1C7A"/>
    <w:rPr>
      <w:b/>
      <w:bCs/>
      <w:i w:val="0"/>
      <w:iCs w:val="0"/>
    </w:rPr>
  </w:style>
  <w:style w:type="character" w:customStyle="1" w:styleId="ft">
    <w:name w:val="ft"/>
    <w:basedOn w:val="DefaultParagraphFont"/>
    <w:rsid w:val="004E1C7A"/>
  </w:style>
  <w:style w:type="character" w:styleId="Strong">
    <w:name w:val="Strong"/>
    <w:aliases w:val="neodkazujici podnadpis"/>
    <w:uiPriority w:val="22"/>
    <w:qFormat/>
    <w:rsid w:val="004E1C7A"/>
    <w:rPr>
      <w:rFonts w:ascii="Arial Narrow" w:hAnsi="Arial Narrow"/>
      <w:b/>
      <w:bCs/>
      <w:color w:val="auto"/>
      <w:spacing w:val="0"/>
      <w:sz w:val="24"/>
    </w:rPr>
  </w:style>
  <w:style w:type="character" w:styleId="SubtleEmphasis">
    <w:name w:val="Subtle Emphasis"/>
    <w:aliases w:val="pod obrazky"/>
    <w:uiPriority w:val="19"/>
    <w:qFormat/>
    <w:rsid w:val="004E1C7A"/>
    <w:rPr>
      <w:rFonts w:ascii="Arial Narrow" w:hAnsi="Arial Narrow"/>
      <w:i/>
      <w:iCs/>
      <w:color w:val="7F7F7F"/>
      <w:sz w:val="18"/>
    </w:rPr>
  </w:style>
  <w:style w:type="paragraph" w:customStyle="1" w:styleId="neodkazujici3">
    <w:name w:val="neodkazujici 3"/>
    <w:basedOn w:val="Normal"/>
    <w:autoRedefine/>
    <w:qFormat/>
    <w:rsid w:val="004E1C7A"/>
    <w:pPr>
      <w:spacing w:before="120" w:after="120" w:line="312" w:lineRule="auto"/>
    </w:pPr>
    <w:rPr>
      <w:b/>
      <w:spacing w:val="20"/>
    </w:rPr>
  </w:style>
  <w:style w:type="paragraph" w:customStyle="1" w:styleId="swot-">
    <w:name w:val="swot -"/>
    <w:basedOn w:val="Normal"/>
    <w:rsid w:val="004E1C7A"/>
    <w:pPr>
      <w:tabs>
        <w:tab w:val="num" w:pos="720"/>
      </w:tabs>
      <w:spacing w:line="240" w:lineRule="auto"/>
      <w:jc w:val="left"/>
    </w:pPr>
    <w:rPr>
      <w:rFonts w:ascii="Times New Roman" w:eastAsia="Times New Roman" w:hAnsi="Times New Roman" w:cs="Arial"/>
      <w:sz w:val="24"/>
      <w:szCs w:val="24"/>
      <w:lang w:eastAsia="cs-CZ"/>
    </w:rPr>
  </w:style>
  <w:style w:type="paragraph" w:customStyle="1" w:styleId="swot">
    <w:name w:val="swot +"/>
    <w:basedOn w:val="Normal"/>
    <w:rsid w:val="004E1C7A"/>
    <w:pPr>
      <w:tabs>
        <w:tab w:val="num" w:pos="720"/>
      </w:tabs>
      <w:spacing w:line="240" w:lineRule="auto"/>
      <w:jc w:val="left"/>
    </w:pPr>
    <w:rPr>
      <w:rFonts w:ascii="Times New Roman" w:eastAsia="Times New Roman" w:hAnsi="Times New Roman" w:cs="Arial"/>
      <w:sz w:val="24"/>
      <w:szCs w:val="24"/>
      <w:lang w:eastAsia="cs-CZ"/>
    </w:rPr>
  </w:style>
  <w:style w:type="paragraph" w:customStyle="1" w:styleId="OV2">
    <w:name w:val="OV2"/>
    <w:basedOn w:val="Normal"/>
    <w:rsid w:val="004E1C7A"/>
    <w:pPr>
      <w:numPr>
        <w:numId w:val="9"/>
      </w:numPr>
      <w:spacing w:before="240" w:after="120" w:line="240" w:lineRule="auto"/>
    </w:pPr>
    <w:rPr>
      <w:rFonts w:ascii="Century Gothic" w:eastAsia="Times New Roman" w:hAnsi="Century Gothic"/>
      <w:bCs/>
      <w:sz w:val="24"/>
      <w:szCs w:val="24"/>
      <w:lang w:eastAsia="cs-CZ"/>
    </w:rPr>
  </w:style>
  <w:style w:type="paragraph" w:styleId="BodyText2">
    <w:name w:val="Body Text 2"/>
    <w:basedOn w:val="Normal"/>
    <w:link w:val="BodyText2Char"/>
    <w:rsid w:val="004E1C7A"/>
    <w:pPr>
      <w:spacing w:after="120" w:line="480" w:lineRule="auto"/>
    </w:pPr>
  </w:style>
  <w:style w:type="character" w:customStyle="1" w:styleId="BodyText2Char">
    <w:name w:val="Body Text 2 Char"/>
    <w:basedOn w:val="DefaultParagraphFont"/>
    <w:link w:val="BodyText2"/>
    <w:rsid w:val="004E1C7A"/>
    <w:rPr>
      <w:rFonts w:ascii="Arial" w:hAnsi="Arial"/>
      <w:sz w:val="22"/>
      <w:szCs w:val="22"/>
      <w:lang w:eastAsia="zh-CN"/>
    </w:rPr>
  </w:style>
  <w:style w:type="paragraph" w:customStyle="1" w:styleId="1odstavec">
    <w:name w:val="1_odstavec"/>
    <w:basedOn w:val="Normal"/>
    <w:link w:val="1odstavecChar"/>
    <w:qFormat/>
    <w:rsid w:val="004E1C7A"/>
    <w:pPr>
      <w:spacing w:before="120" w:line="240" w:lineRule="auto"/>
    </w:pPr>
    <w:rPr>
      <w:rFonts w:cs="Tahoma"/>
      <w:szCs w:val="20"/>
      <w:lang w:eastAsia="en-US"/>
    </w:rPr>
  </w:style>
  <w:style w:type="character" w:customStyle="1" w:styleId="1odstavecChar">
    <w:name w:val="1_odstavec Char"/>
    <w:link w:val="1odstavec"/>
    <w:rsid w:val="004E1C7A"/>
    <w:rPr>
      <w:rFonts w:ascii="Arial Narrow" w:hAnsi="Arial Narrow" w:cs="Tahoma"/>
      <w:sz w:val="22"/>
      <w:lang w:eastAsia="en-US"/>
    </w:rPr>
  </w:style>
  <w:style w:type="paragraph" w:customStyle="1" w:styleId="Normln10">
    <w:name w:val="Normální 1"/>
    <w:basedOn w:val="Normal"/>
    <w:rsid w:val="004E1C7A"/>
    <w:pPr>
      <w:spacing w:before="60" w:line="240" w:lineRule="auto"/>
      <w:jc w:val="left"/>
    </w:pPr>
    <w:rPr>
      <w:rFonts w:cs="Tahoma"/>
      <w:szCs w:val="20"/>
      <w:lang w:eastAsia="cs-CZ"/>
    </w:rPr>
  </w:style>
  <w:style w:type="paragraph" w:customStyle="1" w:styleId="2psmeno">
    <w:name w:val="2_písmeno"/>
    <w:basedOn w:val="Normal"/>
    <w:link w:val="2psmenoChar"/>
    <w:qFormat/>
    <w:rsid w:val="00003F29"/>
    <w:pPr>
      <w:numPr>
        <w:numId w:val="10"/>
      </w:numPr>
      <w:spacing w:before="60" w:line="240" w:lineRule="auto"/>
    </w:pPr>
    <w:rPr>
      <w:rFonts w:cs="Tahoma"/>
      <w:szCs w:val="20"/>
      <w:lang w:eastAsia="en-US"/>
    </w:rPr>
  </w:style>
  <w:style w:type="character" w:customStyle="1" w:styleId="2psmenoChar">
    <w:name w:val="2_písmeno Char"/>
    <w:basedOn w:val="DefaultParagraphFont"/>
    <w:link w:val="2psmeno"/>
    <w:rsid w:val="004E1C7A"/>
    <w:rPr>
      <w:rFonts w:ascii="Arial Narrow" w:hAnsi="Arial Narrow" w:cs="Tahoma"/>
      <w:sz w:val="22"/>
      <w:lang w:eastAsia="en-US"/>
    </w:rPr>
  </w:style>
  <w:style w:type="paragraph" w:customStyle="1" w:styleId="3cislo">
    <w:name w:val="3_cislo"/>
    <w:basedOn w:val="Normal"/>
    <w:link w:val="3cisloChar"/>
    <w:qFormat/>
    <w:rsid w:val="00874A47"/>
    <w:pPr>
      <w:numPr>
        <w:numId w:val="12"/>
      </w:numPr>
      <w:spacing w:before="60" w:line="240" w:lineRule="auto"/>
    </w:pPr>
    <w:rPr>
      <w:rFonts w:cs="Arial"/>
      <w:szCs w:val="20"/>
      <w:lang w:eastAsia="en-US"/>
    </w:rPr>
  </w:style>
  <w:style w:type="character" w:customStyle="1" w:styleId="3cisloChar">
    <w:name w:val="3_cislo Char"/>
    <w:link w:val="3cislo"/>
    <w:rsid w:val="00874A47"/>
    <w:rPr>
      <w:rFonts w:ascii="Arial Narrow" w:hAnsi="Arial Narrow" w:cs="Arial"/>
      <w:sz w:val="22"/>
      <w:lang w:eastAsia="en-US"/>
    </w:rPr>
  </w:style>
  <w:style w:type="paragraph" w:styleId="NormalWeb">
    <w:name w:val="Normal (Web)"/>
    <w:basedOn w:val="Normal"/>
    <w:uiPriority w:val="99"/>
    <w:unhideWhenUsed/>
    <w:rsid w:val="004E1C7A"/>
    <w:pPr>
      <w:spacing w:before="100" w:beforeAutospacing="1" w:after="100" w:afterAutospacing="1" w:line="240" w:lineRule="auto"/>
      <w:jc w:val="left"/>
    </w:pPr>
    <w:rPr>
      <w:rFonts w:ascii="Times New Roman" w:eastAsia="Times New Roman" w:hAnsi="Times New Roman"/>
      <w:sz w:val="24"/>
      <w:szCs w:val="24"/>
      <w:lang w:eastAsia="cs-CZ"/>
    </w:rPr>
  </w:style>
  <w:style w:type="paragraph" w:customStyle="1" w:styleId="CharChar3CharCharCharChar0">
    <w:name w:val="Char Char3 Char Char Char Char"/>
    <w:basedOn w:val="Normal"/>
    <w:rsid w:val="00003F29"/>
    <w:pPr>
      <w:spacing w:after="160" w:line="240" w:lineRule="exact"/>
      <w:jc w:val="left"/>
    </w:pPr>
    <w:rPr>
      <w:rFonts w:ascii="Tahoma" w:eastAsia="Times New Roman" w:hAnsi="Tahoma" w:cs="Tahoma"/>
      <w:sz w:val="20"/>
      <w:szCs w:val="20"/>
      <w:lang w:val="en-US" w:eastAsia="en-US"/>
    </w:rPr>
  </w:style>
  <w:style w:type="paragraph" w:customStyle="1" w:styleId="odrazka">
    <w:name w:val="odrazka"/>
    <w:basedOn w:val="1text"/>
    <w:link w:val="odrazkaChar"/>
    <w:qFormat/>
    <w:rsid w:val="00AF5B62"/>
    <w:rPr>
      <w:rFonts w:ascii="Arial" w:hAnsi="Arial"/>
    </w:rPr>
  </w:style>
  <w:style w:type="character" w:customStyle="1" w:styleId="odrazkaChar">
    <w:name w:val="odrazka Char"/>
    <w:basedOn w:val="1textChar"/>
    <w:link w:val="odrazka"/>
    <w:rsid w:val="00AF5B62"/>
    <w:rPr>
      <w:rFonts w:ascii="Arial" w:hAnsi="Arial"/>
      <w:sz w:val="22"/>
      <w:szCs w:val="22"/>
      <w:lang w:eastAsia="zh-CN"/>
    </w:rPr>
  </w:style>
  <w:style w:type="character" w:customStyle="1" w:styleId="Nadpis3">
    <w:name w:val="Nadpis #3"/>
    <w:rsid w:val="00B55CBB"/>
    <w:rPr>
      <w:rFonts w:ascii="Verdana" w:eastAsia="Verdana" w:hAnsi="Verdana" w:cs="Verdana" w:hint="default"/>
      <w:b/>
      <w:bCs/>
      <w:i/>
      <w:iCs/>
      <w:smallCaps w:val="0"/>
      <w:strike w:val="0"/>
      <w:dstrike w:val="0"/>
      <w:color w:val="000000"/>
      <w:spacing w:val="0"/>
      <w:w w:val="100"/>
      <w:position w:val="0"/>
      <w:sz w:val="23"/>
      <w:szCs w:val="23"/>
      <w:u w:val="none"/>
      <w:effect w:val="none"/>
      <w:lang w:val="cs-CZ"/>
    </w:rPr>
  </w:style>
  <w:style w:type="paragraph" w:customStyle="1" w:styleId="Zkladntext2">
    <w:name w:val="Základní text2"/>
    <w:basedOn w:val="Normal"/>
    <w:rsid w:val="001F12C0"/>
    <w:pPr>
      <w:widowControl w:val="0"/>
      <w:shd w:val="clear" w:color="auto" w:fill="FFFFFF"/>
      <w:spacing w:before="120" w:after="240" w:line="302" w:lineRule="exact"/>
      <w:ind w:hanging="360"/>
      <w:jc w:val="left"/>
    </w:pPr>
    <w:rPr>
      <w:rFonts w:ascii="Verdana" w:eastAsia="Verdana" w:hAnsi="Verdana" w:cs="Verdana"/>
      <w:sz w:val="19"/>
      <w:szCs w:val="19"/>
      <w:lang w:eastAsia="cs-CZ"/>
    </w:rPr>
  </w:style>
  <w:style w:type="character" w:customStyle="1" w:styleId="Zkladntext7pt">
    <w:name w:val="Základní text + 7 pt"/>
    <w:aliases w:val="Tučné,Základní text + 7,5 pt"/>
    <w:rsid w:val="001F12C0"/>
    <w:rPr>
      <w:rFonts w:ascii="Verdana" w:eastAsia="Verdana" w:hAnsi="Verdana" w:cs="Verdana" w:hint="default"/>
      <w:color w:val="000000"/>
      <w:spacing w:val="0"/>
      <w:w w:val="100"/>
      <w:position w:val="0"/>
      <w:sz w:val="14"/>
      <w:szCs w:val="14"/>
      <w:shd w:val="clear" w:color="auto" w:fill="FFFFFF"/>
      <w:lang w:val="cs-CZ"/>
    </w:rPr>
  </w:style>
  <w:style w:type="paragraph" w:customStyle="1" w:styleId="Textpsmene">
    <w:name w:val="Text písmene"/>
    <w:basedOn w:val="Normal"/>
    <w:rsid w:val="00F150FC"/>
    <w:pPr>
      <w:tabs>
        <w:tab w:val="num" w:pos="425"/>
      </w:tabs>
      <w:spacing w:line="240" w:lineRule="auto"/>
      <w:ind w:left="425" w:hanging="425"/>
      <w:outlineLvl w:val="7"/>
    </w:pPr>
    <w:rPr>
      <w:rFonts w:ascii="Times New Roman" w:eastAsia="Times New Roman" w:hAnsi="Times New Roman"/>
      <w:sz w:val="24"/>
      <w:szCs w:val="20"/>
      <w:lang w:eastAsia="cs-CZ"/>
    </w:rPr>
  </w:style>
  <w:style w:type="paragraph" w:customStyle="1" w:styleId="Textodstavce">
    <w:name w:val="Text odstavce"/>
    <w:basedOn w:val="Normal"/>
    <w:rsid w:val="00F150FC"/>
    <w:pPr>
      <w:tabs>
        <w:tab w:val="num" w:pos="785"/>
        <w:tab w:val="left" w:pos="851"/>
      </w:tabs>
      <w:spacing w:before="120" w:after="120" w:line="240" w:lineRule="auto"/>
      <w:ind w:firstLine="425"/>
      <w:outlineLvl w:val="6"/>
    </w:pPr>
    <w:rPr>
      <w:rFonts w:ascii="Times New Roman" w:eastAsia="Times New Roman" w:hAnsi="Times New Roman"/>
      <w:sz w:val="24"/>
      <w:szCs w:val="20"/>
      <w:lang w:eastAsia="cs-CZ"/>
    </w:rPr>
  </w:style>
  <w:style w:type="character" w:customStyle="1" w:styleId="agendanazev">
    <w:name w:val="agendanazev"/>
    <w:basedOn w:val="DefaultParagraphFont"/>
    <w:rsid w:val="003958CB"/>
  </w:style>
  <w:style w:type="character" w:customStyle="1" w:styleId="ZkladntextTun">
    <w:name w:val="Základní text + Tučné"/>
    <w:rsid w:val="00437041"/>
    <w:rPr>
      <w:rFonts w:ascii="Times New Roman" w:eastAsia="Times New Roman" w:hAnsi="Times New Roman" w:cs="Times New Roman"/>
      <w:b/>
      <w:bCs/>
      <w:i w:val="0"/>
      <w:iCs w:val="0"/>
      <w:smallCaps w:val="0"/>
      <w:strike w:val="0"/>
      <w:color w:val="000000"/>
      <w:spacing w:val="0"/>
      <w:w w:val="100"/>
      <w:position w:val="0"/>
      <w:sz w:val="21"/>
      <w:szCs w:val="21"/>
      <w:u w:val="none"/>
      <w:lang w:val="cs-CZ"/>
    </w:rPr>
  </w:style>
  <w:style w:type="paragraph" w:customStyle="1" w:styleId="2cislo">
    <w:name w:val="2_cislo"/>
    <w:basedOn w:val="ListParagraph"/>
    <w:link w:val="2cisloChar"/>
    <w:qFormat/>
    <w:rsid w:val="009A3140"/>
    <w:pPr>
      <w:numPr>
        <w:numId w:val="14"/>
      </w:numPr>
      <w:spacing w:before="120" w:line="240" w:lineRule="auto"/>
    </w:pPr>
  </w:style>
  <w:style w:type="character" w:customStyle="1" w:styleId="2cisloChar">
    <w:name w:val="2_cislo Char"/>
    <w:basedOn w:val="DefaultParagraphFont"/>
    <w:link w:val="2cislo"/>
    <w:rsid w:val="00616B5A"/>
    <w:rPr>
      <w:rFonts w:ascii="Arial Narrow" w:hAnsi="Arial Narrow"/>
      <w:sz w:val="22"/>
      <w:szCs w:val="22"/>
      <w:lang w:eastAsia="zh-CN"/>
    </w:rPr>
  </w:style>
  <w:style w:type="character" w:customStyle="1" w:styleId="mw-headline">
    <w:name w:val="mw-headline"/>
    <w:basedOn w:val="DefaultParagraphFont"/>
    <w:rsid w:val="00051F06"/>
  </w:style>
  <w:style w:type="character" w:customStyle="1" w:styleId="mw-editsection">
    <w:name w:val="mw-editsection"/>
    <w:basedOn w:val="DefaultParagraphFont"/>
    <w:rsid w:val="00051F06"/>
  </w:style>
  <w:style w:type="character" w:customStyle="1" w:styleId="mw-editsection-bracket">
    <w:name w:val="mw-editsection-bracket"/>
    <w:basedOn w:val="DefaultParagraphFont"/>
    <w:rsid w:val="00051F06"/>
  </w:style>
  <w:style w:type="character" w:customStyle="1" w:styleId="mw-editsection-divider">
    <w:name w:val="mw-editsection-divider"/>
    <w:basedOn w:val="DefaultParagraphFont"/>
    <w:rsid w:val="00051F06"/>
  </w:style>
  <w:style w:type="paragraph" w:customStyle="1" w:styleId="7tabulka">
    <w:name w:val="7_tabulka"/>
    <w:basedOn w:val="1text"/>
    <w:link w:val="7tabulkaChar"/>
    <w:qFormat/>
    <w:rsid w:val="002A2AF3"/>
    <w:pPr>
      <w:spacing w:before="40" w:after="40"/>
    </w:pPr>
  </w:style>
  <w:style w:type="character" w:customStyle="1" w:styleId="7tabulkaChar">
    <w:name w:val="7_tabulka Char"/>
    <w:basedOn w:val="1textChar"/>
    <w:link w:val="7tabulka"/>
    <w:rsid w:val="002A2AF3"/>
    <w:rPr>
      <w:rFonts w:ascii="Arial Narrow" w:hAnsi="Arial Narrow"/>
      <w:sz w:val="22"/>
      <w:szCs w:val="22"/>
      <w:lang w:eastAsia="zh-CN"/>
    </w:rPr>
  </w:style>
  <w:style w:type="paragraph" w:customStyle="1" w:styleId="go">
    <w:name w:val="go"/>
    <w:basedOn w:val="Normal"/>
    <w:rsid w:val="009A0E24"/>
    <w:pPr>
      <w:spacing w:before="100" w:beforeAutospacing="1" w:after="100" w:afterAutospacing="1" w:line="240" w:lineRule="auto"/>
      <w:jc w:val="left"/>
    </w:pPr>
    <w:rPr>
      <w:rFonts w:ascii="Times New Roman" w:eastAsia="Times New Roman" w:hAnsi="Times New Roman"/>
      <w:sz w:val="24"/>
      <w:szCs w:val="24"/>
      <w:lang w:val="es-ES_tradnl" w:eastAsia="es-ES_tradnl"/>
    </w:rPr>
  </w:style>
  <w:style w:type="character" w:customStyle="1" w:styleId="h1a">
    <w:name w:val="h1a"/>
    <w:basedOn w:val="DefaultParagraphFont"/>
    <w:rsid w:val="00E14CD1"/>
  </w:style>
  <w:style w:type="paragraph" w:styleId="Caption">
    <w:name w:val="caption"/>
    <w:basedOn w:val="Normal"/>
    <w:next w:val="Normal"/>
    <w:link w:val="CaptionChar"/>
    <w:uiPriority w:val="35"/>
    <w:unhideWhenUsed/>
    <w:qFormat/>
    <w:rsid w:val="00113D05"/>
    <w:pPr>
      <w:spacing w:before="120" w:after="200" w:line="240" w:lineRule="auto"/>
    </w:pPr>
    <w:rPr>
      <w:bCs/>
      <w:i/>
      <w:sz w:val="16"/>
      <w:szCs w:val="18"/>
    </w:rPr>
  </w:style>
  <w:style w:type="character" w:customStyle="1" w:styleId="CaptionChar">
    <w:name w:val="Caption Char"/>
    <w:link w:val="Caption"/>
    <w:uiPriority w:val="35"/>
    <w:rsid w:val="00BF7C3B"/>
    <w:rPr>
      <w:rFonts w:ascii="Arial Narrow" w:hAnsi="Arial Narrow"/>
      <w:bCs/>
      <w:i/>
      <w:sz w:val="16"/>
      <w:szCs w:val="18"/>
      <w:lang w:eastAsia="zh-CN"/>
    </w:rPr>
  </w:style>
  <w:style w:type="paragraph" w:customStyle="1" w:styleId="dtabulka">
    <w:name w:val="d_tabulka"/>
    <w:basedOn w:val="Normal"/>
    <w:link w:val="dtabulkaChar"/>
    <w:qFormat/>
    <w:rsid w:val="00781487"/>
    <w:pPr>
      <w:spacing w:line="240" w:lineRule="auto"/>
      <w:jc w:val="left"/>
    </w:pPr>
    <w:rPr>
      <w:sz w:val="20"/>
      <w:szCs w:val="20"/>
    </w:rPr>
  </w:style>
  <w:style w:type="character" w:customStyle="1" w:styleId="dtabulkaChar">
    <w:name w:val="d_tabulka Char"/>
    <w:basedOn w:val="DefaultParagraphFont"/>
    <w:link w:val="dtabulka"/>
    <w:rsid w:val="00781487"/>
    <w:rPr>
      <w:rFonts w:ascii="Arial Narrow" w:hAnsi="Arial Narrow"/>
      <w:lang w:eastAsia="zh-CN"/>
    </w:rPr>
  </w:style>
  <w:style w:type="paragraph" w:customStyle="1" w:styleId="Intabulka">
    <w:name w:val="Intabulka"/>
    <w:basedOn w:val="Normal"/>
    <w:link w:val="IntabulkaChar"/>
    <w:qFormat/>
    <w:rsid w:val="005B2FAF"/>
    <w:pPr>
      <w:spacing w:before="40" w:after="40" w:line="240" w:lineRule="auto"/>
      <w:jc w:val="left"/>
    </w:pPr>
    <w:rPr>
      <w:rFonts w:ascii="Calibri" w:hAnsi="Calibri"/>
      <w:iCs/>
      <w:sz w:val="20"/>
      <w:szCs w:val="20"/>
      <w:lang w:val="x-none" w:eastAsia="x-none"/>
    </w:rPr>
  </w:style>
  <w:style w:type="character" w:customStyle="1" w:styleId="IntabulkaChar">
    <w:name w:val="Intabulka Char"/>
    <w:link w:val="Intabulka"/>
    <w:rsid w:val="005B2FAF"/>
    <w:rPr>
      <w:rFonts w:ascii="Calibri" w:hAnsi="Calibri"/>
      <w:iCs/>
      <w:lang w:val="x-none" w:eastAsia="x-none"/>
    </w:rPr>
  </w:style>
  <w:style w:type="paragraph" w:customStyle="1" w:styleId="6textkurziva">
    <w:name w:val="6_text_kurziva"/>
    <w:basedOn w:val="ListParagraph"/>
    <w:link w:val="6textkurzivaChar"/>
    <w:qFormat/>
    <w:rsid w:val="00D95069"/>
    <w:pPr>
      <w:spacing w:before="120" w:line="240" w:lineRule="auto"/>
      <w:ind w:left="0"/>
    </w:pPr>
    <w:rPr>
      <w:i/>
    </w:rPr>
  </w:style>
  <w:style w:type="character" w:customStyle="1" w:styleId="6textkurzivaChar">
    <w:name w:val="6_text_kurziva Char"/>
    <w:link w:val="6textkurziva"/>
    <w:rsid w:val="00D95069"/>
    <w:rPr>
      <w:rFonts w:ascii="Arial Narrow" w:hAnsi="Arial Narrow"/>
      <w:i/>
      <w:sz w:val="22"/>
      <w:szCs w:val="22"/>
      <w:lang w:eastAsia="zh-CN"/>
    </w:rPr>
  </w:style>
  <w:style w:type="paragraph" w:customStyle="1" w:styleId="3psmeno">
    <w:name w:val="3_písmeno"/>
    <w:basedOn w:val="Default"/>
    <w:link w:val="3psmenoChar"/>
    <w:qFormat/>
    <w:rsid w:val="00BD279F"/>
    <w:pPr>
      <w:numPr>
        <w:ilvl w:val="2"/>
        <w:numId w:val="84"/>
      </w:numPr>
      <w:spacing w:before="40" w:after="40"/>
    </w:pPr>
    <w:rPr>
      <w:rFonts w:ascii="Calibri" w:hAnsi="Calibri"/>
      <w:color w:val="auto"/>
      <w:sz w:val="22"/>
      <w:szCs w:val="22"/>
      <w:lang w:val="cs-CZ"/>
    </w:rPr>
  </w:style>
  <w:style w:type="character" w:customStyle="1" w:styleId="3psmenoChar">
    <w:name w:val="3_písmeno Char"/>
    <w:link w:val="3psmeno"/>
    <w:rsid w:val="00BD279F"/>
    <w:rPr>
      <w:rFonts w:ascii="Calibri" w:hAnsi="Calibri" w:cs="Arial"/>
      <w:sz w:val="22"/>
      <w:szCs w:val="22"/>
      <w:lang w:eastAsia="zh-CN"/>
    </w:rPr>
  </w:style>
  <w:style w:type="paragraph" w:customStyle="1" w:styleId="Poznamkapodcarou">
    <w:name w:val="Poznamka_pod_carou"/>
    <w:basedOn w:val="FootnoteText"/>
    <w:link w:val="PoznamkapodcarouChar"/>
    <w:qFormat/>
    <w:rsid w:val="006A2611"/>
    <w:pPr>
      <w:spacing w:before="120" w:after="0" w:line="264" w:lineRule="auto"/>
      <w:jc w:val="left"/>
    </w:pPr>
    <w:rPr>
      <w:rFonts w:ascii="Calibri" w:hAnsi="Calibri"/>
      <w:sz w:val="16"/>
      <w:lang w:eastAsia="en-US"/>
    </w:rPr>
  </w:style>
  <w:style w:type="character" w:customStyle="1" w:styleId="PoznamkapodcarouChar">
    <w:name w:val="Poznamka_pod_carou Char"/>
    <w:link w:val="Poznamkapodcarou"/>
    <w:rsid w:val="006A2611"/>
    <w:rPr>
      <w:rFonts w:ascii="Calibri" w:hAnsi="Calibri"/>
      <w:sz w:val="16"/>
      <w:lang w:eastAsia="en-US"/>
    </w:rPr>
  </w:style>
  <w:style w:type="paragraph" w:customStyle="1" w:styleId="BodyText21">
    <w:name w:val="Body Text 21"/>
    <w:basedOn w:val="Normal"/>
    <w:rsid w:val="006E3B0F"/>
    <w:pPr>
      <w:spacing w:before="120" w:line="240" w:lineRule="auto"/>
      <w:ind w:firstLine="567"/>
    </w:pPr>
    <w:rPr>
      <w:rFonts w:ascii="Times New Roman" w:eastAsia="Times New Roman" w:hAnsi="Times New Roman"/>
      <w:sz w:val="24"/>
      <w:szCs w:val="20"/>
      <w:lang w:eastAsia="cs-CZ"/>
    </w:rPr>
  </w:style>
  <w:style w:type="table" w:customStyle="1" w:styleId="TableGrid0">
    <w:name w:val="TableGrid"/>
    <w:rsid w:val="00C4394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List">
    <w:name w:val="List"/>
    <w:basedOn w:val="BodyText"/>
    <w:rsid w:val="00C510C2"/>
    <w:pPr>
      <w:suppressAutoHyphens/>
    </w:pPr>
    <w:rPr>
      <w:rFonts w:ascii="Avalon" w:hAnsi="Avalon" w:cs="Lucida Sans"/>
      <w:szCs w:val="20"/>
      <w:lang w:eastAsia="ar-SA"/>
    </w:rPr>
  </w:style>
  <w:style w:type="paragraph" w:customStyle="1" w:styleId="StylTunZeno04b">
    <w:name w:val="Styl Tučné Zúžené o  04 b."/>
    <w:basedOn w:val="Normal"/>
    <w:rsid w:val="00C510C2"/>
    <w:pPr>
      <w:numPr>
        <w:numId w:val="137"/>
      </w:numPr>
      <w:suppressAutoHyphens/>
      <w:spacing w:line="240" w:lineRule="auto"/>
    </w:pPr>
    <w:rPr>
      <w:rFonts w:ascii="Times New Roman" w:eastAsia="Times New Roman" w:hAnsi="Times New Roman"/>
      <w:b/>
      <w:spacing w:val="-8"/>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1018">
      <w:bodyDiv w:val="1"/>
      <w:marLeft w:val="0"/>
      <w:marRight w:val="0"/>
      <w:marTop w:val="0"/>
      <w:marBottom w:val="0"/>
      <w:divBdr>
        <w:top w:val="none" w:sz="0" w:space="0" w:color="auto"/>
        <w:left w:val="none" w:sz="0" w:space="0" w:color="auto"/>
        <w:bottom w:val="none" w:sz="0" w:space="0" w:color="auto"/>
        <w:right w:val="none" w:sz="0" w:space="0" w:color="auto"/>
      </w:divBdr>
    </w:div>
    <w:div w:id="12266788">
      <w:bodyDiv w:val="1"/>
      <w:marLeft w:val="0"/>
      <w:marRight w:val="0"/>
      <w:marTop w:val="0"/>
      <w:marBottom w:val="0"/>
      <w:divBdr>
        <w:top w:val="none" w:sz="0" w:space="0" w:color="auto"/>
        <w:left w:val="none" w:sz="0" w:space="0" w:color="auto"/>
        <w:bottom w:val="none" w:sz="0" w:space="0" w:color="auto"/>
        <w:right w:val="none" w:sz="0" w:space="0" w:color="auto"/>
      </w:divBdr>
    </w:div>
    <w:div w:id="24717389">
      <w:bodyDiv w:val="1"/>
      <w:marLeft w:val="0"/>
      <w:marRight w:val="0"/>
      <w:marTop w:val="0"/>
      <w:marBottom w:val="0"/>
      <w:divBdr>
        <w:top w:val="none" w:sz="0" w:space="0" w:color="auto"/>
        <w:left w:val="none" w:sz="0" w:space="0" w:color="auto"/>
        <w:bottom w:val="none" w:sz="0" w:space="0" w:color="auto"/>
        <w:right w:val="none" w:sz="0" w:space="0" w:color="auto"/>
      </w:divBdr>
    </w:div>
    <w:div w:id="53629982">
      <w:bodyDiv w:val="1"/>
      <w:marLeft w:val="0"/>
      <w:marRight w:val="0"/>
      <w:marTop w:val="0"/>
      <w:marBottom w:val="0"/>
      <w:divBdr>
        <w:top w:val="none" w:sz="0" w:space="0" w:color="auto"/>
        <w:left w:val="none" w:sz="0" w:space="0" w:color="auto"/>
        <w:bottom w:val="none" w:sz="0" w:space="0" w:color="auto"/>
        <w:right w:val="none" w:sz="0" w:space="0" w:color="auto"/>
      </w:divBdr>
    </w:div>
    <w:div w:id="62680318">
      <w:bodyDiv w:val="1"/>
      <w:marLeft w:val="0"/>
      <w:marRight w:val="0"/>
      <w:marTop w:val="0"/>
      <w:marBottom w:val="0"/>
      <w:divBdr>
        <w:top w:val="none" w:sz="0" w:space="0" w:color="auto"/>
        <w:left w:val="none" w:sz="0" w:space="0" w:color="auto"/>
        <w:bottom w:val="none" w:sz="0" w:space="0" w:color="auto"/>
        <w:right w:val="none" w:sz="0" w:space="0" w:color="auto"/>
      </w:divBdr>
    </w:div>
    <w:div w:id="72750208">
      <w:bodyDiv w:val="1"/>
      <w:marLeft w:val="0"/>
      <w:marRight w:val="0"/>
      <w:marTop w:val="0"/>
      <w:marBottom w:val="0"/>
      <w:divBdr>
        <w:top w:val="none" w:sz="0" w:space="0" w:color="auto"/>
        <w:left w:val="none" w:sz="0" w:space="0" w:color="auto"/>
        <w:bottom w:val="none" w:sz="0" w:space="0" w:color="auto"/>
        <w:right w:val="none" w:sz="0" w:space="0" w:color="auto"/>
      </w:divBdr>
    </w:div>
    <w:div w:id="92013558">
      <w:bodyDiv w:val="1"/>
      <w:marLeft w:val="0"/>
      <w:marRight w:val="0"/>
      <w:marTop w:val="0"/>
      <w:marBottom w:val="0"/>
      <w:divBdr>
        <w:top w:val="none" w:sz="0" w:space="0" w:color="auto"/>
        <w:left w:val="none" w:sz="0" w:space="0" w:color="auto"/>
        <w:bottom w:val="none" w:sz="0" w:space="0" w:color="auto"/>
        <w:right w:val="none" w:sz="0" w:space="0" w:color="auto"/>
      </w:divBdr>
    </w:div>
    <w:div w:id="92018246">
      <w:bodyDiv w:val="1"/>
      <w:marLeft w:val="0"/>
      <w:marRight w:val="0"/>
      <w:marTop w:val="0"/>
      <w:marBottom w:val="0"/>
      <w:divBdr>
        <w:top w:val="none" w:sz="0" w:space="0" w:color="auto"/>
        <w:left w:val="none" w:sz="0" w:space="0" w:color="auto"/>
        <w:bottom w:val="none" w:sz="0" w:space="0" w:color="auto"/>
        <w:right w:val="none" w:sz="0" w:space="0" w:color="auto"/>
      </w:divBdr>
      <w:divsChild>
        <w:div w:id="1919902240">
          <w:marLeft w:val="0"/>
          <w:marRight w:val="0"/>
          <w:marTop w:val="0"/>
          <w:marBottom w:val="0"/>
          <w:divBdr>
            <w:top w:val="none" w:sz="0" w:space="0" w:color="auto"/>
            <w:left w:val="none" w:sz="0" w:space="0" w:color="auto"/>
            <w:bottom w:val="none" w:sz="0" w:space="0" w:color="auto"/>
            <w:right w:val="none" w:sz="0" w:space="0" w:color="auto"/>
          </w:divBdr>
          <w:divsChild>
            <w:div w:id="2137016418">
              <w:marLeft w:val="0"/>
              <w:marRight w:val="0"/>
              <w:marTop w:val="0"/>
              <w:marBottom w:val="0"/>
              <w:divBdr>
                <w:top w:val="none" w:sz="0" w:space="0" w:color="auto"/>
                <w:left w:val="none" w:sz="0" w:space="0" w:color="auto"/>
                <w:bottom w:val="none" w:sz="0" w:space="0" w:color="auto"/>
                <w:right w:val="none" w:sz="0" w:space="0" w:color="auto"/>
              </w:divBdr>
              <w:divsChild>
                <w:div w:id="1292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11659">
      <w:bodyDiv w:val="1"/>
      <w:marLeft w:val="0"/>
      <w:marRight w:val="0"/>
      <w:marTop w:val="0"/>
      <w:marBottom w:val="0"/>
      <w:divBdr>
        <w:top w:val="none" w:sz="0" w:space="0" w:color="auto"/>
        <w:left w:val="none" w:sz="0" w:space="0" w:color="auto"/>
        <w:bottom w:val="none" w:sz="0" w:space="0" w:color="auto"/>
        <w:right w:val="none" w:sz="0" w:space="0" w:color="auto"/>
      </w:divBdr>
    </w:div>
    <w:div w:id="99841793">
      <w:bodyDiv w:val="1"/>
      <w:marLeft w:val="0"/>
      <w:marRight w:val="0"/>
      <w:marTop w:val="0"/>
      <w:marBottom w:val="0"/>
      <w:divBdr>
        <w:top w:val="none" w:sz="0" w:space="0" w:color="auto"/>
        <w:left w:val="none" w:sz="0" w:space="0" w:color="auto"/>
        <w:bottom w:val="none" w:sz="0" w:space="0" w:color="auto"/>
        <w:right w:val="none" w:sz="0" w:space="0" w:color="auto"/>
      </w:divBdr>
    </w:div>
    <w:div w:id="110367912">
      <w:bodyDiv w:val="1"/>
      <w:marLeft w:val="0"/>
      <w:marRight w:val="0"/>
      <w:marTop w:val="0"/>
      <w:marBottom w:val="0"/>
      <w:divBdr>
        <w:top w:val="none" w:sz="0" w:space="0" w:color="auto"/>
        <w:left w:val="none" w:sz="0" w:space="0" w:color="auto"/>
        <w:bottom w:val="none" w:sz="0" w:space="0" w:color="auto"/>
        <w:right w:val="none" w:sz="0" w:space="0" w:color="auto"/>
      </w:divBdr>
    </w:div>
    <w:div w:id="131140142">
      <w:bodyDiv w:val="1"/>
      <w:marLeft w:val="0"/>
      <w:marRight w:val="0"/>
      <w:marTop w:val="0"/>
      <w:marBottom w:val="0"/>
      <w:divBdr>
        <w:top w:val="none" w:sz="0" w:space="0" w:color="auto"/>
        <w:left w:val="none" w:sz="0" w:space="0" w:color="auto"/>
        <w:bottom w:val="none" w:sz="0" w:space="0" w:color="auto"/>
        <w:right w:val="none" w:sz="0" w:space="0" w:color="auto"/>
      </w:divBdr>
    </w:div>
    <w:div w:id="137767866">
      <w:bodyDiv w:val="1"/>
      <w:marLeft w:val="0"/>
      <w:marRight w:val="0"/>
      <w:marTop w:val="0"/>
      <w:marBottom w:val="0"/>
      <w:divBdr>
        <w:top w:val="none" w:sz="0" w:space="0" w:color="auto"/>
        <w:left w:val="none" w:sz="0" w:space="0" w:color="auto"/>
        <w:bottom w:val="none" w:sz="0" w:space="0" w:color="auto"/>
        <w:right w:val="none" w:sz="0" w:space="0" w:color="auto"/>
      </w:divBdr>
    </w:div>
    <w:div w:id="145363710">
      <w:bodyDiv w:val="1"/>
      <w:marLeft w:val="0"/>
      <w:marRight w:val="0"/>
      <w:marTop w:val="0"/>
      <w:marBottom w:val="0"/>
      <w:divBdr>
        <w:top w:val="none" w:sz="0" w:space="0" w:color="auto"/>
        <w:left w:val="none" w:sz="0" w:space="0" w:color="auto"/>
        <w:bottom w:val="none" w:sz="0" w:space="0" w:color="auto"/>
        <w:right w:val="none" w:sz="0" w:space="0" w:color="auto"/>
      </w:divBdr>
    </w:div>
    <w:div w:id="152063728">
      <w:bodyDiv w:val="1"/>
      <w:marLeft w:val="0"/>
      <w:marRight w:val="0"/>
      <w:marTop w:val="0"/>
      <w:marBottom w:val="0"/>
      <w:divBdr>
        <w:top w:val="none" w:sz="0" w:space="0" w:color="auto"/>
        <w:left w:val="none" w:sz="0" w:space="0" w:color="auto"/>
        <w:bottom w:val="none" w:sz="0" w:space="0" w:color="auto"/>
        <w:right w:val="none" w:sz="0" w:space="0" w:color="auto"/>
      </w:divBdr>
    </w:div>
    <w:div w:id="163974905">
      <w:bodyDiv w:val="1"/>
      <w:marLeft w:val="0"/>
      <w:marRight w:val="0"/>
      <w:marTop w:val="0"/>
      <w:marBottom w:val="0"/>
      <w:divBdr>
        <w:top w:val="none" w:sz="0" w:space="0" w:color="auto"/>
        <w:left w:val="none" w:sz="0" w:space="0" w:color="auto"/>
        <w:bottom w:val="none" w:sz="0" w:space="0" w:color="auto"/>
        <w:right w:val="none" w:sz="0" w:space="0" w:color="auto"/>
      </w:divBdr>
    </w:div>
    <w:div w:id="168643610">
      <w:bodyDiv w:val="1"/>
      <w:marLeft w:val="0"/>
      <w:marRight w:val="0"/>
      <w:marTop w:val="0"/>
      <w:marBottom w:val="0"/>
      <w:divBdr>
        <w:top w:val="none" w:sz="0" w:space="0" w:color="auto"/>
        <w:left w:val="none" w:sz="0" w:space="0" w:color="auto"/>
        <w:bottom w:val="none" w:sz="0" w:space="0" w:color="auto"/>
        <w:right w:val="none" w:sz="0" w:space="0" w:color="auto"/>
      </w:divBdr>
    </w:div>
    <w:div w:id="180752544">
      <w:bodyDiv w:val="1"/>
      <w:marLeft w:val="0"/>
      <w:marRight w:val="0"/>
      <w:marTop w:val="0"/>
      <w:marBottom w:val="0"/>
      <w:divBdr>
        <w:top w:val="none" w:sz="0" w:space="0" w:color="auto"/>
        <w:left w:val="none" w:sz="0" w:space="0" w:color="auto"/>
        <w:bottom w:val="none" w:sz="0" w:space="0" w:color="auto"/>
        <w:right w:val="none" w:sz="0" w:space="0" w:color="auto"/>
      </w:divBdr>
    </w:div>
    <w:div w:id="190729018">
      <w:bodyDiv w:val="1"/>
      <w:marLeft w:val="0"/>
      <w:marRight w:val="0"/>
      <w:marTop w:val="0"/>
      <w:marBottom w:val="0"/>
      <w:divBdr>
        <w:top w:val="none" w:sz="0" w:space="0" w:color="auto"/>
        <w:left w:val="none" w:sz="0" w:space="0" w:color="auto"/>
        <w:bottom w:val="none" w:sz="0" w:space="0" w:color="auto"/>
        <w:right w:val="none" w:sz="0" w:space="0" w:color="auto"/>
      </w:divBdr>
    </w:div>
    <w:div w:id="192113514">
      <w:bodyDiv w:val="1"/>
      <w:marLeft w:val="0"/>
      <w:marRight w:val="0"/>
      <w:marTop w:val="0"/>
      <w:marBottom w:val="0"/>
      <w:divBdr>
        <w:top w:val="none" w:sz="0" w:space="0" w:color="auto"/>
        <w:left w:val="none" w:sz="0" w:space="0" w:color="auto"/>
        <w:bottom w:val="none" w:sz="0" w:space="0" w:color="auto"/>
        <w:right w:val="none" w:sz="0" w:space="0" w:color="auto"/>
      </w:divBdr>
    </w:div>
    <w:div w:id="206189644">
      <w:bodyDiv w:val="1"/>
      <w:marLeft w:val="0"/>
      <w:marRight w:val="0"/>
      <w:marTop w:val="0"/>
      <w:marBottom w:val="0"/>
      <w:divBdr>
        <w:top w:val="none" w:sz="0" w:space="0" w:color="auto"/>
        <w:left w:val="none" w:sz="0" w:space="0" w:color="auto"/>
        <w:bottom w:val="none" w:sz="0" w:space="0" w:color="auto"/>
        <w:right w:val="none" w:sz="0" w:space="0" w:color="auto"/>
      </w:divBdr>
    </w:div>
    <w:div w:id="214004413">
      <w:bodyDiv w:val="1"/>
      <w:marLeft w:val="0"/>
      <w:marRight w:val="0"/>
      <w:marTop w:val="0"/>
      <w:marBottom w:val="0"/>
      <w:divBdr>
        <w:top w:val="none" w:sz="0" w:space="0" w:color="auto"/>
        <w:left w:val="none" w:sz="0" w:space="0" w:color="auto"/>
        <w:bottom w:val="none" w:sz="0" w:space="0" w:color="auto"/>
        <w:right w:val="none" w:sz="0" w:space="0" w:color="auto"/>
      </w:divBdr>
    </w:div>
    <w:div w:id="223836895">
      <w:bodyDiv w:val="1"/>
      <w:marLeft w:val="0"/>
      <w:marRight w:val="0"/>
      <w:marTop w:val="0"/>
      <w:marBottom w:val="0"/>
      <w:divBdr>
        <w:top w:val="none" w:sz="0" w:space="0" w:color="auto"/>
        <w:left w:val="none" w:sz="0" w:space="0" w:color="auto"/>
        <w:bottom w:val="none" w:sz="0" w:space="0" w:color="auto"/>
        <w:right w:val="none" w:sz="0" w:space="0" w:color="auto"/>
      </w:divBdr>
    </w:div>
    <w:div w:id="260799662">
      <w:bodyDiv w:val="1"/>
      <w:marLeft w:val="0"/>
      <w:marRight w:val="0"/>
      <w:marTop w:val="0"/>
      <w:marBottom w:val="0"/>
      <w:divBdr>
        <w:top w:val="none" w:sz="0" w:space="0" w:color="auto"/>
        <w:left w:val="none" w:sz="0" w:space="0" w:color="auto"/>
        <w:bottom w:val="none" w:sz="0" w:space="0" w:color="auto"/>
        <w:right w:val="none" w:sz="0" w:space="0" w:color="auto"/>
      </w:divBdr>
    </w:div>
    <w:div w:id="271717352">
      <w:bodyDiv w:val="1"/>
      <w:marLeft w:val="0"/>
      <w:marRight w:val="0"/>
      <w:marTop w:val="0"/>
      <w:marBottom w:val="0"/>
      <w:divBdr>
        <w:top w:val="none" w:sz="0" w:space="0" w:color="auto"/>
        <w:left w:val="none" w:sz="0" w:space="0" w:color="auto"/>
        <w:bottom w:val="none" w:sz="0" w:space="0" w:color="auto"/>
        <w:right w:val="none" w:sz="0" w:space="0" w:color="auto"/>
      </w:divBdr>
    </w:div>
    <w:div w:id="277372395">
      <w:bodyDiv w:val="1"/>
      <w:marLeft w:val="0"/>
      <w:marRight w:val="0"/>
      <w:marTop w:val="0"/>
      <w:marBottom w:val="0"/>
      <w:divBdr>
        <w:top w:val="none" w:sz="0" w:space="0" w:color="auto"/>
        <w:left w:val="none" w:sz="0" w:space="0" w:color="auto"/>
        <w:bottom w:val="none" w:sz="0" w:space="0" w:color="auto"/>
        <w:right w:val="none" w:sz="0" w:space="0" w:color="auto"/>
      </w:divBdr>
    </w:div>
    <w:div w:id="282736919">
      <w:bodyDiv w:val="1"/>
      <w:marLeft w:val="0"/>
      <w:marRight w:val="0"/>
      <w:marTop w:val="0"/>
      <w:marBottom w:val="0"/>
      <w:divBdr>
        <w:top w:val="none" w:sz="0" w:space="0" w:color="auto"/>
        <w:left w:val="none" w:sz="0" w:space="0" w:color="auto"/>
        <w:bottom w:val="none" w:sz="0" w:space="0" w:color="auto"/>
        <w:right w:val="none" w:sz="0" w:space="0" w:color="auto"/>
      </w:divBdr>
    </w:div>
    <w:div w:id="283312980">
      <w:bodyDiv w:val="1"/>
      <w:marLeft w:val="0"/>
      <w:marRight w:val="0"/>
      <w:marTop w:val="0"/>
      <w:marBottom w:val="0"/>
      <w:divBdr>
        <w:top w:val="none" w:sz="0" w:space="0" w:color="auto"/>
        <w:left w:val="none" w:sz="0" w:space="0" w:color="auto"/>
        <w:bottom w:val="none" w:sz="0" w:space="0" w:color="auto"/>
        <w:right w:val="none" w:sz="0" w:space="0" w:color="auto"/>
      </w:divBdr>
    </w:div>
    <w:div w:id="295794382">
      <w:bodyDiv w:val="1"/>
      <w:marLeft w:val="0"/>
      <w:marRight w:val="0"/>
      <w:marTop w:val="0"/>
      <w:marBottom w:val="0"/>
      <w:divBdr>
        <w:top w:val="none" w:sz="0" w:space="0" w:color="auto"/>
        <w:left w:val="none" w:sz="0" w:space="0" w:color="auto"/>
        <w:bottom w:val="none" w:sz="0" w:space="0" w:color="auto"/>
        <w:right w:val="none" w:sz="0" w:space="0" w:color="auto"/>
      </w:divBdr>
    </w:div>
    <w:div w:id="297810169">
      <w:bodyDiv w:val="1"/>
      <w:marLeft w:val="0"/>
      <w:marRight w:val="0"/>
      <w:marTop w:val="0"/>
      <w:marBottom w:val="0"/>
      <w:divBdr>
        <w:top w:val="none" w:sz="0" w:space="0" w:color="auto"/>
        <w:left w:val="none" w:sz="0" w:space="0" w:color="auto"/>
        <w:bottom w:val="none" w:sz="0" w:space="0" w:color="auto"/>
        <w:right w:val="none" w:sz="0" w:space="0" w:color="auto"/>
      </w:divBdr>
    </w:div>
    <w:div w:id="308366949">
      <w:bodyDiv w:val="1"/>
      <w:marLeft w:val="0"/>
      <w:marRight w:val="0"/>
      <w:marTop w:val="0"/>
      <w:marBottom w:val="0"/>
      <w:divBdr>
        <w:top w:val="none" w:sz="0" w:space="0" w:color="auto"/>
        <w:left w:val="none" w:sz="0" w:space="0" w:color="auto"/>
        <w:bottom w:val="none" w:sz="0" w:space="0" w:color="auto"/>
        <w:right w:val="none" w:sz="0" w:space="0" w:color="auto"/>
      </w:divBdr>
    </w:div>
    <w:div w:id="313027688">
      <w:bodyDiv w:val="1"/>
      <w:marLeft w:val="0"/>
      <w:marRight w:val="0"/>
      <w:marTop w:val="0"/>
      <w:marBottom w:val="0"/>
      <w:divBdr>
        <w:top w:val="none" w:sz="0" w:space="0" w:color="auto"/>
        <w:left w:val="none" w:sz="0" w:space="0" w:color="auto"/>
        <w:bottom w:val="none" w:sz="0" w:space="0" w:color="auto"/>
        <w:right w:val="none" w:sz="0" w:space="0" w:color="auto"/>
      </w:divBdr>
    </w:div>
    <w:div w:id="318121760">
      <w:bodyDiv w:val="1"/>
      <w:marLeft w:val="0"/>
      <w:marRight w:val="0"/>
      <w:marTop w:val="0"/>
      <w:marBottom w:val="0"/>
      <w:divBdr>
        <w:top w:val="none" w:sz="0" w:space="0" w:color="auto"/>
        <w:left w:val="none" w:sz="0" w:space="0" w:color="auto"/>
        <w:bottom w:val="none" w:sz="0" w:space="0" w:color="auto"/>
        <w:right w:val="none" w:sz="0" w:space="0" w:color="auto"/>
      </w:divBdr>
    </w:div>
    <w:div w:id="332219324">
      <w:bodyDiv w:val="1"/>
      <w:marLeft w:val="0"/>
      <w:marRight w:val="0"/>
      <w:marTop w:val="0"/>
      <w:marBottom w:val="0"/>
      <w:divBdr>
        <w:top w:val="none" w:sz="0" w:space="0" w:color="auto"/>
        <w:left w:val="none" w:sz="0" w:space="0" w:color="auto"/>
        <w:bottom w:val="none" w:sz="0" w:space="0" w:color="auto"/>
        <w:right w:val="none" w:sz="0" w:space="0" w:color="auto"/>
      </w:divBdr>
    </w:div>
    <w:div w:id="333384329">
      <w:bodyDiv w:val="1"/>
      <w:marLeft w:val="0"/>
      <w:marRight w:val="0"/>
      <w:marTop w:val="0"/>
      <w:marBottom w:val="0"/>
      <w:divBdr>
        <w:top w:val="none" w:sz="0" w:space="0" w:color="auto"/>
        <w:left w:val="none" w:sz="0" w:space="0" w:color="auto"/>
        <w:bottom w:val="none" w:sz="0" w:space="0" w:color="auto"/>
        <w:right w:val="none" w:sz="0" w:space="0" w:color="auto"/>
      </w:divBdr>
    </w:div>
    <w:div w:id="335495203">
      <w:bodyDiv w:val="1"/>
      <w:marLeft w:val="0"/>
      <w:marRight w:val="0"/>
      <w:marTop w:val="0"/>
      <w:marBottom w:val="0"/>
      <w:divBdr>
        <w:top w:val="none" w:sz="0" w:space="0" w:color="auto"/>
        <w:left w:val="none" w:sz="0" w:space="0" w:color="auto"/>
        <w:bottom w:val="none" w:sz="0" w:space="0" w:color="auto"/>
        <w:right w:val="none" w:sz="0" w:space="0" w:color="auto"/>
      </w:divBdr>
    </w:div>
    <w:div w:id="355664850">
      <w:bodyDiv w:val="1"/>
      <w:marLeft w:val="0"/>
      <w:marRight w:val="0"/>
      <w:marTop w:val="0"/>
      <w:marBottom w:val="0"/>
      <w:divBdr>
        <w:top w:val="none" w:sz="0" w:space="0" w:color="auto"/>
        <w:left w:val="none" w:sz="0" w:space="0" w:color="auto"/>
        <w:bottom w:val="none" w:sz="0" w:space="0" w:color="auto"/>
        <w:right w:val="none" w:sz="0" w:space="0" w:color="auto"/>
      </w:divBdr>
    </w:div>
    <w:div w:id="357048974">
      <w:bodyDiv w:val="1"/>
      <w:marLeft w:val="0"/>
      <w:marRight w:val="0"/>
      <w:marTop w:val="0"/>
      <w:marBottom w:val="0"/>
      <w:divBdr>
        <w:top w:val="none" w:sz="0" w:space="0" w:color="auto"/>
        <w:left w:val="none" w:sz="0" w:space="0" w:color="auto"/>
        <w:bottom w:val="none" w:sz="0" w:space="0" w:color="auto"/>
        <w:right w:val="none" w:sz="0" w:space="0" w:color="auto"/>
      </w:divBdr>
    </w:div>
    <w:div w:id="358630787">
      <w:bodyDiv w:val="1"/>
      <w:marLeft w:val="0"/>
      <w:marRight w:val="0"/>
      <w:marTop w:val="0"/>
      <w:marBottom w:val="0"/>
      <w:divBdr>
        <w:top w:val="none" w:sz="0" w:space="0" w:color="auto"/>
        <w:left w:val="none" w:sz="0" w:space="0" w:color="auto"/>
        <w:bottom w:val="none" w:sz="0" w:space="0" w:color="auto"/>
        <w:right w:val="none" w:sz="0" w:space="0" w:color="auto"/>
      </w:divBdr>
    </w:div>
    <w:div w:id="363867977">
      <w:bodyDiv w:val="1"/>
      <w:marLeft w:val="0"/>
      <w:marRight w:val="0"/>
      <w:marTop w:val="0"/>
      <w:marBottom w:val="0"/>
      <w:divBdr>
        <w:top w:val="none" w:sz="0" w:space="0" w:color="auto"/>
        <w:left w:val="none" w:sz="0" w:space="0" w:color="auto"/>
        <w:bottom w:val="none" w:sz="0" w:space="0" w:color="auto"/>
        <w:right w:val="none" w:sz="0" w:space="0" w:color="auto"/>
      </w:divBdr>
    </w:div>
    <w:div w:id="374240014">
      <w:bodyDiv w:val="1"/>
      <w:marLeft w:val="0"/>
      <w:marRight w:val="0"/>
      <w:marTop w:val="0"/>
      <w:marBottom w:val="0"/>
      <w:divBdr>
        <w:top w:val="none" w:sz="0" w:space="0" w:color="auto"/>
        <w:left w:val="none" w:sz="0" w:space="0" w:color="auto"/>
        <w:bottom w:val="none" w:sz="0" w:space="0" w:color="auto"/>
        <w:right w:val="none" w:sz="0" w:space="0" w:color="auto"/>
      </w:divBdr>
    </w:div>
    <w:div w:id="378280659">
      <w:bodyDiv w:val="1"/>
      <w:marLeft w:val="0"/>
      <w:marRight w:val="0"/>
      <w:marTop w:val="0"/>
      <w:marBottom w:val="0"/>
      <w:divBdr>
        <w:top w:val="none" w:sz="0" w:space="0" w:color="auto"/>
        <w:left w:val="none" w:sz="0" w:space="0" w:color="auto"/>
        <w:bottom w:val="none" w:sz="0" w:space="0" w:color="auto"/>
        <w:right w:val="none" w:sz="0" w:space="0" w:color="auto"/>
      </w:divBdr>
    </w:div>
    <w:div w:id="386536638">
      <w:bodyDiv w:val="1"/>
      <w:marLeft w:val="0"/>
      <w:marRight w:val="0"/>
      <w:marTop w:val="0"/>
      <w:marBottom w:val="0"/>
      <w:divBdr>
        <w:top w:val="none" w:sz="0" w:space="0" w:color="auto"/>
        <w:left w:val="none" w:sz="0" w:space="0" w:color="auto"/>
        <w:bottom w:val="none" w:sz="0" w:space="0" w:color="auto"/>
        <w:right w:val="none" w:sz="0" w:space="0" w:color="auto"/>
      </w:divBdr>
    </w:div>
    <w:div w:id="388378426">
      <w:bodyDiv w:val="1"/>
      <w:marLeft w:val="0"/>
      <w:marRight w:val="0"/>
      <w:marTop w:val="0"/>
      <w:marBottom w:val="0"/>
      <w:divBdr>
        <w:top w:val="none" w:sz="0" w:space="0" w:color="auto"/>
        <w:left w:val="none" w:sz="0" w:space="0" w:color="auto"/>
        <w:bottom w:val="none" w:sz="0" w:space="0" w:color="auto"/>
        <w:right w:val="none" w:sz="0" w:space="0" w:color="auto"/>
      </w:divBdr>
    </w:div>
    <w:div w:id="412747999">
      <w:bodyDiv w:val="1"/>
      <w:marLeft w:val="0"/>
      <w:marRight w:val="0"/>
      <w:marTop w:val="0"/>
      <w:marBottom w:val="0"/>
      <w:divBdr>
        <w:top w:val="none" w:sz="0" w:space="0" w:color="auto"/>
        <w:left w:val="none" w:sz="0" w:space="0" w:color="auto"/>
        <w:bottom w:val="none" w:sz="0" w:space="0" w:color="auto"/>
        <w:right w:val="none" w:sz="0" w:space="0" w:color="auto"/>
      </w:divBdr>
    </w:div>
    <w:div w:id="413749013">
      <w:bodyDiv w:val="1"/>
      <w:marLeft w:val="0"/>
      <w:marRight w:val="0"/>
      <w:marTop w:val="0"/>
      <w:marBottom w:val="0"/>
      <w:divBdr>
        <w:top w:val="none" w:sz="0" w:space="0" w:color="auto"/>
        <w:left w:val="none" w:sz="0" w:space="0" w:color="auto"/>
        <w:bottom w:val="none" w:sz="0" w:space="0" w:color="auto"/>
        <w:right w:val="none" w:sz="0" w:space="0" w:color="auto"/>
      </w:divBdr>
    </w:div>
    <w:div w:id="423457885">
      <w:bodyDiv w:val="1"/>
      <w:marLeft w:val="0"/>
      <w:marRight w:val="0"/>
      <w:marTop w:val="0"/>
      <w:marBottom w:val="0"/>
      <w:divBdr>
        <w:top w:val="none" w:sz="0" w:space="0" w:color="auto"/>
        <w:left w:val="none" w:sz="0" w:space="0" w:color="auto"/>
        <w:bottom w:val="none" w:sz="0" w:space="0" w:color="auto"/>
        <w:right w:val="none" w:sz="0" w:space="0" w:color="auto"/>
      </w:divBdr>
    </w:div>
    <w:div w:id="434982401">
      <w:bodyDiv w:val="1"/>
      <w:marLeft w:val="0"/>
      <w:marRight w:val="0"/>
      <w:marTop w:val="0"/>
      <w:marBottom w:val="0"/>
      <w:divBdr>
        <w:top w:val="none" w:sz="0" w:space="0" w:color="auto"/>
        <w:left w:val="none" w:sz="0" w:space="0" w:color="auto"/>
        <w:bottom w:val="none" w:sz="0" w:space="0" w:color="auto"/>
        <w:right w:val="none" w:sz="0" w:space="0" w:color="auto"/>
      </w:divBdr>
    </w:div>
    <w:div w:id="448428407">
      <w:bodyDiv w:val="1"/>
      <w:marLeft w:val="0"/>
      <w:marRight w:val="0"/>
      <w:marTop w:val="0"/>
      <w:marBottom w:val="0"/>
      <w:divBdr>
        <w:top w:val="none" w:sz="0" w:space="0" w:color="auto"/>
        <w:left w:val="none" w:sz="0" w:space="0" w:color="auto"/>
        <w:bottom w:val="none" w:sz="0" w:space="0" w:color="auto"/>
        <w:right w:val="none" w:sz="0" w:space="0" w:color="auto"/>
      </w:divBdr>
    </w:div>
    <w:div w:id="450711772">
      <w:bodyDiv w:val="1"/>
      <w:marLeft w:val="0"/>
      <w:marRight w:val="0"/>
      <w:marTop w:val="0"/>
      <w:marBottom w:val="0"/>
      <w:divBdr>
        <w:top w:val="none" w:sz="0" w:space="0" w:color="auto"/>
        <w:left w:val="none" w:sz="0" w:space="0" w:color="auto"/>
        <w:bottom w:val="none" w:sz="0" w:space="0" w:color="auto"/>
        <w:right w:val="none" w:sz="0" w:space="0" w:color="auto"/>
      </w:divBdr>
    </w:div>
    <w:div w:id="456031352">
      <w:bodyDiv w:val="1"/>
      <w:marLeft w:val="0"/>
      <w:marRight w:val="0"/>
      <w:marTop w:val="0"/>
      <w:marBottom w:val="0"/>
      <w:divBdr>
        <w:top w:val="none" w:sz="0" w:space="0" w:color="auto"/>
        <w:left w:val="none" w:sz="0" w:space="0" w:color="auto"/>
        <w:bottom w:val="none" w:sz="0" w:space="0" w:color="auto"/>
        <w:right w:val="none" w:sz="0" w:space="0" w:color="auto"/>
      </w:divBdr>
    </w:div>
    <w:div w:id="464080806">
      <w:bodyDiv w:val="1"/>
      <w:marLeft w:val="0"/>
      <w:marRight w:val="0"/>
      <w:marTop w:val="0"/>
      <w:marBottom w:val="0"/>
      <w:divBdr>
        <w:top w:val="none" w:sz="0" w:space="0" w:color="auto"/>
        <w:left w:val="none" w:sz="0" w:space="0" w:color="auto"/>
        <w:bottom w:val="none" w:sz="0" w:space="0" w:color="auto"/>
        <w:right w:val="none" w:sz="0" w:space="0" w:color="auto"/>
      </w:divBdr>
    </w:div>
    <w:div w:id="480386805">
      <w:bodyDiv w:val="1"/>
      <w:marLeft w:val="0"/>
      <w:marRight w:val="0"/>
      <w:marTop w:val="0"/>
      <w:marBottom w:val="0"/>
      <w:divBdr>
        <w:top w:val="none" w:sz="0" w:space="0" w:color="auto"/>
        <w:left w:val="none" w:sz="0" w:space="0" w:color="auto"/>
        <w:bottom w:val="none" w:sz="0" w:space="0" w:color="auto"/>
        <w:right w:val="none" w:sz="0" w:space="0" w:color="auto"/>
      </w:divBdr>
    </w:div>
    <w:div w:id="495073348">
      <w:bodyDiv w:val="1"/>
      <w:marLeft w:val="0"/>
      <w:marRight w:val="0"/>
      <w:marTop w:val="0"/>
      <w:marBottom w:val="0"/>
      <w:divBdr>
        <w:top w:val="none" w:sz="0" w:space="0" w:color="auto"/>
        <w:left w:val="none" w:sz="0" w:space="0" w:color="auto"/>
        <w:bottom w:val="none" w:sz="0" w:space="0" w:color="auto"/>
        <w:right w:val="none" w:sz="0" w:space="0" w:color="auto"/>
      </w:divBdr>
    </w:div>
    <w:div w:id="524826785">
      <w:bodyDiv w:val="1"/>
      <w:marLeft w:val="0"/>
      <w:marRight w:val="0"/>
      <w:marTop w:val="0"/>
      <w:marBottom w:val="0"/>
      <w:divBdr>
        <w:top w:val="none" w:sz="0" w:space="0" w:color="auto"/>
        <w:left w:val="none" w:sz="0" w:space="0" w:color="auto"/>
        <w:bottom w:val="none" w:sz="0" w:space="0" w:color="auto"/>
        <w:right w:val="none" w:sz="0" w:space="0" w:color="auto"/>
      </w:divBdr>
    </w:div>
    <w:div w:id="528685151">
      <w:bodyDiv w:val="1"/>
      <w:marLeft w:val="0"/>
      <w:marRight w:val="0"/>
      <w:marTop w:val="0"/>
      <w:marBottom w:val="0"/>
      <w:divBdr>
        <w:top w:val="none" w:sz="0" w:space="0" w:color="auto"/>
        <w:left w:val="none" w:sz="0" w:space="0" w:color="auto"/>
        <w:bottom w:val="none" w:sz="0" w:space="0" w:color="auto"/>
        <w:right w:val="none" w:sz="0" w:space="0" w:color="auto"/>
      </w:divBdr>
    </w:div>
    <w:div w:id="548035615">
      <w:bodyDiv w:val="1"/>
      <w:marLeft w:val="0"/>
      <w:marRight w:val="0"/>
      <w:marTop w:val="0"/>
      <w:marBottom w:val="0"/>
      <w:divBdr>
        <w:top w:val="none" w:sz="0" w:space="0" w:color="auto"/>
        <w:left w:val="none" w:sz="0" w:space="0" w:color="auto"/>
        <w:bottom w:val="none" w:sz="0" w:space="0" w:color="auto"/>
        <w:right w:val="none" w:sz="0" w:space="0" w:color="auto"/>
      </w:divBdr>
    </w:div>
    <w:div w:id="558713974">
      <w:bodyDiv w:val="1"/>
      <w:marLeft w:val="0"/>
      <w:marRight w:val="0"/>
      <w:marTop w:val="0"/>
      <w:marBottom w:val="0"/>
      <w:divBdr>
        <w:top w:val="none" w:sz="0" w:space="0" w:color="auto"/>
        <w:left w:val="none" w:sz="0" w:space="0" w:color="auto"/>
        <w:bottom w:val="none" w:sz="0" w:space="0" w:color="auto"/>
        <w:right w:val="none" w:sz="0" w:space="0" w:color="auto"/>
      </w:divBdr>
    </w:div>
    <w:div w:id="559831245">
      <w:bodyDiv w:val="1"/>
      <w:marLeft w:val="0"/>
      <w:marRight w:val="0"/>
      <w:marTop w:val="0"/>
      <w:marBottom w:val="0"/>
      <w:divBdr>
        <w:top w:val="none" w:sz="0" w:space="0" w:color="auto"/>
        <w:left w:val="none" w:sz="0" w:space="0" w:color="auto"/>
        <w:bottom w:val="none" w:sz="0" w:space="0" w:color="auto"/>
        <w:right w:val="none" w:sz="0" w:space="0" w:color="auto"/>
      </w:divBdr>
    </w:div>
    <w:div w:id="568198282">
      <w:bodyDiv w:val="1"/>
      <w:marLeft w:val="0"/>
      <w:marRight w:val="0"/>
      <w:marTop w:val="0"/>
      <w:marBottom w:val="0"/>
      <w:divBdr>
        <w:top w:val="none" w:sz="0" w:space="0" w:color="auto"/>
        <w:left w:val="none" w:sz="0" w:space="0" w:color="auto"/>
        <w:bottom w:val="none" w:sz="0" w:space="0" w:color="auto"/>
        <w:right w:val="none" w:sz="0" w:space="0" w:color="auto"/>
      </w:divBdr>
    </w:div>
    <w:div w:id="607733253">
      <w:bodyDiv w:val="1"/>
      <w:marLeft w:val="0"/>
      <w:marRight w:val="0"/>
      <w:marTop w:val="0"/>
      <w:marBottom w:val="0"/>
      <w:divBdr>
        <w:top w:val="none" w:sz="0" w:space="0" w:color="auto"/>
        <w:left w:val="none" w:sz="0" w:space="0" w:color="auto"/>
        <w:bottom w:val="none" w:sz="0" w:space="0" w:color="auto"/>
        <w:right w:val="none" w:sz="0" w:space="0" w:color="auto"/>
      </w:divBdr>
    </w:div>
    <w:div w:id="614364356">
      <w:bodyDiv w:val="1"/>
      <w:marLeft w:val="0"/>
      <w:marRight w:val="0"/>
      <w:marTop w:val="0"/>
      <w:marBottom w:val="0"/>
      <w:divBdr>
        <w:top w:val="none" w:sz="0" w:space="0" w:color="auto"/>
        <w:left w:val="none" w:sz="0" w:space="0" w:color="auto"/>
        <w:bottom w:val="none" w:sz="0" w:space="0" w:color="auto"/>
        <w:right w:val="none" w:sz="0" w:space="0" w:color="auto"/>
      </w:divBdr>
    </w:div>
    <w:div w:id="617444448">
      <w:bodyDiv w:val="1"/>
      <w:marLeft w:val="0"/>
      <w:marRight w:val="0"/>
      <w:marTop w:val="0"/>
      <w:marBottom w:val="0"/>
      <w:divBdr>
        <w:top w:val="none" w:sz="0" w:space="0" w:color="auto"/>
        <w:left w:val="none" w:sz="0" w:space="0" w:color="auto"/>
        <w:bottom w:val="none" w:sz="0" w:space="0" w:color="auto"/>
        <w:right w:val="none" w:sz="0" w:space="0" w:color="auto"/>
      </w:divBdr>
    </w:div>
    <w:div w:id="621807644">
      <w:bodyDiv w:val="1"/>
      <w:marLeft w:val="0"/>
      <w:marRight w:val="0"/>
      <w:marTop w:val="0"/>
      <w:marBottom w:val="0"/>
      <w:divBdr>
        <w:top w:val="none" w:sz="0" w:space="0" w:color="auto"/>
        <w:left w:val="none" w:sz="0" w:space="0" w:color="auto"/>
        <w:bottom w:val="none" w:sz="0" w:space="0" w:color="auto"/>
        <w:right w:val="none" w:sz="0" w:space="0" w:color="auto"/>
      </w:divBdr>
    </w:div>
    <w:div w:id="623272454">
      <w:bodyDiv w:val="1"/>
      <w:marLeft w:val="0"/>
      <w:marRight w:val="0"/>
      <w:marTop w:val="0"/>
      <w:marBottom w:val="0"/>
      <w:divBdr>
        <w:top w:val="none" w:sz="0" w:space="0" w:color="auto"/>
        <w:left w:val="none" w:sz="0" w:space="0" w:color="auto"/>
        <w:bottom w:val="none" w:sz="0" w:space="0" w:color="auto"/>
        <w:right w:val="none" w:sz="0" w:space="0" w:color="auto"/>
      </w:divBdr>
    </w:div>
    <w:div w:id="630940075">
      <w:bodyDiv w:val="1"/>
      <w:marLeft w:val="0"/>
      <w:marRight w:val="0"/>
      <w:marTop w:val="0"/>
      <w:marBottom w:val="0"/>
      <w:divBdr>
        <w:top w:val="none" w:sz="0" w:space="0" w:color="auto"/>
        <w:left w:val="none" w:sz="0" w:space="0" w:color="auto"/>
        <w:bottom w:val="none" w:sz="0" w:space="0" w:color="auto"/>
        <w:right w:val="none" w:sz="0" w:space="0" w:color="auto"/>
      </w:divBdr>
    </w:div>
    <w:div w:id="636106409">
      <w:bodyDiv w:val="1"/>
      <w:marLeft w:val="0"/>
      <w:marRight w:val="0"/>
      <w:marTop w:val="0"/>
      <w:marBottom w:val="0"/>
      <w:divBdr>
        <w:top w:val="none" w:sz="0" w:space="0" w:color="auto"/>
        <w:left w:val="none" w:sz="0" w:space="0" w:color="auto"/>
        <w:bottom w:val="none" w:sz="0" w:space="0" w:color="auto"/>
        <w:right w:val="none" w:sz="0" w:space="0" w:color="auto"/>
      </w:divBdr>
    </w:div>
    <w:div w:id="646739612">
      <w:bodyDiv w:val="1"/>
      <w:marLeft w:val="0"/>
      <w:marRight w:val="0"/>
      <w:marTop w:val="0"/>
      <w:marBottom w:val="0"/>
      <w:divBdr>
        <w:top w:val="none" w:sz="0" w:space="0" w:color="auto"/>
        <w:left w:val="none" w:sz="0" w:space="0" w:color="auto"/>
        <w:bottom w:val="none" w:sz="0" w:space="0" w:color="auto"/>
        <w:right w:val="none" w:sz="0" w:space="0" w:color="auto"/>
      </w:divBdr>
    </w:div>
    <w:div w:id="647826227">
      <w:bodyDiv w:val="1"/>
      <w:marLeft w:val="0"/>
      <w:marRight w:val="0"/>
      <w:marTop w:val="0"/>
      <w:marBottom w:val="0"/>
      <w:divBdr>
        <w:top w:val="none" w:sz="0" w:space="0" w:color="auto"/>
        <w:left w:val="none" w:sz="0" w:space="0" w:color="auto"/>
        <w:bottom w:val="none" w:sz="0" w:space="0" w:color="auto"/>
        <w:right w:val="none" w:sz="0" w:space="0" w:color="auto"/>
      </w:divBdr>
    </w:div>
    <w:div w:id="677729261">
      <w:bodyDiv w:val="1"/>
      <w:marLeft w:val="0"/>
      <w:marRight w:val="0"/>
      <w:marTop w:val="0"/>
      <w:marBottom w:val="0"/>
      <w:divBdr>
        <w:top w:val="none" w:sz="0" w:space="0" w:color="auto"/>
        <w:left w:val="none" w:sz="0" w:space="0" w:color="auto"/>
        <w:bottom w:val="none" w:sz="0" w:space="0" w:color="auto"/>
        <w:right w:val="none" w:sz="0" w:space="0" w:color="auto"/>
      </w:divBdr>
    </w:div>
    <w:div w:id="704058034">
      <w:bodyDiv w:val="1"/>
      <w:marLeft w:val="0"/>
      <w:marRight w:val="0"/>
      <w:marTop w:val="0"/>
      <w:marBottom w:val="0"/>
      <w:divBdr>
        <w:top w:val="none" w:sz="0" w:space="0" w:color="auto"/>
        <w:left w:val="none" w:sz="0" w:space="0" w:color="auto"/>
        <w:bottom w:val="none" w:sz="0" w:space="0" w:color="auto"/>
        <w:right w:val="none" w:sz="0" w:space="0" w:color="auto"/>
      </w:divBdr>
    </w:div>
    <w:div w:id="705180024">
      <w:bodyDiv w:val="1"/>
      <w:marLeft w:val="0"/>
      <w:marRight w:val="0"/>
      <w:marTop w:val="0"/>
      <w:marBottom w:val="0"/>
      <w:divBdr>
        <w:top w:val="none" w:sz="0" w:space="0" w:color="auto"/>
        <w:left w:val="none" w:sz="0" w:space="0" w:color="auto"/>
        <w:bottom w:val="none" w:sz="0" w:space="0" w:color="auto"/>
        <w:right w:val="none" w:sz="0" w:space="0" w:color="auto"/>
      </w:divBdr>
    </w:div>
    <w:div w:id="706030458">
      <w:bodyDiv w:val="1"/>
      <w:marLeft w:val="0"/>
      <w:marRight w:val="0"/>
      <w:marTop w:val="0"/>
      <w:marBottom w:val="0"/>
      <w:divBdr>
        <w:top w:val="none" w:sz="0" w:space="0" w:color="auto"/>
        <w:left w:val="none" w:sz="0" w:space="0" w:color="auto"/>
        <w:bottom w:val="none" w:sz="0" w:space="0" w:color="auto"/>
        <w:right w:val="none" w:sz="0" w:space="0" w:color="auto"/>
      </w:divBdr>
    </w:div>
    <w:div w:id="710150041">
      <w:bodyDiv w:val="1"/>
      <w:marLeft w:val="0"/>
      <w:marRight w:val="0"/>
      <w:marTop w:val="0"/>
      <w:marBottom w:val="0"/>
      <w:divBdr>
        <w:top w:val="none" w:sz="0" w:space="0" w:color="auto"/>
        <w:left w:val="none" w:sz="0" w:space="0" w:color="auto"/>
        <w:bottom w:val="none" w:sz="0" w:space="0" w:color="auto"/>
        <w:right w:val="none" w:sz="0" w:space="0" w:color="auto"/>
      </w:divBdr>
    </w:div>
    <w:div w:id="727416470">
      <w:bodyDiv w:val="1"/>
      <w:marLeft w:val="0"/>
      <w:marRight w:val="0"/>
      <w:marTop w:val="0"/>
      <w:marBottom w:val="0"/>
      <w:divBdr>
        <w:top w:val="none" w:sz="0" w:space="0" w:color="auto"/>
        <w:left w:val="none" w:sz="0" w:space="0" w:color="auto"/>
        <w:bottom w:val="none" w:sz="0" w:space="0" w:color="auto"/>
        <w:right w:val="none" w:sz="0" w:space="0" w:color="auto"/>
      </w:divBdr>
    </w:div>
    <w:div w:id="738136337">
      <w:bodyDiv w:val="1"/>
      <w:marLeft w:val="0"/>
      <w:marRight w:val="0"/>
      <w:marTop w:val="0"/>
      <w:marBottom w:val="0"/>
      <w:divBdr>
        <w:top w:val="none" w:sz="0" w:space="0" w:color="auto"/>
        <w:left w:val="none" w:sz="0" w:space="0" w:color="auto"/>
        <w:bottom w:val="none" w:sz="0" w:space="0" w:color="auto"/>
        <w:right w:val="none" w:sz="0" w:space="0" w:color="auto"/>
      </w:divBdr>
    </w:div>
    <w:div w:id="744764392">
      <w:bodyDiv w:val="1"/>
      <w:marLeft w:val="0"/>
      <w:marRight w:val="0"/>
      <w:marTop w:val="0"/>
      <w:marBottom w:val="0"/>
      <w:divBdr>
        <w:top w:val="none" w:sz="0" w:space="0" w:color="auto"/>
        <w:left w:val="none" w:sz="0" w:space="0" w:color="auto"/>
        <w:bottom w:val="none" w:sz="0" w:space="0" w:color="auto"/>
        <w:right w:val="none" w:sz="0" w:space="0" w:color="auto"/>
      </w:divBdr>
    </w:div>
    <w:div w:id="756830299">
      <w:bodyDiv w:val="1"/>
      <w:marLeft w:val="0"/>
      <w:marRight w:val="0"/>
      <w:marTop w:val="0"/>
      <w:marBottom w:val="0"/>
      <w:divBdr>
        <w:top w:val="none" w:sz="0" w:space="0" w:color="auto"/>
        <w:left w:val="none" w:sz="0" w:space="0" w:color="auto"/>
        <w:bottom w:val="none" w:sz="0" w:space="0" w:color="auto"/>
        <w:right w:val="none" w:sz="0" w:space="0" w:color="auto"/>
      </w:divBdr>
    </w:div>
    <w:div w:id="782190683">
      <w:bodyDiv w:val="1"/>
      <w:marLeft w:val="0"/>
      <w:marRight w:val="0"/>
      <w:marTop w:val="0"/>
      <w:marBottom w:val="0"/>
      <w:divBdr>
        <w:top w:val="none" w:sz="0" w:space="0" w:color="auto"/>
        <w:left w:val="none" w:sz="0" w:space="0" w:color="auto"/>
        <w:bottom w:val="none" w:sz="0" w:space="0" w:color="auto"/>
        <w:right w:val="none" w:sz="0" w:space="0" w:color="auto"/>
      </w:divBdr>
    </w:div>
    <w:div w:id="784151070">
      <w:bodyDiv w:val="1"/>
      <w:marLeft w:val="0"/>
      <w:marRight w:val="0"/>
      <w:marTop w:val="0"/>
      <w:marBottom w:val="0"/>
      <w:divBdr>
        <w:top w:val="none" w:sz="0" w:space="0" w:color="auto"/>
        <w:left w:val="none" w:sz="0" w:space="0" w:color="auto"/>
        <w:bottom w:val="none" w:sz="0" w:space="0" w:color="auto"/>
        <w:right w:val="none" w:sz="0" w:space="0" w:color="auto"/>
      </w:divBdr>
    </w:div>
    <w:div w:id="795951896">
      <w:bodyDiv w:val="1"/>
      <w:marLeft w:val="0"/>
      <w:marRight w:val="0"/>
      <w:marTop w:val="0"/>
      <w:marBottom w:val="0"/>
      <w:divBdr>
        <w:top w:val="none" w:sz="0" w:space="0" w:color="auto"/>
        <w:left w:val="none" w:sz="0" w:space="0" w:color="auto"/>
        <w:bottom w:val="none" w:sz="0" w:space="0" w:color="auto"/>
        <w:right w:val="none" w:sz="0" w:space="0" w:color="auto"/>
      </w:divBdr>
      <w:divsChild>
        <w:div w:id="1505785108">
          <w:marLeft w:val="0"/>
          <w:marRight w:val="0"/>
          <w:marTop w:val="0"/>
          <w:marBottom w:val="0"/>
          <w:divBdr>
            <w:top w:val="none" w:sz="0" w:space="0" w:color="auto"/>
            <w:left w:val="none" w:sz="0" w:space="0" w:color="auto"/>
            <w:bottom w:val="none" w:sz="0" w:space="0" w:color="auto"/>
            <w:right w:val="none" w:sz="0" w:space="0" w:color="auto"/>
          </w:divBdr>
          <w:divsChild>
            <w:div w:id="1915551813">
              <w:marLeft w:val="0"/>
              <w:marRight w:val="0"/>
              <w:marTop w:val="0"/>
              <w:marBottom w:val="0"/>
              <w:divBdr>
                <w:top w:val="none" w:sz="0" w:space="0" w:color="auto"/>
                <w:left w:val="none" w:sz="0" w:space="0" w:color="auto"/>
                <w:bottom w:val="none" w:sz="0" w:space="0" w:color="auto"/>
                <w:right w:val="none" w:sz="0" w:space="0" w:color="auto"/>
              </w:divBdr>
              <w:divsChild>
                <w:div w:id="302777888">
                  <w:marLeft w:val="0"/>
                  <w:marRight w:val="0"/>
                  <w:marTop w:val="0"/>
                  <w:marBottom w:val="0"/>
                  <w:divBdr>
                    <w:top w:val="none" w:sz="0" w:space="0" w:color="auto"/>
                    <w:left w:val="none" w:sz="0" w:space="0" w:color="auto"/>
                    <w:bottom w:val="none" w:sz="0" w:space="0" w:color="auto"/>
                    <w:right w:val="none" w:sz="0" w:space="0" w:color="auto"/>
                  </w:divBdr>
                  <w:divsChild>
                    <w:div w:id="10184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886017">
      <w:bodyDiv w:val="1"/>
      <w:marLeft w:val="0"/>
      <w:marRight w:val="0"/>
      <w:marTop w:val="0"/>
      <w:marBottom w:val="0"/>
      <w:divBdr>
        <w:top w:val="none" w:sz="0" w:space="0" w:color="auto"/>
        <w:left w:val="none" w:sz="0" w:space="0" w:color="auto"/>
        <w:bottom w:val="none" w:sz="0" w:space="0" w:color="auto"/>
        <w:right w:val="none" w:sz="0" w:space="0" w:color="auto"/>
      </w:divBdr>
    </w:div>
    <w:div w:id="807630257">
      <w:bodyDiv w:val="1"/>
      <w:marLeft w:val="0"/>
      <w:marRight w:val="0"/>
      <w:marTop w:val="0"/>
      <w:marBottom w:val="0"/>
      <w:divBdr>
        <w:top w:val="none" w:sz="0" w:space="0" w:color="auto"/>
        <w:left w:val="none" w:sz="0" w:space="0" w:color="auto"/>
        <w:bottom w:val="none" w:sz="0" w:space="0" w:color="auto"/>
        <w:right w:val="none" w:sz="0" w:space="0" w:color="auto"/>
      </w:divBdr>
    </w:div>
    <w:div w:id="819032765">
      <w:bodyDiv w:val="1"/>
      <w:marLeft w:val="0"/>
      <w:marRight w:val="0"/>
      <w:marTop w:val="0"/>
      <w:marBottom w:val="0"/>
      <w:divBdr>
        <w:top w:val="none" w:sz="0" w:space="0" w:color="auto"/>
        <w:left w:val="none" w:sz="0" w:space="0" w:color="auto"/>
        <w:bottom w:val="none" w:sz="0" w:space="0" w:color="auto"/>
        <w:right w:val="none" w:sz="0" w:space="0" w:color="auto"/>
      </w:divBdr>
    </w:div>
    <w:div w:id="820315370">
      <w:bodyDiv w:val="1"/>
      <w:marLeft w:val="0"/>
      <w:marRight w:val="0"/>
      <w:marTop w:val="0"/>
      <w:marBottom w:val="0"/>
      <w:divBdr>
        <w:top w:val="none" w:sz="0" w:space="0" w:color="auto"/>
        <w:left w:val="none" w:sz="0" w:space="0" w:color="auto"/>
        <w:bottom w:val="none" w:sz="0" w:space="0" w:color="auto"/>
        <w:right w:val="none" w:sz="0" w:space="0" w:color="auto"/>
      </w:divBdr>
    </w:div>
    <w:div w:id="823543480">
      <w:bodyDiv w:val="1"/>
      <w:marLeft w:val="0"/>
      <w:marRight w:val="0"/>
      <w:marTop w:val="0"/>
      <w:marBottom w:val="0"/>
      <w:divBdr>
        <w:top w:val="none" w:sz="0" w:space="0" w:color="auto"/>
        <w:left w:val="none" w:sz="0" w:space="0" w:color="auto"/>
        <w:bottom w:val="none" w:sz="0" w:space="0" w:color="auto"/>
        <w:right w:val="none" w:sz="0" w:space="0" w:color="auto"/>
      </w:divBdr>
    </w:div>
    <w:div w:id="834222585">
      <w:bodyDiv w:val="1"/>
      <w:marLeft w:val="0"/>
      <w:marRight w:val="0"/>
      <w:marTop w:val="0"/>
      <w:marBottom w:val="0"/>
      <w:divBdr>
        <w:top w:val="none" w:sz="0" w:space="0" w:color="auto"/>
        <w:left w:val="none" w:sz="0" w:space="0" w:color="auto"/>
        <w:bottom w:val="none" w:sz="0" w:space="0" w:color="auto"/>
        <w:right w:val="none" w:sz="0" w:space="0" w:color="auto"/>
      </w:divBdr>
    </w:div>
    <w:div w:id="842479360">
      <w:bodyDiv w:val="1"/>
      <w:marLeft w:val="0"/>
      <w:marRight w:val="0"/>
      <w:marTop w:val="0"/>
      <w:marBottom w:val="0"/>
      <w:divBdr>
        <w:top w:val="none" w:sz="0" w:space="0" w:color="auto"/>
        <w:left w:val="none" w:sz="0" w:space="0" w:color="auto"/>
        <w:bottom w:val="none" w:sz="0" w:space="0" w:color="auto"/>
        <w:right w:val="none" w:sz="0" w:space="0" w:color="auto"/>
      </w:divBdr>
    </w:div>
    <w:div w:id="843907673">
      <w:bodyDiv w:val="1"/>
      <w:marLeft w:val="0"/>
      <w:marRight w:val="0"/>
      <w:marTop w:val="0"/>
      <w:marBottom w:val="0"/>
      <w:divBdr>
        <w:top w:val="none" w:sz="0" w:space="0" w:color="auto"/>
        <w:left w:val="none" w:sz="0" w:space="0" w:color="auto"/>
        <w:bottom w:val="none" w:sz="0" w:space="0" w:color="auto"/>
        <w:right w:val="none" w:sz="0" w:space="0" w:color="auto"/>
      </w:divBdr>
    </w:div>
    <w:div w:id="869756123">
      <w:bodyDiv w:val="1"/>
      <w:marLeft w:val="0"/>
      <w:marRight w:val="0"/>
      <w:marTop w:val="0"/>
      <w:marBottom w:val="0"/>
      <w:divBdr>
        <w:top w:val="none" w:sz="0" w:space="0" w:color="auto"/>
        <w:left w:val="none" w:sz="0" w:space="0" w:color="auto"/>
        <w:bottom w:val="none" w:sz="0" w:space="0" w:color="auto"/>
        <w:right w:val="none" w:sz="0" w:space="0" w:color="auto"/>
      </w:divBdr>
    </w:div>
    <w:div w:id="876967814">
      <w:bodyDiv w:val="1"/>
      <w:marLeft w:val="0"/>
      <w:marRight w:val="0"/>
      <w:marTop w:val="0"/>
      <w:marBottom w:val="0"/>
      <w:divBdr>
        <w:top w:val="none" w:sz="0" w:space="0" w:color="auto"/>
        <w:left w:val="none" w:sz="0" w:space="0" w:color="auto"/>
        <w:bottom w:val="none" w:sz="0" w:space="0" w:color="auto"/>
        <w:right w:val="none" w:sz="0" w:space="0" w:color="auto"/>
      </w:divBdr>
    </w:div>
    <w:div w:id="882256590">
      <w:bodyDiv w:val="1"/>
      <w:marLeft w:val="0"/>
      <w:marRight w:val="0"/>
      <w:marTop w:val="0"/>
      <w:marBottom w:val="0"/>
      <w:divBdr>
        <w:top w:val="none" w:sz="0" w:space="0" w:color="auto"/>
        <w:left w:val="none" w:sz="0" w:space="0" w:color="auto"/>
        <w:bottom w:val="none" w:sz="0" w:space="0" w:color="auto"/>
        <w:right w:val="none" w:sz="0" w:space="0" w:color="auto"/>
      </w:divBdr>
    </w:div>
    <w:div w:id="884416426">
      <w:bodyDiv w:val="1"/>
      <w:marLeft w:val="0"/>
      <w:marRight w:val="0"/>
      <w:marTop w:val="0"/>
      <w:marBottom w:val="0"/>
      <w:divBdr>
        <w:top w:val="none" w:sz="0" w:space="0" w:color="auto"/>
        <w:left w:val="none" w:sz="0" w:space="0" w:color="auto"/>
        <w:bottom w:val="none" w:sz="0" w:space="0" w:color="auto"/>
        <w:right w:val="none" w:sz="0" w:space="0" w:color="auto"/>
      </w:divBdr>
    </w:div>
    <w:div w:id="888146956">
      <w:bodyDiv w:val="1"/>
      <w:marLeft w:val="0"/>
      <w:marRight w:val="0"/>
      <w:marTop w:val="0"/>
      <w:marBottom w:val="0"/>
      <w:divBdr>
        <w:top w:val="none" w:sz="0" w:space="0" w:color="auto"/>
        <w:left w:val="none" w:sz="0" w:space="0" w:color="auto"/>
        <w:bottom w:val="none" w:sz="0" w:space="0" w:color="auto"/>
        <w:right w:val="none" w:sz="0" w:space="0" w:color="auto"/>
      </w:divBdr>
    </w:div>
    <w:div w:id="891229265">
      <w:bodyDiv w:val="1"/>
      <w:marLeft w:val="0"/>
      <w:marRight w:val="0"/>
      <w:marTop w:val="0"/>
      <w:marBottom w:val="0"/>
      <w:divBdr>
        <w:top w:val="none" w:sz="0" w:space="0" w:color="auto"/>
        <w:left w:val="none" w:sz="0" w:space="0" w:color="auto"/>
        <w:bottom w:val="none" w:sz="0" w:space="0" w:color="auto"/>
        <w:right w:val="none" w:sz="0" w:space="0" w:color="auto"/>
      </w:divBdr>
    </w:div>
    <w:div w:id="898638631">
      <w:bodyDiv w:val="1"/>
      <w:marLeft w:val="0"/>
      <w:marRight w:val="0"/>
      <w:marTop w:val="0"/>
      <w:marBottom w:val="0"/>
      <w:divBdr>
        <w:top w:val="none" w:sz="0" w:space="0" w:color="auto"/>
        <w:left w:val="none" w:sz="0" w:space="0" w:color="auto"/>
        <w:bottom w:val="none" w:sz="0" w:space="0" w:color="auto"/>
        <w:right w:val="none" w:sz="0" w:space="0" w:color="auto"/>
      </w:divBdr>
    </w:div>
    <w:div w:id="905409641">
      <w:bodyDiv w:val="1"/>
      <w:marLeft w:val="0"/>
      <w:marRight w:val="0"/>
      <w:marTop w:val="0"/>
      <w:marBottom w:val="0"/>
      <w:divBdr>
        <w:top w:val="none" w:sz="0" w:space="0" w:color="auto"/>
        <w:left w:val="none" w:sz="0" w:space="0" w:color="auto"/>
        <w:bottom w:val="none" w:sz="0" w:space="0" w:color="auto"/>
        <w:right w:val="none" w:sz="0" w:space="0" w:color="auto"/>
      </w:divBdr>
    </w:div>
    <w:div w:id="918638606">
      <w:bodyDiv w:val="1"/>
      <w:marLeft w:val="0"/>
      <w:marRight w:val="0"/>
      <w:marTop w:val="0"/>
      <w:marBottom w:val="0"/>
      <w:divBdr>
        <w:top w:val="none" w:sz="0" w:space="0" w:color="auto"/>
        <w:left w:val="none" w:sz="0" w:space="0" w:color="auto"/>
        <w:bottom w:val="none" w:sz="0" w:space="0" w:color="auto"/>
        <w:right w:val="none" w:sz="0" w:space="0" w:color="auto"/>
      </w:divBdr>
    </w:div>
    <w:div w:id="929855259">
      <w:bodyDiv w:val="1"/>
      <w:marLeft w:val="0"/>
      <w:marRight w:val="0"/>
      <w:marTop w:val="0"/>
      <w:marBottom w:val="0"/>
      <w:divBdr>
        <w:top w:val="none" w:sz="0" w:space="0" w:color="auto"/>
        <w:left w:val="none" w:sz="0" w:space="0" w:color="auto"/>
        <w:bottom w:val="none" w:sz="0" w:space="0" w:color="auto"/>
        <w:right w:val="none" w:sz="0" w:space="0" w:color="auto"/>
      </w:divBdr>
    </w:div>
    <w:div w:id="931544402">
      <w:bodyDiv w:val="1"/>
      <w:marLeft w:val="0"/>
      <w:marRight w:val="0"/>
      <w:marTop w:val="0"/>
      <w:marBottom w:val="0"/>
      <w:divBdr>
        <w:top w:val="none" w:sz="0" w:space="0" w:color="auto"/>
        <w:left w:val="none" w:sz="0" w:space="0" w:color="auto"/>
        <w:bottom w:val="none" w:sz="0" w:space="0" w:color="auto"/>
        <w:right w:val="none" w:sz="0" w:space="0" w:color="auto"/>
      </w:divBdr>
    </w:div>
    <w:div w:id="932861093">
      <w:bodyDiv w:val="1"/>
      <w:marLeft w:val="0"/>
      <w:marRight w:val="0"/>
      <w:marTop w:val="0"/>
      <w:marBottom w:val="0"/>
      <w:divBdr>
        <w:top w:val="none" w:sz="0" w:space="0" w:color="auto"/>
        <w:left w:val="none" w:sz="0" w:space="0" w:color="auto"/>
        <w:bottom w:val="none" w:sz="0" w:space="0" w:color="auto"/>
        <w:right w:val="none" w:sz="0" w:space="0" w:color="auto"/>
      </w:divBdr>
    </w:div>
    <w:div w:id="936132740">
      <w:bodyDiv w:val="1"/>
      <w:marLeft w:val="0"/>
      <w:marRight w:val="0"/>
      <w:marTop w:val="0"/>
      <w:marBottom w:val="0"/>
      <w:divBdr>
        <w:top w:val="none" w:sz="0" w:space="0" w:color="auto"/>
        <w:left w:val="none" w:sz="0" w:space="0" w:color="auto"/>
        <w:bottom w:val="none" w:sz="0" w:space="0" w:color="auto"/>
        <w:right w:val="none" w:sz="0" w:space="0" w:color="auto"/>
      </w:divBdr>
    </w:div>
    <w:div w:id="938754251">
      <w:bodyDiv w:val="1"/>
      <w:marLeft w:val="0"/>
      <w:marRight w:val="0"/>
      <w:marTop w:val="0"/>
      <w:marBottom w:val="0"/>
      <w:divBdr>
        <w:top w:val="none" w:sz="0" w:space="0" w:color="auto"/>
        <w:left w:val="none" w:sz="0" w:space="0" w:color="auto"/>
        <w:bottom w:val="none" w:sz="0" w:space="0" w:color="auto"/>
        <w:right w:val="none" w:sz="0" w:space="0" w:color="auto"/>
      </w:divBdr>
    </w:div>
    <w:div w:id="939683161">
      <w:bodyDiv w:val="1"/>
      <w:marLeft w:val="0"/>
      <w:marRight w:val="0"/>
      <w:marTop w:val="0"/>
      <w:marBottom w:val="0"/>
      <w:divBdr>
        <w:top w:val="none" w:sz="0" w:space="0" w:color="auto"/>
        <w:left w:val="none" w:sz="0" w:space="0" w:color="auto"/>
        <w:bottom w:val="none" w:sz="0" w:space="0" w:color="auto"/>
        <w:right w:val="none" w:sz="0" w:space="0" w:color="auto"/>
      </w:divBdr>
    </w:div>
    <w:div w:id="946082967">
      <w:bodyDiv w:val="1"/>
      <w:marLeft w:val="0"/>
      <w:marRight w:val="0"/>
      <w:marTop w:val="0"/>
      <w:marBottom w:val="0"/>
      <w:divBdr>
        <w:top w:val="none" w:sz="0" w:space="0" w:color="auto"/>
        <w:left w:val="none" w:sz="0" w:space="0" w:color="auto"/>
        <w:bottom w:val="none" w:sz="0" w:space="0" w:color="auto"/>
        <w:right w:val="none" w:sz="0" w:space="0" w:color="auto"/>
      </w:divBdr>
    </w:div>
    <w:div w:id="948701846">
      <w:bodyDiv w:val="1"/>
      <w:marLeft w:val="0"/>
      <w:marRight w:val="0"/>
      <w:marTop w:val="0"/>
      <w:marBottom w:val="0"/>
      <w:divBdr>
        <w:top w:val="none" w:sz="0" w:space="0" w:color="auto"/>
        <w:left w:val="none" w:sz="0" w:space="0" w:color="auto"/>
        <w:bottom w:val="none" w:sz="0" w:space="0" w:color="auto"/>
        <w:right w:val="none" w:sz="0" w:space="0" w:color="auto"/>
      </w:divBdr>
    </w:div>
    <w:div w:id="953752533">
      <w:bodyDiv w:val="1"/>
      <w:marLeft w:val="0"/>
      <w:marRight w:val="0"/>
      <w:marTop w:val="0"/>
      <w:marBottom w:val="0"/>
      <w:divBdr>
        <w:top w:val="none" w:sz="0" w:space="0" w:color="auto"/>
        <w:left w:val="none" w:sz="0" w:space="0" w:color="auto"/>
        <w:bottom w:val="none" w:sz="0" w:space="0" w:color="auto"/>
        <w:right w:val="none" w:sz="0" w:space="0" w:color="auto"/>
      </w:divBdr>
    </w:div>
    <w:div w:id="969701494">
      <w:bodyDiv w:val="1"/>
      <w:marLeft w:val="0"/>
      <w:marRight w:val="0"/>
      <w:marTop w:val="0"/>
      <w:marBottom w:val="0"/>
      <w:divBdr>
        <w:top w:val="none" w:sz="0" w:space="0" w:color="auto"/>
        <w:left w:val="none" w:sz="0" w:space="0" w:color="auto"/>
        <w:bottom w:val="none" w:sz="0" w:space="0" w:color="auto"/>
        <w:right w:val="none" w:sz="0" w:space="0" w:color="auto"/>
      </w:divBdr>
    </w:div>
    <w:div w:id="972834134">
      <w:bodyDiv w:val="1"/>
      <w:marLeft w:val="0"/>
      <w:marRight w:val="0"/>
      <w:marTop w:val="0"/>
      <w:marBottom w:val="0"/>
      <w:divBdr>
        <w:top w:val="none" w:sz="0" w:space="0" w:color="auto"/>
        <w:left w:val="none" w:sz="0" w:space="0" w:color="auto"/>
        <w:bottom w:val="none" w:sz="0" w:space="0" w:color="auto"/>
        <w:right w:val="none" w:sz="0" w:space="0" w:color="auto"/>
      </w:divBdr>
    </w:div>
    <w:div w:id="985471112">
      <w:bodyDiv w:val="1"/>
      <w:marLeft w:val="0"/>
      <w:marRight w:val="0"/>
      <w:marTop w:val="0"/>
      <w:marBottom w:val="0"/>
      <w:divBdr>
        <w:top w:val="none" w:sz="0" w:space="0" w:color="auto"/>
        <w:left w:val="none" w:sz="0" w:space="0" w:color="auto"/>
        <w:bottom w:val="none" w:sz="0" w:space="0" w:color="auto"/>
        <w:right w:val="none" w:sz="0" w:space="0" w:color="auto"/>
      </w:divBdr>
    </w:div>
    <w:div w:id="986856587">
      <w:bodyDiv w:val="1"/>
      <w:marLeft w:val="0"/>
      <w:marRight w:val="0"/>
      <w:marTop w:val="0"/>
      <w:marBottom w:val="0"/>
      <w:divBdr>
        <w:top w:val="none" w:sz="0" w:space="0" w:color="auto"/>
        <w:left w:val="none" w:sz="0" w:space="0" w:color="auto"/>
        <w:bottom w:val="none" w:sz="0" w:space="0" w:color="auto"/>
        <w:right w:val="none" w:sz="0" w:space="0" w:color="auto"/>
      </w:divBdr>
    </w:div>
    <w:div w:id="992560008">
      <w:bodyDiv w:val="1"/>
      <w:marLeft w:val="0"/>
      <w:marRight w:val="0"/>
      <w:marTop w:val="0"/>
      <w:marBottom w:val="0"/>
      <w:divBdr>
        <w:top w:val="none" w:sz="0" w:space="0" w:color="auto"/>
        <w:left w:val="none" w:sz="0" w:space="0" w:color="auto"/>
        <w:bottom w:val="none" w:sz="0" w:space="0" w:color="auto"/>
        <w:right w:val="none" w:sz="0" w:space="0" w:color="auto"/>
      </w:divBdr>
    </w:div>
    <w:div w:id="998579313">
      <w:bodyDiv w:val="1"/>
      <w:marLeft w:val="0"/>
      <w:marRight w:val="0"/>
      <w:marTop w:val="0"/>
      <w:marBottom w:val="0"/>
      <w:divBdr>
        <w:top w:val="none" w:sz="0" w:space="0" w:color="auto"/>
        <w:left w:val="none" w:sz="0" w:space="0" w:color="auto"/>
        <w:bottom w:val="none" w:sz="0" w:space="0" w:color="auto"/>
        <w:right w:val="none" w:sz="0" w:space="0" w:color="auto"/>
      </w:divBdr>
    </w:div>
    <w:div w:id="1017537648">
      <w:bodyDiv w:val="1"/>
      <w:marLeft w:val="0"/>
      <w:marRight w:val="0"/>
      <w:marTop w:val="0"/>
      <w:marBottom w:val="0"/>
      <w:divBdr>
        <w:top w:val="none" w:sz="0" w:space="0" w:color="auto"/>
        <w:left w:val="none" w:sz="0" w:space="0" w:color="auto"/>
        <w:bottom w:val="none" w:sz="0" w:space="0" w:color="auto"/>
        <w:right w:val="none" w:sz="0" w:space="0" w:color="auto"/>
      </w:divBdr>
    </w:div>
    <w:div w:id="1023750917">
      <w:bodyDiv w:val="1"/>
      <w:marLeft w:val="0"/>
      <w:marRight w:val="0"/>
      <w:marTop w:val="0"/>
      <w:marBottom w:val="0"/>
      <w:divBdr>
        <w:top w:val="none" w:sz="0" w:space="0" w:color="auto"/>
        <w:left w:val="none" w:sz="0" w:space="0" w:color="auto"/>
        <w:bottom w:val="none" w:sz="0" w:space="0" w:color="auto"/>
        <w:right w:val="none" w:sz="0" w:space="0" w:color="auto"/>
      </w:divBdr>
    </w:div>
    <w:div w:id="1023898118">
      <w:bodyDiv w:val="1"/>
      <w:marLeft w:val="0"/>
      <w:marRight w:val="0"/>
      <w:marTop w:val="0"/>
      <w:marBottom w:val="0"/>
      <w:divBdr>
        <w:top w:val="none" w:sz="0" w:space="0" w:color="auto"/>
        <w:left w:val="none" w:sz="0" w:space="0" w:color="auto"/>
        <w:bottom w:val="none" w:sz="0" w:space="0" w:color="auto"/>
        <w:right w:val="none" w:sz="0" w:space="0" w:color="auto"/>
      </w:divBdr>
    </w:div>
    <w:div w:id="1031144840">
      <w:bodyDiv w:val="1"/>
      <w:marLeft w:val="0"/>
      <w:marRight w:val="0"/>
      <w:marTop w:val="0"/>
      <w:marBottom w:val="0"/>
      <w:divBdr>
        <w:top w:val="none" w:sz="0" w:space="0" w:color="auto"/>
        <w:left w:val="none" w:sz="0" w:space="0" w:color="auto"/>
        <w:bottom w:val="none" w:sz="0" w:space="0" w:color="auto"/>
        <w:right w:val="none" w:sz="0" w:space="0" w:color="auto"/>
      </w:divBdr>
    </w:div>
    <w:div w:id="1035235942">
      <w:bodyDiv w:val="1"/>
      <w:marLeft w:val="0"/>
      <w:marRight w:val="0"/>
      <w:marTop w:val="0"/>
      <w:marBottom w:val="0"/>
      <w:divBdr>
        <w:top w:val="none" w:sz="0" w:space="0" w:color="auto"/>
        <w:left w:val="none" w:sz="0" w:space="0" w:color="auto"/>
        <w:bottom w:val="none" w:sz="0" w:space="0" w:color="auto"/>
        <w:right w:val="none" w:sz="0" w:space="0" w:color="auto"/>
      </w:divBdr>
    </w:div>
    <w:div w:id="1042559722">
      <w:bodyDiv w:val="1"/>
      <w:marLeft w:val="0"/>
      <w:marRight w:val="0"/>
      <w:marTop w:val="0"/>
      <w:marBottom w:val="0"/>
      <w:divBdr>
        <w:top w:val="none" w:sz="0" w:space="0" w:color="auto"/>
        <w:left w:val="none" w:sz="0" w:space="0" w:color="auto"/>
        <w:bottom w:val="none" w:sz="0" w:space="0" w:color="auto"/>
        <w:right w:val="none" w:sz="0" w:space="0" w:color="auto"/>
      </w:divBdr>
    </w:div>
    <w:div w:id="1050373831">
      <w:bodyDiv w:val="1"/>
      <w:marLeft w:val="0"/>
      <w:marRight w:val="0"/>
      <w:marTop w:val="0"/>
      <w:marBottom w:val="0"/>
      <w:divBdr>
        <w:top w:val="none" w:sz="0" w:space="0" w:color="auto"/>
        <w:left w:val="none" w:sz="0" w:space="0" w:color="auto"/>
        <w:bottom w:val="none" w:sz="0" w:space="0" w:color="auto"/>
        <w:right w:val="none" w:sz="0" w:space="0" w:color="auto"/>
      </w:divBdr>
    </w:div>
    <w:div w:id="1075205349">
      <w:bodyDiv w:val="1"/>
      <w:marLeft w:val="0"/>
      <w:marRight w:val="0"/>
      <w:marTop w:val="0"/>
      <w:marBottom w:val="0"/>
      <w:divBdr>
        <w:top w:val="none" w:sz="0" w:space="0" w:color="auto"/>
        <w:left w:val="none" w:sz="0" w:space="0" w:color="auto"/>
        <w:bottom w:val="none" w:sz="0" w:space="0" w:color="auto"/>
        <w:right w:val="none" w:sz="0" w:space="0" w:color="auto"/>
      </w:divBdr>
    </w:div>
    <w:div w:id="1078791195">
      <w:bodyDiv w:val="1"/>
      <w:marLeft w:val="0"/>
      <w:marRight w:val="0"/>
      <w:marTop w:val="0"/>
      <w:marBottom w:val="0"/>
      <w:divBdr>
        <w:top w:val="none" w:sz="0" w:space="0" w:color="auto"/>
        <w:left w:val="none" w:sz="0" w:space="0" w:color="auto"/>
        <w:bottom w:val="none" w:sz="0" w:space="0" w:color="auto"/>
        <w:right w:val="none" w:sz="0" w:space="0" w:color="auto"/>
      </w:divBdr>
    </w:div>
    <w:div w:id="1081295589">
      <w:bodyDiv w:val="1"/>
      <w:marLeft w:val="0"/>
      <w:marRight w:val="0"/>
      <w:marTop w:val="0"/>
      <w:marBottom w:val="0"/>
      <w:divBdr>
        <w:top w:val="none" w:sz="0" w:space="0" w:color="auto"/>
        <w:left w:val="none" w:sz="0" w:space="0" w:color="auto"/>
        <w:bottom w:val="none" w:sz="0" w:space="0" w:color="auto"/>
        <w:right w:val="none" w:sz="0" w:space="0" w:color="auto"/>
      </w:divBdr>
    </w:div>
    <w:div w:id="1087964371">
      <w:bodyDiv w:val="1"/>
      <w:marLeft w:val="0"/>
      <w:marRight w:val="0"/>
      <w:marTop w:val="0"/>
      <w:marBottom w:val="0"/>
      <w:divBdr>
        <w:top w:val="none" w:sz="0" w:space="0" w:color="auto"/>
        <w:left w:val="none" w:sz="0" w:space="0" w:color="auto"/>
        <w:bottom w:val="none" w:sz="0" w:space="0" w:color="auto"/>
        <w:right w:val="none" w:sz="0" w:space="0" w:color="auto"/>
      </w:divBdr>
    </w:div>
    <w:div w:id="1089039811">
      <w:bodyDiv w:val="1"/>
      <w:marLeft w:val="0"/>
      <w:marRight w:val="0"/>
      <w:marTop w:val="0"/>
      <w:marBottom w:val="0"/>
      <w:divBdr>
        <w:top w:val="none" w:sz="0" w:space="0" w:color="auto"/>
        <w:left w:val="none" w:sz="0" w:space="0" w:color="auto"/>
        <w:bottom w:val="none" w:sz="0" w:space="0" w:color="auto"/>
        <w:right w:val="none" w:sz="0" w:space="0" w:color="auto"/>
      </w:divBdr>
    </w:div>
    <w:div w:id="1092123306">
      <w:bodyDiv w:val="1"/>
      <w:marLeft w:val="0"/>
      <w:marRight w:val="0"/>
      <w:marTop w:val="0"/>
      <w:marBottom w:val="0"/>
      <w:divBdr>
        <w:top w:val="none" w:sz="0" w:space="0" w:color="auto"/>
        <w:left w:val="none" w:sz="0" w:space="0" w:color="auto"/>
        <w:bottom w:val="none" w:sz="0" w:space="0" w:color="auto"/>
        <w:right w:val="none" w:sz="0" w:space="0" w:color="auto"/>
      </w:divBdr>
    </w:div>
    <w:div w:id="1107433858">
      <w:bodyDiv w:val="1"/>
      <w:marLeft w:val="0"/>
      <w:marRight w:val="0"/>
      <w:marTop w:val="0"/>
      <w:marBottom w:val="0"/>
      <w:divBdr>
        <w:top w:val="none" w:sz="0" w:space="0" w:color="auto"/>
        <w:left w:val="none" w:sz="0" w:space="0" w:color="auto"/>
        <w:bottom w:val="none" w:sz="0" w:space="0" w:color="auto"/>
        <w:right w:val="none" w:sz="0" w:space="0" w:color="auto"/>
      </w:divBdr>
    </w:div>
    <w:div w:id="1145778829">
      <w:bodyDiv w:val="1"/>
      <w:marLeft w:val="0"/>
      <w:marRight w:val="0"/>
      <w:marTop w:val="0"/>
      <w:marBottom w:val="0"/>
      <w:divBdr>
        <w:top w:val="none" w:sz="0" w:space="0" w:color="auto"/>
        <w:left w:val="none" w:sz="0" w:space="0" w:color="auto"/>
        <w:bottom w:val="none" w:sz="0" w:space="0" w:color="auto"/>
        <w:right w:val="none" w:sz="0" w:space="0" w:color="auto"/>
      </w:divBdr>
    </w:div>
    <w:div w:id="1161120787">
      <w:bodyDiv w:val="1"/>
      <w:marLeft w:val="0"/>
      <w:marRight w:val="0"/>
      <w:marTop w:val="0"/>
      <w:marBottom w:val="0"/>
      <w:divBdr>
        <w:top w:val="none" w:sz="0" w:space="0" w:color="auto"/>
        <w:left w:val="none" w:sz="0" w:space="0" w:color="auto"/>
        <w:bottom w:val="none" w:sz="0" w:space="0" w:color="auto"/>
        <w:right w:val="none" w:sz="0" w:space="0" w:color="auto"/>
      </w:divBdr>
    </w:div>
    <w:div w:id="1161510275">
      <w:bodyDiv w:val="1"/>
      <w:marLeft w:val="0"/>
      <w:marRight w:val="0"/>
      <w:marTop w:val="0"/>
      <w:marBottom w:val="0"/>
      <w:divBdr>
        <w:top w:val="none" w:sz="0" w:space="0" w:color="auto"/>
        <w:left w:val="none" w:sz="0" w:space="0" w:color="auto"/>
        <w:bottom w:val="none" w:sz="0" w:space="0" w:color="auto"/>
        <w:right w:val="none" w:sz="0" w:space="0" w:color="auto"/>
      </w:divBdr>
    </w:div>
    <w:div w:id="1189221525">
      <w:bodyDiv w:val="1"/>
      <w:marLeft w:val="0"/>
      <w:marRight w:val="0"/>
      <w:marTop w:val="0"/>
      <w:marBottom w:val="0"/>
      <w:divBdr>
        <w:top w:val="none" w:sz="0" w:space="0" w:color="auto"/>
        <w:left w:val="none" w:sz="0" w:space="0" w:color="auto"/>
        <w:bottom w:val="none" w:sz="0" w:space="0" w:color="auto"/>
        <w:right w:val="none" w:sz="0" w:space="0" w:color="auto"/>
      </w:divBdr>
      <w:divsChild>
        <w:div w:id="304630374">
          <w:marLeft w:val="0"/>
          <w:marRight w:val="0"/>
          <w:marTop w:val="0"/>
          <w:marBottom w:val="0"/>
          <w:divBdr>
            <w:top w:val="none" w:sz="0" w:space="0" w:color="auto"/>
            <w:left w:val="none" w:sz="0" w:space="0" w:color="auto"/>
            <w:bottom w:val="none" w:sz="0" w:space="0" w:color="auto"/>
            <w:right w:val="none" w:sz="0" w:space="0" w:color="auto"/>
          </w:divBdr>
        </w:div>
        <w:div w:id="1258251684">
          <w:marLeft w:val="0"/>
          <w:marRight w:val="0"/>
          <w:marTop w:val="0"/>
          <w:marBottom w:val="0"/>
          <w:divBdr>
            <w:top w:val="none" w:sz="0" w:space="0" w:color="auto"/>
            <w:left w:val="none" w:sz="0" w:space="0" w:color="auto"/>
            <w:bottom w:val="none" w:sz="0" w:space="0" w:color="auto"/>
            <w:right w:val="none" w:sz="0" w:space="0" w:color="auto"/>
          </w:divBdr>
        </w:div>
        <w:div w:id="1922792645">
          <w:marLeft w:val="0"/>
          <w:marRight w:val="0"/>
          <w:marTop w:val="0"/>
          <w:marBottom w:val="0"/>
          <w:divBdr>
            <w:top w:val="none" w:sz="0" w:space="0" w:color="auto"/>
            <w:left w:val="none" w:sz="0" w:space="0" w:color="auto"/>
            <w:bottom w:val="none" w:sz="0" w:space="0" w:color="auto"/>
            <w:right w:val="none" w:sz="0" w:space="0" w:color="auto"/>
          </w:divBdr>
        </w:div>
        <w:div w:id="2035033527">
          <w:marLeft w:val="0"/>
          <w:marRight w:val="0"/>
          <w:marTop w:val="0"/>
          <w:marBottom w:val="0"/>
          <w:divBdr>
            <w:top w:val="none" w:sz="0" w:space="0" w:color="auto"/>
            <w:left w:val="none" w:sz="0" w:space="0" w:color="auto"/>
            <w:bottom w:val="none" w:sz="0" w:space="0" w:color="auto"/>
            <w:right w:val="none" w:sz="0" w:space="0" w:color="auto"/>
          </w:divBdr>
        </w:div>
      </w:divsChild>
    </w:div>
    <w:div w:id="1204709938">
      <w:bodyDiv w:val="1"/>
      <w:marLeft w:val="0"/>
      <w:marRight w:val="0"/>
      <w:marTop w:val="0"/>
      <w:marBottom w:val="0"/>
      <w:divBdr>
        <w:top w:val="none" w:sz="0" w:space="0" w:color="auto"/>
        <w:left w:val="none" w:sz="0" w:space="0" w:color="auto"/>
        <w:bottom w:val="none" w:sz="0" w:space="0" w:color="auto"/>
        <w:right w:val="none" w:sz="0" w:space="0" w:color="auto"/>
      </w:divBdr>
    </w:div>
    <w:div w:id="1207912505">
      <w:bodyDiv w:val="1"/>
      <w:marLeft w:val="0"/>
      <w:marRight w:val="0"/>
      <w:marTop w:val="0"/>
      <w:marBottom w:val="0"/>
      <w:divBdr>
        <w:top w:val="none" w:sz="0" w:space="0" w:color="auto"/>
        <w:left w:val="none" w:sz="0" w:space="0" w:color="auto"/>
        <w:bottom w:val="none" w:sz="0" w:space="0" w:color="auto"/>
        <w:right w:val="none" w:sz="0" w:space="0" w:color="auto"/>
      </w:divBdr>
    </w:div>
    <w:div w:id="1216771702">
      <w:bodyDiv w:val="1"/>
      <w:marLeft w:val="0"/>
      <w:marRight w:val="0"/>
      <w:marTop w:val="0"/>
      <w:marBottom w:val="0"/>
      <w:divBdr>
        <w:top w:val="none" w:sz="0" w:space="0" w:color="auto"/>
        <w:left w:val="none" w:sz="0" w:space="0" w:color="auto"/>
        <w:bottom w:val="none" w:sz="0" w:space="0" w:color="auto"/>
        <w:right w:val="none" w:sz="0" w:space="0" w:color="auto"/>
      </w:divBdr>
    </w:div>
    <w:div w:id="1233200420">
      <w:bodyDiv w:val="1"/>
      <w:marLeft w:val="0"/>
      <w:marRight w:val="0"/>
      <w:marTop w:val="0"/>
      <w:marBottom w:val="0"/>
      <w:divBdr>
        <w:top w:val="none" w:sz="0" w:space="0" w:color="auto"/>
        <w:left w:val="none" w:sz="0" w:space="0" w:color="auto"/>
        <w:bottom w:val="none" w:sz="0" w:space="0" w:color="auto"/>
        <w:right w:val="none" w:sz="0" w:space="0" w:color="auto"/>
      </w:divBdr>
    </w:div>
    <w:div w:id="1233856156">
      <w:bodyDiv w:val="1"/>
      <w:marLeft w:val="0"/>
      <w:marRight w:val="0"/>
      <w:marTop w:val="0"/>
      <w:marBottom w:val="0"/>
      <w:divBdr>
        <w:top w:val="none" w:sz="0" w:space="0" w:color="auto"/>
        <w:left w:val="none" w:sz="0" w:space="0" w:color="auto"/>
        <w:bottom w:val="none" w:sz="0" w:space="0" w:color="auto"/>
        <w:right w:val="none" w:sz="0" w:space="0" w:color="auto"/>
      </w:divBdr>
    </w:div>
    <w:div w:id="1236280478">
      <w:bodyDiv w:val="1"/>
      <w:marLeft w:val="0"/>
      <w:marRight w:val="0"/>
      <w:marTop w:val="0"/>
      <w:marBottom w:val="0"/>
      <w:divBdr>
        <w:top w:val="none" w:sz="0" w:space="0" w:color="auto"/>
        <w:left w:val="none" w:sz="0" w:space="0" w:color="auto"/>
        <w:bottom w:val="none" w:sz="0" w:space="0" w:color="auto"/>
        <w:right w:val="none" w:sz="0" w:space="0" w:color="auto"/>
      </w:divBdr>
    </w:div>
    <w:div w:id="1244342966">
      <w:bodyDiv w:val="1"/>
      <w:marLeft w:val="0"/>
      <w:marRight w:val="0"/>
      <w:marTop w:val="0"/>
      <w:marBottom w:val="0"/>
      <w:divBdr>
        <w:top w:val="none" w:sz="0" w:space="0" w:color="auto"/>
        <w:left w:val="none" w:sz="0" w:space="0" w:color="auto"/>
        <w:bottom w:val="none" w:sz="0" w:space="0" w:color="auto"/>
        <w:right w:val="none" w:sz="0" w:space="0" w:color="auto"/>
      </w:divBdr>
    </w:div>
    <w:div w:id="1249921553">
      <w:bodyDiv w:val="1"/>
      <w:marLeft w:val="0"/>
      <w:marRight w:val="0"/>
      <w:marTop w:val="0"/>
      <w:marBottom w:val="0"/>
      <w:divBdr>
        <w:top w:val="none" w:sz="0" w:space="0" w:color="auto"/>
        <w:left w:val="none" w:sz="0" w:space="0" w:color="auto"/>
        <w:bottom w:val="none" w:sz="0" w:space="0" w:color="auto"/>
        <w:right w:val="none" w:sz="0" w:space="0" w:color="auto"/>
      </w:divBdr>
    </w:div>
    <w:div w:id="1258905946">
      <w:bodyDiv w:val="1"/>
      <w:marLeft w:val="0"/>
      <w:marRight w:val="0"/>
      <w:marTop w:val="0"/>
      <w:marBottom w:val="0"/>
      <w:divBdr>
        <w:top w:val="none" w:sz="0" w:space="0" w:color="auto"/>
        <w:left w:val="none" w:sz="0" w:space="0" w:color="auto"/>
        <w:bottom w:val="none" w:sz="0" w:space="0" w:color="auto"/>
        <w:right w:val="none" w:sz="0" w:space="0" w:color="auto"/>
      </w:divBdr>
    </w:div>
    <w:div w:id="1263413105">
      <w:bodyDiv w:val="1"/>
      <w:marLeft w:val="0"/>
      <w:marRight w:val="0"/>
      <w:marTop w:val="0"/>
      <w:marBottom w:val="0"/>
      <w:divBdr>
        <w:top w:val="none" w:sz="0" w:space="0" w:color="auto"/>
        <w:left w:val="none" w:sz="0" w:space="0" w:color="auto"/>
        <w:bottom w:val="none" w:sz="0" w:space="0" w:color="auto"/>
        <w:right w:val="none" w:sz="0" w:space="0" w:color="auto"/>
      </w:divBdr>
    </w:div>
    <w:div w:id="1269655983">
      <w:bodyDiv w:val="1"/>
      <w:marLeft w:val="0"/>
      <w:marRight w:val="0"/>
      <w:marTop w:val="0"/>
      <w:marBottom w:val="0"/>
      <w:divBdr>
        <w:top w:val="none" w:sz="0" w:space="0" w:color="auto"/>
        <w:left w:val="none" w:sz="0" w:space="0" w:color="auto"/>
        <w:bottom w:val="none" w:sz="0" w:space="0" w:color="auto"/>
        <w:right w:val="none" w:sz="0" w:space="0" w:color="auto"/>
      </w:divBdr>
    </w:div>
    <w:div w:id="1270815157">
      <w:bodyDiv w:val="1"/>
      <w:marLeft w:val="0"/>
      <w:marRight w:val="0"/>
      <w:marTop w:val="0"/>
      <w:marBottom w:val="0"/>
      <w:divBdr>
        <w:top w:val="none" w:sz="0" w:space="0" w:color="auto"/>
        <w:left w:val="none" w:sz="0" w:space="0" w:color="auto"/>
        <w:bottom w:val="none" w:sz="0" w:space="0" w:color="auto"/>
        <w:right w:val="none" w:sz="0" w:space="0" w:color="auto"/>
      </w:divBdr>
    </w:div>
    <w:div w:id="1290893849">
      <w:bodyDiv w:val="1"/>
      <w:marLeft w:val="0"/>
      <w:marRight w:val="0"/>
      <w:marTop w:val="0"/>
      <w:marBottom w:val="0"/>
      <w:divBdr>
        <w:top w:val="none" w:sz="0" w:space="0" w:color="auto"/>
        <w:left w:val="none" w:sz="0" w:space="0" w:color="auto"/>
        <w:bottom w:val="none" w:sz="0" w:space="0" w:color="auto"/>
        <w:right w:val="none" w:sz="0" w:space="0" w:color="auto"/>
      </w:divBdr>
    </w:div>
    <w:div w:id="1291863850">
      <w:bodyDiv w:val="1"/>
      <w:marLeft w:val="0"/>
      <w:marRight w:val="0"/>
      <w:marTop w:val="0"/>
      <w:marBottom w:val="0"/>
      <w:divBdr>
        <w:top w:val="none" w:sz="0" w:space="0" w:color="auto"/>
        <w:left w:val="none" w:sz="0" w:space="0" w:color="auto"/>
        <w:bottom w:val="none" w:sz="0" w:space="0" w:color="auto"/>
        <w:right w:val="none" w:sz="0" w:space="0" w:color="auto"/>
      </w:divBdr>
    </w:div>
    <w:div w:id="1296181837">
      <w:bodyDiv w:val="1"/>
      <w:marLeft w:val="0"/>
      <w:marRight w:val="0"/>
      <w:marTop w:val="0"/>
      <w:marBottom w:val="0"/>
      <w:divBdr>
        <w:top w:val="none" w:sz="0" w:space="0" w:color="auto"/>
        <w:left w:val="none" w:sz="0" w:space="0" w:color="auto"/>
        <w:bottom w:val="none" w:sz="0" w:space="0" w:color="auto"/>
        <w:right w:val="none" w:sz="0" w:space="0" w:color="auto"/>
      </w:divBdr>
    </w:div>
    <w:div w:id="1298335603">
      <w:bodyDiv w:val="1"/>
      <w:marLeft w:val="0"/>
      <w:marRight w:val="0"/>
      <w:marTop w:val="0"/>
      <w:marBottom w:val="0"/>
      <w:divBdr>
        <w:top w:val="none" w:sz="0" w:space="0" w:color="auto"/>
        <w:left w:val="none" w:sz="0" w:space="0" w:color="auto"/>
        <w:bottom w:val="none" w:sz="0" w:space="0" w:color="auto"/>
        <w:right w:val="none" w:sz="0" w:space="0" w:color="auto"/>
      </w:divBdr>
    </w:div>
    <w:div w:id="1313556720">
      <w:bodyDiv w:val="1"/>
      <w:marLeft w:val="0"/>
      <w:marRight w:val="0"/>
      <w:marTop w:val="0"/>
      <w:marBottom w:val="0"/>
      <w:divBdr>
        <w:top w:val="none" w:sz="0" w:space="0" w:color="auto"/>
        <w:left w:val="none" w:sz="0" w:space="0" w:color="auto"/>
        <w:bottom w:val="none" w:sz="0" w:space="0" w:color="auto"/>
        <w:right w:val="none" w:sz="0" w:space="0" w:color="auto"/>
      </w:divBdr>
    </w:div>
    <w:div w:id="1318026203">
      <w:bodyDiv w:val="1"/>
      <w:marLeft w:val="0"/>
      <w:marRight w:val="0"/>
      <w:marTop w:val="0"/>
      <w:marBottom w:val="0"/>
      <w:divBdr>
        <w:top w:val="none" w:sz="0" w:space="0" w:color="auto"/>
        <w:left w:val="none" w:sz="0" w:space="0" w:color="auto"/>
        <w:bottom w:val="none" w:sz="0" w:space="0" w:color="auto"/>
        <w:right w:val="none" w:sz="0" w:space="0" w:color="auto"/>
      </w:divBdr>
    </w:div>
    <w:div w:id="1326737936">
      <w:bodyDiv w:val="1"/>
      <w:marLeft w:val="0"/>
      <w:marRight w:val="0"/>
      <w:marTop w:val="0"/>
      <w:marBottom w:val="0"/>
      <w:divBdr>
        <w:top w:val="none" w:sz="0" w:space="0" w:color="auto"/>
        <w:left w:val="none" w:sz="0" w:space="0" w:color="auto"/>
        <w:bottom w:val="none" w:sz="0" w:space="0" w:color="auto"/>
        <w:right w:val="none" w:sz="0" w:space="0" w:color="auto"/>
      </w:divBdr>
    </w:div>
    <w:div w:id="1330715283">
      <w:bodyDiv w:val="1"/>
      <w:marLeft w:val="0"/>
      <w:marRight w:val="0"/>
      <w:marTop w:val="0"/>
      <w:marBottom w:val="0"/>
      <w:divBdr>
        <w:top w:val="none" w:sz="0" w:space="0" w:color="auto"/>
        <w:left w:val="none" w:sz="0" w:space="0" w:color="auto"/>
        <w:bottom w:val="none" w:sz="0" w:space="0" w:color="auto"/>
        <w:right w:val="none" w:sz="0" w:space="0" w:color="auto"/>
      </w:divBdr>
    </w:div>
    <w:div w:id="1343580389">
      <w:bodyDiv w:val="1"/>
      <w:marLeft w:val="0"/>
      <w:marRight w:val="0"/>
      <w:marTop w:val="0"/>
      <w:marBottom w:val="0"/>
      <w:divBdr>
        <w:top w:val="none" w:sz="0" w:space="0" w:color="auto"/>
        <w:left w:val="none" w:sz="0" w:space="0" w:color="auto"/>
        <w:bottom w:val="none" w:sz="0" w:space="0" w:color="auto"/>
        <w:right w:val="none" w:sz="0" w:space="0" w:color="auto"/>
      </w:divBdr>
    </w:div>
    <w:div w:id="1347749804">
      <w:bodyDiv w:val="1"/>
      <w:marLeft w:val="0"/>
      <w:marRight w:val="0"/>
      <w:marTop w:val="0"/>
      <w:marBottom w:val="0"/>
      <w:divBdr>
        <w:top w:val="none" w:sz="0" w:space="0" w:color="auto"/>
        <w:left w:val="none" w:sz="0" w:space="0" w:color="auto"/>
        <w:bottom w:val="none" w:sz="0" w:space="0" w:color="auto"/>
        <w:right w:val="none" w:sz="0" w:space="0" w:color="auto"/>
      </w:divBdr>
    </w:div>
    <w:div w:id="1375814118">
      <w:bodyDiv w:val="1"/>
      <w:marLeft w:val="0"/>
      <w:marRight w:val="0"/>
      <w:marTop w:val="0"/>
      <w:marBottom w:val="0"/>
      <w:divBdr>
        <w:top w:val="none" w:sz="0" w:space="0" w:color="auto"/>
        <w:left w:val="none" w:sz="0" w:space="0" w:color="auto"/>
        <w:bottom w:val="none" w:sz="0" w:space="0" w:color="auto"/>
        <w:right w:val="none" w:sz="0" w:space="0" w:color="auto"/>
      </w:divBdr>
    </w:div>
    <w:div w:id="1376613369">
      <w:bodyDiv w:val="1"/>
      <w:marLeft w:val="0"/>
      <w:marRight w:val="0"/>
      <w:marTop w:val="0"/>
      <w:marBottom w:val="0"/>
      <w:divBdr>
        <w:top w:val="none" w:sz="0" w:space="0" w:color="auto"/>
        <w:left w:val="none" w:sz="0" w:space="0" w:color="auto"/>
        <w:bottom w:val="none" w:sz="0" w:space="0" w:color="auto"/>
        <w:right w:val="none" w:sz="0" w:space="0" w:color="auto"/>
      </w:divBdr>
    </w:div>
    <w:div w:id="1377923544">
      <w:bodyDiv w:val="1"/>
      <w:marLeft w:val="0"/>
      <w:marRight w:val="0"/>
      <w:marTop w:val="0"/>
      <w:marBottom w:val="0"/>
      <w:divBdr>
        <w:top w:val="none" w:sz="0" w:space="0" w:color="auto"/>
        <w:left w:val="none" w:sz="0" w:space="0" w:color="auto"/>
        <w:bottom w:val="none" w:sz="0" w:space="0" w:color="auto"/>
        <w:right w:val="none" w:sz="0" w:space="0" w:color="auto"/>
      </w:divBdr>
    </w:div>
    <w:div w:id="1387683399">
      <w:bodyDiv w:val="1"/>
      <w:marLeft w:val="0"/>
      <w:marRight w:val="0"/>
      <w:marTop w:val="0"/>
      <w:marBottom w:val="0"/>
      <w:divBdr>
        <w:top w:val="none" w:sz="0" w:space="0" w:color="auto"/>
        <w:left w:val="none" w:sz="0" w:space="0" w:color="auto"/>
        <w:bottom w:val="none" w:sz="0" w:space="0" w:color="auto"/>
        <w:right w:val="none" w:sz="0" w:space="0" w:color="auto"/>
      </w:divBdr>
    </w:div>
    <w:div w:id="1405029854">
      <w:bodyDiv w:val="1"/>
      <w:marLeft w:val="0"/>
      <w:marRight w:val="0"/>
      <w:marTop w:val="0"/>
      <w:marBottom w:val="0"/>
      <w:divBdr>
        <w:top w:val="none" w:sz="0" w:space="0" w:color="auto"/>
        <w:left w:val="none" w:sz="0" w:space="0" w:color="auto"/>
        <w:bottom w:val="none" w:sz="0" w:space="0" w:color="auto"/>
        <w:right w:val="none" w:sz="0" w:space="0" w:color="auto"/>
      </w:divBdr>
    </w:div>
    <w:div w:id="1409419603">
      <w:bodyDiv w:val="1"/>
      <w:marLeft w:val="0"/>
      <w:marRight w:val="0"/>
      <w:marTop w:val="0"/>
      <w:marBottom w:val="0"/>
      <w:divBdr>
        <w:top w:val="none" w:sz="0" w:space="0" w:color="auto"/>
        <w:left w:val="none" w:sz="0" w:space="0" w:color="auto"/>
        <w:bottom w:val="none" w:sz="0" w:space="0" w:color="auto"/>
        <w:right w:val="none" w:sz="0" w:space="0" w:color="auto"/>
      </w:divBdr>
    </w:div>
    <w:div w:id="1466240188">
      <w:bodyDiv w:val="1"/>
      <w:marLeft w:val="0"/>
      <w:marRight w:val="0"/>
      <w:marTop w:val="0"/>
      <w:marBottom w:val="0"/>
      <w:divBdr>
        <w:top w:val="none" w:sz="0" w:space="0" w:color="auto"/>
        <w:left w:val="none" w:sz="0" w:space="0" w:color="auto"/>
        <w:bottom w:val="none" w:sz="0" w:space="0" w:color="auto"/>
        <w:right w:val="none" w:sz="0" w:space="0" w:color="auto"/>
      </w:divBdr>
    </w:div>
    <w:div w:id="1479109178">
      <w:bodyDiv w:val="1"/>
      <w:marLeft w:val="0"/>
      <w:marRight w:val="0"/>
      <w:marTop w:val="0"/>
      <w:marBottom w:val="0"/>
      <w:divBdr>
        <w:top w:val="none" w:sz="0" w:space="0" w:color="auto"/>
        <w:left w:val="none" w:sz="0" w:space="0" w:color="auto"/>
        <w:bottom w:val="none" w:sz="0" w:space="0" w:color="auto"/>
        <w:right w:val="none" w:sz="0" w:space="0" w:color="auto"/>
      </w:divBdr>
    </w:div>
    <w:div w:id="1481389345">
      <w:bodyDiv w:val="1"/>
      <w:marLeft w:val="0"/>
      <w:marRight w:val="0"/>
      <w:marTop w:val="0"/>
      <w:marBottom w:val="0"/>
      <w:divBdr>
        <w:top w:val="none" w:sz="0" w:space="0" w:color="auto"/>
        <w:left w:val="none" w:sz="0" w:space="0" w:color="auto"/>
        <w:bottom w:val="none" w:sz="0" w:space="0" w:color="auto"/>
        <w:right w:val="none" w:sz="0" w:space="0" w:color="auto"/>
      </w:divBdr>
    </w:div>
    <w:div w:id="1488545742">
      <w:bodyDiv w:val="1"/>
      <w:marLeft w:val="0"/>
      <w:marRight w:val="0"/>
      <w:marTop w:val="0"/>
      <w:marBottom w:val="0"/>
      <w:divBdr>
        <w:top w:val="none" w:sz="0" w:space="0" w:color="auto"/>
        <w:left w:val="none" w:sz="0" w:space="0" w:color="auto"/>
        <w:bottom w:val="none" w:sz="0" w:space="0" w:color="auto"/>
        <w:right w:val="none" w:sz="0" w:space="0" w:color="auto"/>
      </w:divBdr>
    </w:div>
    <w:div w:id="1491173328">
      <w:bodyDiv w:val="1"/>
      <w:marLeft w:val="0"/>
      <w:marRight w:val="0"/>
      <w:marTop w:val="0"/>
      <w:marBottom w:val="0"/>
      <w:divBdr>
        <w:top w:val="none" w:sz="0" w:space="0" w:color="auto"/>
        <w:left w:val="none" w:sz="0" w:space="0" w:color="auto"/>
        <w:bottom w:val="none" w:sz="0" w:space="0" w:color="auto"/>
        <w:right w:val="none" w:sz="0" w:space="0" w:color="auto"/>
      </w:divBdr>
    </w:div>
    <w:div w:id="1495410645">
      <w:bodyDiv w:val="1"/>
      <w:marLeft w:val="0"/>
      <w:marRight w:val="0"/>
      <w:marTop w:val="0"/>
      <w:marBottom w:val="0"/>
      <w:divBdr>
        <w:top w:val="none" w:sz="0" w:space="0" w:color="auto"/>
        <w:left w:val="none" w:sz="0" w:space="0" w:color="auto"/>
        <w:bottom w:val="none" w:sz="0" w:space="0" w:color="auto"/>
        <w:right w:val="none" w:sz="0" w:space="0" w:color="auto"/>
      </w:divBdr>
    </w:div>
    <w:div w:id="1506048902">
      <w:bodyDiv w:val="1"/>
      <w:marLeft w:val="0"/>
      <w:marRight w:val="0"/>
      <w:marTop w:val="0"/>
      <w:marBottom w:val="0"/>
      <w:divBdr>
        <w:top w:val="none" w:sz="0" w:space="0" w:color="auto"/>
        <w:left w:val="none" w:sz="0" w:space="0" w:color="auto"/>
        <w:bottom w:val="none" w:sz="0" w:space="0" w:color="auto"/>
        <w:right w:val="none" w:sz="0" w:space="0" w:color="auto"/>
      </w:divBdr>
    </w:div>
    <w:div w:id="1513447384">
      <w:bodyDiv w:val="1"/>
      <w:marLeft w:val="0"/>
      <w:marRight w:val="0"/>
      <w:marTop w:val="0"/>
      <w:marBottom w:val="0"/>
      <w:divBdr>
        <w:top w:val="none" w:sz="0" w:space="0" w:color="auto"/>
        <w:left w:val="none" w:sz="0" w:space="0" w:color="auto"/>
        <w:bottom w:val="none" w:sz="0" w:space="0" w:color="auto"/>
        <w:right w:val="none" w:sz="0" w:space="0" w:color="auto"/>
      </w:divBdr>
    </w:div>
    <w:div w:id="1520847739">
      <w:bodyDiv w:val="1"/>
      <w:marLeft w:val="0"/>
      <w:marRight w:val="0"/>
      <w:marTop w:val="0"/>
      <w:marBottom w:val="0"/>
      <w:divBdr>
        <w:top w:val="none" w:sz="0" w:space="0" w:color="auto"/>
        <w:left w:val="none" w:sz="0" w:space="0" w:color="auto"/>
        <w:bottom w:val="none" w:sz="0" w:space="0" w:color="auto"/>
        <w:right w:val="none" w:sz="0" w:space="0" w:color="auto"/>
      </w:divBdr>
    </w:div>
    <w:div w:id="1522936025">
      <w:bodyDiv w:val="1"/>
      <w:marLeft w:val="0"/>
      <w:marRight w:val="0"/>
      <w:marTop w:val="0"/>
      <w:marBottom w:val="0"/>
      <w:divBdr>
        <w:top w:val="none" w:sz="0" w:space="0" w:color="auto"/>
        <w:left w:val="none" w:sz="0" w:space="0" w:color="auto"/>
        <w:bottom w:val="none" w:sz="0" w:space="0" w:color="auto"/>
        <w:right w:val="none" w:sz="0" w:space="0" w:color="auto"/>
      </w:divBdr>
    </w:div>
    <w:div w:id="1538858463">
      <w:bodyDiv w:val="1"/>
      <w:marLeft w:val="0"/>
      <w:marRight w:val="0"/>
      <w:marTop w:val="0"/>
      <w:marBottom w:val="0"/>
      <w:divBdr>
        <w:top w:val="none" w:sz="0" w:space="0" w:color="auto"/>
        <w:left w:val="none" w:sz="0" w:space="0" w:color="auto"/>
        <w:bottom w:val="none" w:sz="0" w:space="0" w:color="auto"/>
        <w:right w:val="none" w:sz="0" w:space="0" w:color="auto"/>
      </w:divBdr>
    </w:div>
    <w:div w:id="1563978079">
      <w:bodyDiv w:val="1"/>
      <w:marLeft w:val="0"/>
      <w:marRight w:val="0"/>
      <w:marTop w:val="0"/>
      <w:marBottom w:val="0"/>
      <w:divBdr>
        <w:top w:val="none" w:sz="0" w:space="0" w:color="auto"/>
        <w:left w:val="none" w:sz="0" w:space="0" w:color="auto"/>
        <w:bottom w:val="none" w:sz="0" w:space="0" w:color="auto"/>
        <w:right w:val="none" w:sz="0" w:space="0" w:color="auto"/>
      </w:divBdr>
    </w:div>
    <w:div w:id="1566531080">
      <w:bodyDiv w:val="1"/>
      <w:marLeft w:val="0"/>
      <w:marRight w:val="0"/>
      <w:marTop w:val="0"/>
      <w:marBottom w:val="0"/>
      <w:divBdr>
        <w:top w:val="none" w:sz="0" w:space="0" w:color="auto"/>
        <w:left w:val="none" w:sz="0" w:space="0" w:color="auto"/>
        <w:bottom w:val="none" w:sz="0" w:space="0" w:color="auto"/>
        <w:right w:val="none" w:sz="0" w:space="0" w:color="auto"/>
      </w:divBdr>
    </w:div>
    <w:div w:id="1576013273">
      <w:bodyDiv w:val="1"/>
      <w:marLeft w:val="0"/>
      <w:marRight w:val="0"/>
      <w:marTop w:val="0"/>
      <w:marBottom w:val="0"/>
      <w:divBdr>
        <w:top w:val="none" w:sz="0" w:space="0" w:color="auto"/>
        <w:left w:val="none" w:sz="0" w:space="0" w:color="auto"/>
        <w:bottom w:val="none" w:sz="0" w:space="0" w:color="auto"/>
        <w:right w:val="none" w:sz="0" w:space="0" w:color="auto"/>
      </w:divBdr>
    </w:div>
    <w:div w:id="1584756304">
      <w:bodyDiv w:val="1"/>
      <w:marLeft w:val="0"/>
      <w:marRight w:val="0"/>
      <w:marTop w:val="0"/>
      <w:marBottom w:val="0"/>
      <w:divBdr>
        <w:top w:val="none" w:sz="0" w:space="0" w:color="auto"/>
        <w:left w:val="none" w:sz="0" w:space="0" w:color="auto"/>
        <w:bottom w:val="none" w:sz="0" w:space="0" w:color="auto"/>
        <w:right w:val="none" w:sz="0" w:space="0" w:color="auto"/>
      </w:divBdr>
    </w:div>
    <w:div w:id="1591698682">
      <w:bodyDiv w:val="1"/>
      <w:marLeft w:val="0"/>
      <w:marRight w:val="0"/>
      <w:marTop w:val="0"/>
      <w:marBottom w:val="0"/>
      <w:divBdr>
        <w:top w:val="none" w:sz="0" w:space="0" w:color="auto"/>
        <w:left w:val="none" w:sz="0" w:space="0" w:color="auto"/>
        <w:bottom w:val="none" w:sz="0" w:space="0" w:color="auto"/>
        <w:right w:val="none" w:sz="0" w:space="0" w:color="auto"/>
      </w:divBdr>
    </w:div>
    <w:div w:id="1597667250">
      <w:bodyDiv w:val="1"/>
      <w:marLeft w:val="0"/>
      <w:marRight w:val="0"/>
      <w:marTop w:val="0"/>
      <w:marBottom w:val="0"/>
      <w:divBdr>
        <w:top w:val="none" w:sz="0" w:space="0" w:color="auto"/>
        <w:left w:val="none" w:sz="0" w:space="0" w:color="auto"/>
        <w:bottom w:val="none" w:sz="0" w:space="0" w:color="auto"/>
        <w:right w:val="none" w:sz="0" w:space="0" w:color="auto"/>
      </w:divBdr>
    </w:div>
    <w:div w:id="1599604042">
      <w:bodyDiv w:val="1"/>
      <w:marLeft w:val="0"/>
      <w:marRight w:val="0"/>
      <w:marTop w:val="0"/>
      <w:marBottom w:val="0"/>
      <w:divBdr>
        <w:top w:val="none" w:sz="0" w:space="0" w:color="auto"/>
        <w:left w:val="none" w:sz="0" w:space="0" w:color="auto"/>
        <w:bottom w:val="none" w:sz="0" w:space="0" w:color="auto"/>
        <w:right w:val="none" w:sz="0" w:space="0" w:color="auto"/>
      </w:divBdr>
    </w:div>
    <w:div w:id="1606647638">
      <w:bodyDiv w:val="1"/>
      <w:marLeft w:val="0"/>
      <w:marRight w:val="0"/>
      <w:marTop w:val="0"/>
      <w:marBottom w:val="0"/>
      <w:divBdr>
        <w:top w:val="none" w:sz="0" w:space="0" w:color="auto"/>
        <w:left w:val="none" w:sz="0" w:space="0" w:color="auto"/>
        <w:bottom w:val="none" w:sz="0" w:space="0" w:color="auto"/>
        <w:right w:val="none" w:sz="0" w:space="0" w:color="auto"/>
      </w:divBdr>
    </w:div>
    <w:div w:id="1621691879">
      <w:bodyDiv w:val="1"/>
      <w:marLeft w:val="0"/>
      <w:marRight w:val="0"/>
      <w:marTop w:val="0"/>
      <w:marBottom w:val="0"/>
      <w:divBdr>
        <w:top w:val="none" w:sz="0" w:space="0" w:color="auto"/>
        <w:left w:val="none" w:sz="0" w:space="0" w:color="auto"/>
        <w:bottom w:val="none" w:sz="0" w:space="0" w:color="auto"/>
        <w:right w:val="none" w:sz="0" w:space="0" w:color="auto"/>
      </w:divBdr>
    </w:div>
    <w:div w:id="1623807493">
      <w:bodyDiv w:val="1"/>
      <w:marLeft w:val="0"/>
      <w:marRight w:val="0"/>
      <w:marTop w:val="0"/>
      <w:marBottom w:val="0"/>
      <w:divBdr>
        <w:top w:val="none" w:sz="0" w:space="0" w:color="auto"/>
        <w:left w:val="none" w:sz="0" w:space="0" w:color="auto"/>
        <w:bottom w:val="none" w:sz="0" w:space="0" w:color="auto"/>
        <w:right w:val="none" w:sz="0" w:space="0" w:color="auto"/>
      </w:divBdr>
    </w:div>
    <w:div w:id="1625774337">
      <w:bodyDiv w:val="1"/>
      <w:marLeft w:val="0"/>
      <w:marRight w:val="0"/>
      <w:marTop w:val="0"/>
      <w:marBottom w:val="0"/>
      <w:divBdr>
        <w:top w:val="none" w:sz="0" w:space="0" w:color="auto"/>
        <w:left w:val="none" w:sz="0" w:space="0" w:color="auto"/>
        <w:bottom w:val="none" w:sz="0" w:space="0" w:color="auto"/>
        <w:right w:val="none" w:sz="0" w:space="0" w:color="auto"/>
      </w:divBdr>
    </w:div>
    <w:div w:id="1628848435">
      <w:bodyDiv w:val="1"/>
      <w:marLeft w:val="0"/>
      <w:marRight w:val="0"/>
      <w:marTop w:val="0"/>
      <w:marBottom w:val="0"/>
      <w:divBdr>
        <w:top w:val="none" w:sz="0" w:space="0" w:color="auto"/>
        <w:left w:val="none" w:sz="0" w:space="0" w:color="auto"/>
        <w:bottom w:val="none" w:sz="0" w:space="0" w:color="auto"/>
        <w:right w:val="none" w:sz="0" w:space="0" w:color="auto"/>
      </w:divBdr>
    </w:div>
    <w:div w:id="1631354155">
      <w:bodyDiv w:val="1"/>
      <w:marLeft w:val="0"/>
      <w:marRight w:val="0"/>
      <w:marTop w:val="0"/>
      <w:marBottom w:val="0"/>
      <w:divBdr>
        <w:top w:val="none" w:sz="0" w:space="0" w:color="auto"/>
        <w:left w:val="none" w:sz="0" w:space="0" w:color="auto"/>
        <w:bottom w:val="none" w:sz="0" w:space="0" w:color="auto"/>
        <w:right w:val="none" w:sz="0" w:space="0" w:color="auto"/>
      </w:divBdr>
    </w:div>
    <w:div w:id="1633713735">
      <w:bodyDiv w:val="1"/>
      <w:marLeft w:val="0"/>
      <w:marRight w:val="0"/>
      <w:marTop w:val="0"/>
      <w:marBottom w:val="0"/>
      <w:divBdr>
        <w:top w:val="none" w:sz="0" w:space="0" w:color="auto"/>
        <w:left w:val="none" w:sz="0" w:space="0" w:color="auto"/>
        <w:bottom w:val="none" w:sz="0" w:space="0" w:color="auto"/>
        <w:right w:val="none" w:sz="0" w:space="0" w:color="auto"/>
      </w:divBdr>
    </w:div>
    <w:div w:id="1642037109">
      <w:bodyDiv w:val="1"/>
      <w:marLeft w:val="0"/>
      <w:marRight w:val="0"/>
      <w:marTop w:val="0"/>
      <w:marBottom w:val="0"/>
      <w:divBdr>
        <w:top w:val="none" w:sz="0" w:space="0" w:color="auto"/>
        <w:left w:val="none" w:sz="0" w:space="0" w:color="auto"/>
        <w:bottom w:val="none" w:sz="0" w:space="0" w:color="auto"/>
        <w:right w:val="none" w:sz="0" w:space="0" w:color="auto"/>
      </w:divBdr>
    </w:div>
    <w:div w:id="1652053022">
      <w:bodyDiv w:val="1"/>
      <w:marLeft w:val="0"/>
      <w:marRight w:val="0"/>
      <w:marTop w:val="0"/>
      <w:marBottom w:val="0"/>
      <w:divBdr>
        <w:top w:val="none" w:sz="0" w:space="0" w:color="auto"/>
        <w:left w:val="none" w:sz="0" w:space="0" w:color="auto"/>
        <w:bottom w:val="none" w:sz="0" w:space="0" w:color="auto"/>
        <w:right w:val="none" w:sz="0" w:space="0" w:color="auto"/>
      </w:divBdr>
    </w:div>
    <w:div w:id="1654483503">
      <w:bodyDiv w:val="1"/>
      <w:marLeft w:val="0"/>
      <w:marRight w:val="0"/>
      <w:marTop w:val="0"/>
      <w:marBottom w:val="0"/>
      <w:divBdr>
        <w:top w:val="none" w:sz="0" w:space="0" w:color="auto"/>
        <w:left w:val="none" w:sz="0" w:space="0" w:color="auto"/>
        <w:bottom w:val="none" w:sz="0" w:space="0" w:color="auto"/>
        <w:right w:val="none" w:sz="0" w:space="0" w:color="auto"/>
      </w:divBdr>
    </w:div>
    <w:div w:id="1674409048">
      <w:bodyDiv w:val="1"/>
      <w:marLeft w:val="0"/>
      <w:marRight w:val="0"/>
      <w:marTop w:val="0"/>
      <w:marBottom w:val="0"/>
      <w:divBdr>
        <w:top w:val="none" w:sz="0" w:space="0" w:color="auto"/>
        <w:left w:val="none" w:sz="0" w:space="0" w:color="auto"/>
        <w:bottom w:val="none" w:sz="0" w:space="0" w:color="auto"/>
        <w:right w:val="none" w:sz="0" w:space="0" w:color="auto"/>
      </w:divBdr>
    </w:div>
    <w:div w:id="1701128134">
      <w:bodyDiv w:val="1"/>
      <w:marLeft w:val="0"/>
      <w:marRight w:val="0"/>
      <w:marTop w:val="0"/>
      <w:marBottom w:val="0"/>
      <w:divBdr>
        <w:top w:val="none" w:sz="0" w:space="0" w:color="auto"/>
        <w:left w:val="none" w:sz="0" w:space="0" w:color="auto"/>
        <w:bottom w:val="none" w:sz="0" w:space="0" w:color="auto"/>
        <w:right w:val="none" w:sz="0" w:space="0" w:color="auto"/>
      </w:divBdr>
    </w:div>
    <w:div w:id="1740864306">
      <w:bodyDiv w:val="1"/>
      <w:marLeft w:val="0"/>
      <w:marRight w:val="0"/>
      <w:marTop w:val="0"/>
      <w:marBottom w:val="0"/>
      <w:divBdr>
        <w:top w:val="none" w:sz="0" w:space="0" w:color="auto"/>
        <w:left w:val="none" w:sz="0" w:space="0" w:color="auto"/>
        <w:bottom w:val="none" w:sz="0" w:space="0" w:color="auto"/>
        <w:right w:val="none" w:sz="0" w:space="0" w:color="auto"/>
      </w:divBdr>
    </w:div>
    <w:div w:id="1743679151">
      <w:bodyDiv w:val="1"/>
      <w:marLeft w:val="0"/>
      <w:marRight w:val="0"/>
      <w:marTop w:val="0"/>
      <w:marBottom w:val="0"/>
      <w:divBdr>
        <w:top w:val="none" w:sz="0" w:space="0" w:color="auto"/>
        <w:left w:val="none" w:sz="0" w:space="0" w:color="auto"/>
        <w:bottom w:val="none" w:sz="0" w:space="0" w:color="auto"/>
        <w:right w:val="none" w:sz="0" w:space="0" w:color="auto"/>
      </w:divBdr>
    </w:div>
    <w:div w:id="1766727789">
      <w:bodyDiv w:val="1"/>
      <w:marLeft w:val="0"/>
      <w:marRight w:val="0"/>
      <w:marTop w:val="0"/>
      <w:marBottom w:val="0"/>
      <w:divBdr>
        <w:top w:val="none" w:sz="0" w:space="0" w:color="auto"/>
        <w:left w:val="none" w:sz="0" w:space="0" w:color="auto"/>
        <w:bottom w:val="none" w:sz="0" w:space="0" w:color="auto"/>
        <w:right w:val="none" w:sz="0" w:space="0" w:color="auto"/>
      </w:divBdr>
    </w:div>
    <w:div w:id="1767143499">
      <w:bodyDiv w:val="1"/>
      <w:marLeft w:val="0"/>
      <w:marRight w:val="0"/>
      <w:marTop w:val="0"/>
      <w:marBottom w:val="0"/>
      <w:divBdr>
        <w:top w:val="none" w:sz="0" w:space="0" w:color="auto"/>
        <w:left w:val="none" w:sz="0" w:space="0" w:color="auto"/>
        <w:bottom w:val="none" w:sz="0" w:space="0" w:color="auto"/>
        <w:right w:val="none" w:sz="0" w:space="0" w:color="auto"/>
      </w:divBdr>
    </w:div>
    <w:div w:id="1775007041">
      <w:bodyDiv w:val="1"/>
      <w:marLeft w:val="0"/>
      <w:marRight w:val="0"/>
      <w:marTop w:val="0"/>
      <w:marBottom w:val="0"/>
      <w:divBdr>
        <w:top w:val="none" w:sz="0" w:space="0" w:color="auto"/>
        <w:left w:val="none" w:sz="0" w:space="0" w:color="auto"/>
        <w:bottom w:val="none" w:sz="0" w:space="0" w:color="auto"/>
        <w:right w:val="none" w:sz="0" w:space="0" w:color="auto"/>
      </w:divBdr>
    </w:div>
    <w:div w:id="1775511481">
      <w:bodyDiv w:val="1"/>
      <w:marLeft w:val="0"/>
      <w:marRight w:val="0"/>
      <w:marTop w:val="0"/>
      <w:marBottom w:val="0"/>
      <w:divBdr>
        <w:top w:val="none" w:sz="0" w:space="0" w:color="auto"/>
        <w:left w:val="none" w:sz="0" w:space="0" w:color="auto"/>
        <w:bottom w:val="none" w:sz="0" w:space="0" w:color="auto"/>
        <w:right w:val="none" w:sz="0" w:space="0" w:color="auto"/>
      </w:divBdr>
    </w:div>
    <w:div w:id="1778330415">
      <w:bodyDiv w:val="1"/>
      <w:marLeft w:val="0"/>
      <w:marRight w:val="0"/>
      <w:marTop w:val="0"/>
      <w:marBottom w:val="0"/>
      <w:divBdr>
        <w:top w:val="none" w:sz="0" w:space="0" w:color="auto"/>
        <w:left w:val="none" w:sz="0" w:space="0" w:color="auto"/>
        <w:bottom w:val="none" w:sz="0" w:space="0" w:color="auto"/>
        <w:right w:val="none" w:sz="0" w:space="0" w:color="auto"/>
      </w:divBdr>
    </w:div>
    <w:div w:id="1784419874">
      <w:bodyDiv w:val="1"/>
      <w:marLeft w:val="0"/>
      <w:marRight w:val="0"/>
      <w:marTop w:val="0"/>
      <w:marBottom w:val="0"/>
      <w:divBdr>
        <w:top w:val="none" w:sz="0" w:space="0" w:color="auto"/>
        <w:left w:val="none" w:sz="0" w:space="0" w:color="auto"/>
        <w:bottom w:val="none" w:sz="0" w:space="0" w:color="auto"/>
        <w:right w:val="none" w:sz="0" w:space="0" w:color="auto"/>
      </w:divBdr>
    </w:div>
    <w:div w:id="1786928403">
      <w:bodyDiv w:val="1"/>
      <w:marLeft w:val="0"/>
      <w:marRight w:val="0"/>
      <w:marTop w:val="0"/>
      <w:marBottom w:val="0"/>
      <w:divBdr>
        <w:top w:val="none" w:sz="0" w:space="0" w:color="auto"/>
        <w:left w:val="none" w:sz="0" w:space="0" w:color="auto"/>
        <w:bottom w:val="none" w:sz="0" w:space="0" w:color="auto"/>
        <w:right w:val="none" w:sz="0" w:space="0" w:color="auto"/>
      </w:divBdr>
    </w:div>
    <w:div w:id="1803039134">
      <w:bodyDiv w:val="1"/>
      <w:marLeft w:val="0"/>
      <w:marRight w:val="0"/>
      <w:marTop w:val="0"/>
      <w:marBottom w:val="0"/>
      <w:divBdr>
        <w:top w:val="none" w:sz="0" w:space="0" w:color="auto"/>
        <w:left w:val="none" w:sz="0" w:space="0" w:color="auto"/>
        <w:bottom w:val="none" w:sz="0" w:space="0" w:color="auto"/>
        <w:right w:val="none" w:sz="0" w:space="0" w:color="auto"/>
      </w:divBdr>
    </w:div>
    <w:div w:id="1806042327">
      <w:bodyDiv w:val="1"/>
      <w:marLeft w:val="0"/>
      <w:marRight w:val="0"/>
      <w:marTop w:val="0"/>
      <w:marBottom w:val="0"/>
      <w:divBdr>
        <w:top w:val="none" w:sz="0" w:space="0" w:color="auto"/>
        <w:left w:val="none" w:sz="0" w:space="0" w:color="auto"/>
        <w:bottom w:val="none" w:sz="0" w:space="0" w:color="auto"/>
        <w:right w:val="none" w:sz="0" w:space="0" w:color="auto"/>
      </w:divBdr>
    </w:div>
    <w:div w:id="1815025763">
      <w:bodyDiv w:val="1"/>
      <w:marLeft w:val="0"/>
      <w:marRight w:val="0"/>
      <w:marTop w:val="0"/>
      <w:marBottom w:val="0"/>
      <w:divBdr>
        <w:top w:val="none" w:sz="0" w:space="0" w:color="auto"/>
        <w:left w:val="none" w:sz="0" w:space="0" w:color="auto"/>
        <w:bottom w:val="none" w:sz="0" w:space="0" w:color="auto"/>
        <w:right w:val="none" w:sz="0" w:space="0" w:color="auto"/>
      </w:divBdr>
    </w:div>
    <w:div w:id="1833330329">
      <w:bodyDiv w:val="1"/>
      <w:marLeft w:val="0"/>
      <w:marRight w:val="0"/>
      <w:marTop w:val="0"/>
      <w:marBottom w:val="0"/>
      <w:divBdr>
        <w:top w:val="none" w:sz="0" w:space="0" w:color="auto"/>
        <w:left w:val="none" w:sz="0" w:space="0" w:color="auto"/>
        <w:bottom w:val="none" w:sz="0" w:space="0" w:color="auto"/>
        <w:right w:val="none" w:sz="0" w:space="0" w:color="auto"/>
      </w:divBdr>
    </w:div>
    <w:div w:id="1879780418">
      <w:bodyDiv w:val="1"/>
      <w:marLeft w:val="0"/>
      <w:marRight w:val="0"/>
      <w:marTop w:val="0"/>
      <w:marBottom w:val="0"/>
      <w:divBdr>
        <w:top w:val="none" w:sz="0" w:space="0" w:color="auto"/>
        <w:left w:val="none" w:sz="0" w:space="0" w:color="auto"/>
        <w:bottom w:val="none" w:sz="0" w:space="0" w:color="auto"/>
        <w:right w:val="none" w:sz="0" w:space="0" w:color="auto"/>
      </w:divBdr>
    </w:div>
    <w:div w:id="1884436895">
      <w:bodyDiv w:val="1"/>
      <w:marLeft w:val="0"/>
      <w:marRight w:val="0"/>
      <w:marTop w:val="0"/>
      <w:marBottom w:val="0"/>
      <w:divBdr>
        <w:top w:val="none" w:sz="0" w:space="0" w:color="auto"/>
        <w:left w:val="none" w:sz="0" w:space="0" w:color="auto"/>
        <w:bottom w:val="none" w:sz="0" w:space="0" w:color="auto"/>
        <w:right w:val="none" w:sz="0" w:space="0" w:color="auto"/>
      </w:divBdr>
    </w:div>
    <w:div w:id="1912999572">
      <w:bodyDiv w:val="1"/>
      <w:marLeft w:val="0"/>
      <w:marRight w:val="0"/>
      <w:marTop w:val="0"/>
      <w:marBottom w:val="0"/>
      <w:divBdr>
        <w:top w:val="none" w:sz="0" w:space="0" w:color="auto"/>
        <w:left w:val="none" w:sz="0" w:space="0" w:color="auto"/>
        <w:bottom w:val="none" w:sz="0" w:space="0" w:color="auto"/>
        <w:right w:val="none" w:sz="0" w:space="0" w:color="auto"/>
      </w:divBdr>
    </w:div>
    <w:div w:id="1921212280">
      <w:bodyDiv w:val="1"/>
      <w:marLeft w:val="0"/>
      <w:marRight w:val="0"/>
      <w:marTop w:val="0"/>
      <w:marBottom w:val="0"/>
      <w:divBdr>
        <w:top w:val="none" w:sz="0" w:space="0" w:color="auto"/>
        <w:left w:val="none" w:sz="0" w:space="0" w:color="auto"/>
        <w:bottom w:val="none" w:sz="0" w:space="0" w:color="auto"/>
        <w:right w:val="none" w:sz="0" w:space="0" w:color="auto"/>
      </w:divBdr>
    </w:div>
    <w:div w:id="1943300590">
      <w:bodyDiv w:val="1"/>
      <w:marLeft w:val="0"/>
      <w:marRight w:val="0"/>
      <w:marTop w:val="0"/>
      <w:marBottom w:val="0"/>
      <w:divBdr>
        <w:top w:val="none" w:sz="0" w:space="0" w:color="auto"/>
        <w:left w:val="none" w:sz="0" w:space="0" w:color="auto"/>
        <w:bottom w:val="none" w:sz="0" w:space="0" w:color="auto"/>
        <w:right w:val="none" w:sz="0" w:space="0" w:color="auto"/>
      </w:divBdr>
      <w:divsChild>
        <w:div w:id="443891983">
          <w:marLeft w:val="0"/>
          <w:marRight w:val="0"/>
          <w:marTop w:val="0"/>
          <w:marBottom w:val="0"/>
          <w:divBdr>
            <w:top w:val="none" w:sz="0" w:space="0" w:color="auto"/>
            <w:left w:val="none" w:sz="0" w:space="0" w:color="auto"/>
            <w:bottom w:val="none" w:sz="0" w:space="0" w:color="auto"/>
            <w:right w:val="none" w:sz="0" w:space="0" w:color="auto"/>
          </w:divBdr>
        </w:div>
      </w:divsChild>
    </w:div>
    <w:div w:id="1967275089">
      <w:bodyDiv w:val="1"/>
      <w:marLeft w:val="0"/>
      <w:marRight w:val="0"/>
      <w:marTop w:val="0"/>
      <w:marBottom w:val="0"/>
      <w:divBdr>
        <w:top w:val="none" w:sz="0" w:space="0" w:color="auto"/>
        <w:left w:val="none" w:sz="0" w:space="0" w:color="auto"/>
        <w:bottom w:val="none" w:sz="0" w:space="0" w:color="auto"/>
        <w:right w:val="none" w:sz="0" w:space="0" w:color="auto"/>
      </w:divBdr>
    </w:div>
    <w:div w:id="1979065493">
      <w:bodyDiv w:val="1"/>
      <w:marLeft w:val="0"/>
      <w:marRight w:val="0"/>
      <w:marTop w:val="0"/>
      <w:marBottom w:val="0"/>
      <w:divBdr>
        <w:top w:val="none" w:sz="0" w:space="0" w:color="auto"/>
        <w:left w:val="none" w:sz="0" w:space="0" w:color="auto"/>
        <w:bottom w:val="none" w:sz="0" w:space="0" w:color="auto"/>
        <w:right w:val="none" w:sz="0" w:space="0" w:color="auto"/>
      </w:divBdr>
    </w:div>
    <w:div w:id="1989939017">
      <w:bodyDiv w:val="1"/>
      <w:marLeft w:val="0"/>
      <w:marRight w:val="0"/>
      <w:marTop w:val="0"/>
      <w:marBottom w:val="0"/>
      <w:divBdr>
        <w:top w:val="none" w:sz="0" w:space="0" w:color="auto"/>
        <w:left w:val="none" w:sz="0" w:space="0" w:color="auto"/>
        <w:bottom w:val="none" w:sz="0" w:space="0" w:color="auto"/>
        <w:right w:val="none" w:sz="0" w:space="0" w:color="auto"/>
      </w:divBdr>
    </w:div>
    <w:div w:id="2015641947">
      <w:bodyDiv w:val="1"/>
      <w:marLeft w:val="0"/>
      <w:marRight w:val="0"/>
      <w:marTop w:val="0"/>
      <w:marBottom w:val="0"/>
      <w:divBdr>
        <w:top w:val="none" w:sz="0" w:space="0" w:color="auto"/>
        <w:left w:val="none" w:sz="0" w:space="0" w:color="auto"/>
        <w:bottom w:val="none" w:sz="0" w:space="0" w:color="auto"/>
        <w:right w:val="none" w:sz="0" w:space="0" w:color="auto"/>
      </w:divBdr>
    </w:div>
    <w:div w:id="2027250937">
      <w:bodyDiv w:val="1"/>
      <w:marLeft w:val="0"/>
      <w:marRight w:val="0"/>
      <w:marTop w:val="0"/>
      <w:marBottom w:val="0"/>
      <w:divBdr>
        <w:top w:val="none" w:sz="0" w:space="0" w:color="auto"/>
        <w:left w:val="none" w:sz="0" w:space="0" w:color="auto"/>
        <w:bottom w:val="none" w:sz="0" w:space="0" w:color="auto"/>
        <w:right w:val="none" w:sz="0" w:space="0" w:color="auto"/>
      </w:divBdr>
    </w:div>
    <w:div w:id="2032300680">
      <w:bodyDiv w:val="1"/>
      <w:marLeft w:val="0"/>
      <w:marRight w:val="0"/>
      <w:marTop w:val="0"/>
      <w:marBottom w:val="0"/>
      <w:divBdr>
        <w:top w:val="none" w:sz="0" w:space="0" w:color="auto"/>
        <w:left w:val="none" w:sz="0" w:space="0" w:color="auto"/>
        <w:bottom w:val="none" w:sz="0" w:space="0" w:color="auto"/>
        <w:right w:val="none" w:sz="0" w:space="0" w:color="auto"/>
      </w:divBdr>
    </w:div>
    <w:div w:id="2039156142">
      <w:bodyDiv w:val="1"/>
      <w:marLeft w:val="0"/>
      <w:marRight w:val="0"/>
      <w:marTop w:val="0"/>
      <w:marBottom w:val="0"/>
      <w:divBdr>
        <w:top w:val="none" w:sz="0" w:space="0" w:color="auto"/>
        <w:left w:val="none" w:sz="0" w:space="0" w:color="auto"/>
        <w:bottom w:val="none" w:sz="0" w:space="0" w:color="auto"/>
        <w:right w:val="none" w:sz="0" w:space="0" w:color="auto"/>
      </w:divBdr>
    </w:div>
    <w:div w:id="2040541912">
      <w:bodyDiv w:val="1"/>
      <w:marLeft w:val="0"/>
      <w:marRight w:val="0"/>
      <w:marTop w:val="0"/>
      <w:marBottom w:val="0"/>
      <w:divBdr>
        <w:top w:val="none" w:sz="0" w:space="0" w:color="auto"/>
        <w:left w:val="none" w:sz="0" w:space="0" w:color="auto"/>
        <w:bottom w:val="none" w:sz="0" w:space="0" w:color="auto"/>
        <w:right w:val="none" w:sz="0" w:space="0" w:color="auto"/>
      </w:divBdr>
    </w:div>
    <w:div w:id="2040888578">
      <w:bodyDiv w:val="1"/>
      <w:marLeft w:val="0"/>
      <w:marRight w:val="0"/>
      <w:marTop w:val="0"/>
      <w:marBottom w:val="0"/>
      <w:divBdr>
        <w:top w:val="none" w:sz="0" w:space="0" w:color="auto"/>
        <w:left w:val="none" w:sz="0" w:space="0" w:color="auto"/>
        <w:bottom w:val="none" w:sz="0" w:space="0" w:color="auto"/>
        <w:right w:val="none" w:sz="0" w:space="0" w:color="auto"/>
      </w:divBdr>
    </w:div>
    <w:div w:id="2052414331">
      <w:bodyDiv w:val="1"/>
      <w:marLeft w:val="0"/>
      <w:marRight w:val="0"/>
      <w:marTop w:val="0"/>
      <w:marBottom w:val="0"/>
      <w:divBdr>
        <w:top w:val="none" w:sz="0" w:space="0" w:color="auto"/>
        <w:left w:val="none" w:sz="0" w:space="0" w:color="auto"/>
        <w:bottom w:val="none" w:sz="0" w:space="0" w:color="auto"/>
        <w:right w:val="none" w:sz="0" w:space="0" w:color="auto"/>
      </w:divBdr>
    </w:div>
    <w:div w:id="2053454318">
      <w:bodyDiv w:val="1"/>
      <w:marLeft w:val="0"/>
      <w:marRight w:val="0"/>
      <w:marTop w:val="0"/>
      <w:marBottom w:val="0"/>
      <w:divBdr>
        <w:top w:val="none" w:sz="0" w:space="0" w:color="auto"/>
        <w:left w:val="none" w:sz="0" w:space="0" w:color="auto"/>
        <w:bottom w:val="none" w:sz="0" w:space="0" w:color="auto"/>
        <w:right w:val="none" w:sz="0" w:space="0" w:color="auto"/>
      </w:divBdr>
    </w:div>
    <w:div w:id="2077048614">
      <w:bodyDiv w:val="1"/>
      <w:marLeft w:val="0"/>
      <w:marRight w:val="0"/>
      <w:marTop w:val="0"/>
      <w:marBottom w:val="0"/>
      <w:divBdr>
        <w:top w:val="none" w:sz="0" w:space="0" w:color="auto"/>
        <w:left w:val="none" w:sz="0" w:space="0" w:color="auto"/>
        <w:bottom w:val="none" w:sz="0" w:space="0" w:color="auto"/>
        <w:right w:val="none" w:sz="0" w:space="0" w:color="auto"/>
      </w:divBdr>
    </w:div>
    <w:div w:id="2077121554">
      <w:bodyDiv w:val="1"/>
      <w:marLeft w:val="0"/>
      <w:marRight w:val="0"/>
      <w:marTop w:val="0"/>
      <w:marBottom w:val="0"/>
      <w:divBdr>
        <w:top w:val="none" w:sz="0" w:space="0" w:color="auto"/>
        <w:left w:val="none" w:sz="0" w:space="0" w:color="auto"/>
        <w:bottom w:val="none" w:sz="0" w:space="0" w:color="auto"/>
        <w:right w:val="none" w:sz="0" w:space="0" w:color="auto"/>
      </w:divBdr>
    </w:div>
    <w:div w:id="2087147992">
      <w:bodyDiv w:val="1"/>
      <w:marLeft w:val="0"/>
      <w:marRight w:val="0"/>
      <w:marTop w:val="0"/>
      <w:marBottom w:val="0"/>
      <w:divBdr>
        <w:top w:val="none" w:sz="0" w:space="0" w:color="auto"/>
        <w:left w:val="none" w:sz="0" w:space="0" w:color="auto"/>
        <w:bottom w:val="none" w:sz="0" w:space="0" w:color="auto"/>
        <w:right w:val="none" w:sz="0" w:space="0" w:color="auto"/>
      </w:divBdr>
    </w:div>
    <w:div w:id="2123070555">
      <w:bodyDiv w:val="1"/>
      <w:marLeft w:val="0"/>
      <w:marRight w:val="0"/>
      <w:marTop w:val="0"/>
      <w:marBottom w:val="0"/>
      <w:divBdr>
        <w:top w:val="none" w:sz="0" w:space="0" w:color="auto"/>
        <w:left w:val="none" w:sz="0" w:space="0" w:color="auto"/>
        <w:bottom w:val="none" w:sz="0" w:space="0" w:color="auto"/>
        <w:right w:val="none" w:sz="0" w:space="0" w:color="auto"/>
      </w:divBdr>
    </w:div>
    <w:div w:id="2132479174">
      <w:bodyDiv w:val="1"/>
      <w:marLeft w:val="0"/>
      <w:marRight w:val="0"/>
      <w:marTop w:val="0"/>
      <w:marBottom w:val="0"/>
      <w:divBdr>
        <w:top w:val="none" w:sz="0" w:space="0" w:color="auto"/>
        <w:left w:val="none" w:sz="0" w:space="0" w:color="auto"/>
        <w:bottom w:val="none" w:sz="0" w:space="0" w:color="auto"/>
        <w:right w:val="none" w:sz="0" w:space="0" w:color="auto"/>
      </w:divBdr>
    </w:div>
    <w:div w:id="2134135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jpg"/><Relationship Id="rId47" Type="http://schemas.openxmlformats.org/officeDocument/2006/relationships/image" Target="media/image30.jp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3.png"/><Relationship Id="rId29" Type="http://schemas.openxmlformats.org/officeDocument/2006/relationships/image" Target="media/image12.jpeg"/><Relationship Id="rId41" Type="http://schemas.openxmlformats.org/officeDocument/2006/relationships/image" Target="media/image24.jpg"/><Relationship Id="rId54" Type="http://schemas.openxmlformats.org/officeDocument/2006/relationships/image" Target="media/image37.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jp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4.jpg"/><Relationship Id="rId10" Type="http://schemas.openxmlformats.org/officeDocument/2006/relationships/header" Target="head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jpg"/><Relationship Id="rId52" Type="http://schemas.openxmlformats.org/officeDocument/2006/relationships/image" Target="media/image35.png"/><Relationship Id="rId60" Type="http://schemas.openxmlformats.org/officeDocument/2006/relationships/image" Target="media/image43.jpg"/><Relationship Id="rId65"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g"/><Relationship Id="rId48" Type="http://schemas.openxmlformats.org/officeDocument/2006/relationships/image" Target="media/image31.png"/><Relationship Id="rId56"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jpeg"/><Relationship Id="rId59" Type="http://schemas.openxmlformats.org/officeDocument/2006/relationships/image" Target="media/image42.jpg"/></Relationships>
</file>

<file path=word/_rels/footnotes.xml.rels><?xml version="1.0" encoding="UTF-8" standalone="yes"?>
<Relationships xmlns="http://schemas.openxmlformats.org/package/2006/relationships"><Relationship Id="rId2" Type="http://schemas.openxmlformats.org/officeDocument/2006/relationships/hyperlink" Target="http://www.apko.cz/aplikace/index.html" TargetMode="External"/><Relationship Id="rId1" Type="http://schemas.openxmlformats.org/officeDocument/2006/relationships/hyperlink" Target="http://marushkapub.liberec.c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F579B0-A2AF-48FC-8D6C-C9ED40C42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1194</TotalTime>
  <Pages>377</Pages>
  <Words>159551</Words>
  <Characters>941355</Characters>
  <Application>Microsoft Office Word</Application>
  <DocSecurity>0</DocSecurity>
  <Lines>7844</Lines>
  <Paragraphs>2197</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NÁVRH ÚZEMNÍHO PLÁNU</vt:lpstr>
      <vt:lpstr>NÁVRH ÚZEMNÍHO PLÁNU</vt:lpstr>
    </vt:vector>
  </TitlesOfParts>
  <Company>DHV</Company>
  <LinksUpToDate>false</LinksUpToDate>
  <CharactersWithSpaces>1098709</CharactersWithSpaces>
  <SharedDoc>false</SharedDoc>
  <HLinks>
    <vt:vector size="348" baseType="variant">
      <vt:variant>
        <vt:i4>1966129</vt:i4>
      </vt:variant>
      <vt:variant>
        <vt:i4>338</vt:i4>
      </vt:variant>
      <vt:variant>
        <vt:i4>0</vt:i4>
      </vt:variant>
      <vt:variant>
        <vt:i4>5</vt:i4>
      </vt:variant>
      <vt:variant>
        <vt:lpwstr/>
      </vt:variant>
      <vt:variant>
        <vt:lpwstr>_Toc375225590</vt:lpwstr>
      </vt:variant>
      <vt:variant>
        <vt:i4>2031665</vt:i4>
      </vt:variant>
      <vt:variant>
        <vt:i4>332</vt:i4>
      </vt:variant>
      <vt:variant>
        <vt:i4>0</vt:i4>
      </vt:variant>
      <vt:variant>
        <vt:i4>5</vt:i4>
      </vt:variant>
      <vt:variant>
        <vt:lpwstr/>
      </vt:variant>
      <vt:variant>
        <vt:lpwstr>_Toc375225589</vt:lpwstr>
      </vt:variant>
      <vt:variant>
        <vt:i4>2031665</vt:i4>
      </vt:variant>
      <vt:variant>
        <vt:i4>326</vt:i4>
      </vt:variant>
      <vt:variant>
        <vt:i4>0</vt:i4>
      </vt:variant>
      <vt:variant>
        <vt:i4>5</vt:i4>
      </vt:variant>
      <vt:variant>
        <vt:lpwstr/>
      </vt:variant>
      <vt:variant>
        <vt:lpwstr>_Toc375225588</vt:lpwstr>
      </vt:variant>
      <vt:variant>
        <vt:i4>2031665</vt:i4>
      </vt:variant>
      <vt:variant>
        <vt:i4>320</vt:i4>
      </vt:variant>
      <vt:variant>
        <vt:i4>0</vt:i4>
      </vt:variant>
      <vt:variant>
        <vt:i4>5</vt:i4>
      </vt:variant>
      <vt:variant>
        <vt:lpwstr/>
      </vt:variant>
      <vt:variant>
        <vt:lpwstr>_Toc375225587</vt:lpwstr>
      </vt:variant>
      <vt:variant>
        <vt:i4>2031665</vt:i4>
      </vt:variant>
      <vt:variant>
        <vt:i4>314</vt:i4>
      </vt:variant>
      <vt:variant>
        <vt:i4>0</vt:i4>
      </vt:variant>
      <vt:variant>
        <vt:i4>5</vt:i4>
      </vt:variant>
      <vt:variant>
        <vt:lpwstr/>
      </vt:variant>
      <vt:variant>
        <vt:lpwstr>_Toc375225586</vt:lpwstr>
      </vt:variant>
      <vt:variant>
        <vt:i4>2031665</vt:i4>
      </vt:variant>
      <vt:variant>
        <vt:i4>308</vt:i4>
      </vt:variant>
      <vt:variant>
        <vt:i4>0</vt:i4>
      </vt:variant>
      <vt:variant>
        <vt:i4>5</vt:i4>
      </vt:variant>
      <vt:variant>
        <vt:lpwstr/>
      </vt:variant>
      <vt:variant>
        <vt:lpwstr>_Toc375225585</vt:lpwstr>
      </vt:variant>
      <vt:variant>
        <vt:i4>2031665</vt:i4>
      </vt:variant>
      <vt:variant>
        <vt:i4>302</vt:i4>
      </vt:variant>
      <vt:variant>
        <vt:i4>0</vt:i4>
      </vt:variant>
      <vt:variant>
        <vt:i4>5</vt:i4>
      </vt:variant>
      <vt:variant>
        <vt:lpwstr/>
      </vt:variant>
      <vt:variant>
        <vt:lpwstr>_Toc375225584</vt:lpwstr>
      </vt:variant>
      <vt:variant>
        <vt:i4>2031665</vt:i4>
      </vt:variant>
      <vt:variant>
        <vt:i4>296</vt:i4>
      </vt:variant>
      <vt:variant>
        <vt:i4>0</vt:i4>
      </vt:variant>
      <vt:variant>
        <vt:i4>5</vt:i4>
      </vt:variant>
      <vt:variant>
        <vt:lpwstr/>
      </vt:variant>
      <vt:variant>
        <vt:lpwstr>_Toc375225583</vt:lpwstr>
      </vt:variant>
      <vt:variant>
        <vt:i4>2031665</vt:i4>
      </vt:variant>
      <vt:variant>
        <vt:i4>290</vt:i4>
      </vt:variant>
      <vt:variant>
        <vt:i4>0</vt:i4>
      </vt:variant>
      <vt:variant>
        <vt:i4>5</vt:i4>
      </vt:variant>
      <vt:variant>
        <vt:lpwstr/>
      </vt:variant>
      <vt:variant>
        <vt:lpwstr>_Toc375225582</vt:lpwstr>
      </vt:variant>
      <vt:variant>
        <vt:i4>2031665</vt:i4>
      </vt:variant>
      <vt:variant>
        <vt:i4>284</vt:i4>
      </vt:variant>
      <vt:variant>
        <vt:i4>0</vt:i4>
      </vt:variant>
      <vt:variant>
        <vt:i4>5</vt:i4>
      </vt:variant>
      <vt:variant>
        <vt:lpwstr/>
      </vt:variant>
      <vt:variant>
        <vt:lpwstr>_Toc375225581</vt:lpwstr>
      </vt:variant>
      <vt:variant>
        <vt:i4>2031665</vt:i4>
      </vt:variant>
      <vt:variant>
        <vt:i4>278</vt:i4>
      </vt:variant>
      <vt:variant>
        <vt:i4>0</vt:i4>
      </vt:variant>
      <vt:variant>
        <vt:i4>5</vt:i4>
      </vt:variant>
      <vt:variant>
        <vt:lpwstr/>
      </vt:variant>
      <vt:variant>
        <vt:lpwstr>_Toc375225580</vt:lpwstr>
      </vt:variant>
      <vt:variant>
        <vt:i4>1048625</vt:i4>
      </vt:variant>
      <vt:variant>
        <vt:i4>272</vt:i4>
      </vt:variant>
      <vt:variant>
        <vt:i4>0</vt:i4>
      </vt:variant>
      <vt:variant>
        <vt:i4>5</vt:i4>
      </vt:variant>
      <vt:variant>
        <vt:lpwstr/>
      </vt:variant>
      <vt:variant>
        <vt:lpwstr>_Toc375225579</vt:lpwstr>
      </vt:variant>
      <vt:variant>
        <vt:i4>1048625</vt:i4>
      </vt:variant>
      <vt:variant>
        <vt:i4>266</vt:i4>
      </vt:variant>
      <vt:variant>
        <vt:i4>0</vt:i4>
      </vt:variant>
      <vt:variant>
        <vt:i4>5</vt:i4>
      </vt:variant>
      <vt:variant>
        <vt:lpwstr/>
      </vt:variant>
      <vt:variant>
        <vt:lpwstr>_Toc375225578</vt:lpwstr>
      </vt:variant>
      <vt:variant>
        <vt:i4>1048625</vt:i4>
      </vt:variant>
      <vt:variant>
        <vt:i4>260</vt:i4>
      </vt:variant>
      <vt:variant>
        <vt:i4>0</vt:i4>
      </vt:variant>
      <vt:variant>
        <vt:i4>5</vt:i4>
      </vt:variant>
      <vt:variant>
        <vt:lpwstr/>
      </vt:variant>
      <vt:variant>
        <vt:lpwstr>_Toc375225577</vt:lpwstr>
      </vt:variant>
      <vt:variant>
        <vt:i4>1048625</vt:i4>
      </vt:variant>
      <vt:variant>
        <vt:i4>254</vt:i4>
      </vt:variant>
      <vt:variant>
        <vt:i4>0</vt:i4>
      </vt:variant>
      <vt:variant>
        <vt:i4>5</vt:i4>
      </vt:variant>
      <vt:variant>
        <vt:lpwstr/>
      </vt:variant>
      <vt:variant>
        <vt:lpwstr>_Toc375225576</vt:lpwstr>
      </vt:variant>
      <vt:variant>
        <vt:i4>1048625</vt:i4>
      </vt:variant>
      <vt:variant>
        <vt:i4>248</vt:i4>
      </vt:variant>
      <vt:variant>
        <vt:i4>0</vt:i4>
      </vt:variant>
      <vt:variant>
        <vt:i4>5</vt:i4>
      </vt:variant>
      <vt:variant>
        <vt:lpwstr/>
      </vt:variant>
      <vt:variant>
        <vt:lpwstr>_Toc375225575</vt:lpwstr>
      </vt:variant>
      <vt:variant>
        <vt:i4>1048625</vt:i4>
      </vt:variant>
      <vt:variant>
        <vt:i4>242</vt:i4>
      </vt:variant>
      <vt:variant>
        <vt:i4>0</vt:i4>
      </vt:variant>
      <vt:variant>
        <vt:i4>5</vt:i4>
      </vt:variant>
      <vt:variant>
        <vt:lpwstr/>
      </vt:variant>
      <vt:variant>
        <vt:lpwstr>_Toc375225574</vt:lpwstr>
      </vt:variant>
      <vt:variant>
        <vt:i4>1048625</vt:i4>
      </vt:variant>
      <vt:variant>
        <vt:i4>236</vt:i4>
      </vt:variant>
      <vt:variant>
        <vt:i4>0</vt:i4>
      </vt:variant>
      <vt:variant>
        <vt:i4>5</vt:i4>
      </vt:variant>
      <vt:variant>
        <vt:lpwstr/>
      </vt:variant>
      <vt:variant>
        <vt:lpwstr>_Toc375225573</vt:lpwstr>
      </vt:variant>
      <vt:variant>
        <vt:i4>1048625</vt:i4>
      </vt:variant>
      <vt:variant>
        <vt:i4>230</vt:i4>
      </vt:variant>
      <vt:variant>
        <vt:i4>0</vt:i4>
      </vt:variant>
      <vt:variant>
        <vt:i4>5</vt:i4>
      </vt:variant>
      <vt:variant>
        <vt:lpwstr/>
      </vt:variant>
      <vt:variant>
        <vt:lpwstr>_Toc375225572</vt:lpwstr>
      </vt:variant>
      <vt:variant>
        <vt:i4>1048625</vt:i4>
      </vt:variant>
      <vt:variant>
        <vt:i4>224</vt:i4>
      </vt:variant>
      <vt:variant>
        <vt:i4>0</vt:i4>
      </vt:variant>
      <vt:variant>
        <vt:i4>5</vt:i4>
      </vt:variant>
      <vt:variant>
        <vt:lpwstr/>
      </vt:variant>
      <vt:variant>
        <vt:lpwstr>_Toc375225571</vt:lpwstr>
      </vt:variant>
      <vt:variant>
        <vt:i4>1048625</vt:i4>
      </vt:variant>
      <vt:variant>
        <vt:i4>218</vt:i4>
      </vt:variant>
      <vt:variant>
        <vt:i4>0</vt:i4>
      </vt:variant>
      <vt:variant>
        <vt:i4>5</vt:i4>
      </vt:variant>
      <vt:variant>
        <vt:lpwstr/>
      </vt:variant>
      <vt:variant>
        <vt:lpwstr>_Toc375225570</vt:lpwstr>
      </vt:variant>
      <vt:variant>
        <vt:i4>1114161</vt:i4>
      </vt:variant>
      <vt:variant>
        <vt:i4>212</vt:i4>
      </vt:variant>
      <vt:variant>
        <vt:i4>0</vt:i4>
      </vt:variant>
      <vt:variant>
        <vt:i4>5</vt:i4>
      </vt:variant>
      <vt:variant>
        <vt:lpwstr/>
      </vt:variant>
      <vt:variant>
        <vt:lpwstr>_Toc375225569</vt:lpwstr>
      </vt:variant>
      <vt:variant>
        <vt:i4>1114161</vt:i4>
      </vt:variant>
      <vt:variant>
        <vt:i4>206</vt:i4>
      </vt:variant>
      <vt:variant>
        <vt:i4>0</vt:i4>
      </vt:variant>
      <vt:variant>
        <vt:i4>5</vt:i4>
      </vt:variant>
      <vt:variant>
        <vt:lpwstr/>
      </vt:variant>
      <vt:variant>
        <vt:lpwstr>_Toc375225568</vt:lpwstr>
      </vt:variant>
      <vt:variant>
        <vt:i4>1114161</vt:i4>
      </vt:variant>
      <vt:variant>
        <vt:i4>200</vt:i4>
      </vt:variant>
      <vt:variant>
        <vt:i4>0</vt:i4>
      </vt:variant>
      <vt:variant>
        <vt:i4>5</vt:i4>
      </vt:variant>
      <vt:variant>
        <vt:lpwstr/>
      </vt:variant>
      <vt:variant>
        <vt:lpwstr>_Toc375225567</vt:lpwstr>
      </vt:variant>
      <vt:variant>
        <vt:i4>1114161</vt:i4>
      </vt:variant>
      <vt:variant>
        <vt:i4>194</vt:i4>
      </vt:variant>
      <vt:variant>
        <vt:i4>0</vt:i4>
      </vt:variant>
      <vt:variant>
        <vt:i4>5</vt:i4>
      </vt:variant>
      <vt:variant>
        <vt:lpwstr/>
      </vt:variant>
      <vt:variant>
        <vt:lpwstr>_Toc375225566</vt:lpwstr>
      </vt:variant>
      <vt:variant>
        <vt:i4>1114161</vt:i4>
      </vt:variant>
      <vt:variant>
        <vt:i4>188</vt:i4>
      </vt:variant>
      <vt:variant>
        <vt:i4>0</vt:i4>
      </vt:variant>
      <vt:variant>
        <vt:i4>5</vt:i4>
      </vt:variant>
      <vt:variant>
        <vt:lpwstr/>
      </vt:variant>
      <vt:variant>
        <vt:lpwstr>_Toc375225565</vt:lpwstr>
      </vt:variant>
      <vt:variant>
        <vt:i4>1114161</vt:i4>
      </vt:variant>
      <vt:variant>
        <vt:i4>182</vt:i4>
      </vt:variant>
      <vt:variant>
        <vt:i4>0</vt:i4>
      </vt:variant>
      <vt:variant>
        <vt:i4>5</vt:i4>
      </vt:variant>
      <vt:variant>
        <vt:lpwstr/>
      </vt:variant>
      <vt:variant>
        <vt:lpwstr>_Toc375225564</vt:lpwstr>
      </vt:variant>
      <vt:variant>
        <vt:i4>1114161</vt:i4>
      </vt:variant>
      <vt:variant>
        <vt:i4>176</vt:i4>
      </vt:variant>
      <vt:variant>
        <vt:i4>0</vt:i4>
      </vt:variant>
      <vt:variant>
        <vt:i4>5</vt:i4>
      </vt:variant>
      <vt:variant>
        <vt:lpwstr/>
      </vt:variant>
      <vt:variant>
        <vt:lpwstr>_Toc375225563</vt:lpwstr>
      </vt:variant>
      <vt:variant>
        <vt:i4>1114161</vt:i4>
      </vt:variant>
      <vt:variant>
        <vt:i4>170</vt:i4>
      </vt:variant>
      <vt:variant>
        <vt:i4>0</vt:i4>
      </vt:variant>
      <vt:variant>
        <vt:i4>5</vt:i4>
      </vt:variant>
      <vt:variant>
        <vt:lpwstr/>
      </vt:variant>
      <vt:variant>
        <vt:lpwstr>_Toc375225562</vt:lpwstr>
      </vt:variant>
      <vt:variant>
        <vt:i4>1114161</vt:i4>
      </vt:variant>
      <vt:variant>
        <vt:i4>164</vt:i4>
      </vt:variant>
      <vt:variant>
        <vt:i4>0</vt:i4>
      </vt:variant>
      <vt:variant>
        <vt:i4>5</vt:i4>
      </vt:variant>
      <vt:variant>
        <vt:lpwstr/>
      </vt:variant>
      <vt:variant>
        <vt:lpwstr>_Toc375225561</vt:lpwstr>
      </vt:variant>
      <vt:variant>
        <vt:i4>1114161</vt:i4>
      </vt:variant>
      <vt:variant>
        <vt:i4>158</vt:i4>
      </vt:variant>
      <vt:variant>
        <vt:i4>0</vt:i4>
      </vt:variant>
      <vt:variant>
        <vt:i4>5</vt:i4>
      </vt:variant>
      <vt:variant>
        <vt:lpwstr/>
      </vt:variant>
      <vt:variant>
        <vt:lpwstr>_Toc375225560</vt:lpwstr>
      </vt:variant>
      <vt:variant>
        <vt:i4>1179697</vt:i4>
      </vt:variant>
      <vt:variant>
        <vt:i4>152</vt:i4>
      </vt:variant>
      <vt:variant>
        <vt:i4>0</vt:i4>
      </vt:variant>
      <vt:variant>
        <vt:i4>5</vt:i4>
      </vt:variant>
      <vt:variant>
        <vt:lpwstr/>
      </vt:variant>
      <vt:variant>
        <vt:lpwstr>_Toc375225559</vt:lpwstr>
      </vt:variant>
      <vt:variant>
        <vt:i4>1179697</vt:i4>
      </vt:variant>
      <vt:variant>
        <vt:i4>146</vt:i4>
      </vt:variant>
      <vt:variant>
        <vt:i4>0</vt:i4>
      </vt:variant>
      <vt:variant>
        <vt:i4>5</vt:i4>
      </vt:variant>
      <vt:variant>
        <vt:lpwstr/>
      </vt:variant>
      <vt:variant>
        <vt:lpwstr>_Toc375225558</vt:lpwstr>
      </vt:variant>
      <vt:variant>
        <vt:i4>1179697</vt:i4>
      </vt:variant>
      <vt:variant>
        <vt:i4>140</vt:i4>
      </vt:variant>
      <vt:variant>
        <vt:i4>0</vt:i4>
      </vt:variant>
      <vt:variant>
        <vt:i4>5</vt:i4>
      </vt:variant>
      <vt:variant>
        <vt:lpwstr/>
      </vt:variant>
      <vt:variant>
        <vt:lpwstr>_Toc375225557</vt:lpwstr>
      </vt:variant>
      <vt:variant>
        <vt:i4>1179697</vt:i4>
      </vt:variant>
      <vt:variant>
        <vt:i4>134</vt:i4>
      </vt:variant>
      <vt:variant>
        <vt:i4>0</vt:i4>
      </vt:variant>
      <vt:variant>
        <vt:i4>5</vt:i4>
      </vt:variant>
      <vt:variant>
        <vt:lpwstr/>
      </vt:variant>
      <vt:variant>
        <vt:lpwstr>_Toc375225556</vt:lpwstr>
      </vt:variant>
      <vt:variant>
        <vt:i4>1179697</vt:i4>
      </vt:variant>
      <vt:variant>
        <vt:i4>128</vt:i4>
      </vt:variant>
      <vt:variant>
        <vt:i4>0</vt:i4>
      </vt:variant>
      <vt:variant>
        <vt:i4>5</vt:i4>
      </vt:variant>
      <vt:variant>
        <vt:lpwstr/>
      </vt:variant>
      <vt:variant>
        <vt:lpwstr>_Toc375225555</vt:lpwstr>
      </vt:variant>
      <vt:variant>
        <vt:i4>1179697</vt:i4>
      </vt:variant>
      <vt:variant>
        <vt:i4>122</vt:i4>
      </vt:variant>
      <vt:variant>
        <vt:i4>0</vt:i4>
      </vt:variant>
      <vt:variant>
        <vt:i4>5</vt:i4>
      </vt:variant>
      <vt:variant>
        <vt:lpwstr/>
      </vt:variant>
      <vt:variant>
        <vt:lpwstr>_Toc375225554</vt:lpwstr>
      </vt:variant>
      <vt:variant>
        <vt:i4>1179697</vt:i4>
      </vt:variant>
      <vt:variant>
        <vt:i4>116</vt:i4>
      </vt:variant>
      <vt:variant>
        <vt:i4>0</vt:i4>
      </vt:variant>
      <vt:variant>
        <vt:i4>5</vt:i4>
      </vt:variant>
      <vt:variant>
        <vt:lpwstr/>
      </vt:variant>
      <vt:variant>
        <vt:lpwstr>_Toc375225553</vt:lpwstr>
      </vt:variant>
      <vt:variant>
        <vt:i4>1179697</vt:i4>
      </vt:variant>
      <vt:variant>
        <vt:i4>110</vt:i4>
      </vt:variant>
      <vt:variant>
        <vt:i4>0</vt:i4>
      </vt:variant>
      <vt:variant>
        <vt:i4>5</vt:i4>
      </vt:variant>
      <vt:variant>
        <vt:lpwstr/>
      </vt:variant>
      <vt:variant>
        <vt:lpwstr>_Toc375225552</vt:lpwstr>
      </vt:variant>
      <vt:variant>
        <vt:i4>1179697</vt:i4>
      </vt:variant>
      <vt:variant>
        <vt:i4>104</vt:i4>
      </vt:variant>
      <vt:variant>
        <vt:i4>0</vt:i4>
      </vt:variant>
      <vt:variant>
        <vt:i4>5</vt:i4>
      </vt:variant>
      <vt:variant>
        <vt:lpwstr/>
      </vt:variant>
      <vt:variant>
        <vt:lpwstr>_Toc375225551</vt:lpwstr>
      </vt:variant>
      <vt:variant>
        <vt:i4>1179697</vt:i4>
      </vt:variant>
      <vt:variant>
        <vt:i4>98</vt:i4>
      </vt:variant>
      <vt:variant>
        <vt:i4>0</vt:i4>
      </vt:variant>
      <vt:variant>
        <vt:i4>5</vt:i4>
      </vt:variant>
      <vt:variant>
        <vt:lpwstr/>
      </vt:variant>
      <vt:variant>
        <vt:lpwstr>_Toc375225550</vt:lpwstr>
      </vt:variant>
      <vt:variant>
        <vt:i4>1245233</vt:i4>
      </vt:variant>
      <vt:variant>
        <vt:i4>92</vt:i4>
      </vt:variant>
      <vt:variant>
        <vt:i4>0</vt:i4>
      </vt:variant>
      <vt:variant>
        <vt:i4>5</vt:i4>
      </vt:variant>
      <vt:variant>
        <vt:lpwstr/>
      </vt:variant>
      <vt:variant>
        <vt:lpwstr>_Toc375225549</vt:lpwstr>
      </vt:variant>
      <vt:variant>
        <vt:i4>1245233</vt:i4>
      </vt:variant>
      <vt:variant>
        <vt:i4>86</vt:i4>
      </vt:variant>
      <vt:variant>
        <vt:i4>0</vt:i4>
      </vt:variant>
      <vt:variant>
        <vt:i4>5</vt:i4>
      </vt:variant>
      <vt:variant>
        <vt:lpwstr/>
      </vt:variant>
      <vt:variant>
        <vt:lpwstr>_Toc375225548</vt:lpwstr>
      </vt:variant>
      <vt:variant>
        <vt:i4>1245233</vt:i4>
      </vt:variant>
      <vt:variant>
        <vt:i4>80</vt:i4>
      </vt:variant>
      <vt:variant>
        <vt:i4>0</vt:i4>
      </vt:variant>
      <vt:variant>
        <vt:i4>5</vt:i4>
      </vt:variant>
      <vt:variant>
        <vt:lpwstr/>
      </vt:variant>
      <vt:variant>
        <vt:lpwstr>_Toc375225547</vt:lpwstr>
      </vt:variant>
      <vt:variant>
        <vt:i4>1245233</vt:i4>
      </vt:variant>
      <vt:variant>
        <vt:i4>74</vt:i4>
      </vt:variant>
      <vt:variant>
        <vt:i4>0</vt:i4>
      </vt:variant>
      <vt:variant>
        <vt:i4>5</vt:i4>
      </vt:variant>
      <vt:variant>
        <vt:lpwstr/>
      </vt:variant>
      <vt:variant>
        <vt:lpwstr>_Toc375225546</vt:lpwstr>
      </vt:variant>
      <vt:variant>
        <vt:i4>1245233</vt:i4>
      </vt:variant>
      <vt:variant>
        <vt:i4>68</vt:i4>
      </vt:variant>
      <vt:variant>
        <vt:i4>0</vt:i4>
      </vt:variant>
      <vt:variant>
        <vt:i4>5</vt:i4>
      </vt:variant>
      <vt:variant>
        <vt:lpwstr/>
      </vt:variant>
      <vt:variant>
        <vt:lpwstr>_Toc375225545</vt:lpwstr>
      </vt:variant>
      <vt:variant>
        <vt:i4>1245233</vt:i4>
      </vt:variant>
      <vt:variant>
        <vt:i4>62</vt:i4>
      </vt:variant>
      <vt:variant>
        <vt:i4>0</vt:i4>
      </vt:variant>
      <vt:variant>
        <vt:i4>5</vt:i4>
      </vt:variant>
      <vt:variant>
        <vt:lpwstr/>
      </vt:variant>
      <vt:variant>
        <vt:lpwstr>_Toc375225544</vt:lpwstr>
      </vt:variant>
      <vt:variant>
        <vt:i4>1245233</vt:i4>
      </vt:variant>
      <vt:variant>
        <vt:i4>56</vt:i4>
      </vt:variant>
      <vt:variant>
        <vt:i4>0</vt:i4>
      </vt:variant>
      <vt:variant>
        <vt:i4>5</vt:i4>
      </vt:variant>
      <vt:variant>
        <vt:lpwstr/>
      </vt:variant>
      <vt:variant>
        <vt:lpwstr>_Toc375225543</vt:lpwstr>
      </vt:variant>
      <vt:variant>
        <vt:i4>1245233</vt:i4>
      </vt:variant>
      <vt:variant>
        <vt:i4>50</vt:i4>
      </vt:variant>
      <vt:variant>
        <vt:i4>0</vt:i4>
      </vt:variant>
      <vt:variant>
        <vt:i4>5</vt:i4>
      </vt:variant>
      <vt:variant>
        <vt:lpwstr/>
      </vt:variant>
      <vt:variant>
        <vt:lpwstr>_Toc375225542</vt:lpwstr>
      </vt:variant>
      <vt:variant>
        <vt:i4>1245233</vt:i4>
      </vt:variant>
      <vt:variant>
        <vt:i4>44</vt:i4>
      </vt:variant>
      <vt:variant>
        <vt:i4>0</vt:i4>
      </vt:variant>
      <vt:variant>
        <vt:i4>5</vt:i4>
      </vt:variant>
      <vt:variant>
        <vt:lpwstr/>
      </vt:variant>
      <vt:variant>
        <vt:lpwstr>_Toc375225541</vt:lpwstr>
      </vt:variant>
      <vt:variant>
        <vt:i4>1245233</vt:i4>
      </vt:variant>
      <vt:variant>
        <vt:i4>38</vt:i4>
      </vt:variant>
      <vt:variant>
        <vt:i4>0</vt:i4>
      </vt:variant>
      <vt:variant>
        <vt:i4>5</vt:i4>
      </vt:variant>
      <vt:variant>
        <vt:lpwstr/>
      </vt:variant>
      <vt:variant>
        <vt:lpwstr>_Toc375225540</vt:lpwstr>
      </vt:variant>
      <vt:variant>
        <vt:i4>1310769</vt:i4>
      </vt:variant>
      <vt:variant>
        <vt:i4>32</vt:i4>
      </vt:variant>
      <vt:variant>
        <vt:i4>0</vt:i4>
      </vt:variant>
      <vt:variant>
        <vt:i4>5</vt:i4>
      </vt:variant>
      <vt:variant>
        <vt:lpwstr/>
      </vt:variant>
      <vt:variant>
        <vt:lpwstr>_Toc375225539</vt:lpwstr>
      </vt:variant>
      <vt:variant>
        <vt:i4>1310769</vt:i4>
      </vt:variant>
      <vt:variant>
        <vt:i4>26</vt:i4>
      </vt:variant>
      <vt:variant>
        <vt:i4>0</vt:i4>
      </vt:variant>
      <vt:variant>
        <vt:i4>5</vt:i4>
      </vt:variant>
      <vt:variant>
        <vt:lpwstr/>
      </vt:variant>
      <vt:variant>
        <vt:lpwstr>_Toc375225538</vt:lpwstr>
      </vt:variant>
      <vt:variant>
        <vt:i4>1310769</vt:i4>
      </vt:variant>
      <vt:variant>
        <vt:i4>20</vt:i4>
      </vt:variant>
      <vt:variant>
        <vt:i4>0</vt:i4>
      </vt:variant>
      <vt:variant>
        <vt:i4>5</vt:i4>
      </vt:variant>
      <vt:variant>
        <vt:lpwstr/>
      </vt:variant>
      <vt:variant>
        <vt:lpwstr>_Toc375225537</vt:lpwstr>
      </vt:variant>
      <vt:variant>
        <vt:i4>1310769</vt:i4>
      </vt:variant>
      <vt:variant>
        <vt:i4>14</vt:i4>
      </vt:variant>
      <vt:variant>
        <vt:i4>0</vt:i4>
      </vt:variant>
      <vt:variant>
        <vt:i4>5</vt:i4>
      </vt:variant>
      <vt:variant>
        <vt:lpwstr/>
      </vt:variant>
      <vt:variant>
        <vt:lpwstr>_Toc375225536</vt:lpwstr>
      </vt:variant>
      <vt:variant>
        <vt:i4>1310769</vt:i4>
      </vt:variant>
      <vt:variant>
        <vt:i4>8</vt:i4>
      </vt:variant>
      <vt:variant>
        <vt:i4>0</vt:i4>
      </vt:variant>
      <vt:variant>
        <vt:i4>5</vt:i4>
      </vt:variant>
      <vt:variant>
        <vt:lpwstr/>
      </vt:variant>
      <vt:variant>
        <vt:lpwstr>_Toc375225535</vt:lpwstr>
      </vt:variant>
      <vt:variant>
        <vt:i4>1310769</vt:i4>
      </vt:variant>
      <vt:variant>
        <vt:i4>2</vt:i4>
      </vt:variant>
      <vt:variant>
        <vt:i4>0</vt:i4>
      </vt:variant>
      <vt:variant>
        <vt:i4>5</vt:i4>
      </vt:variant>
      <vt:variant>
        <vt:lpwstr/>
      </vt:variant>
      <vt:variant>
        <vt:lpwstr>_Toc375225534</vt:lpwstr>
      </vt:variant>
      <vt:variant>
        <vt:i4>7602227</vt:i4>
      </vt:variant>
      <vt:variant>
        <vt:i4>0</vt:i4>
      </vt:variant>
      <vt:variant>
        <vt:i4>0</vt:i4>
      </vt:variant>
      <vt:variant>
        <vt:i4>5</vt:i4>
      </vt:variant>
      <vt:variant>
        <vt:lpwstr>http://www.monumnet.cz/</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ÚZEMNÍHO PLÁNU</dc:title>
  <dc:creator>Monika Boháčová</dc:creator>
  <cp:lastModifiedBy>Monika Bohacova</cp:lastModifiedBy>
  <cp:revision>49</cp:revision>
  <cp:lastPrinted>2020-01-30T10:38:00Z</cp:lastPrinted>
  <dcterms:created xsi:type="dcterms:W3CDTF">2020-01-30T09:46:00Z</dcterms:created>
  <dcterms:modified xsi:type="dcterms:W3CDTF">2020-03-26T10:59:00Z</dcterms:modified>
</cp:coreProperties>
</file>